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02383E" w14:textId="04224C6F" w:rsidR="002416B1" w:rsidRPr="002526CC" w:rsidRDefault="002611B9" w:rsidP="00507035">
      <w:pPr>
        <w:pStyle w:val="Hlavika"/>
        <w:tabs>
          <w:tab w:val="clear" w:pos="9072"/>
        </w:tabs>
        <w:spacing w:before="120" w:after="120"/>
        <w:rPr>
          <w:rFonts w:ascii="Arial" w:hAnsi="Arial" w:cs="Arial"/>
          <w:b/>
          <w:smallCaps/>
          <w14:shadow w14:blurRad="50800" w14:dist="38100" w14:dir="2700000" w14:sx="100000" w14:sy="100000" w14:kx="0" w14:ky="0" w14:algn="tl">
            <w14:srgbClr w14:val="000000">
              <w14:alpha w14:val="60000"/>
            </w14:srgbClr>
          </w14:shadow>
        </w:rPr>
      </w:pPr>
      <w:r>
        <w:rPr>
          <w:rFonts w:ascii="Arial" w:hAnsi="Arial"/>
          <w:b/>
          <w:smallCaps/>
          <w:noProof/>
        </w:rPr>
        <w:drawing>
          <wp:anchor distT="0" distB="0" distL="114300" distR="114300" simplePos="0" relativeHeight="251661312" behindDoc="0" locked="0" layoutInCell="1" allowOverlap="1" wp14:anchorId="1801C8CE" wp14:editId="20216A34">
            <wp:simplePos x="0" y="0"/>
            <wp:positionH relativeFrom="column">
              <wp:posOffset>4578824</wp:posOffset>
            </wp:positionH>
            <wp:positionV relativeFrom="paragraph">
              <wp:posOffset>128886</wp:posOffset>
            </wp:positionV>
            <wp:extent cx="1184118" cy="928048"/>
            <wp:effectExtent l="0" t="0" r="0" b="5715"/>
            <wp:wrapSquare wrapText="bothSides"/>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4118" cy="928048"/>
                    </a:xfrm>
                    <a:prstGeom prst="rect">
                      <a:avLst/>
                    </a:prstGeom>
                    <a:noFill/>
                    <a:ln>
                      <a:noFill/>
                    </a:ln>
                  </pic:spPr>
                </pic:pic>
              </a:graphicData>
            </a:graphic>
          </wp:anchor>
        </w:drawing>
      </w:r>
      <w:r w:rsidR="00462291" w:rsidRPr="00123376">
        <w:rPr>
          <w:rFonts w:ascii="Arial" w:hAnsi="Arial" w:cs="Arial"/>
          <w:noProof/>
        </w:rPr>
        <mc:AlternateContent>
          <mc:Choice Requires="wps">
            <w:drawing>
              <wp:anchor distT="0" distB="0" distL="114300" distR="114300" simplePos="0" relativeHeight="251654144" behindDoc="0" locked="0" layoutInCell="1" allowOverlap="1" wp14:anchorId="75CEB712" wp14:editId="16521B9D">
                <wp:simplePos x="0" y="0"/>
                <wp:positionH relativeFrom="column">
                  <wp:posOffset>1024255</wp:posOffset>
                </wp:positionH>
                <wp:positionV relativeFrom="paragraph">
                  <wp:posOffset>121920</wp:posOffset>
                </wp:positionV>
                <wp:extent cx="3525520" cy="1018540"/>
                <wp:effectExtent l="0" t="0" r="0" b="0"/>
                <wp:wrapNone/>
                <wp:docPr id="24" name="Blok text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5520" cy="1018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170B7C" w14:textId="77777777" w:rsidR="0008447E" w:rsidRPr="00144E16" w:rsidRDefault="0008447E" w:rsidP="00144E16">
                            <w:pPr>
                              <w:jc w:val="center"/>
                              <w:rPr>
                                <w:rFonts w:ascii="Arial" w:hAnsi="Arial" w:cs="Arial"/>
                                <w:b/>
                              </w:rPr>
                            </w:pPr>
                            <w:r w:rsidRPr="00144E16">
                              <w:rPr>
                                <w:rFonts w:ascii="Arial" w:hAnsi="Arial" w:cs="Arial"/>
                                <w:b/>
                              </w:rPr>
                              <w:t>MINISTERSTVO ŽIVOTNÉHO PROSTREDIA</w:t>
                            </w:r>
                          </w:p>
                          <w:p w14:paraId="752056BB" w14:textId="77777777" w:rsidR="0008447E" w:rsidRPr="00144E16" w:rsidRDefault="0008447E" w:rsidP="00144E16">
                            <w:pPr>
                              <w:jc w:val="center"/>
                              <w:rPr>
                                <w:rFonts w:ascii="Arial" w:hAnsi="Arial" w:cs="Arial"/>
                                <w:b/>
                              </w:rPr>
                            </w:pPr>
                            <w:r w:rsidRPr="00144E16">
                              <w:rPr>
                                <w:rFonts w:ascii="Arial" w:hAnsi="Arial" w:cs="Arial"/>
                                <w:b/>
                              </w:rPr>
                              <w:t>SLOVENSKEJ REPUBLIKY</w:t>
                            </w:r>
                          </w:p>
                          <w:p w14:paraId="74AC3718" w14:textId="77777777" w:rsidR="0008447E" w:rsidRPr="00144E16" w:rsidRDefault="0008447E" w:rsidP="00144E16">
                            <w:pPr>
                              <w:jc w:val="center"/>
                              <w:rPr>
                                <w:rFonts w:ascii="Arial" w:hAnsi="Arial" w:cs="Arial"/>
                                <w:b/>
                              </w:rPr>
                            </w:pPr>
                            <w:r w:rsidRPr="00144E16">
                              <w:rPr>
                                <w:rFonts w:ascii="Arial" w:hAnsi="Arial" w:cs="Arial"/>
                                <w:b/>
                              </w:rPr>
                              <w:t>riadiaci orgán</w:t>
                            </w:r>
                          </w:p>
                          <w:p w14:paraId="0DCA9AF8" w14:textId="77777777" w:rsidR="0008447E" w:rsidRPr="00144E16" w:rsidRDefault="0008447E" w:rsidP="00144E16">
                            <w:pPr>
                              <w:jc w:val="center"/>
                              <w:rPr>
                                <w:rFonts w:ascii="Arial" w:hAnsi="Arial" w:cs="Arial"/>
                                <w:b/>
                              </w:rPr>
                            </w:pPr>
                            <w:r w:rsidRPr="00144E16">
                              <w:rPr>
                                <w:rFonts w:ascii="Arial" w:hAnsi="Arial" w:cs="Arial"/>
                                <w:b/>
                              </w:rPr>
                              <w:t>pre Operačný program Životné prostredie</w:t>
                            </w:r>
                          </w:p>
                          <w:p w14:paraId="3D635ED7" w14:textId="77777777" w:rsidR="0008447E" w:rsidRDefault="0008447E"/>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75CEB712" id="_x0000_t202" coordsize="21600,21600" o:spt="202" path="m,l,21600r21600,l21600,xe">
                <v:stroke joinstyle="miter"/>
                <v:path gradientshapeok="t" o:connecttype="rect"/>
              </v:shapetype>
              <v:shape id="Blok textu 2" o:spid="_x0000_s1026" type="#_x0000_t202" style="position:absolute;margin-left:80.65pt;margin-top:9.6pt;width:277.6pt;height:80.2pt;z-index:2516541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" stroked="f">
                <v:textbox style="mso-fit-shape-to-text:t">
                  <w:txbxContent>
                    <w:p w14:paraId="1E170B7C" w14:textId="77777777" w:rsidR="0008447E" w:rsidRPr="00144E16" w:rsidRDefault="0008447E" w:rsidP="00144E16">
                      <w:pPr>
                        <w:jc w:val="center"/>
                        <w:rPr>
                          <w:rFonts w:ascii="Arial" w:hAnsi="Arial" w:cs="Arial"/>
                          <w:b/>
                        </w:rPr>
                      </w:pPr>
                      <w:r w:rsidRPr="00144E16">
                        <w:rPr>
                          <w:rFonts w:ascii="Arial" w:hAnsi="Arial" w:cs="Arial"/>
                          <w:b/>
                        </w:rPr>
                        <w:t>MINISTERSTVO ŽIVOTNÉHO PROSTREDIA</w:t>
                      </w:r>
                    </w:p>
                    <w:p w14:paraId="752056BB" w14:textId="77777777" w:rsidR="0008447E" w:rsidRPr="00144E16" w:rsidRDefault="0008447E" w:rsidP="00144E16">
                      <w:pPr>
                        <w:jc w:val="center"/>
                        <w:rPr>
                          <w:rFonts w:ascii="Arial" w:hAnsi="Arial" w:cs="Arial"/>
                          <w:b/>
                        </w:rPr>
                      </w:pPr>
                      <w:r w:rsidRPr="00144E16">
                        <w:rPr>
                          <w:rFonts w:ascii="Arial" w:hAnsi="Arial" w:cs="Arial"/>
                          <w:b/>
                        </w:rPr>
                        <w:t>SLOVENSKEJ REPUBLIKY</w:t>
                      </w:r>
                    </w:p>
                    <w:p w14:paraId="74AC3718" w14:textId="77777777" w:rsidR="0008447E" w:rsidRPr="00144E16" w:rsidRDefault="0008447E" w:rsidP="00144E16">
                      <w:pPr>
                        <w:jc w:val="center"/>
                        <w:rPr>
                          <w:rFonts w:ascii="Arial" w:hAnsi="Arial" w:cs="Arial"/>
                          <w:b/>
                        </w:rPr>
                      </w:pPr>
                      <w:r w:rsidRPr="00144E16">
                        <w:rPr>
                          <w:rFonts w:ascii="Arial" w:hAnsi="Arial" w:cs="Arial"/>
                          <w:b/>
                        </w:rPr>
                        <w:t>riadiaci orgán</w:t>
                      </w:r>
                    </w:p>
                    <w:p w14:paraId="0DCA9AF8" w14:textId="77777777" w:rsidR="0008447E" w:rsidRPr="00144E16" w:rsidRDefault="0008447E" w:rsidP="00144E16">
                      <w:pPr>
                        <w:jc w:val="center"/>
                        <w:rPr>
                          <w:rFonts w:ascii="Arial" w:hAnsi="Arial" w:cs="Arial"/>
                          <w:b/>
                        </w:rPr>
                      </w:pPr>
                      <w:r w:rsidRPr="00144E16">
                        <w:rPr>
                          <w:rFonts w:ascii="Arial" w:hAnsi="Arial" w:cs="Arial"/>
                          <w:b/>
                        </w:rPr>
                        <w:t>pre Operačný program Životné prostredie</w:t>
                      </w:r>
                    </w:p>
                    <w:p w14:paraId="3D635ED7" w14:textId="77777777" w:rsidR="0008447E" w:rsidRDefault="0008447E"/>
                  </w:txbxContent>
                </v:textbox>
              </v:shape>
            </w:pict>
          </mc:Fallback>
        </mc:AlternateContent>
      </w:r>
      <w:r w:rsidR="00587FAE" w:rsidRPr="00123376">
        <w:rPr>
          <w:rFonts w:ascii="Arial" w:hAnsi="Arial" w:cs="Arial"/>
          <w:noProof/>
        </w:rPr>
        <w:drawing>
          <wp:anchor distT="0" distB="0" distL="114300" distR="114300" simplePos="0" relativeHeight="251658240" behindDoc="1" locked="0" layoutInCell="1" allowOverlap="0" wp14:anchorId="66FA0311" wp14:editId="2332A510">
            <wp:simplePos x="0" y="0"/>
            <wp:positionH relativeFrom="column">
              <wp:posOffset>-57150</wp:posOffset>
            </wp:positionH>
            <wp:positionV relativeFrom="paragraph">
              <wp:posOffset>-1905</wp:posOffset>
            </wp:positionV>
            <wp:extent cx="795655" cy="1021715"/>
            <wp:effectExtent l="0" t="0" r="4445" b="6985"/>
            <wp:wrapNone/>
            <wp:docPr id="2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95655" cy="1021715"/>
                    </a:xfrm>
                    <a:prstGeom prst="rect">
                      <a:avLst/>
                    </a:prstGeom>
                    <a:noFill/>
                  </pic:spPr>
                </pic:pic>
              </a:graphicData>
            </a:graphic>
            <wp14:sizeRelH relativeFrom="page">
              <wp14:pctWidth>0</wp14:pctWidth>
            </wp14:sizeRelH>
            <wp14:sizeRelV relativeFrom="page">
              <wp14:pctHeight>0</wp14:pctHeight>
            </wp14:sizeRelV>
          </wp:anchor>
        </w:drawing>
      </w:r>
      <w:r w:rsidR="00587FAE" w:rsidRPr="00123376">
        <w:rPr>
          <w:rFonts w:ascii="Arial" w:hAnsi="Arial" w:cs="Arial"/>
          <w:noProof/>
        </w:rPr>
        <mc:AlternateContent>
          <mc:Choice Requires="wps">
            <w:drawing>
              <wp:anchor distT="0" distB="0" distL="114300" distR="114300" simplePos="0" relativeHeight="251655168" behindDoc="0" locked="0" layoutInCell="1" allowOverlap="1" wp14:anchorId="65412921" wp14:editId="68F312C1">
                <wp:simplePos x="0" y="0"/>
                <wp:positionH relativeFrom="column">
                  <wp:posOffset>4559300</wp:posOffset>
                </wp:positionH>
                <wp:positionV relativeFrom="paragraph">
                  <wp:posOffset>-1905</wp:posOffset>
                </wp:positionV>
                <wp:extent cx="1543685" cy="1156970"/>
                <wp:effectExtent l="0" t="0" r="4445" b="31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685" cy="1156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BA8DFF" w14:textId="0A7685E5" w:rsidR="0008447E" w:rsidRDefault="0008447E"/>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5412921" id="Text Box 2" o:spid="_x0000_s1027" type="#_x0000_t202" style="position:absolute;margin-left:359pt;margin-top:-.15pt;width:121.55pt;height:91.1pt;z-index:251655168;visibility:visible;mso-wrap-style:non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" stroked="f">
                <v:textbox style="mso-fit-shape-to-text:t">
                  <w:txbxContent>
                    <w:p w14:paraId="5CBA8DFF" w14:textId="0A7685E5" w:rsidR="0008447E" w:rsidRDefault="0008447E"/>
                  </w:txbxContent>
                </v:textbox>
              </v:shape>
            </w:pict>
          </mc:Fallback>
        </mc:AlternateContent>
      </w:r>
    </w:p>
    <w:p w14:paraId="78346E7F" w14:textId="16AC1385" w:rsidR="002416B1" w:rsidRPr="008E1ACB" w:rsidRDefault="002416B1" w:rsidP="00507035">
      <w:pPr>
        <w:pStyle w:val="Hlavika"/>
        <w:tabs>
          <w:tab w:val="clear" w:pos="4536"/>
          <w:tab w:val="clear" w:pos="9072"/>
        </w:tabs>
        <w:spacing w:before="120" w:after="120"/>
        <w:jc w:val="right"/>
        <w:rPr>
          <w:rFonts w:ascii="Arial" w:hAnsi="Arial" w:cs="Arial"/>
          <w:b/>
          <w:sz w:val="22"/>
          <w:szCs w:val="22"/>
          <w14:shadow w14:blurRad="50800" w14:dist="38100" w14:dir="2700000" w14:sx="100000" w14:sy="100000" w14:kx="0" w14:ky="0" w14:algn="tl">
            <w14:srgbClr w14:val="000000">
              <w14:alpha w14:val="60000"/>
            </w14:srgbClr>
          </w14:shadow>
        </w:rPr>
      </w:pPr>
      <w:r w:rsidRPr="002526CC">
        <w:rPr>
          <w:rFonts w:ascii="Arial" w:hAnsi="Arial" w:cs="Arial"/>
          <w:sz w:val="22"/>
          <w:szCs w:val="22"/>
          <w14:shadow w14:blurRad="50800" w14:dist="38100" w14:dir="2700000" w14:sx="100000" w14:sy="100000" w14:kx="0" w14:ky="0" w14:algn="tl">
            <w14:srgbClr w14:val="000000">
              <w14:alpha w14:val="60000"/>
            </w14:srgbClr>
          </w14:shadow>
        </w:rPr>
        <w:t xml:space="preserve"> </w:t>
      </w:r>
    </w:p>
    <w:p w14:paraId="0E800563" w14:textId="77777777" w:rsidR="002416B1" w:rsidRPr="00E21C60" w:rsidRDefault="002416B1" w:rsidP="00507035">
      <w:pPr>
        <w:spacing w:before="120" w:after="120" w:line="360" w:lineRule="auto"/>
        <w:jc w:val="center"/>
        <w:rPr>
          <w:rFonts w:ascii="Arial" w:hAnsi="Arial" w:cs="Arial"/>
          <w:sz w:val="22"/>
          <w:szCs w:val="22"/>
          <w14:shadow w14:blurRad="50800" w14:dist="38100" w14:dir="2700000" w14:sx="100000" w14:sy="100000" w14:kx="0" w14:ky="0" w14:algn="tl">
            <w14:srgbClr w14:val="000000">
              <w14:alpha w14:val="60000"/>
            </w14:srgbClr>
          </w14:shadow>
        </w:rPr>
      </w:pPr>
    </w:p>
    <w:p w14:paraId="605B5532" w14:textId="77777777" w:rsidR="002416B1" w:rsidRPr="00E21C60" w:rsidRDefault="002416B1"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14:paraId="2AE03BC7" w14:textId="77777777" w:rsidR="002416B1" w:rsidRPr="00E21C60" w:rsidRDefault="002416B1"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14:paraId="7762083F" w14:textId="43139CD9" w:rsidR="00A322EA" w:rsidRPr="00E21C60" w:rsidRDefault="00A322EA"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14:paraId="06E3599E" w14:textId="77777777" w:rsidR="00A322EA" w:rsidRPr="00E21C60" w:rsidRDefault="00A322EA"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14:paraId="5AF1B845" w14:textId="77777777" w:rsidR="00A322EA" w:rsidRPr="00E21C60" w:rsidRDefault="00A322EA"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14:paraId="06371FEA" w14:textId="77777777" w:rsidR="002416B1" w:rsidRPr="00E21C60" w:rsidRDefault="002416B1"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14:paraId="79633408" w14:textId="77777777" w:rsidR="00144E16" w:rsidRPr="009D0DFE" w:rsidRDefault="00144E16" w:rsidP="00144E16">
      <w:pPr>
        <w:spacing w:line="360" w:lineRule="auto"/>
        <w:jc w:val="center"/>
        <w:rPr>
          <w:rFonts w:ascii="Arial" w:hAnsi="Arial" w:cs="Arial"/>
          <w:b/>
          <w:sz w:val="32"/>
        </w:rPr>
      </w:pPr>
      <w:r w:rsidRPr="009D0DFE">
        <w:rPr>
          <w:rFonts w:ascii="Arial" w:hAnsi="Arial" w:cs="Arial"/>
          <w:b/>
          <w:sz w:val="32"/>
        </w:rPr>
        <w:t>Záverečná správa o vykonávaní</w:t>
      </w:r>
    </w:p>
    <w:p w14:paraId="6DD00247" w14:textId="77777777" w:rsidR="00144E16" w:rsidRPr="009D0DFE" w:rsidRDefault="00144E16" w:rsidP="00144E16">
      <w:pPr>
        <w:spacing w:line="360" w:lineRule="auto"/>
        <w:jc w:val="center"/>
        <w:rPr>
          <w:rFonts w:ascii="Arial" w:hAnsi="Arial" w:cs="Arial"/>
          <w:b/>
          <w:sz w:val="32"/>
        </w:rPr>
      </w:pPr>
      <w:r w:rsidRPr="009D0DFE">
        <w:rPr>
          <w:rFonts w:ascii="Arial" w:hAnsi="Arial" w:cs="Arial"/>
          <w:b/>
          <w:sz w:val="32"/>
        </w:rPr>
        <w:t>Operačného programu Životné prostredie</w:t>
      </w:r>
    </w:p>
    <w:p w14:paraId="1BBA3263" w14:textId="77777777" w:rsidR="002416B1" w:rsidRDefault="002416B1" w:rsidP="00507035">
      <w:pPr>
        <w:spacing w:before="120" w:after="120" w:line="360" w:lineRule="auto"/>
        <w:jc w:val="center"/>
        <w:rPr>
          <w:rFonts w:ascii="Arial" w:hAnsi="Arial" w:cs="Arial"/>
          <w:i/>
          <w:sz w:val="28"/>
          <w:szCs w:val="28"/>
          <w14:shadow w14:blurRad="50800" w14:dist="38100" w14:dir="2700000" w14:sx="100000" w14:sy="100000" w14:kx="0" w14:ky="0" w14:algn="tl">
            <w14:srgbClr w14:val="000000">
              <w14:alpha w14:val="60000"/>
            </w14:srgbClr>
          </w14:shadow>
        </w:rPr>
      </w:pPr>
    </w:p>
    <w:p w14:paraId="5BB226B7" w14:textId="77777777" w:rsidR="000B440F" w:rsidRPr="00E21C60" w:rsidRDefault="000B440F" w:rsidP="00507035">
      <w:pPr>
        <w:spacing w:before="120" w:after="120" w:line="360" w:lineRule="auto"/>
        <w:jc w:val="center"/>
        <w:rPr>
          <w:rFonts w:ascii="Arial" w:hAnsi="Arial" w:cs="Arial"/>
          <w:i/>
          <w:sz w:val="28"/>
          <w:szCs w:val="28"/>
          <w14:shadow w14:blurRad="50800" w14:dist="38100" w14:dir="2700000" w14:sx="100000" w14:sy="100000" w14:kx="0" w14:ky="0" w14:algn="tl">
            <w14:srgbClr w14:val="000000">
              <w14:alpha w14:val="60000"/>
            </w14:srgbClr>
          </w14:shadow>
        </w:rPr>
      </w:pPr>
    </w:p>
    <w:p w14:paraId="512BD010" w14:textId="77777777" w:rsidR="002416B1" w:rsidRPr="00E21C60" w:rsidRDefault="002416B1"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14:paraId="18D9D653" w14:textId="77777777" w:rsidR="002416B1" w:rsidRPr="00E21C60" w:rsidRDefault="002416B1"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14:paraId="77FFDFD4" w14:textId="77777777" w:rsidR="002416B1" w:rsidRPr="008E1ACB" w:rsidRDefault="002416B1" w:rsidP="00507035">
      <w:pPr>
        <w:spacing w:before="120" w:after="120" w:line="360" w:lineRule="auto"/>
        <w:rPr>
          <w:rFonts w:ascii="Arial" w:hAnsi="Arial" w:cs="Arial"/>
          <w:sz w:val="22"/>
          <w:szCs w:val="22"/>
          <w14:shadow w14:blurRad="50800" w14:dist="38100" w14:dir="2700000" w14:sx="100000" w14:sy="100000" w14:kx="0" w14:ky="0" w14:algn="tl">
            <w14:srgbClr w14:val="000000">
              <w14:alpha w14:val="60000"/>
            </w14:srgbClr>
          </w14:shadow>
        </w:rPr>
      </w:pPr>
    </w:p>
    <w:p w14:paraId="2E3AB244" w14:textId="77777777" w:rsidR="002416B1" w:rsidRPr="00E21C60" w:rsidRDefault="00587FAE" w:rsidP="00507035">
      <w:pPr>
        <w:spacing w:before="120" w:after="120" w:line="360" w:lineRule="auto"/>
        <w:jc w:val="center"/>
        <w:rPr>
          <w:rFonts w:ascii="Arial" w:hAnsi="Arial" w:cs="Arial"/>
          <w:b/>
          <w:sz w:val="22"/>
          <w:szCs w:val="22"/>
          <w:highlight w:val="yellow"/>
          <w14:shadow w14:blurRad="50800" w14:dist="38100" w14:dir="2700000" w14:sx="100000" w14:sy="100000" w14:kx="0" w14:ky="0" w14:algn="tl">
            <w14:srgbClr w14:val="000000">
              <w14:alpha w14:val="60000"/>
            </w14:srgbClr>
          </w14:shadow>
        </w:rPr>
      </w:pPr>
      <w:r w:rsidRPr="008E1ACB">
        <w:rPr>
          <w:rFonts w:ascii="Arial" w:hAnsi="Arial" w:cs="Arial"/>
          <w:noProof/>
          <w:sz w:val="22"/>
          <w:szCs w:val="22"/>
        </w:rPr>
        <w:drawing>
          <wp:inline distT="0" distB="0" distL="0" distR="0" wp14:anchorId="5E0ED8C1" wp14:editId="50235BF1">
            <wp:extent cx="1438910" cy="962025"/>
            <wp:effectExtent l="0" t="0" r="8890" b="9525"/>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38910" cy="962025"/>
                    </a:xfrm>
                    <a:prstGeom prst="rect">
                      <a:avLst/>
                    </a:prstGeom>
                    <a:noFill/>
                    <a:ln>
                      <a:noFill/>
                    </a:ln>
                  </pic:spPr>
                </pic:pic>
              </a:graphicData>
            </a:graphic>
          </wp:inline>
        </w:drawing>
      </w:r>
    </w:p>
    <w:p w14:paraId="1CD5A40F" w14:textId="77777777" w:rsidR="002416B1" w:rsidRPr="00E21C60" w:rsidRDefault="002416B1" w:rsidP="00507035">
      <w:pPr>
        <w:spacing w:before="120" w:after="120" w:line="360" w:lineRule="auto"/>
        <w:jc w:val="center"/>
        <w:rPr>
          <w:rFonts w:ascii="Arial" w:hAnsi="Arial" w:cs="Arial"/>
          <w:b/>
          <w:highlight w:val="yellow"/>
          <w14:shadow w14:blurRad="50800" w14:dist="38100" w14:dir="2700000" w14:sx="100000" w14:sy="100000" w14:kx="0" w14:ky="0" w14:algn="tl">
            <w14:srgbClr w14:val="000000">
              <w14:alpha w14:val="60000"/>
            </w14:srgbClr>
          </w14:shadow>
        </w:rPr>
      </w:pPr>
    </w:p>
    <w:p w14:paraId="345094B8" w14:textId="77777777" w:rsidR="00144E16" w:rsidRDefault="00144E16" w:rsidP="00144E16">
      <w:pPr>
        <w:spacing w:line="360" w:lineRule="auto"/>
        <w:jc w:val="center"/>
        <w:rPr>
          <w:rFonts w:ascii="Arial" w:hAnsi="Arial" w:cs="Arial"/>
          <w:b/>
        </w:rPr>
      </w:pPr>
      <w:r w:rsidRPr="00F410CF">
        <w:rPr>
          <w:rFonts w:ascii="Arial" w:hAnsi="Arial" w:cs="Arial"/>
          <w:b/>
        </w:rPr>
        <w:t>november</w:t>
      </w:r>
      <w:r w:rsidRPr="00144E16">
        <w:rPr>
          <w:rFonts w:ascii="Arial" w:hAnsi="Arial" w:cs="Arial"/>
          <w:b/>
        </w:rPr>
        <w:t xml:space="preserve"> 2016</w:t>
      </w:r>
    </w:p>
    <w:p w14:paraId="3EC7CFF3" w14:textId="77777777" w:rsidR="00550C04" w:rsidRPr="00144E16" w:rsidRDefault="00550C04" w:rsidP="00144E16">
      <w:pPr>
        <w:spacing w:line="360" w:lineRule="auto"/>
        <w:jc w:val="center"/>
        <w:rPr>
          <w:rFonts w:ascii="Arial" w:hAnsi="Arial" w:cs="Arial"/>
          <w:b/>
        </w:rPr>
      </w:pPr>
    </w:p>
    <w:p w14:paraId="668F00E6" w14:textId="24F1F712" w:rsidR="00250BDB" w:rsidRPr="00550C04" w:rsidRDefault="00B9185A" w:rsidP="007372AC">
      <w:pPr>
        <w:spacing w:after="240"/>
        <w:jc w:val="both"/>
        <w:rPr>
          <w:rFonts w:ascii="Arial" w:hAnsi="Arial" w:cs="Arial"/>
          <w:b/>
          <w:sz w:val="22"/>
          <w:szCs w:val="22"/>
        </w:rPr>
      </w:pPr>
      <w:r w:rsidRPr="00550C04">
        <w:rPr>
          <w:rFonts w:ascii="Arial" w:hAnsi="Arial" w:cs="Arial"/>
          <w:b/>
          <w:sz w:val="22"/>
          <w:szCs w:val="22"/>
          <w:u w:val="single"/>
        </w:rPr>
        <w:t>Poznámka:</w:t>
      </w:r>
      <w:r w:rsidRPr="00550C04">
        <w:rPr>
          <w:rFonts w:ascii="Arial" w:hAnsi="Arial" w:cs="Arial"/>
          <w:b/>
          <w:sz w:val="22"/>
          <w:szCs w:val="22"/>
        </w:rPr>
        <w:t xml:space="preserve"> </w:t>
      </w:r>
      <w:r w:rsidR="00F610BB" w:rsidRPr="00550C04">
        <w:rPr>
          <w:rFonts w:ascii="Arial" w:hAnsi="Arial" w:cs="Arial"/>
          <w:b/>
          <w:sz w:val="22"/>
          <w:szCs w:val="22"/>
        </w:rPr>
        <w:t xml:space="preserve">Dokument bol vypracovaný k dátumu 31.10.2016 </w:t>
      </w:r>
      <w:r w:rsidR="006A4581" w:rsidRPr="00550C04">
        <w:rPr>
          <w:rFonts w:ascii="Arial" w:hAnsi="Arial" w:cs="Arial"/>
          <w:b/>
          <w:sz w:val="22"/>
          <w:szCs w:val="22"/>
        </w:rPr>
        <w:t xml:space="preserve">na základe </w:t>
      </w:r>
      <w:r w:rsidR="00F610BB" w:rsidRPr="00550C04">
        <w:rPr>
          <w:rFonts w:ascii="Arial" w:hAnsi="Arial" w:cs="Arial"/>
          <w:b/>
          <w:sz w:val="22"/>
          <w:szCs w:val="22"/>
        </w:rPr>
        <w:t>povinností, ktoré vyplývajú riadiacemu orgánu z metodického usmernenia</w:t>
      </w:r>
      <w:r w:rsidR="006A4581" w:rsidRPr="00550C04">
        <w:rPr>
          <w:rFonts w:ascii="Arial" w:hAnsi="Arial" w:cs="Arial"/>
          <w:b/>
          <w:sz w:val="22"/>
          <w:szCs w:val="22"/>
        </w:rPr>
        <w:t xml:space="preserve"> CKO č. 9, akt</w:t>
      </w:r>
      <w:r w:rsidR="00C4449A" w:rsidRPr="00550C04">
        <w:rPr>
          <w:rFonts w:ascii="Arial" w:hAnsi="Arial" w:cs="Arial"/>
          <w:b/>
          <w:sz w:val="22"/>
          <w:szCs w:val="22"/>
        </w:rPr>
        <w:t xml:space="preserve">ualizácia č. </w:t>
      </w:r>
      <w:r w:rsidR="006A4581" w:rsidRPr="00550C04">
        <w:rPr>
          <w:rFonts w:ascii="Arial" w:hAnsi="Arial" w:cs="Arial"/>
          <w:b/>
          <w:sz w:val="22"/>
          <w:szCs w:val="22"/>
        </w:rPr>
        <w:t>6 a usmernenia MF SR č. 1/2013</w:t>
      </w:r>
      <w:r w:rsidR="00F94E0B" w:rsidRPr="00550C04">
        <w:rPr>
          <w:rFonts w:ascii="Arial" w:hAnsi="Arial" w:cs="Arial"/>
          <w:b/>
          <w:sz w:val="22"/>
          <w:szCs w:val="22"/>
        </w:rPr>
        <w:t>, v. 2.3 k ukončovaniu</w:t>
      </w:r>
      <w:r w:rsidR="006A4581" w:rsidRPr="00550C04">
        <w:rPr>
          <w:rFonts w:ascii="Arial" w:hAnsi="Arial" w:cs="Arial"/>
          <w:b/>
          <w:sz w:val="22"/>
          <w:szCs w:val="22"/>
        </w:rPr>
        <w:t xml:space="preserve"> PO.</w:t>
      </w:r>
      <w:r w:rsidR="00F610BB" w:rsidRPr="00550C04">
        <w:rPr>
          <w:rFonts w:ascii="Arial" w:hAnsi="Arial" w:cs="Arial"/>
          <w:b/>
          <w:sz w:val="22"/>
          <w:szCs w:val="22"/>
        </w:rPr>
        <w:t xml:space="preserve"> </w:t>
      </w:r>
      <w:r w:rsidR="00C4449A" w:rsidRPr="00550C04">
        <w:rPr>
          <w:rFonts w:ascii="Arial" w:hAnsi="Arial" w:cs="Arial"/>
          <w:b/>
          <w:sz w:val="22"/>
          <w:szCs w:val="22"/>
        </w:rPr>
        <w:t xml:space="preserve">Keďže proces ukončovania </w:t>
      </w:r>
      <w:r w:rsidRPr="00550C04">
        <w:rPr>
          <w:rFonts w:ascii="Arial" w:hAnsi="Arial" w:cs="Arial"/>
          <w:b/>
          <w:sz w:val="22"/>
          <w:szCs w:val="22"/>
        </w:rPr>
        <w:t>pomoci v rámci Operačného programu Životné prostredie</w:t>
      </w:r>
      <w:r w:rsidR="00267E83" w:rsidRPr="00550C04">
        <w:rPr>
          <w:rFonts w:ascii="Arial" w:hAnsi="Arial" w:cs="Arial"/>
          <w:b/>
          <w:sz w:val="22"/>
          <w:szCs w:val="22"/>
        </w:rPr>
        <w:t xml:space="preserve"> ešte prebieha</w:t>
      </w:r>
      <w:r w:rsidRPr="00550C04">
        <w:rPr>
          <w:rFonts w:ascii="Arial" w:hAnsi="Arial" w:cs="Arial"/>
          <w:b/>
          <w:sz w:val="22"/>
          <w:szCs w:val="22"/>
        </w:rPr>
        <w:t xml:space="preserve">, </w:t>
      </w:r>
      <w:r w:rsidR="001E49C4" w:rsidRPr="00550C04">
        <w:rPr>
          <w:rFonts w:ascii="Arial" w:hAnsi="Arial" w:cs="Arial"/>
          <w:b/>
          <w:sz w:val="22"/>
          <w:szCs w:val="22"/>
        </w:rPr>
        <w:t>pričom v súlade s</w:t>
      </w:r>
      <w:r w:rsidR="004C064D" w:rsidRPr="00550C04">
        <w:rPr>
          <w:rFonts w:ascii="Arial" w:hAnsi="Arial" w:cs="Arial"/>
          <w:b/>
          <w:sz w:val="22"/>
          <w:szCs w:val="22"/>
        </w:rPr>
        <w:t> čl. 67 ods. 1</w:t>
      </w:r>
      <w:r w:rsidR="001E49C4" w:rsidRPr="00550C04">
        <w:rPr>
          <w:rFonts w:ascii="Arial" w:hAnsi="Arial" w:cs="Arial"/>
          <w:b/>
          <w:sz w:val="22"/>
          <w:szCs w:val="22"/>
        </w:rPr>
        <w:t> nariaden</w:t>
      </w:r>
      <w:r w:rsidR="004C064D" w:rsidRPr="00550C04">
        <w:rPr>
          <w:rFonts w:ascii="Arial" w:hAnsi="Arial" w:cs="Arial"/>
          <w:b/>
          <w:sz w:val="22"/>
          <w:szCs w:val="22"/>
        </w:rPr>
        <w:t>ia</w:t>
      </w:r>
      <w:r w:rsidR="001E49C4" w:rsidRPr="00550C04">
        <w:rPr>
          <w:rFonts w:ascii="Arial" w:hAnsi="Arial" w:cs="Arial"/>
          <w:b/>
          <w:sz w:val="22"/>
          <w:szCs w:val="22"/>
        </w:rPr>
        <w:t xml:space="preserve"> Rady (ES) č. 1083/2006 musí byť záverečná správa predložená Európskej komisii najneskôr do 31. 3. 2017, nemožno vylúčiť, že niektoré </w:t>
      </w:r>
      <w:r w:rsidRPr="00550C04">
        <w:rPr>
          <w:rFonts w:ascii="Arial" w:hAnsi="Arial" w:cs="Arial"/>
          <w:b/>
          <w:sz w:val="22"/>
          <w:szCs w:val="22"/>
        </w:rPr>
        <w:t>údaje v tejto záverečnej s</w:t>
      </w:r>
      <w:r w:rsidR="00EF2A60" w:rsidRPr="00550C04">
        <w:rPr>
          <w:rFonts w:ascii="Arial" w:hAnsi="Arial" w:cs="Arial"/>
          <w:b/>
          <w:sz w:val="22"/>
          <w:szCs w:val="22"/>
        </w:rPr>
        <w:t xml:space="preserve">práve budú ešte </w:t>
      </w:r>
      <w:r w:rsidR="001E49C4" w:rsidRPr="00550C04">
        <w:rPr>
          <w:rFonts w:ascii="Arial" w:hAnsi="Arial" w:cs="Arial"/>
          <w:b/>
          <w:sz w:val="22"/>
          <w:szCs w:val="22"/>
        </w:rPr>
        <w:t>upravené</w:t>
      </w:r>
      <w:r w:rsidR="00EF2A60" w:rsidRPr="00550C04">
        <w:rPr>
          <w:rFonts w:ascii="Arial" w:hAnsi="Arial" w:cs="Arial"/>
          <w:b/>
          <w:sz w:val="22"/>
          <w:szCs w:val="22"/>
        </w:rPr>
        <w:t>.</w:t>
      </w:r>
    </w:p>
    <w:p w14:paraId="53178C00" w14:textId="77777777" w:rsidR="002416B1" w:rsidRPr="00E21C60" w:rsidRDefault="002416B1" w:rsidP="00123376">
      <w:pPr>
        <w:spacing w:after="240"/>
        <w:rPr>
          <w:rFonts w:ascii="Arial" w:hAnsi="Arial" w:cs="Arial"/>
          <w:b/>
        </w:rPr>
      </w:pPr>
      <w:r w:rsidRPr="00E21C60">
        <w:rPr>
          <w:rFonts w:ascii="Arial" w:hAnsi="Arial" w:cs="Arial"/>
          <w:b/>
        </w:rPr>
        <w:lastRenderedPageBreak/>
        <w:t>OBSAH</w:t>
      </w:r>
    </w:p>
    <w:p w14:paraId="020E9935" w14:textId="77777777" w:rsidR="007A65D5" w:rsidRDefault="002416B1">
      <w:pPr>
        <w:pStyle w:val="Obsah1"/>
        <w:rPr>
          <w:rFonts w:asciiTheme="minorHAnsi" w:eastAsiaTheme="minorEastAsia" w:hAnsiTheme="minorHAnsi" w:cstheme="minorBidi"/>
          <w:b w:val="0"/>
          <w:bCs w:val="0"/>
          <w:smallCaps w:val="0"/>
          <w:szCs w:val="22"/>
        </w:rPr>
      </w:pPr>
      <w:r w:rsidRPr="00123376">
        <w:rPr>
          <w:caps/>
          <w:highlight w:val="yellow"/>
          <w14:shadow w14:blurRad="50800" w14:dist="38100" w14:dir="2700000" w14:sx="100000" w14:sy="100000" w14:kx="0" w14:ky="0" w14:algn="tl">
            <w14:srgbClr w14:val="000000">
              <w14:alpha w14:val="60000"/>
            </w14:srgbClr>
          </w14:shadow>
        </w:rPr>
        <w:fldChar w:fldCharType="begin"/>
      </w:r>
      <w:r w:rsidRPr="00D641FF">
        <w:rPr>
          <w:caps/>
          <w:highlight w:val="yellow"/>
          <w14:shadow w14:blurRad="50800" w14:dist="38100" w14:dir="2700000" w14:sx="100000" w14:sy="100000" w14:kx="0" w14:ky="0" w14:algn="tl">
            <w14:srgbClr w14:val="000000">
              <w14:alpha w14:val="60000"/>
            </w14:srgbClr>
          </w14:shadow>
        </w:rPr>
        <w:instrText xml:space="preserve"> TOC \o "1-3" \h \z \u </w:instrText>
      </w:r>
      <w:r w:rsidRPr="00123376">
        <w:rPr>
          <w:caps/>
          <w:highlight w:val="yellow"/>
          <w14:shadow w14:blurRad="50800" w14:dist="38100" w14:dir="2700000" w14:sx="100000" w14:sy="100000" w14:kx="0" w14:ky="0" w14:algn="tl">
            <w14:srgbClr w14:val="000000">
              <w14:alpha w14:val="60000"/>
            </w14:srgbClr>
          </w14:shadow>
        </w:rPr>
        <w:fldChar w:fldCharType="separate"/>
      </w:r>
      <w:hyperlink w:anchor="_Toc466914505" w:history="1">
        <w:r w:rsidR="007A65D5" w:rsidRPr="00C350D4">
          <w:rPr>
            <w:rStyle w:val="Hypertextovprepojenie"/>
          </w:rPr>
          <w:t>1. IDENTIFIKÁCIA</w:t>
        </w:r>
        <w:r w:rsidR="007A65D5">
          <w:rPr>
            <w:webHidden/>
          </w:rPr>
          <w:tab/>
        </w:r>
        <w:r w:rsidR="007A65D5">
          <w:rPr>
            <w:webHidden/>
          </w:rPr>
          <w:fldChar w:fldCharType="begin"/>
        </w:r>
        <w:r w:rsidR="007A65D5">
          <w:rPr>
            <w:webHidden/>
          </w:rPr>
          <w:instrText xml:space="preserve"> PAGEREF _Toc466914505 \h </w:instrText>
        </w:r>
        <w:r w:rsidR="007A65D5">
          <w:rPr>
            <w:webHidden/>
          </w:rPr>
        </w:r>
        <w:r w:rsidR="007A65D5">
          <w:rPr>
            <w:webHidden/>
          </w:rPr>
          <w:fldChar w:fldCharType="separate"/>
        </w:r>
        <w:r w:rsidR="007A65D5">
          <w:rPr>
            <w:webHidden/>
          </w:rPr>
          <w:t>4</w:t>
        </w:r>
        <w:r w:rsidR="007A65D5">
          <w:rPr>
            <w:webHidden/>
          </w:rPr>
          <w:fldChar w:fldCharType="end"/>
        </w:r>
      </w:hyperlink>
    </w:p>
    <w:p w14:paraId="0518304B" w14:textId="77777777" w:rsidR="007A65D5" w:rsidRDefault="00D92FB1">
      <w:pPr>
        <w:pStyle w:val="Obsah1"/>
        <w:rPr>
          <w:rFonts w:asciiTheme="minorHAnsi" w:eastAsiaTheme="minorEastAsia" w:hAnsiTheme="minorHAnsi" w:cstheme="minorBidi"/>
          <w:b w:val="0"/>
          <w:bCs w:val="0"/>
          <w:smallCaps w:val="0"/>
          <w:szCs w:val="22"/>
        </w:rPr>
      </w:pPr>
      <w:hyperlink w:anchor="_Toc466914506" w:history="1">
        <w:r w:rsidR="007A65D5" w:rsidRPr="00C350D4">
          <w:rPr>
            <w:rStyle w:val="Hypertextovprepojenie"/>
          </w:rPr>
          <w:t>2. Prehľad realizácie operačného programu</w:t>
        </w:r>
        <w:r w:rsidR="007A65D5">
          <w:rPr>
            <w:webHidden/>
          </w:rPr>
          <w:tab/>
        </w:r>
        <w:r w:rsidR="007A65D5">
          <w:rPr>
            <w:webHidden/>
          </w:rPr>
          <w:fldChar w:fldCharType="begin"/>
        </w:r>
        <w:r w:rsidR="007A65D5">
          <w:rPr>
            <w:webHidden/>
          </w:rPr>
          <w:instrText xml:space="preserve"> PAGEREF _Toc466914506 \h </w:instrText>
        </w:r>
        <w:r w:rsidR="007A65D5">
          <w:rPr>
            <w:webHidden/>
          </w:rPr>
        </w:r>
        <w:r w:rsidR="007A65D5">
          <w:rPr>
            <w:webHidden/>
          </w:rPr>
          <w:fldChar w:fldCharType="separate"/>
        </w:r>
        <w:r w:rsidR="007A65D5">
          <w:rPr>
            <w:webHidden/>
          </w:rPr>
          <w:t>4</w:t>
        </w:r>
        <w:r w:rsidR="007A65D5">
          <w:rPr>
            <w:webHidden/>
          </w:rPr>
          <w:fldChar w:fldCharType="end"/>
        </w:r>
      </w:hyperlink>
    </w:p>
    <w:p w14:paraId="0C015CE8" w14:textId="77777777" w:rsidR="007A65D5" w:rsidRDefault="00D92FB1">
      <w:pPr>
        <w:pStyle w:val="Obsah2"/>
        <w:rPr>
          <w:rFonts w:asciiTheme="minorHAnsi" w:eastAsiaTheme="minorEastAsia" w:hAnsiTheme="minorHAnsi" w:cstheme="minorBidi"/>
          <w:b w:val="0"/>
          <w:bCs w:val="0"/>
          <w:noProof/>
          <w:sz w:val="22"/>
          <w:szCs w:val="22"/>
        </w:rPr>
      </w:pPr>
      <w:hyperlink w:anchor="_Toc466914507" w:history="1">
        <w:r w:rsidR="007A65D5" w:rsidRPr="00C350D4">
          <w:rPr>
            <w:rStyle w:val="Hypertextovprepojenie"/>
            <w:rFonts w:cs="Arial"/>
            <w:noProof/>
          </w:rPr>
          <w:t>2.1 Dosiahnutý výsledok a analýza dosiahnutého pokroku</w:t>
        </w:r>
        <w:r w:rsidR="007A65D5">
          <w:rPr>
            <w:noProof/>
            <w:webHidden/>
          </w:rPr>
          <w:tab/>
        </w:r>
        <w:r w:rsidR="007A65D5">
          <w:rPr>
            <w:noProof/>
            <w:webHidden/>
          </w:rPr>
          <w:fldChar w:fldCharType="begin"/>
        </w:r>
        <w:r w:rsidR="007A65D5">
          <w:rPr>
            <w:noProof/>
            <w:webHidden/>
          </w:rPr>
          <w:instrText xml:space="preserve"> PAGEREF _Toc466914507 \h </w:instrText>
        </w:r>
        <w:r w:rsidR="007A65D5">
          <w:rPr>
            <w:noProof/>
            <w:webHidden/>
          </w:rPr>
        </w:r>
        <w:r w:rsidR="007A65D5">
          <w:rPr>
            <w:noProof/>
            <w:webHidden/>
          </w:rPr>
          <w:fldChar w:fldCharType="separate"/>
        </w:r>
        <w:r w:rsidR="007A65D5">
          <w:rPr>
            <w:noProof/>
            <w:webHidden/>
          </w:rPr>
          <w:t>4</w:t>
        </w:r>
        <w:r w:rsidR="007A65D5">
          <w:rPr>
            <w:noProof/>
            <w:webHidden/>
          </w:rPr>
          <w:fldChar w:fldCharType="end"/>
        </w:r>
      </w:hyperlink>
    </w:p>
    <w:p w14:paraId="2B55E878" w14:textId="77777777" w:rsidR="007A65D5" w:rsidRDefault="00D92FB1">
      <w:pPr>
        <w:pStyle w:val="Obsah3"/>
        <w:rPr>
          <w:rFonts w:asciiTheme="minorHAnsi" w:eastAsiaTheme="minorEastAsia" w:hAnsiTheme="minorHAnsi" w:cstheme="minorBidi"/>
          <w:noProof/>
          <w:sz w:val="22"/>
          <w:szCs w:val="22"/>
        </w:rPr>
      </w:pPr>
      <w:hyperlink w:anchor="_Toc466914508" w:history="1">
        <w:r w:rsidR="007A65D5" w:rsidRPr="00C350D4">
          <w:rPr>
            <w:rStyle w:val="Hypertextovprepojenie"/>
            <w:rFonts w:cs="Arial"/>
            <w:noProof/>
          </w:rPr>
          <w:t>2.1.1 Stav fyzického pokroku operačného programu</w:t>
        </w:r>
        <w:r w:rsidR="007A65D5">
          <w:rPr>
            <w:noProof/>
            <w:webHidden/>
          </w:rPr>
          <w:tab/>
        </w:r>
        <w:r w:rsidR="007A65D5">
          <w:rPr>
            <w:noProof/>
            <w:webHidden/>
          </w:rPr>
          <w:fldChar w:fldCharType="begin"/>
        </w:r>
        <w:r w:rsidR="007A65D5">
          <w:rPr>
            <w:noProof/>
            <w:webHidden/>
          </w:rPr>
          <w:instrText xml:space="preserve"> PAGEREF _Toc466914508 \h </w:instrText>
        </w:r>
        <w:r w:rsidR="007A65D5">
          <w:rPr>
            <w:noProof/>
            <w:webHidden/>
          </w:rPr>
        </w:r>
        <w:r w:rsidR="007A65D5">
          <w:rPr>
            <w:noProof/>
            <w:webHidden/>
          </w:rPr>
          <w:fldChar w:fldCharType="separate"/>
        </w:r>
        <w:r w:rsidR="007A65D5">
          <w:rPr>
            <w:noProof/>
            <w:webHidden/>
          </w:rPr>
          <w:t>14</w:t>
        </w:r>
        <w:r w:rsidR="007A65D5">
          <w:rPr>
            <w:noProof/>
            <w:webHidden/>
          </w:rPr>
          <w:fldChar w:fldCharType="end"/>
        </w:r>
      </w:hyperlink>
    </w:p>
    <w:p w14:paraId="19C41705" w14:textId="77777777" w:rsidR="007A65D5" w:rsidRDefault="00D92FB1">
      <w:pPr>
        <w:pStyle w:val="Obsah3"/>
        <w:rPr>
          <w:rFonts w:asciiTheme="minorHAnsi" w:eastAsiaTheme="minorEastAsia" w:hAnsiTheme="minorHAnsi" w:cstheme="minorBidi"/>
          <w:noProof/>
          <w:sz w:val="22"/>
          <w:szCs w:val="22"/>
        </w:rPr>
      </w:pPr>
      <w:hyperlink w:anchor="_Toc466914509" w:history="1">
        <w:r w:rsidR="007A65D5" w:rsidRPr="00C350D4">
          <w:rPr>
            <w:rStyle w:val="Hypertextovprepojenie"/>
            <w:rFonts w:cs="Arial"/>
            <w:noProof/>
          </w:rPr>
          <w:t>2.1.2 Finančná implementácia programu</w:t>
        </w:r>
        <w:r w:rsidR="007A65D5">
          <w:rPr>
            <w:noProof/>
            <w:webHidden/>
          </w:rPr>
          <w:tab/>
        </w:r>
        <w:r w:rsidR="007A65D5">
          <w:rPr>
            <w:noProof/>
            <w:webHidden/>
          </w:rPr>
          <w:fldChar w:fldCharType="begin"/>
        </w:r>
        <w:r w:rsidR="007A65D5">
          <w:rPr>
            <w:noProof/>
            <w:webHidden/>
          </w:rPr>
          <w:instrText xml:space="preserve"> PAGEREF _Toc466914509 \h </w:instrText>
        </w:r>
        <w:r w:rsidR="007A65D5">
          <w:rPr>
            <w:noProof/>
            <w:webHidden/>
          </w:rPr>
        </w:r>
        <w:r w:rsidR="007A65D5">
          <w:rPr>
            <w:noProof/>
            <w:webHidden/>
          </w:rPr>
          <w:fldChar w:fldCharType="separate"/>
        </w:r>
        <w:r w:rsidR="007A65D5">
          <w:rPr>
            <w:noProof/>
            <w:webHidden/>
          </w:rPr>
          <w:t>23</w:t>
        </w:r>
        <w:r w:rsidR="007A65D5">
          <w:rPr>
            <w:noProof/>
            <w:webHidden/>
          </w:rPr>
          <w:fldChar w:fldCharType="end"/>
        </w:r>
      </w:hyperlink>
    </w:p>
    <w:p w14:paraId="12B3DC15" w14:textId="77777777" w:rsidR="007A65D5" w:rsidRDefault="00D92FB1">
      <w:pPr>
        <w:pStyle w:val="Obsah3"/>
        <w:rPr>
          <w:rFonts w:asciiTheme="minorHAnsi" w:eastAsiaTheme="minorEastAsia" w:hAnsiTheme="minorHAnsi" w:cstheme="minorBidi"/>
          <w:noProof/>
          <w:sz w:val="22"/>
          <w:szCs w:val="22"/>
        </w:rPr>
      </w:pPr>
      <w:hyperlink w:anchor="_Toc466914510" w:history="1">
        <w:r w:rsidR="007A65D5" w:rsidRPr="00C350D4">
          <w:rPr>
            <w:rStyle w:val="Hypertextovprepojenie"/>
            <w:rFonts w:cs="Arial"/>
            <w:noProof/>
          </w:rPr>
          <w:t>2.1.3 Implementácia štrukturálnych fondov a Kohézneho fondu z regionálneho aspektu</w:t>
        </w:r>
        <w:r w:rsidR="007A65D5">
          <w:rPr>
            <w:noProof/>
            <w:webHidden/>
          </w:rPr>
          <w:tab/>
        </w:r>
        <w:r w:rsidR="007A65D5">
          <w:rPr>
            <w:noProof/>
            <w:webHidden/>
          </w:rPr>
          <w:fldChar w:fldCharType="begin"/>
        </w:r>
        <w:r w:rsidR="007A65D5">
          <w:rPr>
            <w:noProof/>
            <w:webHidden/>
          </w:rPr>
          <w:instrText xml:space="preserve"> PAGEREF _Toc466914510 \h </w:instrText>
        </w:r>
        <w:r w:rsidR="007A65D5">
          <w:rPr>
            <w:noProof/>
            <w:webHidden/>
          </w:rPr>
        </w:r>
        <w:r w:rsidR="007A65D5">
          <w:rPr>
            <w:noProof/>
            <w:webHidden/>
          </w:rPr>
          <w:fldChar w:fldCharType="separate"/>
        </w:r>
        <w:r w:rsidR="007A65D5">
          <w:rPr>
            <w:noProof/>
            <w:webHidden/>
          </w:rPr>
          <w:t>30</w:t>
        </w:r>
        <w:r w:rsidR="007A65D5">
          <w:rPr>
            <w:noProof/>
            <w:webHidden/>
          </w:rPr>
          <w:fldChar w:fldCharType="end"/>
        </w:r>
      </w:hyperlink>
    </w:p>
    <w:p w14:paraId="190ECD20" w14:textId="77777777" w:rsidR="007A65D5" w:rsidRDefault="00D92FB1">
      <w:pPr>
        <w:pStyle w:val="Obsah3"/>
        <w:rPr>
          <w:rFonts w:asciiTheme="minorHAnsi" w:eastAsiaTheme="minorEastAsia" w:hAnsiTheme="minorHAnsi" w:cstheme="minorBidi"/>
          <w:noProof/>
          <w:sz w:val="22"/>
          <w:szCs w:val="22"/>
        </w:rPr>
      </w:pPr>
      <w:hyperlink w:anchor="_Toc466914511" w:history="1">
        <w:r w:rsidR="007A65D5" w:rsidRPr="00C350D4">
          <w:rPr>
            <w:rStyle w:val="Hypertextovprepojenie"/>
            <w:rFonts w:cs="Arial"/>
            <w:noProof/>
          </w:rPr>
          <w:t>2.1.4 Finančná kontrola a audit</w:t>
        </w:r>
        <w:r w:rsidR="007A65D5">
          <w:rPr>
            <w:noProof/>
            <w:webHidden/>
          </w:rPr>
          <w:tab/>
        </w:r>
        <w:r w:rsidR="007A65D5">
          <w:rPr>
            <w:noProof/>
            <w:webHidden/>
          </w:rPr>
          <w:fldChar w:fldCharType="begin"/>
        </w:r>
        <w:r w:rsidR="007A65D5">
          <w:rPr>
            <w:noProof/>
            <w:webHidden/>
          </w:rPr>
          <w:instrText xml:space="preserve"> PAGEREF _Toc466914511 \h </w:instrText>
        </w:r>
        <w:r w:rsidR="007A65D5">
          <w:rPr>
            <w:noProof/>
            <w:webHidden/>
          </w:rPr>
        </w:r>
        <w:r w:rsidR="007A65D5">
          <w:rPr>
            <w:noProof/>
            <w:webHidden/>
          </w:rPr>
          <w:fldChar w:fldCharType="separate"/>
        </w:r>
        <w:r w:rsidR="007A65D5">
          <w:rPr>
            <w:noProof/>
            <w:webHidden/>
          </w:rPr>
          <w:t>37</w:t>
        </w:r>
        <w:r w:rsidR="007A65D5">
          <w:rPr>
            <w:noProof/>
            <w:webHidden/>
          </w:rPr>
          <w:fldChar w:fldCharType="end"/>
        </w:r>
      </w:hyperlink>
    </w:p>
    <w:p w14:paraId="67E000A4" w14:textId="77777777" w:rsidR="007A65D5" w:rsidRDefault="00D92FB1">
      <w:pPr>
        <w:pStyle w:val="Obsah3"/>
        <w:rPr>
          <w:rFonts w:asciiTheme="minorHAnsi" w:eastAsiaTheme="minorEastAsia" w:hAnsiTheme="minorHAnsi" w:cstheme="minorBidi"/>
          <w:noProof/>
          <w:sz w:val="22"/>
          <w:szCs w:val="22"/>
        </w:rPr>
      </w:pPr>
      <w:hyperlink w:anchor="_Toc466914512" w:history="1">
        <w:r w:rsidR="007A65D5" w:rsidRPr="00C350D4">
          <w:rPr>
            <w:rStyle w:val="Hypertextovprepojenie"/>
            <w:rFonts w:cs="Arial"/>
            <w:noProof/>
          </w:rPr>
          <w:t>2.1.5 Využívanie fondov podľa kategórií</w:t>
        </w:r>
        <w:r w:rsidR="007A65D5">
          <w:rPr>
            <w:noProof/>
            <w:webHidden/>
          </w:rPr>
          <w:tab/>
        </w:r>
        <w:r w:rsidR="007A65D5">
          <w:rPr>
            <w:noProof/>
            <w:webHidden/>
          </w:rPr>
          <w:fldChar w:fldCharType="begin"/>
        </w:r>
        <w:r w:rsidR="007A65D5">
          <w:rPr>
            <w:noProof/>
            <w:webHidden/>
          </w:rPr>
          <w:instrText xml:space="preserve"> PAGEREF _Toc466914512 \h </w:instrText>
        </w:r>
        <w:r w:rsidR="007A65D5">
          <w:rPr>
            <w:noProof/>
            <w:webHidden/>
          </w:rPr>
        </w:r>
        <w:r w:rsidR="007A65D5">
          <w:rPr>
            <w:noProof/>
            <w:webHidden/>
          </w:rPr>
          <w:fldChar w:fldCharType="separate"/>
        </w:r>
        <w:r w:rsidR="007A65D5">
          <w:rPr>
            <w:noProof/>
            <w:webHidden/>
          </w:rPr>
          <w:t>41</w:t>
        </w:r>
        <w:r w:rsidR="007A65D5">
          <w:rPr>
            <w:noProof/>
            <w:webHidden/>
          </w:rPr>
          <w:fldChar w:fldCharType="end"/>
        </w:r>
      </w:hyperlink>
    </w:p>
    <w:p w14:paraId="17858060" w14:textId="77777777" w:rsidR="007A65D5" w:rsidRDefault="00D92FB1">
      <w:pPr>
        <w:pStyle w:val="Obsah3"/>
        <w:rPr>
          <w:rFonts w:asciiTheme="minorHAnsi" w:eastAsiaTheme="minorEastAsia" w:hAnsiTheme="minorHAnsi" w:cstheme="minorBidi"/>
          <w:noProof/>
          <w:sz w:val="22"/>
          <w:szCs w:val="22"/>
        </w:rPr>
      </w:pPr>
      <w:hyperlink w:anchor="_Toc466914513" w:history="1">
        <w:r w:rsidR="007A65D5" w:rsidRPr="00C350D4">
          <w:rPr>
            <w:rStyle w:val="Hypertextovprepojenie"/>
            <w:rFonts w:cs="Arial"/>
            <w:noProof/>
          </w:rPr>
          <w:t>2.1.6 Príspevok k Lisabonskému procesu / k stratégii Európa 2020</w:t>
        </w:r>
        <w:r w:rsidR="007A65D5">
          <w:rPr>
            <w:noProof/>
            <w:webHidden/>
          </w:rPr>
          <w:tab/>
        </w:r>
        <w:r w:rsidR="007A65D5">
          <w:rPr>
            <w:noProof/>
            <w:webHidden/>
          </w:rPr>
          <w:fldChar w:fldCharType="begin"/>
        </w:r>
        <w:r w:rsidR="007A65D5">
          <w:rPr>
            <w:noProof/>
            <w:webHidden/>
          </w:rPr>
          <w:instrText xml:space="preserve"> PAGEREF _Toc466914513 \h </w:instrText>
        </w:r>
        <w:r w:rsidR="007A65D5">
          <w:rPr>
            <w:noProof/>
            <w:webHidden/>
          </w:rPr>
        </w:r>
        <w:r w:rsidR="007A65D5">
          <w:rPr>
            <w:noProof/>
            <w:webHidden/>
          </w:rPr>
          <w:fldChar w:fldCharType="separate"/>
        </w:r>
        <w:r w:rsidR="007A65D5">
          <w:rPr>
            <w:noProof/>
            <w:webHidden/>
          </w:rPr>
          <w:t>41</w:t>
        </w:r>
        <w:r w:rsidR="007A65D5">
          <w:rPr>
            <w:noProof/>
            <w:webHidden/>
          </w:rPr>
          <w:fldChar w:fldCharType="end"/>
        </w:r>
      </w:hyperlink>
    </w:p>
    <w:p w14:paraId="779AB2D2" w14:textId="77777777" w:rsidR="007A65D5" w:rsidRDefault="00D92FB1">
      <w:pPr>
        <w:pStyle w:val="Obsah3"/>
        <w:rPr>
          <w:rFonts w:asciiTheme="minorHAnsi" w:eastAsiaTheme="minorEastAsia" w:hAnsiTheme="minorHAnsi" w:cstheme="minorBidi"/>
          <w:noProof/>
          <w:sz w:val="22"/>
          <w:szCs w:val="22"/>
        </w:rPr>
      </w:pPr>
      <w:hyperlink w:anchor="_Toc466914514" w:history="1">
        <w:r w:rsidR="007A65D5" w:rsidRPr="00C350D4">
          <w:rPr>
            <w:rStyle w:val="Hypertextovprepojenie"/>
            <w:rFonts w:cs="Arial"/>
            <w:noProof/>
          </w:rPr>
          <w:t>2.1.7 Opis partnerských dohôd</w:t>
        </w:r>
        <w:r w:rsidR="007A65D5">
          <w:rPr>
            <w:noProof/>
            <w:webHidden/>
          </w:rPr>
          <w:tab/>
        </w:r>
        <w:r w:rsidR="007A65D5">
          <w:rPr>
            <w:noProof/>
            <w:webHidden/>
          </w:rPr>
          <w:fldChar w:fldCharType="begin"/>
        </w:r>
        <w:r w:rsidR="007A65D5">
          <w:rPr>
            <w:noProof/>
            <w:webHidden/>
          </w:rPr>
          <w:instrText xml:space="preserve"> PAGEREF _Toc466914514 \h </w:instrText>
        </w:r>
        <w:r w:rsidR="007A65D5">
          <w:rPr>
            <w:noProof/>
            <w:webHidden/>
          </w:rPr>
        </w:r>
        <w:r w:rsidR="007A65D5">
          <w:rPr>
            <w:noProof/>
            <w:webHidden/>
          </w:rPr>
          <w:fldChar w:fldCharType="separate"/>
        </w:r>
        <w:r w:rsidR="007A65D5">
          <w:rPr>
            <w:noProof/>
            <w:webHidden/>
          </w:rPr>
          <w:t>43</w:t>
        </w:r>
        <w:r w:rsidR="007A65D5">
          <w:rPr>
            <w:noProof/>
            <w:webHidden/>
          </w:rPr>
          <w:fldChar w:fldCharType="end"/>
        </w:r>
      </w:hyperlink>
    </w:p>
    <w:p w14:paraId="04CB1B3A" w14:textId="77777777" w:rsidR="007A65D5" w:rsidRDefault="00D92FB1">
      <w:pPr>
        <w:pStyle w:val="Obsah2"/>
        <w:rPr>
          <w:rFonts w:asciiTheme="minorHAnsi" w:eastAsiaTheme="minorEastAsia" w:hAnsiTheme="minorHAnsi" w:cstheme="minorBidi"/>
          <w:b w:val="0"/>
          <w:bCs w:val="0"/>
          <w:noProof/>
          <w:sz w:val="22"/>
          <w:szCs w:val="22"/>
        </w:rPr>
      </w:pPr>
      <w:hyperlink w:anchor="_Toc466914515" w:history="1">
        <w:r w:rsidR="007A65D5" w:rsidRPr="00C350D4">
          <w:rPr>
            <w:rStyle w:val="Hypertextovprepojenie"/>
            <w:rFonts w:cs="Arial"/>
            <w:noProof/>
          </w:rPr>
          <w:t>2.2 Informácie o súlade s právnymi predpismi Spoločenstva</w:t>
        </w:r>
        <w:r w:rsidR="007A65D5">
          <w:rPr>
            <w:noProof/>
            <w:webHidden/>
          </w:rPr>
          <w:tab/>
        </w:r>
        <w:r w:rsidR="007A65D5">
          <w:rPr>
            <w:noProof/>
            <w:webHidden/>
          </w:rPr>
          <w:fldChar w:fldCharType="begin"/>
        </w:r>
        <w:r w:rsidR="007A65D5">
          <w:rPr>
            <w:noProof/>
            <w:webHidden/>
          </w:rPr>
          <w:instrText xml:space="preserve"> PAGEREF _Toc466914515 \h </w:instrText>
        </w:r>
        <w:r w:rsidR="007A65D5">
          <w:rPr>
            <w:noProof/>
            <w:webHidden/>
          </w:rPr>
        </w:r>
        <w:r w:rsidR="007A65D5">
          <w:rPr>
            <w:noProof/>
            <w:webHidden/>
          </w:rPr>
          <w:fldChar w:fldCharType="separate"/>
        </w:r>
        <w:r w:rsidR="007A65D5">
          <w:rPr>
            <w:noProof/>
            <w:webHidden/>
          </w:rPr>
          <w:t>43</w:t>
        </w:r>
        <w:r w:rsidR="007A65D5">
          <w:rPr>
            <w:noProof/>
            <w:webHidden/>
          </w:rPr>
          <w:fldChar w:fldCharType="end"/>
        </w:r>
      </w:hyperlink>
    </w:p>
    <w:p w14:paraId="7EE03A23" w14:textId="77777777" w:rsidR="007A65D5" w:rsidRDefault="00D92FB1">
      <w:pPr>
        <w:pStyle w:val="Obsah2"/>
        <w:rPr>
          <w:rFonts w:asciiTheme="minorHAnsi" w:eastAsiaTheme="minorEastAsia" w:hAnsiTheme="minorHAnsi" w:cstheme="minorBidi"/>
          <w:b w:val="0"/>
          <w:bCs w:val="0"/>
          <w:noProof/>
          <w:sz w:val="22"/>
          <w:szCs w:val="22"/>
        </w:rPr>
      </w:pPr>
      <w:hyperlink w:anchor="_Toc466914516" w:history="1">
        <w:r w:rsidR="007A65D5" w:rsidRPr="00C350D4">
          <w:rPr>
            <w:rStyle w:val="Hypertextovprepojenie"/>
            <w:rFonts w:cs="Arial"/>
            <w:noProof/>
          </w:rPr>
          <w:t>2.3 Závažné problémy, ktoré sa vyskytli a opatrenia prijaté na ich odstránenie</w:t>
        </w:r>
        <w:r w:rsidR="007A65D5">
          <w:rPr>
            <w:noProof/>
            <w:webHidden/>
          </w:rPr>
          <w:tab/>
        </w:r>
        <w:r w:rsidR="007A65D5">
          <w:rPr>
            <w:noProof/>
            <w:webHidden/>
          </w:rPr>
          <w:fldChar w:fldCharType="begin"/>
        </w:r>
        <w:r w:rsidR="007A65D5">
          <w:rPr>
            <w:noProof/>
            <w:webHidden/>
          </w:rPr>
          <w:instrText xml:space="preserve"> PAGEREF _Toc466914516 \h </w:instrText>
        </w:r>
        <w:r w:rsidR="007A65D5">
          <w:rPr>
            <w:noProof/>
            <w:webHidden/>
          </w:rPr>
        </w:r>
        <w:r w:rsidR="007A65D5">
          <w:rPr>
            <w:noProof/>
            <w:webHidden/>
          </w:rPr>
          <w:fldChar w:fldCharType="separate"/>
        </w:r>
        <w:r w:rsidR="007A65D5">
          <w:rPr>
            <w:noProof/>
            <w:webHidden/>
          </w:rPr>
          <w:t>44</w:t>
        </w:r>
        <w:r w:rsidR="007A65D5">
          <w:rPr>
            <w:noProof/>
            <w:webHidden/>
          </w:rPr>
          <w:fldChar w:fldCharType="end"/>
        </w:r>
      </w:hyperlink>
    </w:p>
    <w:p w14:paraId="7B234826" w14:textId="77777777" w:rsidR="007A65D5" w:rsidRDefault="00D92FB1">
      <w:pPr>
        <w:pStyle w:val="Obsah2"/>
        <w:rPr>
          <w:rFonts w:asciiTheme="minorHAnsi" w:eastAsiaTheme="minorEastAsia" w:hAnsiTheme="minorHAnsi" w:cstheme="minorBidi"/>
          <w:b w:val="0"/>
          <w:bCs w:val="0"/>
          <w:noProof/>
          <w:sz w:val="22"/>
          <w:szCs w:val="22"/>
        </w:rPr>
      </w:pPr>
      <w:hyperlink w:anchor="_Toc466914517" w:history="1">
        <w:r w:rsidR="007A65D5" w:rsidRPr="00C350D4">
          <w:rPr>
            <w:rStyle w:val="Hypertextovprepojenie"/>
            <w:rFonts w:cs="Arial"/>
            <w:noProof/>
          </w:rPr>
          <w:t>2.4 Zmeny v kontexte realizácie OP ŽP</w:t>
        </w:r>
        <w:r w:rsidR="007A65D5">
          <w:rPr>
            <w:noProof/>
            <w:webHidden/>
          </w:rPr>
          <w:tab/>
        </w:r>
        <w:r w:rsidR="007A65D5">
          <w:rPr>
            <w:noProof/>
            <w:webHidden/>
          </w:rPr>
          <w:fldChar w:fldCharType="begin"/>
        </w:r>
        <w:r w:rsidR="007A65D5">
          <w:rPr>
            <w:noProof/>
            <w:webHidden/>
          </w:rPr>
          <w:instrText xml:space="preserve"> PAGEREF _Toc466914517 \h </w:instrText>
        </w:r>
        <w:r w:rsidR="007A65D5">
          <w:rPr>
            <w:noProof/>
            <w:webHidden/>
          </w:rPr>
        </w:r>
        <w:r w:rsidR="007A65D5">
          <w:rPr>
            <w:noProof/>
            <w:webHidden/>
          </w:rPr>
          <w:fldChar w:fldCharType="separate"/>
        </w:r>
        <w:r w:rsidR="007A65D5">
          <w:rPr>
            <w:noProof/>
            <w:webHidden/>
          </w:rPr>
          <w:t>46</w:t>
        </w:r>
        <w:r w:rsidR="007A65D5">
          <w:rPr>
            <w:noProof/>
            <w:webHidden/>
          </w:rPr>
          <w:fldChar w:fldCharType="end"/>
        </w:r>
      </w:hyperlink>
    </w:p>
    <w:p w14:paraId="1393C854" w14:textId="77777777" w:rsidR="007A65D5" w:rsidRDefault="00D92FB1">
      <w:pPr>
        <w:pStyle w:val="Obsah2"/>
        <w:rPr>
          <w:rFonts w:asciiTheme="minorHAnsi" w:eastAsiaTheme="minorEastAsia" w:hAnsiTheme="minorHAnsi" w:cstheme="minorBidi"/>
          <w:b w:val="0"/>
          <w:bCs w:val="0"/>
          <w:noProof/>
          <w:sz w:val="22"/>
          <w:szCs w:val="22"/>
        </w:rPr>
      </w:pPr>
      <w:hyperlink w:anchor="_Toc466914518" w:history="1">
        <w:r w:rsidR="007A65D5" w:rsidRPr="00C350D4">
          <w:rPr>
            <w:rStyle w:val="Hypertextovprepojenie"/>
            <w:rFonts w:cs="Arial"/>
            <w:noProof/>
          </w:rPr>
          <w:t>2.5 Podstatné zmeny podľa článku 57 nariadenia (ES) č. 1083/2006</w:t>
        </w:r>
        <w:r w:rsidR="007A65D5">
          <w:rPr>
            <w:noProof/>
            <w:webHidden/>
          </w:rPr>
          <w:tab/>
        </w:r>
        <w:r w:rsidR="007A65D5">
          <w:rPr>
            <w:noProof/>
            <w:webHidden/>
          </w:rPr>
          <w:fldChar w:fldCharType="begin"/>
        </w:r>
        <w:r w:rsidR="007A65D5">
          <w:rPr>
            <w:noProof/>
            <w:webHidden/>
          </w:rPr>
          <w:instrText xml:space="preserve"> PAGEREF _Toc466914518 \h </w:instrText>
        </w:r>
        <w:r w:rsidR="007A65D5">
          <w:rPr>
            <w:noProof/>
            <w:webHidden/>
          </w:rPr>
        </w:r>
        <w:r w:rsidR="007A65D5">
          <w:rPr>
            <w:noProof/>
            <w:webHidden/>
          </w:rPr>
          <w:fldChar w:fldCharType="separate"/>
        </w:r>
        <w:r w:rsidR="007A65D5">
          <w:rPr>
            <w:noProof/>
            <w:webHidden/>
          </w:rPr>
          <w:t>48</w:t>
        </w:r>
        <w:r w:rsidR="007A65D5">
          <w:rPr>
            <w:noProof/>
            <w:webHidden/>
          </w:rPr>
          <w:fldChar w:fldCharType="end"/>
        </w:r>
      </w:hyperlink>
    </w:p>
    <w:p w14:paraId="2778EEFF" w14:textId="77777777" w:rsidR="007A65D5" w:rsidRDefault="00D92FB1">
      <w:pPr>
        <w:pStyle w:val="Obsah2"/>
        <w:rPr>
          <w:rFonts w:asciiTheme="minorHAnsi" w:eastAsiaTheme="minorEastAsia" w:hAnsiTheme="minorHAnsi" w:cstheme="minorBidi"/>
          <w:b w:val="0"/>
          <w:bCs w:val="0"/>
          <w:noProof/>
          <w:sz w:val="22"/>
          <w:szCs w:val="22"/>
        </w:rPr>
      </w:pPr>
      <w:hyperlink w:anchor="_Toc466914519" w:history="1">
        <w:r w:rsidR="007A65D5" w:rsidRPr="00C350D4">
          <w:rPr>
            <w:rStyle w:val="Hypertextovprepojenie"/>
            <w:rFonts w:cs="Arial"/>
            <w:noProof/>
          </w:rPr>
          <w:t>2.6 Doplnkovosť s inými nástrojmi</w:t>
        </w:r>
        <w:r w:rsidR="007A65D5">
          <w:rPr>
            <w:noProof/>
            <w:webHidden/>
          </w:rPr>
          <w:tab/>
        </w:r>
        <w:r w:rsidR="007A65D5">
          <w:rPr>
            <w:noProof/>
            <w:webHidden/>
          </w:rPr>
          <w:fldChar w:fldCharType="begin"/>
        </w:r>
        <w:r w:rsidR="007A65D5">
          <w:rPr>
            <w:noProof/>
            <w:webHidden/>
          </w:rPr>
          <w:instrText xml:space="preserve"> PAGEREF _Toc466914519 \h </w:instrText>
        </w:r>
        <w:r w:rsidR="007A65D5">
          <w:rPr>
            <w:noProof/>
            <w:webHidden/>
          </w:rPr>
        </w:r>
        <w:r w:rsidR="007A65D5">
          <w:rPr>
            <w:noProof/>
            <w:webHidden/>
          </w:rPr>
          <w:fldChar w:fldCharType="separate"/>
        </w:r>
        <w:r w:rsidR="007A65D5">
          <w:rPr>
            <w:noProof/>
            <w:webHidden/>
          </w:rPr>
          <w:t>49</w:t>
        </w:r>
        <w:r w:rsidR="007A65D5">
          <w:rPr>
            <w:noProof/>
            <w:webHidden/>
          </w:rPr>
          <w:fldChar w:fldCharType="end"/>
        </w:r>
      </w:hyperlink>
    </w:p>
    <w:p w14:paraId="6575741E" w14:textId="77777777" w:rsidR="007A65D5" w:rsidRDefault="00D92FB1">
      <w:pPr>
        <w:pStyle w:val="Obsah2"/>
        <w:rPr>
          <w:rFonts w:asciiTheme="minorHAnsi" w:eastAsiaTheme="minorEastAsia" w:hAnsiTheme="minorHAnsi" w:cstheme="minorBidi"/>
          <w:b w:val="0"/>
          <w:bCs w:val="0"/>
          <w:noProof/>
          <w:sz w:val="22"/>
          <w:szCs w:val="22"/>
        </w:rPr>
      </w:pPr>
      <w:hyperlink w:anchor="_Toc466914520" w:history="1">
        <w:r w:rsidR="007A65D5" w:rsidRPr="00C350D4">
          <w:rPr>
            <w:rStyle w:val="Hypertextovprepojenie"/>
            <w:rFonts w:cs="Arial"/>
            <w:noProof/>
          </w:rPr>
          <w:t>2.7 Monitorovanie a hodnotenie</w:t>
        </w:r>
        <w:r w:rsidR="007A65D5">
          <w:rPr>
            <w:noProof/>
            <w:webHidden/>
          </w:rPr>
          <w:tab/>
        </w:r>
        <w:r w:rsidR="007A65D5">
          <w:rPr>
            <w:noProof/>
            <w:webHidden/>
          </w:rPr>
          <w:fldChar w:fldCharType="begin"/>
        </w:r>
        <w:r w:rsidR="007A65D5">
          <w:rPr>
            <w:noProof/>
            <w:webHidden/>
          </w:rPr>
          <w:instrText xml:space="preserve"> PAGEREF _Toc466914520 \h </w:instrText>
        </w:r>
        <w:r w:rsidR="007A65D5">
          <w:rPr>
            <w:noProof/>
            <w:webHidden/>
          </w:rPr>
        </w:r>
        <w:r w:rsidR="007A65D5">
          <w:rPr>
            <w:noProof/>
            <w:webHidden/>
          </w:rPr>
          <w:fldChar w:fldCharType="separate"/>
        </w:r>
        <w:r w:rsidR="007A65D5">
          <w:rPr>
            <w:noProof/>
            <w:webHidden/>
          </w:rPr>
          <w:t>58</w:t>
        </w:r>
        <w:r w:rsidR="007A65D5">
          <w:rPr>
            <w:noProof/>
            <w:webHidden/>
          </w:rPr>
          <w:fldChar w:fldCharType="end"/>
        </w:r>
      </w:hyperlink>
    </w:p>
    <w:p w14:paraId="65F487AD" w14:textId="77777777" w:rsidR="007A65D5" w:rsidRDefault="00D92FB1">
      <w:pPr>
        <w:pStyle w:val="Obsah3"/>
        <w:rPr>
          <w:rFonts w:asciiTheme="minorHAnsi" w:eastAsiaTheme="minorEastAsia" w:hAnsiTheme="minorHAnsi" w:cstheme="minorBidi"/>
          <w:noProof/>
          <w:sz w:val="22"/>
          <w:szCs w:val="22"/>
        </w:rPr>
      </w:pPr>
      <w:hyperlink w:anchor="_Toc466914521" w:history="1">
        <w:r w:rsidR="007A65D5" w:rsidRPr="00C350D4">
          <w:rPr>
            <w:rStyle w:val="Hypertextovprepojenie"/>
            <w:rFonts w:cs="Arial"/>
            <w:noProof/>
          </w:rPr>
          <w:t>2.7.1 Monitorovanie</w:t>
        </w:r>
        <w:r w:rsidR="007A65D5">
          <w:rPr>
            <w:noProof/>
            <w:webHidden/>
          </w:rPr>
          <w:tab/>
        </w:r>
        <w:r w:rsidR="007A65D5">
          <w:rPr>
            <w:noProof/>
            <w:webHidden/>
          </w:rPr>
          <w:fldChar w:fldCharType="begin"/>
        </w:r>
        <w:r w:rsidR="007A65D5">
          <w:rPr>
            <w:noProof/>
            <w:webHidden/>
          </w:rPr>
          <w:instrText xml:space="preserve"> PAGEREF _Toc466914521 \h </w:instrText>
        </w:r>
        <w:r w:rsidR="007A65D5">
          <w:rPr>
            <w:noProof/>
            <w:webHidden/>
          </w:rPr>
        </w:r>
        <w:r w:rsidR="007A65D5">
          <w:rPr>
            <w:noProof/>
            <w:webHidden/>
          </w:rPr>
          <w:fldChar w:fldCharType="separate"/>
        </w:r>
        <w:r w:rsidR="007A65D5">
          <w:rPr>
            <w:noProof/>
            <w:webHidden/>
          </w:rPr>
          <w:t>58</w:t>
        </w:r>
        <w:r w:rsidR="007A65D5">
          <w:rPr>
            <w:noProof/>
            <w:webHidden/>
          </w:rPr>
          <w:fldChar w:fldCharType="end"/>
        </w:r>
      </w:hyperlink>
    </w:p>
    <w:p w14:paraId="7105DD73" w14:textId="77777777" w:rsidR="007A65D5" w:rsidRDefault="00D92FB1">
      <w:pPr>
        <w:pStyle w:val="Obsah3"/>
        <w:rPr>
          <w:rFonts w:asciiTheme="minorHAnsi" w:eastAsiaTheme="minorEastAsia" w:hAnsiTheme="minorHAnsi" w:cstheme="minorBidi"/>
          <w:noProof/>
          <w:sz w:val="22"/>
          <w:szCs w:val="22"/>
        </w:rPr>
      </w:pPr>
      <w:hyperlink w:anchor="_Toc466914522" w:history="1">
        <w:r w:rsidR="007A65D5" w:rsidRPr="00C350D4">
          <w:rPr>
            <w:rStyle w:val="Hypertextovprepojenie"/>
            <w:rFonts w:cs="Arial"/>
            <w:noProof/>
          </w:rPr>
          <w:t>2.7.2 Hodnotenie</w:t>
        </w:r>
        <w:r w:rsidR="007A65D5">
          <w:rPr>
            <w:noProof/>
            <w:webHidden/>
          </w:rPr>
          <w:tab/>
        </w:r>
        <w:r w:rsidR="007A65D5">
          <w:rPr>
            <w:noProof/>
            <w:webHidden/>
          </w:rPr>
          <w:fldChar w:fldCharType="begin"/>
        </w:r>
        <w:r w:rsidR="007A65D5">
          <w:rPr>
            <w:noProof/>
            <w:webHidden/>
          </w:rPr>
          <w:instrText xml:space="preserve"> PAGEREF _Toc466914522 \h </w:instrText>
        </w:r>
        <w:r w:rsidR="007A65D5">
          <w:rPr>
            <w:noProof/>
            <w:webHidden/>
          </w:rPr>
        </w:r>
        <w:r w:rsidR="007A65D5">
          <w:rPr>
            <w:noProof/>
            <w:webHidden/>
          </w:rPr>
          <w:fldChar w:fldCharType="separate"/>
        </w:r>
        <w:r w:rsidR="007A65D5">
          <w:rPr>
            <w:noProof/>
            <w:webHidden/>
          </w:rPr>
          <w:t>62</w:t>
        </w:r>
        <w:r w:rsidR="007A65D5">
          <w:rPr>
            <w:noProof/>
            <w:webHidden/>
          </w:rPr>
          <w:fldChar w:fldCharType="end"/>
        </w:r>
      </w:hyperlink>
    </w:p>
    <w:p w14:paraId="090D6A4F" w14:textId="77777777" w:rsidR="007A65D5" w:rsidRDefault="00D92FB1">
      <w:pPr>
        <w:pStyle w:val="Obsah2"/>
        <w:rPr>
          <w:rFonts w:asciiTheme="minorHAnsi" w:eastAsiaTheme="minorEastAsia" w:hAnsiTheme="minorHAnsi" w:cstheme="minorBidi"/>
          <w:b w:val="0"/>
          <w:bCs w:val="0"/>
          <w:noProof/>
          <w:sz w:val="22"/>
          <w:szCs w:val="22"/>
        </w:rPr>
      </w:pPr>
      <w:hyperlink w:anchor="_Toc466914523" w:history="1">
        <w:r w:rsidR="007A65D5" w:rsidRPr="00C350D4">
          <w:rPr>
            <w:rStyle w:val="Hypertextovprepojenie"/>
            <w:rFonts w:cs="Arial"/>
            <w:noProof/>
          </w:rPr>
          <w:t>2.8 Národná výkonnostná rezerva</w:t>
        </w:r>
        <w:r w:rsidR="007A65D5">
          <w:rPr>
            <w:noProof/>
            <w:webHidden/>
          </w:rPr>
          <w:tab/>
        </w:r>
        <w:r w:rsidR="007A65D5">
          <w:rPr>
            <w:noProof/>
            <w:webHidden/>
          </w:rPr>
          <w:fldChar w:fldCharType="begin"/>
        </w:r>
        <w:r w:rsidR="007A65D5">
          <w:rPr>
            <w:noProof/>
            <w:webHidden/>
          </w:rPr>
          <w:instrText xml:space="preserve"> PAGEREF _Toc466914523 \h </w:instrText>
        </w:r>
        <w:r w:rsidR="007A65D5">
          <w:rPr>
            <w:noProof/>
            <w:webHidden/>
          </w:rPr>
        </w:r>
        <w:r w:rsidR="007A65D5">
          <w:rPr>
            <w:noProof/>
            <w:webHidden/>
          </w:rPr>
          <w:fldChar w:fldCharType="separate"/>
        </w:r>
        <w:r w:rsidR="007A65D5">
          <w:rPr>
            <w:noProof/>
            <w:webHidden/>
          </w:rPr>
          <w:t>67</w:t>
        </w:r>
        <w:r w:rsidR="007A65D5">
          <w:rPr>
            <w:noProof/>
            <w:webHidden/>
          </w:rPr>
          <w:fldChar w:fldCharType="end"/>
        </w:r>
      </w:hyperlink>
    </w:p>
    <w:p w14:paraId="62B410F8" w14:textId="77777777" w:rsidR="007A65D5" w:rsidRDefault="00D92FB1">
      <w:pPr>
        <w:pStyle w:val="Obsah2"/>
        <w:rPr>
          <w:rFonts w:asciiTheme="minorHAnsi" w:eastAsiaTheme="minorEastAsia" w:hAnsiTheme="minorHAnsi" w:cstheme="minorBidi"/>
          <w:b w:val="0"/>
          <w:bCs w:val="0"/>
          <w:noProof/>
          <w:sz w:val="22"/>
          <w:szCs w:val="22"/>
        </w:rPr>
      </w:pPr>
      <w:hyperlink w:anchor="_Toc466914524" w:history="1">
        <w:r w:rsidR="007A65D5" w:rsidRPr="00C350D4">
          <w:rPr>
            <w:rStyle w:val="Hypertextovprepojenie"/>
            <w:rFonts w:cs="Arial"/>
            <w:noProof/>
          </w:rPr>
          <w:t>2.9 Administratívne kapacity</w:t>
        </w:r>
        <w:r w:rsidR="007A65D5">
          <w:rPr>
            <w:noProof/>
            <w:webHidden/>
          </w:rPr>
          <w:tab/>
        </w:r>
        <w:r w:rsidR="007A65D5">
          <w:rPr>
            <w:noProof/>
            <w:webHidden/>
          </w:rPr>
          <w:fldChar w:fldCharType="begin"/>
        </w:r>
        <w:r w:rsidR="007A65D5">
          <w:rPr>
            <w:noProof/>
            <w:webHidden/>
          </w:rPr>
          <w:instrText xml:space="preserve"> PAGEREF _Toc466914524 \h </w:instrText>
        </w:r>
        <w:r w:rsidR="007A65D5">
          <w:rPr>
            <w:noProof/>
            <w:webHidden/>
          </w:rPr>
        </w:r>
        <w:r w:rsidR="007A65D5">
          <w:rPr>
            <w:noProof/>
            <w:webHidden/>
          </w:rPr>
          <w:fldChar w:fldCharType="separate"/>
        </w:r>
        <w:r w:rsidR="007A65D5">
          <w:rPr>
            <w:noProof/>
            <w:webHidden/>
          </w:rPr>
          <w:t>67</w:t>
        </w:r>
        <w:r w:rsidR="007A65D5">
          <w:rPr>
            <w:noProof/>
            <w:webHidden/>
          </w:rPr>
          <w:fldChar w:fldCharType="end"/>
        </w:r>
      </w:hyperlink>
    </w:p>
    <w:p w14:paraId="30FBE3BE" w14:textId="77777777" w:rsidR="007A65D5" w:rsidRDefault="00D92FB1">
      <w:pPr>
        <w:pStyle w:val="Obsah1"/>
        <w:rPr>
          <w:rFonts w:asciiTheme="minorHAnsi" w:eastAsiaTheme="minorEastAsia" w:hAnsiTheme="minorHAnsi" w:cstheme="minorBidi"/>
          <w:b w:val="0"/>
          <w:bCs w:val="0"/>
          <w:smallCaps w:val="0"/>
          <w:szCs w:val="22"/>
        </w:rPr>
      </w:pPr>
      <w:hyperlink w:anchor="_Toc466914525" w:history="1">
        <w:r w:rsidR="007A65D5" w:rsidRPr="00C350D4">
          <w:rPr>
            <w:rStyle w:val="Hypertextovprepojenie"/>
          </w:rPr>
          <w:t>3. Realizácia podľa prioritných osí</w:t>
        </w:r>
        <w:r w:rsidR="007A65D5">
          <w:rPr>
            <w:webHidden/>
          </w:rPr>
          <w:tab/>
        </w:r>
        <w:r w:rsidR="007A65D5">
          <w:rPr>
            <w:webHidden/>
          </w:rPr>
          <w:fldChar w:fldCharType="begin"/>
        </w:r>
        <w:r w:rsidR="007A65D5">
          <w:rPr>
            <w:webHidden/>
          </w:rPr>
          <w:instrText xml:space="preserve"> PAGEREF _Toc466914525 \h </w:instrText>
        </w:r>
        <w:r w:rsidR="007A65D5">
          <w:rPr>
            <w:webHidden/>
          </w:rPr>
        </w:r>
        <w:r w:rsidR="007A65D5">
          <w:rPr>
            <w:webHidden/>
          </w:rPr>
          <w:fldChar w:fldCharType="separate"/>
        </w:r>
        <w:r w:rsidR="007A65D5">
          <w:rPr>
            <w:webHidden/>
          </w:rPr>
          <w:t>72</w:t>
        </w:r>
        <w:r w:rsidR="007A65D5">
          <w:rPr>
            <w:webHidden/>
          </w:rPr>
          <w:fldChar w:fldCharType="end"/>
        </w:r>
      </w:hyperlink>
    </w:p>
    <w:p w14:paraId="4A5CCE35" w14:textId="77777777" w:rsidR="007A65D5" w:rsidRDefault="00D92FB1">
      <w:pPr>
        <w:pStyle w:val="Obsah2"/>
        <w:rPr>
          <w:rFonts w:asciiTheme="minorHAnsi" w:eastAsiaTheme="minorEastAsia" w:hAnsiTheme="minorHAnsi" w:cstheme="minorBidi"/>
          <w:b w:val="0"/>
          <w:bCs w:val="0"/>
          <w:noProof/>
          <w:sz w:val="22"/>
          <w:szCs w:val="22"/>
        </w:rPr>
      </w:pPr>
      <w:hyperlink w:anchor="_Toc466914526" w:history="1">
        <w:r w:rsidR="007A65D5" w:rsidRPr="00C350D4">
          <w:rPr>
            <w:rStyle w:val="Hypertextovprepojenie"/>
            <w:rFonts w:cs="Arial"/>
            <w:noProof/>
          </w:rPr>
          <w:t>3.1. Prioritná os 1 Integrovaná ochrana a racionálne využívanie vôd</w:t>
        </w:r>
        <w:r w:rsidR="007A65D5">
          <w:rPr>
            <w:noProof/>
            <w:webHidden/>
          </w:rPr>
          <w:tab/>
        </w:r>
        <w:r w:rsidR="007A65D5">
          <w:rPr>
            <w:noProof/>
            <w:webHidden/>
          </w:rPr>
          <w:fldChar w:fldCharType="begin"/>
        </w:r>
        <w:r w:rsidR="007A65D5">
          <w:rPr>
            <w:noProof/>
            <w:webHidden/>
          </w:rPr>
          <w:instrText xml:space="preserve"> PAGEREF _Toc466914526 \h </w:instrText>
        </w:r>
        <w:r w:rsidR="007A65D5">
          <w:rPr>
            <w:noProof/>
            <w:webHidden/>
          </w:rPr>
        </w:r>
        <w:r w:rsidR="007A65D5">
          <w:rPr>
            <w:noProof/>
            <w:webHidden/>
          </w:rPr>
          <w:fldChar w:fldCharType="separate"/>
        </w:r>
        <w:r w:rsidR="007A65D5">
          <w:rPr>
            <w:noProof/>
            <w:webHidden/>
          </w:rPr>
          <w:t>72</w:t>
        </w:r>
        <w:r w:rsidR="007A65D5">
          <w:rPr>
            <w:noProof/>
            <w:webHidden/>
          </w:rPr>
          <w:fldChar w:fldCharType="end"/>
        </w:r>
      </w:hyperlink>
    </w:p>
    <w:p w14:paraId="655FAD74" w14:textId="77777777" w:rsidR="007A65D5" w:rsidRDefault="00D92FB1">
      <w:pPr>
        <w:pStyle w:val="Obsah3"/>
        <w:rPr>
          <w:rFonts w:asciiTheme="minorHAnsi" w:eastAsiaTheme="minorEastAsia" w:hAnsiTheme="minorHAnsi" w:cstheme="minorBidi"/>
          <w:noProof/>
          <w:sz w:val="22"/>
          <w:szCs w:val="22"/>
        </w:rPr>
      </w:pPr>
      <w:hyperlink w:anchor="_Toc466914527" w:history="1">
        <w:r w:rsidR="007A65D5" w:rsidRPr="00C350D4">
          <w:rPr>
            <w:rStyle w:val="Hypertextovprepojenie"/>
            <w:rFonts w:cs="Arial"/>
            <w:noProof/>
          </w:rPr>
          <w:t>3.1.1 Dosiahnutie cieľov a analýza dosiahnutého pokroku</w:t>
        </w:r>
        <w:r w:rsidR="007A65D5">
          <w:rPr>
            <w:noProof/>
            <w:webHidden/>
          </w:rPr>
          <w:tab/>
        </w:r>
        <w:r w:rsidR="007A65D5">
          <w:rPr>
            <w:noProof/>
            <w:webHidden/>
          </w:rPr>
          <w:fldChar w:fldCharType="begin"/>
        </w:r>
        <w:r w:rsidR="007A65D5">
          <w:rPr>
            <w:noProof/>
            <w:webHidden/>
          </w:rPr>
          <w:instrText xml:space="preserve"> PAGEREF _Toc466914527 \h </w:instrText>
        </w:r>
        <w:r w:rsidR="007A65D5">
          <w:rPr>
            <w:noProof/>
            <w:webHidden/>
          </w:rPr>
        </w:r>
        <w:r w:rsidR="007A65D5">
          <w:rPr>
            <w:noProof/>
            <w:webHidden/>
          </w:rPr>
          <w:fldChar w:fldCharType="separate"/>
        </w:r>
        <w:r w:rsidR="007A65D5">
          <w:rPr>
            <w:noProof/>
            <w:webHidden/>
          </w:rPr>
          <w:t>72</w:t>
        </w:r>
        <w:r w:rsidR="007A65D5">
          <w:rPr>
            <w:noProof/>
            <w:webHidden/>
          </w:rPr>
          <w:fldChar w:fldCharType="end"/>
        </w:r>
      </w:hyperlink>
    </w:p>
    <w:p w14:paraId="228E320E" w14:textId="77777777" w:rsidR="007A65D5" w:rsidRDefault="00D92FB1">
      <w:pPr>
        <w:pStyle w:val="Obsah3"/>
        <w:rPr>
          <w:rFonts w:asciiTheme="minorHAnsi" w:eastAsiaTheme="minorEastAsia" w:hAnsiTheme="minorHAnsi" w:cstheme="minorBidi"/>
          <w:noProof/>
          <w:sz w:val="22"/>
          <w:szCs w:val="22"/>
        </w:rPr>
      </w:pPr>
      <w:hyperlink w:anchor="_Toc466914528" w:history="1">
        <w:r w:rsidR="007A65D5" w:rsidRPr="00C350D4">
          <w:rPr>
            <w:rStyle w:val="Hypertextovprepojenie"/>
            <w:rFonts w:cs="Arial"/>
            <w:noProof/>
          </w:rPr>
          <w:t>3.1.2 Závažné problémy, ktoré sa vyskytli, a opatrenia prijaté na ich odstránenie</w:t>
        </w:r>
        <w:r w:rsidR="007A65D5">
          <w:rPr>
            <w:noProof/>
            <w:webHidden/>
          </w:rPr>
          <w:tab/>
        </w:r>
        <w:r w:rsidR="007A65D5">
          <w:rPr>
            <w:noProof/>
            <w:webHidden/>
          </w:rPr>
          <w:fldChar w:fldCharType="begin"/>
        </w:r>
        <w:r w:rsidR="007A65D5">
          <w:rPr>
            <w:noProof/>
            <w:webHidden/>
          </w:rPr>
          <w:instrText xml:space="preserve"> PAGEREF _Toc466914528 \h </w:instrText>
        </w:r>
        <w:r w:rsidR="007A65D5">
          <w:rPr>
            <w:noProof/>
            <w:webHidden/>
          </w:rPr>
        </w:r>
        <w:r w:rsidR="007A65D5">
          <w:rPr>
            <w:noProof/>
            <w:webHidden/>
          </w:rPr>
          <w:fldChar w:fldCharType="separate"/>
        </w:r>
        <w:r w:rsidR="007A65D5">
          <w:rPr>
            <w:noProof/>
            <w:webHidden/>
          </w:rPr>
          <w:t>75</w:t>
        </w:r>
        <w:r w:rsidR="007A65D5">
          <w:rPr>
            <w:noProof/>
            <w:webHidden/>
          </w:rPr>
          <w:fldChar w:fldCharType="end"/>
        </w:r>
      </w:hyperlink>
    </w:p>
    <w:p w14:paraId="442300AD" w14:textId="77777777" w:rsidR="007A65D5" w:rsidRDefault="00D92FB1">
      <w:pPr>
        <w:pStyle w:val="Obsah2"/>
        <w:rPr>
          <w:rFonts w:asciiTheme="minorHAnsi" w:eastAsiaTheme="minorEastAsia" w:hAnsiTheme="minorHAnsi" w:cstheme="minorBidi"/>
          <w:b w:val="0"/>
          <w:bCs w:val="0"/>
          <w:noProof/>
          <w:sz w:val="22"/>
          <w:szCs w:val="22"/>
        </w:rPr>
      </w:pPr>
      <w:hyperlink w:anchor="_Toc466914529" w:history="1">
        <w:r w:rsidR="007A65D5" w:rsidRPr="00C350D4">
          <w:rPr>
            <w:rStyle w:val="Hypertextovprepojenie"/>
            <w:rFonts w:cs="Arial"/>
            <w:noProof/>
          </w:rPr>
          <w:t>3.2. Prioritná os 2 Ochrana pred povodňami</w:t>
        </w:r>
        <w:r w:rsidR="007A65D5">
          <w:rPr>
            <w:noProof/>
            <w:webHidden/>
          </w:rPr>
          <w:tab/>
        </w:r>
        <w:r w:rsidR="007A65D5">
          <w:rPr>
            <w:noProof/>
            <w:webHidden/>
          </w:rPr>
          <w:fldChar w:fldCharType="begin"/>
        </w:r>
        <w:r w:rsidR="007A65D5">
          <w:rPr>
            <w:noProof/>
            <w:webHidden/>
          </w:rPr>
          <w:instrText xml:space="preserve"> PAGEREF _Toc466914529 \h </w:instrText>
        </w:r>
        <w:r w:rsidR="007A65D5">
          <w:rPr>
            <w:noProof/>
            <w:webHidden/>
          </w:rPr>
        </w:r>
        <w:r w:rsidR="007A65D5">
          <w:rPr>
            <w:noProof/>
            <w:webHidden/>
          </w:rPr>
          <w:fldChar w:fldCharType="separate"/>
        </w:r>
        <w:r w:rsidR="007A65D5">
          <w:rPr>
            <w:noProof/>
            <w:webHidden/>
          </w:rPr>
          <w:t>78</w:t>
        </w:r>
        <w:r w:rsidR="007A65D5">
          <w:rPr>
            <w:noProof/>
            <w:webHidden/>
          </w:rPr>
          <w:fldChar w:fldCharType="end"/>
        </w:r>
      </w:hyperlink>
    </w:p>
    <w:p w14:paraId="0DDDD287" w14:textId="77777777" w:rsidR="007A65D5" w:rsidRDefault="00D92FB1">
      <w:pPr>
        <w:pStyle w:val="Obsah3"/>
        <w:rPr>
          <w:rFonts w:asciiTheme="minorHAnsi" w:eastAsiaTheme="minorEastAsia" w:hAnsiTheme="minorHAnsi" w:cstheme="minorBidi"/>
          <w:noProof/>
          <w:sz w:val="22"/>
          <w:szCs w:val="22"/>
        </w:rPr>
      </w:pPr>
      <w:hyperlink w:anchor="_Toc466914530" w:history="1">
        <w:r w:rsidR="007A65D5" w:rsidRPr="00C350D4">
          <w:rPr>
            <w:rStyle w:val="Hypertextovprepojenie"/>
            <w:rFonts w:cs="Arial"/>
            <w:noProof/>
          </w:rPr>
          <w:t>3.2.1 Dosiahnutie cieľov a analýza dosiahnutého pokroku</w:t>
        </w:r>
        <w:r w:rsidR="007A65D5">
          <w:rPr>
            <w:noProof/>
            <w:webHidden/>
          </w:rPr>
          <w:tab/>
        </w:r>
        <w:r w:rsidR="007A65D5">
          <w:rPr>
            <w:noProof/>
            <w:webHidden/>
          </w:rPr>
          <w:fldChar w:fldCharType="begin"/>
        </w:r>
        <w:r w:rsidR="007A65D5">
          <w:rPr>
            <w:noProof/>
            <w:webHidden/>
          </w:rPr>
          <w:instrText xml:space="preserve"> PAGEREF _Toc466914530 \h </w:instrText>
        </w:r>
        <w:r w:rsidR="007A65D5">
          <w:rPr>
            <w:noProof/>
            <w:webHidden/>
          </w:rPr>
        </w:r>
        <w:r w:rsidR="007A65D5">
          <w:rPr>
            <w:noProof/>
            <w:webHidden/>
          </w:rPr>
          <w:fldChar w:fldCharType="separate"/>
        </w:r>
        <w:r w:rsidR="007A65D5">
          <w:rPr>
            <w:noProof/>
            <w:webHidden/>
          </w:rPr>
          <w:t>78</w:t>
        </w:r>
        <w:r w:rsidR="007A65D5">
          <w:rPr>
            <w:noProof/>
            <w:webHidden/>
          </w:rPr>
          <w:fldChar w:fldCharType="end"/>
        </w:r>
      </w:hyperlink>
    </w:p>
    <w:p w14:paraId="11E24B2E" w14:textId="77777777" w:rsidR="007A65D5" w:rsidRDefault="00D92FB1">
      <w:pPr>
        <w:pStyle w:val="Obsah3"/>
        <w:rPr>
          <w:rFonts w:asciiTheme="minorHAnsi" w:eastAsiaTheme="minorEastAsia" w:hAnsiTheme="minorHAnsi" w:cstheme="minorBidi"/>
          <w:noProof/>
          <w:sz w:val="22"/>
          <w:szCs w:val="22"/>
        </w:rPr>
      </w:pPr>
      <w:hyperlink w:anchor="_Toc466914531" w:history="1">
        <w:r w:rsidR="007A65D5" w:rsidRPr="00C350D4">
          <w:rPr>
            <w:rStyle w:val="Hypertextovprepojenie"/>
            <w:rFonts w:cs="Arial"/>
            <w:noProof/>
          </w:rPr>
          <w:t>3.2.2 Závažné problémy, ktoré sa vyskytli, a opatrenia prijaté na ich odstránenie</w:t>
        </w:r>
        <w:r w:rsidR="007A65D5">
          <w:rPr>
            <w:noProof/>
            <w:webHidden/>
          </w:rPr>
          <w:tab/>
        </w:r>
        <w:r w:rsidR="007A65D5">
          <w:rPr>
            <w:noProof/>
            <w:webHidden/>
          </w:rPr>
          <w:fldChar w:fldCharType="begin"/>
        </w:r>
        <w:r w:rsidR="007A65D5">
          <w:rPr>
            <w:noProof/>
            <w:webHidden/>
          </w:rPr>
          <w:instrText xml:space="preserve"> PAGEREF _Toc466914531 \h </w:instrText>
        </w:r>
        <w:r w:rsidR="007A65D5">
          <w:rPr>
            <w:noProof/>
            <w:webHidden/>
          </w:rPr>
        </w:r>
        <w:r w:rsidR="007A65D5">
          <w:rPr>
            <w:noProof/>
            <w:webHidden/>
          </w:rPr>
          <w:fldChar w:fldCharType="separate"/>
        </w:r>
        <w:r w:rsidR="007A65D5">
          <w:rPr>
            <w:noProof/>
            <w:webHidden/>
          </w:rPr>
          <w:t>80</w:t>
        </w:r>
        <w:r w:rsidR="007A65D5">
          <w:rPr>
            <w:noProof/>
            <w:webHidden/>
          </w:rPr>
          <w:fldChar w:fldCharType="end"/>
        </w:r>
      </w:hyperlink>
    </w:p>
    <w:p w14:paraId="316AD7CA" w14:textId="77777777" w:rsidR="007A65D5" w:rsidRDefault="00D92FB1">
      <w:pPr>
        <w:pStyle w:val="Obsah2"/>
        <w:rPr>
          <w:rFonts w:asciiTheme="minorHAnsi" w:eastAsiaTheme="minorEastAsia" w:hAnsiTheme="minorHAnsi" w:cstheme="minorBidi"/>
          <w:b w:val="0"/>
          <w:bCs w:val="0"/>
          <w:noProof/>
          <w:sz w:val="22"/>
          <w:szCs w:val="22"/>
        </w:rPr>
      </w:pPr>
      <w:hyperlink w:anchor="_Toc466914532" w:history="1">
        <w:r w:rsidR="007A65D5" w:rsidRPr="00C350D4">
          <w:rPr>
            <w:rStyle w:val="Hypertextovprepojenie"/>
            <w:rFonts w:cs="Arial"/>
            <w:noProof/>
          </w:rPr>
          <w:t>3.3. Prioritná os 3 Ochrana ovzdušia a minimalizácia nepriaznivých vplyvov zmeny klímy</w:t>
        </w:r>
        <w:r w:rsidR="007A65D5">
          <w:rPr>
            <w:noProof/>
            <w:webHidden/>
          </w:rPr>
          <w:tab/>
        </w:r>
        <w:r w:rsidR="007A65D5">
          <w:rPr>
            <w:noProof/>
            <w:webHidden/>
          </w:rPr>
          <w:fldChar w:fldCharType="begin"/>
        </w:r>
        <w:r w:rsidR="007A65D5">
          <w:rPr>
            <w:noProof/>
            <w:webHidden/>
          </w:rPr>
          <w:instrText xml:space="preserve"> PAGEREF _Toc466914532 \h </w:instrText>
        </w:r>
        <w:r w:rsidR="007A65D5">
          <w:rPr>
            <w:noProof/>
            <w:webHidden/>
          </w:rPr>
        </w:r>
        <w:r w:rsidR="007A65D5">
          <w:rPr>
            <w:noProof/>
            <w:webHidden/>
          </w:rPr>
          <w:fldChar w:fldCharType="separate"/>
        </w:r>
        <w:r w:rsidR="007A65D5">
          <w:rPr>
            <w:noProof/>
            <w:webHidden/>
          </w:rPr>
          <w:t>82</w:t>
        </w:r>
        <w:r w:rsidR="007A65D5">
          <w:rPr>
            <w:noProof/>
            <w:webHidden/>
          </w:rPr>
          <w:fldChar w:fldCharType="end"/>
        </w:r>
      </w:hyperlink>
    </w:p>
    <w:p w14:paraId="6AE51D13" w14:textId="77777777" w:rsidR="007A65D5" w:rsidRDefault="00D92FB1">
      <w:pPr>
        <w:pStyle w:val="Obsah3"/>
        <w:rPr>
          <w:rFonts w:asciiTheme="minorHAnsi" w:eastAsiaTheme="minorEastAsia" w:hAnsiTheme="minorHAnsi" w:cstheme="minorBidi"/>
          <w:noProof/>
          <w:sz w:val="22"/>
          <w:szCs w:val="22"/>
        </w:rPr>
      </w:pPr>
      <w:hyperlink w:anchor="_Toc466914533" w:history="1">
        <w:r w:rsidR="007A65D5" w:rsidRPr="00C350D4">
          <w:rPr>
            <w:rStyle w:val="Hypertextovprepojenie"/>
            <w:rFonts w:cs="Arial"/>
            <w:noProof/>
          </w:rPr>
          <w:t>3.3.1 Dosiahnutie cieľov a analýza dosiahnutého pokroku</w:t>
        </w:r>
        <w:r w:rsidR="007A65D5">
          <w:rPr>
            <w:noProof/>
            <w:webHidden/>
          </w:rPr>
          <w:tab/>
        </w:r>
        <w:r w:rsidR="007A65D5">
          <w:rPr>
            <w:noProof/>
            <w:webHidden/>
          </w:rPr>
          <w:fldChar w:fldCharType="begin"/>
        </w:r>
        <w:r w:rsidR="007A65D5">
          <w:rPr>
            <w:noProof/>
            <w:webHidden/>
          </w:rPr>
          <w:instrText xml:space="preserve"> PAGEREF _Toc466914533 \h </w:instrText>
        </w:r>
        <w:r w:rsidR="007A65D5">
          <w:rPr>
            <w:noProof/>
            <w:webHidden/>
          </w:rPr>
        </w:r>
        <w:r w:rsidR="007A65D5">
          <w:rPr>
            <w:noProof/>
            <w:webHidden/>
          </w:rPr>
          <w:fldChar w:fldCharType="separate"/>
        </w:r>
        <w:r w:rsidR="007A65D5">
          <w:rPr>
            <w:noProof/>
            <w:webHidden/>
          </w:rPr>
          <w:t>82</w:t>
        </w:r>
        <w:r w:rsidR="007A65D5">
          <w:rPr>
            <w:noProof/>
            <w:webHidden/>
          </w:rPr>
          <w:fldChar w:fldCharType="end"/>
        </w:r>
      </w:hyperlink>
    </w:p>
    <w:p w14:paraId="729940AF" w14:textId="77777777" w:rsidR="007A65D5" w:rsidRDefault="00D92FB1">
      <w:pPr>
        <w:pStyle w:val="Obsah3"/>
        <w:rPr>
          <w:rFonts w:asciiTheme="minorHAnsi" w:eastAsiaTheme="minorEastAsia" w:hAnsiTheme="minorHAnsi" w:cstheme="minorBidi"/>
          <w:noProof/>
          <w:sz w:val="22"/>
          <w:szCs w:val="22"/>
        </w:rPr>
      </w:pPr>
      <w:hyperlink w:anchor="_Toc466914534" w:history="1">
        <w:r w:rsidR="007A65D5" w:rsidRPr="00C350D4">
          <w:rPr>
            <w:rStyle w:val="Hypertextovprepojenie"/>
            <w:rFonts w:cs="Arial"/>
            <w:noProof/>
          </w:rPr>
          <w:t>3.3.2 Závažné problémy, ktoré sa vyskytli, a opatrenia prijaté na ich odstránenie</w:t>
        </w:r>
        <w:r w:rsidR="007A65D5">
          <w:rPr>
            <w:noProof/>
            <w:webHidden/>
          </w:rPr>
          <w:tab/>
        </w:r>
        <w:r w:rsidR="007A65D5">
          <w:rPr>
            <w:noProof/>
            <w:webHidden/>
          </w:rPr>
          <w:fldChar w:fldCharType="begin"/>
        </w:r>
        <w:r w:rsidR="007A65D5">
          <w:rPr>
            <w:noProof/>
            <w:webHidden/>
          </w:rPr>
          <w:instrText xml:space="preserve"> PAGEREF _Toc466914534 \h </w:instrText>
        </w:r>
        <w:r w:rsidR="007A65D5">
          <w:rPr>
            <w:noProof/>
            <w:webHidden/>
          </w:rPr>
        </w:r>
        <w:r w:rsidR="007A65D5">
          <w:rPr>
            <w:noProof/>
            <w:webHidden/>
          </w:rPr>
          <w:fldChar w:fldCharType="separate"/>
        </w:r>
        <w:r w:rsidR="007A65D5">
          <w:rPr>
            <w:noProof/>
            <w:webHidden/>
          </w:rPr>
          <w:t>85</w:t>
        </w:r>
        <w:r w:rsidR="007A65D5">
          <w:rPr>
            <w:noProof/>
            <w:webHidden/>
          </w:rPr>
          <w:fldChar w:fldCharType="end"/>
        </w:r>
      </w:hyperlink>
    </w:p>
    <w:p w14:paraId="7C53713B" w14:textId="77777777" w:rsidR="007A65D5" w:rsidRDefault="00D92FB1">
      <w:pPr>
        <w:pStyle w:val="Obsah2"/>
        <w:rPr>
          <w:rFonts w:asciiTheme="minorHAnsi" w:eastAsiaTheme="minorEastAsia" w:hAnsiTheme="minorHAnsi" w:cstheme="minorBidi"/>
          <w:b w:val="0"/>
          <w:bCs w:val="0"/>
          <w:noProof/>
          <w:sz w:val="22"/>
          <w:szCs w:val="22"/>
        </w:rPr>
      </w:pPr>
      <w:hyperlink w:anchor="_Toc466914535" w:history="1">
        <w:r w:rsidR="007A65D5" w:rsidRPr="00C350D4">
          <w:rPr>
            <w:rStyle w:val="Hypertextovprepojenie"/>
            <w:rFonts w:cs="Arial"/>
            <w:noProof/>
          </w:rPr>
          <w:t>3.4. Prioritná os 4 Odpadové hospodárstvo</w:t>
        </w:r>
        <w:r w:rsidR="007A65D5">
          <w:rPr>
            <w:noProof/>
            <w:webHidden/>
          </w:rPr>
          <w:tab/>
        </w:r>
        <w:r w:rsidR="007A65D5">
          <w:rPr>
            <w:noProof/>
            <w:webHidden/>
          </w:rPr>
          <w:fldChar w:fldCharType="begin"/>
        </w:r>
        <w:r w:rsidR="007A65D5">
          <w:rPr>
            <w:noProof/>
            <w:webHidden/>
          </w:rPr>
          <w:instrText xml:space="preserve"> PAGEREF _Toc466914535 \h </w:instrText>
        </w:r>
        <w:r w:rsidR="007A65D5">
          <w:rPr>
            <w:noProof/>
            <w:webHidden/>
          </w:rPr>
        </w:r>
        <w:r w:rsidR="007A65D5">
          <w:rPr>
            <w:noProof/>
            <w:webHidden/>
          </w:rPr>
          <w:fldChar w:fldCharType="separate"/>
        </w:r>
        <w:r w:rsidR="007A65D5">
          <w:rPr>
            <w:noProof/>
            <w:webHidden/>
          </w:rPr>
          <w:t>88</w:t>
        </w:r>
        <w:r w:rsidR="007A65D5">
          <w:rPr>
            <w:noProof/>
            <w:webHidden/>
          </w:rPr>
          <w:fldChar w:fldCharType="end"/>
        </w:r>
      </w:hyperlink>
    </w:p>
    <w:p w14:paraId="282BE7C9" w14:textId="77777777" w:rsidR="007A65D5" w:rsidRDefault="00D92FB1">
      <w:pPr>
        <w:pStyle w:val="Obsah3"/>
        <w:rPr>
          <w:rFonts w:asciiTheme="minorHAnsi" w:eastAsiaTheme="minorEastAsia" w:hAnsiTheme="minorHAnsi" w:cstheme="minorBidi"/>
          <w:noProof/>
          <w:sz w:val="22"/>
          <w:szCs w:val="22"/>
        </w:rPr>
      </w:pPr>
      <w:hyperlink w:anchor="_Toc466914536" w:history="1">
        <w:r w:rsidR="007A65D5" w:rsidRPr="00C350D4">
          <w:rPr>
            <w:rStyle w:val="Hypertextovprepojenie"/>
            <w:rFonts w:cs="Arial"/>
            <w:noProof/>
          </w:rPr>
          <w:t>3.4.1 Dosiahnutie cieľov a analýza dosiahnutého pokroku</w:t>
        </w:r>
        <w:r w:rsidR="007A65D5">
          <w:rPr>
            <w:noProof/>
            <w:webHidden/>
          </w:rPr>
          <w:tab/>
        </w:r>
        <w:r w:rsidR="007A65D5">
          <w:rPr>
            <w:noProof/>
            <w:webHidden/>
          </w:rPr>
          <w:fldChar w:fldCharType="begin"/>
        </w:r>
        <w:r w:rsidR="007A65D5">
          <w:rPr>
            <w:noProof/>
            <w:webHidden/>
          </w:rPr>
          <w:instrText xml:space="preserve"> PAGEREF _Toc466914536 \h </w:instrText>
        </w:r>
        <w:r w:rsidR="007A65D5">
          <w:rPr>
            <w:noProof/>
            <w:webHidden/>
          </w:rPr>
        </w:r>
        <w:r w:rsidR="007A65D5">
          <w:rPr>
            <w:noProof/>
            <w:webHidden/>
          </w:rPr>
          <w:fldChar w:fldCharType="separate"/>
        </w:r>
        <w:r w:rsidR="007A65D5">
          <w:rPr>
            <w:noProof/>
            <w:webHidden/>
          </w:rPr>
          <w:t>88</w:t>
        </w:r>
        <w:r w:rsidR="007A65D5">
          <w:rPr>
            <w:noProof/>
            <w:webHidden/>
          </w:rPr>
          <w:fldChar w:fldCharType="end"/>
        </w:r>
      </w:hyperlink>
    </w:p>
    <w:p w14:paraId="3767CD88" w14:textId="77777777" w:rsidR="007A65D5" w:rsidRDefault="00D92FB1">
      <w:pPr>
        <w:pStyle w:val="Obsah3"/>
        <w:rPr>
          <w:rFonts w:asciiTheme="minorHAnsi" w:eastAsiaTheme="minorEastAsia" w:hAnsiTheme="minorHAnsi" w:cstheme="minorBidi"/>
          <w:noProof/>
          <w:sz w:val="22"/>
          <w:szCs w:val="22"/>
        </w:rPr>
      </w:pPr>
      <w:hyperlink w:anchor="_Toc466914537" w:history="1">
        <w:r w:rsidR="007A65D5" w:rsidRPr="00C350D4">
          <w:rPr>
            <w:rStyle w:val="Hypertextovprepojenie"/>
            <w:rFonts w:cs="Arial"/>
            <w:noProof/>
          </w:rPr>
          <w:t>3.4.2 Závažné problémy, ktoré sa vyskytli, a opatrenia prijaté na ich odstránenie</w:t>
        </w:r>
        <w:r w:rsidR="007A65D5">
          <w:rPr>
            <w:noProof/>
            <w:webHidden/>
          </w:rPr>
          <w:tab/>
        </w:r>
        <w:r w:rsidR="007A65D5">
          <w:rPr>
            <w:noProof/>
            <w:webHidden/>
          </w:rPr>
          <w:fldChar w:fldCharType="begin"/>
        </w:r>
        <w:r w:rsidR="007A65D5">
          <w:rPr>
            <w:noProof/>
            <w:webHidden/>
          </w:rPr>
          <w:instrText xml:space="preserve"> PAGEREF _Toc466914537 \h </w:instrText>
        </w:r>
        <w:r w:rsidR="007A65D5">
          <w:rPr>
            <w:noProof/>
            <w:webHidden/>
          </w:rPr>
        </w:r>
        <w:r w:rsidR="007A65D5">
          <w:rPr>
            <w:noProof/>
            <w:webHidden/>
          </w:rPr>
          <w:fldChar w:fldCharType="separate"/>
        </w:r>
        <w:r w:rsidR="007A65D5">
          <w:rPr>
            <w:noProof/>
            <w:webHidden/>
          </w:rPr>
          <w:t>91</w:t>
        </w:r>
        <w:r w:rsidR="007A65D5">
          <w:rPr>
            <w:noProof/>
            <w:webHidden/>
          </w:rPr>
          <w:fldChar w:fldCharType="end"/>
        </w:r>
      </w:hyperlink>
    </w:p>
    <w:p w14:paraId="2444A723" w14:textId="77777777" w:rsidR="007A65D5" w:rsidRDefault="00D92FB1">
      <w:pPr>
        <w:pStyle w:val="Obsah2"/>
        <w:rPr>
          <w:rFonts w:asciiTheme="minorHAnsi" w:eastAsiaTheme="minorEastAsia" w:hAnsiTheme="minorHAnsi" w:cstheme="minorBidi"/>
          <w:b w:val="0"/>
          <w:bCs w:val="0"/>
          <w:noProof/>
          <w:sz w:val="22"/>
          <w:szCs w:val="22"/>
        </w:rPr>
      </w:pPr>
      <w:hyperlink w:anchor="_Toc466914538" w:history="1">
        <w:r w:rsidR="007A65D5" w:rsidRPr="00C350D4">
          <w:rPr>
            <w:rStyle w:val="Hypertextovprepojenie"/>
            <w:noProof/>
          </w:rPr>
          <w:t>3.5. Prioritná os 5 Ochrana a regenerácia prírodného prostredia a krajiny</w:t>
        </w:r>
        <w:r w:rsidR="007A65D5">
          <w:rPr>
            <w:noProof/>
            <w:webHidden/>
          </w:rPr>
          <w:tab/>
        </w:r>
        <w:r w:rsidR="007A65D5">
          <w:rPr>
            <w:noProof/>
            <w:webHidden/>
          </w:rPr>
          <w:fldChar w:fldCharType="begin"/>
        </w:r>
        <w:r w:rsidR="007A65D5">
          <w:rPr>
            <w:noProof/>
            <w:webHidden/>
          </w:rPr>
          <w:instrText xml:space="preserve"> PAGEREF _Toc466914538 \h </w:instrText>
        </w:r>
        <w:r w:rsidR="007A65D5">
          <w:rPr>
            <w:noProof/>
            <w:webHidden/>
          </w:rPr>
        </w:r>
        <w:r w:rsidR="007A65D5">
          <w:rPr>
            <w:noProof/>
            <w:webHidden/>
          </w:rPr>
          <w:fldChar w:fldCharType="separate"/>
        </w:r>
        <w:r w:rsidR="007A65D5">
          <w:rPr>
            <w:noProof/>
            <w:webHidden/>
          </w:rPr>
          <w:t>96</w:t>
        </w:r>
        <w:r w:rsidR="007A65D5">
          <w:rPr>
            <w:noProof/>
            <w:webHidden/>
          </w:rPr>
          <w:fldChar w:fldCharType="end"/>
        </w:r>
      </w:hyperlink>
    </w:p>
    <w:p w14:paraId="78CC9D30" w14:textId="77777777" w:rsidR="007A65D5" w:rsidRDefault="00D92FB1">
      <w:pPr>
        <w:pStyle w:val="Obsah3"/>
        <w:rPr>
          <w:rFonts w:asciiTheme="minorHAnsi" w:eastAsiaTheme="minorEastAsia" w:hAnsiTheme="minorHAnsi" w:cstheme="minorBidi"/>
          <w:noProof/>
          <w:sz w:val="22"/>
          <w:szCs w:val="22"/>
        </w:rPr>
      </w:pPr>
      <w:hyperlink w:anchor="_Toc466914539" w:history="1">
        <w:r w:rsidR="007A65D5" w:rsidRPr="00C350D4">
          <w:rPr>
            <w:rStyle w:val="Hypertextovprepojenie"/>
            <w:noProof/>
          </w:rPr>
          <w:t>3.5.1 Dosiahnutie cieľov a analýza dosiahnutého pokroku</w:t>
        </w:r>
        <w:r w:rsidR="007A65D5">
          <w:rPr>
            <w:noProof/>
            <w:webHidden/>
          </w:rPr>
          <w:tab/>
        </w:r>
        <w:r w:rsidR="007A65D5">
          <w:rPr>
            <w:noProof/>
            <w:webHidden/>
          </w:rPr>
          <w:fldChar w:fldCharType="begin"/>
        </w:r>
        <w:r w:rsidR="007A65D5">
          <w:rPr>
            <w:noProof/>
            <w:webHidden/>
          </w:rPr>
          <w:instrText xml:space="preserve"> PAGEREF _Toc466914539 \h </w:instrText>
        </w:r>
        <w:r w:rsidR="007A65D5">
          <w:rPr>
            <w:noProof/>
            <w:webHidden/>
          </w:rPr>
        </w:r>
        <w:r w:rsidR="007A65D5">
          <w:rPr>
            <w:noProof/>
            <w:webHidden/>
          </w:rPr>
          <w:fldChar w:fldCharType="separate"/>
        </w:r>
        <w:r w:rsidR="007A65D5">
          <w:rPr>
            <w:noProof/>
            <w:webHidden/>
          </w:rPr>
          <w:t>96</w:t>
        </w:r>
        <w:r w:rsidR="007A65D5">
          <w:rPr>
            <w:noProof/>
            <w:webHidden/>
          </w:rPr>
          <w:fldChar w:fldCharType="end"/>
        </w:r>
      </w:hyperlink>
    </w:p>
    <w:p w14:paraId="5CB73279" w14:textId="77777777" w:rsidR="007A65D5" w:rsidRDefault="00D92FB1">
      <w:pPr>
        <w:pStyle w:val="Obsah3"/>
        <w:rPr>
          <w:rFonts w:asciiTheme="minorHAnsi" w:eastAsiaTheme="minorEastAsia" w:hAnsiTheme="minorHAnsi" w:cstheme="minorBidi"/>
          <w:noProof/>
          <w:sz w:val="22"/>
          <w:szCs w:val="22"/>
        </w:rPr>
      </w:pPr>
      <w:hyperlink w:anchor="_Toc466914540" w:history="1">
        <w:r w:rsidR="007A65D5" w:rsidRPr="00C350D4">
          <w:rPr>
            <w:rStyle w:val="Hypertextovprepojenie"/>
            <w:noProof/>
          </w:rPr>
          <w:t>3.5.2 Závažné problémy, ktoré sa vyskytli, a opatrenia prijaté na ich odstránenie</w:t>
        </w:r>
        <w:r w:rsidR="007A65D5">
          <w:rPr>
            <w:noProof/>
            <w:webHidden/>
          </w:rPr>
          <w:tab/>
        </w:r>
        <w:r w:rsidR="007A65D5">
          <w:rPr>
            <w:noProof/>
            <w:webHidden/>
          </w:rPr>
          <w:fldChar w:fldCharType="begin"/>
        </w:r>
        <w:r w:rsidR="007A65D5">
          <w:rPr>
            <w:noProof/>
            <w:webHidden/>
          </w:rPr>
          <w:instrText xml:space="preserve"> PAGEREF _Toc466914540 \h </w:instrText>
        </w:r>
        <w:r w:rsidR="007A65D5">
          <w:rPr>
            <w:noProof/>
            <w:webHidden/>
          </w:rPr>
        </w:r>
        <w:r w:rsidR="007A65D5">
          <w:rPr>
            <w:noProof/>
            <w:webHidden/>
          </w:rPr>
          <w:fldChar w:fldCharType="separate"/>
        </w:r>
        <w:r w:rsidR="007A65D5">
          <w:rPr>
            <w:noProof/>
            <w:webHidden/>
          </w:rPr>
          <w:t>98</w:t>
        </w:r>
        <w:r w:rsidR="007A65D5">
          <w:rPr>
            <w:noProof/>
            <w:webHidden/>
          </w:rPr>
          <w:fldChar w:fldCharType="end"/>
        </w:r>
      </w:hyperlink>
    </w:p>
    <w:p w14:paraId="7B18257E" w14:textId="77777777" w:rsidR="007A65D5" w:rsidRDefault="00D92FB1">
      <w:pPr>
        <w:pStyle w:val="Obsah2"/>
        <w:rPr>
          <w:rFonts w:asciiTheme="minorHAnsi" w:eastAsiaTheme="minorEastAsia" w:hAnsiTheme="minorHAnsi" w:cstheme="minorBidi"/>
          <w:b w:val="0"/>
          <w:bCs w:val="0"/>
          <w:noProof/>
          <w:sz w:val="22"/>
          <w:szCs w:val="22"/>
        </w:rPr>
      </w:pPr>
      <w:hyperlink w:anchor="_Toc466914541" w:history="1">
        <w:r w:rsidR="007A65D5" w:rsidRPr="00C350D4">
          <w:rPr>
            <w:rStyle w:val="Hypertextovprepojenie"/>
            <w:rFonts w:ascii="Arial" w:hAnsi="Arial" w:cs="Arial"/>
            <w:iCs/>
            <w:noProof/>
          </w:rPr>
          <w:t>3.6. Prioritná os 6 Technická pomoc</w:t>
        </w:r>
        <w:r w:rsidR="007A65D5">
          <w:rPr>
            <w:noProof/>
            <w:webHidden/>
          </w:rPr>
          <w:tab/>
        </w:r>
        <w:r w:rsidR="007A65D5">
          <w:rPr>
            <w:noProof/>
            <w:webHidden/>
          </w:rPr>
          <w:fldChar w:fldCharType="begin"/>
        </w:r>
        <w:r w:rsidR="007A65D5">
          <w:rPr>
            <w:noProof/>
            <w:webHidden/>
          </w:rPr>
          <w:instrText xml:space="preserve"> PAGEREF _Toc466914541 \h </w:instrText>
        </w:r>
        <w:r w:rsidR="007A65D5">
          <w:rPr>
            <w:noProof/>
            <w:webHidden/>
          </w:rPr>
        </w:r>
        <w:r w:rsidR="007A65D5">
          <w:rPr>
            <w:noProof/>
            <w:webHidden/>
          </w:rPr>
          <w:fldChar w:fldCharType="separate"/>
        </w:r>
        <w:r w:rsidR="007A65D5">
          <w:rPr>
            <w:noProof/>
            <w:webHidden/>
          </w:rPr>
          <w:t>100</w:t>
        </w:r>
        <w:r w:rsidR="007A65D5">
          <w:rPr>
            <w:noProof/>
            <w:webHidden/>
          </w:rPr>
          <w:fldChar w:fldCharType="end"/>
        </w:r>
      </w:hyperlink>
    </w:p>
    <w:p w14:paraId="6863554C" w14:textId="77777777" w:rsidR="007A65D5" w:rsidRDefault="00D92FB1">
      <w:pPr>
        <w:pStyle w:val="Obsah3"/>
        <w:rPr>
          <w:rFonts w:asciiTheme="minorHAnsi" w:eastAsiaTheme="minorEastAsia" w:hAnsiTheme="minorHAnsi" w:cstheme="minorBidi"/>
          <w:noProof/>
          <w:sz w:val="22"/>
          <w:szCs w:val="22"/>
        </w:rPr>
      </w:pPr>
      <w:hyperlink w:anchor="_Toc466914542" w:history="1">
        <w:r w:rsidR="007A65D5" w:rsidRPr="00C350D4">
          <w:rPr>
            <w:rStyle w:val="Hypertextovprepojenie"/>
            <w:noProof/>
          </w:rPr>
          <w:t>3.6.1 Dosiahnutie cieľov a analýza dosiahnutého pokroku</w:t>
        </w:r>
        <w:r w:rsidR="007A65D5">
          <w:rPr>
            <w:noProof/>
            <w:webHidden/>
          </w:rPr>
          <w:tab/>
        </w:r>
        <w:r w:rsidR="007A65D5">
          <w:rPr>
            <w:noProof/>
            <w:webHidden/>
          </w:rPr>
          <w:fldChar w:fldCharType="begin"/>
        </w:r>
        <w:r w:rsidR="007A65D5">
          <w:rPr>
            <w:noProof/>
            <w:webHidden/>
          </w:rPr>
          <w:instrText xml:space="preserve"> PAGEREF _Toc466914542 \h </w:instrText>
        </w:r>
        <w:r w:rsidR="007A65D5">
          <w:rPr>
            <w:noProof/>
            <w:webHidden/>
          </w:rPr>
        </w:r>
        <w:r w:rsidR="007A65D5">
          <w:rPr>
            <w:noProof/>
            <w:webHidden/>
          </w:rPr>
          <w:fldChar w:fldCharType="separate"/>
        </w:r>
        <w:r w:rsidR="007A65D5">
          <w:rPr>
            <w:noProof/>
            <w:webHidden/>
          </w:rPr>
          <w:t>100</w:t>
        </w:r>
        <w:r w:rsidR="007A65D5">
          <w:rPr>
            <w:noProof/>
            <w:webHidden/>
          </w:rPr>
          <w:fldChar w:fldCharType="end"/>
        </w:r>
      </w:hyperlink>
    </w:p>
    <w:p w14:paraId="45CC2EA2" w14:textId="77777777" w:rsidR="007A65D5" w:rsidRDefault="00D92FB1">
      <w:pPr>
        <w:pStyle w:val="Obsah3"/>
        <w:rPr>
          <w:rFonts w:asciiTheme="minorHAnsi" w:eastAsiaTheme="minorEastAsia" w:hAnsiTheme="minorHAnsi" w:cstheme="minorBidi"/>
          <w:noProof/>
          <w:sz w:val="22"/>
          <w:szCs w:val="22"/>
        </w:rPr>
      </w:pPr>
      <w:hyperlink w:anchor="_Toc466914543" w:history="1">
        <w:r w:rsidR="007A65D5" w:rsidRPr="00C350D4">
          <w:rPr>
            <w:rStyle w:val="Hypertextovprepojenie"/>
            <w:noProof/>
          </w:rPr>
          <w:t>3.6.2 Závažné problémy, ktoré sa vyskytli, a opatrenia prijaté na ich odstránenie</w:t>
        </w:r>
        <w:r w:rsidR="007A65D5">
          <w:rPr>
            <w:noProof/>
            <w:webHidden/>
          </w:rPr>
          <w:tab/>
        </w:r>
        <w:r w:rsidR="007A65D5">
          <w:rPr>
            <w:noProof/>
            <w:webHidden/>
          </w:rPr>
          <w:fldChar w:fldCharType="begin"/>
        </w:r>
        <w:r w:rsidR="007A65D5">
          <w:rPr>
            <w:noProof/>
            <w:webHidden/>
          </w:rPr>
          <w:instrText xml:space="preserve"> PAGEREF _Toc466914543 \h </w:instrText>
        </w:r>
        <w:r w:rsidR="007A65D5">
          <w:rPr>
            <w:noProof/>
            <w:webHidden/>
          </w:rPr>
        </w:r>
        <w:r w:rsidR="007A65D5">
          <w:rPr>
            <w:noProof/>
            <w:webHidden/>
          </w:rPr>
          <w:fldChar w:fldCharType="separate"/>
        </w:r>
        <w:r w:rsidR="007A65D5">
          <w:rPr>
            <w:noProof/>
            <w:webHidden/>
          </w:rPr>
          <w:t>103</w:t>
        </w:r>
        <w:r w:rsidR="007A65D5">
          <w:rPr>
            <w:noProof/>
            <w:webHidden/>
          </w:rPr>
          <w:fldChar w:fldCharType="end"/>
        </w:r>
      </w:hyperlink>
    </w:p>
    <w:p w14:paraId="4525D784" w14:textId="77777777" w:rsidR="007A65D5" w:rsidRDefault="00D92FB1">
      <w:pPr>
        <w:pStyle w:val="Obsah2"/>
        <w:rPr>
          <w:rFonts w:asciiTheme="minorHAnsi" w:eastAsiaTheme="minorEastAsia" w:hAnsiTheme="minorHAnsi" w:cstheme="minorBidi"/>
          <w:b w:val="0"/>
          <w:bCs w:val="0"/>
          <w:noProof/>
          <w:sz w:val="22"/>
          <w:szCs w:val="22"/>
        </w:rPr>
      </w:pPr>
      <w:hyperlink w:anchor="_Toc466914544" w:history="1">
        <w:r w:rsidR="007A65D5" w:rsidRPr="00C350D4">
          <w:rPr>
            <w:rStyle w:val="Hypertextovprepojenie"/>
            <w:rFonts w:cs="Arial"/>
            <w:noProof/>
          </w:rPr>
          <w:t>3.7. Prioritná os 7 Budovanie povodňového varovného a predpovedného systému</w:t>
        </w:r>
        <w:r w:rsidR="007A65D5">
          <w:rPr>
            <w:noProof/>
            <w:webHidden/>
          </w:rPr>
          <w:tab/>
        </w:r>
        <w:r w:rsidR="007A65D5">
          <w:rPr>
            <w:noProof/>
            <w:webHidden/>
          </w:rPr>
          <w:fldChar w:fldCharType="begin"/>
        </w:r>
        <w:r w:rsidR="007A65D5">
          <w:rPr>
            <w:noProof/>
            <w:webHidden/>
          </w:rPr>
          <w:instrText xml:space="preserve"> PAGEREF _Toc466914544 \h </w:instrText>
        </w:r>
        <w:r w:rsidR="007A65D5">
          <w:rPr>
            <w:noProof/>
            <w:webHidden/>
          </w:rPr>
        </w:r>
        <w:r w:rsidR="007A65D5">
          <w:rPr>
            <w:noProof/>
            <w:webHidden/>
          </w:rPr>
          <w:fldChar w:fldCharType="separate"/>
        </w:r>
        <w:r w:rsidR="007A65D5">
          <w:rPr>
            <w:noProof/>
            <w:webHidden/>
          </w:rPr>
          <w:t>104</w:t>
        </w:r>
        <w:r w:rsidR="007A65D5">
          <w:rPr>
            <w:noProof/>
            <w:webHidden/>
          </w:rPr>
          <w:fldChar w:fldCharType="end"/>
        </w:r>
      </w:hyperlink>
    </w:p>
    <w:p w14:paraId="57C9B48D" w14:textId="77777777" w:rsidR="007A65D5" w:rsidRDefault="00D92FB1">
      <w:pPr>
        <w:pStyle w:val="Obsah3"/>
        <w:rPr>
          <w:rFonts w:asciiTheme="minorHAnsi" w:eastAsiaTheme="minorEastAsia" w:hAnsiTheme="minorHAnsi" w:cstheme="minorBidi"/>
          <w:noProof/>
          <w:sz w:val="22"/>
          <w:szCs w:val="22"/>
        </w:rPr>
      </w:pPr>
      <w:hyperlink w:anchor="_Toc466914545" w:history="1">
        <w:r w:rsidR="007A65D5" w:rsidRPr="00C350D4">
          <w:rPr>
            <w:rStyle w:val="Hypertextovprepojenie"/>
            <w:rFonts w:cs="Arial"/>
            <w:noProof/>
          </w:rPr>
          <w:t>3.7.1 Dosiahnutie cieľov a analýza dosiahnutého pokroku</w:t>
        </w:r>
        <w:r w:rsidR="007A65D5">
          <w:rPr>
            <w:noProof/>
            <w:webHidden/>
          </w:rPr>
          <w:tab/>
        </w:r>
        <w:r w:rsidR="007A65D5">
          <w:rPr>
            <w:noProof/>
            <w:webHidden/>
          </w:rPr>
          <w:fldChar w:fldCharType="begin"/>
        </w:r>
        <w:r w:rsidR="007A65D5">
          <w:rPr>
            <w:noProof/>
            <w:webHidden/>
          </w:rPr>
          <w:instrText xml:space="preserve"> PAGEREF _Toc466914545 \h </w:instrText>
        </w:r>
        <w:r w:rsidR="007A65D5">
          <w:rPr>
            <w:noProof/>
            <w:webHidden/>
          </w:rPr>
        </w:r>
        <w:r w:rsidR="007A65D5">
          <w:rPr>
            <w:noProof/>
            <w:webHidden/>
          </w:rPr>
          <w:fldChar w:fldCharType="separate"/>
        </w:r>
        <w:r w:rsidR="007A65D5">
          <w:rPr>
            <w:noProof/>
            <w:webHidden/>
          </w:rPr>
          <w:t>104</w:t>
        </w:r>
        <w:r w:rsidR="007A65D5">
          <w:rPr>
            <w:noProof/>
            <w:webHidden/>
          </w:rPr>
          <w:fldChar w:fldCharType="end"/>
        </w:r>
      </w:hyperlink>
    </w:p>
    <w:p w14:paraId="702057A4" w14:textId="77777777" w:rsidR="007A65D5" w:rsidRDefault="00D92FB1">
      <w:pPr>
        <w:pStyle w:val="Obsah3"/>
        <w:rPr>
          <w:rFonts w:asciiTheme="minorHAnsi" w:eastAsiaTheme="minorEastAsia" w:hAnsiTheme="minorHAnsi" w:cstheme="minorBidi"/>
          <w:noProof/>
          <w:sz w:val="22"/>
          <w:szCs w:val="22"/>
        </w:rPr>
      </w:pPr>
      <w:hyperlink w:anchor="_Toc466914546" w:history="1">
        <w:r w:rsidR="007A65D5" w:rsidRPr="00C350D4">
          <w:rPr>
            <w:rStyle w:val="Hypertextovprepojenie"/>
            <w:rFonts w:cs="Arial"/>
            <w:noProof/>
          </w:rPr>
          <w:t>3.7.2 Závažné problémy, ktoré sa vyskytli, a opatrenia prijaté na ich odstránenie</w:t>
        </w:r>
        <w:r w:rsidR="007A65D5">
          <w:rPr>
            <w:noProof/>
            <w:webHidden/>
          </w:rPr>
          <w:tab/>
        </w:r>
        <w:r w:rsidR="007A65D5">
          <w:rPr>
            <w:noProof/>
            <w:webHidden/>
          </w:rPr>
          <w:fldChar w:fldCharType="begin"/>
        </w:r>
        <w:r w:rsidR="007A65D5">
          <w:rPr>
            <w:noProof/>
            <w:webHidden/>
          </w:rPr>
          <w:instrText xml:space="preserve"> PAGEREF _Toc466914546 \h </w:instrText>
        </w:r>
        <w:r w:rsidR="007A65D5">
          <w:rPr>
            <w:noProof/>
            <w:webHidden/>
          </w:rPr>
        </w:r>
        <w:r w:rsidR="007A65D5">
          <w:rPr>
            <w:noProof/>
            <w:webHidden/>
          </w:rPr>
          <w:fldChar w:fldCharType="separate"/>
        </w:r>
        <w:r w:rsidR="007A65D5">
          <w:rPr>
            <w:noProof/>
            <w:webHidden/>
          </w:rPr>
          <w:t>106</w:t>
        </w:r>
        <w:r w:rsidR="007A65D5">
          <w:rPr>
            <w:noProof/>
            <w:webHidden/>
          </w:rPr>
          <w:fldChar w:fldCharType="end"/>
        </w:r>
      </w:hyperlink>
    </w:p>
    <w:p w14:paraId="23CF274A" w14:textId="77777777" w:rsidR="007A65D5" w:rsidRDefault="00D92FB1">
      <w:pPr>
        <w:pStyle w:val="Obsah1"/>
        <w:rPr>
          <w:rFonts w:asciiTheme="minorHAnsi" w:eastAsiaTheme="minorEastAsia" w:hAnsiTheme="minorHAnsi" w:cstheme="minorBidi"/>
          <w:b w:val="0"/>
          <w:bCs w:val="0"/>
          <w:smallCaps w:val="0"/>
          <w:szCs w:val="22"/>
        </w:rPr>
      </w:pPr>
      <w:hyperlink w:anchor="_Toc466914547" w:history="1">
        <w:r w:rsidR="007A65D5" w:rsidRPr="00C350D4">
          <w:rPr>
            <w:rStyle w:val="Hypertextovprepojenie"/>
          </w:rPr>
          <w:t>4. Horizontálne priority</w:t>
        </w:r>
        <w:r w:rsidR="007A65D5">
          <w:rPr>
            <w:webHidden/>
          </w:rPr>
          <w:tab/>
        </w:r>
        <w:r w:rsidR="007A65D5">
          <w:rPr>
            <w:webHidden/>
          </w:rPr>
          <w:fldChar w:fldCharType="begin"/>
        </w:r>
        <w:r w:rsidR="007A65D5">
          <w:rPr>
            <w:webHidden/>
          </w:rPr>
          <w:instrText xml:space="preserve"> PAGEREF _Toc466914547 \h </w:instrText>
        </w:r>
        <w:r w:rsidR="007A65D5">
          <w:rPr>
            <w:webHidden/>
          </w:rPr>
        </w:r>
        <w:r w:rsidR="007A65D5">
          <w:rPr>
            <w:webHidden/>
          </w:rPr>
          <w:fldChar w:fldCharType="separate"/>
        </w:r>
        <w:r w:rsidR="007A65D5">
          <w:rPr>
            <w:webHidden/>
          </w:rPr>
          <w:t>108</w:t>
        </w:r>
        <w:r w:rsidR="007A65D5">
          <w:rPr>
            <w:webHidden/>
          </w:rPr>
          <w:fldChar w:fldCharType="end"/>
        </w:r>
      </w:hyperlink>
    </w:p>
    <w:p w14:paraId="5D230D56" w14:textId="77777777" w:rsidR="007A65D5" w:rsidRDefault="00D92FB1">
      <w:pPr>
        <w:pStyle w:val="Obsah2"/>
        <w:rPr>
          <w:rFonts w:asciiTheme="minorHAnsi" w:eastAsiaTheme="minorEastAsia" w:hAnsiTheme="minorHAnsi" w:cstheme="minorBidi"/>
          <w:b w:val="0"/>
          <w:bCs w:val="0"/>
          <w:noProof/>
          <w:sz w:val="22"/>
          <w:szCs w:val="22"/>
        </w:rPr>
      </w:pPr>
      <w:hyperlink w:anchor="_Toc466914548" w:history="1">
        <w:r w:rsidR="007A65D5" w:rsidRPr="00C350D4">
          <w:rPr>
            <w:rStyle w:val="Hypertextovprepojenie"/>
            <w:rFonts w:cs="Arial"/>
            <w:noProof/>
          </w:rPr>
          <w:t>4.1 Horizontálna priorita Informačná spoločnosť</w:t>
        </w:r>
        <w:r w:rsidR="007A65D5">
          <w:rPr>
            <w:noProof/>
            <w:webHidden/>
          </w:rPr>
          <w:tab/>
        </w:r>
        <w:r w:rsidR="007A65D5">
          <w:rPr>
            <w:noProof/>
            <w:webHidden/>
          </w:rPr>
          <w:fldChar w:fldCharType="begin"/>
        </w:r>
        <w:r w:rsidR="007A65D5">
          <w:rPr>
            <w:noProof/>
            <w:webHidden/>
          </w:rPr>
          <w:instrText xml:space="preserve"> PAGEREF _Toc466914548 \h </w:instrText>
        </w:r>
        <w:r w:rsidR="007A65D5">
          <w:rPr>
            <w:noProof/>
            <w:webHidden/>
          </w:rPr>
        </w:r>
        <w:r w:rsidR="007A65D5">
          <w:rPr>
            <w:noProof/>
            <w:webHidden/>
          </w:rPr>
          <w:fldChar w:fldCharType="separate"/>
        </w:r>
        <w:r w:rsidR="007A65D5">
          <w:rPr>
            <w:noProof/>
            <w:webHidden/>
          </w:rPr>
          <w:t>108</w:t>
        </w:r>
        <w:r w:rsidR="007A65D5">
          <w:rPr>
            <w:noProof/>
            <w:webHidden/>
          </w:rPr>
          <w:fldChar w:fldCharType="end"/>
        </w:r>
      </w:hyperlink>
    </w:p>
    <w:p w14:paraId="24C372B6" w14:textId="77777777" w:rsidR="007A65D5" w:rsidRDefault="00D92FB1">
      <w:pPr>
        <w:pStyle w:val="Obsah2"/>
        <w:rPr>
          <w:rFonts w:asciiTheme="minorHAnsi" w:eastAsiaTheme="minorEastAsia" w:hAnsiTheme="minorHAnsi" w:cstheme="minorBidi"/>
          <w:b w:val="0"/>
          <w:bCs w:val="0"/>
          <w:noProof/>
          <w:sz w:val="22"/>
          <w:szCs w:val="22"/>
        </w:rPr>
      </w:pPr>
      <w:hyperlink w:anchor="_Toc466914549" w:history="1">
        <w:r w:rsidR="007A65D5" w:rsidRPr="00C350D4">
          <w:rPr>
            <w:rStyle w:val="Hypertextovprepojenie"/>
            <w:rFonts w:cs="Arial"/>
            <w:noProof/>
          </w:rPr>
          <w:t>4.2 Horizontálna priorita Marginalizované rómske komunity</w:t>
        </w:r>
        <w:r w:rsidR="007A65D5">
          <w:rPr>
            <w:noProof/>
            <w:webHidden/>
          </w:rPr>
          <w:tab/>
        </w:r>
        <w:r w:rsidR="007A65D5">
          <w:rPr>
            <w:noProof/>
            <w:webHidden/>
          </w:rPr>
          <w:fldChar w:fldCharType="begin"/>
        </w:r>
        <w:r w:rsidR="007A65D5">
          <w:rPr>
            <w:noProof/>
            <w:webHidden/>
          </w:rPr>
          <w:instrText xml:space="preserve"> PAGEREF _Toc466914549 \h </w:instrText>
        </w:r>
        <w:r w:rsidR="007A65D5">
          <w:rPr>
            <w:noProof/>
            <w:webHidden/>
          </w:rPr>
        </w:r>
        <w:r w:rsidR="007A65D5">
          <w:rPr>
            <w:noProof/>
            <w:webHidden/>
          </w:rPr>
          <w:fldChar w:fldCharType="separate"/>
        </w:r>
        <w:r w:rsidR="007A65D5">
          <w:rPr>
            <w:noProof/>
            <w:webHidden/>
          </w:rPr>
          <w:t>111</w:t>
        </w:r>
        <w:r w:rsidR="007A65D5">
          <w:rPr>
            <w:noProof/>
            <w:webHidden/>
          </w:rPr>
          <w:fldChar w:fldCharType="end"/>
        </w:r>
      </w:hyperlink>
    </w:p>
    <w:p w14:paraId="79147B1E" w14:textId="77777777" w:rsidR="007A65D5" w:rsidRDefault="00D92FB1">
      <w:pPr>
        <w:pStyle w:val="Obsah2"/>
        <w:rPr>
          <w:rFonts w:asciiTheme="minorHAnsi" w:eastAsiaTheme="minorEastAsia" w:hAnsiTheme="minorHAnsi" w:cstheme="minorBidi"/>
          <w:b w:val="0"/>
          <w:bCs w:val="0"/>
          <w:noProof/>
          <w:sz w:val="22"/>
          <w:szCs w:val="22"/>
        </w:rPr>
      </w:pPr>
      <w:hyperlink w:anchor="_Toc466914550" w:history="1">
        <w:r w:rsidR="007A65D5" w:rsidRPr="00C350D4">
          <w:rPr>
            <w:rStyle w:val="Hypertextovprepojenie"/>
            <w:rFonts w:cs="Arial"/>
            <w:noProof/>
          </w:rPr>
          <w:t>4.3 Horizontálna priorita Rovnosť príležitostí</w:t>
        </w:r>
        <w:r w:rsidR="007A65D5">
          <w:rPr>
            <w:noProof/>
            <w:webHidden/>
          </w:rPr>
          <w:tab/>
        </w:r>
        <w:r w:rsidR="007A65D5">
          <w:rPr>
            <w:noProof/>
            <w:webHidden/>
          </w:rPr>
          <w:fldChar w:fldCharType="begin"/>
        </w:r>
        <w:r w:rsidR="007A65D5">
          <w:rPr>
            <w:noProof/>
            <w:webHidden/>
          </w:rPr>
          <w:instrText xml:space="preserve"> PAGEREF _Toc466914550 \h </w:instrText>
        </w:r>
        <w:r w:rsidR="007A65D5">
          <w:rPr>
            <w:noProof/>
            <w:webHidden/>
          </w:rPr>
        </w:r>
        <w:r w:rsidR="007A65D5">
          <w:rPr>
            <w:noProof/>
            <w:webHidden/>
          </w:rPr>
          <w:fldChar w:fldCharType="separate"/>
        </w:r>
        <w:r w:rsidR="007A65D5">
          <w:rPr>
            <w:noProof/>
            <w:webHidden/>
          </w:rPr>
          <w:t>118</w:t>
        </w:r>
        <w:r w:rsidR="007A65D5">
          <w:rPr>
            <w:noProof/>
            <w:webHidden/>
          </w:rPr>
          <w:fldChar w:fldCharType="end"/>
        </w:r>
      </w:hyperlink>
    </w:p>
    <w:p w14:paraId="21C42749" w14:textId="77777777" w:rsidR="007A65D5" w:rsidRDefault="00D92FB1">
      <w:pPr>
        <w:pStyle w:val="Obsah2"/>
        <w:rPr>
          <w:rFonts w:asciiTheme="minorHAnsi" w:eastAsiaTheme="minorEastAsia" w:hAnsiTheme="minorHAnsi" w:cstheme="minorBidi"/>
          <w:b w:val="0"/>
          <w:bCs w:val="0"/>
          <w:noProof/>
          <w:sz w:val="22"/>
          <w:szCs w:val="22"/>
        </w:rPr>
      </w:pPr>
      <w:hyperlink w:anchor="_Toc466914551" w:history="1">
        <w:r w:rsidR="007A65D5" w:rsidRPr="00C350D4">
          <w:rPr>
            <w:rStyle w:val="Hypertextovprepojenie"/>
            <w:rFonts w:cs="Arial"/>
            <w:noProof/>
          </w:rPr>
          <w:t>4.4 Horizontálna priorita Trvalo udržateľný rozvoj</w:t>
        </w:r>
        <w:r w:rsidR="007A65D5">
          <w:rPr>
            <w:noProof/>
            <w:webHidden/>
          </w:rPr>
          <w:tab/>
        </w:r>
        <w:r w:rsidR="007A65D5">
          <w:rPr>
            <w:noProof/>
            <w:webHidden/>
          </w:rPr>
          <w:fldChar w:fldCharType="begin"/>
        </w:r>
        <w:r w:rsidR="007A65D5">
          <w:rPr>
            <w:noProof/>
            <w:webHidden/>
          </w:rPr>
          <w:instrText xml:space="preserve"> PAGEREF _Toc466914551 \h </w:instrText>
        </w:r>
        <w:r w:rsidR="007A65D5">
          <w:rPr>
            <w:noProof/>
            <w:webHidden/>
          </w:rPr>
        </w:r>
        <w:r w:rsidR="007A65D5">
          <w:rPr>
            <w:noProof/>
            <w:webHidden/>
          </w:rPr>
          <w:fldChar w:fldCharType="separate"/>
        </w:r>
        <w:r w:rsidR="007A65D5">
          <w:rPr>
            <w:noProof/>
            <w:webHidden/>
          </w:rPr>
          <w:t>123</w:t>
        </w:r>
        <w:r w:rsidR="007A65D5">
          <w:rPr>
            <w:noProof/>
            <w:webHidden/>
          </w:rPr>
          <w:fldChar w:fldCharType="end"/>
        </w:r>
      </w:hyperlink>
    </w:p>
    <w:p w14:paraId="7D23D8E2" w14:textId="77777777" w:rsidR="007A65D5" w:rsidRDefault="00D92FB1">
      <w:pPr>
        <w:pStyle w:val="Obsah1"/>
        <w:rPr>
          <w:rFonts w:asciiTheme="minorHAnsi" w:eastAsiaTheme="minorEastAsia" w:hAnsiTheme="minorHAnsi" w:cstheme="minorBidi"/>
          <w:b w:val="0"/>
          <w:bCs w:val="0"/>
          <w:smallCaps w:val="0"/>
          <w:szCs w:val="22"/>
        </w:rPr>
      </w:pPr>
      <w:hyperlink w:anchor="_Toc466914552" w:history="1">
        <w:r w:rsidR="007A65D5" w:rsidRPr="00C350D4">
          <w:rPr>
            <w:rStyle w:val="Hypertextovprepojenie"/>
          </w:rPr>
          <w:t>5. Veľké projekty</w:t>
        </w:r>
        <w:r w:rsidR="007A65D5">
          <w:rPr>
            <w:webHidden/>
          </w:rPr>
          <w:tab/>
        </w:r>
        <w:r w:rsidR="007A65D5">
          <w:rPr>
            <w:webHidden/>
          </w:rPr>
          <w:fldChar w:fldCharType="begin"/>
        </w:r>
        <w:r w:rsidR="007A65D5">
          <w:rPr>
            <w:webHidden/>
          </w:rPr>
          <w:instrText xml:space="preserve"> PAGEREF _Toc466914552 \h </w:instrText>
        </w:r>
        <w:r w:rsidR="007A65D5">
          <w:rPr>
            <w:webHidden/>
          </w:rPr>
        </w:r>
        <w:r w:rsidR="007A65D5">
          <w:rPr>
            <w:webHidden/>
          </w:rPr>
          <w:fldChar w:fldCharType="separate"/>
        </w:r>
        <w:r w:rsidR="007A65D5">
          <w:rPr>
            <w:webHidden/>
          </w:rPr>
          <w:t>131</w:t>
        </w:r>
        <w:r w:rsidR="007A65D5">
          <w:rPr>
            <w:webHidden/>
          </w:rPr>
          <w:fldChar w:fldCharType="end"/>
        </w:r>
      </w:hyperlink>
    </w:p>
    <w:p w14:paraId="63444D3C" w14:textId="77777777" w:rsidR="007A65D5" w:rsidRDefault="00D92FB1">
      <w:pPr>
        <w:pStyle w:val="Obsah2"/>
        <w:rPr>
          <w:rFonts w:asciiTheme="minorHAnsi" w:eastAsiaTheme="minorEastAsia" w:hAnsiTheme="minorHAnsi" w:cstheme="minorBidi"/>
          <w:b w:val="0"/>
          <w:bCs w:val="0"/>
          <w:noProof/>
          <w:sz w:val="22"/>
          <w:szCs w:val="22"/>
        </w:rPr>
      </w:pPr>
      <w:hyperlink w:anchor="_Toc466914553" w:history="1">
        <w:r w:rsidR="007A65D5" w:rsidRPr="00C350D4">
          <w:rPr>
            <w:rStyle w:val="Hypertextovprepojenie"/>
            <w:rFonts w:cs="Arial"/>
            <w:noProof/>
          </w:rPr>
          <w:t>5.1 Environmentálne projekty s celkovými investičnými nákladmi od 25 mil. do 50 mil. €</w:t>
        </w:r>
        <w:r w:rsidR="007A65D5">
          <w:rPr>
            <w:noProof/>
            <w:webHidden/>
          </w:rPr>
          <w:tab/>
        </w:r>
        <w:r w:rsidR="007A65D5">
          <w:rPr>
            <w:noProof/>
            <w:webHidden/>
          </w:rPr>
          <w:fldChar w:fldCharType="begin"/>
        </w:r>
        <w:r w:rsidR="007A65D5">
          <w:rPr>
            <w:noProof/>
            <w:webHidden/>
          </w:rPr>
          <w:instrText xml:space="preserve"> PAGEREF _Toc466914553 \h </w:instrText>
        </w:r>
        <w:r w:rsidR="007A65D5">
          <w:rPr>
            <w:noProof/>
            <w:webHidden/>
          </w:rPr>
        </w:r>
        <w:r w:rsidR="007A65D5">
          <w:rPr>
            <w:noProof/>
            <w:webHidden/>
          </w:rPr>
          <w:fldChar w:fldCharType="separate"/>
        </w:r>
        <w:r w:rsidR="007A65D5">
          <w:rPr>
            <w:noProof/>
            <w:webHidden/>
          </w:rPr>
          <w:t>134</w:t>
        </w:r>
        <w:r w:rsidR="007A65D5">
          <w:rPr>
            <w:noProof/>
            <w:webHidden/>
          </w:rPr>
          <w:fldChar w:fldCharType="end"/>
        </w:r>
      </w:hyperlink>
    </w:p>
    <w:p w14:paraId="4E53EFCE" w14:textId="77777777" w:rsidR="007A65D5" w:rsidRDefault="00D92FB1">
      <w:pPr>
        <w:pStyle w:val="Obsah1"/>
        <w:rPr>
          <w:rFonts w:asciiTheme="minorHAnsi" w:eastAsiaTheme="minorEastAsia" w:hAnsiTheme="minorHAnsi" w:cstheme="minorBidi"/>
          <w:b w:val="0"/>
          <w:bCs w:val="0"/>
          <w:smallCaps w:val="0"/>
          <w:szCs w:val="22"/>
        </w:rPr>
      </w:pPr>
      <w:hyperlink w:anchor="_Toc466914554" w:history="1">
        <w:r w:rsidR="007A65D5" w:rsidRPr="00C350D4">
          <w:rPr>
            <w:rStyle w:val="Hypertextovprepojenie"/>
          </w:rPr>
          <w:t>6. Technická pomoc</w:t>
        </w:r>
        <w:r w:rsidR="007A65D5">
          <w:rPr>
            <w:webHidden/>
          </w:rPr>
          <w:tab/>
        </w:r>
        <w:r w:rsidR="007A65D5">
          <w:rPr>
            <w:webHidden/>
          </w:rPr>
          <w:fldChar w:fldCharType="begin"/>
        </w:r>
        <w:r w:rsidR="007A65D5">
          <w:rPr>
            <w:webHidden/>
          </w:rPr>
          <w:instrText xml:space="preserve"> PAGEREF _Toc466914554 \h </w:instrText>
        </w:r>
        <w:r w:rsidR="007A65D5">
          <w:rPr>
            <w:webHidden/>
          </w:rPr>
        </w:r>
        <w:r w:rsidR="007A65D5">
          <w:rPr>
            <w:webHidden/>
          </w:rPr>
          <w:fldChar w:fldCharType="separate"/>
        </w:r>
        <w:r w:rsidR="007A65D5">
          <w:rPr>
            <w:webHidden/>
          </w:rPr>
          <w:t>135</w:t>
        </w:r>
        <w:r w:rsidR="007A65D5">
          <w:rPr>
            <w:webHidden/>
          </w:rPr>
          <w:fldChar w:fldCharType="end"/>
        </w:r>
      </w:hyperlink>
    </w:p>
    <w:p w14:paraId="05239917" w14:textId="77777777" w:rsidR="007A65D5" w:rsidRDefault="00D92FB1">
      <w:pPr>
        <w:pStyle w:val="Obsah1"/>
        <w:rPr>
          <w:rFonts w:asciiTheme="minorHAnsi" w:eastAsiaTheme="minorEastAsia" w:hAnsiTheme="minorHAnsi" w:cstheme="minorBidi"/>
          <w:b w:val="0"/>
          <w:bCs w:val="0"/>
          <w:smallCaps w:val="0"/>
          <w:szCs w:val="22"/>
        </w:rPr>
      </w:pPr>
      <w:hyperlink w:anchor="_Toc466914555" w:history="1">
        <w:r w:rsidR="007A65D5" w:rsidRPr="00C350D4">
          <w:rPr>
            <w:rStyle w:val="Hypertextovprepojenie"/>
          </w:rPr>
          <w:t>7. Informovanosť a publicita</w:t>
        </w:r>
        <w:r w:rsidR="007A65D5">
          <w:rPr>
            <w:webHidden/>
          </w:rPr>
          <w:tab/>
        </w:r>
        <w:r w:rsidR="007A65D5">
          <w:rPr>
            <w:webHidden/>
          </w:rPr>
          <w:fldChar w:fldCharType="begin"/>
        </w:r>
        <w:r w:rsidR="007A65D5">
          <w:rPr>
            <w:webHidden/>
          </w:rPr>
          <w:instrText xml:space="preserve"> PAGEREF _Toc466914555 \h </w:instrText>
        </w:r>
        <w:r w:rsidR="007A65D5">
          <w:rPr>
            <w:webHidden/>
          </w:rPr>
        </w:r>
        <w:r w:rsidR="007A65D5">
          <w:rPr>
            <w:webHidden/>
          </w:rPr>
          <w:fldChar w:fldCharType="separate"/>
        </w:r>
        <w:r w:rsidR="007A65D5">
          <w:rPr>
            <w:webHidden/>
          </w:rPr>
          <w:t>136</w:t>
        </w:r>
        <w:r w:rsidR="007A65D5">
          <w:rPr>
            <w:webHidden/>
          </w:rPr>
          <w:fldChar w:fldCharType="end"/>
        </w:r>
      </w:hyperlink>
    </w:p>
    <w:p w14:paraId="41B4C65F" w14:textId="77777777" w:rsidR="007A65D5" w:rsidRDefault="00D92FB1">
      <w:pPr>
        <w:pStyle w:val="Obsah1"/>
        <w:rPr>
          <w:rFonts w:asciiTheme="minorHAnsi" w:eastAsiaTheme="minorEastAsia" w:hAnsiTheme="minorHAnsi" w:cstheme="minorBidi"/>
          <w:b w:val="0"/>
          <w:bCs w:val="0"/>
          <w:smallCaps w:val="0"/>
          <w:szCs w:val="22"/>
        </w:rPr>
      </w:pPr>
      <w:hyperlink w:anchor="_Toc466914556" w:history="1">
        <w:r w:rsidR="007A65D5" w:rsidRPr="00C350D4">
          <w:rPr>
            <w:rStyle w:val="Hypertextovprepojenie"/>
          </w:rPr>
          <w:t>8. Zoznam použitých skratiek</w:t>
        </w:r>
        <w:r w:rsidR="007A65D5">
          <w:rPr>
            <w:webHidden/>
          </w:rPr>
          <w:tab/>
        </w:r>
        <w:r w:rsidR="007A65D5">
          <w:rPr>
            <w:webHidden/>
          </w:rPr>
          <w:fldChar w:fldCharType="begin"/>
        </w:r>
        <w:r w:rsidR="007A65D5">
          <w:rPr>
            <w:webHidden/>
          </w:rPr>
          <w:instrText xml:space="preserve"> PAGEREF _Toc466914556 \h </w:instrText>
        </w:r>
        <w:r w:rsidR="007A65D5">
          <w:rPr>
            <w:webHidden/>
          </w:rPr>
        </w:r>
        <w:r w:rsidR="007A65D5">
          <w:rPr>
            <w:webHidden/>
          </w:rPr>
          <w:fldChar w:fldCharType="separate"/>
        </w:r>
        <w:r w:rsidR="007A65D5">
          <w:rPr>
            <w:webHidden/>
          </w:rPr>
          <w:t>141</w:t>
        </w:r>
        <w:r w:rsidR="007A65D5">
          <w:rPr>
            <w:webHidden/>
          </w:rPr>
          <w:fldChar w:fldCharType="end"/>
        </w:r>
      </w:hyperlink>
    </w:p>
    <w:p w14:paraId="4F2AFB22" w14:textId="77777777" w:rsidR="007A65D5" w:rsidRDefault="00D92FB1">
      <w:pPr>
        <w:pStyle w:val="Obsah1"/>
        <w:rPr>
          <w:rFonts w:asciiTheme="minorHAnsi" w:eastAsiaTheme="minorEastAsia" w:hAnsiTheme="minorHAnsi" w:cstheme="minorBidi"/>
          <w:b w:val="0"/>
          <w:bCs w:val="0"/>
          <w:smallCaps w:val="0"/>
          <w:szCs w:val="22"/>
        </w:rPr>
      </w:pPr>
      <w:hyperlink w:anchor="_Toc466914557" w:history="1">
        <w:r w:rsidR="007A65D5" w:rsidRPr="00C350D4">
          <w:rPr>
            <w:rStyle w:val="Hypertextovprepojenie"/>
          </w:rPr>
          <w:t>9. Prílohy</w:t>
        </w:r>
        <w:r w:rsidR="007A65D5">
          <w:rPr>
            <w:webHidden/>
          </w:rPr>
          <w:tab/>
        </w:r>
        <w:r w:rsidR="007A65D5">
          <w:rPr>
            <w:webHidden/>
          </w:rPr>
          <w:fldChar w:fldCharType="begin"/>
        </w:r>
        <w:r w:rsidR="007A65D5">
          <w:rPr>
            <w:webHidden/>
          </w:rPr>
          <w:instrText xml:space="preserve"> PAGEREF _Toc466914557 \h </w:instrText>
        </w:r>
        <w:r w:rsidR="007A65D5">
          <w:rPr>
            <w:webHidden/>
          </w:rPr>
        </w:r>
        <w:r w:rsidR="007A65D5">
          <w:rPr>
            <w:webHidden/>
          </w:rPr>
          <w:fldChar w:fldCharType="separate"/>
        </w:r>
        <w:r w:rsidR="007A65D5">
          <w:rPr>
            <w:webHidden/>
          </w:rPr>
          <w:t>144</w:t>
        </w:r>
        <w:r w:rsidR="007A65D5">
          <w:rPr>
            <w:webHidden/>
          </w:rPr>
          <w:fldChar w:fldCharType="end"/>
        </w:r>
      </w:hyperlink>
    </w:p>
    <w:p w14:paraId="38F6D891" w14:textId="77777777" w:rsidR="00653A2A" w:rsidRDefault="002416B1" w:rsidP="00123376">
      <w:pPr>
        <w:tabs>
          <w:tab w:val="right" w:leader="dot" w:pos="9072"/>
        </w:tabs>
        <w:rPr>
          <w:rFonts w:ascii="Arial" w:hAnsi="Arial" w:cs="Arial"/>
          <w:caps/>
          <w:highlight w:val="yellow"/>
          <w14:shadow w14:blurRad="50800" w14:dist="38100" w14:dir="2700000" w14:sx="100000" w14:sy="100000" w14:kx="0" w14:ky="0" w14:algn="tl">
            <w14:srgbClr w14:val="000000">
              <w14:alpha w14:val="60000"/>
            </w14:srgbClr>
          </w14:shadow>
        </w:rPr>
      </w:pPr>
      <w:r w:rsidRPr="00123376">
        <w:rPr>
          <w:rFonts w:ascii="Arial" w:hAnsi="Arial" w:cs="Arial"/>
          <w:caps/>
          <w:highlight w:val="yellow"/>
          <w14:shadow w14:blurRad="50800" w14:dist="38100" w14:dir="2700000" w14:sx="100000" w14:sy="100000" w14:kx="0" w14:ky="0" w14:algn="tl">
            <w14:srgbClr w14:val="000000">
              <w14:alpha w14:val="60000"/>
            </w14:srgbClr>
          </w14:shadow>
        </w:rPr>
        <w:fldChar w:fldCharType="end"/>
      </w:r>
    </w:p>
    <w:p w14:paraId="37409D84" w14:textId="77777777" w:rsidR="00653A2A" w:rsidRDefault="00653A2A">
      <w:pPr>
        <w:rPr>
          <w:rFonts w:ascii="Arial" w:hAnsi="Arial" w:cs="Arial"/>
          <w:caps/>
          <w:highlight w:val="yellow"/>
          <w14:shadow w14:blurRad="50800" w14:dist="38100" w14:dir="2700000" w14:sx="100000" w14:sy="100000" w14:kx="0" w14:ky="0" w14:algn="tl">
            <w14:srgbClr w14:val="000000">
              <w14:alpha w14:val="60000"/>
            </w14:srgbClr>
          </w14:shadow>
        </w:rPr>
      </w:pPr>
      <w:r>
        <w:rPr>
          <w:rFonts w:ascii="Arial" w:hAnsi="Arial" w:cs="Arial"/>
          <w:caps/>
          <w:highlight w:val="yellow"/>
          <w14:shadow w14:blurRad="50800" w14:dist="38100" w14:dir="2700000" w14:sx="100000" w14:sy="100000" w14:kx="0" w14:ky="0" w14:algn="tl">
            <w14:srgbClr w14:val="000000">
              <w14:alpha w14:val="60000"/>
            </w14:srgbClr>
          </w14:shadow>
        </w:rPr>
        <w:br w:type="page"/>
      </w:r>
    </w:p>
    <w:p w14:paraId="2361C8EA" w14:textId="0E2133A9" w:rsidR="002416B1" w:rsidRPr="00653A2A" w:rsidRDefault="00D641FF" w:rsidP="00653A2A">
      <w:pPr>
        <w:pStyle w:val="Nadpis1"/>
        <w:spacing w:after="120"/>
        <w:rPr>
          <w:rFonts w:cs="Arial"/>
          <w:lang w:val="sk-SK"/>
        </w:rPr>
      </w:pPr>
      <w:bookmarkStart w:id="0" w:name="_Toc466914505"/>
      <w:r w:rsidRPr="00653A2A">
        <w:rPr>
          <w:rFonts w:cs="Arial"/>
          <w:lang w:val="sk-SK"/>
        </w:rPr>
        <w:lastRenderedPageBreak/>
        <w:t>1</w:t>
      </w:r>
      <w:r w:rsidRPr="00653A2A">
        <w:rPr>
          <w:rFonts w:cs="Arial"/>
          <w:caps w:val="0"/>
          <w:lang w:val="sk-SK"/>
        </w:rPr>
        <w:t>.</w:t>
      </w:r>
      <w:r w:rsidR="00E02B00" w:rsidRPr="00653A2A">
        <w:rPr>
          <w:rFonts w:cs="Arial"/>
          <w:caps w:val="0"/>
          <w:lang w:val="sk-SK"/>
        </w:rPr>
        <w:t xml:space="preserve"> I</w:t>
      </w:r>
      <w:r w:rsidR="00653A2A" w:rsidRPr="00653A2A">
        <w:rPr>
          <w:rFonts w:cs="Arial"/>
          <w:caps w:val="0"/>
          <w:lang w:val="sk-SK"/>
        </w:rPr>
        <w:t>DENTIFIKÁCIA</w:t>
      </w:r>
      <w:bookmarkEnd w:id="0"/>
    </w:p>
    <w:p w14:paraId="79658163" w14:textId="77777777" w:rsidR="002416B1" w:rsidRPr="00E21C60" w:rsidRDefault="002416B1" w:rsidP="00123376">
      <w:pPr>
        <w:spacing w:before="120"/>
        <w:rPr>
          <w:rFonts w:ascii="Arial" w:hAnsi="Arial" w:cs="Arial"/>
          <w:sz w:val="22"/>
          <w:szCs w:val="22"/>
        </w:rPr>
      </w:pPr>
      <w:r w:rsidRPr="00E21C60">
        <w:rPr>
          <w:rFonts w:ascii="Arial" w:hAnsi="Arial" w:cs="Arial"/>
          <w:sz w:val="22"/>
          <w:szCs w:val="22"/>
        </w:rPr>
        <w:t xml:space="preserve"> </w:t>
      </w:r>
      <w:r w:rsidRPr="00E21C60">
        <w:rPr>
          <w:rFonts w:ascii="Arial" w:hAnsi="Arial" w:cs="Arial"/>
          <w:sz w:val="20"/>
          <w:szCs w:val="20"/>
        </w:rPr>
        <w:t>Tab</w:t>
      </w:r>
      <w:r w:rsidR="00571E1E" w:rsidRPr="00E21C60">
        <w:rPr>
          <w:rFonts w:ascii="Arial" w:hAnsi="Arial" w:cs="Arial"/>
          <w:sz w:val="20"/>
          <w:szCs w:val="20"/>
        </w:rPr>
        <w:t>uľka</w:t>
      </w:r>
      <w:r w:rsidRPr="00E21C60">
        <w:rPr>
          <w:rFonts w:ascii="Arial" w:hAnsi="Arial" w:cs="Arial"/>
          <w:sz w:val="20"/>
          <w:szCs w:val="20"/>
        </w:rPr>
        <w:t xml:space="preserve"> č. 1: Identifikácia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2694"/>
        <w:gridCol w:w="6336"/>
      </w:tblGrid>
      <w:tr w:rsidR="002416B1" w:rsidRPr="00E21C60" w14:paraId="444B8277" w14:textId="77777777" w:rsidTr="00123376">
        <w:trPr>
          <w:trHeight w:val="346"/>
          <w:jc w:val="center"/>
        </w:trPr>
        <w:tc>
          <w:tcPr>
            <w:tcW w:w="2694" w:type="dxa"/>
            <w:vMerge w:val="restart"/>
            <w:shd w:val="clear" w:color="auto" w:fill="D6E3BC"/>
            <w:vAlign w:val="center"/>
          </w:tcPr>
          <w:p w14:paraId="46219EA3" w14:textId="77777777" w:rsidR="002416B1" w:rsidRPr="00123376" w:rsidRDefault="002416B1" w:rsidP="008226B1">
            <w:pPr>
              <w:autoSpaceDE w:val="0"/>
              <w:autoSpaceDN w:val="0"/>
              <w:adjustRightInd w:val="0"/>
              <w:jc w:val="center"/>
              <w:rPr>
                <w:rFonts w:ascii="Arial" w:hAnsi="Arial" w:cs="Arial"/>
                <w:b/>
                <w:sz w:val="20"/>
                <w:szCs w:val="20"/>
              </w:rPr>
            </w:pPr>
            <w:r w:rsidRPr="002526CC">
              <w:rPr>
                <w:rFonts w:ascii="Arial" w:hAnsi="Arial" w:cs="Arial"/>
                <w:sz w:val="20"/>
                <w:szCs w:val="20"/>
              </w:rPr>
              <w:t>OPERAČNÝ PROGRAM</w:t>
            </w:r>
          </w:p>
        </w:tc>
        <w:tc>
          <w:tcPr>
            <w:tcW w:w="6336" w:type="dxa"/>
            <w:vAlign w:val="center"/>
          </w:tcPr>
          <w:p w14:paraId="12CFADCE" w14:textId="77777777" w:rsidR="002416B1" w:rsidRPr="00E21C60" w:rsidRDefault="002416B1">
            <w:pPr>
              <w:autoSpaceDE w:val="0"/>
              <w:autoSpaceDN w:val="0"/>
              <w:adjustRightInd w:val="0"/>
              <w:rPr>
                <w:rFonts w:ascii="Arial" w:hAnsi="Arial" w:cs="Arial"/>
                <w:sz w:val="20"/>
                <w:szCs w:val="20"/>
              </w:rPr>
            </w:pPr>
            <w:r w:rsidRPr="002526CC">
              <w:rPr>
                <w:rFonts w:ascii="Arial" w:hAnsi="Arial" w:cs="Arial"/>
                <w:i/>
                <w:sz w:val="20"/>
                <w:szCs w:val="20"/>
              </w:rPr>
              <w:t xml:space="preserve">Príslušný cieľ: </w:t>
            </w:r>
            <w:r w:rsidRPr="00E21C60">
              <w:rPr>
                <w:rFonts w:ascii="Arial" w:hAnsi="Arial" w:cs="Arial"/>
                <w:sz w:val="20"/>
                <w:szCs w:val="20"/>
              </w:rPr>
              <w:t>Konvergencia</w:t>
            </w:r>
          </w:p>
        </w:tc>
      </w:tr>
      <w:tr w:rsidR="002416B1" w:rsidRPr="00E21C60" w14:paraId="7F6709A3" w14:textId="77777777" w:rsidTr="00123376">
        <w:trPr>
          <w:trHeight w:val="1655"/>
          <w:jc w:val="center"/>
        </w:trPr>
        <w:tc>
          <w:tcPr>
            <w:tcW w:w="2694" w:type="dxa"/>
            <w:vMerge/>
            <w:shd w:val="clear" w:color="auto" w:fill="D6E3BC"/>
            <w:vAlign w:val="center"/>
          </w:tcPr>
          <w:p w14:paraId="1FD8E5C6" w14:textId="77777777" w:rsidR="002416B1" w:rsidRPr="00123376" w:rsidRDefault="002416B1">
            <w:pPr>
              <w:autoSpaceDE w:val="0"/>
              <w:autoSpaceDN w:val="0"/>
              <w:adjustRightInd w:val="0"/>
              <w:rPr>
                <w:rFonts w:ascii="Arial" w:hAnsi="Arial" w:cs="Arial"/>
                <w:sz w:val="20"/>
                <w:szCs w:val="20"/>
              </w:rPr>
            </w:pPr>
          </w:p>
        </w:tc>
        <w:tc>
          <w:tcPr>
            <w:tcW w:w="6336" w:type="dxa"/>
            <w:vAlign w:val="center"/>
          </w:tcPr>
          <w:p w14:paraId="5EF3AEE6" w14:textId="77777777" w:rsidR="002416B1" w:rsidRPr="002526CC" w:rsidRDefault="002416B1">
            <w:pPr>
              <w:autoSpaceDE w:val="0"/>
              <w:autoSpaceDN w:val="0"/>
              <w:adjustRightInd w:val="0"/>
              <w:rPr>
                <w:rFonts w:ascii="Arial" w:hAnsi="Arial" w:cs="Arial"/>
                <w:i/>
                <w:sz w:val="20"/>
                <w:szCs w:val="20"/>
              </w:rPr>
            </w:pPr>
            <w:r w:rsidRPr="002526CC">
              <w:rPr>
                <w:rFonts w:ascii="Arial" w:hAnsi="Arial" w:cs="Arial"/>
                <w:i/>
                <w:sz w:val="20"/>
                <w:szCs w:val="20"/>
              </w:rPr>
              <w:t xml:space="preserve">Príslušná oprávnená oblasť: </w:t>
            </w:r>
          </w:p>
          <w:p w14:paraId="4589A2D1" w14:textId="2880F838" w:rsidR="002416B1" w:rsidRPr="00E21C60" w:rsidRDefault="002416B1">
            <w:pPr>
              <w:autoSpaceDE w:val="0"/>
              <w:autoSpaceDN w:val="0"/>
              <w:adjustRightInd w:val="0"/>
              <w:rPr>
                <w:rFonts w:ascii="Arial" w:hAnsi="Arial" w:cs="Arial"/>
                <w:sz w:val="20"/>
                <w:szCs w:val="20"/>
              </w:rPr>
            </w:pPr>
            <w:r w:rsidRPr="00E21C60">
              <w:rPr>
                <w:rFonts w:ascii="Arial" w:hAnsi="Arial" w:cs="Arial"/>
                <w:sz w:val="20"/>
                <w:szCs w:val="20"/>
              </w:rPr>
              <w:t>Pre Kohézny fond (KF):</w:t>
            </w:r>
            <w:r w:rsidRPr="00E21C60">
              <w:rPr>
                <w:rFonts w:ascii="Arial" w:hAnsi="Arial" w:cs="Arial"/>
                <w:sz w:val="20"/>
                <w:szCs w:val="20"/>
              </w:rPr>
              <w:tab/>
            </w:r>
          </w:p>
          <w:p w14:paraId="4C381008" w14:textId="77777777" w:rsidR="002416B1" w:rsidRPr="00E21C60" w:rsidRDefault="002416B1">
            <w:pPr>
              <w:autoSpaceDE w:val="0"/>
              <w:autoSpaceDN w:val="0"/>
              <w:adjustRightInd w:val="0"/>
              <w:rPr>
                <w:rFonts w:ascii="Arial" w:hAnsi="Arial" w:cs="Arial"/>
                <w:sz w:val="20"/>
                <w:szCs w:val="20"/>
              </w:rPr>
            </w:pPr>
            <w:r w:rsidRPr="00E21C60">
              <w:rPr>
                <w:rFonts w:ascii="Arial" w:hAnsi="Arial" w:cs="Arial"/>
                <w:sz w:val="20"/>
                <w:szCs w:val="20"/>
              </w:rPr>
              <w:t xml:space="preserve">                         NUTS I – Slovensko </w:t>
            </w:r>
          </w:p>
          <w:p w14:paraId="1DCBD029" w14:textId="2412697E" w:rsidR="002416B1" w:rsidRPr="00E21C60" w:rsidRDefault="002416B1" w:rsidP="00123376">
            <w:pPr>
              <w:autoSpaceDE w:val="0"/>
              <w:autoSpaceDN w:val="0"/>
              <w:adjustRightInd w:val="0"/>
              <w:rPr>
                <w:rFonts w:ascii="Arial" w:hAnsi="Arial" w:cs="Arial"/>
                <w:sz w:val="20"/>
                <w:szCs w:val="20"/>
              </w:rPr>
            </w:pPr>
            <w:r w:rsidRPr="00E21C60">
              <w:rPr>
                <w:rFonts w:ascii="Arial" w:hAnsi="Arial" w:cs="Arial"/>
                <w:sz w:val="20"/>
                <w:szCs w:val="20"/>
              </w:rPr>
              <w:t>Pre Európsky fond regionálneho rozvoja (ERDF):</w:t>
            </w:r>
          </w:p>
          <w:p w14:paraId="2EFD72C9" w14:textId="77777777" w:rsidR="002416B1" w:rsidRPr="00E21C60" w:rsidRDefault="002416B1" w:rsidP="008226B1">
            <w:pPr>
              <w:autoSpaceDE w:val="0"/>
              <w:autoSpaceDN w:val="0"/>
              <w:adjustRightInd w:val="0"/>
              <w:ind w:left="48"/>
              <w:rPr>
                <w:rFonts w:ascii="Arial" w:hAnsi="Arial" w:cs="Arial"/>
                <w:sz w:val="20"/>
                <w:szCs w:val="20"/>
              </w:rPr>
            </w:pPr>
            <w:r w:rsidRPr="00E21C60">
              <w:rPr>
                <w:rFonts w:ascii="Arial" w:hAnsi="Arial" w:cs="Arial"/>
                <w:sz w:val="20"/>
                <w:szCs w:val="20"/>
              </w:rPr>
              <w:t xml:space="preserve">                        NUTS II - Západné Slovensko</w:t>
            </w:r>
          </w:p>
          <w:p w14:paraId="4C296435" w14:textId="77777777" w:rsidR="002416B1" w:rsidRPr="00E21C60" w:rsidRDefault="002416B1">
            <w:pPr>
              <w:autoSpaceDE w:val="0"/>
              <w:autoSpaceDN w:val="0"/>
              <w:adjustRightInd w:val="0"/>
              <w:rPr>
                <w:rFonts w:ascii="Arial" w:hAnsi="Arial" w:cs="Arial"/>
                <w:sz w:val="20"/>
                <w:szCs w:val="20"/>
              </w:rPr>
            </w:pPr>
            <w:r w:rsidRPr="00E21C60">
              <w:rPr>
                <w:rFonts w:ascii="Arial" w:hAnsi="Arial" w:cs="Arial"/>
                <w:sz w:val="20"/>
                <w:szCs w:val="20"/>
              </w:rPr>
              <w:tab/>
            </w:r>
            <w:r w:rsidRPr="00E21C60">
              <w:rPr>
                <w:rFonts w:ascii="Arial" w:hAnsi="Arial" w:cs="Arial"/>
                <w:sz w:val="20"/>
                <w:szCs w:val="20"/>
              </w:rPr>
              <w:tab/>
            </w:r>
            <w:r w:rsidRPr="00E21C60">
              <w:rPr>
                <w:rFonts w:ascii="Arial" w:hAnsi="Arial" w:cs="Arial"/>
                <w:sz w:val="20"/>
                <w:szCs w:val="20"/>
              </w:rPr>
              <w:tab/>
              <w:t xml:space="preserve">                         NUTS II - Stredné Slovensko </w:t>
            </w:r>
          </w:p>
          <w:p w14:paraId="6AF62143" w14:textId="77777777" w:rsidR="002416B1" w:rsidRPr="00E21C60" w:rsidRDefault="002416B1">
            <w:pPr>
              <w:autoSpaceDE w:val="0"/>
              <w:autoSpaceDN w:val="0"/>
              <w:adjustRightInd w:val="0"/>
              <w:rPr>
                <w:rFonts w:ascii="Arial" w:hAnsi="Arial" w:cs="Arial"/>
                <w:sz w:val="20"/>
                <w:szCs w:val="20"/>
              </w:rPr>
            </w:pPr>
            <w:r w:rsidRPr="00E21C60">
              <w:rPr>
                <w:rFonts w:ascii="Arial" w:hAnsi="Arial" w:cs="Arial"/>
                <w:sz w:val="20"/>
                <w:szCs w:val="20"/>
              </w:rPr>
              <w:tab/>
            </w:r>
            <w:r w:rsidRPr="00E21C60">
              <w:rPr>
                <w:rFonts w:ascii="Arial" w:hAnsi="Arial" w:cs="Arial"/>
                <w:sz w:val="20"/>
                <w:szCs w:val="20"/>
              </w:rPr>
              <w:tab/>
            </w:r>
            <w:r w:rsidRPr="00E21C60">
              <w:rPr>
                <w:rFonts w:ascii="Arial" w:hAnsi="Arial" w:cs="Arial"/>
                <w:sz w:val="20"/>
                <w:szCs w:val="20"/>
              </w:rPr>
              <w:tab/>
              <w:t xml:space="preserve">                         NUTS II - Východné Slovensko</w:t>
            </w:r>
          </w:p>
        </w:tc>
      </w:tr>
      <w:tr w:rsidR="002416B1" w:rsidRPr="00E21C60" w14:paraId="574808C1" w14:textId="77777777" w:rsidTr="00510690">
        <w:trPr>
          <w:trHeight w:val="139"/>
          <w:jc w:val="center"/>
        </w:trPr>
        <w:tc>
          <w:tcPr>
            <w:tcW w:w="2694" w:type="dxa"/>
            <w:vMerge/>
            <w:shd w:val="clear" w:color="auto" w:fill="D6E3BC"/>
            <w:vAlign w:val="center"/>
          </w:tcPr>
          <w:p w14:paraId="2EE9ADA0" w14:textId="77777777" w:rsidR="002416B1" w:rsidRPr="00123376" w:rsidRDefault="002416B1">
            <w:pPr>
              <w:autoSpaceDE w:val="0"/>
              <w:autoSpaceDN w:val="0"/>
              <w:adjustRightInd w:val="0"/>
              <w:rPr>
                <w:rFonts w:ascii="Arial" w:hAnsi="Arial" w:cs="Arial"/>
                <w:sz w:val="20"/>
                <w:szCs w:val="20"/>
              </w:rPr>
            </w:pPr>
          </w:p>
        </w:tc>
        <w:tc>
          <w:tcPr>
            <w:tcW w:w="6336" w:type="dxa"/>
            <w:vAlign w:val="center"/>
          </w:tcPr>
          <w:p w14:paraId="55B68CE5" w14:textId="77777777" w:rsidR="002416B1" w:rsidRPr="00E21C60" w:rsidRDefault="002416B1">
            <w:pPr>
              <w:autoSpaceDE w:val="0"/>
              <w:autoSpaceDN w:val="0"/>
              <w:adjustRightInd w:val="0"/>
              <w:rPr>
                <w:rFonts w:ascii="Arial" w:hAnsi="Arial" w:cs="Arial"/>
                <w:sz w:val="20"/>
                <w:szCs w:val="20"/>
              </w:rPr>
            </w:pPr>
            <w:r w:rsidRPr="002526CC">
              <w:rPr>
                <w:rFonts w:ascii="Arial" w:hAnsi="Arial" w:cs="Arial"/>
                <w:i/>
                <w:sz w:val="20"/>
                <w:szCs w:val="20"/>
              </w:rPr>
              <w:t xml:space="preserve">Programové obdobie: </w:t>
            </w:r>
            <w:r w:rsidRPr="00E21C60">
              <w:rPr>
                <w:rFonts w:ascii="Arial" w:hAnsi="Arial" w:cs="Arial"/>
                <w:sz w:val="20"/>
                <w:szCs w:val="20"/>
              </w:rPr>
              <w:t>2007 – 2013</w:t>
            </w:r>
          </w:p>
        </w:tc>
      </w:tr>
      <w:tr w:rsidR="002416B1" w:rsidRPr="00E21C60" w14:paraId="4786D36C" w14:textId="77777777" w:rsidTr="00510690">
        <w:trPr>
          <w:trHeight w:val="156"/>
          <w:jc w:val="center"/>
        </w:trPr>
        <w:tc>
          <w:tcPr>
            <w:tcW w:w="2694" w:type="dxa"/>
            <w:vMerge/>
            <w:shd w:val="clear" w:color="auto" w:fill="D6E3BC"/>
            <w:vAlign w:val="center"/>
          </w:tcPr>
          <w:p w14:paraId="0184AC9C" w14:textId="77777777" w:rsidR="002416B1" w:rsidRPr="00123376" w:rsidRDefault="002416B1">
            <w:pPr>
              <w:autoSpaceDE w:val="0"/>
              <w:autoSpaceDN w:val="0"/>
              <w:adjustRightInd w:val="0"/>
              <w:rPr>
                <w:rFonts w:ascii="Arial" w:hAnsi="Arial" w:cs="Arial"/>
                <w:sz w:val="20"/>
                <w:szCs w:val="20"/>
              </w:rPr>
            </w:pPr>
          </w:p>
        </w:tc>
        <w:tc>
          <w:tcPr>
            <w:tcW w:w="6336" w:type="dxa"/>
            <w:vAlign w:val="center"/>
          </w:tcPr>
          <w:p w14:paraId="59DE7DA4" w14:textId="77777777" w:rsidR="002416B1" w:rsidRPr="00E21C60" w:rsidRDefault="002416B1">
            <w:pPr>
              <w:autoSpaceDE w:val="0"/>
              <w:autoSpaceDN w:val="0"/>
              <w:adjustRightInd w:val="0"/>
              <w:rPr>
                <w:rFonts w:ascii="Arial" w:hAnsi="Arial" w:cs="Arial"/>
                <w:sz w:val="20"/>
                <w:szCs w:val="20"/>
              </w:rPr>
            </w:pPr>
            <w:r w:rsidRPr="002526CC">
              <w:rPr>
                <w:rFonts w:ascii="Arial" w:hAnsi="Arial" w:cs="Arial"/>
                <w:i/>
                <w:sz w:val="20"/>
                <w:szCs w:val="20"/>
              </w:rPr>
              <w:t xml:space="preserve">Číslo </w:t>
            </w:r>
            <w:r w:rsidRPr="00E21C60">
              <w:rPr>
                <w:rFonts w:ascii="Arial" w:hAnsi="Arial" w:cs="Arial"/>
                <w:i/>
                <w:sz w:val="20"/>
                <w:szCs w:val="20"/>
              </w:rPr>
              <w:t xml:space="preserve">operačného programu (číslo CCI): </w:t>
            </w:r>
            <w:r w:rsidRPr="00E21C60">
              <w:rPr>
                <w:rFonts w:ascii="Arial" w:hAnsi="Arial" w:cs="Arial"/>
                <w:sz w:val="20"/>
                <w:szCs w:val="20"/>
              </w:rPr>
              <w:t>2007SK161PO002</w:t>
            </w:r>
          </w:p>
        </w:tc>
      </w:tr>
      <w:tr w:rsidR="002416B1" w:rsidRPr="00E21C60" w14:paraId="35ACC4DA" w14:textId="77777777" w:rsidTr="00510690">
        <w:trPr>
          <w:trHeight w:val="189"/>
          <w:jc w:val="center"/>
        </w:trPr>
        <w:tc>
          <w:tcPr>
            <w:tcW w:w="2694" w:type="dxa"/>
            <w:vMerge/>
            <w:shd w:val="clear" w:color="auto" w:fill="D6E3BC"/>
            <w:vAlign w:val="center"/>
          </w:tcPr>
          <w:p w14:paraId="1A69A92F" w14:textId="77777777" w:rsidR="002416B1" w:rsidRPr="00123376" w:rsidRDefault="002416B1">
            <w:pPr>
              <w:autoSpaceDE w:val="0"/>
              <w:autoSpaceDN w:val="0"/>
              <w:adjustRightInd w:val="0"/>
              <w:rPr>
                <w:rFonts w:ascii="Arial" w:hAnsi="Arial" w:cs="Arial"/>
                <w:sz w:val="20"/>
                <w:szCs w:val="20"/>
              </w:rPr>
            </w:pPr>
          </w:p>
        </w:tc>
        <w:tc>
          <w:tcPr>
            <w:tcW w:w="6336" w:type="dxa"/>
            <w:vAlign w:val="center"/>
          </w:tcPr>
          <w:p w14:paraId="628C2678" w14:textId="77777777" w:rsidR="002416B1" w:rsidRPr="00E21C60" w:rsidRDefault="002416B1">
            <w:pPr>
              <w:autoSpaceDE w:val="0"/>
              <w:autoSpaceDN w:val="0"/>
              <w:adjustRightInd w:val="0"/>
              <w:rPr>
                <w:rFonts w:ascii="Arial" w:hAnsi="Arial" w:cs="Arial"/>
                <w:sz w:val="20"/>
                <w:szCs w:val="20"/>
              </w:rPr>
            </w:pPr>
            <w:r w:rsidRPr="002526CC">
              <w:rPr>
                <w:rFonts w:ascii="Arial" w:hAnsi="Arial" w:cs="Arial"/>
                <w:i/>
                <w:sz w:val="20"/>
                <w:szCs w:val="20"/>
              </w:rPr>
              <w:t xml:space="preserve">Názov operačného programu: </w:t>
            </w:r>
            <w:r w:rsidRPr="00E21C60">
              <w:rPr>
                <w:rFonts w:ascii="Arial" w:hAnsi="Arial" w:cs="Arial"/>
                <w:sz w:val="20"/>
                <w:szCs w:val="20"/>
              </w:rPr>
              <w:t>Operačný program Životné prostredie</w:t>
            </w:r>
          </w:p>
        </w:tc>
      </w:tr>
      <w:tr w:rsidR="002416B1" w:rsidRPr="00E21C60" w14:paraId="794AF2F9" w14:textId="77777777" w:rsidTr="00123376">
        <w:trPr>
          <w:trHeight w:val="394"/>
          <w:jc w:val="center"/>
        </w:trPr>
        <w:tc>
          <w:tcPr>
            <w:tcW w:w="2694" w:type="dxa"/>
            <w:vMerge w:val="restart"/>
            <w:shd w:val="clear" w:color="auto" w:fill="D6E3BC"/>
            <w:vAlign w:val="center"/>
          </w:tcPr>
          <w:p w14:paraId="4008B151" w14:textId="118299D5" w:rsidR="008031BE" w:rsidRPr="00E21C60" w:rsidRDefault="00403FC7" w:rsidP="008226B1">
            <w:pPr>
              <w:autoSpaceDE w:val="0"/>
              <w:autoSpaceDN w:val="0"/>
              <w:adjustRightInd w:val="0"/>
              <w:jc w:val="center"/>
              <w:rPr>
                <w:rFonts w:ascii="Arial" w:hAnsi="Arial" w:cs="Arial"/>
                <w:sz w:val="20"/>
                <w:szCs w:val="20"/>
              </w:rPr>
            </w:pPr>
            <w:r>
              <w:rPr>
                <w:rFonts w:ascii="Arial" w:hAnsi="Arial" w:cs="Arial"/>
                <w:sz w:val="20"/>
                <w:szCs w:val="20"/>
              </w:rPr>
              <w:t>ZÁVEREČNÁ</w:t>
            </w:r>
            <w:r w:rsidRPr="002526CC">
              <w:rPr>
                <w:rFonts w:ascii="Arial" w:hAnsi="Arial" w:cs="Arial"/>
                <w:sz w:val="20"/>
                <w:szCs w:val="20"/>
              </w:rPr>
              <w:t xml:space="preserve"> </w:t>
            </w:r>
            <w:r w:rsidR="002416B1" w:rsidRPr="002526CC">
              <w:rPr>
                <w:rFonts w:ascii="Arial" w:hAnsi="Arial" w:cs="Arial"/>
                <w:sz w:val="20"/>
                <w:szCs w:val="20"/>
              </w:rPr>
              <w:t>SPRÁVA</w:t>
            </w:r>
          </w:p>
          <w:p w14:paraId="28874D44" w14:textId="77777777" w:rsidR="00920F6D" w:rsidRPr="00E21C60" w:rsidRDefault="002416B1">
            <w:pPr>
              <w:autoSpaceDE w:val="0"/>
              <w:autoSpaceDN w:val="0"/>
              <w:adjustRightInd w:val="0"/>
              <w:jc w:val="center"/>
              <w:rPr>
                <w:rFonts w:ascii="Arial" w:hAnsi="Arial" w:cs="Arial"/>
                <w:sz w:val="20"/>
                <w:szCs w:val="20"/>
              </w:rPr>
            </w:pPr>
            <w:r w:rsidRPr="00E21C60">
              <w:rPr>
                <w:rFonts w:ascii="Arial" w:hAnsi="Arial" w:cs="Arial"/>
                <w:caps/>
                <w:sz w:val="20"/>
                <w:szCs w:val="20"/>
              </w:rPr>
              <w:t>o</w:t>
            </w:r>
            <w:r w:rsidR="00920F6D" w:rsidRPr="00E21C60">
              <w:rPr>
                <w:rFonts w:ascii="Arial" w:hAnsi="Arial" w:cs="Arial"/>
                <w:caps/>
                <w:sz w:val="20"/>
                <w:szCs w:val="20"/>
              </w:rPr>
              <w:t> </w:t>
            </w:r>
            <w:r w:rsidRPr="00E21C60">
              <w:rPr>
                <w:rFonts w:ascii="Arial" w:hAnsi="Arial" w:cs="Arial"/>
                <w:caps/>
                <w:sz w:val="20"/>
                <w:szCs w:val="20"/>
              </w:rPr>
              <w:t>vykonávaní</w:t>
            </w:r>
          </w:p>
          <w:p w14:paraId="69ABDF33" w14:textId="77777777" w:rsidR="00920F6D" w:rsidRPr="00E21C60" w:rsidRDefault="002416B1">
            <w:pPr>
              <w:autoSpaceDE w:val="0"/>
              <w:autoSpaceDN w:val="0"/>
              <w:adjustRightInd w:val="0"/>
              <w:jc w:val="center"/>
              <w:rPr>
                <w:rFonts w:ascii="Arial" w:hAnsi="Arial" w:cs="Arial"/>
                <w:sz w:val="20"/>
                <w:szCs w:val="20"/>
              </w:rPr>
            </w:pPr>
            <w:r w:rsidRPr="00E21C60">
              <w:rPr>
                <w:rFonts w:ascii="Arial" w:hAnsi="Arial" w:cs="Arial"/>
                <w:sz w:val="20"/>
                <w:szCs w:val="20"/>
              </w:rPr>
              <w:t>OPERAČNÉHO</w:t>
            </w:r>
          </w:p>
          <w:p w14:paraId="019E9BE5" w14:textId="77777777" w:rsidR="002416B1" w:rsidRPr="00E21C60" w:rsidRDefault="002416B1">
            <w:pPr>
              <w:autoSpaceDE w:val="0"/>
              <w:autoSpaceDN w:val="0"/>
              <w:adjustRightInd w:val="0"/>
              <w:jc w:val="center"/>
              <w:rPr>
                <w:rFonts w:ascii="Arial" w:hAnsi="Arial" w:cs="Arial"/>
                <w:sz w:val="20"/>
                <w:szCs w:val="20"/>
              </w:rPr>
            </w:pPr>
            <w:r w:rsidRPr="00E21C60">
              <w:rPr>
                <w:rFonts w:ascii="Arial" w:hAnsi="Arial" w:cs="Arial"/>
                <w:sz w:val="20"/>
                <w:szCs w:val="20"/>
              </w:rPr>
              <w:t>PROGRAMU</w:t>
            </w:r>
          </w:p>
        </w:tc>
        <w:tc>
          <w:tcPr>
            <w:tcW w:w="6336" w:type="dxa"/>
            <w:vAlign w:val="center"/>
          </w:tcPr>
          <w:p w14:paraId="3CCF570A" w14:textId="5A5429F6" w:rsidR="002416B1" w:rsidRPr="00E21C60" w:rsidRDefault="002416B1" w:rsidP="00403FC7">
            <w:pPr>
              <w:autoSpaceDE w:val="0"/>
              <w:autoSpaceDN w:val="0"/>
              <w:adjustRightInd w:val="0"/>
              <w:rPr>
                <w:rFonts w:ascii="Arial" w:hAnsi="Arial" w:cs="Arial"/>
                <w:sz w:val="20"/>
                <w:szCs w:val="20"/>
              </w:rPr>
            </w:pPr>
            <w:r w:rsidRPr="00E21C60">
              <w:rPr>
                <w:rFonts w:ascii="Arial" w:hAnsi="Arial" w:cs="Arial"/>
                <w:i/>
                <w:sz w:val="20"/>
                <w:szCs w:val="20"/>
              </w:rPr>
              <w:t>Vykazov</w:t>
            </w:r>
            <w:r w:rsidR="00403FC7">
              <w:rPr>
                <w:rFonts w:ascii="Arial" w:hAnsi="Arial" w:cs="Arial"/>
                <w:i/>
                <w:sz w:val="20"/>
                <w:szCs w:val="20"/>
              </w:rPr>
              <w:t>ané obdobie</w:t>
            </w:r>
            <w:r w:rsidRPr="00E21C60">
              <w:rPr>
                <w:rFonts w:ascii="Arial" w:hAnsi="Arial" w:cs="Arial"/>
                <w:i/>
                <w:sz w:val="20"/>
                <w:szCs w:val="20"/>
              </w:rPr>
              <w:t xml:space="preserve">: </w:t>
            </w:r>
            <w:r w:rsidR="0042303E">
              <w:rPr>
                <w:rFonts w:ascii="Arial" w:hAnsi="Arial" w:cs="Arial"/>
                <w:sz w:val="20"/>
                <w:szCs w:val="20"/>
              </w:rPr>
              <w:t>20</w:t>
            </w:r>
            <w:r w:rsidR="00403FC7">
              <w:rPr>
                <w:rFonts w:ascii="Arial" w:hAnsi="Arial" w:cs="Arial"/>
                <w:sz w:val="20"/>
                <w:szCs w:val="20"/>
              </w:rPr>
              <w:t>07 - 2016</w:t>
            </w:r>
          </w:p>
        </w:tc>
      </w:tr>
      <w:tr w:rsidR="002416B1" w:rsidRPr="00E21C60" w14:paraId="54D41A04" w14:textId="77777777" w:rsidTr="00123376">
        <w:trPr>
          <w:trHeight w:val="20"/>
          <w:jc w:val="center"/>
        </w:trPr>
        <w:tc>
          <w:tcPr>
            <w:tcW w:w="2694" w:type="dxa"/>
            <w:vMerge/>
            <w:shd w:val="clear" w:color="auto" w:fill="D6E3BC"/>
            <w:vAlign w:val="center"/>
          </w:tcPr>
          <w:p w14:paraId="4B5825AE" w14:textId="77777777" w:rsidR="002416B1" w:rsidRPr="00123376" w:rsidRDefault="002416B1">
            <w:pPr>
              <w:autoSpaceDE w:val="0"/>
              <w:autoSpaceDN w:val="0"/>
              <w:adjustRightInd w:val="0"/>
              <w:rPr>
                <w:rFonts w:ascii="Arial" w:hAnsi="Arial" w:cs="Arial"/>
                <w:sz w:val="20"/>
                <w:szCs w:val="20"/>
              </w:rPr>
            </w:pPr>
          </w:p>
        </w:tc>
        <w:tc>
          <w:tcPr>
            <w:tcW w:w="6336" w:type="dxa"/>
            <w:vAlign w:val="center"/>
          </w:tcPr>
          <w:p w14:paraId="26DB019D" w14:textId="4AEFD3DE" w:rsidR="00254DE5" w:rsidRDefault="002416B1" w:rsidP="00254DE5">
            <w:pPr>
              <w:rPr>
                <w:rFonts w:ascii="Arial" w:hAnsi="Arial" w:cs="Arial"/>
                <w:i/>
                <w:sz w:val="20"/>
                <w:szCs w:val="20"/>
              </w:rPr>
            </w:pPr>
            <w:r w:rsidRPr="002526CC">
              <w:rPr>
                <w:rFonts w:ascii="Arial" w:hAnsi="Arial" w:cs="Arial"/>
                <w:i/>
                <w:sz w:val="20"/>
                <w:szCs w:val="20"/>
              </w:rPr>
              <w:t xml:space="preserve">Dátum schválenia </w:t>
            </w:r>
            <w:r w:rsidR="00B57CE6">
              <w:rPr>
                <w:rFonts w:ascii="Arial" w:hAnsi="Arial" w:cs="Arial"/>
                <w:i/>
                <w:sz w:val="20"/>
                <w:szCs w:val="20"/>
              </w:rPr>
              <w:t>záverečnej</w:t>
            </w:r>
            <w:r w:rsidRPr="002526CC">
              <w:rPr>
                <w:rFonts w:ascii="Arial" w:hAnsi="Arial" w:cs="Arial"/>
                <w:i/>
                <w:sz w:val="20"/>
                <w:szCs w:val="20"/>
              </w:rPr>
              <w:t xml:space="preserve"> správy </w:t>
            </w:r>
          </w:p>
          <w:p w14:paraId="157F6F0E" w14:textId="3AB266C7" w:rsidR="002416B1" w:rsidRPr="00254DE5" w:rsidRDefault="002416B1" w:rsidP="00F410CF">
            <w:pPr>
              <w:rPr>
                <w:rFonts w:ascii="Arial" w:hAnsi="Arial" w:cs="Arial"/>
                <w:i/>
                <w:sz w:val="20"/>
                <w:szCs w:val="20"/>
              </w:rPr>
            </w:pPr>
            <w:r w:rsidRPr="002526CC">
              <w:rPr>
                <w:rFonts w:ascii="Arial" w:hAnsi="Arial" w:cs="Arial"/>
                <w:i/>
                <w:sz w:val="20"/>
                <w:szCs w:val="20"/>
              </w:rPr>
              <w:t xml:space="preserve">monitorovacím výborom: </w:t>
            </w:r>
          </w:p>
        </w:tc>
      </w:tr>
    </w:tbl>
    <w:p w14:paraId="7DDE10B3" w14:textId="77777777" w:rsidR="008226A1" w:rsidRDefault="002416B1" w:rsidP="00123376">
      <w:pPr>
        <w:spacing w:before="120" w:after="120"/>
        <w:jc w:val="both"/>
        <w:rPr>
          <w:rFonts w:ascii="Arial" w:hAnsi="Arial" w:cs="Arial"/>
          <w:sz w:val="20"/>
          <w:szCs w:val="20"/>
        </w:rPr>
      </w:pPr>
      <w:r w:rsidRPr="00F87D11">
        <w:rPr>
          <w:rFonts w:ascii="Arial" w:hAnsi="Arial" w:cs="Arial"/>
          <w:sz w:val="20"/>
          <w:szCs w:val="20"/>
        </w:rPr>
        <w:t xml:space="preserve">Globálnym cieľom </w:t>
      </w:r>
      <w:r w:rsidR="00CC3074" w:rsidRPr="00F87D11">
        <w:rPr>
          <w:rFonts w:ascii="Arial" w:hAnsi="Arial" w:cs="Arial"/>
          <w:sz w:val="20"/>
          <w:szCs w:val="20"/>
        </w:rPr>
        <w:t>Operačného programu Životné prostredie</w:t>
      </w:r>
      <w:r w:rsidR="00CC3074" w:rsidRPr="008226A1">
        <w:rPr>
          <w:rFonts w:ascii="Arial" w:hAnsi="Arial" w:cs="Arial"/>
          <w:sz w:val="20"/>
          <w:szCs w:val="20"/>
        </w:rPr>
        <w:t xml:space="preserve"> (OP ŽP)</w:t>
      </w:r>
      <w:r w:rsidR="008226A1">
        <w:rPr>
          <w:rFonts w:ascii="Arial" w:hAnsi="Arial" w:cs="Arial"/>
          <w:sz w:val="20"/>
          <w:szCs w:val="20"/>
        </w:rPr>
        <w:t xml:space="preserve">, </w:t>
      </w:r>
      <w:r w:rsidR="008226A1">
        <w:rPr>
          <w:rFonts w:ascii="Arial" w:hAnsi="Arial" w:cs="Arial"/>
          <w:sz w:val="20"/>
          <w:szCs w:val="20"/>
          <w:u w:val="single"/>
        </w:rPr>
        <w:t>na plnenie ktorého smerovala podpora z fondov Európskej únie (EÚ),</w:t>
      </w:r>
      <w:r w:rsidRPr="008226A1">
        <w:rPr>
          <w:rFonts w:ascii="Arial" w:hAnsi="Arial" w:cs="Arial"/>
          <w:sz w:val="20"/>
          <w:szCs w:val="20"/>
        </w:rPr>
        <w:t xml:space="preserve"> </w:t>
      </w:r>
      <w:r w:rsidR="00122AEE" w:rsidRPr="008226A1">
        <w:rPr>
          <w:rFonts w:ascii="Arial" w:hAnsi="Arial" w:cs="Arial"/>
          <w:sz w:val="20"/>
          <w:szCs w:val="20"/>
        </w:rPr>
        <w:t xml:space="preserve">bolo </w:t>
      </w:r>
      <w:r w:rsidRPr="008226A1">
        <w:rPr>
          <w:rFonts w:ascii="Arial" w:hAnsi="Arial" w:cs="Arial"/>
          <w:sz w:val="20"/>
          <w:szCs w:val="20"/>
        </w:rPr>
        <w:t xml:space="preserve">zlepšenie stavu životného prostredia a racionálneho využívania zdrojov prostredníctvom dobudovania a skvalitnenia environmentálnej infraštruktúry SR v zmysle predpisov EÚ a SR a posilnenie efektívnosti environmentálnej zložky trvalo udržateľného rozvoja. </w:t>
      </w:r>
    </w:p>
    <w:p w14:paraId="67F6F28D" w14:textId="4B338F86" w:rsidR="002416B1" w:rsidRPr="008226A1" w:rsidRDefault="002416B1" w:rsidP="00123376">
      <w:pPr>
        <w:spacing w:before="120" w:after="120"/>
        <w:jc w:val="both"/>
        <w:rPr>
          <w:rFonts w:ascii="Arial" w:hAnsi="Arial" w:cs="Arial"/>
          <w:sz w:val="20"/>
          <w:szCs w:val="20"/>
        </w:rPr>
      </w:pPr>
      <w:r w:rsidRPr="008226A1">
        <w:rPr>
          <w:rFonts w:ascii="Arial" w:hAnsi="Arial" w:cs="Arial"/>
          <w:sz w:val="20"/>
          <w:szCs w:val="20"/>
        </w:rPr>
        <w:t xml:space="preserve">Globálny cieľ OP ŽP </w:t>
      </w:r>
      <w:r w:rsidR="00122AEE" w:rsidRPr="008226A1">
        <w:rPr>
          <w:rFonts w:ascii="Arial" w:hAnsi="Arial" w:cs="Arial"/>
          <w:sz w:val="20"/>
          <w:szCs w:val="20"/>
        </w:rPr>
        <w:t xml:space="preserve">bol </w:t>
      </w:r>
      <w:r w:rsidRPr="008226A1">
        <w:rPr>
          <w:rFonts w:ascii="Arial" w:hAnsi="Arial" w:cs="Arial"/>
          <w:sz w:val="20"/>
          <w:szCs w:val="20"/>
        </w:rPr>
        <w:t>napĺňaný prostredníctvom špecifických cieľov, ktorým zodpovedajú jednotlivé prioritné osi.</w:t>
      </w:r>
    </w:p>
    <w:p w14:paraId="07C40908" w14:textId="67FFEB67" w:rsidR="00442ED4" w:rsidRPr="00E21C60" w:rsidRDefault="00DC596E" w:rsidP="00123376">
      <w:pPr>
        <w:spacing w:before="120" w:after="120"/>
        <w:jc w:val="both"/>
        <w:rPr>
          <w:rFonts w:ascii="Arial" w:hAnsi="Arial" w:cs="Arial"/>
          <w:sz w:val="20"/>
          <w:szCs w:val="20"/>
        </w:rPr>
      </w:pPr>
      <w:r>
        <w:rPr>
          <w:rFonts w:ascii="Arial" w:hAnsi="Arial" w:cs="Arial"/>
          <w:sz w:val="20"/>
          <w:szCs w:val="20"/>
        </w:rPr>
        <w:t>Záverečná</w:t>
      </w:r>
      <w:r w:rsidR="00442ED4" w:rsidRPr="00442ED4">
        <w:rPr>
          <w:rFonts w:ascii="Arial" w:hAnsi="Arial" w:cs="Arial"/>
          <w:sz w:val="20"/>
          <w:szCs w:val="20"/>
        </w:rPr>
        <w:t xml:space="preserve"> správa o vykonávaní </w:t>
      </w:r>
      <w:r w:rsidR="00442ED4">
        <w:rPr>
          <w:rFonts w:ascii="Arial" w:hAnsi="Arial" w:cs="Arial"/>
          <w:sz w:val="20"/>
          <w:szCs w:val="20"/>
        </w:rPr>
        <w:t>OP ŽP</w:t>
      </w:r>
      <w:r w:rsidR="00442ED4" w:rsidRPr="00442ED4">
        <w:rPr>
          <w:rFonts w:ascii="Arial" w:hAnsi="Arial" w:cs="Arial"/>
          <w:sz w:val="20"/>
          <w:szCs w:val="20"/>
        </w:rPr>
        <w:t xml:space="preserve"> sa zameriava na stav</w:t>
      </w:r>
      <w:r w:rsidR="008226A1">
        <w:rPr>
          <w:rFonts w:ascii="Arial" w:hAnsi="Arial" w:cs="Arial"/>
          <w:sz w:val="20"/>
          <w:szCs w:val="20"/>
        </w:rPr>
        <w:t xml:space="preserve"> a výsledky </w:t>
      </w:r>
      <w:r w:rsidR="00442ED4" w:rsidRPr="00442ED4">
        <w:rPr>
          <w:rFonts w:ascii="Arial" w:hAnsi="Arial" w:cs="Arial"/>
          <w:sz w:val="20"/>
          <w:szCs w:val="20"/>
        </w:rPr>
        <w:t>vykonávan</w:t>
      </w:r>
      <w:r w:rsidR="008226A1">
        <w:rPr>
          <w:rFonts w:ascii="Arial" w:hAnsi="Arial" w:cs="Arial"/>
          <w:sz w:val="20"/>
          <w:szCs w:val="20"/>
        </w:rPr>
        <w:t>ia</w:t>
      </w:r>
      <w:r w:rsidR="00442ED4" w:rsidRPr="00442ED4">
        <w:rPr>
          <w:rFonts w:ascii="Arial" w:hAnsi="Arial" w:cs="Arial"/>
          <w:sz w:val="20"/>
          <w:szCs w:val="20"/>
        </w:rPr>
        <w:t xml:space="preserve"> </w:t>
      </w:r>
      <w:r w:rsidR="00CC3074">
        <w:rPr>
          <w:rFonts w:ascii="Arial" w:hAnsi="Arial" w:cs="Arial"/>
          <w:sz w:val="20"/>
          <w:szCs w:val="20"/>
        </w:rPr>
        <w:t>programu</w:t>
      </w:r>
      <w:r w:rsidR="00442ED4">
        <w:rPr>
          <w:rFonts w:ascii="Arial" w:hAnsi="Arial" w:cs="Arial"/>
          <w:sz w:val="20"/>
          <w:szCs w:val="20"/>
        </w:rPr>
        <w:br/>
      </w:r>
      <w:r>
        <w:rPr>
          <w:rFonts w:ascii="Arial" w:hAnsi="Arial" w:cs="Arial"/>
          <w:sz w:val="20"/>
          <w:szCs w:val="20"/>
        </w:rPr>
        <w:t>za obdobie 2007 - 2016</w:t>
      </w:r>
      <w:r w:rsidR="00442ED4">
        <w:rPr>
          <w:rStyle w:val="Odkaznapoznmkupodiarou"/>
          <w:rFonts w:ascii="Arial" w:hAnsi="Arial" w:cs="Arial"/>
          <w:sz w:val="20"/>
          <w:szCs w:val="20"/>
        </w:rPr>
        <w:footnoteReference w:id="1"/>
      </w:r>
      <w:r w:rsidR="00442ED4" w:rsidRPr="00442ED4">
        <w:rPr>
          <w:rFonts w:ascii="Arial" w:hAnsi="Arial" w:cs="Arial"/>
          <w:sz w:val="20"/>
          <w:szCs w:val="20"/>
        </w:rPr>
        <w:t>.</w:t>
      </w:r>
      <w:r w:rsidR="00486BBE">
        <w:rPr>
          <w:rFonts w:ascii="Arial" w:hAnsi="Arial" w:cs="Arial"/>
          <w:sz w:val="20"/>
          <w:szCs w:val="20"/>
        </w:rPr>
        <w:t xml:space="preserve"> </w:t>
      </w:r>
    </w:p>
    <w:p w14:paraId="069B2A69" w14:textId="77777777" w:rsidR="002416B1" w:rsidRPr="00E21C60" w:rsidRDefault="002416B1" w:rsidP="00123376">
      <w:pPr>
        <w:spacing w:before="120"/>
        <w:jc w:val="both"/>
        <w:rPr>
          <w:rFonts w:ascii="Arial" w:hAnsi="Arial" w:cs="Arial"/>
          <w:sz w:val="20"/>
          <w:szCs w:val="20"/>
        </w:rPr>
      </w:pPr>
      <w:r w:rsidRPr="00E21C60">
        <w:rPr>
          <w:rFonts w:ascii="Arial" w:hAnsi="Arial" w:cs="Arial"/>
          <w:sz w:val="20"/>
          <w:szCs w:val="20"/>
        </w:rPr>
        <w:t>Tab</w:t>
      </w:r>
      <w:r w:rsidR="001E719B" w:rsidRPr="00E21C60">
        <w:rPr>
          <w:rFonts w:ascii="Arial" w:hAnsi="Arial" w:cs="Arial"/>
          <w:sz w:val="20"/>
          <w:szCs w:val="20"/>
        </w:rPr>
        <w:t>uľka</w:t>
      </w:r>
      <w:r w:rsidRPr="00E21C60">
        <w:rPr>
          <w:rFonts w:ascii="Arial" w:hAnsi="Arial" w:cs="Arial"/>
          <w:sz w:val="20"/>
          <w:szCs w:val="20"/>
        </w:rPr>
        <w:t xml:space="preserve"> č. 2: Prioritné osi OP ŽP</w:t>
      </w: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12"/>
        <w:gridCol w:w="1965"/>
      </w:tblGrid>
      <w:tr w:rsidR="002416B1" w:rsidRPr="00E21C60" w14:paraId="5FFF91E0" w14:textId="77777777" w:rsidTr="00123376">
        <w:trPr>
          <w:trHeight w:val="412"/>
          <w:jc w:val="center"/>
        </w:trPr>
        <w:tc>
          <w:tcPr>
            <w:tcW w:w="7112" w:type="dxa"/>
            <w:shd w:val="clear" w:color="auto" w:fill="D6E3BC"/>
            <w:vAlign w:val="center"/>
          </w:tcPr>
          <w:p w14:paraId="09B6C1F5" w14:textId="77777777" w:rsidR="002416B1" w:rsidRPr="00123376" w:rsidRDefault="002416B1" w:rsidP="008226B1">
            <w:pPr>
              <w:rPr>
                <w:rFonts w:ascii="Arial" w:hAnsi="Arial" w:cs="Arial"/>
                <w:sz w:val="18"/>
                <w:szCs w:val="18"/>
              </w:rPr>
            </w:pPr>
            <w:r w:rsidRPr="00123376">
              <w:rPr>
                <w:rFonts w:ascii="Arial" w:hAnsi="Arial" w:cs="Arial"/>
                <w:b/>
                <w:sz w:val="18"/>
                <w:szCs w:val="18"/>
              </w:rPr>
              <w:t>Názov prioritnej osi OP ŽP</w:t>
            </w:r>
          </w:p>
        </w:tc>
        <w:tc>
          <w:tcPr>
            <w:tcW w:w="1965" w:type="dxa"/>
            <w:shd w:val="clear" w:color="auto" w:fill="D6E3BC"/>
            <w:vAlign w:val="center"/>
          </w:tcPr>
          <w:p w14:paraId="433B963E" w14:textId="77777777" w:rsidR="002416B1" w:rsidRPr="00123376" w:rsidRDefault="002416B1">
            <w:pPr>
              <w:jc w:val="center"/>
              <w:rPr>
                <w:rFonts w:ascii="Arial" w:hAnsi="Arial" w:cs="Arial"/>
                <w:b/>
                <w:sz w:val="18"/>
                <w:szCs w:val="18"/>
              </w:rPr>
            </w:pPr>
            <w:r w:rsidRPr="00123376">
              <w:rPr>
                <w:rFonts w:ascii="Arial" w:hAnsi="Arial" w:cs="Arial"/>
                <w:b/>
                <w:sz w:val="18"/>
                <w:szCs w:val="18"/>
              </w:rPr>
              <w:t>Zdroj financovania</w:t>
            </w:r>
          </w:p>
        </w:tc>
      </w:tr>
      <w:tr w:rsidR="002416B1" w:rsidRPr="00E21C60" w14:paraId="461622CF" w14:textId="77777777" w:rsidTr="00123376">
        <w:trPr>
          <w:trHeight w:val="284"/>
          <w:jc w:val="center"/>
        </w:trPr>
        <w:tc>
          <w:tcPr>
            <w:tcW w:w="7112" w:type="dxa"/>
            <w:shd w:val="clear" w:color="auto" w:fill="EAF1DD"/>
            <w:vAlign w:val="center"/>
          </w:tcPr>
          <w:p w14:paraId="6A8C37E8" w14:textId="77777777" w:rsidR="002416B1" w:rsidRPr="00123376" w:rsidRDefault="002416B1" w:rsidP="008226B1">
            <w:pPr>
              <w:tabs>
                <w:tab w:val="num" w:pos="0"/>
              </w:tabs>
              <w:rPr>
                <w:rFonts w:ascii="Arial" w:hAnsi="Arial" w:cs="Arial"/>
                <w:sz w:val="18"/>
                <w:szCs w:val="18"/>
              </w:rPr>
            </w:pPr>
            <w:r w:rsidRPr="00123376">
              <w:rPr>
                <w:rFonts w:ascii="Arial" w:hAnsi="Arial" w:cs="Arial"/>
                <w:sz w:val="18"/>
                <w:szCs w:val="18"/>
              </w:rPr>
              <w:t xml:space="preserve">Prioritná os 1 Integrovaná ochrana a racionálne využívanie vôd </w:t>
            </w:r>
          </w:p>
        </w:tc>
        <w:tc>
          <w:tcPr>
            <w:tcW w:w="1965" w:type="dxa"/>
            <w:vAlign w:val="center"/>
          </w:tcPr>
          <w:p w14:paraId="2049B0F3" w14:textId="77777777" w:rsidR="002416B1" w:rsidRPr="00123376" w:rsidRDefault="002416B1">
            <w:pPr>
              <w:jc w:val="center"/>
              <w:rPr>
                <w:rFonts w:ascii="Arial" w:hAnsi="Arial" w:cs="Arial"/>
                <w:sz w:val="18"/>
                <w:szCs w:val="18"/>
              </w:rPr>
            </w:pPr>
            <w:r w:rsidRPr="00123376">
              <w:rPr>
                <w:rFonts w:ascii="Arial" w:hAnsi="Arial" w:cs="Arial"/>
                <w:sz w:val="18"/>
                <w:szCs w:val="18"/>
              </w:rPr>
              <w:t>KF</w:t>
            </w:r>
          </w:p>
        </w:tc>
      </w:tr>
      <w:tr w:rsidR="002416B1" w:rsidRPr="00E21C60" w14:paraId="70315158" w14:textId="77777777" w:rsidTr="00123376">
        <w:trPr>
          <w:trHeight w:val="284"/>
          <w:jc w:val="center"/>
        </w:trPr>
        <w:tc>
          <w:tcPr>
            <w:tcW w:w="7112" w:type="dxa"/>
            <w:shd w:val="clear" w:color="auto" w:fill="EAF1DD"/>
            <w:vAlign w:val="center"/>
          </w:tcPr>
          <w:p w14:paraId="5A423271" w14:textId="77777777" w:rsidR="002416B1" w:rsidRPr="00123376" w:rsidRDefault="002416B1" w:rsidP="008226B1">
            <w:pPr>
              <w:tabs>
                <w:tab w:val="num" w:pos="0"/>
              </w:tabs>
              <w:rPr>
                <w:rFonts w:ascii="Arial" w:hAnsi="Arial" w:cs="Arial"/>
                <w:sz w:val="18"/>
                <w:szCs w:val="18"/>
              </w:rPr>
            </w:pPr>
            <w:r w:rsidRPr="00123376">
              <w:rPr>
                <w:rFonts w:ascii="Arial" w:hAnsi="Arial" w:cs="Arial"/>
                <w:sz w:val="18"/>
                <w:szCs w:val="18"/>
              </w:rPr>
              <w:t>Prioritná os 2 Ochrana pred povodňami</w:t>
            </w:r>
          </w:p>
        </w:tc>
        <w:tc>
          <w:tcPr>
            <w:tcW w:w="1965" w:type="dxa"/>
            <w:vAlign w:val="center"/>
          </w:tcPr>
          <w:p w14:paraId="389611B0" w14:textId="77777777" w:rsidR="002416B1" w:rsidRPr="00123376" w:rsidRDefault="002416B1">
            <w:pPr>
              <w:jc w:val="center"/>
              <w:rPr>
                <w:rFonts w:ascii="Arial" w:hAnsi="Arial" w:cs="Arial"/>
                <w:sz w:val="18"/>
                <w:szCs w:val="18"/>
              </w:rPr>
            </w:pPr>
            <w:r w:rsidRPr="00123376">
              <w:rPr>
                <w:rFonts w:ascii="Arial" w:hAnsi="Arial" w:cs="Arial"/>
                <w:sz w:val="18"/>
                <w:szCs w:val="18"/>
              </w:rPr>
              <w:t>KF</w:t>
            </w:r>
          </w:p>
        </w:tc>
      </w:tr>
      <w:tr w:rsidR="002416B1" w:rsidRPr="00E21C60" w14:paraId="7A331B7E" w14:textId="77777777" w:rsidTr="00123376">
        <w:trPr>
          <w:trHeight w:val="284"/>
          <w:jc w:val="center"/>
        </w:trPr>
        <w:tc>
          <w:tcPr>
            <w:tcW w:w="7112" w:type="dxa"/>
            <w:shd w:val="clear" w:color="auto" w:fill="EAF1DD"/>
            <w:vAlign w:val="center"/>
          </w:tcPr>
          <w:p w14:paraId="2F0A96F4" w14:textId="77777777" w:rsidR="002416B1" w:rsidRPr="00123376" w:rsidRDefault="002416B1" w:rsidP="008226B1">
            <w:pPr>
              <w:tabs>
                <w:tab w:val="num" w:pos="0"/>
              </w:tabs>
              <w:rPr>
                <w:rFonts w:ascii="Arial" w:hAnsi="Arial" w:cs="Arial"/>
                <w:sz w:val="18"/>
                <w:szCs w:val="18"/>
              </w:rPr>
            </w:pPr>
            <w:r w:rsidRPr="00123376">
              <w:rPr>
                <w:rFonts w:ascii="Arial" w:hAnsi="Arial" w:cs="Arial"/>
                <w:sz w:val="18"/>
                <w:szCs w:val="18"/>
              </w:rPr>
              <w:t xml:space="preserve">Prioritná os 3 </w:t>
            </w:r>
            <w:r w:rsidRPr="00123376">
              <w:rPr>
                <w:rFonts w:ascii="Arial" w:hAnsi="Arial" w:cs="Arial"/>
                <w:bCs/>
                <w:sz w:val="18"/>
                <w:szCs w:val="18"/>
              </w:rPr>
              <w:t xml:space="preserve">Ochrana ovzdušia a minimalizácia nepriaznivých vplyvov zmeny klímy </w:t>
            </w:r>
          </w:p>
        </w:tc>
        <w:tc>
          <w:tcPr>
            <w:tcW w:w="1965" w:type="dxa"/>
            <w:vAlign w:val="center"/>
          </w:tcPr>
          <w:p w14:paraId="444DDD64" w14:textId="77777777" w:rsidR="002416B1" w:rsidRPr="00123376" w:rsidRDefault="002416B1">
            <w:pPr>
              <w:jc w:val="center"/>
              <w:rPr>
                <w:rFonts w:ascii="Arial" w:hAnsi="Arial" w:cs="Arial"/>
                <w:sz w:val="18"/>
                <w:szCs w:val="18"/>
              </w:rPr>
            </w:pPr>
            <w:r w:rsidRPr="00123376">
              <w:rPr>
                <w:rFonts w:ascii="Arial" w:hAnsi="Arial" w:cs="Arial"/>
                <w:sz w:val="18"/>
                <w:szCs w:val="18"/>
              </w:rPr>
              <w:t>ERDF</w:t>
            </w:r>
          </w:p>
        </w:tc>
      </w:tr>
      <w:tr w:rsidR="002416B1" w:rsidRPr="00E21C60" w14:paraId="3C5EF560" w14:textId="77777777" w:rsidTr="00123376">
        <w:trPr>
          <w:trHeight w:val="284"/>
          <w:jc w:val="center"/>
        </w:trPr>
        <w:tc>
          <w:tcPr>
            <w:tcW w:w="7112" w:type="dxa"/>
            <w:shd w:val="clear" w:color="auto" w:fill="EAF1DD"/>
            <w:vAlign w:val="center"/>
          </w:tcPr>
          <w:p w14:paraId="15B2ACA2" w14:textId="77777777" w:rsidR="002416B1" w:rsidRPr="00123376" w:rsidRDefault="002416B1" w:rsidP="008226B1">
            <w:pPr>
              <w:tabs>
                <w:tab w:val="num" w:pos="0"/>
              </w:tabs>
              <w:rPr>
                <w:rFonts w:ascii="Arial" w:hAnsi="Arial" w:cs="Arial"/>
                <w:sz w:val="18"/>
                <w:szCs w:val="18"/>
              </w:rPr>
            </w:pPr>
            <w:r w:rsidRPr="00123376">
              <w:rPr>
                <w:rFonts w:ascii="Arial" w:hAnsi="Arial" w:cs="Arial"/>
                <w:sz w:val="18"/>
                <w:szCs w:val="18"/>
              </w:rPr>
              <w:t xml:space="preserve">Prioritná os 4 </w:t>
            </w:r>
            <w:r w:rsidRPr="00123376">
              <w:rPr>
                <w:rFonts w:ascii="Arial" w:hAnsi="Arial" w:cs="Arial"/>
                <w:bCs/>
                <w:sz w:val="18"/>
                <w:szCs w:val="18"/>
              </w:rPr>
              <w:t>Odpadové hospodárstvo</w:t>
            </w:r>
          </w:p>
        </w:tc>
        <w:tc>
          <w:tcPr>
            <w:tcW w:w="1965" w:type="dxa"/>
            <w:vAlign w:val="center"/>
          </w:tcPr>
          <w:p w14:paraId="02958012" w14:textId="77777777" w:rsidR="002416B1" w:rsidRPr="00123376" w:rsidRDefault="002416B1">
            <w:pPr>
              <w:jc w:val="center"/>
              <w:rPr>
                <w:rFonts w:ascii="Arial" w:hAnsi="Arial" w:cs="Arial"/>
                <w:sz w:val="18"/>
                <w:szCs w:val="18"/>
              </w:rPr>
            </w:pPr>
            <w:r w:rsidRPr="00123376">
              <w:rPr>
                <w:rFonts w:ascii="Arial" w:hAnsi="Arial" w:cs="Arial"/>
                <w:sz w:val="18"/>
                <w:szCs w:val="18"/>
              </w:rPr>
              <w:t>KF</w:t>
            </w:r>
          </w:p>
        </w:tc>
      </w:tr>
      <w:tr w:rsidR="002416B1" w:rsidRPr="00E21C60" w14:paraId="14958B8C" w14:textId="77777777" w:rsidTr="00123376">
        <w:trPr>
          <w:trHeight w:val="284"/>
          <w:jc w:val="center"/>
        </w:trPr>
        <w:tc>
          <w:tcPr>
            <w:tcW w:w="7112" w:type="dxa"/>
            <w:shd w:val="clear" w:color="auto" w:fill="EAF1DD"/>
            <w:vAlign w:val="center"/>
          </w:tcPr>
          <w:p w14:paraId="21F83E9E" w14:textId="77777777" w:rsidR="002416B1" w:rsidRPr="00123376" w:rsidRDefault="002416B1" w:rsidP="008226B1">
            <w:pPr>
              <w:tabs>
                <w:tab w:val="num" w:pos="0"/>
              </w:tabs>
              <w:rPr>
                <w:rFonts w:ascii="Arial" w:hAnsi="Arial" w:cs="Arial"/>
                <w:sz w:val="18"/>
                <w:szCs w:val="18"/>
              </w:rPr>
            </w:pPr>
            <w:r w:rsidRPr="00123376">
              <w:rPr>
                <w:rFonts w:ascii="Arial" w:hAnsi="Arial" w:cs="Arial"/>
                <w:sz w:val="18"/>
                <w:szCs w:val="18"/>
              </w:rPr>
              <w:t xml:space="preserve">Prioritná os </w:t>
            </w:r>
            <w:bookmarkStart w:id="1" w:name="OLE_LINK3"/>
            <w:bookmarkStart w:id="2" w:name="OLE_LINK4"/>
            <w:r w:rsidRPr="00123376">
              <w:rPr>
                <w:rFonts w:ascii="Arial" w:hAnsi="Arial" w:cs="Arial"/>
                <w:sz w:val="18"/>
                <w:szCs w:val="18"/>
              </w:rPr>
              <w:t xml:space="preserve">5 </w:t>
            </w:r>
            <w:r w:rsidRPr="00123376">
              <w:rPr>
                <w:rFonts w:ascii="Arial" w:hAnsi="Arial" w:cs="Arial"/>
                <w:bCs/>
                <w:sz w:val="18"/>
                <w:szCs w:val="18"/>
              </w:rPr>
              <w:t>Ochrana a regenerácia prírodného prostredia a krajiny</w:t>
            </w:r>
            <w:bookmarkEnd w:id="1"/>
            <w:bookmarkEnd w:id="2"/>
          </w:p>
        </w:tc>
        <w:tc>
          <w:tcPr>
            <w:tcW w:w="1965" w:type="dxa"/>
            <w:vAlign w:val="center"/>
          </w:tcPr>
          <w:p w14:paraId="4B86FC9A" w14:textId="77777777" w:rsidR="002416B1" w:rsidRPr="00123376" w:rsidRDefault="002416B1">
            <w:pPr>
              <w:jc w:val="center"/>
              <w:rPr>
                <w:rFonts w:ascii="Arial" w:hAnsi="Arial" w:cs="Arial"/>
                <w:sz w:val="18"/>
                <w:szCs w:val="18"/>
              </w:rPr>
            </w:pPr>
            <w:r w:rsidRPr="00123376">
              <w:rPr>
                <w:rFonts w:ascii="Arial" w:hAnsi="Arial" w:cs="Arial"/>
                <w:sz w:val="18"/>
                <w:szCs w:val="18"/>
              </w:rPr>
              <w:t>ERDF</w:t>
            </w:r>
          </w:p>
        </w:tc>
      </w:tr>
      <w:tr w:rsidR="002416B1" w:rsidRPr="00E21C60" w14:paraId="5E8EE494" w14:textId="77777777" w:rsidTr="00123376">
        <w:trPr>
          <w:trHeight w:val="284"/>
          <w:jc w:val="center"/>
        </w:trPr>
        <w:tc>
          <w:tcPr>
            <w:tcW w:w="7112" w:type="dxa"/>
            <w:shd w:val="clear" w:color="auto" w:fill="EAF1DD"/>
            <w:vAlign w:val="center"/>
          </w:tcPr>
          <w:p w14:paraId="4817270A" w14:textId="77777777" w:rsidR="002416B1" w:rsidRPr="00123376" w:rsidRDefault="002416B1" w:rsidP="008226B1">
            <w:pPr>
              <w:tabs>
                <w:tab w:val="num" w:pos="0"/>
              </w:tabs>
              <w:rPr>
                <w:rFonts w:ascii="Arial" w:hAnsi="Arial" w:cs="Arial"/>
                <w:sz w:val="18"/>
                <w:szCs w:val="18"/>
              </w:rPr>
            </w:pPr>
            <w:r w:rsidRPr="00123376">
              <w:rPr>
                <w:rFonts w:ascii="Arial" w:hAnsi="Arial" w:cs="Arial"/>
                <w:sz w:val="18"/>
                <w:szCs w:val="18"/>
              </w:rPr>
              <w:t xml:space="preserve">Prioritná os 6 </w:t>
            </w:r>
            <w:r w:rsidRPr="00123376">
              <w:rPr>
                <w:rFonts w:ascii="Arial" w:hAnsi="Arial" w:cs="Arial"/>
                <w:bCs/>
                <w:sz w:val="18"/>
                <w:szCs w:val="18"/>
              </w:rPr>
              <w:t xml:space="preserve">Technická pomoc </w:t>
            </w:r>
          </w:p>
        </w:tc>
        <w:tc>
          <w:tcPr>
            <w:tcW w:w="1965" w:type="dxa"/>
            <w:vAlign w:val="center"/>
          </w:tcPr>
          <w:p w14:paraId="3B4198C7" w14:textId="77777777" w:rsidR="002416B1" w:rsidRPr="00123376" w:rsidRDefault="002416B1">
            <w:pPr>
              <w:jc w:val="center"/>
              <w:rPr>
                <w:rFonts w:ascii="Arial" w:hAnsi="Arial" w:cs="Arial"/>
                <w:sz w:val="18"/>
                <w:szCs w:val="18"/>
              </w:rPr>
            </w:pPr>
            <w:r w:rsidRPr="00123376">
              <w:rPr>
                <w:rFonts w:ascii="Arial" w:hAnsi="Arial" w:cs="Arial"/>
                <w:sz w:val="18"/>
                <w:szCs w:val="18"/>
              </w:rPr>
              <w:t>KF</w:t>
            </w:r>
          </w:p>
        </w:tc>
      </w:tr>
      <w:tr w:rsidR="002416B1" w:rsidRPr="00E21C60" w14:paraId="0502217C" w14:textId="77777777" w:rsidTr="00123376">
        <w:trPr>
          <w:trHeight w:val="284"/>
          <w:jc w:val="center"/>
        </w:trPr>
        <w:tc>
          <w:tcPr>
            <w:tcW w:w="7112" w:type="dxa"/>
            <w:shd w:val="clear" w:color="auto" w:fill="EAF1DD"/>
            <w:vAlign w:val="center"/>
          </w:tcPr>
          <w:p w14:paraId="2AE3FD40" w14:textId="77777777" w:rsidR="002416B1" w:rsidRPr="00123376" w:rsidRDefault="002416B1" w:rsidP="008226B1">
            <w:pPr>
              <w:tabs>
                <w:tab w:val="num" w:pos="0"/>
              </w:tabs>
              <w:rPr>
                <w:rFonts w:ascii="Arial" w:hAnsi="Arial" w:cs="Arial"/>
                <w:sz w:val="18"/>
                <w:szCs w:val="18"/>
              </w:rPr>
            </w:pPr>
            <w:r w:rsidRPr="00123376">
              <w:rPr>
                <w:rFonts w:ascii="Arial" w:hAnsi="Arial" w:cs="Arial"/>
                <w:sz w:val="18"/>
                <w:szCs w:val="18"/>
              </w:rPr>
              <w:t>Prioritná os 7 Budovanie povodňového varovného a predpovedného systému</w:t>
            </w:r>
          </w:p>
        </w:tc>
        <w:tc>
          <w:tcPr>
            <w:tcW w:w="1965" w:type="dxa"/>
            <w:vAlign w:val="center"/>
          </w:tcPr>
          <w:p w14:paraId="077740EB" w14:textId="77777777" w:rsidR="002416B1" w:rsidRPr="00123376" w:rsidRDefault="002416B1">
            <w:pPr>
              <w:jc w:val="center"/>
              <w:rPr>
                <w:rFonts w:ascii="Arial" w:hAnsi="Arial" w:cs="Arial"/>
                <w:sz w:val="18"/>
                <w:szCs w:val="18"/>
              </w:rPr>
            </w:pPr>
            <w:r w:rsidRPr="00123376">
              <w:rPr>
                <w:rFonts w:ascii="Arial" w:hAnsi="Arial" w:cs="Arial"/>
                <w:sz w:val="18"/>
                <w:szCs w:val="18"/>
              </w:rPr>
              <w:t>ERDF</w:t>
            </w:r>
          </w:p>
        </w:tc>
      </w:tr>
    </w:tbl>
    <w:p w14:paraId="3DCB48AC" w14:textId="77777777" w:rsidR="002416B1" w:rsidRPr="0020746A" w:rsidRDefault="002416B1" w:rsidP="00123376">
      <w:pPr>
        <w:pStyle w:val="Nadpis1"/>
        <w:spacing w:after="120"/>
        <w:rPr>
          <w:rFonts w:cs="Arial"/>
        </w:rPr>
      </w:pPr>
      <w:bookmarkStart w:id="3" w:name="_2.1_Strategické_dokumenty"/>
      <w:bookmarkStart w:id="4" w:name="_2.2_Prioritné_osi"/>
      <w:bookmarkStart w:id="5" w:name="_3._PREHĽAD_REALIZÁCIE"/>
      <w:bookmarkStart w:id="6" w:name="_Toc466914506"/>
      <w:bookmarkEnd w:id="3"/>
      <w:bookmarkEnd w:id="4"/>
      <w:bookmarkEnd w:id="5"/>
      <w:r w:rsidRPr="002526CC">
        <w:rPr>
          <w:rFonts w:cs="Arial"/>
        </w:rPr>
        <w:t xml:space="preserve">2. </w:t>
      </w:r>
      <w:r w:rsidR="00E02B00">
        <w:rPr>
          <w:rFonts w:cs="Arial"/>
          <w:lang w:val="sk-SK"/>
        </w:rPr>
        <w:t>Prehľad realizácie operačného programu</w:t>
      </w:r>
      <w:bookmarkEnd w:id="6"/>
    </w:p>
    <w:p w14:paraId="3AAFB1EC" w14:textId="77777777" w:rsidR="002416B1" w:rsidRPr="004115C5" w:rsidRDefault="002416B1" w:rsidP="00123376">
      <w:pPr>
        <w:pStyle w:val="Nadpis2"/>
        <w:spacing w:after="120"/>
        <w:rPr>
          <w:rFonts w:cs="Arial"/>
        </w:rPr>
      </w:pPr>
      <w:bookmarkStart w:id="7" w:name="_3.1_Pokrok_v"/>
      <w:bookmarkStart w:id="8" w:name="_3.1.1_Administratívne_kapacity"/>
      <w:bookmarkStart w:id="9" w:name="_Toc466914507"/>
      <w:bookmarkStart w:id="10" w:name="OLE_LINK18"/>
      <w:bookmarkEnd w:id="7"/>
      <w:bookmarkEnd w:id="8"/>
      <w:r w:rsidRPr="00781EDD">
        <w:rPr>
          <w:rFonts w:cs="Arial"/>
        </w:rPr>
        <w:t>2.1 Dosiahnutý výsledok a analýza dosiahnutého pokroku</w:t>
      </w:r>
      <w:bookmarkEnd w:id="9"/>
    </w:p>
    <w:p w14:paraId="796D6FBB" w14:textId="192E6894" w:rsidR="00557374" w:rsidRPr="00781EDD" w:rsidRDefault="00CC3074">
      <w:pPr>
        <w:spacing w:before="120" w:after="120"/>
        <w:jc w:val="both"/>
        <w:rPr>
          <w:rFonts w:ascii="Arial" w:hAnsi="Arial" w:cs="Arial"/>
          <w:sz w:val="20"/>
          <w:szCs w:val="20"/>
          <w:lang w:eastAsia="en-US"/>
        </w:rPr>
      </w:pPr>
      <w:r w:rsidRPr="00781EDD">
        <w:rPr>
          <w:rFonts w:ascii="Arial" w:hAnsi="Arial" w:cs="Arial"/>
          <w:sz w:val="20"/>
          <w:szCs w:val="20"/>
          <w:lang w:eastAsia="en-US"/>
        </w:rPr>
        <w:t>Realizáci</w:t>
      </w:r>
      <w:r w:rsidR="00CB170A">
        <w:rPr>
          <w:rFonts w:ascii="Arial" w:hAnsi="Arial" w:cs="Arial"/>
          <w:sz w:val="20"/>
          <w:szCs w:val="20"/>
          <w:lang w:eastAsia="en-US"/>
        </w:rPr>
        <w:t>a</w:t>
      </w:r>
      <w:r w:rsidR="00557374" w:rsidRPr="00781EDD">
        <w:rPr>
          <w:rFonts w:ascii="Arial" w:hAnsi="Arial" w:cs="Arial"/>
          <w:sz w:val="20"/>
          <w:szCs w:val="20"/>
          <w:lang w:eastAsia="en-US"/>
        </w:rPr>
        <w:t xml:space="preserve"> OP ŽP </w:t>
      </w:r>
      <w:r w:rsidRPr="00781EDD">
        <w:rPr>
          <w:rFonts w:ascii="Arial" w:hAnsi="Arial" w:cs="Arial"/>
          <w:sz w:val="20"/>
          <w:szCs w:val="20"/>
          <w:lang w:eastAsia="en-US"/>
        </w:rPr>
        <w:t>prispel</w:t>
      </w:r>
      <w:r w:rsidR="00CB170A">
        <w:rPr>
          <w:rFonts w:ascii="Arial" w:hAnsi="Arial" w:cs="Arial"/>
          <w:sz w:val="20"/>
          <w:szCs w:val="20"/>
          <w:lang w:eastAsia="en-US"/>
        </w:rPr>
        <w:t>a</w:t>
      </w:r>
      <w:r w:rsidRPr="00781EDD">
        <w:rPr>
          <w:rFonts w:ascii="Arial" w:hAnsi="Arial" w:cs="Arial"/>
          <w:sz w:val="20"/>
          <w:szCs w:val="20"/>
          <w:lang w:eastAsia="en-US"/>
        </w:rPr>
        <w:t xml:space="preserve"> k</w:t>
      </w:r>
      <w:r w:rsidR="00694875">
        <w:rPr>
          <w:rFonts w:ascii="Arial" w:hAnsi="Arial" w:cs="Arial"/>
          <w:sz w:val="20"/>
          <w:szCs w:val="20"/>
          <w:lang w:eastAsia="en-US"/>
        </w:rPr>
        <w:t xml:space="preserve"> vytvoreniu podmienok pre zlepšenie stavu jednotlivých zložiek životného prostredia, k </w:t>
      </w:r>
      <w:r w:rsidR="00557374" w:rsidRPr="00781EDD">
        <w:rPr>
          <w:rFonts w:ascii="Arial" w:hAnsi="Arial" w:cs="Arial"/>
          <w:sz w:val="20"/>
          <w:szCs w:val="20"/>
          <w:lang w:eastAsia="en-US"/>
        </w:rPr>
        <w:t>zv</w:t>
      </w:r>
      <w:r w:rsidRPr="00781EDD">
        <w:rPr>
          <w:rFonts w:ascii="Arial" w:hAnsi="Arial" w:cs="Arial"/>
          <w:sz w:val="20"/>
          <w:szCs w:val="20"/>
          <w:lang w:eastAsia="en-US"/>
        </w:rPr>
        <w:t>ý</w:t>
      </w:r>
      <w:r w:rsidR="00557374" w:rsidRPr="00781EDD">
        <w:rPr>
          <w:rFonts w:ascii="Arial" w:hAnsi="Arial" w:cs="Arial"/>
          <w:sz w:val="20"/>
          <w:szCs w:val="20"/>
          <w:lang w:eastAsia="en-US"/>
        </w:rPr>
        <w:t>š</w:t>
      </w:r>
      <w:r w:rsidRPr="00781EDD">
        <w:rPr>
          <w:rFonts w:ascii="Arial" w:hAnsi="Arial" w:cs="Arial"/>
          <w:sz w:val="20"/>
          <w:szCs w:val="20"/>
          <w:lang w:eastAsia="en-US"/>
        </w:rPr>
        <w:t>eniu</w:t>
      </w:r>
      <w:r w:rsidR="00557374" w:rsidRPr="00781EDD">
        <w:rPr>
          <w:rFonts w:ascii="Arial" w:hAnsi="Arial" w:cs="Arial"/>
          <w:sz w:val="20"/>
          <w:szCs w:val="20"/>
          <w:lang w:eastAsia="en-US"/>
        </w:rPr>
        <w:t xml:space="preserve"> </w:t>
      </w:r>
      <w:r w:rsidR="00CB170A">
        <w:rPr>
          <w:rFonts w:ascii="Arial" w:hAnsi="Arial" w:cs="Arial"/>
          <w:sz w:val="20"/>
          <w:szCs w:val="20"/>
          <w:lang w:eastAsia="en-US"/>
        </w:rPr>
        <w:t xml:space="preserve">úrovne vybavenosti </w:t>
      </w:r>
      <w:r w:rsidR="00557374" w:rsidRPr="00781EDD">
        <w:rPr>
          <w:rFonts w:ascii="Arial" w:hAnsi="Arial" w:cs="Arial"/>
          <w:sz w:val="20"/>
          <w:szCs w:val="20"/>
          <w:lang w:eastAsia="en-US"/>
        </w:rPr>
        <w:t>územia SR a jej regiónov</w:t>
      </w:r>
      <w:r w:rsidR="00CB170A">
        <w:rPr>
          <w:rFonts w:ascii="Arial" w:hAnsi="Arial" w:cs="Arial"/>
          <w:sz w:val="20"/>
          <w:szCs w:val="20"/>
          <w:lang w:eastAsia="en-US"/>
        </w:rPr>
        <w:t xml:space="preserve"> environmentálnou infraštruktúrou</w:t>
      </w:r>
      <w:r w:rsidR="00F87B3D">
        <w:rPr>
          <w:rFonts w:ascii="Arial" w:hAnsi="Arial" w:cs="Arial"/>
          <w:sz w:val="20"/>
          <w:szCs w:val="20"/>
          <w:lang w:eastAsia="en-US"/>
        </w:rPr>
        <w:t xml:space="preserve"> a tým</w:t>
      </w:r>
      <w:r w:rsidR="003A0CE8">
        <w:rPr>
          <w:rFonts w:ascii="Arial" w:hAnsi="Arial" w:cs="Arial"/>
          <w:sz w:val="20"/>
          <w:szCs w:val="20"/>
          <w:lang w:eastAsia="en-US"/>
        </w:rPr>
        <w:t xml:space="preserve"> </w:t>
      </w:r>
      <w:r w:rsidRPr="00781EDD">
        <w:rPr>
          <w:rFonts w:ascii="Arial" w:hAnsi="Arial" w:cs="Arial"/>
          <w:sz w:val="20"/>
          <w:szCs w:val="20"/>
          <w:lang w:eastAsia="en-US"/>
        </w:rPr>
        <w:t>k</w:t>
      </w:r>
      <w:r w:rsidR="003A0CE8">
        <w:rPr>
          <w:rFonts w:ascii="Arial" w:hAnsi="Arial" w:cs="Arial"/>
          <w:sz w:val="20"/>
          <w:szCs w:val="20"/>
          <w:lang w:eastAsia="en-US"/>
        </w:rPr>
        <w:t> </w:t>
      </w:r>
      <w:r w:rsidR="00557374" w:rsidRPr="00781EDD">
        <w:rPr>
          <w:rFonts w:ascii="Arial" w:hAnsi="Arial" w:cs="Arial"/>
          <w:sz w:val="20"/>
          <w:szCs w:val="20"/>
          <w:lang w:eastAsia="en-US"/>
        </w:rPr>
        <w:t>skvalit</w:t>
      </w:r>
      <w:r w:rsidRPr="00781EDD">
        <w:rPr>
          <w:rFonts w:ascii="Arial" w:hAnsi="Arial" w:cs="Arial"/>
          <w:sz w:val="20"/>
          <w:szCs w:val="20"/>
          <w:lang w:eastAsia="en-US"/>
        </w:rPr>
        <w:t>neniu</w:t>
      </w:r>
      <w:r w:rsidR="003A0CE8">
        <w:rPr>
          <w:rFonts w:ascii="Arial" w:hAnsi="Arial" w:cs="Arial"/>
          <w:sz w:val="20"/>
          <w:szCs w:val="20"/>
          <w:lang w:eastAsia="en-US"/>
        </w:rPr>
        <w:t xml:space="preserve"> </w:t>
      </w:r>
      <w:r w:rsidR="00557374" w:rsidRPr="00781EDD">
        <w:rPr>
          <w:rFonts w:ascii="Arial" w:hAnsi="Arial" w:cs="Arial"/>
          <w:sz w:val="20"/>
          <w:szCs w:val="20"/>
          <w:lang w:eastAsia="en-US"/>
        </w:rPr>
        <w:t>podmien</w:t>
      </w:r>
      <w:r w:rsidRPr="00781EDD">
        <w:rPr>
          <w:rFonts w:ascii="Arial" w:hAnsi="Arial" w:cs="Arial"/>
          <w:sz w:val="20"/>
          <w:szCs w:val="20"/>
          <w:lang w:eastAsia="en-US"/>
        </w:rPr>
        <w:t>ok</w:t>
      </w:r>
      <w:r w:rsidR="00557374" w:rsidRPr="00781EDD">
        <w:rPr>
          <w:rFonts w:ascii="Arial" w:hAnsi="Arial" w:cs="Arial"/>
          <w:sz w:val="20"/>
          <w:szCs w:val="20"/>
          <w:lang w:eastAsia="en-US"/>
        </w:rPr>
        <w:t xml:space="preserve"> pre život obyvateľstva, </w:t>
      </w:r>
      <w:r w:rsidR="00F87B3D">
        <w:rPr>
          <w:rFonts w:ascii="Arial" w:hAnsi="Arial" w:cs="Arial"/>
          <w:sz w:val="20"/>
          <w:szCs w:val="20"/>
          <w:lang w:eastAsia="en-US"/>
        </w:rPr>
        <w:t xml:space="preserve">ako aj pre rozvoj podnikateľských aktivít na území regiónov </w:t>
      </w:r>
      <w:r w:rsidRPr="00781EDD">
        <w:rPr>
          <w:rFonts w:ascii="Arial" w:hAnsi="Arial" w:cs="Arial"/>
          <w:sz w:val="20"/>
          <w:szCs w:val="20"/>
          <w:lang w:eastAsia="en-US"/>
        </w:rPr>
        <w:t>a</w:t>
      </w:r>
      <w:r w:rsidR="00F87B3D">
        <w:rPr>
          <w:rFonts w:ascii="Arial" w:hAnsi="Arial" w:cs="Arial"/>
          <w:sz w:val="20"/>
          <w:szCs w:val="20"/>
          <w:lang w:eastAsia="en-US"/>
        </w:rPr>
        <w:t xml:space="preserve"> k </w:t>
      </w:r>
      <w:r w:rsidRPr="00781EDD">
        <w:rPr>
          <w:rFonts w:ascii="Arial" w:hAnsi="Arial" w:cs="Arial"/>
          <w:sz w:val="20"/>
          <w:szCs w:val="20"/>
          <w:lang w:eastAsia="en-US"/>
        </w:rPr>
        <w:t>podpore</w:t>
      </w:r>
      <w:r w:rsidR="00F87B3D">
        <w:rPr>
          <w:rFonts w:ascii="Arial" w:hAnsi="Arial" w:cs="Arial"/>
          <w:sz w:val="20"/>
          <w:szCs w:val="20"/>
          <w:lang w:eastAsia="en-US"/>
        </w:rPr>
        <w:t xml:space="preserve"> environmentálneho aspektu </w:t>
      </w:r>
      <w:r w:rsidR="00557374" w:rsidRPr="00781EDD">
        <w:rPr>
          <w:rFonts w:ascii="Arial" w:hAnsi="Arial" w:cs="Arial"/>
          <w:sz w:val="20"/>
          <w:szCs w:val="20"/>
          <w:lang w:eastAsia="en-US"/>
        </w:rPr>
        <w:t>rozvoj</w:t>
      </w:r>
      <w:r w:rsidRPr="00781EDD">
        <w:rPr>
          <w:rFonts w:ascii="Arial" w:hAnsi="Arial" w:cs="Arial"/>
          <w:sz w:val="20"/>
          <w:szCs w:val="20"/>
          <w:lang w:eastAsia="en-US"/>
        </w:rPr>
        <w:t>a Slovenska</w:t>
      </w:r>
      <w:r w:rsidR="00557374" w:rsidRPr="00781EDD">
        <w:rPr>
          <w:rFonts w:ascii="Arial" w:hAnsi="Arial" w:cs="Arial"/>
          <w:sz w:val="20"/>
          <w:szCs w:val="20"/>
          <w:lang w:eastAsia="en-US"/>
        </w:rPr>
        <w:t xml:space="preserve">. </w:t>
      </w:r>
    </w:p>
    <w:p w14:paraId="76645098" w14:textId="5C60044E" w:rsidR="00B1023A" w:rsidRPr="00781EDD" w:rsidRDefault="00B1023A" w:rsidP="00DD2DBE">
      <w:pPr>
        <w:spacing w:after="120"/>
        <w:jc w:val="both"/>
        <w:rPr>
          <w:rFonts w:ascii="Arial" w:hAnsi="Arial" w:cs="Arial"/>
          <w:sz w:val="20"/>
          <w:szCs w:val="20"/>
          <w:lang w:eastAsia="en-US"/>
        </w:rPr>
      </w:pPr>
      <w:r w:rsidRPr="00781EDD">
        <w:rPr>
          <w:rFonts w:ascii="Arial" w:hAnsi="Arial" w:cs="Arial"/>
          <w:sz w:val="20"/>
          <w:szCs w:val="20"/>
          <w:lang w:eastAsia="en-US"/>
        </w:rPr>
        <w:lastRenderedPageBreak/>
        <w:t xml:space="preserve">V rámci </w:t>
      </w:r>
      <w:r w:rsidR="00C33468" w:rsidRPr="00781EDD">
        <w:rPr>
          <w:rFonts w:ascii="Arial" w:hAnsi="Arial" w:cs="Arial"/>
          <w:sz w:val="20"/>
          <w:szCs w:val="20"/>
          <w:lang w:eastAsia="en-US"/>
        </w:rPr>
        <w:t>OP ŽP</w:t>
      </w:r>
      <w:r w:rsidRPr="00781EDD">
        <w:rPr>
          <w:rFonts w:ascii="Arial" w:hAnsi="Arial" w:cs="Arial"/>
          <w:sz w:val="20"/>
          <w:szCs w:val="20"/>
          <w:lang w:eastAsia="en-US"/>
        </w:rPr>
        <w:t xml:space="preserve"> bola podpora z fondov EÚ zameraná  na  plnenie požiadaviek vyplývajúcich z platných a pripravovaných právnych predpisov EÚ v oblasti životného prostredia, vrátane záväzkov SR stanovených v Zmluve o pristúpení k EÚ. Dôraz sa kládol najmä na </w:t>
      </w:r>
      <w:r w:rsidR="00200A51">
        <w:rPr>
          <w:rFonts w:ascii="Arial" w:hAnsi="Arial" w:cs="Arial"/>
          <w:sz w:val="20"/>
          <w:szCs w:val="20"/>
          <w:lang w:eastAsia="en-US"/>
        </w:rPr>
        <w:t xml:space="preserve">podporu </w:t>
      </w:r>
      <w:r w:rsidRPr="00781EDD">
        <w:rPr>
          <w:rFonts w:ascii="Arial" w:hAnsi="Arial" w:cs="Arial"/>
          <w:sz w:val="20"/>
          <w:szCs w:val="20"/>
          <w:lang w:eastAsia="en-US"/>
        </w:rPr>
        <w:t>aktiv</w:t>
      </w:r>
      <w:r w:rsidR="00200A51">
        <w:rPr>
          <w:rFonts w:ascii="Arial" w:hAnsi="Arial" w:cs="Arial"/>
          <w:sz w:val="20"/>
          <w:szCs w:val="20"/>
          <w:lang w:eastAsia="en-US"/>
        </w:rPr>
        <w:t>ít nevyhnutných</w:t>
      </w:r>
      <w:r w:rsidRPr="00781EDD">
        <w:rPr>
          <w:rFonts w:ascii="Arial" w:hAnsi="Arial" w:cs="Arial"/>
          <w:sz w:val="20"/>
          <w:szCs w:val="20"/>
          <w:lang w:eastAsia="en-US"/>
        </w:rPr>
        <w:t xml:space="preserve"> </w:t>
      </w:r>
      <w:r w:rsidR="00A97236" w:rsidRPr="00781EDD">
        <w:rPr>
          <w:rFonts w:ascii="Arial" w:hAnsi="Arial" w:cs="Arial"/>
          <w:sz w:val="20"/>
          <w:szCs w:val="20"/>
          <w:lang w:eastAsia="en-US"/>
        </w:rPr>
        <w:br/>
      </w:r>
      <w:r w:rsidRPr="00781EDD">
        <w:rPr>
          <w:rFonts w:ascii="Arial" w:hAnsi="Arial" w:cs="Arial"/>
          <w:sz w:val="20"/>
          <w:szCs w:val="20"/>
          <w:lang w:eastAsia="en-US"/>
        </w:rPr>
        <w:t>z pohľadu implementácie environmentálneho acquis v oblasti vodného a odpadového hospodárstva, na zlepšovanie kvality ovzdušia a znižovanie emisií skleníkových plynov, ochranu prírody, sanáciu environmentálnych záťaží, ako aj na podporu preventívnych opatrení na ochranu pred povodňami</w:t>
      </w:r>
      <w:r w:rsidR="007074C2" w:rsidRPr="00781EDD">
        <w:rPr>
          <w:rFonts w:ascii="Arial" w:hAnsi="Arial" w:cs="Arial"/>
          <w:sz w:val="20"/>
          <w:szCs w:val="20"/>
          <w:lang w:eastAsia="en-US"/>
        </w:rPr>
        <w:t>.</w:t>
      </w:r>
    </w:p>
    <w:p w14:paraId="0174BFBF" w14:textId="0AE7169F" w:rsidR="00670E21" w:rsidRPr="00781EDD" w:rsidRDefault="00563BD4" w:rsidP="00123376">
      <w:pPr>
        <w:spacing w:before="120" w:after="120"/>
        <w:jc w:val="both"/>
        <w:rPr>
          <w:rFonts w:ascii="Arial" w:hAnsi="Arial" w:cs="Arial"/>
          <w:sz w:val="20"/>
          <w:szCs w:val="20"/>
          <w:lang w:eastAsia="en-US"/>
        </w:rPr>
      </w:pPr>
      <w:r w:rsidRPr="00781EDD">
        <w:rPr>
          <w:rFonts w:ascii="Arial" w:hAnsi="Arial" w:cs="Arial"/>
          <w:sz w:val="20"/>
          <w:szCs w:val="20"/>
          <w:lang w:eastAsia="en-US"/>
        </w:rPr>
        <w:t xml:space="preserve">Skúsenosti s implementáciou OP ŽP </w:t>
      </w:r>
      <w:r w:rsidR="00781EDD" w:rsidRPr="00781EDD">
        <w:rPr>
          <w:rFonts w:ascii="Arial" w:hAnsi="Arial" w:cs="Arial"/>
          <w:sz w:val="20"/>
          <w:szCs w:val="20"/>
          <w:lang w:eastAsia="en-US"/>
        </w:rPr>
        <w:t>poukázali</w:t>
      </w:r>
      <w:r w:rsidRPr="00781EDD">
        <w:rPr>
          <w:rFonts w:ascii="Arial" w:hAnsi="Arial" w:cs="Arial"/>
          <w:sz w:val="20"/>
          <w:szCs w:val="20"/>
          <w:lang w:eastAsia="en-US"/>
        </w:rPr>
        <w:t xml:space="preserve"> na celkovo vhodne zvolenú stratégiu operačného programu, ktorá sa zameriava</w:t>
      </w:r>
      <w:r w:rsidR="00CC3074" w:rsidRPr="00781EDD">
        <w:rPr>
          <w:rFonts w:ascii="Arial" w:hAnsi="Arial" w:cs="Arial"/>
          <w:sz w:val="20"/>
          <w:szCs w:val="20"/>
          <w:lang w:eastAsia="en-US"/>
        </w:rPr>
        <w:t>la</w:t>
      </w:r>
      <w:r w:rsidRPr="00781EDD">
        <w:rPr>
          <w:rFonts w:ascii="Arial" w:hAnsi="Arial" w:cs="Arial"/>
          <w:sz w:val="20"/>
          <w:szCs w:val="20"/>
          <w:lang w:eastAsia="en-US"/>
        </w:rPr>
        <w:t xml:space="preserve"> na riešenie prioritných a finančne najnáročnejších aktivít z pohľadu implementácie environmentálneho acquis. Vhodnosť stratégie OP ŽP sa preuk</w:t>
      </w:r>
      <w:r w:rsidR="00CC3074" w:rsidRPr="00781EDD">
        <w:rPr>
          <w:rFonts w:ascii="Arial" w:hAnsi="Arial" w:cs="Arial"/>
          <w:sz w:val="20"/>
          <w:szCs w:val="20"/>
          <w:lang w:eastAsia="en-US"/>
        </w:rPr>
        <w:t>ázala</w:t>
      </w:r>
      <w:r w:rsidRPr="00781EDD">
        <w:rPr>
          <w:rFonts w:ascii="Arial" w:hAnsi="Arial" w:cs="Arial"/>
          <w:sz w:val="20"/>
          <w:szCs w:val="20"/>
          <w:lang w:eastAsia="en-US"/>
        </w:rPr>
        <w:t xml:space="preserve"> aj </w:t>
      </w:r>
      <w:r w:rsidR="00CC3074" w:rsidRPr="00781EDD">
        <w:rPr>
          <w:rFonts w:ascii="Arial" w:hAnsi="Arial" w:cs="Arial"/>
          <w:sz w:val="20"/>
          <w:szCs w:val="20"/>
          <w:lang w:eastAsia="en-US"/>
        </w:rPr>
        <w:t>dosiahnut</w:t>
      </w:r>
      <w:r w:rsidRPr="00781EDD">
        <w:rPr>
          <w:rFonts w:ascii="Arial" w:hAnsi="Arial" w:cs="Arial"/>
          <w:sz w:val="20"/>
          <w:szCs w:val="20"/>
          <w:lang w:eastAsia="en-US"/>
        </w:rPr>
        <w:t xml:space="preserve">ými výsledkami implementácie OP ŽP z pohľadu vecného pokroku implementácie, t.j. z pohľadu napĺňania stanovených cieľov a výsledkov (cieľových hodnôt indikátorov), ako aj z pohľadu </w:t>
      </w:r>
      <w:r w:rsidR="00CC3074" w:rsidRPr="00781EDD">
        <w:rPr>
          <w:rFonts w:ascii="Arial" w:hAnsi="Arial" w:cs="Arial"/>
          <w:sz w:val="20"/>
          <w:szCs w:val="20"/>
          <w:lang w:eastAsia="en-US"/>
        </w:rPr>
        <w:t xml:space="preserve">dosiahnutej </w:t>
      </w:r>
      <w:r w:rsidRPr="00781EDD">
        <w:rPr>
          <w:rFonts w:ascii="Arial" w:hAnsi="Arial" w:cs="Arial"/>
          <w:sz w:val="20"/>
          <w:szCs w:val="20"/>
          <w:lang w:eastAsia="en-US"/>
        </w:rPr>
        <w:t xml:space="preserve">absorpčnej kapacity. Dopyt žiadateľov výrazne prevyšoval disponibilnú alokáciu (výška žiadaného príspevku bola </w:t>
      </w:r>
      <w:r w:rsidR="00F72A1D">
        <w:rPr>
          <w:rFonts w:ascii="Arial" w:hAnsi="Arial" w:cs="Arial"/>
          <w:sz w:val="20"/>
          <w:szCs w:val="20"/>
          <w:lang w:eastAsia="en-US"/>
        </w:rPr>
        <w:t>takmer</w:t>
      </w:r>
      <w:r w:rsidRPr="00781EDD">
        <w:rPr>
          <w:rFonts w:ascii="Arial" w:hAnsi="Arial" w:cs="Arial"/>
          <w:color w:val="FF0000"/>
          <w:sz w:val="20"/>
          <w:szCs w:val="20"/>
          <w:lang w:eastAsia="en-US"/>
        </w:rPr>
        <w:t xml:space="preserve"> </w:t>
      </w:r>
      <w:r w:rsidR="00F72A1D" w:rsidRPr="00F72A1D">
        <w:rPr>
          <w:rFonts w:ascii="Arial" w:hAnsi="Arial" w:cs="Arial"/>
          <w:sz w:val="20"/>
          <w:szCs w:val="20"/>
          <w:lang w:eastAsia="en-US"/>
        </w:rPr>
        <w:t>2,5</w:t>
      </w:r>
      <w:r w:rsidRPr="00F72A1D">
        <w:rPr>
          <w:rFonts w:ascii="Arial" w:hAnsi="Arial" w:cs="Arial"/>
          <w:sz w:val="20"/>
          <w:szCs w:val="20"/>
          <w:lang w:eastAsia="en-US"/>
        </w:rPr>
        <w:t>-násobne vyššia ako výška schváleného príspevku</w:t>
      </w:r>
      <w:r w:rsidRPr="00781EDD">
        <w:rPr>
          <w:rFonts w:ascii="Arial" w:hAnsi="Arial" w:cs="Arial"/>
          <w:sz w:val="20"/>
          <w:szCs w:val="20"/>
          <w:lang w:eastAsia="en-US"/>
        </w:rPr>
        <w:t>)</w:t>
      </w:r>
      <w:r w:rsidR="00F7764F" w:rsidRPr="00781EDD">
        <w:rPr>
          <w:rFonts w:ascii="Arial" w:hAnsi="Arial" w:cs="Arial"/>
          <w:sz w:val="20"/>
          <w:szCs w:val="20"/>
          <w:lang w:eastAsia="en-US"/>
        </w:rPr>
        <w:t>.</w:t>
      </w:r>
      <w:r w:rsidRPr="00781EDD">
        <w:rPr>
          <w:rFonts w:ascii="Arial" w:hAnsi="Arial" w:cs="Arial"/>
          <w:sz w:val="20"/>
          <w:szCs w:val="20"/>
          <w:lang w:eastAsia="en-US"/>
        </w:rPr>
        <w:t xml:space="preserve"> </w:t>
      </w:r>
      <w:r w:rsidR="00F7764F" w:rsidRPr="00781EDD">
        <w:rPr>
          <w:rFonts w:ascii="Arial" w:hAnsi="Arial" w:cs="Arial"/>
          <w:sz w:val="20"/>
          <w:szCs w:val="20"/>
          <w:lang w:eastAsia="en-US"/>
        </w:rPr>
        <w:t>Uvedené</w:t>
      </w:r>
      <w:r w:rsidRPr="00781EDD">
        <w:rPr>
          <w:rFonts w:ascii="Arial" w:hAnsi="Arial" w:cs="Arial"/>
          <w:sz w:val="20"/>
          <w:szCs w:val="20"/>
          <w:lang w:eastAsia="en-US"/>
        </w:rPr>
        <w:t xml:space="preserve"> preukazuje, že ciele OP ŽP </w:t>
      </w:r>
      <w:r w:rsidR="00F7764F" w:rsidRPr="00781EDD">
        <w:rPr>
          <w:rFonts w:ascii="Arial" w:hAnsi="Arial" w:cs="Arial"/>
          <w:sz w:val="20"/>
          <w:szCs w:val="20"/>
          <w:lang w:eastAsia="en-US"/>
        </w:rPr>
        <w:t>boli definované správne a </w:t>
      </w:r>
      <w:r w:rsidR="002732B3" w:rsidRPr="00781EDD" w:rsidDel="002732B3">
        <w:rPr>
          <w:rFonts w:ascii="Arial" w:hAnsi="Arial" w:cs="Arial"/>
          <w:sz w:val="20"/>
          <w:szCs w:val="20"/>
          <w:lang w:eastAsia="en-US"/>
        </w:rPr>
        <w:t xml:space="preserve"> </w:t>
      </w:r>
      <w:r w:rsidR="00F7764F" w:rsidRPr="00781EDD">
        <w:rPr>
          <w:rFonts w:ascii="Arial" w:hAnsi="Arial" w:cs="Arial"/>
          <w:sz w:val="20"/>
          <w:szCs w:val="20"/>
          <w:lang w:eastAsia="en-US"/>
        </w:rPr>
        <w:t>reflektovali na potrebu riešenia</w:t>
      </w:r>
      <w:r w:rsidRPr="00781EDD">
        <w:rPr>
          <w:rFonts w:ascii="Arial" w:hAnsi="Arial" w:cs="Arial"/>
          <w:sz w:val="20"/>
          <w:szCs w:val="20"/>
          <w:lang w:eastAsia="en-US"/>
        </w:rPr>
        <w:t xml:space="preserve"> identifikovaný</w:t>
      </w:r>
      <w:r w:rsidR="00F7764F" w:rsidRPr="00781EDD">
        <w:rPr>
          <w:rFonts w:ascii="Arial" w:hAnsi="Arial" w:cs="Arial"/>
          <w:sz w:val="20"/>
          <w:szCs w:val="20"/>
          <w:lang w:eastAsia="en-US"/>
        </w:rPr>
        <w:t>ch</w:t>
      </w:r>
      <w:r w:rsidRPr="00781EDD">
        <w:rPr>
          <w:rFonts w:ascii="Arial" w:hAnsi="Arial" w:cs="Arial"/>
          <w:sz w:val="20"/>
          <w:szCs w:val="20"/>
          <w:lang w:eastAsia="en-US"/>
        </w:rPr>
        <w:t xml:space="preserve"> problémo</w:t>
      </w:r>
      <w:r w:rsidR="00F7764F" w:rsidRPr="00781EDD">
        <w:rPr>
          <w:rFonts w:ascii="Arial" w:hAnsi="Arial" w:cs="Arial"/>
          <w:sz w:val="20"/>
          <w:szCs w:val="20"/>
          <w:lang w:eastAsia="en-US"/>
        </w:rPr>
        <w:t>v.</w:t>
      </w:r>
      <w:r w:rsidR="007244FF" w:rsidRPr="00781EDD">
        <w:rPr>
          <w:rFonts w:ascii="Arial" w:hAnsi="Arial" w:cs="Arial"/>
          <w:sz w:val="20"/>
          <w:szCs w:val="20"/>
          <w:lang w:eastAsia="en-US"/>
        </w:rPr>
        <w:t xml:space="preserve"> Z</w:t>
      </w:r>
      <w:r w:rsidR="00F7764F" w:rsidRPr="00781EDD">
        <w:rPr>
          <w:rFonts w:ascii="Arial" w:hAnsi="Arial" w:cs="Arial"/>
          <w:sz w:val="20"/>
          <w:szCs w:val="20"/>
          <w:lang w:eastAsia="en-US"/>
        </w:rPr>
        <w:t xml:space="preserve">o získaných skúseností </w:t>
      </w:r>
      <w:r w:rsidR="00762084" w:rsidRPr="00781EDD">
        <w:rPr>
          <w:rFonts w:ascii="Arial" w:hAnsi="Arial" w:cs="Arial"/>
          <w:sz w:val="20"/>
          <w:szCs w:val="20"/>
          <w:lang w:eastAsia="en-US"/>
        </w:rPr>
        <w:t>vypl</w:t>
      </w:r>
      <w:r w:rsidR="00762084">
        <w:rPr>
          <w:rFonts w:ascii="Arial" w:hAnsi="Arial" w:cs="Arial"/>
          <w:sz w:val="20"/>
          <w:szCs w:val="20"/>
          <w:lang w:eastAsia="en-US"/>
        </w:rPr>
        <w:t>ynulo</w:t>
      </w:r>
      <w:r w:rsidR="007244FF" w:rsidRPr="00781EDD">
        <w:rPr>
          <w:rFonts w:ascii="Arial" w:hAnsi="Arial" w:cs="Arial"/>
          <w:sz w:val="20"/>
          <w:szCs w:val="20"/>
          <w:lang w:eastAsia="en-US"/>
        </w:rPr>
        <w:t>, že</w:t>
      </w:r>
      <w:r w:rsidR="00F7764F" w:rsidRPr="00781EDD">
        <w:rPr>
          <w:rFonts w:ascii="Arial" w:hAnsi="Arial" w:cs="Arial"/>
          <w:sz w:val="20"/>
          <w:szCs w:val="20"/>
          <w:lang w:eastAsia="en-US"/>
        </w:rPr>
        <w:t xml:space="preserve"> nevyhnutnosť pokračovania obdobne vecne zameraného operačného programu je opodstatnená</w:t>
      </w:r>
      <w:r w:rsidR="007244FF" w:rsidRPr="00781EDD">
        <w:rPr>
          <w:rFonts w:ascii="Arial" w:hAnsi="Arial" w:cs="Arial"/>
          <w:sz w:val="20"/>
          <w:szCs w:val="20"/>
          <w:lang w:eastAsia="en-US"/>
        </w:rPr>
        <w:t xml:space="preserve"> </w:t>
      </w:r>
      <w:r w:rsidR="00670E21" w:rsidRPr="00781EDD">
        <w:rPr>
          <w:rFonts w:ascii="Arial" w:hAnsi="Arial" w:cs="Arial"/>
          <w:sz w:val="20"/>
          <w:szCs w:val="20"/>
          <w:lang w:eastAsia="en-US"/>
        </w:rPr>
        <w:t>aj</w:t>
      </w:r>
      <w:r w:rsidR="002732B3">
        <w:rPr>
          <w:rFonts w:ascii="Arial" w:hAnsi="Arial" w:cs="Arial"/>
          <w:sz w:val="20"/>
          <w:szCs w:val="20"/>
          <w:lang w:eastAsia="en-US"/>
        </w:rPr>
        <w:t xml:space="preserve"> do programového obdobia 2014 – 2020. </w:t>
      </w:r>
      <w:r w:rsidR="00F7764F" w:rsidRPr="00781EDD">
        <w:rPr>
          <w:rFonts w:ascii="Arial" w:hAnsi="Arial" w:cs="Arial"/>
          <w:sz w:val="20"/>
          <w:szCs w:val="20"/>
          <w:lang w:eastAsia="en-US"/>
        </w:rPr>
        <w:t>Preto</w:t>
      </w:r>
      <w:r w:rsidR="00670E21" w:rsidRPr="00781EDD">
        <w:rPr>
          <w:rFonts w:ascii="Arial" w:hAnsi="Arial" w:cs="Arial"/>
          <w:sz w:val="20"/>
          <w:szCs w:val="20"/>
          <w:lang w:eastAsia="en-US"/>
        </w:rPr>
        <w:t xml:space="preserve"> </w:t>
      </w:r>
      <w:r w:rsidR="007244FF" w:rsidRPr="00781EDD">
        <w:rPr>
          <w:rFonts w:ascii="Arial" w:hAnsi="Arial" w:cs="Arial"/>
          <w:sz w:val="20"/>
          <w:szCs w:val="20"/>
          <w:lang w:eastAsia="en-US"/>
        </w:rPr>
        <w:t>z vecného hľadiska</w:t>
      </w:r>
      <w:r w:rsidR="00670E21" w:rsidRPr="00781EDD">
        <w:rPr>
          <w:rFonts w:ascii="Arial" w:hAnsi="Arial" w:cs="Arial"/>
          <w:sz w:val="20"/>
          <w:szCs w:val="20"/>
          <w:lang w:eastAsia="en-US"/>
        </w:rPr>
        <w:t xml:space="preserve"> na doterajšie </w:t>
      </w:r>
      <w:r w:rsidR="007244FF" w:rsidRPr="00781EDD">
        <w:rPr>
          <w:rFonts w:ascii="Arial" w:hAnsi="Arial" w:cs="Arial"/>
          <w:sz w:val="20"/>
          <w:szCs w:val="20"/>
          <w:lang w:eastAsia="en-US"/>
        </w:rPr>
        <w:t>smerovani</w:t>
      </w:r>
      <w:r w:rsidR="00670E21" w:rsidRPr="00781EDD">
        <w:rPr>
          <w:rFonts w:ascii="Arial" w:hAnsi="Arial" w:cs="Arial"/>
          <w:sz w:val="20"/>
          <w:szCs w:val="20"/>
          <w:lang w:eastAsia="en-US"/>
        </w:rPr>
        <w:t>e</w:t>
      </w:r>
      <w:r w:rsidR="007244FF" w:rsidRPr="00781EDD">
        <w:rPr>
          <w:rFonts w:ascii="Arial" w:hAnsi="Arial" w:cs="Arial"/>
          <w:sz w:val="20"/>
          <w:szCs w:val="20"/>
          <w:lang w:eastAsia="en-US"/>
        </w:rPr>
        <w:t xml:space="preserve"> stratégie v oblasti environmentálnej infraštruktúry</w:t>
      </w:r>
      <w:r w:rsidR="00762084">
        <w:rPr>
          <w:rFonts w:ascii="Arial" w:hAnsi="Arial" w:cs="Arial"/>
          <w:sz w:val="20"/>
          <w:szCs w:val="20"/>
          <w:lang w:eastAsia="en-US"/>
        </w:rPr>
        <w:t>,</w:t>
      </w:r>
      <w:r w:rsidR="007244FF" w:rsidRPr="00781EDD">
        <w:rPr>
          <w:rFonts w:ascii="Arial" w:hAnsi="Arial" w:cs="Arial"/>
          <w:sz w:val="20"/>
          <w:szCs w:val="20"/>
          <w:lang w:eastAsia="en-US"/>
        </w:rPr>
        <w:t xml:space="preserve"> vymedzenej v OP ŽP v programovom období 2007 - 2013</w:t>
      </w:r>
      <w:r w:rsidR="00670E21" w:rsidRPr="00781EDD">
        <w:rPr>
          <w:rFonts w:ascii="Arial" w:hAnsi="Arial" w:cs="Arial"/>
          <w:sz w:val="20"/>
          <w:szCs w:val="20"/>
          <w:lang w:eastAsia="en-US"/>
        </w:rPr>
        <w:t xml:space="preserve">, </w:t>
      </w:r>
      <w:r w:rsidR="00762084">
        <w:rPr>
          <w:rFonts w:ascii="Arial" w:hAnsi="Arial" w:cs="Arial"/>
          <w:sz w:val="20"/>
          <w:szCs w:val="20"/>
          <w:lang w:eastAsia="en-US"/>
        </w:rPr>
        <w:t xml:space="preserve">nadviazal </w:t>
      </w:r>
      <w:r w:rsidR="00F7764F" w:rsidRPr="00781EDD">
        <w:rPr>
          <w:rFonts w:ascii="Arial" w:hAnsi="Arial" w:cs="Arial"/>
          <w:sz w:val="20"/>
          <w:szCs w:val="20"/>
          <w:lang w:eastAsia="en-US"/>
        </w:rPr>
        <w:t>Operačný program Kvalita životného prostredia</w:t>
      </w:r>
      <w:r w:rsidR="00762084">
        <w:rPr>
          <w:rFonts w:ascii="Arial" w:hAnsi="Arial" w:cs="Arial"/>
          <w:sz w:val="20"/>
          <w:szCs w:val="20"/>
          <w:lang w:eastAsia="en-US"/>
        </w:rPr>
        <w:t xml:space="preserve"> 2014 - 2020</w:t>
      </w:r>
      <w:r w:rsidR="00F7764F" w:rsidRPr="00781EDD">
        <w:rPr>
          <w:rFonts w:ascii="Arial" w:hAnsi="Arial" w:cs="Arial"/>
          <w:sz w:val="20"/>
          <w:szCs w:val="20"/>
          <w:lang w:eastAsia="en-US"/>
        </w:rPr>
        <w:t xml:space="preserve">. </w:t>
      </w:r>
    </w:p>
    <w:p w14:paraId="01A29191" w14:textId="2C9677A9" w:rsidR="00C22C9D" w:rsidRPr="00781EDD" w:rsidRDefault="005167D1" w:rsidP="00C22C9D">
      <w:pPr>
        <w:spacing w:before="120" w:after="120"/>
        <w:jc w:val="both"/>
        <w:rPr>
          <w:rFonts w:ascii="Arial" w:hAnsi="Arial" w:cs="Arial"/>
          <w:sz w:val="20"/>
          <w:szCs w:val="20"/>
          <w:lang w:eastAsia="en-US"/>
        </w:rPr>
      </w:pPr>
      <w:r>
        <w:rPr>
          <w:rFonts w:ascii="Arial" w:hAnsi="Arial" w:cs="Arial"/>
          <w:sz w:val="20"/>
          <w:szCs w:val="20"/>
          <w:lang w:eastAsia="en-US"/>
        </w:rPr>
        <w:t>V</w:t>
      </w:r>
      <w:r w:rsidR="00041BAD">
        <w:rPr>
          <w:rFonts w:ascii="Arial" w:hAnsi="Arial" w:cs="Arial"/>
          <w:sz w:val="20"/>
          <w:szCs w:val="20"/>
          <w:lang w:eastAsia="en-US"/>
        </w:rPr>
        <w:t> </w:t>
      </w:r>
      <w:r>
        <w:rPr>
          <w:rFonts w:ascii="Arial" w:hAnsi="Arial" w:cs="Arial"/>
          <w:sz w:val="20"/>
          <w:szCs w:val="20"/>
          <w:lang w:eastAsia="en-US"/>
        </w:rPr>
        <w:t>procese</w:t>
      </w:r>
      <w:r w:rsidR="00041BAD">
        <w:rPr>
          <w:rFonts w:ascii="Arial" w:hAnsi="Arial" w:cs="Arial"/>
          <w:sz w:val="20"/>
          <w:szCs w:val="20"/>
          <w:lang w:eastAsia="en-US"/>
        </w:rPr>
        <w:t xml:space="preserve"> </w:t>
      </w:r>
      <w:r w:rsidR="00DB4C4F">
        <w:rPr>
          <w:rFonts w:ascii="Arial" w:hAnsi="Arial" w:cs="Arial"/>
          <w:sz w:val="20"/>
          <w:szCs w:val="20"/>
          <w:lang w:eastAsia="en-US"/>
        </w:rPr>
        <w:t>implementáci</w:t>
      </w:r>
      <w:r w:rsidR="00041BAD">
        <w:rPr>
          <w:rFonts w:ascii="Arial" w:hAnsi="Arial" w:cs="Arial"/>
          <w:sz w:val="20"/>
          <w:szCs w:val="20"/>
          <w:lang w:eastAsia="en-US"/>
        </w:rPr>
        <w:t>e</w:t>
      </w:r>
      <w:r w:rsidR="00C22C9D" w:rsidRPr="00781EDD">
        <w:rPr>
          <w:rFonts w:ascii="Arial" w:hAnsi="Arial" w:cs="Arial"/>
          <w:sz w:val="20"/>
          <w:szCs w:val="20"/>
          <w:lang w:eastAsia="en-US"/>
        </w:rPr>
        <w:t xml:space="preserve"> OP ŽP</w:t>
      </w:r>
      <w:r w:rsidR="00041BAD">
        <w:rPr>
          <w:rFonts w:ascii="Arial" w:hAnsi="Arial" w:cs="Arial"/>
          <w:sz w:val="20"/>
          <w:szCs w:val="20"/>
          <w:lang w:eastAsia="en-US"/>
        </w:rPr>
        <w:t xml:space="preserve"> sa prejavilo taktiež niekoľko</w:t>
      </w:r>
      <w:r w:rsidR="00C22C9D" w:rsidRPr="00781EDD">
        <w:rPr>
          <w:rFonts w:ascii="Arial" w:hAnsi="Arial" w:cs="Arial"/>
          <w:sz w:val="20"/>
          <w:szCs w:val="20"/>
          <w:lang w:eastAsia="en-US"/>
        </w:rPr>
        <w:t xml:space="preserve"> faktorov</w:t>
      </w:r>
      <w:r w:rsidR="00041BAD">
        <w:rPr>
          <w:rFonts w:ascii="Arial" w:hAnsi="Arial" w:cs="Arial"/>
          <w:sz w:val="20"/>
          <w:szCs w:val="20"/>
          <w:lang w:eastAsia="en-US"/>
        </w:rPr>
        <w:t>, ktoré naň mali negatívny vplyv.</w:t>
      </w:r>
      <w:r w:rsidR="00C22C9D" w:rsidRPr="00781EDD">
        <w:rPr>
          <w:rFonts w:ascii="Arial" w:hAnsi="Arial" w:cs="Arial"/>
          <w:sz w:val="20"/>
          <w:szCs w:val="20"/>
          <w:lang w:eastAsia="en-US"/>
        </w:rPr>
        <w:t xml:space="preserve"> S cieľom ich identifikácie a eliminácie, resp. minimalizácie ich dopadov</w:t>
      </w:r>
      <w:r w:rsidR="002732B3">
        <w:rPr>
          <w:rFonts w:ascii="Arial" w:hAnsi="Arial" w:cs="Arial"/>
          <w:sz w:val="20"/>
          <w:szCs w:val="20"/>
          <w:lang w:eastAsia="en-US"/>
        </w:rPr>
        <w:t>,</w:t>
      </w:r>
      <w:r w:rsidR="00C22C9D" w:rsidRPr="00781EDD">
        <w:rPr>
          <w:rFonts w:ascii="Arial" w:hAnsi="Arial" w:cs="Arial"/>
          <w:sz w:val="20"/>
          <w:szCs w:val="20"/>
          <w:lang w:eastAsia="en-US"/>
        </w:rPr>
        <w:t xml:space="preserve"> RO pre OP ŽP </w:t>
      </w:r>
      <w:r w:rsidR="00F7764F" w:rsidRPr="00781EDD">
        <w:rPr>
          <w:rFonts w:ascii="Arial" w:hAnsi="Arial" w:cs="Arial"/>
          <w:sz w:val="20"/>
          <w:szCs w:val="20"/>
          <w:lang w:eastAsia="en-US"/>
        </w:rPr>
        <w:t>prijímal opatrenia</w:t>
      </w:r>
      <w:r w:rsidR="00041BAD">
        <w:rPr>
          <w:rFonts w:ascii="Arial" w:hAnsi="Arial" w:cs="Arial"/>
          <w:sz w:val="20"/>
          <w:szCs w:val="20"/>
          <w:lang w:eastAsia="en-US"/>
        </w:rPr>
        <w:t>, ktorých ú</w:t>
      </w:r>
      <w:r w:rsidR="00C22C9D" w:rsidRPr="00781EDD">
        <w:rPr>
          <w:rFonts w:ascii="Arial" w:hAnsi="Arial" w:cs="Arial"/>
          <w:sz w:val="20"/>
          <w:szCs w:val="20"/>
          <w:lang w:eastAsia="en-US"/>
        </w:rPr>
        <w:t>činnosť následne pravidelne vyhodnocoval a</w:t>
      </w:r>
      <w:r w:rsidR="007D791D" w:rsidRPr="00781EDD">
        <w:rPr>
          <w:rFonts w:ascii="Arial" w:hAnsi="Arial" w:cs="Arial"/>
          <w:sz w:val="20"/>
          <w:szCs w:val="20"/>
          <w:lang w:eastAsia="en-US"/>
        </w:rPr>
        <w:t> v prípade potreby hľadal a prijímal iné efektívnejšie riešenia</w:t>
      </w:r>
      <w:r w:rsidR="00C22C9D" w:rsidRPr="00781EDD">
        <w:rPr>
          <w:rFonts w:ascii="Arial" w:hAnsi="Arial" w:cs="Arial"/>
          <w:sz w:val="20"/>
          <w:szCs w:val="20"/>
          <w:lang w:eastAsia="en-US"/>
        </w:rPr>
        <w:t>.</w:t>
      </w:r>
    </w:p>
    <w:p w14:paraId="54B71202" w14:textId="721EFDBD" w:rsidR="00C22C9D" w:rsidRPr="00781EDD" w:rsidRDefault="00C22C9D" w:rsidP="00C22C9D">
      <w:pPr>
        <w:spacing w:before="120" w:after="120"/>
        <w:jc w:val="both"/>
        <w:rPr>
          <w:rFonts w:ascii="Arial" w:hAnsi="Arial" w:cs="Arial"/>
          <w:sz w:val="20"/>
          <w:szCs w:val="20"/>
          <w:lang w:eastAsia="en-US"/>
        </w:rPr>
      </w:pPr>
      <w:r w:rsidRPr="00781EDD">
        <w:rPr>
          <w:rFonts w:ascii="Arial" w:hAnsi="Arial" w:cs="Arial"/>
          <w:sz w:val="20"/>
          <w:szCs w:val="20"/>
          <w:lang w:eastAsia="en-US"/>
        </w:rPr>
        <w:t xml:space="preserve">Z dlhodobého hľadiska </w:t>
      </w:r>
      <w:r w:rsidR="007D791D" w:rsidRPr="00781EDD">
        <w:rPr>
          <w:rFonts w:ascii="Arial" w:hAnsi="Arial" w:cs="Arial"/>
          <w:sz w:val="20"/>
          <w:szCs w:val="20"/>
          <w:lang w:eastAsia="en-US"/>
        </w:rPr>
        <w:t>jedným z</w:t>
      </w:r>
      <w:r w:rsidRPr="00781EDD">
        <w:rPr>
          <w:rFonts w:ascii="Arial" w:hAnsi="Arial" w:cs="Arial"/>
          <w:sz w:val="20"/>
          <w:szCs w:val="20"/>
          <w:lang w:eastAsia="en-US"/>
        </w:rPr>
        <w:t xml:space="preserve"> najzávažnejší</w:t>
      </w:r>
      <w:r w:rsidR="007D791D" w:rsidRPr="00781EDD">
        <w:rPr>
          <w:rFonts w:ascii="Arial" w:hAnsi="Arial" w:cs="Arial"/>
          <w:sz w:val="20"/>
          <w:szCs w:val="20"/>
          <w:lang w:eastAsia="en-US"/>
        </w:rPr>
        <w:t>ch</w:t>
      </w:r>
      <w:r w:rsidRPr="00781EDD">
        <w:rPr>
          <w:rFonts w:ascii="Arial" w:hAnsi="Arial" w:cs="Arial"/>
          <w:sz w:val="20"/>
          <w:szCs w:val="20"/>
          <w:lang w:eastAsia="en-US"/>
        </w:rPr>
        <w:t xml:space="preserve"> problém</w:t>
      </w:r>
      <w:r w:rsidR="007D791D" w:rsidRPr="00781EDD">
        <w:rPr>
          <w:rFonts w:ascii="Arial" w:hAnsi="Arial" w:cs="Arial"/>
          <w:sz w:val="20"/>
          <w:szCs w:val="20"/>
          <w:lang w:eastAsia="en-US"/>
        </w:rPr>
        <w:t xml:space="preserve">ov, </w:t>
      </w:r>
      <w:r w:rsidR="00DB4C4F">
        <w:rPr>
          <w:rFonts w:ascii="Arial" w:hAnsi="Arial" w:cs="Arial"/>
          <w:sz w:val="20"/>
          <w:szCs w:val="20"/>
          <w:lang w:eastAsia="en-US"/>
        </w:rPr>
        <w:t>ktorý</w:t>
      </w:r>
      <w:r w:rsidR="00DB4C4F" w:rsidRPr="00781EDD">
        <w:rPr>
          <w:rFonts w:ascii="Arial" w:hAnsi="Arial" w:cs="Arial"/>
          <w:sz w:val="20"/>
          <w:szCs w:val="20"/>
          <w:lang w:eastAsia="en-US"/>
        </w:rPr>
        <w:t xml:space="preserve"> </w:t>
      </w:r>
      <w:r w:rsidRPr="00781EDD">
        <w:rPr>
          <w:rFonts w:ascii="Arial" w:hAnsi="Arial" w:cs="Arial"/>
          <w:sz w:val="20"/>
          <w:szCs w:val="20"/>
          <w:lang w:eastAsia="en-US"/>
        </w:rPr>
        <w:t xml:space="preserve">zároveň </w:t>
      </w:r>
      <w:r w:rsidR="007D791D" w:rsidRPr="00781EDD">
        <w:rPr>
          <w:rFonts w:ascii="Arial" w:hAnsi="Arial" w:cs="Arial"/>
          <w:sz w:val="20"/>
          <w:szCs w:val="20"/>
          <w:lang w:eastAsia="en-US"/>
        </w:rPr>
        <w:t xml:space="preserve">predstavoval aj </w:t>
      </w:r>
      <w:r w:rsidRPr="00781EDD">
        <w:rPr>
          <w:rFonts w:ascii="Arial" w:hAnsi="Arial" w:cs="Arial"/>
          <w:sz w:val="20"/>
          <w:szCs w:val="20"/>
          <w:lang w:eastAsia="en-US"/>
        </w:rPr>
        <w:t>hlavnú výzvu procesného charakteru vo vzťahu k implementácii OP ŽP</w:t>
      </w:r>
      <w:r w:rsidR="00DB4C4F">
        <w:rPr>
          <w:rFonts w:ascii="Arial" w:hAnsi="Arial" w:cs="Arial"/>
          <w:sz w:val="20"/>
          <w:szCs w:val="20"/>
          <w:lang w:eastAsia="en-US"/>
        </w:rPr>
        <w:t>, bol</w:t>
      </w:r>
      <w:r w:rsidRPr="00781EDD">
        <w:rPr>
          <w:rFonts w:ascii="Arial" w:hAnsi="Arial" w:cs="Arial"/>
          <w:sz w:val="20"/>
          <w:szCs w:val="20"/>
          <w:lang w:eastAsia="en-US"/>
        </w:rPr>
        <w:t xml:space="preserve"> </w:t>
      </w:r>
      <w:r w:rsidR="007D791D" w:rsidRPr="00781EDD">
        <w:rPr>
          <w:rFonts w:ascii="Arial" w:hAnsi="Arial" w:cs="Arial"/>
          <w:sz w:val="20"/>
          <w:szCs w:val="20"/>
          <w:lang w:eastAsia="en-US"/>
        </w:rPr>
        <w:t>proces</w:t>
      </w:r>
      <w:r w:rsidRPr="00781EDD">
        <w:rPr>
          <w:rFonts w:ascii="Arial" w:hAnsi="Arial" w:cs="Arial"/>
          <w:sz w:val="20"/>
          <w:szCs w:val="20"/>
          <w:lang w:eastAsia="en-US"/>
        </w:rPr>
        <w:t xml:space="preserve"> verejného obstarávania (VO), pričom tento problém </w:t>
      </w:r>
      <w:r w:rsidR="007D791D" w:rsidRPr="00781EDD">
        <w:rPr>
          <w:rFonts w:ascii="Arial" w:hAnsi="Arial" w:cs="Arial"/>
          <w:sz w:val="20"/>
          <w:szCs w:val="20"/>
          <w:lang w:eastAsia="en-US"/>
        </w:rPr>
        <w:t>bol vnímaný</w:t>
      </w:r>
      <w:r w:rsidRPr="00781EDD">
        <w:rPr>
          <w:rFonts w:ascii="Arial" w:hAnsi="Arial" w:cs="Arial"/>
          <w:sz w:val="20"/>
          <w:szCs w:val="20"/>
          <w:lang w:eastAsia="en-US"/>
        </w:rPr>
        <w:t xml:space="preserve"> v dvoch rovinách.</w:t>
      </w:r>
    </w:p>
    <w:p w14:paraId="59F7401E" w14:textId="57F07BB0" w:rsidR="00CF413A" w:rsidRPr="00781EDD" w:rsidRDefault="00C22C9D" w:rsidP="00CF413A">
      <w:pPr>
        <w:spacing w:before="120" w:after="120"/>
        <w:jc w:val="both"/>
        <w:rPr>
          <w:rFonts w:ascii="Arial" w:hAnsi="Arial" w:cs="Arial"/>
          <w:sz w:val="20"/>
          <w:szCs w:val="20"/>
          <w:lang w:eastAsia="en-US"/>
        </w:rPr>
      </w:pPr>
      <w:r w:rsidRPr="00781EDD">
        <w:rPr>
          <w:rFonts w:ascii="Arial" w:hAnsi="Arial" w:cs="Arial"/>
          <w:sz w:val="20"/>
          <w:szCs w:val="20"/>
          <w:lang w:eastAsia="en-US"/>
        </w:rPr>
        <w:t xml:space="preserve">Prvou </w:t>
      </w:r>
      <w:r w:rsidR="00D230BB">
        <w:rPr>
          <w:rFonts w:ascii="Arial" w:hAnsi="Arial" w:cs="Arial"/>
          <w:sz w:val="20"/>
          <w:szCs w:val="20"/>
          <w:lang w:eastAsia="en-US"/>
        </w:rPr>
        <w:t>boli</w:t>
      </w:r>
      <w:r w:rsidRPr="00781EDD">
        <w:rPr>
          <w:rFonts w:ascii="Arial" w:hAnsi="Arial" w:cs="Arial"/>
          <w:sz w:val="20"/>
          <w:szCs w:val="20"/>
          <w:lang w:eastAsia="en-US"/>
        </w:rPr>
        <w:t xml:space="preserve"> pochybenia prijímateľov pri príprave a vyhodnocovaní VO, ktoré ma</w:t>
      </w:r>
      <w:r w:rsidR="007D791D" w:rsidRPr="00781EDD">
        <w:rPr>
          <w:rFonts w:ascii="Arial" w:hAnsi="Arial" w:cs="Arial"/>
          <w:sz w:val="20"/>
          <w:szCs w:val="20"/>
          <w:lang w:eastAsia="en-US"/>
        </w:rPr>
        <w:t>li</w:t>
      </w:r>
      <w:r w:rsidRPr="00781EDD">
        <w:rPr>
          <w:rFonts w:ascii="Arial" w:hAnsi="Arial" w:cs="Arial"/>
          <w:sz w:val="20"/>
          <w:szCs w:val="20"/>
          <w:lang w:eastAsia="en-US"/>
        </w:rPr>
        <w:t xml:space="preserve"> za následok potrebu opravy súťažných podkladov a iných dokumentov súvisiacich s VO, rušenie a opakovanie (často krát aj viacnásobné) súťaží, ako aj uplatňovanie individuálnych finančných korekcií. Uvedené sa následne prejav</w:t>
      </w:r>
      <w:r w:rsidR="007D791D" w:rsidRPr="00781EDD">
        <w:rPr>
          <w:rFonts w:ascii="Arial" w:hAnsi="Arial" w:cs="Arial"/>
          <w:sz w:val="20"/>
          <w:szCs w:val="20"/>
          <w:lang w:eastAsia="en-US"/>
        </w:rPr>
        <w:t>ilo</w:t>
      </w:r>
      <w:r w:rsidRPr="00781EDD">
        <w:rPr>
          <w:rFonts w:ascii="Arial" w:hAnsi="Arial" w:cs="Arial"/>
          <w:sz w:val="20"/>
          <w:szCs w:val="20"/>
          <w:lang w:eastAsia="en-US"/>
        </w:rPr>
        <w:t xml:space="preserve"> v nedodržaní plánovaných termínov realizácie projektov</w:t>
      </w:r>
      <w:r w:rsidR="007D791D" w:rsidRPr="00781EDD">
        <w:rPr>
          <w:rFonts w:ascii="Arial" w:hAnsi="Arial" w:cs="Arial"/>
          <w:sz w:val="20"/>
          <w:szCs w:val="20"/>
          <w:lang w:eastAsia="en-US"/>
        </w:rPr>
        <w:t>,</w:t>
      </w:r>
      <w:r w:rsidRPr="00781EDD">
        <w:rPr>
          <w:rFonts w:ascii="Arial" w:hAnsi="Arial" w:cs="Arial"/>
          <w:sz w:val="20"/>
          <w:szCs w:val="20"/>
          <w:lang w:eastAsia="en-US"/>
        </w:rPr>
        <w:t xml:space="preserve"> a tým aj </w:t>
      </w:r>
      <w:r w:rsidR="002732B3">
        <w:rPr>
          <w:rFonts w:ascii="Arial" w:hAnsi="Arial" w:cs="Arial"/>
          <w:sz w:val="20"/>
          <w:szCs w:val="20"/>
          <w:lang w:eastAsia="en-US"/>
        </w:rPr>
        <w:t xml:space="preserve">v </w:t>
      </w:r>
      <w:r w:rsidRPr="00781EDD">
        <w:rPr>
          <w:rFonts w:ascii="Arial" w:hAnsi="Arial" w:cs="Arial"/>
          <w:sz w:val="20"/>
          <w:szCs w:val="20"/>
          <w:lang w:eastAsia="en-US"/>
        </w:rPr>
        <w:t xml:space="preserve">odďaľovaní samotného čerpania. Druhou rovinou problému v oblasti VO </w:t>
      </w:r>
      <w:r w:rsidR="007D791D" w:rsidRPr="00781EDD">
        <w:rPr>
          <w:rFonts w:ascii="Arial" w:hAnsi="Arial" w:cs="Arial"/>
          <w:sz w:val="20"/>
          <w:szCs w:val="20"/>
          <w:lang w:eastAsia="en-US"/>
        </w:rPr>
        <w:t xml:space="preserve">bol </w:t>
      </w:r>
      <w:r w:rsidRPr="00781EDD">
        <w:rPr>
          <w:rFonts w:ascii="Arial" w:hAnsi="Arial" w:cs="Arial"/>
          <w:sz w:val="20"/>
          <w:szCs w:val="20"/>
          <w:lang w:eastAsia="en-US"/>
        </w:rPr>
        <w:t xml:space="preserve">vývoj situácie na trhu v dôsledku globálnej hospodárskej krízy. Tá mala, okrem iného, za následok aj vyhrotenie konkurencie medzi uchádzačmi v procese VO. Neúspešní uchádzači využívali v porovnaní s minulosťou oveľa častejšie inštitút námietok vo VO, čím sa proces VO (a teda aj samotné čerpanie) neúmerne </w:t>
      </w:r>
      <w:r w:rsidR="002732B3">
        <w:rPr>
          <w:rFonts w:ascii="Arial" w:hAnsi="Arial" w:cs="Arial"/>
          <w:sz w:val="20"/>
          <w:szCs w:val="20"/>
          <w:lang w:eastAsia="en-US"/>
        </w:rPr>
        <w:t>predlžoval</w:t>
      </w:r>
      <w:r w:rsidRPr="00781EDD">
        <w:rPr>
          <w:rFonts w:ascii="Arial" w:hAnsi="Arial" w:cs="Arial"/>
          <w:sz w:val="20"/>
          <w:szCs w:val="20"/>
          <w:lang w:eastAsia="en-US"/>
        </w:rPr>
        <w:t xml:space="preserve">, osobitne pri väčších a infraštruktúrnych projektoch, ktoré sú typické práve pre OP ŽP. S touto situáciou </w:t>
      </w:r>
      <w:r w:rsidR="00D230BB">
        <w:rPr>
          <w:rFonts w:ascii="Arial" w:hAnsi="Arial" w:cs="Arial"/>
          <w:sz w:val="20"/>
          <w:szCs w:val="20"/>
          <w:lang w:eastAsia="en-US"/>
        </w:rPr>
        <w:t>boli</w:t>
      </w:r>
      <w:r w:rsidRPr="00781EDD">
        <w:rPr>
          <w:rFonts w:ascii="Arial" w:hAnsi="Arial" w:cs="Arial"/>
          <w:sz w:val="20"/>
          <w:szCs w:val="20"/>
          <w:lang w:eastAsia="en-US"/>
        </w:rPr>
        <w:t xml:space="preserve"> potom spojené aj nereálne nízke ceny, ktoré sa následne prejavili v nižšom ako plánovanom kontrahovaní</w:t>
      </w:r>
      <w:r w:rsidR="00B3049A" w:rsidRPr="00781EDD">
        <w:rPr>
          <w:rFonts w:ascii="Arial" w:hAnsi="Arial" w:cs="Arial"/>
          <w:sz w:val="20"/>
          <w:szCs w:val="20"/>
          <w:lang w:eastAsia="en-US"/>
        </w:rPr>
        <w:t xml:space="preserve"> a následne aj v čerpaní finančných prostriedkov</w:t>
      </w:r>
      <w:r w:rsidRPr="00781EDD">
        <w:rPr>
          <w:rFonts w:ascii="Arial" w:hAnsi="Arial" w:cs="Arial"/>
          <w:sz w:val="20"/>
          <w:szCs w:val="20"/>
          <w:lang w:eastAsia="en-US"/>
        </w:rPr>
        <w:t xml:space="preserve">. </w:t>
      </w:r>
    </w:p>
    <w:p w14:paraId="002F3E4D" w14:textId="7514180D" w:rsidR="00C22C9D" w:rsidRPr="00781EDD" w:rsidRDefault="00CF413A" w:rsidP="00C22C9D">
      <w:pPr>
        <w:spacing w:before="120" w:after="120"/>
        <w:jc w:val="both"/>
        <w:rPr>
          <w:rFonts w:ascii="Arial" w:hAnsi="Arial" w:cs="Arial"/>
          <w:sz w:val="20"/>
          <w:szCs w:val="20"/>
          <w:lang w:eastAsia="en-US"/>
        </w:rPr>
      </w:pPr>
      <w:r w:rsidRPr="00781EDD">
        <w:rPr>
          <w:rFonts w:ascii="Arial" w:hAnsi="Arial" w:cs="Arial"/>
          <w:sz w:val="20"/>
          <w:szCs w:val="20"/>
          <w:lang w:eastAsia="en-US"/>
        </w:rPr>
        <w:tab/>
      </w:r>
      <w:r w:rsidR="00C22C9D" w:rsidRPr="00781EDD">
        <w:rPr>
          <w:rFonts w:ascii="Arial" w:hAnsi="Arial" w:cs="Arial"/>
          <w:sz w:val="20"/>
          <w:szCs w:val="20"/>
          <w:lang w:eastAsia="en-US"/>
        </w:rPr>
        <w:t>S ohľadom na uvedené RO priebežne prijíma</w:t>
      </w:r>
      <w:r w:rsidR="007D791D" w:rsidRPr="00781EDD">
        <w:rPr>
          <w:rFonts w:ascii="Arial" w:hAnsi="Arial" w:cs="Arial"/>
          <w:sz w:val="20"/>
          <w:szCs w:val="20"/>
          <w:lang w:eastAsia="en-US"/>
        </w:rPr>
        <w:t>l</w:t>
      </w:r>
      <w:r w:rsidR="00C22C9D" w:rsidRPr="00781EDD">
        <w:rPr>
          <w:rFonts w:ascii="Arial" w:hAnsi="Arial" w:cs="Arial"/>
          <w:sz w:val="20"/>
          <w:szCs w:val="20"/>
          <w:lang w:eastAsia="en-US"/>
        </w:rPr>
        <w:t xml:space="preserve"> viaceré opatrenia v tejto oblasti, vrátane aplikovania podmienky vyhlásenia VO na hlavné aktivity projektu už v čase predkladania žiadostí</w:t>
      </w:r>
      <w:r w:rsidR="00122BF0">
        <w:rPr>
          <w:rFonts w:ascii="Arial" w:hAnsi="Arial" w:cs="Arial"/>
          <w:sz w:val="20"/>
          <w:szCs w:val="20"/>
          <w:lang w:eastAsia="en-US"/>
        </w:rPr>
        <w:t xml:space="preserve"> o nenávratný finančný príspevok (ďalej aj ako „Ž</w:t>
      </w:r>
      <w:r w:rsidR="00C22C9D" w:rsidRPr="00781EDD">
        <w:rPr>
          <w:rFonts w:ascii="Arial" w:hAnsi="Arial" w:cs="Arial"/>
          <w:sz w:val="20"/>
          <w:szCs w:val="20"/>
          <w:lang w:eastAsia="en-US"/>
        </w:rPr>
        <w:t>oNFP</w:t>
      </w:r>
      <w:r w:rsidR="00122BF0">
        <w:rPr>
          <w:rFonts w:ascii="Arial" w:hAnsi="Arial" w:cs="Arial"/>
          <w:sz w:val="20"/>
          <w:szCs w:val="20"/>
          <w:lang w:eastAsia="en-US"/>
        </w:rPr>
        <w:t>“)</w:t>
      </w:r>
      <w:r w:rsidR="00C22C9D" w:rsidRPr="00781EDD">
        <w:rPr>
          <w:rFonts w:ascii="Arial" w:hAnsi="Arial" w:cs="Arial"/>
          <w:sz w:val="20"/>
          <w:szCs w:val="20"/>
          <w:lang w:eastAsia="en-US"/>
        </w:rPr>
        <w:t xml:space="preserve"> ako jednej z podmienok poskytnutia pomoci. Táto podmienka bola </w:t>
      </w:r>
      <w:r w:rsidR="007D791D" w:rsidRPr="00781EDD">
        <w:rPr>
          <w:rFonts w:ascii="Arial" w:hAnsi="Arial" w:cs="Arial"/>
          <w:sz w:val="20"/>
          <w:szCs w:val="20"/>
          <w:lang w:eastAsia="en-US"/>
        </w:rPr>
        <w:t>od</w:t>
      </w:r>
      <w:r w:rsidR="00C22C9D" w:rsidRPr="00781EDD">
        <w:rPr>
          <w:rFonts w:ascii="Arial" w:hAnsi="Arial" w:cs="Arial"/>
          <w:sz w:val="20"/>
          <w:szCs w:val="20"/>
          <w:lang w:eastAsia="en-US"/>
        </w:rPr>
        <w:t xml:space="preserve"> roku 2014 štandardne integrovaná do všetkých výziev vyhlásených v rámci OP</w:t>
      </w:r>
      <w:r w:rsidR="009A0B91">
        <w:rPr>
          <w:rFonts w:ascii="Arial" w:hAnsi="Arial" w:cs="Arial"/>
          <w:sz w:val="20"/>
          <w:szCs w:val="20"/>
          <w:lang w:eastAsia="en-US"/>
        </w:rPr>
        <w:t> </w:t>
      </w:r>
      <w:r w:rsidR="00C22C9D" w:rsidRPr="00781EDD">
        <w:rPr>
          <w:rFonts w:ascii="Arial" w:hAnsi="Arial" w:cs="Arial"/>
          <w:sz w:val="20"/>
          <w:szCs w:val="20"/>
          <w:lang w:eastAsia="en-US"/>
        </w:rPr>
        <w:t>ŽP. Zrýchlenie a zvýšenie kvality, spoľahlivosti a efektívnosti kontroly VO zo strany RO bolo priebežne zabezpečované prostredníctvom pravidelných školení zamestnancov RO pre OP ŽP zodpovedných za výkon kontroly VO, ako aj vytvorením ad hoc pracovných skupín zložených z projektových manažérov pre administratívnu kontrolu VO v prípade rozsiahlej dokumentácie VO či náročnej problematik</w:t>
      </w:r>
      <w:r w:rsidR="00682E00">
        <w:rPr>
          <w:rFonts w:ascii="Arial" w:hAnsi="Arial" w:cs="Arial"/>
          <w:sz w:val="20"/>
          <w:szCs w:val="20"/>
          <w:lang w:eastAsia="en-US"/>
        </w:rPr>
        <w:t>y</w:t>
      </w:r>
      <w:r w:rsidR="00C22C9D" w:rsidRPr="00781EDD">
        <w:rPr>
          <w:rFonts w:ascii="Arial" w:hAnsi="Arial" w:cs="Arial"/>
          <w:sz w:val="20"/>
          <w:szCs w:val="20"/>
          <w:lang w:eastAsia="en-US"/>
        </w:rPr>
        <w:t xml:space="preserve"> v dokumentácii VO.</w:t>
      </w:r>
      <w:r w:rsidRPr="00781EDD">
        <w:rPr>
          <w:rFonts w:ascii="Arial" w:hAnsi="Arial" w:cs="Arial"/>
          <w:sz w:val="20"/>
          <w:szCs w:val="20"/>
          <w:lang w:eastAsia="en-US"/>
        </w:rPr>
        <w:t xml:space="preserve"> </w:t>
      </w:r>
    </w:p>
    <w:p w14:paraId="40695F1C" w14:textId="41AAD185" w:rsidR="00F35035" w:rsidRPr="00781EDD" w:rsidRDefault="00F35035" w:rsidP="00C22C9D">
      <w:pPr>
        <w:spacing w:before="120" w:after="120"/>
        <w:jc w:val="both"/>
        <w:rPr>
          <w:rFonts w:ascii="Arial" w:hAnsi="Arial" w:cs="Arial"/>
          <w:sz w:val="20"/>
          <w:szCs w:val="20"/>
          <w:lang w:eastAsia="en-US"/>
        </w:rPr>
      </w:pPr>
      <w:r w:rsidRPr="00781EDD">
        <w:rPr>
          <w:rFonts w:ascii="Arial" w:hAnsi="Arial" w:cs="Arial"/>
          <w:sz w:val="20"/>
          <w:szCs w:val="20"/>
          <w:lang w:eastAsia="en-US"/>
        </w:rPr>
        <w:t>Čo sa týka veľkých projektov</w:t>
      </w:r>
      <w:r w:rsidR="00682E00">
        <w:rPr>
          <w:rFonts w:ascii="Arial" w:hAnsi="Arial" w:cs="Arial"/>
          <w:sz w:val="20"/>
          <w:szCs w:val="20"/>
          <w:lang w:eastAsia="en-US"/>
        </w:rPr>
        <w:t>,</w:t>
      </w:r>
      <w:r w:rsidRPr="00781EDD">
        <w:rPr>
          <w:rFonts w:ascii="Arial" w:hAnsi="Arial" w:cs="Arial"/>
          <w:sz w:val="20"/>
          <w:szCs w:val="20"/>
          <w:lang w:eastAsia="en-US"/>
        </w:rPr>
        <w:t xml:space="preserve"> od roku 2012 </w:t>
      </w:r>
      <w:r w:rsidR="00682E00">
        <w:rPr>
          <w:rFonts w:ascii="Arial" w:hAnsi="Arial" w:cs="Arial"/>
          <w:sz w:val="20"/>
          <w:szCs w:val="20"/>
          <w:lang w:eastAsia="en-US"/>
        </w:rPr>
        <w:t xml:space="preserve">bol </w:t>
      </w:r>
      <w:r w:rsidRPr="00781EDD">
        <w:rPr>
          <w:rFonts w:ascii="Arial" w:hAnsi="Arial" w:cs="Arial"/>
          <w:sz w:val="20"/>
          <w:szCs w:val="20"/>
          <w:lang w:eastAsia="en-US"/>
        </w:rPr>
        <w:t xml:space="preserve">zavedený systém monitorovania stavu schvaľovania a realizácie veľkých projektov na mesačnej báze, ktorý spolu so zintenzívnením komunikácie </w:t>
      </w:r>
      <w:r w:rsidR="00D0271C" w:rsidRPr="00781EDD">
        <w:rPr>
          <w:rFonts w:ascii="Arial" w:hAnsi="Arial" w:cs="Arial"/>
          <w:sz w:val="20"/>
          <w:szCs w:val="20"/>
          <w:lang w:eastAsia="en-US"/>
        </w:rPr>
        <w:t xml:space="preserve">medzi </w:t>
      </w:r>
      <w:r w:rsidRPr="00781EDD">
        <w:rPr>
          <w:rFonts w:ascii="Arial" w:hAnsi="Arial" w:cs="Arial"/>
          <w:sz w:val="20"/>
          <w:szCs w:val="20"/>
          <w:lang w:eastAsia="en-US"/>
        </w:rPr>
        <w:t xml:space="preserve">RO a EK s cieľom zrýchliť proces schvaľovania veľkých projektov výraznou mierou prispel k zlepšeniu stavu kontrahovania </w:t>
      </w:r>
      <w:r w:rsidR="00D0271C" w:rsidRPr="00781EDD">
        <w:rPr>
          <w:rFonts w:ascii="Arial" w:hAnsi="Arial" w:cs="Arial"/>
          <w:sz w:val="20"/>
          <w:szCs w:val="20"/>
          <w:lang w:eastAsia="en-US"/>
        </w:rPr>
        <w:t xml:space="preserve">a </w:t>
      </w:r>
      <w:r w:rsidRPr="00781EDD">
        <w:rPr>
          <w:rFonts w:ascii="Arial" w:hAnsi="Arial" w:cs="Arial"/>
          <w:sz w:val="20"/>
          <w:szCs w:val="20"/>
          <w:lang w:eastAsia="en-US"/>
        </w:rPr>
        <w:t>následne čerpania veľkých projektov.</w:t>
      </w:r>
    </w:p>
    <w:p w14:paraId="4D71734E" w14:textId="77777777" w:rsidR="006A478D" w:rsidRDefault="00C22C9D" w:rsidP="006A478D">
      <w:pPr>
        <w:spacing w:before="120" w:after="120"/>
        <w:jc w:val="both"/>
        <w:rPr>
          <w:rFonts w:ascii="Arial" w:hAnsi="Arial" w:cs="Arial"/>
          <w:sz w:val="20"/>
          <w:szCs w:val="20"/>
          <w:lang w:eastAsia="en-US"/>
        </w:rPr>
      </w:pPr>
      <w:r w:rsidRPr="00781EDD">
        <w:rPr>
          <w:rFonts w:ascii="Arial" w:hAnsi="Arial" w:cs="Arial"/>
          <w:sz w:val="20"/>
          <w:szCs w:val="20"/>
          <w:lang w:eastAsia="en-US"/>
        </w:rPr>
        <w:t xml:space="preserve">V rámci prípravy a implementácie veľkých projektov boli aplikované viaceré prvky krízového riadenia (mesačné odpočty pokroku vecnej a finančnej implementácie projektu zo strany prijímateľa vrátane vyhodnocovania harmonogramu realizácie aktivít jednotlivých veľkých projektov, pravidelné </w:t>
      </w:r>
      <w:r w:rsidRPr="00781EDD">
        <w:rPr>
          <w:rFonts w:ascii="Arial" w:hAnsi="Arial" w:cs="Arial"/>
          <w:sz w:val="20"/>
          <w:szCs w:val="20"/>
          <w:lang w:eastAsia="en-US"/>
        </w:rPr>
        <w:lastRenderedPageBreak/>
        <w:t>koordinačné porady zodpovedných zamestnancov RO pre OP ŽP s cieľom pravidelného vyhodnocovania pokroku v realizácii veľkých projektov, osobné stretnutia so zodpovednými zástupcami prijímateľov v prípade identifikácie problémov v nadväznosti na informácie z mesačných odpočtov implementácie projektu).</w:t>
      </w:r>
    </w:p>
    <w:p w14:paraId="117C7BE3" w14:textId="298DC8CA" w:rsidR="006B304B" w:rsidRDefault="0072327C" w:rsidP="00497E50">
      <w:pPr>
        <w:spacing w:after="120"/>
        <w:jc w:val="both"/>
        <w:rPr>
          <w:rFonts w:ascii="Arial" w:hAnsi="Arial" w:cs="Arial"/>
          <w:sz w:val="20"/>
          <w:szCs w:val="20"/>
        </w:rPr>
      </w:pPr>
      <w:r>
        <w:rPr>
          <w:rFonts w:ascii="Arial" w:hAnsi="Arial" w:cs="Arial"/>
          <w:sz w:val="20"/>
          <w:szCs w:val="20"/>
          <w:lang w:eastAsia="en-US"/>
        </w:rPr>
        <w:t>N</w:t>
      </w:r>
      <w:r w:rsidR="00C22C9D" w:rsidRPr="00781EDD">
        <w:rPr>
          <w:rFonts w:ascii="Arial" w:hAnsi="Arial" w:cs="Arial"/>
          <w:sz w:val="20"/>
          <w:szCs w:val="20"/>
          <w:lang w:eastAsia="en-US"/>
        </w:rPr>
        <w:t>apriek monitorovaniu implementácie programu a</w:t>
      </w:r>
      <w:r w:rsidR="007637AA" w:rsidRPr="00781EDD">
        <w:rPr>
          <w:rFonts w:ascii="Arial" w:hAnsi="Arial" w:cs="Arial"/>
          <w:sz w:val="20"/>
          <w:szCs w:val="20"/>
          <w:lang w:eastAsia="en-US"/>
        </w:rPr>
        <w:t xml:space="preserve"> urýchlenému </w:t>
      </w:r>
      <w:r w:rsidR="00C22C9D" w:rsidRPr="00781EDD">
        <w:rPr>
          <w:rFonts w:ascii="Arial" w:hAnsi="Arial" w:cs="Arial"/>
          <w:sz w:val="20"/>
          <w:szCs w:val="20"/>
          <w:lang w:eastAsia="en-US"/>
        </w:rPr>
        <w:t xml:space="preserve">prijímaniu uvedených opatrení (vrátane opatrení na úrovni jednotlivých projektov) </w:t>
      </w:r>
      <w:r w:rsidR="001D4C6C">
        <w:rPr>
          <w:rFonts w:ascii="Arial" w:hAnsi="Arial" w:cs="Arial"/>
          <w:sz w:val="20"/>
          <w:szCs w:val="20"/>
          <w:lang w:eastAsia="en-US"/>
        </w:rPr>
        <w:t xml:space="preserve">nebolo možné celkom eliminovať </w:t>
      </w:r>
      <w:r w:rsidR="00C22C9D" w:rsidRPr="00781EDD">
        <w:rPr>
          <w:rFonts w:ascii="Arial" w:hAnsi="Arial" w:cs="Arial"/>
          <w:sz w:val="20"/>
          <w:szCs w:val="20"/>
          <w:lang w:eastAsia="en-US"/>
        </w:rPr>
        <w:t>riziko</w:t>
      </w:r>
      <w:r w:rsidR="005B7932">
        <w:rPr>
          <w:rFonts w:ascii="Arial" w:hAnsi="Arial" w:cs="Arial"/>
          <w:sz w:val="20"/>
          <w:szCs w:val="20"/>
          <w:lang w:eastAsia="en-US"/>
        </w:rPr>
        <w:t xml:space="preserve"> </w:t>
      </w:r>
      <w:r w:rsidR="005B7932" w:rsidRPr="00F410CF">
        <w:rPr>
          <w:rFonts w:ascii="Arial" w:hAnsi="Arial" w:cs="Arial"/>
          <w:sz w:val="20"/>
          <w:szCs w:val="20"/>
          <w:lang w:eastAsia="en-US"/>
        </w:rPr>
        <w:t xml:space="preserve">nedočerpania </w:t>
      </w:r>
      <w:r w:rsidR="00C22C9D" w:rsidRPr="00F410CF">
        <w:rPr>
          <w:rFonts w:ascii="Arial" w:hAnsi="Arial" w:cs="Arial"/>
          <w:sz w:val="20"/>
          <w:szCs w:val="20"/>
          <w:lang w:eastAsia="en-US"/>
        </w:rPr>
        <w:t>zazmluvnen</w:t>
      </w:r>
      <w:r w:rsidR="005B7932" w:rsidRPr="00F410CF">
        <w:rPr>
          <w:rFonts w:ascii="Arial" w:hAnsi="Arial" w:cs="Arial"/>
          <w:sz w:val="20"/>
          <w:szCs w:val="20"/>
          <w:lang w:eastAsia="en-US"/>
        </w:rPr>
        <w:t>ých</w:t>
      </w:r>
      <w:r w:rsidR="00C22C9D" w:rsidRPr="00F410CF">
        <w:rPr>
          <w:rFonts w:ascii="Arial" w:hAnsi="Arial" w:cs="Arial"/>
          <w:sz w:val="20"/>
          <w:szCs w:val="20"/>
          <w:lang w:eastAsia="en-US"/>
        </w:rPr>
        <w:t xml:space="preserve"> finančn</w:t>
      </w:r>
      <w:r w:rsidR="005B7932" w:rsidRPr="00F410CF">
        <w:rPr>
          <w:rFonts w:ascii="Arial" w:hAnsi="Arial" w:cs="Arial"/>
          <w:sz w:val="20"/>
          <w:szCs w:val="20"/>
          <w:lang w:eastAsia="en-US"/>
        </w:rPr>
        <w:t>ých</w:t>
      </w:r>
      <w:r w:rsidR="00C22C9D" w:rsidRPr="00F410CF">
        <w:rPr>
          <w:rFonts w:ascii="Arial" w:hAnsi="Arial" w:cs="Arial"/>
          <w:sz w:val="20"/>
          <w:szCs w:val="20"/>
          <w:lang w:eastAsia="en-US"/>
        </w:rPr>
        <w:t xml:space="preserve"> prostriedk</w:t>
      </w:r>
      <w:r w:rsidR="005B7932" w:rsidRPr="00F410CF">
        <w:rPr>
          <w:rFonts w:ascii="Arial" w:hAnsi="Arial" w:cs="Arial"/>
          <w:sz w:val="20"/>
          <w:szCs w:val="20"/>
          <w:lang w:eastAsia="en-US"/>
        </w:rPr>
        <w:t>ov</w:t>
      </w:r>
      <w:r w:rsidR="00C22C9D" w:rsidRPr="00F410CF">
        <w:rPr>
          <w:rFonts w:ascii="Arial" w:hAnsi="Arial" w:cs="Arial"/>
          <w:sz w:val="20"/>
          <w:szCs w:val="20"/>
          <w:lang w:eastAsia="en-US"/>
        </w:rPr>
        <w:t xml:space="preserve"> </w:t>
      </w:r>
      <w:r w:rsidR="005B7932" w:rsidRPr="00F410CF">
        <w:rPr>
          <w:rFonts w:ascii="Arial" w:hAnsi="Arial" w:cs="Arial"/>
          <w:sz w:val="20"/>
          <w:szCs w:val="20"/>
          <w:lang w:eastAsia="en-US"/>
        </w:rPr>
        <w:t xml:space="preserve">zo strany prijímateľov </w:t>
      </w:r>
      <w:r w:rsidR="00C22C9D" w:rsidRPr="00F410CF">
        <w:rPr>
          <w:rFonts w:ascii="Arial" w:hAnsi="Arial" w:cs="Arial"/>
          <w:sz w:val="20"/>
          <w:szCs w:val="20"/>
          <w:lang w:eastAsia="en-US"/>
        </w:rPr>
        <w:t xml:space="preserve">v takej výške, aby </w:t>
      </w:r>
      <w:r w:rsidR="005B7932" w:rsidRPr="00F410CF">
        <w:rPr>
          <w:rFonts w:ascii="Arial" w:hAnsi="Arial" w:cs="Arial"/>
          <w:sz w:val="20"/>
          <w:szCs w:val="20"/>
          <w:lang w:eastAsia="en-US"/>
        </w:rPr>
        <w:t> bola maximálne</w:t>
      </w:r>
      <w:r w:rsidR="00C22C9D" w:rsidRPr="00F410CF">
        <w:rPr>
          <w:rFonts w:ascii="Arial" w:hAnsi="Arial" w:cs="Arial"/>
          <w:sz w:val="20"/>
          <w:szCs w:val="20"/>
          <w:lang w:eastAsia="en-US"/>
        </w:rPr>
        <w:t xml:space="preserve"> využit</w:t>
      </w:r>
      <w:r w:rsidR="005B7932" w:rsidRPr="00F410CF">
        <w:rPr>
          <w:rFonts w:ascii="Arial" w:hAnsi="Arial" w:cs="Arial"/>
          <w:sz w:val="20"/>
          <w:szCs w:val="20"/>
          <w:lang w:eastAsia="en-US"/>
        </w:rPr>
        <w:t>á</w:t>
      </w:r>
      <w:r w:rsidR="00C22C9D" w:rsidRPr="00F410CF">
        <w:rPr>
          <w:rFonts w:ascii="Arial" w:hAnsi="Arial" w:cs="Arial"/>
          <w:sz w:val="20"/>
          <w:szCs w:val="20"/>
          <w:lang w:eastAsia="en-US"/>
        </w:rPr>
        <w:t xml:space="preserve"> </w:t>
      </w:r>
      <w:r w:rsidR="005B7932" w:rsidRPr="00F410CF">
        <w:rPr>
          <w:rFonts w:ascii="Arial" w:hAnsi="Arial" w:cs="Arial"/>
          <w:sz w:val="20"/>
          <w:szCs w:val="20"/>
          <w:lang w:eastAsia="en-US"/>
        </w:rPr>
        <w:t xml:space="preserve">celá </w:t>
      </w:r>
      <w:r w:rsidR="00C22C9D" w:rsidRPr="00F410CF">
        <w:rPr>
          <w:rFonts w:ascii="Arial" w:hAnsi="Arial" w:cs="Arial"/>
          <w:sz w:val="20"/>
          <w:szCs w:val="20"/>
          <w:lang w:eastAsia="en-US"/>
        </w:rPr>
        <w:t>alokáci</w:t>
      </w:r>
      <w:r w:rsidR="005B7932" w:rsidRPr="00F410CF">
        <w:rPr>
          <w:rFonts w:ascii="Arial" w:hAnsi="Arial" w:cs="Arial"/>
          <w:sz w:val="20"/>
          <w:szCs w:val="20"/>
          <w:lang w:eastAsia="en-US"/>
        </w:rPr>
        <w:t>a</w:t>
      </w:r>
      <w:r w:rsidR="00C22C9D" w:rsidRPr="00F410CF">
        <w:rPr>
          <w:rFonts w:ascii="Arial" w:hAnsi="Arial" w:cs="Arial"/>
          <w:sz w:val="20"/>
          <w:szCs w:val="20"/>
          <w:lang w:eastAsia="en-US"/>
        </w:rPr>
        <w:t xml:space="preserve"> OP ŽP. Z tohto dôvodu</w:t>
      </w:r>
      <w:r w:rsidRPr="00F410CF">
        <w:rPr>
          <w:rFonts w:ascii="Arial" w:hAnsi="Arial" w:cs="Arial"/>
          <w:sz w:val="20"/>
          <w:szCs w:val="20"/>
          <w:lang w:eastAsia="en-US"/>
        </w:rPr>
        <w:t>,</w:t>
      </w:r>
      <w:r w:rsidR="00C22C9D" w:rsidRPr="00F410CF">
        <w:rPr>
          <w:rFonts w:ascii="Arial" w:hAnsi="Arial" w:cs="Arial"/>
          <w:sz w:val="20"/>
          <w:szCs w:val="20"/>
          <w:lang w:eastAsia="en-US"/>
        </w:rPr>
        <w:t xml:space="preserve"> okrem už uvedených opatrení s národnou dimenziou</w:t>
      </w:r>
      <w:r w:rsidRPr="00F410CF">
        <w:rPr>
          <w:rFonts w:ascii="Arial" w:hAnsi="Arial" w:cs="Arial"/>
          <w:sz w:val="20"/>
          <w:szCs w:val="20"/>
          <w:lang w:eastAsia="en-US"/>
        </w:rPr>
        <w:t>,</w:t>
      </w:r>
      <w:r w:rsidR="00C22C9D" w:rsidRPr="00F410CF">
        <w:rPr>
          <w:rFonts w:ascii="Arial" w:hAnsi="Arial" w:cs="Arial"/>
          <w:sz w:val="20"/>
          <w:szCs w:val="20"/>
          <w:lang w:eastAsia="en-US"/>
        </w:rPr>
        <w:t xml:space="preserve"> RO pre OP ŽP v</w:t>
      </w:r>
      <w:r w:rsidR="00E15063">
        <w:rPr>
          <w:rFonts w:ascii="Arial" w:hAnsi="Arial" w:cs="Arial"/>
          <w:sz w:val="20"/>
          <w:szCs w:val="20"/>
          <w:lang w:eastAsia="en-US"/>
        </w:rPr>
        <w:t xml:space="preserve"> rámci činnosti osobitnej pracovnej skupiny </w:t>
      </w:r>
      <w:r w:rsidR="00C356A9" w:rsidRPr="00C356A9">
        <w:rPr>
          <w:rFonts w:ascii="Arial" w:hAnsi="Arial" w:cs="Arial"/>
          <w:sz w:val="20"/>
          <w:szCs w:val="20"/>
          <w:lang w:eastAsia="en-US"/>
        </w:rPr>
        <w:t>(„Task Force for Better Implementation“)</w:t>
      </w:r>
      <w:r w:rsidR="00A1019A">
        <w:rPr>
          <w:rFonts w:ascii="Arial" w:hAnsi="Arial" w:cs="Arial"/>
          <w:sz w:val="20"/>
          <w:szCs w:val="20"/>
          <w:lang w:eastAsia="en-US"/>
        </w:rPr>
        <w:t xml:space="preserve">, vytvorenej z iniciatívy </w:t>
      </w:r>
      <w:r w:rsidR="00C22C9D" w:rsidRPr="00F410CF">
        <w:rPr>
          <w:rFonts w:ascii="Arial" w:hAnsi="Arial" w:cs="Arial"/>
          <w:sz w:val="20"/>
          <w:szCs w:val="20"/>
          <w:lang w:eastAsia="en-US"/>
        </w:rPr>
        <w:t>Európsk</w:t>
      </w:r>
      <w:r w:rsidR="00D230BB">
        <w:rPr>
          <w:rFonts w:ascii="Arial" w:hAnsi="Arial" w:cs="Arial"/>
          <w:sz w:val="20"/>
          <w:szCs w:val="20"/>
          <w:lang w:eastAsia="en-US"/>
        </w:rPr>
        <w:t>ej</w:t>
      </w:r>
      <w:r w:rsidR="00C22C9D" w:rsidRPr="00F410CF">
        <w:rPr>
          <w:rFonts w:ascii="Arial" w:hAnsi="Arial" w:cs="Arial"/>
          <w:sz w:val="20"/>
          <w:szCs w:val="20"/>
          <w:lang w:eastAsia="en-US"/>
        </w:rPr>
        <w:t xml:space="preserve"> komisi</w:t>
      </w:r>
      <w:r w:rsidR="00D230BB">
        <w:rPr>
          <w:rFonts w:ascii="Arial" w:hAnsi="Arial" w:cs="Arial"/>
          <w:sz w:val="20"/>
          <w:szCs w:val="20"/>
          <w:lang w:eastAsia="en-US"/>
        </w:rPr>
        <w:t>e</w:t>
      </w:r>
      <w:r w:rsidR="00C356A9">
        <w:rPr>
          <w:rFonts w:ascii="Arial" w:hAnsi="Arial" w:cs="Arial"/>
          <w:sz w:val="20"/>
          <w:szCs w:val="20"/>
          <w:lang w:eastAsia="en-US"/>
        </w:rPr>
        <w:t xml:space="preserve"> (EK) </w:t>
      </w:r>
      <w:r w:rsidR="00C22C9D" w:rsidRPr="00F410CF">
        <w:rPr>
          <w:rFonts w:ascii="Arial" w:hAnsi="Arial" w:cs="Arial"/>
          <w:sz w:val="20"/>
          <w:szCs w:val="20"/>
          <w:lang w:eastAsia="en-US"/>
        </w:rPr>
        <w:t>a</w:t>
      </w:r>
      <w:r w:rsidR="00A1019A">
        <w:rPr>
          <w:rFonts w:ascii="Arial" w:hAnsi="Arial" w:cs="Arial"/>
          <w:sz w:val="20"/>
          <w:szCs w:val="20"/>
          <w:lang w:eastAsia="en-US"/>
        </w:rPr>
        <w:t xml:space="preserve"> za súčinnosti </w:t>
      </w:r>
      <w:r w:rsidR="00C22C9D" w:rsidRPr="00F410CF">
        <w:rPr>
          <w:rFonts w:ascii="Arial" w:hAnsi="Arial" w:cs="Arial"/>
          <w:sz w:val="20"/>
          <w:szCs w:val="20"/>
          <w:lang w:eastAsia="en-US"/>
        </w:rPr>
        <w:t>CKO</w:t>
      </w:r>
      <w:r w:rsidR="00A1019A">
        <w:rPr>
          <w:rFonts w:ascii="Arial" w:hAnsi="Arial" w:cs="Arial"/>
          <w:sz w:val="20"/>
          <w:szCs w:val="20"/>
          <w:lang w:eastAsia="en-US"/>
        </w:rPr>
        <w:t>,</w:t>
      </w:r>
      <w:r w:rsidR="00C22C9D" w:rsidRPr="00F410CF">
        <w:rPr>
          <w:rFonts w:ascii="Arial" w:hAnsi="Arial" w:cs="Arial"/>
          <w:sz w:val="20"/>
          <w:szCs w:val="20"/>
          <w:lang w:eastAsia="en-US"/>
        </w:rPr>
        <w:t xml:space="preserve"> aktívne komunik</w:t>
      </w:r>
      <w:r w:rsidR="007637AA" w:rsidRPr="00F410CF">
        <w:rPr>
          <w:rFonts w:ascii="Arial" w:hAnsi="Arial" w:cs="Arial"/>
          <w:sz w:val="20"/>
          <w:szCs w:val="20"/>
          <w:lang w:eastAsia="en-US"/>
        </w:rPr>
        <w:t>oval</w:t>
      </w:r>
      <w:r w:rsidR="00C22C9D" w:rsidRPr="00F410CF">
        <w:rPr>
          <w:rFonts w:ascii="Arial" w:hAnsi="Arial" w:cs="Arial"/>
          <w:sz w:val="20"/>
          <w:szCs w:val="20"/>
          <w:lang w:eastAsia="en-US"/>
        </w:rPr>
        <w:t xml:space="preserve"> </w:t>
      </w:r>
      <w:r w:rsidRPr="00F410CF">
        <w:rPr>
          <w:rFonts w:ascii="Arial" w:hAnsi="Arial" w:cs="Arial"/>
          <w:sz w:val="20"/>
          <w:szCs w:val="20"/>
          <w:lang w:eastAsia="en-US"/>
        </w:rPr>
        <w:t xml:space="preserve">o možnostiach </w:t>
      </w:r>
      <w:r w:rsidR="00C22C9D" w:rsidRPr="00F410CF">
        <w:rPr>
          <w:rFonts w:ascii="Arial" w:hAnsi="Arial" w:cs="Arial"/>
          <w:sz w:val="20"/>
          <w:szCs w:val="20"/>
          <w:lang w:eastAsia="en-US"/>
        </w:rPr>
        <w:t>prijatia opatrení na urýchlenie čerpania, tzv. nástroj</w:t>
      </w:r>
      <w:r w:rsidR="00E15063">
        <w:rPr>
          <w:rFonts w:ascii="Arial" w:hAnsi="Arial" w:cs="Arial"/>
          <w:sz w:val="20"/>
          <w:szCs w:val="20"/>
          <w:lang w:eastAsia="en-US"/>
        </w:rPr>
        <w:t>ov</w:t>
      </w:r>
      <w:r w:rsidR="00C22C9D" w:rsidRPr="00F410CF">
        <w:rPr>
          <w:rFonts w:ascii="Arial" w:hAnsi="Arial" w:cs="Arial"/>
          <w:sz w:val="20"/>
          <w:szCs w:val="20"/>
          <w:lang w:eastAsia="en-US"/>
        </w:rPr>
        <w:t xml:space="preserve"> flexibility“, ktorých cieľom </w:t>
      </w:r>
      <w:r w:rsidR="00E15063">
        <w:rPr>
          <w:rFonts w:ascii="Arial" w:hAnsi="Arial" w:cs="Arial"/>
          <w:sz w:val="20"/>
          <w:szCs w:val="20"/>
          <w:lang w:eastAsia="en-US"/>
        </w:rPr>
        <w:t>bolo</w:t>
      </w:r>
      <w:r w:rsidR="00C22C9D" w:rsidRPr="00F410CF">
        <w:rPr>
          <w:rFonts w:ascii="Arial" w:hAnsi="Arial" w:cs="Arial"/>
          <w:sz w:val="20"/>
          <w:szCs w:val="20"/>
          <w:lang w:eastAsia="en-US"/>
        </w:rPr>
        <w:t xml:space="preserve"> v maximálnej miere využiť finančné prostriedky programového obdobia 2007-2013. </w:t>
      </w:r>
      <w:r w:rsidR="00B3049A" w:rsidRPr="00F410CF">
        <w:rPr>
          <w:rFonts w:ascii="Arial" w:hAnsi="Arial" w:cs="Arial"/>
          <w:sz w:val="20"/>
          <w:szCs w:val="20"/>
          <w:lang w:eastAsia="en-US"/>
        </w:rPr>
        <w:t xml:space="preserve">V rámci </w:t>
      </w:r>
      <w:r w:rsidR="00A1019A">
        <w:rPr>
          <w:rFonts w:ascii="Arial" w:hAnsi="Arial" w:cs="Arial"/>
          <w:sz w:val="20"/>
          <w:szCs w:val="20"/>
          <w:lang w:eastAsia="en-US"/>
        </w:rPr>
        <w:t xml:space="preserve"> </w:t>
      </w:r>
      <w:r w:rsidR="00A1019A">
        <w:rPr>
          <w:rFonts w:ascii="Arial" w:hAnsi="Arial" w:cs="Arial"/>
          <w:sz w:val="20"/>
          <w:szCs w:val="20"/>
        </w:rPr>
        <w:t>OP ŽP boli navrhnuté a postupne realizované opatrenia</w:t>
      </w:r>
      <w:r w:rsidR="00C96412">
        <w:rPr>
          <w:rFonts w:ascii="Arial" w:hAnsi="Arial" w:cs="Arial"/>
          <w:sz w:val="20"/>
          <w:szCs w:val="20"/>
        </w:rPr>
        <w:t xml:space="preserve">, ako </w:t>
      </w:r>
      <w:r w:rsidR="00A1019A">
        <w:rPr>
          <w:rFonts w:ascii="Arial" w:hAnsi="Arial" w:cs="Arial"/>
          <w:sz w:val="20"/>
          <w:szCs w:val="20"/>
        </w:rPr>
        <w:t>fázovanie veľkých projektov (projekt ČOV Sever),</w:t>
      </w:r>
      <w:r w:rsidR="00C96412">
        <w:rPr>
          <w:rFonts w:ascii="Arial" w:hAnsi="Arial" w:cs="Arial"/>
          <w:sz w:val="20"/>
          <w:szCs w:val="20"/>
        </w:rPr>
        <w:t xml:space="preserve"> </w:t>
      </w:r>
      <w:r w:rsidR="006B304B">
        <w:rPr>
          <w:rFonts w:ascii="Arial" w:hAnsi="Arial" w:cs="Arial"/>
          <w:sz w:val="20"/>
          <w:szCs w:val="20"/>
        </w:rPr>
        <w:t>v</w:t>
      </w:r>
      <w:r w:rsidR="006B304B" w:rsidRPr="00996B35">
        <w:rPr>
          <w:rFonts w:ascii="Arial" w:hAnsi="Arial" w:cs="Arial"/>
          <w:sz w:val="20"/>
          <w:szCs w:val="20"/>
        </w:rPr>
        <w:t>yužitie preplatenia výdavkov neoprávnených na financovanie nad rámec finančnej medzery</w:t>
      </w:r>
      <w:r w:rsidR="006B304B">
        <w:rPr>
          <w:rFonts w:ascii="Arial" w:hAnsi="Arial" w:cs="Arial"/>
          <w:sz w:val="20"/>
          <w:szCs w:val="20"/>
        </w:rPr>
        <w:t xml:space="preserve">, tzv. front loading, </w:t>
      </w:r>
      <w:r w:rsidR="00C96412">
        <w:rPr>
          <w:rFonts w:ascii="Arial" w:hAnsi="Arial" w:cs="Arial"/>
          <w:sz w:val="20"/>
          <w:szCs w:val="20"/>
        </w:rPr>
        <w:t>vyhlásenie výziev na aktivity realizovateľné v krátkom čase</w:t>
      </w:r>
      <w:r w:rsidR="006B304B">
        <w:rPr>
          <w:rFonts w:ascii="Arial" w:hAnsi="Arial" w:cs="Arial"/>
          <w:sz w:val="20"/>
          <w:szCs w:val="20"/>
        </w:rPr>
        <w:t>, ako aj uplatnenie</w:t>
      </w:r>
      <w:r w:rsidR="00C96412">
        <w:rPr>
          <w:rFonts w:ascii="Arial" w:hAnsi="Arial" w:cs="Arial"/>
          <w:sz w:val="20"/>
          <w:szCs w:val="20"/>
        </w:rPr>
        <w:t xml:space="preserve"> </w:t>
      </w:r>
      <w:r w:rsidR="006B304B">
        <w:rPr>
          <w:rFonts w:ascii="Arial" w:hAnsi="Arial" w:cs="Arial"/>
          <w:sz w:val="20"/>
          <w:szCs w:val="20"/>
        </w:rPr>
        <w:t>f</w:t>
      </w:r>
      <w:r w:rsidR="00A1019A" w:rsidRPr="00424DDD">
        <w:rPr>
          <w:rFonts w:ascii="Arial" w:hAnsi="Arial" w:cs="Arial"/>
          <w:sz w:val="20"/>
          <w:szCs w:val="20"/>
        </w:rPr>
        <w:t>lexibilit</w:t>
      </w:r>
      <w:r w:rsidR="006B304B">
        <w:rPr>
          <w:rFonts w:ascii="Arial" w:hAnsi="Arial" w:cs="Arial"/>
          <w:sz w:val="20"/>
          <w:szCs w:val="20"/>
        </w:rPr>
        <w:t>y</w:t>
      </w:r>
      <w:r w:rsidR="00A1019A" w:rsidRPr="00424DDD">
        <w:rPr>
          <w:rFonts w:ascii="Arial" w:hAnsi="Arial" w:cs="Arial"/>
          <w:sz w:val="20"/>
          <w:szCs w:val="20"/>
        </w:rPr>
        <w:t xml:space="preserve"> vo výške 10</w:t>
      </w:r>
      <w:r w:rsidR="00A1019A">
        <w:rPr>
          <w:rFonts w:ascii="Arial" w:hAnsi="Arial" w:cs="Arial"/>
          <w:sz w:val="20"/>
          <w:szCs w:val="20"/>
        </w:rPr>
        <w:t xml:space="preserve"> </w:t>
      </w:r>
      <w:r w:rsidR="00A1019A" w:rsidRPr="00424DDD">
        <w:rPr>
          <w:rFonts w:ascii="Arial" w:hAnsi="Arial" w:cs="Arial"/>
          <w:sz w:val="20"/>
          <w:szCs w:val="20"/>
        </w:rPr>
        <w:t>%</w:t>
      </w:r>
      <w:r w:rsidR="00A1019A">
        <w:rPr>
          <w:rFonts w:ascii="Arial" w:hAnsi="Arial" w:cs="Arial"/>
          <w:sz w:val="20"/>
          <w:szCs w:val="20"/>
        </w:rPr>
        <w:t xml:space="preserve"> finančných prostriedkov alokovaných na úrovni prioritných osí bez potreby revízie programu</w:t>
      </w:r>
      <w:r w:rsidR="006B304B">
        <w:rPr>
          <w:rFonts w:ascii="Arial" w:hAnsi="Arial" w:cs="Arial"/>
          <w:sz w:val="20"/>
          <w:szCs w:val="20"/>
        </w:rPr>
        <w:t xml:space="preserve">. </w:t>
      </w:r>
    </w:p>
    <w:p w14:paraId="6BA39B39" w14:textId="3F5CBE61" w:rsidR="00E15063" w:rsidRPr="00781EDD" w:rsidRDefault="00497E50" w:rsidP="006B304B">
      <w:pPr>
        <w:spacing w:before="120" w:after="120"/>
        <w:jc w:val="both"/>
        <w:rPr>
          <w:rFonts w:ascii="Arial" w:hAnsi="Arial" w:cs="Arial"/>
          <w:sz w:val="20"/>
          <w:szCs w:val="20"/>
          <w:lang w:eastAsia="en-US"/>
        </w:rPr>
      </w:pPr>
      <w:r>
        <w:rPr>
          <w:rFonts w:ascii="Arial" w:hAnsi="Arial" w:cs="Arial"/>
          <w:sz w:val="20"/>
          <w:szCs w:val="20"/>
          <w:lang w:eastAsia="en-US"/>
        </w:rPr>
        <w:t xml:space="preserve">Ďalším zo súboru </w:t>
      </w:r>
      <w:r w:rsidRPr="006B304B">
        <w:rPr>
          <w:rFonts w:ascii="Arial" w:hAnsi="Arial" w:cs="Arial"/>
          <w:sz w:val="20"/>
          <w:szCs w:val="20"/>
          <w:lang w:eastAsia="en-US"/>
        </w:rPr>
        <w:t xml:space="preserve">opatrení, </w:t>
      </w:r>
      <w:r>
        <w:rPr>
          <w:rFonts w:ascii="Arial" w:hAnsi="Arial" w:cs="Arial"/>
          <w:sz w:val="20"/>
          <w:szCs w:val="20"/>
          <w:lang w:eastAsia="en-US"/>
        </w:rPr>
        <w:t xml:space="preserve">ktoré boli v rámci činnosti Task Force identifikované ako nástroj na </w:t>
      </w:r>
      <w:r w:rsidRPr="006B304B">
        <w:rPr>
          <w:rFonts w:ascii="Arial" w:hAnsi="Arial" w:cs="Arial"/>
          <w:sz w:val="20"/>
          <w:szCs w:val="20"/>
          <w:lang w:eastAsia="en-US"/>
        </w:rPr>
        <w:t xml:space="preserve"> zníženie rizika nedočerpania fondov EÚ</w:t>
      </w:r>
      <w:r w:rsidR="006D6FDC">
        <w:rPr>
          <w:rFonts w:ascii="Arial" w:hAnsi="Arial" w:cs="Arial"/>
          <w:sz w:val="20"/>
          <w:szCs w:val="20"/>
          <w:lang w:eastAsia="en-US"/>
        </w:rPr>
        <w:t>, bola revízia operačného programu.</w:t>
      </w:r>
      <w:r w:rsidRPr="006B304B">
        <w:rPr>
          <w:rFonts w:ascii="Arial" w:hAnsi="Arial" w:cs="Arial"/>
          <w:sz w:val="20"/>
          <w:szCs w:val="20"/>
          <w:lang w:eastAsia="en-US"/>
        </w:rPr>
        <w:t xml:space="preserve"> </w:t>
      </w:r>
      <w:r w:rsidR="00E15063" w:rsidRPr="006B304B">
        <w:rPr>
          <w:rFonts w:ascii="Arial" w:hAnsi="Arial" w:cs="Arial"/>
          <w:sz w:val="20"/>
          <w:szCs w:val="20"/>
          <w:lang w:eastAsia="en-US"/>
        </w:rPr>
        <w:t>V záverečnej etape realizácie OP ŽP</w:t>
      </w:r>
      <w:r w:rsidR="006D6FDC">
        <w:rPr>
          <w:rFonts w:ascii="Arial" w:hAnsi="Arial" w:cs="Arial"/>
          <w:sz w:val="20"/>
          <w:szCs w:val="20"/>
          <w:lang w:eastAsia="en-US"/>
        </w:rPr>
        <w:t xml:space="preserve"> bola vykonaná jeho ostatná revízia </w:t>
      </w:r>
      <w:r w:rsidR="00E15063" w:rsidRPr="006B304B">
        <w:rPr>
          <w:rFonts w:ascii="Arial" w:hAnsi="Arial" w:cs="Arial"/>
          <w:sz w:val="20"/>
          <w:szCs w:val="20"/>
          <w:lang w:eastAsia="en-US"/>
        </w:rPr>
        <w:t xml:space="preserve"> </w:t>
      </w:r>
      <w:r w:rsidR="006D6FDC">
        <w:rPr>
          <w:rFonts w:ascii="Arial" w:hAnsi="Arial" w:cs="Arial"/>
          <w:sz w:val="20"/>
          <w:szCs w:val="20"/>
          <w:lang w:eastAsia="en-US"/>
        </w:rPr>
        <w:t>(</w:t>
      </w:r>
      <w:r w:rsidR="00E15063" w:rsidRPr="006B304B">
        <w:rPr>
          <w:rFonts w:ascii="Arial" w:hAnsi="Arial" w:cs="Arial"/>
          <w:sz w:val="20"/>
          <w:szCs w:val="20"/>
          <w:lang w:eastAsia="en-US"/>
        </w:rPr>
        <w:t>na verziu 5.0</w:t>
      </w:r>
      <w:r w:rsidR="006D6FDC">
        <w:rPr>
          <w:rFonts w:ascii="Arial" w:hAnsi="Arial" w:cs="Arial"/>
          <w:sz w:val="20"/>
          <w:szCs w:val="20"/>
          <w:lang w:eastAsia="en-US"/>
        </w:rPr>
        <w:t xml:space="preserve">), ktorá </w:t>
      </w:r>
      <w:r w:rsidR="00E15063" w:rsidRPr="006B304B">
        <w:rPr>
          <w:rFonts w:ascii="Arial" w:hAnsi="Arial" w:cs="Arial"/>
          <w:sz w:val="20"/>
          <w:szCs w:val="20"/>
          <w:lang w:eastAsia="en-US"/>
        </w:rPr>
        <w:t>bola navrhnutá v súlade so závermi externe vypracovanej analýzy aktuálneho stavu implementácie OP ŽP (k 31. 7. 2015)</w:t>
      </w:r>
      <w:r w:rsidR="006D6FDC">
        <w:rPr>
          <w:rFonts w:ascii="Arial" w:hAnsi="Arial" w:cs="Arial"/>
          <w:sz w:val="20"/>
          <w:szCs w:val="20"/>
          <w:lang w:eastAsia="en-US"/>
        </w:rPr>
        <w:t xml:space="preserve">. </w:t>
      </w:r>
      <w:r w:rsidR="00E97149">
        <w:rPr>
          <w:rFonts w:ascii="Arial" w:hAnsi="Arial" w:cs="Arial"/>
          <w:sz w:val="20"/>
          <w:szCs w:val="20"/>
          <w:lang w:eastAsia="en-US"/>
        </w:rPr>
        <w:t xml:space="preserve">Uvedená </w:t>
      </w:r>
      <w:r w:rsidR="00E97149" w:rsidRPr="00781EDD">
        <w:rPr>
          <w:rFonts w:ascii="Arial" w:hAnsi="Arial" w:cs="Arial"/>
          <w:sz w:val="20"/>
          <w:szCs w:val="20"/>
          <w:lang w:eastAsia="en-US"/>
        </w:rPr>
        <w:t>„Analýza aktuálneho stavu implementácie Operačného programu Životné prostredie a návrh možných opatrení na zníženie rizika prípadného decommitmentu“</w:t>
      </w:r>
      <w:r w:rsidR="00E15063" w:rsidRPr="006B304B">
        <w:rPr>
          <w:rFonts w:ascii="Arial" w:hAnsi="Arial" w:cs="Arial"/>
          <w:sz w:val="20"/>
          <w:szCs w:val="20"/>
          <w:lang w:eastAsia="en-US"/>
        </w:rPr>
        <w:t xml:space="preserve"> poukázala na riziko nedočerpania a následného automatického krátenia záväzku KF</w:t>
      </w:r>
      <w:r w:rsidR="00E97149">
        <w:rPr>
          <w:rFonts w:ascii="Arial" w:hAnsi="Arial" w:cs="Arial"/>
          <w:sz w:val="20"/>
          <w:szCs w:val="20"/>
          <w:lang w:eastAsia="en-US"/>
        </w:rPr>
        <w:t>, pričom v súlade s jej odporúčaniami boli zdroje KF</w:t>
      </w:r>
      <w:r w:rsidR="00EA6533">
        <w:rPr>
          <w:rFonts w:ascii="Arial" w:hAnsi="Arial" w:cs="Arial"/>
          <w:sz w:val="20"/>
          <w:szCs w:val="20"/>
          <w:lang w:eastAsia="en-US"/>
        </w:rPr>
        <w:t xml:space="preserve">, v ktorých prípade hrozilo nedočerpanie, presunuté  </w:t>
      </w:r>
      <w:r w:rsidR="00E15063" w:rsidRPr="006B304B">
        <w:rPr>
          <w:rFonts w:ascii="Arial" w:hAnsi="Arial" w:cs="Arial"/>
          <w:sz w:val="20"/>
          <w:szCs w:val="20"/>
          <w:lang w:eastAsia="en-US"/>
        </w:rPr>
        <w:t>do prioritnej osi 2 Ochrana pred povodňami na aktivitu „</w:t>
      </w:r>
      <w:r w:rsidR="00D230BB">
        <w:rPr>
          <w:rFonts w:ascii="Arial" w:hAnsi="Arial" w:cs="Arial"/>
          <w:sz w:val="20"/>
          <w:szCs w:val="20"/>
          <w:lang w:eastAsia="en-US"/>
        </w:rPr>
        <w:t>I</w:t>
      </w:r>
      <w:r w:rsidR="00E15063" w:rsidRPr="006B304B">
        <w:rPr>
          <w:rFonts w:ascii="Arial" w:hAnsi="Arial" w:cs="Arial"/>
          <w:sz w:val="20"/>
          <w:szCs w:val="20"/>
          <w:lang w:eastAsia="en-US"/>
        </w:rPr>
        <w:t>ntervenčné prostriedky na aktívnu ochranu pred povodňami“.</w:t>
      </w:r>
    </w:p>
    <w:p w14:paraId="554B6FAE" w14:textId="564662EC" w:rsidR="00C22C9D" w:rsidRDefault="00C22C9D" w:rsidP="00C22C9D">
      <w:pPr>
        <w:spacing w:before="120" w:after="120"/>
        <w:jc w:val="both"/>
        <w:rPr>
          <w:rFonts w:ascii="Arial" w:hAnsi="Arial" w:cs="Arial"/>
          <w:sz w:val="20"/>
          <w:szCs w:val="20"/>
          <w:lang w:eastAsia="en-US"/>
        </w:rPr>
      </w:pPr>
      <w:r w:rsidRPr="00781EDD">
        <w:rPr>
          <w:rFonts w:ascii="Arial" w:hAnsi="Arial" w:cs="Arial"/>
          <w:sz w:val="20"/>
          <w:szCs w:val="20"/>
          <w:lang w:eastAsia="en-US"/>
        </w:rPr>
        <w:t>Okrem toho, z dôvodu vzniknutých úspor na projektoch a za účelom dosiahnutia čo najvyššieho využitia pridelených finančných prostriedkov ku koncu programového obdobia RO pre OP ŽP využil možnosť nadkontrahovania v rámci OP ŽP na základe žiadosti schválenej zo strany MF SR, v dôsledku čoho bolo možné vyhlásiť niekoľko nových výziev a vytvoriť tým predpoklad na zníženie rizika de</w:t>
      </w:r>
      <w:r w:rsidR="00150CFF">
        <w:rPr>
          <w:rFonts w:ascii="Arial" w:hAnsi="Arial" w:cs="Arial"/>
          <w:sz w:val="20"/>
          <w:szCs w:val="20"/>
          <w:lang w:eastAsia="en-US"/>
        </w:rPr>
        <w:t>c</w:t>
      </w:r>
      <w:r w:rsidRPr="00781EDD">
        <w:rPr>
          <w:rFonts w:ascii="Arial" w:hAnsi="Arial" w:cs="Arial"/>
          <w:sz w:val="20"/>
          <w:szCs w:val="20"/>
          <w:lang w:eastAsia="en-US"/>
        </w:rPr>
        <w:t>om</w:t>
      </w:r>
      <w:r w:rsidR="00150CFF">
        <w:rPr>
          <w:rFonts w:ascii="Arial" w:hAnsi="Arial" w:cs="Arial"/>
          <w:sz w:val="20"/>
          <w:szCs w:val="20"/>
          <w:lang w:eastAsia="en-US"/>
        </w:rPr>
        <w:t>m</w:t>
      </w:r>
      <w:r w:rsidRPr="00781EDD">
        <w:rPr>
          <w:rFonts w:ascii="Arial" w:hAnsi="Arial" w:cs="Arial"/>
          <w:sz w:val="20"/>
          <w:szCs w:val="20"/>
          <w:lang w:eastAsia="en-US"/>
        </w:rPr>
        <w:t xml:space="preserve">itmentu (nevyužitia disponibilnej alokácie OP ŽP). </w:t>
      </w:r>
    </w:p>
    <w:p w14:paraId="3FCCEE1F" w14:textId="654DEE32" w:rsidR="0072327C" w:rsidRPr="00781EDD" w:rsidRDefault="0072327C" w:rsidP="00C22C9D">
      <w:pPr>
        <w:spacing w:before="120" w:after="120"/>
        <w:jc w:val="both"/>
        <w:rPr>
          <w:rFonts w:ascii="Arial" w:hAnsi="Arial" w:cs="Arial"/>
          <w:sz w:val="20"/>
          <w:szCs w:val="20"/>
          <w:lang w:eastAsia="en-US"/>
        </w:rPr>
      </w:pPr>
      <w:r w:rsidRPr="00781EDD">
        <w:rPr>
          <w:rFonts w:ascii="Arial" w:hAnsi="Arial" w:cs="Arial"/>
          <w:sz w:val="20"/>
          <w:szCs w:val="20"/>
          <w:lang w:eastAsia="en-US"/>
        </w:rPr>
        <w:t>Tým, že v rámci OP ŽP bolo dosiahnuté kontrahovanie prostriedkov fondov EÚ</w:t>
      </w:r>
      <w:r w:rsidR="00150CFF">
        <w:rPr>
          <w:rFonts w:ascii="Arial" w:hAnsi="Arial" w:cs="Arial"/>
          <w:sz w:val="20"/>
          <w:szCs w:val="20"/>
          <w:lang w:eastAsia="en-US"/>
        </w:rPr>
        <w:t xml:space="preserve"> na úrovni </w:t>
      </w:r>
      <w:r w:rsidR="00150CFF" w:rsidRPr="00781EDD">
        <w:rPr>
          <w:rFonts w:ascii="Arial" w:hAnsi="Arial" w:cs="Arial"/>
          <w:sz w:val="20"/>
          <w:szCs w:val="20"/>
          <w:lang w:eastAsia="en-US"/>
        </w:rPr>
        <w:t>vyšše</w:t>
      </w:r>
      <w:r w:rsidR="00150CFF">
        <w:rPr>
          <w:rFonts w:ascii="Arial" w:hAnsi="Arial" w:cs="Arial"/>
          <w:sz w:val="20"/>
          <w:szCs w:val="20"/>
          <w:lang w:eastAsia="en-US"/>
        </w:rPr>
        <w:t>j</w:t>
      </w:r>
      <w:r w:rsidR="00150CFF" w:rsidRPr="00781EDD">
        <w:rPr>
          <w:rFonts w:ascii="Arial" w:hAnsi="Arial" w:cs="Arial"/>
          <w:sz w:val="20"/>
          <w:szCs w:val="20"/>
          <w:lang w:eastAsia="en-US"/>
        </w:rPr>
        <w:t xml:space="preserve"> </w:t>
      </w:r>
      <w:r w:rsidR="00150CFF">
        <w:rPr>
          <w:rFonts w:ascii="Arial" w:hAnsi="Arial" w:cs="Arial"/>
          <w:sz w:val="20"/>
          <w:szCs w:val="20"/>
          <w:lang w:eastAsia="en-US"/>
        </w:rPr>
        <w:t>než</w:t>
      </w:r>
      <w:r w:rsidR="00150CFF" w:rsidRPr="00781EDD">
        <w:rPr>
          <w:rFonts w:ascii="Arial" w:hAnsi="Arial" w:cs="Arial"/>
          <w:sz w:val="20"/>
          <w:szCs w:val="20"/>
          <w:lang w:eastAsia="en-US"/>
        </w:rPr>
        <w:t xml:space="preserve"> 100 %</w:t>
      </w:r>
      <w:r w:rsidR="00150CFF">
        <w:rPr>
          <w:rFonts w:ascii="Arial" w:hAnsi="Arial" w:cs="Arial"/>
          <w:sz w:val="20"/>
          <w:szCs w:val="20"/>
          <w:lang w:eastAsia="en-US"/>
        </w:rPr>
        <w:t xml:space="preserve"> alokácie operačného programu</w:t>
      </w:r>
      <w:r w:rsidRPr="00781EDD">
        <w:rPr>
          <w:rFonts w:ascii="Arial" w:hAnsi="Arial" w:cs="Arial"/>
          <w:sz w:val="20"/>
          <w:szCs w:val="20"/>
          <w:lang w:eastAsia="en-US"/>
        </w:rPr>
        <w:t>, boli vytvorené podmienky pre vyčerpanie celej disponibilnej alokácie programu prostredníctvom financovania jednotlivých  projektov.</w:t>
      </w:r>
    </w:p>
    <w:p w14:paraId="38D32CCD" w14:textId="640076A3" w:rsidR="00C22C9D" w:rsidRPr="00781EDD" w:rsidRDefault="00C22C9D" w:rsidP="00C22C9D">
      <w:pPr>
        <w:spacing w:before="120" w:after="120"/>
        <w:jc w:val="both"/>
        <w:rPr>
          <w:rFonts w:ascii="Arial" w:hAnsi="Arial" w:cs="Arial"/>
          <w:sz w:val="20"/>
          <w:szCs w:val="20"/>
          <w:lang w:eastAsia="en-US"/>
        </w:rPr>
      </w:pPr>
      <w:r w:rsidRPr="00781EDD">
        <w:rPr>
          <w:rFonts w:ascii="Arial" w:hAnsi="Arial" w:cs="Arial"/>
          <w:sz w:val="20"/>
          <w:szCs w:val="20"/>
          <w:lang w:eastAsia="en-US"/>
        </w:rPr>
        <w:t>V roku 2014 RO pre OP ŽP taktiež vypracoval „Analýzu výsledkov realizácie, skúsenost</w:t>
      </w:r>
      <w:r w:rsidR="00D230BB">
        <w:rPr>
          <w:rFonts w:ascii="Arial" w:hAnsi="Arial" w:cs="Arial"/>
          <w:sz w:val="20"/>
          <w:szCs w:val="20"/>
          <w:lang w:eastAsia="en-US"/>
        </w:rPr>
        <w:t>í</w:t>
      </w:r>
      <w:r w:rsidRPr="00781EDD">
        <w:rPr>
          <w:rFonts w:ascii="Arial" w:hAnsi="Arial" w:cs="Arial"/>
          <w:sz w:val="20"/>
          <w:szCs w:val="20"/>
          <w:lang w:eastAsia="en-US"/>
        </w:rPr>
        <w:t xml:space="preserve"> a poučení z programového obdobia 2007 – 2013 “, ktorej cieľom bolo posúdenie celkovej úspešnosti zvolenej stratégie OP ŽP, dosiahnutých výsledkov OP ŽP v programovom období 2007 – 2013 a hlavných faktorov, ktoré ich ovplyvnili. Vyplývajúce odporúčania z tejto analýzy boli zohľadnené v rámci prípravy návrhu Operačného programu Kvalita životného prostredia na programové obdobie 2014 – 2020.</w:t>
      </w:r>
    </w:p>
    <w:p w14:paraId="617BF4C4" w14:textId="0B04482B" w:rsidR="00395AA7" w:rsidRPr="00781EDD" w:rsidRDefault="005654A3" w:rsidP="00283DB9">
      <w:pPr>
        <w:spacing w:before="120" w:after="120"/>
        <w:jc w:val="both"/>
        <w:rPr>
          <w:rFonts w:ascii="Arial" w:hAnsi="Arial" w:cs="Arial"/>
          <w:sz w:val="20"/>
          <w:szCs w:val="20"/>
          <w:lang w:eastAsia="en-US"/>
        </w:rPr>
      </w:pPr>
      <w:r>
        <w:rPr>
          <w:rFonts w:ascii="Arial" w:hAnsi="Arial" w:cs="Arial"/>
          <w:sz w:val="20"/>
          <w:szCs w:val="20"/>
          <w:lang w:eastAsia="en-US"/>
        </w:rPr>
        <w:t xml:space="preserve">Celkovo možno dosiahnutý výsledok implementácie OP ŽP hodnotiť ako pozitívny. </w:t>
      </w:r>
      <w:r w:rsidR="006F34A0" w:rsidRPr="000124EC">
        <w:rPr>
          <w:rFonts w:ascii="Arial" w:hAnsi="Arial" w:cs="Arial"/>
          <w:sz w:val="20"/>
          <w:szCs w:val="20"/>
          <w:lang w:eastAsia="en-US"/>
        </w:rPr>
        <w:t>K 31.</w:t>
      </w:r>
      <w:r w:rsidR="00D230BB">
        <w:rPr>
          <w:rFonts w:ascii="Arial" w:hAnsi="Arial" w:cs="Arial"/>
          <w:sz w:val="20"/>
          <w:szCs w:val="20"/>
          <w:lang w:eastAsia="en-US"/>
        </w:rPr>
        <w:t xml:space="preserve"> </w:t>
      </w:r>
      <w:r w:rsidR="002C1A74" w:rsidRPr="000124EC">
        <w:rPr>
          <w:rFonts w:ascii="Arial" w:hAnsi="Arial" w:cs="Arial"/>
          <w:sz w:val="20"/>
          <w:szCs w:val="20"/>
          <w:lang w:eastAsia="en-US"/>
        </w:rPr>
        <w:t>10</w:t>
      </w:r>
      <w:r w:rsidR="006F34A0" w:rsidRPr="000124EC">
        <w:rPr>
          <w:rFonts w:ascii="Arial" w:hAnsi="Arial" w:cs="Arial"/>
          <w:sz w:val="20"/>
          <w:szCs w:val="20"/>
          <w:lang w:eastAsia="en-US"/>
        </w:rPr>
        <w:t>.</w:t>
      </w:r>
      <w:r w:rsidR="00D230BB">
        <w:rPr>
          <w:rFonts w:ascii="Arial" w:hAnsi="Arial" w:cs="Arial"/>
          <w:sz w:val="20"/>
          <w:szCs w:val="20"/>
          <w:lang w:eastAsia="en-US"/>
        </w:rPr>
        <w:t xml:space="preserve"> </w:t>
      </w:r>
      <w:r w:rsidR="002C1A74" w:rsidRPr="000124EC">
        <w:rPr>
          <w:rFonts w:ascii="Arial" w:hAnsi="Arial" w:cs="Arial"/>
          <w:sz w:val="20"/>
          <w:szCs w:val="20"/>
          <w:lang w:eastAsia="en-US"/>
        </w:rPr>
        <w:t xml:space="preserve">2016 </w:t>
      </w:r>
      <w:r w:rsidR="00D230BB">
        <w:rPr>
          <w:rFonts w:ascii="Arial" w:hAnsi="Arial" w:cs="Arial"/>
          <w:sz w:val="20"/>
          <w:szCs w:val="20"/>
          <w:lang w:eastAsia="en-US"/>
        </w:rPr>
        <w:t>boli</w:t>
      </w:r>
      <w:r w:rsidR="006A478D">
        <w:rPr>
          <w:rFonts w:ascii="Arial" w:hAnsi="Arial" w:cs="Arial"/>
          <w:sz w:val="20"/>
          <w:szCs w:val="20"/>
          <w:lang w:eastAsia="en-US"/>
        </w:rPr>
        <w:t xml:space="preserve"> dosahované</w:t>
      </w:r>
      <w:r w:rsidR="006F34A0" w:rsidRPr="000124EC">
        <w:rPr>
          <w:rFonts w:ascii="Arial" w:hAnsi="Arial" w:cs="Arial"/>
          <w:sz w:val="20"/>
          <w:szCs w:val="20"/>
          <w:lang w:eastAsia="en-US"/>
        </w:rPr>
        <w:t xml:space="preserve"> hodn</w:t>
      </w:r>
      <w:r w:rsidR="006A478D">
        <w:rPr>
          <w:rFonts w:ascii="Arial" w:hAnsi="Arial" w:cs="Arial"/>
          <w:sz w:val="20"/>
          <w:szCs w:val="20"/>
          <w:lang w:eastAsia="en-US"/>
        </w:rPr>
        <w:t>oty</w:t>
      </w:r>
      <w:r w:rsidR="006F34A0" w:rsidRPr="000124EC">
        <w:rPr>
          <w:rFonts w:ascii="Arial" w:hAnsi="Arial" w:cs="Arial"/>
          <w:sz w:val="20"/>
          <w:szCs w:val="20"/>
          <w:lang w:eastAsia="en-US"/>
        </w:rPr>
        <w:t xml:space="preserve"> väčšiny ukazovateľov fyzickej realizácie OP ŽP.</w:t>
      </w:r>
      <w:r w:rsidR="005B63DE" w:rsidRPr="000124EC">
        <w:rPr>
          <w:rFonts w:ascii="Arial" w:hAnsi="Arial" w:cs="Arial"/>
          <w:sz w:val="20"/>
          <w:szCs w:val="20"/>
          <w:lang w:eastAsia="en-US"/>
        </w:rPr>
        <w:t xml:space="preserve"> P</w:t>
      </w:r>
      <w:r w:rsidR="000124EC" w:rsidRPr="000124EC">
        <w:rPr>
          <w:rFonts w:ascii="Arial" w:hAnsi="Arial" w:cs="Arial"/>
          <w:sz w:val="20"/>
          <w:szCs w:val="20"/>
          <w:lang w:eastAsia="en-US"/>
        </w:rPr>
        <w:t>rípadný p</w:t>
      </w:r>
      <w:r w:rsidR="005B63DE" w:rsidRPr="000124EC">
        <w:rPr>
          <w:rFonts w:ascii="Arial" w:hAnsi="Arial" w:cs="Arial"/>
          <w:sz w:val="20"/>
          <w:szCs w:val="20"/>
          <w:lang w:eastAsia="en-US"/>
        </w:rPr>
        <w:t xml:space="preserve">okles hodnoty niektorých ukazovateľov vyplýva </w:t>
      </w:r>
      <w:r w:rsidR="002C1A74" w:rsidRPr="000124EC">
        <w:rPr>
          <w:rFonts w:ascii="Arial" w:hAnsi="Arial" w:cs="Arial"/>
          <w:sz w:val="20"/>
          <w:szCs w:val="20"/>
          <w:lang w:eastAsia="en-US"/>
        </w:rPr>
        <w:t xml:space="preserve">predovšetkým </w:t>
      </w:r>
      <w:r w:rsidR="005B63DE" w:rsidRPr="000124EC">
        <w:rPr>
          <w:rFonts w:ascii="Arial" w:hAnsi="Arial" w:cs="Arial"/>
          <w:sz w:val="20"/>
          <w:szCs w:val="20"/>
          <w:lang w:eastAsia="en-US"/>
        </w:rPr>
        <w:t>z mimoriadneho ukončenia projektov. V takom prípade mus</w:t>
      </w:r>
      <w:r w:rsidR="00D230BB">
        <w:rPr>
          <w:rFonts w:ascii="Arial" w:hAnsi="Arial" w:cs="Arial"/>
          <w:sz w:val="20"/>
          <w:szCs w:val="20"/>
          <w:lang w:eastAsia="en-US"/>
        </w:rPr>
        <w:t>eli</w:t>
      </w:r>
      <w:r w:rsidR="005B63DE" w:rsidRPr="000124EC">
        <w:rPr>
          <w:rFonts w:ascii="Arial" w:hAnsi="Arial" w:cs="Arial"/>
          <w:sz w:val="20"/>
          <w:szCs w:val="20"/>
          <w:lang w:eastAsia="en-US"/>
        </w:rPr>
        <w:t xml:space="preserve"> byť údaje dosahované mimoriadne ukončeným projektom odčítané z hodnôt jednotlivých ukazovateľov. Zoznam mimoriadne ukončených projektov s dôvodom mimoriadneho uko</w:t>
      </w:r>
      <w:r w:rsidR="0062631D" w:rsidRPr="000124EC">
        <w:rPr>
          <w:rFonts w:ascii="Arial" w:hAnsi="Arial" w:cs="Arial"/>
          <w:sz w:val="20"/>
          <w:szCs w:val="20"/>
          <w:lang w:eastAsia="en-US"/>
        </w:rPr>
        <w:t>n</w:t>
      </w:r>
      <w:r w:rsidR="005B63DE" w:rsidRPr="000124EC">
        <w:rPr>
          <w:rFonts w:ascii="Arial" w:hAnsi="Arial" w:cs="Arial"/>
          <w:sz w:val="20"/>
          <w:szCs w:val="20"/>
          <w:lang w:eastAsia="en-US"/>
        </w:rPr>
        <w:t>čenia je uvedený v prílohe č. 12 tejto správy.</w:t>
      </w:r>
      <w:r w:rsidR="006F34A0" w:rsidRPr="000124EC">
        <w:rPr>
          <w:rFonts w:ascii="Arial" w:hAnsi="Arial" w:cs="Arial"/>
          <w:sz w:val="20"/>
          <w:szCs w:val="20"/>
          <w:lang w:eastAsia="en-US"/>
        </w:rPr>
        <w:t xml:space="preserve"> V oblasti vodného hospodárstva sa výsledky podpory prostredníctvom OP ŽP prejavili najmä v prípade nárastu počtu obyvateľov pripojených k novovybudovaným rozvodom pitnej vody na </w:t>
      </w:r>
      <w:r w:rsidR="00C34845">
        <w:rPr>
          <w:rFonts w:ascii="Arial" w:hAnsi="Arial" w:cs="Arial"/>
          <w:sz w:val="20"/>
          <w:szCs w:val="20"/>
          <w:lang w:eastAsia="en-US"/>
        </w:rPr>
        <w:t>41 535</w:t>
      </w:r>
      <w:r w:rsidR="006F34A0" w:rsidRPr="000124EC">
        <w:rPr>
          <w:rFonts w:ascii="Arial" w:hAnsi="Arial" w:cs="Arial"/>
          <w:sz w:val="20"/>
          <w:szCs w:val="20"/>
          <w:lang w:eastAsia="en-US"/>
        </w:rPr>
        <w:t xml:space="preserve"> pripojených obyvateľov. Finančné prostriedky EÚ pomohli vybudovať </w:t>
      </w:r>
      <w:r w:rsidR="009D4EE1">
        <w:rPr>
          <w:rFonts w:ascii="Arial" w:hAnsi="Arial" w:cs="Arial"/>
          <w:sz w:val="20"/>
          <w:szCs w:val="20"/>
          <w:lang w:eastAsia="en-US"/>
        </w:rPr>
        <w:t>323</w:t>
      </w:r>
      <w:r w:rsidR="007A68ED">
        <w:rPr>
          <w:rFonts w:ascii="Arial" w:hAnsi="Arial" w:cs="Arial"/>
          <w:sz w:val="20"/>
          <w:szCs w:val="20"/>
          <w:lang w:eastAsia="en-US"/>
        </w:rPr>
        <w:t xml:space="preserve"> </w:t>
      </w:r>
      <w:r w:rsidR="006F34A0" w:rsidRPr="000124EC">
        <w:rPr>
          <w:rFonts w:ascii="Arial" w:hAnsi="Arial" w:cs="Arial"/>
          <w:sz w:val="20"/>
          <w:szCs w:val="20"/>
          <w:lang w:eastAsia="en-US"/>
        </w:rPr>
        <w:t xml:space="preserve">km nových rozvodov pitnej vody. V prípade odkanalizovania aglomerácií, bolo vybudovaných približne </w:t>
      </w:r>
      <w:r w:rsidR="009D4EE1">
        <w:rPr>
          <w:rFonts w:ascii="Arial" w:hAnsi="Arial" w:cs="Arial"/>
          <w:sz w:val="20"/>
          <w:szCs w:val="20"/>
          <w:lang w:eastAsia="en-US"/>
        </w:rPr>
        <w:t>1 518</w:t>
      </w:r>
      <w:r w:rsidR="007A68ED">
        <w:rPr>
          <w:rFonts w:ascii="Arial" w:hAnsi="Arial" w:cs="Arial"/>
          <w:sz w:val="20"/>
          <w:szCs w:val="20"/>
          <w:lang w:eastAsia="en-US"/>
        </w:rPr>
        <w:t xml:space="preserve"> </w:t>
      </w:r>
      <w:r w:rsidR="006F34A0" w:rsidRPr="000124EC">
        <w:rPr>
          <w:rFonts w:ascii="Arial" w:hAnsi="Arial" w:cs="Arial"/>
          <w:sz w:val="20"/>
          <w:szCs w:val="20"/>
          <w:lang w:eastAsia="en-US"/>
        </w:rPr>
        <w:t>km kanalizačných sietí a vybudovaných a zrekonštruovaných </w:t>
      </w:r>
      <w:r w:rsidR="009D4EE1">
        <w:rPr>
          <w:rFonts w:ascii="Arial" w:hAnsi="Arial" w:cs="Arial"/>
          <w:sz w:val="20"/>
          <w:szCs w:val="20"/>
          <w:lang w:eastAsia="en-US"/>
        </w:rPr>
        <w:t>75</w:t>
      </w:r>
      <w:r w:rsidR="007A68ED">
        <w:rPr>
          <w:rFonts w:ascii="Arial" w:hAnsi="Arial" w:cs="Arial"/>
          <w:sz w:val="20"/>
          <w:szCs w:val="20"/>
          <w:lang w:eastAsia="en-US"/>
        </w:rPr>
        <w:t xml:space="preserve"> </w:t>
      </w:r>
      <w:r w:rsidR="006F34A0" w:rsidRPr="000124EC">
        <w:rPr>
          <w:rFonts w:ascii="Arial" w:hAnsi="Arial" w:cs="Arial"/>
          <w:sz w:val="20"/>
          <w:szCs w:val="20"/>
          <w:lang w:eastAsia="en-US"/>
        </w:rPr>
        <w:t xml:space="preserve">čistiarní odpadových vôd.  Protipovodňová ochrana bola zabezpečená na ploche takmer </w:t>
      </w:r>
      <w:r w:rsidR="00A162F2">
        <w:rPr>
          <w:rFonts w:ascii="Arial" w:hAnsi="Arial" w:cs="Arial"/>
          <w:sz w:val="20"/>
          <w:szCs w:val="20"/>
          <w:lang w:eastAsia="en-US"/>
        </w:rPr>
        <w:t>568</w:t>
      </w:r>
      <w:r w:rsidR="006F34A0" w:rsidRPr="000124EC">
        <w:rPr>
          <w:rFonts w:ascii="Arial" w:hAnsi="Arial" w:cs="Arial"/>
          <w:sz w:val="20"/>
          <w:szCs w:val="20"/>
          <w:lang w:eastAsia="en-US"/>
        </w:rPr>
        <w:t xml:space="preserve"> km</w:t>
      </w:r>
      <w:r w:rsidR="006F34A0" w:rsidRPr="000124EC">
        <w:rPr>
          <w:rFonts w:ascii="Arial" w:hAnsi="Arial" w:cs="Arial"/>
          <w:sz w:val="20"/>
          <w:szCs w:val="20"/>
          <w:vertAlign w:val="superscript"/>
          <w:lang w:eastAsia="en-US"/>
        </w:rPr>
        <w:t>2</w:t>
      </w:r>
      <w:r w:rsidR="006F34A0" w:rsidRPr="000124EC">
        <w:rPr>
          <w:rFonts w:ascii="Arial" w:hAnsi="Arial" w:cs="Arial"/>
          <w:sz w:val="20"/>
          <w:szCs w:val="20"/>
          <w:lang w:eastAsia="en-US"/>
        </w:rPr>
        <w:t xml:space="preserve">. V oblasti zlepšovania kvality ovzdušia bolo podporených </w:t>
      </w:r>
      <w:r w:rsidR="00D16369" w:rsidRPr="000124EC">
        <w:rPr>
          <w:rFonts w:ascii="Arial" w:hAnsi="Arial" w:cs="Arial"/>
          <w:sz w:val="20"/>
          <w:szCs w:val="20"/>
          <w:lang w:eastAsia="en-US"/>
        </w:rPr>
        <w:t>12</w:t>
      </w:r>
      <w:r w:rsidR="00B57CE6">
        <w:rPr>
          <w:rFonts w:ascii="Arial" w:hAnsi="Arial" w:cs="Arial"/>
          <w:sz w:val="20"/>
          <w:szCs w:val="20"/>
          <w:lang w:eastAsia="en-US"/>
        </w:rPr>
        <w:t>8</w:t>
      </w:r>
      <w:r w:rsidR="00D16369" w:rsidRPr="000124EC">
        <w:rPr>
          <w:rFonts w:ascii="Arial" w:hAnsi="Arial" w:cs="Arial"/>
          <w:sz w:val="20"/>
          <w:szCs w:val="20"/>
          <w:lang w:eastAsia="en-US"/>
        </w:rPr>
        <w:t xml:space="preserve"> </w:t>
      </w:r>
      <w:r w:rsidR="006F34A0" w:rsidRPr="000124EC">
        <w:rPr>
          <w:rFonts w:ascii="Arial" w:hAnsi="Arial" w:cs="Arial"/>
          <w:sz w:val="20"/>
          <w:szCs w:val="20"/>
          <w:lang w:eastAsia="en-US"/>
        </w:rPr>
        <w:t>projektov</w:t>
      </w:r>
      <w:r w:rsidR="002961D2">
        <w:rPr>
          <w:rFonts w:ascii="Arial" w:hAnsi="Arial" w:cs="Arial"/>
          <w:sz w:val="20"/>
          <w:szCs w:val="20"/>
          <w:lang w:eastAsia="en-US"/>
        </w:rPr>
        <w:t>, z toho</w:t>
      </w:r>
      <w:r w:rsidR="006F34A0" w:rsidRPr="000124EC">
        <w:rPr>
          <w:rFonts w:ascii="Arial" w:hAnsi="Arial" w:cs="Arial"/>
          <w:sz w:val="20"/>
          <w:szCs w:val="20"/>
          <w:lang w:eastAsia="en-US"/>
        </w:rPr>
        <w:t xml:space="preserve"> </w:t>
      </w:r>
      <w:r w:rsidR="00D16369" w:rsidRPr="000124EC">
        <w:rPr>
          <w:rFonts w:ascii="Arial" w:hAnsi="Arial" w:cs="Arial"/>
          <w:sz w:val="20"/>
          <w:szCs w:val="20"/>
          <w:lang w:eastAsia="en-US"/>
        </w:rPr>
        <w:t xml:space="preserve">53 </w:t>
      </w:r>
      <w:r w:rsidR="006F34A0" w:rsidRPr="000124EC">
        <w:rPr>
          <w:rFonts w:ascii="Arial" w:hAnsi="Arial" w:cs="Arial"/>
          <w:sz w:val="20"/>
          <w:szCs w:val="20"/>
          <w:lang w:eastAsia="en-US"/>
        </w:rPr>
        <w:t xml:space="preserve">projektov bolo zameraných na podporu využívania </w:t>
      </w:r>
      <w:r w:rsidR="006F34A0" w:rsidRPr="000124EC">
        <w:rPr>
          <w:rFonts w:ascii="Arial" w:hAnsi="Arial" w:cs="Arial"/>
          <w:iCs/>
          <w:sz w:val="20"/>
          <w:szCs w:val="20"/>
          <w:lang w:eastAsia="en-US"/>
        </w:rPr>
        <w:t>OZE</w:t>
      </w:r>
      <w:r w:rsidR="006F34A0" w:rsidRPr="000124EC">
        <w:rPr>
          <w:rFonts w:ascii="Arial" w:hAnsi="Arial" w:cs="Arial"/>
          <w:sz w:val="20"/>
          <w:szCs w:val="20"/>
          <w:lang w:eastAsia="en-US"/>
        </w:rPr>
        <w:t>. 26</w:t>
      </w:r>
      <w:r w:rsidR="00D230BB">
        <w:rPr>
          <w:rFonts w:ascii="Arial" w:hAnsi="Arial" w:cs="Arial"/>
          <w:sz w:val="20"/>
          <w:szCs w:val="20"/>
          <w:lang w:eastAsia="en-US"/>
        </w:rPr>
        <w:t>5</w:t>
      </w:r>
      <w:r w:rsidR="006F34A0" w:rsidRPr="000124EC">
        <w:rPr>
          <w:rFonts w:ascii="Arial" w:hAnsi="Arial" w:cs="Arial"/>
          <w:sz w:val="20"/>
          <w:szCs w:val="20"/>
          <w:lang w:eastAsia="en-US"/>
        </w:rPr>
        <w:t xml:space="preserve"> podporených </w:t>
      </w:r>
      <w:r w:rsidR="00862485">
        <w:rPr>
          <w:rFonts w:ascii="Arial" w:hAnsi="Arial" w:cs="Arial"/>
          <w:sz w:val="20"/>
          <w:szCs w:val="20"/>
          <w:lang w:eastAsia="en-US"/>
        </w:rPr>
        <w:t xml:space="preserve">    </w:t>
      </w:r>
      <w:r w:rsidR="006F34A0" w:rsidRPr="000124EC">
        <w:rPr>
          <w:rFonts w:ascii="Arial" w:hAnsi="Arial" w:cs="Arial"/>
          <w:sz w:val="20"/>
          <w:szCs w:val="20"/>
          <w:lang w:eastAsia="en-US"/>
        </w:rPr>
        <w:t xml:space="preserve">projektov  v oblasti odpadového hospodárstva umožní zvýšiť množstvo vyseparovaných odpadov o viac ako </w:t>
      </w:r>
      <w:r w:rsidR="002C1A74" w:rsidRPr="000124EC">
        <w:rPr>
          <w:rFonts w:ascii="Arial" w:hAnsi="Arial" w:cs="Arial"/>
          <w:sz w:val="20"/>
          <w:szCs w:val="20"/>
          <w:lang w:eastAsia="en-US"/>
        </w:rPr>
        <w:t xml:space="preserve">85 </w:t>
      </w:r>
      <w:r w:rsidR="006F34A0" w:rsidRPr="000124EC">
        <w:rPr>
          <w:rFonts w:ascii="Arial" w:hAnsi="Arial" w:cs="Arial"/>
          <w:sz w:val="20"/>
          <w:szCs w:val="20"/>
          <w:lang w:eastAsia="en-US"/>
        </w:rPr>
        <w:t xml:space="preserve">tis. ton ročne a zhodnotiť vyše </w:t>
      </w:r>
      <w:r w:rsidR="002C1A74" w:rsidRPr="000124EC">
        <w:rPr>
          <w:rFonts w:ascii="Arial" w:hAnsi="Arial" w:cs="Arial"/>
          <w:sz w:val="20"/>
          <w:szCs w:val="20"/>
          <w:lang w:eastAsia="en-US"/>
        </w:rPr>
        <w:t xml:space="preserve">720 </w:t>
      </w:r>
      <w:r w:rsidR="006F34A0" w:rsidRPr="000124EC">
        <w:rPr>
          <w:rFonts w:ascii="Arial" w:hAnsi="Arial" w:cs="Arial"/>
          <w:sz w:val="20"/>
          <w:szCs w:val="20"/>
          <w:lang w:eastAsia="en-US"/>
        </w:rPr>
        <w:t xml:space="preserve">tisíc ton odpadov ročne. Vybudovalo (zmodernizovalo) sa </w:t>
      </w:r>
      <w:r w:rsidR="002C1A74" w:rsidRPr="000124EC">
        <w:rPr>
          <w:rFonts w:ascii="Arial" w:hAnsi="Arial" w:cs="Arial"/>
          <w:sz w:val="20"/>
          <w:szCs w:val="20"/>
          <w:lang w:eastAsia="en-US"/>
        </w:rPr>
        <w:t>23</w:t>
      </w:r>
      <w:r w:rsidR="00D230BB">
        <w:rPr>
          <w:rFonts w:ascii="Arial" w:hAnsi="Arial" w:cs="Arial"/>
          <w:sz w:val="20"/>
          <w:szCs w:val="20"/>
          <w:lang w:eastAsia="en-US"/>
        </w:rPr>
        <w:t>4</w:t>
      </w:r>
      <w:r w:rsidR="002C1A74" w:rsidRPr="000124EC">
        <w:rPr>
          <w:rFonts w:ascii="Arial" w:hAnsi="Arial" w:cs="Arial"/>
          <w:sz w:val="20"/>
          <w:szCs w:val="20"/>
          <w:lang w:eastAsia="en-US"/>
        </w:rPr>
        <w:t xml:space="preserve"> </w:t>
      </w:r>
      <w:r w:rsidR="006F34A0" w:rsidRPr="000124EC">
        <w:rPr>
          <w:rFonts w:ascii="Arial" w:hAnsi="Arial" w:cs="Arial"/>
          <w:sz w:val="20"/>
          <w:szCs w:val="20"/>
          <w:lang w:eastAsia="en-US"/>
        </w:rPr>
        <w:t xml:space="preserve">zariadení na </w:t>
      </w:r>
      <w:r w:rsidR="006F34A0" w:rsidRPr="000124EC">
        <w:rPr>
          <w:rFonts w:ascii="Arial" w:hAnsi="Arial" w:cs="Arial"/>
          <w:sz w:val="20"/>
          <w:szCs w:val="20"/>
          <w:lang w:eastAsia="en-US"/>
        </w:rPr>
        <w:lastRenderedPageBreak/>
        <w:t>separovaný zber a </w:t>
      </w:r>
      <w:r w:rsidR="002C1A74" w:rsidRPr="000124EC">
        <w:rPr>
          <w:rFonts w:ascii="Arial" w:hAnsi="Arial" w:cs="Arial"/>
          <w:sz w:val="20"/>
          <w:szCs w:val="20"/>
          <w:lang w:eastAsia="en-US"/>
        </w:rPr>
        <w:t xml:space="preserve">119 </w:t>
      </w:r>
      <w:r w:rsidR="006F34A0" w:rsidRPr="000124EC">
        <w:rPr>
          <w:rFonts w:ascii="Arial" w:hAnsi="Arial" w:cs="Arial"/>
          <w:sz w:val="20"/>
          <w:szCs w:val="20"/>
          <w:lang w:eastAsia="en-US"/>
        </w:rPr>
        <w:t xml:space="preserve">zariadení na materiálové zhodnocovanie odpadov. Aktivity v oblasti odpadového hospodárstva a ochrany ovzdušia zároveň prispeli k podpore malých a stredných podnikov a zavádzaniu environmentálne priaznivých technológií. Doteraz bolo podporených </w:t>
      </w:r>
      <w:r w:rsidR="0083265E" w:rsidRPr="000124EC">
        <w:rPr>
          <w:rFonts w:ascii="Arial" w:hAnsi="Arial" w:cs="Arial"/>
          <w:sz w:val="20"/>
          <w:szCs w:val="20"/>
          <w:lang w:eastAsia="en-US"/>
        </w:rPr>
        <w:t xml:space="preserve">39 </w:t>
      </w:r>
      <w:r w:rsidR="006F34A0" w:rsidRPr="000124EC">
        <w:rPr>
          <w:rFonts w:ascii="Arial" w:hAnsi="Arial" w:cs="Arial"/>
          <w:sz w:val="20"/>
          <w:szCs w:val="20"/>
          <w:lang w:eastAsia="en-US"/>
        </w:rPr>
        <w:t xml:space="preserve">malých a stredných podnikov, ktoré spolu vytvorili </w:t>
      </w:r>
      <w:r w:rsidR="0083265E" w:rsidRPr="000124EC">
        <w:rPr>
          <w:rFonts w:ascii="Arial" w:hAnsi="Arial" w:cs="Arial"/>
          <w:sz w:val="20"/>
          <w:szCs w:val="20"/>
          <w:lang w:eastAsia="en-US"/>
        </w:rPr>
        <w:t xml:space="preserve">44 </w:t>
      </w:r>
      <w:r w:rsidR="006F34A0" w:rsidRPr="000124EC">
        <w:rPr>
          <w:rFonts w:ascii="Arial" w:hAnsi="Arial" w:cs="Arial"/>
          <w:sz w:val="20"/>
          <w:szCs w:val="20"/>
          <w:lang w:eastAsia="en-US"/>
        </w:rPr>
        <w:t xml:space="preserve">nových pracovných miest. Z prostriedkov EÚ sa podarilo uzatvoriť a zrekultivovať </w:t>
      </w:r>
      <w:r w:rsidR="0083265E" w:rsidRPr="000124EC">
        <w:rPr>
          <w:rFonts w:ascii="Arial" w:hAnsi="Arial" w:cs="Arial"/>
          <w:sz w:val="20"/>
          <w:szCs w:val="20"/>
          <w:lang w:eastAsia="en-US"/>
        </w:rPr>
        <w:t xml:space="preserve">49 </w:t>
      </w:r>
      <w:r w:rsidR="006F34A0" w:rsidRPr="000124EC">
        <w:rPr>
          <w:rFonts w:ascii="Arial" w:hAnsi="Arial" w:cs="Arial"/>
          <w:sz w:val="20"/>
          <w:szCs w:val="20"/>
          <w:lang w:eastAsia="en-US"/>
        </w:rPr>
        <w:t xml:space="preserve">skládok odpadov tak, že nepredstavujú hrozbu pre obyvateľstvo a životné prostredie. Na účely ochrany prírody a krajiny bolo zrealizovaných vyše </w:t>
      </w:r>
      <w:r w:rsidR="003D72B7" w:rsidRPr="000124EC">
        <w:rPr>
          <w:rFonts w:ascii="Arial" w:hAnsi="Arial" w:cs="Arial"/>
          <w:sz w:val="20"/>
          <w:szCs w:val="20"/>
          <w:lang w:eastAsia="en-US"/>
        </w:rPr>
        <w:t xml:space="preserve">547 </w:t>
      </w:r>
      <w:r w:rsidR="006F34A0" w:rsidRPr="000124EC">
        <w:rPr>
          <w:rFonts w:ascii="Arial" w:hAnsi="Arial" w:cs="Arial"/>
          <w:sz w:val="20"/>
          <w:szCs w:val="20"/>
          <w:lang w:eastAsia="en-US"/>
        </w:rPr>
        <w:t>aktivít (podujatí) zameraných na zvýšenie informovanosti</w:t>
      </w:r>
      <w:r w:rsidR="00BA75EF">
        <w:rPr>
          <w:rFonts w:ascii="Arial" w:hAnsi="Arial" w:cs="Arial"/>
          <w:sz w:val="20"/>
          <w:szCs w:val="20"/>
          <w:lang w:eastAsia="en-US"/>
        </w:rPr>
        <w:t xml:space="preserve"> </w:t>
      </w:r>
      <w:r w:rsidR="006F34A0" w:rsidRPr="000124EC">
        <w:rPr>
          <w:rFonts w:ascii="Arial" w:hAnsi="Arial" w:cs="Arial"/>
          <w:sz w:val="20"/>
          <w:szCs w:val="20"/>
          <w:lang w:eastAsia="en-US"/>
        </w:rPr>
        <w:t>a environmentálneho povedomia verejnosti. Bližší popis napĺňania stavu ukazovateľov OP ŽP je uvedený v kapitole 3.</w:t>
      </w:r>
      <w:r w:rsidR="005B63DE" w:rsidRPr="000124EC">
        <w:rPr>
          <w:rFonts w:ascii="Arial" w:hAnsi="Arial" w:cs="Arial"/>
          <w:sz w:val="20"/>
          <w:szCs w:val="20"/>
          <w:lang w:eastAsia="en-US"/>
        </w:rPr>
        <w:t xml:space="preserve"> </w:t>
      </w:r>
      <w:r w:rsidR="00395AA7" w:rsidRPr="00781EDD">
        <w:rPr>
          <w:rFonts w:ascii="Arial" w:hAnsi="Arial" w:cs="Arial"/>
          <w:sz w:val="20"/>
          <w:szCs w:val="20"/>
          <w:lang w:eastAsia="en-US"/>
        </w:rPr>
        <w:t xml:space="preserve"> </w:t>
      </w:r>
    </w:p>
    <w:p w14:paraId="5BD9E34F" w14:textId="08172E40" w:rsidR="00AC1A6A" w:rsidRPr="00642DEF" w:rsidRDefault="005654A3" w:rsidP="006B3ADD">
      <w:pPr>
        <w:spacing w:after="120"/>
        <w:jc w:val="both"/>
        <w:rPr>
          <w:rFonts w:ascii="Arial" w:hAnsi="Arial" w:cs="Arial"/>
          <w:b/>
          <w:color w:val="FF0000"/>
          <w:sz w:val="20"/>
          <w:szCs w:val="20"/>
          <w:lang w:eastAsia="en-US"/>
        </w:rPr>
      </w:pPr>
      <w:r>
        <w:rPr>
          <w:rFonts w:ascii="Arial" w:hAnsi="Arial" w:cs="Arial"/>
          <w:sz w:val="20"/>
          <w:szCs w:val="20"/>
          <w:lang w:eastAsia="en-US"/>
        </w:rPr>
        <w:t>Napriek tomu sa v rámci OP ŽP vyskytli aj nefungujúce projekty. Ich zoznam</w:t>
      </w:r>
      <w:r w:rsidR="00844113">
        <w:rPr>
          <w:rFonts w:ascii="Arial" w:hAnsi="Arial" w:cs="Arial"/>
          <w:sz w:val="20"/>
          <w:szCs w:val="20"/>
          <w:lang w:eastAsia="en-US"/>
        </w:rPr>
        <w:t xml:space="preserve"> je taktiež </w:t>
      </w:r>
      <w:r>
        <w:rPr>
          <w:rFonts w:ascii="Arial" w:hAnsi="Arial" w:cs="Arial"/>
          <w:sz w:val="20"/>
          <w:szCs w:val="20"/>
          <w:lang w:eastAsia="en-US"/>
        </w:rPr>
        <w:t xml:space="preserve"> </w:t>
      </w:r>
      <w:r w:rsidR="00844113">
        <w:rPr>
          <w:rFonts w:ascii="Arial" w:hAnsi="Arial" w:cs="Arial"/>
          <w:sz w:val="20"/>
          <w:szCs w:val="20"/>
          <w:lang w:eastAsia="en-US"/>
        </w:rPr>
        <w:t>s</w:t>
      </w:r>
      <w:r w:rsidR="00AC1A6A" w:rsidRPr="00AC1A6A">
        <w:rPr>
          <w:rFonts w:ascii="Arial" w:hAnsi="Arial" w:cs="Arial"/>
          <w:sz w:val="20"/>
          <w:szCs w:val="20"/>
          <w:lang w:eastAsia="en-US"/>
        </w:rPr>
        <w:t xml:space="preserve">účasťou záverečnej správy o vykonávaní operačného programu </w:t>
      </w:r>
      <w:r w:rsidR="00844113">
        <w:rPr>
          <w:rFonts w:ascii="Arial" w:hAnsi="Arial" w:cs="Arial"/>
          <w:sz w:val="20"/>
          <w:szCs w:val="20"/>
          <w:lang w:eastAsia="en-US"/>
        </w:rPr>
        <w:t>a </w:t>
      </w:r>
      <w:r w:rsidR="00AC1A6A" w:rsidRPr="00AC1A6A">
        <w:rPr>
          <w:rFonts w:ascii="Arial" w:hAnsi="Arial" w:cs="Arial"/>
          <w:sz w:val="20"/>
          <w:szCs w:val="20"/>
          <w:lang w:eastAsia="en-US"/>
        </w:rPr>
        <w:t>tvorí</w:t>
      </w:r>
      <w:r w:rsidR="00844113">
        <w:rPr>
          <w:rFonts w:ascii="Arial" w:hAnsi="Arial" w:cs="Arial"/>
          <w:sz w:val="20"/>
          <w:szCs w:val="20"/>
          <w:lang w:eastAsia="en-US"/>
        </w:rPr>
        <w:t xml:space="preserve"> jej</w:t>
      </w:r>
      <w:r w:rsidR="00AC1A6A" w:rsidRPr="00AC1A6A">
        <w:rPr>
          <w:rFonts w:ascii="Arial" w:hAnsi="Arial" w:cs="Arial"/>
          <w:sz w:val="20"/>
          <w:szCs w:val="20"/>
          <w:lang w:eastAsia="en-US"/>
        </w:rPr>
        <w:t xml:space="preserve"> Prílohu č. 13:</w:t>
      </w:r>
      <w:r w:rsidR="00AC1A6A" w:rsidRPr="00AC1A6A">
        <w:rPr>
          <w:rFonts w:ascii="Arial" w:hAnsi="Arial" w:cs="Arial"/>
          <w:sz w:val="20"/>
          <w:szCs w:val="20"/>
        </w:rPr>
        <w:t xml:space="preserve"> Súhrnný prehľad nefungujúcich projektov</w:t>
      </w:r>
      <w:r w:rsidR="00AC1A6A" w:rsidRPr="00AC1A6A">
        <w:rPr>
          <w:rFonts w:ascii="Arial" w:hAnsi="Arial" w:cs="Arial"/>
          <w:sz w:val="20"/>
          <w:szCs w:val="20"/>
          <w:lang w:eastAsia="en-US"/>
        </w:rPr>
        <w:t xml:space="preserve">. Ide o projekty, </w:t>
      </w:r>
      <w:r w:rsidR="00AC1A6A" w:rsidRPr="00DD6CAE">
        <w:rPr>
          <w:rFonts w:ascii="Arial" w:hAnsi="Arial" w:cs="Arial"/>
          <w:sz w:val="20"/>
          <w:szCs w:val="20"/>
          <w:lang w:eastAsia="en-US"/>
        </w:rPr>
        <w:t xml:space="preserve">ktoré z rôznych dôvodov nie je možné považovať za finančne alebo vecne zrealizované (nie sú </w:t>
      </w:r>
      <w:r w:rsidR="00AC23CA" w:rsidRPr="00DD6CAE">
        <w:rPr>
          <w:rFonts w:ascii="Arial" w:hAnsi="Arial" w:cs="Arial"/>
          <w:sz w:val="20"/>
          <w:szCs w:val="20"/>
          <w:lang w:eastAsia="en-US"/>
        </w:rPr>
        <w:t xml:space="preserve">ukončené </w:t>
      </w:r>
      <w:r w:rsidR="00AC1A6A" w:rsidRPr="00DD6CAE">
        <w:rPr>
          <w:rFonts w:ascii="Arial" w:hAnsi="Arial" w:cs="Arial"/>
          <w:sz w:val="20"/>
          <w:szCs w:val="20"/>
          <w:lang w:eastAsia="en-US"/>
        </w:rPr>
        <w:t>a v</w:t>
      </w:r>
      <w:r w:rsidR="00DD6CAE">
        <w:rPr>
          <w:rFonts w:ascii="Arial" w:hAnsi="Arial" w:cs="Arial"/>
          <w:sz w:val="20"/>
          <w:szCs w:val="20"/>
          <w:lang w:eastAsia="en-US"/>
        </w:rPr>
        <w:t> </w:t>
      </w:r>
      <w:r w:rsidR="00AC1A6A" w:rsidRPr="00DD6CAE">
        <w:rPr>
          <w:rFonts w:ascii="Arial" w:hAnsi="Arial" w:cs="Arial"/>
          <w:sz w:val="20"/>
          <w:szCs w:val="20"/>
          <w:lang w:eastAsia="en-US"/>
        </w:rPr>
        <w:t>prevádzke</w:t>
      </w:r>
      <w:r w:rsidR="00DD6CAE">
        <w:rPr>
          <w:rFonts w:ascii="Arial" w:hAnsi="Arial" w:cs="Arial"/>
          <w:sz w:val="20"/>
          <w:szCs w:val="20"/>
          <w:lang w:eastAsia="en-US"/>
        </w:rPr>
        <w:t>), nefungujúci</w:t>
      </w:r>
      <w:r w:rsidR="00DD6CAE" w:rsidRPr="00DD6CAE">
        <w:t xml:space="preserve"> </w:t>
      </w:r>
      <w:r w:rsidR="00DD6CAE" w:rsidRPr="00DD6CAE">
        <w:rPr>
          <w:rFonts w:ascii="Arial" w:hAnsi="Arial" w:cs="Arial"/>
          <w:sz w:val="20"/>
          <w:szCs w:val="20"/>
          <w:lang w:eastAsia="en-US"/>
        </w:rPr>
        <w:t xml:space="preserve">projekt </w:t>
      </w:r>
      <w:r w:rsidR="00DD6CAE">
        <w:rPr>
          <w:rFonts w:ascii="Arial" w:hAnsi="Arial" w:cs="Arial"/>
          <w:sz w:val="20"/>
          <w:szCs w:val="20"/>
          <w:lang w:eastAsia="en-US"/>
        </w:rPr>
        <w:t xml:space="preserve">je </w:t>
      </w:r>
      <w:r w:rsidR="00DD6CAE" w:rsidRPr="00DD6CAE">
        <w:rPr>
          <w:rFonts w:ascii="Arial" w:hAnsi="Arial" w:cs="Arial"/>
          <w:sz w:val="20"/>
          <w:szCs w:val="20"/>
          <w:lang w:eastAsia="en-US"/>
        </w:rPr>
        <w:t>k 31. 3. 2017 neukončený (t.j. do 31. 12. 2015 prijímatelia neuhradili oprávnené výdavky, a preto neukončili finančnú realizáciu projektu, a k ukončeniu nedošlo ani po 31. 12 .2015, najneskôr do dátumu predloženia záverečnej správy o vykonávaní operačného programu na OA a CO financovaním z iných zdrojov), alebo nedošlo k sfunkčne</w:t>
      </w:r>
      <w:r w:rsidR="00DD6CAE">
        <w:rPr>
          <w:rFonts w:ascii="Arial" w:hAnsi="Arial" w:cs="Arial"/>
          <w:sz w:val="20"/>
          <w:szCs w:val="20"/>
          <w:lang w:eastAsia="en-US"/>
        </w:rPr>
        <w:t>niu projektu z vecného hľadiska</w:t>
      </w:r>
      <w:r w:rsidR="00DD6CAE" w:rsidRPr="00DD6CAE">
        <w:rPr>
          <w:rFonts w:ascii="Arial" w:hAnsi="Arial" w:cs="Arial"/>
          <w:sz w:val="20"/>
          <w:szCs w:val="20"/>
          <w:lang w:eastAsia="en-US"/>
        </w:rPr>
        <w:t>.</w:t>
      </w:r>
    </w:p>
    <w:p w14:paraId="67863D25" w14:textId="431D7D5C" w:rsidR="00D40F69" w:rsidRPr="00E21C60" w:rsidRDefault="00D40F69" w:rsidP="006B3ADD">
      <w:pPr>
        <w:spacing w:after="120"/>
        <w:jc w:val="both"/>
        <w:rPr>
          <w:rFonts w:ascii="Arial" w:hAnsi="Arial" w:cs="Arial"/>
          <w:b/>
          <w:sz w:val="20"/>
          <w:szCs w:val="20"/>
          <w:lang w:eastAsia="en-US"/>
        </w:rPr>
      </w:pPr>
      <w:r w:rsidRPr="00E21C60">
        <w:rPr>
          <w:rFonts w:ascii="Arial" w:hAnsi="Arial" w:cs="Arial"/>
          <w:b/>
          <w:sz w:val="20"/>
          <w:szCs w:val="20"/>
          <w:lang w:eastAsia="en-US"/>
        </w:rPr>
        <w:t>Vyhodnotenie príspevku OP ŽP k napĺňaniu kontextových ukazovateľov</w:t>
      </w:r>
    </w:p>
    <w:p w14:paraId="23E493E7" w14:textId="77777777" w:rsidR="00D40F69" w:rsidRDefault="00D40F69" w:rsidP="00123376">
      <w:pPr>
        <w:autoSpaceDE w:val="0"/>
        <w:autoSpaceDN w:val="0"/>
        <w:adjustRightInd w:val="0"/>
        <w:spacing w:before="120" w:after="120"/>
        <w:jc w:val="both"/>
        <w:rPr>
          <w:rFonts w:ascii="Arial" w:hAnsi="Arial" w:cs="Arial"/>
          <w:sz w:val="20"/>
          <w:szCs w:val="20"/>
          <w:lang w:eastAsia="en-US"/>
        </w:rPr>
      </w:pPr>
      <w:r w:rsidRPr="00E21C60">
        <w:rPr>
          <w:rFonts w:ascii="Arial" w:hAnsi="Arial" w:cs="Arial"/>
          <w:sz w:val="20"/>
          <w:szCs w:val="20"/>
          <w:lang w:eastAsia="en-US"/>
        </w:rPr>
        <w:t xml:space="preserve">Súčasťou OP sú aj kontextové ukazovatele, ktoré predstavujú kvantifikované informácie o sociálnej, ekonomickej a </w:t>
      </w:r>
      <w:r w:rsidR="00A819C7" w:rsidRPr="00E21C60">
        <w:rPr>
          <w:rFonts w:ascii="Arial" w:hAnsi="Arial" w:cs="Arial"/>
          <w:sz w:val="20"/>
          <w:szCs w:val="20"/>
          <w:lang w:eastAsia="en-US"/>
        </w:rPr>
        <w:t>environmentálnej</w:t>
      </w:r>
      <w:r w:rsidRPr="00E21C60">
        <w:rPr>
          <w:rFonts w:ascii="Arial" w:hAnsi="Arial" w:cs="Arial"/>
          <w:sz w:val="20"/>
          <w:szCs w:val="20"/>
          <w:lang w:eastAsia="en-US"/>
        </w:rPr>
        <w:t xml:space="preserve"> situácii prostredia, v ktorom sú ciele OP realizované. Kontextové ukazovatele sú využívané najmä v procese hodnotenia OP (ex-ante, priebežné, ex</w:t>
      </w:r>
      <w:r w:rsidR="00950434">
        <w:rPr>
          <w:rFonts w:ascii="Arial" w:hAnsi="Arial" w:cs="Arial"/>
          <w:sz w:val="20"/>
          <w:szCs w:val="20"/>
          <w:lang w:eastAsia="en-US"/>
        </w:rPr>
        <w:t>-</w:t>
      </w:r>
      <w:r w:rsidRPr="00E21C60">
        <w:rPr>
          <w:rFonts w:ascii="Arial" w:hAnsi="Arial" w:cs="Arial"/>
          <w:sz w:val="20"/>
          <w:szCs w:val="20"/>
          <w:lang w:eastAsia="en-US"/>
        </w:rPr>
        <w:t>post) a</w:t>
      </w:r>
      <w:r w:rsidR="00950434">
        <w:rPr>
          <w:rFonts w:ascii="Arial" w:hAnsi="Arial" w:cs="Arial"/>
          <w:sz w:val="20"/>
          <w:szCs w:val="20"/>
          <w:lang w:eastAsia="en-US"/>
        </w:rPr>
        <w:t> </w:t>
      </w:r>
      <w:r w:rsidRPr="00E21C60">
        <w:rPr>
          <w:rFonts w:ascii="Arial" w:hAnsi="Arial" w:cs="Arial"/>
          <w:sz w:val="20"/>
          <w:szCs w:val="20"/>
          <w:lang w:eastAsia="en-US"/>
        </w:rPr>
        <w:t>predstavujú</w:t>
      </w:r>
      <w:r w:rsidR="00950434">
        <w:rPr>
          <w:rFonts w:ascii="Arial" w:hAnsi="Arial" w:cs="Arial"/>
          <w:sz w:val="20"/>
          <w:szCs w:val="20"/>
          <w:lang w:eastAsia="en-US"/>
        </w:rPr>
        <w:t> </w:t>
      </w:r>
      <w:r w:rsidRPr="00E21C60">
        <w:rPr>
          <w:rFonts w:ascii="Arial" w:hAnsi="Arial" w:cs="Arial"/>
          <w:sz w:val="20"/>
          <w:szCs w:val="20"/>
          <w:lang w:eastAsia="en-US"/>
        </w:rPr>
        <w:t xml:space="preserve">kvantifikované východiská pre posúdenie vplyvu očakávaných dopadov realizácie OP na sociálnu, ekonomickú a </w:t>
      </w:r>
      <w:r w:rsidR="00A819C7" w:rsidRPr="00E21C60">
        <w:rPr>
          <w:rFonts w:ascii="Arial" w:hAnsi="Arial" w:cs="Arial"/>
          <w:sz w:val="20"/>
          <w:szCs w:val="20"/>
          <w:lang w:eastAsia="en-US"/>
        </w:rPr>
        <w:t>environmentálnu</w:t>
      </w:r>
      <w:r w:rsidRPr="00E21C60">
        <w:rPr>
          <w:rFonts w:ascii="Arial" w:hAnsi="Arial" w:cs="Arial"/>
          <w:sz w:val="20"/>
          <w:szCs w:val="20"/>
          <w:lang w:eastAsia="en-US"/>
        </w:rPr>
        <w:t xml:space="preserve"> situáciu prostredia</w:t>
      </w:r>
      <w:r w:rsidR="00295AD0" w:rsidRPr="00E21C60">
        <w:rPr>
          <w:rFonts w:ascii="Arial" w:hAnsi="Arial" w:cs="Arial"/>
          <w:sz w:val="20"/>
          <w:szCs w:val="20"/>
          <w:lang w:eastAsia="en-US"/>
        </w:rPr>
        <w:t>,</w:t>
      </w:r>
      <w:r w:rsidRPr="00E21C60">
        <w:rPr>
          <w:rFonts w:ascii="Arial" w:hAnsi="Arial" w:cs="Arial"/>
          <w:sz w:val="20"/>
          <w:szCs w:val="20"/>
          <w:lang w:eastAsia="en-US"/>
        </w:rPr>
        <w:t xml:space="preserve"> v ktorom sa OP realizuje.</w:t>
      </w:r>
    </w:p>
    <w:p w14:paraId="130AC822" w14:textId="77777777" w:rsidR="00D40F69" w:rsidRPr="00E21C60" w:rsidRDefault="00D40F69" w:rsidP="008226B1">
      <w:pPr>
        <w:autoSpaceDE w:val="0"/>
        <w:autoSpaceDN w:val="0"/>
        <w:adjustRightInd w:val="0"/>
        <w:spacing w:before="120"/>
        <w:jc w:val="both"/>
        <w:rPr>
          <w:rFonts w:ascii="Arial" w:hAnsi="Arial" w:cs="Arial"/>
          <w:sz w:val="20"/>
          <w:szCs w:val="20"/>
        </w:rPr>
      </w:pPr>
      <w:r w:rsidRPr="00E21C60">
        <w:rPr>
          <w:rFonts w:ascii="Arial" w:hAnsi="Arial" w:cs="Arial"/>
          <w:sz w:val="20"/>
          <w:szCs w:val="20"/>
        </w:rPr>
        <w:t xml:space="preserve">Tabuľka č. </w:t>
      </w:r>
      <w:r w:rsidR="00BA63EB" w:rsidRPr="00E21C60">
        <w:rPr>
          <w:rFonts w:ascii="Arial" w:hAnsi="Arial" w:cs="Arial"/>
          <w:sz w:val="20"/>
          <w:szCs w:val="20"/>
        </w:rPr>
        <w:t>3</w:t>
      </w:r>
      <w:r w:rsidRPr="00E21C60">
        <w:rPr>
          <w:rFonts w:ascii="Arial" w:hAnsi="Arial" w:cs="Arial"/>
          <w:sz w:val="20"/>
          <w:szCs w:val="20"/>
        </w:rPr>
        <w:t>: Kontextové ukazovatele</w:t>
      </w:r>
      <w:r w:rsidR="003E6FF8" w:rsidRPr="00E21C60">
        <w:rPr>
          <w:rFonts w:ascii="Arial" w:hAnsi="Arial" w:cs="Arial"/>
          <w:sz w:val="20"/>
          <w:szCs w:val="20"/>
        </w:rPr>
        <w:t xml:space="preserve"> na úrovni OP ŽP</w:t>
      </w:r>
    </w:p>
    <w:tbl>
      <w:tblPr>
        <w:tblW w:w="48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1"/>
        <w:gridCol w:w="1133"/>
        <w:gridCol w:w="1606"/>
        <w:gridCol w:w="1657"/>
        <w:gridCol w:w="1415"/>
      </w:tblGrid>
      <w:tr w:rsidR="001326E2" w:rsidRPr="00E21C60" w14:paraId="7D2FC60B" w14:textId="77777777" w:rsidTr="00EE50CC">
        <w:trPr>
          <w:trHeight w:val="367"/>
        </w:trPr>
        <w:tc>
          <w:tcPr>
            <w:tcW w:w="1797"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1FAC7135" w14:textId="77777777" w:rsidR="00D40F69" w:rsidRPr="00123376" w:rsidRDefault="00D40F69" w:rsidP="00123376">
            <w:pPr>
              <w:jc w:val="center"/>
              <w:rPr>
                <w:rFonts w:ascii="Arial" w:hAnsi="Arial" w:cs="Arial"/>
                <w:bCs/>
                <w:sz w:val="16"/>
                <w:szCs w:val="16"/>
              </w:rPr>
            </w:pPr>
            <w:r w:rsidRPr="00123376">
              <w:rPr>
                <w:rFonts w:ascii="Arial" w:hAnsi="Arial" w:cs="Arial"/>
                <w:b/>
                <w:bCs/>
                <w:sz w:val="16"/>
                <w:szCs w:val="16"/>
              </w:rPr>
              <w:t>Názov ukazovateľa</w:t>
            </w:r>
          </w:p>
        </w:tc>
        <w:tc>
          <w:tcPr>
            <w:tcW w:w="624"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357FC237" w14:textId="77777777" w:rsidR="00D40F69" w:rsidRPr="00123376" w:rsidRDefault="00D40F69" w:rsidP="00123376">
            <w:pPr>
              <w:jc w:val="center"/>
              <w:rPr>
                <w:rFonts w:ascii="Arial" w:hAnsi="Arial" w:cs="Arial"/>
                <w:b/>
                <w:bCs/>
                <w:sz w:val="16"/>
                <w:szCs w:val="16"/>
              </w:rPr>
            </w:pPr>
            <w:r w:rsidRPr="00123376">
              <w:rPr>
                <w:rFonts w:ascii="Arial" w:hAnsi="Arial" w:cs="Arial"/>
                <w:b/>
                <w:bCs/>
                <w:sz w:val="16"/>
                <w:szCs w:val="16"/>
              </w:rPr>
              <w:t>Merná jednotka</w:t>
            </w:r>
          </w:p>
        </w:tc>
        <w:tc>
          <w:tcPr>
            <w:tcW w:w="1798" w:type="pct"/>
            <w:gridSpan w:val="2"/>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014A8828" w14:textId="77777777" w:rsidR="00D40F69" w:rsidRPr="00123376" w:rsidRDefault="00D40F69" w:rsidP="008226B1">
            <w:pPr>
              <w:jc w:val="center"/>
              <w:rPr>
                <w:rFonts w:ascii="Arial" w:hAnsi="Arial" w:cs="Arial"/>
                <w:b/>
                <w:bCs/>
                <w:sz w:val="16"/>
                <w:szCs w:val="16"/>
              </w:rPr>
            </w:pPr>
            <w:r w:rsidRPr="00123376">
              <w:rPr>
                <w:rFonts w:ascii="Arial" w:hAnsi="Arial" w:cs="Arial"/>
                <w:b/>
                <w:bCs/>
                <w:sz w:val="16"/>
                <w:szCs w:val="16"/>
              </w:rPr>
              <w:t>Východisková a cieľová hodnota za SR</w:t>
            </w:r>
          </w:p>
        </w:tc>
        <w:tc>
          <w:tcPr>
            <w:tcW w:w="780"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235627A5" w14:textId="77777777" w:rsidR="00CB57C4" w:rsidRPr="002526CC" w:rsidRDefault="00D40F69">
            <w:pPr>
              <w:jc w:val="center"/>
              <w:rPr>
                <w:rFonts w:ascii="Arial" w:hAnsi="Arial" w:cs="Arial"/>
                <w:b/>
                <w:bCs/>
                <w:sz w:val="16"/>
                <w:szCs w:val="16"/>
              </w:rPr>
            </w:pPr>
            <w:r w:rsidRPr="00123376">
              <w:rPr>
                <w:rFonts w:ascii="Arial" w:hAnsi="Arial" w:cs="Arial"/>
                <w:b/>
                <w:bCs/>
                <w:sz w:val="16"/>
                <w:szCs w:val="16"/>
              </w:rPr>
              <w:t>Hodnota z</w:t>
            </w:r>
            <w:r w:rsidR="00CB57C4" w:rsidRPr="002526CC">
              <w:rPr>
                <w:rFonts w:ascii="Arial" w:hAnsi="Arial" w:cs="Arial"/>
                <w:b/>
                <w:bCs/>
                <w:sz w:val="16"/>
                <w:szCs w:val="16"/>
              </w:rPr>
              <w:t xml:space="preserve">a </w:t>
            </w:r>
            <w:r w:rsidRPr="00123376">
              <w:rPr>
                <w:rFonts w:ascii="Arial" w:hAnsi="Arial" w:cs="Arial"/>
                <w:b/>
                <w:bCs/>
                <w:sz w:val="16"/>
                <w:szCs w:val="16"/>
              </w:rPr>
              <w:t>SR</w:t>
            </w:r>
          </w:p>
          <w:p w14:paraId="3B3BB8DD" w14:textId="42BD37DF" w:rsidR="00D40F69" w:rsidRPr="00123376" w:rsidRDefault="00D40F69" w:rsidP="00450B03">
            <w:pPr>
              <w:jc w:val="center"/>
              <w:rPr>
                <w:rFonts w:ascii="Arial" w:hAnsi="Arial" w:cs="Arial"/>
                <w:b/>
                <w:bCs/>
                <w:sz w:val="16"/>
                <w:szCs w:val="16"/>
              </w:rPr>
            </w:pPr>
            <w:r w:rsidRPr="00123376">
              <w:rPr>
                <w:rFonts w:ascii="Arial" w:hAnsi="Arial" w:cs="Arial"/>
                <w:b/>
                <w:bCs/>
                <w:sz w:val="16"/>
                <w:szCs w:val="16"/>
              </w:rPr>
              <w:t>k 31.</w:t>
            </w:r>
            <w:r w:rsidR="00CB57C4" w:rsidRPr="002526CC">
              <w:rPr>
                <w:rFonts w:ascii="Arial" w:hAnsi="Arial" w:cs="Arial"/>
                <w:b/>
                <w:bCs/>
                <w:sz w:val="16"/>
                <w:szCs w:val="16"/>
              </w:rPr>
              <w:t xml:space="preserve"> </w:t>
            </w:r>
            <w:r w:rsidRPr="00123376">
              <w:rPr>
                <w:rFonts w:ascii="Arial" w:hAnsi="Arial" w:cs="Arial"/>
                <w:b/>
                <w:bCs/>
                <w:sz w:val="16"/>
                <w:szCs w:val="16"/>
              </w:rPr>
              <w:t>12.</w:t>
            </w:r>
            <w:r w:rsidR="00CB57C4" w:rsidRPr="002526CC">
              <w:rPr>
                <w:rFonts w:ascii="Arial" w:hAnsi="Arial" w:cs="Arial"/>
                <w:b/>
                <w:bCs/>
                <w:sz w:val="16"/>
                <w:szCs w:val="16"/>
              </w:rPr>
              <w:t xml:space="preserve"> </w:t>
            </w:r>
            <w:r w:rsidR="00450B03" w:rsidRPr="00123376">
              <w:rPr>
                <w:rFonts w:ascii="Arial" w:hAnsi="Arial" w:cs="Arial"/>
                <w:b/>
                <w:bCs/>
                <w:sz w:val="16"/>
                <w:szCs w:val="16"/>
              </w:rPr>
              <w:t>201</w:t>
            </w:r>
            <w:r w:rsidR="00450B03">
              <w:rPr>
                <w:rFonts w:ascii="Arial" w:hAnsi="Arial" w:cs="Arial"/>
                <w:b/>
                <w:bCs/>
                <w:sz w:val="16"/>
                <w:szCs w:val="16"/>
              </w:rPr>
              <w:t>4</w:t>
            </w:r>
          </w:p>
        </w:tc>
      </w:tr>
      <w:tr w:rsidR="001326E2" w:rsidRPr="00E21C60" w14:paraId="664636C9" w14:textId="77777777" w:rsidTr="00250946">
        <w:trPr>
          <w:trHeight w:val="20"/>
        </w:trPr>
        <w:tc>
          <w:tcPr>
            <w:tcW w:w="1797" w:type="pct"/>
            <w:vMerge w:val="restart"/>
            <w:tcBorders>
              <w:top w:val="single" w:sz="4" w:space="0" w:color="auto"/>
              <w:left w:val="single" w:sz="4" w:space="0" w:color="auto"/>
              <w:bottom w:val="single" w:sz="4" w:space="0" w:color="auto"/>
              <w:right w:val="single" w:sz="4" w:space="0" w:color="auto"/>
            </w:tcBorders>
            <w:shd w:val="clear" w:color="auto" w:fill="EAF1DD"/>
            <w:vAlign w:val="center"/>
            <w:hideMark/>
          </w:tcPr>
          <w:p w14:paraId="2CCD8EBB" w14:textId="77777777" w:rsidR="00D40F69" w:rsidRPr="00123376" w:rsidRDefault="00D40F69" w:rsidP="008226B1">
            <w:pPr>
              <w:rPr>
                <w:rFonts w:ascii="Arial" w:hAnsi="Arial" w:cs="Arial"/>
                <w:sz w:val="16"/>
                <w:szCs w:val="16"/>
              </w:rPr>
            </w:pPr>
            <w:r w:rsidRPr="00123376">
              <w:rPr>
                <w:rFonts w:ascii="Arial" w:hAnsi="Arial" w:cs="Arial"/>
                <w:sz w:val="16"/>
                <w:szCs w:val="16"/>
              </w:rPr>
              <w:t>Emisie skleníkových plynov</w:t>
            </w:r>
          </w:p>
        </w:tc>
        <w:tc>
          <w:tcPr>
            <w:tcW w:w="624" w:type="pct"/>
            <w:vMerge w:val="restart"/>
            <w:tcBorders>
              <w:top w:val="single" w:sz="4" w:space="0" w:color="auto"/>
              <w:left w:val="single" w:sz="4" w:space="0" w:color="auto"/>
              <w:bottom w:val="single" w:sz="4" w:space="0" w:color="auto"/>
              <w:right w:val="single" w:sz="4" w:space="0" w:color="auto"/>
            </w:tcBorders>
            <w:vAlign w:val="center"/>
            <w:hideMark/>
          </w:tcPr>
          <w:p w14:paraId="64E963CA" w14:textId="77777777" w:rsidR="00D40F69" w:rsidRPr="00123376" w:rsidRDefault="00D40F69">
            <w:pPr>
              <w:jc w:val="center"/>
              <w:rPr>
                <w:rFonts w:ascii="Arial" w:hAnsi="Arial" w:cs="Arial"/>
                <w:sz w:val="16"/>
                <w:szCs w:val="16"/>
              </w:rPr>
            </w:pPr>
            <w:r w:rsidRPr="00123376">
              <w:rPr>
                <w:rFonts w:ascii="Arial" w:hAnsi="Arial" w:cs="Arial"/>
                <w:sz w:val="16"/>
                <w:szCs w:val="16"/>
              </w:rPr>
              <w:t>tis. ton CO</w:t>
            </w:r>
            <w:r w:rsidRPr="00123376">
              <w:rPr>
                <w:rFonts w:ascii="Arial" w:hAnsi="Arial" w:cs="Arial"/>
                <w:sz w:val="16"/>
                <w:szCs w:val="16"/>
                <w:vertAlign w:val="subscript"/>
              </w:rPr>
              <w:t xml:space="preserve">2 </w:t>
            </w:r>
            <w:r w:rsidRPr="00123376">
              <w:rPr>
                <w:rFonts w:ascii="Arial" w:hAnsi="Arial" w:cs="Arial"/>
                <w:sz w:val="16"/>
                <w:szCs w:val="16"/>
              </w:rPr>
              <w:t>ekv.</w:t>
            </w:r>
            <w:r w:rsidRPr="00123376">
              <w:rPr>
                <w:rStyle w:val="Odkaznapoznmkupodiarou"/>
                <w:rFonts w:ascii="Arial" w:hAnsi="Arial" w:cs="Arial"/>
                <w:sz w:val="16"/>
                <w:szCs w:val="16"/>
              </w:rPr>
              <w:footnoteReference w:id="2"/>
            </w:r>
          </w:p>
        </w:tc>
        <w:tc>
          <w:tcPr>
            <w:tcW w:w="885" w:type="pct"/>
            <w:tcBorders>
              <w:top w:val="single" w:sz="4" w:space="0" w:color="auto"/>
              <w:left w:val="single" w:sz="4" w:space="0" w:color="auto"/>
              <w:bottom w:val="single" w:sz="4" w:space="0" w:color="auto"/>
              <w:right w:val="single" w:sz="4" w:space="0" w:color="auto"/>
            </w:tcBorders>
            <w:vAlign w:val="center"/>
            <w:hideMark/>
          </w:tcPr>
          <w:p w14:paraId="68A61DA3" w14:textId="77777777" w:rsidR="00D40F69" w:rsidRPr="00123376" w:rsidRDefault="00D40F69" w:rsidP="00250946">
            <w:pPr>
              <w:jc w:val="center"/>
              <w:rPr>
                <w:rFonts w:ascii="Arial" w:hAnsi="Arial" w:cs="Arial"/>
                <w:bCs/>
                <w:sz w:val="16"/>
                <w:szCs w:val="16"/>
              </w:rPr>
            </w:pPr>
            <w:r w:rsidRPr="00123376">
              <w:rPr>
                <w:rFonts w:ascii="Arial" w:hAnsi="Arial" w:cs="Arial"/>
                <w:bCs/>
                <w:sz w:val="16"/>
                <w:szCs w:val="16"/>
              </w:rPr>
              <w:t>2004</w:t>
            </w:r>
          </w:p>
        </w:tc>
        <w:tc>
          <w:tcPr>
            <w:tcW w:w="913" w:type="pct"/>
            <w:tcBorders>
              <w:top w:val="single" w:sz="4" w:space="0" w:color="auto"/>
              <w:left w:val="single" w:sz="4" w:space="0" w:color="auto"/>
              <w:bottom w:val="single" w:sz="4" w:space="0" w:color="auto"/>
              <w:right w:val="single" w:sz="4" w:space="0" w:color="auto"/>
            </w:tcBorders>
            <w:vAlign w:val="center"/>
            <w:hideMark/>
          </w:tcPr>
          <w:p w14:paraId="47CBED93" w14:textId="77777777" w:rsidR="00D40F69" w:rsidRPr="00123376" w:rsidRDefault="00D40F69" w:rsidP="00250946">
            <w:pPr>
              <w:jc w:val="center"/>
              <w:rPr>
                <w:rFonts w:ascii="Arial" w:hAnsi="Arial" w:cs="Arial"/>
                <w:sz w:val="16"/>
                <w:szCs w:val="16"/>
              </w:rPr>
            </w:pPr>
            <w:r w:rsidRPr="00123376">
              <w:rPr>
                <w:rFonts w:ascii="Arial" w:hAnsi="Arial" w:cs="Arial"/>
                <w:sz w:val="16"/>
                <w:szCs w:val="16"/>
              </w:rPr>
              <w:t>51 046</w:t>
            </w:r>
          </w:p>
        </w:tc>
        <w:tc>
          <w:tcPr>
            <w:tcW w:w="780" w:type="pct"/>
            <w:vMerge w:val="restart"/>
            <w:tcBorders>
              <w:top w:val="single" w:sz="4" w:space="0" w:color="auto"/>
              <w:left w:val="single" w:sz="4" w:space="0" w:color="auto"/>
              <w:bottom w:val="single" w:sz="4" w:space="0" w:color="auto"/>
              <w:right w:val="single" w:sz="4" w:space="0" w:color="auto"/>
            </w:tcBorders>
            <w:vAlign w:val="center"/>
            <w:hideMark/>
          </w:tcPr>
          <w:p w14:paraId="756607CD" w14:textId="377E362E" w:rsidR="00D40F69" w:rsidRPr="00CE0728" w:rsidRDefault="00D67F9D" w:rsidP="00250946">
            <w:pPr>
              <w:jc w:val="center"/>
              <w:rPr>
                <w:rFonts w:ascii="Arial" w:hAnsi="Arial" w:cs="Arial"/>
                <w:sz w:val="16"/>
                <w:szCs w:val="16"/>
              </w:rPr>
            </w:pPr>
            <w:r>
              <w:rPr>
                <w:rFonts w:ascii="Arial" w:hAnsi="Arial" w:cs="Arial"/>
                <w:sz w:val="16"/>
                <w:szCs w:val="16"/>
              </w:rPr>
              <w:t>43 966</w:t>
            </w:r>
            <w:r w:rsidR="00A67513" w:rsidRPr="00CE0728">
              <w:rPr>
                <w:rFonts w:ascii="Arial" w:hAnsi="Arial" w:cs="Arial"/>
                <w:sz w:val="16"/>
                <w:szCs w:val="16"/>
              </w:rPr>
              <w:t>*</w:t>
            </w:r>
          </w:p>
        </w:tc>
      </w:tr>
      <w:tr w:rsidR="001326E2" w:rsidRPr="00E21C60" w14:paraId="5B025C8E" w14:textId="77777777" w:rsidTr="00250946">
        <w:trPr>
          <w:trHeight w:val="20"/>
        </w:trPr>
        <w:tc>
          <w:tcPr>
            <w:tcW w:w="1797" w:type="pct"/>
            <w:vMerge/>
            <w:tcBorders>
              <w:top w:val="single" w:sz="4" w:space="0" w:color="auto"/>
              <w:left w:val="single" w:sz="4" w:space="0" w:color="auto"/>
              <w:bottom w:val="single" w:sz="4" w:space="0" w:color="auto"/>
              <w:right w:val="single" w:sz="4" w:space="0" w:color="auto"/>
            </w:tcBorders>
            <w:vAlign w:val="center"/>
            <w:hideMark/>
          </w:tcPr>
          <w:p w14:paraId="2EB0ABD7" w14:textId="77777777" w:rsidR="00D40F69" w:rsidRPr="00123376" w:rsidRDefault="00D40F69">
            <w:pPr>
              <w:rPr>
                <w:rFonts w:ascii="Arial" w:hAnsi="Arial" w:cs="Arial"/>
                <w:sz w:val="16"/>
                <w:szCs w:val="16"/>
                <w:highlight w:val="yellow"/>
              </w:rPr>
            </w:pPr>
          </w:p>
        </w:tc>
        <w:tc>
          <w:tcPr>
            <w:tcW w:w="624" w:type="pct"/>
            <w:vMerge/>
            <w:tcBorders>
              <w:top w:val="single" w:sz="4" w:space="0" w:color="auto"/>
              <w:left w:val="single" w:sz="4" w:space="0" w:color="auto"/>
              <w:bottom w:val="single" w:sz="4" w:space="0" w:color="auto"/>
              <w:right w:val="single" w:sz="4" w:space="0" w:color="auto"/>
            </w:tcBorders>
            <w:vAlign w:val="center"/>
            <w:hideMark/>
          </w:tcPr>
          <w:p w14:paraId="4ABD2362" w14:textId="77777777" w:rsidR="00D40F69" w:rsidRPr="00123376" w:rsidRDefault="00D40F69">
            <w:pPr>
              <w:rPr>
                <w:rFonts w:ascii="Arial" w:hAnsi="Arial" w:cs="Arial"/>
                <w:sz w:val="16"/>
                <w:szCs w:val="16"/>
                <w:highlight w:val="yellow"/>
              </w:rPr>
            </w:pPr>
          </w:p>
        </w:tc>
        <w:tc>
          <w:tcPr>
            <w:tcW w:w="885" w:type="pct"/>
            <w:tcBorders>
              <w:top w:val="single" w:sz="4" w:space="0" w:color="auto"/>
              <w:left w:val="single" w:sz="4" w:space="0" w:color="auto"/>
              <w:bottom w:val="single" w:sz="4" w:space="0" w:color="auto"/>
              <w:right w:val="single" w:sz="4" w:space="0" w:color="auto"/>
            </w:tcBorders>
            <w:vAlign w:val="center"/>
            <w:hideMark/>
          </w:tcPr>
          <w:p w14:paraId="55033CFE" w14:textId="77777777" w:rsidR="00D40F69" w:rsidRPr="00123376" w:rsidRDefault="00D40F69" w:rsidP="00250946">
            <w:pPr>
              <w:jc w:val="center"/>
              <w:rPr>
                <w:rFonts w:ascii="Arial" w:hAnsi="Arial" w:cs="Arial"/>
                <w:b/>
                <w:bCs/>
                <w:sz w:val="16"/>
                <w:szCs w:val="16"/>
              </w:rPr>
            </w:pPr>
            <w:r w:rsidRPr="00123376">
              <w:rPr>
                <w:rFonts w:ascii="Arial" w:hAnsi="Arial" w:cs="Arial"/>
                <w:b/>
                <w:bCs/>
                <w:sz w:val="16"/>
                <w:szCs w:val="16"/>
              </w:rPr>
              <w:t>2015</w:t>
            </w:r>
          </w:p>
        </w:tc>
        <w:tc>
          <w:tcPr>
            <w:tcW w:w="913" w:type="pct"/>
            <w:tcBorders>
              <w:top w:val="single" w:sz="4" w:space="0" w:color="auto"/>
              <w:left w:val="single" w:sz="4" w:space="0" w:color="auto"/>
              <w:bottom w:val="single" w:sz="4" w:space="0" w:color="auto"/>
              <w:right w:val="single" w:sz="4" w:space="0" w:color="auto"/>
            </w:tcBorders>
            <w:vAlign w:val="center"/>
            <w:hideMark/>
          </w:tcPr>
          <w:p w14:paraId="7847C6AB" w14:textId="053D6AFE" w:rsidR="00D40F69" w:rsidRPr="00123376" w:rsidRDefault="00D40F69" w:rsidP="00250946">
            <w:pPr>
              <w:jc w:val="center"/>
              <w:rPr>
                <w:rFonts w:ascii="Arial" w:hAnsi="Arial" w:cs="Arial"/>
                <w:sz w:val="16"/>
                <w:szCs w:val="16"/>
              </w:rPr>
            </w:pPr>
            <w:r w:rsidRPr="00244495">
              <w:rPr>
                <w:rFonts w:ascii="Arial" w:hAnsi="Arial" w:cs="Arial"/>
                <w:sz w:val="16"/>
                <w:szCs w:val="16"/>
              </w:rPr>
              <w:t>61 902</w:t>
            </w:r>
            <w:r w:rsidRPr="00123376">
              <w:rPr>
                <w:rStyle w:val="Odkaznapoznmkupodiarou"/>
                <w:rFonts w:ascii="Arial" w:hAnsi="Arial" w:cs="Arial"/>
                <w:sz w:val="16"/>
                <w:szCs w:val="16"/>
              </w:rPr>
              <w:footnoteReference w:id="3"/>
            </w:r>
          </w:p>
        </w:tc>
        <w:tc>
          <w:tcPr>
            <w:tcW w:w="780" w:type="pct"/>
            <w:vMerge/>
            <w:tcBorders>
              <w:top w:val="single" w:sz="4" w:space="0" w:color="auto"/>
              <w:left w:val="single" w:sz="4" w:space="0" w:color="auto"/>
              <w:bottom w:val="single" w:sz="4" w:space="0" w:color="auto"/>
              <w:right w:val="single" w:sz="4" w:space="0" w:color="auto"/>
            </w:tcBorders>
            <w:vAlign w:val="center"/>
            <w:hideMark/>
          </w:tcPr>
          <w:p w14:paraId="749D8BA0" w14:textId="77777777" w:rsidR="00D40F69" w:rsidRPr="00CE0728" w:rsidRDefault="00D40F69" w:rsidP="00250946">
            <w:pPr>
              <w:jc w:val="center"/>
              <w:rPr>
                <w:rFonts w:ascii="Arial" w:hAnsi="Arial" w:cs="Arial"/>
                <w:sz w:val="16"/>
                <w:szCs w:val="16"/>
              </w:rPr>
            </w:pPr>
          </w:p>
        </w:tc>
      </w:tr>
      <w:tr w:rsidR="00720885" w:rsidRPr="00E21C60" w14:paraId="338F290B" w14:textId="77777777" w:rsidTr="00250946">
        <w:trPr>
          <w:trHeight w:val="20"/>
        </w:trPr>
        <w:tc>
          <w:tcPr>
            <w:tcW w:w="1797" w:type="pct"/>
            <w:vMerge w:val="restart"/>
            <w:tcBorders>
              <w:top w:val="single" w:sz="4" w:space="0" w:color="auto"/>
              <w:left w:val="single" w:sz="4" w:space="0" w:color="auto"/>
              <w:bottom w:val="single" w:sz="4" w:space="0" w:color="auto"/>
              <w:right w:val="single" w:sz="4" w:space="0" w:color="auto"/>
            </w:tcBorders>
            <w:shd w:val="clear" w:color="auto" w:fill="EAF1DD"/>
            <w:vAlign w:val="center"/>
            <w:hideMark/>
          </w:tcPr>
          <w:p w14:paraId="04A58EED" w14:textId="77777777" w:rsidR="00720885" w:rsidRPr="00123376" w:rsidRDefault="00720885" w:rsidP="008226B1">
            <w:pPr>
              <w:rPr>
                <w:rFonts w:ascii="Arial" w:hAnsi="Arial" w:cs="Arial"/>
                <w:sz w:val="16"/>
                <w:szCs w:val="16"/>
              </w:rPr>
            </w:pPr>
            <w:r w:rsidRPr="00123376">
              <w:rPr>
                <w:rFonts w:ascii="Arial" w:hAnsi="Arial" w:cs="Arial"/>
                <w:sz w:val="16"/>
                <w:szCs w:val="16"/>
              </w:rPr>
              <w:t>Produkcia odpadu</w:t>
            </w:r>
          </w:p>
        </w:tc>
        <w:tc>
          <w:tcPr>
            <w:tcW w:w="624" w:type="pct"/>
            <w:vMerge w:val="restart"/>
            <w:tcBorders>
              <w:top w:val="single" w:sz="4" w:space="0" w:color="auto"/>
              <w:left w:val="single" w:sz="4" w:space="0" w:color="auto"/>
              <w:bottom w:val="single" w:sz="4" w:space="0" w:color="auto"/>
              <w:right w:val="single" w:sz="4" w:space="0" w:color="auto"/>
            </w:tcBorders>
            <w:vAlign w:val="center"/>
            <w:hideMark/>
          </w:tcPr>
          <w:p w14:paraId="5E68DDAE" w14:textId="77777777" w:rsidR="00720885" w:rsidRPr="00123376" w:rsidRDefault="00720885">
            <w:pPr>
              <w:jc w:val="center"/>
              <w:rPr>
                <w:rFonts w:ascii="Arial" w:hAnsi="Arial" w:cs="Arial"/>
                <w:sz w:val="16"/>
                <w:szCs w:val="16"/>
              </w:rPr>
            </w:pPr>
            <w:r w:rsidRPr="00123376">
              <w:rPr>
                <w:rFonts w:ascii="Arial" w:hAnsi="Arial" w:cs="Arial"/>
                <w:sz w:val="16"/>
                <w:szCs w:val="16"/>
              </w:rPr>
              <w:t>mil. t</w:t>
            </w:r>
            <w:r w:rsidRPr="002526CC">
              <w:rPr>
                <w:rFonts w:ascii="Arial" w:hAnsi="Arial" w:cs="Arial"/>
                <w:sz w:val="16"/>
                <w:szCs w:val="16"/>
              </w:rPr>
              <w:t>on</w:t>
            </w:r>
          </w:p>
        </w:tc>
        <w:tc>
          <w:tcPr>
            <w:tcW w:w="885" w:type="pct"/>
            <w:tcBorders>
              <w:top w:val="single" w:sz="4" w:space="0" w:color="auto"/>
              <w:left w:val="single" w:sz="4" w:space="0" w:color="auto"/>
              <w:bottom w:val="single" w:sz="4" w:space="0" w:color="auto"/>
              <w:right w:val="single" w:sz="4" w:space="0" w:color="auto"/>
            </w:tcBorders>
            <w:vAlign w:val="center"/>
            <w:hideMark/>
          </w:tcPr>
          <w:p w14:paraId="780D5644" w14:textId="77777777" w:rsidR="00720885" w:rsidRPr="00123376" w:rsidRDefault="00720885" w:rsidP="00250946">
            <w:pPr>
              <w:jc w:val="center"/>
              <w:rPr>
                <w:rFonts w:ascii="Arial" w:hAnsi="Arial" w:cs="Arial"/>
                <w:bCs/>
                <w:sz w:val="16"/>
                <w:szCs w:val="16"/>
              </w:rPr>
            </w:pPr>
            <w:r w:rsidRPr="00123376">
              <w:rPr>
                <w:rFonts w:ascii="Arial" w:hAnsi="Arial" w:cs="Arial"/>
                <w:bCs/>
                <w:sz w:val="16"/>
                <w:szCs w:val="16"/>
              </w:rPr>
              <w:t>2004</w:t>
            </w:r>
          </w:p>
        </w:tc>
        <w:tc>
          <w:tcPr>
            <w:tcW w:w="913" w:type="pct"/>
            <w:tcBorders>
              <w:top w:val="single" w:sz="4" w:space="0" w:color="auto"/>
              <w:left w:val="single" w:sz="4" w:space="0" w:color="auto"/>
              <w:bottom w:val="single" w:sz="4" w:space="0" w:color="auto"/>
              <w:right w:val="single" w:sz="4" w:space="0" w:color="auto"/>
            </w:tcBorders>
            <w:vAlign w:val="center"/>
            <w:hideMark/>
          </w:tcPr>
          <w:p w14:paraId="32B36AC9" w14:textId="77777777" w:rsidR="00720885" w:rsidRPr="00123376" w:rsidRDefault="00720885" w:rsidP="00250946">
            <w:pPr>
              <w:jc w:val="center"/>
              <w:rPr>
                <w:rFonts w:ascii="Arial" w:hAnsi="Arial" w:cs="Arial"/>
                <w:sz w:val="16"/>
                <w:szCs w:val="16"/>
              </w:rPr>
            </w:pPr>
            <w:r w:rsidRPr="00123376">
              <w:rPr>
                <w:rFonts w:ascii="Arial" w:hAnsi="Arial" w:cs="Arial"/>
                <w:sz w:val="16"/>
                <w:szCs w:val="16"/>
              </w:rPr>
              <w:t>10,9</w:t>
            </w:r>
          </w:p>
        </w:tc>
        <w:tc>
          <w:tcPr>
            <w:tcW w:w="780" w:type="pct"/>
            <w:vMerge w:val="restart"/>
            <w:tcBorders>
              <w:top w:val="single" w:sz="4" w:space="0" w:color="auto"/>
              <w:left w:val="single" w:sz="4" w:space="0" w:color="auto"/>
              <w:bottom w:val="single" w:sz="4" w:space="0" w:color="auto"/>
              <w:right w:val="single" w:sz="4" w:space="0" w:color="auto"/>
            </w:tcBorders>
            <w:vAlign w:val="center"/>
            <w:hideMark/>
          </w:tcPr>
          <w:p w14:paraId="28147311" w14:textId="7FF163BD" w:rsidR="00720885" w:rsidRPr="00CE0728" w:rsidRDefault="00001084" w:rsidP="00250946">
            <w:pPr>
              <w:jc w:val="center"/>
              <w:rPr>
                <w:rFonts w:ascii="Arial" w:hAnsi="Arial" w:cs="Arial"/>
                <w:sz w:val="16"/>
                <w:szCs w:val="16"/>
              </w:rPr>
            </w:pPr>
            <w:r>
              <w:rPr>
                <w:rFonts w:ascii="Arial" w:hAnsi="Arial" w:cs="Arial"/>
                <w:sz w:val="16"/>
                <w:szCs w:val="16"/>
              </w:rPr>
              <w:t>9,062</w:t>
            </w:r>
          </w:p>
        </w:tc>
      </w:tr>
      <w:tr w:rsidR="00720885" w:rsidRPr="00E21C60" w14:paraId="2129E587" w14:textId="77777777" w:rsidTr="00250946">
        <w:trPr>
          <w:trHeight w:val="20"/>
        </w:trPr>
        <w:tc>
          <w:tcPr>
            <w:tcW w:w="1797" w:type="pct"/>
            <w:vMerge/>
            <w:tcBorders>
              <w:top w:val="single" w:sz="4" w:space="0" w:color="auto"/>
              <w:left w:val="single" w:sz="4" w:space="0" w:color="auto"/>
              <w:bottom w:val="single" w:sz="4" w:space="0" w:color="auto"/>
              <w:right w:val="single" w:sz="4" w:space="0" w:color="auto"/>
            </w:tcBorders>
            <w:vAlign w:val="center"/>
            <w:hideMark/>
          </w:tcPr>
          <w:p w14:paraId="16266AFB" w14:textId="77777777" w:rsidR="00720885" w:rsidRPr="00123376" w:rsidRDefault="00720885">
            <w:pPr>
              <w:rPr>
                <w:rFonts w:ascii="Arial" w:hAnsi="Arial" w:cs="Arial"/>
                <w:sz w:val="16"/>
                <w:szCs w:val="16"/>
              </w:rPr>
            </w:pPr>
          </w:p>
        </w:tc>
        <w:tc>
          <w:tcPr>
            <w:tcW w:w="624" w:type="pct"/>
            <w:vMerge/>
            <w:tcBorders>
              <w:top w:val="single" w:sz="4" w:space="0" w:color="auto"/>
              <w:left w:val="single" w:sz="4" w:space="0" w:color="auto"/>
              <w:bottom w:val="single" w:sz="4" w:space="0" w:color="auto"/>
              <w:right w:val="single" w:sz="4" w:space="0" w:color="auto"/>
            </w:tcBorders>
            <w:vAlign w:val="center"/>
            <w:hideMark/>
          </w:tcPr>
          <w:p w14:paraId="5AE2ECCF" w14:textId="77777777" w:rsidR="00720885" w:rsidRPr="00123376" w:rsidRDefault="00720885">
            <w:pPr>
              <w:rPr>
                <w:rFonts w:ascii="Arial" w:hAnsi="Arial" w:cs="Arial"/>
                <w:sz w:val="16"/>
                <w:szCs w:val="16"/>
              </w:rPr>
            </w:pPr>
          </w:p>
        </w:tc>
        <w:tc>
          <w:tcPr>
            <w:tcW w:w="885" w:type="pct"/>
            <w:tcBorders>
              <w:top w:val="single" w:sz="4" w:space="0" w:color="auto"/>
              <w:left w:val="single" w:sz="4" w:space="0" w:color="auto"/>
              <w:bottom w:val="single" w:sz="4" w:space="0" w:color="auto"/>
              <w:right w:val="single" w:sz="4" w:space="0" w:color="auto"/>
            </w:tcBorders>
            <w:vAlign w:val="center"/>
            <w:hideMark/>
          </w:tcPr>
          <w:p w14:paraId="4EA3A1EE" w14:textId="77777777" w:rsidR="00720885" w:rsidRPr="00123376" w:rsidRDefault="00720885" w:rsidP="00250946">
            <w:pPr>
              <w:jc w:val="center"/>
              <w:rPr>
                <w:rFonts w:ascii="Arial" w:hAnsi="Arial" w:cs="Arial"/>
                <w:b/>
                <w:bCs/>
                <w:sz w:val="16"/>
                <w:szCs w:val="16"/>
              </w:rPr>
            </w:pPr>
            <w:r w:rsidRPr="00123376">
              <w:rPr>
                <w:rFonts w:ascii="Arial" w:hAnsi="Arial" w:cs="Arial"/>
                <w:b/>
                <w:bCs/>
                <w:sz w:val="16"/>
                <w:szCs w:val="16"/>
              </w:rPr>
              <w:t>2015</w:t>
            </w:r>
          </w:p>
        </w:tc>
        <w:tc>
          <w:tcPr>
            <w:tcW w:w="913" w:type="pct"/>
            <w:tcBorders>
              <w:top w:val="single" w:sz="4" w:space="0" w:color="auto"/>
              <w:left w:val="single" w:sz="4" w:space="0" w:color="auto"/>
              <w:bottom w:val="single" w:sz="4" w:space="0" w:color="auto"/>
              <w:right w:val="single" w:sz="4" w:space="0" w:color="auto"/>
            </w:tcBorders>
            <w:vAlign w:val="center"/>
            <w:hideMark/>
          </w:tcPr>
          <w:p w14:paraId="76881467" w14:textId="77777777" w:rsidR="00720885" w:rsidRPr="00123376" w:rsidRDefault="00720885" w:rsidP="00250946">
            <w:pPr>
              <w:jc w:val="center"/>
              <w:rPr>
                <w:rFonts w:ascii="Arial" w:hAnsi="Arial" w:cs="Arial"/>
                <w:sz w:val="16"/>
                <w:szCs w:val="16"/>
              </w:rPr>
            </w:pPr>
            <w:r w:rsidRPr="00123376">
              <w:rPr>
                <w:rFonts w:ascii="Arial" w:hAnsi="Arial" w:cs="Arial"/>
                <w:sz w:val="16"/>
                <w:szCs w:val="16"/>
              </w:rPr>
              <w:t>12,5</w:t>
            </w:r>
          </w:p>
        </w:tc>
        <w:tc>
          <w:tcPr>
            <w:tcW w:w="780" w:type="pct"/>
            <w:vMerge/>
            <w:tcBorders>
              <w:top w:val="single" w:sz="4" w:space="0" w:color="auto"/>
              <w:left w:val="single" w:sz="4" w:space="0" w:color="auto"/>
              <w:bottom w:val="single" w:sz="4" w:space="0" w:color="auto"/>
              <w:right w:val="single" w:sz="4" w:space="0" w:color="auto"/>
            </w:tcBorders>
            <w:vAlign w:val="center"/>
            <w:hideMark/>
          </w:tcPr>
          <w:p w14:paraId="5D83B7AA" w14:textId="77777777" w:rsidR="00720885" w:rsidRPr="002656B2" w:rsidRDefault="00720885" w:rsidP="00250946">
            <w:pPr>
              <w:jc w:val="center"/>
              <w:rPr>
                <w:rFonts w:ascii="Arial" w:hAnsi="Arial" w:cs="Arial"/>
                <w:sz w:val="16"/>
                <w:szCs w:val="16"/>
                <w:highlight w:val="yellow"/>
              </w:rPr>
            </w:pPr>
          </w:p>
        </w:tc>
      </w:tr>
      <w:tr w:rsidR="00720885" w:rsidRPr="00E21C60" w14:paraId="410F3473" w14:textId="77777777" w:rsidTr="00250946">
        <w:trPr>
          <w:trHeight w:val="20"/>
        </w:trPr>
        <w:tc>
          <w:tcPr>
            <w:tcW w:w="1797" w:type="pct"/>
            <w:vMerge w:val="restart"/>
            <w:tcBorders>
              <w:top w:val="single" w:sz="4" w:space="0" w:color="auto"/>
              <w:left w:val="single" w:sz="4" w:space="0" w:color="auto"/>
              <w:bottom w:val="single" w:sz="4" w:space="0" w:color="auto"/>
              <w:right w:val="single" w:sz="4" w:space="0" w:color="auto"/>
            </w:tcBorders>
            <w:shd w:val="clear" w:color="auto" w:fill="EAF1DD"/>
            <w:vAlign w:val="center"/>
            <w:hideMark/>
          </w:tcPr>
          <w:p w14:paraId="5F572DAE" w14:textId="77777777" w:rsidR="00720885" w:rsidRPr="00123376" w:rsidRDefault="00720885" w:rsidP="008226B1">
            <w:pPr>
              <w:rPr>
                <w:rFonts w:ascii="Arial" w:hAnsi="Arial" w:cs="Arial"/>
                <w:sz w:val="16"/>
                <w:szCs w:val="16"/>
              </w:rPr>
            </w:pPr>
            <w:r w:rsidRPr="00123376">
              <w:rPr>
                <w:rFonts w:ascii="Arial" w:hAnsi="Arial" w:cs="Arial"/>
                <w:sz w:val="16"/>
                <w:szCs w:val="16"/>
              </w:rPr>
              <w:t>Množstvo zneškodneného odpadu</w:t>
            </w:r>
          </w:p>
        </w:tc>
        <w:tc>
          <w:tcPr>
            <w:tcW w:w="624" w:type="pct"/>
            <w:vMerge w:val="restart"/>
            <w:tcBorders>
              <w:top w:val="single" w:sz="4" w:space="0" w:color="auto"/>
              <w:left w:val="single" w:sz="4" w:space="0" w:color="auto"/>
              <w:bottom w:val="single" w:sz="4" w:space="0" w:color="auto"/>
              <w:right w:val="single" w:sz="4" w:space="0" w:color="auto"/>
            </w:tcBorders>
            <w:vAlign w:val="center"/>
            <w:hideMark/>
          </w:tcPr>
          <w:p w14:paraId="2E804A8C" w14:textId="77777777" w:rsidR="00720885" w:rsidRPr="00123376" w:rsidRDefault="00720885">
            <w:pPr>
              <w:jc w:val="center"/>
              <w:rPr>
                <w:rFonts w:ascii="Arial" w:hAnsi="Arial" w:cs="Arial"/>
                <w:sz w:val="16"/>
                <w:szCs w:val="16"/>
              </w:rPr>
            </w:pPr>
            <w:r w:rsidRPr="00123376">
              <w:rPr>
                <w:rFonts w:ascii="Arial" w:hAnsi="Arial" w:cs="Arial"/>
                <w:sz w:val="16"/>
                <w:szCs w:val="16"/>
              </w:rPr>
              <w:t>mil. t</w:t>
            </w:r>
            <w:r w:rsidRPr="002526CC">
              <w:rPr>
                <w:rFonts w:ascii="Arial" w:hAnsi="Arial" w:cs="Arial"/>
                <w:sz w:val="16"/>
                <w:szCs w:val="16"/>
              </w:rPr>
              <w:t>on</w:t>
            </w:r>
          </w:p>
        </w:tc>
        <w:tc>
          <w:tcPr>
            <w:tcW w:w="885" w:type="pct"/>
            <w:tcBorders>
              <w:top w:val="single" w:sz="4" w:space="0" w:color="auto"/>
              <w:left w:val="single" w:sz="4" w:space="0" w:color="auto"/>
              <w:bottom w:val="single" w:sz="4" w:space="0" w:color="auto"/>
              <w:right w:val="single" w:sz="4" w:space="0" w:color="auto"/>
            </w:tcBorders>
            <w:vAlign w:val="center"/>
            <w:hideMark/>
          </w:tcPr>
          <w:p w14:paraId="0AB8AAA3" w14:textId="77777777" w:rsidR="00720885" w:rsidRPr="00123376" w:rsidRDefault="00720885" w:rsidP="00250946">
            <w:pPr>
              <w:jc w:val="center"/>
              <w:rPr>
                <w:rFonts w:ascii="Arial" w:hAnsi="Arial" w:cs="Arial"/>
                <w:bCs/>
                <w:sz w:val="16"/>
                <w:szCs w:val="16"/>
              </w:rPr>
            </w:pPr>
            <w:r w:rsidRPr="00123376">
              <w:rPr>
                <w:rFonts w:ascii="Arial" w:hAnsi="Arial" w:cs="Arial"/>
                <w:bCs/>
                <w:sz w:val="16"/>
                <w:szCs w:val="16"/>
              </w:rPr>
              <w:t>2004</w:t>
            </w:r>
          </w:p>
        </w:tc>
        <w:tc>
          <w:tcPr>
            <w:tcW w:w="913" w:type="pct"/>
            <w:tcBorders>
              <w:top w:val="single" w:sz="4" w:space="0" w:color="auto"/>
              <w:left w:val="single" w:sz="4" w:space="0" w:color="auto"/>
              <w:bottom w:val="single" w:sz="4" w:space="0" w:color="auto"/>
              <w:right w:val="single" w:sz="4" w:space="0" w:color="auto"/>
            </w:tcBorders>
            <w:vAlign w:val="center"/>
            <w:hideMark/>
          </w:tcPr>
          <w:p w14:paraId="6976F785" w14:textId="77777777" w:rsidR="00720885" w:rsidRPr="00123376" w:rsidRDefault="00720885" w:rsidP="00250946">
            <w:pPr>
              <w:jc w:val="center"/>
              <w:rPr>
                <w:rFonts w:ascii="Arial" w:hAnsi="Arial" w:cs="Arial"/>
                <w:bCs/>
                <w:sz w:val="16"/>
                <w:szCs w:val="16"/>
              </w:rPr>
            </w:pPr>
            <w:r w:rsidRPr="00123376">
              <w:rPr>
                <w:rFonts w:ascii="Arial" w:hAnsi="Arial" w:cs="Arial"/>
                <w:bCs/>
                <w:sz w:val="16"/>
                <w:szCs w:val="16"/>
              </w:rPr>
              <w:t>3,2</w:t>
            </w:r>
          </w:p>
        </w:tc>
        <w:tc>
          <w:tcPr>
            <w:tcW w:w="780" w:type="pct"/>
            <w:vMerge w:val="restart"/>
            <w:tcBorders>
              <w:top w:val="single" w:sz="4" w:space="0" w:color="auto"/>
              <w:left w:val="single" w:sz="4" w:space="0" w:color="auto"/>
              <w:bottom w:val="single" w:sz="4" w:space="0" w:color="auto"/>
              <w:right w:val="single" w:sz="4" w:space="0" w:color="auto"/>
            </w:tcBorders>
            <w:vAlign w:val="center"/>
            <w:hideMark/>
          </w:tcPr>
          <w:p w14:paraId="14028E06" w14:textId="1B8B90C3" w:rsidR="00720885" w:rsidRPr="00781EDD" w:rsidRDefault="00AF5771" w:rsidP="00250946">
            <w:pPr>
              <w:jc w:val="center"/>
              <w:rPr>
                <w:rFonts w:ascii="Arial" w:hAnsi="Arial" w:cs="Arial"/>
                <w:bCs/>
                <w:sz w:val="16"/>
                <w:szCs w:val="16"/>
              </w:rPr>
            </w:pPr>
            <w:r w:rsidRPr="00781EDD">
              <w:rPr>
                <w:rFonts w:ascii="Arial" w:hAnsi="Arial" w:cs="Arial"/>
                <w:bCs/>
                <w:sz w:val="16"/>
                <w:szCs w:val="16"/>
              </w:rPr>
              <w:t>4,38</w:t>
            </w:r>
          </w:p>
        </w:tc>
      </w:tr>
      <w:tr w:rsidR="00720885" w:rsidRPr="00E21C60" w14:paraId="47CB89BD" w14:textId="77777777" w:rsidTr="00250946">
        <w:trPr>
          <w:trHeight w:val="20"/>
        </w:trPr>
        <w:tc>
          <w:tcPr>
            <w:tcW w:w="1797" w:type="pct"/>
            <w:vMerge/>
            <w:tcBorders>
              <w:top w:val="single" w:sz="4" w:space="0" w:color="auto"/>
              <w:left w:val="single" w:sz="4" w:space="0" w:color="auto"/>
              <w:bottom w:val="single" w:sz="4" w:space="0" w:color="auto"/>
              <w:right w:val="single" w:sz="4" w:space="0" w:color="auto"/>
            </w:tcBorders>
            <w:vAlign w:val="center"/>
            <w:hideMark/>
          </w:tcPr>
          <w:p w14:paraId="7F5C096C" w14:textId="77777777" w:rsidR="00720885" w:rsidRPr="00123376" w:rsidRDefault="00720885">
            <w:pPr>
              <w:rPr>
                <w:rFonts w:ascii="Arial" w:hAnsi="Arial" w:cs="Arial"/>
                <w:sz w:val="16"/>
                <w:szCs w:val="16"/>
              </w:rPr>
            </w:pPr>
          </w:p>
        </w:tc>
        <w:tc>
          <w:tcPr>
            <w:tcW w:w="624" w:type="pct"/>
            <w:vMerge/>
            <w:tcBorders>
              <w:top w:val="single" w:sz="4" w:space="0" w:color="auto"/>
              <w:left w:val="single" w:sz="4" w:space="0" w:color="auto"/>
              <w:bottom w:val="single" w:sz="4" w:space="0" w:color="auto"/>
              <w:right w:val="single" w:sz="4" w:space="0" w:color="auto"/>
            </w:tcBorders>
            <w:vAlign w:val="center"/>
            <w:hideMark/>
          </w:tcPr>
          <w:p w14:paraId="08E278C9" w14:textId="77777777" w:rsidR="00720885" w:rsidRPr="00123376" w:rsidRDefault="00720885">
            <w:pPr>
              <w:rPr>
                <w:rFonts w:ascii="Arial" w:hAnsi="Arial" w:cs="Arial"/>
                <w:sz w:val="16"/>
                <w:szCs w:val="16"/>
              </w:rPr>
            </w:pPr>
          </w:p>
        </w:tc>
        <w:tc>
          <w:tcPr>
            <w:tcW w:w="885" w:type="pct"/>
            <w:tcBorders>
              <w:top w:val="single" w:sz="4" w:space="0" w:color="auto"/>
              <w:left w:val="single" w:sz="4" w:space="0" w:color="auto"/>
              <w:bottom w:val="single" w:sz="4" w:space="0" w:color="auto"/>
              <w:right w:val="single" w:sz="4" w:space="0" w:color="auto"/>
            </w:tcBorders>
            <w:vAlign w:val="center"/>
            <w:hideMark/>
          </w:tcPr>
          <w:p w14:paraId="734076EE" w14:textId="77777777" w:rsidR="00720885" w:rsidRPr="00123376" w:rsidRDefault="00720885" w:rsidP="00250946">
            <w:pPr>
              <w:jc w:val="center"/>
              <w:rPr>
                <w:rFonts w:ascii="Arial" w:hAnsi="Arial" w:cs="Arial"/>
                <w:b/>
                <w:bCs/>
                <w:sz w:val="16"/>
                <w:szCs w:val="16"/>
              </w:rPr>
            </w:pPr>
            <w:r w:rsidRPr="00123376">
              <w:rPr>
                <w:rFonts w:ascii="Arial" w:hAnsi="Arial" w:cs="Arial"/>
                <w:b/>
                <w:bCs/>
                <w:sz w:val="16"/>
                <w:szCs w:val="16"/>
              </w:rPr>
              <w:t>2015</w:t>
            </w:r>
          </w:p>
        </w:tc>
        <w:tc>
          <w:tcPr>
            <w:tcW w:w="913" w:type="pct"/>
            <w:tcBorders>
              <w:top w:val="single" w:sz="4" w:space="0" w:color="auto"/>
              <w:left w:val="single" w:sz="4" w:space="0" w:color="auto"/>
              <w:bottom w:val="single" w:sz="4" w:space="0" w:color="auto"/>
              <w:right w:val="single" w:sz="4" w:space="0" w:color="auto"/>
            </w:tcBorders>
            <w:vAlign w:val="center"/>
            <w:hideMark/>
          </w:tcPr>
          <w:p w14:paraId="0B1F8658" w14:textId="77777777" w:rsidR="00720885" w:rsidRPr="00123376" w:rsidRDefault="00720885" w:rsidP="00250946">
            <w:pPr>
              <w:jc w:val="center"/>
              <w:rPr>
                <w:rFonts w:ascii="Arial" w:hAnsi="Arial" w:cs="Arial"/>
                <w:bCs/>
                <w:sz w:val="16"/>
                <w:szCs w:val="16"/>
              </w:rPr>
            </w:pPr>
            <w:r w:rsidRPr="00123376">
              <w:rPr>
                <w:rFonts w:ascii="Arial" w:hAnsi="Arial" w:cs="Arial"/>
                <w:bCs/>
                <w:sz w:val="16"/>
                <w:szCs w:val="16"/>
              </w:rPr>
              <w:t>4,0</w:t>
            </w:r>
          </w:p>
        </w:tc>
        <w:tc>
          <w:tcPr>
            <w:tcW w:w="780" w:type="pct"/>
            <w:vMerge/>
            <w:tcBorders>
              <w:top w:val="single" w:sz="4" w:space="0" w:color="auto"/>
              <w:left w:val="single" w:sz="4" w:space="0" w:color="auto"/>
              <w:bottom w:val="single" w:sz="4" w:space="0" w:color="auto"/>
              <w:right w:val="single" w:sz="4" w:space="0" w:color="auto"/>
            </w:tcBorders>
            <w:vAlign w:val="center"/>
            <w:hideMark/>
          </w:tcPr>
          <w:p w14:paraId="53719770" w14:textId="77777777" w:rsidR="00720885" w:rsidRPr="00781EDD" w:rsidRDefault="00720885" w:rsidP="00250946">
            <w:pPr>
              <w:jc w:val="center"/>
              <w:rPr>
                <w:rFonts w:ascii="Arial" w:hAnsi="Arial" w:cs="Arial"/>
                <w:bCs/>
                <w:sz w:val="16"/>
                <w:szCs w:val="16"/>
              </w:rPr>
            </w:pPr>
          </w:p>
        </w:tc>
      </w:tr>
      <w:tr w:rsidR="00720885" w:rsidRPr="00E21C60" w14:paraId="1C4FBDA6" w14:textId="77777777" w:rsidTr="00250946">
        <w:trPr>
          <w:trHeight w:val="20"/>
        </w:trPr>
        <w:tc>
          <w:tcPr>
            <w:tcW w:w="1797" w:type="pct"/>
            <w:vMerge w:val="restart"/>
            <w:tcBorders>
              <w:top w:val="single" w:sz="4" w:space="0" w:color="auto"/>
              <w:left w:val="single" w:sz="4" w:space="0" w:color="auto"/>
              <w:bottom w:val="single" w:sz="4" w:space="0" w:color="auto"/>
              <w:right w:val="single" w:sz="4" w:space="0" w:color="auto"/>
            </w:tcBorders>
            <w:shd w:val="clear" w:color="auto" w:fill="EAF1DD"/>
            <w:vAlign w:val="center"/>
            <w:hideMark/>
          </w:tcPr>
          <w:p w14:paraId="667000A2" w14:textId="77777777" w:rsidR="00720885" w:rsidRPr="00123376" w:rsidRDefault="00720885" w:rsidP="008226B1">
            <w:pPr>
              <w:rPr>
                <w:rFonts w:ascii="Arial" w:hAnsi="Arial" w:cs="Arial"/>
                <w:sz w:val="16"/>
                <w:szCs w:val="16"/>
              </w:rPr>
            </w:pPr>
            <w:r w:rsidRPr="00123376">
              <w:rPr>
                <w:rFonts w:ascii="Arial" w:hAnsi="Arial" w:cs="Arial"/>
                <w:sz w:val="16"/>
                <w:szCs w:val="16"/>
              </w:rPr>
              <w:t>Miera zhodnocovania odpadov</w:t>
            </w:r>
          </w:p>
        </w:tc>
        <w:tc>
          <w:tcPr>
            <w:tcW w:w="624" w:type="pct"/>
            <w:vMerge w:val="restart"/>
            <w:tcBorders>
              <w:top w:val="single" w:sz="4" w:space="0" w:color="auto"/>
              <w:left w:val="single" w:sz="4" w:space="0" w:color="auto"/>
              <w:bottom w:val="single" w:sz="4" w:space="0" w:color="auto"/>
              <w:right w:val="single" w:sz="4" w:space="0" w:color="auto"/>
            </w:tcBorders>
            <w:vAlign w:val="center"/>
            <w:hideMark/>
          </w:tcPr>
          <w:p w14:paraId="71D5330C" w14:textId="77777777" w:rsidR="00720885" w:rsidRPr="00123376" w:rsidRDefault="00720885">
            <w:pPr>
              <w:jc w:val="center"/>
              <w:rPr>
                <w:rFonts w:ascii="Arial" w:hAnsi="Arial" w:cs="Arial"/>
                <w:sz w:val="16"/>
                <w:szCs w:val="16"/>
              </w:rPr>
            </w:pPr>
            <w:r w:rsidRPr="00123376">
              <w:rPr>
                <w:rFonts w:ascii="Arial" w:hAnsi="Arial" w:cs="Arial"/>
                <w:sz w:val="16"/>
                <w:szCs w:val="16"/>
              </w:rPr>
              <w:t>%</w:t>
            </w:r>
          </w:p>
        </w:tc>
        <w:tc>
          <w:tcPr>
            <w:tcW w:w="885" w:type="pct"/>
            <w:tcBorders>
              <w:top w:val="single" w:sz="4" w:space="0" w:color="auto"/>
              <w:left w:val="single" w:sz="4" w:space="0" w:color="auto"/>
              <w:bottom w:val="single" w:sz="4" w:space="0" w:color="auto"/>
              <w:right w:val="single" w:sz="4" w:space="0" w:color="auto"/>
            </w:tcBorders>
            <w:vAlign w:val="center"/>
            <w:hideMark/>
          </w:tcPr>
          <w:p w14:paraId="1B14384A" w14:textId="77777777" w:rsidR="00720885" w:rsidRPr="00123376" w:rsidRDefault="00720885" w:rsidP="00250946">
            <w:pPr>
              <w:jc w:val="center"/>
              <w:rPr>
                <w:rFonts w:ascii="Arial" w:hAnsi="Arial" w:cs="Arial"/>
                <w:bCs/>
                <w:sz w:val="16"/>
                <w:szCs w:val="16"/>
              </w:rPr>
            </w:pPr>
            <w:r w:rsidRPr="00123376">
              <w:rPr>
                <w:rFonts w:ascii="Arial" w:hAnsi="Arial" w:cs="Arial"/>
                <w:bCs/>
                <w:sz w:val="16"/>
                <w:szCs w:val="16"/>
              </w:rPr>
              <w:t>2004</w:t>
            </w:r>
          </w:p>
        </w:tc>
        <w:tc>
          <w:tcPr>
            <w:tcW w:w="913" w:type="pct"/>
            <w:tcBorders>
              <w:top w:val="single" w:sz="4" w:space="0" w:color="auto"/>
              <w:left w:val="single" w:sz="4" w:space="0" w:color="auto"/>
              <w:bottom w:val="single" w:sz="4" w:space="0" w:color="auto"/>
              <w:right w:val="single" w:sz="4" w:space="0" w:color="auto"/>
            </w:tcBorders>
            <w:vAlign w:val="center"/>
            <w:hideMark/>
          </w:tcPr>
          <w:p w14:paraId="71C03C22" w14:textId="77777777" w:rsidR="00720885" w:rsidRPr="00123376" w:rsidRDefault="00720885" w:rsidP="00250946">
            <w:pPr>
              <w:jc w:val="center"/>
              <w:rPr>
                <w:rFonts w:ascii="Arial" w:hAnsi="Arial" w:cs="Arial"/>
                <w:bCs/>
                <w:sz w:val="16"/>
                <w:szCs w:val="16"/>
              </w:rPr>
            </w:pPr>
            <w:r w:rsidRPr="00123376">
              <w:rPr>
                <w:rFonts w:ascii="Arial" w:hAnsi="Arial" w:cs="Arial"/>
                <w:bCs/>
                <w:sz w:val="16"/>
                <w:szCs w:val="16"/>
              </w:rPr>
              <w:t>44</w:t>
            </w:r>
          </w:p>
        </w:tc>
        <w:tc>
          <w:tcPr>
            <w:tcW w:w="780" w:type="pct"/>
            <w:vMerge w:val="restart"/>
            <w:tcBorders>
              <w:top w:val="single" w:sz="4" w:space="0" w:color="auto"/>
              <w:left w:val="single" w:sz="4" w:space="0" w:color="auto"/>
              <w:bottom w:val="single" w:sz="4" w:space="0" w:color="auto"/>
              <w:right w:val="single" w:sz="4" w:space="0" w:color="auto"/>
            </w:tcBorders>
            <w:vAlign w:val="center"/>
            <w:hideMark/>
          </w:tcPr>
          <w:p w14:paraId="76CFC89A" w14:textId="591E4E7D" w:rsidR="00720885" w:rsidRPr="00781EDD" w:rsidRDefault="00720885" w:rsidP="00250946">
            <w:pPr>
              <w:jc w:val="center"/>
              <w:rPr>
                <w:rFonts w:ascii="Arial" w:hAnsi="Arial" w:cs="Arial"/>
                <w:bCs/>
                <w:sz w:val="16"/>
                <w:szCs w:val="16"/>
                <w:vertAlign w:val="superscript"/>
              </w:rPr>
            </w:pPr>
            <w:r w:rsidRPr="00781EDD">
              <w:rPr>
                <w:rFonts w:ascii="Arial" w:hAnsi="Arial" w:cs="Arial"/>
                <w:bCs/>
                <w:sz w:val="16"/>
                <w:szCs w:val="16"/>
              </w:rPr>
              <w:t>43</w:t>
            </w:r>
          </w:p>
        </w:tc>
      </w:tr>
      <w:tr w:rsidR="001326E2" w:rsidRPr="00E21C60" w14:paraId="263E8DF5" w14:textId="77777777" w:rsidTr="00250946">
        <w:trPr>
          <w:trHeight w:val="20"/>
        </w:trPr>
        <w:tc>
          <w:tcPr>
            <w:tcW w:w="1797" w:type="pct"/>
            <w:vMerge/>
            <w:tcBorders>
              <w:top w:val="single" w:sz="4" w:space="0" w:color="auto"/>
              <w:left w:val="single" w:sz="4" w:space="0" w:color="auto"/>
              <w:bottom w:val="single" w:sz="4" w:space="0" w:color="auto"/>
              <w:right w:val="single" w:sz="4" w:space="0" w:color="auto"/>
            </w:tcBorders>
            <w:vAlign w:val="center"/>
            <w:hideMark/>
          </w:tcPr>
          <w:p w14:paraId="3A2B4CF7" w14:textId="77777777" w:rsidR="00D40F69" w:rsidRPr="00123376" w:rsidRDefault="00D40F69">
            <w:pPr>
              <w:rPr>
                <w:rFonts w:ascii="Arial" w:hAnsi="Arial" w:cs="Arial"/>
                <w:sz w:val="16"/>
                <w:szCs w:val="16"/>
              </w:rPr>
            </w:pPr>
          </w:p>
        </w:tc>
        <w:tc>
          <w:tcPr>
            <w:tcW w:w="624" w:type="pct"/>
            <w:vMerge/>
            <w:tcBorders>
              <w:top w:val="single" w:sz="4" w:space="0" w:color="auto"/>
              <w:left w:val="single" w:sz="4" w:space="0" w:color="auto"/>
              <w:bottom w:val="single" w:sz="4" w:space="0" w:color="auto"/>
              <w:right w:val="single" w:sz="4" w:space="0" w:color="auto"/>
            </w:tcBorders>
            <w:vAlign w:val="center"/>
            <w:hideMark/>
          </w:tcPr>
          <w:p w14:paraId="2A347A65" w14:textId="77777777" w:rsidR="00D40F69" w:rsidRPr="00123376" w:rsidRDefault="00D40F69">
            <w:pPr>
              <w:rPr>
                <w:rFonts w:ascii="Arial" w:hAnsi="Arial" w:cs="Arial"/>
                <w:sz w:val="16"/>
                <w:szCs w:val="16"/>
              </w:rPr>
            </w:pPr>
          </w:p>
        </w:tc>
        <w:tc>
          <w:tcPr>
            <w:tcW w:w="885" w:type="pct"/>
            <w:tcBorders>
              <w:top w:val="single" w:sz="4" w:space="0" w:color="auto"/>
              <w:left w:val="single" w:sz="4" w:space="0" w:color="auto"/>
              <w:bottom w:val="single" w:sz="4" w:space="0" w:color="auto"/>
              <w:right w:val="single" w:sz="4" w:space="0" w:color="auto"/>
            </w:tcBorders>
            <w:vAlign w:val="center"/>
            <w:hideMark/>
          </w:tcPr>
          <w:p w14:paraId="3A48464A" w14:textId="77777777" w:rsidR="00D40F69" w:rsidRPr="00123376" w:rsidRDefault="00D40F69" w:rsidP="00250946">
            <w:pPr>
              <w:jc w:val="center"/>
              <w:rPr>
                <w:rFonts w:ascii="Arial" w:hAnsi="Arial" w:cs="Arial"/>
                <w:b/>
                <w:bCs/>
                <w:sz w:val="16"/>
                <w:szCs w:val="16"/>
              </w:rPr>
            </w:pPr>
            <w:r w:rsidRPr="00123376">
              <w:rPr>
                <w:rFonts w:ascii="Arial" w:hAnsi="Arial" w:cs="Arial"/>
                <w:b/>
                <w:bCs/>
                <w:sz w:val="16"/>
                <w:szCs w:val="16"/>
              </w:rPr>
              <w:t>2015</w:t>
            </w:r>
          </w:p>
        </w:tc>
        <w:tc>
          <w:tcPr>
            <w:tcW w:w="913" w:type="pct"/>
            <w:tcBorders>
              <w:top w:val="single" w:sz="4" w:space="0" w:color="auto"/>
              <w:left w:val="single" w:sz="4" w:space="0" w:color="auto"/>
              <w:bottom w:val="single" w:sz="4" w:space="0" w:color="auto"/>
              <w:right w:val="single" w:sz="4" w:space="0" w:color="auto"/>
            </w:tcBorders>
            <w:vAlign w:val="center"/>
            <w:hideMark/>
          </w:tcPr>
          <w:p w14:paraId="01BD574F" w14:textId="77777777" w:rsidR="00D40F69" w:rsidRPr="00123376" w:rsidRDefault="00D40F69" w:rsidP="00250946">
            <w:pPr>
              <w:jc w:val="center"/>
              <w:rPr>
                <w:rFonts w:ascii="Arial" w:hAnsi="Arial" w:cs="Arial"/>
                <w:bCs/>
                <w:sz w:val="16"/>
                <w:szCs w:val="16"/>
              </w:rPr>
            </w:pPr>
            <w:r w:rsidRPr="00123376">
              <w:rPr>
                <w:rFonts w:ascii="Arial" w:hAnsi="Arial" w:cs="Arial"/>
                <w:bCs/>
                <w:sz w:val="16"/>
                <w:szCs w:val="16"/>
              </w:rPr>
              <w:t>60</w:t>
            </w:r>
          </w:p>
        </w:tc>
        <w:tc>
          <w:tcPr>
            <w:tcW w:w="780" w:type="pct"/>
            <w:vMerge/>
            <w:tcBorders>
              <w:top w:val="single" w:sz="4" w:space="0" w:color="auto"/>
              <w:left w:val="single" w:sz="4" w:space="0" w:color="auto"/>
              <w:bottom w:val="single" w:sz="4" w:space="0" w:color="auto"/>
              <w:right w:val="single" w:sz="4" w:space="0" w:color="auto"/>
            </w:tcBorders>
            <w:vAlign w:val="center"/>
            <w:hideMark/>
          </w:tcPr>
          <w:p w14:paraId="57CB1DAE" w14:textId="77777777" w:rsidR="00D40F69" w:rsidRPr="002656B2" w:rsidRDefault="00D40F69" w:rsidP="00250946">
            <w:pPr>
              <w:jc w:val="center"/>
              <w:rPr>
                <w:rFonts w:ascii="Arial" w:hAnsi="Arial" w:cs="Arial"/>
                <w:bCs/>
                <w:sz w:val="16"/>
                <w:szCs w:val="16"/>
                <w:highlight w:val="yellow"/>
                <w:vertAlign w:val="superscript"/>
              </w:rPr>
            </w:pPr>
          </w:p>
        </w:tc>
      </w:tr>
      <w:tr w:rsidR="001326E2" w:rsidRPr="00E21C60" w14:paraId="0A15CD11" w14:textId="77777777" w:rsidTr="00250946">
        <w:trPr>
          <w:trHeight w:val="20"/>
        </w:trPr>
        <w:tc>
          <w:tcPr>
            <w:tcW w:w="1797" w:type="pct"/>
            <w:vMerge w:val="restart"/>
            <w:tcBorders>
              <w:top w:val="single" w:sz="4" w:space="0" w:color="auto"/>
              <w:left w:val="single" w:sz="4" w:space="0" w:color="auto"/>
              <w:bottom w:val="single" w:sz="4" w:space="0" w:color="auto"/>
              <w:right w:val="single" w:sz="4" w:space="0" w:color="auto"/>
            </w:tcBorders>
            <w:shd w:val="clear" w:color="auto" w:fill="EAF1DD"/>
            <w:vAlign w:val="center"/>
            <w:hideMark/>
          </w:tcPr>
          <w:p w14:paraId="48D8B024" w14:textId="77777777" w:rsidR="00D40F69" w:rsidRPr="00123376" w:rsidRDefault="00D40F69" w:rsidP="008226B1">
            <w:pPr>
              <w:rPr>
                <w:rFonts w:ascii="Arial" w:hAnsi="Arial" w:cs="Arial"/>
                <w:sz w:val="16"/>
                <w:szCs w:val="16"/>
              </w:rPr>
            </w:pPr>
            <w:r w:rsidRPr="00123376">
              <w:rPr>
                <w:rFonts w:ascii="Arial" w:hAnsi="Arial" w:cs="Arial"/>
                <w:sz w:val="16"/>
                <w:szCs w:val="16"/>
              </w:rPr>
              <w:t>Počet obyvateľov napojených na verejnú kanalizáciu</w:t>
            </w:r>
          </w:p>
        </w:tc>
        <w:tc>
          <w:tcPr>
            <w:tcW w:w="624" w:type="pct"/>
            <w:vMerge w:val="restart"/>
            <w:tcBorders>
              <w:top w:val="single" w:sz="4" w:space="0" w:color="auto"/>
              <w:left w:val="single" w:sz="4" w:space="0" w:color="auto"/>
              <w:bottom w:val="single" w:sz="4" w:space="0" w:color="auto"/>
              <w:right w:val="single" w:sz="4" w:space="0" w:color="auto"/>
            </w:tcBorders>
            <w:vAlign w:val="center"/>
            <w:hideMark/>
          </w:tcPr>
          <w:p w14:paraId="3BEA4180" w14:textId="77777777" w:rsidR="00D40F69" w:rsidRPr="00123376" w:rsidRDefault="00D40F69">
            <w:pPr>
              <w:jc w:val="center"/>
              <w:rPr>
                <w:rFonts w:ascii="Arial" w:hAnsi="Arial" w:cs="Arial"/>
                <w:sz w:val="16"/>
                <w:szCs w:val="16"/>
              </w:rPr>
            </w:pPr>
            <w:r w:rsidRPr="00123376">
              <w:rPr>
                <w:rFonts w:ascii="Arial" w:hAnsi="Arial" w:cs="Arial"/>
                <w:sz w:val="16"/>
                <w:szCs w:val="16"/>
              </w:rPr>
              <w:t>počet v tis.</w:t>
            </w:r>
          </w:p>
        </w:tc>
        <w:tc>
          <w:tcPr>
            <w:tcW w:w="885" w:type="pct"/>
            <w:tcBorders>
              <w:top w:val="single" w:sz="4" w:space="0" w:color="auto"/>
              <w:left w:val="single" w:sz="4" w:space="0" w:color="auto"/>
              <w:bottom w:val="single" w:sz="4" w:space="0" w:color="auto"/>
              <w:right w:val="single" w:sz="4" w:space="0" w:color="auto"/>
            </w:tcBorders>
            <w:vAlign w:val="center"/>
            <w:hideMark/>
          </w:tcPr>
          <w:p w14:paraId="24DF9EF9" w14:textId="77777777" w:rsidR="00D40F69" w:rsidRPr="00123376" w:rsidRDefault="00D40F69" w:rsidP="00250946">
            <w:pPr>
              <w:jc w:val="center"/>
              <w:rPr>
                <w:rFonts w:ascii="Arial" w:hAnsi="Arial" w:cs="Arial"/>
                <w:bCs/>
                <w:sz w:val="16"/>
                <w:szCs w:val="16"/>
              </w:rPr>
            </w:pPr>
            <w:r w:rsidRPr="00123376">
              <w:rPr>
                <w:rFonts w:ascii="Arial" w:hAnsi="Arial" w:cs="Arial"/>
                <w:bCs/>
                <w:sz w:val="16"/>
                <w:szCs w:val="16"/>
              </w:rPr>
              <w:t>2004</w:t>
            </w:r>
          </w:p>
        </w:tc>
        <w:tc>
          <w:tcPr>
            <w:tcW w:w="913" w:type="pct"/>
            <w:tcBorders>
              <w:top w:val="single" w:sz="4" w:space="0" w:color="auto"/>
              <w:left w:val="single" w:sz="4" w:space="0" w:color="auto"/>
              <w:bottom w:val="single" w:sz="4" w:space="0" w:color="auto"/>
              <w:right w:val="single" w:sz="4" w:space="0" w:color="auto"/>
            </w:tcBorders>
            <w:vAlign w:val="center"/>
            <w:hideMark/>
          </w:tcPr>
          <w:p w14:paraId="31E27745" w14:textId="77777777" w:rsidR="00D40F69" w:rsidRPr="00123376" w:rsidRDefault="00D40F69" w:rsidP="00250946">
            <w:pPr>
              <w:jc w:val="center"/>
              <w:rPr>
                <w:rFonts w:ascii="Arial" w:hAnsi="Arial" w:cs="Arial"/>
                <w:sz w:val="16"/>
                <w:szCs w:val="16"/>
              </w:rPr>
            </w:pPr>
            <w:r w:rsidRPr="00123376">
              <w:rPr>
                <w:rFonts w:ascii="Arial" w:hAnsi="Arial" w:cs="Arial"/>
                <w:sz w:val="16"/>
                <w:szCs w:val="16"/>
              </w:rPr>
              <w:t>3 009</w:t>
            </w:r>
          </w:p>
        </w:tc>
        <w:tc>
          <w:tcPr>
            <w:tcW w:w="780" w:type="pct"/>
            <w:vMerge w:val="restart"/>
            <w:tcBorders>
              <w:top w:val="single" w:sz="4" w:space="0" w:color="auto"/>
              <w:left w:val="single" w:sz="4" w:space="0" w:color="auto"/>
              <w:bottom w:val="single" w:sz="4" w:space="0" w:color="auto"/>
              <w:right w:val="single" w:sz="4" w:space="0" w:color="auto"/>
            </w:tcBorders>
            <w:vAlign w:val="center"/>
            <w:hideMark/>
          </w:tcPr>
          <w:p w14:paraId="5806707A" w14:textId="718DE6F6" w:rsidR="00D40F69" w:rsidRPr="00912C87" w:rsidRDefault="00F933CB" w:rsidP="00250946">
            <w:pPr>
              <w:jc w:val="center"/>
              <w:rPr>
                <w:rFonts w:ascii="Arial" w:hAnsi="Arial" w:cs="Arial"/>
                <w:sz w:val="16"/>
                <w:szCs w:val="16"/>
                <w:highlight w:val="yellow"/>
              </w:rPr>
            </w:pPr>
            <w:r w:rsidRPr="003A4AF2">
              <w:rPr>
                <w:rFonts w:ascii="Arial" w:hAnsi="Arial" w:cs="Arial"/>
                <w:sz w:val="16"/>
                <w:szCs w:val="16"/>
              </w:rPr>
              <w:t xml:space="preserve">3 </w:t>
            </w:r>
            <w:r w:rsidR="00450B03" w:rsidRPr="003A4AF2">
              <w:rPr>
                <w:rFonts w:ascii="Arial" w:hAnsi="Arial" w:cs="Arial"/>
                <w:sz w:val="16"/>
                <w:szCs w:val="16"/>
              </w:rPr>
              <w:t>506</w:t>
            </w:r>
          </w:p>
        </w:tc>
      </w:tr>
      <w:tr w:rsidR="001326E2" w:rsidRPr="00E21C60" w14:paraId="2BB9C1E6" w14:textId="77777777" w:rsidTr="00250946">
        <w:trPr>
          <w:trHeight w:val="20"/>
        </w:trPr>
        <w:tc>
          <w:tcPr>
            <w:tcW w:w="1797" w:type="pct"/>
            <w:vMerge/>
            <w:tcBorders>
              <w:top w:val="single" w:sz="4" w:space="0" w:color="auto"/>
              <w:left w:val="single" w:sz="4" w:space="0" w:color="auto"/>
              <w:bottom w:val="single" w:sz="4" w:space="0" w:color="auto"/>
              <w:right w:val="single" w:sz="4" w:space="0" w:color="auto"/>
            </w:tcBorders>
            <w:vAlign w:val="center"/>
            <w:hideMark/>
          </w:tcPr>
          <w:p w14:paraId="0168C95D" w14:textId="77777777" w:rsidR="00D40F69" w:rsidRPr="00123376" w:rsidRDefault="00D40F69">
            <w:pPr>
              <w:rPr>
                <w:rFonts w:ascii="Arial" w:hAnsi="Arial" w:cs="Arial"/>
                <w:sz w:val="16"/>
                <w:szCs w:val="16"/>
              </w:rPr>
            </w:pPr>
          </w:p>
        </w:tc>
        <w:tc>
          <w:tcPr>
            <w:tcW w:w="624" w:type="pct"/>
            <w:vMerge/>
            <w:tcBorders>
              <w:top w:val="single" w:sz="4" w:space="0" w:color="auto"/>
              <w:left w:val="single" w:sz="4" w:space="0" w:color="auto"/>
              <w:bottom w:val="single" w:sz="4" w:space="0" w:color="auto"/>
              <w:right w:val="single" w:sz="4" w:space="0" w:color="auto"/>
            </w:tcBorders>
            <w:vAlign w:val="center"/>
            <w:hideMark/>
          </w:tcPr>
          <w:p w14:paraId="2C01B380" w14:textId="77777777" w:rsidR="00D40F69" w:rsidRPr="00123376" w:rsidRDefault="00D40F69">
            <w:pPr>
              <w:rPr>
                <w:rFonts w:ascii="Arial" w:hAnsi="Arial" w:cs="Arial"/>
                <w:sz w:val="16"/>
                <w:szCs w:val="16"/>
              </w:rPr>
            </w:pPr>
          </w:p>
        </w:tc>
        <w:tc>
          <w:tcPr>
            <w:tcW w:w="885" w:type="pct"/>
            <w:tcBorders>
              <w:top w:val="single" w:sz="4" w:space="0" w:color="auto"/>
              <w:left w:val="single" w:sz="4" w:space="0" w:color="auto"/>
              <w:bottom w:val="single" w:sz="4" w:space="0" w:color="auto"/>
              <w:right w:val="single" w:sz="4" w:space="0" w:color="auto"/>
            </w:tcBorders>
            <w:vAlign w:val="center"/>
            <w:hideMark/>
          </w:tcPr>
          <w:p w14:paraId="5850109D" w14:textId="77777777" w:rsidR="00D40F69" w:rsidRPr="00123376" w:rsidRDefault="00D40F69" w:rsidP="00250946">
            <w:pPr>
              <w:jc w:val="center"/>
              <w:rPr>
                <w:rFonts w:ascii="Arial" w:hAnsi="Arial" w:cs="Arial"/>
                <w:b/>
                <w:bCs/>
                <w:sz w:val="16"/>
                <w:szCs w:val="16"/>
              </w:rPr>
            </w:pPr>
            <w:r w:rsidRPr="00123376">
              <w:rPr>
                <w:rFonts w:ascii="Arial" w:hAnsi="Arial" w:cs="Arial"/>
                <w:b/>
                <w:bCs/>
                <w:sz w:val="16"/>
                <w:szCs w:val="16"/>
              </w:rPr>
              <w:t>2015</w:t>
            </w:r>
          </w:p>
        </w:tc>
        <w:tc>
          <w:tcPr>
            <w:tcW w:w="913" w:type="pct"/>
            <w:tcBorders>
              <w:top w:val="single" w:sz="4" w:space="0" w:color="auto"/>
              <w:left w:val="single" w:sz="4" w:space="0" w:color="auto"/>
              <w:bottom w:val="single" w:sz="4" w:space="0" w:color="auto"/>
              <w:right w:val="single" w:sz="4" w:space="0" w:color="auto"/>
            </w:tcBorders>
            <w:vAlign w:val="center"/>
            <w:hideMark/>
          </w:tcPr>
          <w:p w14:paraId="129A3795" w14:textId="77777777" w:rsidR="00D40F69" w:rsidRPr="00123376" w:rsidRDefault="00D40F69" w:rsidP="00250946">
            <w:pPr>
              <w:jc w:val="center"/>
              <w:rPr>
                <w:rFonts w:ascii="Arial" w:hAnsi="Arial" w:cs="Arial"/>
                <w:sz w:val="16"/>
                <w:szCs w:val="16"/>
              </w:rPr>
            </w:pPr>
            <w:r w:rsidRPr="00123376">
              <w:rPr>
                <w:rFonts w:ascii="Arial" w:hAnsi="Arial" w:cs="Arial"/>
                <w:sz w:val="16"/>
                <w:szCs w:val="16"/>
              </w:rPr>
              <w:t>4 400</w:t>
            </w:r>
          </w:p>
        </w:tc>
        <w:tc>
          <w:tcPr>
            <w:tcW w:w="780" w:type="pct"/>
            <w:vMerge/>
            <w:tcBorders>
              <w:top w:val="single" w:sz="4" w:space="0" w:color="auto"/>
              <w:left w:val="single" w:sz="4" w:space="0" w:color="auto"/>
              <w:bottom w:val="single" w:sz="4" w:space="0" w:color="auto"/>
              <w:right w:val="single" w:sz="4" w:space="0" w:color="auto"/>
            </w:tcBorders>
            <w:vAlign w:val="center"/>
            <w:hideMark/>
          </w:tcPr>
          <w:p w14:paraId="41531783" w14:textId="77777777" w:rsidR="00D40F69" w:rsidRPr="00912C87" w:rsidRDefault="00D40F69" w:rsidP="00250946">
            <w:pPr>
              <w:jc w:val="center"/>
              <w:rPr>
                <w:rFonts w:ascii="Arial" w:hAnsi="Arial" w:cs="Arial"/>
                <w:sz w:val="16"/>
                <w:szCs w:val="16"/>
                <w:highlight w:val="yellow"/>
              </w:rPr>
            </w:pPr>
          </w:p>
        </w:tc>
      </w:tr>
      <w:tr w:rsidR="001326E2" w:rsidRPr="00E21C60" w14:paraId="1EAF8273" w14:textId="77777777" w:rsidTr="00250946">
        <w:trPr>
          <w:trHeight w:val="20"/>
        </w:trPr>
        <w:tc>
          <w:tcPr>
            <w:tcW w:w="1797" w:type="pct"/>
            <w:vMerge w:val="restart"/>
            <w:tcBorders>
              <w:top w:val="single" w:sz="4" w:space="0" w:color="auto"/>
              <w:left w:val="single" w:sz="4" w:space="0" w:color="auto"/>
              <w:bottom w:val="single" w:sz="4" w:space="0" w:color="auto"/>
              <w:right w:val="single" w:sz="4" w:space="0" w:color="auto"/>
            </w:tcBorders>
            <w:shd w:val="clear" w:color="auto" w:fill="EAF1DD"/>
            <w:vAlign w:val="center"/>
            <w:hideMark/>
          </w:tcPr>
          <w:p w14:paraId="10506F12" w14:textId="77777777" w:rsidR="00D40F69" w:rsidRPr="00123376" w:rsidRDefault="00D40F69" w:rsidP="008226B1">
            <w:pPr>
              <w:rPr>
                <w:rFonts w:ascii="Arial" w:hAnsi="Arial" w:cs="Arial"/>
                <w:sz w:val="16"/>
                <w:szCs w:val="16"/>
              </w:rPr>
            </w:pPr>
            <w:r w:rsidRPr="00123376">
              <w:rPr>
                <w:rFonts w:ascii="Arial" w:hAnsi="Arial" w:cs="Arial"/>
                <w:sz w:val="16"/>
                <w:szCs w:val="16"/>
              </w:rPr>
              <w:t>Percento obyvateľov napojených na ČOV</w:t>
            </w:r>
          </w:p>
        </w:tc>
        <w:tc>
          <w:tcPr>
            <w:tcW w:w="624" w:type="pct"/>
            <w:vMerge w:val="restart"/>
            <w:tcBorders>
              <w:top w:val="single" w:sz="4" w:space="0" w:color="auto"/>
              <w:left w:val="single" w:sz="4" w:space="0" w:color="auto"/>
              <w:bottom w:val="single" w:sz="4" w:space="0" w:color="auto"/>
              <w:right w:val="single" w:sz="4" w:space="0" w:color="auto"/>
            </w:tcBorders>
            <w:vAlign w:val="center"/>
            <w:hideMark/>
          </w:tcPr>
          <w:p w14:paraId="78C1C932" w14:textId="77777777" w:rsidR="00D40F69" w:rsidRPr="00123376" w:rsidRDefault="00D40F69">
            <w:pPr>
              <w:jc w:val="center"/>
              <w:rPr>
                <w:rFonts w:ascii="Arial" w:hAnsi="Arial" w:cs="Arial"/>
                <w:sz w:val="16"/>
                <w:szCs w:val="16"/>
              </w:rPr>
            </w:pPr>
            <w:r w:rsidRPr="00123376">
              <w:rPr>
                <w:rFonts w:ascii="Arial" w:hAnsi="Arial" w:cs="Arial"/>
                <w:sz w:val="16"/>
                <w:szCs w:val="16"/>
              </w:rPr>
              <w:t>%</w:t>
            </w:r>
          </w:p>
        </w:tc>
        <w:tc>
          <w:tcPr>
            <w:tcW w:w="885" w:type="pct"/>
            <w:tcBorders>
              <w:top w:val="single" w:sz="4" w:space="0" w:color="auto"/>
              <w:left w:val="single" w:sz="4" w:space="0" w:color="auto"/>
              <w:bottom w:val="single" w:sz="4" w:space="0" w:color="auto"/>
              <w:right w:val="single" w:sz="4" w:space="0" w:color="auto"/>
            </w:tcBorders>
            <w:vAlign w:val="center"/>
            <w:hideMark/>
          </w:tcPr>
          <w:p w14:paraId="3D508431" w14:textId="77777777" w:rsidR="00D40F69" w:rsidRPr="00123376" w:rsidRDefault="00D40F69" w:rsidP="00250946">
            <w:pPr>
              <w:jc w:val="center"/>
              <w:rPr>
                <w:rFonts w:ascii="Arial" w:hAnsi="Arial" w:cs="Arial"/>
                <w:bCs/>
                <w:sz w:val="16"/>
                <w:szCs w:val="16"/>
              </w:rPr>
            </w:pPr>
            <w:r w:rsidRPr="00123376">
              <w:rPr>
                <w:rFonts w:ascii="Arial" w:hAnsi="Arial" w:cs="Arial"/>
                <w:bCs/>
                <w:sz w:val="16"/>
                <w:szCs w:val="16"/>
              </w:rPr>
              <w:t>2004</w:t>
            </w:r>
          </w:p>
        </w:tc>
        <w:tc>
          <w:tcPr>
            <w:tcW w:w="913" w:type="pct"/>
            <w:tcBorders>
              <w:top w:val="single" w:sz="4" w:space="0" w:color="auto"/>
              <w:left w:val="single" w:sz="4" w:space="0" w:color="auto"/>
              <w:bottom w:val="single" w:sz="4" w:space="0" w:color="auto"/>
              <w:right w:val="single" w:sz="4" w:space="0" w:color="auto"/>
            </w:tcBorders>
            <w:vAlign w:val="center"/>
            <w:hideMark/>
          </w:tcPr>
          <w:p w14:paraId="54EC1D8C" w14:textId="77777777" w:rsidR="00D40F69" w:rsidRPr="00123376" w:rsidRDefault="00D40F69" w:rsidP="00250946">
            <w:pPr>
              <w:jc w:val="center"/>
              <w:rPr>
                <w:rFonts w:ascii="Arial" w:hAnsi="Arial" w:cs="Arial"/>
                <w:sz w:val="16"/>
                <w:szCs w:val="16"/>
              </w:rPr>
            </w:pPr>
            <w:r w:rsidRPr="00123376">
              <w:rPr>
                <w:rFonts w:ascii="Arial" w:hAnsi="Arial" w:cs="Arial"/>
                <w:sz w:val="16"/>
                <w:szCs w:val="16"/>
              </w:rPr>
              <w:t>54,1</w:t>
            </w:r>
          </w:p>
        </w:tc>
        <w:tc>
          <w:tcPr>
            <w:tcW w:w="780" w:type="pct"/>
            <w:vMerge w:val="restart"/>
            <w:tcBorders>
              <w:top w:val="single" w:sz="4" w:space="0" w:color="auto"/>
              <w:left w:val="single" w:sz="4" w:space="0" w:color="auto"/>
              <w:bottom w:val="single" w:sz="4" w:space="0" w:color="auto"/>
              <w:right w:val="single" w:sz="4" w:space="0" w:color="auto"/>
            </w:tcBorders>
            <w:vAlign w:val="center"/>
            <w:hideMark/>
          </w:tcPr>
          <w:p w14:paraId="01366439" w14:textId="6A8C527A" w:rsidR="00D40F69" w:rsidRPr="00912C87" w:rsidRDefault="00F64A00" w:rsidP="00250946">
            <w:pPr>
              <w:jc w:val="center"/>
              <w:rPr>
                <w:rFonts w:ascii="Arial" w:hAnsi="Arial" w:cs="Arial"/>
                <w:sz w:val="16"/>
                <w:szCs w:val="16"/>
                <w:highlight w:val="yellow"/>
              </w:rPr>
            </w:pPr>
            <w:r w:rsidRPr="00D93B7C">
              <w:rPr>
                <w:rFonts w:ascii="Arial" w:hAnsi="Arial" w:cs="Arial"/>
                <w:sz w:val="16"/>
                <w:szCs w:val="16"/>
              </w:rPr>
              <w:t>6</w:t>
            </w:r>
            <w:r w:rsidR="00D93B7C" w:rsidRPr="00506FBA">
              <w:rPr>
                <w:rFonts w:ascii="Arial" w:hAnsi="Arial" w:cs="Arial"/>
                <w:sz w:val="16"/>
                <w:szCs w:val="16"/>
              </w:rPr>
              <w:t>3,69</w:t>
            </w:r>
          </w:p>
        </w:tc>
      </w:tr>
      <w:tr w:rsidR="001326E2" w:rsidRPr="00E21C60" w14:paraId="7C3B29A3" w14:textId="77777777" w:rsidTr="00250946">
        <w:trPr>
          <w:trHeight w:val="20"/>
        </w:trPr>
        <w:tc>
          <w:tcPr>
            <w:tcW w:w="1797" w:type="pct"/>
            <w:vMerge/>
            <w:tcBorders>
              <w:top w:val="single" w:sz="4" w:space="0" w:color="auto"/>
              <w:left w:val="single" w:sz="4" w:space="0" w:color="auto"/>
              <w:bottom w:val="single" w:sz="4" w:space="0" w:color="auto"/>
              <w:right w:val="single" w:sz="4" w:space="0" w:color="auto"/>
            </w:tcBorders>
            <w:vAlign w:val="center"/>
            <w:hideMark/>
          </w:tcPr>
          <w:p w14:paraId="4E2C41E8" w14:textId="77777777" w:rsidR="00D40F69" w:rsidRPr="00123376" w:rsidRDefault="00D40F69">
            <w:pPr>
              <w:rPr>
                <w:rFonts w:ascii="Arial" w:hAnsi="Arial" w:cs="Arial"/>
                <w:sz w:val="16"/>
                <w:szCs w:val="16"/>
                <w:highlight w:val="yellow"/>
              </w:rPr>
            </w:pPr>
          </w:p>
        </w:tc>
        <w:tc>
          <w:tcPr>
            <w:tcW w:w="624" w:type="pct"/>
            <w:vMerge/>
            <w:tcBorders>
              <w:top w:val="single" w:sz="4" w:space="0" w:color="auto"/>
              <w:left w:val="single" w:sz="4" w:space="0" w:color="auto"/>
              <w:bottom w:val="single" w:sz="4" w:space="0" w:color="auto"/>
              <w:right w:val="single" w:sz="4" w:space="0" w:color="auto"/>
            </w:tcBorders>
            <w:vAlign w:val="center"/>
            <w:hideMark/>
          </w:tcPr>
          <w:p w14:paraId="12E9353E" w14:textId="77777777" w:rsidR="00D40F69" w:rsidRPr="00123376" w:rsidRDefault="00D40F69">
            <w:pPr>
              <w:rPr>
                <w:rFonts w:ascii="Arial" w:hAnsi="Arial" w:cs="Arial"/>
                <w:sz w:val="16"/>
                <w:szCs w:val="16"/>
                <w:highlight w:val="yellow"/>
              </w:rPr>
            </w:pPr>
          </w:p>
        </w:tc>
        <w:tc>
          <w:tcPr>
            <w:tcW w:w="885" w:type="pct"/>
            <w:tcBorders>
              <w:top w:val="single" w:sz="4" w:space="0" w:color="auto"/>
              <w:left w:val="single" w:sz="4" w:space="0" w:color="auto"/>
              <w:bottom w:val="single" w:sz="4" w:space="0" w:color="auto"/>
              <w:right w:val="single" w:sz="4" w:space="0" w:color="auto"/>
            </w:tcBorders>
            <w:vAlign w:val="center"/>
            <w:hideMark/>
          </w:tcPr>
          <w:p w14:paraId="17AC4020" w14:textId="77777777" w:rsidR="00D40F69" w:rsidRPr="00123376" w:rsidRDefault="00D40F69" w:rsidP="00250946">
            <w:pPr>
              <w:jc w:val="center"/>
              <w:rPr>
                <w:rFonts w:ascii="Arial" w:hAnsi="Arial" w:cs="Arial"/>
                <w:b/>
                <w:bCs/>
                <w:sz w:val="16"/>
                <w:szCs w:val="16"/>
              </w:rPr>
            </w:pPr>
            <w:r w:rsidRPr="00123376">
              <w:rPr>
                <w:rFonts w:ascii="Arial" w:hAnsi="Arial" w:cs="Arial"/>
                <w:b/>
                <w:bCs/>
                <w:sz w:val="16"/>
                <w:szCs w:val="16"/>
              </w:rPr>
              <w:t>2015</w:t>
            </w:r>
          </w:p>
        </w:tc>
        <w:tc>
          <w:tcPr>
            <w:tcW w:w="913" w:type="pct"/>
            <w:tcBorders>
              <w:top w:val="single" w:sz="4" w:space="0" w:color="auto"/>
              <w:left w:val="single" w:sz="4" w:space="0" w:color="auto"/>
              <w:bottom w:val="single" w:sz="4" w:space="0" w:color="auto"/>
              <w:right w:val="single" w:sz="4" w:space="0" w:color="auto"/>
            </w:tcBorders>
            <w:vAlign w:val="center"/>
            <w:hideMark/>
          </w:tcPr>
          <w:p w14:paraId="4624D2BB" w14:textId="77777777" w:rsidR="00D40F69" w:rsidRPr="00123376" w:rsidRDefault="00D40F69" w:rsidP="00250946">
            <w:pPr>
              <w:jc w:val="center"/>
              <w:rPr>
                <w:rFonts w:ascii="Arial" w:hAnsi="Arial" w:cs="Arial"/>
                <w:sz w:val="16"/>
                <w:szCs w:val="16"/>
              </w:rPr>
            </w:pPr>
            <w:r w:rsidRPr="00123376">
              <w:rPr>
                <w:rFonts w:ascii="Arial" w:hAnsi="Arial" w:cs="Arial"/>
                <w:sz w:val="16"/>
                <w:szCs w:val="16"/>
              </w:rPr>
              <w:t>81</w:t>
            </w:r>
          </w:p>
        </w:tc>
        <w:tc>
          <w:tcPr>
            <w:tcW w:w="780" w:type="pct"/>
            <w:vMerge/>
            <w:tcBorders>
              <w:top w:val="single" w:sz="4" w:space="0" w:color="auto"/>
              <w:left w:val="single" w:sz="4" w:space="0" w:color="auto"/>
              <w:bottom w:val="single" w:sz="4" w:space="0" w:color="auto"/>
              <w:right w:val="single" w:sz="4" w:space="0" w:color="auto"/>
            </w:tcBorders>
            <w:vAlign w:val="center"/>
            <w:hideMark/>
          </w:tcPr>
          <w:p w14:paraId="0DB5383D" w14:textId="77777777" w:rsidR="00D40F69" w:rsidRPr="002656B2" w:rsidRDefault="00D40F69" w:rsidP="00250946">
            <w:pPr>
              <w:jc w:val="center"/>
              <w:rPr>
                <w:rFonts w:ascii="Arial" w:hAnsi="Arial" w:cs="Arial"/>
                <w:sz w:val="16"/>
                <w:szCs w:val="16"/>
                <w:highlight w:val="yellow"/>
              </w:rPr>
            </w:pPr>
          </w:p>
        </w:tc>
      </w:tr>
      <w:tr w:rsidR="001326E2" w:rsidRPr="00E21C60" w14:paraId="1EC3C18C" w14:textId="77777777" w:rsidTr="00250946">
        <w:trPr>
          <w:trHeight w:val="127"/>
        </w:trPr>
        <w:tc>
          <w:tcPr>
            <w:tcW w:w="1797" w:type="pct"/>
            <w:vMerge w:val="restart"/>
            <w:tcBorders>
              <w:top w:val="single" w:sz="4" w:space="0" w:color="auto"/>
              <w:left w:val="single" w:sz="4" w:space="0" w:color="auto"/>
              <w:bottom w:val="single" w:sz="4" w:space="0" w:color="auto"/>
              <w:right w:val="single" w:sz="4" w:space="0" w:color="auto"/>
            </w:tcBorders>
            <w:shd w:val="clear" w:color="auto" w:fill="EAF1DD"/>
            <w:vAlign w:val="center"/>
            <w:hideMark/>
          </w:tcPr>
          <w:p w14:paraId="04B95C3D" w14:textId="77777777" w:rsidR="00D40F69" w:rsidRPr="00123376" w:rsidRDefault="00D40F69" w:rsidP="008226B1">
            <w:pPr>
              <w:rPr>
                <w:rFonts w:ascii="Arial" w:hAnsi="Arial" w:cs="Arial"/>
                <w:sz w:val="16"/>
                <w:szCs w:val="16"/>
              </w:rPr>
            </w:pPr>
            <w:r w:rsidRPr="00123376">
              <w:rPr>
                <w:rFonts w:ascii="Arial" w:hAnsi="Arial" w:cs="Arial"/>
                <w:sz w:val="16"/>
                <w:szCs w:val="16"/>
              </w:rPr>
              <w:t>Podiel obyvateľov zásobovaných vodou z verejných vodovodov</w:t>
            </w:r>
          </w:p>
        </w:tc>
        <w:tc>
          <w:tcPr>
            <w:tcW w:w="624" w:type="pct"/>
            <w:vMerge w:val="restart"/>
            <w:tcBorders>
              <w:top w:val="single" w:sz="4" w:space="0" w:color="auto"/>
              <w:left w:val="single" w:sz="4" w:space="0" w:color="auto"/>
              <w:bottom w:val="single" w:sz="4" w:space="0" w:color="auto"/>
              <w:right w:val="single" w:sz="4" w:space="0" w:color="auto"/>
            </w:tcBorders>
            <w:vAlign w:val="center"/>
            <w:hideMark/>
          </w:tcPr>
          <w:p w14:paraId="561433C0" w14:textId="77777777" w:rsidR="00D40F69" w:rsidRPr="00123376" w:rsidRDefault="00D40F69">
            <w:pPr>
              <w:jc w:val="center"/>
              <w:rPr>
                <w:rFonts w:ascii="Arial" w:hAnsi="Arial" w:cs="Arial"/>
                <w:sz w:val="16"/>
                <w:szCs w:val="16"/>
              </w:rPr>
            </w:pPr>
            <w:r w:rsidRPr="00123376">
              <w:rPr>
                <w:rFonts w:ascii="Arial" w:hAnsi="Arial" w:cs="Arial"/>
                <w:sz w:val="16"/>
                <w:szCs w:val="16"/>
              </w:rPr>
              <w:t>%</w:t>
            </w:r>
          </w:p>
        </w:tc>
        <w:tc>
          <w:tcPr>
            <w:tcW w:w="885" w:type="pct"/>
            <w:tcBorders>
              <w:top w:val="single" w:sz="4" w:space="0" w:color="auto"/>
              <w:left w:val="single" w:sz="4" w:space="0" w:color="auto"/>
              <w:bottom w:val="single" w:sz="4" w:space="0" w:color="auto"/>
              <w:right w:val="single" w:sz="4" w:space="0" w:color="auto"/>
            </w:tcBorders>
            <w:vAlign w:val="center"/>
            <w:hideMark/>
          </w:tcPr>
          <w:p w14:paraId="6012314D" w14:textId="77777777" w:rsidR="00D40F69" w:rsidRPr="00123376" w:rsidRDefault="00D40F69" w:rsidP="00250946">
            <w:pPr>
              <w:jc w:val="center"/>
              <w:rPr>
                <w:rFonts w:ascii="Arial" w:hAnsi="Arial" w:cs="Arial"/>
                <w:bCs/>
                <w:sz w:val="16"/>
                <w:szCs w:val="16"/>
              </w:rPr>
            </w:pPr>
            <w:r w:rsidRPr="00123376">
              <w:rPr>
                <w:rFonts w:ascii="Arial" w:hAnsi="Arial" w:cs="Arial"/>
                <w:bCs/>
                <w:sz w:val="16"/>
                <w:szCs w:val="16"/>
              </w:rPr>
              <w:t>2004</w:t>
            </w:r>
          </w:p>
        </w:tc>
        <w:tc>
          <w:tcPr>
            <w:tcW w:w="913" w:type="pct"/>
            <w:tcBorders>
              <w:top w:val="single" w:sz="4" w:space="0" w:color="auto"/>
              <w:left w:val="single" w:sz="4" w:space="0" w:color="auto"/>
              <w:bottom w:val="single" w:sz="4" w:space="0" w:color="auto"/>
              <w:right w:val="single" w:sz="4" w:space="0" w:color="auto"/>
            </w:tcBorders>
            <w:vAlign w:val="center"/>
            <w:hideMark/>
          </w:tcPr>
          <w:p w14:paraId="34FA4E09" w14:textId="77777777" w:rsidR="00D40F69" w:rsidRPr="00123376" w:rsidRDefault="00D40F69" w:rsidP="00250946">
            <w:pPr>
              <w:jc w:val="center"/>
              <w:rPr>
                <w:rFonts w:ascii="Arial" w:hAnsi="Arial" w:cs="Arial"/>
                <w:sz w:val="16"/>
                <w:szCs w:val="16"/>
              </w:rPr>
            </w:pPr>
            <w:r w:rsidRPr="00123376">
              <w:rPr>
                <w:rFonts w:ascii="Arial" w:hAnsi="Arial" w:cs="Arial"/>
                <w:sz w:val="16"/>
                <w:szCs w:val="16"/>
              </w:rPr>
              <w:t>85</w:t>
            </w:r>
          </w:p>
        </w:tc>
        <w:tc>
          <w:tcPr>
            <w:tcW w:w="780" w:type="pct"/>
            <w:vMerge w:val="restart"/>
            <w:tcBorders>
              <w:top w:val="single" w:sz="4" w:space="0" w:color="auto"/>
              <w:left w:val="single" w:sz="4" w:space="0" w:color="auto"/>
              <w:bottom w:val="single" w:sz="4" w:space="0" w:color="auto"/>
              <w:right w:val="single" w:sz="4" w:space="0" w:color="auto"/>
            </w:tcBorders>
            <w:vAlign w:val="center"/>
            <w:hideMark/>
          </w:tcPr>
          <w:p w14:paraId="01907ACD" w14:textId="6BE25F94" w:rsidR="00D40F69" w:rsidRPr="00912C87" w:rsidRDefault="00D40F69" w:rsidP="00250946">
            <w:pPr>
              <w:jc w:val="center"/>
              <w:rPr>
                <w:rFonts w:ascii="Arial" w:hAnsi="Arial" w:cs="Arial"/>
                <w:sz w:val="16"/>
                <w:szCs w:val="16"/>
                <w:highlight w:val="yellow"/>
              </w:rPr>
            </w:pPr>
            <w:r w:rsidRPr="00F64A00">
              <w:rPr>
                <w:rFonts w:ascii="Arial" w:hAnsi="Arial" w:cs="Arial"/>
                <w:sz w:val="16"/>
                <w:szCs w:val="16"/>
              </w:rPr>
              <w:t>8</w:t>
            </w:r>
            <w:r w:rsidR="005D55B7" w:rsidRPr="00CA09D5">
              <w:rPr>
                <w:rFonts w:ascii="Arial" w:hAnsi="Arial" w:cs="Arial"/>
                <w:sz w:val="16"/>
                <w:szCs w:val="16"/>
              </w:rPr>
              <w:t>7</w:t>
            </w:r>
            <w:r w:rsidR="002334E4">
              <w:rPr>
                <w:rFonts w:ascii="Arial" w:hAnsi="Arial" w:cs="Arial"/>
                <w:sz w:val="16"/>
                <w:szCs w:val="16"/>
              </w:rPr>
              <w:t>,</w:t>
            </w:r>
            <w:r w:rsidR="00450B03">
              <w:rPr>
                <w:rFonts w:ascii="Arial" w:hAnsi="Arial" w:cs="Arial"/>
                <w:sz w:val="16"/>
                <w:szCs w:val="16"/>
              </w:rPr>
              <w:t>7</w:t>
            </w:r>
          </w:p>
        </w:tc>
      </w:tr>
      <w:tr w:rsidR="001326E2" w:rsidRPr="00E21C60" w14:paraId="59833780" w14:textId="77777777" w:rsidTr="00250946">
        <w:trPr>
          <w:trHeight w:val="20"/>
        </w:trPr>
        <w:tc>
          <w:tcPr>
            <w:tcW w:w="1797" w:type="pct"/>
            <w:vMerge/>
            <w:tcBorders>
              <w:top w:val="single" w:sz="4" w:space="0" w:color="auto"/>
              <w:left w:val="single" w:sz="4" w:space="0" w:color="auto"/>
              <w:bottom w:val="single" w:sz="4" w:space="0" w:color="auto"/>
              <w:right w:val="single" w:sz="4" w:space="0" w:color="auto"/>
            </w:tcBorders>
            <w:vAlign w:val="center"/>
            <w:hideMark/>
          </w:tcPr>
          <w:p w14:paraId="56E4DEBE" w14:textId="77777777" w:rsidR="00D40F69" w:rsidRPr="00123376" w:rsidRDefault="00D40F69">
            <w:pPr>
              <w:rPr>
                <w:rFonts w:ascii="Arial" w:hAnsi="Arial" w:cs="Arial"/>
                <w:sz w:val="16"/>
                <w:szCs w:val="16"/>
                <w:highlight w:val="yellow"/>
              </w:rPr>
            </w:pPr>
          </w:p>
        </w:tc>
        <w:tc>
          <w:tcPr>
            <w:tcW w:w="624" w:type="pct"/>
            <w:vMerge/>
            <w:tcBorders>
              <w:top w:val="single" w:sz="4" w:space="0" w:color="auto"/>
              <w:left w:val="single" w:sz="4" w:space="0" w:color="auto"/>
              <w:bottom w:val="single" w:sz="4" w:space="0" w:color="auto"/>
              <w:right w:val="single" w:sz="4" w:space="0" w:color="auto"/>
            </w:tcBorders>
            <w:vAlign w:val="center"/>
            <w:hideMark/>
          </w:tcPr>
          <w:p w14:paraId="2541FDEC" w14:textId="77777777" w:rsidR="00D40F69" w:rsidRPr="00123376" w:rsidRDefault="00D40F69">
            <w:pPr>
              <w:rPr>
                <w:rFonts w:ascii="Arial" w:hAnsi="Arial" w:cs="Arial"/>
                <w:sz w:val="16"/>
                <w:szCs w:val="16"/>
                <w:highlight w:val="yellow"/>
              </w:rPr>
            </w:pPr>
          </w:p>
        </w:tc>
        <w:tc>
          <w:tcPr>
            <w:tcW w:w="885" w:type="pct"/>
            <w:tcBorders>
              <w:top w:val="single" w:sz="4" w:space="0" w:color="auto"/>
              <w:left w:val="single" w:sz="4" w:space="0" w:color="auto"/>
              <w:bottom w:val="single" w:sz="4" w:space="0" w:color="auto"/>
              <w:right w:val="single" w:sz="4" w:space="0" w:color="auto"/>
            </w:tcBorders>
            <w:vAlign w:val="center"/>
            <w:hideMark/>
          </w:tcPr>
          <w:p w14:paraId="6FB70F43" w14:textId="77777777" w:rsidR="00D40F69" w:rsidRPr="00123376" w:rsidRDefault="00D40F69" w:rsidP="00250946">
            <w:pPr>
              <w:jc w:val="center"/>
              <w:rPr>
                <w:rFonts w:ascii="Arial" w:hAnsi="Arial" w:cs="Arial"/>
                <w:b/>
                <w:bCs/>
                <w:sz w:val="16"/>
                <w:szCs w:val="16"/>
              </w:rPr>
            </w:pPr>
            <w:r w:rsidRPr="00123376">
              <w:rPr>
                <w:rFonts w:ascii="Arial" w:hAnsi="Arial" w:cs="Arial"/>
                <w:b/>
                <w:bCs/>
                <w:sz w:val="16"/>
                <w:szCs w:val="16"/>
              </w:rPr>
              <w:t>2015</w:t>
            </w:r>
          </w:p>
        </w:tc>
        <w:tc>
          <w:tcPr>
            <w:tcW w:w="913" w:type="pct"/>
            <w:tcBorders>
              <w:top w:val="single" w:sz="4" w:space="0" w:color="auto"/>
              <w:left w:val="single" w:sz="4" w:space="0" w:color="auto"/>
              <w:bottom w:val="single" w:sz="4" w:space="0" w:color="auto"/>
              <w:right w:val="single" w:sz="4" w:space="0" w:color="auto"/>
            </w:tcBorders>
            <w:vAlign w:val="center"/>
            <w:hideMark/>
          </w:tcPr>
          <w:p w14:paraId="5CD176F2" w14:textId="77777777" w:rsidR="00D40F69" w:rsidRPr="00123376" w:rsidRDefault="00D40F69" w:rsidP="00250946">
            <w:pPr>
              <w:jc w:val="center"/>
              <w:rPr>
                <w:rFonts w:ascii="Arial" w:hAnsi="Arial" w:cs="Arial"/>
                <w:sz w:val="16"/>
                <w:szCs w:val="16"/>
              </w:rPr>
            </w:pPr>
            <w:r w:rsidRPr="00123376">
              <w:rPr>
                <w:rFonts w:ascii="Arial" w:hAnsi="Arial" w:cs="Arial"/>
                <w:sz w:val="16"/>
                <w:szCs w:val="16"/>
              </w:rPr>
              <w:t>91</w:t>
            </w:r>
          </w:p>
        </w:tc>
        <w:tc>
          <w:tcPr>
            <w:tcW w:w="780" w:type="pct"/>
            <w:vMerge/>
            <w:tcBorders>
              <w:top w:val="single" w:sz="4" w:space="0" w:color="auto"/>
              <w:left w:val="single" w:sz="4" w:space="0" w:color="auto"/>
              <w:bottom w:val="single" w:sz="4" w:space="0" w:color="auto"/>
              <w:right w:val="single" w:sz="4" w:space="0" w:color="auto"/>
            </w:tcBorders>
            <w:vAlign w:val="center"/>
            <w:hideMark/>
          </w:tcPr>
          <w:p w14:paraId="6ACD1A9F" w14:textId="77777777" w:rsidR="00D40F69" w:rsidRPr="002656B2" w:rsidRDefault="00D40F69" w:rsidP="00250946">
            <w:pPr>
              <w:jc w:val="center"/>
              <w:rPr>
                <w:rFonts w:ascii="Arial" w:hAnsi="Arial" w:cs="Arial"/>
                <w:sz w:val="16"/>
                <w:szCs w:val="16"/>
                <w:highlight w:val="yellow"/>
              </w:rPr>
            </w:pPr>
          </w:p>
        </w:tc>
      </w:tr>
      <w:tr w:rsidR="001326E2" w:rsidRPr="00E21C60" w14:paraId="743E9F42" w14:textId="77777777" w:rsidTr="00250946">
        <w:trPr>
          <w:trHeight w:val="161"/>
        </w:trPr>
        <w:tc>
          <w:tcPr>
            <w:tcW w:w="1797" w:type="pct"/>
            <w:vMerge w:val="restart"/>
            <w:tcBorders>
              <w:top w:val="single" w:sz="4" w:space="0" w:color="auto"/>
              <w:left w:val="single" w:sz="4" w:space="0" w:color="auto"/>
              <w:bottom w:val="single" w:sz="4" w:space="0" w:color="auto"/>
              <w:right w:val="single" w:sz="4" w:space="0" w:color="auto"/>
            </w:tcBorders>
            <w:shd w:val="clear" w:color="auto" w:fill="EAF1DD"/>
            <w:vAlign w:val="center"/>
            <w:hideMark/>
          </w:tcPr>
          <w:p w14:paraId="19F51F84" w14:textId="77777777" w:rsidR="00D40F69" w:rsidRPr="00123376" w:rsidRDefault="00D40F69" w:rsidP="008226B1">
            <w:pPr>
              <w:rPr>
                <w:rFonts w:ascii="Arial" w:hAnsi="Arial" w:cs="Arial"/>
                <w:sz w:val="16"/>
                <w:szCs w:val="16"/>
              </w:rPr>
            </w:pPr>
            <w:r w:rsidRPr="00123376">
              <w:rPr>
                <w:rFonts w:ascii="Arial" w:hAnsi="Arial" w:cs="Arial"/>
                <w:sz w:val="16"/>
                <w:szCs w:val="16"/>
              </w:rPr>
              <w:t>Plocha územia so zabezpečenou protipovodňovou ochranou</w:t>
            </w:r>
          </w:p>
        </w:tc>
        <w:tc>
          <w:tcPr>
            <w:tcW w:w="624" w:type="pct"/>
            <w:vMerge w:val="restart"/>
            <w:tcBorders>
              <w:top w:val="single" w:sz="4" w:space="0" w:color="auto"/>
              <w:left w:val="single" w:sz="4" w:space="0" w:color="auto"/>
              <w:bottom w:val="single" w:sz="4" w:space="0" w:color="auto"/>
              <w:right w:val="single" w:sz="4" w:space="0" w:color="auto"/>
            </w:tcBorders>
            <w:vAlign w:val="center"/>
            <w:hideMark/>
          </w:tcPr>
          <w:p w14:paraId="6BC6C1A6" w14:textId="77777777" w:rsidR="00D40F69" w:rsidRPr="00123376" w:rsidRDefault="00D40F69">
            <w:pPr>
              <w:jc w:val="center"/>
              <w:rPr>
                <w:rFonts w:ascii="Arial" w:hAnsi="Arial" w:cs="Arial"/>
                <w:sz w:val="16"/>
                <w:szCs w:val="16"/>
              </w:rPr>
            </w:pPr>
            <w:r w:rsidRPr="00123376">
              <w:rPr>
                <w:rFonts w:ascii="Arial" w:hAnsi="Arial" w:cs="Arial"/>
                <w:sz w:val="16"/>
                <w:szCs w:val="16"/>
              </w:rPr>
              <w:t>km</w:t>
            </w:r>
            <w:r w:rsidRPr="00123376">
              <w:rPr>
                <w:rFonts w:ascii="Arial" w:hAnsi="Arial" w:cs="Arial"/>
                <w:sz w:val="16"/>
                <w:szCs w:val="16"/>
                <w:vertAlign w:val="superscript"/>
              </w:rPr>
              <w:t>2</w:t>
            </w:r>
          </w:p>
        </w:tc>
        <w:tc>
          <w:tcPr>
            <w:tcW w:w="885" w:type="pct"/>
            <w:tcBorders>
              <w:top w:val="single" w:sz="4" w:space="0" w:color="auto"/>
              <w:left w:val="single" w:sz="4" w:space="0" w:color="auto"/>
              <w:bottom w:val="single" w:sz="4" w:space="0" w:color="auto"/>
              <w:right w:val="single" w:sz="4" w:space="0" w:color="auto"/>
            </w:tcBorders>
            <w:vAlign w:val="center"/>
            <w:hideMark/>
          </w:tcPr>
          <w:p w14:paraId="42FFEE12" w14:textId="77777777" w:rsidR="00D40F69" w:rsidRPr="00123376" w:rsidRDefault="00D40F69" w:rsidP="00250946">
            <w:pPr>
              <w:jc w:val="center"/>
              <w:rPr>
                <w:rFonts w:ascii="Arial" w:hAnsi="Arial" w:cs="Arial"/>
                <w:bCs/>
                <w:sz w:val="16"/>
                <w:szCs w:val="16"/>
              </w:rPr>
            </w:pPr>
            <w:r w:rsidRPr="00123376">
              <w:rPr>
                <w:rFonts w:ascii="Arial" w:hAnsi="Arial" w:cs="Arial"/>
                <w:bCs/>
                <w:sz w:val="16"/>
                <w:szCs w:val="16"/>
              </w:rPr>
              <w:t>2004</w:t>
            </w:r>
          </w:p>
        </w:tc>
        <w:tc>
          <w:tcPr>
            <w:tcW w:w="913" w:type="pct"/>
            <w:tcBorders>
              <w:top w:val="single" w:sz="4" w:space="0" w:color="auto"/>
              <w:left w:val="single" w:sz="4" w:space="0" w:color="auto"/>
              <w:bottom w:val="single" w:sz="4" w:space="0" w:color="auto"/>
              <w:right w:val="single" w:sz="4" w:space="0" w:color="auto"/>
            </w:tcBorders>
            <w:vAlign w:val="center"/>
            <w:hideMark/>
          </w:tcPr>
          <w:p w14:paraId="6F5D109D" w14:textId="77777777" w:rsidR="00D40F69" w:rsidRPr="00123376" w:rsidRDefault="00D40F69" w:rsidP="00250946">
            <w:pPr>
              <w:jc w:val="center"/>
              <w:rPr>
                <w:rFonts w:ascii="Arial" w:hAnsi="Arial" w:cs="Arial"/>
                <w:sz w:val="16"/>
                <w:szCs w:val="16"/>
              </w:rPr>
            </w:pPr>
            <w:r w:rsidRPr="00123376">
              <w:rPr>
                <w:rFonts w:ascii="Arial" w:hAnsi="Arial" w:cs="Arial"/>
                <w:sz w:val="16"/>
                <w:szCs w:val="16"/>
              </w:rPr>
              <w:t>5 800</w:t>
            </w:r>
          </w:p>
        </w:tc>
        <w:tc>
          <w:tcPr>
            <w:tcW w:w="780" w:type="pct"/>
            <w:vMerge w:val="restart"/>
            <w:tcBorders>
              <w:top w:val="single" w:sz="4" w:space="0" w:color="auto"/>
              <w:left w:val="single" w:sz="4" w:space="0" w:color="auto"/>
              <w:bottom w:val="single" w:sz="4" w:space="0" w:color="auto"/>
              <w:right w:val="single" w:sz="4" w:space="0" w:color="auto"/>
            </w:tcBorders>
            <w:vAlign w:val="center"/>
            <w:hideMark/>
          </w:tcPr>
          <w:p w14:paraId="60533C56" w14:textId="199B3005" w:rsidR="00D40F69" w:rsidRPr="00912C87" w:rsidRDefault="00D93B7C" w:rsidP="00250946">
            <w:pPr>
              <w:jc w:val="center"/>
              <w:rPr>
                <w:rFonts w:ascii="Arial" w:hAnsi="Arial" w:cs="Arial"/>
                <w:sz w:val="16"/>
                <w:szCs w:val="16"/>
                <w:highlight w:val="yellow"/>
              </w:rPr>
            </w:pPr>
            <w:r w:rsidRPr="00D93B7C">
              <w:rPr>
                <w:rFonts w:ascii="Arial" w:hAnsi="Arial" w:cs="Arial"/>
                <w:sz w:val="16"/>
                <w:szCs w:val="16"/>
              </w:rPr>
              <w:t>6 445,81</w:t>
            </w:r>
          </w:p>
        </w:tc>
      </w:tr>
      <w:tr w:rsidR="001326E2" w:rsidRPr="00E21C60" w14:paraId="03052B8A" w14:textId="77777777" w:rsidTr="00250946">
        <w:trPr>
          <w:trHeight w:val="107"/>
        </w:trPr>
        <w:tc>
          <w:tcPr>
            <w:tcW w:w="1797" w:type="pct"/>
            <w:vMerge/>
            <w:tcBorders>
              <w:top w:val="single" w:sz="4" w:space="0" w:color="auto"/>
              <w:left w:val="single" w:sz="4" w:space="0" w:color="auto"/>
              <w:bottom w:val="single" w:sz="4" w:space="0" w:color="auto"/>
              <w:right w:val="single" w:sz="4" w:space="0" w:color="auto"/>
            </w:tcBorders>
            <w:vAlign w:val="center"/>
            <w:hideMark/>
          </w:tcPr>
          <w:p w14:paraId="21709606" w14:textId="77777777" w:rsidR="00D40F69" w:rsidRPr="00123376" w:rsidRDefault="00D40F69">
            <w:pPr>
              <w:rPr>
                <w:rFonts w:ascii="Arial" w:hAnsi="Arial" w:cs="Arial"/>
                <w:sz w:val="16"/>
                <w:szCs w:val="16"/>
                <w:highlight w:val="yellow"/>
              </w:rPr>
            </w:pPr>
          </w:p>
        </w:tc>
        <w:tc>
          <w:tcPr>
            <w:tcW w:w="624" w:type="pct"/>
            <w:vMerge/>
            <w:tcBorders>
              <w:top w:val="single" w:sz="4" w:space="0" w:color="auto"/>
              <w:left w:val="single" w:sz="4" w:space="0" w:color="auto"/>
              <w:bottom w:val="single" w:sz="4" w:space="0" w:color="auto"/>
              <w:right w:val="single" w:sz="4" w:space="0" w:color="auto"/>
            </w:tcBorders>
            <w:vAlign w:val="center"/>
            <w:hideMark/>
          </w:tcPr>
          <w:p w14:paraId="77381F25" w14:textId="77777777" w:rsidR="00D40F69" w:rsidRPr="00123376" w:rsidRDefault="00D40F69">
            <w:pPr>
              <w:rPr>
                <w:rFonts w:ascii="Arial" w:hAnsi="Arial" w:cs="Arial"/>
                <w:sz w:val="16"/>
                <w:szCs w:val="16"/>
                <w:highlight w:val="yellow"/>
              </w:rPr>
            </w:pPr>
          </w:p>
        </w:tc>
        <w:tc>
          <w:tcPr>
            <w:tcW w:w="885" w:type="pct"/>
            <w:tcBorders>
              <w:top w:val="single" w:sz="4" w:space="0" w:color="auto"/>
              <w:left w:val="single" w:sz="4" w:space="0" w:color="auto"/>
              <w:bottom w:val="single" w:sz="4" w:space="0" w:color="auto"/>
              <w:right w:val="single" w:sz="4" w:space="0" w:color="auto"/>
            </w:tcBorders>
            <w:vAlign w:val="center"/>
            <w:hideMark/>
          </w:tcPr>
          <w:p w14:paraId="3F0FCCC5" w14:textId="77777777" w:rsidR="00D40F69" w:rsidRPr="00123376" w:rsidRDefault="00D40F69" w:rsidP="00250946">
            <w:pPr>
              <w:jc w:val="center"/>
              <w:rPr>
                <w:rFonts w:ascii="Arial" w:hAnsi="Arial" w:cs="Arial"/>
                <w:b/>
                <w:bCs/>
                <w:sz w:val="16"/>
                <w:szCs w:val="16"/>
              </w:rPr>
            </w:pPr>
            <w:r w:rsidRPr="00123376">
              <w:rPr>
                <w:rFonts w:ascii="Arial" w:hAnsi="Arial" w:cs="Arial"/>
                <w:b/>
                <w:bCs/>
                <w:sz w:val="16"/>
                <w:szCs w:val="16"/>
              </w:rPr>
              <w:t>2015</w:t>
            </w:r>
          </w:p>
        </w:tc>
        <w:tc>
          <w:tcPr>
            <w:tcW w:w="913" w:type="pct"/>
            <w:tcBorders>
              <w:top w:val="single" w:sz="4" w:space="0" w:color="auto"/>
              <w:left w:val="single" w:sz="4" w:space="0" w:color="auto"/>
              <w:bottom w:val="single" w:sz="4" w:space="0" w:color="auto"/>
              <w:right w:val="single" w:sz="4" w:space="0" w:color="auto"/>
            </w:tcBorders>
            <w:vAlign w:val="center"/>
            <w:hideMark/>
          </w:tcPr>
          <w:p w14:paraId="5C2F84FF" w14:textId="77777777" w:rsidR="00D40F69" w:rsidRPr="00123376" w:rsidRDefault="00D40F69" w:rsidP="00250946">
            <w:pPr>
              <w:jc w:val="center"/>
              <w:rPr>
                <w:rFonts w:ascii="Arial" w:hAnsi="Arial" w:cs="Arial"/>
                <w:sz w:val="16"/>
                <w:szCs w:val="16"/>
              </w:rPr>
            </w:pPr>
            <w:r w:rsidRPr="00123376">
              <w:rPr>
                <w:rFonts w:ascii="Arial" w:hAnsi="Arial" w:cs="Arial"/>
                <w:sz w:val="16"/>
                <w:szCs w:val="16"/>
              </w:rPr>
              <w:t>5 970</w:t>
            </w:r>
          </w:p>
        </w:tc>
        <w:tc>
          <w:tcPr>
            <w:tcW w:w="780" w:type="pct"/>
            <w:vMerge/>
            <w:tcBorders>
              <w:top w:val="single" w:sz="4" w:space="0" w:color="auto"/>
              <w:left w:val="single" w:sz="4" w:space="0" w:color="auto"/>
              <w:bottom w:val="single" w:sz="4" w:space="0" w:color="auto"/>
              <w:right w:val="single" w:sz="4" w:space="0" w:color="auto"/>
            </w:tcBorders>
            <w:vAlign w:val="center"/>
            <w:hideMark/>
          </w:tcPr>
          <w:p w14:paraId="260E05E7" w14:textId="77777777" w:rsidR="00D40F69" w:rsidRPr="002656B2" w:rsidRDefault="00D40F69" w:rsidP="00250946">
            <w:pPr>
              <w:jc w:val="center"/>
              <w:rPr>
                <w:rFonts w:ascii="Arial" w:hAnsi="Arial" w:cs="Arial"/>
                <w:sz w:val="16"/>
                <w:szCs w:val="16"/>
                <w:highlight w:val="yellow"/>
              </w:rPr>
            </w:pPr>
          </w:p>
        </w:tc>
      </w:tr>
      <w:tr w:rsidR="00B14F9A" w:rsidRPr="00E21C60" w14:paraId="1A263534" w14:textId="77777777" w:rsidTr="00250946">
        <w:trPr>
          <w:trHeight w:val="107"/>
        </w:trPr>
        <w:tc>
          <w:tcPr>
            <w:tcW w:w="1797" w:type="pct"/>
            <w:vMerge w:val="restart"/>
            <w:tcBorders>
              <w:top w:val="single" w:sz="4" w:space="0" w:color="auto"/>
              <w:left w:val="single" w:sz="4" w:space="0" w:color="auto"/>
              <w:right w:val="single" w:sz="4" w:space="0" w:color="auto"/>
            </w:tcBorders>
            <w:shd w:val="clear" w:color="auto" w:fill="EAF1DD" w:themeFill="accent3" w:themeFillTint="33"/>
            <w:vAlign w:val="center"/>
          </w:tcPr>
          <w:p w14:paraId="7863FE95" w14:textId="77777777" w:rsidR="00B14F9A" w:rsidRPr="002526CC" w:rsidRDefault="00B14F9A" w:rsidP="008226B1">
            <w:pPr>
              <w:rPr>
                <w:rFonts w:ascii="Arial" w:hAnsi="Arial" w:cs="Arial"/>
                <w:sz w:val="16"/>
                <w:szCs w:val="16"/>
                <w:highlight w:val="yellow"/>
              </w:rPr>
            </w:pPr>
            <w:r w:rsidRPr="002526CC">
              <w:rPr>
                <w:rFonts w:ascii="Arial" w:hAnsi="Arial" w:cs="Arial"/>
                <w:sz w:val="16"/>
                <w:szCs w:val="16"/>
              </w:rPr>
              <w:t>Počet vyhlásených území Natura 2000</w:t>
            </w:r>
            <w:r w:rsidRPr="002526CC">
              <w:rPr>
                <w:rStyle w:val="Odkaznapoznmkupodiarou"/>
                <w:rFonts w:ascii="Arial" w:hAnsi="Arial" w:cs="Arial"/>
                <w:sz w:val="16"/>
                <w:szCs w:val="16"/>
              </w:rPr>
              <w:footnoteReference w:id="4"/>
            </w:r>
          </w:p>
        </w:tc>
        <w:tc>
          <w:tcPr>
            <w:tcW w:w="624" w:type="pct"/>
            <w:vMerge w:val="restart"/>
            <w:tcBorders>
              <w:top w:val="single" w:sz="4" w:space="0" w:color="auto"/>
              <w:left w:val="single" w:sz="4" w:space="0" w:color="auto"/>
              <w:right w:val="single" w:sz="4" w:space="0" w:color="auto"/>
            </w:tcBorders>
            <w:vAlign w:val="center"/>
          </w:tcPr>
          <w:p w14:paraId="2F2A95D7" w14:textId="77777777" w:rsidR="00B14F9A" w:rsidRPr="00E21C60" w:rsidRDefault="00B14F9A" w:rsidP="00123376">
            <w:pPr>
              <w:jc w:val="center"/>
              <w:rPr>
                <w:rFonts w:ascii="Arial" w:hAnsi="Arial" w:cs="Arial"/>
                <w:sz w:val="16"/>
                <w:szCs w:val="16"/>
                <w:highlight w:val="yellow"/>
              </w:rPr>
            </w:pPr>
            <w:r w:rsidRPr="00E21C60">
              <w:rPr>
                <w:rFonts w:ascii="Arial" w:hAnsi="Arial" w:cs="Arial"/>
                <w:sz w:val="16"/>
                <w:szCs w:val="16"/>
              </w:rPr>
              <w:t>počet</w:t>
            </w:r>
          </w:p>
        </w:tc>
        <w:tc>
          <w:tcPr>
            <w:tcW w:w="885" w:type="pct"/>
            <w:tcBorders>
              <w:top w:val="single" w:sz="4" w:space="0" w:color="auto"/>
              <w:left w:val="single" w:sz="4" w:space="0" w:color="auto"/>
              <w:bottom w:val="single" w:sz="4" w:space="0" w:color="auto"/>
              <w:right w:val="single" w:sz="4" w:space="0" w:color="auto"/>
            </w:tcBorders>
            <w:vAlign w:val="center"/>
          </w:tcPr>
          <w:p w14:paraId="0FC31F51" w14:textId="77777777" w:rsidR="00B14F9A" w:rsidRPr="00E21C60" w:rsidRDefault="00B14F9A" w:rsidP="00250946">
            <w:pPr>
              <w:jc w:val="center"/>
              <w:rPr>
                <w:rFonts w:ascii="Arial" w:hAnsi="Arial" w:cs="Arial"/>
                <w:b/>
                <w:bCs/>
                <w:sz w:val="16"/>
                <w:szCs w:val="16"/>
              </w:rPr>
            </w:pPr>
            <w:r w:rsidRPr="00E21C60">
              <w:rPr>
                <w:rFonts w:ascii="Arial" w:hAnsi="Arial" w:cs="Arial"/>
                <w:bCs/>
                <w:sz w:val="16"/>
                <w:szCs w:val="16"/>
              </w:rPr>
              <w:t>2004</w:t>
            </w:r>
          </w:p>
        </w:tc>
        <w:tc>
          <w:tcPr>
            <w:tcW w:w="913" w:type="pct"/>
            <w:tcBorders>
              <w:top w:val="single" w:sz="4" w:space="0" w:color="auto"/>
              <w:left w:val="single" w:sz="4" w:space="0" w:color="auto"/>
              <w:bottom w:val="single" w:sz="4" w:space="0" w:color="auto"/>
              <w:right w:val="single" w:sz="4" w:space="0" w:color="auto"/>
            </w:tcBorders>
            <w:vAlign w:val="center"/>
          </w:tcPr>
          <w:p w14:paraId="4B952178" w14:textId="77777777" w:rsidR="00B14F9A" w:rsidRPr="00E21C60" w:rsidRDefault="00B14F9A" w:rsidP="00250946">
            <w:pPr>
              <w:jc w:val="center"/>
              <w:rPr>
                <w:rFonts w:ascii="Arial" w:hAnsi="Arial" w:cs="Arial"/>
                <w:sz w:val="16"/>
                <w:szCs w:val="16"/>
              </w:rPr>
            </w:pPr>
            <w:r w:rsidRPr="00E21C60">
              <w:rPr>
                <w:rFonts w:ascii="Arial" w:hAnsi="Arial" w:cs="Arial"/>
                <w:sz w:val="16"/>
                <w:szCs w:val="16"/>
              </w:rPr>
              <w:t>0</w:t>
            </w:r>
          </w:p>
        </w:tc>
        <w:tc>
          <w:tcPr>
            <w:tcW w:w="780" w:type="pct"/>
            <w:vMerge w:val="restart"/>
            <w:tcBorders>
              <w:top w:val="single" w:sz="4" w:space="0" w:color="auto"/>
              <w:left w:val="single" w:sz="4" w:space="0" w:color="auto"/>
              <w:right w:val="single" w:sz="4" w:space="0" w:color="auto"/>
            </w:tcBorders>
            <w:vAlign w:val="center"/>
          </w:tcPr>
          <w:p w14:paraId="3331D787" w14:textId="63F47DF2" w:rsidR="00B14F9A" w:rsidRPr="002656B2" w:rsidRDefault="00B14F9A" w:rsidP="00250946">
            <w:pPr>
              <w:jc w:val="center"/>
              <w:rPr>
                <w:rFonts w:ascii="Arial" w:hAnsi="Arial" w:cs="Arial"/>
                <w:sz w:val="16"/>
                <w:szCs w:val="16"/>
                <w:highlight w:val="yellow"/>
              </w:rPr>
            </w:pPr>
            <w:r w:rsidRPr="00CE0728">
              <w:rPr>
                <w:rFonts w:ascii="Arial" w:hAnsi="Arial" w:cs="Arial"/>
                <w:sz w:val="16"/>
                <w:szCs w:val="16"/>
              </w:rPr>
              <w:t>3</w:t>
            </w:r>
            <w:r w:rsidR="003D72B7">
              <w:rPr>
                <w:rFonts w:ascii="Arial" w:hAnsi="Arial" w:cs="Arial"/>
                <w:sz w:val="16"/>
                <w:szCs w:val="16"/>
              </w:rPr>
              <w:t>50</w:t>
            </w:r>
          </w:p>
        </w:tc>
      </w:tr>
      <w:tr w:rsidR="00B14F9A" w:rsidRPr="00E21C60" w14:paraId="5BA0A048" w14:textId="77777777" w:rsidTr="00123376">
        <w:trPr>
          <w:trHeight w:val="107"/>
        </w:trPr>
        <w:tc>
          <w:tcPr>
            <w:tcW w:w="1797" w:type="pct"/>
            <w:vMerge/>
            <w:tcBorders>
              <w:left w:val="single" w:sz="4" w:space="0" w:color="auto"/>
              <w:bottom w:val="single" w:sz="4" w:space="0" w:color="auto"/>
              <w:right w:val="single" w:sz="4" w:space="0" w:color="auto"/>
            </w:tcBorders>
            <w:shd w:val="clear" w:color="auto" w:fill="EAF1DD" w:themeFill="accent3" w:themeFillTint="33"/>
            <w:vAlign w:val="center"/>
          </w:tcPr>
          <w:p w14:paraId="46D3D997" w14:textId="77777777" w:rsidR="00B14F9A" w:rsidRPr="00E21C60" w:rsidRDefault="00B14F9A">
            <w:pPr>
              <w:rPr>
                <w:rFonts w:ascii="Arial" w:hAnsi="Arial" w:cs="Arial"/>
                <w:sz w:val="16"/>
                <w:szCs w:val="16"/>
                <w:highlight w:val="yellow"/>
              </w:rPr>
            </w:pPr>
          </w:p>
        </w:tc>
        <w:tc>
          <w:tcPr>
            <w:tcW w:w="624" w:type="pct"/>
            <w:vMerge/>
            <w:tcBorders>
              <w:left w:val="single" w:sz="4" w:space="0" w:color="auto"/>
              <w:bottom w:val="single" w:sz="4" w:space="0" w:color="auto"/>
              <w:right w:val="single" w:sz="4" w:space="0" w:color="auto"/>
            </w:tcBorders>
            <w:vAlign w:val="center"/>
          </w:tcPr>
          <w:p w14:paraId="484F5D8E" w14:textId="77777777" w:rsidR="00B14F9A" w:rsidRPr="00E21C60" w:rsidRDefault="00B14F9A">
            <w:pPr>
              <w:rPr>
                <w:rFonts w:ascii="Arial" w:hAnsi="Arial" w:cs="Arial"/>
                <w:sz w:val="16"/>
                <w:szCs w:val="16"/>
                <w:highlight w:val="yellow"/>
              </w:rPr>
            </w:pPr>
          </w:p>
        </w:tc>
        <w:tc>
          <w:tcPr>
            <w:tcW w:w="885" w:type="pct"/>
            <w:tcBorders>
              <w:top w:val="single" w:sz="4" w:space="0" w:color="auto"/>
              <w:left w:val="single" w:sz="4" w:space="0" w:color="auto"/>
              <w:bottom w:val="single" w:sz="4" w:space="0" w:color="auto"/>
              <w:right w:val="single" w:sz="4" w:space="0" w:color="auto"/>
            </w:tcBorders>
            <w:vAlign w:val="center"/>
          </w:tcPr>
          <w:p w14:paraId="27C4F96A" w14:textId="77777777" w:rsidR="00B14F9A" w:rsidRPr="00E21C60" w:rsidRDefault="00B14F9A">
            <w:pPr>
              <w:jc w:val="center"/>
              <w:rPr>
                <w:rFonts w:ascii="Arial" w:hAnsi="Arial" w:cs="Arial"/>
                <w:b/>
                <w:bCs/>
                <w:sz w:val="16"/>
                <w:szCs w:val="16"/>
              </w:rPr>
            </w:pPr>
            <w:r w:rsidRPr="00E21C60">
              <w:rPr>
                <w:rFonts w:ascii="Arial" w:hAnsi="Arial" w:cs="Arial"/>
                <w:b/>
                <w:bCs/>
                <w:sz w:val="16"/>
                <w:szCs w:val="16"/>
              </w:rPr>
              <w:t>2015</w:t>
            </w:r>
          </w:p>
        </w:tc>
        <w:tc>
          <w:tcPr>
            <w:tcW w:w="913" w:type="pct"/>
            <w:tcBorders>
              <w:top w:val="single" w:sz="4" w:space="0" w:color="auto"/>
              <w:left w:val="single" w:sz="4" w:space="0" w:color="auto"/>
              <w:bottom w:val="single" w:sz="4" w:space="0" w:color="auto"/>
              <w:right w:val="single" w:sz="4" w:space="0" w:color="auto"/>
            </w:tcBorders>
            <w:vAlign w:val="center"/>
          </w:tcPr>
          <w:p w14:paraId="4AA10F67" w14:textId="35908EC5" w:rsidR="00B14F9A" w:rsidRPr="00E21C60" w:rsidRDefault="003D72B7">
            <w:pPr>
              <w:jc w:val="center"/>
              <w:rPr>
                <w:rFonts w:ascii="Arial" w:hAnsi="Arial" w:cs="Arial"/>
                <w:sz w:val="16"/>
                <w:szCs w:val="16"/>
              </w:rPr>
            </w:pPr>
            <w:r>
              <w:rPr>
                <w:rFonts w:ascii="Arial" w:hAnsi="Arial" w:cs="Arial"/>
                <w:sz w:val="16"/>
                <w:szCs w:val="16"/>
              </w:rPr>
              <w:t>514</w:t>
            </w:r>
          </w:p>
        </w:tc>
        <w:tc>
          <w:tcPr>
            <w:tcW w:w="780" w:type="pct"/>
            <w:vMerge/>
            <w:tcBorders>
              <w:left w:val="single" w:sz="4" w:space="0" w:color="auto"/>
              <w:bottom w:val="single" w:sz="4" w:space="0" w:color="auto"/>
              <w:right w:val="single" w:sz="4" w:space="0" w:color="auto"/>
            </w:tcBorders>
            <w:vAlign w:val="center"/>
          </w:tcPr>
          <w:p w14:paraId="1FD8CF97" w14:textId="77777777" w:rsidR="00B14F9A" w:rsidRPr="00E21C60" w:rsidRDefault="00B14F9A">
            <w:pPr>
              <w:rPr>
                <w:rFonts w:ascii="Arial" w:hAnsi="Arial" w:cs="Arial"/>
                <w:sz w:val="16"/>
                <w:szCs w:val="16"/>
                <w:highlight w:val="yellow"/>
              </w:rPr>
            </w:pPr>
          </w:p>
        </w:tc>
      </w:tr>
    </w:tbl>
    <w:p w14:paraId="3C31CE7C" w14:textId="3720A873" w:rsidR="00D40F69" w:rsidRPr="00E21C60" w:rsidRDefault="00D40F69" w:rsidP="00123376">
      <w:pPr>
        <w:autoSpaceDE w:val="0"/>
        <w:autoSpaceDN w:val="0"/>
        <w:adjustRightInd w:val="0"/>
        <w:jc w:val="both"/>
        <w:rPr>
          <w:rFonts w:ascii="Arial" w:hAnsi="Arial" w:cs="Arial"/>
          <w:sz w:val="16"/>
          <w:szCs w:val="16"/>
        </w:rPr>
      </w:pPr>
      <w:r w:rsidRPr="002526CC">
        <w:rPr>
          <w:rFonts w:ascii="Arial" w:hAnsi="Arial" w:cs="Arial"/>
          <w:b/>
          <w:sz w:val="16"/>
          <w:szCs w:val="16"/>
        </w:rPr>
        <w:tab/>
      </w:r>
      <w:r w:rsidRPr="00E21C60">
        <w:rPr>
          <w:rFonts w:ascii="Arial" w:hAnsi="Arial" w:cs="Arial"/>
          <w:sz w:val="16"/>
          <w:szCs w:val="16"/>
        </w:rPr>
        <w:t>Zdroj: RO</w:t>
      </w:r>
      <w:r w:rsidR="00AC1A6A">
        <w:rPr>
          <w:rFonts w:ascii="Arial" w:hAnsi="Arial" w:cs="Arial"/>
          <w:sz w:val="16"/>
          <w:szCs w:val="16"/>
        </w:rPr>
        <w:t>, ŠÚ SR, MŽP SR</w:t>
      </w:r>
    </w:p>
    <w:p w14:paraId="4FB79D8D" w14:textId="77777777" w:rsidR="0008447E" w:rsidRDefault="00F420F1" w:rsidP="0008447E">
      <w:pPr>
        <w:autoSpaceDE w:val="0"/>
        <w:autoSpaceDN w:val="0"/>
        <w:adjustRightInd w:val="0"/>
        <w:spacing w:after="120"/>
        <w:jc w:val="both"/>
        <w:rPr>
          <w:rFonts w:ascii="Arial" w:hAnsi="Arial" w:cs="Arial"/>
          <w:i/>
          <w:sz w:val="16"/>
          <w:szCs w:val="16"/>
          <w:lang w:eastAsia="en-US"/>
        </w:rPr>
      </w:pPr>
      <w:r w:rsidRPr="00123376">
        <w:rPr>
          <w:rFonts w:ascii="Arial" w:hAnsi="Arial" w:cs="Arial"/>
          <w:i/>
          <w:sz w:val="16"/>
          <w:szCs w:val="16"/>
        </w:rPr>
        <w:t xml:space="preserve">Pozn.: </w:t>
      </w:r>
      <w:r w:rsidR="00D40F69" w:rsidRPr="00123376">
        <w:rPr>
          <w:rFonts w:ascii="Arial" w:hAnsi="Arial" w:cs="Arial"/>
          <w:i/>
          <w:sz w:val="16"/>
          <w:szCs w:val="16"/>
          <w:lang w:eastAsia="en-US"/>
        </w:rPr>
        <w:t>Oficiálne štatistické hodnoty kontextových ukazovateľov sú k dispozícii v roku n iba spätne za rok n-2.</w:t>
      </w:r>
      <w:r w:rsidRPr="00123376">
        <w:rPr>
          <w:rFonts w:ascii="Arial" w:hAnsi="Arial" w:cs="Arial"/>
          <w:i/>
          <w:sz w:val="16"/>
          <w:szCs w:val="16"/>
          <w:lang w:eastAsia="en-US"/>
        </w:rPr>
        <w:t xml:space="preserve"> </w:t>
      </w:r>
      <w:r w:rsidRPr="00123376">
        <w:rPr>
          <w:rFonts w:ascii="Arial" w:hAnsi="Arial" w:cs="Arial"/>
          <w:i/>
          <w:sz w:val="16"/>
          <w:szCs w:val="16"/>
          <w:lang w:eastAsia="en-US"/>
        </w:rPr>
        <w:br/>
      </w:r>
      <w:r w:rsidR="00D40F69" w:rsidRPr="00123376">
        <w:rPr>
          <w:rFonts w:ascii="Arial" w:hAnsi="Arial" w:cs="Arial"/>
          <w:i/>
          <w:sz w:val="16"/>
          <w:szCs w:val="16"/>
          <w:lang w:eastAsia="en-US"/>
        </w:rPr>
        <w:t xml:space="preserve">Z uvedených dôvodov sú </w:t>
      </w:r>
      <w:r w:rsidR="00B52D2E">
        <w:rPr>
          <w:rFonts w:ascii="Arial" w:hAnsi="Arial" w:cs="Arial"/>
          <w:i/>
          <w:sz w:val="16"/>
          <w:szCs w:val="16"/>
          <w:lang w:eastAsia="en-US"/>
        </w:rPr>
        <w:t>k termínu spracovania správy (</w:t>
      </w:r>
      <w:r w:rsidR="00D40F69" w:rsidRPr="00123376">
        <w:rPr>
          <w:rFonts w:ascii="Arial" w:hAnsi="Arial" w:cs="Arial"/>
          <w:i/>
          <w:sz w:val="16"/>
          <w:szCs w:val="16"/>
          <w:lang w:eastAsia="en-US"/>
        </w:rPr>
        <w:t xml:space="preserve">rok </w:t>
      </w:r>
      <w:r w:rsidR="00A1637D" w:rsidRPr="00123376">
        <w:rPr>
          <w:rFonts w:ascii="Arial" w:hAnsi="Arial" w:cs="Arial"/>
          <w:i/>
          <w:sz w:val="16"/>
          <w:szCs w:val="16"/>
          <w:lang w:eastAsia="en-US"/>
        </w:rPr>
        <w:t>201</w:t>
      </w:r>
      <w:r w:rsidR="00A1637D">
        <w:rPr>
          <w:rFonts w:ascii="Arial" w:hAnsi="Arial" w:cs="Arial"/>
          <w:i/>
          <w:sz w:val="16"/>
          <w:szCs w:val="16"/>
          <w:lang w:eastAsia="en-US"/>
        </w:rPr>
        <w:t>6</w:t>
      </w:r>
      <w:r w:rsidR="00D40F69" w:rsidRPr="00123376">
        <w:rPr>
          <w:rFonts w:ascii="Arial" w:hAnsi="Arial" w:cs="Arial"/>
          <w:i/>
          <w:sz w:val="16"/>
          <w:szCs w:val="16"/>
          <w:lang w:eastAsia="en-US"/>
        </w:rPr>
        <w:t>) k dispozícii iba hodnoty daných kontextových ukazovateľov za rok 201</w:t>
      </w:r>
      <w:r w:rsidR="00A1637D">
        <w:rPr>
          <w:rFonts w:ascii="Arial" w:hAnsi="Arial" w:cs="Arial"/>
          <w:i/>
          <w:sz w:val="16"/>
          <w:szCs w:val="16"/>
          <w:lang w:eastAsia="en-US"/>
        </w:rPr>
        <w:t>4</w:t>
      </w:r>
      <w:r w:rsidR="00D40F69" w:rsidRPr="00123376">
        <w:rPr>
          <w:rFonts w:ascii="Arial" w:hAnsi="Arial" w:cs="Arial"/>
          <w:i/>
          <w:sz w:val="16"/>
          <w:szCs w:val="16"/>
          <w:lang w:eastAsia="en-US"/>
        </w:rPr>
        <w:t>.</w:t>
      </w:r>
    </w:p>
    <w:p w14:paraId="5B5D9BC8" w14:textId="52240BDA" w:rsidR="00D40F69" w:rsidRPr="0008447E" w:rsidRDefault="00D40F69" w:rsidP="0008447E">
      <w:pPr>
        <w:autoSpaceDE w:val="0"/>
        <w:autoSpaceDN w:val="0"/>
        <w:adjustRightInd w:val="0"/>
        <w:spacing w:after="120"/>
        <w:jc w:val="both"/>
        <w:rPr>
          <w:rFonts w:ascii="Arial" w:hAnsi="Arial" w:cs="Arial"/>
          <w:i/>
          <w:sz w:val="16"/>
          <w:szCs w:val="16"/>
          <w:lang w:eastAsia="en-US"/>
        </w:rPr>
      </w:pPr>
      <w:r w:rsidRPr="00E21C60">
        <w:rPr>
          <w:rFonts w:ascii="Arial" w:hAnsi="Arial" w:cs="Arial"/>
          <w:sz w:val="20"/>
          <w:szCs w:val="20"/>
          <w:lang w:eastAsia="en-US"/>
        </w:rPr>
        <w:lastRenderedPageBreak/>
        <w:t xml:space="preserve">Na základe údajov uvedených v Správe o stave životného prostredia SR </w:t>
      </w:r>
      <w:r w:rsidR="00220DF3">
        <w:rPr>
          <w:rFonts w:ascii="Arial" w:hAnsi="Arial" w:cs="Arial"/>
          <w:sz w:val="20"/>
          <w:szCs w:val="20"/>
          <w:lang w:eastAsia="en-US"/>
        </w:rPr>
        <w:t>v</w:t>
      </w:r>
      <w:r w:rsidR="00220DF3" w:rsidRPr="00E21C60">
        <w:rPr>
          <w:rFonts w:ascii="Arial" w:hAnsi="Arial" w:cs="Arial"/>
          <w:sz w:val="20"/>
          <w:szCs w:val="20"/>
          <w:lang w:eastAsia="en-US"/>
        </w:rPr>
        <w:t xml:space="preserve"> </w:t>
      </w:r>
      <w:r w:rsidRPr="00E21C60">
        <w:rPr>
          <w:rFonts w:ascii="Arial" w:hAnsi="Arial" w:cs="Arial"/>
          <w:sz w:val="20"/>
          <w:szCs w:val="20"/>
          <w:lang w:eastAsia="en-US"/>
        </w:rPr>
        <w:t>rok</w:t>
      </w:r>
      <w:r w:rsidR="00220DF3">
        <w:rPr>
          <w:rFonts w:ascii="Arial" w:hAnsi="Arial" w:cs="Arial"/>
          <w:sz w:val="20"/>
          <w:szCs w:val="20"/>
          <w:lang w:eastAsia="en-US"/>
        </w:rPr>
        <w:t>u</w:t>
      </w:r>
      <w:r w:rsidRPr="00E21C60">
        <w:rPr>
          <w:rFonts w:ascii="Arial" w:hAnsi="Arial" w:cs="Arial"/>
          <w:sz w:val="20"/>
          <w:szCs w:val="20"/>
          <w:lang w:eastAsia="en-US"/>
        </w:rPr>
        <w:t xml:space="preserve"> 201</w:t>
      </w:r>
      <w:r w:rsidR="00382D3A">
        <w:rPr>
          <w:rFonts w:ascii="Arial" w:hAnsi="Arial" w:cs="Arial"/>
          <w:sz w:val="20"/>
          <w:szCs w:val="20"/>
          <w:lang w:eastAsia="en-US"/>
        </w:rPr>
        <w:t>4</w:t>
      </w:r>
      <w:r w:rsidRPr="00E21C60">
        <w:rPr>
          <w:rFonts w:ascii="Arial" w:hAnsi="Arial" w:cs="Arial"/>
          <w:sz w:val="20"/>
          <w:szCs w:val="20"/>
          <w:lang w:eastAsia="en-US"/>
        </w:rPr>
        <w:t xml:space="preserve"> (</w:t>
      </w:r>
      <w:r w:rsidR="00220DF3">
        <w:rPr>
          <w:rFonts w:ascii="Arial" w:hAnsi="Arial" w:cs="Arial"/>
          <w:sz w:val="20"/>
          <w:szCs w:val="20"/>
          <w:lang w:eastAsia="en-US"/>
        </w:rPr>
        <w:t>vydaná</w:t>
      </w:r>
      <w:r w:rsidRPr="00E21C60">
        <w:rPr>
          <w:rFonts w:ascii="Arial" w:hAnsi="Arial" w:cs="Arial"/>
          <w:sz w:val="20"/>
          <w:szCs w:val="20"/>
          <w:lang w:eastAsia="en-US"/>
        </w:rPr>
        <w:t xml:space="preserve"> ku koncu roka 201</w:t>
      </w:r>
      <w:r w:rsidR="00382D3A">
        <w:rPr>
          <w:rFonts w:ascii="Arial" w:hAnsi="Arial" w:cs="Arial"/>
          <w:sz w:val="20"/>
          <w:szCs w:val="20"/>
          <w:lang w:eastAsia="en-US"/>
        </w:rPr>
        <w:t>5</w:t>
      </w:r>
      <w:r w:rsidRPr="00E21C60">
        <w:rPr>
          <w:rFonts w:ascii="Arial" w:hAnsi="Arial" w:cs="Arial"/>
          <w:sz w:val="20"/>
          <w:szCs w:val="20"/>
          <w:lang w:eastAsia="en-US"/>
        </w:rPr>
        <w:t xml:space="preserve">) možno príspevok OP ŽP k napĺňaniu kontextových ukazovateľov vyhodnotiť </w:t>
      </w:r>
      <w:r w:rsidR="00873F75">
        <w:rPr>
          <w:rFonts w:ascii="Arial" w:hAnsi="Arial" w:cs="Arial"/>
          <w:sz w:val="20"/>
          <w:szCs w:val="20"/>
          <w:lang w:eastAsia="en-US"/>
        </w:rPr>
        <w:br/>
      </w:r>
      <w:r w:rsidRPr="00E21C60">
        <w:rPr>
          <w:rFonts w:ascii="Arial" w:hAnsi="Arial" w:cs="Arial"/>
          <w:sz w:val="20"/>
          <w:szCs w:val="20"/>
          <w:lang w:eastAsia="en-US"/>
        </w:rPr>
        <w:t>vo vzťahu k dosiahnutým hodnotám ukazovateľov OP ŽP k 31.12.201</w:t>
      </w:r>
      <w:r w:rsidR="00382D3A">
        <w:rPr>
          <w:rFonts w:ascii="Arial" w:hAnsi="Arial" w:cs="Arial"/>
          <w:sz w:val="20"/>
          <w:szCs w:val="20"/>
          <w:lang w:eastAsia="en-US"/>
        </w:rPr>
        <w:t>4</w:t>
      </w:r>
      <w:r w:rsidRPr="00E21C60">
        <w:rPr>
          <w:rFonts w:ascii="Arial" w:hAnsi="Arial" w:cs="Arial"/>
          <w:sz w:val="20"/>
          <w:szCs w:val="20"/>
          <w:lang w:eastAsia="en-US"/>
        </w:rPr>
        <w:t>.</w:t>
      </w:r>
    </w:p>
    <w:p w14:paraId="312E23F8" w14:textId="6E86D898" w:rsidR="00D901F7" w:rsidRPr="00F410CF" w:rsidRDefault="00C225F3" w:rsidP="00912C87">
      <w:pPr>
        <w:autoSpaceDE w:val="0"/>
        <w:autoSpaceDN w:val="0"/>
        <w:adjustRightInd w:val="0"/>
        <w:jc w:val="both"/>
        <w:rPr>
          <w:rFonts w:ascii="Arial" w:hAnsi="Arial" w:cs="Arial"/>
          <w:sz w:val="20"/>
          <w:szCs w:val="20"/>
          <w:lang w:eastAsia="en-US"/>
        </w:rPr>
      </w:pPr>
      <w:r>
        <w:rPr>
          <w:rFonts w:ascii="Arial" w:hAnsi="Arial" w:cs="Arial"/>
          <w:sz w:val="20"/>
          <w:szCs w:val="20"/>
          <w:lang w:eastAsia="en-US"/>
        </w:rPr>
        <w:t>Počet obyvateľov zásobovaných vodou z verejn</w:t>
      </w:r>
      <w:r w:rsidRPr="00366DBB">
        <w:rPr>
          <w:rFonts w:ascii="Arial" w:hAnsi="Arial" w:cs="Arial"/>
          <w:sz w:val="20"/>
          <w:szCs w:val="20"/>
          <w:lang w:eastAsia="en-US"/>
        </w:rPr>
        <w:t>ých vodovodov</w:t>
      </w:r>
      <w:r>
        <w:rPr>
          <w:rFonts w:ascii="Arial" w:hAnsi="Arial" w:cs="Arial"/>
          <w:sz w:val="20"/>
          <w:szCs w:val="20"/>
          <w:lang w:eastAsia="en-US"/>
        </w:rPr>
        <w:t xml:space="preserve"> má na Slovensku v stúpajúcu tendenciu, k čomu v posledných rokoch programového obdobia 2007 – 2013 pomohla realizácia projektov </w:t>
      </w:r>
      <w:r w:rsidRPr="005A7083">
        <w:rPr>
          <w:rFonts w:ascii="Arial" w:hAnsi="Arial" w:cs="Arial"/>
          <w:sz w:val="20"/>
          <w:szCs w:val="20"/>
          <w:lang w:eastAsia="en-US"/>
        </w:rPr>
        <w:t>prioritnej osi 1, operačného cieľa 1.1</w:t>
      </w:r>
      <w:r>
        <w:rPr>
          <w:rFonts w:ascii="Arial" w:hAnsi="Arial" w:cs="Arial"/>
          <w:sz w:val="20"/>
          <w:szCs w:val="20"/>
          <w:lang w:eastAsia="en-US"/>
        </w:rPr>
        <w:t>.</w:t>
      </w:r>
      <w:r w:rsidR="0067603D">
        <w:rPr>
          <w:rFonts w:ascii="Arial" w:hAnsi="Arial" w:cs="Arial"/>
          <w:sz w:val="20"/>
          <w:szCs w:val="20"/>
          <w:lang w:eastAsia="en-US"/>
        </w:rPr>
        <w:t xml:space="preserve"> Kým v roku 2008 bol podiel obyvateľov zásobovaných vodou z verejn</w:t>
      </w:r>
      <w:r w:rsidR="0067603D" w:rsidRPr="00366DBB">
        <w:rPr>
          <w:rFonts w:ascii="Arial" w:hAnsi="Arial" w:cs="Arial"/>
          <w:sz w:val="20"/>
          <w:szCs w:val="20"/>
          <w:lang w:eastAsia="en-US"/>
        </w:rPr>
        <w:t>ých vodovodov</w:t>
      </w:r>
      <w:r w:rsidR="0067603D">
        <w:rPr>
          <w:rFonts w:ascii="Arial" w:hAnsi="Arial" w:cs="Arial"/>
          <w:sz w:val="20"/>
          <w:szCs w:val="20"/>
          <w:lang w:eastAsia="en-US"/>
        </w:rPr>
        <w:t xml:space="preserve"> v SR 86,3 %, v roku 2014 </w:t>
      </w:r>
      <w:r w:rsidR="0067603D">
        <w:rPr>
          <w:rFonts w:ascii="Arial" w:hAnsi="Arial" w:cs="Arial"/>
          <w:sz w:val="20"/>
          <w:szCs w:val="20"/>
        </w:rPr>
        <w:t>dosiahol hodnotu</w:t>
      </w:r>
      <w:r w:rsidR="0067603D" w:rsidRPr="00912C87">
        <w:rPr>
          <w:rFonts w:ascii="Arial" w:hAnsi="Arial" w:cs="Arial"/>
          <w:sz w:val="20"/>
          <w:szCs w:val="20"/>
        </w:rPr>
        <w:t xml:space="preserve"> 87,</w:t>
      </w:r>
      <w:r w:rsidR="0067603D">
        <w:rPr>
          <w:rFonts w:ascii="Arial" w:hAnsi="Arial" w:cs="Arial"/>
          <w:sz w:val="20"/>
          <w:szCs w:val="20"/>
        </w:rPr>
        <w:t>7</w:t>
      </w:r>
      <w:r w:rsidR="0067603D" w:rsidRPr="00912C87">
        <w:rPr>
          <w:rFonts w:ascii="Arial" w:hAnsi="Arial" w:cs="Arial"/>
          <w:sz w:val="20"/>
          <w:szCs w:val="20"/>
        </w:rPr>
        <w:t xml:space="preserve"> % z celkového počtu obyvateľov SR</w:t>
      </w:r>
      <w:r w:rsidR="0067603D">
        <w:rPr>
          <w:rFonts w:ascii="Arial" w:hAnsi="Arial" w:cs="Arial"/>
          <w:sz w:val="20"/>
          <w:szCs w:val="20"/>
        </w:rPr>
        <w:t>. P</w:t>
      </w:r>
      <w:r w:rsidR="0067603D">
        <w:rPr>
          <w:rFonts w:ascii="Arial" w:hAnsi="Arial" w:cs="Arial"/>
          <w:sz w:val="20"/>
          <w:szCs w:val="20"/>
          <w:lang w:eastAsia="en-US"/>
        </w:rPr>
        <w:t>ostupná</w:t>
      </w:r>
      <w:r w:rsidR="00D901F7" w:rsidRPr="00761A8A">
        <w:rPr>
          <w:rFonts w:ascii="Arial" w:hAnsi="Arial" w:cs="Arial"/>
          <w:sz w:val="20"/>
          <w:szCs w:val="20"/>
          <w:lang w:eastAsia="en-US"/>
        </w:rPr>
        <w:t xml:space="preserve"> realiz</w:t>
      </w:r>
      <w:r w:rsidR="0067603D">
        <w:rPr>
          <w:rFonts w:ascii="Arial" w:hAnsi="Arial" w:cs="Arial"/>
          <w:sz w:val="20"/>
          <w:szCs w:val="20"/>
          <w:lang w:eastAsia="en-US"/>
        </w:rPr>
        <w:t>ácia</w:t>
      </w:r>
      <w:r w:rsidR="00D901F7" w:rsidRPr="005A7083">
        <w:rPr>
          <w:rFonts w:ascii="Arial" w:hAnsi="Arial" w:cs="Arial"/>
          <w:sz w:val="20"/>
          <w:szCs w:val="20"/>
          <w:lang w:eastAsia="en-US"/>
        </w:rPr>
        <w:t xml:space="preserve"> projektov </w:t>
      </w:r>
      <w:r w:rsidR="0067603D">
        <w:rPr>
          <w:rFonts w:ascii="Arial" w:hAnsi="Arial" w:cs="Arial"/>
          <w:sz w:val="20"/>
          <w:szCs w:val="20"/>
          <w:lang w:eastAsia="en-US"/>
        </w:rPr>
        <w:t>prispela</w:t>
      </w:r>
      <w:r w:rsidR="00D901F7" w:rsidRPr="005A7083">
        <w:rPr>
          <w:rFonts w:ascii="Arial" w:hAnsi="Arial" w:cs="Arial"/>
          <w:sz w:val="20"/>
          <w:szCs w:val="20"/>
          <w:lang w:eastAsia="en-US"/>
        </w:rPr>
        <w:t xml:space="preserve"> k napĺňaniu kontextového </w:t>
      </w:r>
      <w:r w:rsidR="00D901F7" w:rsidRPr="002A1EAC">
        <w:rPr>
          <w:rFonts w:ascii="Arial" w:hAnsi="Arial" w:cs="Arial"/>
          <w:sz w:val="20"/>
          <w:szCs w:val="20"/>
          <w:lang w:eastAsia="en-US"/>
        </w:rPr>
        <w:t>ukazovateľa „Podiel obyvateľov zásobovaných vodou z</w:t>
      </w:r>
      <w:r w:rsidR="00E571A4" w:rsidRPr="002A1EAC">
        <w:rPr>
          <w:rFonts w:ascii="Arial" w:hAnsi="Arial" w:cs="Arial"/>
          <w:sz w:val="20"/>
          <w:szCs w:val="20"/>
          <w:lang w:eastAsia="en-US"/>
        </w:rPr>
        <w:t> </w:t>
      </w:r>
      <w:r w:rsidR="00D901F7" w:rsidRPr="002A1EAC">
        <w:rPr>
          <w:rFonts w:ascii="Arial" w:hAnsi="Arial" w:cs="Arial"/>
          <w:sz w:val="20"/>
          <w:szCs w:val="20"/>
          <w:lang w:eastAsia="en-US"/>
        </w:rPr>
        <w:t>verejných</w:t>
      </w:r>
      <w:r w:rsidR="00E571A4" w:rsidRPr="002A1EAC">
        <w:rPr>
          <w:rFonts w:ascii="Arial" w:hAnsi="Arial" w:cs="Arial"/>
          <w:sz w:val="20"/>
          <w:szCs w:val="20"/>
          <w:lang w:eastAsia="en-US"/>
        </w:rPr>
        <w:t> </w:t>
      </w:r>
      <w:r w:rsidR="00D901F7" w:rsidRPr="002A1EAC">
        <w:rPr>
          <w:rFonts w:ascii="Arial" w:hAnsi="Arial" w:cs="Arial"/>
          <w:sz w:val="20"/>
          <w:szCs w:val="20"/>
          <w:lang w:eastAsia="en-US"/>
        </w:rPr>
        <w:t xml:space="preserve">vodovodov“ </w:t>
      </w:r>
      <w:r w:rsidR="0067603D">
        <w:rPr>
          <w:rFonts w:ascii="Arial" w:hAnsi="Arial" w:cs="Arial"/>
          <w:sz w:val="20"/>
          <w:szCs w:val="20"/>
          <w:lang w:eastAsia="en-US"/>
        </w:rPr>
        <w:t>hlavne od roku 2014</w:t>
      </w:r>
      <w:r w:rsidR="00D901F7" w:rsidRPr="002A1EAC">
        <w:rPr>
          <w:rFonts w:ascii="Arial" w:hAnsi="Arial" w:cs="Arial"/>
          <w:sz w:val="20"/>
          <w:szCs w:val="20"/>
          <w:lang w:eastAsia="en-US"/>
        </w:rPr>
        <w:t xml:space="preserve">. Kým v roku </w:t>
      </w:r>
      <w:r w:rsidR="00C85D11" w:rsidRPr="002A1EAC">
        <w:rPr>
          <w:rFonts w:ascii="Arial" w:hAnsi="Arial" w:cs="Arial"/>
          <w:sz w:val="20"/>
          <w:szCs w:val="20"/>
          <w:lang w:eastAsia="en-US"/>
        </w:rPr>
        <w:t>201</w:t>
      </w:r>
      <w:r w:rsidR="00382D3A">
        <w:rPr>
          <w:rFonts w:ascii="Arial" w:hAnsi="Arial" w:cs="Arial"/>
          <w:sz w:val="20"/>
          <w:szCs w:val="20"/>
          <w:lang w:eastAsia="en-US"/>
        </w:rPr>
        <w:t>3</w:t>
      </w:r>
      <w:r w:rsidR="00C85D11" w:rsidRPr="00912C87">
        <w:rPr>
          <w:rFonts w:ascii="Arial" w:hAnsi="Arial" w:cs="Arial"/>
          <w:sz w:val="20"/>
          <w:szCs w:val="20"/>
          <w:lang w:eastAsia="en-US"/>
        </w:rPr>
        <w:t xml:space="preserve"> </w:t>
      </w:r>
      <w:r w:rsidR="00D901F7" w:rsidRPr="002A1EAC">
        <w:rPr>
          <w:rFonts w:ascii="Arial" w:hAnsi="Arial" w:cs="Arial"/>
          <w:sz w:val="20"/>
          <w:szCs w:val="20"/>
          <w:lang w:eastAsia="en-US"/>
        </w:rPr>
        <w:t>bol počet obyvateľov zásobovaných vodou z </w:t>
      </w:r>
      <w:r w:rsidR="00D901F7" w:rsidRPr="00F410CF">
        <w:rPr>
          <w:rFonts w:ascii="Arial" w:hAnsi="Arial" w:cs="Arial"/>
          <w:sz w:val="20"/>
          <w:szCs w:val="20"/>
          <w:lang w:eastAsia="en-US"/>
        </w:rPr>
        <w:t xml:space="preserve">verejných vodovodov </w:t>
      </w:r>
      <w:r w:rsidR="003A4AF2" w:rsidRPr="00F410CF">
        <w:rPr>
          <w:rFonts w:ascii="Arial" w:hAnsi="Arial" w:cs="Arial"/>
          <w:sz w:val="20"/>
          <w:szCs w:val="20"/>
          <w:lang w:eastAsia="en-US"/>
        </w:rPr>
        <w:t xml:space="preserve">zrealizovaných </w:t>
      </w:r>
      <w:r w:rsidR="00D901F7" w:rsidRPr="00F410CF">
        <w:rPr>
          <w:rFonts w:ascii="Arial" w:hAnsi="Arial" w:cs="Arial"/>
          <w:sz w:val="20"/>
          <w:szCs w:val="20"/>
          <w:lang w:eastAsia="en-US"/>
        </w:rPr>
        <w:t>z</w:t>
      </w:r>
      <w:r w:rsidR="00800BCF" w:rsidRPr="00F410CF">
        <w:rPr>
          <w:rFonts w:ascii="Arial" w:hAnsi="Arial" w:cs="Arial"/>
          <w:sz w:val="20"/>
          <w:szCs w:val="20"/>
          <w:lang w:eastAsia="en-US"/>
        </w:rPr>
        <w:t> </w:t>
      </w:r>
      <w:r w:rsidR="00D901F7" w:rsidRPr="00F410CF">
        <w:rPr>
          <w:rFonts w:ascii="Arial" w:hAnsi="Arial" w:cs="Arial"/>
          <w:sz w:val="20"/>
          <w:szCs w:val="20"/>
          <w:lang w:eastAsia="en-US"/>
        </w:rPr>
        <w:t>OP</w:t>
      </w:r>
      <w:r w:rsidR="00800BCF" w:rsidRPr="00F410CF">
        <w:rPr>
          <w:rFonts w:ascii="Arial" w:hAnsi="Arial" w:cs="Arial"/>
          <w:sz w:val="20"/>
          <w:szCs w:val="20"/>
          <w:lang w:eastAsia="en-US"/>
        </w:rPr>
        <w:t xml:space="preserve"> </w:t>
      </w:r>
      <w:r w:rsidR="00D901F7" w:rsidRPr="00F410CF">
        <w:rPr>
          <w:rFonts w:ascii="Arial" w:hAnsi="Arial" w:cs="Arial"/>
          <w:sz w:val="20"/>
          <w:szCs w:val="20"/>
          <w:lang w:eastAsia="en-US"/>
        </w:rPr>
        <w:t xml:space="preserve">ŽP </w:t>
      </w:r>
      <w:r w:rsidR="0067603D" w:rsidRPr="00F410CF">
        <w:rPr>
          <w:rFonts w:ascii="Arial" w:hAnsi="Arial" w:cs="Arial"/>
          <w:sz w:val="20"/>
          <w:szCs w:val="20"/>
          <w:lang w:eastAsia="en-US"/>
        </w:rPr>
        <w:t xml:space="preserve">iba </w:t>
      </w:r>
      <w:r w:rsidR="00382D3A" w:rsidRPr="00F410CF">
        <w:rPr>
          <w:rFonts w:ascii="Arial" w:hAnsi="Arial" w:cs="Arial"/>
          <w:sz w:val="20"/>
          <w:szCs w:val="20"/>
          <w:lang w:eastAsia="en-US"/>
        </w:rPr>
        <w:t xml:space="preserve">4 150 </w:t>
      </w:r>
      <w:r w:rsidR="00D901F7" w:rsidRPr="00F410CF">
        <w:rPr>
          <w:rFonts w:ascii="Arial" w:hAnsi="Arial" w:cs="Arial"/>
          <w:sz w:val="20"/>
          <w:szCs w:val="20"/>
          <w:lang w:eastAsia="en-US"/>
        </w:rPr>
        <w:t>obyvateľov</w:t>
      </w:r>
      <w:r w:rsidR="005A7083" w:rsidRPr="00F410CF">
        <w:rPr>
          <w:rFonts w:ascii="Arial" w:hAnsi="Arial" w:cs="Arial"/>
          <w:sz w:val="20"/>
          <w:szCs w:val="20"/>
          <w:lang w:eastAsia="en-US"/>
        </w:rPr>
        <w:t>, v r. 201</w:t>
      </w:r>
      <w:r w:rsidR="00382D3A" w:rsidRPr="00F410CF">
        <w:rPr>
          <w:rFonts w:ascii="Arial" w:hAnsi="Arial" w:cs="Arial"/>
          <w:sz w:val="20"/>
          <w:szCs w:val="20"/>
          <w:lang w:eastAsia="en-US"/>
        </w:rPr>
        <w:t>4</w:t>
      </w:r>
      <w:r w:rsidR="005A7083" w:rsidRPr="00F410CF">
        <w:rPr>
          <w:rFonts w:ascii="Arial" w:hAnsi="Arial" w:cs="Arial"/>
          <w:sz w:val="20"/>
          <w:szCs w:val="20"/>
          <w:lang w:eastAsia="en-US"/>
        </w:rPr>
        <w:t xml:space="preserve"> to bolo </w:t>
      </w:r>
      <w:r w:rsidR="0067603D" w:rsidRPr="00F410CF">
        <w:rPr>
          <w:rFonts w:ascii="Arial" w:hAnsi="Arial" w:cs="Arial"/>
          <w:sz w:val="20"/>
          <w:szCs w:val="20"/>
          <w:lang w:eastAsia="en-US"/>
        </w:rPr>
        <w:t xml:space="preserve">už </w:t>
      </w:r>
      <w:r w:rsidR="00382D3A" w:rsidRPr="00F410CF">
        <w:rPr>
          <w:rFonts w:ascii="Arial" w:hAnsi="Arial" w:cs="Arial"/>
          <w:sz w:val="20"/>
          <w:szCs w:val="20"/>
          <w:lang w:eastAsia="en-US"/>
        </w:rPr>
        <w:t>33</w:t>
      </w:r>
      <w:r w:rsidR="0067603D" w:rsidRPr="00F410CF">
        <w:rPr>
          <w:rFonts w:ascii="Arial" w:hAnsi="Arial" w:cs="Arial"/>
          <w:sz w:val="20"/>
          <w:szCs w:val="20"/>
          <w:lang w:eastAsia="en-US"/>
        </w:rPr>
        <w:t> </w:t>
      </w:r>
      <w:r w:rsidR="00382D3A" w:rsidRPr="00F410CF">
        <w:rPr>
          <w:rFonts w:ascii="Arial" w:hAnsi="Arial" w:cs="Arial"/>
          <w:sz w:val="20"/>
          <w:szCs w:val="20"/>
          <w:lang w:eastAsia="en-US"/>
        </w:rPr>
        <w:t>019</w:t>
      </w:r>
      <w:r w:rsidR="0067603D" w:rsidRPr="00F410CF">
        <w:rPr>
          <w:rFonts w:ascii="Arial" w:hAnsi="Arial" w:cs="Arial"/>
          <w:sz w:val="20"/>
          <w:szCs w:val="20"/>
          <w:lang w:eastAsia="en-US"/>
        </w:rPr>
        <w:t>, v r. 2015 39</w:t>
      </w:r>
      <w:r w:rsidR="003A4AF2" w:rsidRPr="00F410CF">
        <w:rPr>
          <w:rFonts w:ascii="Arial" w:hAnsi="Arial" w:cs="Arial"/>
          <w:sz w:val="20"/>
          <w:szCs w:val="20"/>
          <w:lang w:eastAsia="en-US"/>
        </w:rPr>
        <w:t> </w:t>
      </w:r>
      <w:r w:rsidR="0067603D" w:rsidRPr="00F410CF">
        <w:rPr>
          <w:rFonts w:ascii="Arial" w:hAnsi="Arial" w:cs="Arial"/>
          <w:sz w:val="20"/>
          <w:szCs w:val="20"/>
          <w:lang w:eastAsia="en-US"/>
        </w:rPr>
        <w:t>733</w:t>
      </w:r>
      <w:r w:rsidR="003A4AF2" w:rsidRPr="00F410CF">
        <w:rPr>
          <w:rFonts w:ascii="Arial" w:hAnsi="Arial" w:cs="Arial"/>
          <w:sz w:val="20"/>
          <w:szCs w:val="20"/>
          <w:lang w:eastAsia="en-US"/>
        </w:rPr>
        <w:t xml:space="preserve"> obyvateľov</w:t>
      </w:r>
      <w:r w:rsidR="0067603D" w:rsidRPr="00F410CF">
        <w:rPr>
          <w:rFonts w:ascii="Arial" w:hAnsi="Arial" w:cs="Arial"/>
          <w:sz w:val="20"/>
          <w:szCs w:val="20"/>
          <w:lang w:eastAsia="en-US"/>
        </w:rPr>
        <w:t>.</w:t>
      </w:r>
    </w:p>
    <w:p w14:paraId="51EA7426" w14:textId="4AD1AEB9" w:rsidR="00577464" w:rsidRPr="00701F2B" w:rsidRDefault="00577464" w:rsidP="00577464">
      <w:pPr>
        <w:spacing w:before="120" w:after="120"/>
        <w:jc w:val="both"/>
        <w:rPr>
          <w:rFonts w:ascii="Arial" w:hAnsi="Arial" w:cs="Arial"/>
          <w:sz w:val="20"/>
          <w:szCs w:val="20"/>
          <w:lang w:eastAsia="en-US"/>
        </w:rPr>
      </w:pPr>
      <w:r w:rsidRPr="00F410CF">
        <w:rPr>
          <w:rFonts w:ascii="Arial" w:hAnsi="Arial" w:cs="Arial"/>
          <w:sz w:val="20"/>
          <w:szCs w:val="20"/>
          <w:lang w:eastAsia="en-US"/>
        </w:rPr>
        <w:t xml:space="preserve">Aj keď napojenie obyvateľstva na verejné kanalizácie v roku 2014 (64,7 %) zaostalo za napojením na verejné vodovody, má podobne ako napojenosť obyvateľstva na verejný vodovod stúpajúci charakter. V roku 2014 bol zaznamenaný nárast počtu obyvateľov bývajúcich v domoch pripojených na verejnú kanalizáciu na 3 506 tis. obyvateľov (v roku 2008 to bolo </w:t>
      </w:r>
      <w:r w:rsidRPr="00F410CF">
        <w:rPr>
          <w:rFonts w:ascii="Arial" w:hAnsi="Arial" w:cs="Arial"/>
          <w:sz w:val="20"/>
          <w:szCs w:val="20"/>
        </w:rPr>
        <w:t>3 196,6 tis. obyvateľov).</w:t>
      </w:r>
      <w:r w:rsidRPr="00F410CF">
        <w:rPr>
          <w:rFonts w:ascii="Arial" w:hAnsi="Arial" w:cs="Arial"/>
          <w:sz w:val="20"/>
          <w:szCs w:val="20"/>
          <w:lang w:eastAsia="en-US"/>
        </w:rPr>
        <w:t xml:space="preserve"> V roku 201</w:t>
      </w:r>
      <w:r w:rsidR="005B709A">
        <w:rPr>
          <w:rFonts w:ascii="Arial" w:hAnsi="Arial" w:cs="Arial"/>
          <w:sz w:val="20"/>
          <w:szCs w:val="20"/>
          <w:lang w:eastAsia="en-US"/>
        </w:rPr>
        <w:t>4</w:t>
      </w:r>
      <w:r w:rsidRPr="00F410CF">
        <w:rPr>
          <w:rFonts w:ascii="Arial" w:hAnsi="Arial" w:cs="Arial"/>
          <w:sz w:val="20"/>
          <w:szCs w:val="20"/>
          <w:lang w:eastAsia="en-US"/>
        </w:rPr>
        <w:t xml:space="preserve"> realizácia projektov prioritnej osi 1, operačného cieľa 1.2. OP ŽP prispela k napĺňaniu kontextového ukazovateľa „Počet obyvateľov napojených na verejnú kanalizáciu“. Postupne zvýšený nárast hodnoty počet ekvivalentných obyvateľov napojených na verejnú kanalizáciu bol zaznamenaný od roku 2014, kedy táto hodnota bola  44 195 ekvivalentných obyvateľov</w:t>
      </w:r>
      <w:r w:rsidR="00D230BB">
        <w:rPr>
          <w:rFonts w:ascii="Arial" w:hAnsi="Arial" w:cs="Arial"/>
          <w:sz w:val="20"/>
          <w:szCs w:val="20"/>
          <w:lang w:eastAsia="en-US"/>
        </w:rPr>
        <w:t xml:space="preserve"> a v roku 2015 bol nárast na 99 101 EO</w:t>
      </w:r>
      <w:r w:rsidRPr="00F410CF">
        <w:rPr>
          <w:rFonts w:ascii="Arial" w:hAnsi="Arial" w:cs="Arial"/>
          <w:sz w:val="20"/>
          <w:szCs w:val="20"/>
          <w:lang w:eastAsia="en-US"/>
        </w:rPr>
        <w:t xml:space="preserve">. V porovnaní s rokom 2013 to bolo 13 883 ekvivalentných obyvateľov a v roku 2012 iba 1 890 ekvivalentných obyvateľov. </w:t>
      </w:r>
      <w:r w:rsidRPr="00F410CF">
        <w:rPr>
          <w:rFonts w:ascii="Arial" w:hAnsi="Arial" w:cs="Arial"/>
          <w:sz w:val="20"/>
          <w:szCs w:val="20"/>
        </w:rPr>
        <w:t xml:space="preserve">Celkovo </w:t>
      </w:r>
      <w:r w:rsidRPr="00F410CF">
        <w:rPr>
          <w:rFonts w:ascii="Arial" w:hAnsi="Arial" w:cs="Arial"/>
          <w:sz w:val="20"/>
          <w:szCs w:val="20"/>
          <w:lang w:eastAsia="en-US"/>
        </w:rPr>
        <w:t xml:space="preserve">bol v SR z pohľadu vývoja vypúšťania </w:t>
      </w:r>
      <w:r w:rsidR="00D230BB">
        <w:rPr>
          <w:rFonts w:ascii="Arial" w:hAnsi="Arial" w:cs="Arial"/>
          <w:sz w:val="20"/>
          <w:szCs w:val="20"/>
          <w:lang w:eastAsia="en-US"/>
        </w:rPr>
        <w:t>z</w:t>
      </w:r>
      <w:r w:rsidRPr="00F410CF">
        <w:rPr>
          <w:rFonts w:ascii="Arial" w:hAnsi="Arial" w:cs="Arial"/>
          <w:sz w:val="20"/>
          <w:szCs w:val="20"/>
          <w:lang w:eastAsia="en-US"/>
        </w:rPr>
        <w:t xml:space="preserve">nečistených odpadových vôd do vodných tokov zaznamenaný pozitívny trend odzrkadľujúci zníženie objemu vypúšťaných </w:t>
      </w:r>
      <w:r w:rsidR="00D230BB">
        <w:rPr>
          <w:rFonts w:ascii="Arial" w:hAnsi="Arial" w:cs="Arial"/>
          <w:sz w:val="20"/>
          <w:szCs w:val="20"/>
          <w:lang w:eastAsia="en-US"/>
        </w:rPr>
        <w:t>zn</w:t>
      </w:r>
      <w:r w:rsidRPr="00F410CF">
        <w:rPr>
          <w:rFonts w:ascii="Arial" w:hAnsi="Arial" w:cs="Arial"/>
          <w:sz w:val="20"/>
          <w:szCs w:val="20"/>
          <w:lang w:eastAsia="en-US"/>
        </w:rPr>
        <w:t>ečistených odpadových vôd. Zároveň bol zaznamenaný pokles vo všetkých ukazovateľoch znečistenia odpadových vôd. Počet obyvateľov pripojených na verejnú kanalizáciu s ČOV bol v roku 2014 63,69% z celkového počtu obyvateľov SR (napr. v r. 2008 bola táto hodnota len 57,3 %).</w:t>
      </w:r>
      <w:r w:rsidRPr="00415CF7">
        <w:rPr>
          <w:rFonts w:ascii="Arial" w:hAnsi="Arial" w:cs="Arial"/>
          <w:sz w:val="20"/>
          <w:szCs w:val="20"/>
          <w:lang w:eastAsia="en-US"/>
        </w:rPr>
        <w:t xml:space="preserve"> </w:t>
      </w:r>
    </w:p>
    <w:p w14:paraId="71562575" w14:textId="3FD19157" w:rsidR="005E285E" w:rsidRDefault="005E285E" w:rsidP="00123376">
      <w:pPr>
        <w:autoSpaceDE w:val="0"/>
        <w:autoSpaceDN w:val="0"/>
        <w:adjustRightInd w:val="0"/>
        <w:spacing w:before="120" w:after="120"/>
        <w:jc w:val="both"/>
        <w:rPr>
          <w:rFonts w:ascii="Arial" w:hAnsi="Arial" w:cs="Arial"/>
          <w:sz w:val="20"/>
          <w:szCs w:val="20"/>
          <w:lang w:eastAsia="en-US"/>
        </w:rPr>
      </w:pPr>
      <w:r w:rsidRPr="005E285E">
        <w:rPr>
          <w:rFonts w:ascii="Arial" w:hAnsi="Arial" w:cs="Arial"/>
          <w:sz w:val="20"/>
          <w:szCs w:val="20"/>
          <w:lang w:eastAsia="en-US"/>
        </w:rPr>
        <w:t>V rámci programového obdobia 2007 – 2013 mala najväčší vplyv na zvýšenie plochy územia so zabezpečenou protipovodňovou ochranou postupná realizácia projektov, ktoré boli podporované v rámci prioritnej osi 2 Ochrana pred povodňami. Napriek tomu, že na začiatku programového obdobia hodnoty ukazovateľa sa zvyšovali pomalšie, už na konci r. 2013 vďaka postupnej realizácii projektov dochádzalo k jeho výraznému navýšeniu. V roku 2014 dosiahla plocha územia so zabezpečenou protipovodňovou ochranou 6 445,81 km2 , čím výrazne prekročila cieľovú hodnotu 5 970 km</w:t>
      </w:r>
      <w:r w:rsidRPr="00A8750C">
        <w:rPr>
          <w:rFonts w:ascii="Arial" w:hAnsi="Arial" w:cs="Arial"/>
          <w:sz w:val="20"/>
          <w:szCs w:val="20"/>
          <w:vertAlign w:val="superscript"/>
          <w:lang w:eastAsia="en-US"/>
        </w:rPr>
        <w:t>2</w:t>
      </w:r>
      <w:r w:rsidRPr="005E285E">
        <w:rPr>
          <w:rFonts w:ascii="Arial" w:hAnsi="Arial" w:cs="Arial"/>
          <w:sz w:val="20"/>
          <w:szCs w:val="20"/>
          <w:lang w:eastAsia="en-US"/>
        </w:rPr>
        <w:t xml:space="preserve"> . V roku 201</w:t>
      </w:r>
      <w:r w:rsidR="005B709A">
        <w:rPr>
          <w:rFonts w:ascii="Arial" w:hAnsi="Arial" w:cs="Arial"/>
          <w:sz w:val="20"/>
          <w:szCs w:val="20"/>
          <w:lang w:eastAsia="en-US"/>
        </w:rPr>
        <w:t>4</w:t>
      </w:r>
      <w:r w:rsidRPr="005E285E">
        <w:rPr>
          <w:rFonts w:ascii="Arial" w:hAnsi="Arial" w:cs="Arial"/>
          <w:sz w:val="20"/>
          <w:szCs w:val="20"/>
          <w:lang w:eastAsia="en-US"/>
        </w:rPr>
        <w:t xml:space="preserve"> bola zabezpečená protipovodňová ochrana z prostriedkov OP ŽP na ploche </w:t>
      </w:r>
      <w:r w:rsidR="005B709A">
        <w:rPr>
          <w:rFonts w:ascii="Arial" w:hAnsi="Arial" w:cs="Arial"/>
          <w:sz w:val="20"/>
          <w:szCs w:val="20"/>
          <w:lang w:eastAsia="en-US"/>
        </w:rPr>
        <w:t>350</w:t>
      </w:r>
      <w:r w:rsidRPr="005E285E">
        <w:rPr>
          <w:rFonts w:ascii="Arial" w:hAnsi="Arial" w:cs="Arial"/>
          <w:sz w:val="20"/>
          <w:szCs w:val="20"/>
          <w:lang w:eastAsia="en-US"/>
        </w:rPr>
        <w:t xml:space="preserve"> km</w:t>
      </w:r>
      <w:r w:rsidRPr="00A8750C">
        <w:rPr>
          <w:rFonts w:ascii="Arial" w:hAnsi="Arial" w:cs="Arial"/>
          <w:sz w:val="20"/>
          <w:szCs w:val="20"/>
          <w:vertAlign w:val="superscript"/>
          <w:lang w:eastAsia="en-US"/>
        </w:rPr>
        <w:t>2</w:t>
      </w:r>
      <w:r w:rsidRPr="005E285E">
        <w:rPr>
          <w:rFonts w:ascii="Arial" w:hAnsi="Arial" w:cs="Arial"/>
          <w:sz w:val="20"/>
          <w:szCs w:val="20"/>
          <w:lang w:eastAsia="en-US"/>
        </w:rPr>
        <w:t>. Plocha územia so zabezpečenou protipovodňovou ochranou za rok 2014 (okrem projektov realizovaných v rámci OP ŽP) bola za SR 0,97 km</w:t>
      </w:r>
      <w:r w:rsidRPr="00A8750C">
        <w:rPr>
          <w:rFonts w:ascii="Arial" w:hAnsi="Arial" w:cs="Arial"/>
          <w:sz w:val="20"/>
          <w:szCs w:val="20"/>
          <w:vertAlign w:val="superscript"/>
          <w:lang w:eastAsia="en-US"/>
        </w:rPr>
        <w:t>2</w:t>
      </w:r>
      <w:r w:rsidRPr="005E285E">
        <w:rPr>
          <w:rFonts w:ascii="Arial" w:hAnsi="Arial" w:cs="Arial"/>
          <w:sz w:val="20"/>
          <w:szCs w:val="20"/>
          <w:lang w:eastAsia="en-US"/>
        </w:rPr>
        <w:t xml:space="preserve">. </w:t>
      </w:r>
      <w:r w:rsidR="00A8750C">
        <w:rPr>
          <w:rFonts w:ascii="Arial" w:hAnsi="Arial" w:cs="Arial"/>
          <w:sz w:val="20"/>
          <w:szCs w:val="20"/>
          <w:lang w:eastAsia="en-US"/>
        </w:rPr>
        <w:t>V</w:t>
      </w:r>
      <w:r w:rsidRPr="005E285E">
        <w:rPr>
          <w:rFonts w:ascii="Arial" w:hAnsi="Arial" w:cs="Arial"/>
          <w:sz w:val="20"/>
          <w:szCs w:val="20"/>
          <w:lang w:eastAsia="en-US"/>
        </w:rPr>
        <w:t xml:space="preserve"> roku 2015 bola z prostriedkov OP ŽP dosiahnutá najvyššia hodnota (</w:t>
      </w:r>
      <w:r w:rsidR="00A162F2">
        <w:rPr>
          <w:rFonts w:ascii="Arial" w:hAnsi="Arial" w:cs="Arial"/>
          <w:sz w:val="20"/>
          <w:szCs w:val="20"/>
          <w:lang w:eastAsia="en-US"/>
        </w:rPr>
        <w:t>486</w:t>
      </w:r>
      <w:r w:rsidRPr="005E285E">
        <w:rPr>
          <w:rFonts w:ascii="Arial" w:hAnsi="Arial" w:cs="Arial"/>
          <w:sz w:val="20"/>
          <w:szCs w:val="20"/>
          <w:lang w:eastAsia="en-US"/>
        </w:rPr>
        <w:t xml:space="preserve"> km</w:t>
      </w:r>
      <w:r w:rsidRPr="00A8750C">
        <w:rPr>
          <w:rFonts w:ascii="Arial" w:hAnsi="Arial" w:cs="Arial"/>
          <w:sz w:val="20"/>
          <w:szCs w:val="20"/>
          <w:vertAlign w:val="superscript"/>
          <w:lang w:eastAsia="en-US"/>
        </w:rPr>
        <w:t>2</w:t>
      </w:r>
      <w:r w:rsidRPr="005E285E">
        <w:rPr>
          <w:rFonts w:ascii="Arial" w:hAnsi="Arial" w:cs="Arial"/>
          <w:sz w:val="20"/>
          <w:szCs w:val="20"/>
          <w:lang w:eastAsia="en-US"/>
        </w:rPr>
        <w:t xml:space="preserve">) plochy územia so zabezpečenou protipovodňovou ochranou, </w:t>
      </w:r>
      <w:r w:rsidR="00A8750C">
        <w:rPr>
          <w:rFonts w:ascii="Arial" w:hAnsi="Arial" w:cs="Arial"/>
          <w:sz w:val="20"/>
          <w:szCs w:val="20"/>
          <w:lang w:eastAsia="en-US"/>
        </w:rPr>
        <w:t xml:space="preserve">čo sa prejavilo aj na celkovej hodnote </w:t>
      </w:r>
      <w:r w:rsidR="00A8750C" w:rsidRPr="005E285E">
        <w:rPr>
          <w:rFonts w:ascii="Arial" w:hAnsi="Arial" w:cs="Arial"/>
          <w:sz w:val="20"/>
          <w:szCs w:val="20"/>
          <w:lang w:eastAsia="en-US"/>
        </w:rPr>
        <w:t>plochy územia so zabezpečenou protipovodňovou ochranou</w:t>
      </w:r>
      <w:r w:rsidR="00A8750C">
        <w:rPr>
          <w:rFonts w:ascii="Arial" w:hAnsi="Arial" w:cs="Arial"/>
          <w:sz w:val="20"/>
          <w:szCs w:val="20"/>
          <w:lang w:eastAsia="en-US"/>
        </w:rPr>
        <w:t xml:space="preserve">, ktorá </w:t>
      </w:r>
      <w:r w:rsidR="00CB7AD3">
        <w:rPr>
          <w:rFonts w:ascii="Arial" w:hAnsi="Arial" w:cs="Arial"/>
          <w:sz w:val="20"/>
          <w:szCs w:val="20"/>
          <w:lang w:eastAsia="en-US"/>
        </w:rPr>
        <w:t>predstavuje</w:t>
      </w:r>
      <w:r w:rsidR="00A8750C">
        <w:rPr>
          <w:rFonts w:ascii="Arial" w:hAnsi="Arial" w:cs="Arial"/>
          <w:sz w:val="20"/>
          <w:szCs w:val="20"/>
          <w:lang w:eastAsia="en-US"/>
        </w:rPr>
        <w:t xml:space="preserve"> </w:t>
      </w:r>
      <w:r w:rsidRPr="005E285E">
        <w:rPr>
          <w:rFonts w:ascii="Arial" w:hAnsi="Arial" w:cs="Arial"/>
          <w:sz w:val="20"/>
          <w:szCs w:val="20"/>
          <w:lang w:eastAsia="en-US"/>
        </w:rPr>
        <w:t xml:space="preserve"> 6</w:t>
      </w:r>
      <w:r w:rsidR="00C225F3">
        <w:rPr>
          <w:rFonts w:ascii="Arial" w:hAnsi="Arial" w:cs="Arial"/>
          <w:sz w:val="20"/>
          <w:szCs w:val="20"/>
          <w:lang w:eastAsia="en-US"/>
        </w:rPr>
        <w:t xml:space="preserve"> </w:t>
      </w:r>
      <w:r w:rsidR="0075664E">
        <w:rPr>
          <w:rFonts w:ascii="Arial" w:hAnsi="Arial" w:cs="Arial"/>
          <w:sz w:val="20"/>
          <w:szCs w:val="20"/>
          <w:lang w:eastAsia="en-US"/>
        </w:rPr>
        <w:t>581,75</w:t>
      </w:r>
      <w:r w:rsidRPr="005E285E">
        <w:rPr>
          <w:rFonts w:ascii="Arial" w:hAnsi="Arial" w:cs="Arial"/>
          <w:sz w:val="20"/>
          <w:szCs w:val="20"/>
          <w:lang w:eastAsia="en-US"/>
        </w:rPr>
        <w:t xml:space="preserve"> km</w:t>
      </w:r>
      <w:r w:rsidRPr="00A8750C">
        <w:rPr>
          <w:rFonts w:ascii="Arial" w:hAnsi="Arial" w:cs="Arial"/>
          <w:sz w:val="20"/>
          <w:szCs w:val="20"/>
          <w:vertAlign w:val="superscript"/>
          <w:lang w:eastAsia="en-US"/>
        </w:rPr>
        <w:t>2</w:t>
      </w:r>
      <w:r w:rsidRPr="005E285E">
        <w:rPr>
          <w:rFonts w:ascii="Arial" w:hAnsi="Arial" w:cs="Arial"/>
          <w:sz w:val="20"/>
          <w:szCs w:val="20"/>
          <w:lang w:eastAsia="en-US"/>
        </w:rPr>
        <w:t>.</w:t>
      </w:r>
    </w:p>
    <w:p w14:paraId="52C271C5" w14:textId="2348E757" w:rsidR="00D40F69" w:rsidRPr="00912C87" w:rsidRDefault="00720885" w:rsidP="00123376">
      <w:pPr>
        <w:autoSpaceDE w:val="0"/>
        <w:autoSpaceDN w:val="0"/>
        <w:adjustRightInd w:val="0"/>
        <w:spacing w:before="120" w:after="120"/>
        <w:jc w:val="both"/>
        <w:rPr>
          <w:rFonts w:ascii="Arial" w:hAnsi="Arial" w:cs="Arial"/>
          <w:sz w:val="20"/>
          <w:szCs w:val="20"/>
          <w:highlight w:val="yellow"/>
          <w:lang w:eastAsia="en-US"/>
        </w:rPr>
      </w:pPr>
      <w:r w:rsidRPr="00912C87">
        <w:rPr>
          <w:rFonts w:ascii="Arial" w:hAnsi="Arial" w:cs="Arial"/>
          <w:sz w:val="20"/>
          <w:szCs w:val="20"/>
          <w:lang w:eastAsia="en-US"/>
        </w:rPr>
        <w:t xml:space="preserve">Množstvo vyprodukovaného odpadu v SR má kolísavý charakter. </w:t>
      </w:r>
      <w:r w:rsidR="00544909">
        <w:rPr>
          <w:rFonts w:ascii="Arial" w:hAnsi="Arial" w:cs="Arial"/>
          <w:sz w:val="20"/>
          <w:szCs w:val="20"/>
          <w:lang w:eastAsia="en-US"/>
        </w:rPr>
        <w:t>N</w:t>
      </w:r>
      <w:r w:rsidR="00D51F09">
        <w:rPr>
          <w:rFonts w:ascii="Arial" w:hAnsi="Arial" w:cs="Arial"/>
          <w:sz w:val="20"/>
          <w:szCs w:val="20"/>
          <w:lang w:eastAsia="en-US"/>
        </w:rPr>
        <w:t>ajviac odpadov</w:t>
      </w:r>
      <w:r w:rsidR="00544909">
        <w:rPr>
          <w:rFonts w:ascii="Arial" w:hAnsi="Arial" w:cs="Arial"/>
          <w:sz w:val="20"/>
          <w:szCs w:val="20"/>
          <w:lang w:eastAsia="en-US"/>
        </w:rPr>
        <w:t xml:space="preserve">, z hľadiska časového horizontu programového obdobia 2007 </w:t>
      </w:r>
      <w:r w:rsidR="002732A1">
        <w:rPr>
          <w:rFonts w:ascii="Arial" w:hAnsi="Arial" w:cs="Arial"/>
          <w:sz w:val="20"/>
          <w:szCs w:val="20"/>
          <w:lang w:eastAsia="en-US"/>
        </w:rPr>
        <w:t>-</w:t>
      </w:r>
      <w:r w:rsidR="00544909">
        <w:rPr>
          <w:rFonts w:ascii="Arial" w:hAnsi="Arial" w:cs="Arial"/>
          <w:sz w:val="20"/>
          <w:szCs w:val="20"/>
          <w:lang w:eastAsia="en-US"/>
        </w:rPr>
        <w:t xml:space="preserve"> 2013,</w:t>
      </w:r>
      <w:r w:rsidR="00D51F09">
        <w:rPr>
          <w:rFonts w:ascii="Arial" w:hAnsi="Arial" w:cs="Arial"/>
          <w:sz w:val="20"/>
          <w:szCs w:val="20"/>
          <w:lang w:eastAsia="en-US"/>
        </w:rPr>
        <w:t xml:space="preserve"> vzniklo v roku 2007 </w:t>
      </w:r>
      <w:r w:rsidR="002732A1">
        <w:rPr>
          <w:rFonts w:ascii="Arial" w:hAnsi="Arial" w:cs="Arial"/>
          <w:sz w:val="20"/>
          <w:szCs w:val="20"/>
          <w:lang w:eastAsia="en-US"/>
        </w:rPr>
        <w:t xml:space="preserve">a to </w:t>
      </w:r>
      <w:r w:rsidR="00D51F09">
        <w:rPr>
          <w:rFonts w:ascii="Arial" w:hAnsi="Arial" w:cs="Arial"/>
          <w:sz w:val="20"/>
          <w:szCs w:val="20"/>
          <w:lang w:eastAsia="en-US"/>
        </w:rPr>
        <w:t xml:space="preserve">až 16,7 mil. ton, pričom </w:t>
      </w:r>
      <w:r w:rsidR="00544909">
        <w:rPr>
          <w:rFonts w:ascii="Arial" w:hAnsi="Arial" w:cs="Arial"/>
          <w:sz w:val="20"/>
          <w:szCs w:val="20"/>
          <w:lang w:eastAsia="en-US"/>
        </w:rPr>
        <w:t>do</w:t>
      </w:r>
      <w:r w:rsidRPr="00912C87">
        <w:rPr>
          <w:rFonts w:ascii="Arial" w:hAnsi="Arial" w:cs="Arial"/>
          <w:sz w:val="20"/>
          <w:szCs w:val="20"/>
          <w:lang w:eastAsia="en-US"/>
        </w:rPr>
        <w:t xml:space="preserve"> roku 2012 </w:t>
      </w:r>
      <w:r w:rsidR="00C2669B">
        <w:rPr>
          <w:rFonts w:ascii="Arial" w:hAnsi="Arial" w:cs="Arial"/>
          <w:sz w:val="20"/>
          <w:szCs w:val="20"/>
          <w:lang w:eastAsia="en-US"/>
        </w:rPr>
        <w:t>nastal pokles jeho vzniku až</w:t>
      </w:r>
      <w:r w:rsidRPr="00912C87">
        <w:rPr>
          <w:rFonts w:ascii="Arial" w:hAnsi="Arial" w:cs="Arial"/>
          <w:sz w:val="20"/>
          <w:szCs w:val="20"/>
          <w:lang w:eastAsia="en-US"/>
        </w:rPr>
        <w:t xml:space="preserve"> na úroveň približne 8,7 mil. ton.</w:t>
      </w:r>
      <w:r w:rsidR="00544909">
        <w:rPr>
          <w:rFonts w:ascii="Arial" w:hAnsi="Arial" w:cs="Arial"/>
          <w:sz w:val="20"/>
          <w:szCs w:val="20"/>
          <w:lang w:eastAsia="en-US"/>
        </w:rPr>
        <w:t xml:space="preserve"> Následne v</w:t>
      </w:r>
      <w:r w:rsidRPr="00912C87">
        <w:rPr>
          <w:rFonts w:ascii="Arial" w:hAnsi="Arial" w:cs="Arial"/>
          <w:sz w:val="20"/>
          <w:szCs w:val="20"/>
          <w:lang w:eastAsia="en-US"/>
        </w:rPr>
        <w:t> roku 2013 došlo k opätovnému nárastu na 9,86 mil. ton odpadov</w:t>
      </w:r>
      <w:r w:rsidR="00E72CA1">
        <w:rPr>
          <w:rFonts w:ascii="Arial" w:hAnsi="Arial" w:cs="Arial"/>
          <w:sz w:val="20"/>
          <w:szCs w:val="20"/>
          <w:lang w:eastAsia="en-US"/>
        </w:rPr>
        <w:t xml:space="preserve"> a v roku 2014 </w:t>
      </w:r>
      <w:r w:rsidR="00544909">
        <w:rPr>
          <w:rFonts w:ascii="Arial" w:hAnsi="Arial" w:cs="Arial"/>
          <w:sz w:val="20"/>
          <w:szCs w:val="20"/>
          <w:lang w:eastAsia="en-US"/>
        </w:rPr>
        <w:t xml:space="preserve">opätovne </w:t>
      </w:r>
      <w:r w:rsidR="00E72CA1">
        <w:rPr>
          <w:rFonts w:ascii="Arial" w:hAnsi="Arial" w:cs="Arial"/>
          <w:sz w:val="20"/>
          <w:szCs w:val="20"/>
          <w:lang w:eastAsia="en-US"/>
        </w:rPr>
        <w:t>k miernemu poklesu na 9,062 mil. ton.</w:t>
      </w:r>
      <w:r w:rsidRPr="00912C87">
        <w:rPr>
          <w:rFonts w:ascii="Arial" w:hAnsi="Arial" w:cs="Arial"/>
          <w:sz w:val="20"/>
          <w:szCs w:val="20"/>
          <w:lang w:eastAsia="en-US"/>
        </w:rPr>
        <w:t xml:space="preserve"> Tento kolísavý charakter vývojovej krivky následne vplýva na vyhodnotenie príspevku OP ŽP, ktorý je vyhodnocovaný vo vzťahu k ukazovateľu „Miera zhodnocovania odpadov“. </w:t>
      </w:r>
      <w:r w:rsidR="00544909">
        <w:rPr>
          <w:rFonts w:ascii="Arial" w:hAnsi="Arial" w:cs="Arial"/>
          <w:sz w:val="20"/>
          <w:szCs w:val="20"/>
          <w:lang w:eastAsia="en-US"/>
        </w:rPr>
        <w:t xml:space="preserve">Z úrovne 32 % v roku 2007 miera zhodnocovania odpadov postupne narastala, </w:t>
      </w:r>
      <w:r w:rsidR="00ED14C7">
        <w:rPr>
          <w:rFonts w:ascii="Arial" w:hAnsi="Arial" w:cs="Arial"/>
          <w:sz w:val="20"/>
          <w:szCs w:val="20"/>
          <w:lang w:eastAsia="en-US"/>
        </w:rPr>
        <w:t>až v roku</w:t>
      </w:r>
      <w:r w:rsidRPr="00912C87">
        <w:rPr>
          <w:rFonts w:ascii="Arial" w:hAnsi="Arial" w:cs="Arial"/>
          <w:sz w:val="20"/>
          <w:szCs w:val="20"/>
          <w:lang w:eastAsia="en-US"/>
        </w:rPr>
        <w:t xml:space="preserve"> 2011 </w:t>
      </w:r>
      <w:r w:rsidR="00C2669B">
        <w:rPr>
          <w:rFonts w:ascii="Arial" w:hAnsi="Arial" w:cs="Arial"/>
          <w:sz w:val="20"/>
          <w:szCs w:val="20"/>
          <w:lang w:eastAsia="en-US"/>
        </w:rPr>
        <w:t>dosiahla hodnotu</w:t>
      </w:r>
      <w:r w:rsidRPr="00912C87">
        <w:rPr>
          <w:rFonts w:ascii="Arial" w:hAnsi="Arial" w:cs="Arial"/>
          <w:sz w:val="20"/>
          <w:szCs w:val="20"/>
          <w:lang w:eastAsia="en-US"/>
        </w:rPr>
        <w:t xml:space="preserve"> na úrovni 48 %</w:t>
      </w:r>
      <w:r w:rsidR="00ED14C7">
        <w:rPr>
          <w:rFonts w:ascii="Arial" w:hAnsi="Arial" w:cs="Arial"/>
          <w:sz w:val="20"/>
          <w:szCs w:val="20"/>
          <w:lang w:eastAsia="en-US"/>
        </w:rPr>
        <w:t>. V</w:t>
      </w:r>
      <w:r w:rsidRPr="00912C87">
        <w:rPr>
          <w:rFonts w:ascii="Arial" w:hAnsi="Arial" w:cs="Arial"/>
          <w:sz w:val="20"/>
          <w:szCs w:val="20"/>
          <w:lang w:eastAsia="en-US"/>
        </w:rPr>
        <w:t> roku 2012 sa znížila na úroveň</w:t>
      </w:r>
      <w:r w:rsidR="006F34A0">
        <w:rPr>
          <w:rFonts w:ascii="Arial" w:hAnsi="Arial" w:cs="Arial"/>
          <w:sz w:val="20"/>
          <w:szCs w:val="20"/>
          <w:lang w:eastAsia="en-US"/>
        </w:rPr>
        <w:t xml:space="preserve"> </w:t>
      </w:r>
      <w:r w:rsidRPr="00912C87">
        <w:rPr>
          <w:rFonts w:ascii="Arial" w:hAnsi="Arial" w:cs="Arial"/>
          <w:sz w:val="20"/>
          <w:szCs w:val="20"/>
          <w:lang w:eastAsia="en-US"/>
        </w:rPr>
        <w:t>45 %</w:t>
      </w:r>
      <w:r w:rsidR="006F34A0">
        <w:rPr>
          <w:rFonts w:ascii="Arial" w:hAnsi="Arial" w:cs="Arial"/>
          <w:sz w:val="20"/>
          <w:szCs w:val="20"/>
          <w:lang w:eastAsia="en-US"/>
        </w:rPr>
        <w:t xml:space="preserve"> </w:t>
      </w:r>
      <w:r w:rsidRPr="00912C87">
        <w:rPr>
          <w:rFonts w:ascii="Arial" w:hAnsi="Arial" w:cs="Arial"/>
          <w:sz w:val="20"/>
          <w:szCs w:val="20"/>
          <w:lang w:eastAsia="en-US"/>
        </w:rPr>
        <w:t>a v roku 2013 miera zhodnocovania odpadov opätovne poklesla na hodnotu takmer 43</w:t>
      </w:r>
      <w:r w:rsidR="000F6332">
        <w:rPr>
          <w:rFonts w:ascii="Arial" w:hAnsi="Arial" w:cs="Arial"/>
          <w:sz w:val="20"/>
          <w:szCs w:val="20"/>
          <w:lang w:eastAsia="en-US"/>
        </w:rPr>
        <w:t xml:space="preserve"> </w:t>
      </w:r>
      <w:r w:rsidRPr="00912C87">
        <w:rPr>
          <w:rFonts w:ascii="Arial" w:hAnsi="Arial" w:cs="Arial"/>
          <w:sz w:val="20"/>
          <w:szCs w:val="20"/>
          <w:lang w:eastAsia="en-US"/>
        </w:rPr>
        <w:t>%</w:t>
      </w:r>
      <w:r w:rsidR="00ED14C7">
        <w:rPr>
          <w:rFonts w:ascii="Arial" w:hAnsi="Arial" w:cs="Arial"/>
          <w:sz w:val="20"/>
          <w:szCs w:val="20"/>
          <w:lang w:eastAsia="en-US"/>
        </w:rPr>
        <w:t>.</w:t>
      </w:r>
      <w:r w:rsidR="00840515">
        <w:rPr>
          <w:rFonts w:ascii="Arial" w:hAnsi="Arial" w:cs="Arial"/>
          <w:sz w:val="20"/>
          <w:szCs w:val="20"/>
          <w:lang w:eastAsia="en-US"/>
        </w:rPr>
        <w:t xml:space="preserve"> </w:t>
      </w:r>
      <w:r w:rsidR="00ED14C7">
        <w:rPr>
          <w:rFonts w:ascii="Arial" w:hAnsi="Arial" w:cs="Arial"/>
          <w:sz w:val="20"/>
          <w:szCs w:val="20"/>
          <w:lang w:eastAsia="en-US"/>
        </w:rPr>
        <w:t>V</w:t>
      </w:r>
      <w:r w:rsidR="00E72CA1">
        <w:rPr>
          <w:rFonts w:ascii="Arial" w:hAnsi="Arial" w:cs="Arial"/>
          <w:sz w:val="20"/>
          <w:szCs w:val="20"/>
          <w:lang w:eastAsia="en-US"/>
        </w:rPr>
        <w:t> roku 2014</w:t>
      </w:r>
      <w:r w:rsidR="00ED14C7">
        <w:rPr>
          <w:rFonts w:ascii="Arial" w:hAnsi="Arial" w:cs="Arial"/>
          <w:sz w:val="20"/>
          <w:szCs w:val="20"/>
          <w:lang w:eastAsia="en-US"/>
        </w:rPr>
        <w:t xml:space="preserve"> </w:t>
      </w:r>
      <w:r w:rsidR="00F06CDA">
        <w:rPr>
          <w:rFonts w:ascii="Arial" w:hAnsi="Arial" w:cs="Arial"/>
          <w:sz w:val="20"/>
          <w:szCs w:val="20"/>
          <w:lang w:eastAsia="en-US"/>
        </w:rPr>
        <w:t>bola</w:t>
      </w:r>
      <w:r w:rsidR="00E06B54">
        <w:rPr>
          <w:rFonts w:ascii="Arial" w:hAnsi="Arial" w:cs="Arial"/>
          <w:sz w:val="20"/>
          <w:szCs w:val="20"/>
          <w:lang w:eastAsia="en-US"/>
        </w:rPr>
        <w:t xml:space="preserve"> </w:t>
      </w:r>
      <w:r w:rsidR="00ED14C7">
        <w:rPr>
          <w:rFonts w:ascii="Arial" w:hAnsi="Arial" w:cs="Arial"/>
          <w:sz w:val="20"/>
          <w:szCs w:val="20"/>
          <w:lang w:eastAsia="en-US"/>
        </w:rPr>
        <w:t xml:space="preserve">úroveň </w:t>
      </w:r>
      <w:r w:rsidR="00C2669B">
        <w:rPr>
          <w:rFonts w:ascii="Arial" w:hAnsi="Arial" w:cs="Arial"/>
          <w:sz w:val="20"/>
          <w:szCs w:val="20"/>
          <w:lang w:eastAsia="en-US"/>
        </w:rPr>
        <w:t>4</w:t>
      </w:r>
      <w:r w:rsidR="00F06CDA">
        <w:rPr>
          <w:rFonts w:ascii="Arial" w:hAnsi="Arial" w:cs="Arial"/>
          <w:sz w:val="20"/>
          <w:szCs w:val="20"/>
          <w:lang w:eastAsia="en-US"/>
        </w:rPr>
        <w:t>3</w:t>
      </w:r>
      <w:r w:rsidR="00ED14C7">
        <w:rPr>
          <w:rFonts w:ascii="Arial" w:hAnsi="Arial" w:cs="Arial"/>
          <w:sz w:val="20"/>
          <w:szCs w:val="20"/>
          <w:lang w:eastAsia="en-US"/>
        </w:rPr>
        <w:t xml:space="preserve"> %</w:t>
      </w:r>
      <w:r w:rsidRPr="00912C87">
        <w:rPr>
          <w:rFonts w:ascii="Arial" w:hAnsi="Arial" w:cs="Arial"/>
          <w:sz w:val="20"/>
          <w:szCs w:val="20"/>
          <w:lang w:eastAsia="en-US"/>
        </w:rPr>
        <w:t xml:space="preserve">. K zvýšeniu miery zhodnocovania odpadov v SR prispievajú aktivity v rámci prioritnej osi 4 Odpadové hospodárstvo, operačný cieľ 4.2 Podpora aktivít na  zhodnocovanie odpadov a vybrané aktivity  v operačnom cieli 4.3 Nakladanie s nebezpečnými odpadmi spôsobom priaznivým pre životné prostredie. Nepriamy vplyv na zvýšenie miery zhodnocovania odpadov majú aktivity, ktoré sú podporované v rámci operačného cieľa 4.1 Podpora aktivít v oblasti separovaného zberu, ktoré sú zamerané na zavádzanie a zefektívňovanie systémov triedeného zberu odpadov. Z dôvodu postupného vyhlasovania výziev a postupnej realizácie projektov prioritnej osi 4 možno charakterizovať príspevok OP ŽP k napĺňaniu kontextového ukazovateľa „Miera zhodnocovania odpadov“ ako postupne narastajúci. </w:t>
      </w:r>
      <w:r w:rsidR="00C2669B">
        <w:rPr>
          <w:rFonts w:ascii="Arial" w:hAnsi="Arial" w:cs="Arial"/>
          <w:sz w:val="20"/>
          <w:szCs w:val="20"/>
          <w:lang w:eastAsia="en-US"/>
        </w:rPr>
        <w:t xml:space="preserve">Prvé reálne výsledky realizácie projektov vo vzťahu k zvýšeniu </w:t>
      </w:r>
      <w:r w:rsidR="00C2669B">
        <w:rPr>
          <w:rFonts w:ascii="Arial" w:hAnsi="Arial" w:cs="Arial"/>
          <w:sz w:val="20"/>
          <w:szCs w:val="20"/>
          <w:lang w:eastAsia="en-US"/>
        </w:rPr>
        <w:lastRenderedPageBreak/>
        <w:t>množstva zhodnotených odpadov zabezpečených realizáciou projekt</w:t>
      </w:r>
      <w:r w:rsidR="00840515">
        <w:rPr>
          <w:rFonts w:ascii="Arial" w:hAnsi="Arial" w:cs="Arial"/>
          <w:sz w:val="20"/>
          <w:szCs w:val="20"/>
          <w:lang w:eastAsia="en-US"/>
        </w:rPr>
        <w:t>ov</w:t>
      </w:r>
      <w:r w:rsidR="00C2669B">
        <w:rPr>
          <w:rFonts w:ascii="Arial" w:hAnsi="Arial" w:cs="Arial"/>
          <w:sz w:val="20"/>
          <w:szCs w:val="20"/>
          <w:lang w:eastAsia="en-US"/>
        </w:rPr>
        <w:t xml:space="preserve"> nastali až v roku 2009, </w:t>
      </w:r>
      <w:r w:rsidR="00840515">
        <w:rPr>
          <w:rFonts w:ascii="Arial" w:hAnsi="Arial" w:cs="Arial"/>
          <w:sz w:val="20"/>
          <w:szCs w:val="20"/>
          <w:lang w:eastAsia="en-US"/>
        </w:rPr>
        <w:t xml:space="preserve">v ktorom bolo </w:t>
      </w:r>
      <w:r w:rsidR="00C2669B">
        <w:rPr>
          <w:rFonts w:ascii="Arial" w:hAnsi="Arial" w:cs="Arial"/>
          <w:sz w:val="20"/>
          <w:szCs w:val="20"/>
          <w:lang w:eastAsia="en-US"/>
        </w:rPr>
        <w:t>realizovanými projektmi zhodnotených prvých 7 000 t</w:t>
      </w:r>
      <w:r w:rsidR="00840515">
        <w:rPr>
          <w:rFonts w:ascii="Arial" w:hAnsi="Arial" w:cs="Arial"/>
          <w:sz w:val="20"/>
          <w:szCs w:val="20"/>
          <w:lang w:eastAsia="en-US"/>
        </w:rPr>
        <w:t>on</w:t>
      </w:r>
      <w:r w:rsidR="00C2669B">
        <w:rPr>
          <w:rFonts w:ascii="Arial" w:hAnsi="Arial" w:cs="Arial"/>
          <w:sz w:val="20"/>
          <w:szCs w:val="20"/>
          <w:lang w:eastAsia="en-US"/>
        </w:rPr>
        <w:t xml:space="preserve"> odpadov. Príspevok ku kontextovému ukazovateľu „Miera zhodnocovania odpadov</w:t>
      </w:r>
      <w:r w:rsidR="00BF2272">
        <w:rPr>
          <w:rFonts w:ascii="Arial" w:hAnsi="Arial" w:cs="Arial"/>
          <w:sz w:val="20"/>
          <w:szCs w:val="20"/>
          <w:lang w:eastAsia="en-US"/>
        </w:rPr>
        <w:t>“</w:t>
      </w:r>
      <w:r w:rsidR="00C2669B">
        <w:rPr>
          <w:rFonts w:ascii="Arial" w:hAnsi="Arial" w:cs="Arial"/>
          <w:sz w:val="20"/>
          <w:szCs w:val="20"/>
          <w:lang w:eastAsia="en-US"/>
        </w:rPr>
        <w:t xml:space="preserve"> bol </w:t>
      </w:r>
      <w:r w:rsidR="00BF2272">
        <w:rPr>
          <w:rFonts w:ascii="Arial" w:hAnsi="Arial" w:cs="Arial"/>
          <w:sz w:val="20"/>
          <w:szCs w:val="20"/>
          <w:lang w:eastAsia="en-US"/>
        </w:rPr>
        <w:t>nepatrný. Posun nastal v roku 2010, v ktorom postupne nastalo zvýšenie množstva zhodnotených odpadov na úroveň takmer 34 tis. ton, čo predstavovalo príspevok k miere zhodnocovania približne 0,7 %. V</w:t>
      </w:r>
      <w:r w:rsidRPr="00912C87">
        <w:rPr>
          <w:rFonts w:ascii="Arial" w:hAnsi="Arial" w:cs="Arial"/>
          <w:sz w:val="20"/>
          <w:szCs w:val="20"/>
          <w:lang w:eastAsia="en-US"/>
        </w:rPr>
        <w:t> roku 2011 sa prostredníctvom realizácie projektov prioritnej osi 4 OP ŽP zabezpečilo zhodnotenie 43 tis. ton odpadov (príspevok ku kontextovému ukazovateľu necelé jedno percento), v roku 2012 to už bolo vyše 170 tis. ton odpadov (príspevok</w:t>
      </w:r>
      <w:r w:rsidR="00C21C18">
        <w:rPr>
          <w:rFonts w:ascii="Arial" w:hAnsi="Arial" w:cs="Arial"/>
          <w:sz w:val="20"/>
          <w:szCs w:val="20"/>
          <w:lang w:eastAsia="en-US"/>
        </w:rPr>
        <w:t xml:space="preserve"> </w:t>
      </w:r>
      <w:r w:rsidRPr="00912C87">
        <w:rPr>
          <w:rFonts w:ascii="Arial" w:hAnsi="Arial" w:cs="Arial"/>
          <w:sz w:val="20"/>
          <w:szCs w:val="20"/>
          <w:lang w:eastAsia="en-US"/>
        </w:rPr>
        <w:t>ku kontextovému ukazovateľu takmer 4,4 %)</w:t>
      </w:r>
      <w:r w:rsidR="00B42005">
        <w:rPr>
          <w:rFonts w:ascii="Arial" w:hAnsi="Arial" w:cs="Arial"/>
          <w:sz w:val="20"/>
          <w:szCs w:val="20"/>
          <w:lang w:eastAsia="en-US"/>
        </w:rPr>
        <w:t>,</w:t>
      </w:r>
      <w:r w:rsidRPr="00912C87">
        <w:rPr>
          <w:rFonts w:ascii="Arial" w:hAnsi="Arial" w:cs="Arial"/>
          <w:sz w:val="20"/>
          <w:szCs w:val="20"/>
          <w:lang w:eastAsia="en-US"/>
        </w:rPr>
        <w:t> v roku 2013 takmer 317 tis. ton odpadov (príspevok 7,5%)</w:t>
      </w:r>
      <w:r w:rsidR="00B42005">
        <w:rPr>
          <w:rFonts w:ascii="Arial" w:hAnsi="Arial" w:cs="Arial"/>
          <w:sz w:val="20"/>
          <w:szCs w:val="20"/>
          <w:lang w:eastAsia="en-US"/>
        </w:rPr>
        <w:t xml:space="preserve"> a roku 2014 </w:t>
      </w:r>
      <w:r w:rsidR="00AF5771">
        <w:rPr>
          <w:rFonts w:ascii="Arial" w:hAnsi="Arial" w:cs="Arial"/>
          <w:sz w:val="20"/>
          <w:szCs w:val="20"/>
          <w:lang w:eastAsia="en-US"/>
        </w:rPr>
        <w:t xml:space="preserve">to už bolo </w:t>
      </w:r>
      <w:r w:rsidR="00B42005">
        <w:rPr>
          <w:rFonts w:ascii="Arial" w:hAnsi="Arial" w:cs="Arial"/>
          <w:sz w:val="20"/>
          <w:szCs w:val="20"/>
          <w:lang w:eastAsia="en-US"/>
        </w:rPr>
        <w:t xml:space="preserve">viac ako 500 tis. </w:t>
      </w:r>
      <w:r w:rsidR="00B42005" w:rsidRPr="00781EDD">
        <w:rPr>
          <w:rFonts w:ascii="Arial" w:hAnsi="Arial" w:cs="Arial"/>
          <w:sz w:val="20"/>
          <w:szCs w:val="20"/>
          <w:lang w:eastAsia="en-US"/>
        </w:rPr>
        <w:t>ton</w:t>
      </w:r>
      <w:r w:rsidR="00AF5771" w:rsidRPr="00781EDD">
        <w:rPr>
          <w:rFonts w:ascii="Arial" w:hAnsi="Arial" w:cs="Arial"/>
          <w:sz w:val="20"/>
          <w:szCs w:val="20"/>
          <w:lang w:eastAsia="en-US"/>
        </w:rPr>
        <w:t xml:space="preserve"> zhodnotených odpadov</w:t>
      </w:r>
      <w:r w:rsidR="00B42005" w:rsidRPr="00781EDD">
        <w:rPr>
          <w:rFonts w:ascii="Arial" w:hAnsi="Arial" w:cs="Arial"/>
          <w:sz w:val="20"/>
          <w:szCs w:val="20"/>
          <w:lang w:eastAsia="en-US"/>
        </w:rPr>
        <w:t xml:space="preserve"> (</w:t>
      </w:r>
      <w:r w:rsidR="00AF5771" w:rsidRPr="00781EDD">
        <w:rPr>
          <w:rFonts w:ascii="Arial" w:hAnsi="Arial" w:cs="Arial"/>
          <w:sz w:val="20"/>
          <w:szCs w:val="20"/>
          <w:lang w:eastAsia="en-US"/>
        </w:rPr>
        <w:t xml:space="preserve">príspevok 11,4 </w:t>
      </w:r>
      <w:r w:rsidR="00B42005" w:rsidRPr="00781EDD">
        <w:rPr>
          <w:rFonts w:ascii="Arial" w:hAnsi="Arial" w:cs="Arial"/>
          <w:sz w:val="20"/>
          <w:szCs w:val="20"/>
          <w:lang w:eastAsia="en-US"/>
        </w:rPr>
        <w:t xml:space="preserve">%) </w:t>
      </w:r>
      <w:r w:rsidRPr="00781EDD">
        <w:rPr>
          <w:rFonts w:ascii="Arial" w:hAnsi="Arial" w:cs="Arial"/>
          <w:sz w:val="20"/>
          <w:szCs w:val="20"/>
          <w:lang w:eastAsia="en-US"/>
        </w:rPr>
        <w:t>.</w:t>
      </w:r>
      <w:r w:rsidRPr="00912C87">
        <w:rPr>
          <w:rFonts w:ascii="Arial" w:hAnsi="Arial" w:cs="Arial"/>
          <w:sz w:val="20"/>
          <w:szCs w:val="20"/>
          <w:lang w:eastAsia="en-US"/>
        </w:rPr>
        <w:t xml:space="preserve"> </w:t>
      </w:r>
    </w:p>
    <w:p w14:paraId="08938390" w14:textId="4401E0BC" w:rsidR="00C00123" w:rsidRPr="00FE568B" w:rsidRDefault="00C00123" w:rsidP="00123376">
      <w:pPr>
        <w:spacing w:before="120" w:after="120"/>
        <w:jc w:val="both"/>
        <w:rPr>
          <w:rFonts w:ascii="Arial" w:hAnsi="Arial" w:cs="Arial"/>
          <w:iCs/>
          <w:sz w:val="20"/>
          <w:szCs w:val="20"/>
          <w:lang w:eastAsia="en-US"/>
        </w:rPr>
      </w:pPr>
      <w:r w:rsidRPr="005B63DE">
        <w:rPr>
          <w:rFonts w:ascii="Arial" w:hAnsi="Arial" w:cs="Arial"/>
          <w:iCs/>
          <w:sz w:val="20"/>
          <w:szCs w:val="20"/>
          <w:lang w:eastAsia="en-US"/>
        </w:rPr>
        <w:t>Emisie skleníkových plynov majú v dlhodobejšom časovom horizonte klesajúci trend, od roku 2009 navyše poznačenom recesiou v dôsledku globálnej hospodárskej krízy. Trend celkových ant</w:t>
      </w:r>
      <w:r w:rsidRPr="00FE568B">
        <w:rPr>
          <w:rFonts w:ascii="Arial" w:hAnsi="Arial" w:cs="Arial"/>
          <w:iCs/>
          <w:sz w:val="20"/>
          <w:szCs w:val="20"/>
          <w:lang w:eastAsia="en-US"/>
        </w:rPr>
        <w:t>ropogénnych emisií skleníkových plynov za roky 2010 a 201</w:t>
      </w:r>
      <w:r w:rsidR="00BD03B6">
        <w:rPr>
          <w:rFonts w:ascii="Arial" w:hAnsi="Arial" w:cs="Arial"/>
          <w:iCs/>
          <w:sz w:val="20"/>
          <w:szCs w:val="20"/>
          <w:lang w:eastAsia="en-US"/>
        </w:rPr>
        <w:t>3</w:t>
      </w:r>
      <w:r w:rsidRPr="00FE568B">
        <w:rPr>
          <w:rFonts w:ascii="Arial" w:hAnsi="Arial" w:cs="Arial"/>
          <w:iCs/>
          <w:sz w:val="20"/>
          <w:szCs w:val="20"/>
          <w:lang w:eastAsia="en-US"/>
        </w:rPr>
        <w:t xml:space="preserve"> bol relatívne stabilný, v roku 201</w:t>
      </w:r>
      <w:r w:rsidR="00BD03B6">
        <w:rPr>
          <w:rFonts w:ascii="Arial" w:hAnsi="Arial" w:cs="Arial"/>
          <w:iCs/>
          <w:sz w:val="20"/>
          <w:szCs w:val="20"/>
          <w:lang w:eastAsia="en-US"/>
        </w:rPr>
        <w:t>4</w:t>
      </w:r>
      <w:r w:rsidRPr="00FE568B">
        <w:rPr>
          <w:rFonts w:ascii="Arial" w:hAnsi="Arial" w:cs="Arial"/>
          <w:iCs/>
          <w:sz w:val="20"/>
          <w:szCs w:val="20"/>
          <w:lang w:eastAsia="en-US"/>
        </w:rPr>
        <w:t xml:space="preserve"> došlo k ďalšiemu výraznejšiemu poklesu.</w:t>
      </w:r>
    </w:p>
    <w:p w14:paraId="1E2ADB7E" w14:textId="46192AA4" w:rsidR="00C00123" w:rsidRPr="005B63DE" w:rsidRDefault="00C00123" w:rsidP="00123376">
      <w:pPr>
        <w:spacing w:before="120" w:after="120"/>
        <w:jc w:val="both"/>
        <w:rPr>
          <w:rFonts w:ascii="Arial" w:hAnsi="Arial" w:cs="Arial"/>
          <w:iCs/>
          <w:sz w:val="20"/>
          <w:szCs w:val="20"/>
          <w:lang w:eastAsia="en-US"/>
        </w:rPr>
      </w:pPr>
      <w:r w:rsidRPr="005B63DE">
        <w:rPr>
          <w:rFonts w:ascii="Arial" w:hAnsi="Arial" w:cs="Arial"/>
          <w:iCs/>
          <w:sz w:val="20"/>
          <w:szCs w:val="20"/>
          <w:lang w:eastAsia="en-US"/>
        </w:rPr>
        <w:t xml:space="preserve">Emisie skleníkových plynov SR sa stanovujú v súlade s požiadavkami </w:t>
      </w:r>
      <w:r w:rsidR="00146A95" w:rsidRPr="005B63DE">
        <w:rPr>
          <w:rFonts w:ascii="Arial" w:hAnsi="Arial" w:cs="Arial"/>
          <w:iCs/>
          <w:sz w:val="20"/>
          <w:szCs w:val="20"/>
          <w:lang w:eastAsia="en-US"/>
        </w:rPr>
        <w:t>Rámcov</w:t>
      </w:r>
      <w:r w:rsidR="00065546" w:rsidRPr="005B63DE">
        <w:rPr>
          <w:rFonts w:ascii="Arial" w:hAnsi="Arial" w:cs="Arial"/>
          <w:iCs/>
          <w:sz w:val="20"/>
          <w:szCs w:val="20"/>
          <w:lang w:eastAsia="en-US"/>
        </w:rPr>
        <w:t>é</w:t>
      </w:r>
      <w:r w:rsidR="00146A95" w:rsidRPr="005B63DE">
        <w:rPr>
          <w:rFonts w:ascii="Arial" w:hAnsi="Arial" w:cs="Arial"/>
          <w:iCs/>
          <w:sz w:val="20"/>
          <w:szCs w:val="20"/>
          <w:lang w:eastAsia="en-US"/>
        </w:rPr>
        <w:t>ho d</w:t>
      </w:r>
      <w:r w:rsidRPr="005B63DE">
        <w:rPr>
          <w:rFonts w:ascii="Arial" w:hAnsi="Arial" w:cs="Arial"/>
          <w:iCs/>
          <w:sz w:val="20"/>
          <w:szCs w:val="20"/>
          <w:lang w:eastAsia="en-US"/>
        </w:rPr>
        <w:t>ohovoru</w:t>
      </w:r>
      <w:r w:rsidR="00146A95" w:rsidRPr="005B63DE">
        <w:rPr>
          <w:rFonts w:ascii="Arial" w:hAnsi="Arial" w:cs="Arial"/>
          <w:iCs/>
          <w:sz w:val="20"/>
          <w:szCs w:val="20"/>
          <w:lang w:eastAsia="en-US"/>
        </w:rPr>
        <w:t xml:space="preserve"> OSN o zmene klímy</w:t>
      </w:r>
      <w:r w:rsidRPr="005B63DE">
        <w:rPr>
          <w:rFonts w:ascii="Arial" w:hAnsi="Arial" w:cs="Arial"/>
          <w:iCs/>
          <w:sz w:val="20"/>
          <w:szCs w:val="20"/>
          <w:lang w:eastAsia="en-US"/>
        </w:rPr>
        <w:t xml:space="preserve"> a Kjótskeho protokolu. Hodnoty emisií skleníkových plynov sú každoročne aktualizované na základe štatistických ročeniek a metodických príručiek IPCC spätne až do roku 1990.</w:t>
      </w:r>
      <w:r w:rsidR="00522102">
        <w:rPr>
          <w:rFonts w:ascii="Arial" w:hAnsi="Arial" w:cs="Arial"/>
          <w:iCs/>
          <w:sz w:val="20"/>
          <w:szCs w:val="20"/>
          <w:lang w:eastAsia="en-US"/>
        </w:rPr>
        <w:t xml:space="preserve"> Emisné inventúry </w:t>
      </w:r>
      <w:r w:rsidRPr="005B63DE">
        <w:rPr>
          <w:rFonts w:ascii="Arial" w:hAnsi="Arial" w:cs="Arial"/>
          <w:iCs/>
          <w:sz w:val="20"/>
          <w:szCs w:val="20"/>
          <w:lang w:eastAsia="en-US"/>
        </w:rPr>
        <w:t xml:space="preserve">prešli významnými metodickými zmenami a rekalkuláciami, </w:t>
      </w:r>
      <w:r w:rsidR="00BD03B6" w:rsidRPr="00BD03B6">
        <w:rPr>
          <w:rFonts w:ascii="Arial" w:hAnsi="Arial" w:cs="Arial"/>
          <w:iCs/>
          <w:sz w:val="20"/>
          <w:szCs w:val="20"/>
          <w:lang w:eastAsia="en-US"/>
        </w:rPr>
        <w:t xml:space="preserve">súvisiacimi s prechodom na aktualizované metodické príručky IPCC (obsahujú nové plyny, nové hodnoty pre potenciály otepľovania alebo aj nové kategórie) ako aj </w:t>
      </w:r>
      <w:r w:rsidR="00AB78F4" w:rsidRPr="00BD03B6">
        <w:rPr>
          <w:rFonts w:ascii="Arial" w:hAnsi="Arial" w:cs="Arial"/>
          <w:iCs/>
          <w:sz w:val="20"/>
          <w:szCs w:val="20"/>
          <w:lang w:eastAsia="en-US"/>
        </w:rPr>
        <w:t>začat</w:t>
      </w:r>
      <w:r w:rsidR="00AB78F4">
        <w:rPr>
          <w:rFonts w:ascii="Arial" w:hAnsi="Arial" w:cs="Arial"/>
          <w:iCs/>
          <w:sz w:val="20"/>
          <w:szCs w:val="20"/>
          <w:lang w:eastAsia="en-US"/>
        </w:rPr>
        <w:t>ím</w:t>
      </w:r>
      <w:r w:rsidR="00AB78F4" w:rsidRPr="00BD03B6">
        <w:rPr>
          <w:rFonts w:ascii="Arial" w:hAnsi="Arial" w:cs="Arial"/>
          <w:iCs/>
          <w:sz w:val="20"/>
          <w:szCs w:val="20"/>
          <w:lang w:eastAsia="en-US"/>
        </w:rPr>
        <w:t xml:space="preserve"> </w:t>
      </w:r>
      <w:r w:rsidR="00BD03B6" w:rsidRPr="00BD03B6">
        <w:rPr>
          <w:rFonts w:ascii="Arial" w:hAnsi="Arial" w:cs="Arial"/>
          <w:iCs/>
          <w:sz w:val="20"/>
          <w:szCs w:val="20"/>
          <w:lang w:eastAsia="en-US"/>
        </w:rPr>
        <w:t>druhého záväzného reportovacieho obdobia pod Kjótskym protokolom,</w:t>
      </w:r>
      <w:r w:rsidR="00BD03B6">
        <w:rPr>
          <w:rFonts w:ascii="Arial" w:hAnsi="Arial" w:cs="Arial"/>
          <w:iCs/>
          <w:sz w:val="20"/>
          <w:szCs w:val="20"/>
          <w:lang w:eastAsia="en-US"/>
        </w:rPr>
        <w:t xml:space="preserve"> </w:t>
      </w:r>
      <w:r w:rsidRPr="005B63DE">
        <w:rPr>
          <w:rFonts w:ascii="Arial" w:hAnsi="Arial" w:cs="Arial"/>
          <w:iCs/>
          <w:sz w:val="20"/>
          <w:szCs w:val="20"/>
          <w:lang w:eastAsia="en-US"/>
        </w:rPr>
        <w:t xml:space="preserve">čo ovplyvňuje aj úrovne emisií stanovené ako východiskové a cieľové hodnoty kontextového ukazovateľa OP ŽP. </w:t>
      </w:r>
    </w:p>
    <w:p w14:paraId="6D3342BE" w14:textId="0E15DD38" w:rsidR="00C00123" w:rsidRPr="005B63DE" w:rsidRDefault="00C00123" w:rsidP="00123376">
      <w:pPr>
        <w:spacing w:before="120" w:after="120"/>
        <w:jc w:val="both"/>
        <w:rPr>
          <w:rFonts w:ascii="Arial" w:hAnsi="Arial" w:cs="Arial"/>
          <w:iCs/>
          <w:sz w:val="20"/>
          <w:szCs w:val="20"/>
          <w:lang w:eastAsia="en-US"/>
        </w:rPr>
      </w:pPr>
      <w:r w:rsidRPr="005B63DE">
        <w:rPr>
          <w:rFonts w:ascii="Arial" w:hAnsi="Arial" w:cs="Arial"/>
          <w:iCs/>
          <w:sz w:val="20"/>
          <w:szCs w:val="20"/>
          <w:lang w:eastAsia="en-US"/>
        </w:rPr>
        <w:t>Celkové emisie skleníkových plynov v SR v roku 201</w:t>
      </w:r>
      <w:r w:rsidR="005B6B1B">
        <w:rPr>
          <w:rFonts w:ascii="Arial" w:hAnsi="Arial" w:cs="Arial"/>
          <w:iCs/>
          <w:sz w:val="20"/>
          <w:szCs w:val="20"/>
          <w:lang w:eastAsia="en-US"/>
        </w:rPr>
        <w:t>3</w:t>
      </w:r>
      <w:r w:rsidRPr="005B63DE">
        <w:rPr>
          <w:rFonts w:ascii="Arial" w:hAnsi="Arial" w:cs="Arial"/>
          <w:iCs/>
          <w:sz w:val="20"/>
          <w:szCs w:val="20"/>
          <w:lang w:eastAsia="en-US"/>
        </w:rPr>
        <w:t xml:space="preserve"> predstavovali </w:t>
      </w:r>
      <w:r w:rsidR="005B6B1B">
        <w:rPr>
          <w:rFonts w:ascii="Arial" w:hAnsi="Arial" w:cs="Arial"/>
          <w:iCs/>
          <w:sz w:val="20"/>
          <w:szCs w:val="20"/>
          <w:lang w:eastAsia="en-US"/>
        </w:rPr>
        <w:t xml:space="preserve">42  792,48 </w:t>
      </w:r>
      <w:r w:rsidRPr="005B63DE">
        <w:rPr>
          <w:rFonts w:ascii="Arial" w:hAnsi="Arial" w:cs="Arial"/>
          <w:iCs/>
          <w:sz w:val="20"/>
          <w:szCs w:val="20"/>
          <w:lang w:eastAsia="en-US"/>
        </w:rPr>
        <w:t>Gg (tis. ton) CO</w:t>
      </w:r>
      <w:r w:rsidRPr="005B63DE">
        <w:rPr>
          <w:rFonts w:ascii="Arial" w:hAnsi="Arial" w:cs="Arial"/>
          <w:iCs/>
          <w:sz w:val="20"/>
          <w:szCs w:val="20"/>
          <w:vertAlign w:val="subscript"/>
          <w:lang w:eastAsia="en-US"/>
        </w:rPr>
        <w:t>2</w:t>
      </w:r>
      <w:r w:rsidRPr="005B63DE">
        <w:rPr>
          <w:rFonts w:ascii="Arial" w:hAnsi="Arial" w:cs="Arial"/>
          <w:iCs/>
          <w:sz w:val="20"/>
          <w:szCs w:val="20"/>
          <w:lang w:eastAsia="en-US"/>
        </w:rPr>
        <w:t xml:space="preserve"> ekv. bez započítania záchytov zo sektora lesy a využívanie krajiny (LULUCF), čo predstavuje pokračujúci klesajúci trend od roku 2010 (</w:t>
      </w:r>
      <w:r w:rsidR="00BD03B6">
        <w:rPr>
          <w:rFonts w:ascii="Arial" w:hAnsi="Arial" w:cs="Arial"/>
          <w:iCs/>
          <w:sz w:val="20"/>
          <w:szCs w:val="20"/>
          <w:lang w:eastAsia="en-US"/>
        </w:rPr>
        <w:t>46 483</w:t>
      </w:r>
      <w:r w:rsidRPr="005B63DE">
        <w:rPr>
          <w:rFonts w:ascii="Arial" w:hAnsi="Arial" w:cs="Arial"/>
          <w:iCs/>
          <w:sz w:val="20"/>
          <w:szCs w:val="20"/>
          <w:lang w:eastAsia="en-US"/>
        </w:rPr>
        <w:t xml:space="preserve"> Gg)</w:t>
      </w:r>
      <w:r w:rsidR="00BD03B6">
        <w:rPr>
          <w:rFonts w:ascii="Arial" w:hAnsi="Arial" w:cs="Arial"/>
          <w:iCs/>
          <w:sz w:val="20"/>
          <w:szCs w:val="20"/>
          <w:lang w:eastAsia="en-US"/>
        </w:rPr>
        <w:t>,</w:t>
      </w:r>
      <w:r w:rsidRPr="005B63DE">
        <w:rPr>
          <w:rFonts w:ascii="Arial" w:hAnsi="Arial" w:cs="Arial"/>
          <w:iCs/>
          <w:sz w:val="20"/>
          <w:szCs w:val="20"/>
          <w:lang w:eastAsia="en-US"/>
        </w:rPr>
        <w:t> 2011 (</w:t>
      </w:r>
      <w:r w:rsidR="007F5875">
        <w:rPr>
          <w:rFonts w:ascii="Arial" w:hAnsi="Arial" w:cs="Arial"/>
          <w:iCs/>
          <w:sz w:val="20"/>
          <w:szCs w:val="20"/>
          <w:lang w:eastAsia="en-US"/>
        </w:rPr>
        <w:t> 45 604</w:t>
      </w:r>
      <w:r w:rsidRPr="005B63DE">
        <w:rPr>
          <w:rFonts w:ascii="Arial" w:hAnsi="Arial" w:cs="Arial"/>
          <w:iCs/>
          <w:sz w:val="20"/>
          <w:szCs w:val="20"/>
          <w:lang w:eastAsia="en-US"/>
        </w:rPr>
        <w:t xml:space="preserve"> Gg)</w:t>
      </w:r>
      <w:r w:rsidR="005B6B1B">
        <w:rPr>
          <w:rFonts w:ascii="Arial" w:hAnsi="Arial" w:cs="Arial"/>
          <w:iCs/>
          <w:sz w:val="20"/>
          <w:szCs w:val="20"/>
          <w:lang w:eastAsia="en-US"/>
        </w:rPr>
        <w:t xml:space="preserve"> a</w:t>
      </w:r>
      <w:r w:rsidR="007F5875">
        <w:rPr>
          <w:rFonts w:ascii="Arial" w:hAnsi="Arial" w:cs="Arial"/>
          <w:iCs/>
          <w:sz w:val="20"/>
          <w:szCs w:val="20"/>
          <w:lang w:eastAsia="en-US"/>
        </w:rPr>
        <w:t xml:space="preserve"> 2012 (43 176 Gg)</w:t>
      </w:r>
      <w:r w:rsidR="005B6B1B">
        <w:rPr>
          <w:rFonts w:ascii="Arial" w:hAnsi="Arial" w:cs="Arial"/>
          <w:iCs/>
          <w:sz w:val="20"/>
          <w:szCs w:val="20"/>
          <w:lang w:eastAsia="en-US"/>
        </w:rPr>
        <w:t>.</w:t>
      </w:r>
      <w:r w:rsidR="007F5875">
        <w:rPr>
          <w:rFonts w:ascii="Arial" w:hAnsi="Arial" w:cs="Arial"/>
          <w:iCs/>
          <w:sz w:val="20"/>
          <w:szCs w:val="20"/>
          <w:lang w:eastAsia="en-US"/>
        </w:rPr>
        <w:t xml:space="preserve"> </w:t>
      </w:r>
      <w:r w:rsidR="005B6B1B">
        <w:rPr>
          <w:rFonts w:ascii="Arial" w:hAnsi="Arial" w:cs="Arial"/>
          <w:iCs/>
          <w:sz w:val="20"/>
          <w:szCs w:val="20"/>
          <w:lang w:eastAsia="en-US"/>
        </w:rPr>
        <w:t>A</w:t>
      </w:r>
      <w:r w:rsidRPr="005B63DE">
        <w:rPr>
          <w:rFonts w:ascii="Arial" w:hAnsi="Arial" w:cs="Arial"/>
          <w:iCs/>
          <w:sz w:val="20"/>
          <w:szCs w:val="20"/>
          <w:lang w:eastAsia="en-US"/>
        </w:rPr>
        <w:t xml:space="preserve">ktuálne stanovený cieľ (projekcie s opatreniami) na rok 2015 predstavuje </w:t>
      </w:r>
      <w:r w:rsidR="007F5875">
        <w:rPr>
          <w:rFonts w:ascii="Arial" w:hAnsi="Arial" w:cs="Arial"/>
          <w:iCs/>
          <w:sz w:val="20"/>
          <w:szCs w:val="20"/>
          <w:lang w:eastAsia="en-US"/>
        </w:rPr>
        <w:t>43 966</w:t>
      </w:r>
      <w:r w:rsidRPr="005B63DE">
        <w:rPr>
          <w:rFonts w:ascii="Arial" w:hAnsi="Arial" w:cs="Arial"/>
          <w:iCs/>
          <w:sz w:val="20"/>
          <w:szCs w:val="20"/>
          <w:lang w:eastAsia="en-US"/>
        </w:rPr>
        <w:t xml:space="preserve"> Gg</w:t>
      </w:r>
      <w:r w:rsidR="001033A7">
        <w:rPr>
          <w:rFonts w:ascii="Arial" w:hAnsi="Arial" w:cs="Arial"/>
          <w:iCs/>
          <w:sz w:val="20"/>
          <w:szCs w:val="20"/>
          <w:vertAlign w:val="superscript"/>
          <w:lang w:eastAsia="en-US"/>
        </w:rPr>
        <w:t xml:space="preserve">5 </w:t>
      </w:r>
      <w:r w:rsidR="001033A7">
        <w:rPr>
          <w:rFonts w:ascii="Arial" w:hAnsi="Arial" w:cs="Arial"/>
          <w:iCs/>
          <w:sz w:val="20"/>
          <w:szCs w:val="20"/>
          <w:lang w:eastAsia="en-US"/>
        </w:rPr>
        <w:t xml:space="preserve">(zdroj: </w:t>
      </w:r>
      <w:r w:rsidR="0012308D" w:rsidRPr="0012308D">
        <w:rPr>
          <w:rFonts w:ascii="Arial" w:hAnsi="Arial" w:cs="Arial"/>
          <w:iCs/>
          <w:sz w:val="20"/>
          <w:szCs w:val="20"/>
          <w:lang w:eastAsia="en-US"/>
        </w:rPr>
        <w:t xml:space="preserve">Druhá dvojročná správa SR o zmene klímy </w:t>
      </w:r>
      <w:r w:rsidR="001033A7">
        <w:rPr>
          <w:rFonts w:ascii="Arial" w:hAnsi="Arial" w:cs="Arial"/>
          <w:iCs/>
          <w:sz w:val="20"/>
          <w:szCs w:val="20"/>
          <w:lang w:eastAsia="en-US"/>
        </w:rPr>
        <w:t>)</w:t>
      </w:r>
      <w:r w:rsidRPr="005B63DE">
        <w:rPr>
          <w:rFonts w:ascii="Arial" w:hAnsi="Arial" w:cs="Arial"/>
          <w:iCs/>
          <w:sz w:val="20"/>
          <w:szCs w:val="20"/>
          <w:lang w:eastAsia="en-US"/>
        </w:rPr>
        <w:t>, a predpokladá</w:t>
      </w:r>
      <w:r w:rsidR="00E97A30">
        <w:rPr>
          <w:rFonts w:ascii="Arial" w:hAnsi="Arial" w:cs="Arial"/>
          <w:iCs/>
          <w:sz w:val="20"/>
          <w:szCs w:val="20"/>
          <w:lang w:eastAsia="en-US"/>
        </w:rPr>
        <w:t xml:space="preserve"> sa</w:t>
      </w:r>
      <w:r w:rsidRPr="005B63DE">
        <w:rPr>
          <w:rFonts w:ascii="Arial" w:hAnsi="Arial" w:cs="Arial"/>
          <w:iCs/>
          <w:sz w:val="20"/>
          <w:szCs w:val="20"/>
          <w:lang w:eastAsia="en-US"/>
        </w:rPr>
        <w:t>, že ďalší vývoj emisií bude kopírovať ekonomickú výkonnosť Slovenska</w:t>
      </w:r>
      <w:r w:rsidR="00E97A30">
        <w:rPr>
          <w:rFonts w:ascii="Arial" w:hAnsi="Arial" w:cs="Arial"/>
          <w:iCs/>
          <w:sz w:val="20"/>
          <w:szCs w:val="20"/>
          <w:lang w:eastAsia="en-US"/>
        </w:rPr>
        <w:t xml:space="preserve">, </w:t>
      </w:r>
      <w:r w:rsidRPr="005B63DE">
        <w:rPr>
          <w:rFonts w:ascii="Arial" w:hAnsi="Arial" w:cs="Arial"/>
          <w:iCs/>
          <w:sz w:val="20"/>
          <w:szCs w:val="20"/>
          <w:lang w:eastAsia="en-US"/>
        </w:rPr>
        <w:t xml:space="preserve"> </w:t>
      </w:r>
      <w:r w:rsidR="00C86946" w:rsidRPr="005B63DE">
        <w:rPr>
          <w:rFonts w:ascii="Arial" w:hAnsi="Arial" w:cs="Arial"/>
          <w:iCs/>
          <w:sz w:val="20"/>
          <w:szCs w:val="20"/>
          <w:lang w:eastAsia="en-US"/>
        </w:rPr>
        <w:t>pričom</w:t>
      </w:r>
      <w:r w:rsidRPr="005B63DE">
        <w:rPr>
          <w:rFonts w:ascii="Arial" w:hAnsi="Arial" w:cs="Arial"/>
          <w:iCs/>
          <w:sz w:val="20"/>
          <w:szCs w:val="20"/>
          <w:lang w:eastAsia="en-US"/>
        </w:rPr>
        <w:t xml:space="preserve"> redukčný potenciál </w:t>
      </w:r>
      <w:r w:rsidR="00C86946" w:rsidRPr="005B63DE">
        <w:rPr>
          <w:rFonts w:ascii="Arial" w:hAnsi="Arial" w:cs="Arial"/>
          <w:iCs/>
          <w:sz w:val="20"/>
          <w:szCs w:val="20"/>
          <w:lang w:eastAsia="en-US"/>
        </w:rPr>
        <w:t>v sektore energetiky a</w:t>
      </w:r>
      <w:r w:rsidR="00FF6B18" w:rsidRPr="005B63DE">
        <w:rPr>
          <w:rFonts w:ascii="Arial" w:hAnsi="Arial" w:cs="Arial"/>
          <w:iCs/>
          <w:sz w:val="20"/>
          <w:szCs w:val="20"/>
          <w:lang w:eastAsia="en-US"/>
        </w:rPr>
        <w:t> </w:t>
      </w:r>
      <w:r w:rsidR="00C86946" w:rsidRPr="005B63DE">
        <w:rPr>
          <w:rFonts w:ascii="Arial" w:hAnsi="Arial" w:cs="Arial"/>
          <w:iCs/>
          <w:sz w:val="20"/>
          <w:szCs w:val="20"/>
          <w:lang w:eastAsia="en-US"/>
        </w:rPr>
        <w:t>priemyslu</w:t>
      </w:r>
      <w:r w:rsidR="00FF6B18" w:rsidRPr="005B63DE">
        <w:rPr>
          <w:rFonts w:ascii="Arial" w:hAnsi="Arial" w:cs="Arial"/>
          <w:iCs/>
          <w:sz w:val="20"/>
          <w:szCs w:val="20"/>
          <w:lang w:eastAsia="en-US"/>
        </w:rPr>
        <w:t> </w:t>
      </w:r>
      <w:r w:rsidRPr="005B63DE">
        <w:rPr>
          <w:rFonts w:ascii="Arial" w:hAnsi="Arial" w:cs="Arial"/>
          <w:iCs/>
          <w:sz w:val="20"/>
          <w:szCs w:val="20"/>
          <w:lang w:eastAsia="en-US"/>
        </w:rPr>
        <w:t>bol už takmer vyčerpaný.</w:t>
      </w:r>
    </w:p>
    <w:p w14:paraId="62946849" w14:textId="77777777" w:rsidR="00C00123" w:rsidRPr="005B63DE" w:rsidRDefault="00C00123" w:rsidP="00123376">
      <w:pPr>
        <w:spacing w:before="120" w:after="120"/>
        <w:jc w:val="both"/>
        <w:rPr>
          <w:rFonts w:ascii="Arial" w:hAnsi="Arial" w:cs="Arial"/>
          <w:iCs/>
          <w:sz w:val="20"/>
          <w:szCs w:val="20"/>
          <w:lang w:eastAsia="en-US"/>
        </w:rPr>
      </w:pPr>
      <w:r w:rsidRPr="005B63DE">
        <w:rPr>
          <w:rFonts w:ascii="Arial" w:hAnsi="Arial" w:cs="Arial"/>
          <w:iCs/>
          <w:sz w:val="20"/>
          <w:szCs w:val="20"/>
          <w:lang w:eastAsia="en-US"/>
        </w:rPr>
        <w:t>Najvýznamnejší podiel na tvorbe emisií skleníkových plynov má energetika (so započítaním emisií z dopravy), problematickou oblasťou naďalej zostáva spaľovanie fosílnych palív.</w:t>
      </w:r>
    </w:p>
    <w:p w14:paraId="31368800" w14:textId="59634B27" w:rsidR="00D33F1C" w:rsidRDefault="00C00123" w:rsidP="00123376">
      <w:pPr>
        <w:spacing w:before="120" w:after="120"/>
        <w:jc w:val="both"/>
        <w:rPr>
          <w:rFonts w:ascii="Arial" w:hAnsi="Arial" w:cs="Arial"/>
          <w:iCs/>
          <w:sz w:val="20"/>
          <w:szCs w:val="20"/>
          <w:lang w:eastAsia="en-US"/>
        </w:rPr>
      </w:pPr>
      <w:r w:rsidRPr="005B63DE">
        <w:rPr>
          <w:rFonts w:ascii="Arial" w:hAnsi="Arial" w:cs="Arial"/>
          <w:iCs/>
          <w:sz w:val="20"/>
          <w:szCs w:val="20"/>
          <w:lang w:eastAsia="en-US"/>
        </w:rPr>
        <w:t xml:space="preserve">V rámci OP ŽP </w:t>
      </w:r>
      <w:r w:rsidR="007F5875" w:rsidRPr="005B63DE">
        <w:rPr>
          <w:rFonts w:ascii="Arial" w:hAnsi="Arial" w:cs="Arial"/>
          <w:iCs/>
          <w:sz w:val="20"/>
          <w:szCs w:val="20"/>
          <w:lang w:eastAsia="en-US"/>
        </w:rPr>
        <w:t>prispieva</w:t>
      </w:r>
      <w:r w:rsidR="007F5875">
        <w:rPr>
          <w:rFonts w:ascii="Arial" w:hAnsi="Arial" w:cs="Arial"/>
          <w:iCs/>
          <w:sz w:val="20"/>
          <w:szCs w:val="20"/>
          <w:lang w:eastAsia="en-US"/>
        </w:rPr>
        <w:t>li</w:t>
      </w:r>
      <w:r w:rsidR="007F5875" w:rsidRPr="005B63DE">
        <w:rPr>
          <w:rFonts w:ascii="Arial" w:hAnsi="Arial" w:cs="Arial"/>
          <w:iCs/>
          <w:sz w:val="20"/>
          <w:szCs w:val="20"/>
          <w:lang w:eastAsia="en-US"/>
        </w:rPr>
        <w:t xml:space="preserve"> </w:t>
      </w:r>
      <w:r w:rsidRPr="005B63DE">
        <w:rPr>
          <w:rFonts w:ascii="Arial" w:hAnsi="Arial" w:cs="Arial"/>
          <w:iCs/>
          <w:sz w:val="20"/>
          <w:szCs w:val="20"/>
          <w:lang w:eastAsia="en-US"/>
        </w:rPr>
        <w:t>k znižovaniu emisií skleníkových plynov aktivity operačného cieľa 3.2 Minimalizácia nepriaznivých vplyvov zmeny klímy vrátane podpory obnoviteľných zdrojov energie</w:t>
      </w:r>
      <w:r w:rsidR="008F5D07" w:rsidRPr="005B63DE">
        <w:rPr>
          <w:rFonts w:ascii="Arial" w:hAnsi="Arial" w:cs="Arial"/>
          <w:iCs/>
          <w:sz w:val="20"/>
          <w:szCs w:val="20"/>
          <w:lang w:eastAsia="en-US"/>
        </w:rPr>
        <w:t xml:space="preserve"> (ďalej aj „OZE“)</w:t>
      </w:r>
      <w:r w:rsidRPr="005B63DE">
        <w:rPr>
          <w:rFonts w:ascii="Arial" w:hAnsi="Arial" w:cs="Arial"/>
          <w:iCs/>
          <w:sz w:val="20"/>
          <w:szCs w:val="20"/>
          <w:lang w:eastAsia="en-US"/>
        </w:rPr>
        <w:t xml:space="preserve">, zamerané na znižovanie emisií skleníkových plynov spolu so znižovaním emisií základných znečisťujúcich látok v oblasti výroby tepla, vrátane zmeny palivovej základne energetických zdrojov v prospech využívania </w:t>
      </w:r>
      <w:r w:rsidR="008F5D07" w:rsidRPr="005B63DE">
        <w:rPr>
          <w:rFonts w:ascii="Arial" w:hAnsi="Arial" w:cs="Arial"/>
          <w:iCs/>
          <w:sz w:val="20"/>
          <w:szCs w:val="20"/>
          <w:lang w:eastAsia="en-US"/>
        </w:rPr>
        <w:t>OZE</w:t>
      </w:r>
      <w:r w:rsidR="008F5D07" w:rsidRPr="005B63DE" w:rsidDel="008F5D07">
        <w:rPr>
          <w:rFonts w:ascii="Arial" w:hAnsi="Arial" w:cs="Arial"/>
          <w:iCs/>
          <w:sz w:val="20"/>
          <w:szCs w:val="20"/>
          <w:lang w:eastAsia="en-US"/>
        </w:rPr>
        <w:t xml:space="preserve"> </w:t>
      </w:r>
      <w:r w:rsidRPr="005B63DE">
        <w:rPr>
          <w:rFonts w:ascii="Arial" w:hAnsi="Arial" w:cs="Arial"/>
          <w:iCs/>
          <w:sz w:val="20"/>
          <w:szCs w:val="20"/>
          <w:lang w:eastAsia="en-US"/>
        </w:rPr>
        <w:t xml:space="preserve">(projekty zmeny palivovej základne z neobnoviteľných – </w:t>
      </w:r>
      <w:r w:rsidRPr="00DB1EB6">
        <w:rPr>
          <w:rFonts w:ascii="Arial" w:hAnsi="Arial" w:cs="Arial"/>
          <w:iCs/>
          <w:sz w:val="20"/>
          <w:szCs w:val="20"/>
          <w:lang w:eastAsia="en-US"/>
        </w:rPr>
        <w:t xml:space="preserve">fosílnych palív v prospech palív s nižším obsahom uhlíka a OZE). Realizáciou týchto projektov došlo </w:t>
      </w:r>
      <w:r w:rsidRPr="00574DAD">
        <w:rPr>
          <w:rFonts w:ascii="Arial" w:hAnsi="Arial" w:cs="Arial"/>
          <w:iCs/>
          <w:sz w:val="20"/>
          <w:szCs w:val="20"/>
          <w:lang w:eastAsia="en-US"/>
        </w:rPr>
        <w:t>k zníženiu emisií skleníkových plynov o </w:t>
      </w:r>
      <w:r w:rsidR="00503817" w:rsidRPr="00574DAD">
        <w:rPr>
          <w:rFonts w:ascii="Arial" w:hAnsi="Arial" w:cs="Arial"/>
          <w:iCs/>
          <w:sz w:val="20"/>
          <w:szCs w:val="20"/>
          <w:lang w:eastAsia="en-US"/>
        </w:rPr>
        <w:t>34,01</w:t>
      </w:r>
      <w:r w:rsidR="00DB1EB6" w:rsidRPr="00574DAD">
        <w:rPr>
          <w:rFonts w:ascii="Arial" w:hAnsi="Arial" w:cs="Arial"/>
          <w:iCs/>
          <w:sz w:val="20"/>
          <w:szCs w:val="20"/>
          <w:lang w:eastAsia="en-US"/>
        </w:rPr>
        <w:t xml:space="preserve"> Gg CO2 ekv., pričom po doručení následných monitorovacích správ všetkých projektov sa očakáva dosiahnut</w:t>
      </w:r>
      <w:r w:rsidR="00AC1A6A">
        <w:rPr>
          <w:rFonts w:ascii="Arial" w:hAnsi="Arial" w:cs="Arial"/>
          <w:iCs/>
          <w:sz w:val="20"/>
          <w:szCs w:val="20"/>
          <w:lang w:eastAsia="en-US"/>
        </w:rPr>
        <w:t>ý</w:t>
      </w:r>
      <w:r w:rsidR="00DB1EB6" w:rsidRPr="00574DAD">
        <w:rPr>
          <w:rFonts w:ascii="Arial" w:hAnsi="Arial" w:cs="Arial"/>
          <w:iCs/>
          <w:sz w:val="20"/>
          <w:szCs w:val="20"/>
          <w:lang w:eastAsia="en-US"/>
        </w:rPr>
        <w:t xml:space="preserve"> </w:t>
      </w:r>
      <w:r w:rsidR="00AC1A6A">
        <w:rPr>
          <w:rFonts w:ascii="Arial" w:hAnsi="Arial" w:cs="Arial"/>
          <w:iCs/>
          <w:sz w:val="20"/>
          <w:szCs w:val="20"/>
          <w:lang w:eastAsia="en-US"/>
        </w:rPr>
        <w:t>pokles</w:t>
      </w:r>
      <w:r w:rsidR="00DB1EB6" w:rsidRPr="00574DAD">
        <w:rPr>
          <w:rFonts w:ascii="Arial" w:hAnsi="Arial" w:cs="Arial"/>
          <w:iCs/>
          <w:sz w:val="20"/>
          <w:szCs w:val="20"/>
          <w:lang w:eastAsia="en-US"/>
        </w:rPr>
        <w:t xml:space="preserve"> o </w:t>
      </w:r>
      <w:r w:rsidR="00503817" w:rsidRPr="00574DAD">
        <w:rPr>
          <w:rFonts w:ascii="Arial" w:hAnsi="Arial" w:cs="Arial"/>
          <w:iCs/>
          <w:sz w:val="20"/>
          <w:szCs w:val="20"/>
          <w:lang w:eastAsia="en-US"/>
        </w:rPr>
        <w:tab/>
        <w:t>39,21</w:t>
      </w:r>
      <w:r w:rsidRPr="00DB1EB6">
        <w:rPr>
          <w:rFonts w:ascii="Arial" w:hAnsi="Arial" w:cs="Arial"/>
          <w:iCs/>
          <w:sz w:val="20"/>
          <w:szCs w:val="20"/>
          <w:lang w:eastAsia="en-US"/>
        </w:rPr>
        <w:t xml:space="preserve"> Gg CO</w:t>
      </w:r>
      <w:r w:rsidRPr="00DB1EB6">
        <w:rPr>
          <w:rFonts w:ascii="Arial" w:hAnsi="Arial" w:cs="Arial"/>
          <w:iCs/>
          <w:sz w:val="20"/>
          <w:szCs w:val="20"/>
          <w:vertAlign w:val="subscript"/>
          <w:lang w:eastAsia="en-US"/>
        </w:rPr>
        <w:t>2</w:t>
      </w:r>
      <w:r w:rsidRPr="00DB1EB6">
        <w:rPr>
          <w:rFonts w:ascii="Arial" w:hAnsi="Arial" w:cs="Arial"/>
          <w:iCs/>
          <w:sz w:val="20"/>
          <w:szCs w:val="20"/>
          <w:lang w:eastAsia="en-US"/>
        </w:rPr>
        <w:t xml:space="preserve"> ekv.</w:t>
      </w:r>
      <w:r w:rsidRPr="00307708">
        <w:rPr>
          <w:rFonts w:ascii="Arial" w:hAnsi="Arial" w:cs="Arial"/>
          <w:iCs/>
          <w:sz w:val="20"/>
          <w:szCs w:val="20"/>
          <w:lang w:eastAsia="en-US"/>
        </w:rPr>
        <w:t xml:space="preserve"> Vzhľadom na skutočnosť, že očakávaný trend vývoja emisií skleníkových pl</w:t>
      </w:r>
      <w:r w:rsidRPr="005B63DE">
        <w:rPr>
          <w:rFonts w:ascii="Arial" w:hAnsi="Arial" w:cs="Arial"/>
          <w:iCs/>
          <w:sz w:val="20"/>
          <w:szCs w:val="20"/>
          <w:lang w:eastAsia="en-US"/>
        </w:rPr>
        <w:t>ynov do roku 2015</w:t>
      </w:r>
      <w:r w:rsidR="002B1193" w:rsidRPr="005B63DE">
        <w:rPr>
          <w:rFonts w:ascii="Arial" w:hAnsi="Arial" w:cs="Arial"/>
          <w:iCs/>
          <w:sz w:val="20"/>
          <w:szCs w:val="20"/>
          <w:lang w:eastAsia="en-US"/>
        </w:rPr>
        <w:t xml:space="preserve"> </w:t>
      </w:r>
      <w:r w:rsidR="007F5875">
        <w:rPr>
          <w:rFonts w:ascii="Arial" w:hAnsi="Arial" w:cs="Arial"/>
          <w:iCs/>
          <w:sz w:val="20"/>
          <w:szCs w:val="20"/>
          <w:lang w:eastAsia="en-US"/>
        </w:rPr>
        <w:t>bol</w:t>
      </w:r>
      <w:r w:rsidR="007F5875" w:rsidRPr="005B63DE">
        <w:rPr>
          <w:rFonts w:ascii="Arial" w:hAnsi="Arial" w:cs="Arial"/>
          <w:iCs/>
          <w:sz w:val="20"/>
          <w:szCs w:val="20"/>
          <w:lang w:eastAsia="en-US"/>
        </w:rPr>
        <w:t xml:space="preserve"> </w:t>
      </w:r>
      <w:r w:rsidRPr="005B63DE">
        <w:rPr>
          <w:rFonts w:ascii="Arial" w:hAnsi="Arial" w:cs="Arial"/>
          <w:iCs/>
          <w:sz w:val="20"/>
          <w:szCs w:val="20"/>
          <w:lang w:eastAsia="en-US"/>
        </w:rPr>
        <w:t>stúpajúci, je obtiažne stanoviť presnú mieru príspevku aktivít OP ŽP  zameraných na redukciu emisií skleníkových plynov k dosiahnutiu tohto cieľa na úrovni celkových emisií.</w:t>
      </w:r>
    </w:p>
    <w:p w14:paraId="140C357B" w14:textId="59ABC49C" w:rsidR="00D33F1C" w:rsidRPr="00BB31B8" w:rsidRDefault="00AC1A6A" w:rsidP="00123376">
      <w:pPr>
        <w:spacing w:before="120" w:after="120"/>
        <w:jc w:val="both"/>
        <w:rPr>
          <w:rFonts w:ascii="Arial" w:hAnsi="Arial" w:cs="Arial"/>
          <w:sz w:val="20"/>
          <w:szCs w:val="20"/>
          <w:lang w:eastAsia="en-US"/>
        </w:rPr>
      </w:pPr>
      <w:r w:rsidRPr="00BB31B8">
        <w:rPr>
          <w:rFonts w:ascii="Arial" w:hAnsi="Arial" w:cs="Arial"/>
          <w:sz w:val="20"/>
          <w:szCs w:val="20"/>
          <w:lang w:eastAsia="en-US"/>
        </w:rPr>
        <w:t xml:space="preserve">V prípade vyhlasovania území Natura 2000 (chránené vtáčie územia a územia európskeho významu) </w:t>
      </w:r>
      <w:r w:rsidR="002632C0" w:rsidRPr="00BB31B8">
        <w:rPr>
          <w:rFonts w:ascii="Arial" w:hAnsi="Arial" w:cs="Arial"/>
          <w:sz w:val="20"/>
          <w:szCs w:val="20"/>
          <w:lang w:eastAsia="en-US"/>
        </w:rPr>
        <w:t xml:space="preserve">bolo </w:t>
      </w:r>
      <w:r w:rsidRPr="00BB31B8">
        <w:rPr>
          <w:rFonts w:ascii="Arial" w:hAnsi="Arial" w:cs="Arial"/>
          <w:sz w:val="20"/>
          <w:szCs w:val="20"/>
          <w:lang w:eastAsia="en-US"/>
        </w:rPr>
        <w:t xml:space="preserve">do konca roku 2015 </w:t>
      </w:r>
      <w:r w:rsidR="002632C0">
        <w:rPr>
          <w:rFonts w:ascii="Arial" w:hAnsi="Arial" w:cs="Arial"/>
          <w:sz w:val="20"/>
          <w:szCs w:val="20"/>
          <w:lang w:eastAsia="en-US"/>
        </w:rPr>
        <w:t>vyhlásených</w:t>
      </w:r>
      <w:r w:rsidRPr="00BB31B8">
        <w:rPr>
          <w:rFonts w:ascii="Arial" w:hAnsi="Arial" w:cs="Arial"/>
          <w:sz w:val="20"/>
          <w:szCs w:val="20"/>
          <w:lang w:eastAsia="en-US"/>
        </w:rPr>
        <w:t xml:space="preserve"> 350 </w:t>
      </w:r>
      <w:r w:rsidR="002632C0">
        <w:rPr>
          <w:rFonts w:ascii="Arial" w:hAnsi="Arial" w:cs="Arial"/>
          <w:sz w:val="20"/>
          <w:szCs w:val="20"/>
          <w:lang w:eastAsia="en-US"/>
        </w:rPr>
        <w:t>území,</w:t>
      </w:r>
      <w:r w:rsidRPr="00AC1A6A">
        <w:rPr>
          <w:rFonts w:ascii="Arial" w:hAnsi="Arial" w:cs="Arial"/>
          <w:sz w:val="20"/>
          <w:szCs w:val="20"/>
          <w:lang w:eastAsia="en-US"/>
        </w:rPr>
        <w:t xml:space="preserve"> </w:t>
      </w:r>
      <w:r w:rsidR="002632C0">
        <w:rPr>
          <w:rFonts w:ascii="Arial" w:hAnsi="Arial" w:cs="Arial"/>
          <w:sz w:val="20"/>
          <w:szCs w:val="20"/>
          <w:lang w:eastAsia="en-US"/>
        </w:rPr>
        <w:t>z</w:t>
      </w:r>
      <w:r w:rsidRPr="00AC1A6A">
        <w:rPr>
          <w:rFonts w:ascii="Arial" w:hAnsi="Arial" w:cs="Arial"/>
          <w:sz w:val="20"/>
          <w:szCs w:val="20"/>
          <w:lang w:eastAsia="en-US"/>
        </w:rPr>
        <w:t xml:space="preserve"> celkového počtu 514 území sústavy Natura 2000 </w:t>
      </w:r>
      <w:r w:rsidR="002632C0">
        <w:rPr>
          <w:rFonts w:ascii="Arial" w:hAnsi="Arial" w:cs="Arial"/>
          <w:sz w:val="20"/>
          <w:szCs w:val="20"/>
          <w:lang w:eastAsia="en-US"/>
        </w:rPr>
        <w:t xml:space="preserve">(pričom </w:t>
      </w:r>
      <w:r w:rsidR="002632C0" w:rsidRPr="00BB31B8">
        <w:rPr>
          <w:rFonts w:ascii="Arial" w:hAnsi="Arial" w:cs="Arial"/>
          <w:sz w:val="20"/>
          <w:szCs w:val="20"/>
          <w:lang w:eastAsia="en-US"/>
        </w:rPr>
        <w:t>do konca roka 2011 bolo vyhlásených iba 239 území</w:t>
      </w:r>
      <w:r w:rsidR="002632C0">
        <w:rPr>
          <w:rFonts w:ascii="Arial" w:hAnsi="Arial" w:cs="Arial"/>
          <w:sz w:val="20"/>
          <w:szCs w:val="20"/>
          <w:lang w:eastAsia="en-US"/>
        </w:rPr>
        <w:t>).</w:t>
      </w:r>
    </w:p>
    <w:p w14:paraId="7AA77804" w14:textId="77777777" w:rsidR="005B340F" w:rsidRPr="005B63DE" w:rsidRDefault="005B340F" w:rsidP="00123376">
      <w:pPr>
        <w:spacing w:before="240" w:after="120"/>
        <w:jc w:val="both"/>
        <w:rPr>
          <w:rFonts w:ascii="Arial" w:hAnsi="Arial" w:cs="Arial"/>
          <w:b/>
          <w:sz w:val="20"/>
          <w:szCs w:val="20"/>
          <w:lang w:eastAsia="en-US"/>
        </w:rPr>
      </w:pPr>
      <w:r w:rsidRPr="005B63DE">
        <w:rPr>
          <w:rFonts w:ascii="Arial" w:hAnsi="Arial" w:cs="Arial"/>
          <w:b/>
          <w:sz w:val="20"/>
          <w:szCs w:val="20"/>
          <w:lang w:eastAsia="en-US"/>
        </w:rPr>
        <w:t>Vyhodnotenie stavu zazmluvnenia OP ŽP</w:t>
      </w:r>
    </w:p>
    <w:p w14:paraId="2ED71163" w14:textId="4D5FC074" w:rsidR="00AC1A6A" w:rsidRDefault="00522102" w:rsidP="00123376">
      <w:pPr>
        <w:spacing w:before="120"/>
        <w:jc w:val="both"/>
        <w:rPr>
          <w:rFonts w:ascii="Arial" w:hAnsi="Arial" w:cs="Arial"/>
          <w:sz w:val="20"/>
          <w:szCs w:val="20"/>
          <w:lang w:eastAsia="en-US"/>
        </w:rPr>
      </w:pPr>
      <w:r>
        <w:rPr>
          <w:rFonts w:ascii="Arial" w:hAnsi="Arial" w:cs="Arial"/>
          <w:sz w:val="20"/>
          <w:szCs w:val="20"/>
          <w:lang w:eastAsia="en-US"/>
        </w:rPr>
        <w:t>Stav zazmluvnenia</w:t>
      </w:r>
      <w:r w:rsidR="00AC1A6A" w:rsidRPr="005B63DE">
        <w:rPr>
          <w:rFonts w:ascii="Arial" w:hAnsi="Arial" w:cs="Arial"/>
          <w:sz w:val="20"/>
          <w:szCs w:val="20"/>
          <w:lang w:eastAsia="en-US"/>
        </w:rPr>
        <w:t xml:space="preserve"> OP ŽP </w:t>
      </w:r>
      <w:r w:rsidR="00AC1A6A">
        <w:rPr>
          <w:rFonts w:ascii="Arial" w:hAnsi="Arial" w:cs="Arial"/>
          <w:sz w:val="20"/>
          <w:szCs w:val="20"/>
          <w:lang w:eastAsia="en-US"/>
        </w:rPr>
        <w:t>mal</w:t>
      </w:r>
      <w:r w:rsidR="00AC1A6A" w:rsidRPr="005B63DE">
        <w:rPr>
          <w:rFonts w:ascii="Arial" w:hAnsi="Arial" w:cs="Arial"/>
          <w:sz w:val="20"/>
          <w:szCs w:val="20"/>
          <w:lang w:eastAsia="en-US"/>
        </w:rPr>
        <w:t xml:space="preserve"> kontinuálne rastúci </w:t>
      </w:r>
      <w:r w:rsidR="00AC1A6A">
        <w:rPr>
          <w:rFonts w:ascii="Arial" w:hAnsi="Arial" w:cs="Arial"/>
          <w:sz w:val="20"/>
          <w:szCs w:val="20"/>
          <w:lang w:eastAsia="en-US"/>
        </w:rPr>
        <w:t xml:space="preserve">charakter </w:t>
      </w:r>
      <w:r w:rsidR="00281657">
        <w:rPr>
          <w:rFonts w:ascii="Arial" w:hAnsi="Arial" w:cs="Arial"/>
          <w:sz w:val="20"/>
          <w:szCs w:val="20"/>
          <w:lang w:eastAsia="en-US"/>
        </w:rPr>
        <w:t>od</w:t>
      </w:r>
      <w:r w:rsidR="00AC1A6A" w:rsidRPr="005B63DE">
        <w:rPr>
          <w:rFonts w:ascii="Arial" w:hAnsi="Arial" w:cs="Arial"/>
          <w:sz w:val="20"/>
          <w:szCs w:val="20"/>
          <w:lang w:eastAsia="en-US"/>
        </w:rPr>
        <w:t xml:space="preserve"> roku 200</w:t>
      </w:r>
      <w:r w:rsidR="00AC1A6A">
        <w:rPr>
          <w:rFonts w:ascii="Arial" w:hAnsi="Arial" w:cs="Arial"/>
          <w:sz w:val="20"/>
          <w:szCs w:val="20"/>
          <w:lang w:eastAsia="en-US"/>
        </w:rPr>
        <w:t>8</w:t>
      </w:r>
      <w:r w:rsidR="00AC1A6A" w:rsidRPr="005B63DE">
        <w:rPr>
          <w:rFonts w:ascii="Arial" w:hAnsi="Arial" w:cs="Arial"/>
          <w:sz w:val="20"/>
          <w:szCs w:val="20"/>
          <w:lang w:eastAsia="en-US"/>
        </w:rPr>
        <w:t xml:space="preserve">, </w:t>
      </w:r>
      <w:r w:rsidR="00AC1A6A">
        <w:rPr>
          <w:rFonts w:ascii="Arial" w:hAnsi="Arial" w:cs="Arial"/>
          <w:sz w:val="20"/>
          <w:szCs w:val="20"/>
          <w:lang w:eastAsia="en-US"/>
        </w:rPr>
        <w:t>čo súviselo so schválením operačného programu v roku 2007 a následnou prípravou riadiacej dokumentácie a vyhlasovaním výziev. S</w:t>
      </w:r>
      <w:r w:rsidR="00AC1A6A" w:rsidRPr="00E21C60">
        <w:rPr>
          <w:rFonts w:ascii="Arial" w:hAnsi="Arial" w:cs="Arial"/>
          <w:sz w:val="20"/>
          <w:szCs w:val="20"/>
          <w:lang w:eastAsia="en-US"/>
        </w:rPr>
        <w:t xml:space="preserve">tav kontrahovania </w:t>
      </w:r>
      <w:r w:rsidR="00AC1A6A">
        <w:rPr>
          <w:rFonts w:ascii="Arial" w:hAnsi="Arial" w:cs="Arial"/>
          <w:sz w:val="20"/>
          <w:szCs w:val="20"/>
          <w:lang w:eastAsia="en-US"/>
        </w:rPr>
        <w:t xml:space="preserve">v rámci OP ŽP </w:t>
      </w:r>
      <w:r w:rsidR="00AC1A6A" w:rsidRPr="00E21C60">
        <w:rPr>
          <w:rFonts w:ascii="Arial" w:hAnsi="Arial" w:cs="Arial"/>
          <w:sz w:val="20"/>
          <w:szCs w:val="20"/>
          <w:lang w:eastAsia="en-US"/>
        </w:rPr>
        <w:t>k</w:t>
      </w:r>
      <w:r w:rsidR="00AC1A6A">
        <w:rPr>
          <w:rFonts w:ascii="Arial" w:hAnsi="Arial" w:cs="Arial"/>
          <w:sz w:val="20"/>
          <w:szCs w:val="20"/>
          <w:lang w:eastAsia="en-US"/>
        </w:rPr>
        <w:t> </w:t>
      </w:r>
      <w:r w:rsidR="00AC1A6A" w:rsidRPr="00E21C60">
        <w:rPr>
          <w:rFonts w:ascii="Arial" w:hAnsi="Arial" w:cs="Arial"/>
          <w:sz w:val="20"/>
          <w:szCs w:val="20"/>
          <w:lang w:eastAsia="en-US"/>
        </w:rPr>
        <w:t>31.1</w:t>
      </w:r>
      <w:r w:rsidR="00AC1A6A">
        <w:rPr>
          <w:rFonts w:ascii="Arial" w:hAnsi="Arial" w:cs="Arial"/>
          <w:sz w:val="20"/>
          <w:szCs w:val="20"/>
          <w:lang w:eastAsia="en-US"/>
        </w:rPr>
        <w:t>0</w:t>
      </w:r>
      <w:r w:rsidR="00AC1A6A" w:rsidRPr="00E21C60">
        <w:rPr>
          <w:rFonts w:ascii="Arial" w:hAnsi="Arial" w:cs="Arial"/>
          <w:sz w:val="20"/>
          <w:szCs w:val="20"/>
          <w:lang w:eastAsia="en-US"/>
        </w:rPr>
        <w:t>.201</w:t>
      </w:r>
      <w:r w:rsidR="00AC1A6A">
        <w:rPr>
          <w:rFonts w:ascii="Arial" w:hAnsi="Arial" w:cs="Arial"/>
          <w:sz w:val="20"/>
          <w:szCs w:val="20"/>
          <w:lang w:eastAsia="en-US"/>
        </w:rPr>
        <w:t xml:space="preserve">6 dosiahol sumu vo výške </w:t>
      </w:r>
      <w:r w:rsidR="00AC1A6A" w:rsidRPr="000B0F98">
        <w:rPr>
          <w:rFonts w:ascii="Arial" w:hAnsi="Arial" w:cs="Arial"/>
          <w:sz w:val="20"/>
          <w:szCs w:val="20"/>
          <w:lang w:eastAsia="en-US"/>
        </w:rPr>
        <w:t xml:space="preserve">cca </w:t>
      </w:r>
      <w:r w:rsidR="00AC1A6A" w:rsidRPr="002B2E25">
        <w:rPr>
          <w:rFonts w:ascii="Arial" w:hAnsi="Arial" w:cs="Arial"/>
          <w:sz w:val="20"/>
          <w:szCs w:val="20"/>
          <w:lang w:eastAsia="en-US"/>
        </w:rPr>
        <w:t>1,</w:t>
      </w:r>
      <w:r w:rsidR="007D5CA0" w:rsidRPr="002B2E25">
        <w:rPr>
          <w:rFonts w:ascii="Arial" w:hAnsi="Arial" w:cs="Arial"/>
          <w:sz w:val="20"/>
          <w:szCs w:val="20"/>
          <w:lang w:eastAsia="en-US"/>
        </w:rPr>
        <w:t>945</w:t>
      </w:r>
      <w:r w:rsidR="00AC1A6A" w:rsidRPr="002B2E25">
        <w:rPr>
          <w:rFonts w:ascii="Arial" w:hAnsi="Arial" w:cs="Arial"/>
          <w:sz w:val="20"/>
          <w:szCs w:val="20"/>
          <w:lang w:eastAsia="en-US"/>
        </w:rPr>
        <w:t xml:space="preserve"> mld. </w:t>
      </w:r>
      <w:r w:rsidR="00366C2D" w:rsidRPr="002B2E25">
        <w:rPr>
          <w:rFonts w:ascii="Arial" w:hAnsi="Arial" w:cs="Arial"/>
          <w:sz w:val="20"/>
          <w:szCs w:val="20"/>
          <w:lang w:eastAsia="en-US"/>
        </w:rPr>
        <w:t>€</w:t>
      </w:r>
      <w:r w:rsidR="00AC1A6A" w:rsidRPr="002B2E25">
        <w:rPr>
          <w:rFonts w:ascii="Arial" w:hAnsi="Arial" w:cs="Arial"/>
          <w:sz w:val="20"/>
          <w:szCs w:val="20"/>
          <w:lang w:eastAsia="en-US"/>
        </w:rPr>
        <w:t xml:space="preserve">, čo predstavuje </w:t>
      </w:r>
      <w:r w:rsidR="007D5CA0" w:rsidRPr="002B2E25">
        <w:rPr>
          <w:rFonts w:ascii="Arial" w:hAnsi="Arial" w:cs="Arial"/>
          <w:sz w:val="20"/>
          <w:szCs w:val="20"/>
          <w:lang w:eastAsia="en-US"/>
        </w:rPr>
        <w:t>106,87</w:t>
      </w:r>
      <w:r w:rsidR="00AC1A6A" w:rsidRPr="002B2E25">
        <w:rPr>
          <w:rFonts w:ascii="Arial" w:hAnsi="Arial" w:cs="Arial"/>
          <w:sz w:val="20"/>
          <w:szCs w:val="20"/>
          <w:lang w:eastAsia="en-US"/>
        </w:rPr>
        <w:t xml:space="preserve"> % z alokácie OP ŽP (EÚ zdroje).</w:t>
      </w:r>
    </w:p>
    <w:p w14:paraId="7DE1849A" w14:textId="77777777" w:rsidR="00021D46" w:rsidRDefault="00021D46" w:rsidP="00123376">
      <w:pPr>
        <w:spacing w:before="120"/>
        <w:jc w:val="both"/>
        <w:rPr>
          <w:rFonts w:ascii="Arial" w:hAnsi="Arial" w:cs="Arial"/>
          <w:sz w:val="20"/>
          <w:szCs w:val="20"/>
          <w:lang w:eastAsia="en-US"/>
        </w:rPr>
      </w:pPr>
    </w:p>
    <w:p w14:paraId="109CD3DE" w14:textId="77777777" w:rsidR="0008447E" w:rsidRDefault="0008447E" w:rsidP="00123376">
      <w:pPr>
        <w:spacing w:before="120"/>
        <w:jc w:val="both"/>
        <w:rPr>
          <w:rFonts w:ascii="Arial" w:hAnsi="Arial" w:cs="Arial"/>
          <w:sz w:val="20"/>
          <w:szCs w:val="20"/>
          <w:lang w:eastAsia="en-US"/>
        </w:rPr>
      </w:pPr>
    </w:p>
    <w:p w14:paraId="6D23E8E0" w14:textId="0BC2D085" w:rsidR="00BB10F1" w:rsidRDefault="00BB10F1" w:rsidP="00123376">
      <w:pPr>
        <w:spacing w:before="120"/>
        <w:jc w:val="both"/>
        <w:rPr>
          <w:rFonts w:ascii="Arial" w:hAnsi="Arial" w:cs="Arial"/>
          <w:sz w:val="20"/>
          <w:szCs w:val="20"/>
          <w:lang w:eastAsia="en-US"/>
        </w:rPr>
      </w:pPr>
      <w:r w:rsidRPr="00E21C60">
        <w:rPr>
          <w:rFonts w:ascii="Arial" w:hAnsi="Arial" w:cs="Arial"/>
          <w:sz w:val="20"/>
          <w:szCs w:val="20"/>
          <w:lang w:eastAsia="en-US"/>
        </w:rPr>
        <w:lastRenderedPageBreak/>
        <w:t>Tab</w:t>
      </w:r>
      <w:r w:rsidR="00181991" w:rsidRPr="00E21C60">
        <w:rPr>
          <w:rFonts w:ascii="Arial" w:hAnsi="Arial" w:cs="Arial"/>
          <w:sz w:val="20"/>
          <w:szCs w:val="20"/>
          <w:lang w:eastAsia="en-US"/>
        </w:rPr>
        <w:t>uľka</w:t>
      </w:r>
      <w:r w:rsidRPr="00E21C60">
        <w:rPr>
          <w:rFonts w:ascii="Arial" w:hAnsi="Arial" w:cs="Arial"/>
          <w:sz w:val="20"/>
          <w:szCs w:val="20"/>
          <w:lang w:eastAsia="en-US"/>
        </w:rPr>
        <w:t xml:space="preserve"> č. </w:t>
      </w:r>
      <w:r w:rsidR="002C35E2" w:rsidRPr="002526CC">
        <w:rPr>
          <w:rFonts w:ascii="Arial" w:hAnsi="Arial" w:cs="Arial"/>
          <w:sz w:val="20"/>
          <w:szCs w:val="20"/>
          <w:lang w:eastAsia="en-US"/>
        </w:rPr>
        <w:t>4</w:t>
      </w:r>
      <w:r w:rsidRPr="00E21C60">
        <w:rPr>
          <w:rFonts w:ascii="Arial" w:hAnsi="Arial" w:cs="Arial"/>
          <w:sz w:val="20"/>
          <w:szCs w:val="20"/>
          <w:lang w:eastAsia="en-US"/>
        </w:rPr>
        <w:t xml:space="preserve">: </w:t>
      </w:r>
      <w:r w:rsidR="003B1096" w:rsidRPr="003B1096">
        <w:rPr>
          <w:rFonts w:ascii="Arial" w:hAnsi="Arial" w:cs="Arial"/>
          <w:sz w:val="20"/>
          <w:szCs w:val="20"/>
          <w:lang w:eastAsia="en-US"/>
        </w:rPr>
        <w:t>Vývoj zazmluvnenia alokácie (EÚ zdroje) v rokoch 2007 až 31.10.2016</w:t>
      </w:r>
      <w:r w:rsidR="003B1096">
        <w:rPr>
          <w:rFonts w:ascii="Arial" w:hAnsi="Arial" w:cs="Arial"/>
          <w:sz w:val="20"/>
          <w:szCs w:val="20"/>
          <w:lang w:eastAsia="en-US"/>
        </w:rPr>
        <w:t xml:space="preserve"> </w:t>
      </w:r>
      <w:r w:rsidR="003B1096" w:rsidRPr="00E21C60">
        <w:rPr>
          <w:rFonts w:ascii="Arial" w:hAnsi="Arial" w:cs="Arial"/>
          <w:sz w:val="20"/>
          <w:szCs w:val="20"/>
          <w:lang w:eastAsia="en-US"/>
        </w:rPr>
        <w:t>(v €)</w:t>
      </w:r>
    </w:p>
    <w:tbl>
      <w:tblPr>
        <w:tblW w:w="9796" w:type="dxa"/>
        <w:tblInd w:w="55" w:type="dxa"/>
        <w:tblCellMar>
          <w:left w:w="70" w:type="dxa"/>
          <w:right w:w="70" w:type="dxa"/>
        </w:tblCellMar>
        <w:tblLook w:val="04A0" w:firstRow="1" w:lastRow="0" w:firstColumn="1" w:lastColumn="0" w:noHBand="0" w:noVBand="1"/>
      </w:tblPr>
      <w:tblGrid>
        <w:gridCol w:w="941"/>
        <w:gridCol w:w="1138"/>
        <w:gridCol w:w="1134"/>
        <w:gridCol w:w="1134"/>
        <w:gridCol w:w="1134"/>
        <w:gridCol w:w="992"/>
        <w:gridCol w:w="992"/>
        <w:gridCol w:w="1019"/>
        <w:gridCol w:w="1387"/>
      </w:tblGrid>
      <w:tr w:rsidR="0008447E" w14:paraId="1E7E6FD8" w14:textId="77777777" w:rsidTr="0008447E">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C2D69B" w:themeFill="accent3" w:themeFillTint="99"/>
            <w:noWrap/>
            <w:vAlign w:val="center"/>
            <w:hideMark/>
          </w:tcPr>
          <w:p w14:paraId="3A6DEDD0" w14:textId="1936A6E9" w:rsidR="003B1096" w:rsidRDefault="003B1096" w:rsidP="0008447E">
            <w:pPr>
              <w:jc w:val="center"/>
              <w:rPr>
                <w:rFonts w:ascii="Arial" w:hAnsi="Arial" w:cs="Arial"/>
                <w:b/>
                <w:bCs/>
                <w:color w:val="000000"/>
                <w:sz w:val="16"/>
                <w:szCs w:val="16"/>
              </w:rPr>
            </w:pPr>
            <w:r>
              <w:rPr>
                <w:rFonts w:ascii="Arial" w:hAnsi="Arial" w:cs="Arial"/>
                <w:b/>
                <w:bCs/>
                <w:color w:val="000000"/>
                <w:sz w:val="16"/>
                <w:szCs w:val="16"/>
              </w:rPr>
              <w:t>Rok</w:t>
            </w:r>
          </w:p>
        </w:tc>
        <w:tc>
          <w:tcPr>
            <w:tcW w:w="1138" w:type="dxa"/>
            <w:tcBorders>
              <w:top w:val="single" w:sz="12" w:space="0" w:color="auto"/>
              <w:left w:val="single" w:sz="6" w:space="0" w:color="auto"/>
              <w:bottom w:val="single" w:sz="6" w:space="0" w:color="auto"/>
              <w:right w:val="single" w:sz="6" w:space="0" w:color="auto"/>
            </w:tcBorders>
            <w:shd w:val="clear" w:color="auto" w:fill="C2D69B" w:themeFill="accent3" w:themeFillTint="99"/>
            <w:noWrap/>
            <w:vAlign w:val="center"/>
            <w:hideMark/>
          </w:tcPr>
          <w:p w14:paraId="26492705" w14:textId="77777777" w:rsidR="003B1096" w:rsidRDefault="003B1096" w:rsidP="0008447E">
            <w:pPr>
              <w:jc w:val="center"/>
              <w:rPr>
                <w:rFonts w:ascii="Arial" w:hAnsi="Arial" w:cs="Arial"/>
                <w:b/>
                <w:bCs/>
                <w:color w:val="000000"/>
                <w:sz w:val="16"/>
                <w:szCs w:val="16"/>
              </w:rPr>
            </w:pPr>
            <w:r>
              <w:rPr>
                <w:rFonts w:ascii="Arial" w:hAnsi="Arial" w:cs="Arial"/>
                <w:b/>
                <w:bCs/>
                <w:color w:val="000000"/>
                <w:sz w:val="16"/>
                <w:szCs w:val="16"/>
              </w:rPr>
              <w:t>PO1</w:t>
            </w:r>
          </w:p>
        </w:tc>
        <w:tc>
          <w:tcPr>
            <w:tcW w:w="1134" w:type="dxa"/>
            <w:tcBorders>
              <w:top w:val="single" w:sz="12" w:space="0" w:color="auto"/>
              <w:left w:val="single" w:sz="6" w:space="0" w:color="auto"/>
              <w:bottom w:val="single" w:sz="6" w:space="0" w:color="auto"/>
              <w:right w:val="single" w:sz="6" w:space="0" w:color="auto"/>
            </w:tcBorders>
            <w:shd w:val="clear" w:color="auto" w:fill="C2D69B" w:themeFill="accent3" w:themeFillTint="99"/>
            <w:noWrap/>
            <w:vAlign w:val="center"/>
            <w:hideMark/>
          </w:tcPr>
          <w:p w14:paraId="5F6AB837" w14:textId="77777777" w:rsidR="003B1096" w:rsidRDefault="003B1096" w:rsidP="0008447E">
            <w:pPr>
              <w:jc w:val="center"/>
              <w:rPr>
                <w:rFonts w:ascii="Arial" w:hAnsi="Arial" w:cs="Arial"/>
                <w:b/>
                <w:bCs/>
                <w:color w:val="000000"/>
                <w:sz w:val="16"/>
                <w:szCs w:val="16"/>
              </w:rPr>
            </w:pPr>
            <w:r>
              <w:rPr>
                <w:rFonts w:ascii="Arial" w:hAnsi="Arial" w:cs="Arial"/>
                <w:b/>
                <w:bCs/>
                <w:color w:val="000000"/>
                <w:sz w:val="16"/>
                <w:szCs w:val="16"/>
              </w:rPr>
              <w:t>PO2</w:t>
            </w:r>
          </w:p>
        </w:tc>
        <w:tc>
          <w:tcPr>
            <w:tcW w:w="1134" w:type="dxa"/>
            <w:tcBorders>
              <w:top w:val="single" w:sz="12" w:space="0" w:color="auto"/>
              <w:left w:val="single" w:sz="6" w:space="0" w:color="auto"/>
              <w:bottom w:val="single" w:sz="6" w:space="0" w:color="auto"/>
              <w:right w:val="single" w:sz="6" w:space="0" w:color="auto"/>
            </w:tcBorders>
            <w:shd w:val="clear" w:color="auto" w:fill="C2D69B" w:themeFill="accent3" w:themeFillTint="99"/>
            <w:noWrap/>
            <w:vAlign w:val="center"/>
            <w:hideMark/>
          </w:tcPr>
          <w:p w14:paraId="1C2A082C" w14:textId="77777777" w:rsidR="003B1096" w:rsidRDefault="003B1096" w:rsidP="0008447E">
            <w:pPr>
              <w:jc w:val="center"/>
              <w:rPr>
                <w:rFonts w:ascii="Arial" w:hAnsi="Arial" w:cs="Arial"/>
                <w:b/>
                <w:bCs/>
                <w:color w:val="000000"/>
                <w:sz w:val="16"/>
                <w:szCs w:val="16"/>
              </w:rPr>
            </w:pPr>
            <w:r>
              <w:rPr>
                <w:rFonts w:ascii="Arial" w:hAnsi="Arial" w:cs="Arial"/>
                <w:b/>
                <w:bCs/>
                <w:color w:val="000000"/>
                <w:sz w:val="16"/>
                <w:szCs w:val="16"/>
              </w:rPr>
              <w:t>PO3</w:t>
            </w:r>
          </w:p>
        </w:tc>
        <w:tc>
          <w:tcPr>
            <w:tcW w:w="1134" w:type="dxa"/>
            <w:tcBorders>
              <w:top w:val="single" w:sz="12" w:space="0" w:color="auto"/>
              <w:left w:val="single" w:sz="6" w:space="0" w:color="auto"/>
              <w:bottom w:val="single" w:sz="6" w:space="0" w:color="auto"/>
              <w:right w:val="single" w:sz="6" w:space="0" w:color="auto"/>
            </w:tcBorders>
            <w:shd w:val="clear" w:color="auto" w:fill="C2D69B" w:themeFill="accent3" w:themeFillTint="99"/>
            <w:noWrap/>
            <w:vAlign w:val="center"/>
            <w:hideMark/>
          </w:tcPr>
          <w:p w14:paraId="138852EF" w14:textId="77777777" w:rsidR="003B1096" w:rsidRDefault="003B1096" w:rsidP="0008447E">
            <w:pPr>
              <w:jc w:val="center"/>
              <w:rPr>
                <w:rFonts w:ascii="Arial" w:hAnsi="Arial" w:cs="Arial"/>
                <w:b/>
                <w:bCs/>
                <w:color w:val="000000"/>
                <w:sz w:val="16"/>
                <w:szCs w:val="16"/>
              </w:rPr>
            </w:pPr>
            <w:r>
              <w:rPr>
                <w:rFonts w:ascii="Arial" w:hAnsi="Arial" w:cs="Arial"/>
                <w:b/>
                <w:bCs/>
                <w:color w:val="000000"/>
                <w:sz w:val="16"/>
                <w:szCs w:val="16"/>
              </w:rPr>
              <w:t>PO4</w:t>
            </w:r>
          </w:p>
        </w:tc>
        <w:tc>
          <w:tcPr>
            <w:tcW w:w="992" w:type="dxa"/>
            <w:tcBorders>
              <w:top w:val="single" w:sz="12" w:space="0" w:color="auto"/>
              <w:left w:val="single" w:sz="6" w:space="0" w:color="auto"/>
              <w:bottom w:val="single" w:sz="6" w:space="0" w:color="auto"/>
              <w:right w:val="single" w:sz="6" w:space="0" w:color="auto"/>
            </w:tcBorders>
            <w:shd w:val="clear" w:color="auto" w:fill="C2D69B" w:themeFill="accent3" w:themeFillTint="99"/>
            <w:noWrap/>
            <w:vAlign w:val="center"/>
            <w:hideMark/>
          </w:tcPr>
          <w:p w14:paraId="6FE25138" w14:textId="77777777" w:rsidR="003B1096" w:rsidRDefault="003B1096" w:rsidP="0008447E">
            <w:pPr>
              <w:jc w:val="center"/>
              <w:rPr>
                <w:rFonts w:ascii="Arial" w:hAnsi="Arial" w:cs="Arial"/>
                <w:b/>
                <w:bCs/>
                <w:color w:val="000000"/>
                <w:sz w:val="16"/>
                <w:szCs w:val="16"/>
              </w:rPr>
            </w:pPr>
            <w:r>
              <w:rPr>
                <w:rFonts w:ascii="Arial" w:hAnsi="Arial" w:cs="Arial"/>
                <w:b/>
                <w:bCs/>
                <w:color w:val="000000"/>
                <w:sz w:val="16"/>
                <w:szCs w:val="16"/>
              </w:rPr>
              <w:t>PO5</w:t>
            </w:r>
          </w:p>
        </w:tc>
        <w:tc>
          <w:tcPr>
            <w:tcW w:w="992" w:type="dxa"/>
            <w:tcBorders>
              <w:top w:val="single" w:sz="12" w:space="0" w:color="auto"/>
              <w:left w:val="single" w:sz="6" w:space="0" w:color="auto"/>
              <w:bottom w:val="single" w:sz="6" w:space="0" w:color="auto"/>
              <w:right w:val="single" w:sz="6" w:space="0" w:color="auto"/>
            </w:tcBorders>
            <w:shd w:val="clear" w:color="auto" w:fill="C2D69B" w:themeFill="accent3" w:themeFillTint="99"/>
            <w:noWrap/>
            <w:vAlign w:val="center"/>
            <w:hideMark/>
          </w:tcPr>
          <w:p w14:paraId="5852CC9A" w14:textId="77777777" w:rsidR="003B1096" w:rsidRDefault="003B1096" w:rsidP="0008447E">
            <w:pPr>
              <w:jc w:val="center"/>
              <w:rPr>
                <w:rFonts w:ascii="Arial" w:hAnsi="Arial" w:cs="Arial"/>
                <w:b/>
                <w:bCs/>
                <w:color w:val="000000"/>
                <w:sz w:val="16"/>
                <w:szCs w:val="16"/>
              </w:rPr>
            </w:pPr>
            <w:r>
              <w:rPr>
                <w:rFonts w:ascii="Arial" w:hAnsi="Arial" w:cs="Arial"/>
                <w:b/>
                <w:bCs/>
                <w:color w:val="000000"/>
                <w:sz w:val="16"/>
                <w:szCs w:val="16"/>
              </w:rPr>
              <w:t>PO6</w:t>
            </w:r>
          </w:p>
        </w:tc>
        <w:tc>
          <w:tcPr>
            <w:tcW w:w="1019" w:type="dxa"/>
            <w:tcBorders>
              <w:top w:val="single" w:sz="12" w:space="0" w:color="auto"/>
              <w:left w:val="single" w:sz="6" w:space="0" w:color="auto"/>
              <w:bottom w:val="single" w:sz="6" w:space="0" w:color="auto"/>
              <w:right w:val="single" w:sz="6" w:space="0" w:color="auto"/>
            </w:tcBorders>
            <w:shd w:val="clear" w:color="auto" w:fill="C2D69B" w:themeFill="accent3" w:themeFillTint="99"/>
            <w:noWrap/>
            <w:vAlign w:val="center"/>
            <w:hideMark/>
          </w:tcPr>
          <w:p w14:paraId="7B800223" w14:textId="77777777" w:rsidR="003B1096" w:rsidRDefault="003B1096" w:rsidP="0008447E">
            <w:pPr>
              <w:jc w:val="center"/>
              <w:rPr>
                <w:rFonts w:ascii="Arial" w:hAnsi="Arial" w:cs="Arial"/>
                <w:b/>
                <w:bCs/>
                <w:color w:val="000000"/>
                <w:sz w:val="16"/>
                <w:szCs w:val="16"/>
              </w:rPr>
            </w:pPr>
            <w:r>
              <w:rPr>
                <w:rFonts w:ascii="Arial" w:hAnsi="Arial" w:cs="Arial"/>
                <w:b/>
                <w:bCs/>
                <w:color w:val="000000"/>
                <w:sz w:val="16"/>
                <w:szCs w:val="16"/>
              </w:rPr>
              <w:t>PO7</w:t>
            </w:r>
          </w:p>
        </w:tc>
        <w:tc>
          <w:tcPr>
            <w:tcW w:w="1387" w:type="dxa"/>
            <w:tcBorders>
              <w:top w:val="single" w:sz="12" w:space="0" w:color="auto"/>
              <w:left w:val="single" w:sz="6" w:space="0" w:color="auto"/>
              <w:bottom w:val="single" w:sz="6" w:space="0" w:color="auto"/>
              <w:right w:val="single" w:sz="12" w:space="0" w:color="auto"/>
            </w:tcBorders>
            <w:shd w:val="clear" w:color="auto" w:fill="C2D69B" w:themeFill="accent3" w:themeFillTint="99"/>
            <w:noWrap/>
            <w:vAlign w:val="center"/>
            <w:hideMark/>
          </w:tcPr>
          <w:p w14:paraId="78DF02E1" w14:textId="77777777" w:rsidR="003B1096" w:rsidRDefault="003B1096" w:rsidP="0008447E">
            <w:pPr>
              <w:jc w:val="center"/>
              <w:rPr>
                <w:rFonts w:ascii="Arial" w:hAnsi="Arial" w:cs="Arial"/>
                <w:b/>
                <w:bCs/>
                <w:color w:val="000000"/>
                <w:sz w:val="16"/>
                <w:szCs w:val="16"/>
              </w:rPr>
            </w:pPr>
            <w:r>
              <w:rPr>
                <w:rFonts w:ascii="Arial" w:hAnsi="Arial" w:cs="Arial"/>
                <w:b/>
                <w:bCs/>
                <w:color w:val="000000"/>
                <w:sz w:val="16"/>
                <w:szCs w:val="16"/>
              </w:rPr>
              <w:t>Spolu</w:t>
            </w:r>
          </w:p>
        </w:tc>
      </w:tr>
      <w:tr w:rsidR="003B1096" w14:paraId="371764CC"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auto"/>
            <w:noWrap/>
            <w:vAlign w:val="center"/>
            <w:hideMark/>
          </w:tcPr>
          <w:p w14:paraId="73957FEA" w14:textId="77777777" w:rsidR="003B1096" w:rsidRDefault="003B1096" w:rsidP="008449FC">
            <w:pPr>
              <w:jc w:val="center"/>
              <w:rPr>
                <w:rFonts w:ascii="Arial" w:hAnsi="Arial" w:cs="Arial"/>
                <w:b/>
                <w:bCs/>
                <w:color w:val="000000"/>
                <w:sz w:val="16"/>
                <w:szCs w:val="16"/>
              </w:rPr>
            </w:pPr>
            <w:r>
              <w:rPr>
                <w:rFonts w:ascii="Arial" w:hAnsi="Arial" w:cs="Arial"/>
                <w:b/>
                <w:bCs/>
                <w:color w:val="000000"/>
                <w:sz w:val="16"/>
                <w:szCs w:val="16"/>
              </w:rPr>
              <w:t>2007</w:t>
            </w:r>
          </w:p>
        </w:tc>
        <w:tc>
          <w:tcPr>
            <w:tcW w:w="1138"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49593B07"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7F3A61AB"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7DC1CD0F"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EE4C70B"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79B49795"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0281DE0"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019"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E0EDFD5"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387" w:type="dxa"/>
            <w:tcBorders>
              <w:top w:val="single" w:sz="12" w:space="0" w:color="auto"/>
              <w:left w:val="single" w:sz="6" w:space="0" w:color="auto"/>
              <w:bottom w:val="single" w:sz="6" w:space="0" w:color="auto"/>
              <w:right w:val="single" w:sz="12" w:space="0" w:color="auto"/>
            </w:tcBorders>
            <w:shd w:val="clear" w:color="auto" w:fill="auto"/>
            <w:noWrap/>
            <w:vAlign w:val="center"/>
            <w:hideMark/>
          </w:tcPr>
          <w:p w14:paraId="5BADD6D4"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r>
      <w:tr w:rsidR="00470C7A" w14:paraId="0CA71C51"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auto"/>
            <w:noWrap/>
            <w:vAlign w:val="center"/>
            <w:hideMark/>
          </w:tcPr>
          <w:p w14:paraId="1782C186" w14:textId="77777777" w:rsidR="00470C7A" w:rsidRDefault="00470C7A" w:rsidP="008449FC">
            <w:pPr>
              <w:jc w:val="center"/>
              <w:rPr>
                <w:rFonts w:ascii="Arial" w:hAnsi="Arial" w:cs="Arial"/>
                <w:b/>
                <w:bCs/>
                <w:color w:val="000000"/>
                <w:sz w:val="16"/>
                <w:szCs w:val="16"/>
              </w:rPr>
            </w:pPr>
            <w:r>
              <w:rPr>
                <w:rFonts w:ascii="Arial" w:hAnsi="Arial" w:cs="Arial"/>
                <w:b/>
                <w:bCs/>
                <w:color w:val="000000"/>
                <w:sz w:val="16"/>
                <w:szCs w:val="16"/>
              </w:rPr>
              <w:t>2008</w:t>
            </w:r>
          </w:p>
        </w:tc>
        <w:tc>
          <w:tcPr>
            <w:tcW w:w="1138"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E46FC3D" w14:textId="21C3EA88"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5 767 773</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5447595F" w14:textId="1EB68BA2"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12 995 320</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503C679B" w14:textId="0F39B34A"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5 512 373</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85F73D6" w14:textId="163DBBF1"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15 147 528</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40EB9A01" w14:textId="48B5A575"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1 018 150</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97FFA39" w14:textId="4424E862"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21 231 801</w:t>
            </w:r>
          </w:p>
        </w:tc>
        <w:tc>
          <w:tcPr>
            <w:tcW w:w="1019"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DAF18BA" w14:textId="77777777"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387" w:type="dxa"/>
            <w:tcBorders>
              <w:top w:val="single" w:sz="12" w:space="0" w:color="auto"/>
              <w:left w:val="single" w:sz="6" w:space="0" w:color="auto"/>
              <w:bottom w:val="single" w:sz="6" w:space="0" w:color="auto"/>
              <w:right w:val="single" w:sz="12" w:space="0" w:color="auto"/>
            </w:tcBorders>
            <w:shd w:val="clear" w:color="auto" w:fill="auto"/>
            <w:noWrap/>
            <w:vAlign w:val="center"/>
            <w:hideMark/>
          </w:tcPr>
          <w:p w14:paraId="31545E01" w14:textId="61693CB9"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61 672 945</w:t>
            </w:r>
          </w:p>
        </w:tc>
      </w:tr>
      <w:tr w:rsidR="00FA3A47" w14:paraId="74BDDCC5"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auto"/>
            <w:noWrap/>
            <w:vAlign w:val="center"/>
            <w:hideMark/>
          </w:tcPr>
          <w:p w14:paraId="01F5FBA3" w14:textId="77777777" w:rsidR="00470C7A" w:rsidRDefault="00470C7A" w:rsidP="008449FC">
            <w:pPr>
              <w:jc w:val="center"/>
              <w:rPr>
                <w:rFonts w:ascii="Arial" w:hAnsi="Arial" w:cs="Arial"/>
                <w:b/>
                <w:bCs/>
                <w:color w:val="000000"/>
                <w:sz w:val="16"/>
                <w:szCs w:val="16"/>
              </w:rPr>
            </w:pPr>
            <w:r>
              <w:rPr>
                <w:rFonts w:ascii="Arial" w:hAnsi="Arial" w:cs="Arial"/>
                <w:b/>
                <w:bCs/>
                <w:color w:val="000000"/>
                <w:sz w:val="16"/>
                <w:szCs w:val="16"/>
              </w:rPr>
              <w:t>2009</w:t>
            </w:r>
          </w:p>
        </w:tc>
        <w:tc>
          <w:tcPr>
            <w:tcW w:w="1138"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54C35622" w14:textId="721F4349"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138</w:t>
            </w:r>
            <w:r w:rsidR="006E122D" w:rsidRPr="002E4113">
              <w:rPr>
                <w:rFonts w:ascii="Arial" w:hAnsi="Arial" w:cs="Arial"/>
                <w:bCs/>
                <w:color w:val="000000"/>
                <w:sz w:val="16"/>
                <w:szCs w:val="16"/>
              </w:rPr>
              <w:t xml:space="preserve"> </w:t>
            </w:r>
            <w:r w:rsidRPr="002E4113">
              <w:rPr>
                <w:rFonts w:ascii="Arial" w:hAnsi="Arial" w:cs="Arial"/>
                <w:bCs/>
                <w:color w:val="000000"/>
                <w:sz w:val="16"/>
                <w:szCs w:val="16"/>
              </w:rPr>
              <w:t>817 124</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64CC3FDA" w14:textId="285B858C"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12 313 710</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ABA7573" w14:textId="763E497C"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37 612 436</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E387BCB" w14:textId="6C29E112"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90 709 473</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47F1EB5E" w14:textId="796D532E"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25 630 262</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6DF6013" w14:textId="5FCEFCC9"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27 309 301</w:t>
            </w:r>
          </w:p>
        </w:tc>
        <w:tc>
          <w:tcPr>
            <w:tcW w:w="1019"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62757418" w14:textId="77777777"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387" w:type="dxa"/>
            <w:tcBorders>
              <w:top w:val="single" w:sz="12" w:space="0" w:color="auto"/>
              <w:left w:val="single" w:sz="6" w:space="0" w:color="auto"/>
              <w:bottom w:val="single" w:sz="6" w:space="0" w:color="auto"/>
              <w:right w:val="single" w:sz="12" w:space="0" w:color="auto"/>
            </w:tcBorders>
            <w:shd w:val="clear" w:color="auto" w:fill="auto"/>
            <w:noWrap/>
            <w:vAlign w:val="center"/>
            <w:hideMark/>
          </w:tcPr>
          <w:p w14:paraId="4EF3A997" w14:textId="691B32BA" w:rsidR="00470C7A" w:rsidRPr="002E4113" w:rsidRDefault="00470C7A" w:rsidP="007D5CA0">
            <w:pPr>
              <w:jc w:val="center"/>
              <w:rPr>
                <w:rFonts w:ascii="Arial" w:hAnsi="Arial" w:cs="Arial"/>
                <w:bCs/>
                <w:color w:val="000000"/>
                <w:sz w:val="16"/>
                <w:szCs w:val="16"/>
              </w:rPr>
            </w:pPr>
            <w:r w:rsidRPr="002E4113">
              <w:rPr>
                <w:rFonts w:ascii="Arial" w:hAnsi="Arial" w:cs="Arial"/>
                <w:bCs/>
                <w:color w:val="000000"/>
                <w:sz w:val="16"/>
                <w:szCs w:val="16"/>
              </w:rPr>
              <w:t>332 392 306</w:t>
            </w:r>
          </w:p>
        </w:tc>
      </w:tr>
      <w:tr w:rsidR="00FA3A47" w14:paraId="29145768"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auto"/>
            <w:noWrap/>
            <w:vAlign w:val="center"/>
            <w:hideMark/>
          </w:tcPr>
          <w:p w14:paraId="32CB6661" w14:textId="77777777" w:rsidR="003B1096" w:rsidRDefault="003B1096" w:rsidP="008449FC">
            <w:pPr>
              <w:jc w:val="center"/>
              <w:rPr>
                <w:rFonts w:ascii="Arial" w:hAnsi="Arial" w:cs="Arial"/>
                <w:b/>
                <w:bCs/>
                <w:color w:val="000000"/>
                <w:sz w:val="16"/>
                <w:szCs w:val="16"/>
              </w:rPr>
            </w:pPr>
            <w:r>
              <w:rPr>
                <w:rFonts w:ascii="Arial" w:hAnsi="Arial" w:cs="Arial"/>
                <w:b/>
                <w:bCs/>
                <w:color w:val="000000"/>
                <w:sz w:val="16"/>
                <w:szCs w:val="16"/>
              </w:rPr>
              <w:t>2010</w:t>
            </w:r>
          </w:p>
        </w:tc>
        <w:tc>
          <w:tcPr>
            <w:tcW w:w="1138"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402377F9"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511 651 439</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BBE520B"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42 256 168</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F5E2785"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147 506 137</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1A1EE3A6"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237 000 525</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E1011FA"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47 568 455</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98E5FEA"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24 733 292</w:t>
            </w:r>
          </w:p>
        </w:tc>
        <w:tc>
          <w:tcPr>
            <w:tcW w:w="1019"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6026169"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387" w:type="dxa"/>
            <w:tcBorders>
              <w:top w:val="single" w:sz="12" w:space="0" w:color="auto"/>
              <w:left w:val="single" w:sz="6" w:space="0" w:color="auto"/>
              <w:bottom w:val="single" w:sz="6" w:space="0" w:color="auto"/>
              <w:right w:val="single" w:sz="12" w:space="0" w:color="auto"/>
            </w:tcBorders>
            <w:shd w:val="clear" w:color="auto" w:fill="auto"/>
            <w:noWrap/>
            <w:vAlign w:val="center"/>
            <w:hideMark/>
          </w:tcPr>
          <w:p w14:paraId="445FC4F9"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1 010 716 016</w:t>
            </w:r>
          </w:p>
        </w:tc>
      </w:tr>
      <w:tr w:rsidR="00FA3A47" w14:paraId="462C1F71"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auto"/>
            <w:noWrap/>
            <w:vAlign w:val="center"/>
            <w:hideMark/>
          </w:tcPr>
          <w:p w14:paraId="0C69E72F" w14:textId="77777777" w:rsidR="003B1096" w:rsidRDefault="003B1096" w:rsidP="008449FC">
            <w:pPr>
              <w:jc w:val="center"/>
              <w:rPr>
                <w:rFonts w:ascii="Arial" w:hAnsi="Arial" w:cs="Arial"/>
                <w:b/>
                <w:bCs/>
                <w:color w:val="000000"/>
                <w:sz w:val="16"/>
                <w:szCs w:val="16"/>
              </w:rPr>
            </w:pPr>
            <w:r>
              <w:rPr>
                <w:rFonts w:ascii="Arial" w:hAnsi="Arial" w:cs="Arial"/>
                <w:b/>
                <w:bCs/>
                <w:color w:val="000000"/>
                <w:sz w:val="16"/>
                <w:szCs w:val="16"/>
              </w:rPr>
              <w:t>2011</w:t>
            </w:r>
          </w:p>
        </w:tc>
        <w:tc>
          <w:tcPr>
            <w:tcW w:w="1138"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55D6A49B"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609 238 243</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675A06F"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87 623 960</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99878CD"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147 737 203</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95F05F9"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309 755 637</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D74EF76"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47 566 281</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5A1338B7"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41 571 446</w:t>
            </w:r>
          </w:p>
        </w:tc>
        <w:tc>
          <w:tcPr>
            <w:tcW w:w="1019"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E739CD3"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387" w:type="dxa"/>
            <w:tcBorders>
              <w:top w:val="single" w:sz="12" w:space="0" w:color="auto"/>
              <w:left w:val="single" w:sz="6" w:space="0" w:color="auto"/>
              <w:bottom w:val="single" w:sz="6" w:space="0" w:color="auto"/>
              <w:right w:val="single" w:sz="12" w:space="0" w:color="auto"/>
            </w:tcBorders>
            <w:shd w:val="clear" w:color="auto" w:fill="auto"/>
            <w:noWrap/>
            <w:vAlign w:val="center"/>
            <w:hideMark/>
          </w:tcPr>
          <w:p w14:paraId="2454040D"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1 243 492 770</w:t>
            </w:r>
          </w:p>
        </w:tc>
      </w:tr>
      <w:tr w:rsidR="00FA3A47" w14:paraId="3CEAE030"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auto"/>
            <w:noWrap/>
            <w:vAlign w:val="center"/>
            <w:hideMark/>
          </w:tcPr>
          <w:p w14:paraId="25BF1F26" w14:textId="77777777" w:rsidR="003B1096" w:rsidRDefault="003B1096" w:rsidP="008449FC">
            <w:pPr>
              <w:jc w:val="center"/>
              <w:rPr>
                <w:rFonts w:ascii="Arial" w:hAnsi="Arial" w:cs="Arial"/>
                <w:b/>
                <w:bCs/>
                <w:color w:val="000000"/>
                <w:sz w:val="16"/>
                <w:szCs w:val="16"/>
              </w:rPr>
            </w:pPr>
            <w:r>
              <w:rPr>
                <w:rFonts w:ascii="Arial" w:hAnsi="Arial" w:cs="Arial"/>
                <w:b/>
                <w:bCs/>
                <w:color w:val="000000"/>
                <w:sz w:val="16"/>
                <w:szCs w:val="16"/>
              </w:rPr>
              <w:t>2012</w:t>
            </w:r>
          </w:p>
        </w:tc>
        <w:tc>
          <w:tcPr>
            <w:tcW w:w="1138"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01ABA44"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762 514 495</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C6884CB"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87 041 531</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0BB1B2B"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143 250 532</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450DF5AC"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312 665 897</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4396920A"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42 789 587</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26D5936"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41 681 946</w:t>
            </w:r>
          </w:p>
        </w:tc>
        <w:tc>
          <w:tcPr>
            <w:tcW w:w="1019"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8041C59"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387" w:type="dxa"/>
            <w:tcBorders>
              <w:top w:val="single" w:sz="12" w:space="0" w:color="auto"/>
              <w:left w:val="single" w:sz="6" w:space="0" w:color="auto"/>
              <w:bottom w:val="single" w:sz="6" w:space="0" w:color="auto"/>
              <w:right w:val="single" w:sz="12" w:space="0" w:color="auto"/>
            </w:tcBorders>
            <w:shd w:val="clear" w:color="auto" w:fill="auto"/>
            <w:noWrap/>
            <w:vAlign w:val="center"/>
            <w:hideMark/>
          </w:tcPr>
          <w:p w14:paraId="10C050DD"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1 389 943 988</w:t>
            </w:r>
          </w:p>
        </w:tc>
      </w:tr>
      <w:tr w:rsidR="00FA3A47" w14:paraId="17A43581"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auto"/>
            <w:noWrap/>
            <w:vAlign w:val="center"/>
            <w:hideMark/>
          </w:tcPr>
          <w:p w14:paraId="19A76A3B" w14:textId="77777777" w:rsidR="003B1096" w:rsidRDefault="003B1096" w:rsidP="008449FC">
            <w:pPr>
              <w:jc w:val="center"/>
              <w:rPr>
                <w:rFonts w:ascii="Arial" w:hAnsi="Arial" w:cs="Arial"/>
                <w:b/>
                <w:bCs/>
                <w:color w:val="000000"/>
                <w:sz w:val="16"/>
                <w:szCs w:val="16"/>
              </w:rPr>
            </w:pPr>
            <w:r>
              <w:rPr>
                <w:rFonts w:ascii="Arial" w:hAnsi="Arial" w:cs="Arial"/>
                <w:b/>
                <w:bCs/>
                <w:color w:val="000000"/>
                <w:sz w:val="16"/>
                <w:szCs w:val="16"/>
              </w:rPr>
              <w:t>2013</w:t>
            </w:r>
          </w:p>
        </w:tc>
        <w:tc>
          <w:tcPr>
            <w:tcW w:w="1138"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46A31646"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800 329 966</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799A6826"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122 567 201</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39A6926"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160 546 025</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45C0ADA6"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347 310 966</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BD280CA"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51 319 505</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5A383CD"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44 115 401</w:t>
            </w:r>
          </w:p>
        </w:tc>
        <w:tc>
          <w:tcPr>
            <w:tcW w:w="1019"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D040EB7"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0</w:t>
            </w:r>
          </w:p>
        </w:tc>
        <w:tc>
          <w:tcPr>
            <w:tcW w:w="1387" w:type="dxa"/>
            <w:tcBorders>
              <w:top w:val="single" w:sz="12" w:space="0" w:color="auto"/>
              <w:left w:val="single" w:sz="6" w:space="0" w:color="auto"/>
              <w:bottom w:val="single" w:sz="6" w:space="0" w:color="auto"/>
              <w:right w:val="single" w:sz="12" w:space="0" w:color="auto"/>
            </w:tcBorders>
            <w:shd w:val="clear" w:color="auto" w:fill="auto"/>
            <w:noWrap/>
            <w:vAlign w:val="center"/>
            <w:hideMark/>
          </w:tcPr>
          <w:p w14:paraId="6FB541A4"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1 526 189 065</w:t>
            </w:r>
          </w:p>
        </w:tc>
      </w:tr>
      <w:tr w:rsidR="00FA3A47" w14:paraId="33AA0F19"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auto"/>
            <w:noWrap/>
            <w:vAlign w:val="center"/>
            <w:hideMark/>
          </w:tcPr>
          <w:p w14:paraId="11A55255" w14:textId="77777777" w:rsidR="003B1096" w:rsidRDefault="003B1096" w:rsidP="008449FC">
            <w:pPr>
              <w:jc w:val="center"/>
              <w:rPr>
                <w:rFonts w:ascii="Arial" w:hAnsi="Arial" w:cs="Arial"/>
                <w:b/>
                <w:bCs/>
                <w:color w:val="000000"/>
                <w:sz w:val="16"/>
                <w:szCs w:val="16"/>
              </w:rPr>
            </w:pPr>
            <w:r>
              <w:rPr>
                <w:rFonts w:ascii="Arial" w:hAnsi="Arial" w:cs="Arial"/>
                <w:b/>
                <w:bCs/>
                <w:color w:val="000000"/>
                <w:sz w:val="16"/>
                <w:szCs w:val="16"/>
              </w:rPr>
              <w:t>2014</w:t>
            </w:r>
          </w:p>
        </w:tc>
        <w:tc>
          <w:tcPr>
            <w:tcW w:w="1138"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E5450C3"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997 531 459</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53AB0010"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116 714 473</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622E3AA1"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180 321 319</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28C2402"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391 931 639</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754E1B51"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51 319 505</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507AF447"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50 384 250</w:t>
            </w:r>
          </w:p>
        </w:tc>
        <w:tc>
          <w:tcPr>
            <w:tcW w:w="1019"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17FA1965"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19 999 910</w:t>
            </w:r>
          </w:p>
        </w:tc>
        <w:tc>
          <w:tcPr>
            <w:tcW w:w="1387" w:type="dxa"/>
            <w:tcBorders>
              <w:top w:val="single" w:sz="12" w:space="0" w:color="auto"/>
              <w:left w:val="single" w:sz="6" w:space="0" w:color="auto"/>
              <w:bottom w:val="single" w:sz="6" w:space="0" w:color="auto"/>
              <w:right w:val="single" w:sz="12" w:space="0" w:color="auto"/>
            </w:tcBorders>
            <w:shd w:val="clear" w:color="auto" w:fill="auto"/>
            <w:noWrap/>
            <w:vAlign w:val="center"/>
            <w:hideMark/>
          </w:tcPr>
          <w:p w14:paraId="70ACE3BF" w14:textId="77777777" w:rsidR="003B1096" w:rsidRPr="002E4113" w:rsidRDefault="003B1096" w:rsidP="007D5CA0">
            <w:pPr>
              <w:jc w:val="center"/>
              <w:rPr>
                <w:rFonts w:ascii="Arial" w:hAnsi="Arial" w:cs="Arial"/>
                <w:bCs/>
                <w:color w:val="000000"/>
                <w:sz w:val="16"/>
                <w:szCs w:val="16"/>
              </w:rPr>
            </w:pPr>
            <w:r w:rsidRPr="002E4113">
              <w:rPr>
                <w:rFonts w:ascii="Arial" w:hAnsi="Arial" w:cs="Arial"/>
                <w:bCs/>
                <w:color w:val="000000"/>
                <w:sz w:val="16"/>
                <w:szCs w:val="16"/>
              </w:rPr>
              <w:t>1 808 202 557</w:t>
            </w:r>
          </w:p>
        </w:tc>
      </w:tr>
      <w:tr w:rsidR="007D5CA0" w14:paraId="35EDC300"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auto"/>
            <w:noWrap/>
            <w:vAlign w:val="center"/>
            <w:hideMark/>
          </w:tcPr>
          <w:p w14:paraId="1E11FD8A" w14:textId="77777777" w:rsidR="007D5CA0" w:rsidRDefault="007D5CA0" w:rsidP="008449FC">
            <w:pPr>
              <w:jc w:val="center"/>
              <w:rPr>
                <w:rFonts w:ascii="Arial" w:hAnsi="Arial" w:cs="Arial"/>
                <w:b/>
                <w:bCs/>
                <w:color w:val="000000"/>
                <w:sz w:val="16"/>
                <w:szCs w:val="16"/>
              </w:rPr>
            </w:pPr>
            <w:r>
              <w:rPr>
                <w:rFonts w:ascii="Arial" w:hAnsi="Arial" w:cs="Arial"/>
                <w:b/>
                <w:bCs/>
                <w:color w:val="000000"/>
                <w:sz w:val="16"/>
                <w:szCs w:val="16"/>
              </w:rPr>
              <w:t>2015</w:t>
            </w:r>
          </w:p>
        </w:tc>
        <w:tc>
          <w:tcPr>
            <w:tcW w:w="1138"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338473D" w14:textId="676F391E" w:rsidR="007D5CA0" w:rsidRPr="002E4113" w:rsidRDefault="007D5CA0" w:rsidP="00F87D11">
            <w:pPr>
              <w:ind w:right="-66" w:hanging="145"/>
              <w:jc w:val="center"/>
              <w:rPr>
                <w:rFonts w:ascii="Arial" w:hAnsi="Arial" w:cs="Arial"/>
                <w:bCs/>
                <w:color w:val="000000"/>
                <w:sz w:val="16"/>
                <w:szCs w:val="16"/>
              </w:rPr>
            </w:pPr>
            <w:r w:rsidRPr="007D5CA0">
              <w:rPr>
                <w:rFonts w:ascii="Arial" w:hAnsi="Arial" w:cs="Arial"/>
                <w:bCs/>
                <w:color w:val="000000"/>
                <w:sz w:val="16"/>
                <w:szCs w:val="16"/>
              </w:rPr>
              <w:t>1 003 775 661</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1111BA2B" w14:textId="623BCBCC" w:rsidR="007D5CA0" w:rsidRPr="002E4113"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290 353 691</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701FB047" w14:textId="2B8725F4" w:rsidR="007D5CA0" w:rsidRPr="002E4113"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189 703 377</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ABA7787" w14:textId="5D369225" w:rsidR="007D5CA0" w:rsidRPr="002E4113"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382 601 704</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E882087" w14:textId="12C03655" w:rsidR="007D5CA0" w:rsidRPr="002E4113"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51 319 505</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754B482" w14:textId="26027C3F" w:rsidR="007D5CA0" w:rsidRPr="002E4113"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65 051 489</w:t>
            </w:r>
          </w:p>
        </w:tc>
        <w:tc>
          <w:tcPr>
            <w:tcW w:w="1019"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479DB46B" w14:textId="728371D3" w:rsidR="007D5CA0" w:rsidRPr="002E4113"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19 999 910</w:t>
            </w:r>
          </w:p>
        </w:tc>
        <w:tc>
          <w:tcPr>
            <w:tcW w:w="1387" w:type="dxa"/>
            <w:tcBorders>
              <w:top w:val="single" w:sz="12" w:space="0" w:color="auto"/>
              <w:left w:val="single" w:sz="6" w:space="0" w:color="auto"/>
              <w:bottom w:val="single" w:sz="6" w:space="0" w:color="auto"/>
              <w:right w:val="single" w:sz="12" w:space="0" w:color="auto"/>
            </w:tcBorders>
            <w:shd w:val="clear" w:color="auto" w:fill="auto"/>
            <w:noWrap/>
            <w:vAlign w:val="center"/>
            <w:hideMark/>
          </w:tcPr>
          <w:p w14:paraId="081F5ADF" w14:textId="77D45EDE" w:rsidR="007D5CA0" w:rsidRPr="002E4113" w:rsidRDefault="007D5CA0" w:rsidP="002677D4">
            <w:pPr>
              <w:ind w:left="-100" w:right="-137"/>
              <w:jc w:val="center"/>
              <w:rPr>
                <w:rFonts w:ascii="Arial" w:hAnsi="Arial" w:cs="Arial"/>
                <w:bCs/>
                <w:color w:val="000000"/>
                <w:sz w:val="16"/>
                <w:szCs w:val="16"/>
              </w:rPr>
            </w:pPr>
            <w:r w:rsidRPr="007D5CA0">
              <w:rPr>
                <w:rFonts w:ascii="Arial" w:hAnsi="Arial" w:cs="Arial"/>
                <w:bCs/>
                <w:color w:val="000000"/>
                <w:sz w:val="16"/>
                <w:szCs w:val="16"/>
              </w:rPr>
              <w:t>2 002 805 337</w:t>
            </w:r>
          </w:p>
        </w:tc>
      </w:tr>
      <w:tr w:rsidR="007D5CA0" w14:paraId="18418CED"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auto" w:fill="auto"/>
            <w:noWrap/>
            <w:vAlign w:val="center"/>
            <w:hideMark/>
          </w:tcPr>
          <w:p w14:paraId="7D5EB45B" w14:textId="52E9B3AB" w:rsidR="007D5CA0" w:rsidRDefault="007D5CA0" w:rsidP="008449FC">
            <w:pPr>
              <w:jc w:val="center"/>
              <w:rPr>
                <w:rFonts w:ascii="Arial" w:hAnsi="Arial" w:cs="Arial"/>
                <w:b/>
                <w:bCs/>
                <w:color w:val="000000"/>
                <w:sz w:val="16"/>
                <w:szCs w:val="16"/>
              </w:rPr>
            </w:pPr>
            <w:r w:rsidRPr="000B0F98">
              <w:rPr>
                <w:rFonts w:ascii="Arial" w:hAnsi="Arial" w:cs="Arial"/>
                <w:b/>
                <w:bCs/>
                <w:color w:val="000000"/>
                <w:sz w:val="16"/>
                <w:szCs w:val="16"/>
              </w:rPr>
              <w:t>31.10.2016</w:t>
            </w:r>
          </w:p>
        </w:tc>
        <w:tc>
          <w:tcPr>
            <w:tcW w:w="1138"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53A13B3" w14:textId="29486D53" w:rsidR="007D5CA0" w:rsidRPr="007D5CA0" w:rsidRDefault="007D5CA0" w:rsidP="002677D4">
            <w:pPr>
              <w:ind w:left="-145" w:right="-66"/>
              <w:jc w:val="center"/>
              <w:rPr>
                <w:rFonts w:ascii="Arial" w:hAnsi="Arial" w:cs="Arial"/>
                <w:bCs/>
                <w:color w:val="000000"/>
                <w:sz w:val="16"/>
                <w:szCs w:val="16"/>
              </w:rPr>
            </w:pPr>
            <w:r w:rsidRPr="007D5CA0">
              <w:rPr>
                <w:rFonts w:ascii="Arial" w:hAnsi="Arial" w:cs="Arial"/>
                <w:bCs/>
                <w:color w:val="000000"/>
                <w:sz w:val="16"/>
                <w:szCs w:val="16"/>
              </w:rPr>
              <w:t>957 744 963</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1012919F" w14:textId="5A96DA99" w:rsidR="007D5CA0" w:rsidRPr="007D5CA0" w:rsidRDefault="007D5CA0" w:rsidP="002677D4">
            <w:pPr>
              <w:ind w:right="-133" w:hanging="149"/>
              <w:jc w:val="center"/>
              <w:rPr>
                <w:rFonts w:ascii="Arial" w:hAnsi="Arial" w:cs="Arial"/>
                <w:bCs/>
                <w:color w:val="000000"/>
                <w:sz w:val="16"/>
                <w:szCs w:val="16"/>
              </w:rPr>
            </w:pPr>
            <w:r w:rsidRPr="007D5CA0">
              <w:rPr>
                <w:rFonts w:ascii="Arial" w:hAnsi="Arial" w:cs="Arial"/>
                <w:bCs/>
                <w:color w:val="000000"/>
                <w:sz w:val="16"/>
                <w:szCs w:val="16"/>
              </w:rPr>
              <w:t>279 696 76</w:t>
            </w:r>
            <w:r w:rsidR="002677D4">
              <w:rPr>
                <w:rFonts w:ascii="Arial" w:hAnsi="Arial" w:cs="Arial"/>
                <w:bCs/>
                <w:color w:val="000000"/>
                <w:sz w:val="16"/>
                <w:szCs w:val="16"/>
              </w:rPr>
              <w:t>9</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33694133" w14:textId="684D0A6D" w:rsidR="007D5CA0" w:rsidRPr="007D5CA0" w:rsidRDefault="007D5CA0" w:rsidP="002677D4">
            <w:pPr>
              <w:ind w:right="-133" w:hanging="149"/>
              <w:jc w:val="center"/>
              <w:rPr>
                <w:rFonts w:ascii="Arial" w:hAnsi="Arial" w:cs="Arial"/>
                <w:bCs/>
                <w:color w:val="000000"/>
                <w:sz w:val="16"/>
                <w:szCs w:val="16"/>
              </w:rPr>
            </w:pPr>
            <w:r w:rsidRPr="007D5CA0">
              <w:rPr>
                <w:rFonts w:ascii="Arial" w:hAnsi="Arial" w:cs="Arial"/>
                <w:bCs/>
                <w:color w:val="000000"/>
                <w:sz w:val="16"/>
                <w:szCs w:val="16"/>
              </w:rPr>
              <w:t>189 479 05</w:t>
            </w:r>
            <w:r w:rsidR="002677D4">
              <w:rPr>
                <w:rFonts w:ascii="Arial" w:hAnsi="Arial" w:cs="Arial"/>
                <w:bCs/>
                <w:color w:val="000000"/>
                <w:sz w:val="16"/>
                <w:szCs w:val="16"/>
              </w:rPr>
              <w:t>9</w:t>
            </w:r>
          </w:p>
        </w:tc>
        <w:tc>
          <w:tcPr>
            <w:tcW w:w="1134"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67F72375" w14:textId="6E95F88C" w:rsidR="007D5CA0" w:rsidRPr="007D5CA0" w:rsidRDefault="007D5CA0" w:rsidP="002677D4">
            <w:pPr>
              <w:ind w:right="-133" w:hanging="149"/>
              <w:jc w:val="center"/>
              <w:rPr>
                <w:rFonts w:ascii="Arial" w:hAnsi="Arial" w:cs="Arial"/>
                <w:bCs/>
                <w:color w:val="000000"/>
                <w:sz w:val="16"/>
                <w:szCs w:val="16"/>
              </w:rPr>
            </w:pPr>
            <w:r w:rsidRPr="007D5CA0">
              <w:rPr>
                <w:rFonts w:ascii="Arial" w:hAnsi="Arial" w:cs="Arial"/>
                <w:bCs/>
                <w:color w:val="000000"/>
                <w:sz w:val="16"/>
                <w:szCs w:val="16"/>
              </w:rPr>
              <w:t>381 876 858</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0F1828DB" w14:textId="70633016" w:rsidR="007D5CA0" w:rsidRPr="007D5CA0"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51 319 505</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2CE41BDF" w14:textId="0A6D03DB" w:rsidR="007D5CA0" w:rsidRPr="007D5CA0" w:rsidRDefault="007D5CA0" w:rsidP="002677D4">
            <w:pPr>
              <w:ind w:right="-133" w:hanging="149"/>
              <w:jc w:val="center"/>
              <w:rPr>
                <w:rFonts w:ascii="Arial" w:hAnsi="Arial" w:cs="Arial"/>
                <w:bCs/>
                <w:color w:val="000000"/>
                <w:sz w:val="16"/>
                <w:szCs w:val="16"/>
              </w:rPr>
            </w:pPr>
            <w:r w:rsidRPr="007D5CA0">
              <w:rPr>
                <w:rFonts w:ascii="Arial" w:hAnsi="Arial" w:cs="Arial"/>
                <w:bCs/>
                <w:color w:val="000000"/>
                <w:sz w:val="16"/>
                <w:szCs w:val="16"/>
              </w:rPr>
              <w:t>65 051 489</w:t>
            </w:r>
          </w:p>
        </w:tc>
        <w:tc>
          <w:tcPr>
            <w:tcW w:w="1019" w:type="dxa"/>
            <w:tcBorders>
              <w:top w:val="single" w:sz="12" w:space="0" w:color="auto"/>
              <w:left w:val="single" w:sz="6" w:space="0" w:color="auto"/>
              <w:bottom w:val="single" w:sz="6" w:space="0" w:color="auto"/>
              <w:right w:val="single" w:sz="6" w:space="0" w:color="auto"/>
            </w:tcBorders>
            <w:shd w:val="clear" w:color="auto" w:fill="auto"/>
            <w:noWrap/>
            <w:vAlign w:val="center"/>
            <w:hideMark/>
          </w:tcPr>
          <w:p w14:paraId="460E0A56" w14:textId="461A4206" w:rsidR="007D5CA0" w:rsidRPr="007D5CA0"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19 999 910</w:t>
            </w:r>
          </w:p>
        </w:tc>
        <w:tc>
          <w:tcPr>
            <w:tcW w:w="1387" w:type="dxa"/>
            <w:tcBorders>
              <w:top w:val="single" w:sz="12" w:space="0" w:color="auto"/>
              <w:left w:val="single" w:sz="6" w:space="0" w:color="auto"/>
              <w:bottom w:val="single" w:sz="6" w:space="0" w:color="auto"/>
              <w:right w:val="single" w:sz="12" w:space="0" w:color="auto"/>
            </w:tcBorders>
            <w:shd w:val="clear" w:color="auto" w:fill="auto"/>
            <w:noWrap/>
            <w:vAlign w:val="center"/>
            <w:hideMark/>
          </w:tcPr>
          <w:p w14:paraId="23AF544B" w14:textId="133998BE" w:rsidR="007D5CA0" w:rsidRPr="007D5CA0" w:rsidRDefault="007D5CA0" w:rsidP="002677D4">
            <w:pPr>
              <w:ind w:left="-100" w:right="-137"/>
              <w:jc w:val="center"/>
              <w:rPr>
                <w:rFonts w:ascii="Arial" w:hAnsi="Arial" w:cs="Arial"/>
                <w:bCs/>
                <w:color w:val="000000"/>
                <w:sz w:val="16"/>
                <w:szCs w:val="16"/>
              </w:rPr>
            </w:pPr>
            <w:r w:rsidRPr="007D5CA0">
              <w:rPr>
                <w:rFonts w:ascii="Arial" w:hAnsi="Arial" w:cs="Arial"/>
                <w:bCs/>
                <w:color w:val="000000"/>
                <w:sz w:val="16"/>
                <w:szCs w:val="16"/>
              </w:rPr>
              <w:t>1 945 168 55</w:t>
            </w:r>
            <w:r w:rsidR="002677D4">
              <w:rPr>
                <w:rFonts w:ascii="Arial" w:hAnsi="Arial" w:cs="Arial"/>
                <w:bCs/>
                <w:color w:val="000000"/>
                <w:sz w:val="16"/>
                <w:szCs w:val="16"/>
              </w:rPr>
              <w:t>4</w:t>
            </w:r>
          </w:p>
        </w:tc>
      </w:tr>
      <w:tr w:rsidR="007D5CA0" w14:paraId="0B566FE2" w14:textId="77777777" w:rsidTr="00F87D11">
        <w:trPr>
          <w:trHeight w:val="315"/>
        </w:trPr>
        <w:tc>
          <w:tcPr>
            <w:tcW w:w="866" w:type="dxa"/>
            <w:tcBorders>
              <w:top w:val="single" w:sz="12" w:space="0" w:color="auto"/>
              <w:left w:val="single" w:sz="12" w:space="0" w:color="auto"/>
              <w:bottom w:val="single" w:sz="6" w:space="0" w:color="auto"/>
              <w:right w:val="single" w:sz="6" w:space="0" w:color="auto"/>
            </w:tcBorders>
            <w:shd w:val="clear" w:color="000000" w:fill="D6E3BC"/>
            <w:noWrap/>
            <w:vAlign w:val="center"/>
            <w:hideMark/>
          </w:tcPr>
          <w:p w14:paraId="25C8251C" w14:textId="77777777" w:rsidR="007D5CA0" w:rsidRDefault="007D5CA0" w:rsidP="008449FC">
            <w:pPr>
              <w:jc w:val="center"/>
              <w:rPr>
                <w:rFonts w:ascii="Arial" w:hAnsi="Arial" w:cs="Arial"/>
                <w:b/>
                <w:bCs/>
                <w:color w:val="000000"/>
                <w:sz w:val="16"/>
                <w:szCs w:val="16"/>
              </w:rPr>
            </w:pPr>
            <w:r>
              <w:rPr>
                <w:rFonts w:ascii="Arial" w:hAnsi="Arial" w:cs="Arial"/>
                <w:b/>
                <w:bCs/>
                <w:color w:val="000000"/>
                <w:sz w:val="16"/>
                <w:szCs w:val="16"/>
              </w:rPr>
              <w:t>Alokácia OP ZP spolu</w:t>
            </w:r>
          </w:p>
        </w:tc>
        <w:tc>
          <w:tcPr>
            <w:tcW w:w="1138" w:type="dxa"/>
            <w:tcBorders>
              <w:top w:val="single" w:sz="12" w:space="0" w:color="auto"/>
              <w:left w:val="single" w:sz="6" w:space="0" w:color="auto"/>
              <w:bottom w:val="single" w:sz="6" w:space="0" w:color="auto"/>
              <w:right w:val="single" w:sz="6" w:space="0" w:color="auto"/>
            </w:tcBorders>
            <w:shd w:val="clear" w:color="000000" w:fill="D6E3BC"/>
            <w:noWrap/>
            <w:vAlign w:val="center"/>
            <w:hideMark/>
          </w:tcPr>
          <w:p w14:paraId="0A4461D1" w14:textId="54F697D6" w:rsidR="007D5CA0" w:rsidRPr="007D5CA0"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903 512 965</w:t>
            </w:r>
          </w:p>
        </w:tc>
        <w:tc>
          <w:tcPr>
            <w:tcW w:w="1134" w:type="dxa"/>
            <w:tcBorders>
              <w:top w:val="single" w:sz="12" w:space="0" w:color="auto"/>
              <w:left w:val="single" w:sz="6" w:space="0" w:color="auto"/>
              <w:bottom w:val="single" w:sz="6" w:space="0" w:color="auto"/>
              <w:right w:val="single" w:sz="6" w:space="0" w:color="auto"/>
            </w:tcBorders>
            <w:shd w:val="clear" w:color="000000" w:fill="D6E3BC"/>
            <w:noWrap/>
            <w:vAlign w:val="center"/>
            <w:hideMark/>
          </w:tcPr>
          <w:p w14:paraId="7C693CB4" w14:textId="117F5307" w:rsidR="007D5CA0" w:rsidRPr="007D5CA0"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260 770 100</w:t>
            </w:r>
          </w:p>
        </w:tc>
        <w:tc>
          <w:tcPr>
            <w:tcW w:w="1134" w:type="dxa"/>
            <w:tcBorders>
              <w:top w:val="single" w:sz="12" w:space="0" w:color="auto"/>
              <w:left w:val="single" w:sz="6" w:space="0" w:color="auto"/>
              <w:bottom w:val="single" w:sz="6" w:space="0" w:color="auto"/>
              <w:right w:val="single" w:sz="6" w:space="0" w:color="auto"/>
            </w:tcBorders>
            <w:shd w:val="clear" w:color="000000" w:fill="D6E3BC"/>
            <w:noWrap/>
            <w:vAlign w:val="center"/>
            <w:hideMark/>
          </w:tcPr>
          <w:p w14:paraId="6C4AC4EB" w14:textId="25C565BB" w:rsidR="007D5CA0" w:rsidRPr="007D5CA0"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180 000 000</w:t>
            </w:r>
          </w:p>
        </w:tc>
        <w:tc>
          <w:tcPr>
            <w:tcW w:w="1134" w:type="dxa"/>
            <w:tcBorders>
              <w:top w:val="single" w:sz="12" w:space="0" w:color="auto"/>
              <w:left w:val="single" w:sz="6" w:space="0" w:color="auto"/>
              <w:bottom w:val="single" w:sz="6" w:space="0" w:color="auto"/>
              <w:right w:val="single" w:sz="6" w:space="0" w:color="auto"/>
            </w:tcBorders>
            <w:shd w:val="clear" w:color="000000" w:fill="D6E3BC"/>
            <w:noWrap/>
            <w:vAlign w:val="center"/>
            <w:hideMark/>
          </w:tcPr>
          <w:p w14:paraId="0B714B35" w14:textId="4363CA63" w:rsidR="007D5CA0" w:rsidRPr="007D5CA0"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356 360 000</w:t>
            </w:r>
          </w:p>
        </w:tc>
        <w:tc>
          <w:tcPr>
            <w:tcW w:w="992" w:type="dxa"/>
            <w:tcBorders>
              <w:top w:val="single" w:sz="12" w:space="0" w:color="auto"/>
              <w:left w:val="single" w:sz="6" w:space="0" w:color="auto"/>
              <w:bottom w:val="single" w:sz="6" w:space="0" w:color="auto"/>
              <w:right w:val="single" w:sz="6" w:space="0" w:color="auto"/>
            </w:tcBorders>
            <w:shd w:val="clear" w:color="000000" w:fill="D6E3BC"/>
            <w:noWrap/>
            <w:vAlign w:val="center"/>
            <w:hideMark/>
          </w:tcPr>
          <w:p w14:paraId="145EF005" w14:textId="58AD802A" w:rsidR="007D5CA0" w:rsidRPr="007D5CA0"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50 756 935</w:t>
            </w:r>
          </w:p>
        </w:tc>
        <w:tc>
          <w:tcPr>
            <w:tcW w:w="992" w:type="dxa"/>
            <w:tcBorders>
              <w:top w:val="single" w:sz="12" w:space="0" w:color="auto"/>
              <w:left w:val="single" w:sz="6" w:space="0" w:color="auto"/>
              <w:bottom w:val="single" w:sz="6" w:space="0" w:color="auto"/>
              <w:right w:val="single" w:sz="6" w:space="0" w:color="auto"/>
            </w:tcBorders>
            <w:shd w:val="clear" w:color="000000" w:fill="D6E3BC"/>
            <w:noWrap/>
            <w:vAlign w:val="center"/>
            <w:hideMark/>
          </w:tcPr>
          <w:p w14:paraId="192AB966" w14:textId="04B48E49" w:rsidR="007D5CA0" w:rsidRPr="007D5CA0"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48 600 000</w:t>
            </w:r>
          </w:p>
        </w:tc>
        <w:tc>
          <w:tcPr>
            <w:tcW w:w="1019" w:type="dxa"/>
            <w:tcBorders>
              <w:top w:val="single" w:sz="12" w:space="0" w:color="auto"/>
              <w:left w:val="single" w:sz="6" w:space="0" w:color="auto"/>
              <w:bottom w:val="single" w:sz="6" w:space="0" w:color="auto"/>
              <w:right w:val="single" w:sz="6" w:space="0" w:color="auto"/>
            </w:tcBorders>
            <w:shd w:val="clear" w:color="000000" w:fill="D6E3BC"/>
            <w:noWrap/>
            <w:vAlign w:val="center"/>
            <w:hideMark/>
          </w:tcPr>
          <w:p w14:paraId="17173FC5" w14:textId="66EDADCA" w:rsidR="007D5CA0" w:rsidRPr="007D5CA0"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20 000 000</w:t>
            </w:r>
          </w:p>
        </w:tc>
        <w:tc>
          <w:tcPr>
            <w:tcW w:w="1387" w:type="dxa"/>
            <w:tcBorders>
              <w:top w:val="single" w:sz="12" w:space="0" w:color="auto"/>
              <w:left w:val="single" w:sz="6" w:space="0" w:color="auto"/>
              <w:bottom w:val="single" w:sz="6" w:space="0" w:color="auto"/>
              <w:right w:val="single" w:sz="12" w:space="0" w:color="auto"/>
            </w:tcBorders>
            <w:shd w:val="clear" w:color="000000" w:fill="D6E3BC"/>
            <w:noWrap/>
            <w:vAlign w:val="center"/>
            <w:hideMark/>
          </w:tcPr>
          <w:p w14:paraId="71F62781" w14:textId="3D3F2DEA" w:rsidR="007D5CA0" w:rsidRPr="007D5CA0" w:rsidRDefault="007D5CA0" w:rsidP="007D5CA0">
            <w:pPr>
              <w:jc w:val="center"/>
              <w:rPr>
                <w:rFonts w:ascii="Arial" w:hAnsi="Arial" w:cs="Arial"/>
                <w:bCs/>
                <w:color w:val="000000"/>
                <w:sz w:val="16"/>
                <w:szCs w:val="16"/>
              </w:rPr>
            </w:pPr>
            <w:r w:rsidRPr="007D5CA0">
              <w:rPr>
                <w:rFonts w:ascii="Arial" w:hAnsi="Arial" w:cs="Arial"/>
                <w:bCs/>
                <w:color w:val="000000"/>
                <w:sz w:val="16"/>
                <w:szCs w:val="16"/>
              </w:rPr>
              <w:t>1 820 000 000</w:t>
            </w:r>
          </w:p>
        </w:tc>
      </w:tr>
    </w:tbl>
    <w:p w14:paraId="3A99DF1D" w14:textId="77777777" w:rsidR="00BB10F1" w:rsidRPr="002526CC" w:rsidRDefault="00BB10F1" w:rsidP="00123376">
      <w:pPr>
        <w:jc w:val="both"/>
        <w:rPr>
          <w:rFonts w:ascii="Arial" w:hAnsi="Arial" w:cs="Arial"/>
          <w:sz w:val="16"/>
          <w:szCs w:val="16"/>
          <w:lang w:eastAsia="en-US"/>
        </w:rPr>
      </w:pPr>
      <w:r w:rsidRPr="00123376">
        <w:rPr>
          <w:rFonts w:ascii="Arial" w:hAnsi="Arial" w:cs="Arial"/>
          <w:sz w:val="16"/>
          <w:szCs w:val="16"/>
          <w:lang w:eastAsia="en-US"/>
        </w:rPr>
        <w:t>Zdroj: RO</w:t>
      </w:r>
    </w:p>
    <w:p w14:paraId="3C113886" w14:textId="5DC5A1E5" w:rsidR="002918D6" w:rsidRDefault="00A97236" w:rsidP="00123376">
      <w:pPr>
        <w:spacing w:after="120"/>
        <w:jc w:val="both"/>
        <w:rPr>
          <w:rFonts w:ascii="Arial" w:hAnsi="Arial" w:cs="Arial"/>
          <w:i/>
          <w:sz w:val="16"/>
          <w:szCs w:val="16"/>
          <w:lang w:eastAsia="en-US"/>
        </w:rPr>
      </w:pPr>
      <w:r w:rsidRPr="00FA3A47">
        <w:rPr>
          <w:rFonts w:ascii="Arial" w:hAnsi="Arial" w:cs="Arial"/>
          <w:i/>
          <w:sz w:val="16"/>
          <w:szCs w:val="16"/>
          <w:lang w:eastAsia="en-US"/>
        </w:rPr>
        <w:t xml:space="preserve">Pozn.: </w:t>
      </w:r>
      <w:r w:rsidR="002918D6" w:rsidRPr="00FA3A47">
        <w:rPr>
          <w:rFonts w:ascii="Arial" w:hAnsi="Arial" w:cs="Arial"/>
          <w:i/>
          <w:sz w:val="16"/>
          <w:szCs w:val="16"/>
          <w:lang w:eastAsia="en-US"/>
        </w:rPr>
        <w:t xml:space="preserve">Suma zahŕňa aj mimoriadne ukončené projekty, </w:t>
      </w:r>
      <w:r w:rsidR="00FA3A47" w:rsidRPr="00D57751">
        <w:rPr>
          <w:rFonts w:ascii="Arial" w:hAnsi="Arial" w:cs="Arial"/>
          <w:i/>
          <w:sz w:val="16"/>
          <w:szCs w:val="16"/>
          <w:lang w:eastAsia="en-US"/>
        </w:rPr>
        <w:t>ktoré prispeli k plne</w:t>
      </w:r>
      <w:r w:rsidR="006A206B" w:rsidRPr="00D57751">
        <w:rPr>
          <w:rFonts w:ascii="Arial" w:hAnsi="Arial" w:cs="Arial"/>
          <w:i/>
          <w:sz w:val="16"/>
          <w:szCs w:val="16"/>
          <w:lang w:eastAsia="en-US"/>
        </w:rPr>
        <w:t>niu cieľov operačného programu</w:t>
      </w:r>
      <w:r w:rsidR="00D57751">
        <w:rPr>
          <w:rFonts w:ascii="Arial" w:hAnsi="Arial" w:cs="Arial"/>
          <w:i/>
          <w:sz w:val="16"/>
          <w:szCs w:val="16"/>
          <w:lang w:eastAsia="en-US"/>
        </w:rPr>
        <w:t xml:space="preserve"> (ide o projekty technickej pomoci, ktoré boli vytvorené a následné mimoriadne ukončené v súvislosti s delimitáciou RO) </w:t>
      </w:r>
      <w:r w:rsidR="006A206B">
        <w:rPr>
          <w:rFonts w:ascii="Arial" w:hAnsi="Arial" w:cs="Arial"/>
          <w:i/>
          <w:sz w:val="16"/>
          <w:szCs w:val="16"/>
          <w:lang w:eastAsia="en-US"/>
        </w:rPr>
        <w:t xml:space="preserve">. </w:t>
      </w:r>
    </w:p>
    <w:p w14:paraId="5CDB1C11" w14:textId="70568E53" w:rsidR="003E4BB4" w:rsidRDefault="002240B0" w:rsidP="006855A0">
      <w:pPr>
        <w:spacing w:before="120" w:after="120"/>
        <w:jc w:val="both"/>
        <w:rPr>
          <w:rFonts w:ascii="Arial" w:hAnsi="Arial" w:cs="Arial"/>
          <w:sz w:val="20"/>
          <w:szCs w:val="20"/>
          <w:lang w:eastAsia="en-US"/>
        </w:rPr>
      </w:pPr>
      <w:r w:rsidRPr="00E21C60">
        <w:rPr>
          <w:rFonts w:ascii="Arial" w:hAnsi="Arial" w:cs="Arial"/>
          <w:sz w:val="20"/>
          <w:szCs w:val="20"/>
          <w:lang w:eastAsia="en-US"/>
        </w:rPr>
        <w:tab/>
      </w:r>
      <w:r w:rsidR="002416B1" w:rsidRPr="00123376">
        <w:rPr>
          <w:rFonts w:ascii="Arial" w:hAnsi="Arial" w:cs="Arial"/>
          <w:i/>
          <w:sz w:val="18"/>
          <w:szCs w:val="18"/>
          <w:lang w:eastAsia="en-US"/>
        </w:rPr>
        <w:tab/>
      </w:r>
      <w:r w:rsidR="002416B1" w:rsidRPr="00123376">
        <w:rPr>
          <w:rFonts w:ascii="Arial" w:hAnsi="Arial" w:cs="Arial"/>
          <w:i/>
          <w:sz w:val="18"/>
          <w:szCs w:val="18"/>
          <w:lang w:eastAsia="en-US"/>
        </w:rPr>
        <w:tab/>
      </w:r>
      <w:r w:rsidR="003E4BB4">
        <w:rPr>
          <w:rFonts w:ascii="Arial" w:hAnsi="Arial" w:cs="Arial"/>
          <w:sz w:val="20"/>
          <w:szCs w:val="20"/>
          <w:lang w:eastAsia="en-US"/>
        </w:rPr>
        <w:t xml:space="preserve">Najväčší nárast zazmluvnenia bol zaznamenaný v roku 2010 a predstavoval nárast vo výške 678 323 710 </w:t>
      </w:r>
      <w:r w:rsidR="00366C2D">
        <w:rPr>
          <w:rFonts w:ascii="Arial" w:hAnsi="Arial" w:cs="Arial"/>
          <w:sz w:val="20"/>
          <w:szCs w:val="20"/>
          <w:lang w:eastAsia="en-US"/>
        </w:rPr>
        <w:t>€</w:t>
      </w:r>
      <w:r w:rsidR="003E4BB4">
        <w:rPr>
          <w:rFonts w:ascii="Arial" w:hAnsi="Arial" w:cs="Arial"/>
          <w:sz w:val="20"/>
          <w:szCs w:val="20"/>
          <w:lang w:eastAsia="en-US"/>
        </w:rPr>
        <w:t xml:space="preserve"> (EÚ zdroj)</w:t>
      </w:r>
      <w:r w:rsidR="00303924">
        <w:rPr>
          <w:rFonts w:ascii="Arial" w:hAnsi="Arial" w:cs="Arial"/>
          <w:sz w:val="20"/>
          <w:szCs w:val="20"/>
          <w:lang w:eastAsia="en-US"/>
        </w:rPr>
        <w:t>,</w:t>
      </w:r>
      <w:r w:rsidR="003E4BB4">
        <w:rPr>
          <w:rFonts w:ascii="Arial" w:hAnsi="Arial" w:cs="Arial"/>
          <w:sz w:val="20"/>
          <w:szCs w:val="20"/>
          <w:lang w:eastAsia="en-US"/>
        </w:rPr>
        <w:t xml:space="preserve"> oproti roku 2009.</w:t>
      </w:r>
      <w:r w:rsidR="003E4BB4" w:rsidRPr="003E4BB4">
        <w:rPr>
          <w:rFonts w:ascii="Arial" w:hAnsi="Arial" w:cs="Arial"/>
          <w:sz w:val="20"/>
          <w:szCs w:val="20"/>
          <w:lang w:eastAsia="en-US"/>
        </w:rPr>
        <w:t xml:space="preserve"> </w:t>
      </w:r>
      <w:r w:rsidR="003E4BB4">
        <w:rPr>
          <w:rFonts w:ascii="Arial" w:hAnsi="Arial" w:cs="Arial"/>
          <w:sz w:val="20"/>
          <w:szCs w:val="20"/>
          <w:lang w:eastAsia="en-US"/>
        </w:rPr>
        <w:t>Najvyšší stav zazmluvnenia OP ŽP bol dosiahnutý v roku 2015</w:t>
      </w:r>
      <w:r w:rsidR="00044CE4">
        <w:rPr>
          <w:rFonts w:ascii="Arial" w:hAnsi="Arial" w:cs="Arial"/>
          <w:sz w:val="20"/>
          <w:szCs w:val="20"/>
          <w:lang w:eastAsia="en-US"/>
        </w:rPr>
        <w:t>,</w:t>
      </w:r>
      <w:r w:rsidR="003E4BB4">
        <w:rPr>
          <w:rFonts w:ascii="Arial" w:hAnsi="Arial" w:cs="Arial"/>
          <w:sz w:val="20"/>
          <w:szCs w:val="20"/>
          <w:lang w:eastAsia="en-US"/>
        </w:rPr>
        <w:t xml:space="preserve"> a to spolu v sume </w:t>
      </w:r>
      <w:r w:rsidR="002677D4">
        <w:rPr>
          <w:rFonts w:ascii="Arial" w:hAnsi="Arial" w:cs="Arial"/>
          <w:sz w:val="20"/>
          <w:szCs w:val="20"/>
          <w:lang w:eastAsia="en-US"/>
        </w:rPr>
        <w:t>2 002 805 337</w:t>
      </w:r>
      <w:r w:rsidR="003E4BB4">
        <w:rPr>
          <w:rFonts w:ascii="Arial" w:hAnsi="Arial" w:cs="Arial"/>
          <w:sz w:val="20"/>
          <w:szCs w:val="20"/>
          <w:lang w:eastAsia="en-US"/>
        </w:rPr>
        <w:t xml:space="preserve"> </w:t>
      </w:r>
      <w:r w:rsidR="00366C2D">
        <w:rPr>
          <w:rFonts w:ascii="Arial" w:hAnsi="Arial" w:cs="Arial"/>
          <w:sz w:val="20"/>
          <w:szCs w:val="20"/>
          <w:lang w:eastAsia="en-US"/>
        </w:rPr>
        <w:t>€</w:t>
      </w:r>
      <w:r w:rsidR="003E4BB4">
        <w:rPr>
          <w:rFonts w:ascii="Arial" w:hAnsi="Arial" w:cs="Arial"/>
          <w:sz w:val="20"/>
          <w:szCs w:val="20"/>
          <w:lang w:eastAsia="en-US"/>
        </w:rPr>
        <w:t xml:space="preserve"> (EÚ zdroj).</w:t>
      </w:r>
    </w:p>
    <w:p w14:paraId="3EE13BBF" w14:textId="54E945DA" w:rsidR="00AC1A6A" w:rsidRPr="00AB6AA0" w:rsidRDefault="00AC1A6A" w:rsidP="00AC1A6A">
      <w:pPr>
        <w:spacing w:before="120" w:after="120"/>
        <w:jc w:val="both"/>
        <w:rPr>
          <w:rFonts w:ascii="Arial" w:hAnsi="Arial" w:cs="Arial"/>
          <w:sz w:val="20"/>
          <w:szCs w:val="20"/>
          <w:lang w:eastAsia="en-US"/>
        </w:rPr>
      </w:pPr>
      <w:r>
        <w:rPr>
          <w:rFonts w:ascii="Arial" w:hAnsi="Arial" w:cs="Arial"/>
          <w:sz w:val="20"/>
          <w:szCs w:val="20"/>
          <w:lang w:eastAsia="en-US"/>
        </w:rPr>
        <w:t xml:space="preserve">V roku 2015 došlo k nárastu zazmluvnenia v porovnaní s rokom 2014 o 6,38 %. Najväčší príspevok k zvýšeniu úrovne zazmluvnenia </w:t>
      </w:r>
      <w:r w:rsidRPr="00843029">
        <w:rPr>
          <w:rFonts w:ascii="Arial" w:hAnsi="Arial" w:cs="Arial"/>
          <w:sz w:val="20"/>
          <w:szCs w:val="20"/>
          <w:lang w:eastAsia="en-US"/>
        </w:rPr>
        <w:t>malo uzatvorenie zmlúv v rámci prioritnej osi 2 v nadväznosti na revíziu OP ŽP a modifikáciu veľkého projektu. Naopak v porovnaní s rokom 2014 došlo k poklesu úrovne zazmluvnenia v rámci prioritn</w:t>
      </w:r>
      <w:r w:rsidR="000E384B">
        <w:rPr>
          <w:rFonts w:ascii="Arial" w:hAnsi="Arial" w:cs="Arial"/>
          <w:sz w:val="20"/>
          <w:szCs w:val="20"/>
          <w:lang w:eastAsia="en-US"/>
        </w:rPr>
        <w:t>ej</w:t>
      </w:r>
      <w:r w:rsidRPr="00843029">
        <w:rPr>
          <w:rFonts w:ascii="Arial" w:hAnsi="Arial" w:cs="Arial"/>
          <w:sz w:val="20"/>
          <w:szCs w:val="20"/>
          <w:lang w:eastAsia="en-US"/>
        </w:rPr>
        <w:t xml:space="preserve"> os</w:t>
      </w:r>
      <w:r w:rsidR="000E384B">
        <w:rPr>
          <w:rFonts w:ascii="Arial" w:hAnsi="Arial" w:cs="Arial"/>
          <w:sz w:val="20"/>
          <w:szCs w:val="20"/>
          <w:lang w:eastAsia="en-US"/>
        </w:rPr>
        <w:t>i</w:t>
      </w:r>
      <w:r w:rsidRPr="00843029">
        <w:rPr>
          <w:rFonts w:ascii="Arial" w:hAnsi="Arial" w:cs="Arial"/>
          <w:sz w:val="20"/>
          <w:szCs w:val="20"/>
          <w:lang w:eastAsia="en-US"/>
        </w:rPr>
        <w:t xml:space="preserve"> 4</w:t>
      </w:r>
      <w:r w:rsidR="000E384B">
        <w:rPr>
          <w:rFonts w:ascii="Arial" w:hAnsi="Arial" w:cs="Arial"/>
          <w:sz w:val="20"/>
          <w:szCs w:val="20"/>
          <w:lang w:eastAsia="en-US"/>
        </w:rPr>
        <w:t xml:space="preserve"> v súvislosti s mimoriadným ukončením projektov </w:t>
      </w:r>
      <w:r w:rsidR="000E384B" w:rsidRPr="00843029">
        <w:rPr>
          <w:rFonts w:ascii="Arial" w:hAnsi="Arial" w:cs="Arial"/>
          <w:sz w:val="20"/>
          <w:szCs w:val="20"/>
          <w:lang w:eastAsia="en-US"/>
        </w:rPr>
        <w:t>a</w:t>
      </w:r>
      <w:r w:rsidR="000E384B">
        <w:rPr>
          <w:rFonts w:ascii="Arial" w:hAnsi="Arial" w:cs="Arial"/>
          <w:sz w:val="20"/>
          <w:szCs w:val="20"/>
          <w:lang w:eastAsia="en-US"/>
        </w:rPr>
        <w:t> </w:t>
      </w:r>
      <w:r w:rsidR="000E384B" w:rsidRPr="00843029">
        <w:rPr>
          <w:rFonts w:ascii="Arial" w:hAnsi="Arial" w:cs="Arial"/>
          <w:sz w:val="20"/>
          <w:szCs w:val="20"/>
          <w:lang w:eastAsia="en-US"/>
        </w:rPr>
        <w:t>to</w:t>
      </w:r>
      <w:r w:rsidR="000E384B">
        <w:rPr>
          <w:rFonts w:ascii="Arial" w:hAnsi="Arial" w:cs="Arial"/>
          <w:sz w:val="20"/>
          <w:szCs w:val="20"/>
          <w:lang w:eastAsia="en-US"/>
        </w:rPr>
        <w:t xml:space="preserve"> z dôvodu </w:t>
      </w:r>
      <w:r w:rsidR="00315B4F">
        <w:rPr>
          <w:rFonts w:ascii="Arial" w:hAnsi="Arial" w:cs="Arial"/>
          <w:sz w:val="20"/>
          <w:szCs w:val="20"/>
          <w:lang w:eastAsia="en-US"/>
        </w:rPr>
        <w:t>zlej ekonomickej situácie</w:t>
      </w:r>
      <w:r w:rsidR="00315B4F" w:rsidRPr="00315B4F">
        <w:rPr>
          <w:rFonts w:ascii="Arial" w:hAnsi="Arial" w:cs="Arial"/>
          <w:sz w:val="20"/>
          <w:szCs w:val="20"/>
          <w:lang w:eastAsia="en-US"/>
        </w:rPr>
        <w:t xml:space="preserve"> </w:t>
      </w:r>
      <w:r w:rsidR="00315B4F">
        <w:rPr>
          <w:rFonts w:ascii="Arial" w:hAnsi="Arial" w:cs="Arial"/>
          <w:sz w:val="20"/>
          <w:szCs w:val="20"/>
          <w:lang w:eastAsia="en-US"/>
        </w:rPr>
        <w:t xml:space="preserve">na strane </w:t>
      </w:r>
      <w:r w:rsidR="00315B4F" w:rsidRPr="00315B4F">
        <w:rPr>
          <w:rFonts w:ascii="Arial" w:hAnsi="Arial" w:cs="Arial"/>
          <w:sz w:val="20"/>
          <w:szCs w:val="20"/>
          <w:lang w:eastAsia="en-US"/>
        </w:rPr>
        <w:t>prijímateľa</w:t>
      </w:r>
      <w:r w:rsidR="000E384B">
        <w:rPr>
          <w:rFonts w:ascii="Arial" w:hAnsi="Arial" w:cs="Arial"/>
          <w:sz w:val="20"/>
          <w:szCs w:val="20"/>
          <w:lang w:eastAsia="en-US"/>
        </w:rPr>
        <w:t xml:space="preserve"> alebo</w:t>
      </w:r>
      <w:r w:rsidR="00315B4F">
        <w:rPr>
          <w:rFonts w:ascii="Arial" w:hAnsi="Arial" w:cs="Arial"/>
          <w:sz w:val="20"/>
          <w:szCs w:val="20"/>
          <w:lang w:eastAsia="en-US"/>
        </w:rPr>
        <w:t xml:space="preserve"> z dôvodu nezrealizovania verejného obstarávania.</w:t>
      </w:r>
      <w:r w:rsidR="00315B4F" w:rsidRPr="00315B4F">
        <w:rPr>
          <w:rFonts w:ascii="Arial" w:hAnsi="Arial" w:cs="Arial"/>
          <w:sz w:val="20"/>
          <w:szCs w:val="20"/>
          <w:lang w:eastAsia="en-US"/>
        </w:rPr>
        <w:t xml:space="preserve"> </w:t>
      </w:r>
      <w:r>
        <w:rPr>
          <w:rFonts w:ascii="Arial" w:hAnsi="Arial" w:cs="Arial"/>
          <w:sz w:val="20"/>
          <w:szCs w:val="20"/>
          <w:lang w:eastAsia="en-US"/>
        </w:rPr>
        <w:t xml:space="preserve">V rámci prioritnej osi </w:t>
      </w:r>
      <w:r w:rsidR="000E384B">
        <w:rPr>
          <w:rFonts w:ascii="Arial" w:hAnsi="Arial" w:cs="Arial"/>
          <w:sz w:val="20"/>
          <w:szCs w:val="20"/>
          <w:lang w:eastAsia="en-US"/>
        </w:rPr>
        <w:t xml:space="preserve">5 a </w:t>
      </w:r>
      <w:r>
        <w:rPr>
          <w:rFonts w:ascii="Arial" w:hAnsi="Arial" w:cs="Arial"/>
          <w:sz w:val="20"/>
          <w:szCs w:val="20"/>
          <w:lang w:eastAsia="en-US"/>
        </w:rPr>
        <w:t>7</w:t>
      </w:r>
      <w:r w:rsidR="004D025F">
        <w:rPr>
          <w:rFonts w:ascii="Arial" w:hAnsi="Arial" w:cs="Arial"/>
          <w:sz w:val="20"/>
          <w:szCs w:val="20"/>
          <w:lang w:eastAsia="en-US"/>
        </w:rPr>
        <w:t xml:space="preserve"> </w:t>
      </w:r>
      <w:r w:rsidRPr="00843029">
        <w:rPr>
          <w:rFonts w:ascii="Arial" w:hAnsi="Arial" w:cs="Arial"/>
          <w:sz w:val="20"/>
          <w:szCs w:val="20"/>
          <w:lang w:eastAsia="en-US"/>
        </w:rPr>
        <w:t>v roku 2015</w:t>
      </w:r>
      <w:r w:rsidR="004D025F" w:rsidRPr="00843029">
        <w:rPr>
          <w:rFonts w:ascii="Arial" w:hAnsi="Arial" w:cs="Arial"/>
          <w:sz w:val="20"/>
          <w:szCs w:val="20"/>
          <w:lang w:eastAsia="en-US"/>
        </w:rPr>
        <w:t xml:space="preserve"> nedošlo k</w:t>
      </w:r>
      <w:r w:rsidRPr="00843029">
        <w:rPr>
          <w:rFonts w:ascii="Arial" w:hAnsi="Arial" w:cs="Arial"/>
          <w:sz w:val="20"/>
          <w:szCs w:val="20"/>
          <w:lang w:eastAsia="en-US"/>
        </w:rPr>
        <w:t xml:space="preserve"> zazmluvneniu žiadneho projektu.</w:t>
      </w:r>
    </w:p>
    <w:p w14:paraId="50F8272C" w14:textId="77777777" w:rsidR="008A3777" w:rsidRPr="00E21C60" w:rsidRDefault="005B340F" w:rsidP="00912C87">
      <w:pPr>
        <w:spacing w:before="240" w:after="120"/>
        <w:rPr>
          <w:rFonts w:ascii="Arial" w:hAnsi="Arial" w:cs="Arial"/>
          <w:b/>
          <w:bCs/>
          <w:sz w:val="20"/>
          <w:szCs w:val="20"/>
        </w:rPr>
      </w:pPr>
      <w:r w:rsidRPr="00350FF8">
        <w:rPr>
          <w:rFonts w:ascii="Arial" w:hAnsi="Arial" w:cs="Arial"/>
          <w:b/>
          <w:bCs/>
          <w:sz w:val="20"/>
          <w:szCs w:val="20"/>
        </w:rPr>
        <w:t>Vyhodnotenie s</w:t>
      </w:r>
      <w:r w:rsidR="001C321D" w:rsidRPr="00350FF8">
        <w:rPr>
          <w:rFonts w:ascii="Arial" w:hAnsi="Arial" w:cs="Arial"/>
          <w:b/>
          <w:bCs/>
          <w:sz w:val="20"/>
          <w:szCs w:val="20"/>
        </w:rPr>
        <w:t>tav</w:t>
      </w:r>
      <w:r w:rsidRPr="00350FF8">
        <w:rPr>
          <w:rFonts w:ascii="Arial" w:hAnsi="Arial" w:cs="Arial"/>
          <w:b/>
          <w:bCs/>
          <w:sz w:val="20"/>
          <w:szCs w:val="20"/>
        </w:rPr>
        <w:t>u</w:t>
      </w:r>
      <w:r w:rsidR="001C321D" w:rsidRPr="00350FF8">
        <w:rPr>
          <w:rFonts w:ascii="Arial" w:hAnsi="Arial" w:cs="Arial"/>
          <w:b/>
          <w:bCs/>
          <w:sz w:val="20"/>
          <w:szCs w:val="20"/>
        </w:rPr>
        <w:t xml:space="preserve"> čerpania </w:t>
      </w:r>
      <w:r w:rsidR="008A3777" w:rsidRPr="00350FF8">
        <w:rPr>
          <w:rFonts w:ascii="Arial" w:hAnsi="Arial" w:cs="Arial"/>
          <w:b/>
          <w:bCs/>
          <w:sz w:val="20"/>
          <w:szCs w:val="20"/>
        </w:rPr>
        <w:t>OP ŽP</w:t>
      </w:r>
    </w:p>
    <w:p w14:paraId="5B039DCC" w14:textId="65F3C986" w:rsidR="008A3777" w:rsidRPr="00E21C60" w:rsidRDefault="001C321D" w:rsidP="00123376">
      <w:pPr>
        <w:spacing w:before="120" w:after="120"/>
        <w:jc w:val="both"/>
        <w:rPr>
          <w:rFonts w:ascii="Arial" w:hAnsi="Arial" w:cs="Arial"/>
          <w:sz w:val="20"/>
          <w:szCs w:val="20"/>
        </w:rPr>
      </w:pPr>
      <w:r w:rsidRPr="00E21C60">
        <w:rPr>
          <w:rFonts w:ascii="Arial" w:hAnsi="Arial" w:cs="Arial"/>
          <w:sz w:val="20"/>
          <w:szCs w:val="20"/>
        </w:rPr>
        <w:t>K 31.1</w:t>
      </w:r>
      <w:r w:rsidR="00F77A7A">
        <w:rPr>
          <w:rFonts w:ascii="Arial" w:hAnsi="Arial" w:cs="Arial"/>
          <w:sz w:val="20"/>
          <w:szCs w:val="20"/>
        </w:rPr>
        <w:t>0</w:t>
      </w:r>
      <w:r w:rsidRPr="00E21C60">
        <w:rPr>
          <w:rFonts w:ascii="Arial" w:hAnsi="Arial" w:cs="Arial"/>
          <w:sz w:val="20"/>
          <w:szCs w:val="20"/>
        </w:rPr>
        <w:t>.</w:t>
      </w:r>
      <w:r w:rsidR="00412A80" w:rsidRPr="00E21C60">
        <w:rPr>
          <w:rFonts w:ascii="Arial" w:hAnsi="Arial" w:cs="Arial"/>
          <w:sz w:val="20"/>
          <w:szCs w:val="20"/>
        </w:rPr>
        <w:t>201</w:t>
      </w:r>
      <w:r w:rsidR="00F77A7A">
        <w:rPr>
          <w:rFonts w:ascii="Arial" w:hAnsi="Arial" w:cs="Arial"/>
          <w:sz w:val="20"/>
          <w:szCs w:val="20"/>
        </w:rPr>
        <w:t>6</w:t>
      </w:r>
      <w:r w:rsidR="00412A80" w:rsidRPr="00E21C60">
        <w:rPr>
          <w:rFonts w:ascii="Arial" w:hAnsi="Arial" w:cs="Arial"/>
          <w:sz w:val="20"/>
          <w:szCs w:val="20"/>
        </w:rPr>
        <w:t xml:space="preserve"> </w:t>
      </w:r>
      <w:r w:rsidR="008A3777" w:rsidRPr="00E21C60">
        <w:rPr>
          <w:rFonts w:ascii="Arial" w:hAnsi="Arial" w:cs="Arial"/>
          <w:sz w:val="20"/>
          <w:szCs w:val="20"/>
        </w:rPr>
        <w:t xml:space="preserve">bolo </w:t>
      </w:r>
      <w:r w:rsidRPr="00E21C60">
        <w:rPr>
          <w:rFonts w:ascii="Arial" w:hAnsi="Arial" w:cs="Arial"/>
          <w:sz w:val="20"/>
          <w:szCs w:val="20"/>
        </w:rPr>
        <w:t>čerpani</w:t>
      </w:r>
      <w:r w:rsidR="008A3777" w:rsidRPr="00E21C60">
        <w:rPr>
          <w:rFonts w:ascii="Arial" w:hAnsi="Arial" w:cs="Arial"/>
          <w:sz w:val="20"/>
          <w:szCs w:val="20"/>
        </w:rPr>
        <w:t>e</w:t>
      </w:r>
      <w:r w:rsidRPr="00E21C60">
        <w:rPr>
          <w:rFonts w:ascii="Arial" w:hAnsi="Arial" w:cs="Arial"/>
          <w:sz w:val="20"/>
          <w:szCs w:val="20"/>
        </w:rPr>
        <w:t xml:space="preserve"> prostriedkov z fondov EÚ a štátneho rozpočtu vo výške </w:t>
      </w:r>
      <w:r w:rsidR="00C00281">
        <w:rPr>
          <w:rFonts w:ascii="Arial" w:hAnsi="Arial" w:cs="Arial"/>
          <w:sz w:val="20"/>
          <w:szCs w:val="20"/>
        </w:rPr>
        <w:t>2 098 551 685,22</w:t>
      </w:r>
      <w:r w:rsidR="00885B5E" w:rsidRPr="00F77A7A">
        <w:rPr>
          <w:rFonts w:ascii="Arial" w:hAnsi="Arial" w:cs="Arial"/>
          <w:sz w:val="20"/>
          <w:szCs w:val="20"/>
          <w:highlight w:val="red"/>
        </w:rPr>
        <w:t xml:space="preserve"> </w:t>
      </w:r>
      <w:r w:rsidR="00366C2D" w:rsidRPr="00392C2B">
        <w:rPr>
          <w:rFonts w:ascii="Arial" w:hAnsi="Arial" w:cs="Arial"/>
          <w:sz w:val="20"/>
          <w:szCs w:val="20"/>
        </w:rPr>
        <w:t>€</w:t>
      </w:r>
      <w:r w:rsidRPr="00392C2B">
        <w:rPr>
          <w:rFonts w:ascii="Arial" w:hAnsi="Arial" w:cs="Arial"/>
          <w:sz w:val="20"/>
          <w:szCs w:val="20"/>
        </w:rPr>
        <w:t xml:space="preserve">, čo predstavuje </w:t>
      </w:r>
      <w:r w:rsidR="00392C2B">
        <w:rPr>
          <w:rFonts w:ascii="Arial" w:hAnsi="Arial" w:cs="Arial"/>
          <w:sz w:val="20"/>
          <w:szCs w:val="20"/>
        </w:rPr>
        <w:t>98</w:t>
      </w:r>
      <w:r w:rsidRPr="00392C2B">
        <w:rPr>
          <w:rFonts w:ascii="Arial" w:hAnsi="Arial" w:cs="Arial"/>
          <w:sz w:val="20"/>
          <w:szCs w:val="20"/>
        </w:rPr>
        <w:t>,</w:t>
      </w:r>
      <w:r w:rsidR="00392C2B">
        <w:rPr>
          <w:rFonts w:ascii="Arial" w:hAnsi="Arial" w:cs="Arial"/>
          <w:sz w:val="20"/>
          <w:szCs w:val="20"/>
        </w:rPr>
        <w:t>01</w:t>
      </w:r>
      <w:r w:rsidR="00885B5E" w:rsidRPr="00392C2B">
        <w:rPr>
          <w:rFonts w:ascii="Arial" w:hAnsi="Arial" w:cs="Arial"/>
          <w:sz w:val="20"/>
          <w:szCs w:val="20"/>
        </w:rPr>
        <w:t xml:space="preserve"> </w:t>
      </w:r>
      <w:r w:rsidRPr="00392C2B">
        <w:rPr>
          <w:rFonts w:ascii="Arial" w:hAnsi="Arial" w:cs="Arial"/>
          <w:sz w:val="20"/>
          <w:szCs w:val="20"/>
        </w:rPr>
        <w:t>% z alokácie na programové obdobie</w:t>
      </w:r>
      <w:r w:rsidR="00392C2B">
        <w:rPr>
          <w:rFonts w:ascii="Arial" w:hAnsi="Arial" w:cs="Arial"/>
          <w:sz w:val="20"/>
          <w:szCs w:val="20"/>
        </w:rPr>
        <w:t>.</w:t>
      </w:r>
      <w:r w:rsidR="008001F1" w:rsidRPr="00E21C60">
        <w:rPr>
          <w:rFonts w:ascii="Arial" w:hAnsi="Arial" w:cs="Arial"/>
          <w:sz w:val="20"/>
          <w:szCs w:val="20"/>
        </w:rPr>
        <w:t xml:space="preserve"> </w:t>
      </w:r>
      <w:r w:rsidR="00AC1A6A" w:rsidRPr="00044CE4">
        <w:rPr>
          <w:rFonts w:ascii="Arial" w:hAnsi="Arial" w:cs="Arial"/>
          <w:sz w:val="20"/>
          <w:szCs w:val="20"/>
        </w:rPr>
        <w:t xml:space="preserve">Samotné čerpanie na úrovni prioritných osí vo vzťahu k príslušnej alokácii, ako aj z pohľadu ročného čerpania je uvedené v nasledovných </w:t>
      </w:r>
      <w:bookmarkStart w:id="11" w:name="_GoBack"/>
      <w:r w:rsidR="00AC1A6A" w:rsidRPr="00044CE4">
        <w:rPr>
          <w:rFonts w:ascii="Arial" w:hAnsi="Arial" w:cs="Arial"/>
          <w:sz w:val="20"/>
          <w:szCs w:val="20"/>
        </w:rPr>
        <w:t>tabuľkách</w:t>
      </w:r>
      <w:bookmarkEnd w:id="11"/>
      <w:r w:rsidR="00AC1A6A" w:rsidRPr="00044CE4">
        <w:rPr>
          <w:rFonts w:ascii="Arial" w:hAnsi="Arial" w:cs="Arial"/>
          <w:sz w:val="20"/>
          <w:szCs w:val="20"/>
        </w:rPr>
        <w:t>.</w:t>
      </w:r>
    </w:p>
    <w:p w14:paraId="34C97AA5" w14:textId="66288D49" w:rsidR="001C321D" w:rsidRPr="00E21C60" w:rsidRDefault="008F1D60" w:rsidP="00123376">
      <w:pPr>
        <w:jc w:val="both"/>
        <w:rPr>
          <w:rFonts w:ascii="Arial" w:hAnsi="Arial" w:cs="Arial"/>
          <w:sz w:val="20"/>
          <w:szCs w:val="20"/>
        </w:rPr>
      </w:pPr>
      <w:r w:rsidRPr="00E21C60">
        <w:rPr>
          <w:rFonts w:ascii="Arial" w:hAnsi="Arial" w:cs="Arial"/>
          <w:sz w:val="20"/>
          <w:szCs w:val="20"/>
        </w:rPr>
        <w:tab/>
      </w:r>
      <w:r w:rsidRPr="00E21C60">
        <w:rPr>
          <w:rFonts w:ascii="Arial" w:hAnsi="Arial" w:cs="Arial"/>
          <w:sz w:val="20"/>
          <w:szCs w:val="20"/>
        </w:rPr>
        <w:tab/>
      </w:r>
      <w:r w:rsidR="001C321D" w:rsidRPr="00E21C60">
        <w:rPr>
          <w:rFonts w:ascii="Arial" w:hAnsi="Arial" w:cs="Arial"/>
          <w:sz w:val="20"/>
          <w:szCs w:val="20"/>
        </w:rPr>
        <w:t>Tab</w:t>
      </w:r>
      <w:r w:rsidR="00412A80" w:rsidRPr="00E21C60">
        <w:rPr>
          <w:rFonts w:ascii="Arial" w:hAnsi="Arial" w:cs="Arial"/>
          <w:sz w:val="20"/>
          <w:szCs w:val="20"/>
        </w:rPr>
        <w:t>uľka</w:t>
      </w:r>
      <w:r w:rsidR="001C321D" w:rsidRPr="00E21C60">
        <w:rPr>
          <w:rFonts w:ascii="Arial" w:hAnsi="Arial" w:cs="Arial"/>
          <w:sz w:val="20"/>
          <w:szCs w:val="20"/>
        </w:rPr>
        <w:t xml:space="preserve"> č. </w:t>
      </w:r>
      <w:r w:rsidR="00D155CD" w:rsidRPr="00E21C60">
        <w:rPr>
          <w:rFonts w:ascii="Arial" w:hAnsi="Arial" w:cs="Arial"/>
          <w:sz w:val="20"/>
          <w:szCs w:val="20"/>
        </w:rPr>
        <w:t>5</w:t>
      </w:r>
      <w:r w:rsidR="001C321D" w:rsidRPr="00E21C60">
        <w:rPr>
          <w:rFonts w:ascii="Arial" w:hAnsi="Arial" w:cs="Arial"/>
          <w:sz w:val="20"/>
          <w:szCs w:val="20"/>
        </w:rPr>
        <w:t>: Čerpanie</w:t>
      </w:r>
      <w:r w:rsidR="00D53802" w:rsidRPr="00E21C60">
        <w:rPr>
          <w:rFonts w:ascii="Arial" w:hAnsi="Arial" w:cs="Arial"/>
          <w:sz w:val="20"/>
          <w:szCs w:val="20"/>
        </w:rPr>
        <w:t xml:space="preserve"> finančných prostriedkov</w:t>
      </w:r>
      <w:r w:rsidR="001C321D" w:rsidRPr="00E21C60">
        <w:rPr>
          <w:rFonts w:ascii="Arial" w:hAnsi="Arial" w:cs="Arial"/>
          <w:sz w:val="20"/>
          <w:szCs w:val="20"/>
        </w:rPr>
        <w:t xml:space="preserve"> v rámci prioritných osí k </w:t>
      </w:r>
      <w:r w:rsidR="00757D7A" w:rsidRPr="00E21C60">
        <w:rPr>
          <w:rFonts w:ascii="Arial" w:hAnsi="Arial" w:cs="Arial"/>
          <w:sz w:val="20"/>
          <w:szCs w:val="20"/>
        </w:rPr>
        <w:t>3</w:t>
      </w:r>
      <w:r w:rsidR="000D6765">
        <w:rPr>
          <w:rFonts w:ascii="Arial" w:hAnsi="Arial" w:cs="Arial"/>
          <w:sz w:val="20"/>
          <w:szCs w:val="20"/>
        </w:rPr>
        <w:t>1</w:t>
      </w:r>
      <w:r w:rsidR="001C321D" w:rsidRPr="00E21C60">
        <w:rPr>
          <w:rFonts w:ascii="Arial" w:hAnsi="Arial" w:cs="Arial"/>
          <w:sz w:val="20"/>
          <w:szCs w:val="20"/>
        </w:rPr>
        <w:t>.</w:t>
      </w:r>
      <w:r w:rsidR="00F77A7A">
        <w:rPr>
          <w:rFonts w:ascii="Arial" w:hAnsi="Arial" w:cs="Arial"/>
          <w:sz w:val="20"/>
          <w:szCs w:val="20"/>
        </w:rPr>
        <w:t>10</w:t>
      </w:r>
      <w:r w:rsidR="001C321D" w:rsidRPr="00E21C60">
        <w:rPr>
          <w:rFonts w:ascii="Arial" w:hAnsi="Arial" w:cs="Arial"/>
          <w:sz w:val="20"/>
          <w:szCs w:val="20"/>
        </w:rPr>
        <w:t>.</w:t>
      </w:r>
      <w:r w:rsidR="00757D7A" w:rsidRPr="00E21C60">
        <w:rPr>
          <w:rFonts w:ascii="Arial" w:hAnsi="Arial" w:cs="Arial"/>
          <w:sz w:val="20"/>
          <w:szCs w:val="20"/>
        </w:rPr>
        <w:t>201</w:t>
      </w:r>
      <w:r w:rsidR="00757D7A">
        <w:rPr>
          <w:rFonts w:ascii="Arial" w:hAnsi="Arial" w:cs="Arial"/>
          <w:sz w:val="20"/>
          <w:szCs w:val="20"/>
        </w:rPr>
        <w:t>6</w:t>
      </w:r>
      <w:r w:rsidR="00757D7A" w:rsidRPr="00E21C60">
        <w:rPr>
          <w:rFonts w:ascii="Arial" w:hAnsi="Arial" w:cs="Arial"/>
          <w:sz w:val="20"/>
          <w:szCs w:val="20"/>
        </w:rPr>
        <w:t xml:space="preserve"> </w:t>
      </w:r>
    </w:p>
    <w:tbl>
      <w:tblPr>
        <w:tblW w:w="9080" w:type="dxa"/>
        <w:tblInd w:w="55" w:type="dxa"/>
        <w:tblCellMar>
          <w:left w:w="70" w:type="dxa"/>
          <w:right w:w="70" w:type="dxa"/>
        </w:tblCellMar>
        <w:tblLook w:val="04A0" w:firstRow="1" w:lastRow="0" w:firstColumn="1" w:lastColumn="0" w:noHBand="0" w:noVBand="1"/>
      </w:tblPr>
      <w:tblGrid>
        <w:gridCol w:w="1660"/>
        <w:gridCol w:w="2900"/>
        <w:gridCol w:w="2260"/>
        <w:gridCol w:w="2260"/>
      </w:tblGrid>
      <w:tr w:rsidR="006A793B" w:rsidRPr="00E21C60" w14:paraId="1E7A7E21" w14:textId="77777777" w:rsidTr="00C00281">
        <w:trPr>
          <w:trHeight w:val="495"/>
        </w:trPr>
        <w:tc>
          <w:tcPr>
            <w:tcW w:w="1660"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072D61F" w14:textId="77777777" w:rsidR="006A793B" w:rsidRPr="00E21C60" w:rsidRDefault="006A793B" w:rsidP="00C00281">
            <w:pPr>
              <w:jc w:val="center"/>
              <w:rPr>
                <w:rFonts w:ascii="Arial" w:hAnsi="Arial" w:cs="Arial"/>
                <w:b/>
                <w:bCs/>
                <w:color w:val="000000"/>
                <w:sz w:val="16"/>
                <w:szCs w:val="16"/>
              </w:rPr>
            </w:pPr>
            <w:r w:rsidRPr="00E21C60">
              <w:rPr>
                <w:rFonts w:ascii="Arial" w:hAnsi="Arial" w:cs="Arial"/>
                <w:b/>
                <w:bCs/>
                <w:color w:val="000000"/>
                <w:sz w:val="16"/>
                <w:szCs w:val="16"/>
              </w:rPr>
              <w:t>Prioritná os</w:t>
            </w:r>
          </w:p>
        </w:tc>
        <w:tc>
          <w:tcPr>
            <w:tcW w:w="2900"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08D365C" w14:textId="77777777" w:rsidR="006A793B" w:rsidRPr="002526CC" w:rsidRDefault="006A793B" w:rsidP="00C00281">
            <w:pPr>
              <w:jc w:val="center"/>
              <w:rPr>
                <w:rFonts w:ascii="Arial" w:hAnsi="Arial" w:cs="Arial"/>
                <w:b/>
                <w:bCs/>
                <w:color w:val="000000"/>
                <w:sz w:val="16"/>
                <w:szCs w:val="16"/>
              </w:rPr>
            </w:pPr>
            <w:r w:rsidRPr="00E21C60">
              <w:rPr>
                <w:rFonts w:ascii="Arial" w:hAnsi="Arial" w:cs="Arial"/>
                <w:b/>
                <w:bCs/>
                <w:color w:val="000000"/>
                <w:sz w:val="16"/>
                <w:szCs w:val="16"/>
              </w:rPr>
              <w:t>Alokácia na prioritnú os</w:t>
            </w:r>
            <w:r w:rsidRPr="00E21C60">
              <w:rPr>
                <w:rFonts w:ascii="Arial" w:hAnsi="Arial" w:cs="Arial"/>
                <w:b/>
                <w:bCs/>
                <w:color w:val="000000"/>
                <w:sz w:val="16"/>
                <w:szCs w:val="16"/>
              </w:rPr>
              <w:br/>
            </w:r>
            <w:r w:rsidRPr="00123376">
              <w:rPr>
                <w:rFonts w:ascii="Arial" w:hAnsi="Arial" w:cs="Arial"/>
                <w:bCs/>
                <w:color w:val="000000"/>
                <w:sz w:val="16"/>
                <w:szCs w:val="16"/>
              </w:rPr>
              <w:t>(EÚ</w:t>
            </w:r>
            <w:r w:rsidR="00D53802" w:rsidRPr="002526CC">
              <w:rPr>
                <w:rFonts w:ascii="Arial" w:hAnsi="Arial" w:cs="Arial"/>
                <w:bCs/>
                <w:color w:val="000000"/>
                <w:sz w:val="16"/>
                <w:szCs w:val="16"/>
              </w:rPr>
              <w:t xml:space="preserve"> zdroje </w:t>
            </w:r>
            <w:r w:rsidRPr="00123376">
              <w:rPr>
                <w:rFonts w:ascii="Arial" w:hAnsi="Arial" w:cs="Arial"/>
                <w:bCs/>
                <w:color w:val="000000"/>
                <w:sz w:val="16"/>
                <w:szCs w:val="16"/>
              </w:rPr>
              <w:t>+ národné verejn</w:t>
            </w:r>
            <w:r w:rsidR="00D53802" w:rsidRPr="002526CC">
              <w:rPr>
                <w:rFonts w:ascii="Arial" w:hAnsi="Arial" w:cs="Arial"/>
                <w:bCs/>
                <w:color w:val="000000"/>
                <w:sz w:val="16"/>
                <w:szCs w:val="16"/>
              </w:rPr>
              <w:t>é</w:t>
            </w:r>
            <w:r w:rsidRPr="00123376">
              <w:rPr>
                <w:rFonts w:ascii="Arial" w:hAnsi="Arial" w:cs="Arial"/>
                <w:bCs/>
                <w:color w:val="000000"/>
                <w:sz w:val="16"/>
                <w:szCs w:val="16"/>
              </w:rPr>
              <w:t xml:space="preserve"> zdroje)</w:t>
            </w:r>
          </w:p>
        </w:tc>
        <w:tc>
          <w:tcPr>
            <w:tcW w:w="4520" w:type="dxa"/>
            <w:gridSpan w:val="2"/>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46B2BC3" w14:textId="77777777" w:rsidR="006A793B" w:rsidRPr="00E21C60" w:rsidRDefault="006A793B" w:rsidP="00C00281">
            <w:pPr>
              <w:jc w:val="center"/>
              <w:rPr>
                <w:rFonts w:ascii="Arial" w:hAnsi="Arial" w:cs="Arial"/>
                <w:b/>
                <w:bCs/>
                <w:color w:val="000000"/>
                <w:sz w:val="16"/>
                <w:szCs w:val="16"/>
              </w:rPr>
            </w:pPr>
            <w:r w:rsidRPr="00E21C60">
              <w:rPr>
                <w:rFonts w:ascii="Arial" w:hAnsi="Arial" w:cs="Arial"/>
                <w:b/>
                <w:bCs/>
                <w:color w:val="000000"/>
                <w:sz w:val="16"/>
                <w:szCs w:val="16"/>
              </w:rPr>
              <w:t>Výška čerpaných prostriedkov zo ŠF/KF a ŠR</w:t>
            </w:r>
          </w:p>
        </w:tc>
      </w:tr>
      <w:tr w:rsidR="006A793B" w:rsidRPr="00E21C60" w14:paraId="6C7991E2" w14:textId="77777777" w:rsidTr="00C00281">
        <w:trPr>
          <w:trHeight w:val="184"/>
        </w:trPr>
        <w:tc>
          <w:tcPr>
            <w:tcW w:w="1660"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C458ADC" w14:textId="77777777" w:rsidR="006A793B" w:rsidRPr="00E21C60" w:rsidRDefault="006A793B" w:rsidP="00C00281">
            <w:pPr>
              <w:jc w:val="center"/>
              <w:rPr>
                <w:rFonts w:ascii="Arial" w:hAnsi="Arial" w:cs="Arial"/>
                <w:b/>
                <w:bCs/>
                <w:color w:val="000000"/>
                <w:sz w:val="16"/>
                <w:szCs w:val="16"/>
              </w:rPr>
            </w:pPr>
          </w:p>
        </w:tc>
        <w:tc>
          <w:tcPr>
            <w:tcW w:w="2900"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2ECEFB6" w14:textId="77777777" w:rsidR="006A793B" w:rsidRPr="00E21C60" w:rsidRDefault="006A793B" w:rsidP="00C00281">
            <w:pPr>
              <w:jc w:val="center"/>
              <w:rPr>
                <w:rFonts w:ascii="Arial" w:hAnsi="Arial" w:cs="Arial"/>
                <w:b/>
                <w:bCs/>
                <w:color w:val="000000"/>
                <w:sz w:val="16"/>
                <w:szCs w:val="16"/>
              </w:rPr>
            </w:pPr>
          </w:p>
        </w:tc>
        <w:tc>
          <w:tcPr>
            <w:tcW w:w="4520" w:type="dxa"/>
            <w:gridSpan w:val="2"/>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6B51880" w14:textId="77777777" w:rsidR="006A793B" w:rsidRPr="00E21C60" w:rsidRDefault="006A793B" w:rsidP="00C00281">
            <w:pPr>
              <w:jc w:val="center"/>
              <w:rPr>
                <w:rFonts w:ascii="Arial" w:hAnsi="Arial" w:cs="Arial"/>
                <w:b/>
                <w:bCs/>
                <w:color w:val="000000"/>
                <w:sz w:val="16"/>
                <w:szCs w:val="16"/>
              </w:rPr>
            </w:pPr>
          </w:p>
        </w:tc>
      </w:tr>
      <w:tr w:rsidR="006A793B" w:rsidRPr="00E21C60" w14:paraId="34637FF6" w14:textId="77777777" w:rsidTr="00C00281">
        <w:trPr>
          <w:trHeight w:val="332"/>
        </w:trPr>
        <w:tc>
          <w:tcPr>
            <w:tcW w:w="1660"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EDE6B76" w14:textId="77777777" w:rsidR="006A793B" w:rsidRPr="00E21C60" w:rsidRDefault="006A793B" w:rsidP="00C00281">
            <w:pPr>
              <w:jc w:val="center"/>
              <w:rPr>
                <w:rFonts w:ascii="Arial" w:hAnsi="Arial" w:cs="Arial"/>
                <w:b/>
                <w:bCs/>
                <w:color w:val="000000"/>
                <w:sz w:val="16"/>
                <w:szCs w:val="16"/>
              </w:rPr>
            </w:pPr>
          </w:p>
        </w:tc>
        <w:tc>
          <w:tcPr>
            <w:tcW w:w="2900" w:type="dxa"/>
            <w:tcBorders>
              <w:top w:val="nil"/>
              <w:left w:val="nil"/>
              <w:bottom w:val="single" w:sz="4" w:space="0" w:color="auto"/>
              <w:right w:val="single" w:sz="4" w:space="0" w:color="auto"/>
            </w:tcBorders>
            <w:shd w:val="clear" w:color="auto" w:fill="C2D69B" w:themeFill="accent3" w:themeFillTint="99"/>
            <w:vAlign w:val="center"/>
            <w:hideMark/>
          </w:tcPr>
          <w:p w14:paraId="05CD5820" w14:textId="77777777" w:rsidR="006A793B" w:rsidRPr="00E21C60" w:rsidRDefault="006A793B" w:rsidP="00C00281">
            <w:pPr>
              <w:jc w:val="center"/>
              <w:rPr>
                <w:rFonts w:ascii="Arial" w:hAnsi="Arial" w:cs="Arial"/>
                <w:b/>
                <w:bCs/>
                <w:color w:val="000000"/>
                <w:sz w:val="16"/>
                <w:szCs w:val="16"/>
              </w:rPr>
            </w:pPr>
            <w:r w:rsidRPr="00E21C60">
              <w:rPr>
                <w:rFonts w:ascii="Arial" w:hAnsi="Arial" w:cs="Arial"/>
                <w:b/>
                <w:bCs/>
                <w:color w:val="000000"/>
                <w:sz w:val="16"/>
                <w:szCs w:val="16"/>
              </w:rPr>
              <w:t>€</w:t>
            </w:r>
          </w:p>
        </w:tc>
        <w:tc>
          <w:tcPr>
            <w:tcW w:w="2260" w:type="dxa"/>
            <w:tcBorders>
              <w:top w:val="nil"/>
              <w:left w:val="nil"/>
              <w:bottom w:val="single" w:sz="4" w:space="0" w:color="auto"/>
              <w:right w:val="single" w:sz="4" w:space="0" w:color="auto"/>
            </w:tcBorders>
            <w:shd w:val="clear" w:color="auto" w:fill="C2D69B" w:themeFill="accent3" w:themeFillTint="99"/>
            <w:vAlign w:val="center"/>
            <w:hideMark/>
          </w:tcPr>
          <w:p w14:paraId="31BA7754" w14:textId="77777777" w:rsidR="006A793B" w:rsidRPr="00E21C60" w:rsidRDefault="006A793B" w:rsidP="00C00281">
            <w:pPr>
              <w:jc w:val="center"/>
              <w:rPr>
                <w:rFonts w:ascii="Arial" w:hAnsi="Arial" w:cs="Arial"/>
                <w:b/>
                <w:bCs/>
                <w:color w:val="000000"/>
                <w:sz w:val="16"/>
                <w:szCs w:val="16"/>
              </w:rPr>
            </w:pPr>
            <w:r w:rsidRPr="00E21C60">
              <w:rPr>
                <w:rFonts w:ascii="Arial" w:hAnsi="Arial" w:cs="Arial"/>
                <w:b/>
                <w:bCs/>
                <w:color w:val="000000"/>
                <w:sz w:val="16"/>
                <w:szCs w:val="16"/>
              </w:rPr>
              <w:t>€</w:t>
            </w:r>
          </w:p>
        </w:tc>
        <w:tc>
          <w:tcPr>
            <w:tcW w:w="2260" w:type="dxa"/>
            <w:tcBorders>
              <w:top w:val="nil"/>
              <w:left w:val="nil"/>
              <w:bottom w:val="single" w:sz="4" w:space="0" w:color="auto"/>
              <w:right w:val="single" w:sz="4" w:space="0" w:color="auto"/>
            </w:tcBorders>
            <w:shd w:val="clear" w:color="auto" w:fill="C2D69B" w:themeFill="accent3" w:themeFillTint="99"/>
            <w:vAlign w:val="center"/>
            <w:hideMark/>
          </w:tcPr>
          <w:p w14:paraId="598091BA" w14:textId="77777777" w:rsidR="006A793B" w:rsidRPr="00E21C60" w:rsidRDefault="006A793B" w:rsidP="00C00281">
            <w:pPr>
              <w:jc w:val="center"/>
              <w:rPr>
                <w:rFonts w:ascii="Arial" w:hAnsi="Arial" w:cs="Arial"/>
                <w:b/>
                <w:bCs/>
                <w:color w:val="000000"/>
                <w:sz w:val="16"/>
                <w:szCs w:val="16"/>
              </w:rPr>
            </w:pPr>
            <w:r w:rsidRPr="00E21C60">
              <w:rPr>
                <w:rFonts w:ascii="Arial" w:hAnsi="Arial" w:cs="Arial"/>
                <w:b/>
                <w:bCs/>
                <w:color w:val="000000"/>
                <w:sz w:val="16"/>
                <w:szCs w:val="16"/>
              </w:rPr>
              <w:t>podiel z čerpania v rámci prioritnej osi</w:t>
            </w:r>
          </w:p>
        </w:tc>
      </w:tr>
      <w:tr w:rsidR="00C00281" w:rsidRPr="00E21C60" w14:paraId="112BFF50" w14:textId="77777777" w:rsidTr="00C00281">
        <w:trPr>
          <w:trHeight w:val="227"/>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6830CFB7" w14:textId="77777777" w:rsidR="00C00281" w:rsidRPr="002526CC" w:rsidRDefault="00C00281" w:rsidP="00C00281">
            <w:pPr>
              <w:jc w:val="center"/>
              <w:rPr>
                <w:rFonts w:ascii="Arial" w:hAnsi="Arial" w:cs="Arial"/>
                <w:color w:val="000000"/>
                <w:sz w:val="16"/>
                <w:szCs w:val="16"/>
              </w:rPr>
            </w:pPr>
            <w:r w:rsidRPr="002526CC">
              <w:rPr>
                <w:rFonts w:ascii="Arial" w:hAnsi="Arial" w:cs="Arial"/>
                <w:color w:val="000000"/>
                <w:sz w:val="16"/>
                <w:szCs w:val="16"/>
              </w:rPr>
              <w:t>Prioritná os 1</w:t>
            </w:r>
          </w:p>
        </w:tc>
        <w:tc>
          <w:tcPr>
            <w:tcW w:w="2900" w:type="dxa"/>
            <w:tcBorders>
              <w:top w:val="nil"/>
              <w:left w:val="nil"/>
              <w:bottom w:val="single" w:sz="4" w:space="0" w:color="auto"/>
              <w:right w:val="single" w:sz="4" w:space="0" w:color="auto"/>
            </w:tcBorders>
            <w:shd w:val="clear" w:color="auto" w:fill="auto"/>
            <w:vAlign w:val="center"/>
            <w:hideMark/>
          </w:tcPr>
          <w:p w14:paraId="339D8708" w14:textId="1429AAA5" w:rsidR="00C00281" w:rsidRPr="00757D7A" w:rsidRDefault="00C00281" w:rsidP="00C00281">
            <w:pPr>
              <w:jc w:val="center"/>
              <w:rPr>
                <w:rFonts w:ascii="Arial" w:hAnsi="Arial" w:cs="Arial"/>
                <w:bCs/>
                <w:color w:val="000000"/>
                <w:sz w:val="16"/>
                <w:szCs w:val="16"/>
              </w:rPr>
            </w:pPr>
            <w:r w:rsidRPr="00AB3787">
              <w:rPr>
                <w:rFonts w:ascii="Arial" w:hAnsi="Arial" w:cs="Arial"/>
                <w:bCs/>
                <w:color w:val="000000"/>
                <w:sz w:val="16"/>
                <w:szCs w:val="16"/>
              </w:rPr>
              <w:t>1 062 956 430</w:t>
            </w:r>
          </w:p>
        </w:tc>
        <w:tc>
          <w:tcPr>
            <w:tcW w:w="2260" w:type="dxa"/>
            <w:tcBorders>
              <w:top w:val="nil"/>
              <w:left w:val="nil"/>
              <w:bottom w:val="single" w:sz="4" w:space="0" w:color="auto"/>
              <w:right w:val="single" w:sz="4" w:space="0" w:color="auto"/>
            </w:tcBorders>
            <w:shd w:val="clear" w:color="auto" w:fill="auto"/>
            <w:vAlign w:val="center"/>
            <w:hideMark/>
          </w:tcPr>
          <w:p w14:paraId="3D5218CB" w14:textId="1D842561"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1 038 135 847</w:t>
            </w:r>
          </w:p>
        </w:tc>
        <w:tc>
          <w:tcPr>
            <w:tcW w:w="2260" w:type="dxa"/>
            <w:tcBorders>
              <w:top w:val="nil"/>
              <w:left w:val="nil"/>
              <w:bottom w:val="single" w:sz="4" w:space="0" w:color="auto"/>
              <w:right w:val="single" w:sz="4" w:space="0" w:color="auto"/>
            </w:tcBorders>
            <w:shd w:val="clear" w:color="auto" w:fill="auto"/>
            <w:vAlign w:val="center"/>
            <w:hideMark/>
          </w:tcPr>
          <w:p w14:paraId="118E0A40" w14:textId="37FDDCA5"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97,66%</w:t>
            </w:r>
          </w:p>
        </w:tc>
      </w:tr>
      <w:tr w:rsidR="00C00281" w:rsidRPr="00E21C60" w14:paraId="485B85FF" w14:textId="77777777" w:rsidTr="00C00281">
        <w:trPr>
          <w:trHeight w:val="227"/>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5FEE4D2B" w14:textId="77777777" w:rsidR="00C00281" w:rsidRPr="002526CC" w:rsidRDefault="00C00281" w:rsidP="00C00281">
            <w:pPr>
              <w:jc w:val="center"/>
              <w:rPr>
                <w:rFonts w:ascii="Arial" w:hAnsi="Arial" w:cs="Arial"/>
                <w:color w:val="000000"/>
                <w:sz w:val="16"/>
                <w:szCs w:val="16"/>
              </w:rPr>
            </w:pPr>
            <w:r w:rsidRPr="002526CC">
              <w:rPr>
                <w:rFonts w:ascii="Arial" w:hAnsi="Arial" w:cs="Arial"/>
                <w:color w:val="000000"/>
                <w:sz w:val="16"/>
                <w:szCs w:val="16"/>
              </w:rPr>
              <w:t>Prioritná os 2</w:t>
            </w:r>
          </w:p>
        </w:tc>
        <w:tc>
          <w:tcPr>
            <w:tcW w:w="2900" w:type="dxa"/>
            <w:tcBorders>
              <w:top w:val="nil"/>
              <w:left w:val="nil"/>
              <w:bottom w:val="single" w:sz="4" w:space="0" w:color="auto"/>
              <w:right w:val="single" w:sz="4" w:space="0" w:color="auto"/>
            </w:tcBorders>
            <w:shd w:val="clear" w:color="auto" w:fill="auto"/>
            <w:vAlign w:val="center"/>
            <w:hideMark/>
          </w:tcPr>
          <w:p w14:paraId="541351CC" w14:textId="719ABEDF" w:rsidR="00C00281" w:rsidRPr="00757D7A" w:rsidRDefault="00C00281" w:rsidP="00C00281">
            <w:pPr>
              <w:jc w:val="center"/>
              <w:rPr>
                <w:rFonts w:ascii="Arial" w:hAnsi="Arial" w:cs="Arial"/>
                <w:bCs/>
                <w:color w:val="000000"/>
                <w:sz w:val="16"/>
                <w:szCs w:val="16"/>
              </w:rPr>
            </w:pPr>
            <w:r w:rsidRPr="00AB3787">
              <w:rPr>
                <w:rFonts w:ascii="Arial" w:hAnsi="Arial" w:cs="Arial"/>
                <w:bCs/>
                <w:color w:val="000000"/>
                <w:sz w:val="16"/>
                <w:szCs w:val="16"/>
              </w:rPr>
              <w:t>306 788 353</w:t>
            </w:r>
          </w:p>
        </w:tc>
        <w:tc>
          <w:tcPr>
            <w:tcW w:w="2260" w:type="dxa"/>
            <w:tcBorders>
              <w:top w:val="nil"/>
              <w:left w:val="nil"/>
              <w:bottom w:val="single" w:sz="4" w:space="0" w:color="auto"/>
              <w:right w:val="single" w:sz="4" w:space="0" w:color="auto"/>
            </w:tcBorders>
            <w:shd w:val="clear" w:color="auto" w:fill="auto"/>
            <w:vAlign w:val="center"/>
            <w:hideMark/>
          </w:tcPr>
          <w:p w14:paraId="0435DD86" w14:textId="58995989"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302 790 418</w:t>
            </w:r>
          </w:p>
        </w:tc>
        <w:tc>
          <w:tcPr>
            <w:tcW w:w="2260" w:type="dxa"/>
            <w:tcBorders>
              <w:top w:val="nil"/>
              <w:left w:val="nil"/>
              <w:bottom w:val="single" w:sz="4" w:space="0" w:color="auto"/>
              <w:right w:val="single" w:sz="4" w:space="0" w:color="auto"/>
            </w:tcBorders>
            <w:shd w:val="clear" w:color="auto" w:fill="auto"/>
            <w:vAlign w:val="center"/>
            <w:hideMark/>
          </w:tcPr>
          <w:p w14:paraId="21800C10" w14:textId="0F784351"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98,70%</w:t>
            </w:r>
          </w:p>
        </w:tc>
      </w:tr>
      <w:tr w:rsidR="00C00281" w:rsidRPr="00E21C60" w14:paraId="178A2AA7" w14:textId="77777777" w:rsidTr="00C00281">
        <w:trPr>
          <w:trHeight w:val="227"/>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A306CB6" w14:textId="77777777" w:rsidR="00C00281" w:rsidRPr="002526CC" w:rsidRDefault="00C00281" w:rsidP="00C00281">
            <w:pPr>
              <w:jc w:val="center"/>
              <w:rPr>
                <w:rFonts w:ascii="Arial" w:hAnsi="Arial" w:cs="Arial"/>
                <w:color w:val="000000"/>
                <w:sz w:val="16"/>
                <w:szCs w:val="16"/>
              </w:rPr>
            </w:pPr>
            <w:r w:rsidRPr="002526CC">
              <w:rPr>
                <w:rFonts w:ascii="Arial" w:hAnsi="Arial" w:cs="Arial"/>
                <w:color w:val="000000"/>
                <w:sz w:val="16"/>
                <w:szCs w:val="16"/>
              </w:rPr>
              <w:t>Prioritná os 3</w:t>
            </w:r>
          </w:p>
        </w:tc>
        <w:tc>
          <w:tcPr>
            <w:tcW w:w="2900" w:type="dxa"/>
            <w:tcBorders>
              <w:top w:val="nil"/>
              <w:left w:val="nil"/>
              <w:bottom w:val="single" w:sz="4" w:space="0" w:color="auto"/>
              <w:right w:val="single" w:sz="4" w:space="0" w:color="auto"/>
            </w:tcBorders>
            <w:shd w:val="clear" w:color="auto" w:fill="auto"/>
            <w:vAlign w:val="center"/>
            <w:hideMark/>
          </w:tcPr>
          <w:p w14:paraId="2EC78398" w14:textId="0E0CC599" w:rsidR="00C00281" w:rsidRPr="00757D7A" w:rsidRDefault="00C00281" w:rsidP="00C00281">
            <w:pPr>
              <w:jc w:val="center"/>
              <w:rPr>
                <w:rFonts w:ascii="Arial" w:hAnsi="Arial" w:cs="Arial"/>
                <w:bCs/>
                <w:color w:val="000000"/>
                <w:sz w:val="16"/>
                <w:szCs w:val="16"/>
              </w:rPr>
            </w:pPr>
            <w:r w:rsidRPr="00AB3787">
              <w:rPr>
                <w:rFonts w:ascii="Arial" w:hAnsi="Arial" w:cs="Arial"/>
                <w:bCs/>
                <w:color w:val="000000"/>
                <w:sz w:val="16"/>
                <w:szCs w:val="16"/>
              </w:rPr>
              <w:t>211 764 706</w:t>
            </w:r>
          </w:p>
        </w:tc>
        <w:tc>
          <w:tcPr>
            <w:tcW w:w="2260" w:type="dxa"/>
            <w:tcBorders>
              <w:top w:val="nil"/>
              <w:left w:val="nil"/>
              <w:bottom w:val="single" w:sz="4" w:space="0" w:color="auto"/>
              <w:right w:val="single" w:sz="4" w:space="0" w:color="auto"/>
            </w:tcBorders>
            <w:shd w:val="clear" w:color="auto" w:fill="auto"/>
            <w:vAlign w:val="center"/>
            <w:hideMark/>
          </w:tcPr>
          <w:p w14:paraId="37103343" w14:textId="1B05367B"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215 848 893</w:t>
            </w:r>
          </w:p>
        </w:tc>
        <w:tc>
          <w:tcPr>
            <w:tcW w:w="2260" w:type="dxa"/>
            <w:tcBorders>
              <w:top w:val="nil"/>
              <w:left w:val="nil"/>
              <w:bottom w:val="single" w:sz="4" w:space="0" w:color="auto"/>
              <w:right w:val="single" w:sz="4" w:space="0" w:color="auto"/>
            </w:tcBorders>
            <w:shd w:val="clear" w:color="auto" w:fill="auto"/>
            <w:vAlign w:val="center"/>
            <w:hideMark/>
          </w:tcPr>
          <w:p w14:paraId="038B7167" w14:textId="104CB80A"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101,93%</w:t>
            </w:r>
          </w:p>
        </w:tc>
      </w:tr>
      <w:tr w:rsidR="00C00281" w:rsidRPr="00E21C60" w14:paraId="0A262C90" w14:textId="77777777" w:rsidTr="00C00281">
        <w:trPr>
          <w:trHeight w:val="227"/>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A92FEEB" w14:textId="77777777" w:rsidR="00C00281" w:rsidRPr="002526CC" w:rsidRDefault="00C00281" w:rsidP="00C00281">
            <w:pPr>
              <w:jc w:val="center"/>
              <w:rPr>
                <w:rFonts w:ascii="Arial" w:hAnsi="Arial" w:cs="Arial"/>
                <w:color w:val="000000"/>
                <w:sz w:val="16"/>
                <w:szCs w:val="16"/>
              </w:rPr>
            </w:pPr>
            <w:r w:rsidRPr="002526CC">
              <w:rPr>
                <w:rFonts w:ascii="Arial" w:hAnsi="Arial" w:cs="Arial"/>
                <w:color w:val="000000"/>
                <w:sz w:val="16"/>
                <w:szCs w:val="16"/>
              </w:rPr>
              <w:t>Prioritná os 4</w:t>
            </w:r>
          </w:p>
        </w:tc>
        <w:tc>
          <w:tcPr>
            <w:tcW w:w="2900" w:type="dxa"/>
            <w:tcBorders>
              <w:top w:val="nil"/>
              <w:left w:val="nil"/>
              <w:bottom w:val="single" w:sz="4" w:space="0" w:color="auto"/>
              <w:right w:val="single" w:sz="4" w:space="0" w:color="auto"/>
            </w:tcBorders>
            <w:shd w:val="clear" w:color="auto" w:fill="auto"/>
            <w:vAlign w:val="center"/>
            <w:hideMark/>
          </w:tcPr>
          <w:p w14:paraId="644A4454" w14:textId="3207D37E" w:rsidR="00C00281" w:rsidRPr="00757D7A" w:rsidRDefault="00C00281" w:rsidP="00C00281">
            <w:pPr>
              <w:jc w:val="center"/>
              <w:rPr>
                <w:rFonts w:ascii="Arial" w:hAnsi="Arial" w:cs="Arial"/>
                <w:bCs/>
                <w:color w:val="000000"/>
                <w:sz w:val="16"/>
                <w:szCs w:val="16"/>
              </w:rPr>
            </w:pPr>
            <w:r w:rsidRPr="00AB3787">
              <w:rPr>
                <w:rFonts w:ascii="Arial" w:hAnsi="Arial" w:cs="Arial"/>
                <w:bCs/>
                <w:color w:val="000000"/>
                <w:sz w:val="16"/>
                <w:szCs w:val="16"/>
              </w:rPr>
              <w:t>419 247 059</w:t>
            </w:r>
          </w:p>
        </w:tc>
        <w:tc>
          <w:tcPr>
            <w:tcW w:w="2260" w:type="dxa"/>
            <w:tcBorders>
              <w:top w:val="nil"/>
              <w:left w:val="nil"/>
              <w:bottom w:val="single" w:sz="4" w:space="0" w:color="auto"/>
              <w:right w:val="single" w:sz="4" w:space="0" w:color="auto"/>
            </w:tcBorders>
            <w:shd w:val="clear" w:color="auto" w:fill="auto"/>
            <w:vAlign w:val="center"/>
            <w:hideMark/>
          </w:tcPr>
          <w:p w14:paraId="102C24E2" w14:textId="71495533"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412 684 59</w:t>
            </w:r>
            <w:r w:rsidR="002677D4">
              <w:rPr>
                <w:rFonts w:ascii="Arial" w:hAnsi="Arial" w:cs="Arial"/>
                <w:bCs/>
                <w:color w:val="000000"/>
                <w:sz w:val="16"/>
                <w:szCs w:val="16"/>
              </w:rPr>
              <w:t>3</w:t>
            </w:r>
          </w:p>
        </w:tc>
        <w:tc>
          <w:tcPr>
            <w:tcW w:w="2260" w:type="dxa"/>
            <w:tcBorders>
              <w:top w:val="nil"/>
              <w:left w:val="nil"/>
              <w:bottom w:val="single" w:sz="4" w:space="0" w:color="auto"/>
              <w:right w:val="single" w:sz="4" w:space="0" w:color="auto"/>
            </w:tcBorders>
            <w:shd w:val="clear" w:color="auto" w:fill="auto"/>
            <w:vAlign w:val="center"/>
            <w:hideMark/>
          </w:tcPr>
          <w:p w14:paraId="088FA7D4" w14:textId="443EB311"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98,43%</w:t>
            </w:r>
          </w:p>
        </w:tc>
      </w:tr>
      <w:tr w:rsidR="00C00281" w:rsidRPr="00E21C60" w14:paraId="7741CC1C" w14:textId="77777777" w:rsidTr="00C00281">
        <w:trPr>
          <w:trHeight w:val="227"/>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5883ACB" w14:textId="77777777" w:rsidR="00C00281" w:rsidRPr="002526CC" w:rsidRDefault="00C00281" w:rsidP="00C00281">
            <w:pPr>
              <w:jc w:val="center"/>
              <w:rPr>
                <w:rFonts w:ascii="Arial" w:hAnsi="Arial" w:cs="Arial"/>
                <w:color w:val="000000"/>
                <w:sz w:val="16"/>
                <w:szCs w:val="16"/>
              </w:rPr>
            </w:pPr>
            <w:r w:rsidRPr="002526CC">
              <w:rPr>
                <w:rFonts w:ascii="Arial" w:hAnsi="Arial" w:cs="Arial"/>
                <w:color w:val="000000"/>
                <w:sz w:val="16"/>
                <w:szCs w:val="16"/>
              </w:rPr>
              <w:t>Prioritná os 5</w:t>
            </w:r>
          </w:p>
        </w:tc>
        <w:tc>
          <w:tcPr>
            <w:tcW w:w="2900" w:type="dxa"/>
            <w:tcBorders>
              <w:top w:val="nil"/>
              <w:left w:val="nil"/>
              <w:bottom w:val="single" w:sz="4" w:space="0" w:color="auto"/>
              <w:right w:val="single" w:sz="4" w:space="0" w:color="auto"/>
            </w:tcBorders>
            <w:shd w:val="clear" w:color="auto" w:fill="auto"/>
            <w:vAlign w:val="center"/>
            <w:hideMark/>
          </w:tcPr>
          <w:p w14:paraId="06447D94" w14:textId="255669DC" w:rsidR="00C00281" w:rsidRPr="00757D7A" w:rsidRDefault="00C00281" w:rsidP="00C00281">
            <w:pPr>
              <w:jc w:val="center"/>
              <w:rPr>
                <w:rFonts w:ascii="Arial" w:hAnsi="Arial" w:cs="Arial"/>
                <w:bCs/>
                <w:color w:val="000000"/>
                <w:sz w:val="16"/>
                <w:szCs w:val="16"/>
              </w:rPr>
            </w:pPr>
            <w:r w:rsidRPr="00AB3787">
              <w:rPr>
                <w:rFonts w:ascii="Arial" w:hAnsi="Arial" w:cs="Arial"/>
                <w:bCs/>
                <w:color w:val="000000"/>
                <w:sz w:val="16"/>
                <w:szCs w:val="16"/>
              </w:rPr>
              <w:t>59 714 042</w:t>
            </w:r>
          </w:p>
        </w:tc>
        <w:tc>
          <w:tcPr>
            <w:tcW w:w="2260" w:type="dxa"/>
            <w:tcBorders>
              <w:top w:val="nil"/>
              <w:left w:val="nil"/>
              <w:bottom w:val="single" w:sz="4" w:space="0" w:color="auto"/>
              <w:right w:val="single" w:sz="4" w:space="0" w:color="auto"/>
            </w:tcBorders>
            <w:shd w:val="clear" w:color="auto" w:fill="auto"/>
            <w:vAlign w:val="center"/>
            <w:hideMark/>
          </w:tcPr>
          <w:p w14:paraId="0C9245C0" w14:textId="7F27D8C9"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53 777 08</w:t>
            </w:r>
            <w:r w:rsidR="002677D4">
              <w:rPr>
                <w:rFonts w:ascii="Arial" w:hAnsi="Arial" w:cs="Arial"/>
                <w:bCs/>
                <w:color w:val="000000"/>
                <w:sz w:val="16"/>
                <w:szCs w:val="16"/>
              </w:rPr>
              <w:t>4</w:t>
            </w:r>
          </w:p>
        </w:tc>
        <w:tc>
          <w:tcPr>
            <w:tcW w:w="2260" w:type="dxa"/>
            <w:tcBorders>
              <w:top w:val="nil"/>
              <w:left w:val="nil"/>
              <w:bottom w:val="single" w:sz="4" w:space="0" w:color="auto"/>
              <w:right w:val="single" w:sz="4" w:space="0" w:color="auto"/>
            </w:tcBorders>
            <w:shd w:val="clear" w:color="auto" w:fill="auto"/>
            <w:vAlign w:val="center"/>
            <w:hideMark/>
          </w:tcPr>
          <w:p w14:paraId="628A85F4" w14:textId="247E8BE3"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90,06%</w:t>
            </w:r>
          </w:p>
        </w:tc>
      </w:tr>
      <w:tr w:rsidR="00C00281" w:rsidRPr="00E21C60" w14:paraId="7C2CDF1A" w14:textId="77777777" w:rsidTr="00C00281">
        <w:trPr>
          <w:trHeight w:val="227"/>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324052A5" w14:textId="77777777" w:rsidR="00C00281" w:rsidRPr="002526CC" w:rsidRDefault="00C00281" w:rsidP="00C00281">
            <w:pPr>
              <w:jc w:val="center"/>
              <w:rPr>
                <w:rFonts w:ascii="Arial" w:hAnsi="Arial" w:cs="Arial"/>
                <w:color w:val="000000"/>
                <w:sz w:val="16"/>
                <w:szCs w:val="16"/>
              </w:rPr>
            </w:pPr>
            <w:r w:rsidRPr="002526CC">
              <w:rPr>
                <w:rFonts w:ascii="Arial" w:hAnsi="Arial" w:cs="Arial"/>
                <w:color w:val="000000"/>
                <w:sz w:val="16"/>
                <w:szCs w:val="16"/>
              </w:rPr>
              <w:t>Prioritná os 6</w:t>
            </w:r>
          </w:p>
        </w:tc>
        <w:tc>
          <w:tcPr>
            <w:tcW w:w="2900" w:type="dxa"/>
            <w:tcBorders>
              <w:top w:val="nil"/>
              <w:left w:val="nil"/>
              <w:bottom w:val="single" w:sz="4" w:space="0" w:color="auto"/>
              <w:right w:val="single" w:sz="4" w:space="0" w:color="auto"/>
            </w:tcBorders>
            <w:shd w:val="clear" w:color="auto" w:fill="auto"/>
            <w:vAlign w:val="center"/>
            <w:hideMark/>
          </w:tcPr>
          <w:p w14:paraId="68AF632C" w14:textId="36B49C3E" w:rsidR="00C00281" w:rsidRPr="00757D7A" w:rsidRDefault="00C00281" w:rsidP="00C00281">
            <w:pPr>
              <w:jc w:val="center"/>
              <w:rPr>
                <w:rFonts w:ascii="Arial" w:hAnsi="Arial" w:cs="Arial"/>
                <w:bCs/>
                <w:color w:val="000000"/>
                <w:sz w:val="16"/>
                <w:szCs w:val="16"/>
              </w:rPr>
            </w:pPr>
            <w:r w:rsidRPr="00AB3787">
              <w:rPr>
                <w:rFonts w:ascii="Arial" w:hAnsi="Arial" w:cs="Arial"/>
                <w:bCs/>
                <w:color w:val="000000"/>
                <w:sz w:val="16"/>
                <w:szCs w:val="16"/>
              </w:rPr>
              <w:t>57 176 470</w:t>
            </w:r>
          </w:p>
        </w:tc>
        <w:tc>
          <w:tcPr>
            <w:tcW w:w="2260" w:type="dxa"/>
            <w:tcBorders>
              <w:top w:val="nil"/>
              <w:left w:val="nil"/>
              <w:bottom w:val="single" w:sz="4" w:space="0" w:color="auto"/>
              <w:right w:val="single" w:sz="4" w:space="0" w:color="auto"/>
            </w:tcBorders>
            <w:shd w:val="clear" w:color="auto" w:fill="auto"/>
            <w:vAlign w:val="center"/>
            <w:hideMark/>
          </w:tcPr>
          <w:p w14:paraId="2B7C8A05" w14:textId="49DACEDD"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55 585 865</w:t>
            </w:r>
          </w:p>
        </w:tc>
        <w:tc>
          <w:tcPr>
            <w:tcW w:w="2260" w:type="dxa"/>
            <w:tcBorders>
              <w:top w:val="nil"/>
              <w:left w:val="nil"/>
              <w:bottom w:val="single" w:sz="4" w:space="0" w:color="auto"/>
              <w:right w:val="single" w:sz="4" w:space="0" w:color="auto"/>
            </w:tcBorders>
            <w:shd w:val="clear" w:color="auto" w:fill="auto"/>
            <w:vAlign w:val="center"/>
            <w:hideMark/>
          </w:tcPr>
          <w:p w14:paraId="63C79F08" w14:textId="35CBB083"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97,22%</w:t>
            </w:r>
          </w:p>
        </w:tc>
      </w:tr>
      <w:tr w:rsidR="00C00281" w:rsidRPr="00E21C60" w14:paraId="6B703097" w14:textId="77777777" w:rsidTr="00C00281">
        <w:trPr>
          <w:trHeight w:val="227"/>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6077E98C" w14:textId="77777777" w:rsidR="00C00281" w:rsidRPr="002526CC" w:rsidRDefault="00C00281" w:rsidP="00C00281">
            <w:pPr>
              <w:jc w:val="center"/>
              <w:rPr>
                <w:rFonts w:ascii="Arial" w:hAnsi="Arial" w:cs="Arial"/>
                <w:color w:val="000000"/>
                <w:sz w:val="16"/>
                <w:szCs w:val="16"/>
              </w:rPr>
            </w:pPr>
            <w:r w:rsidRPr="002526CC">
              <w:rPr>
                <w:rFonts w:ascii="Arial" w:hAnsi="Arial" w:cs="Arial"/>
                <w:color w:val="000000"/>
                <w:sz w:val="16"/>
                <w:szCs w:val="16"/>
              </w:rPr>
              <w:t>Prioritná os 7</w:t>
            </w:r>
          </w:p>
        </w:tc>
        <w:tc>
          <w:tcPr>
            <w:tcW w:w="2900" w:type="dxa"/>
            <w:tcBorders>
              <w:top w:val="nil"/>
              <w:left w:val="nil"/>
              <w:bottom w:val="single" w:sz="4" w:space="0" w:color="auto"/>
              <w:right w:val="single" w:sz="4" w:space="0" w:color="auto"/>
            </w:tcBorders>
            <w:shd w:val="clear" w:color="auto" w:fill="auto"/>
            <w:vAlign w:val="center"/>
            <w:hideMark/>
          </w:tcPr>
          <w:p w14:paraId="7347787F" w14:textId="6A3ED40B" w:rsidR="00C00281" w:rsidRPr="00757D7A" w:rsidRDefault="00C00281" w:rsidP="002677D4">
            <w:pPr>
              <w:jc w:val="center"/>
              <w:rPr>
                <w:rFonts w:ascii="Arial" w:hAnsi="Arial" w:cs="Arial"/>
                <w:bCs/>
                <w:color w:val="000000"/>
                <w:sz w:val="16"/>
                <w:szCs w:val="16"/>
              </w:rPr>
            </w:pPr>
            <w:r w:rsidRPr="00AB3787">
              <w:rPr>
                <w:rFonts w:ascii="Arial" w:hAnsi="Arial" w:cs="Arial"/>
                <w:bCs/>
                <w:color w:val="000000"/>
                <w:sz w:val="16"/>
                <w:szCs w:val="16"/>
              </w:rPr>
              <w:t>23 529 412</w:t>
            </w:r>
          </w:p>
        </w:tc>
        <w:tc>
          <w:tcPr>
            <w:tcW w:w="2260" w:type="dxa"/>
            <w:tcBorders>
              <w:top w:val="nil"/>
              <w:left w:val="nil"/>
              <w:bottom w:val="single" w:sz="4" w:space="0" w:color="auto"/>
              <w:right w:val="single" w:sz="4" w:space="0" w:color="auto"/>
            </w:tcBorders>
            <w:shd w:val="clear" w:color="auto" w:fill="auto"/>
            <w:vAlign w:val="center"/>
            <w:hideMark/>
          </w:tcPr>
          <w:p w14:paraId="17E69BC5" w14:textId="07598915"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19 728 985</w:t>
            </w:r>
          </w:p>
        </w:tc>
        <w:tc>
          <w:tcPr>
            <w:tcW w:w="2260" w:type="dxa"/>
            <w:tcBorders>
              <w:top w:val="nil"/>
              <w:left w:val="nil"/>
              <w:bottom w:val="single" w:sz="4" w:space="0" w:color="auto"/>
              <w:right w:val="single" w:sz="4" w:space="0" w:color="auto"/>
            </w:tcBorders>
            <w:shd w:val="clear" w:color="auto" w:fill="auto"/>
            <w:vAlign w:val="center"/>
            <w:hideMark/>
          </w:tcPr>
          <w:p w14:paraId="04F2A352" w14:textId="36D82352" w:rsidR="00C00281" w:rsidRPr="00757D7A" w:rsidRDefault="00C00281" w:rsidP="00C00281">
            <w:pPr>
              <w:jc w:val="center"/>
              <w:rPr>
                <w:rFonts w:ascii="Arial" w:hAnsi="Arial" w:cs="Arial"/>
                <w:bCs/>
                <w:color w:val="000000"/>
                <w:sz w:val="16"/>
                <w:szCs w:val="16"/>
              </w:rPr>
            </w:pPr>
            <w:r w:rsidRPr="00C00281">
              <w:rPr>
                <w:rFonts w:ascii="Arial" w:hAnsi="Arial" w:cs="Arial"/>
                <w:bCs/>
                <w:color w:val="000000"/>
                <w:sz w:val="16"/>
                <w:szCs w:val="16"/>
              </w:rPr>
              <w:t>83,85%</w:t>
            </w:r>
          </w:p>
        </w:tc>
      </w:tr>
      <w:tr w:rsidR="00C00281" w:rsidRPr="00E21C60" w14:paraId="2C8FC9BF" w14:textId="77777777" w:rsidTr="00C00281">
        <w:trPr>
          <w:trHeight w:val="227"/>
        </w:trPr>
        <w:tc>
          <w:tcPr>
            <w:tcW w:w="1660" w:type="dxa"/>
            <w:tcBorders>
              <w:top w:val="nil"/>
              <w:left w:val="single" w:sz="4" w:space="0" w:color="auto"/>
              <w:bottom w:val="single" w:sz="4" w:space="0" w:color="auto"/>
              <w:right w:val="single" w:sz="4" w:space="0" w:color="auto"/>
            </w:tcBorders>
            <w:shd w:val="clear" w:color="000000" w:fill="EBF1DE"/>
            <w:noWrap/>
            <w:vAlign w:val="center"/>
            <w:hideMark/>
          </w:tcPr>
          <w:p w14:paraId="4A050CB6" w14:textId="77777777" w:rsidR="00C00281" w:rsidRPr="002526CC" w:rsidRDefault="00C00281" w:rsidP="00C00281">
            <w:pPr>
              <w:jc w:val="center"/>
              <w:rPr>
                <w:rFonts w:ascii="Arial" w:hAnsi="Arial" w:cs="Arial"/>
                <w:b/>
                <w:bCs/>
                <w:color w:val="000000"/>
                <w:sz w:val="16"/>
                <w:szCs w:val="16"/>
              </w:rPr>
            </w:pPr>
            <w:r w:rsidRPr="002526CC">
              <w:rPr>
                <w:rFonts w:ascii="Arial" w:hAnsi="Arial" w:cs="Arial"/>
                <w:b/>
                <w:bCs/>
                <w:color w:val="000000"/>
                <w:sz w:val="16"/>
                <w:szCs w:val="16"/>
              </w:rPr>
              <w:t>Celkom</w:t>
            </w:r>
          </w:p>
        </w:tc>
        <w:tc>
          <w:tcPr>
            <w:tcW w:w="2900" w:type="dxa"/>
            <w:tcBorders>
              <w:top w:val="nil"/>
              <w:left w:val="nil"/>
              <w:bottom w:val="single" w:sz="4" w:space="0" w:color="auto"/>
              <w:right w:val="single" w:sz="4" w:space="0" w:color="auto"/>
            </w:tcBorders>
            <w:shd w:val="clear" w:color="000000" w:fill="EBF1DE"/>
            <w:noWrap/>
            <w:vAlign w:val="center"/>
            <w:hideMark/>
          </w:tcPr>
          <w:p w14:paraId="3EC585B3" w14:textId="30C13B4B" w:rsidR="00C00281" w:rsidRPr="00E21C60" w:rsidRDefault="00C00281" w:rsidP="00C00281">
            <w:pPr>
              <w:jc w:val="center"/>
              <w:rPr>
                <w:rFonts w:ascii="Arial" w:hAnsi="Arial" w:cs="Arial"/>
                <w:b/>
                <w:bCs/>
                <w:color w:val="000000"/>
                <w:sz w:val="16"/>
                <w:szCs w:val="16"/>
              </w:rPr>
            </w:pPr>
            <w:r>
              <w:rPr>
                <w:rFonts w:ascii="Arial" w:hAnsi="Arial" w:cs="Arial"/>
                <w:b/>
                <w:bCs/>
                <w:color w:val="000000"/>
                <w:sz w:val="16"/>
                <w:szCs w:val="16"/>
              </w:rPr>
              <w:t>2 141 176 472</w:t>
            </w:r>
          </w:p>
        </w:tc>
        <w:tc>
          <w:tcPr>
            <w:tcW w:w="2260" w:type="dxa"/>
            <w:tcBorders>
              <w:top w:val="nil"/>
              <w:left w:val="nil"/>
              <w:bottom w:val="single" w:sz="4" w:space="0" w:color="auto"/>
              <w:right w:val="single" w:sz="4" w:space="0" w:color="auto"/>
            </w:tcBorders>
            <w:shd w:val="clear" w:color="000000" w:fill="EBF1DE"/>
            <w:noWrap/>
            <w:vAlign w:val="center"/>
            <w:hideMark/>
          </w:tcPr>
          <w:p w14:paraId="3AA6E6DD" w14:textId="10ECB15D" w:rsidR="00C00281" w:rsidRPr="00C00281" w:rsidRDefault="00C00281" w:rsidP="00C00281">
            <w:pPr>
              <w:jc w:val="center"/>
              <w:rPr>
                <w:rFonts w:ascii="Arial" w:hAnsi="Arial" w:cs="Arial"/>
                <w:b/>
                <w:bCs/>
                <w:color w:val="000000"/>
                <w:sz w:val="16"/>
                <w:szCs w:val="16"/>
              </w:rPr>
            </w:pPr>
            <w:r w:rsidRPr="00C00281">
              <w:rPr>
                <w:rFonts w:ascii="Arial" w:hAnsi="Arial" w:cs="Arial"/>
                <w:b/>
                <w:bCs/>
                <w:color w:val="000000"/>
                <w:sz w:val="16"/>
                <w:szCs w:val="16"/>
              </w:rPr>
              <w:t>2 098 551 685</w:t>
            </w:r>
          </w:p>
        </w:tc>
        <w:tc>
          <w:tcPr>
            <w:tcW w:w="2260" w:type="dxa"/>
            <w:tcBorders>
              <w:top w:val="nil"/>
              <w:left w:val="nil"/>
              <w:bottom w:val="single" w:sz="4" w:space="0" w:color="auto"/>
              <w:right w:val="single" w:sz="4" w:space="0" w:color="auto"/>
            </w:tcBorders>
            <w:shd w:val="clear" w:color="000000" w:fill="EBF1DE"/>
            <w:vAlign w:val="center"/>
            <w:hideMark/>
          </w:tcPr>
          <w:p w14:paraId="2FF38706" w14:textId="6E78D358" w:rsidR="00C00281" w:rsidRPr="00C00281" w:rsidRDefault="00C00281" w:rsidP="00C00281">
            <w:pPr>
              <w:jc w:val="center"/>
              <w:rPr>
                <w:rFonts w:ascii="Arial" w:hAnsi="Arial" w:cs="Arial"/>
                <w:b/>
                <w:bCs/>
                <w:color w:val="000000"/>
                <w:sz w:val="16"/>
                <w:szCs w:val="16"/>
              </w:rPr>
            </w:pPr>
            <w:r w:rsidRPr="00C00281">
              <w:rPr>
                <w:rFonts w:ascii="Arial" w:hAnsi="Arial" w:cs="Arial"/>
                <w:b/>
                <w:bCs/>
                <w:color w:val="000000"/>
                <w:sz w:val="16"/>
                <w:szCs w:val="16"/>
              </w:rPr>
              <w:t>98,01%</w:t>
            </w:r>
          </w:p>
        </w:tc>
      </w:tr>
    </w:tbl>
    <w:p w14:paraId="233B72B0" w14:textId="54870A4C" w:rsidR="001C321D" w:rsidRPr="00123376" w:rsidRDefault="001C321D" w:rsidP="00123376">
      <w:pPr>
        <w:ind w:left="1" w:firstLine="2"/>
        <w:jc w:val="both"/>
        <w:rPr>
          <w:rFonts w:ascii="Arial" w:hAnsi="Arial" w:cs="Arial"/>
          <w:sz w:val="16"/>
          <w:szCs w:val="16"/>
        </w:rPr>
      </w:pPr>
      <w:r w:rsidRPr="00123376">
        <w:rPr>
          <w:rFonts w:ascii="Arial" w:hAnsi="Arial" w:cs="Arial"/>
          <w:sz w:val="16"/>
          <w:szCs w:val="16"/>
        </w:rPr>
        <w:t>Zdroj: RO</w:t>
      </w:r>
    </w:p>
    <w:p w14:paraId="2BC21E74" w14:textId="77777777" w:rsidR="00A4517B" w:rsidRDefault="00A4517B" w:rsidP="00877480">
      <w:pPr>
        <w:spacing w:before="120" w:after="120"/>
        <w:jc w:val="both"/>
        <w:rPr>
          <w:rFonts w:ascii="Arial" w:hAnsi="Arial" w:cs="Arial"/>
          <w:sz w:val="20"/>
        </w:rPr>
      </w:pPr>
    </w:p>
    <w:p w14:paraId="5116FF83" w14:textId="77777777" w:rsidR="00A4517B" w:rsidRDefault="00A4517B" w:rsidP="00877480">
      <w:pPr>
        <w:spacing w:before="120" w:after="120"/>
        <w:jc w:val="both"/>
        <w:rPr>
          <w:rFonts w:ascii="Arial" w:hAnsi="Arial" w:cs="Arial"/>
          <w:sz w:val="20"/>
        </w:rPr>
      </w:pPr>
    </w:p>
    <w:p w14:paraId="79527F4C" w14:textId="747AE0F4" w:rsidR="00BE6169" w:rsidRPr="00BE6169" w:rsidRDefault="00BE6169" w:rsidP="00877480">
      <w:pPr>
        <w:spacing w:before="120" w:after="120"/>
        <w:jc w:val="both"/>
        <w:rPr>
          <w:rFonts w:ascii="Arial" w:hAnsi="Arial" w:cs="Arial"/>
          <w:sz w:val="20"/>
          <w:u w:val="single"/>
        </w:rPr>
      </w:pPr>
      <w:r w:rsidRPr="00F77A7A">
        <w:rPr>
          <w:rFonts w:ascii="Arial" w:hAnsi="Arial" w:cs="Arial"/>
          <w:sz w:val="20"/>
        </w:rPr>
        <w:lastRenderedPageBreak/>
        <w:t>Tabuľka</w:t>
      </w:r>
      <w:r>
        <w:rPr>
          <w:rFonts w:ascii="Arial" w:hAnsi="Arial" w:cs="Arial"/>
          <w:sz w:val="20"/>
        </w:rPr>
        <w:t xml:space="preserve"> č.</w:t>
      </w:r>
      <w:r w:rsidR="00682B07">
        <w:rPr>
          <w:rFonts w:ascii="Arial" w:hAnsi="Arial" w:cs="Arial"/>
          <w:sz w:val="20"/>
        </w:rPr>
        <w:t xml:space="preserve"> 6</w:t>
      </w:r>
      <w:r w:rsidRPr="00F77A7A">
        <w:rPr>
          <w:rFonts w:ascii="Arial" w:hAnsi="Arial" w:cs="Arial"/>
          <w:sz w:val="20"/>
        </w:rPr>
        <w:t xml:space="preserve">: Čerpanie finančných prostriedkov v rámci prioritných osí </w:t>
      </w:r>
      <w:r w:rsidRPr="000D6765">
        <w:rPr>
          <w:rFonts w:ascii="Arial" w:hAnsi="Arial" w:cs="Arial"/>
          <w:sz w:val="20"/>
        </w:rPr>
        <w:t>k </w:t>
      </w:r>
      <w:r w:rsidR="000D6765" w:rsidRPr="000D6765">
        <w:rPr>
          <w:rFonts w:ascii="Arial" w:hAnsi="Arial" w:cs="Arial"/>
          <w:sz w:val="20"/>
        </w:rPr>
        <w:t>31</w:t>
      </w:r>
      <w:r w:rsidRPr="000D6765">
        <w:rPr>
          <w:rFonts w:ascii="Arial" w:hAnsi="Arial" w:cs="Arial"/>
          <w:sz w:val="20"/>
        </w:rPr>
        <w:t>.</w:t>
      </w:r>
      <w:r w:rsidR="000D6765" w:rsidRPr="000D6765">
        <w:rPr>
          <w:rFonts w:ascii="Arial" w:hAnsi="Arial" w:cs="Arial"/>
          <w:sz w:val="20"/>
        </w:rPr>
        <w:t>10</w:t>
      </w:r>
      <w:r w:rsidRPr="000D6765">
        <w:rPr>
          <w:rFonts w:ascii="Arial" w:hAnsi="Arial" w:cs="Arial"/>
          <w:sz w:val="20"/>
        </w:rPr>
        <w:t>.2016</w:t>
      </w:r>
      <w:r>
        <w:rPr>
          <w:rFonts w:ascii="Arial" w:hAnsi="Arial" w:cs="Arial"/>
          <w:sz w:val="20"/>
        </w:rPr>
        <w:t xml:space="preserve"> zdroj E</w:t>
      </w:r>
      <w:r w:rsidRPr="00BE6169">
        <w:rPr>
          <w:rFonts w:ascii="Arial" w:hAnsi="Arial" w:cs="Arial"/>
          <w:sz w:val="20"/>
        </w:rPr>
        <w:t>Ú</w:t>
      </w:r>
    </w:p>
    <w:tbl>
      <w:tblPr>
        <w:tblpPr w:leftFromText="141" w:rightFromText="141" w:vertAnchor="text" w:horzAnchor="margin" w:tblpY="110"/>
        <w:tblW w:w="0" w:type="auto"/>
        <w:tblLayout w:type="fixed"/>
        <w:tblCellMar>
          <w:left w:w="70" w:type="dxa"/>
          <w:right w:w="70" w:type="dxa"/>
        </w:tblCellMar>
        <w:tblLook w:val="04A0" w:firstRow="1" w:lastRow="0" w:firstColumn="1" w:lastColumn="0" w:noHBand="0" w:noVBand="1"/>
      </w:tblPr>
      <w:tblGrid>
        <w:gridCol w:w="779"/>
        <w:gridCol w:w="1134"/>
        <w:gridCol w:w="992"/>
        <w:gridCol w:w="993"/>
        <w:gridCol w:w="1134"/>
        <w:gridCol w:w="992"/>
        <w:gridCol w:w="992"/>
        <w:gridCol w:w="992"/>
        <w:gridCol w:w="1202"/>
      </w:tblGrid>
      <w:tr w:rsidR="007E0435" w:rsidRPr="00F77A7A" w14:paraId="5C5B552C" w14:textId="77777777" w:rsidTr="00F87D11">
        <w:trPr>
          <w:trHeight w:val="225"/>
        </w:trPr>
        <w:tc>
          <w:tcPr>
            <w:tcW w:w="779" w:type="dxa"/>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14:paraId="3F3A8CE9" w14:textId="77777777" w:rsidR="00BE6169" w:rsidRPr="00F77A7A" w:rsidRDefault="00BE6169" w:rsidP="00014279">
            <w:pPr>
              <w:jc w:val="center"/>
              <w:rPr>
                <w:rFonts w:ascii="Arial" w:hAnsi="Arial" w:cs="Arial"/>
                <w:b/>
                <w:bCs/>
                <w:color w:val="000000"/>
                <w:sz w:val="16"/>
                <w:szCs w:val="16"/>
              </w:rPr>
            </w:pPr>
            <w:r>
              <w:rPr>
                <w:rFonts w:ascii="Arial" w:hAnsi="Arial" w:cs="Arial"/>
                <w:b/>
                <w:bCs/>
                <w:color w:val="000000"/>
                <w:sz w:val="16"/>
                <w:szCs w:val="16"/>
              </w:rPr>
              <w:t>Roky</w:t>
            </w:r>
          </w:p>
        </w:tc>
        <w:tc>
          <w:tcPr>
            <w:tcW w:w="1134"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443C8A28" w14:textId="77777777" w:rsidR="00BE6169" w:rsidRPr="00F77A7A" w:rsidRDefault="00BE6169" w:rsidP="00014279">
            <w:pPr>
              <w:jc w:val="center"/>
              <w:rPr>
                <w:rFonts w:ascii="Arial" w:hAnsi="Arial" w:cs="Arial"/>
                <w:bCs/>
                <w:color w:val="000000"/>
                <w:sz w:val="16"/>
                <w:szCs w:val="16"/>
              </w:rPr>
            </w:pPr>
            <w:r w:rsidRPr="00F77A7A">
              <w:rPr>
                <w:rFonts w:ascii="Arial" w:hAnsi="Arial" w:cs="Arial"/>
                <w:bCs/>
                <w:color w:val="000000"/>
                <w:sz w:val="16"/>
                <w:szCs w:val="16"/>
              </w:rPr>
              <w:t>Prioritná os č. 1</w:t>
            </w:r>
          </w:p>
        </w:tc>
        <w:tc>
          <w:tcPr>
            <w:tcW w:w="992"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618CED42" w14:textId="77777777" w:rsidR="00BE6169" w:rsidRPr="00F77A7A" w:rsidRDefault="00BE6169" w:rsidP="00014279">
            <w:pPr>
              <w:jc w:val="center"/>
              <w:rPr>
                <w:rFonts w:ascii="Arial" w:hAnsi="Arial" w:cs="Arial"/>
                <w:bCs/>
                <w:color w:val="000000"/>
                <w:sz w:val="16"/>
                <w:szCs w:val="16"/>
              </w:rPr>
            </w:pPr>
            <w:r w:rsidRPr="00F77A7A">
              <w:rPr>
                <w:rFonts w:ascii="Arial" w:hAnsi="Arial" w:cs="Arial"/>
                <w:bCs/>
                <w:color w:val="000000"/>
                <w:sz w:val="16"/>
                <w:szCs w:val="16"/>
              </w:rPr>
              <w:t>Prioritná os č. 2</w:t>
            </w:r>
          </w:p>
        </w:tc>
        <w:tc>
          <w:tcPr>
            <w:tcW w:w="993"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7676D6D0" w14:textId="77777777" w:rsidR="00BE6169" w:rsidRPr="00F77A7A" w:rsidRDefault="00BE6169" w:rsidP="00014279">
            <w:pPr>
              <w:jc w:val="center"/>
              <w:rPr>
                <w:rFonts w:ascii="Arial" w:hAnsi="Arial" w:cs="Arial"/>
                <w:bCs/>
                <w:color w:val="000000"/>
                <w:sz w:val="16"/>
                <w:szCs w:val="16"/>
              </w:rPr>
            </w:pPr>
            <w:r w:rsidRPr="00F77A7A">
              <w:rPr>
                <w:rFonts w:ascii="Arial" w:hAnsi="Arial" w:cs="Arial"/>
                <w:bCs/>
                <w:color w:val="000000"/>
                <w:sz w:val="16"/>
                <w:szCs w:val="16"/>
              </w:rPr>
              <w:t>Prioritná os č. 3</w:t>
            </w:r>
          </w:p>
        </w:tc>
        <w:tc>
          <w:tcPr>
            <w:tcW w:w="1134"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481BE199" w14:textId="77777777" w:rsidR="00BE6169" w:rsidRPr="00F77A7A" w:rsidRDefault="00BE6169" w:rsidP="00014279">
            <w:pPr>
              <w:jc w:val="center"/>
              <w:rPr>
                <w:rFonts w:ascii="Arial" w:hAnsi="Arial" w:cs="Arial"/>
                <w:bCs/>
                <w:color w:val="000000"/>
                <w:sz w:val="16"/>
                <w:szCs w:val="16"/>
              </w:rPr>
            </w:pPr>
            <w:r w:rsidRPr="00F77A7A">
              <w:rPr>
                <w:rFonts w:ascii="Arial" w:hAnsi="Arial" w:cs="Arial"/>
                <w:bCs/>
                <w:color w:val="000000"/>
                <w:sz w:val="16"/>
                <w:szCs w:val="16"/>
              </w:rPr>
              <w:t>Prioritná os č. 4</w:t>
            </w:r>
          </w:p>
        </w:tc>
        <w:tc>
          <w:tcPr>
            <w:tcW w:w="992"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70AA841E" w14:textId="77777777" w:rsidR="00BE6169" w:rsidRPr="00F77A7A" w:rsidRDefault="00BE6169" w:rsidP="00014279">
            <w:pPr>
              <w:jc w:val="center"/>
              <w:rPr>
                <w:rFonts w:ascii="Arial" w:hAnsi="Arial" w:cs="Arial"/>
                <w:bCs/>
                <w:color w:val="000000"/>
                <w:sz w:val="16"/>
                <w:szCs w:val="16"/>
              </w:rPr>
            </w:pPr>
            <w:r w:rsidRPr="00F77A7A">
              <w:rPr>
                <w:rFonts w:ascii="Arial" w:hAnsi="Arial" w:cs="Arial"/>
                <w:bCs/>
                <w:color w:val="000000"/>
                <w:sz w:val="16"/>
                <w:szCs w:val="16"/>
              </w:rPr>
              <w:t>Prioritná os č. 5</w:t>
            </w:r>
          </w:p>
        </w:tc>
        <w:tc>
          <w:tcPr>
            <w:tcW w:w="992"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589B756C" w14:textId="77777777" w:rsidR="00BE6169" w:rsidRPr="00F77A7A" w:rsidRDefault="00BE6169" w:rsidP="00014279">
            <w:pPr>
              <w:jc w:val="center"/>
              <w:rPr>
                <w:rFonts w:ascii="Arial" w:hAnsi="Arial" w:cs="Arial"/>
                <w:bCs/>
                <w:color w:val="000000"/>
                <w:sz w:val="16"/>
                <w:szCs w:val="16"/>
              </w:rPr>
            </w:pPr>
            <w:r w:rsidRPr="00F77A7A">
              <w:rPr>
                <w:rFonts w:ascii="Arial" w:hAnsi="Arial" w:cs="Arial"/>
                <w:bCs/>
                <w:color w:val="000000"/>
                <w:sz w:val="16"/>
                <w:szCs w:val="16"/>
              </w:rPr>
              <w:t>Prioritná os č. 6</w:t>
            </w:r>
          </w:p>
        </w:tc>
        <w:tc>
          <w:tcPr>
            <w:tcW w:w="992"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5EF49A42" w14:textId="77777777" w:rsidR="00BE6169" w:rsidRPr="00F77A7A" w:rsidRDefault="00BE6169" w:rsidP="00014279">
            <w:pPr>
              <w:jc w:val="center"/>
              <w:rPr>
                <w:rFonts w:ascii="Arial" w:hAnsi="Arial" w:cs="Arial"/>
                <w:bCs/>
                <w:color w:val="000000"/>
                <w:sz w:val="16"/>
                <w:szCs w:val="16"/>
              </w:rPr>
            </w:pPr>
            <w:r w:rsidRPr="00F77A7A">
              <w:rPr>
                <w:rFonts w:ascii="Arial" w:hAnsi="Arial" w:cs="Arial"/>
                <w:bCs/>
                <w:color w:val="000000"/>
                <w:sz w:val="16"/>
                <w:szCs w:val="16"/>
              </w:rPr>
              <w:t>Prioritná os č. 7</w:t>
            </w:r>
          </w:p>
        </w:tc>
        <w:tc>
          <w:tcPr>
            <w:tcW w:w="1202"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68CEB0A3" w14:textId="77777777" w:rsidR="00BE6169" w:rsidRPr="00F77A7A" w:rsidRDefault="00BE6169" w:rsidP="00014279">
            <w:pPr>
              <w:jc w:val="center"/>
              <w:rPr>
                <w:rFonts w:ascii="Arial" w:hAnsi="Arial" w:cs="Arial"/>
                <w:b/>
                <w:bCs/>
                <w:color w:val="000000"/>
                <w:sz w:val="16"/>
                <w:szCs w:val="16"/>
              </w:rPr>
            </w:pPr>
            <w:r w:rsidRPr="00F77A7A">
              <w:rPr>
                <w:rFonts w:ascii="Arial" w:hAnsi="Arial" w:cs="Arial"/>
                <w:b/>
                <w:bCs/>
                <w:color w:val="000000"/>
                <w:sz w:val="16"/>
                <w:szCs w:val="16"/>
              </w:rPr>
              <w:t>Spolu</w:t>
            </w:r>
          </w:p>
        </w:tc>
      </w:tr>
      <w:tr w:rsidR="007E0435" w:rsidRPr="00F77A7A" w14:paraId="1440EE0D" w14:textId="77777777" w:rsidTr="00F87D11">
        <w:trPr>
          <w:trHeight w:val="316"/>
        </w:trPr>
        <w:tc>
          <w:tcPr>
            <w:tcW w:w="779" w:type="dxa"/>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36DF71C5" w14:textId="77777777" w:rsidR="00447FED" w:rsidRPr="00F77A7A" w:rsidRDefault="00447FED" w:rsidP="00014279">
            <w:pPr>
              <w:jc w:val="center"/>
              <w:rPr>
                <w:rFonts w:ascii="Arial" w:hAnsi="Arial" w:cs="Arial"/>
                <w:b/>
                <w:bCs/>
                <w:color w:val="000000"/>
                <w:sz w:val="16"/>
                <w:szCs w:val="16"/>
              </w:rPr>
            </w:pPr>
            <w:r w:rsidRPr="00F77A7A">
              <w:rPr>
                <w:rFonts w:ascii="Arial" w:hAnsi="Arial" w:cs="Arial"/>
                <w:b/>
                <w:bCs/>
                <w:color w:val="000000"/>
                <w:sz w:val="16"/>
                <w:szCs w:val="16"/>
              </w:rPr>
              <w:t>2008</w:t>
            </w:r>
          </w:p>
        </w:tc>
        <w:tc>
          <w:tcPr>
            <w:tcW w:w="1134" w:type="dxa"/>
            <w:tcBorders>
              <w:top w:val="nil"/>
              <w:left w:val="nil"/>
              <w:bottom w:val="single" w:sz="4" w:space="0" w:color="auto"/>
              <w:right w:val="single" w:sz="4" w:space="0" w:color="auto"/>
            </w:tcBorders>
            <w:shd w:val="clear" w:color="auto" w:fill="auto"/>
            <w:noWrap/>
            <w:vAlign w:val="center"/>
            <w:hideMark/>
          </w:tcPr>
          <w:p w14:paraId="351C64EA" w14:textId="150DAE01"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0,00</w:t>
            </w:r>
          </w:p>
        </w:tc>
        <w:tc>
          <w:tcPr>
            <w:tcW w:w="992" w:type="dxa"/>
            <w:tcBorders>
              <w:top w:val="nil"/>
              <w:left w:val="nil"/>
              <w:bottom w:val="single" w:sz="4" w:space="0" w:color="auto"/>
              <w:right w:val="single" w:sz="4" w:space="0" w:color="auto"/>
            </w:tcBorders>
            <w:shd w:val="clear" w:color="auto" w:fill="auto"/>
            <w:noWrap/>
            <w:vAlign w:val="center"/>
            <w:hideMark/>
          </w:tcPr>
          <w:p w14:paraId="1D583063" w14:textId="48D91C5A"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0,00</w:t>
            </w:r>
          </w:p>
        </w:tc>
        <w:tc>
          <w:tcPr>
            <w:tcW w:w="993" w:type="dxa"/>
            <w:tcBorders>
              <w:top w:val="nil"/>
              <w:left w:val="nil"/>
              <w:bottom w:val="single" w:sz="4" w:space="0" w:color="auto"/>
              <w:right w:val="single" w:sz="4" w:space="0" w:color="auto"/>
            </w:tcBorders>
            <w:shd w:val="clear" w:color="auto" w:fill="auto"/>
            <w:noWrap/>
            <w:vAlign w:val="center"/>
            <w:hideMark/>
          </w:tcPr>
          <w:p w14:paraId="5B451576" w14:textId="347A944E"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w:t>
            </w:r>
          </w:p>
        </w:tc>
        <w:tc>
          <w:tcPr>
            <w:tcW w:w="1134" w:type="dxa"/>
            <w:tcBorders>
              <w:top w:val="nil"/>
              <w:left w:val="nil"/>
              <w:bottom w:val="single" w:sz="4" w:space="0" w:color="auto"/>
              <w:right w:val="single" w:sz="4" w:space="0" w:color="auto"/>
            </w:tcBorders>
            <w:shd w:val="clear" w:color="auto" w:fill="auto"/>
            <w:noWrap/>
            <w:vAlign w:val="center"/>
            <w:hideMark/>
          </w:tcPr>
          <w:p w14:paraId="0455455C" w14:textId="352D1AD8"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hideMark/>
          </w:tcPr>
          <w:p w14:paraId="565286B4" w14:textId="1F5279D6"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hideMark/>
          </w:tcPr>
          <w:p w14:paraId="37068EA5" w14:textId="640B4CBA"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2 050 147</w:t>
            </w:r>
          </w:p>
        </w:tc>
        <w:tc>
          <w:tcPr>
            <w:tcW w:w="992" w:type="dxa"/>
            <w:tcBorders>
              <w:top w:val="nil"/>
              <w:left w:val="nil"/>
              <w:bottom w:val="single" w:sz="4" w:space="0" w:color="auto"/>
              <w:right w:val="single" w:sz="4" w:space="0" w:color="auto"/>
            </w:tcBorders>
            <w:shd w:val="clear" w:color="auto" w:fill="auto"/>
            <w:noWrap/>
            <w:vAlign w:val="center"/>
            <w:hideMark/>
          </w:tcPr>
          <w:p w14:paraId="119B0EF6" w14:textId="1E32B97B"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w:t>
            </w:r>
          </w:p>
        </w:tc>
        <w:tc>
          <w:tcPr>
            <w:tcW w:w="1202" w:type="dxa"/>
            <w:tcBorders>
              <w:top w:val="nil"/>
              <w:left w:val="nil"/>
              <w:bottom w:val="single" w:sz="4" w:space="0" w:color="auto"/>
              <w:right w:val="single" w:sz="4" w:space="0" w:color="auto"/>
            </w:tcBorders>
            <w:shd w:val="clear" w:color="auto" w:fill="auto"/>
            <w:noWrap/>
            <w:vAlign w:val="center"/>
            <w:hideMark/>
          </w:tcPr>
          <w:p w14:paraId="04999DA1" w14:textId="455AA01B"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2 050 147</w:t>
            </w:r>
          </w:p>
        </w:tc>
      </w:tr>
      <w:tr w:rsidR="007E0435" w:rsidRPr="00F77A7A" w14:paraId="77A43527" w14:textId="77777777" w:rsidTr="00F87D11">
        <w:trPr>
          <w:trHeight w:val="225"/>
        </w:trPr>
        <w:tc>
          <w:tcPr>
            <w:tcW w:w="779" w:type="dxa"/>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19F923EB" w14:textId="77777777" w:rsidR="00447FED" w:rsidRPr="00F77A7A" w:rsidRDefault="00447FED" w:rsidP="00014279">
            <w:pPr>
              <w:jc w:val="center"/>
              <w:rPr>
                <w:rFonts w:ascii="Arial" w:hAnsi="Arial" w:cs="Arial"/>
                <w:b/>
                <w:bCs/>
                <w:color w:val="000000"/>
                <w:sz w:val="16"/>
                <w:szCs w:val="16"/>
              </w:rPr>
            </w:pPr>
            <w:r w:rsidRPr="00F77A7A">
              <w:rPr>
                <w:rFonts w:ascii="Arial" w:hAnsi="Arial" w:cs="Arial"/>
                <w:b/>
                <w:bCs/>
                <w:color w:val="000000"/>
                <w:sz w:val="16"/>
                <w:szCs w:val="16"/>
              </w:rPr>
              <w:t>2009</w:t>
            </w:r>
          </w:p>
        </w:tc>
        <w:tc>
          <w:tcPr>
            <w:tcW w:w="1134" w:type="dxa"/>
            <w:tcBorders>
              <w:top w:val="nil"/>
              <w:left w:val="nil"/>
              <w:bottom w:val="single" w:sz="4" w:space="0" w:color="auto"/>
              <w:right w:val="single" w:sz="4" w:space="0" w:color="auto"/>
            </w:tcBorders>
            <w:shd w:val="clear" w:color="auto" w:fill="auto"/>
            <w:noWrap/>
            <w:vAlign w:val="center"/>
            <w:hideMark/>
          </w:tcPr>
          <w:p w14:paraId="05E3B4E2" w14:textId="315A42C7"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2 061 003</w:t>
            </w:r>
          </w:p>
        </w:tc>
        <w:tc>
          <w:tcPr>
            <w:tcW w:w="992" w:type="dxa"/>
            <w:tcBorders>
              <w:top w:val="nil"/>
              <w:left w:val="nil"/>
              <w:bottom w:val="single" w:sz="4" w:space="0" w:color="auto"/>
              <w:right w:val="single" w:sz="4" w:space="0" w:color="auto"/>
            </w:tcBorders>
            <w:shd w:val="clear" w:color="auto" w:fill="auto"/>
            <w:noWrap/>
            <w:vAlign w:val="center"/>
            <w:hideMark/>
          </w:tcPr>
          <w:p w14:paraId="0B9EF2A9" w14:textId="6B540A54"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3 531 748</w:t>
            </w:r>
          </w:p>
        </w:tc>
        <w:tc>
          <w:tcPr>
            <w:tcW w:w="993" w:type="dxa"/>
            <w:tcBorders>
              <w:top w:val="nil"/>
              <w:left w:val="nil"/>
              <w:bottom w:val="single" w:sz="4" w:space="0" w:color="auto"/>
              <w:right w:val="single" w:sz="4" w:space="0" w:color="auto"/>
            </w:tcBorders>
            <w:shd w:val="clear" w:color="auto" w:fill="auto"/>
            <w:noWrap/>
            <w:vAlign w:val="center"/>
            <w:hideMark/>
          </w:tcPr>
          <w:p w14:paraId="6BCFE57B" w14:textId="04CE0B56"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10 216 733</w:t>
            </w:r>
          </w:p>
        </w:tc>
        <w:tc>
          <w:tcPr>
            <w:tcW w:w="1134" w:type="dxa"/>
            <w:tcBorders>
              <w:top w:val="nil"/>
              <w:left w:val="nil"/>
              <w:bottom w:val="single" w:sz="4" w:space="0" w:color="auto"/>
              <w:right w:val="single" w:sz="4" w:space="0" w:color="auto"/>
            </w:tcBorders>
            <w:shd w:val="clear" w:color="auto" w:fill="auto"/>
            <w:noWrap/>
            <w:vAlign w:val="center"/>
            <w:hideMark/>
          </w:tcPr>
          <w:p w14:paraId="21A38058" w14:textId="5B01C9F8"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12 770 736</w:t>
            </w:r>
          </w:p>
        </w:tc>
        <w:tc>
          <w:tcPr>
            <w:tcW w:w="992" w:type="dxa"/>
            <w:tcBorders>
              <w:top w:val="nil"/>
              <w:left w:val="nil"/>
              <w:bottom w:val="single" w:sz="4" w:space="0" w:color="auto"/>
              <w:right w:val="single" w:sz="4" w:space="0" w:color="auto"/>
            </w:tcBorders>
            <w:shd w:val="clear" w:color="auto" w:fill="auto"/>
            <w:noWrap/>
            <w:vAlign w:val="center"/>
            <w:hideMark/>
          </w:tcPr>
          <w:p w14:paraId="187F6FBC" w14:textId="263A8341"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1 275 166</w:t>
            </w:r>
          </w:p>
        </w:tc>
        <w:tc>
          <w:tcPr>
            <w:tcW w:w="992" w:type="dxa"/>
            <w:tcBorders>
              <w:top w:val="nil"/>
              <w:left w:val="nil"/>
              <w:bottom w:val="single" w:sz="4" w:space="0" w:color="auto"/>
              <w:right w:val="single" w:sz="4" w:space="0" w:color="auto"/>
            </w:tcBorders>
            <w:shd w:val="clear" w:color="auto" w:fill="auto"/>
            <w:noWrap/>
            <w:vAlign w:val="center"/>
            <w:hideMark/>
          </w:tcPr>
          <w:p w14:paraId="6BEE48E0" w14:textId="40426B5D"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12 085 073</w:t>
            </w:r>
          </w:p>
        </w:tc>
        <w:tc>
          <w:tcPr>
            <w:tcW w:w="992" w:type="dxa"/>
            <w:tcBorders>
              <w:top w:val="nil"/>
              <w:left w:val="nil"/>
              <w:bottom w:val="single" w:sz="4" w:space="0" w:color="auto"/>
              <w:right w:val="single" w:sz="4" w:space="0" w:color="auto"/>
            </w:tcBorders>
            <w:shd w:val="clear" w:color="auto" w:fill="auto"/>
            <w:noWrap/>
            <w:vAlign w:val="center"/>
            <w:hideMark/>
          </w:tcPr>
          <w:p w14:paraId="2F6EA174" w14:textId="4173016F"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w:t>
            </w:r>
          </w:p>
        </w:tc>
        <w:tc>
          <w:tcPr>
            <w:tcW w:w="1202" w:type="dxa"/>
            <w:tcBorders>
              <w:top w:val="nil"/>
              <w:left w:val="nil"/>
              <w:bottom w:val="single" w:sz="4" w:space="0" w:color="auto"/>
              <w:right w:val="single" w:sz="4" w:space="0" w:color="auto"/>
            </w:tcBorders>
            <w:shd w:val="clear" w:color="auto" w:fill="auto"/>
            <w:noWrap/>
            <w:vAlign w:val="center"/>
            <w:hideMark/>
          </w:tcPr>
          <w:p w14:paraId="42349E28" w14:textId="5DB30384"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41 940 458</w:t>
            </w:r>
          </w:p>
        </w:tc>
      </w:tr>
      <w:tr w:rsidR="007E0435" w:rsidRPr="00F77A7A" w14:paraId="5072B2EA" w14:textId="77777777" w:rsidTr="00F87D11">
        <w:trPr>
          <w:trHeight w:val="225"/>
        </w:trPr>
        <w:tc>
          <w:tcPr>
            <w:tcW w:w="779" w:type="dxa"/>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71980417" w14:textId="77777777" w:rsidR="00447FED" w:rsidRPr="00F77A7A" w:rsidRDefault="00447FED" w:rsidP="00014279">
            <w:pPr>
              <w:jc w:val="center"/>
              <w:rPr>
                <w:rFonts w:ascii="Arial" w:hAnsi="Arial" w:cs="Arial"/>
                <w:b/>
                <w:bCs/>
                <w:color w:val="000000"/>
                <w:sz w:val="16"/>
                <w:szCs w:val="16"/>
              </w:rPr>
            </w:pPr>
            <w:r w:rsidRPr="00F77A7A">
              <w:rPr>
                <w:rFonts w:ascii="Arial" w:hAnsi="Arial" w:cs="Arial"/>
                <w:b/>
                <w:bCs/>
                <w:color w:val="000000"/>
                <w:sz w:val="16"/>
                <w:szCs w:val="16"/>
              </w:rPr>
              <w:t>2010</w:t>
            </w:r>
          </w:p>
        </w:tc>
        <w:tc>
          <w:tcPr>
            <w:tcW w:w="1134" w:type="dxa"/>
            <w:tcBorders>
              <w:top w:val="nil"/>
              <w:left w:val="nil"/>
              <w:bottom w:val="single" w:sz="4" w:space="0" w:color="auto"/>
              <w:right w:val="single" w:sz="4" w:space="0" w:color="auto"/>
            </w:tcBorders>
            <w:shd w:val="clear" w:color="auto" w:fill="auto"/>
            <w:noWrap/>
            <w:vAlign w:val="center"/>
            <w:hideMark/>
          </w:tcPr>
          <w:p w14:paraId="6FE1C7FC" w14:textId="49256D96"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25 250 897</w:t>
            </w:r>
          </w:p>
        </w:tc>
        <w:tc>
          <w:tcPr>
            <w:tcW w:w="992" w:type="dxa"/>
            <w:tcBorders>
              <w:top w:val="nil"/>
              <w:left w:val="nil"/>
              <w:bottom w:val="single" w:sz="4" w:space="0" w:color="auto"/>
              <w:right w:val="single" w:sz="4" w:space="0" w:color="auto"/>
            </w:tcBorders>
            <w:shd w:val="clear" w:color="auto" w:fill="auto"/>
            <w:noWrap/>
            <w:vAlign w:val="center"/>
            <w:hideMark/>
          </w:tcPr>
          <w:p w14:paraId="43C20276" w14:textId="17B2EE05"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5 229 449</w:t>
            </w:r>
          </w:p>
        </w:tc>
        <w:tc>
          <w:tcPr>
            <w:tcW w:w="993" w:type="dxa"/>
            <w:tcBorders>
              <w:top w:val="nil"/>
              <w:left w:val="nil"/>
              <w:bottom w:val="single" w:sz="4" w:space="0" w:color="auto"/>
              <w:right w:val="single" w:sz="4" w:space="0" w:color="auto"/>
            </w:tcBorders>
            <w:shd w:val="clear" w:color="auto" w:fill="auto"/>
            <w:noWrap/>
            <w:vAlign w:val="center"/>
            <w:hideMark/>
          </w:tcPr>
          <w:p w14:paraId="04E542B6" w14:textId="37509C1F"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20 547 754</w:t>
            </w:r>
          </w:p>
        </w:tc>
        <w:tc>
          <w:tcPr>
            <w:tcW w:w="1134" w:type="dxa"/>
            <w:tcBorders>
              <w:top w:val="nil"/>
              <w:left w:val="nil"/>
              <w:bottom w:val="single" w:sz="4" w:space="0" w:color="auto"/>
              <w:right w:val="single" w:sz="4" w:space="0" w:color="auto"/>
            </w:tcBorders>
            <w:shd w:val="clear" w:color="auto" w:fill="auto"/>
            <w:noWrap/>
            <w:vAlign w:val="center"/>
            <w:hideMark/>
          </w:tcPr>
          <w:p w14:paraId="6A3CEB6C" w14:textId="6004075F"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47 312 692</w:t>
            </w:r>
          </w:p>
        </w:tc>
        <w:tc>
          <w:tcPr>
            <w:tcW w:w="992" w:type="dxa"/>
            <w:tcBorders>
              <w:top w:val="nil"/>
              <w:left w:val="nil"/>
              <w:bottom w:val="single" w:sz="4" w:space="0" w:color="auto"/>
              <w:right w:val="single" w:sz="4" w:space="0" w:color="auto"/>
            </w:tcBorders>
            <w:shd w:val="clear" w:color="auto" w:fill="auto"/>
            <w:noWrap/>
            <w:vAlign w:val="center"/>
            <w:hideMark/>
          </w:tcPr>
          <w:p w14:paraId="3E208DFD" w14:textId="12CE1A3A"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2 593 869</w:t>
            </w:r>
          </w:p>
        </w:tc>
        <w:tc>
          <w:tcPr>
            <w:tcW w:w="992" w:type="dxa"/>
            <w:tcBorders>
              <w:top w:val="nil"/>
              <w:left w:val="nil"/>
              <w:bottom w:val="single" w:sz="4" w:space="0" w:color="auto"/>
              <w:right w:val="single" w:sz="4" w:space="0" w:color="auto"/>
            </w:tcBorders>
            <w:shd w:val="clear" w:color="auto" w:fill="auto"/>
            <w:noWrap/>
            <w:vAlign w:val="center"/>
            <w:hideMark/>
          </w:tcPr>
          <w:p w14:paraId="01F3F124" w14:textId="72BABF68"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3 163 378</w:t>
            </w:r>
          </w:p>
        </w:tc>
        <w:tc>
          <w:tcPr>
            <w:tcW w:w="992" w:type="dxa"/>
            <w:tcBorders>
              <w:top w:val="nil"/>
              <w:left w:val="nil"/>
              <w:bottom w:val="single" w:sz="4" w:space="0" w:color="auto"/>
              <w:right w:val="single" w:sz="4" w:space="0" w:color="auto"/>
            </w:tcBorders>
            <w:shd w:val="clear" w:color="auto" w:fill="auto"/>
            <w:noWrap/>
            <w:vAlign w:val="center"/>
            <w:hideMark/>
          </w:tcPr>
          <w:p w14:paraId="06769779" w14:textId="25E5BDD9"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w:t>
            </w:r>
          </w:p>
        </w:tc>
        <w:tc>
          <w:tcPr>
            <w:tcW w:w="1202" w:type="dxa"/>
            <w:tcBorders>
              <w:top w:val="nil"/>
              <w:left w:val="nil"/>
              <w:bottom w:val="single" w:sz="4" w:space="0" w:color="auto"/>
              <w:right w:val="single" w:sz="4" w:space="0" w:color="auto"/>
            </w:tcBorders>
            <w:shd w:val="clear" w:color="auto" w:fill="auto"/>
            <w:noWrap/>
            <w:vAlign w:val="center"/>
            <w:hideMark/>
          </w:tcPr>
          <w:p w14:paraId="0E9DA294" w14:textId="170A53F7"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104 098 040</w:t>
            </w:r>
          </w:p>
        </w:tc>
      </w:tr>
      <w:tr w:rsidR="007E0435" w:rsidRPr="00F77A7A" w14:paraId="0660F533" w14:textId="77777777" w:rsidTr="00F87D11">
        <w:trPr>
          <w:trHeight w:val="225"/>
        </w:trPr>
        <w:tc>
          <w:tcPr>
            <w:tcW w:w="779" w:type="dxa"/>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5B469D93" w14:textId="77777777" w:rsidR="00447FED" w:rsidRPr="00F77A7A" w:rsidRDefault="00447FED" w:rsidP="00014279">
            <w:pPr>
              <w:jc w:val="center"/>
              <w:rPr>
                <w:rFonts w:ascii="Arial" w:hAnsi="Arial" w:cs="Arial"/>
                <w:b/>
                <w:bCs/>
                <w:color w:val="000000"/>
                <w:sz w:val="16"/>
                <w:szCs w:val="16"/>
              </w:rPr>
            </w:pPr>
            <w:r w:rsidRPr="00F77A7A">
              <w:rPr>
                <w:rFonts w:ascii="Arial" w:hAnsi="Arial" w:cs="Arial"/>
                <w:b/>
                <w:bCs/>
                <w:color w:val="000000"/>
                <w:sz w:val="16"/>
                <w:szCs w:val="16"/>
              </w:rPr>
              <w:t>2011</w:t>
            </w:r>
          </w:p>
        </w:tc>
        <w:tc>
          <w:tcPr>
            <w:tcW w:w="1134" w:type="dxa"/>
            <w:tcBorders>
              <w:top w:val="nil"/>
              <w:left w:val="nil"/>
              <w:bottom w:val="single" w:sz="4" w:space="0" w:color="auto"/>
              <w:right w:val="single" w:sz="4" w:space="0" w:color="auto"/>
            </w:tcBorders>
            <w:shd w:val="clear" w:color="auto" w:fill="auto"/>
            <w:noWrap/>
            <w:vAlign w:val="center"/>
            <w:hideMark/>
          </w:tcPr>
          <w:p w14:paraId="3F17FB66" w14:textId="7F68B7AA"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129 958 509</w:t>
            </w:r>
          </w:p>
        </w:tc>
        <w:tc>
          <w:tcPr>
            <w:tcW w:w="992" w:type="dxa"/>
            <w:tcBorders>
              <w:top w:val="nil"/>
              <w:left w:val="nil"/>
              <w:bottom w:val="single" w:sz="4" w:space="0" w:color="auto"/>
              <w:right w:val="single" w:sz="4" w:space="0" w:color="auto"/>
            </w:tcBorders>
            <w:shd w:val="clear" w:color="auto" w:fill="auto"/>
            <w:noWrap/>
            <w:vAlign w:val="center"/>
            <w:hideMark/>
          </w:tcPr>
          <w:p w14:paraId="16146095" w14:textId="10CD5A87"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12 622 811</w:t>
            </w:r>
          </w:p>
        </w:tc>
        <w:tc>
          <w:tcPr>
            <w:tcW w:w="993" w:type="dxa"/>
            <w:tcBorders>
              <w:top w:val="nil"/>
              <w:left w:val="nil"/>
              <w:bottom w:val="single" w:sz="4" w:space="0" w:color="auto"/>
              <w:right w:val="single" w:sz="4" w:space="0" w:color="auto"/>
            </w:tcBorders>
            <w:shd w:val="clear" w:color="auto" w:fill="auto"/>
            <w:noWrap/>
            <w:vAlign w:val="center"/>
            <w:hideMark/>
          </w:tcPr>
          <w:p w14:paraId="26C9F684" w14:textId="4B4FA90A"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66 182 090</w:t>
            </w:r>
          </w:p>
        </w:tc>
        <w:tc>
          <w:tcPr>
            <w:tcW w:w="1134" w:type="dxa"/>
            <w:tcBorders>
              <w:top w:val="nil"/>
              <w:left w:val="nil"/>
              <w:bottom w:val="single" w:sz="4" w:space="0" w:color="auto"/>
              <w:right w:val="single" w:sz="4" w:space="0" w:color="auto"/>
            </w:tcBorders>
            <w:shd w:val="clear" w:color="auto" w:fill="auto"/>
            <w:noWrap/>
            <w:vAlign w:val="center"/>
            <w:hideMark/>
          </w:tcPr>
          <w:p w14:paraId="2D02FD3F" w14:textId="1BC75802"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64 922 378</w:t>
            </w:r>
          </w:p>
        </w:tc>
        <w:tc>
          <w:tcPr>
            <w:tcW w:w="992" w:type="dxa"/>
            <w:tcBorders>
              <w:top w:val="nil"/>
              <w:left w:val="nil"/>
              <w:bottom w:val="single" w:sz="4" w:space="0" w:color="auto"/>
              <w:right w:val="single" w:sz="4" w:space="0" w:color="auto"/>
            </w:tcBorders>
            <w:shd w:val="clear" w:color="auto" w:fill="auto"/>
            <w:noWrap/>
            <w:vAlign w:val="center"/>
            <w:hideMark/>
          </w:tcPr>
          <w:p w14:paraId="66BA24D0" w14:textId="009FF0B0"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3 565 210</w:t>
            </w:r>
          </w:p>
        </w:tc>
        <w:tc>
          <w:tcPr>
            <w:tcW w:w="992" w:type="dxa"/>
            <w:tcBorders>
              <w:top w:val="nil"/>
              <w:left w:val="nil"/>
              <w:bottom w:val="single" w:sz="4" w:space="0" w:color="auto"/>
              <w:right w:val="single" w:sz="4" w:space="0" w:color="auto"/>
            </w:tcBorders>
            <w:shd w:val="clear" w:color="auto" w:fill="auto"/>
            <w:noWrap/>
            <w:vAlign w:val="center"/>
            <w:hideMark/>
          </w:tcPr>
          <w:p w14:paraId="0E2331FB" w14:textId="658B1AB3"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4 116 019</w:t>
            </w:r>
          </w:p>
        </w:tc>
        <w:tc>
          <w:tcPr>
            <w:tcW w:w="992" w:type="dxa"/>
            <w:tcBorders>
              <w:top w:val="nil"/>
              <w:left w:val="nil"/>
              <w:bottom w:val="single" w:sz="4" w:space="0" w:color="auto"/>
              <w:right w:val="single" w:sz="4" w:space="0" w:color="auto"/>
            </w:tcBorders>
            <w:shd w:val="clear" w:color="auto" w:fill="auto"/>
            <w:noWrap/>
            <w:vAlign w:val="center"/>
            <w:hideMark/>
          </w:tcPr>
          <w:p w14:paraId="77412BAB" w14:textId="2F900087"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w:t>
            </w:r>
          </w:p>
        </w:tc>
        <w:tc>
          <w:tcPr>
            <w:tcW w:w="1202" w:type="dxa"/>
            <w:tcBorders>
              <w:top w:val="nil"/>
              <w:left w:val="nil"/>
              <w:bottom w:val="single" w:sz="4" w:space="0" w:color="auto"/>
              <w:right w:val="single" w:sz="4" w:space="0" w:color="auto"/>
            </w:tcBorders>
            <w:shd w:val="clear" w:color="auto" w:fill="auto"/>
            <w:noWrap/>
            <w:vAlign w:val="center"/>
            <w:hideMark/>
          </w:tcPr>
          <w:p w14:paraId="1A3535E3" w14:textId="02EB2570"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281 367 017</w:t>
            </w:r>
          </w:p>
        </w:tc>
      </w:tr>
      <w:tr w:rsidR="007E0435" w:rsidRPr="00F77A7A" w14:paraId="51539A28" w14:textId="77777777" w:rsidTr="00F87D11">
        <w:trPr>
          <w:trHeight w:val="225"/>
        </w:trPr>
        <w:tc>
          <w:tcPr>
            <w:tcW w:w="779" w:type="dxa"/>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50AB4DB0" w14:textId="77777777" w:rsidR="00447FED" w:rsidRPr="00F77A7A" w:rsidRDefault="00447FED" w:rsidP="00014279">
            <w:pPr>
              <w:jc w:val="center"/>
              <w:rPr>
                <w:rFonts w:ascii="Arial" w:hAnsi="Arial" w:cs="Arial"/>
                <w:b/>
                <w:bCs/>
                <w:color w:val="000000"/>
                <w:sz w:val="16"/>
                <w:szCs w:val="16"/>
              </w:rPr>
            </w:pPr>
            <w:r w:rsidRPr="00F77A7A">
              <w:rPr>
                <w:rFonts w:ascii="Arial" w:hAnsi="Arial" w:cs="Arial"/>
                <w:b/>
                <w:bCs/>
                <w:color w:val="000000"/>
                <w:sz w:val="16"/>
                <w:szCs w:val="16"/>
              </w:rPr>
              <w:t>2012</w:t>
            </w:r>
          </w:p>
        </w:tc>
        <w:tc>
          <w:tcPr>
            <w:tcW w:w="1134" w:type="dxa"/>
            <w:tcBorders>
              <w:top w:val="nil"/>
              <w:left w:val="nil"/>
              <w:bottom w:val="single" w:sz="4" w:space="0" w:color="auto"/>
              <w:right w:val="single" w:sz="4" w:space="0" w:color="auto"/>
            </w:tcBorders>
            <w:shd w:val="clear" w:color="auto" w:fill="auto"/>
            <w:noWrap/>
            <w:vAlign w:val="center"/>
            <w:hideMark/>
          </w:tcPr>
          <w:p w14:paraId="56D04090" w14:textId="5680E627"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109 312 755</w:t>
            </w:r>
          </w:p>
        </w:tc>
        <w:tc>
          <w:tcPr>
            <w:tcW w:w="992" w:type="dxa"/>
            <w:tcBorders>
              <w:top w:val="nil"/>
              <w:left w:val="nil"/>
              <w:bottom w:val="single" w:sz="4" w:space="0" w:color="auto"/>
              <w:right w:val="single" w:sz="4" w:space="0" w:color="auto"/>
            </w:tcBorders>
            <w:shd w:val="clear" w:color="auto" w:fill="auto"/>
            <w:noWrap/>
            <w:vAlign w:val="center"/>
            <w:hideMark/>
          </w:tcPr>
          <w:p w14:paraId="0E49B62C" w14:textId="690C5E74"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13 485 993</w:t>
            </w:r>
          </w:p>
        </w:tc>
        <w:tc>
          <w:tcPr>
            <w:tcW w:w="993" w:type="dxa"/>
            <w:tcBorders>
              <w:top w:val="nil"/>
              <w:left w:val="nil"/>
              <w:bottom w:val="single" w:sz="4" w:space="0" w:color="auto"/>
              <w:right w:val="single" w:sz="4" w:space="0" w:color="auto"/>
            </w:tcBorders>
            <w:shd w:val="clear" w:color="auto" w:fill="auto"/>
            <w:noWrap/>
            <w:vAlign w:val="center"/>
            <w:hideMark/>
          </w:tcPr>
          <w:p w14:paraId="3CDE7201" w14:textId="32A96DB9"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22 326 587</w:t>
            </w:r>
          </w:p>
        </w:tc>
        <w:tc>
          <w:tcPr>
            <w:tcW w:w="1134" w:type="dxa"/>
            <w:tcBorders>
              <w:top w:val="nil"/>
              <w:left w:val="nil"/>
              <w:bottom w:val="single" w:sz="4" w:space="0" w:color="auto"/>
              <w:right w:val="single" w:sz="4" w:space="0" w:color="auto"/>
            </w:tcBorders>
            <w:shd w:val="clear" w:color="auto" w:fill="auto"/>
            <w:noWrap/>
            <w:vAlign w:val="center"/>
            <w:hideMark/>
          </w:tcPr>
          <w:p w14:paraId="3CC856CC" w14:textId="2DE13CC0"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66 788 023</w:t>
            </w:r>
          </w:p>
        </w:tc>
        <w:tc>
          <w:tcPr>
            <w:tcW w:w="992" w:type="dxa"/>
            <w:tcBorders>
              <w:top w:val="nil"/>
              <w:left w:val="nil"/>
              <w:bottom w:val="single" w:sz="4" w:space="0" w:color="auto"/>
              <w:right w:val="single" w:sz="4" w:space="0" w:color="auto"/>
            </w:tcBorders>
            <w:shd w:val="clear" w:color="auto" w:fill="auto"/>
            <w:noWrap/>
            <w:vAlign w:val="center"/>
            <w:hideMark/>
          </w:tcPr>
          <w:p w14:paraId="6CB6A00E" w14:textId="35A7E394"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4 120 576</w:t>
            </w:r>
          </w:p>
        </w:tc>
        <w:tc>
          <w:tcPr>
            <w:tcW w:w="992" w:type="dxa"/>
            <w:tcBorders>
              <w:top w:val="nil"/>
              <w:left w:val="nil"/>
              <w:bottom w:val="single" w:sz="4" w:space="0" w:color="auto"/>
              <w:right w:val="single" w:sz="4" w:space="0" w:color="auto"/>
            </w:tcBorders>
            <w:shd w:val="clear" w:color="auto" w:fill="auto"/>
            <w:noWrap/>
            <w:vAlign w:val="center"/>
            <w:hideMark/>
          </w:tcPr>
          <w:p w14:paraId="35273205" w14:textId="17C90F15"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3 780 776</w:t>
            </w:r>
          </w:p>
        </w:tc>
        <w:tc>
          <w:tcPr>
            <w:tcW w:w="992" w:type="dxa"/>
            <w:tcBorders>
              <w:top w:val="nil"/>
              <w:left w:val="nil"/>
              <w:bottom w:val="single" w:sz="4" w:space="0" w:color="auto"/>
              <w:right w:val="single" w:sz="4" w:space="0" w:color="auto"/>
            </w:tcBorders>
            <w:shd w:val="clear" w:color="auto" w:fill="auto"/>
            <w:noWrap/>
            <w:vAlign w:val="center"/>
            <w:hideMark/>
          </w:tcPr>
          <w:p w14:paraId="3BB6CA40" w14:textId="18E14F02"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w:t>
            </w:r>
          </w:p>
        </w:tc>
        <w:tc>
          <w:tcPr>
            <w:tcW w:w="1202" w:type="dxa"/>
            <w:tcBorders>
              <w:top w:val="nil"/>
              <w:left w:val="nil"/>
              <w:bottom w:val="single" w:sz="4" w:space="0" w:color="auto"/>
              <w:right w:val="single" w:sz="4" w:space="0" w:color="auto"/>
            </w:tcBorders>
            <w:shd w:val="clear" w:color="auto" w:fill="auto"/>
            <w:noWrap/>
            <w:vAlign w:val="center"/>
            <w:hideMark/>
          </w:tcPr>
          <w:p w14:paraId="6E79CA52" w14:textId="2FAE308E"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219 814 709</w:t>
            </w:r>
          </w:p>
        </w:tc>
      </w:tr>
      <w:tr w:rsidR="007E0435" w:rsidRPr="00F77A7A" w14:paraId="0725FD09" w14:textId="77777777" w:rsidTr="00F87D11">
        <w:trPr>
          <w:trHeight w:val="225"/>
        </w:trPr>
        <w:tc>
          <w:tcPr>
            <w:tcW w:w="779" w:type="dxa"/>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0F4DDFCE" w14:textId="77777777" w:rsidR="00447FED" w:rsidRPr="00F77A7A" w:rsidRDefault="00447FED" w:rsidP="00014279">
            <w:pPr>
              <w:jc w:val="center"/>
              <w:rPr>
                <w:rFonts w:ascii="Arial" w:hAnsi="Arial" w:cs="Arial"/>
                <w:b/>
                <w:bCs/>
                <w:color w:val="000000"/>
                <w:sz w:val="16"/>
                <w:szCs w:val="16"/>
              </w:rPr>
            </w:pPr>
            <w:r w:rsidRPr="00F77A7A">
              <w:rPr>
                <w:rFonts w:ascii="Arial" w:hAnsi="Arial" w:cs="Arial"/>
                <w:b/>
                <w:bCs/>
                <w:color w:val="000000"/>
                <w:sz w:val="16"/>
                <w:szCs w:val="16"/>
              </w:rPr>
              <w:t>2013</w:t>
            </w:r>
          </w:p>
        </w:tc>
        <w:tc>
          <w:tcPr>
            <w:tcW w:w="1134" w:type="dxa"/>
            <w:tcBorders>
              <w:top w:val="nil"/>
              <w:left w:val="nil"/>
              <w:bottom w:val="single" w:sz="4" w:space="0" w:color="auto"/>
              <w:right w:val="single" w:sz="4" w:space="0" w:color="auto"/>
            </w:tcBorders>
            <w:shd w:val="clear" w:color="auto" w:fill="auto"/>
            <w:noWrap/>
            <w:vAlign w:val="center"/>
            <w:hideMark/>
          </w:tcPr>
          <w:p w14:paraId="398F8B32" w14:textId="5BFF696C"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125 975 090</w:t>
            </w:r>
          </w:p>
        </w:tc>
        <w:tc>
          <w:tcPr>
            <w:tcW w:w="992" w:type="dxa"/>
            <w:tcBorders>
              <w:top w:val="nil"/>
              <w:left w:val="nil"/>
              <w:bottom w:val="single" w:sz="4" w:space="0" w:color="auto"/>
              <w:right w:val="single" w:sz="4" w:space="0" w:color="auto"/>
            </w:tcBorders>
            <w:shd w:val="clear" w:color="auto" w:fill="auto"/>
            <w:noWrap/>
            <w:vAlign w:val="center"/>
            <w:hideMark/>
          </w:tcPr>
          <w:p w14:paraId="52DBE131" w14:textId="67CC7764"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16 364 486</w:t>
            </w:r>
          </w:p>
        </w:tc>
        <w:tc>
          <w:tcPr>
            <w:tcW w:w="993" w:type="dxa"/>
            <w:tcBorders>
              <w:top w:val="nil"/>
              <w:left w:val="nil"/>
              <w:bottom w:val="single" w:sz="4" w:space="0" w:color="auto"/>
              <w:right w:val="single" w:sz="4" w:space="0" w:color="auto"/>
            </w:tcBorders>
            <w:shd w:val="clear" w:color="auto" w:fill="auto"/>
            <w:noWrap/>
            <w:vAlign w:val="center"/>
            <w:hideMark/>
          </w:tcPr>
          <w:p w14:paraId="585B0172" w14:textId="546F183D"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14 563 132</w:t>
            </w:r>
          </w:p>
        </w:tc>
        <w:tc>
          <w:tcPr>
            <w:tcW w:w="1134" w:type="dxa"/>
            <w:tcBorders>
              <w:top w:val="nil"/>
              <w:left w:val="nil"/>
              <w:bottom w:val="single" w:sz="4" w:space="0" w:color="auto"/>
              <w:right w:val="single" w:sz="4" w:space="0" w:color="auto"/>
            </w:tcBorders>
            <w:shd w:val="clear" w:color="auto" w:fill="auto"/>
            <w:noWrap/>
            <w:vAlign w:val="center"/>
            <w:hideMark/>
          </w:tcPr>
          <w:p w14:paraId="36535ACA" w14:textId="6DBB6F27"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43 106 747</w:t>
            </w:r>
          </w:p>
        </w:tc>
        <w:tc>
          <w:tcPr>
            <w:tcW w:w="992" w:type="dxa"/>
            <w:tcBorders>
              <w:top w:val="nil"/>
              <w:left w:val="nil"/>
              <w:bottom w:val="single" w:sz="4" w:space="0" w:color="auto"/>
              <w:right w:val="single" w:sz="4" w:space="0" w:color="auto"/>
            </w:tcBorders>
            <w:shd w:val="clear" w:color="auto" w:fill="auto"/>
            <w:noWrap/>
            <w:vAlign w:val="center"/>
            <w:hideMark/>
          </w:tcPr>
          <w:p w14:paraId="36CED232" w14:textId="14970A7D"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8 136 955</w:t>
            </w:r>
          </w:p>
        </w:tc>
        <w:tc>
          <w:tcPr>
            <w:tcW w:w="992" w:type="dxa"/>
            <w:tcBorders>
              <w:top w:val="nil"/>
              <w:left w:val="nil"/>
              <w:bottom w:val="single" w:sz="4" w:space="0" w:color="auto"/>
              <w:right w:val="single" w:sz="4" w:space="0" w:color="auto"/>
            </w:tcBorders>
            <w:shd w:val="clear" w:color="auto" w:fill="auto"/>
            <w:noWrap/>
            <w:vAlign w:val="center"/>
            <w:hideMark/>
          </w:tcPr>
          <w:p w14:paraId="3762A7B3" w14:textId="4578E885"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3 674 793</w:t>
            </w:r>
          </w:p>
        </w:tc>
        <w:tc>
          <w:tcPr>
            <w:tcW w:w="992" w:type="dxa"/>
            <w:tcBorders>
              <w:top w:val="nil"/>
              <w:left w:val="nil"/>
              <w:bottom w:val="single" w:sz="4" w:space="0" w:color="auto"/>
              <w:right w:val="single" w:sz="4" w:space="0" w:color="auto"/>
            </w:tcBorders>
            <w:shd w:val="clear" w:color="auto" w:fill="auto"/>
            <w:noWrap/>
            <w:vAlign w:val="center"/>
            <w:hideMark/>
          </w:tcPr>
          <w:p w14:paraId="5EC84834" w14:textId="3D1DB1EF"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0</w:t>
            </w:r>
          </w:p>
        </w:tc>
        <w:tc>
          <w:tcPr>
            <w:tcW w:w="1202" w:type="dxa"/>
            <w:tcBorders>
              <w:top w:val="nil"/>
              <w:left w:val="nil"/>
              <w:bottom w:val="single" w:sz="4" w:space="0" w:color="auto"/>
              <w:right w:val="single" w:sz="4" w:space="0" w:color="auto"/>
            </w:tcBorders>
            <w:shd w:val="clear" w:color="auto" w:fill="auto"/>
            <w:noWrap/>
            <w:vAlign w:val="center"/>
            <w:hideMark/>
          </w:tcPr>
          <w:p w14:paraId="4486EC59" w14:textId="289D6E01"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211 821 201</w:t>
            </w:r>
          </w:p>
        </w:tc>
      </w:tr>
      <w:tr w:rsidR="007E0435" w:rsidRPr="00F77A7A" w14:paraId="67B4E76B" w14:textId="77777777" w:rsidTr="00F87D11">
        <w:trPr>
          <w:trHeight w:val="225"/>
        </w:trPr>
        <w:tc>
          <w:tcPr>
            <w:tcW w:w="779" w:type="dxa"/>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5768E88F" w14:textId="77777777" w:rsidR="00447FED" w:rsidRPr="00F77A7A" w:rsidRDefault="00447FED" w:rsidP="00014279">
            <w:pPr>
              <w:jc w:val="center"/>
              <w:rPr>
                <w:rFonts w:ascii="Arial" w:hAnsi="Arial" w:cs="Arial"/>
                <w:b/>
                <w:bCs/>
                <w:color w:val="000000"/>
                <w:sz w:val="16"/>
                <w:szCs w:val="16"/>
              </w:rPr>
            </w:pPr>
            <w:r w:rsidRPr="00F77A7A">
              <w:rPr>
                <w:rFonts w:ascii="Arial" w:hAnsi="Arial" w:cs="Arial"/>
                <w:b/>
                <w:bCs/>
                <w:color w:val="000000"/>
                <w:sz w:val="16"/>
                <w:szCs w:val="16"/>
              </w:rPr>
              <w:t>2014</w:t>
            </w:r>
          </w:p>
        </w:tc>
        <w:tc>
          <w:tcPr>
            <w:tcW w:w="1134" w:type="dxa"/>
            <w:tcBorders>
              <w:top w:val="nil"/>
              <w:left w:val="nil"/>
              <w:bottom w:val="single" w:sz="4" w:space="0" w:color="auto"/>
              <w:right w:val="single" w:sz="4" w:space="0" w:color="auto"/>
            </w:tcBorders>
            <w:shd w:val="clear" w:color="auto" w:fill="auto"/>
            <w:noWrap/>
            <w:vAlign w:val="center"/>
            <w:hideMark/>
          </w:tcPr>
          <w:p w14:paraId="6EAE88D1" w14:textId="0BD003E1"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109 608 300</w:t>
            </w:r>
          </w:p>
        </w:tc>
        <w:tc>
          <w:tcPr>
            <w:tcW w:w="992" w:type="dxa"/>
            <w:tcBorders>
              <w:top w:val="nil"/>
              <w:left w:val="nil"/>
              <w:bottom w:val="single" w:sz="4" w:space="0" w:color="auto"/>
              <w:right w:val="single" w:sz="4" w:space="0" w:color="auto"/>
            </w:tcBorders>
            <w:shd w:val="clear" w:color="auto" w:fill="auto"/>
            <w:noWrap/>
            <w:vAlign w:val="center"/>
            <w:hideMark/>
          </w:tcPr>
          <w:p w14:paraId="38C3B615" w14:textId="72C51C04"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7 854 111</w:t>
            </w:r>
          </w:p>
        </w:tc>
        <w:tc>
          <w:tcPr>
            <w:tcW w:w="993" w:type="dxa"/>
            <w:tcBorders>
              <w:top w:val="nil"/>
              <w:left w:val="nil"/>
              <w:bottom w:val="single" w:sz="4" w:space="0" w:color="auto"/>
              <w:right w:val="single" w:sz="4" w:space="0" w:color="auto"/>
            </w:tcBorders>
            <w:shd w:val="clear" w:color="auto" w:fill="auto"/>
            <w:noWrap/>
            <w:vAlign w:val="center"/>
            <w:hideMark/>
          </w:tcPr>
          <w:p w14:paraId="472D1CB8" w14:textId="75E041F4"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4 344 543</w:t>
            </w:r>
          </w:p>
        </w:tc>
        <w:tc>
          <w:tcPr>
            <w:tcW w:w="1134" w:type="dxa"/>
            <w:tcBorders>
              <w:top w:val="nil"/>
              <w:left w:val="nil"/>
              <w:bottom w:val="single" w:sz="4" w:space="0" w:color="auto"/>
              <w:right w:val="single" w:sz="4" w:space="0" w:color="auto"/>
            </w:tcBorders>
            <w:shd w:val="clear" w:color="auto" w:fill="auto"/>
            <w:noWrap/>
            <w:vAlign w:val="center"/>
            <w:hideMark/>
          </w:tcPr>
          <w:p w14:paraId="28B39790" w14:textId="72C1333F"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26 264 946</w:t>
            </w:r>
          </w:p>
        </w:tc>
        <w:tc>
          <w:tcPr>
            <w:tcW w:w="992" w:type="dxa"/>
            <w:tcBorders>
              <w:top w:val="nil"/>
              <w:left w:val="nil"/>
              <w:bottom w:val="single" w:sz="4" w:space="0" w:color="auto"/>
              <w:right w:val="single" w:sz="4" w:space="0" w:color="auto"/>
            </w:tcBorders>
            <w:shd w:val="clear" w:color="auto" w:fill="auto"/>
            <w:noWrap/>
            <w:vAlign w:val="center"/>
            <w:hideMark/>
          </w:tcPr>
          <w:p w14:paraId="0CCA2530" w14:textId="0E2A9524"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6 405 550</w:t>
            </w:r>
          </w:p>
        </w:tc>
        <w:tc>
          <w:tcPr>
            <w:tcW w:w="992" w:type="dxa"/>
            <w:tcBorders>
              <w:top w:val="nil"/>
              <w:left w:val="nil"/>
              <w:bottom w:val="single" w:sz="4" w:space="0" w:color="auto"/>
              <w:right w:val="single" w:sz="4" w:space="0" w:color="auto"/>
            </w:tcBorders>
            <w:shd w:val="clear" w:color="auto" w:fill="auto"/>
            <w:noWrap/>
            <w:vAlign w:val="center"/>
            <w:hideMark/>
          </w:tcPr>
          <w:p w14:paraId="42016CEB" w14:textId="5B334891"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4 679 429</w:t>
            </w:r>
          </w:p>
        </w:tc>
        <w:tc>
          <w:tcPr>
            <w:tcW w:w="992" w:type="dxa"/>
            <w:tcBorders>
              <w:top w:val="nil"/>
              <w:left w:val="nil"/>
              <w:bottom w:val="single" w:sz="4" w:space="0" w:color="auto"/>
              <w:right w:val="single" w:sz="4" w:space="0" w:color="auto"/>
            </w:tcBorders>
            <w:shd w:val="clear" w:color="auto" w:fill="auto"/>
            <w:noWrap/>
            <w:vAlign w:val="center"/>
            <w:hideMark/>
          </w:tcPr>
          <w:p w14:paraId="4BBC3BFA" w14:textId="4995144C"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2 943 823</w:t>
            </w:r>
          </w:p>
        </w:tc>
        <w:tc>
          <w:tcPr>
            <w:tcW w:w="1202" w:type="dxa"/>
            <w:tcBorders>
              <w:top w:val="nil"/>
              <w:left w:val="nil"/>
              <w:bottom w:val="single" w:sz="4" w:space="0" w:color="auto"/>
              <w:right w:val="single" w:sz="4" w:space="0" w:color="auto"/>
            </w:tcBorders>
            <w:shd w:val="clear" w:color="auto" w:fill="auto"/>
            <w:noWrap/>
            <w:vAlign w:val="center"/>
            <w:hideMark/>
          </w:tcPr>
          <w:p w14:paraId="0F55C00A" w14:textId="4B750559"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162 100 701</w:t>
            </w:r>
          </w:p>
        </w:tc>
      </w:tr>
      <w:tr w:rsidR="007E0435" w:rsidRPr="00F77A7A" w14:paraId="1389F254" w14:textId="77777777" w:rsidTr="00F87D11">
        <w:trPr>
          <w:trHeight w:val="225"/>
        </w:trPr>
        <w:tc>
          <w:tcPr>
            <w:tcW w:w="779" w:type="dxa"/>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221EDF05" w14:textId="77777777" w:rsidR="00447FED" w:rsidRPr="00F77A7A" w:rsidRDefault="00447FED" w:rsidP="00014279">
            <w:pPr>
              <w:jc w:val="center"/>
              <w:rPr>
                <w:rFonts w:ascii="Arial" w:hAnsi="Arial" w:cs="Arial"/>
                <w:b/>
                <w:bCs/>
                <w:color w:val="000000"/>
                <w:sz w:val="16"/>
                <w:szCs w:val="16"/>
              </w:rPr>
            </w:pPr>
            <w:r w:rsidRPr="00F77A7A">
              <w:rPr>
                <w:rFonts w:ascii="Arial" w:hAnsi="Arial" w:cs="Arial"/>
                <w:b/>
                <w:bCs/>
                <w:color w:val="000000"/>
                <w:sz w:val="16"/>
                <w:szCs w:val="16"/>
              </w:rPr>
              <w:t>2015</w:t>
            </w:r>
          </w:p>
        </w:tc>
        <w:tc>
          <w:tcPr>
            <w:tcW w:w="1134" w:type="dxa"/>
            <w:tcBorders>
              <w:top w:val="nil"/>
              <w:left w:val="nil"/>
              <w:bottom w:val="single" w:sz="4" w:space="0" w:color="auto"/>
              <w:right w:val="single" w:sz="4" w:space="0" w:color="auto"/>
            </w:tcBorders>
            <w:shd w:val="clear" w:color="auto" w:fill="auto"/>
            <w:noWrap/>
            <w:vAlign w:val="center"/>
            <w:hideMark/>
          </w:tcPr>
          <w:p w14:paraId="155E92EB" w14:textId="3737306A"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273 365 753</w:t>
            </w:r>
          </w:p>
        </w:tc>
        <w:tc>
          <w:tcPr>
            <w:tcW w:w="992" w:type="dxa"/>
            <w:tcBorders>
              <w:top w:val="nil"/>
              <w:left w:val="nil"/>
              <w:bottom w:val="single" w:sz="4" w:space="0" w:color="auto"/>
              <w:right w:val="single" w:sz="4" w:space="0" w:color="auto"/>
            </w:tcBorders>
            <w:shd w:val="clear" w:color="auto" w:fill="auto"/>
            <w:noWrap/>
            <w:vAlign w:val="center"/>
            <w:hideMark/>
          </w:tcPr>
          <w:p w14:paraId="6836FB83" w14:textId="1E688456" w:rsidR="00447FED" w:rsidRPr="00F77A7A" w:rsidRDefault="00447FED" w:rsidP="00F87D11">
            <w:pPr>
              <w:ind w:hanging="70"/>
              <w:jc w:val="center"/>
              <w:rPr>
                <w:rFonts w:ascii="Arial" w:hAnsi="Arial" w:cs="Arial"/>
                <w:bCs/>
                <w:color w:val="000000"/>
                <w:sz w:val="16"/>
                <w:szCs w:val="16"/>
              </w:rPr>
            </w:pPr>
            <w:r w:rsidRPr="00447FED">
              <w:rPr>
                <w:rFonts w:ascii="Arial" w:hAnsi="Arial" w:cs="Arial"/>
                <w:bCs/>
                <w:color w:val="000000"/>
                <w:sz w:val="16"/>
                <w:szCs w:val="16"/>
              </w:rPr>
              <w:t>110 054 090</w:t>
            </w:r>
          </w:p>
        </w:tc>
        <w:tc>
          <w:tcPr>
            <w:tcW w:w="993" w:type="dxa"/>
            <w:tcBorders>
              <w:top w:val="nil"/>
              <w:left w:val="nil"/>
              <w:bottom w:val="single" w:sz="4" w:space="0" w:color="auto"/>
              <w:right w:val="single" w:sz="4" w:space="0" w:color="auto"/>
            </w:tcBorders>
            <w:shd w:val="clear" w:color="auto" w:fill="auto"/>
            <w:noWrap/>
            <w:vAlign w:val="center"/>
            <w:hideMark/>
          </w:tcPr>
          <w:p w14:paraId="205BCEFF" w14:textId="4A154EA6"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36 228 678</w:t>
            </w:r>
          </w:p>
        </w:tc>
        <w:tc>
          <w:tcPr>
            <w:tcW w:w="1134" w:type="dxa"/>
            <w:tcBorders>
              <w:top w:val="nil"/>
              <w:left w:val="nil"/>
              <w:bottom w:val="single" w:sz="4" w:space="0" w:color="auto"/>
              <w:right w:val="single" w:sz="4" w:space="0" w:color="auto"/>
            </w:tcBorders>
            <w:shd w:val="clear" w:color="auto" w:fill="auto"/>
            <w:noWrap/>
            <w:vAlign w:val="center"/>
            <w:hideMark/>
          </w:tcPr>
          <w:p w14:paraId="7D20D085" w14:textId="264C08CA"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80 436 256</w:t>
            </w:r>
          </w:p>
        </w:tc>
        <w:tc>
          <w:tcPr>
            <w:tcW w:w="992" w:type="dxa"/>
            <w:tcBorders>
              <w:top w:val="nil"/>
              <w:left w:val="nil"/>
              <w:bottom w:val="single" w:sz="4" w:space="0" w:color="auto"/>
              <w:right w:val="single" w:sz="4" w:space="0" w:color="auto"/>
            </w:tcBorders>
            <w:shd w:val="clear" w:color="auto" w:fill="auto"/>
            <w:noWrap/>
            <w:vAlign w:val="center"/>
            <w:hideMark/>
          </w:tcPr>
          <w:p w14:paraId="6EEC6DE2" w14:textId="0BD168EF"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16 283 856</w:t>
            </w:r>
          </w:p>
        </w:tc>
        <w:tc>
          <w:tcPr>
            <w:tcW w:w="992" w:type="dxa"/>
            <w:tcBorders>
              <w:top w:val="nil"/>
              <w:left w:val="nil"/>
              <w:bottom w:val="single" w:sz="4" w:space="0" w:color="auto"/>
              <w:right w:val="single" w:sz="4" w:space="0" w:color="auto"/>
            </w:tcBorders>
            <w:shd w:val="clear" w:color="auto" w:fill="auto"/>
            <w:noWrap/>
            <w:vAlign w:val="center"/>
            <w:hideMark/>
          </w:tcPr>
          <w:p w14:paraId="7F4062C5" w14:textId="2A1B2548"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12 308 113</w:t>
            </w:r>
          </w:p>
        </w:tc>
        <w:tc>
          <w:tcPr>
            <w:tcW w:w="992" w:type="dxa"/>
            <w:tcBorders>
              <w:top w:val="nil"/>
              <w:left w:val="nil"/>
              <w:bottom w:val="single" w:sz="4" w:space="0" w:color="auto"/>
              <w:right w:val="single" w:sz="4" w:space="0" w:color="auto"/>
            </w:tcBorders>
            <w:shd w:val="clear" w:color="auto" w:fill="auto"/>
            <w:noWrap/>
            <w:vAlign w:val="center"/>
            <w:hideMark/>
          </w:tcPr>
          <w:p w14:paraId="641A2084" w14:textId="28155DE6"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11 505 576</w:t>
            </w:r>
          </w:p>
        </w:tc>
        <w:tc>
          <w:tcPr>
            <w:tcW w:w="1202" w:type="dxa"/>
            <w:tcBorders>
              <w:top w:val="nil"/>
              <w:left w:val="nil"/>
              <w:bottom w:val="single" w:sz="4" w:space="0" w:color="auto"/>
              <w:right w:val="single" w:sz="4" w:space="0" w:color="auto"/>
            </w:tcBorders>
            <w:shd w:val="clear" w:color="auto" w:fill="auto"/>
            <w:noWrap/>
            <w:vAlign w:val="center"/>
            <w:hideMark/>
          </w:tcPr>
          <w:p w14:paraId="595E5905" w14:textId="207700BF"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540 182 322</w:t>
            </w:r>
          </w:p>
        </w:tc>
      </w:tr>
      <w:tr w:rsidR="007E0435" w:rsidRPr="00F77A7A" w14:paraId="1A6DFB8D" w14:textId="77777777" w:rsidTr="00F87D11">
        <w:trPr>
          <w:trHeight w:val="225"/>
        </w:trPr>
        <w:tc>
          <w:tcPr>
            <w:tcW w:w="779" w:type="dxa"/>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16DAEF4E" w14:textId="77777777" w:rsidR="00A4517B" w:rsidRDefault="00447FED" w:rsidP="00014279">
            <w:pPr>
              <w:jc w:val="center"/>
              <w:rPr>
                <w:rFonts w:ascii="Arial" w:hAnsi="Arial" w:cs="Arial"/>
                <w:b/>
                <w:bCs/>
                <w:color w:val="000000"/>
                <w:sz w:val="16"/>
                <w:szCs w:val="16"/>
              </w:rPr>
            </w:pPr>
            <w:r>
              <w:rPr>
                <w:rFonts w:ascii="Arial" w:hAnsi="Arial" w:cs="Arial"/>
                <w:b/>
                <w:bCs/>
                <w:color w:val="000000"/>
                <w:sz w:val="16"/>
                <w:szCs w:val="16"/>
              </w:rPr>
              <w:t>31.10.</w:t>
            </w:r>
          </w:p>
          <w:p w14:paraId="2E224E5E" w14:textId="681B52FC" w:rsidR="00447FED" w:rsidRPr="00F77A7A" w:rsidRDefault="00447FED" w:rsidP="00014279">
            <w:pPr>
              <w:jc w:val="center"/>
              <w:rPr>
                <w:rFonts w:ascii="Arial" w:hAnsi="Arial" w:cs="Arial"/>
                <w:b/>
                <w:bCs/>
                <w:color w:val="000000"/>
                <w:sz w:val="16"/>
                <w:szCs w:val="16"/>
              </w:rPr>
            </w:pPr>
            <w:r w:rsidRPr="00F77A7A">
              <w:rPr>
                <w:rFonts w:ascii="Arial" w:hAnsi="Arial" w:cs="Arial"/>
                <w:b/>
                <w:bCs/>
                <w:color w:val="000000"/>
                <w:sz w:val="16"/>
                <w:szCs w:val="16"/>
              </w:rPr>
              <w:t>2016</w:t>
            </w:r>
          </w:p>
        </w:tc>
        <w:tc>
          <w:tcPr>
            <w:tcW w:w="1134" w:type="dxa"/>
            <w:tcBorders>
              <w:top w:val="nil"/>
              <w:left w:val="nil"/>
              <w:bottom w:val="single" w:sz="4" w:space="0" w:color="auto"/>
              <w:right w:val="single" w:sz="4" w:space="0" w:color="auto"/>
            </w:tcBorders>
            <w:shd w:val="clear" w:color="auto" w:fill="auto"/>
            <w:noWrap/>
            <w:vAlign w:val="center"/>
            <w:hideMark/>
          </w:tcPr>
          <w:p w14:paraId="75253B6B" w14:textId="78FBBE35"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111 842 034</w:t>
            </w:r>
          </w:p>
        </w:tc>
        <w:tc>
          <w:tcPr>
            <w:tcW w:w="992" w:type="dxa"/>
            <w:tcBorders>
              <w:top w:val="nil"/>
              <w:left w:val="nil"/>
              <w:bottom w:val="single" w:sz="4" w:space="0" w:color="auto"/>
              <w:right w:val="single" w:sz="4" w:space="0" w:color="auto"/>
            </w:tcBorders>
            <w:shd w:val="clear" w:color="auto" w:fill="auto"/>
            <w:noWrap/>
            <w:vAlign w:val="center"/>
            <w:hideMark/>
          </w:tcPr>
          <w:p w14:paraId="30657ED1" w14:textId="24BF3FAC" w:rsidR="00447FED" w:rsidRPr="00F77A7A" w:rsidRDefault="00447FED" w:rsidP="00F87D11">
            <w:pPr>
              <w:ind w:hanging="70"/>
              <w:jc w:val="center"/>
              <w:rPr>
                <w:rFonts w:ascii="Arial" w:hAnsi="Arial" w:cs="Arial"/>
                <w:bCs/>
                <w:color w:val="000000"/>
                <w:sz w:val="16"/>
                <w:szCs w:val="16"/>
              </w:rPr>
            </w:pPr>
            <w:r w:rsidRPr="00447FED">
              <w:rPr>
                <w:rFonts w:ascii="Arial" w:hAnsi="Arial" w:cs="Arial"/>
                <w:bCs/>
                <w:color w:val="000000"/>
                <w:sz w:val="16"/>
                <w:szCs w:val="16"/>
              </w:rPr>
              <w:t>89 388 665</w:t>
            </w:r>
          </w:p>
        </w:tc>
        <w:tc>
          <w:tcPr>
            <w:tcW w:w="993" w:type="dxa"/>
            <w:tcBorders>
              <w:top w:val="nil"/>
              <w:left w:val="nil"/>
              <w:bottom w:val="single" w:sz="4" w:space="0" w:color="auto"/>
              <w:right w:val="single" w:sz="4" w:space="0" w:color="auto"/>
            </w:tcBorders>
            <w:shd w:val="clear" w:color="auto" w:fill="auto"/>
            <w:noWrap/>
            <w:vAlign w:val="center"/>
            <w:hideMark/>
          </w:tcPr>
          <w:p w14:paraId="40BEF703" w14:textId="3D230024" w:rsidR="00447FED" w:rsidRPr="00F77A7A" w:rsidRDefault="00447FED" w:rsidP="00F87D11">
            <w:pPr>
              <w:ind w:hanging="70"/>
              <w:jc w:val="center"/>
              <w:rPr>
                <w:rFonts w:ascii="Arial" w:hAnsi="Arial" w:cs="Arial"/>
                <w:bCs/>
                <w:color w:val="000000"/>
                <w:sz w:val="16"/>
                <w:szCs w:val="16"/>
              </w:rPr>
            </w:pPr>
            <w:r w:rsidRPr="00447FED">
              <w:rPr>
                <w:rFonts w:ascii="Arial" w:hAnsi="Arial" w:cs="Arial"/>
                <w:bCs/>
                <w:color w:val="000000"/>
                <w:sz w:val="16"/>
                <w:szCs w:val="16"/>
              </w:rPr>
              <w:t>9 724 843</w:t>
            </w:r>
          </w:p>
        </w:tc>
        <w:tc>
          <w:tcPr>
            <w:tcW w:w="1134" w:type="dxa"/>
            <w:tcBorders>
              <w:top w:val="nil"/>
              <w:left w:val="nil"/>
              <w:bottom w:val="single" w:sz="4" w:space="0" w:color="auto"/>
              <w:right w:val="single" w:sz="4" w:space="0" w:color="auto"/>
            </w:tcBorders>
            <w:shd w:val="clear" w:color="auto" w:fill="auto"/>
            <w:noWrap/>
            <w:vAlign w:val="center"/>
            <w:hideMark/>
          </w:tcPr>
          <w:p w14:paraId="7916F4D2" w14:textId="7B746694"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9 370 985</w:t>
            </w:r>
          </w:p>
        </w:tc>
        <w:tc>
          <w:tcPr>
            <w:tcW w:w="992" w:type="dxa"/>
            <w:tcBorders>
              <w:top w:val="nil"/>
              <w:left w:val="nil"/>
              <w:bottom w:val="single" w:sz="4" w:space="0" w:color="auto"/>
              <w:right w:val="single" w:sz="4" w:space="0" w:color="auto"/>
            </w:tcBorders>
            <w:shd w:val="clear" w:color="auto" w:fill="auto"/>
            <w:noWrap/>
            <w:vAlign w:val="center"/>
            <w:hideMark/>
          </w:tcPr>
          <w:p w14:paraId="00BB081D" w14:textId="24B3204B"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3 616 092</w:t>
            </w:r>
          </w:p>
        </w:tc>
        <w:tc>
          <w:tcPr>
            <w:tcW w:w="992" w:type="dxa"/>
            <w:tcBorders>
              <w:top w:val="nil"/>
              <w:left w:val="nil"/>
              <w:bottom w:val="single" w:sz="4" w:space="0" w:color="auto"/>
              <w:right w:val="single" w:sz="4" w:space="0" w:color="auto"/>
            </w:tcBorders>
            <w:shd w:val="clear" w:color="auto" w:fill="auto"/>
            <w:noWrap/>
            <w:vAlign w:val="center"/>
            <w:hideMark/>
          </w:tcPr>
          <w:p w14:paraId="223302B3" w14:textId="70573406"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3 488 595</w:t>
            </w:r>
          </w:p>
        </w:tc>
        <w:tc>
          <w:tcPr>
            <w:tcW w:w="992" w:type="dxa"/>
            <w:tcBorders>
              <w:top w:val="nil"/>
              <w:left w:val="nil"/>
              <w:bottom w:val="single" w:sz="4" w:space="0" w:color="auto"/>
              <w:right w:val="single" w:sz="4" w:space="0" w:color="auto"/>
            </w:tcBorders>
            <w:shd w:val="clear" w:color="auto" w:fill="auto"/>
            <w:noWrap/>
            <w:vAlign w:val="center"/>
            <w:hideMark/>
          </w:tcPr>
          <w:p w14:paraId="19FB4F6B" w14:textId="5D1A321C" w:rsidR="00447FED" w:rsidRPr="00F77A7A" w:rsidRDefault="00447FED" w:rsidP="00447FED">
            <w:pPr>
              <w:jc w:val="center"/>
              <w:rPr>
                <w:rFonts w:ascii="Arial" w:hAnsi="Arial" w:cs="Arial"/>
                <w:bCs/>
                <w:color w:val="000000"/>
                <w:sz w:val="16"/>
                <w:szCs w:val="16"/>
              </w:rPr>
            </w:pPr>
            <w:r w:rsidRPr="00447FED">
              <w:rPr>
                <w:rFonts w:ascii="Arial" w:hAnsi="Arial" w:cs="Arial"/>
                <w:bCs/>
                <w:color w:val="000000"/>
                <w:sz w:val="16"/>
                <w:szCs w:val="16"/>
              </w:rPr>
              <w:t>2 320 239</w:t>
            </w:r>
          </w:p>
        </w:tc>
        <w:tc>
          <w:tcPr>
            <w:tcW w:w="1202" w:type="dxa"/>
            <w:tcBorders>
              <w:top w:val="nil"/>
              <w:left w:val="nil"/>
              <w:bottom w:val="single" w:sz="4" w:space="0" w:color="auto"/>
              <w:right w:val="single" w:sz="4" w:space="0" w:color="auto"/>
            </w:tcBorders>
            <w:shd w:val="clear" w:color="auto" w:fill="auto"/>
            <w:noWrap/>
            <w:vAlign w:val="center"/>
            <w:hideMark/>
          </w:tcPr>
          <w:p w14:paraId="5922784D" w14:textId="37427A19"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229 751 452</w:t>
            </w:r>
          </w:p>
        </w:tc>
      </w:tr>
      <w:tr w:rsidR="007E0435" w:rsidRPr="00F77A7A" w14:paraId="72246563" w14:textId="77777777" w:rsidTr="00F87D11">
        <w:trPr>
          <w:trHeight w:val="225"/>
        </w:trPr>
        <w:tc>
          <w:tcPr>
            <w:tcW w:w="779" w:type="dxa"/>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08581CA7" w14:textId="77777777" w:rsidR="00447FED" w:rsidRPr="00F77A7A" w:rsidRDefault="00447FED" w:rsidP="00014279">
            <w:pPr>
              <w:jc w:val="center"/>
              <w:rPr>
                <w:rFonts w:ascii="Arial" w:hAnsi="Arial" w:cs="Arial"/>
                <w:b/>
                <w:bCs/>
                <w:color w:val="000000"/>
                <w:sz w:val="16"/>
                <w:szCs w:val="16"/>
              </w:rPr>
            </w:pPr>
            <w:r w:rsidRPr="00F77A7A">
              <w:rPr>
                <w:rFonts w:ascii="Arial" w:hAnsi="Arial" w:cs="Arial"/>
                <w:b/>
                <w:bCs/>
                <w:color w:val="000000"/>
                <w:sz w:val="16"/>
                <w:szCs w:val="16"/>
              </w:rPr>
              <w:t>Celkový súčet</w:t>
            </w:r>
          </w:p>
        </w:tc>
        <w:tc>
          <w:tcPr>
            <w:tcW w:w="1134" w:type="dxa"/>
            <w:tcBorders>
              <w:top w:val="nil"/>
              <w:left w:val="nil"/>
              <w:bottom w:val="single" w:sz="4" w:space="0" w:color="auto"/>
              <w:right w:val="single" w:sz="4" w:space="0" w:color="auto"/>
            </w:tcBorders>
            <w:shd w:val="clear" w:color="auto" w:fill="auto"/>
            <w:noWrap/>
            <w:vAlign w:val="center"/>
            <w:hideMark/>
          </w:tcPr>
          <w:p w14:paraId="374FF0A2" w14:textId="282E3EF5"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887 374 340</w:t>
            </w:r>
          </w:p>
        </w:tc>
        <w:tc>
          <w:tcPr>
            <w:tcW w:w="992" w:type="dxa"/>
            <w:tcBorders>
              <w:top w:val="nil"/>
              <w:left w:val="nil"/>
              <w:bottom w:val="single" w:sz="4" w:space="0" w:color="auto"/>
              <w:right w:val="single" w:sz="4" w:space="0" w:color="auto"/>
            </w:tcBorders>
            <w:shd w:val="clear" w:color="auto" w:fill="auto"/>
            <w:noWrap/>
            <w:vAlign w:val="center"/>
            <w:hideMark/>
          </w:tcPr>
          <w:p w14:paraId="10CF5903" w14:textId="4755E8A7" w:rsidR="00447FED" w:rsidRPr="00447FED" w:rsidRDefault="00447FED" w:rsidP="00F87D11">
            <w:pPr>
              <w:ind w:hanging="70"/>
              <w:jc w:val="center"/>
              <w:rPr>
                <w:rFonts w:ascii="Arial" w:hAnsi="Arial" w:cs="Arial"/>
                <w:b/>
                <w:bCs/>
                <w:color w:val="000000"/>
                <w:sz w:val="16"/>
                <w:szCs w:val="16"/>
              </w:rPr>
            </w:pPr>
            <w:r w:rsidRPr="00447FED">
              <w:rPr>
                <w:rFonts w:ascii="Arial" w:hAnsi="Arial" w:cs="Arial"/>
                <w:b/>
                <w:bCs/>
                <w:color w:val="000000"/>
                <w:sz w:val="16"/>
                <w:szCs w:val="16"/>
              </w:rPr>
              <w:t>258 531 352</w:t>
            </w:r>
          </w:p>
        </w:tc>
        <w:tc>
          <w:tcPr>
            <w:tcW w:w="993" w:type="dxa"/>
            <w:tcBorders>
              <w:top w:val="nil"/>
              <w:left w:val="nil"/>
              <w:bottom w:val="single" w:sz="4" w:space="0" w:color="auto"/>
              <w:right w:val="single" w:sz="4" w:space="0" w:color="auto"/>
            </w:tcBorders>
            <w:shd w:val="clear" w:color="auto" w:fill="auto"/>
            <w:noWrap/>
            <w:vAlign w:val="center"/>
            <w:hideMark/>
          </w:tcPr>
          <w:p w14:paraId="7D96799D" w14:textId="1DEC3441" w:rsidR="00447FED" w:rsidRPr="00447FED" w:rsidRDefault="00447FED" w:rsidP="00F87D11">
            <w:pPr>
              <w:ind w:hanging="70"/>
              <w:jc w:val="center"/>
              <w:rPr>
                <w:rFonts w:ascii="Arial" w:hAnsi="Arial" w:cs="Arial"/>
                <w:b/>
                <w:bCs/>
                <w:color w:val="000000"/>
                <w:sz w:val="16"/>
                <w:szCs w:val="16"/>
              </w:rPr>
            </w:pPr>
            <w:r w:rsidRPr="00447FED">
              <w:rPr>
                <w:rFonts w:ascii="Arial" w:hAnsi="Arial" w:cs="Arial"/>
                <w:b/>
                <w:bCs/>
                <w:color w:val="000000"/>
                <w:sz w:val="16"/>
                <w:szCs w:val="16"/>
              </w:rPr>
              <w:t>184 134 358</w:t>
            </w:r>
          </w:p>
        </w:tc>
        <w:tc>
          <w:tcPr>
            <w:tcW w:w="1134" w:type="dxa"/>
            <w:tcBorders>
              <w:top w:val="nil"/>
              <w:left w:val="nil"/>
              <w:bottom w:val="single" w:sz="4" w:space="0" w:color="auto"/>
              <w:right w:val="single" w:sz="4" w:space="0" w:color="auto"/>
            </w:tcBorders>
            <w:shd w:val="clear" w:color="auto" w:fill="auto"/>
            <w:noWrap/>
            <w:vAlign w:val="center"/>
            <w:hideMark/>
          </w:tcPr>
          <w:p w14:paraId="10C47EB7" w14:textId="766E2726"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350 972 762</w:t>
            </w:r>
          </w:p>
        </w:tc>
        <w:tc>
          <w:tcPr>
            <w:tcW w:w="992" w:type="dxa"/>
            <w:tcBorders>
              <w:top w:val="nil"/>
              <w:left w:val="nil"/>
              <w:bottom w:val="single" w:sz="4" w:space="0" w:color="auto"/>
              <w:right w:val="single" w:sz="4" w:space="0" w:color="auto"/>
            </w:tcBorders>
            <w:shd w:val="clear" w:color="auto" w:fill="auto"/>
            <w:noWrap/>
            <w:vAlign w:val="center"/>
            <w:hideMark/>
          </w:tcPr>
          <w:p w14:paraId="5D3DDD90" w14:textId="208B3BE4"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45 997 273</w:t>
            </w:r>
          </w:p>
        </w:tc>
        <w:tc>
          <w:tcPr>
            <w:tcW w:w="992" w:type="dxa"/>
            <w:tcBorders>
              <w:top w:val="nil"/>
              <w:left w:val="nil"/>
              <w:bottom w:val="single" w:sz="4" w:space="0" w:color="auto"/>
              <w:right w:val="single" w:sz="4" w:space="0" w:color="auto"/>
            </w:tcBorders>
            <w:shd w:val="clear" w:color="auto" w:fill="auto"/>
            <w:noWrap/>
            <w:vAlign w:val="center"/>
            <w:hideMark/>
          </w:tcPr>
          <w:p w14:paraId="2969C829" w14:textId="4F6BDE8E"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49 346 323</w:t>
            </w:r>
          </w:p>
        </w:tc>
        <w:tc>
          <w:tcPr>
            <w:tcW w:w="992" w:type="dxa"/>
            <w:tcBorders>
              <w:top w:val="nil"/>
              <w:left w:val="nil"/>
              <w:bottom w:val="single" w:sz="4" w:space="0" w:color="auto"/>
              <w:right w:val="single" w:sz="4" w:space="0" w:color="auto"/>
            </w:tcBorders>
            <w:shd w:val="clear" w:color="auto" w:fill="auto"/>
            <w:noWrap/>
            <w:vAlign w:val="center"/>
            <w:hideMark/>
          </w:tcPr>
          <w:p w14:paraId="5A30A77B" w14:textId="2A0B9ABC"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16 769 638</w:t>
            </w:r>
          </w:p>
        </w:tc>
        <w:tc>
          <w:tcPr>
            <w:tcW w:w="1202" w:type="dxa"/>
            <w:tcBorders>
              <w:top w:val="nil"/>
              <w:left w:val="nil"/>
              <w:bottom w:val="single" w:sz="4" w:space="0" w:color="auto"/>
              <w:right w:val="single" w:sz="4" w:space="0" w:color="auto"/>
            </w:tcBorders>
            <w:shd w:val="clear" w:color="auto" w:fill="auto"/>
            <w:noWrap/>
            <w:vAlign w:val="center"/>
            <w:hideMark/>
          </w:tcPr>
          <w:p w14:paraId="17960AAE" w14:textId="066F4DA3" w:rsidR="00447FED" w:rsidRPr="00447FED" w:rsidRDefault="00447FED" w:rsidP="00447FED">
            <w:pPr>
              <w:jc w:val="center"/>
              <w:rPr>
                <w:rFonts w:ascii="Arial" w:hAnsi="Arial" w:cs="Arial"/>
                <w:b/>
                <w:bCs/>
                <w:color w:val="000000"/>
                <w:sz w:val="16"/>
                <w:szCs w:val="16"/>
              </w:rPr>
            </w:pPr>
            <w:r w:rsidRPr="00447FED">
              <w:rPr>
                <w:rFonts w:ascii="Arial" w:hAnsi="Arial" w:cs="Arial"/>
                <w:b/>
                <w:bCs/>
                <w:color w:val="000000"/>
                <w:sz w:val="16"/>
                <w:szCs w:val="16"/>
              </w:rPr>
              <w:t>1 793 126 046</w:t>
            </w:r>
          </w:p>
        </w:tc>
      </w:tr>
    </w:tbl>
    <w:p w14:paraId="3EE42043" w14:textId="5E10111E" w:rsidR="00817179" w:rsidRPr="001A02B3" w:rsidRDefault="001A02B3" w:rsidP="001A02B3">
      <w:pPr>
        <w:ind w:left="1" w:firstLine="2"/>
        <w:jc w:val="both"/>
        <w:rPr>
          <w:rFonts w:ascii="Arial" w:hAnsi="Arial" w:cs="Arial"/>
          <w:sz w:val="16"/>
          <w:szCs w:val="16"/>
        </w:rPr>
      </w:pPr>
      <w:r w:rsidRPr="00123376">
        <w:rPr>
          <w:rFonts w:ascii="Arial" w:hAnsi="Arial" w:cs="Arial"/>
          <w:sz w:val="16"/>
          <w:szCs w:val="16"/>
        </w:rPr>
        <w:t>Zdroj: RO</w:t>
      </w:r>
      <w:r>
        <w:rPr>
          <w:rFonts w:ascii="Arial" w:hAnsi="Arial" w:cs="Arial"/>
          <w:sz w:val="16"/>
          <w:szCs w:val="16"/>
        </w:rPr>
        <w:t>, ITMS</w:t>
      </w:r>
    </w:p>
    <w:p w14:paraId="35438BD3" w14:textId="37E9F820" w:rsidR="00817179" w:rsidRPr="00AC1A6A" w:rsidRDefault="00281657" w:rsidP="00817179">
      <w:pPr>
        <w:spacing w:before="120" w:after="120"/>
        <w:jc w:val="both"/>
        <w:rPr>
          <w:rFonts w:ascii="Arial" w:hAnsi="Arial" w:cs="Arial"/>
          <w:sz w:val="20"/>
          <w:szCs w:val="20"/>
        </w:rPr>
      </w:pPr>
      <w:r>
        <w:rPr>
          <w:rFonts w:ascii="Arial" w:hAnsi="Arial" w:cs="Arial"/>
          <w:sz w:val="20"/>
          <w:szCs w:val="20"/>
        </w:rPr>
        <w:t>Priamy vplyv na stav č</w:t>
      </w:r>
      <w:r w:rsidR="00817179">
        <w:rPr>
          <w:rFonts w:ascii="Arial" w:hAnsi="Arial" w:cs="Arial"/>
          <w:sz w:val="20"/>
          <w:szCs w:val="20"/>
        </w:rPr>
        <w:t xml:space="preserve">erpanie OP ŽP </w:t>
      </w:r>
      <w:r>
        <w:rPr>
          <w:rFonts w:ascii="Arial" w:hAnsi="Arial" w:cs="Arial"/>
          <w:sz w:val="20"/>
          <w:szCs w:val="20"/>
        </w:rPr>
        <w:t>mal stav postupného zazmluvňovania OP</w:t>
      </w:r>
      <w:r w:rsidR="006A2242">
        <w:rPr>
          <w:rFonts w:ascii="Arial" w:hAnsi="Arial" w:cs="Arial"/>
          <w:sz w:val="20"/>
          <w:szCs w:val="20"/>
        </w:rPr>
        <w:t xml:space="preserve"> </w:t>
      </w:r>
      <w:r>
        <w:rPr>
          <w:rFonts w:ascii="Arial" w:hAnsi="Arial" w:cs="Arial"/>
          <w:sz w:val="20"/>
          <w:szCs w:val="20"/>
        </w:rPr>
        <w:t>ŽP.</w:t>
      </w:r>
      <w:r w:rsidR="001A6CAA">
        <w:rPr>
          <w:rFonts w:ascii="Arial" w:hAnsi="Arial" w:cs="Arial"/>
          <w:sz w:val="20"/>
          <w:szCs w:val="20"/>
        </w:rPr>
        <w:t xml:space="preserve"> </w:t>
      </w:r>
      <w:r w:rsidR="00817179">
        <w:rPr>
          <w:rFonts w:ascii="Arial" w:hAnsi="Arial" w:cs="Arial"/>
          <w:sz w:val="20"/>
          <w:szCs w:val="20"/>
        </w:rPr>
        <w:t xml:space="preserve">Najvyšší nárast čerpania bol zaznamenaný v roku </w:t>
      </w:r>
      <w:r w:rsidR="00817179" w:rsidRPr="006E0370">
        <w:rPr>
          <w:rFonts w:ascii="Arial" w:hAnsi="Arial" w:cs="Arial"/>
          <w:sz w:val="20"/>
          <w:szCs w:val="20"/>
        </w:rPr>
        <w:t>2015 kde čerpanie v dan</w:t>
      </w:r>
      <w:r w:rsidR="006A2242">
        <w:rPr>
          <w:rFonts w:ascii="Arial" w:hAnsi="Arial" w:cs="Arial"/>
          <w:sz w:val="20"/>
          <w:szCs w:val="20"/>
        </w:rPr>
        <w:t>om roku dosahovalo sumu 540 182 </w:t>
      </w:r>
      <w:r w:rsidR="00817179" w:rsidRPr="006E0370">
        <w:rPr>
          <w:rFonts w:ascii="Arial" w:hAnsi="Arial" w:cs="Arial"/>
          <w:sz w:val="20"/>
          <w:szCs w:val="20"/>
        </w:rPr>
        <w:t>322,14</w:t>
      </w:r>
      <w:r w:rsidR="006A2242">
        <w:rPr>
          <w:rFonts w:ascii="Arial" w:hAnsi="Arial" w:cs="Arial"/>
          <w:sz w:val="20"/>
          <w:szCs w:val="20"/>
        </w:rPr>
        <w:t> </w:t>
      </w:r>
      <w:r w:rsidR="00366C2D" w:rsidRPr="006E0370">
        <w:rPr>
          <w:rFonts w:ascii="Arial" w:hAnsi="Arial" w:cs="Arial"/>
          <w:sz w:val="20"/>
          <w:szCs w:val="20"/>
        </w:rPr>
        <w:t>€</w:t>
      </w:r>
      <w:r w:rsidR="00817179" w:rsidRPr="006E0370">
        <w:rPr>
          <w:rFonts w:ascii="Arial" w:hAnsi="Arial" w:cs="Arial"/>
          <w:sz w:val="20"/>
          <w:szCs w:val="20"/>
        </w:rPr>
        <w:t>. Priemern</w:t>
      </w:r>
      <w:r w:rsidR="00AC1A6A" w:rsidRPr="006E0370">
        <w:rPr>
          <w:rFonts w:ascii="Arial" w:hAnsi="Arial" w:cs="Arial"/>
          <w:sz w:val="20"/>
          <w:szCs w:val="20"/>
        </w:rPr>
        <w:t>é ročné</w:t>
      </w:r>
      <w:r w:rsidR="00817179" w:rsidRPr="006E0370">
        <w:rPr>
          <w:rFonts w:ascii="Arial" w:hAnsi="Arial" w:cs="Arial"/>
          <w:sz w:val="20"/>
          <w:szCs w:val="20"/>
        </w:rPr>
        <w:t xml:space="preserve"> čerpanie </w:t>
      </w:r>
      <w:r w:rsidR="00057B79" w:rsidRPr="006E0370">
        <w:rPr>
          <w:rFonts w:ascii="Arial" w:hAnsi="Arial" w:cs="Arial"/>
          <w:sz w:val="20"/>
          <w:szCs w:val="20"/>
        </w:rPr>
        <w:t>dosahovalo</w:t>
      </w:r>
      <w:r w:rsidR="00817179" w:rsidRPr="006E0370">
        <w:rPr>
          <w:rFonts w:ascii="Arial" w:hAnsi="Arial" w:cs="Arial"/>
          <w:sz w:val="20"/>
          <w:szCs w:val="20"/>
        </w:rPr>
        <w:t xml:space="preserve"> sumu cca. 197 mil. </w:t>
      </w:r>
      <w:r w:rsidR="00366C2D" w:rsidRPr="006E0370">
        <w:rPr>
          <w:rFonts w:ascii="Arial" w:hAnsi="Arial" w:cs="Arial"/>
          <w:sz w:val="20"/>
          <w:szCs w:val="20"/>
        </w:rPr>
        <w:t>€</w:t>
      </w:r>
      <w:r w:rsidR="00817179" w:rsidRPr="006E0370">
        <w:rPr>
          <w:rFonts w:ascii="Arial" w:hAnsi="Arial" w:cs="Arial"/>
          <w:sz w:val="20"/>
          <w:szCs w:val="20"/>
        </w:rPr>
        <w:t>.</w:t>
      </w:r>
      <w:r w:rsidR="00AC1A6A">
        <w:rPr>
          <w:rFonts w:ascii="Arial" w:hAnsi="Arial" w:cs="Arial"/>
          <w:sz w:val="20"/>
          <w:szCs w:val="20"/>
        </w:rPr>
        <w:t xml:space="preserve"> </w:t>
      </w:r>
      <w:r w:rsidR="00AC1A6A" w:rsidRPr="00AC1A6A">
        <w:rPr>
          <w:rFonts w:ascii="Arial" w:hAnsi="Arial" w:cs="Arial"/>
          <w:sz w:val="20"/>
          <w:szCs w:val="20"/>
        </w:rPr>
        <w:t>Priebeh čerpania finančných prostriedkov, však nie je možné po</w:t>
      </w:r>
      <w:r w:rsidR="00566C88">
        <w:rPr>
          <w:rFonts w:ascii="Arial" w:hAnsi="Arial" w:cs="Arial"/>
          <w:sz w:val="20"/>
          <w:szCs w:val="20"/>
        </w:rPr>
        <w:t>važovať za optimálne rozložený.</w:t>
      </w:r>
      <w:r w:rsidR="00817179" w:rsidRPr="00AC1A6A">
        <w:rPr>
          <w:rFonts w:ascii="Arial" w:hAnsi="Arial" w:cs="Arial"/>
        </w:rPr>
        <w:fldChar w:fldCharType="begin"/>
      </w:r>
      <w:r w:rsidR="00817179" w:rsidRPr="00AC1A6A">
        <w:rPr>
          <w:rFonts w:ascii="Arial" w:hAnsi="Arial" w:cs="Arial"/>
        </w:rPr>
        <w:instrText xml:space="preserve"> LINK Excel.Sheet.12 "C:\\Users\\stanislav.kulla\\AppData\\Local\\Microsoft\\Windows\\Temporary Internet Files\\Content.Outlook\\CF27U75Y\\rocne cerpanie 2016_09_26.xlsx" "Hárok3!R2C13:R12C21" \a \f 4 \h  \* MERGEFORMAT </w:instrText>
      </w:r>
      <w:r w:rsidR="00817179" w:rsidRPr="00AC1A6A">
        <w:rPr>
          <w:rFonts w:ascii="Arial" w:hAnsi="Arial" w:cs="Arial"/>
        </w:rPr>
        <w:fldChar w:fldCharType="separate"/>
      </w:r>
    </w:p>
    <w:p w14:paraId="792301FD" w14:textId="4F104EC1" w:rsidR="00151E81" w:rsidRDefault="00817179" w:rsidP="00151E81">
      <w:pPr>
        <w:spacing w:before="120" w:after="120"/>
        <w:jc w:val="both"/>
        <w:rPr>
          <w:rFonts w:ascii="Arial" w:hAnsi="Arial" w:cs="Arial"/>
          <w:sz w:val="20"/>
          <w:szCs w:val="20"/>
        </w:rPr>
      </w:pPr>
      <w:r w:rsidRPr="00AC1A6A">
        <w:rPr>
          <w:rFonts w:ascii="Arial" w:hAnsi="Arial" w:cs="Arial"/>
          <w:sz w:val="20"/>
          <w:szCs w:val="20"/>
        </w:rPr>
        <w:fldChar w:fldCharType="end"/>
      </w:r>
      <w:r w:rsidR="00151E81" w:rsidRPr="00151E81">
        <w:rPr>
          <w:rFonts w:ascii="Arial" w:hAnsi="Arial" w:cs="Arial"/>
          <w:sz w:val="20"/>
          <w:szCs w:val="20"/>
        </w:rPr>
        <w:t xml:space="preserve"> </w:t>
      </w:r>
      <w:r w:rsidR="00151E81">
        <w:rPr>
          <w:rFonts w:ascii="Arial" w:hAnsi="Arial" w:cs="Arial"/>
          <w:sz w:val="20"/>
          <w:szCs w:val="20"/>
        </w:rPr>
        <w:t>Z regionálneho hľadiska 84 % čerpaných finančných prostriedkov z EÚ zdrojov bolo použitých na aktivity priamo v regiónoch a 16 % čerpaných finančných prostriedkov bolo požitých na aktivity s dosahom na celé územie SR. Z celkovej sumy čerpaných finančných prostriedkov boli iba 4 % na území Bratislavského samosprávneho kraja a najviac takmer 14 % bolo čerpaných v Žilinskom a Prešovskom kraji. Bližšie informácie sú uvedené v kapitole 2.1.3.</w:t>
      </w:r>
    </w:p>
    <w:p w14:paraId="5BF9320A" w14:textId="16B6AD4C" w:rsidR="00221AAB" w:rsidRDefault="00307B10" w:rsidP="00877480">
      <w:pPr>
        <w:spacing w:before="120" w:after="120"/>
        <w:jc w:val="both"/>
        <w:rPr>
          <w:rFonts w:ascii="Arial" w:hAnsi="Arial" w:cs="Arial"/>
          <w:sz w:val="20"/>
          <w:szCs w:val="20"/>
        </w:rPr>
      </w:pPr>
      <w:r w:rsidRPr="001E102B">
        <w:rPr>
          <w:rFonts w:ascii="Arial" w:hAnsi="Arial" w:cs="Arial"/>
          <w:sz w:val="20"/>
          <w:szCs w:val="20"/>
        </w:rPr>
        <w:t xml:space="preserve">Medzi hlavné </w:t>
      </w:r>
      <w:r w:rsidRPr="00E93E87">
        <w:rPr>
          <w:rFonts w:ascii="Arial" w:hAnsi="Arial" w:cs="Arial"/>
          <w:sz w:val="20"/>
          <w:szCs w:val="20"/>
        </w:rPr>
        <w:t>d</w:t>
      </w:r>
      <w:r w:rsidR="008A3777" w:rsidRPr="00980F76">
        <w:rPr>
          <w:rFonts w:ascii="Arial" w:hAnsi="Arial" w:cs="Arial"/>
          <w:sz w:val="20"/>
          <w:szCs w:val="20"/>
        </w:rPr>
        <w:t>ôvod</w:t>
      </w:r>
      <w:r w:rsidR="00A00FBB" w:rsidRPr="00980F76">
        <w:rPr>
          <w:rFonts w:ascii="Arial" w:hAnsi="Arial" w:cs="Arial"/>
          <w:sz w:val="20"/>
          <w:szCs w:val="20"/>
        </w:rPr>
        <w:t xml:space="preserve">y, ktoré </w:t>
      </w:r>
      <w:r w:rsidR="00A00FBB" w:rsidRPr="001E102B">
        <w:rPr>
          <w:rFonts w:ascii="Arial" w:hAnsi="Arial" w:cs="Arial"/>
          <w:sz w:val="20"/>
          <w:szCs w:val="20"/>
        </w:rPr>
        <w:t>vplýva</w:t>
      </w:r>
      <w:r w:rsidRPr="001E102B">
        <w:rPr>
          <w:rFonts w:ascii="Arial" w:hAnsi="Arial" w:cs="Arial"/>
          <w:sz w:val="20"/>
          <w:szCs w:val="20"/>
        </w:rPr>
        <w:t>li</w:t>
      </w:r>
      <w:r w:rsidR="00A00FBB" w:rsidRPr="001E102B">
        <w:rPr>
          <w:rFonts w:ascii="Arial" w:hAnsi="Arial" w:cs="Arial"/>
          <w:sz w:val="20"/>
          <w:szCs w:val="20"/>
        </w:rPr>
        <w:t xml:space="preserve"> na </w:t>
      </w:r>
      <w:r w:rsidR="002E4909">
        <w:rPr>
          <w:rFonts w:ascii="Arial" w:hAnsi="Arial" w:cs="Arial"/>
          <w:sz w:val="20"/>
          <w:szCs w:val="20"/>
        </w:rPr>
        <w:t>progres v oblasti čerpania prostriedkov</w:t>
      </w:r>
      <w:r w:rsidR="00172068" w:rsidRPr="00053CE2">
        <w:rPr>
          <w:rFonts w:ascii="Arial" w:hAnsi="Arial" w:cs="Arial"/>
          <w:sz w:val="20"/>
          <w:szCs w:val="20"/>
        </w:rPr>
        <w:t xml:space="preserve"> OP ŽP</w:t>
      </w:r>
      <w:r w:rsidRPr="00053CE2">
        <w:rPr>
          <w:rFonts w:ascii="Arial" w:hAnsi="Arial" w:cs="Arial"/>
          <w:sz w:val="20"/>
          <w:szCs w:val="20"/>
        </w:rPr>
        <w:t xml:space="preserve"> patrili</w:t>
      </w:r>
      <w:r w:rsidR="002E4909">
        <w:rPr>
          <w:rFonts w:ascii="Arial" w:hAnsi="Arial" w:cs="Arial"/>
          <w:sz w:val="20"/>
          <w:szCs w:val="20"/>
        </w:rPr>
        <w:t xml:space="preserve"> predovšetkým</w:t>
      </w:r>
      <w:r w:rsidRPr="00053CE2">
        <w:rPr>
          <w:rFonts w:ascii="Arial" w:hAnsi="Arial" w:cs="Arial"/>
          <w:sz w:val="20"/>
          <w:szCs w:val="20"/>
        </w:rPr>
        <w:t xml:space="preserve"> </w:t>
      </w:r>
      <w:r w:rsidRPr="00053CE2">
        <w:rPr>
          <w:rFonts w:ascii="Arial" w:hAnsi="Arial" w:cs="Arial"/>
          <w:sz w:val="20"/>
          <w:szCs w:val="20"/>
        </w:rPr>
        <w:tab/>
        <w:t>zdĺhavý</w:t>
      </w:r>
      <w:r w:rsidR="001E102B" w:rsidRPr="001E102B">
        <w:rPr>
          <w:rFonts w:ascii="Arial" w:hAnsi="Arial" w:cs="Arial"/>
          <w:sz w:val="20"/>
          <w:szCs w:val="20"/>
        </w:rPr>
        <w:t xml:space="preserve"> a</w:t>
      </w:r>
      <w:r w:rsidR="001E102B">
        <w:rPr>
          <w:rFonts w:ascii="Arial" w:hAnsi="Arial" w:cs="Arial"/>
          <w:sz w:val="20"/>
          <w:szCs w:val="20"/>
        </w:rPr>
        <w:t xml:space="preserve"> </w:t>
      </w:r>
      <w:r w:rsidRPr="001E102B">
        <w:rPr>
          <w:rFonts w:ascii="Arial" w:hAnsi="Arial" w:cs="Arial"/>
          <w:sz w:val="20"/>
          <w:szCs w:val="20"/>
        </w:rPr>
        <w:t>komplikovaný proces verejného obstarávania a s tým súvisiace nedodržiavanie postupov a pravidiel zákona o verejnom obstarávaní zo strany prijímateľov</w:t>
      </w:r>
      <w:r w:rsidR="00520926">
        <w:rPr>
          <w:rFonts w:ascii="Arial" w:hAnsi="Arial" w:cs="Arial"/>
          <w:sz w:val="20"/>
          <w:szCs w:val="20"/>
        </w:rPr>
        <w:t xml:space="preserve">, </w:t>
      </w:r>
      <w:r w:rsidR="00520926" w:rsidRPr="00520926">
        <w:rPr>
          <w:rFonts w:ascii="Arial" w:hAnsi="Arial" w:cs="Arial"/>
          <w:sz w:val="20"/>
          <w:szCs w:val="20"/>
        </w:rPr>
        <w:tab/>
        <w:t>pozastavenie platieb pre OP ŽP zo strany EK (14 m</w:t>
      </w:r>
      <w:r w:rsidR="00520926">
        <w:rPr>
          <w:rFonts w:ascii="Arial" w:hAnsi="Arial" w:cs="Arial"/>
          <w:sz w:val="20"/>
          <w:szCs w:val="20"/>
        </w:rPr>
        <w:t>esiacov: od 07/2011 do 09/2012)</w:t>
      </w:r>
      <w:r w:rsidR="002E4909">
        <w:rPr>
          <w:rFonts w:ascii="Arial" w:hAnsi="Arial" w:cs="Arial"/>
          <w:sz w:val="20"/>
          <w:szCs w:val="20"/>
        </w:rPr>
        <w:t xml:space="preserve"> a i</w:t>
      </w:r>
      <w:r w:rsidRPr="00053CE2">
        <w:rPr>
          <w:rFonts w:ascii="Arial" w:hAnsi="Arial" w:cs="Arial"/>
          <w:sz w:val="20"/>
          <w:szCs w:val="20"/>
        </w:rPr>
        <w:t>nvestičný</w:t>
      </w:r>
      <w:r w:rsidR="001E102B">
        <w:rPr>
          <w:rFonts w:ascii="Arial" w:hAnsi="Arial" w:cs="Arial"/>
          <w:sz w:val="20"/>
          <w:szCs w:val="20"/>
        </w:rPr>
        <w:t xml:space="preserve"> </w:t>
      </w:r>
      <w:r w:rsidR="001E102B" w:rsidRPr="001E102B">
        <w:rPr>
          <w:rFonts w:ascii="Arial" w:hAnsi="Arial" w:cs="Arial"/>
          <w:sz w:val="20"/>
          <w:szCs w:val="20"/>
        </w:rPr>
        <w:t>charakter</w:t>
      </w:r>
      <w:r w:rsidR="001E102B">
        <w:rPr>
          <w:rFonts w:ascii="Arial" w:hAnsi="Arial" w:cs="Arial"/>
          <w:sz w:val="20"/>
          <w:szCs w:val="20"/>
        </w:rPr>
        <w:t xml:space="preserve"> </w:t>
      </w:r>
      <w:r w:rsidRPr="001E102B">
        <w:rPr>
          <w:rFonts w:ascii="Arial" w:hAnsi="Arial" w:cs="Arial"/>
          <w:sz w:val="20"/>
          <w:szCs w:val="20"/>
        </w:rPr>
        <w:t>projektov podporovaných v rámci OP ŽP</w:t>
      </w:r>
      <w:r w:rsidR="002E4909">
        <w:rPr>
          <w:rFonts w:ascii="Arial" w:hAnsi="Arial" w:cs="Arial"/>
          <w:sz w:val="20"/>
          <w:szCs w:val="20"/>
        </w:rPr>
        <w:t>,</w:t>
      </w:r>
      <w:r w:rsidRPr="006855A0">
        <w:rPr>
          <w:rFonts w:ascii="Arial" w:hAnsi="Arial" w:cs="Arial"/>
          <w:sz w:val="20"/>
          <w:szCs w:val="20"/>
        </w:rPr>
        <w:t xml:space="preserve"> ktorý </w:t>
      </w:r>
      <w:r w:rsidR="002313BD">
        <w:rPr>
          <w:rFonts w:ascii="Arial" w:hAnsi="Arial" w:cs="Arial"/>
          <w:sz w:val="20"/>
          <w:szCs w:val="20"/>
        </w:rPr>
        <w:t>svojimi parametrami neumožňoval</w:t>
      </w:r>
      <w:r w:rsidRPr="00912C87">
        <w:rPr>
          <w:rFonts w:ascii="Arial" w:hAnsi="Arial" w:cs="Arial"/>
          <w:sz w:val="20"/>
          <w:szCs w:val="20"/>
        </w:rPr>
        <w:t xml:space="preserve"> rýchle čerpanie v prvých fázach realizácie, </w:t>
      </w:r>
      <w:r w:rsidR="002D2B67">
        <w:rPr>
          <w:rFonts w:ascii="Arial" w:hAnsi="Arial" w:cs="Arial"/>
          <w:sz w:val="20"/>
          <w:szCs w:val="20"/>
        </w:rPr>
        <w:t xml:space="preserve">pričom spravidla došlo k </w:t>
      </w:r>
      <w:r w:rsidR="00B3049A">
        <w:rPr>
          <w:rFonts w:ascii="Arial" w:hAnsi="Arial" w:cs="Arial"/>
          <w:sz w:val="20"/>
          <w:szCs w:val="20"/>
        </w:rPr>
        <w:t>akceleráci</w:t>
      </w:r>
      <w:r w:rsidR="002D2B67">
        <w:rPr>
          <w:rFonts w:ascii="Arial" w:hAnsi="Arial" w:cs="Arial"/>
          <w:sz w:val="20"/>
          <w:szCs w:val="20"/>
        </w:rPr>
        <w:t>i</w:t>
      </w:r>
      <w:r w:rsidR="00B3049A">
        <w:rPr>
          <w:rFonts w:ascii="Arial" w:hAnsi="Arial" w:cs="Arial"/>
          <w:sz w:val="20"/>
          <w:szCs w:val="20"/>
        </w:rPr>
        <w:t xml:space="preserve"> ku koncu realizácie projektov</w:t>
      </w:r>
      <w:r w:rsidR="002E4909">
        <w:rPr>
          <w:rFonts w:ascii="Arial" w:hAnsi="Arial" w:cs="Arial"/>
          <w:sz w:val="20"/>
          <w:szCs w:val="20"/>
        </w:rPr>
        <w:t>.</w:t>
      </w:r>
    </w:p>
    <w:p w14:paraId="34A4E041" w14:textId="77777777" w:rsidR="00602CA2" w:rsidRPr="00E21C60" w:rsidRDefault="005A0013" w:rsidP="00123376">
      <w:pPr>
        <w:spacing w:before="240" w:after="120"/>
        <w:jc w:val="both"/>
        <w:rPr>
          <w:rFonts w:ascii="Arial" w:hAnsi="Arial" w:cs="Arial"/>
          <w:b/>
          <w:sz w:val="20"/>
          <w:szCs w:val="20"/>
        </w:rPr>
      </w:pPr>
      <w:r w:rsidRPr="00E21C60">
        <w:rPr>
          <w:rFonts w:ascii="Arial" w:hAnsi="Arial" w:cs="Arial"/>
          <w:b/>
          <w:sz w:val="20"/>
          <w:szCs w:val="20"/>
        </w:rPr>
        <w:t>Revízia OP ŽP</w:t>
      </w:r>
    </w:p>
    <w:p w14:paraId="343BEE3D" w14:textId="55EA4275" w:rsidR="00C83E90" w:rsidRDefault="00C83E90" w:rsidP="00123376">
      <w:pPr>
        <w:spacing w:before="120" w:after="120"/>
        <w:jc w:val="both"/>
        <w:rPr>
          <w:rFonts w:ascii="Arial" w:hAnsi="Arial" w:cs="Arial"/>
          <w:sz w:val="20"/>
          <w:szCs w:val="20"/>
        </w:rPr>
      </w:pPr>
      <w:r w:rsidRPr="005B63DE">
        <w:rPr>
          <w:rFonts w:ascii="Arial" w:hAnsi="Arial" w:cs="Arial"/>
          <w:sz w:val="20"/>
          <w:szCs w:val="20"/>
        </w:rPr>
        <w:t>Európska komisia schválila Operačný program Životné pros</w:t>
      </w:r>
      <w:r w:rsidRPr="00FE568B">
        <w:rPr>
          <w:rFonts w:ascii="Arial" w:hAnsi="Arial" w:cs="Arial"/>
          <w:sz w:val="20"/>
          <w:szCs w:val="20"/>
        </w:rPr>
        <w:t>tredie Rozhodnutím Komisie K(2007) 5500 z 08.11.2007. K 31.12.201</w:t>
      </w:r>
      <w:r w:rsidR="00247236">
        <w:rPr>
          <w:rFonts w:ascii="Arial" w:hAnsi="Arial" w:cs="Arial"/>
          <w:sz w:val="20"/>
          <w:szCs w:val="20"/>
        </w:rPr>
        <w:t>5</w:t>
      </w:r>
      <w:r w:rsidRPr="00FE568B">
        <w:rPr>
          <w:rFonts w:ascii="Arial" w:hAnsi="Arial" w:cs="Arial"/>
          <w:sz w:val="20"/>
          <w:szCs w:val="20"/>
        </w:rPr>
        <w:t xml:space="preserve"> boli schválené </w:t>
      </w:r>
      <w:r w:rsidR="00247236">
        <w:rPr>
          <w:rFonts w:ascii="Arial" w:hAnsi="Arial" w:cs="Arial"/>
          <w:sz w:val="20"/>
          <w:szCs w:val="20"/>
        </w:rPr>
        <w:t>štyri</w:t>
      </w:r>
      <w:r w:rsidR="00247236" w:rsidRPr="00FE568B">
        <w:rPr>
          <w:rFonts w:ascii="Arial" w:hAnsi="Arial" w:cs="Arial"/>
          <w:sz w:val="20"/>
          <w:szCs w:val="20"/>
        </w:rPr>
        <w:t xml:space="preserve"> </w:t>
      </w:r>
      <w:r w:rsidRPr="00FE568B">
        <w:rPr>
          <w:rFonts w:ascii="Arial" w:hAnsi="Arial" w:cs="Arial"/>
          <w:sz w:val="20"/>
          <w:szCs w:val="20"/>
        </w:rPr>
        <w:t>revízie operačného programu. Prvá revízia OP ŽP na verziu 2.0 bola schválená Rozhodnutím Komisie K(2010) 2270</w:t>
      </w:r>
      <w:r w:rsidR="0043138B">
        <w:rPr>
          <w:rFonts w:ascii="Arial" w:hAnsi="Arial" w:cs="Arial"/>
          <w:sz w:val="20"/>
          <w:szCs w:val="20"/>
        </w:rPr>
        <w:t xml:space="preserve"> z 15.04.2010</w:t>
      </w:r>
      <w:r w:rsidRPr="00FE568B">
        <w:rPr>
          <w:rFonts w:ascii="Arial" w:hAnsi="Arial" w:cs="Arial"/>
          <w:sz w:val="20"/>
          <w:szCs w:val="20"/>
        </w:rPr>
        <w:t>, druhá revízia OP ŽP na verzi</w:t>
      </w:r>
      <w:r w:rsidR="009B0145" w:rsidRPr="005B63DE">
        <w:rPr>
          <w:rFonts w:ascii="Arial" w:hAnsi="Arial" w:cs="Arial"/>
          <w:sz w:val="20"/>
          <w:szCs w:val="20"/>
        </w:rPr>
        <w:t>u</w:t>
      </w:r>
      <w:r w:rsidRPr="005B63DE">
        <w:rPr>
          <w:rFonts w:ascii="Arial" w:hAnsi="Arial" w:cs="Arial"/>
          <w:sz w:val="20"/>
          <w:szCs w:val="20"/>
        </w:rPr>
        <w:t xml:space="preserve"> 3.0 bola schválená Rozhodnutím Komisie K(2011) 3978 z 09.06.2011</w:t>
      </w:r>
      <w:r w:rsidR="00247236">
        <w:rPr>
          <w:rFonts w:ascii="Arial" w:hAnsi="Arial" w:cs="Arial"/>
          <w:sz w:val="20"/>
          <w:szCs w:val="20"/>
        </w:rPr>
        <w:t>,</w:t>
      </w:r>
      <w:r w:rsidRPr="005B63DE">
        <w:rPr>
          <w:rFonts w:ascii="Arial" w:hAnsi="Arial" w:cs="Arial"/>
          <w:sz w:val="20"/>
          <w:szCs w:val="20"/>
        </w:rPr>
        <w:t xml:space="preserve"> tretia revízia OP ŽP na verziu 4.0 bola schválená Rozhodnutím Komisie </w:t>
      </w:r>
      <w:r w:rsidR="009B0145" w:rsidRPr="005B63DE">
        <w:rPr>
          <w:rFonts w:ascii="Arial" w:hAnsi="Arial" w:cs="Arial"/>
          <w:sz w:val="20"/>
          <w:szCs w:val="20"/>
        </w:rPr>
        <w:t>K</w:t>
      </w:r>
      <w:r w:rsidRPr="005B63DE">
        <w:rPr>
          <w:rFonts w:ascii="Arial" w:hAnsi="Arial" w:cs="Arial"/>
          <w:sz w:val="20"/>
          <w:szCs w:val="20"/>
        </w:rPr>
        <w:t>(2013) 9355 zo dňa 17.12.2013</w:t>
      </w:r>
      <w:r w:rsidR="00247236">
        <w:rPr>
          <w:rFonts w:ascii="Arial" w:hAnsi="Arial" w:cs="Arial"/>
          <w:sz w:val="20"/>
          <w:szCs w:val="20"/>
        </w:rPr>
        <w:t xml:space="preserve"> a štvrtá revízia OP ŽP na verziu 5.0 bola schválená Rozhodnutím komisie </w:t>
      </w:r>
      <w:r w:rsidR="00247236" w:rsidRPr="0059117A">
        <w:rPr>
          <w:rFonts w:ascii="Arial" w:hAnsi="Arial" w:cs="Arial"/>
          <w:sz w:val="20"/>
          <w:szCs w:val="20"/>
        </w:rPr>
        <w:t>K(2015) 7529 zo dňa 28</w:t>
      </w:r>
      <w:r w:rsidR="00247236" w:rsidRPr="00247236">
        <w:rPr>
          <w:rFonts w:ascii="Arial" w:hAnsi="Arial" w:cs="Arial"/>
          <w:sz w:val="20"/>
          <w:szCs w:val="20"/>
        </w:rPr>
        <w:t>.1</w:t>
      </w:r>
      <w:r w:rsidR="00247236" w:rsidRPr="0059117A">
        <w:rPr>
          <w:rFonts w:ascii="Arial" w:hAnsi="Arial" w:cs="Arial"/>
          <w:sz w:val="20"/>
          <w:szCs w:val="20"/>
        </w:rPr>
        <w:t>0</w:t>
      </w:r>
      <w:r w:rsidR="00247236" w:rsidRPr="00247236">
        <w:rPr>
          <w:rFonts w:ascii="Arial" w:hAnsi="Arial" w:cs="Arial"/>
          <w:sz w:val="20"/>
          <w:szCs w:val="20"/>
        </w:rPr>
        <w:t>.2015</w:t>
      </w:r>
      <w:r w:rsidRPr="00247236">
        <w:rPr>
          <w:rFonts w:ascii="Arial" w:hAnsi="Arial" w:cs="Arial"/>
          <w:sz w:val="20"/>
          <w:szCs w:val="20"/>
        </w:rPr>
        <w:t>.</w:t>
      </w:r>
      <w:r w:rsidR="008C3608" w:rsidRPr="005B63DE">
        <w:rPr>
          <w:rFonts w:ascii="Arial" w:hAnsi="Arial" w:cs="Arial"/>
          <w:sz w:val="20"/>
          <w:szCs w:val="20"/>
        </w:rPr>
        <w:t xml:space="preserve"> </w:t>
      </w:r>
    </w:p>
    <w:p w14:paraId="194D97E3" w14:textId="3136E26B" w:rsidR="00F35738" w:rsidRPr="00123376" w:rsidRDefault="00F35738" w:rsidP="00350FF8">
      <w:pPr>
        <w:spacing w:before="240" w:after="120"/>
        <w:jc w:val="both"/>
        <w:rPr>
          <w:rFonts w:ascii="Arial" w:hAnsi="Arial" w:cs="Arial"/>
          <w:sz w:val="20"/>
          <w:szCs w:val="20"/>
        </w:rPr>
      </w:pPr>
      <w:r>
        <w:rPr>
          <w:rFonts w:ascii="Arial" w:hAnsi="Arial" w:cs="Arial"/>
          <w:sz w:val="20"/>
          <w:szCs w:val="20"/>
        </w:rPr>
        <w:t xml:space="preserve">Jednotlivé zmeny v kontexte realizácie OP ŽP sú bližšie popísané v kapitole </w:t>
      </w:r>
      <w:r w:rsidRPr="002A17A4">
        <w:rPr>
          <w:rFonts w:ascii="Arial" w:hAnsi="Arial" w:cs="Arial"/>
          <w:sz w:val="20"/>
          <w:szCs w:val="20"/>
        </w:rPr>
        <w:t>2.4 Zmeny v kontexte realizácie OP ŽP</w:t>
      </w:r>
      <w:r>
        <w:rPr>
          <w:rFonts w:ascii="Arial" w:hAnsi="Arial" w:cs="Arial"/>
          <w:sz w:val="20"/>
          <w:szCs w:val="20"/>
        </w:rPr>
        <w:t xml:space="preserve"> a taktiež vo výročných správach o vykonávaní operačného programu za príslušný rok. Samotné verzie 1.0 až 5.0 </w:t>
      </w:r>
      <w:r w:rsidR="009C6723">
        <w:rPr>
          <w:rFonts w:ascii="Arial" w:hAnsi="Arial" w:cs="Arial"/>
          <w:sz w:val="20"/>
          <w:szCs w:val="20"/>
        </w:rPr>
        <w:t xml:space="preserve">OP ŽP </w:t>
      </w:r>
      <w:r>
        <w:rPr>
          <w:rFonts w:ascii="Arial" w:hAnsi="Arial" w:cs="Arial"/>
          <w:sz w:val="20"/>
          <w:szCs w:val="20"/>
        </w:rPr>
        <w:t xml:space="preserve">sú zverejnené na stránke </w:t>
      </w:r>
      <w:hyperlink r:id="rId11" w:history="1">
        <w:r w:rsidRPr="007A4062">
          <w:rPr>
            <w:rStyle w:val="Hypertextovprepojenie"/>
            <w:rFonts w:ascii="Arial" w:hAnsi="Arial" w:cs="Arial"/>
            <w:sz w:val="20"/>
            <w:szCs w:val="20"/>
          </w:rPr>
          <w:t>www.opzp.sk</w:t>
        </w:r>
      </w:hyperlink>
      <w:r>
        <w:rPr>
          <w:rFonts w:ascii="Arial" w:hAnsi="Arial" w:cs="Arial"/>
          <w:sz w:val="20"/>
          <w:szCs w:val="20"/>
        </w:rPr>
        <w:t xml:space="preserve"> v časti </w:t>
      </w:r>
      <w:r w:rsidRPr="002A17A4">
        <w:rPr>
          <w:rFonts w:ascii="Arial" w:hAnsi="Arial" w:cs="Arial"/>
          <w:sz w:val="20"/>
          <w:szCs w:val="20"/>
        </w:rPr>
        <w:t>Hlavná stránka &gt; Dokumenty &gt; Programové dokumenty &gt; OP Životné prostredie a Programový manuál OPŽP &gt; Dokument OPŽP</w:t>
      </w:r>
      <w:r>
        <w:rPr>
          <w:rFonts w:ascii="Arial" w:hAnsi="Arial" w:cs="Arial"/>
          <w:sz w:val="20"/>
          <w:szCs w:val="20"/>
        </w:rPr>
        <w:t>.</w:t>
      </w:r>
    </w:p>
    <w:p w14:paraId="7ADBE9AE" w14:textId="77777777" w:rsidR="0049199A" w:rsidRPr="00E21C60" w:rsidRDefault="0049199A" w:rsidP="00123376">
      <w:pPr>
        <w:spacing w:before="240" w:after="120"/>
        <w:jc w:val="both"/>
        <w:rPr>
          <w:rFonts w:ascii="Arial" w:hAnsi="Arial" w:cs="Arial"/>
          <w:sz w:val="20"/>
          <w:szCs w:val="20"/>
        </w:rPr>
      </w:pPr>
      <w:r w:rsidRPr="00BD593D">
        <w:rPr>
          <w:rFonts w:ascii="Arial" w:hAnsi="Arial" w:cs="Arial"/>
          <w:b/>
          <w:sz w:val="20"/>
          <w:szCs w:val="20"/>
        </w:rPr>
        <w:t>Aktivity v oblasti hodnotenia OP ŽP</w:t>
      </w:r>
    </w:p>
    <w:p w14:paraId="48ACF473" w14:textId="032E61BF" w:rsidR="00812B2D" w:rsidRPr="00812B2D" w:rsidRDefault="00812B2D" w:rsidP="00812B2D">
      <w:pPr>
        <w:spacing w:before="120" w:after="120"/>
        <w:jc w:val="both"/>
        <w:rPr>
          <w:rFonts w:ascii="Arial" w:hAnsi="Arial" w:cs="Arial"/>
          <w:sz w:val="20"/>
          <w:szCs w:val="20"/>
        </w:rPr>
      </w:pPr>
      <w:r w:rsidRPr="00812B2D">
        <w:rPr>
          <w:rFonts w:ascii="Arial" w:hAnsi="Arial" w:cs="Arial"/>
          <w:sz w:val="20"/>
          <w:szCs w:val="20"/>
        </w:rPr>
        <w:t>RO pre OP ŽP zrealizoval počas roka 2015 niekoľko aktivít v oblasti hodnotenia</w:t>
      </w:r>
      <w:r w:rsidR="00BE37FB">
        <w:rPr>
          <w:rFonts w:ascii="Arial" w:hAnsi="Arial" w:cs="Arial"/>
          <w:sz w:val="20"/>
          <w:szCs w:val="20"/>
        </w:rPr>
        <w:t>,</w:t>
      </w:r>
      <w:r w:rsidRPr="00812B2D">
        <w:rPr>
          <w:rFonts w:ascii="Arial" w:hAnsi="Arial" w:cs="Arial"/>
          <w:sz w:val="20"/>
          <w:szCs w:val="20"/>
        </w:rPr>
        <w:t xml:space="preserve"> a to v súlade s plánom hodnotení OP ŽP na rok 2015. V rámci plánu hodnotení na rok 2015 boli naplánované tri externé strategické hodnotenia zamerané na ucelené tematické hodnotenie:</w:t>
      </w:r>
    </w:p>
    <w:p w14:paraId="2E2ACC5A" w14:textId="31710ED3" w:rsidR="00812B2D" w:rsidRPr="00812B2D" w:rsidRDefault="00812B2D" w:rsidP="00812B2D">
      <w:pPr>
        <w:spacing w:before="120" w:after="120"/>
        <w:jc w:val="both"/>
        <w:rPr>
          <w:rFonts w:ascii="Arial" w:hAnsi="Arial" w:cs="Arial"/>
          <w:sz w:val="20"/>
          <w:szCs w:val="20"/>
        </w:rPr>
      </w:pPr>
      <w:r w:rsidRPr="00812B2D">
        <w:rPr>
          <w:rFonts w:ascii="Arial" w:hAnsi="Arial" w:cs="Arial"/>
          <w:sz w:val="20"/>
          <w:szCs w:val="20"/>
        </w:rPr>
        <w:t>•</w:t>
      </w:r>
      <w:r w:rsidR="00D678A5">
        <w:rPr>
          <w:rFonts w:ascii="Arial" w:hAnsi="Arial" w:cs="Arial"/>
          <w:sz w:val="20"/>
          <w:szCs w:val="20"/>
        </w:rPr>
        <w:t xml:space="preserve"> </w:t>
      </w:r>
      <w:r w:rsidRPr="00812B2D">
        <w:rPr>
          <w:rFonts w:ascii="Arial" w:hAnsi="Arial" w:cs="Arial"/>
          <w:sz w:val="20"/>
          <w:szCs w:val="20"/>
        </w:rPr>
        <w:tab/>
        <w:t>na úrovni jednotlivých prioritných osí OP ŽP a ich prínosu k rozvoju regiónov na území cieľa Konvergencia,</w:t>
      </w:r>
    </w:p>
    <w:p w14:paraId="3AEE53BD" w14:textId="6F621C8A" w:rsidR="00812B2D" w:rsidRPr="00812B2D" w:rsidRDefault="00812B2D" w:rsidP="00812B2D">
      <w:pPr>
        <w:spacing w:before="120" w:after="120"/>
        <w:jc w:val="both"/>
        <w:rPr>
          <w:rFonts w:ascii="Arial" w:hAnsi="Arial" w:cs="Arial"/>
          <w:sz w:val="20"/>
          <w:szCs w:val="20"/>
        </w:rPr>
      </w:pPr>
      <w:r w:rsidRPr="00812B2D">
        <w:rPr>
          <w:rFonts w:ascii="Arial" w:hAnsi="Arial" w:cs="Arial"/>
          <w:sz w:val="20"/>
          <w:szCs w:val="20"/>
        </w:rPr>
        <w:t>•</w:t>
      </w:r>
      <w:r w:rsidRPr="00812B2D">
        <w:rPr>
          <w:rFonts w:ascii="Arial" w:hAnsi="Arial" w:cs="Arial"/>
          <w:sz w:val="20"/>
          <w:szCs w:val="20"/>
        </w:rPr>
        <w:tab/>
      </w:r>
      <w:r w:rsidR="00D678A5">
        <w:rPr>
          <w:rFonts w:ascii="Arial" w:hAnsi="Arial" w:cs="Arial"/>
          <w:sz w:val="20"/>
          <w:szCs w:val="20"/>
        </w:rPr>
        <w:t xml:space="preserve"> </w:t>
      </w:r>
      <w:r w:rsidRPr="00812B2D">
        <w:rPr>
          <w:rFonts w:ascii="Arial" w:hAnsi="Arial" w:cs="Arial"/>
          <w:sz w:val="20"/>
          <w:szCs w:val="20"/>
        </w:rPr>
        <w:t>ekonomických a sociálnych dopadov OP ŽP na podporované územie cieľa Konvergencia</w:t>
      </w:r>
      <w:r w:rsidR="00D678A5">
        <w:rPr>
          <w:rFonts w:ascii="Arial" w:hAnsi="Arial" w:cs="Arial"/>
          <w:sz w:val="20"/>
          <w:szCs w:val="20"/>
        </w:rPr>
        <w:t>,</w:t>
      </w:r>
    </w:p>
    <w:p w14:paraId="3BC69E61" w14:textId="21EDBEC4" w:rsidR="00812B2D" w:rsidRPr="00812B2D" w:rsidRDefault="00812B2D" w:rsidP="00812B2D">
      <w:pPr>
        <w:spacing w:before="120" w:after="120"/>
        <w:jc w:val="both"/>
        <w:rPr>
          <w:rFonts w:ascii="Arial" w:hAnsi="Arial" w:cs="Arial"/>
          <w:sz w:val="20"/>
          <w:szCs w:val="20"/>
        </w:rPr>
      </w:pPr>
      <w:r w:rsidRPr="00812B2D">
        <w:rPr>
          <w:rFonts w:ascii="Arial" w:hAnsi="Arial" w:cs="Arial"/>
          <w:sz w:val="20"/>
          <w:szCs w:val="20"/>
        </w:rPr>
        <w:lastRenderedPageBreak/>
        <w:t>•</w:t>
      </w:r>
      <w:r w:rsidRPr="00812B2D">
        <w:rPr>
          <w:rFonts w:ascii="Arial" w:hAnsi="Arial" w:cs="Arial"/>
          <w:sz w:val="20"/>
          <w:szCs w:val="20"/>
        </w:rPr>
        <w:tab/>
      </w:r>
      <w:r w:rsidR="00D678A5">
        <w:rPr>
          <w:rFonts w:ascii="Arial" w:hAnsi="Arial" w:cs="Arial"/>
          <w:sz w:val="20"/>
          <w:szCs w:val="20"/>
        </w:rPr>
        <w:t xml:space="preserve"> </w:t>
      </w:r>
      <w:r w:rsidRPr="00812B2D">
        <w:rPr>
          <w:rFonts w:ascii="Arial" w:hAnsi="Arial" w:cs="Arial"/>
          <w:sz w:val="20"/>
          <w:szCs w:val="20"/>
        </w:rPr>
        <w:t>OP ŽP z hľadiska jeho prínosu k plneniu požiadaviek vyplývajúcich z environmentálneho acquis a dopadov na život</w:t>
      </w:r>
      <w:r w:rsidR="00BD593D">
        <w:rPr>
          <w:rFonts w:ascii="Arial" w:hAnsi="Arial" w:cs="Arial"/>
          <w:sz w:val="20"/>
          <w:szCs w:val="20"/>
        </w:rPr>
        <w:t>né prostredie a verejné zdravie</w:t>
      </w:r>
      <w:r w:rsidR="00D678A5">
        <w:rPr>
          <w:rFonts w:ascii="Arial" w:hAnsi="Arial" w:cs="Arial"/>
          <w:sz w:val="20"/>
          <w:szCs w:val="20"/>
        </w:rPr>
        <w:t>.</w:t>
      </w:r>
    </w:p>
    <w:p w14:paraId="4DB6BCF0" w14:textId="548BCDA8" w:rsidR="00812B2D" w:rsidRPr="00812B2D" w:rsidRDefault="00812B2D" w:rsidP="00812B2D">
      <w:pPr>
        <w:spacing w:before="120" w:after="120"/>
        <w:jc w:val="both"/>
        <w:rPr>
          <w:rFonts w:ascii="Arial" w:hAnsi="Arial" w:cs="Arial"/>
          <w:sz w:val="20"/>
          <w:szCs w:val="20"/>
        </w:rPr>
      </w:pPr>
      <w:r w:rsidRPr="00812B2D">
        <w:rPr>
          <w:rFonts w:ascii="Arial" w:hAnsi="Arial" w:cs="Arial"/>
          <w:sz w:val="20"/>
          <w:szCs w:val="20"/>
        </w:rPr>
        <w:t>Vzhľadom na skutočnosť, že tieto hodnotenia sa vykonali ku koncu roka 2015</w:t>
      </w:r>
      <w:r w:rsidR="007E0435">
        <w:rPr>
          <w:rFonts w:ascii="Arial" w:hAnsi="Arial" w:cs="Arial"/>
          <w:sz w:val="20"/>
          <w:szCs w:val="20"/>
        </w:rPr>
        <w:t>,</w:t>
      </w:r>
      <w:r w:rsidRPr="00812B2D">
        <w:rPr>
          <w:rFonts w:ascii="Arial" w:hAnsi="Arial" w:cs="Arial"/>
          <w:sz w:val="20"/>
          <w:szCs w:val="20"/>
        </w:rPr>
        <w:t xml:space="preserve"> sú závery a odporúčania týchto hodnotení použiteľné najmä ako podklad pre zlepšenie nastavenia a implementácie nového operačného programu na p</w:t>
      </w:r>
      <w:r w:rsidR="00BE37FB">
        <w:rPr>
          <w:rFonts w:ascii="Arial" w:hAnsi="Arial" w:cs="Arial"/>
          <w:sz w:val="20"/>
          <w:szCs w:val="20"/>
        </w:rPr>
        <w:t>rogramové obdobie 2014 – 2020</w:t>
      </w:r>
      <w:r w:rsidRPr="00812B2D">
        <w:rPr>
          <w:rFonts w:ascii="Arial" w:hAnsi="Arial" w:cs="Arial"/>
          <w:sz w:val="20"/>
          <w:szCs w:val="20"/>
        </w:rPr>
        <w:t xml:space="preserve">. </w:t>
      </w:r>
    </w:p>
    <w:p w14:paraId="767B2AE3" w14:textId="77777777" w:rsidR="00812B2D" w:rsidRPr="00812B2D" w:rsidRDefault="00812B2D" w:rsidP="00812B2D">
      <w:pPr>
        <w:spacing w:before="120" w:after="120"/>
        <w:jc w:val="both"/>
        <w:rPr>
          <w:rFonts w:ascii="Arial" w:hAnsi="Arial" w:cs="Arial"/>
          <w:sz w:val="20"/>
          <w:szCs w:val="20"/>
        </w:rPr>
      </w:pPr>
      <w:r w:rsidRPr="00812B2D">
        <w:rPr>
          <w:rFonts w:ascii="Arial" w:hAnsi="Arial" w:cs="Arial"/>
          <w:sz w:val="20"/>
          <w:szCs w:val="20"/>
        </w:rPr>
        <w:t>Vo vzťahu k operatívnym hodnoteniam RO pre OP ŽP v roku 2015 neidentifikoval potrebu vykonania takéhoto typu hodnotenia OP ŽP.</w:t>
      </w:r>
    </w:p>
    <w:p w14:paraId="6E292F49" w14:textId="635D023E" w:rsidR="00812B2D" w:rsidRPr="00812B2D" w:rsidRDefault="00812B2D" w:rsidP="00812B2D">
      <w:pPr>
        <w:spacing w:before="120" w:after="120"/>
        <w:jc w:val="both"/>
        <w:rPr>
          <w:rFonts w:ascii="Arial" w:hAnsi="Arial" w:cs="Arial"/>
          <w:sz w:val="20"/>
          <w:szCs w:val="20"/>
        </w:rPr>
      </w:pPr>
      <w:r w:rsidRPr="00812B2D">
        <w:rPr>
          <w:rFonts w:ascii="Arial" w:hAnsi="Arial" w:cs="Arial"/>
          <w:sz w:val="20"/>
          <w:szCs w:val="20"/>
        </w:rPr>
        <w:t xml:space="preserve">Okrem strategických hodnotení vykonal RO pre OP ŽP v </w:t>
      </w:r>
      <w:r w:rsidR="00BE37FB">
        <w:rPr>
          <w:rFonts w:ascii="Arial" w:hAnsi="Arial" w:cs="Arial"/>
          <w:sz w:val="20"/>
          <w:szCs w:val="20"/>
        </w:rPr>
        <w:t>polovici roku 2015 kvantitatívnu</w:t>
      </w:r>
      <w:r w:rsidRPr="00812B2D">
        <w:rPr>
          <w:rFonts w:ascii="Arial" w:hAnsi="Arial" w:cs="Arial"/>
          <w:sz w:val="20"/>
          <w:szCs w:val="20"/>
        </w:rPr>
        <w:t xml:space="preserve"> a kvalitatívn</w:t>
      </w:r>
      <w:r w:rsidR="00BE37FB">
        <w:rPr>
          <w:rFonts w:ascii="Arial" w:hAnsi="Arial" w:cs="Arial"/>
          <w:sz w:val="20"/>
          <w:szCs w:val="20"/>
        </w:rPr>
        <w:t>u</w:t>
      </w:r>
      <w:r w:rsidRPr="00812B2D">
        <w:rPr>
          <w:rFonts w:ascii="Arial" w:hAnsi="Arial" w:cs="Arial"/>
          <w:sz w:val="20"/>
          <w:szCs w:val="20"/>
        </w:rPr>
        <w:t xml:space="preserve"> analýz</w:t>
      </w:r>
      <w:r w:rsidR="00BE37FB">
        <w:rPr>
          <w:rFonts w:ascii="Arial" w:hAnsi="Arial" w:cs="Arial"/>
          <w:sz w:val="20"/>
          <w:szCs w:val="20"/>
        </w:rPr>
        <w:t>u</w:t>
      </w:r>
      <w:r w:rsidRPr="00812B2D">
        <w:rPr>
          <w:rFonts w:ascii="Arial" w:hAnsi="Arial" w:cs="Arial"/>
          <w:sz w:val="20"/>
          <w:szCs w:val="20"/>
        </w:rPr>
        <w:t xml:space="preserve"> zameranú na posúdenie rizík decommitmentu OP ŽP s cieľom navrhnúť opatrenia, ktoré by prispeli k zníženiu rizika decommitmentu a zvýšili stav čerpania OP ŽP s priamym vplyvom na zlepšenie dosahovani</w:t>
      </w:r>
      <w:r w:rsidR="00F06CDA">
        <w:rPr>
          <w:rFonts w:ascii="Arial" w:hAnsi="Arial" w:cs="Arial"/>
          <w:sz w:val="20"/>
          <w:szCs w:val="20"/>
        </w:rPr>
        <w:t>a</w:t>
      </w:r>
      <w:r w:rsidRPr="00812B2D">
        <w:rPr>
          <w:rFonts w:ascii="Arial" w:hAnsi="Arial" w:cs="Arial"/>
          <w:sz w:val="20"/>
          <w:szCs w:val="20"/>
        </w:rPr>
        <w:t xml:space="preserve"> cieľov OP ŽP.</w:t>
      </w:r>
    </w:p>
    <w:p w14:paraId="030B07C6" w14:textId="3D080838" w:rsidR="00812B2D" w:rsidRPr="002A4B65" w:rsidRDefault="00812B2D" w:rsidP="00F87D11">
      <w:pPr>
        <w:spacing w:before="120" w:after="240"/>
        <w:jc w:val="both"/>
        <w:rPr>
          <w:rFonts w:ascii="Arial" w:hAnsi="Arial" w:cs="Arial"/>
          <w:sz w:val="20"/>
          <w:szCs w:val="20"/>
        </w:rPr>
      </w:pPr>
      <w:r w:rsidRPr="00812B2D">
        <w:rPr>
          <w:rFonts w:ascii="Arial" w:hAnsi="Arial" w:cs="Arial"/>
          <w:sz w:val="20"/>
          <w:szCs w:val="20"/>
        </w:rPr>
        <w:t>Podrobnejšie informácie o vykonaných aktivitách v oblasti hodnotenia sú uvedené v kapitole 2.7.2. Hodnotenie.</w:t>
      </w:r>
    </w:p>
    <w:p w14:paraId="7536AAE7" w14:textId="09839B76" w:rsidR="000308DA" w:rsidRDefault="00A64A44" w:rsidP="00F87D11">
      <w:pPr>
        <w:spacing w:before="120" w:after="120"/>
        <w:jc w:val="both"/>
        <w:rPr>
          <w:rFonts w:cs="Arial"/>
          <w:sz w:val="20"/>
          <w:szCs w:val="20"/>
        </w:rPr>
      </w:pPr>
      <w:r w:rsidRPr="00350FF8">
        <w:rPr>
          <w:rFonts w:ascii="Arial" w:hAnsi="Arial" w:cs="Arial"/>
          <w:b/>
          <w:sz w:val="20"/>
          <w:szCs w:val="20"/>
        </w:rPr>
        <w:t>Zhrnutie skúsenost</w:t>
      </w:r>
      <w:r w:rsidR="00D75A79">
        <w:rPr>
          <w:rFonts w:ascii="Arial" w:hAnsi="Arial" w:cs="Arial"/>
          <w:b/>
          <w:sz w:val="20"/>
          <w:szCs w:val="20"/>
        </w:rPr>
        <w:t>í</w:t>
      </w:r>
      <w:r w:rsidRPr="00350FF8">
        <w:rPr>
          <w:rFonts w:ascii="Arial" w:hAnsi="Arial" w:cs="Arial"/>
          <w:b/>
          <w:sz w:val="20"/>
          <w:szCs w:val="20"/>
        </w:rPr>
        <w:t xml:space="preserve"> a odporúčaní pre zefektívnenie či zjednodušenie implementácie programového obdobia 2014 – 2020 (lessons learned)</w:t>
      </w:r>
    </w:p>
    <w:p w14:paraId="551FFB09" w14:textId="77777777" w:rsidR="00257E65" w:rsidRPr="00257E65" w:rsidRDefault="00257E65" w:rsidP="00F87D11">
      <w:pPr>
        <w:spacing w:before="120" w:after="120"/>
        <w:jc w:val="both"/>
        <w:rPr>
          <w:rFonts w:ascii="Arial" w:hAnsi="Arial" w:cs="Arial"/>
          <w:sz w:val="20"/>
          <w:szCs w:val="20"/>
          <w:u w:val="single"/>
        </w:rPr>
      </w:pPr>
      <w:r w:rsidRPr="00257E65">
        <w:rPr>
          <w:rFonts w:ascii="Arial" w:hAnsi="Arial" w:cs="Arial"/>
          <w:sz w:val="20"/>
          <w:szCs w:val="20"/>
          <w:u w:val="single"/>
        </w:rPr>
        <w:t>Realizácia a overovanie verejného obstarávania</w:t>
      </w:r>
    </w:p>
    <w:p w14:paraId="46EE68B4" w14:textId="77777777" w:rsidR="00257E65" w:rsidRPr="0059117A" w:rsidRDefault="00257E65" w:rsidP="00F87D11">
      <w:pPr>
        <w:spacing w:before="120" w:after="120"/>
        <w:jc w:val="both"/>
        <w:rPr>
          <w:rFonts w:ascii="Arial" w:hAnsi="Arial" w:cs="Arial"/>
          <w:sz w:val="20"/>
          <w:szCs w:val="20"/>
        </w:rPr>
      </w:pPr>
      <w:r w:rsidRPr="0059117A">
        <w:rPr>
          <w:rFonts w:ascii="Arial" w:hAnsi="Arial" w:cs="Arial"/>
          <w:sz w:val="20"/>
          <w:szCs w:val="20"/>
        </w:rPr>
        <w:t>Skúsenosti s overovaním procesu verejného obstarávania (VO) realizovaného zo strany prijímateľov poukazujú na vysokú chybovosť tohto procesu z pohľadu dodržiavania postupov a pravidiel zákona o verejnom obstarávaní, čoho dôsledkom bola potreba opakovania súťaže, predlžovanie realizácie projektov a odďaľovanie reálneho čerpania na úrovni projektov.</w:t>
      </w:r>
    </w:p>
    <w:p w14:paraId="43339277" w14:textId="77777777" w:rsidR="00257E65" w:rsidRPr="0059117A" w:rsidRDefault="00257E65" w:rsidP="00F87D11">
      <w:pPr>
        <w:spacing w:before="120" w:after="120"/>
        <w:jc w:val="both"/>
        <w:rPr>
          <w:rFonts w:ascii="Arial" w:hAnsi="Arial" w:cs="Arial"/>
          <w:sz w:val="20"/>
          <w:szCs w:val="20"/>
        </w:rPr>
      </w:pPr>
      <w:r w:rsidRPr="0059117A">
        <w:rPr>
          <w:rFonts w:ascii="Arial" w:hAnsi="Arial" w:cs="Arial"/>
          <w:sz w:val="20"/>
          <w:szCs w:val="20"/>
        </w:rPr>
        <w:t>Problematiku verejného obstarávania je možné považovať za najzávažnejší problém a zároveň hlavnú výzvu procesného charakteru vo vzťahu k programovému obdobiu 2014 – 2020.</w:t>
      </w:r>
    </w:p>
    <w:p w14:paraId="2C86A73D" w14:textId="022BECFA" w:rsidR="00257E65" w:rsidRPr="0059117A" w:rsidRDefault="00257E65" w:rsidP="00F87D11">
      <w:pPr>
        <w:spacing w:before="120" w:after="120"/>
        <w:jc w:val="both"/>
        <w:rPr>
          <w:rFonts w:ascii="Arial" w:hAnsi="Arial" w:cs="Arial"/>
          <w:sz w:val="20"/>
          <w:szCs w:val="20"/>
        </w:rPr>
      </w:pPr>
      <w:r w:rsidRPr="0059117A">
        <w:rPr>
          <w:rFonts w:ascii="Arial" w:hAnsi="Arial" w:cs="Arial"/>
          <w:sz w:val="20"/>
          <w:szCs w:val="20"/>
        </w:rPr>
        <w:t>V priebehu programového obdobia 2007 – 2013 boli za účelom zníženi</w:t>
      </w:r>
      <w:r w:rsidR="00F06CDA">
        <w:rPr>
          <w:rFonts w:ascii="Arial" w:hAnsi="Arial" w:cs="Arial"/>
          <w:sz w:val="20"/>
          <w:szCs w:val="20"/>
        </w:rPr>
        <w:t>a</w:t>
      </w:r>
      <w:r w:rsidRPr="0059117A">
        <w:rPr>
          <w:rFonts w:ascii="Arial" w:hAnsi="Arial" w:cs="Arial"/>
          <w:sz w:val="20"/>
          <w:szCs w:val="20"/>
        </w:rPr>
        <w:t xml:space="preserve"> rizika pochybení pri realizácii VO prijaté zo strany RO pre OP ŽP viaceré opatrenia (školenia a konzultácie pre prijímateľov, zverejnenie a pravidelná aktualizácia informácií o najčastejších chybách a nedostatkoch identifikovaných pri kontrole procesu VO zo strany RO a ÚVO a o súvisiacich konzekvenciách, zavedenie možnosti pre prijímateľov predložiť dokumentáciu k VO na ex-ante posúdenie pred jej zverejnením, zavedenie podmienky vyhlásenia VO na hlavné aktivity projektu už</w:t>
      </w:r>
      <w:r w:rsidR="0034621A">
        <w:rPr>
          <w:rFonts w:ascii="Arial" w:hAnsi="Arial" w:cs="Arial"/>
          <w:sz w:val="20"/>
          <w:szCs w:val="20"/>
        </w:rPr>
        <w:t xml:space="preserve"> v čase predkladania Žo</w:t>
      </w:r>
      <w:r w:rsidRPr="0059117A">
        <w:rPr>
          <w:rFonts w:ascii="Arial" w:hAnsi="Arial" w:cs="Arial"/>
          <w:sz w:val="20"/>
          <w:szCs w:val="20"/>
        </w:rPr>
        <w:t>NFP, vypracovanie pomôcky pre prijímateľov vo forme kontrolného zoznamu k VO a iné metodické usmernenia pre prijímateľov), na ktoré je potrebné nadviazať aj v programovom období 2014 – 2020.</w:t>
      </w:r>
    </w:p>
    <w:p w14:paraId="2B35B408" w14:textId="77777777" w:rsidR="00257E65" w:rsidRPr="0059117A" w:rsidRDefault="00257E65" w:rsidP="00F87D11">
      <w:pPr>
        <w:spacing w:before="120" w:after="120"/>
        <w:jc w:val="both"/>
        <w:rPr>
          <w:rFonts w:ascii="Arial" w:hAnsi="Arial" w:cs="Arial"/>
          <w:sz w:val="20"/>
          <w:szCs w:val="20"/>
        </w:rPr>
      </w:pPr>
      <w:r w:rsidRPr="0059117A">
        <w:rPr>
          <w:rFonts w:ascii="Arial" w:hAnsi="Arial" w:cs="Arial"/>
          <w:sz w:val="20"/>
          <w:szCs w:val="20"/>
        </w:rPr>
        <w:t>Vzhľadom na metodické nejasnosti a nadrezortný charakter tejto problematiky bude zároveň potrebné prijať adekvátne opatrenia aj na národnej úrovni.</w:t>
      </w:r>
    </w:p>
    <w:p w14:paraId="464858B1" w14:textId="77777777" w:rsidR="00257E65" w:rsidRPr="0059117A" w:rsidRDefault="00257E65" w:rsidP="00F87D11">
      <w:pPr>
        <w:spacing w:before="120" w:after="120"/>
        <w:jc w:val="both"/>
        <w:rPr>
          <w:rFonts w:ascii="Arial" w:hAnsi="Arial" w:cs="Arial"/>
          <w:sz w:val="20"/>
          <w:szCs w:val="20"/>
        </w:rPr>
      </w:pPr>
      <w:r w:rsidRPr="0059117A">
        <w:rPr>
          <w:rFonts w:ascii="Arial" w:hAnsi="Arial" w:cs="Arial"/>
          <w:sz w:val="20"/>
          <w:szCs w:val="20"/>
        </w:rPr>
        <w:t>Rovnako aj postupy overovania VO zo strany RO neboli zo začiatku programového obdobia dostatočne účinné, čo malo napr. za následok prerušenie lehoty pre platby pre OP ŽP v zmysle článku 91 nariadenia č. 1083/2006 a následné pozastavenie platieb pre OP ŽP v zmysle článku 92 všeobecného nariadenia. Rovnako aj v tomto ohľade boli zo strany RO v priebehu programového obdobia 2007 – 2013 prijaté viaceré opatrenia na zabezpečenie zrýchlenia a zvýšenia spoľahlivosti a efektívnosti kontroly VO (napr. pravidelné školenia zamestnancov RO zodpovedných za výkon kontroly VO, zintenzívnenie spolupráce s Úradom pre verejné obstarávanie), na ktoré bude potrebné nadviazať v aj v programovom období 2014 – 2020.</w:t>
      </w:r>
    </w:p>
    <w:p w14:paraId="607F6A92" w14:textId="77777777" w:rsidR="00257E65" w:rsidRPr="00257E65" w:rsidRDefault="00257E65" w:rsidP="00F87D11">
      <w:pPr>
        <w:spacing w:before="120" w:after="120"/>
        <w:jc w:val="both"/>
        <w:rPr>
          <w:rFonts w:ascii="Arial" w:hAnsi="Arial" w:cs="Arial"/>
          <w:sz w:val="20"/>
          <w:szCs w:val="20"/>
          <w:u w:val="single"/>
        </w:rPr>
      </w:pPr>
      <w:r w:rsidRPr="00257E65">
        <w:rPr>
          <w:rFonts w:ascii="Arial" w:hAnsi="Arial" w:cs="Arial"/>
          <w:sz w:val="20"/>
          <w:szCs w:val="20"/>
          <w:u w:val="single"/>
        </w:rPr>
        <w:t>Nastavenie procesu monitorovania prostredníctvom merateľných ukazovateľov</w:t>
      </w:r>
    </w:p>
    <w:p w14:paraId="13284EF0" w14:textId="4B91FE7C" w:rsidR="00257E65" w:rsidRDefault="00257E65" w:rsidP="00F87D11">
      <w:pPr>
        <w:spacing w:before="120" w:after="120"/>
        <w:jc w:val="both"/>
        <w:rPr>
          <w:rFonts w:ascii="Arial" w:hAnsi="Arial" w:cs="Arial"/>
          <w:sz w:val="20"/>
          <w:szCs w:val="20"/>
        </w:rPr>
      </w:pPr>
      <w:r w:rsidRPr="0059117A">
        <w:rPr>
          <w:rFonts w:ascii="Arial" w:hAnsi="Arial" w:cs="Arial"/>
          <w:sz w:val="20"/>
          <w:szCs w:val="20"/>
        </w:rPr>
        <w:t xml:space="preserve">Podstatným ponaučením </w:t>
      </w:r>
      <w:r w:rsidR="00C9659D">
        <w:rPr>
          <w:rFonts w:ascii="Arial" w:hAnsi="Arial" w:cs="Arial"/>
          <w:sz w:val="20"/>
          <w:szCs w:val="20"/>
        </w:rPr>
        <w:t xml:space="preserve">v tejto oblasti </w:t>
      </w:r>
      <w:r w:rsidRPr="0059117A">
        <w:rPr>
          <w:rFonts w:ascii="Arial" w:hAnsi="Arial" w:cs="Arial"/>
          <w:sz w:val="20"/>
          <w:szCs w:val="20"/>
        </w:rPr>
        <w:t xml:space="preserve">je, že sústava merateľných ukazovateľov by mala byť tvorená čo najnižším počtom reprezentatívnych ukazovateľov, keďže sústava s príliš vysokým počtom ukazovateľov </w:t>
      </w:r>
      <w:r w:rsidR="00C9659D">
        <w:rPr>
          <w:rFonts w:ascii="Arial" w:hAnsi="Arial" w:cs="Arial"/>
          <w:sz w:val="20"/>
          <w:szCs w:val="20"/>
        </w:rPr>
        <w:t xml:space="preserve">robí ich </w:t>
      </w:r>
      <w:r w:rsidRPr="0059117A">
        <w:rPr>
          <w:rFonts w:ascii="Arial" w:hAnsi="Arial" w:cs="Arial"/>
          <w:sz w:val="20"/>
          <w:szCs w:val="20"/>
        </w:rPr>
        <w:t>vykazovani</w:t>
      </w:r>
      <w:r w:rsidR="00C9659D">
        <w:rPr>
          <w:rFonts w:ascii="Arial" w:hAnsi="Arial" w:cs="Arial"/>
          <w:sz w:val="20"/>
          <w:szCs w:val="20"/>
        </w:rPr>
        <w:t xml:space="preserve">e administratíve zaťažujúcim, občas aj na úkor kvalitatívnej analýzy  stavu </w:t>
      </w:r>
      <w:r w:rsidR="00982F4E">
        <w:rPr>
          <w:rFonts w:ascii="Arial" w:hAnsi="Arial" w:cs="Arial"/>
          <w:sz w:val="20"/>
          <w:szCs w:val="20"/>
        </w:rPr>
        <w:t xml:space="preserve">riešenia </w:t>
      </w:r>
      <w:r w:rsidRPr="0059117A">
        <w:rPr>
          <w:rFonts w:ascii="Arial" w:hAnsi="Arial" w:cs="Arial"/>
          <w:sz w:val="20"/>
          <w:szCs w:val="20"/>
        </w:rPr>
        <w:t>potrieb, na ktor</w:t>
      </w:r>
      <w:r w:rsidR="00982F4E">
        <w:rPr>
          <w:rFonts w:ascii="Arial" w:hAnsi="Arial" w:cs="Arial"/>
          <w:sz w:val="20"/>
          <w:szCs w:val="20"/>
        </w:rPr>
        <w:t>é</w:t>
      </w:r>
      <w:r w:rsidRPr="0059117A">
        <w:rPr>
          <w:rFonts w:ascii="Arial" w:hAnsi="Arial" w:cs="Arial"/>
          <w:sz w:val="20"/>
          <w:szCs w:val="20"/>
        </w:rPr>
        <w:t xml:space="preserve"> je zameraná investičná stratégia programu. Zároveň je nevyhnutné vopred zadefinovať jasný a efektívny mechanizmus agregovania ukazovateľov z projektovej úrovne na programovú úroveň v súlade s princípom intervenčnej logiky. Pri definovaní merateľných ukazovateľov a ich cieľových hodnôt bude potrebné identifikovať a zohľadniť rizikové faktory, ktoré môžu ovplyvniť dosahovanie stanovených cieľových hodnôt a následne v rámci implementácie programu tieto rizikové faktory aktívne riešiť.</w:t>
      </w:r>
    </w:p>
    <w:p w14:paraId="125D96E0" w14:textId="3AF3659D" w:rsidR="007E0435" w:rsidRPr="0059117A" w:rsidRDefault="007E0435" w:rsidP="00F87D11">
      <w:pPr>
        <w:spacing w:before="120" w:after="120"/>
        <w:jc w:val="both"/>
        <w:rPr>
          <w:rFonts w:ascii="Arial" w:hAnsi="Arial" w:cs="Arial"/>
          <w:sz w:val="20"/>
          <w:szCs w:val="20"/>
        </w:rPr>
      </w:pPr>
    </w:p>
    <w:p w14:paraId="0C69163F" w14:textId="486B25D2" w:rsidR="00257E65" w:rsidRPr="00257E65" w:rsidRDefault="00257E65" w:rsidP="00F87D11">
      <w:pPr>
        <w:spacing w:after="120"/>
        <w:jc w:val="both"/>
        <w:rPr>
          <w:rFonts w:ascii="Arial" w:hAnsi="Arial" w:cs="Arial"/>
          <w:sz w:val="20"/>
          <w:szCs w:val="20"/>
          <w:u w:val="single"/>
        </w:rPr>
      </w:pPr>
      <w:r w:rsidRPr="00257E65">
        <w:rPr>
          <w:rFonts w:ascii="Arial" w:hAnsi="Arial" w:cs="Arial"/>
          <w:sz w:val="20"/>
          <w:szCs w:val="20"/>
          <w:u w:val="single"/>
        </w:rPr>
        <w:t>Vy</w:t>
      </w:r>
      <w:r w:rsidR="00074A5C">
        <w:rPr>
          <w:rFonts w:ascii="Arial" w:hAnsi="Arial" w:cs="Arial"/>
          <w:sz w:val="20"/>
          <w:szCs w:val="20"/>
          <w:u w:val="single"/>
        </w:rPr>
        <w:t>užívanie potenciálu hodnotenia</w:t>
      </w:r>
    </w:p>
    <w:p w14:paraId="497A84FB" w14:textId="4A9B5FCA" w:rsidR="00257E65" w:rsidRPr="0059117A" w:rsidRDefault="00257E65" w:rsidP="00F87D11">
      <w:pPr>
        <w:spacing w:before="120" w:after="120"/>
        <w:jc w:val="both"/>
        <w:rPr>
          <w:rFonts w:ascii="Arial" w:hAnsi="Arial" w:cs="Arial"/>
          <w:sz w:val="20"/>
          <w:szCs w:val="20"/>
        </w:rPr>
      </w:pPr>
      <w:r w:rsidRPr="0059117A">
        <w:rPr>
          <w:rFonts w:ascii="Arial" w:hAnsi="Arial" w:cs="Arial"/>
          <w:sz w:val="20"/>
          <w:szCs w:val="20"/>
        </w:rPr>
        <w:t>Skúsenosti z programového obdobia 2007 – 2013 poukazujú na to, že</w:t>
      </w:r>
      <w:r w:rsidR="00982F4E">
        <w:rPr>
          <w:rFonts w:ascii="Arial" w:hAnsi="Arial" w:cs="Arial"/>
          <w:sz w:val="20"/>
          <w:szCs w:val="20"/>
        </w:rPr>
        <w:t xml:space="preserve"> do budúcnosti </w:t>
      </w:r>
      <w:r w:rsidRPr="0059117A">
        <w:rPr>
          <w:rFonts w:ascii="Arial" w:hAnsi="Arial" w:cs="Arial"/>
          <w:sz w:val="20"/>
          <w:szCs w:val="20"/>
        </w:rPr>
        <w:t xml:space="preserve"> </w:t>
      </w:r>
      <w:r w:rsidR="00982F4E">
        <w:rPr>
          <w:rFonts w:ascii="Arial" w:hAnsi="Arial" w:cs="Arial"/>
          <w:sz w:val="20"/>
          <w:szCs w:val="20"/>
        </w:rPr>
        <w:t xml:space="preserve">existuje širší </w:t>
      </w:r>
      <w:r w:rsidRPr="0059117A">
        <w:rPr>
          <w:rFonts w:ascii="Arial" w:hAnsi="Arial" w:cs="Arial"/>
          <w:sz w:val="20"/>
          <w:szCs w:val="20"/>
        </w:rPr>
        <w:t xml:space="preserve">potenciál </w:t>
      </w:r>
      <w:r w:rsidR="00982F4E">
        <w:rPr>
          <w:rFonts w:ascii="Arial" w:hAnsi="Arial" w:cs="Arial"/>
          <w:sz w:val="20"/>
          <w:szCs w:val="20"/>
        </w:rPr>
        <w:t xml:space="preserve">pre využitie </w:t>
      </w:r>
      <w:r w:rsidRPr="0059117A">
        <w:rPr>
          <w:rFonts w:ascii="Arial" w:hAnsi="Arial" w:cs="Arial"/>
          <w:sz w:val="20"/>
          <w:szCs w:val="20"/>
        </w:rPr>
        <w:t>hodnotenia</w:t>
      </w:r>
      <w:r w:rsidR="00982F4E">
        <w:rPr>
          <w:rFonts w:ascii="Arial" w:hAnsi="Arial" w:cs="Arial"/>
          <w:sz w:val="20"/>
          <w:szCs w:val="20"/>
        </w:rPr>
        <w:t xml:space="preserve">. </w:t>
      </w:r>
      <w:r w:rsidRPr="0059117A">
        <w:rPr>
          <w:rFonts w:ascii="Arial" w:hAnsi="Arial" w:cs="Arial"/>
          <w:sz w:val="20"/>
          <w:szCs w:val="20"/>
        </w:rPr>
        <w:t xml:space="preserve"> Oblasť hodnotenia na úrovni OP možno na základe skúseností z programového obdobia 2007 – 2013 ďalej podporiť kladením väčšieho dôrazu na výstupy hodnotenia v zmysle hľadania súvislostí a dopadov vplývajúcich na stav implementácie ako aj problémov, ktoré môžu ovplyvniť výkonnosť programu a dosiahnutie jeho cieľov. Konkrétne by k odhaleniu príčinných vzťahov a efektu intervencií malo prispieť hodnotenie dopadov, ako jeden z kľúčových nástrojov na identifikáciu kvalitatívnych zmien v sociálno-ekonomickej realite v dôsledku realizácie OP.</w:t>
      </w:r>
    </w:p>
    <w:p w14:paraId="0DDB9BF7" w14:textId="77777777" w:rsidR="00257E65" w:rsidRPr="0059117A" w:rsidRDefault="00257E65" w:rsidP="00F87D11">
      <w:pPr>
        <w:spacing w:before="120" w:after="120"/>
        <w:jc w:val="both"/>
        <w:rPr>
          <w:rFonts w:ascii="Arial" w:hAnsi="Arial" w:cs="Arial"/>
          <w:sz w:val="20"/>
          <w:szCs w:val="20"/>
          <w:u w:val="single"/>
        </w:rPr>
      </w:pPr>
      <w:r w:rsidRPr="0059117A">
        <w:rPr>
          <w:rFonts w:ascii="Arial" w:hAnsi="Arial" w:cs="Arial"/>
          <w:sz w:val="20"/>
          <w:szCs w:val="20"/>
          <w:u w:val="single"/>
        </w:rPr>
        <w:t>Špecifikácia vyhlasovaných výziev a výber projektov</w:t>
      </w:r>
    </w:p>
    <w:p w14:paraId="1F852F41" w14:textId="77777777" w:rsidR="00257E65" w:rsidRPr="00257E65" w:rsidRDefault="00257E65" w:rsidP="00F87D11">
      <w:pPr>
        <w:spacing w:before="120" w:after="120"/>
        <w:jc w:val="both"/>
        <w:rPr>
          <w:rFonts w:ascii="Arial" w:hAnsi="Arial" w:cs="Arial"/>
          <w:sz w:val="20"/>
          <w:szCs w:val="20"/>
        </w:rPr>
      </w:pPr>
      <w:r w:rsidRPr="00257E65">
        <w:rPr>
          <w:rFonts w:ascii="Arial" w:hAnsi="Arial" w:cs="Arial"/>
          <w:sz w:val="20"/>
          <w:szCs w:val="20"/>
        </w:rPr>
        <w:t>Komplexnosť pravidiel a podmienok súvisiacich s prípravou a predložením projektu sa v programovom období 2007 – 2013 prejavila v nežiaducom odklone koncentrácie od obsahovej stránky projektov a ich možných prínosov pre hospodárstvo a spoločnosť k formálnej stránke projektov. V tejto súvislosti je vo vzťahu k programovému obdobiu 2014 – 2020 potrebné zabezpečiť:</w:t>
      </w:r>
    </w:p>
    <w:p w14:paraId="5372843D" w14:textId="49779266" w:rsidR="00257E65" w:rsidRPr="0059117A" w:rsidRDefault="00257E65" w:rsidP="00F87D11">
      <w:pPr>
        <w:pStyle w:val="Bezriadkovania"/>
        <w:numPr>
          <w:ilvl w:val="0"/>
          <w:numId w:val="151"/>
        </w:numPr>
        <w:ind w:left="284" w:hanging="284"/>
        <w:jc w:val="both"/>
        <w:rPr>
          <w:rFonts w:ascii="Arial" w:hAnsi="Arial" w:cs="Arial"/>
          <w:sz w:val="20"/>
          <w:szCs w:val="20"/>
        </w:rPr>
      </w:pPr>
      <w:r w:rsidRPr="0059117A">
        <w:rPr>
          <w:rFonts w:ascii="Arial" w:hAnsi="Arial" w:cs="Arial"/>
          <w:sz w:val="20"/>
          <w:szCs w:val="20"/>
        </w:rPr>
        <w:t>minimalizovanie rizika vyradenia kvalitných projektov z dôvodu formálnej neúplnosti prostredníctvom umožnenia nápravy (klarifikácie);</w:t>
      </w:r>
    </w:p>
    <w:p w14:paraId="6B47F7C4" w14:textId="0DDBB847" w:rsidR="00257E65" w:rsidRPr="0059117A" w:rsidRDefault="00257E65" w:rsidP="00F87D11">
      <w:pPr>
        <w:pStyle w:val="Bezriadkovania"/>
        <w:numPr>
          <w:ilvl w:val="0"/>
          <w:numId w:val="151"/>
        </w:numPr>
        <w:ind w:left="284" w:hanging="284"/>
        <w:jc w:val="both"/>
        <w:rPr>
          <w:rFonts w:ascii="Arial" w:hAnsi="Arial" w:cs="Arial"/>
          <w:sz w:val="20"/>
          <w:szCs w:val="20"/>
        </w:rPr>
      </w:pPr>
      <w:r w:rsidRPr="0059117A">
        <w:rPr>
          <w:rFonts w:ascii="Arial" w:hAnsi="Arial" w:cs="Arial"/>
          <w:sz w:val="20"/>
          <w:szCs w:val="20"/>
        </w:rPr>
        <w:t>nastavenie vhodného formátu projektovej žiadosti a zadefinovane jasných a objektívnych hodnotiacich a výberových kritérií umožňujúcich objektívne posúdiť a vyhodnotiť mieru prínosu projektu k naplneniu cieľov OP;</w:t>
      </w:r>
    </w:p>
    <w:p w14:paraId="42F911B7" w14:textId="4139295A" w:rsidR="00257E65" w:rsidRPr="0059117A" w:rsidRDefault="00257E65" w:rsidP="00F87D11">
      <w:pPr>
        <w:pStyle w:val="Bezriadkovania"/>
        <w:numPr>
          <w:ilvl w:val="0"/>
          <w:numId w:val="151"/>
        </w:numPr>
        <w:ind w:left="284" w:hanging="284"/>
        <w:jc w:val="both"/>
        <w:rPr>
          <w:rFonts w:ascii="Arial" w:hAnsi="Arial" w:cs="Arial"/>
          <w:sz w:val="20"/>
          <w:szCs w:val="20"/>
        </w:rPr>
      </w:pPr>
      <w:r w:rsidRPr="0059117A">
        <w:rPr>
          <w:rFonts w:ascii="Arial" w:hAnsi="Arial" w:cs="Arial"/>
          <w:sz w:val="20"/>
          <w:szCs w:val="20"/>
        </w:rPr>
        <w:t>prostredníctvom nastavenia hodnotiacich a výberových kritérií klásť dôraz na nákladovú efektívnosť projektov (Value for Money principle), t. j. zabezpečiť výber projektov, ktorých prínos k daným cieľom OP je vo vzťahu k vynaloženým finančným prostriedkom najväčší;</w:t>
      </w:r>
    </w:p>
    <w:p w14:paraId="68296887" w14:textId="48F425F4" w:rsidR="00257E65" w:rsidRPr="0059117A" w:rsidRDefault="00257E65" w:rsidP="00F87D11">
      <w:pPr>
        <w:pStyle w:val="Bezriadkovania"/>
        <w:numPr>
          <w:ilvl w:val="0"/>
          <w:numId w:val="151"/>
        </w:numPr>
        <w:ind w:left="284" w:hanging="284"/>
        <w:jc w:val="both"/>
        <w:rPr>
          <w:rFonts w:ascii="Arial" w:hAnsi="Arial" w:cs="Arial"/>
          <w:sz w:val="20"/>
          <w:szCs w:val="20"/>
        </w:rPr>
      </w:pPr>
      <w:r w:rsidRPr="0059117A">
        <w:rPr>
          <w:rFonts w:ascii="Arial" w:hAnsi="Arial" w:cs="Arial"/>
          <w:sz w:val="20"/>
          <w:szCs w:val="20"/>
        </w:rPr>
        <w:t>posilnenie uplatnenia nástrojov na zabezpečenie efektívneho a objektívneho posudzovania hospodárnosti a efektívnosti výdavkov (benchmarky, jednotkové ceny, finančné limity);</w:t>
      </w:r>
    </w:p>
    <w:p w14:paraId="179BF516" w14:textId="5960EDB0" w:rsidR="00257E65" w:rsidRPr="0059117A" w:rsidRDefault="00257E65" w:rsidP="00F87D11">
      <w:pPr>
        <w:pStyle w:val="Bezriadkovania"/>
        <w:numPr>
          <w:ilvl w:val="0"/>
          <w:numId w:val="151"/>
        </w:numPr>
        <w:spacing w:after="120"/>
        <w:ind w:left="284" w:hanging="284"/>
        <w:jc w:val="both"/>
        <w:rPr>
          <w:rFonts w:ascii="Arial" w:hAnsi="Arial" w:cs="Arial"/>
          <w:sz w:val="20"/>
          <w:szCs w:val="20"/>
        </w:rPr>
      </w:pPr>
      <w:r w:rsidRPr="0059117A">
        <w:rPr>
          <w:rFonts w:ascii="Arial" w:hAnsi="Arial" w:cs="Arial"/>
          <w:sz w:val="20"/>
          <w:szCs w:val="20"/>
        </w:rPr>
        <w:t>zníženie administratívneho zaťaženia žiadateľov (prehodnotiť dokumentáciu potrebnú k zdokladovaniu splnenia podmienok poskytnutia pomoci napr. využitím verejných registrov).</w:t>
      </w:r>
    </w:p>
    <w:p w14:paraId="55161200" w14:textId="2B71D7FB" w:rsidR="00257E65" w:rsidRPr="0059117A" w:rsidRDefault="00257E65" w:rsidP="007E0435">
      <w:pPr>
        <w:spacing w:before="120" w:after="120"/>
        <w:jc w:val="both"/>
        <w:rPr>
          <w:rFonts w:ascii="Arial" w:hAnsi="Arial" w:cs="Arial"/>
          <w:sz w:val="20"/>
          <w:szCs w:val="20"/>
          <w:u w:val="single"/>
        </w:rPr>
      </w:pPr>
      <w:r w:rsidRPr="0059117A">
        <w:rPr>
          <w:rFonts w:ascii="Arial" w:hAnsi="Arial" w:cs="Arial"/>
          <w:sz w:val="20"/>
          <w:szCs w:val="20"/>
          <w:u w:val="single"/>
        </w:rPr>
        <w:t>Absorpčná kapacita</w:t>
      </w:r>
      <w:r w:rsidR="007E0435">
        <w:rPr>
          <w:rFonts w:ascii="Arial" w:hAnsi="Arial" w:cs="Arial"/>
          <w:sz w:val="20"/>
          <w:szCs w:val="20"/>
          <w:u w:val="single"/>
        </w:rPr>
        <w:t xml:space="preserve"> OP</w:t>
      </w:r>
    </w:p>
    <w:p w14:paraId="4ABD6F01" w14:textId="0BC16CBA" w:rsidR="00257E65" w:rsidRPr="00257E65" w:rsidRDefault="00257E65" w:rsidP="007E0435">
      <w:pPr>
        <w:spacing w:before="120" w:after="120"/>
        <w:jc w:val="both"/>
        <w:rPr>
          <w:rFonts w:ascii="Arial" w:hAnsi="Arial" w:cs="Arial"/>
          <w:sz w:val="20"/>
          <w:szCs w:val="20"/>
        </w:rPr>
      </w:pPr>
      <w:r w:rsidRPr="00257E65">
        <w:rPr>
          <w:rFonts w:ascii="Arial" w:hAnsi="Arial" w:cs="Arial"/>
          <w:sz w:val="20"/>
          <w:szCs w:val="20"/>
        </w:rPr>
        <w:t>Napriek zníženej disponibilite finančných prostriedkov prijímateľov na spolufinancovanie ich projektov v dôsledku ekonomickej krízy posledných rokov možno konštatovať, že implementácia OP ŽP ukázala, že absorpčn</w:t>
      </w:r>
      <w:r w:rsidR="005025FA">
        <w:rPr>
          <w:rFonts w:ascii="Arial" w:hAnsi="Arial" w:cs="Arial"/>
          <w:sz w:val="20"/>
          <w:szCs w:val="20"/>
        </w:rPr>
        <w:t>ý</w:t>
      </w:r>
      <w:r w:rsidRPr="00257E65">
        <w:rPr>
          <w:rFonts w:ascii="Arial" w:hAnsi="Arial" w:cs="Arial"/>
          <w:sz w:val="20"/>
          <w:szCs w:val="20"/>
        </w:rPr>
        <w:t xml:space="preserve"> </w:t>
      </w:r>
      <w:r w:rsidR="005025FA">
        <w:rPr>
          <w:rFonts w:ascii="Arial" w:hAnsi="Arial" w:cs="Arial"/>
          <w:sz w:val="20"/>
          <w:szCs w:val="20"/>
        </w:rPr>
        <w:t>potenciál realizovaných</w:t>
      </w:r>
      <w:r w:rsidRPr="00257E65">
        <w:rPr>
          <w:rFonts w:ascii="Arial" w:hAnsi="Arial" w:cs="Arial"/>
          <w:sz w:val="20"/>
          <w:szCs w:val="20"/>
        </w:rPr>
        <w:t xml:space="preserve"> intervencií v oblasti ochrany životného prostredia je v rámci SR výrazne vyššia, ako bola alokácia OP ŽP na roky 2007 – 2013. V jednotlivých výzvach na </w:t>
      </w:r>
      <w:r w:rsidR="005558CD">
        <w:rPr>
          <w:rFonts w:ascii="Arial" w:hAnsi="Arial" w:cs="Arial"/>
          <w:sz w:val="20"/>
          <w:szCs w:val="20"/>
        </w:rPr>
        <w:t>predkladanie Žo</w:t>
      </w:r>
      <w:r w:rsidRPr="00257E65">
        <w:rPr>
          <w:rFonts w:ascii="Arial" w:hAnsi="Arial" w:cs="Arial"/>
          <w:sz w:val="20"/>
          <w:szCs w:val="20"/>
        </w:rPr>
        <w:t>NFP bolo opakovane predložených niekoľkonásobne viac žiadostí (viac ako 3-násobne), ako mohlo byť vzhľadom na alokáciu určenú pre konkrétnu výzvu podporených.</w:t>
      </w:r>
    </w:p>
    <w:p w14:paraId="36A24D64" w14:textId="77777777" w:rsidR="00257E65" w:rsidRPr="00257E65" w:rsidRDefault="00257E65" w:rsidP="007E0435">
      <w:pPr>
        <w:spacing w:before="120" w:after="120"/>
        <w:jc w:val="both"/>
        <w:rPr>
          <w:rFonts w:ascii="Arial" w:hAnsi="Arial" w:cs="Arial"/>
          <w:sz w:val="20"/>
          <w:szCs w:val="20"/>
        </w:rPr>
      </w:pPr>
      <w:r w:rsidRPr="00257E65">
        <w:rPr>
          <w:rFonts w:ascii="Arial" w:hAnsi="Arial" w:cs="Arial"/>
          <w:sz w:val="20"/>
          <w:szCs w:val="20"/>
        </w:rPr>
        <w:t>Uvedené dáva predpoklad úspešnosti podpory daných typov intervencií v rámci programového obdobia 2014 – 2020. Napriek vysokej absorpcii je vhodné v budúcnosti implementovať nástroje posilňovania absorpčnej kapacity (napr. šírenie príkladov úspešných projektov, zabezpečovanie školení a seminárov), ktorých sekundárnym efektom bude zvýšená miera povedomia žiadateľov a zároveň znížená formálna alebo vecná nepripravenosť predložených projektov.</w:t>
      </w:r>
    </w:p>
    <w:p w14:paraId="0B7FD504" w14:textId="77777777" w:rsidR="00257E65" w:rsidRPr="0059117A" w:rsidRDefault="00257E65" w:rsidP="007E0435">
      <w:pPr>
        <w:spacing w:before="120" w:after="120"/>
        <w:jc w:val="both"/>
        <w:rPr>
          <w:rFonts w:ascii="Arial" w:hAnsi="Arial" w:cs="Arial"/>
          <w:sz w:val="20"/>
          <w:szCs w:val="20"/>
          <w:u w:val="single"/>
        </w:rPr>
      </w:pPr>
      <w:r w:rsidRPr="0059117A">
        <w:rPr>
          <w:rFonts w:ascii="Arial" w:hAnsi="Arial" w:cs="Arial"/>
          <w:sz w:val="20"/>
          <w:szCs w:val="20"/>
          <w:u w:val="single"/>
        </w:rPr>
        <w:t>Administratívne kapacity</w:t>
      </w:r>
    </w:p>
    <w:p w14:paraId="421BAC35" w14:textId="77777777" w:rsidR="00257E65" w:rsidRPr="00257E65" w:rsidRDefault="00257E65" w:rsidP="007E0435">
      <w:pPr>
        <w:spacing w:before="120" w:after="120"/>
        <w:jc w:val="both"/>
        <w:rPr>
          <w:rFonts w:ascii="Arial" w:hAnsi="Arial" w:cs="Arial"/>
          <w:sz w:val="20"/>
          <w:szCs w:val="20"/>
        </w:rPr>
      </w:pPr>
      <w:r w:rsidRPr="00257E65">
        <w:rPr>
          <w:rFonts w:ascii="Arial" w:hAnsi="Arial" w:cs="Arial"/>
          <w:sz w:val="20"/>
          <w:szCs w:val="20"/>
        </w:rPr>
        <w:t>Z hľadiska významnosti rizík, ktoré mali v oblasti administratívnych kapacít v programovom období 2007 – 2013 priamy vplyv na efektívnosť implementácie OP ŽP, patria najmä odborná úroveň administratívnych kapacít a ich fluktuácia.</w:t>
      </w:r>
    </w:p>
    <w:p w14:paraId="3AAA381C" w14:textId="42FE47CF" w:rsidR="00257E65" w:rsidRPr="00257E65" w:rsidRDefault="00956F65" w:rsidP="007E0435">
      <w:pPr>
        <w:spacing w:before="120" w:after="120"/>
        <w:jc w:val="both"/>
        <w:rPr>
          <w:rFonts w:ascii="Arial" w:hAnsi="Arial" w:cs="Arial"/>
          <w:sz w:val="20"/>
          <w:szCs w:val="20"/>
        </w:rPr>
      </w:pPr>
      <w:r>
        <w:rPr>
          <w:rFonts w:ascii="Arial" w:hAnsi="Arial" w:cs="Arial"/>
          <w:sz w:val="20"/>
          <w:szCs w:val="20"/>
        </w:rPr>
        <w:t>O</w:t>
      </w:r>
      <w:r w:rsidR="00257E65" w:rsidRPr="00257E65">
        <w:rPr>
          <w:rFonts w:ascii="Arial" w:hAnsi="Arial" w:cs="Arial"/>
          <w:sz w:val="20"/>
          <w:szCs w:val="20"/>
        </w:rPr>
        <w:t>dborná úroveň administratívnych kapacít RO</w:t>
      </w:r>
      <w:r>
        <w:rPr>
          <w:rFonts w:ascii="Arial" w:hAnsi="Arial" w:cs="Arial"/>
          <w:sz w:val="20"/>
          <w:szCs w:val="20"/>
        </w:rPr>
        <w:t xml:space="preserve"> bola v určitej miere ovplyvňovaná </w:t>
      </w:r>
      <w:r w:rsidR="00257E65" w:rsidRPr="00257E65">
        <w:rPr>
          <w:rFonts w:ascii="Arial" w:hAnsi="Arial" w:cs="Arial"/>
          <w:sz w:val="20"/>
          <w:szCs w:val="20"/>
        </w:rPr>
        <w:t xml:space="preserve"> </w:t>
      </w:r>
      <w:r>
        <w:rPr>
          <w:rFonts w:ascii="Arial" w:hAnsi="Arial" w:cs="Arial"/>
          <w:sz w:val="20"/>
          <w:szCs w:val="20"/>
        </w:rPr>
        <w:t xml:space="preserve">aj </w:t>
      </w:r>
      <w:r w:rsidR="00257E65" w:rsidRPr="00257E65">
        <w:rPr>
          <w:rFonts w:ascii="Arial" w:hAnsi="Arial" w:cs="Arial"/>
          <w:sz w:val="20"/>
          <w:szCs w:val="20"/>
        </w:rPr>
        <w:t>systém</w:t>
      </w:r>
      <w:r>
        <w:rPr>
          <w:rFonts w:ascii="Arial" w:hAnsi="Arial" w:cs="Arial"/>
          <w:sz w:val="20"/>
          <w:szCs w:val="20"/>
        </w:rPr>
        <w:t xml:space="preserve">om ich vzdelávania </w:t>
      </w:r>
      <w:r w:rsidR="00257E65" w:rsidRPr="00257E65">
        <w:rPr>
          <w:rFonts w:ascii="Arial" w:hAnsi="Arial" w:cs="Arial"/>
          <w:sz w:val="20"/>
          <w:szCs w:val="20"/>
        </w:rPr>
        <w:t xml:space="preserve"> na národnej úrovni</w:t>
      </w:r>
      <w:r w:rsidR="007E0435">
        <w:rPr>
          <w:rFonts w:ascii="Arial" w:hAnsi="Arial" w:cs="Arial"/>
          <w:sz w:val="20"/>
          <w:szCs w:val="20"/>
        </w:rPr>
        <w:t>, ktorý</w:t>
      </w:r>
      <w:r w:rsidR="00257E65" w:rsidRPr="00257E65">
        <w:rPr>
          <w:rFonts w:ascii="Arial" w:hAnsi="Arial" w:cs="Arial"/>
          <w:sz w:val="20"/>
          <w:szCs w:val="20"/>
        </w:rPr>
        <w:t xml:space="preserve"> vykazoval  </w:t>
      </w:r>
      <w:r w:rsidR="001C13BA">
        <w:rPr>
          <w:rFonts w:ascii="Arial" w:hAnsi="Arial" w:cs="Arial"/>
          <w:sz w:val="20"/>
          <w:szCs w:val="20"/>
        </w:rPr>
        <w:t>niektoré nedostatky</w:t>
      </w:r>
      <w:r w:rsidR="00257E65" w:rsidRPr="00257E65">
        <w:rPr>
          <w:rFonts w:ascii="Arial" w:hAnsi="Arial" w:cs="Arial"/>
          <w:sz w:val="20"/>
          <w:szCs w:val="20"/>
        </w:rPr>
        <w:t>. Vzdelávacie aktivity mali pre zamestnancov nedostatočnú adresnosť a nezohľadňovali reálne potreby vyplývajúce z obsahovej náplne pracovných činností jednotlivých zamestnancov, ako aj procesu implementácie OP. Formát vzdelávacích aktivít rovnako nezohľadňoval požiadavky aktívneho prístupu počas školení zo strany účastníkov školenia (napr. prostredníctvom simulovaných prípadových štúdií, analýzy konkrétnych problémových oblastí a pod.).</w:t>
      </w:r>
    </w:p>
    <w:p w14:paraId="2F374F42" w14:textId="77777777" w:rsidR="00257E65" w:rsidRPr="00257E65" w:rsidRDefault="00257E65" w:rsidP="00F87D11">
      <w:pPr>
        <w:spacing w:before="120" w:after="120"/>
        <w:jc w:val="both"/>
        <w:rPr>
          <w:rFonts w:ascii="Arial" w:hAnsi="Arial" w:cs="Arial"/>
          <w:sz w:val="20"/>
          <w:szCs w:val="20"/>
        </w:rPr>
      </w:pPr>
      <w:r w:rsidRPr="00257E65">
        <w:rPr>
          <w:rFonts w:ascii="Arial" w:hAnsi="Arial" w:cs="Arial"/>
          <w:sz w:val="20"/>
          <w:szCs w:val="20"/>
        </w:rPr>
        <w:t xml:space="preserve">Z pohľadu požiadaviek na zabezpečenie optimalizácie a stabilizácie administratívnych kapacít možno za najzávažnejší problém ovplyvňujúci efektívnu implementáciu OP považovať fluktuáciu </w:t>
      </w:r>
      <w:r w:rsidRPr="00257E65">
        <w:rPr>
          <w:rFonts w:ascii="Arial" w:hAnsi="Arial" w:cs="Arial"/>
          <w:sz w:val="20"/>
          <w:szCs w:val="20"/>
        </w:rPr>
        <w:lastRenderedPageBreak/>
        <w:t>administratívnych kapacít. Problém fluktuácie zamestnancov súvisí s viacerými skutočnosťami, ktorých riešenie nie je vždy v priamom dosahu RO a vyžaduje si riešenia na národnej úrovni.</w:t>
      </w:r>
    </w:p>
    <w:p w14:paraId="77E85C95" w14:textId="54303D6D" w:rsidR="00257E65" w:rsidRPr="00257E65" w:rsidRDefault="00257E65" w:rsidP="00F87D11">
      <w:pPr>
        <w:spacing w:before="120" w:after="120"/>
        <w:jc w:val="both"/>
        <w:rPr>
          <w:rFonts w:ascii="Arial" w:hAnsi="Arial" w:cs="Arial"/>
          <w:sz w:val="20"/>
          <w:szCs w:val="20"/>
        </w:rPr>
      </w:pPr>
      <w:r w:rsidRPr="00257E65">
        <w:rPr>
          <w:rFonts w:ascii="Arial" w:hAnsi="Arial" w:cs="Arial"/>
          <w:sz w:val="20"/>
          <w:szCs w:val="20"/>
        </w:rPr>
        <w:t xml:space="preserve">V reflexii na uvedené problémy je na úrovni OP s prepojením na národnú úroveň potrebné vo vzťahu </w:t>
      </w:r>
      <w:r w:rsidR="001C13BA">
        <w:rPr>
          <w:rFonts w:ascii="Arial" w:hAnsi="Arial" w:cs="Arial"/>
          <w:sz w:val="20"/>
          <w:szCs w:val="20"/>
        </w:rPr>
        <w:br/>
      </w:r>
      <w:r w:rsidRPr="00257E65">
        <w:rPr>
          <w:rFonts w:ascii="Arial" w:hAnsi="Arial" w:cs="Arial"/>
          <w:sz w:val="20"/>
          <w:szCs w:val="20"/>
        </w:rPr>
        <w:t xml:space="preserve">k programovému obdobiu 2014 – 2020 zaviesť komplexné systémové nástroje pre vzdelávanie a odmeňovanie administratívnych kapacít tak, aby bolo zabezpečené efektívne riadenie OP prostredníctvom kvalifikovaných, motivovaných a stabilizovaných zamestnancov. </w:t>
      </w:r>
    </w:p>
    <w:p w14:paraId="6F459E81" w14:textId="77777777" w:rsidR="002416B1" w:rsidRPr="0020746A" w:rsidRDefault="002416B1" w:rsidP="00123376">
      <w:pPr>
        <w:pStyle w:val="Nadpis3"/>
        <w:spacing w:after="120"/>
        <w:rPr>
          <w:rFonts w:cs="Arial"/>
        </w:rPr>
      </w:pPr>
      <w:bookmarkStart w:id="12" w:name="_Toc466914508"/>
      <w:r w:rsidRPr="008E1ACB">
        <w:rPr>
          <w:rFonts w:cs="Arial"/>
        </w:rPr>
        <w:t>2.1.1 Stav fyzického pokroku operačného programu</w:t>
      </w:r>
      <w:bookmarkEnd w:id="10"/>
      <w:bookmarkEnd w:id="12"/>
    </w:p>
    <w:p w14:paraId="5CDEC0E9" w14:textId="77777777" w:rsidR="002416B1" w:rsidRPr="005B63DE" w:rsidRDefault="002416B1" w:rsidP="0092134F">
      <w:pPr>
        <w:spacing w:before="240" w:after="120"/>
        <w:jc w:val="both"/>
        <w:rPr>
          <w:rFonts w:ascii="Arial" w:hAnsi="Arial" w:cs="Arial"/>
          <w:b/>
          <w:bCs/>
          <w:sz w:val="20"/>
          <w:szCs w:val="20"/>
        </w:rPr>
      </w:pPr>
      <w:bookmarkStart w:id="13" w:name="OLE_LINK2"/>
      <w:bookmarkStart w:id="14" w:name="OLE_LINK21"/>
      <w:r w:rsidRPr="008C3608">
        <w:rPr>
          <w:rFonts w:ascii="Arial" w:hAnsi="Arial" w:cs="Arial"/>
          <w:b/>
          <w:bCs/>
          <w:sz w:val="20"/>
          <w:szCs w:val="20"/>
        </w:rPr>
        <w:t>Výzvy v sledovanom období</w:t>
      </w:r>
    </w:p>
    <w:p w14:paraId="59379A6A" w14:textId="0A34C61A" w:rsidR="002A27BF" w:rsidRDefault="002F0F84" w:rsidP="00123376">
      <w:pPr>
        <w:spacing w:before="120" w:after="120"/>
        <w:jc w:val="both"/>
        <w:rPr>
          <w:rFonts w:ascii="Arial" w:hAnsi="Arial" w:cs="Arial"/>
          <w:bCs/>
          <w:sz w:val="20"/>
          <w:szCs w:val="20"/>
        </w:rPr>
      </w:pPr>
      <w:r>
        <w:rPr>
          <w:rFonts w:ascii="Arial" w:hAnsi="Arial" w:cs="Arial"/>
          <w:bCs/>
          <w:sz w:val="20"/>
          <w:szCs w:val="20"/>
        </w:rPr>
        <w:t>Táto</w:t>
      </w:r>
      <w:r w:rsidR="008350E1">
        <w:rPr>
          <w:rFonts w:ascii="Arial" w:hAnsi="Arial" w:cs="Arial"/>
          <w:bCs/>
          <w:sz w:val="20"/>
          <w:szCs w:val="20"/>
        </w:rPr>
        <w:t xml:space="preserve"> kapitola sa venuje výzvam vyhláseným v priebehu roka 2015, v zmysle metodického pokynu CKO č.</w:t>
      </w:r>
      <w:r w:rsidR="00057B79">
        <w:rPr>
          <w:rFonts w:ascii="Arial" w:hAnsi="Arial" w:cs="Arial"/>
          <w:bCs/>
          <w:sz w:val="20"/>
          <w:szCs w:val="20"/>
        </w:rPr>
        <w:t xml:space="preserve"> </w:t>
      </w:r>
      <w:r w:rsidR="008350E1">
        <w:rPr>
          <w:rFonts w:ascii="Arial" w:hAnsi="Arial" w:cs="Arial"/>
          <w:bCs/>
          <w:sz w:val="20"/>
          <w:szCs w:val="20"/>
        </w:rPr>
        <w:t>9</w:t>
      </w:r>
      <w:r>
        <w:rPr>
          <w:rFonts w:ascii="Arial" w:hAnsi="Arial" w:cs="Arial"/>
          <w:bCs/>
          <w:sz w:val="20"/>
          <w:szCs w:val="20"/>
        </w:rPr>
        <w:t xml:space="preserve"> v znení aktualizácie č. 6</w:t>
      </w:r>
      <w:r w:rsidR="008350E1">
        <w:rPr>
          <w:rFonts w:ascii="Arial" w:hAnsi="Arial" w:cs="Arial"/>
          <w:bCs/>
          <w:sz w:val="20"/>
          <w:szCs w:val="20"/>
        </w:rPr>
        <w:t>. Bližšie informácie o jednotlivých výzvach zverejnených v rámci programového obdobia 2007 – 2013 sú obsiahnuté vo výročných správach o vykonávaní OP ŽP za príslušný rok</w:t>
      </w:r>
      <w:r w:rsidR="00350FF8">
        <w:rPr>
          <w:rFonts w:ascii="Arial" w:hAnsi="Arial" w:cs="Arial"/>
          <w:bCs/>
          <w:sz w:val="20"/>
          <w:szCs w:val="20"/>
        </w:rPr>
        <w:t xml:space="preserve"> a taktiež súhrnný prehľad vyhlásených výziev tvorí Prílohu č</w:t>
      </w:r>
      <w:r w:rsidR="002A27BF">
        <w:rPr>
          <w:rFonts w:ascii="Arial" w:hAnsi="Arial" w:cs="Arial"/>
          <w:bCs/>
          <w:sz w:val="20"/>
          <w:szCs w:val="20"/>
        </w:rPr>
        <w:t>.</w:t>
      </w:r>
      <w:r w:rsidR="00350FF8">
        <w:rPr>
          <w:rFonts w:ascii="Arial" w:hAnsi="Arial" w:cs="Arial"/>
          <w:bCs/>
          <w:sz w:val="20"/>
          <w:szCs w:val="20"/>
        </w:rPr>
        <w:t>1.</w:t>
      </w:r>
      <w:r w:rsidR="008350E1">
        <w:rPr>
          <w:rFonts w:ascii="Arial" w:hAnsi="Arial" w:cs="Arial"/>
          <w:bCs/>
          <w:sz w:val="20"/>
          <w:szCs w:val="20"/>
        </w:rPr>
        <w:t xml:space="preserve"> </w:t>
      </w:r>
    </w:p>
    <w:p w14:paraId="689B82D5" w14:textId="71699061" w:rsidR="002416B1" w:rsidRPr="00E21C60" w:rsidRDefault="008E4F2B" w:rsidP="00123376">
      <w:pPr>
        <w:spacing w:before="120" w:after="120"/>
        <w:jc w:val="both"/>
        <w:rPr>
          <w:rFonts w:ascii="Arial" w:hAnsi="Arial" w:cs="Arial"/>
          <w:bCs/>
          <w:sz w:val="20"/>
          <w:szCs w:val="20"/>
        </w:rPr>
      </w:pPr>
      <w:r w:rsidRPr="005B63DE">
        <w:rPr>
          <w:rFonts w:ascii="Arial" w:hAnsi="Arial" w:cs="Arial"/>
          <w:bCs/>
          <w:sz w:val="20"/>
          <w:szCs w:val="20"/>
        </w:rPr>
        <w:t>V priebehu roka 201</w:t>
      </w:r>
      <w:r w:rsidR="00227BCA">
        <w:rPr>
          <w:rFonts w:ascii="Arial" w:hAnsi="Arial" w:cs="Arial"/>
          <w:bCs/>
          <w:sz w:val="20"/>
          <w:szCs w:val="20"/>
        </w:rPr>
        <w:t>5</w:t>
      </w:r>
      <w:r w:rsidRPr="005B63DE">
        <w:rPr>
          <w:rFonts w:ascii="Arial" w:hAnsi="Arial" w:cs="Arial"/>
          <w:bCs/>
          <w:sz w:val="20"/>
          <w:szCs w:val="20"/>
        </w:rPr>
        <w:t xml:space="preserve"> vyhlásil RO celkovo </w:t>
      </w:r>
      <w:r w:rsidR="00227BCA">
        <w:rPr>
          <w:rFonts w:ascii="Arial" w:hAnsi="Arial" w:cs="Arial"/>
          <w:bCs/>
          <w:sz w:val="20"/>
          <w:szCs w:val="20"/>
        </w:rPr>
        <w:t>4</w:t>
      </w:r>
      <w:r w:rsidRPr="00FE568B">
        <w:rPr>
          <w:rFonts w:ascii="Arial" w:hAnsi="Arial" w:cs="Arial"/>
          <w:bCs/>
          <w:sz w:val="20"/>
          <w:szCs w:val="20"/>
        </w:rPr>
        <w:t xml:space="preserve"> výz</w:t>
      </w:r>
      <w:r w:rsidR="00227BCA">
        <w:rPr>
          <w:rFonts w:ascii="Arial" w:hAnsi="Arial" w:cs="Arial"/>
          <w:bCs/>
          <w:sz w:val="20"/>
          <w:szCs w:val="20"/>
        </w:rPr>
        <w:t>vy</w:t>
      </w:r>
      <w:r w:rsidRPr="00FE568B">
        <w:rPr>
          <w:rFonts w:ascii="Arial" w:hAnsi="Arial" w:cs="Arial"/>
          <w:bCs/>
          <w:sz w:val="20"/>
          <w:szCs w:val="20"/>
        </w:rPr>
        <w:t xml:space="preserve"> na predkladanie </w:t>
      </w:r>
      <w:r w:rsidR="00CA727F">
        <w:rPr>
          <w:rFonts w:ascii="Arial" w:hAnsi="Arial" w:cs="Arial"/>
          <w:bCs/>
          <w:sz w:val="20"/>
          <w:szCs w:val="20"/>
        </w:rPr>
        <w:t>Žo</w:t>
      </w:r>
      <w:r w:rsidRPr="00FE568B">
        <w:rPr>
          <w:rFonts w:ascii="Arial" w:hAnsi="Arial" w:cs="Arial"/>
          <w:bCs/>
          <w:sz w:val="20"/>
          <w:szCs w:val="20"/>
        </w:rPr>
        <w:t xml:space="preserve">NFP </w:t>
      </w:r>
      <w:r w:rsidRPr="00912C87">
        <w:rPr>
          <w:rFonts w:ascii="Arial" w:hAnsi="Arial" w:cs="Arial"/>
          <w:bCs/>
          <w:sz w:val="20"/>
          <w:szCs w:val="20"/>
        </w:rPr>
        <w:t xml:space="preserve">v celkovej sume </w:t>
      </w:r>
      <w:r w:rsidR="00227BCA">
        <w:rPr>
          <w:rFonts w:ascii="Arial" w:hAnsi="Arial" w:cs="Arial"/>
          <w:bCs/>
          <w:sz w:val="20"/>
          <w:szCs w:val="20"/>
        </w:rPr>
        <w:t>25 749 137</w:t>
      </w:r>
      <w:r w:rsidRPr="005B63DE">
        <w:rPr>
          <w:rFonts w:ascii="Arial" w:hAnsi="Arial" w:cs="Arial"/>
          <w:bCs/>
          <w:sz w:val="20"/>
          <w:szCs w:val="20"/>
        </w:rPr>
        <w:t xml:space="preserve"> </w:t>
      </w:r>
      <w:r w:rsidR="00366C2D">
        <w:rPr>
          <w:rFonts w:ascii="Arial" w:hAnsi="Arial" w:cs="Arial"/>
          <w:bCs/>
          <w:sz w:val="20"/>
          <w:szCs w:val="20"/>
        </w:rPr>
        <w:t>€</w:t>
      </w:r>
      <w:r w:rsidRPr="008C3608">
        <w:rPr>
          <w:rFonts w:ascii="Arial" w:hAnsi="Arial" w:cs="Arial"/>
          <w:bCs/>
          <w:sz w:val="20"/>
          <w:szCs w:val="20"/>
        </w:rPr>
        <w:t xml:space="preserve"> (zdroje</w:t>
      </w:r>
      <w:r w:rsidRPr="00A30760">
        <w:rPr>
          <w:rFonts w:ascii="Arial" w:hAnsi="Arial" w:cs="Arial"/>
          <w:bCs/>
          <w:sz w:val="20"/>
          <w:szCs w:val="20"/>
        </w:rPr>
        <w:t xml:space="preserve"> EÚ</w:t>
      </w:r>
      <w:r w:rsidR="00227BCA">
        <w:rPr>
          <w:rFonts w:ascii="Arial" w:hAnsi="Arial" w:cs="Arial"/>
          <w:bCs/>
          <w:sz w:val="20"/>
          <w:szCs w:val="20"/>
        </w:rPr>
        <w:t xml:space="preserve"> + ŠR</w:t>
      </w:r>
      <w:r w:rsidRPr="00A30760">
        <w:rPr>
          <w:rFonts w:ascii="Arial" w:hAnsi="Arial" w:cs="Arial"/>
          <w:bCs/>
          <w:sz w:val="20"/>
          <w:szCs w:val="20"/>
        </w:rPr>
        <w:t>). Bližšie informácie o počte vyhlásených výziev a ich finančnej alokácii v členení podľa jednotlivých prioritných osí sú uvedené v nasledovnej tabuľke.</w:t>
      </w:r>
    </w:p>
    <w:p w14:paraId="30F71D91" w14:textId="358C4BDB" w:rsidR="002416B1" w:rsidRPr="00E21C60" w:rsidRDefault="002416B1" w:rsidP="00123376">
      <w:pPr>
        <w:jc w:val="both"/>
        <w:rPr>
          <w:rFonts w:ascii="Arial" w:hAnsi="Arial" w:cs="Arial"/>
          <w:sz w:val="20"/>
          <w:szCs w:val="20"/>
        </w:rPr>
      </w:pPr>
      <w:r w:rsidRPr="00E21C60">
        <w:rPr>
          <w:rFonts w:ascii="Arial" w:hAnsi="Arial" w:cs="Arial"/>
          <w:sz w:val="20"/>
          <w:szCs w:val="20"/>
        </w:rPr>
        <w:t>Tab</w:t>
      </w:r>
      <w:r w:rsidR="009C196F" w:rsidRPr="00E21C60">
        <w:rPr>
          <w:rFonts w:ascii="Arial" w:hAnsi="Arial" w:cs="Arial"/>
          <w:sz w:val="20"/>
          <w:szCs w:val="20"/>
        </w:rPr>
        <w:t>uľka</w:t>
      </w:r>
      <w:r w:rsidRPr="00E21C60">
        <w:rPr>
          <w:rFonts w:ascii="Arial" w:hAnsi="Arial" w:cs="Arial"/>
          <w:sz w:val="20"/>
          <w:szCs w:val="20"/>
        </w:rPr>
        <w:t xml:space="preserve"> č.</w:t>
      </w:r>
      <w:r w:rsidR="0094676A" w:rsidRPr="002526CC">
        <w:rPr>
          <w:rFonts w:ascii="Arial" w:hAnsi="Arial" w:cs="Arial"/>
          <w:sz w:val="20"/>
          <w:szCs w:val="20"/>
        </w:rPr>
        <w:t xml:space="preserve"> </w:t>
      </w:r>
      <w:r w:rsidR="00682B07">
        <w:rPr>
          <w:rFonts w:ascii="Arial" w:hAnsi="Arial" w:cs="Arial"/>
          <w:sz w:val="20"/>
          <w:szCs w:val="20"/>
        </w:rPr>
        <w:t>7</w:t>
      </w:r>
      <w:r w:rsidRPr="00E21C60">
        <w:rPr>
          <w:rFonts w:ascii="Arial" w:hAnsi="Arial" w:cs="Arial"/>
          <w:sz w:val="20"/>
          <w:szCs w:val="20"/>
        </w:rPr>
        <w:t xml:space="preserve">: Prehľad </w:t>
      </w:r>
      <w:r w:rsidR="00AD1BF2" w:rsidRPr="00E21C60">
        <w:rPr>
          <w:rFonts w:ascii="Arial" w:hAnsi="Arial" w:cs="Arial"/>
          <w:sz w:val="20"/>
          <w:szCs w:val="20"/>
        </w:rPr>
        <w:t>výziev</w:t>
      </w:r>
      <w:r w:rsidR="008E4F2B">
        <w:rPr>
          <w:rFonts w:ascii="Arial" w:hAnsi="Arial" w:cs="Arial"/>
          <w:sz w:val="20"/>
          <w:szCs w:val="20"/>
        </w:rPr>
        <w:t xml:space="preserve">, oznamov o predkladaní projektových zámerov veľkých projektov </w:t>
      </w:r>
      <w:r w:rsidR="008E4F2B" w:rsidRPr="00A30760">
        <w:rPr>
          <w:rFonts w:ascii="Arial" w:hAnsi="Arial" w:cs="Arial"/>
          <w:sz w:val="20"/>
          <w:szCs w:val="20"/>
        </w:rPr>
        <w:t xml:space="preserve"> a písomných vyzvaní </w:t>
      </w:r>
      <w:r w:rsidR="00B86764">
        <w:rPr>
          <w:rFonts w:ascii="Arial" w:hAnsi="Arial" w:cs="Arial"/>
          <w:sz w:val="20"/>
          <w:szCs w:val="20"/>
        </w:rPr>
        <w:t>od 1.</w:t>
      </w:r>
      <w:r w:rsidR="00294219" w:rsidRPr="00294219">
        <w:rPr>
          <w:rFonts w:ascii="Arial" w:hAnsi="Arial" w:cs="Arial"/>
          <w:sz w:val="20"/>
          <w:szCs w:val="20"/>
        </w:rPr>
        <w:t>1.2015 do 31.12.2015</w:t>
      </w:r>
    </w:p>
    <w:tbl>
      <w:tblPr>
        <w:tblW w:w="4849" w:type="pct"/>
        <w:tblInd w:w="70" w:type="dxa"/>
        <w:tblCellMar>
          <w:left w:w="70" w:type="dxa"/>
          <w:right w:w="70" w:type="dxa"/>
        </w:tblCellMar>
        <w:tblLook w:val="04A0" w:firstRow="1" w:lastRow="0" w:firstColumn="1" w:lastColumn="0" w:noHBand="0" w:noVBand="1"/>
      </w:tblPr>
      <w:tblGrid>
        <w:gridCol w:w="5188"/>
        <w:gridCol w:w="1202"/>
        <w:gridCol w:w="2542"/>
      </w:tblGrid>
      <w:tr w:rsidR="002D0009" w:rsidRPr="00E21C60" w14:paraId="4F4B34F5" w14:textId="77777777" w:rsidTr="00EE50CC">
        <w:trPr>
          <w:trHeight w:val="207"/>
        </w:trPr>
        <w:tc>
          <w:tcPr>
            <w:tcW w:w="2904" w:type="pct"/>
            <w:vMerge w:val="restart"/>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133604A4" w14:textId="77777777" w:rsidR="002D0009" w:rsidRPr="00123376" w:rsidRDefault="002D0009" w:rsidP="008226B1">
            <w:pPr>
              <w:jc w:val="center"/>
              <w:rPr>
                <w:rFonts w:ascii="Arial" w:hAnsi="Arial" w:cs="Arial"/>
                <w:b/>
                <w:bCs/>
                <w:color w:val="000000"/>
                <w:sz w:val="16"/>
                <w:szCs w:val="16"/>
              </w:rPr>
            </w:pPr>
            <w:r w:rsidRPr="00123376">
              <w:rPr>
                <w:rFonts w:ascii="Arial" w:hAnsi="Arial" w:cs="Arial"/>
                <w:b/>
                <w:bCs/>
                <w:color w:val="000000"/>
                <w:sz w:val="16"/>
                <w:szCs w:val="16"/>
              </w:rPr>
              <w:t>Prioritná os</w:t>
            </w:r>
          </w:p>
        </w:tc>
        <w:tc>
          <w:tcPr>
            <w:tcW w:w="673" w:type="pct"/>
            <w:vMerge w:val="restart"/>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1A5CCD90" w14:textId="77777777" w:rsidR="002D0009" w:rsidRPr="00123376" w:rsidRDefault="002D0009">
            <w:pPr>
              <w:jc w:val="center"/>
              <w:rPr>
                <w:rFonts w:ascii="Arial" w:hAnsi="Arial" w:cs="Arial"/>
                <w:b/>
                <w:bCs/>
                <w:color w:val="000000"/>
                <w:sz w:val="16"/>
                <w:szCs w:val="16"/>
              </w:rPr>
            </w:pPr>
            <w:r w:rsidRPr="00123376">
              <w:rPr>
                <w:rFonts w:ascii="Arial" w:hAnsi="Arial" w:cs="Arial"/>
                <w:b/>
                <w:bCs/>
                <w:color w:val="000000"/>
                <w:sz w:val="16"/>
                <w:szCs w:val="16"/>
              </w:rPr>
              <w:t>Počet výziev</w:t>
            </w:r>
          </w:p>
        </w:tc>
        <w:tc>
          <w:tcPr>
            <w:tcW w:w="1423" w:type="pct"/>
            <w:vMerge w:val="restart"/>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7546D9D0" w14:textId="77777777" w:rsidR="00302096" w:rsidRDefault="002D0009" w:rsidP="00302096">
            <w:pPr>
              <w:jc w:val="center"/>
              <w:rPr>
                <w:rFonts w:ascii="Arial" w:hAnsi="Arial" w:cs="Arial"/>
                <w:b/>
                <w:bCs/>
                <w:color w:val="000000"/>
                <w:sz w:val="16"/>
                <w:szCs w:val="16"/>
              </w:rPr>
            </w:pPr>
            <w:r w:rsidRPr="00123376">
              <w:rPr>
                <w:rFonts w:ascii="Arial" w:hAnsi="Arial" w:cs="Arial"/>
                <w:b/>
                <w:bCs/>
                <w:color w:val="000000"/>
                <w:sz w:val="16"/>
                <w:szCs w:val="16"/>
              </w:rPr>
              <w:t xml:space="preserve">Alokácia FP na výzvu </w:t>
            </w:r>
          </w:p>
          <w:p w14:paraId="3A1EEBDC" w14:textId="34EB08C0" w:rsidR="002D0009" w:rsidRPr="00123376" w:rsidRDefault="002D0009" w:rsidP="00302096">
            <w:pPr>
              <w:jc w:val="center"/>
              <w:rPr>
                <w:rFonts w:ascii="Arial" w:hAnsi="Arial" w:cs="Arial"/>
                <w:b/>
                <w:bCs/>
                <w:color w:val="000000"/>
                <w:sz w:val="16"/>
                <w:szCs w:val="16"/>
              </w:rPr>
            </w:pPr>
            <w:r w:rsidRPr="00123376">
              <w:rPr>
                <w:rFonts w:ascii="Arial" w:hAnsi="Arial" w:cs="Arial"/>
                <w:b/>
                <w:bCs/>
                <w:color w:val="000000"/>
                <w:sz w:val="16"/>
                <w:szCs w:val="16"/>
              </w:rPr>
              <w:t>(</w:t>
            </w:r>
            <w:r w:rsidR="00302096">
              <w:rPr>
                <w:rFonts w:ascii="Arial" w:hAnsi="Arial" w:cs="Arial"/>
                <w:b/>
                <w:bCs/>
                <w:color w:val="000000"/>
                <w:sz w:val="16"/>
                <w:szCs w:val="16"/>
              </w:rPr>
              <w:t>EÚ</w:t>
            </w:r>
            <w:r w:rsidR="00B50F8B">
              <w:rPr>
                <w:rFonts w:ascii="Arial" w:hAnsi="Arial" w:cs="Arial"/>
                <w:b/>
                <w:bCs/>
                <w:color w:val="000000"/>
                <w:sz w:val="16"/>
                <w:szCs w:val="16"/>
              </w:rPr>
              <w:t xml:space="preserve"> + ŠR</w:t>
            </w:r>
            <w:r w:rsidR="00302096">
              <w:rPr>
                <w:rFonts w:ascii="Arial" w:hAnsi="Arial" w:cs="Arial"/>
                <w:b/>
                <w:bCs/>
                <w:color w:val="000000"/>
                <w:sz w:val="16"/>
                <w:szCs w:val="16"/>
              </w:rPr>
              <w:t xml:space="preserve"> zdroje</w:t>
            </w:r>
            <w:r w:rsidRPr="00123376">
              <w:rPr>
                <w:rFonts w:ascii="Arial" w:hAnsi="Arial" w:cs="Arial"/>
                <w:b/>
                <w:bCs/>
                <w:color w:val="000000"/>
                <w:sz w:val="16"/>
                <w:szCs w:val="16"/>
              </w:rPr>
              <w:t>) v €</w:t>
            </w:r>
          </w:p>
        </w:tc>
      </w:tr>
      <w:tr w:rsidR="002D0009" w:rsidRPr="00E21C60" w14:paraId="5264AF8F" w14:textId="77777777" w:rsidTr="00EE50CC">
        <w:trPr>
          <w:trHeight w:val="207"/>
        </w:trPr>
        <w:tc>
          <w:tcPr>
            <w:tcW w:w="2904" w:type="pct"/>
            <w:vMerge/>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133B7346" w14:textId="77777777" w:rsidR="002D0009" w:rsidRPr="00123376" w:rsidRDefault="002D0009">
            <w:pPr>
              <w:rPr>
                <w:rFonts w:ascii="Arial" w:hAnsi="Arial" w:cs="Arial"/>
                <w:b/>
                <w:bCs/>
                <w:color w:val="000000"/>
                <w:sz w:val="16"/>
                <w:szCs w:val="16"/>
              </w:rPr>
            </w:pPr>
          </w:p>
        </w:tc>
        <w:tc>
          <w:tcPr>
            <w:tcW w:w="673" w:type="pct"/>
            <w:vMerge/>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6AC1F6DB" w14:textId="77777777" w:rsidR="002D0009" w:rsidRPr="00123376" w:rsidRDefault="002D0009">
            <w:pPr>
              <w:rPr>
                <w:rFonts w:ascii="Arial" w:hAnsi="Arial" w:cs="Arial"/>
                <w:b/>
                <w:bCs/>
                <w:color w:val="000000"/>
                <w:sz w:val="16"/>
                <w:szCs w:val="16"/>
              </w:rPr>
            </w:pPr>
          </w:p>
        </w:tc>
        <w:tc>
          <w:tcPr>
            <w:tcW w:w="1423" w:type="pct"/>
            <w:vMerge/>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2E2812C4" w14:textId="77777777" w:rsidR="002D0009" w:rsidRPr="00123376" w:rsidRDefault="002D0009">
            <w:pPr>
              <w:rPr>
                <w:rFonts w:ascii="Arial" w:hAnsi="Arial" w:cs="Arial"/>
                <w:b/>
                <w:bCs/>
                <w:color w:val="000000"/>
                <w:sz w:val="16"/>
                <w:szCs w:val="16"/>
              </w:rPr>
            </w:pPr>
          </w:p>
        </w:tc>
      </w:tr>
      <w:tr w:rsidR="002D0009" w:rsidRPr="00E21C60" w14:paraId="22991B9D" w14:textId="77777777" w:rsidTr="00EE50CC">
        <w:trPr>
          <w:trHeight w:val="207"/>
        </w:trPr>
        <w:tc>
          <w:tcPr>
            <w:tcW w:w="2904" w:type="pct"/>
            <w:vMerge/>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7BAFF04A" w14:textId="77777777" w:rsidR="002D0009" w:rsidRPr="00123376" w:rsidRDefault="002D0009">
            <w:pPr>
              <w:rPr>
                <w:rFonts w:ascii="Arial" w:hAnsi="Arial" w:cs="Arial"/>
                <w:b/>
                <w:bCs/>
                <w:color w:val="000000"/>
                <w:sz w:val="16"/>
                <w:szCs w:val="16"/>
              </w:rPr>
            </w:pPr>
          </w:p>
        </w:tc>
        <w:tc>
          <w:tcPr>
            <w:tcW w:w="673" w:type="pct"/>
            <w:vMerge/>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27A243F1" w14:textId="77777777" w:rsidR="002D0009" w:rsidRPr="00123376" w:rsidRDefault="002D0009">
            <w:pPr>
              <w:rPr>
                <w:rFonts w:ascii="Arial" w:hAnsi="Arial" w:cs="Arial"/>
                <w:b/>
                <w:bCs/>
                <w:color w:val="000000"/>
                <w:sz w:val="16"/>
                <w:szCs w:val="16"/>
              </w:rPr>
            </w:pPr>
          </w:p>
        </w:tc>
        <w:tc>
          <w:tcPr>
            <w:tcW w:w="1423" w:type="pct"/>
            <w:vMerge/>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17152E2C" w14:textId="77777777" w:rsidR="002D0009" w:rsidRPr="00123376" w:rsidRDefault="002D0009">
            <w:pPr>
              <w:rPr>
                <w:rFonts w:ascii="Arial" w:hAnsi="Arial" w:cs="Arial"/>
                <w:b/>
                <w:bCs/>
                <w:color w:val="000000"/>
                <w:sz w:val="16"/>
                <w:szCs w:val="16"/>
              </w:rPr>
            </w:pPr>
          </w:p>
        </w:tc>
      </w:tr>
      <w:tr w:rsidR="008428F9" w:rsidRPr="00E21C60" w14:paraId="71DA95CF" w14:textId="77777777" w:rsidTr="00294219">
        <w:trPr>
          <w:trHeight w:val="227"/>
        </w:trPr>
        <w:tc>
          <w:tcPr>
            <w:tcW w:w="2904" w:type="pct"/>
            <w:tcBorders>
              <w:top w:val="nil"/>
              <w:left w:val="single" w:sz="8" w:space="0" w:color="auto"/>
              <w:bottom w:val="single" w:sz="8" w:space="0" w:color="auto"/>
              <w:right w:val="single" w:sz="8" w:space="0" w:color="auto"/>
            </w:tcBorders>
            <w:shd w:val="clear" w:color="auto" w:fill="auto"/>
            <w:vAlign w:val="center"/>
            <w:hideMark/>
          </w:tcPr>
          <w:p w14:paraId="66C51067" w14:textId="77777777" w:rsidR="008428F9" w:rsidRPr="00123376" w:rsidRDefault="008428F9" w:rsidP="008428F9">
            <w:pPr>
              <w:rPr>
                <w:rFonts w:ascii="Arial" w:hAnsi="Arial" w:cs="Arial"/>
                <w:color w:val="000000"/>
                <w:sz w:val="16"/>
                <w:szCs w:val="16"/>
              </w:rPr>
            </w:pPr>
            <w:r w:rsidRPr="00123376">
              <w:rPr>
                <w:rFonts w:ascii="Arial" w:hAnsi="Arial" w:cs="Arial"/>
                <w:color w:val="000000"/>
                <w:sz w:val="16"/>
                <w:szCs w:val="16"/>
              </w:rPr>
              <w:t>1 Integrovaná ochrana a racionálne využívanie vôd</w:t>
            </w:r>
          </w:p>
        </w:tc>
        <w:tc>
          <w:tcPr>
            <w:tcW w:w="673" w:type="pct"/>
            <w:tcBorders>
              <w:top w:val="nil"/>
              <w:left w:val="nil"/>
              <w:bottom w:val="single" w:sz="8" w:space="0" w:color="auto"/>
              <w:right w:val="single" w:sz="8" w:space="0" w:color="auto"/>
            </w:tcBorders>
            <w:shd w:val="clear" w:color="auto" w:fill="auto"/>
            <w:noWrap/>
            <w:vAlign w:val="center"/>
            <w:hideMark/>
          </w:tcPr>
          <w:p w14:paraId="31132C5D" w14:textId="3E771496" w:rsidR="008428F9" w:rsidRPr="00123376" w:rsidRDefault="00294219" w:rsidP="008428F9">
            <w:pPr>
              <w:jc w:val="center"/>
              <w:rPr>
                <w:rFonts w:ascii="Arial" w:hAnsi="Arial" w:cs="Arial"/>
                <w:color w:val="000000"/>
                <w:sz w:val="16"/>
                <w:szCs w:val="16"/>
              </w:rPr>
            </w:pPr>
            <w:r>
              <w:rPr>
                <w:rFonts w:ascii="Arial" w:hAnsi="Arial" w:cs="Arial"/>
                <w:color w:val="000000"/>
                <w:sz w:val="16"/>
                <w:szCs w:val="16"/>
              </w:rPr>
              <w:t>0</w:t>
            </w:r>
          </w:p>
        </w:tc>
        <w:tc>
          <w:tcPr>
            <w:tcW w:w="1423" w:type="pct"/>
            <w:tcBorders>
              <w:top w:val="nil"/>
              <w:left w:val="nil"/>
              <w:bottom w:val="single" w:sz="8" w:space="0" w:color="auto"/>
              <w:right w:val="single" w:sz="8" w:space="0" w:color="auto"/>
            </w:tcBorders>
            <w:shd w:val="clear" w:color="auto" w:fill="auto"/>
            <w:noWrap/>
            <w:hideMark/>
          </w:tcPr>
          <w:p w14:paraId="4799C9AC" w14:textId="70AC0BB9" w:rsidR="008428F9" w:rsidRPr="00123376" w:rsidRDefault="00294219" w:rsidP="008428F9">
            <w:pPr>
              <w:jc w:val="center"/>
              <w:rPr>
                <w:rFonts w:ascii="Arial" w:hAnsi="Arial" w:cs="Arial"/>
                <w:color w:val="000000"/>
                <w:sz w:val="16"/>
                <w:szCs w:val="16"/>
              </w:rPr>
            </w:pPr>
            <w:r>
              <w:rPr>
                <w:rFonts w:ascii="Arial" w:hAnsi="Arial" w:cs="Arial"/>
                <w:color w:val="000000"/>
                <w:sz w:val="16"/>
                <w:szCs w:val="16"/>
              </w:rPr>
              <w:t>0</w:t>
            </w:r>
          </w:p>
        </w:tc>
      </w:tr>
      <w:tr w:rsidR="008428F9" w:rsidRPr="00E21C60" w14:paraId="3A71F11E" w14:textId="77777777" w:rsidTr="00294219">
        <w:trPr>
          <w:trHeight w:val="227"/>
        </w:trPr>
        <w:tc>
          <w:tcPr>
            <w:tcW w:w="2904" w:type="pct"/>
            <w:tcBorders>
              <w:top w:val="nil"/>
              <w:left w:val="single" w:sz="8" w:space="0" w:color="auto"/>
              <w:bottom w:val="single" w:sz="8" w:space="0" w:color="auto"/>
              <w:right w:val="single" w:sz="8" w:space="0" w:color="auto"/>
            </w:tcBorders>
            <w:shd w:val="clear" w:color="auto" w:fill="auto"/>
            <w:vAlign w:val="center"/>
            <w:hideMark/>
          </w:tcPr>
          <w:p w14:paraId="69B22D98" w14:textId="77777777" w:rsidR="008428F9" w:rsidRPr="00123376" w:rsidRDefault="008428F9" w:rsidP="008428F9">
            <w:pPr>
              <w:rPr>
                <w:rFonts w:ascii="Arial" w:hAnsi="Arial" w:cs="Arial"/>
                <w:color w:val="000000"/>
                <w:sz w:val="16"/>
                <w:szCs w:val="16"/>
              </w:rPr>
            </w:pPr>
            <w:r w:rsidRPr="00123376">
              <w:rPr>
                <w:rFonts w:ascii="Arial" w:hAnsi="Arial" w:cs="Arial"/>
                <w:color w:val="000000"/>
                <w:sz w:val="16"/>
                <w:szCs w:val="16"/>
              </w:rPr>
              <w:t>2 Ochrana pred povodňami</w:t>
            </w:r>
          </w:p>
        </w:tc>
        <w:tc>
          <w:tcPr>
            <w:tcW w:w="673" w:type="pct"/>
            <w:tcBorders>
              <w:top w:val="nil"/>
              <w:left w:val="nil"/>
              <w:bottom w:val="single" w:sz="8" w:space="0" w:color="auto"/>
              <w:right w:val="single" w:sz="8" w:space="0" w:color="auto"/>
            </w:tcBorders>
            <w:shd w:val="clear" w:color="auto" w:fill="auto"/>
            <w:noWrap/>
            <w:vAlign w:val="center"/>
            <w:hideMark/>
          </w:tcPr>
          <w:p w14:paraId="738C02BF" w14:textId="03D80801" w:rsidR="008428F9" w:rsidRPr="00123376" w:rsidRDefault="00294219" w:rsidP="008428F9">
            <w:pPr>
              <w:jc w:val="center"/>
              <w:rPr>
                <w:rFonts w:ascii="Arial" w:hAnsi="Arial" w:cs="Arial"/>
                <w:color w:val="000000"/>
                <w:sz w:val="16"/>
                <w:szCs w:val="16"/>
              </w:rPr>
            </w:pPr>
            <w:r>
              <w:rPr>
                <w:rFonts w:ascii="Arial" w:hAnsi="Arial" w:cs="Arial"/>
                <w:color w:val="000000"/>
                <w:sz w:val="16"/>
                <w:szCs w:val="16"/>
              </w:rPr>
              <w:t>0</w:t>
            </w:r>
          </w:p>
        </w:tc>
        <w:tc>
          <w:tcPr>
            <w:tcW w:w="1423" w:type="pct"/>
            <w:tcBorders>
              <w:top w:val="nil"/>
              <w:left w:val="nil"/>
              <w:bottom w:val="single" w:sz="8" w:space="0" w:color="auto"/>
              <w:right w:val="single" w:sz="8" w:space="0" w:color="auto"/>
            </w:tcBorders>
            <w:shd w:val="clear" w:color="auto" w:fill="auto"/>
            <w:noWrap/>
            <w:hideMark/>
          </w:tcPr>
          <w:p w14:paraId="5D52541E" w14:textId="134AB6D7" w:rsidR="008428F9" w:rsidRPr="00123376" w:rsidRDefault="00294219" w:rsidP="008428F9">
            <w:pPr>
              <w:jc w:val="center"/>
              <w:rPr>
                <w:rFonts w:ascii="Arial" w:hAnsi="Arial" w:cs="Arial"/>
                <w:color w:val="000000"/>
                <w:sz w:val="16"/>
                <w:szCs w:val="16"/>
              </w:rPr>
            </w:pPr>
            <w:r>
              <w:rPr>
                <w:rFonts w:ascii="Arial" w:hAnsi="Arial" w:cs="Arial"/>
                <w:color w:val="000000"/>
                <w:sz w:val="16"/>
                <w:szCs w:val="16"/>
              </w:rPr>
              <w:t>0</w:t>
            </w:r>
          </w:p>
        </w:tc>
      </w:tr>
      <w:tr w:rsidR="008428F9" w:rsidRPr="00E21C60" w14:paraId="601E645D" w14:textId="77777777" w:rsidTr="00AB3787">
        <w:trPr>
          <w:trHeight w:val="400"/>
        </w:trPr>
        <w:tc>
          <w:tcPr>
            <w:tcW w:w="2904" w:type="pct"/>
            <w:tcBorders>
              <w:top w:val="nil"/>
              <w:left w:val="single" w:sz="8" w:space="0" w:color="auto"/>
              <w:bottom w:val="single" w:sz="8" w:space="0" w:color="auto"/>
              <w:right w:val="single" w:sz="8" w:space="0" w:color="auto"/>
            </w:tcBorders>
            <w:shd w:val="clear" w:color="auto" w:fill="auto"/>
            <w:vAlign w:val="center"/>
            <w:hideMark/>
          </w:tcPr>
          <w:p w14:paraId="403BED28" w14:textId="77777777" w:rsidR="008428F9" w:rsidRPr="00123376" w:rsidRDefault="008428F9" w:rsidP="008428F9">
            <w:pPr>
              <w:rPr>
                <w:rFonts w:ascii="Arial" w:hAnsi="Arial" w:cs="Arial"/>
                <w:color w:val="000000"/>
                <w:sz w:val="16"/>
                <w:szCs w:val="16"/>
              </w:rPr>
            </w:pPr>
            <w:r w:rsidRPr="00123376">
              <w:rPr>
                <w:rFonts w:ascii="Arial" w:hAnsi="Arial" w:cs="Arial"/>
                <w:color w:val="000000"/>
                <w:sz w:val="16"/>
                <w:szCs w:val="16"/>
              </w:rPr>
              <w:t>3 Ochrana ovzdušia a minimalizácia nepriaznivých vplyvov zmeny klímy</w:t>
            </w:r>
          </w:p>
        </w:tc>
        <w:tc>
          <w:tcPr>
            <w:tcW w:w="673" w:type="pct"/>
            <w:tcBorders>
              <w:top w:val="nil"/>
              <w:left w:val="nil"/>
              <w:bottom w:val="single" w:sz="8" w:space="0" w:color="auto"/>
              <w:right w:val="single" w:sz="8" w:space="0" w:color="auto"/>
            </w:tcBorders>
            <w:shd w:val="clear" w:color="auto" w:fill="auto"/>
            <w:noWrap/>
            <w:vAlign w:val="center"/>
            <w:hideMark/>
          </w:tcPr>
          <w:p w14:paraId="5605E887" w14:textId="6D62E56C" w:rsidR="008428F9" w:rsidRPr="00123376" w:rsidRDefault="00294219" w:rsidP="008428F9">
            <w:pPr>
              <w:jc w:val="center"/>
              <w:rPr>
                <w:rFonts w:ascii="Arial" w:hAnsi="Arial" w:cs="Arial"/>
                <w:color w:val="000000"/>
                <w:sz w:val="16"/>
                <w:szCs w:val="16"/>
              </w:rPr>
            </w:pPr>
            <w:r>
              <w:rPr>
                <w:rFonts w:ascii="Arial" w:hAnsi="Arial" w:cs="Arial"/>
                <w:color w:val="000000"/>
                <w:sz w:val="16"/>
                <w:szCs w:val="16"/>
              </w:rPr>
              <w:t>2</w:t>
            </w:r>
          </w:p>
        </w:tc>
        <w:tc>
          <w:tcPr>
            <w:tcW w:w="1423" w:type="pct"/>
            <w:tcBorders>
              <w:top w:val="nil"/>
              <w:left w:val="nil"/>
              <w:bottom w:val="single" w:sz="8" w:space="0" w:color="auto"/>
              <w:right w:val="single" w:sz="8" w:space="0" w:color="auto"/>
            </w:tcBorders>
            <w:shd w:val="clear" w:color="auto" w:fill="auto"/>
            <w:noWrap/>
            <w:hideMark/>
          </w:tcPr>
          <w:p w14:paraId="3BB66A72" w14:textId="520CCA18" w:rsidR="008428F9" w:rsidRPr="00123376" w:rsidRDefault="006B274A" w:rsidP="008428F9">
            <w:pPr>
              <w:jc w:val="center"/>
              <w:rPr>
                <w:rFonts w:ascii="Arial" w:hAnsi="Arial" w:cs="Arial"/>
                <w:color w:val="000000"/>
                <w:sz w:val="16"/>
                <w:szCs w:val="16"/>
              </w:rPr>
            </w:pPr>
            <w:r>
              <w:rPr>
                <w:rFonts w:ascii="Arial" w:hAnsi="Arial" w:cs="Arial"/>
                <w:color w:val="000000"/>
                <w:sz w:val="16"/>
                <w:szCs w:val="16"/>
              </w:rPr>
              <w:t>7 005 883</w:t>
            </w:r>
          </w:p>
        </w:tc>
      </w:tr>
      <w:tr w:rsidR="008428F9" w:rsidRPr="00E21C60" w14:paraId="454F384C" w14:textId="77777777" w:rsidTr="00294219">
        <w:trPr>
          <w:trHeight w:val="227"/>
        </w:trPr>
        <w:tc>
          <w:tcPr>
            <w:tcW w:w="2904" w:type="pct"/>
            <w:tcBorders>
              <w:top w:val="nil"/>
              <w:left w:val="single" w:sz="8" w:space="0" w:color="auto"/>
              <w:bottom w:val="single" w:sz="8" w:space="0" w:color="auto"/>
              <w:right w:val="single" w:sz="8" w:space="0" w:color="auto"/>
            </w:tcBorders>
            <w:shd w:val="clear" w:color="auto" w:fill="auto"/>
            <w:vAlign w:val="center"/>
            <w:hideMark/>
          </w:tcPr>
          <w:p w14:paraId="08FD3288" w14:textId="77777777" w:rsidR="008428F9" w:rsidRPr="00123376" w:rsidRDefault="008428F9" w:rsidP="008428F9">
            <w:pPr>
              <w:rPr>
                <w:rFonts w:ascii="Arial" w:hAnsi="Arial" w:cs="Arial"/>
                <w:color w:val="000000"/>
                <w:sz w:val="16"/>
                <w:szCs w:val="16"/>
              </w:rPr>
            </w:pPr>
            <w:r w:rsidRPr="00123376">
              <w:rPr>
                <w:rFonts w:ascii="Arial" w:hAnsi="Arial" w:cs="Arial"/>
                <w:color w:val="000000"/>
                <w:sz w:val="16"/>
                <w:szCs w:val="16"/>
              </w:rPr>
              <w:t>4 Odpadové hospodárstvo</w:t>
            </w:r>
          </w:p>
        </w:tc>
        <w:tc>
          <w:tcPr>
            <w:tcW w:w="673" w:type="pct"/>
            <w:tcBorders>
              <w:top w:val="nil"/>
              <w:left w:val="nil"/>
              <w:bottom w:val="single" w:sz="8" w:space="0" w:color="auto"/>
              <w:right w:val="single" w:sz="8" w:space="0" w:color="auto"/>
            </w:tcBorders>
            <w:shd w:val="clear" w:color="auto" w:fill="auto"/>
            <w:noWrap/>
            <w:vAlign w:val="center"/>
            <w:hideMark/>
          </w:tcPr>
          <w:p w14:paraId="748850B6" w14:textId="2402E542" w:rsidR="008428F9" w:rsidRPr="00123376" w:rsidRDefault="00294219" w:rsidP="008428F9">
            <w:pPr>
              <w:jc w:val="center"/>
              <w:rPr>
                <w:rFonts w:ascii="Arial" w:hAnsi="Arial" w:cs="Arial"/>
                <w:color w:val="000000"/>
                <w:sz w:val="16"/>
                <w:szCs w:val="16"/>
              </w:rPr>
            </w:pPr>
            <w:r>
              <w:rPr>
                <w:rFonts w:ascii="Arial" w:hAnsi="Arial" w:cs="Arial"/>
                <w:color w:val="000000"/>
                <w:sz w:val="16"/>
                <w:szCs w:val="16"/>
              </w:rPr>
              <w:t>1</w:t>
            </w:r>
          </w:p>
        </w:tc>
        <w:tc>
          <w:tcPr>
            <w:tcW w:w="1423" w:type="pct"/>
            <w:tcBorders>
              <w:top w:val="nil"/>
              <w:left w:val="nil"/>
              <w:bottom w:val="single" w:sz="8" w:space="0" w:color="auto"/>
              <w:right w:val="single" w:sz="8" w:space="0" w:color="auto"/>
            </w:tcBorders>
            <w:shd w:val="clear" w:color="auto" w:fill="auto"/>
            <w:noWrap/>
            <w:hideMark/>
          </w:tcPr>
          <w:p w14:paraId="2C8D56FF" w14:textId="4FB1D515" w:rsidR="008428F9" w:rsidRPr="00123376" w:rsidRDefault="00ED704C" w:rsidP="006B274A">
            <w:pPr>
              <w:jc w:val="center"/>
              <w:rPr>
                <w:rFonts w:ascii="Arial" w:hAnsi="Arial" w:cs="Arial"/>
                <w:color w:val="000000"/>
                <w:sz w:val="16"/>
                <w:szCs w:val="16"/>
              </w:rPr>
            </w:pPr>
            <w:r>
              <w:rPr>
                <w:rFonts w:ascii="Arial" w:hAnsi="Arial" w:cs="Arial"/>
                <w:color w:val="000000"/>
                <w:sz w:val="16"/>
                <w:szCs w:val="16"/>
              </w:rPr>
              <w:t>4</w:t>
            </w:r>
            <w:r w:rsidR="006B274A">
              <w:rPr>
                <w:rFonts w:ascii="Arial" w:hAnsi="Arial" w:cs="Arial"/>
                <w:color w:val="000000"/>
                <w:sz w:val="16"/>
                <w:szCs w:val="16"/>
              </w:rPr>
              <w:t> 705 883</w:t>
            </w:r>
          </w:p>
        </w:tc>
      </w:tr>
      <w:tr w:rsidR="008428F9" w:rsidRPr="00E21C60" w14:paraId="70ED7113" w14:textId="77777777" w:rsidTr="00294219">
        <w:trPr>
          <w:trHeight w:val="227"/>
        </w:trPr>
        <w:tc>
          <w:tcPr>
            <w:tcW w:w="2904" w:type="pct"/>
            <w:tcBorders>
              <w:top w:val="nil"/>
              <w:left w:val="single" w:sz="8" w:space="0" w:color="auto"/>
              <w:bottom w:val="single" w:sz="8" w:space="0" w:color="auto"/>
              <w:right w:val="single" w:sz="8" w:space="0" w:color="auto"/>
            </w:tcBorders>
            <w:shd w:val="clear" w:color="auto" w:fill="auto"/>
            <w:vAlign w:val="center"/>
            <w:hideMark/>
          </w:tcPr>
          <w:p w14:paraId="0B2F9647" w14:textId="77777777" w:rsidR="008428F9" w:rsidRPr="00123376" w:rsidRDefault="008428F9" w:rsidP="008428F9">
            <w:pPr>
              <w:rPr>
                <w:rFonts w:ascii="Arial" w:hAnsi="Arial" w:cs="Arial"/>
                <w:color w:val="000000"/>
                <w:sz w:val="16"/>
                <w:szCs w:val="16"/>
              </w:rPr>
            </w:pPr>
            <w:r w:rsidRPr="00123376">
              <w:rPr>
                <w:rFonts w:ascii="Arial" w:hAnsi="Arial" w:cs="Arial"/>
                <w:color w:val="000000"/>
                <w:sz w:val="16"/>
                <w:szCs w:val="16"/>
              </w:rPr>
              <w:t>5 Ochrana a regenerácia prírodného prostredia a krajiny</w:t>
            </w:r>
          </w:p>
        </w:tc>
        <w:tc>
          <w:tcPr>
            <w:tcW w:w="673" w:type="pct"/>
            <w:tcBorders>
              <w:top w:val="nil"/>
              <w:left w:val="nil"/>
              <w:bottom w:val="single" w:sz="8" w:space="0" w:color="auto"/>
              <w:right w:val="single" w:sz="8" w:space="0" w:color="auto"/>
            </w:tcBorders>
            <w:shd w:val="clear" w:color="auto" w:fill="auto"/>
            <w:noWrap/>
            <w:vAlign w:val="center"/>
            <w:hideMark/>
          </w:tcPr>
          <w:p w14:paraId="3BA4CD07" w14:textId="07A0921A" w:rsidR="008428F9" w:rsidRPr="00123376" w:rsidRDefault="00294219" w:rsidP="008428F9">
            <w:pPr>
              <w:jc w:val="center"/>
              <w:rPr>
                <w:rFonts w:ascii="Arial" w:hAnsi="Arial" w:cs="Arial"/>
                <w:color w:val="000000"/>
                <w:sz w:val="16"/>
                <w:szCs w:val="16"/>
              </w:rPr>
            </w:pPr>
            <w:r>
              <w:rPr>
                <w:rFonts w:ascii="Arial" w:hAnsi="Arial" w:cs="Arial"/>
                <w:color w:val="000000"/>
                <w:sz w:val="16"/>
                <w:szCs w:val="16"/>
              </w:rPr>
              <w:t>0</w:t>
            </w:r>
          </w:p>
        </w:tc>
        <w:tc>
          <w:tcPr>
            <w:tcW w:w="1423" w:type="pct"/>
            <w:tcBorders>
              <w:top w:val="nil"/>
              <w:left w:val="nil"/>
              <w:bottom w:val="single" w:sz="8" w:space="0" w:color="auto"/>
              <w:right w:val="single" w:sz="8" w:space="0" w:color="auto"/>
            </w:tcBorders>
            <w:shd w:val="clear" w:color="auto" w:fill="auto"/>
            <w:noWrap/>
            <w:hideMark/>
          </w:tcPr>
          <w:p w14:paraId="3C5A57F7" w14:textId="3C192514" w:rsidR="008428F9" w:rsidRPr="00123376" w:rsidRDefault="00294219" w:rsidP="008428F9">
            <w:pPr>
              <w:jc w:val="center"/>
              <w:rPr>
                <w:rFonts w:ascii="Arial" w:hAnsi="Arial" w:cs="Arial"/>
                <w:color w:val="000000"/>
                <w:sz w:val="16"/>
                <w:szCs w:val="16"/>
              </w:rPr>
            </w:pPr>
            <w:r>
              <w:rPr>
                <w:rFonts w:ascii="Arial" w:hAnsi="Arial" w:cs="Arial"/>
                <w:color w:val="000000"/>
                <w:sz w:val="16"/>
                <w:szCs w:val="16"/>
              </w:rPr>
              <w:t>0</w:t>
            </w:r>
          </w:p>
        </w:tc>
      </w:tr>
      <w:tr w:rsidR="008428F9" w:rsidRPr="00E21C60" w14:paraId="2EAF2EC7" w14:textId="77777777" w:rsidTr="00294219">
        <w:trPr>
          <w:trHeight w:val="227"/>
        </w:trPr>
        <w:tc>
          <w:tcPr>
            <w:tcW w:w="2904" w:type="pct"/>
            <w:tcBorders>
              <w:top w:val="nil"/>
              <w:left w:val="single" w:sz="8" w:space="0" w:color="auto"/>
              <w:bottom w:val="single" w:sz="8" w:space="0" w:color="auto"/>
              <w:right w:val="single" w:sz="8" w:space="0" w:color="auto"/>
            </w:tcBorders>
            <w:shd w:val="clear" w:color="auto" w:fill="auto"/>
            <w:vAlign w:val="center"/>
            <w:hideMark/>
          </w:tcPr>
          <w:p w14:paraId="6017D7A4" w14:textId="77777777" w:rsidR="008428F9" w:rsidRPr="00123376" w:rsidRDefault="008428F9" w:rsidP="008428F9">
            <w:pPr>
              <w:rPr>
                <w:rFonts w:ascii="Arial" w:hAnsi="Arial" w:cs="Arial"/>
                <w:color w:val="000000"/>
                <w:sz w:val="16"/>
                <w:szCs w:val="16"/>
              </w:rPr>
            </w:pPr>
            <w:r w:rsidRPr="00123376">
              <w:rPr>
                <w:rFonts w:ascii="Arial" w:hAnsi="Arial" w:cs="Arial"/>
                <w:color w:val="000000"/>
                <w:sz w:val="16"/>
                <w:szCs w:val="16"/>
              </w:rPr>
              <w:t>6 Technická pomoc</w:t>
            </w:r>
          </w:p>
        </w:tc>
        <w:tc>
          <w:tcPr>
            <w:tcW w:w="673" w:type="pct"/>
            <w:tcBorders>
              <w:top w:val="nil"/>
              <w:left w:val="nil"/>
              <w:bottom w:val="single" w:sz="8" w:space="0" w:color="auto"/>
              <w:right w:val="single" w:sz="8" w:space="0" w:color="auto"/>
            </w:tcBorders>
            <w:shd w:val="clear" w:color="auto" w:fill="auto"/>
            <w:noWrap/>
            <w:vAlign w:val="center"/>
            <w:hideMark/>
          </w:tcPr>
          <w:p w14:paraId="0DB8A498" w14:textId="28870473" w:rsidR="008428F9" w:rsidRPr="00123376" w:rsidRDefault="00294219" w:rsidP="008428F9">
            <w:pPr>
              <w:jc w:val="center"/>
              <w:rPr>
                <w:rFonts w:ascii="Arial" w:hAnsi="Arial" w:cs="Arial"/>
                <w:color w:val="000000"/>
                <w:sz w:val="16"/>
                <w:szCs w:val="16"/>
              </w:rPr>
            </w:pPr>
            <w:r>
              <w:rPr>
                <w:rFonts w:ascii="Arial" w:hAnsi="Arial" w:cs="Arial"/>
                <w:color w:val="000000"/>
                <w:sz w:val="16"/>
                <w:szCs w:val="16"/>
              </w:rPr>
              <w:t>1</w:t>
            </w:r>
          </w:p>
        </w:tc>
        <w:tc>
          <w:tcPr>
            <w:tcW w:w="1423" w:type="pct"/>
            <w:tcBorders>
              <w:top w:val="nil"/>
              <w:left w:val="nil"/>
              <w:bottom w:val="single" w:sz="8" w:space="0" w:color="auto"/>
              <w:right w:val="single" w:sz="8" w:space="0" w:color="auto"/>
            </w:tcBorders>
            <w:shd w:val="clear" w:color="auto" w:fill="auto"/>
            <w:noWrap/>
            <w:hideMark/>
          </w:tcPr>
          <w:p w14:paraId="7F8F11EA" w14:textId="17FFE963" w:rsidR="008428F9" w:rsidRPr="00123376" w:rsidRDefault="00447FED" w:rsidP="008428F9">
            <w:pPr>
              <w:jc w:val="center"/>
              <w:rPr>
                <w:rFonts w:ascii="Arial" w:hAnsi="Arial" w:cs="Arial"/>
                <w:color w:val="000000"/>
                <w:sz w:val="16"/>
                <w:szCs w:val="16"/>
              </w:rPr>
            </w:pPr>
            <w:r>
              <w:rPr>
                <w:rFonts w:ascii="Arial" w:hAnsi="Arial" w:cs="Arial"/>
                <w:color w:val="000000"/>
                <w:sz w:val="16"/>
                <w:szCs w:val="16"/>
              </w:rPr>
              <w:t>14 037 371</w:t>
            </w:r>
          </w:p>
        </w:tc>
      </w:tr>
      <w:tr w:rsidR="008428F9" w:rsidRPr="00E21C60" w14:paraId="5F0CD4F9" w14:textId="77777777" w:rsidTr="00294219">
        <w:trPr>
          <w:trHeight w:val="227"/>
        </w:trPr>
        <w:tc>
          <w:tcPr>
            <w:tcW w:w="2904" w:type="pct"/>
            <w:tcBorders>
              <w:top w:val="nil"/>
              <w:left w:val="single" w:sz="8" w:space="0" w:color="auto"/>
              <w:bottom w:val="single" w:sz="8" w:space="0" w:color="auto"/>
              <w:right w:val="single" w:sz="8" w:space="0" w:color="auto"/>
            </w:tcBorders>
            <w:shd w:val="clear" w:color="auto" w:fill="auto"/>
            <w:vAlign w:val="center"/>
            <w:hideMark/>
          </w:tcPr>
          <w:p w14:paraId="11A24A02" w14:textId="77777777" w:rsidR="008428F9" w:rsidRPr="00123376" w:rsidRDefault="008428F9" w:rsidP="008428F9">
            <w:pPr>
              <w:rPr>
                <w:rFonts w:ascii="Arial" w:hAnsi="Arial" w:cs="Arial"/>
                <w:color w:val="000000"/>
                <w:sz w:val="16"/>
                <w:szCs w:val="16"/>
              </w:rPr>
            </w:pPr>
            <w:r w:rsidRPr="00123376">
              <w:rPr>
                <w:rFonts w:ascii="Arial" w:hAnsi="Arial" w:cs="Arial"/>
                <w:color w:val="000000"/>
                <w:sz w:val="16"/>
                <w:szCs w:val="16"/>
              </w:rPr>
              <w:t>7 Budovanie povodňového varovného a predpovedného systému</w:t>
            </w:r>
          </w:p>
        </w:tc>
        <w:tc>
          <w:tcPr>
            <w:tcW w:w="673" w:type="pct"/>
            <w:tcBorders>
              <w:top w:val="nil"/>
              <w:left w:val="nil"/>
              <w:bottom w:val="single" w:sz="8" w:space="0" w:color="auto"/>
              <w:right w:val="single" w:sz="8" w:space="0" w:color="auto"/>
            </w:tcBorders>
            <w:shd w:val="clear" w:color="auto" w:fill="auto"/>
            <w:noWrap/>
            <w:vAlign w:val="center"/>
            <w:hideMark/>
          </w:tcPr>
          <w:p w14:paraId="19FDEDAB" w14:textId="4CF7145A" w:rsidR="008428F9" w:rsidRPr="00123376" w:rsidRDefault="00294219" w:rsidP="008428F9">
            <w:pPr>
              <w:jc w:val="center"/>
              <w:rPr>
                <w:rFonts w:ascii="Arial" w:hAnsi="Arial" w:cs="Arial"/>
                <w:color w:val="000000"/>
                <w:sz w:val="16"/>
                <w:szCs w:val="16"/>
              </w:rPr>
            </w:pPr>
            <w:r>
              <w:rPr>
                <w:rFonts w:ascii="Arial" w:hAnsi="Arial" w:cs="Arial"/>
                <w:color w:val="000000"/>
                <w:sz w:val="16"/>
                <w:szCs w:val="16"/>
              </w:rPr>
              <w:t>0</w:t>
            </w:r>
          </w:p>
        </w:tc>
        <w:tc>
          <w:tcPr>
            <w:tcW w:w="1423" w:type="pct"/>
            <w:tcBorders>
              <w:top w:val="nil"/>
              <w:left w:val="nil"/>
              <w:bottom w:val="single" w:sz="8" w:space="0" w:color="auto"/>
              <w:right w:val="single" w:sz="8" w:space="0" w:color="auto"/>
            </w:tcBorders>
            <w:shd w:val="clear" w:color="auto" w:fill="auto"/>
            <w:noWrap/>
            <w:hideMark/>
          </w:tcPr>
          <w:p w14:paraId="3D9382C7" w14:textId="15D8D31C" w:rsidR="008428F9" w:rsidRPr="00294219" w:rsidRDefault="00294219" w:rsidP="008428F9">
            <w:pPr>
              <w:jc w:val="center"/>
            </w:pPr>
            <w:r>
              <w:rPr>
                <w:rFonts w:ascii="Arial" w:hAnsi="Arial" w:cs="Arial"/>
                <w:color w:val="000000"/>
                <w:sz w:val="16"/>
                <w:szCs w:val="16"/>
              </w:rPr>
              <w:t>0</w:t>
            </w:r>
          </w:p>
        </w:tc>
      </w:tr>
      <w:tr w:rsidR="008E4F2B" w:rsidRPr="00E21C60" w14:paraId="01D336F6" w14:textId="77777777" w:rsidTr="008428F9">
        <w:trPr>
          <w:trHeight w:val="227"/>
        </w:trPr>
        <w:tc>
          <w:tcPr>
            <w:tcW w:w="2904" w:type="pct"/>
            <w:tcBorders>
              <w:top w:val="nil"/>
              <w:left w:val="single" w:sz="8" w:space="0" w:color="auto"/>
              <w:bottom w:val="single" w:sz="8" w:space="0" w:color="auto"/>
              <w:right w:val="single" w:sz="8" w:space="0" w:color="auto"/>
            </w:tcBorders>
            <w:shd w:val="clear" w:color="000000" w:fill="EAF1DD"/>
            <w:vAlign w:val="center"/>
            <w:hideMark/>
          </w:tcPr>
          <w:p w14:paraId="0A5335A5" w14:textId="77777777" w:rsidR="008E4F2B" w:rsidRPr="00123376" w:rsidRDefault="008E4F2B" w:rsidP="008226B1">
            <w:pPr>
              <w:rPr>
                <w:rFonts w:ascii="Arial" w:hAnsi="Arial" w:cs="Arial"/>
                <w:b/>
                <w:bCs/>
                <w:color w:val="000000"/>
                <w:sz w:val="16"/>
                <w:szCs w:val="16"/>
              </w:rPr>
            </w:pPr>
            <w:r w:rsidRPr="00123376">
              <w:rPr>
                <w:rFonts w:ascii="Arial" w:hAnsi="Arial" w:cs="Arial"/>
                <w:b/>
                <w:bCs/>
                <w:color w:val="000000"/>
                <w:sz w:val="16"/>
                <w:szCs w:val="16"/>
              </w:rPr>
              <w:t>Celkom</w:t>
            </w:r>
          </w:p>
        </w:tc>
        <w:tc>
          <w:tcPr>
            <w:tcW w:w="673" w:type="pct"/>
            <w:tcBorders>
              <w:top w:val="nil"/>
              <w:left w:val="nil"/>
              <w:bottom w:val="single" w:sz="8" w:space="0" w:color="auto"/>
              <w:right w:val="single" w:sz="8" w:space="0" w:color="auto"/>
            </w:tcBorders>
            <w:shd w:val="clear" w:color="000000" w:fill="EAF1DD"/>
            <w:noWrap/>
            <w:vAlign w:val="center"/>
            <w:hideMark/>
          </w:tcPr>
          <w:p w14:paraId="353D9E9C" w14:textId="395D4FD9" w:rsidR="008E4F2B" w:rsidRPr="00123376" w:rsidRDefault="00294219">
            <w:pPr>
              <w:jc w:val="center"/>
              <w:rPr>
                <w:rFonts w:ascii="Arial" w:hAnsi="Arial" w:cs="Arial"/>
                <w:b/>
                <w:bCs/>
                <w:color w:val="000000"/>
                <w:sz w:val="16"/>
                <w:szCs w:val="16"/>
              </w:rPr>
            </w:pPr>
            <w:r>
              <w:rPr>
                <w:rFonts w:ascii="Arial" w:hAnsi="Arial" w:cs="Arial"/>
                <w:b/>
                <w:bCs/>
                <w:color w:val="000000"/>
                <w:sz w:val="16"/>
                <w:szCs w:val="16"/>
              </w:rPr>
              <w:t>4</w:t>
            </w:r>
          </w:p>
        </w:tc>
        <w:tc>
          <w:tcPr>
            <w:tcW w:w="1423" w:type="pct"/>
            <w:tcBorders>
              <w:top w:val="nil"/>
              <w:left w:val="nil"/>
              <w:bottom w:val="single" w:sz="8" w:space="0" w:color="auto"/>
              <w:right w:val="single" w:sz="8" w:space="0" w:color="auto"/>
            </w:tcBorders>
            <w:shd w:val="clear" w:color="000000" w:fill="EAF1DD"/>
            <w:noWrap/>
            <w:vAlign w:val="center"/>
            <w:hideMark/>
          </w:tcPr>
          <w:p w14:paraId="17FA8BD5" w14:textId="2CCE4407" w:rsidR="008E4F2B" w:rsidRPr="00123376" w:rsidRDefault="00447FED">
            <w:pPr>
              <w:jc w:val="center"/>
              <w:rPr>
                <w:rFonts w:ascii="Arial" w:hAnsi="Arial" w:cs="Arial"/>
                <w:b/>
                <w:bCs/>
                <w:color w:val="000000"/>
                <w:sz w:val="16"/>
                <w:szCs w:val="16"/>
              </w:rPr>
            </w:pPr>
            <w:r>
              <w:rPr>
                <w:rFonts w:ascii="Arial" w:hAnsi="Arial" w:cs="Arial"/>
                <w:b/>
                <w:bCs/>
                <w:color w:val="000000"/>
                <w:sz w:val="16"/>
                <w:szCs w:val="16"/>
              </w:rPr>
              <w:t>25 749 137</w:t>
            </w:r>
          </w:p>
        </w:tc>
      </w:tr>
    </w:tbl>
    <w:p w14:paraId="1EF020E9" w14:textId="77777777" w:rsidR="002416B1" w:rsidRPr="00123376" w:rsidRDefault="002416B1" w:rsidP="00123376">
      <w:pPr>
        <w:spacing w:after="120"/>
        <w:rPr>
          <w:rFonts w:ascii="Arial" w:hAnsi="Arial" w:cs="Arial"/>
          <w:sz w:val="16"/>
          <w:szCs w:val="16"/>
        </w:rPr>
      </w:pPr>
      <w:r w:rsidRPr="00123376">
        <w:rPr>
          <w:rFonts w:ascii="Arial" w:hAnsi="Arial" w:cs="Arial"/>
          <w:sz w:val="16"/>
          <w:szCs w:val="16"/>
        </w:rPr>
        <w:t>Zdroj:</w:t>
      </w:r>
      <w:r w:rsidR="00AD1BF2" w:rsidRPr="00123376">
        <w:rPr>
          <w:rFonts w:ascii="Arial" w:hAnsi="Arial" w:cs="Arial"/>
          <w:sz w:val="16"/>
          <w:szCs w:val="16"/>
        </w:rPr>
        <w:t xml:space="preserve"> RO</w:t>
      </w:r>
    </w:p>
    <w:p w14:paraId="4CF1BF3B" w14:textId="143DD609" w:rsidR="00074A5C" w:rsidRDefault="00074A5C" w:rsidP="008E4F2B">
      <w:pPr>
        <w:spacing w:before="120" w:after="120"/>
        <w:jc w:val="both"/>
        <w:rPr>
          <w:rFonts w:ascii="Arial" w:hAnsi="Arial" w:cs="Arial"/>
          <w:sz w:val="20"/>
          <w:szCs w:val="20"/>
        </w:rPr>
      </w:pPr>
      <w:r w:rsidRPr="00074A5C">
        <w:rPr>
          <w:rFonts w:ascii="Arial" w:hAnsi="Arial" w:cs="Arial"/>
          <w:sz w:val="20"/>
          <w:szCs w:val="20"/>
        </w:rPr>
        <w:t xml:space="preserve">Všetky vyššie uvedené výzvy boli vyhlásené </w:t>
      </w:r>
      <w:r w:rsidR="002F0F84">
        <w:rPr>
          <w:rFonts w:ascii="Arial" w:hAnsi="Arial" w:cs="Arial"/>
          <w:sz w:val="20"/>
          <w:szCs w:val="20"/>
        </w:rPr>
        <w:t>na základe</w:t>
      </w:r>
      <w:r w:rsidRPr="00074A5C">
        <w:rPr>
          <w:rFonts w:ascii="Arial" w:hAnsi="Arial" w:cs="Arial"/>
          <w:sz w:val="20"/>
          <w:szCs w:val="20"/>
        </w:rPr>
        <w:t xml:space="preserve"> Harmonogram</w:t>
      </w:r>
      <w:r w:rsidR="002F0F84">
        <w:rPr>
          <w:rFonts w:ascii="Arial" w:hAnsi="Arial" w:cs="Arial"/>
          <w:sz w:val="20"/>
          <w:szCs w:val="20"/>
        </w:rPr>
        <w:t>u</w:t>
      </w:r>
      <w:r w:rsidRPr="00074A5C">
        <w:rPr>
          <w:rFonts w:ascii="Arial" w:hAnsi="Arial" w:cs="Arial"/>
          <w:sz w:val="20"/>
          <w:szCs w:val="20"/>
        </w:rPr>
        <w:t xml:space="preserve"> </w:t>
      </w:r>
      <w:r w:rsidR="00E36D65">
        <w:rPr>
          <w:rFonts w:ascii="Arial" w:hAnsi="Arial" w:cs="Arial"/>
          <w:sz w:val="20"/>
          <w:szCs w:val="20"/>
        </w:rPr>
        <w:t>výziev na predkladanie Ž</w:t>
      </w:r>
      <w:r w:rsidRPr="00074A5C">
        <w:rPr>
          <w:rFonts w:ascii="Arial" w:hAnsi="Arial" w:cs="Arial"/>
          <w:sz w:val="20"/>
          <w:szCs w:val="20"/>
        </w:rPr>
        <w:t xml:space="preserve">oNFP z fondov EÚ prostredníctvom OP ŽP na rok 2015. Uvedený harmonogram výziev bol vypracovaný v súlade so Systémom riadenia ŠF a KF s cieľom oboznámiť potenciálnych žiadateľov s predpokladanými termínmi zverejnenia výziev. Harmonogram výziev vrátane jeho aktualizácie </w:t>
      </w:r>
      <w:r w:rsidR="002F0F84">
        <w:rPr>
          <w:rFonts w:ascii="Arial" w:hAnsi="Arial" w:cs="Arial"/>
          <w:sz w:val="20"/>
          <w:szCs w:val="20"/>
        </w:rPr>
        <w:t>bol</w:t>
      </w:r>
      <w:r w:rsidRPr="00074A5C">
        <w:rPr>
          <w:rFonts w:ascii="Arial" w:hAnsi="Arial" w:cs="Arial"/>
          <w:sz w:val="20"/>
          <w:szCs w:val="20"/>
        </w:rPr>
        <w:t xml:space="preserve"> zverejňovaný na webovom sídle OP ŽP http://www.opzp.sk/vyzvy/harmonogram-vyziev/. Harmonogram bol v priebehu roka 2015 aktualizovaný 1 x v súvislosti </w:t>
      </w:r>
      <w:r w:rsidR="00F06CDA">
        <w:rPr>
          <w:rFonts w:ascii="Arial" w:hAnsi="Arial" w:cs="Arial"/>
          <w:sz w:val="20"/>
          <w:szCs w:val="20"/>
        </w:rPr>
        <w:t xml:space="preserve">s </w:t>
      </w:r>
      <w:r w:rsidRPr="00074A5C">
        <w:rPr>
          <w:rFonts w:ascii="Arial" w:hAnsi="Arial" w:cs="Arial"/>
          <w:sz w:val="20"/>
          <w:szCs w:val="20"/>
        </w:rPr>
        <w:t>doplnením plánovaných výziev. Harmonogram vý</w:t>
      </w:r>
      <w:r w:rsidR="00E36D65">
        <w:rPr>
          <w:rFonts w:ascii="Arial" w:hAnsi="Arial" w:cs="Arial"/>
          <w:sz w:val="20"/>
          <w:szCs w:val="20"/>
        </w:rPr>
        <w:t>ziev na predkladanie Žo</w:t>
      </w:r>
      <w:r w:rsidRPr="00074A5C">
        <w:rPr>
          <w:rFonts w:ascii="Arial" w:hAnsi="Arial" w:cs="Arial"/>
          <w:sz w:val="20"/>
          <w:szCs w:val="20"/>
        </w:rPr>
        <w:t>NFP z fondov EÚ prostredníctvom OP ŽP n</w:t>
      </w:r>
      <w:r w:rsidR="002F0F84">
        <w:rPr>
          <w:rFonts w:ascii="Arial" w:hAnsi="Arial" w:cs="Arial"/>
          <w:sz w:val="20"/>
          <w:szCs w:val="20"/>
        </w:rPr>
        <w:t>a rok 2015 RO zverejnil dňa 8.</w:t>
      </w:r>
      <w:r w:rsidR="00F06CDA">
        <w:rPr>
          <w:rFonts w:ascii="Arial" w:hAnsi="Arial" w:cs="Arial"/>
          <w:sz w:val="20"/>
          <w:szCs w:val="20"/>
        </w:rPr>
        <w:t xml:space="preserve"> </w:t>
      </w:r>
      <w:r w:rsidRPr="00074A5C">
        <w:rPr>
          <w:rFonts w:ascii="Arial" w:hAnsi="Arial" w:cs="Arial"/>
          <w:sz w:val="20"/>
          <w:szCs w:val="20"/>
        </w:rPr>
        <w:t>6.</w:t>
      </w:r>
      <w:r w:rsidR="00F06CDA">
        <w:rPr>
          <w:rFonts w:ascii="Arial" w:hAnsi="Arial" w:cs="Arial"/>
          <w:sz w:val="20"/>
          <w:szCs w:val="20"/>
        </w:rPr>
        <w:t xml:space="preserve"> </w:t>
      </w:r>
      <w:r w:rsidRPr="00074A5C">
        <w:rPr>
          <w:rFonts w:ascii="Arial" w:hAnsi="Arial" w:cs="Arial"/>
          <w:sz w:val="20"/>
          <w:szCs w:val="20"/>
        </w:rPr>
        <w:t>2015 na svojom webovom sídle</w:t>
      </w:r>
      <w:r w:rsidR="002F0F84">
        <w:rPr>
          <w:rFonts w:ascii="Arial" w:hAnsi="Arial" w:cs="Arial"/>
          <w:sz w:val="20"/>
          <w:szCs w:val="20"/>
        </w:rPr>
        <w:t xml:space="preserve">. Dôvodom zverejnenia </w:t>
      </w:r>
      <w:r w:rsidRPr="00074A5C">
        <w:rPr>
          <w:rFonts w:ascii="Arial" w:hAnsi="Arial" w:cs="Arial"/>
          <w:sz w:val="20"/>
          <w:szCs w:val="20"/>
        </w:rPr>
        <w:t>harmonogram</w:t>
      </w:r>
      <w:r w:rsidR="002F0F84">
        <w:rPr>
          <w:rFonts w:ascii="Arial" w:hAnsi="Arial" w:cs="Arial"/>
          <w:sz w:val="20"/>
          <w:szCs w:val="20"/>
        </w:rPr>
        <w:t>u výziev</w:t>
      </w:r>
      <w:r w:rsidRPr="00074A5C">
        <w:rPr>
          <w:rFonts w:ascii="Arial" w:hAnsi="Arial" w:cs="Arial"/>
          <w:sz w:val="20"/>
          <w:szCs w:val="20"/>
        </w:rPr>
        <w:t xml:space="preserve"> až v mesiaci jún </w:t>
      </w:r>
      <w:r w:rsidR="002F0F84">
        <w:rPr>
          <w:rFonts w:ascii="Arial" w:hAnsi="Arial" w:cs="Arial"/>
          <w:sz w:val="20"/>
          <w:szCs w:val="20"/>
        </w:rPr>
        <w:t>2015 bola</w:t>
      </w:r>
      <w:r w:rsidRPr="00074A5C">
        <w:rPr>
          <w:rFonts w:ascii="Arial" w:hAnsi="Arial" w:cs="Arial"/>
          <w:sz w:val="20"/>
          <w:szCs w:val="20"/>
        </w:rPr>
        <w:t xml:space="preserve"> skutočnosť, že RO spočiatku neplánoval v roku 2015 vyhlásiť žiadnu výzvu na predkladanie </w:t>
      </w:r>
      <w:r w:rsidR="00E36D65">
        <w:rPr>
          <w:rFonts w:ascii="Arial" w:hAnsi="Arial" w:cs="Arial"/>
          <w:sz w:val="20"/>
          <w:szCs w:val="20"/>
        </w:rPr>
        <w:t>ŽoNFP</w:t>
      </w:r>
      <w:r w:rsidR="002F0F84">
        <w:rPr>
          <w:rFonts w:ascii="Arial" w:hAnsi="Arial" w:cs="Arial"/>
          <w:sz w:val="20"/>
          <w:szCs w:val="20"/>
        </w:rPr>
        <w:t>, avšak vzhľadom na vývoj implementácie OP ŽP k tomuto kroku nakoniec RO pristúpil.</w:t>
      </w:r>
      <w:r w:rsidRPr="00074A5C">
        <w:rPr>
          <w:rFonts w:ascii="Arial" w:hAnsi="Arial" w:cs="Arial"/>
          <w:sz w:val="20"/>
          <w:szCs w:val="20"/>
        </w:rPr>
        <w:t xml:space="preserve"> Aktualizácia harmonogramu výziev na r</w:t>
      </w:r>
      <w:r w:rsidR="002F0F84">
        <w:rPr>
          <w:rFonts w:ascii="Arial" w:hAnsi="Arial" w:cs="Arial"/>
          <w:sz w:val="20"/>
          <w:szCs w:val="20"/>
        </w:rPr>
        <w:t>ok 2015 bola zverejnená dňa 6.</w:t>
      </w:r>
      <w:r w:rsidR="00F06CDA">
        <w:rPr>
          <w:rFonts w:ascii="Arial" w:hAnsi="Arial" w:cs="Arial"/>
          <w:sz w:val="20"/>
          <w:szCs w:val="20"/>
        </w:rPr>
        <w:t xml:space="preserve"> </w:t>
      </w:r>
      <w:r w:rsidRPr="00074A5C">
        <w:rPr>
          <w:rFonts w:ascii="Arial" w:hAnsi="Arial" w:cs="Arial"/>
          <w:sz w:val="20"/>
          <w:szCs w:val="20"/>
        </w:rPr>
        <w:t>7.</w:t>
      </w:r>
      <w:r w:rsidR="00F06CDA">
        <w:rPr>
          <w:rFonts w:ascii="Arial" w:hAnsi="Arial" w:cs="Arial"/>
          <w:sz w:val="20"/>
          <w:szCs w:val="20"/>
        </w:rPr>
        <w:t xml:space="preserve"> </w:t>
      </w:r>
      <w:r w:rsidRPr="00074A5C">
        <w:rPr>
          <w:rFonts w:ascii="Arial" w:hAnsi="Arial" w:cs="Arial"/>
          <w:sz w:val="20"/>
          <w:szCs w:val="20"/>
        </w:rPr>
        <w:t>2015.</w:t>
      </w:r>
    </w:p>
    <w:p w14:paraId="6F7F188C" w14:textId="24D26826" w:rsidR="008E4F2B" w:rsidRPr="00A30760" w:rsidRDefault="008E4F2B" w:rsidP="008E4F2B">
      <w:pPr>
        <w:spacing w:before="120" w:after="120"/>
        <w:jc w:val="both"/>
        <w:rPr>
          <w:rFonts w:ascii="Arial" w:hAnsi="Arial" w:cs="Arial"/>
          <w:sz w:val="20"/>
          <w:szCs w:val="20"/>
        </w:rPr>
      </w:pPr>
      <w:r w:rsidRPr="00A30760">
        <w:rPr>
          <w:rFonts w:ascii="Arial" w:hAnsi="Arial" w:cs="Arial"/>
          <w:sz w:val="20"/>
          <w:szCs w:val="20"/>
        </w:rPr>
        <w:t xml:space="preserve">V roku </w:t>
      </w:r>
      <w:r w:rsidR="00227BCA" w:rsidRPr="00A30760">
        <w:rPr>
          <w:rFonts w:ascii="Arial" w:hAnsi="Arial" w:cs="Arial"/>
          <w:sz w:val="20"/>
          <w:szCs w:val="20"/>
        </w:rPr>
        <w:t>201</w:t>
      </w:r>
      <w:r w:rsidR="00227BCA">
        <w:rPr>
          <w:rFonts w:ascii="Arial" w:hAnsi="Arial" w:cs="Arial"/>
          <w:sz w:val="20"/>
          <w:szCs w:val="20"/>
        </w:rPr>
        <w:t>5</w:t>
      </w:r>
      <w:r w:rsidR="00227BCA" w:rsidRPr="00A30760">
        <w:rPr>
          <w:rFonts w:ascii="Arial" w:hAnsi="Arial" w:cs="Arial"/>
          <w:sz w:val="20"/>
          <w:szCs w:val="20"/>
        </w:rPr>
        <w:t xml:space="preserve"> </w:t>
      </w:r>
      <w:r w:rsidRPr="00A30760">
        <w:rPr>
          <w:rFonts w:ascii="Arial" w:hAnsi="Arial" w:cs="Arial"/>
          <w:sz w:val="20"/>
          <w:szCs w:val="20"/>
        </w:rPr>
        <w:t>boli v súlade so Systémom riadenia štrukturálnych fondov a Kohézneho fondu na programové obdobie 2007 - 2013 (ďalej aj „Systém riadenia ŠF a KF“) vypracované Správy o vyhodnotení výzvy na predkladanie žiadostí o NFP, s hlavným cieľom vyhodnotiť úspešnosť výzvy na predkladanie žiadostí o NFP a poskytnúť informácie o celom procese od vyhlásenia výzvy až po návrh na schválenie (resp. neschválenie) žiadostí o NFP MŽP SR pre projekty z Európskeho fondu regionálneho rozvoja a Kohézneho fondu.</w:t>
      </w:r>
    </w:p>
    <w:p w14:paraId="79DDB6A8" w14:textId="10EE4ABD" w:rsidR="008E4F2B" w:rsidRPr="00A30760" w:rsidRDefault="008E4F2B" w:rsidP="008E4F2B">
      <w:pPr>
        <w:spacing w:before="120" w:after="120"/>
        <w:jc w:val="both"/>
        <w:rPr>
          <w:rFonts w:ascii="Arial" w:hAnsi="Arial" w:cs="Arial"/>
          <w:sz w:val="20"/>
          <w:szCs w:val="20"/>
        </w:rPr>
      </w:pPr>
      <w:r w:rsidRPr="00A30760">
        <w:rPr>
          <w:rFonts w:ascii="Arial" w:hAnsi="Arial" w:cs="Arial"/>
          <w:sz w:val="20"/>
          <w:szCs w:val="20"/>
        </w:rPr>
        <w:t xml:space="preserve">Všetky správy o vyhodnotení výzvy majú jednotnú štruktúru a okrem základných informácií o výzve hodnotia najmä priebeh výzvy, informovanie o výzve, obsahujú </w:t>
      </w:r>
      <w:r>
        <w:rPr>
          <w:rFonts w:ascii="Arial" w:hAnsi="Arial" w:cs="Arial"/>
          <w:sz w:val="20"/>
          <w:szCs w:val="20"/>
        </w:rPr>
        <w:t>zoznam</w:t>
      </w:r>
      <w:r w:rsidRPr="00A30760">
        <w:rPr>
          <w:rFonts w:ascii="Arial" w:hAnsi="Arial" w:cs="Arial"/>
          <w:sz w:val="20"/>
          <w:szCs w:val="20"/>
        </w:rPr>
        <w:t xml:space="preserve"> zaregistrovaných žiadostí </w:t>
      </w:r>
      <w:r w:rsidRPr="00A30760">
        <w:rPr>
          <w:rFonts w:ascii="Arial" w:hAnsi="Arial" w:cs="Arial"/>
          <w:sz w:val="20"/>
          <w:szCs w:val="20"/>
        </w:rPr>
        <w:lastRenderedPageBreak/>
        <w:t>o</w:t>
      </w:r>
      <w:r>
        <w:rPr>
          <w:rFonts w:ascii="Arial" w:hAnsi="Arial" w:cs="Arial"/>
          <w:sz w:val="20"/>
          <w:szCs w:val="20"/>
        </w:rPr>
        <w:t> </w:t>
      </w:r>
      <w:r w:rsidRPr="00A30760">
        <w:rPr>
          <w:rFonts w:ascii="Arial" w:hAnsi="Arial" w:cs="Arial"/>
          <w:sz w:val="20"/>
          <w:szCs w:val="20"/>
        </w:rPr>
        <w:t>NFP</w:t>
      </w:r>
      <w:r>
        <w:rPr>
          <w:rFonts w:ascii="Arial" w:hAnsi="Arial" w:cs="Arial"/>
          <w:sz w:val="20"/>
          <w:szCs w:val="20"/>
        </w:rPr>
        <w:t xml:space="preserve">, zoznam </w:t>
      </w:r>
      <w:r w:rsidRPr="00A30760">
        <w:rPr>
          <w:rFonts w:ascii="Arial" w:hAnsi="Arial" w:cs="Arial"/>
          <w:sz w:val="20"/>
          <w:szCs w:val="20"/>
        </w:rPr>
        <w:t>žiadostí o NFP odporučených na schválenie riadiacim orgánom a uvádzajú dôvody neschválenia žiadostí o NFP.</w:t>
      </w:r>
    </w:p>
    <w:p w14:paraId="483FAF22" w14:textId="77777777" w:rsidR="008E4F2B" w:rsidRPr="00A30760" w:rsidRDefault="008E4F2B" w:rsidP="008E4F2B">
      <w:pPr>
        <w:spacing w:before="120" w:after="120"/>
        <w:jc w:val="both"/>
        <w:rPr>
          <w:rFonts w:ascii="Arial" w:hAnsi="Arial" w:cs="Arial"/>
          <w:sz w:val="20"/>
          <w:szCs w:val="20"/>
        </w:rPr>
      </w:pPr>
      <w:r w:rsidRPr="00A30760">
        <w:rPr>
          <w:rFonts w:ascii="Arial" w:hAnsi="Arial" w:cs="Arial"/>
          <w:sz w:val="20"/>
          <w:szCs w:val="20"/>
        </w:rPr>
        <w:t xml:space="preserve">Správa o vyhodnotení výzvy obsahuje tiež kapitolu „Nedostatky“, ktorej cieľom je identifikácia najčastejších problémov a nedostatkov v rámci procesu výberu projektov pre realizáciu OP ŽP, vrátane analýzy sťažností žiadateľov, týkajúcich sa poskytovania informácií o výzve, kvality pokynov a dokumentov zverejnených spolu s výzvou a procesu schvaľovania žiadostí o NFP. Kapitola obsahuje tiež návrh opatrení na predchádzanie pred opakovaním identifikovaných nedostatkov. </w:t>
      </w:r>
    </w:p>
    <w:p w14:paraId="4E2E8E68" w14:textId="470943B9" w:rsidR="008E4F2B" w:rsidRPr="00A30760" w:rsidRDefault="008E4F2B" w:rsidP="008E4F2B">
      <w:pPr>
        <w:spacing w:before="120" w:after="120"/>
        <w:jc w:val="both"/>
        <w:rPr>
          <w:rFonts w:ascii="Arial" w:hAnsi="Arial" w:cs="Arial"/>
          <w:sz w:val="20"/>
          <w:szCs w:val="20"/>
        </w:rPr>
      </w:pPr>
      <w:r w:rsidRPr="00A30760">
        <w:rPr>
          <w:rFonts w:ascii="Arial" w:hAnsi="Arial" w:cs="Arial"/>
          <w:sz w:val="20"/>
          <w:szCs w:val="20"/>
        </w:rPr>
        <w:t xml:space="preserve">Správy o vyhodnotení výzvy sú v zmysle Systému riadenia ŠF a KF na programové obdobie </w:t>
      </w:r>
      <w:r w:rsidRPr="00A30760">
        <w:rPr>
          <w:rFonts w:ascii="Arial" w:hAnsi="Arial" w:cs="Arial"/>
          <w:sz w:val="20"/>
          <w:szCs w:val="20"/>
        </w:rPr>
        <w:br/>
        <w:t xml:space="preserve">2007 - 2013 predkladané na vedomie Monitorovaciemu výboru pre OP ŽP a zverejňované na webovom sídle OP ŽP. V priebehu roka </w:t>
      </w:r>
      <w:r w:rsidR="00227BCA" w:rsidRPr="00A30760">
        <w:rPr>
          <w:rFonts w:ascii="Arial" w:hAnsi="Arial" w:cs="Arial"/>
          <w:sz w:val="20"/>
          <w:szCs w:val="20"/>
        </w:rPr>
        <w:t>201</w:t>
      </w:r>
      <w:r w:rsidR="00227BCA">
        <w:rPr>
          <w:rFonts w:ascii="Arial" w:hAnsi="Arial" w:cs="Arial"/>
          <w:sz w:val="20"/>
          <w:szCs w:val="20"/>
        </w:rPr>
        <w:t>5</w:t>
      </w:r>
      <w:r w:rsidR="00227BCA" w:rsidRPr="00A30760">
        <w:rPr>
          <w:rFonts w:ascii="Arial" w:hAnsi="Arial" w:cs="Arial"/>
          <w:sz w:val="20"/>
          <w:szCs w:val="20"/>
        </w:rPr>
        <w:t xml:space="preserve"> bol</w:t>
      </w:r>
      <w:r w:rsidR="00CE7ABA">
        <w:rPr>
          <w:rFonts w:ascii="Arial" w:hAnsi="Arial" w:cs="Arial"/>
          <w:sz w:val="20"/>
          <w:szCs w:val="20"/>
        </w:rPr>
        <w:t>o</w:t>
      </w:r>
      <w:r w:rsidR="00227BCA" w:rsidRPr="00A30760">
        <w:rPr>
          <w:rFonts w:ascii="Arial" w:hAnsi="Arial" w:cs="Arial"/>
          <w:sz w:val="20"/>
          <w:szCs w:val="20"/>
        </w:rPr>
        <w:t xml:space="preserve"> vypracovan</w:t>
      </w:r>
      <w:r w:rsidR="00CE7ABA">
        <w:rPr>
          <w:rFonts w:ascii="Arial" w:hAnsi="Arial" w:cs="Arial"/>
          <w:sz w:val="20"/>
          <w:szCs w:val="20"/>
        </w:rPr>
        <w:t>ých</w:t>
      </w:r>
      <w:r w:rsidR="00227BCA" w:rsidRPr="00A30760">
        <w:rPr>
          <w:rFonts w:ascii="Arial" w:hAnsi="Arial" w:cs="Arial"/>
          <w:sz w:val="20"/>
          <w:szCs w:val="20"/>
        </w:rPr>
        <w:t xml:space="preserve">  </w:t>
      </w:r>
      <w:r w:rsidR="00CE7ABA">
        <w:rPr>
          <w:rFonts w:ascii="Arial" w:hAnsi="Arial" w:cs="Arial"/>
          <w:sz w:val="20"/>
          <w:szCs w:val="20"/>
        </w:rPr>
        <w:t>9</w:t>
      </w:r>
      <w:r w:rsidR="00227BCA" w:rsidRPr="00A30760">
        <w:rPr>
          <w:rFonts w:ascii="Arial" w:hAnsi="Arial" w:cs="Arial"/>
          <w:sz w:val="20"/>
          <w:szCs w:val="20"/>
        </w:rPr>
        <w:t xml:space="preserve"> </w:t>
      </w:r>
      <w:r w:rsidRPr="00A30760">
        <w:rPr>
          <w:rFonts w:ascii="Arial" w:hAnsi="Arial" w:cs="Arial"/>
          <w:sz w:val="20"/>
          <w:szCs w:val="20"/>
        </w:rPr>
        <w:t xml:space="preserve">správ o vyhodnotení výziev, </w:t>
      </w:r>
      <w:r w:rsidR="00F7598D">
        <w:rPr>
          <w:rFonts w:ascii="Arial" w:hAnsi="Arial" w:cs="Arial"/>
          <w:sz w:val="20"/>
          <w:szCs w:val="20"/>
        </w:rPr>
        <w:t>a to k výzvam s kódom</w:t>
      </w:r>
      <w:r>
        <w:rPr>
          <w:rFonts w:ascii="Arial" w:hAnsi="Arial" w:cs="Arial"/>
          <w:sz w:val="20"/>
          <w:szCs w:val="20"/>
        </w:rPr>
        <w:t xml:space="preserve"> </w:t>
      </w:r>
      <w:r w:rsidR="00CE7ABA" w:rsidRPr="00CE7ABA">
        <w:rPr>
          <w:rFonts w:ascii="Arial" w:hAnsi="Arial" w:cs="Arial"/>
          <w:sz w:val="20"/>
          <w:szCs w:val="20"/>
        </w:rPr>
        <w:t>OPŽP-PO1-14-1</w:t>
      </w:r>
      <w:r w:rsidR="00CE7ABA">
        <w:rPr>
          <w:rFonts w:ascii="Arial" w:hAnsi="Arial" w:cs="Arial"/>
          <w:sz w:val="20"/>
          <w:szCs w:val="20"/>
        </w:rPr>
        <w:t xml:space="preserve">, </w:t>
      </w:r>
      <w:r w:rsidR="00CE7ABA" w:rsidRPr="00CE7ABA">
        <w:rPr>
          <w:rFonts w:ascii="Arial" w:hAnsi="Arial" w:cs="Arial"/>
          <w:sz w:val="20"/>
          <w:szCs w:val="20"/>
        </w:rPr>
        <w:t>OPŽP-PO2-14-1</w:t>
      </w:r>
      <w:r w:rsidR="00CE7ABA">
        <w:rPr>
          <w:rFonts w:ascii="Arial" w:hAnsi="Arial" w:cs="Arial"/>
          <w:sz w:val="20"/>
          <w:szCs w:val="20"/>
        </w:rPr>
        <w:t xml:space="preserve">, </w:t>
      </w:r>
      <w:r w:rsidR="00CE7ABA" w:rsidRPr="00CE7ABA">
        <w:rPr>
          <w:rFonts w:ascii="Arial" w:hAnsi="Arial" w:cs="Arial"/>
          <w:sz w:val="20"/>
          <w:szCs w:val="20"/>
        </w:rPr>
        <w:t>OPZP-PO3-14-1</w:t>
      </w:r>
      <w:r w:rsidR="00CE7ABA">
        <w:rPr>
          <w:rFonts w:ascii="Arial" w:hAnsi="Arial" w:cs="Arial"/>
          <w:sz w:val="20"/>
          <w:szCs w:val="20"/>
        </w:rPr>
        <w:t xml:space="preserve">, </w:t>
      </w:r>
      <w:r w:rsidR="00CE7ABA" w:rsidRPr="00CE7ABA">
        <w:rPr>
          <w:rFonts w:ascii="Arial" w:hAnsi="Arial" w:cs="Arial"/>
          <w:sz w:val="20"/>
          <w:szCs w:val="20"/>
        </w:rPr>
        <w:t>OPŽP-PO3-14-3</w:t>
      </w:r>
      <w:r w:rsidR="00CE7ABA">
        <w:rPr>
          <w:rFonts w:ascii="Arial" w:hAnsi="Arial" w:cs="Arial"/>
          <w:sz w:val="20"/>
          <w:szCs w:val="20"/>
        </w:rPr>
        <w:t xml:space="preserve">, </w:t>
      </w:r>
      <w:r w:rsidR="00CE7ABA" w:rsidRPr="00CE7ABA">
        <w:rPr>
          <w:rFonts w:ascii="Arial" w:hAnsi="Arial" w:cs="Arial"/>
          <w:sz w:val="20"/>
          <w:szCs w:val="20"/>
        </w:rPr>
        <w:t>OPŽP-PO3-14-4</w:t>
      </w:r>
      <w:r w:rsidR="00CE7ABA">
        <w:rPr>
          <w:rFonts w:ascii="Arial" w:hAnsi="Arial" w:cs="Arial"/>
          <w:sz w:val="20"/>
          <w:szCs w:val="20"/>
        </w:rPr>
        <w:t xml:space="preserve">, </w:t>
      </w:r>
      <w:r w:rsidR="00CE7ABA" w:rsidRPr="00CE7ABA">
        <w:rPr>
          <w:rFonts w:ascii="Arial" w:hAnsi="Arial" w:cs="Arial"/>
          <w:sz w:val="20"/>
          <w:szCs w:val="20"/>
        </w:rPr>
        <w:t>OPŽP-PO4-14-1</w:t>
      </w:r>
      <w:r w:rsidR="00CE7ABA">
        <w:rPr>
          <w:rFonts w:ascii="Arial" w:hAnsi="Arial" w:cs="Arial"/>
          <w:sz w:val="20"/>
          <w:szCs w:val="20"/>
        </w:rPr>
        <w:t xml:space="preserve">, </w:t>
      </w:r>
      <w:r w:rsidR="00CE7ABA" w:rsidRPr="00CE7ABA">
        <w:rPr>
          <w:rFonts w:ascii="Arial" w:hAnsi="Arial" w:cs="Arial"/>
          <w:sz w:val="20"/>
          <w:szCs w:val="20"/>
        </w:rPr>
        <w:t>OPŽP-PO3-15-1</w:t>
      </w:r>
      <w:r w:rsidR="00CE7ABA">
        <w:rPr>
          <w:rFonts w:ascii="Arial" w:hAnsi="Arial" w:cs="Arial"/>
          <w:sz w:val="20"/>
          <w:szCs w:val="20"/>
        </w:rPr>
        <w:t xml:space="preserve">, </w:t>
      </w:r>
      <w:r w:rsidR="00CE7ABA" w:rsidRPr="00CE7ABA">
        <w:rPr>
          <w:rFonts w:ascii="Arial" w:hAnsi="Arial" w:cs="Arial"/>
          <w:sz w:val="20"/>
          <w:szCs w:val="20"/>
        </w:rPr>
        <w:t>OPŽP-PO3-15-2</w:t>
      </w:r>
      <w:r w:rsidR="00CE7ABA">
        <w:rPr>
          <w:rFonts w:ascii="Arial" w:hAnsi="Arial" w:cs="Arial"/>
          <w:sz w:val="20"/>
          <w:szCs w:val="20"/>
        </w:rPr>
        <w:t xml:space="preserve"> </w:t>
      </w:r>
      <w:r>
        <w:rPr>
          <w:rFonts w:ascii="Arial" w:hAnsi="Arial" w:cs="Arial"/>
          <w:sz w:val="20"/>
          <w:szCs w:val="20"/>
        </w:rPr>
        <w:t>a</w:t>
      </w:r>
      <w:r w:rsidRPr="009E58C2">
        <w:rPr>
          <w:rFonts w:ascii="Arial" w:hAnsi="Arial" w:cs="Arial"/>
          <w:sz w:val="20"/>
          <w:szCs w:val="20"/>
        </w:rPr>
        <w:t xml:space="preserve"> </w:t>
      </w:r>
      <w:r w:rsidR="00CE7ABA" w:rsidRPr="00CE7ABA">
        <w:rPr>
          <w:rFonts w:ascii="Arial" w:hAnsi="Arial" w:cs="Arial"/>
          <w:sz w:val="20"/>
          <w:szCs w:val="20"/>
        </w:rPr>
        <w:t>OPŽP-PO4-15-1</w:t>
      </w:r>
      <w:r>
        <w:rPr>
          <w:rFonts w:ascii="Arial" w:hAnsi="Arial" w:cs="Arial"/>
          <w:sz w:val="20"/>
          <w:szCs w:val="20"/>
        </w:rPr>
        <w:t>.</w:t>
      </w:r>
      <w:r w:rsidRPr="00A30760">
        <w:rPr>
          <w:rFonts w:ascii="Arial" w:hAnsi="Arial" w:cs="Arial"/>
          <w:sz w:val="20"/>
          <w:szCs w:val="20"/>
        </w:rPr>
        <w:t xml:space="preserve"> Všetky </w:t>
      </w:r>
      <w:r w:rsidRPr="00A30760">
        <w:rPr>
          <w:rFonts w:ascii="Arial" w:hAnsi="Arial" w:cs="Arial"/>
          <w:bCs/>
          <w:iCs/>
          <w:sz w:val="20"/>
          <w:szCs w:val="20"/>
        </w:rPr>
        <w:t xml:space="preserve">tieto správy sú zverejnené na webovom sídle OPŽP </w:t>
      </w:r>
      <w:hyperlink r:id="rId12" w:history="1">
        <w:r w:rsidRPr="00A30760">
          <w:rPr>
            <w:rFonts w:ascii="Arial" w:hAnsi="Arial" w:cs="Arial"/>
            <w:bCs/>
            <w:iCs/>
            <w:color w:val="0000FF"/>
            <w:sz w:val="20"/>
            <w:szCs w:val="20"/>
            <w:u w:val="single"/>
          </w:rPr>
          <w:t>www.opzp.sk</w:t>
        </w:r>
      </w:hyperlink>
      <w:r w:rsidRPr="00A30760">
        <w:rPr>
          <w:rFonts w:ascii="Arial" w:hAnsi="Arial" w:cs="Arial"/>
          <w:bCs/>
          <w:iCs/>
          <w:sz w:val="20"/>
          <w:szCs w:val="20"/>
        </w:rPr>
        <w:t xml:space="preserve"> v časti „Výzvy/Správy o vyhodnotení výziev na predkladanie ŽoNFP“.</w:t>
      </w:r>
    </w:p>
    <w:p w14:paraId="699218A9" w14:textId="77777777" w:rsidR="00074A5C" w:rsidRPr="00A30760" w:rsidRDefault="00074A5C" w:rsidP="00074A5C">
      <w:pPr>
        <w:spacing w:before="120" w:after="120"/>
        <w:jc w:val="both"/>
        <w:rPr>
          <w:rFonts w:ascii="Arial" w:hAnsi="Arial" w:cs="Arial"/>
          <w:sz w:val="20"/>
          <w:szCs w:val="20"/>
        </w:rPr>
      </w:pPr>
      <w:r w:rsidRPr="00A30760">
        <w:rPr>
          <w:rFonts w:ascii="Arial" w:hAnsi="Arial" w:cs="Arial"/>
          <w:bCs/>
          <w:sz w:val="20"/>
          <w:szCs w:val="20"/>
        </w:rPr>
        <w:t xml:space="preserve">Celkový prehľad výziev vyhlásených v rámci OP ŽP vrátane súhrnnej informácie o konaniach o žiadostiach o NFP v prehľadnej tabuľkovej podobe je uvedený v  Prílohe č. 1. </w:t>
      </w:r>
      <w:r>
        <w:rPr>
          <w:rFonts w:ascii="Arial" w:hAnsi="Arial" w:cs="Arial"/>
          <w:bCs/>
          <w:sz w:val="20"/>
          <w:szCs w:val="20"/>
        </w:rPr>
        <w:t>Podrobnejšie</w:t>
      </w:r>
      <w:r w:rsidRPr="00A30760">
        <w:rPr>
          <w:rFonts w:ascii="Arial" w:hAnsi="Arial" w:cs="Arial"/>
          <w:bCs/>
          <w:sz w:val="20"/>
          <w:szCs w:val="20"/>
        </w:rPr>
        <w:t xml:space="preserve"> údaje</w:t>
      </w:r>
      <w:r>
        <w:rPr>
          <w:rFonts w:ascii="Arial" w:hAnsi="Arial" w:cs="Arial"/>
          <w:bCs/>
          <w:sz w:val="20"/>
          <w:szCs w:val="20"/>
        </w:rPr>
        <w:t xml:space="preserve"> a</w:t>
      </w:r>
      <w:r w:rsidRPr="00A30760">
        <w:rPr>
          <w:rFonts w:ascii="Arial" w:hAnsi="Arial" w:cs="Arial"/>
          <w:bCs/>
          <w:sz w:val="20"/>
          <w:szCs w:val="20"/>
        </w:rPr>
        <w:t xml:space="preserve"> informácie o</w:t>
      </w:r>
      <w:r>
        <w:rPr>
          <w:rFonts w:ascii="Arial" w:hAnsi="Arial" w:cs="Arial"/>
          <w:bCs/>
          <w:sz w:val="20"/>
          <w:szCs w:val="20"/>
        </w:rPr>
        <w:t> </w:t>
      </w:r>
      <w:r w:rsidRPr="00A30760">
        <w:rPr>
          <w:rFonts w:ascii="Arial" w:hAnsi="Arial" w:cs="Arial"/>
          <w:bCs/>
          <w:sz w:val="20"/>
          <w:szCs w:val="20"/>
        </w:rPr>
        <w:t>výzvach</w:t>
      </w:r>
      <w:r>
        <w:rPr>
          <w:rFonts w:ascii="Arial" w:hAnsi="Arial" w:cs="Arial"/>
          <w:bCs/>
          <w:sz w:val="20"/>
          <w:szCs w:val="20"/>
        </w:rPr>
        <w:t xml:space="preserve"> a</w:t>
      </w:r>
      <w:r w:rsidRPr="00522866">
        <w:rPr>
          <w:rFonts w:ascii="Arial" w:hAnsi="Arial" w:cs="Arial"/>
          <w:bCs/>
          <w:sz w:val="20"/>
          <w:szCs w:val="20"/>
        </w:rPr>
        <w:t xml:space="preserve"> písomných vyzvan</w:t>
      </w:r>
      <w:r>
        <w:rPr>
          <w:rFonts w:ascii="Arial" w:hAnsi="Arial" w:cs="Arial"/>
          <w:bCs/>
          <w:sz w:val="20"/>
          <w:szCs w:val="20"/>
        </w:rPr>
        <w:t>iach</w:t>
      </w:r>
      <w:r w:rsidRPr="00522866">
        <w:rPr>
          <w:rFonts w:ascii="Arial" w:hAnsi="Arial" w:cs="Arial"/>
          <w:bCs/>
          <w:sz w:val="20"/>
          <w:szCs w:val="20"/>
        </w:rPr>
        <w:t xml:space="preserve"> v roku 201</w:t>
      </w:r>
      <w:r>
        <w:rPr>
          <w:rFonts w:ascii="Arial" w:hAnsi="Arial" w:cs="Arial"/>
          <w:bCs/>
          <w:sz w:val="20"/>
          <w:szCs w:val="20"/>
        </w:rPr>
        <w:t xml:space="preserve">5, </w:t>
      </w:r>
      <w:r w:rsidRPr="00A30760">
        <w:rPr>
          <w:rFonts w:ascii="Arial" w:hAnsi="Arial" w:cs="Arial"/>
          <w:bCs/>
          <w:sz w:val="20"/>
          <w:szCs w:val="20"/>
        </w:rPr>
        <w:t>ich popis a zameranie podľa jednotlivých prioritných osí sú uvedené v kapitole č. 3.</w:t>
      </w:r>
    </w:p>
    <w:bookmarkEnd w:id="13"/>
    <w:bookmarkEnd w:id="14"/>
    <w:p w14:paraId="07F4DE9C" w14:textId="77777777" w:rsidR="002416B1" w:rsidRPr="00E21C60" w:rsidRDefault="002416B1" w:rsidP="00912C87">
      <w:pPr>
        <w:spacing w:before="120" w:after="120"/>
        <w:jc w:val="both"/>
        <w:rPr>
          <w:rFonts w:ascii="Arial" w:hAnsi="Arial" w:cs="Arial"/>
          <w:b/>
          <w:sz w:val="20"/>
          <w:szCs w:val="20"/>
        </w:rPr>
      </w:pPr>
      <w:r w:rsidRPr="00E473AC">
        <w:rPr>
          <w:rFonts w:ascii="Arial" w:hAnsi="Arial" w:cs="Arial"/>
          <w:b/>
          <w:sz w:val="20"/>
          <w:szCs w:val="20"/>
        </w:rPr>
        <w:t>Sledovanie vývoja implementácie od začiatku programového obdobia</w:t>
      </w:r>
    </w:p>
    <w:p w14:paraId="580CCAEE" w14:textId="44C4E2FF" w:rsidR="002416B1" w:rsidRPr="002526CC" w:rsidRDefault="002416B1" w:rsidP="00123376">
      <w:pPr>
        <w:spacing w:before="120"/>
        <w:jc w:val="both"/>
        <w:rPr>
          <w:rFonts w:ascii="Arial" w:hAnsi="Arial" w:cs="Arial"/>
          <w:sz w:val="20"/>
          <w:szCs w:val="20"/>
        </w:rPr>
      </w:pPr>
      <w:r w:rsidRPr="00E21C60">
        <w:rPr>
          <w:rFonts w:ascii="Arial" w:hAnsi="Arial" w:cs="Arial"/>
          <w:sz w:val="20"/>
          <w:szCs w:val="20"/>
        </w:rPr>
        <w:t>Tab</w:t>
      </w:r>
      <w:r w:rsidR="00B4291E" w:rsidRPr="00E21C60">
        <w:rPr>
          <w:rFonts w:ascii="Arial" w:hAnsi="Arial" w:cs="Arial"/>
          <w:sz w:val="20"/>
          <w:szCs w:val="20"/>
        </w:rPr>
        <w:t>uľka</w:t>
      </w:r>
      <w:r w:rsidRPr="00E21C60">
        <w:rPr>
          <w:rFonts w:ascii="Arial" w:hAnsi="Arial" w:cs="Arial"/>
          <w:sz w:val="20"/>
          <w:szCs w:val="20"/>
        </w:rPr>
        <w:t xml:space="preserve"> č. </w:t>
      </w:r>
      <w:r w:rsidR="00682B07">
        <w:rPr>
          <w:rFonts w:ascii="Arial" w:hAnsi="Arial" w:cs="Arial"/>
          <w:sz w:val="20"/>
          <w:szCs w:val="20"/>
        </w:rPr>
        <w:t>8</w:t>
      </w:r>
      <w:r w:rsidR="0094676A" w:rsidRPr="00E21C60">
        <w:rPr>
          <w:rFonts w:ascii="Arial" w:hAnsi="Arial" w:cs="Arial"/>
          <w:sz w:val="20"/>
          <w:szCs w:val="20"/>
        </w:rPr>
        <w:t>a</w:t>
      </w:r>
      <w:r w:rsidRPr="00E21C60">
        <w:rPr>
          <w:rFonts w:ascii="Arial" w:hAnsi="Arial" w:cs="Arial"/>
          <w:sz w:val="20"/>
          <w:szCs w:val="20"/>
        </w:rPr>
        <w:t xml:space="preserve">: Sledovanie </w:t>
      </w:r>
      <w:r w:rsidR="00AD1BF2" w:rsidRPr="00E21C60">
        <w:rPr>
          <w:rFonts w:ascii="Arial" w:hAnsi="Arial" w:cs="Arial"/>
          <w:sz w:val="20"/>
          <w:szCs w:val="20"/>
        </w:rPr>
        <w:t xml:space="preserve">pokroku v implementácii </w:t>
      </w:r>
      <w:r w:rsidRPr="00E21C60">
        <w:rPr>
          <w:rFonts w:ascii="Arial" w:hAnsi="Arial" w:cs="Arial"/>
          <w:sz w:val="20"/>
          <w:szCs w:val="20"/>
        </w:rPr>
        <w:t>programu k 31.</w:t>
      </w:r>
      <w:r w:rsidR="00C70062" w:rsidRPr="00E21C60">
        <w:rPr>
          <w:rFonts w:ascii="Arial" w:hAnsi="Arial" w:cs="Arial"/>
          <w:sz w:val="20"/>
          <w:szCs w:val="20"/>
        </w:rPr>
        <w:t>1</w:t>
      </w:r>
      <w:r w:rsidR="00C70062">
        <w:rPr>
          <w:rFonts w:ascii="Arial" w:hAnsi="Arial" w:cs="Arial"/>
          <w:sz w:val="20"/>
          <w:szCs w:val="20"/>
        </w:rPr>
        <w:t>0</w:t>
      </w:r>
      <w:r w:rsidRPr="00E21C60">
        <w:rPr>
          <w:rFonts w:ascii="Arial" w:hAnsi="Arial" w:cs="Arial"/>
          <w:sz w:val="20"/>
          <w:szCs w:val="20"/>
        </w:rPr>
        <w:t>.</w:t>
      </w:r>
      <w:r w:rsidR="003E710A" w:rsidRPr="00E21C60">
        <w:rPr>
          <w:rFonts w:ascii="Arial" w:hAnsi="Arial" w:cs="Arial"/>
          <w:sz w:val="20"/>
          <w:szCs w:val="20"/>
        </w:rPr>
        <w:t>201</w:t>
      </w:r>
      <w:r w:rsidR="00C70062">
        <w:rPr>
          <w:rFonts w:ascii="Arial" w:hAnsi="Arial" w:cs="Arial"/>
          <w:sz w:val="20"/>
          <w:szCs w:val="20"/>
        </w:rPr>
        <w:t>6</w:t>
      </w:r>
    </w:p>
    <w:tbl>
      <w:tblPr>
        <w:tblW w:w="9426" w:type="dxa"/>
        <w:jc w:val="center"/>
        <w:tblLayout w:type="fixed"/>
        <w:tblCellMar>
          <w:left w:w="70" w:type="dxa"/>
          <w:right w:w="70" w:type="dxa"/>
        </w:tblCellMar>
        <w:tblLook w:val="04A0" w:firstRow="1" w:lastRow="0" w:firstColumn="1" w:lastColumn="0" w:noHBand="0" w:noVBand="1"/>
      </w:tblPr>
      <w:tblGrid>
        <w:gridCol w:w="2480"/>
        <w:gridCol w:w="1134"/>
        <w:gridCol w:w="1134"/>
        <w:gridCol w:w="142"/>
        <w:gridCol w:w="850"/>
        <w:gridCol w:w="426"/>
        <w:gridCol w:w="850"/>
        <w:gridCol w:w="142"/>
        <w:gridCol w:w="1134"/>
        <w:gridCol w:w="1134"/>
      </w:tblGrid>
      <w:tr w:rsidR="000A19C9" w:rsidRPr="00E21C60" w14:paraId="7CA2134F" w14:textId="77777777" w:rsidTr="0008447E">
        <w:trPr>
          <w:trHeight w:val="608"/>
          <w:jc w:val="center"/>
        </w:trPr>
        <w:tc>
          <w:tcPr>
            <w:tcW w:w="2480"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hideMark/>
          </w:tcPr>
          <w:p w14:paraId="7DD1F881" w14:textId="77777777" w:rsidR="002D0009" w:rsidRPr="00123376" w:rsidRDefault="002D0009" w:rsidP="008226B1">
            <w:pPr>
              <w:jc w:val="center"/>
              <w:rPr>
                <w:rFonts w:ascii="Arial" w:hAnsi="Arial" w:cs="Arial"/>
                <w:b/>
                <w:bCs/>
                <w:color w:val="000000"/>
                <w:sz w:val="14"/>
                <w:szCs w:val="14"/>
              </w:rPr>
            </w:pPr>
            <w:r w:rsidRPr="00123376">
              <w:rPr>
                <w:rFonts w:ascii="Arial" w:hAnsi="Arial" w:cs="Arial"/>
                <w:b/>
                <w:bCs/>
                <w:color w:val="000000"/>
                <w:sz w:val="14"/>
                <w:szCs w:val="14"/>
              </w:rPr>
              <w:t>Prioritná os</w:t>
            </w:r>
          </w:p>
        </w:tc>
        <w:tc>
          <w:tcPr>
            <w:tcW w:w="1134"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7B376A37"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Počet prijatých ŽoNFP</w:t>
            </w:r>
          </w:p>
        </w:tc>
        <w:tc>
          <w:tcPr>
            <w:tcW w:w="1276" w:type="dxa"/>
            <w:gridSpan w:val="2"/>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7F2BBD7"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Počet schválených ŽoNFP</w:t>
            </w:r>
          </w:p>
        </w:tc>
        <w:tc>
          <w:tcPr>
            <w:tcW w:w="1276" w:type="dxa"/>
            <w:gridSpan w:val="2"/>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61CE452"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Počet zazmluvnených projektov</w:t>
            </w:r>
          </w:p>
        </w:tc>
        <w:tc>
          <w:tcPr>
            <w:tcW w:w="992" w:type="dxa"/>
            <w:gridSpan w:val="2"/>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D7006FD"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Počet</w:t>
            </w:r>
            <w:r w:rsidR="00CF695B" w:rsidRPr="002526CC">
              <w:rPr>
                <w:rFonts w:ascii="Arial" w:hAnsi="Arial" w:cs="Arial"/>
                <w:b/>
                <w:bCs/>
                <w:color w:val="000000"/>
                <w:sz w:val="14"/>
                <w:szCs w:val="14"/>
              </w:rPr>
              <w:t xml:space="preserve"> riadne</w:t>
            </w:r>
            <w:r w:rsidRPr="00123376">
              <w:rPr>
                <w:rFonts w:ascii="Arial" w:hAnsi="Arial" w:cs="Arial"/>
                <w:b/>
                <w:bCs/>
                <w:color w:val="000000"/>
                <w:sz w:val="14"/>
                <w:szCs w:val="14"/>
              </w:rPr>
              <w:t xml:space="preserve"> ukončených projektov</w:t>
            </w:r>
          </w:p>
        </w:tc>
        <w:tc>
          <w:tcPr>
            <w:tcW w:w="1134"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3DC8F2A6"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Počet mimoriadne ukončených projektov</w:t>
            </w:r>
          </w:p>
        </w:tc>
        <w:tc>
          <w:tcPr>
            <w:tcW w:w="1134" w:type="dxa"/>
            <w:tcBorders>
              <w:top w:val="nil"/>
              <w:left w:val="nil"/>
              <w:bottom w:val="nil"/>
              <w:right w:val="nil"/>
            </w:tcBorders>
            <w:shd w:val="clear" w:color="auto" w:fill="auto"/>
            <w:noWrap/>
            <w:vAlign w:val="bottom"/>
            <w:hideMark/>
          </w:tcPr>
          <w:p w14:paraId="6111A2DE" w14:textId="77777777" w:rsidR="002D0009" w:rsidRPr="00123376" w:rsidRDefault="002D0009">
            <w:pPr>
              <w:rPr>
                <w:rFonts w:ascii="Arial" w:hAnsi="Arial" w:cs="Arial"/>
                <w:color w:val="000000"/>
                <w:sz w:val="14"/>
                <w:szCs w:val="14"/>
              </w:rPr>
            </w:pPr>
          </w:p>
        </w:tc>
      </w:tr>
      <w:tr w:rsidR="000A19C9" w:rsidRPr="00E21C60" w14:paraId="370A6047" w14:textId="77777777" w:rsidTr="0008447E">
        <w:trPr>
          <w:trHeight w:val="315"/>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70CBB6C8" w14:textId="77777777" w:rsidR="000C30EE" w:rsidRPr="002526CC" w:rsidRDefault="000C30EE" w:rsidP="00F87D11">
            <w:pPr>
              <w:ind w:right="-70"/>
              <w:rPr>
                <w:rFonts w:ascii="Arial" w:hAnsi="Arial" w:cs="Arial"/>
                <w:color w:val="000000"/>
                <w:sz w:val="14"/>
                <w:szCs w:val="14"/>
              </w:rPr>
            </w:pPr>
            <w:r w:rsidRPr="00123376">
              <w:rPr>
                <w:rFonts w:ascii="Arial" w:hAnsi="Arial" w:cs="Arial"/>
                <w:color w:val="000000"/>
                <w:sz w:val="14"/>
                <w:szCs w:val="14"/>
              </w:rPr>
              <w:t xml:space="preserve">1 Integrovaná ochrana </w:t>
            </w:r>
          </w:p>
          <w:p w14:paraId="523004E0" w14:textId="77777777" w:rsidR="000C30EE" w:rsidRPr="00123376" w:rsidRDefault="000C30EE" w:rsidP="00F87D11">
            <w:pPr>
              <w:ind w:right="-70"/>
              <w:rPr>
                <w:rFonts w:ascii="Arial" w:hAnsi="Arial" w:cs="Arial"/>
                <w:color w:val="000000"/>
                <w:sz w:val="14"/>
                <w:szCs w:val="14"/>
              </w:rPr>
            </w:pPr>
            <w:r w:rsidRPr="00123376">
              <w:rPr>
                <w:rFonts w:ascii="Arial" w:hAnsi="Arial" w:cs="Arial"/>
                <w:color w:val="000000"/>
                <w:sz w:val="14"/>
                <w:szCs w:val="14"/>
              </w:rPr>
              <w:t>a racionálne využívanie vôd</w:t>
            </w:r>
          </w:p>
        </w:tc>
        <w:tc>
          <w:tcPr>
            <w:tcW w:w="1134" w:type="dxa"/>
            <w:tcBorders>
              <w:top w:val="nil"/>
              <w:left w:val="nil"/>
              <w:bottom w:val="single" w:sz="8" w:space="0" w:color="auto"/>
              <w:right w:val="single" w:sz="8" w:space="0" w:color="auto"/>
            </w:tcBorders>
            <w:shd w:val="clear" w:color="auto" w:fill="auto"/>
            <w:noWrap/>
            <w:vAlign w:val="center"/>
            <w:hideMark/>
          </w:tcPr>
          <w:p w14:paraId="1737E6B6" w14:textId="532A5AB9" w:rsidR="000C30EE" w:rsidRPr="00897745" w:rsidRDefault="000C30EE" w:rsidP="00897745">
            <w:pPr>
              <w:jc w:val="center"/>
              <w:rPr>
                <w:rFonts w:ascii="Arial" w:hAnsi="Arial" w:cs="Arial"/>
                <w:color w:val="000000"/>
                <w:sz w:val="14"/>
                <w:szCs w:val="14"/>
              </w:rPr>
            </w:pPr>
            <w:r w:rsidRPr="00897745">
              <w:rPr>
                <w:rFonts w:ascii="Arial" w:hAnsi="Arial" w:cs="Arial"/>
                <w:color w:val="000000"/>
                <w:sz w:val="14"/>
                <w:szCs w:val="14"/>
              </w:rPr>
              <w:t>486</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569A85B8" w14:textId="3930626A" w:rsidR="000C30EE" w:rsidRPr="00B83B81" w:rsidRDefault="000C30EE" w:rsidP="00897745">
            <w:pPr>
              <w:jc w:val="center"/>
              <w:rPr>
                <w:rFonts w:ascii="Arial" w:hAnsi="Arial" w:cs="Arial"/>
                <w:color w:val="000000"/>
                <w:sz w:val="14"/>
                <w:szCs w:val="14"/>
              </w:rPr>
            </w:pPr>
            <w:r w:rsidRPr="00B83B81">
              <w:rPr>
                <w:rFonts w:ascii="Arial" w:hAnsi="Arial" w:cs="Arial"/>
                <w:color w:val="000000"/>
                <w:sz w:val="14"/>
                <w:szCs w:val="14"/>
              </w:rPr>
              <w:t>203</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0108C721" w14:textId="5B5ED733" w:rsidR="000C30EE" w:rsidRPr="00B83B81" w:rsidRDefault="00A322CB" w:rsidP="00102919">
            <w:pPr>
              <w:jc w:val="center"/>
              <w:rPr>
                <w:rFonts w:ascii="Arial" w:hAnsi="Arial" w:cs="Arial"/>
                <w:color w:val="000000"/>
                <w:sz w:val="14"/>
                <w:szCs w:val="14"/>
              </w:rPr>
            </w:pPr>
            <w:r>
              <w:rPr>
                <w:rFonts w:ascii="Arial" w:hAnsi="Arial" w:cs="Arial"/>
                <w:color w:val="000000"/>
                <w:sz w:val="14"/>
                <w:szCs w:val="14"/>
              </w:rPr>
              <w:t>191</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48CBE3F3" w14:textId="226B6685" w:rsidR="000C30EE" w:rsidRPr="00897745" w:rsidRDefault="00516DA3" w:rsidP="00102919">
            <w:pPr>
              <w:jc w:val="center"/>
              <w:rPr>
                <w:rFonts w:ascii="Arial" w:hAnsi="Arial" w:cs="Arial"/>
                <w:color w:val="000000"/>
                <w:sz w:val="14"/>
                <w:szCs w:val="14"/>
              </w:rPr>
            </w:pPr>
            <w:r>
              <w:rPr>
                <w:rFonts w:ascii="Arial" w:hAnsi="Arial" w:cs="Arial"/>
                <w:color w:val="000000"/>
                <w:sz w:val="14"/>
                <w:szCs w:val="14"/>
              </w:rPr>
              <w:t>186</w:t>
            </w:r>
          </w:p>
        </w:tc>
        <w:tc>
          <w:tcPr>
            <w:tcW w:w="1134" w:type="dxa"/>
            <w:tcBorders>
              <w:top w:val="nil"/>
              <w:left w:val="nil"/>
              <w:bottom w:val="single" w:sz="8" w:space="0" w:color="auto"/>
              <w:right w:val="single" w:sz="8" w:space="0" w:color="auto"/>
            </w:tcBorders>
            <w:shd w:val="clear" w:color="auto" w:fill="auto"/>
            <w:noWrap/>
            <w:vAlign w:val="center"/>
            <w:hideMark/>
          </w:tcPr>
          <w:p w14:paraId="50F4CC80" w14:textId="1B0BAC33" w:rsidR="000C30EE" w:rsidRPr="00897745" w:rsidRDefault="000C30EE" w:rsidP="00102919">
            <w:pPr>
              <w:jc w:val="center"/>
              <w:rPr>
                <w:rFonts w:ascii="Arial" w:hAnsi="Arial" w:cs="Arial"/>
                <w:color w:val="000000"/>
                <w:sz w:val="14"/>
                <w:szCs w:val="14"/>
              </w:rPr>
            </w:pPr>
            <w:r w:rsidRPr="00897745">
              <w:rPr>
                <w:rFonts w:ascii="Arial" w:hAnsi="Arial" w:cs="Arial"/>
                <w:color w:val="000000"/>
                <w:sz w:val="14"/>
                <w:szCs w:val="14"/>
              </w:rPr>
              <w:t>13</w:t>
            </w:r>
            <w:r w:rsidR="00182301">
              <w:rPr>
                <w:rFonts w:ascii="Arial" w:hAnsi="Arial" w:cs="Arial"/>
                <w:color w:val="000000"/>
                <w:sz w:val="14"/>
                <w:szCs w:val="14"/>
              </w:rPr>
              <w:t>*</w:t>
            </w:r>
          </w:p>
        </w:tc>
        <w:tc>
          <w:tcPr>
            <w:tcW w:w="1134" w:type="dxa"/>
            <w:tcBorders>
              <w:top w:val="nil"/>
              <w:left w:val="nil"/>
              <w:bottom w:val="nil"/>
              <w:right w:val="nil"/>
            </w:tcBorders>
            <w:shd w:val="clear" w:color="auto" w:fill="auto"/>
            <w:noWrap/>
            <w:vAlign w:val="bottom"/>
            <w:hideMark/>
          </w:tcPr>
          <w:p w14:paraId="5A562D08" w14:textId="77777777" w:rsidR="000C30EE" w:rsidRPr="00123376" w:rsidRDefault="000C30EE" w:rsidP="000C30EE">
            <w:pPr>
              <w:rPr>
                <w:rFonts w:ascii="Arial" w:hAnsi="Arial" w:cs="Arial"/>
                <w:color w:val="000000"/>
                <w:sz w:val="14"/>
                <w:szCs w:val="14"/>
              </w:rPr>
            </w:pPr>
          </w:p>
        </w:tc>
      </w:tr>
      <w:tr w:rsidR="000A19C9" w:rsidRPr="00E21C60" w14:paraId="65FB198B" w14:textId="77777777" w:rsidTr="0008447E">
        <w:trPr>
          <w:trHeight w:val="169"/>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241C4B80" w14:textId="77777777" w:rsidR="00552561" w:rsidRPr="00123376" w:rsidRDefault="00552561" w:rsidP="00F87D11">
            <w:pPr>
              <w:ind w:right="-70"/>
              <w:rPr>
                <w:rFonts w:ascii="Arial" w:hAnsi="Arial" w:cs="Arial"/>
                <w:color w:val="000000"/>
                <w:sz w:val="14"/>
                <w:szCs w:val="14"/>
              </w:rPr>
            </w:pPr>
            <w:r w:rsidRPr="00123376">
              <w:rPr>
                <w:rFonts w:ascii="Arial" w:hAnsi="Arial" w:cs="Arial"/>
                <w:color w:val="000000"/>
                <w:sz w:val="14"/>
                <w:szCs w:val="14"/>
              </w:rPr>
              <w:t>2 Ochrana pred povodňami</w:t>
            </w:r>
          </w:p>
        </w:tc>
        <w:tc>
          <w:tcPr>
            <w:tcW w:w="1134" w:type="dxa"/>
            <w:tcBorders>
              <w:top w:val="nil"/>
              <w:left w:val="nil"/>
              <w:bottom w:val="single" w:sz="8" w:space="0" w:color="auto"/>
              <w:right w:val="single" w:sz="8" w:space="0" w:color="auto"/>
            </w:tcBorders>
            <w:shd w:val="clear" w:color="auto" w:fill="auto"/>
            <w:noWrap/>
            <w:vAlign w:val="center"/>
            <w:hideMark/>
          </w:tcPr>
          <w:p w14:paraId="6C8940D1" w14:textId="461D0139"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521</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68889187" w14:textId="56CE1029"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138</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5A43CEC5" w14:textId="2152ACCA"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126</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76603687" w14:textId="7BBB75E7"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126</w:t>
            </w:r>
          </w:p>
        </w:tc>
        <w:tc>
          <w:tcPr>
            <w:tcW w:w="1134" w:type="dxa"/>
            <w:tcBorders>
              <w:top w:val="nil"/>
              <w:left w:val="nil"/>
              <w:bottom w:val="single" w:sz="8" w:space="0" w:color="auto"/>
              <w:right w:val="single" w:sz="8" w:space="0" w:color="auto"/>
            </w:tcBorders>
            <w:shd w:val="clear" w:color="auto" w:fill="auto"/>
            <w:noWrap/>
            <w:vAlign w:val="center"/>
            <w:hideMark/>
          </w:tcPr>
          <w:p w14:paraId="6418C683" w14:textId="61A72BC8"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12</w:t>
            </w:r>
          </w:p>
        </w:tc>
        <w:tc>
          <w:tcPr>
            <w:tcW w:w="1134" w:type="dxa"/>
            <w:tcBorders>
              <w:top w:val="nil"/>
              <w:left w:val="nil"/>
              <w:bottom w:val="nil"/>
              <w:right w:val="nil"/>
            </w:tcBorders>
            <w:shd w:val="clear" w:color="auto" w:fill="auto"/>
            <w:noWrap/>
            <w:vAlign w:val="bottom"/>
            <w:hideMark/>
          </w:tcPr>
          <w:p w14:paraId="258477F8" w14:textId="77777777" w:rsidR="00552561" w:rsidRPr="00123376" w:rsidRDefault="00552561" w:rsidP="00552561">
            <w:pPr>
              <w:rPr>
                <w:rFonts w:ascii="Arial" w:hAnsi="Arial" w:cs="Arial"/>
                <w:color w:val="000000"/>
                <w:sz w:val="14"/>
                <w:szCs w:val="14"/>
              </w:rPr>
            </w:pPr>
          </w:p>
        </w:tc>
      </w:tr>
      <w:tr w:rsidR="000A19C9" w:rsidRPr="00E21C60" w14:paraId="5668E674" w14:textId="77777777" w:rsidTr="0008447E">
        <w:trPr>
          <w:trHeight w:val="315"/>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6D0FC907" w14:textId="77777777" w:rsidR="00552561" w:rsidRPr="002526CC" w:rsidRDefault="00552561" w:rsidP="00F87D11">
            <w:pPr>
              <w:ind w:right="-70"/>
              <w:rPr>
                <w:rFonts w:ascii="Arial" w:hAnsi="Arial" w:cs="Arial"/>
                <w:color w:val="000000"/>
                <w:sz w:val="14"/>
                <w:szCs w:val="14"/>
              </w:rPr>
            </w:pPr>
            <w:r w:rsidRPr="00123376">
              <w:rPr>
                <w:rFonts w:ascii="Arial" w:hAnsi="Arial" w:cs="Arial"/>
                <w:color w:val="000000"/>
                <w:sz w:val="14"/>
                <w:szCs w:val="14"/>
              </w:rPr>
              <w:t xml:space="preserve">3 Ochrana ovzdušia </w:t>
            </w:r>
          </w:p>
          <w:p w14:paraId="11A00217" w14:textId="77777777" w:rsidR="00552561" w:rsidRPr="00123376" w:rsidRDefault="00552561" w:rsidP="00F87D11">
            <w:pPr>
              <w:ind w:right="-70"/>
              <w:rPr>
                <w:rFonts w:ascii="Arial" w:hAnsi="Arial" w:cs="Arial"/>
                <w:color w:val="000000"/>
                <w:sz w:val="14"/>
                <w:szCs w:val="14"/>
              </w:rPr>
            </w:pPr>
            <w:r w:rsidRPr="00123376">
              <w:rPr>
                <w:rFonts w:ascii="Arial" w:hAnsi="Arial" w:cs="Arial"/>
                <w:color w:val="000000"/>
                <w:sz w:val="14"/>
                <w:szCs w:val="14"/>
              </w:rPr>
              <w:t>a minimalizácia nepriaznivých vplyvov zmeny klímy</w:t>
            </w:r>
          </w:p>
        </w:tc>
        <w:tc>
          <w:tcPr>
            <w:tcW w:w="1134" w:type="dxa"/>
            <w:tcBorders>
              <w:top w:val="nil"/>
              <w:left w:val="nil"/>
              <w:bottom w:val="single" w:sz="8" w:space="0" w:color="auto"/>
              <w:right w:val="single" w:sz="8" w:space="0" w:color="auto"/>
            </w:tcBorders>
            <w:shd w:val="clear" w:color="auto" w:fill="auto"/>
            <w:noWrap/>
            <w:vAlign w:val="center"/>
            <w:hideMark/>
          </w:tcPr>
          <w:p w14:paraId="427CD93D" w14:textId="3D89846A"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377</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4AA6CB6E" w14:textId="0A2A2BAA"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145</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7BD725BB" w14:textId="51970868"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128</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07CF70EC" w14:textId="345C4CDA"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128</w:t>
            </w:r>
          </w:p>
        </w:tc>
        <w:tc>
          <w:tcPr>
            <w:tcW w:w="1134" w:type="dxa"/>
            <w:tcBorders>
              <w:top w:val="nil"/>
              <w:left w:val="nil"/>
              <w:bottom w:val="single" w:sz="8" w:space="0" w:color="auto"/>
              <w:right w:val="single" w:sz="8" w:space="0" w:color="auto"/>
            </w:tcBorders>
            <w:shd w:val="clear" w:color="auto" w:fill="auto"/>
            <w:noWrap/>
            <w:vAlign w:val="center"/>
            <w:hideMark/>
          </w:tcPr>
          <w:p w14:paraId="3C2BB61F" w14:textId="29D9EE5F"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18</w:t>
            </w:r>
            <w:r w:rsidR="00182301">
              <w:rPr>
                <w:rFonts w:ascii="Arial" w:hAnsi="Arial" w:cs="Arial"/>
                <w:color w:val="000000"/>
                <w:sz w:val="14"/>
                <w:szCs w:val="14"/>
              </w:rPr>
              <w:t>*</w:t>
            </w:r>
          </w:p>
        </w:tc>
        <w:tc>
          <w:tcPr>
            <w:tcW w:w="1134" w:type="dxa"/>
            <w:tcBorders>
              <w:top w:val="nil"/>
              <w:left w:val="nil"/>
              <w:bottom w:val="nil"/>
              <w:right w:val="nil"/>
            </w:tcBorders>
            <w:shd w:val="clear" w:color="auto" w:fill="auto"/>
            <w:noWrap/>
            <w:vAlign w:val="bottom"/>
            <w:hideMark/>
          </w:tcPr>
          <w:p w14:paraId="73F6996D" w14:textId="77777777" w:rsidR="00552561" w:rsidRPr="00123376" w:rsidRDefault="00552561" w:rsidP="00552561">
            <w:pPr>
              <w:rPr>
                <w:rFonts w:ascii="Arial" w:hAnsi="Arial" w:cs="Arial"/>
                <w:color w:val="000000"/>
                <w:sz w:val="14"/>
                <w:szCs w:val="14"/>
              </w:rPr>
            </w:pPr>
          </w:p>
        </w:tc>
      </w:tr>
      <w:tr w:rsidR="000A19C9" w:rsidRPr="00E21C60" w14:paraId="066C0401" w14:textId="77777777" w:rsidTr="0008447E">
        <w:trPr>
          <w:trHeight w:val="180"/>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115DD3B9" w14:textId="77777777" w:rsidR="00552561" w:rsidRPr="00123376" w:rsidRDefault="00552561" w:rsidP="00F87D11">
            <w:pPr>
              <w:ind w:right="-70"/>
              <w:rPr>
                <w:rFonts w:ascii="Arial" w:hAnsi="Arial" w:cs="Arial"/>
                <w:color w:val="000000"/>
                <w:sz w:val="14"/>
                <w:szCs w:val="14"/>
              </w:rPr>
            </w:pPr>
            <w:r w:rsidRPr="00123376">
              <w:rPr>
                <w:rFonts w:ascii="Arial" w:hAnsi="Arial" w:cs="Arial"/>
                <w:color w:val="000000"/>
                <w:sz w:val="14"/>
                <w:szCs w:val="14"/>
              </w:rPr>
              <w:t>4 Odpadové hospodárstvo</w:t>
            </w:r>
          </w:p>
        </w:tc>
        <w:tc>
          <w:tcPr>
            <w:tcW w:w="1134" w:type="dxa"/>
            <w:tcBorders>
              <w:top w:val="nil"/>
              <w:left w:val="nil"/>
              <w:bottom w:val="single" w:sz="8" w:space="0" w:color="auto"/>
              <w:right w:val="single" w:sz="8" w:space="0" w:color="auto"/>
            </w:tcBorders>
            <w:shd w:val="clear" w:color="auto" w:fill="auto"/>
            <w:noWrap/>
            <w:vAlign w:val="center"/>
            <w:hideMark/>
          </w:tcPr>
          <w:p w14:paraId="5790230B" w14:textId="63565320"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1543</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4F9D37BC" w14:textId="38FF2147"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306</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5D6FFFDC" w14:textId="12B87AE1"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288</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2CB78F96" w14:textId="2686B6F6" w:rsidR="00552561" w:rsidRPr="00897745" w:rsidRDefault="00E43825" w:rsidP="004E7EE9">
            <w:pPr>
              <w:jc w:val="center"/>
              <w:rPr>
                <w:rFonts w:ascii="Arial" w:hAnsi="Arial" w:cs="Arial"/>
                <w:color w:val="000000"/>
                <w:sz w:val="14"/>
                <w:szCs w:val="14"/>
              </w:rPr>
            </w:pPr>
            <w:r>
              <w:rPr>
                <w:rFonts w:ascii="Arial" w:hAnsi="Arial" w:cs="Arial"/>
                <w:color w:val="000000"/>
                <w:sz w:val="14"/>
                <w:szCs w:val="14"/>
              </w:rPr>
              <w:t>28</w:t>
            </w:r>
            <w:r w:rsidR="004E7EE9">
              <w:rPr>
                <w:rFonts w:ascii="Arial" w:hAnsi="Arial" w:cs="Arial"/>
                <w:color w:val="000000"/>
                <w:sz w:val="14"/>
                <w:szCs w:val="14"/>
              </w:rPr>
              <w:t>7</w:t>
            </w:r>
          </w:p>
        </w:tc>
        <w:tc>
          <w:tcPr>
            <w:tcW w:w="1134" w:type="dxa"/>
            <w:tcBorders>
              <w:top w:val="nil"/>
              <w:left w:val="nil"/>
              <w:bottom w:val="single" w:sz="8" w:space="0" w:color="auto"/>
              <w:right w:val="single" w:sz="8" w:space="0" w:color="auto"/>
            </w:tcBorders>
            <w:shd w:val="clear" w:color="auto" w:fill="auto"/>
            <w:noWrap/>
            <w:vAlign w:val="center"/>
            <w:hideMark/>
          </w:tcPr>
          <w:p w14:paraId="190C4037" w14:textId="289A728A"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22</w:t>
            </w:r>
            <w:r w:rsidR="00182301">
              <w:rPr>
                <w:rFonts w:ascii="Arial" w:hAnsi="Arial" w:cs="Arial"/>
                <w:color w:val="000000"/>
                <w:sz w:val="14"/>
                <w:szCs w:val="14"/>
              </w:rPr>
              <w:t>*</w:t>
            </w:r>
          </w:p>
        </w:tc>
        <w:tc>
          <w:tcPr>
            <w:tcW w:w="1134" w:type="dxa"/>
            <w:tcBorders>
              <w:top w:val="nil"/>
              <w:left w:val="nil"/>
              <w:bottom w:val="nil"/>
              <w:right w:val="nil"/>
            </w:tcBorders>
            <w:shd w:val="clear" w:color="auto" w:fill="auto"/>
            <w:noWrap/>
            <w:vAlign w:val="bottom"/>
            <w:hideMark/>
          </w:tcPr>
          <w:p w14:paraId="060845D7" w14:textId="77777777" w:rsidR="00552561" w:rsidRPr="00123376" w:rsidRDefault="00552561" w:rsidP="00552561">
            <w:pPr>
              <w:rPr>
                <w:rFonts w:ascii="Arial" w:hAnsi="Arial" w:cs="Arial"/>
                <w:color w:val="000000"/>
                <w:sz w:val="14"/>
                <w:szCs w:val="14"/>
              </w:rPr>
            </w:pPr>
          </w:p>
        </w:tc>
      </w:tr>
      <w:tr w:rsidR="000A19C9" w:rsidRPr="00E21C60" w14:paraId="5BCC341D" w14:textId="77777777" w:rsidTr="0008447E">
        <w:trPr>
          <w:trHeight w:val="315"/>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78E244FF" w14:textId="77777777" w:rsidR="00552561" w:rsidRPr="00123376" w:rsidRDefault="00552561" w:rsidP="00F87D11">
            <w:pPr>
              <w:ind w:right="-70"/>
              <w:rPr>
                <w:rFonts w:ascii="Arial" w:hAnsi="Arial" w:cs="Arial"/>
                <w:color w:val="000000"/>
                <w:sz w:val="14"/>
                <w:szCs w:val="14"/>
              </w:rPr>
            </w:pPr>
            <w:r w:rsidRPr="00123376">
              <w:rPr>
                <w:rFonts w:ascii="Arial" w:hAnsi="Arial" w:cs="Arial"/>
                <w:color w:val="000000"/>
                <w:sz w:val="14"/>
                <w:szCs w:val="14"/>
              </w:rPr>
              <w:t>5 Ochrana a regenerácia prírodného prostredia a krajiny</w:t>
            </w:r>
          </w:p>
        </w:tc>
        <w:tc>
          <w:tcPr>
            <w:tcW w:w="1134" w:type="dxa"/>
            <w:tcBorders>
              <w:top w:val="nil"/>
              <w:left w:val="nil"/>
              <w:bottom w:val="single" w:sz="8" w:space="0" w:color="auto"/>
              <w:right w:val="single" w:sz="8" w:space="0" w:color="auto"/>
            </w:tcBorders>
            <w:shd w:val="clear" w:color="auto" w:fill="auto"/>
            <w:noWrap/>
            <w:vAlign w:val="center"/>
            <w:hideMark/>
          </w:tcPr>
          <w:p w14:paraId="1B7DD20A" w14:textId="6B8962F9"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66</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44EF9696" w14:textId="6EFDE1B5"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46</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3670C0E0" w14:textId="4EEC7707"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42</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1EA416B0" w14:textId="609F26DA"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42</w:t>
            </w:r>
          </w:p>
        </w:tc>
        <w:tc>
          <w:tcPr>
            <w:tcW w:w="1134" w:type="dxa"/>
            <w:tcBorders>
              <w:top w:val="nil"/>
              <w:left w:val="nil"/>
              <w:bottom w:val="single" w:sz="8" w:space="0" w:color="auto"/>
              <w:right w:val="single" w:sz="8" w:space="0" w:color="auto"/>
            </w:tcBorders>
            <w:shd w:val="clear" w:color="auto" w:fill="auto"/>
            <w:noWrap/>
            <w:vAlign w:val="center"/>
            <w:hideMark/>
          </w:tcPr>
          <w:p w14:paraId="18071217" w14:textId="54A254D5"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4</w:t>
            </w:r>
          </w:p>
        </w:tc>
        <w:tc>
          <w:tcPr>
            <w:tcW w:w="1134" w:type="dxa"/>
            <w:tcBorders>
              <w:top w:val="nil"/>
              <w:left w:val="nil"/>
              <w:bottom w:val="nil"/>
              <w:right w:val="nil"/>
            </w:tcBorders>
            <w:shd w:val="clear" w:color="auto" w:fill="auto"/>
            <w:noWrap/>
            <w:vAlign w:val="bottom"/>
            <w:hideMark/>
          </w:tcPr>
          <w:p w14:paraId="624DC004" w14:textId="77777777" w:rsidR="00552561" w:rsidRPr="00123376" w:rsidRDefault="00552561" w:rsidP="00552561">
            <w:pPr>
              <w:rPr>
                <w:rFonts w:ascii="Arial" w:hAnsi="Arial" w:cs="Arial"/>
                <w:color w:val="000000"/>
                <w:sz w:val="14"/>
                <w:szCs w:val="14"/>
              </w:rPr>
            </w:pPr>
          </w:p>
        </w:tc>
      </w:tr>
      <w:tr w:rsidR="000A19C9" w:rsidRPr="00E21C60" w14:paraId="6ACF2E5E" w14:textId="77777777" w:rsidTr="0008447E">
        <w:trPr>
          <w:trHeight w:val="315"/>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43F8347F" w14:textId="77777777" w:rsidR="00552561" w:rsidRPr="00123376" w:rsidRDefault="00552561" w:rsidP="00F87D11">
            <w:pPr>
              <w:ind w:right="-70"/>
              <w:rPr>
                <w:rFonts w:ascii="Arial" w:hAnsi="Arial" w:cs="Arial"/>
                <w:color w:val="000000"/>
                <w:sz w:val="14"/>
                <w:szCs w:val="14"/>
              </w:rPr>
            </w:pPr>
            <w:r w:rsidRPr="00123376">
              <w:rPr>
                <w:rFonts w:ascii="Arial" w:hAnsi="Arial" w:cs="Arial"/>
                <w:color w:val="000000"/>
                <w:sz w:val="14"/>
                <w:szCs w:val="14"/>
              </w:rPr>
              <w:t>7 Budovanie povodňového varovného a predpovedného systému</w:t>
            </w:r>
          </w:p>
        </w:tc>
        <w:tc>
          <w:tcPr>
            <w:tcW w:w="1134" w:type="dxa"/>
            <w:tcBorders>
              <w:top w:val="nil"/>
              <w:left w:val="nil"/>
              <w:bottom w:val="single" w:sz="8" w:space="0" w:color="auto"/>
              <w:right w:val="single" w:sz="8" w:space="0" w:color="auto"/>
            </w:tcBorders>
            <w:shd w:val="clear" w:color="auto" w:fill="auto"/>
            <w:noWrap/>
            <w:vAlign w:val="center"/>
            <w:hideMark/>
          </w:tcPr>
          <w:p w14:paraId="2402BE8F" w14:textId="05217C8E"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1</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1855464C" w14:textId="70B41392"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1</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1A769CFD" w14:textId="53258331"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1</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53716569" w14:textId="4534FDA7" w:rsidR="00552561" w:rsidRPr="00897745" w:rsidRDefault="000D01A6" w:rsidP="00102919">
            <w:pPr>
              <w:jc w:val="center"/>
              <w:rPr>
                <w:rFonts w:ascii="Arial" w:hAnsi="Arial" w:cs="Arial"/>
                <w:color w:val="000000"/>
                <w:sz w:val="14"/>
                <w:szCs w:val="14"/>
              </w:rPr>
            </w:pPr>
            <w:r>
              <w:rPr>
                <w:rFonts w:ascii="Arial" w:hAnsi="Arial" w:cs="Arial"/>
                <w:color w:val="000000"/>
                <w:sz w:val="14"/>
                <w:szCs w:val="14"/>
              </w:rPr>
              <w:t>1</w:t>
            </w:r>
          </w:p>
        </w:tc>
        <w:tc>
          <w:tcPr>
            <w:tcW w:w="1134" w:type="dxa"/>
            <w:tcBorders>
              <w:top w:val="nil"/>
              <w:left w:val="nil"/>
              <w:bottom w:val="single" w:sz="8" w:space="0" w:color="auto"/>
              <w:right w:val="single" w:sz="8" w:space="0" w:color="auto"/>
            </w:tcBorders>
            <w:shd w:val="clear" w:color="auto" w:fill="auto"/>
            <w:noWrap/>
            <w:vAlign w:val="center"/>
            <w:hideMark/>
          </w:tcPr>
          <w:p w14:paraId="404C3C45" w14:textId="27622E96"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0</w:t>
            </w:r>
          </w:p>
        </w:tc>
        <w:tc>
          <w:tcPr>
            <w:tcW w:w="1134" w:type="dxa"/>
            <w:tcBorders>
              <w:top w:val="nil"/>
              <w:left w:val="nil"/>
              <w:bottom w:val="nil"/>
              <w:right w:val="nil"/>
            </w:tcBorders>
            <w:shd w:val="clear" w:color="auto" w:fill="auto"/>
            <w:noWrap/>
            <w:vAlign w:val="bottom"/>
            <w:hideMark/>
          </w:tcPr>
          <w:p w14:paraId="47B0F5B6" w14:textId="77777777" w:rsidR="00552561" w:rsidRPr="00123376" w:rsidRDefault="00552561" w:rsidP="00552561">
            <w:pPr>
              <w:rPr>
                <w:rFonts w:ascii="Arial" w:hAnsi="Arial" w:cs="Arial"/>
                <w:color w:val="000000"/>
                <w:sz w:val="14"/>
                <w:szCs w:val="14"/>
              </w:rPr>
            </w:pPr>
          </w:p>
        </w:tc>
      </w:tr>
      <w:tr w:rsidR="000A19C9" w:rsidRPr="00E21C60" w14:paraId="0253A47A" w14:textId="77777777" w:rsidTr="0008447E">
        <w:trPr>
          <w:trHeight w:val="151"/>
          <w:jc w:val="center"/>
        </w:trPr>
        <w:tc>
          <w:tcPr>
            <w:tcW w:w="2480" w:type="dxa"/>
            <w:tcBorders>
              <w:top w:val="nil"/>
              <w:left w:val="single" w:sz="8" w:space="0" w:color="auto"/>
              <w:bottom w:val="single" w:sz="4" w:space="0" w:color="auto"/>
              <w:right w:val="single" w:sz="8" w:space="0" w:color="auto"/>
            </w:tcBorders>
            <w:shd w:val="clear" w:color="000000" w:fill="EAF1DD"/>
            <w:vAlign w:val="center"/>
            <w:hideMark/>
          </w:tcPr>
          <w:p w14:paraId="2932B187" w14:textId="77777777" w:rsidR="00552561" w:rsidRPr="00123376" w:rsidRDefault="00552561" w:rsidP="00552561">
            <w:pPr>
              <w:rPr>
                <w:rFonts w:ascii="Arial" w:hAnsi="Arial" w:cs="Arial"/>
                <w:b/>
                <w:bCs/>
                <w:color w:val="000000"/>
                <w:sz w:val="14"/>
                <w:szCs w:val="14"/>
              </w:rPr>
            </w:pPr>
            <w:r w:rsidRPr="00123376">
              <w:rPr>
                <w:rFonts w:ascii="Arial" w:hAnsi="Arial" w:cs="Arial"/>
                <w:b/>
                <w:bCs/>
                <w:color w:val="000000"/>
                <w:sz w:val="14"/>
                <w:szCs w:val="14"/>
              </w:rPr>
              <w:t>Celkom</w:t>
            </w:r>
          </w:p>
        </w:tc>
        <w:tc>
          <w:tcPr>
            <w:tcW w:w="1134" w:type="dxa"/>
            <w:tcBorders>
              <w:top w:val="nil"/>
              <w:left w:val="nil"/>
              <w:bottom w:val="single" w:sz="4" w:space="0" w:color="auto"/>
              <w:right w:val="single" w:sz="8" w:space="0" w:color="auto"/>
            </w:tcBorders>
            <w:shd w:val="clear" w:color="000000" w:fill="EAF1DD"/>
            <w:noWrap/>
            <w:vAlign w:val="center"/>
            <w:hideMark/>
          </w:tcPr>
          <w:p w14:paraId="18D158BE" w14:textId="5E1C1320" w:rsidR="00552561" w:rsidRPr="00102919" w:rsidRDefault="00552561" w:rsidP="00552561">
            <w:pPr>
              <w:jc w:val="center"/>
              <w:rPr>
                <w:rFonts w:ascii="Arial" w:hAnsi="Arial" w:cs="Arial"/>
                <w:b/>
                <w:color w:val="000000"/>
                <w:sz w:val="14"/>
                <w:szCs w:val="14"/>
              </w:rPr>
            </w:pPr>
            <w:r w:rsidRPr="00102919">
              <w:rPr>
                <w:rFonts w:ascii="Arial" w:hAnsi="Arial" w:cs="Arial"/>
                <w:b/>
                <w:color w:val="000000"/>
                <w:sz w:val="14"/>
                <w:szCs w:val="14"/>
              </w:rPr>
              <w:t>2994</w:t>
            </w:r>
          </w:p>
        </w:tc>
        <w:tc>
          <w:tcPr>
            <w:tcW w:w="1276" w:type="dxa"/>
            <w:gridSpan w:val="2"/>
            <w:tcBorders>
              <w:top w:val="nil"/>
              <w:left w:val="nil"/>
              <w:bottom w:val="single" w:sz="4" w:space="0" w:color="auto"/>
              <w:right w:val="single" w:sz="8" w:space="0" w:color="auto"/>
            </w:tcBorders>
            <w:shd w:val="clear" w:color="000000" w:fill="EAF1DD"/>
            <w:noWrap/>
            <w:vAlign w:val="center"/>
            <w:hideMark/>
          </w:tcPr>
          <w:p w14:paraId="32463C8D" w14:textId="5D3AEECB" w:rsidR="00552561" w:rsidRPr="00102919" w:rsidRDefault="00552561" w:rsidP="00552561">
            <w:pPr>
              <w:jc w:val="center"/>
              <w:rPr>
                <w:rFonts w:ascii="Arial" w:hAnsi="Arial" w:cs="Arial"/>
                <w:b/>
                <w:color w:val="000000"/>
                <w:sz w:val="14"/>
                <w:szCs w:val="14"/>
              </w:rPr>
            </w:pPr>
            <w:r w:rsidRPr="00102919">
              <w:rPr>
                <w:rFonts w:ascii="Arial" w:hAnsi="Arial" w:cs="Arial"/>
                <w:b/>
                <w:color w:val="000000"/>
                <w:sz w:val="14"/>
                <w:szCs w:val="14"/>
              </w:rPr>
              <w:t>839</w:t>
            </w:r>
          </w:p>
        </w:tc>
        <w:tc>
          <w:tcPr>
            <w:tcW w:w="1276" w:type="dxa"/>
            <w:gridSpan w:val="2"/>
            <w:tcBorders>
              <w:top w:val="nil"/>
              <w:left w:val="nil"/>
              <w:bottom w:val="single" w:sz="4" w:space="0" w:color="auto"/>
              <w:right w:val="single" w:sz="8" w:space="0" w:color="auto"/>
            </w:tcBorders>
            <w:shd w:val="clear" w:color="000000" w:fill="EAF1DD"/>
            <w:noWrap/>
            <w:vAlign w:val="center"/>
            <w:hideMark/>
          </w:tcPr>
          <w:p w14:paraId="4B8DCAA8" w14:textId="2B42E427" w:rsidR="00552561" w:rsidRPr="00102919" w:rsidRDefault="00552561" w:rsidP="00102919">
            <w:pPr>
              <w:jc w:val="center"/>
              <w:rPr>
                <w:rFonts w:ascii="Arial" w:hAnsi="Arial" w:cs="Arial"/>
                <w:b/>
                <w:color w:val="000000"/>
                <w:sz w:val="14"/>
                <w:szCs w:val="14"/>
              </w:rPr>
            </w:pPr>
            <w:r w:rsidRPr="00102919">
              <w:rPr>
                <w:rFonts w:ascii="Arial" w:hAnsi="Arial" w:cs="Arial"/>
                <w:b/>
                <w:color w:val="000000"/>
                <w:sz w:val="14"/>
                <w:szCs w:val="14"/>
              </w:rPr>
              <w:t>776</w:t>
            </w:r>
          </w:p>
        </w:tc>
        <w:tc>
          <w:tcPr>
            <w:tcW w:w="992" w:type="dxa"/>
            <w:gridSpan w:val="2"/>
            <w:tcBorders>
              <w:top w:val="nil"/>
              <w:left w:val="nil"/>
              <w:bottom w:val="single" w:sz="4" w:space="0" w:color="auto"/>
              <w:right w:val="single" w:sz="8" w:space="0" w:color="auto"/>
            </w:tcBorders>
            <w:shd w:val="clear" w:color="000000" w:fill="EAF1DD"/>
            <w:noWrap/>
            <w:vAlign w:val="center"/>
            <w:hideMark/>
          </w:tcPr>
          <w:p w14:paraId="19A47C48" w14:textId="266C6216" w:rsidR="00552561" w:rsidRPr="00102919" w:rsidRDefault="00516DA3" w:rsidP="00102919">
            <w:pPr>
              <w:jc w:val="center"/>
              <w:rPr>
                <w:rFonts w:ascii="Arial" w:hAnsi="Arial" w:cs="Arial"/>
                <w:b/>
                <w:color w:val="000000"/>
                <w:sz w:val="14"/>
                <w:szCs w:val="14"/>
              </w:rPr>
            </w:pPr>
            <w:r>
              <w:rPr>
                <w:rFonts w:ascii="Arial" w:hAnsi="Arial" w:cs="Arial"/>
                <w:b/>
                <w:color w:val="000000"/>
                <w:sz w:val="14"/>
                <w:szCs w:val="14"/>
              </w:rPr>
              <w:t>770</w:t>
            </w:r>
          </w:p>
        </w:tc>
        <w:tc>
          <w:tcPr>
            <w:tcW w:w="1134" w:type="dxa"/>
            <w:tcBorders>
              <w:top w:val="nil"/>
              <w:left w:val="nil"/>
              <w:bottom w:val="single" w:sz="4" w:space="0" w:color="auto"/>
              <w:right w:val="single" w:sz="8" w:space="0" w:color="auto"/>
            </w:tcBorders>
            <w:shd w:val="clear" w:color="000000" w:fill="EAF1DD"/>
            <w:noWrap/>
            <w:vAlign w:val="center"/>
            <w:hideMark/>
          </w:tcPr>
          <w:p w14:paraId="56408330" w14:textId="45E71F05" w:rsidR="00552561" w:rsidRPr="00102919" w:rsidRDefault="00552561" w:rsidP="00102919">
            <w:pPr>
              <w:jc w:val="center"/>
              <w:rPr>
                <w:rFonts w:ascii="Arial" w:hAnsi="Arial" w:cs="Arial"/>
                <w:b/>
                <w:color w:val="000000"/>
                <w:sz w:val="14"/>
                <w:szCs w:val="14"/>
              </w:rPr>
            </w:pPr>
            <w:r w:rsidRPr="00102919">
              <w:rPr>
                <w:rFonts w:ascii="Arial" w:hAnsi="Arial" w:cs="Arial"/>
                <w:b/>
                <w:color w:val="000000"/>
                <w:sz w:val="14"/>
                <w:szCs w:val="14"/>
              </w:rPr>
              <w:t>69</w:t>
            </w:r>
          </w:p>
        </w:tc>
        <w:tc>
          <w:tcPr>
            <w:tcW w:w="1134" w:type="dxa"/>
            <w:tcBorders>
              <w:top w:val="nil"/>
              <w:left w:val="nil"/>
              <w:bottom w:val="nil"/>
              <w:right w:val="nil"/>
            </w:tcBorders>
            <w:shd w:val="clear" w:color="auto" w:fill="auto"/>
            <w:noWrap/>
            <w:vAlign w:val="bottom"/>
            <w:hideMark/>
          </w:tcPr>
          <w:p w14:paraId="03F5A8A6" w14:textId="77777777" w:rsidR="00552561" w:rsidRPr="00123376" w:rsidRDefault="00552561" w:rsidP="00552561">
            <w:pPr>
              <w:rPr>
                <w:rFonts w:ascii="Arial" w:hAnsi="Arial" w:cs="Arial"/>
                <w:color w:val="000000"/>
                <w:sz w:val="14"/>
                <w:szCs w:val="14"/>
              </w:rPr>
            </w:pPr>
          </w:p>
        </w:tc>
      </w:tr>
      <w:tr w:rsidR="000A19C9" w:rsidRPr="00E21C60" w14:paraId="3740019B" w14:textId="77777777" w:rsidTr="0008447E">
        <w:trPr>
          <w:trHeight w:val="263"/>
          <w:jc w:val="center"/>
        </w:trPr>
        <w:tc>
          <w:tcPr>
            <w:tcW w:w="2480"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5DD98A53" w14:textId="77777777" w:rsidR="00552561" w:rsidRPr="00123376" w:rsidRDefault="00552561" w:rsidP="00552561">
            <w:pPr>
              <w:rPr>
                <w:rFonts w:ascii="Arial" w:hAnsi="Arial" w:cs="Arial"/>
                <w:color w:val="000000"/>
                <w:sz w:val="14"/>
                <w:szCs w:val="14"/>
              </w:rPr>
            </w:pPr>
            <w:r w:rsidRPr="00123376">
              <w:rPr>
                <w:rFonts w:ascii="Arial" w:hAnsi="Arial" w:cs="Arial"/>
                <w:color w:val="000000"/>
                <w:sz w:val="14"/>
                <w:szCs w:val="14"/>
              </w:rPr>
              <w:t>6 Technická pomoc</w:t>
            </w:r>
          </w:p>
        </w:tc>
        <w:tc>
          <w:tcPr>
            <w:tcW w:w="1134" w:type="dxa"/>
            <w:tcBorders>
              <w:top w:val="single" w:sz="4" w:space="0" w:color="auto"/>
              <w:left w:val="nil"/>
              <w:bottom w:val="single" w:sz="8" w:space="0" w:color="auto"/>
              <w:right w:val="single" w:sz="8" w:space="0" w:color="auto"/>
            </w:tcBorders>
            <w:shd w:val="clear" w:color="auto" w:fill="auto"/>
            <w:noWrap/>
            <w:vAlign w:val="center"/>
            <w:hideMark/>
          </w:tcPr>
          <w:p w14:paraId="7D9C8039" w14:textId="59555C7D"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29</w:t>
            </w:r>
          </w:p>
        </w:tc>
        <w:tc>
          <w:tcPr>
            <w:tcW w:w="1276" w:type="dxa"/>
            <w:gridSpan w:val="2"/>
            <w:tcBorders>
              <w:top w:val="single" w:sz="4" w:space="0" w:color="auto"/>
              <w:left w:val="nil"/>
              <w:bottom w:val="single" w:sz="8" w:space="0" w:color="auto"/>
              <w:right w:val="single" w:sz="8" w:space="0" w:color="auto"/>
            </w:tcBorders>
            <w:shd w:val="clear" w:color="auto" w:fill="auto"/>
            <w:noWrap/>
            <w:vAlign w:val="center"/>
            <w:hideMark/>
          </w:tcPr>
          <w:p w14:paraId="77EFF507" w14:textId="3ACA1854" w:rsidR="00552561" w:rsidRPr="00897745" w:rsidRDefault="00552561" w:rsidP="00552561">
            <w:pPr>
              <w:jc w:val="center"/>
              <w:rPr>
                <w:rFonts w:ascii="Arial" w:hAnsi="Arial" w:cs="Arial"/>
                <w:color w:val="000000"/>
                <w:sz w:val="14"/>
                <w:szCs w:val="14"/>
              </w:rPr>
            </w:pPr>
            <w:r w:rsidRPr="00897745">
              <w:rPr>
                <w:rFonts w:ascii="Arial" w:hAnsi="Arial" w:cs="Arial"/>
                <w:color w:val="000000"/>
                <w:sz w:val="14"/>
                <w:szCs w:val="14"/>
              </w:rPr>
              <w:t>29</w:t>
            </w:r>
          </w:p>
        </w:tc>
        <w:tc>
          <w:tcPr>
            <w:tcW w:w="1276" w:type="dxa"/>
            <w:gridSpan w:val="2"/>
            <w:tcBorders>
              <w:top w:val="single" w:sz="4" w:space="0" w:color="auto"/>
              <w:left w:val="nil"/>
              <w:bottom w:val="single" w:sz="8" w:space="0" w:color="auto"/>
              <w:right w:val="single" w:sz="8" w:space="0" w:color="auto"/>
            </w:tcBorders>
            <w:shd w:val="clear" w:color="auto" w:fill="auto"/>
            <w:noWrap/>
            <w:vAlign w:val="center"/>
            <w:hideMark/>
          </w:tcPr>
          <w:p w14:paraId="4B980427" w14:textId="70DFDA61"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29</w:t>
            </w:r>
          </w:p>
        </w:tc>
        <w:tc>
          <w:tcPr>
            <w:tcW w:w="992" w:type="dxa"/>
            <w:gridSpan w:val="2"/>
            <w:tcBorders>
              <w:top w:val="single" w:sz="4" w:space="0" w:color="auto"/>
              <w:left w:val="nil"/>
              <w:bottom w:val="single" w:sz="8" w:space="0" w:color="auto"/>
              <w:right w:val="single" w:sz="8" w:space="0" w:color="auto"/>
            </w:tcBorders>
            <w:shd w:val="clear" w:color="auto" w:fill="auto"/>
            <w:noWrap/>
            <w:vAlign w:val="center"/>
            <w:hideMark/>
          </w:tcPr>
          <w:p w14:paraId="21E43AB0" w14:textId="11AA8C83"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29</w:t>
            </w:r>
          </w:p>
        </w:tc>
        <w:tc>
          <w:tcPr>
            <w:tcW w:w="1134" w:type="dxa"/>
            <w:tcBorders>
              <w:top w:val="single" w:sz="4" w:space="0" w:color="auto"/>
              <w:left w:val="nil"/>
              <w:bottom w:val="single" w:sz="8" w:space="0" w:color="auto"/>
              <w:right w:val="single" w:sz="8" w:space="0" w:color="auto"/>
            </w:tcBorders>
            <w:shd w:val="clear" w:color="auto" w:fill="auto"/>
            <w:noWrap/>
            <w:vAlign w:val="center"/>
            <w:hideMark/>
          </w:tcPr>
          <w:p w14:paraId="4BAC48B4" w14:textId="7ECA09AE" w:rsidR="00552561" w:rsidRPr="00897745" w:rsidRDefault="00552561" w:rsidP="00102919">
            <w:pPr>
              <w:jc w:val="center"/>
              <w:rPr>
                <w:rFonts w:ascii="Arial" w:hAnsi="Arial" w:cs="Arial"/>
                <w:color w:val="000000"/>
                <w:sz w:val="14"/>
                <w:szCs w:val="14"/>
              </w:rPr>
            </w:pPr>
            <w:r w:rsidRPr="00102919">
              <w:rPr>
                <w:rFonts w:ascii="Arial" w:hAnsi="Arial" w:cs="Arial"/>
                <w:color w:val="000000"/>
                <w:sz w:val="14"/>
                <w:szCs w:val="14"/>
              </w:rPr>
              <w:t>0</w:t>
            </w:r>
          </w:p>
        </w:tc>
        <w:tc>
          <w:tcPr>
            <w:tcW w:w="1134" w:type="dxa"/>
            <w:tcBorders>
              <w:top w:val="nil"/>
              <w:left w:val="nil"/>
              <w:bottom w:val="nil"/>
              <w:right w:val="nil"/>
            </w:tcBorders>
            <w:shd w:val="clear" w:color="auto" w:fill="auto"/>
            <w:noWrap/>
            <w:vAlign w:val="bottom"/>
            <w:hideMark/>
          </w:tcPr>
          <w:p w14:paraId="2B6E0845" w14:textId="77777777" w:rsidR="00552561" w:rsidRPr="00123376" w:rsidRDefault="00552561" w:rsidP="00552561">
            <w:pPr>
              <w:rPr>
                <w:rFonts w:ascii="Arial" w:hAnsi="Arial" w:cs="Arial"/>
                <w:color w:val="000000"/>
                <w:sz w:val="14"/>
                <w:szCs w:val="14"/>
              </w:rPr>
            </w:pPr>
          </w:p>
        </w:tc>
      </w:tr>
      <w:tr w:rsidR="000A19C9" w:rsidRPr="00E21C60" w14:paraId="6A30C305" w14:textId="77777777" w:rsidTr="0008447E">
        <w:trPr>
          <w:trHeight w:val="257"/>
          <w:jc w:val="center"/>
        </w:trPr>
        <w:tc>
          <w:tcPr>
            <w:tcW w:w="2480" w:type="dxa"/>
            <w:tcBorders>
              <w:top w:val="single" w:sz="8" w:space="0" w:color="auto"/>
              <w:left w:val="single" w:sz="8" w:space="0" w:color="auto"/>
              <w:bottom w:val="single" w:sz="4" w:space="0" w:color="auto"/>
              <w:right w:val="single" w:sz="8" w:space="0" w:color="auto"/>
            </w:tcBorders>
            <w:shd w:val="clear" w:color="000000" w:fill="EAF1DD"/>
            <w:vAlign w:val="center"/>
            <w:hideMark/>
          </w:tcPr>
          <w:p w14:paraId="2D8A562D" w14:textId="77777777" w:rsidR="00552561" w:rsidRPr="00123376" w:rsidRDefault="00552561" w:rsidP="00552561">
            <w:pPr>
              <w:rPr>
                <w:rFonts w:ascii="Arial" w:hAnsi="Arial" w:cs="Arial"/>
                <w:b/>
                <w:bCs/>
                <w:color w:val="000000"/>
                <w:sz w:val="14"/>
                <w:szCs w:val="14"/>
              </w:rPr>
            </w:pPr>
            <w:r w:rsidRPr="00123376">
              <w:rPr>
                <w:rFonts w:ascii="Arial" w:hAnsi="Arial" w:cs="Arial"/>
                <w:b/>
                <w:bCs/>
                <w:color w:val="000000"/>
                <w:sz w:val="14"/>
                <w:szCs w:val="14"/>
              </w:rPr>
              <w:t>Celkom</w:t>
            </w:r>
          </w:p>
        </w:tc>
        <w:tc>
          <w:tcPr>
            <w:tcW w:w="1134" w:type="dxa"/>
            <w:tcBorders>
              <w:top w:val="single" w:sz="8" w:space="0" w:color="auto"/>
              <w:left w:val="nil"/>
              <w:bottom w:val="single" w:sz="4" w:space="0" w:color="auto"/>
              <w:right w:val="single" w:sz="8" w:space="0" w:color="auto"/>
            </w:tcBorders>
            <w:shd w:val="clear" w:color="000000" w:fill="EAF1DD"/>
            <w:noWrap/>
            <w:vAlign w:val="center"/>
            <w:hideMark/>
          </w:tcPr>
          <w:p w14:paraId="2F18BF09" w14:textId="375B112A" w:rsidR="00552561" w:rsidRPr="00102919" w:rsidRDefault="00552561" w:rsidP="00552561">
            <w:pPr>
              <w:jc w:val="center"/>
              <w:rPr>
                <w:rFonts w:ascii="Arial" w:hAnsi="Arial" w:cs="Arial"/>
                <w:b/>
                <w:color w:val="000000"/>
                <w:sz w:val="14"/>
                <w:szCs w:val="14"/>
              </w:rPr>
            </w:pPr>
            <w:r w:rsidRPr="00102919">
              <w:rPr>
                <w:rFonts w:ascii="Arial" w:hAnsi="Arial" w:cs="Arial"/>
                <w:b/>
                <w:color w:val="000000"/>
                <w:sz w:val="14"/>
                <w:szCs w:val="14"/>
              </w:rPr>
              <w:t>3023</w:t>
            </w:r>
          </w:p>
        </w:tc>
        <w:tc>
          <w:tcPr>
            <w:tcW w:w="1276" w:type="dxa"/>
            <w:gridSpan w:val="2"/>
            <w:tcBorders>
              <w:top w:val="single" w:sz="8" w:space="0" w:color="auto"/>
              <w:left w:val="nil"/>
              <w:bottom w:val="single" w:sz="4" w:space="0" w:color="auto"/>
              <w:right w:val="single" w:sz="8" w:space="0" w:color="auto"/>
            </w:tcBorders>
            <w:shd w:val="clear" w:color="000000" w:fill="EAF1DD"/>
            <w:noWrap/>
            <w:vAlign w:val="center"/>
            <w:hideMark/>
          </w:tcPr>
          <w:p w14:paraId="63658912" w14:textId="262F21AF" w:rsidR="00552561" w:rsidRPr="00102919" w:rsidRDefault="00552561" w:rsidP="00552561">
            <w:pPr>
              <w:jc w:val="center"/>
              <w:rPr>
                <w:rFonts w:ascii="Arial" w:hAnsi="Arial" w:cs="Arial"/>
                <w:b/>
                <w:color w:val="000000"/>
                <w:sz w:val="14"/>
                <w:szCs w:val="14"/>
              </w:rPr>
            </w:pPr>
            <w:r w:rsidRPr="00102919">
              <w:rPr>
                <w:rFonts w:ascii="Arial" w:hAnsi="Arial" w:cs="Arial"/>
                <w:b/>
                <w:color w:val="000000"/>
                <w:sz w:val="14"/>
                <w:szCs w:val="14"/>
              </w:rPr>
              <w:t>868</w:t>
            </w:r>
          </w:p>
        </w:tc>
        <w:tc>
          <w:tcPr>
            <w:tcW w:w="1276" w:type="dxa"/>
            <w:gridSpan w:val="2"/>
            <w:tcBorders>
              <w:top w:val="single" w:sz="8" w:space="0" w:color="auto"/>
              <w:left w:val="nil"/>
              <w:bottom w:val="single" w:sz="4" w:space="0" w:color="auto"/>
              <w:right w:val="single" w:sz="8" w:space="0" w:color="auto"/>
            </w:tcBorders>
            <w:shd w:val="clear" w:color="000000" w:fill="EAF1DD"/>
            <w:noWrap/>
            <w:vAlign w:val="center"/>
            <w:hideMark/>
          </w:tcPr>
          <w:p w14:paraId="49485859" w14:textId="692C4B2A" w:rsidR="00552561" w:rsidRPr="00102919" w:rsidRDefault="00552561" w:rsidP="00102919">
            <w:pPr>
              <w:jc w:val="center"/>
              <w:rPr>
                <w:rFonts w:ascii="Arial" w:hAnsi="Arial" w:cs="Arial"/>
                <w:b/>
                <w:color w:val="000000"/>
                <w:sz w:val="14"/>
                <w:szCs w:val="14"/>
              </w:rPr>
            </w:pPr>
            <w:r w:rsidRPr="00102919">
              <w:rPr>
                <w:rFonts w:ascii="Arial" w:hAnsi="Arial" w:cs="Arial"/>
                <w:b/>
                <w:color w:val="000000"/>
                <w:sz w:val="14"/>
                <w:szCs w:val="14"/>
              </w:rPr>
              <w:t>805</w:t>
            </w:r>
          </w:p>
        </w:tc>
        <w:tc>
          <w:tcPr>
            <w:tcW w:w="992" w:type="dxa"/>
            <w:gridSpan w:val="2"/>
            <w:tcBorders>
              <w:top w:val="single" w:sz="8" w:space="0" w:color="auto"/>
              <w:left w:val="nil"/>
              <w:bottom w:val="single" w:sz="4" w:space="0" w:color="auto"/>
              <w:right w:val="single" w:sz="8" w:space="0" w:color="auto"/>
            </w:tcBorders>
            <w:shd w:val="clear" w:color="000000" w:fill="EAF1DD"/>
            <w:noWrap/>
            <w:vAlign w:val="center"/>
            <w:hideMark/>
          </w:tcPr>
          <w:p w14:paraId="77721BE1" w14:textId="1A3F068F" w:rsidR="00552561" w:rsidRPr="00102919" w:rsidRDefault="00516DA3" w:rsidP="00102919">
            <w:pPr>
              <w:jc w:val="center"/>
              <w:rPr>
                <w:rFonts w:ascii="Arial" w:hAnsi="Arial" w:cs="Arial"/>
                <w:b/>
                <w:color w:val="000000"/>
                <w:sz w:val="14"/>
                <w:szCs w:val="14"/>
              </w:rPr>
            </w:pPr>
            <w:r>
              <w:rPr>
                <w:rFonts w:ascii="Arial" w:hAnsi="Arial" w:cs="Arial"/>
                <w:b/>
                <w:color w:val="000000"/>
                <w:sz w:val="14"/>
                <w:szCs w:val="14"/>
              </w:rPr>
              <w:t>799</w:t>
            </w:r>
          </w:p>
        </w:tc>
        <w:tc>
          <w:tcPr>
            <w:tcW w:w="1134" w:type="dxa"/>
            <w:tcBorders>
              <w:top w:val="single" w:sz="8" w:space="0" w:color="auto"/>
              <w:left w:val="nil"/>
              <w:bottom w:val="single" w:sz="4" w:space="0" w:color="auto"/>
              <w:right w:val="single" w:sz="8" w:space="0" w:color="auto"/>
            </w:tcBorders>
            <w:shd w:val="clear" w:color="000000" w:fill="EAF1DD"/>
            <w:noWrap/>
            <w:vAlign w:val="center"/>
            <w:hideMark/>
          </w:tcPr>
          <w:p w14:paraId="6FA486DD" w14:textId="19EA6E73" w:rsidR="00552561" w:rsidRPr="00102919" w:rsidRDefault="00552561" w:rsidP="00102919">
            <w:pPr>
              <w:jc w:val="center"/>
              <w:rPr>
                <w:rFonts w:ascii="Arial" w:hAnsi="Arial" w:cs="Arial"/>
                <w:b/>
                <w:color w:val="000000"/>
                <w:sz w:val="14"/>
                <w:szCs w:val="14"/>
              </w:rPr>
            </w:pPr>
            <w:r w:rsidRPr="00102919">
              <w:rPr>
                <w:rFonts w:ascii="Arial" w:hAnsi="Arial" w:cs="Arial"/>
                <w:b/>
                <w:color w:val="000000"/>
                <w:sz w:val="14"/>
                <w:szCs w:val="14"/>
              </w:rPr>
              <w:t>69</w:t>
            </w:r>
          </w:p>
        </w:tc>
        <w:tc>
          <w:tcPr>
            <w:tcW w:w="1134" w:type="dxa"/>
            <w:tcBorders>
              <w:top w:val="nil"/>
              <w:left w:val="nil"/>
              <w:right w:val="nil"/>
            </w:tcBorders>
            <w:shd w:val="clear" w:color="auto" w:fill="auto"/>
            <w:noWrap/>
            <w:vAlign w:val="bottom"/>
            <w:hideMark/>
          </w:tcPr>
          <w:p w14:paraId="15D6BD81" w14:textId="77777777" w:rsidR="00552561" w:rsidRPr="00123376" w:rsidRDefault="00552561" w:rsidP="00552561">
            <w:pPr>
              <w:rPr>
                <w:rFonts w:ascii="Arial" w:hAnsi="Arial" w:cs="Arial"/>
                <w:color w:val="000000"/>
                <w:sz w:val="14"/>
                <w:szCs w:val="14"/>
              </w:rPr>
            </w:pPr>
          </w:p>
        </w:tc>
      </w:tr>
      <w:tr w:rsidR="000C3568" w:rsidRPr="00E21C60" w14:paraId="041882AF" w14:textId="77777777" w:rsidTr="0008447E">
        <w:trPr>
          <w:trHeight w:val="315"/>
          <w:jc w:val="center"/>
        </w:trPr>
        <w:tc>
          <w:tcPr>
            <w:tcW w:w="8292" w:type="dxa"/>
            <w:gridSpan w:val="9"/>
            <w:tcBorders>
              <w:top w:val="single" w:sz="4" w:space="0" w:color="auto"/>
              <w:bottom w:val="single" w:sz="4" w:space="0" w:color="auto"/>
            </w:tcBorders>
            <w:shd w:val="clear" w:color="auto" w:fill="auto"/>
            <w:vAlign w:val="center"/>
            <w:hideMark/>
          </w:tcPr>
          <w:p w14:paraId="1B0E2407" w14:textId="77777777" w:rsidR="0008447E" w:rsidRPr="00182301" w:rsidRDefault="00242ABA" w:rsidP="0008447E">
            <w:pPr>
              <w:jc w:val="both"/>
              <w:rPr>
                <w:rFonts w:ascii="Arial" w:hAnsi="Arial" w:cs="Arial"/>
                <w:sz w:val="16"/>
                <w:szCs w:val="16"/>
              </w:rPr>
            </w:pPr>
            <w:r w:rsidRPr="00205D91">
              <w:rPr>
                <w:rFonts w:ascii="Arial" w:hAnsi="Arial" w:cs="Arial"/>
                <w:sz w:val="16"/>
                <w:szCs w:val="16"/>
              </w:rPr>
              <w:t>Zdroj: RO</w:t>
            </w:r>
            <w:r w:rsidR="00182301">
              <w:rPr>
                <w:rFonts w:ascii="Arial" w:hAnsi="Arial" w:cs="Arial"/>
                <w:sz w:val="16"/>
                <w:szCs w:val="16"/>
              </w:rPr>
              <w:t>, ITMS</w:t>
            </w:r>
            <w:r w:rsidR="0008447E">
              <w:rPr>
                <w:rFonts w:ascii="Arial" w:hAnsi="Arial" w:cs="Arial"/>
                <w:sz w:val="16"/>
                <w:szCs w:val="16"/>
              </w:rPr>
              <w:t xml:space="preserve">   *Počet MU projektov zahŕňa aj projekty, ktoré boli v ITMS posunuté do stavu projekt vytvorený, ale k zazmluvneniu projektu následne nedošlo a v rámci workflowu v ITMS boli projekty posunuté do stavu mimoriadne ukončený.</w:t>
            </w:r>
          </w:p>
          <w:p w14:paraId="6BB689C1" w14:textId="793FAE49" w:rsidR="00242ABA" w:rsidRPr="008805AA" w:rsidRDefault="00242ABA" w:rsidP="00242ABA">
            <w:pPr>
              <w:jc w:val="both"/>
              <w:rPr>
                <w:rFonts w:ascii="Arial" w:hAnsi="Arial" w:cs="Arial"/>
                <w:sz w:val="12"/>
                <w:szCs w:val="16"/>
              </w:rPr>
            </w:pPr>
          </w:p>
          <w:p w14:paraId="54CFA361" w14:textId="6973257D" w:rsidR="002D0009" w:rsidRPr="00123376" w:rsidRDefault="00A92644" w:rsidP="00F87D11">
            <w:pPr>
              <w:jc w:val="both"/>
              <w:rPr>
                <w:rFonts w:ascii="Arial" w:hAnsi="Arial" w:cs="Arial"/>
                <w:b/>
                <w:bCs/>
                <w:i/>
                <w:iCs/>
                <w:color w:val="000000"/>
                <w:sz w:val="14"/>
                <w:szCs w:val="14"/>
              </w:rPr>
            </w:pPr>
            <w:r w:rsidRPr="002526CC">
              <w:rPr>
                <w:rFonts w:ascii="Arial" w:hAnsi="Arial" w:cs="Arial"/>
                <w:sz w:val="20"/>
                <w:szCs w:val="20"/>
              </w:rPr>
              <w:t xml:space="preserve">Tabuľka č. </w:t>
            </w:r>
            <w:r w:rsidR="00682B07">
              <w:rPr>
                <w:rFonts w:ascii="Arial" w:hAnsi="Arial" w:cs="Arial"/>
                <w:sz w:val="20"/>
                <w:szCs w:val="20"/>
              </w:rPr>
              <w:t>8</w:t>
            </w:r>
            <w:r w:rsidRPr="00E21C60">
              <w:rPr>
                <w:rFonts w:ascii="Arial" w:hAnsi="Arial" w:cs="Arial"/>
                <w:sz w:val="20"/>
                <w:szCs w:val="20"/>
              </w:rPr>
              <w:t>b: Finančné vyjadrenie pokroku v implementácii k 31.1</w:t>
            </w:r>
            <w:r w:rsidR="00C70062">
              <w:rPr>
                <w:rFonts w:ascii="Arial" w:hAnsi="Arial" w:cs="Arial"/>
                <w:sz w:val="20"/>
                <w:szCs w:val="20"/>
              </w:rPr>
              <w:t>0</w:t>
            </w:r>
            <w:r w:rsidRPr="00E21C60">
              <w:rPr>
                <w:rFonts w:ascii="Arial" w:hAnsi="Arial" w:cs="Arial"/>
                <w:sz w:val="20"/>
                <w:szCs w:val="20"/>
              </w:rPr>
              <w:t>.201</w:t>
            </w:r>
            <w:r w:rsidR="00C70062">
              <w:rPr>
                <w:rFonts w:ascii="Arial" w:hAnsi="Arial" w:cs="Arial"/>
                <w:sz w:val="20"/>
                <w:szCs w:val="20"/>
              </w:rPr>
              <w:t>6</w:t>
            </w:r>
          </w:p>
        </w:tc>
        <w:tc>
          <w:tcPr>
            <w:tcW w:w="1134" w:type="dxa"/>
            <w:tcBorders>
              <w:bottom w:val="single" w:sz="4" w:space="0" w:color="auto"/>
              <w:right w:val="nil"/>
            </w:tcBorders>
            <w:shd w:val="clear" w:color="auto" w:fill="auto"/>
            <w:noWrap/>
            <w:vAlign w:val="bottom"/>
            <w:hideMark/>
          </w:tcPr>
          <w:p w14:paraId="3CBB9A3A" w14:textId="77777777" w:rsidR="002D0009" w:rsidRPr="00123376" w:rsidRDefault="002D0009" w:rsidP="008226B1">
            <w:pPr>
              <w:rPr>
                <w:rFonts w:ascii="Arial" w:hAnsi="Arial" w:cs="Arial"/>
                <w:color w:val="000000"/>
                <w:sz w:val="14"/>
                <w:szCs w:val="14"/>
              </w:rPr>
            </w:pPr>
          </w:p>
        </w:tc>
      </w:tr>
      <w:tr w:rsidR="00C179B0" w:rsidRPr="00E21C60" w14:paraId="22CDC923" w14:textId="77777777" w:rsidTr="0008447E">
        <w:trPr>
          <w:trHeight w:val="748"/>
          <w:jc w:val="center"/>
        </w:trPr>
        <w:tc>
          <w:tcPr>
            <w:tcW w:w="2480" w:type="dxa"/>
            <w:tcBorders>
              <w:top w:val="single" w:sz="4" w:space="0" w:color="auto"/>
              <w:left w:val="single" w:sz="8" w:space="0" w:color="auto"/>
              <w:bottom w:val="single" w:sz="8" w:space="0" w:color="auto"/>
              <w:right w:val="single" w:sz="8" w:space="0" w:color="auto"/>
            </w:tcBorders>
            <w:shd w:val="clear" w:color="auto" w:fill="C2D69B" w:themeFill="accent3" w:themeFillTint="99"/>
            <w:vAlign w:val="center"/>
            <w:hideMark/>
          </w:tcPr>
          <w:p w14:paraId="3B5A1E5C" w14:textId="77777777" w:rsidR="002D0009" w:rsidRPr="00123376" w:rsidRDefault="002D0009" w:rsidP="008226B1">
            <w:pPr>
              <w:jc w:val="center"/>
              <w:rPr>
                <w:rFonts w:ascii="Arial" w:hAnsi="Arial" w:cs="Arial"/>
                <w:b/>
                <w:bCs/>
                <w:color w:val="000000"/>
                <w:sz w:val="14"/>
                <w:szCs w:val="14"/>
              </w:rPr>
            </w:pPr>
            <w:r w:rsidRPr="00123376">
              <w:rPr>
                <w:rFonts w:ascii="Arial" w:hAnsi="Arial" w:cs="Arial"/>
                <w:b/>
                <w:bCs/>
                <w:color w:val="000000"/>
                <w:sz w:val="14"/>
                <w:szCs w:val="14"/>
              </w:rPr>
              <w:t>Prioritná os</w:t>
            </w:r>
          </w:p>
        </w:tc>
        <w:tc>
          <w:tcPr>
            <w:tcW w:w="1134" w:type="dxa"/>
            <w:tcBorders>
              <w:top w:val="single" w:sz="4" w:space="0" w:color="auto"/>
              <w:left w:val="nil"/>
              <w:bottom w:val="single" w:sz="8" w:space="0" w:color="auto"/>
              <w:right w:val="single" w:sz="8" w:space="0" w:color="auto"/>
            </w:tcBorders>
            <w:shd w:val="clear" w:color="auto" w:fill="C2D69B" w:themeFill="accent3" w:themeFillTint="99"/>
            <w:vAlign w:val="center"/>
            <w:hideMark/>
          </w:tcPr>
          <w:p w14:paraId="0B4B7E66"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Alokácia za zdroj EÚ+ŠR</w:t>
            </w:r>
          </w:p>
        </w:tc>
        <w:tc>
          <w:tcPr>
            <w:tcW w:w="1134" w:type="dxa"/>
            <w:tcBorders>
              <w:top w:val="single" w:sz="4" w:space="0" w:color="auto"/>
              <w:left w:val="nil"/>
              <w:bottom w:val="single" w:sz="8" w:space="0" w:color="auto"/>
              <w:right w:val="single" w:sz="8" w:space="0" w:color="auto"/>
            </w:tcBorders>
            <w:shd w:val="clear" w:color="auto" w:fill="C2D69B" w:themeFill="accent3" w:themeFillTint="99"/>
            <w:vAlign w:val="center"/>
            <w:hideMark/>
          </w:tcPr>
          <w:p w14:paraId="6A3CD3C3"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Výška žiadaného príspevku (NFP)</w:t>
            </w:r>
          </w:p>
        </w:tc>
        <w:tc>
          <w:tcPr>
            <w:tcW w:w="992" w:type="dxa"/>
            <w:gridSpan w:val="2"/>
            <w:tcBorders>
              <w:top w:val="single" w:sz="4" w:space="0" w:color="auto"/>
              <w:left w:val="nil"/>
              <w:bottom w:val="single" w:sz="8" w:space="0" w:color="auto"/>
              <w:right w:val="single" w:sz="8" w:space="0" w:color="auto"/>
            </w:tcBorders>
            <w:shd w:val="clear" w:color="auto" w:fill="C2D69B" w:themeFill="accent3" w:themeFillTint="99"/>
            <w:vAlign w:val="center"/>
            <w:hideMark/>
          </w:tcPr>
          <w:p w14:paraId="3A94CF55"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Výška schváleného príspevku (NFP)</w:t>
            </w:r>
          </w:p>
        </w:tc>
        <w:tc>
          <w:tcPr>
            <w:tcW w:w="1276" w:type="dxa"/>
            <w:gridSpan w:val="2"/>
            <w:tcBorders>
              <w:top w:val="single" w:sz="4" w:space="0" w:color="auto"/>
              <w:left w:val="nil"/>
              <w:bottom w:val="single" w:sz="8" w:space="0" w:color="auto"/>
              <w:right w:val="single" w:sz="8" w:space="0" w:color="auto"/>
            </w:tcBorders>
            <w:shd w:val="clear" w:color="auto" w:fill="C2D69B" w:themeFill="accent3" w:themeFillTint="99"/>
            <w:vAlign w:val="center"/>
            <w:hideMark/>
          </w:tcPr>
          <w:p w14:paraId="79E2D481"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Výška zazmluvnených prostriedkov (NFP)</w:t>
            </w:r>
          </w:p>
        </w:tc>
        <w:tc>
          <w:tcPr>
            <w:tcW w:w="1276" w:type="dxa"/>
            <w:gridSpan w:val="2"/>
            <w:tcBorders>
              <w:top w:val="single" w:sz="4" w:space="0" w:color="auto"/>
              <w:left w:val="nil"/>
              <w:bottom w:val="single" w:sz="8" w:space="0" w:color="auto"/>
              <w:right w:val="single" w:sz="8" w:space="0" w:color="auto"/>
            </w:tcBorders>
            <w:shd w:val="clear" w:color="auto" w:fill="C2D69B" w:themeFill="accent3" w:themeFillTint="99"/>
            <w:vAlign w:val="center"/>
            <w:hideMark/>
          </w:tcPr>
          <w:p w14:paraId="0DFF56E5"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Výška riadne ukončených projektov</w:t>
            </w:r>
            <w:r w:rsidRPr="00123376">
              <w:rPr>
                <w:rFonts w:ascii="Arial" w:hAnsi="Arial" w:cs="Arial"/>
                <w:b/>
                <w:bCs/>
                <w:color w:val="000000"/>
                <w:sz w:val="14"/>
                <w:szCs w:val="14"/>
                <w:vertAlign w:val="superscript"/>
              </w:rPr>
              <w:t>1</w:t>
            </w:r>
          </w:p>
        </w:tc>
        <w:tc>
          <w:tcPr>
            <w:tcW w:w="1134" w:type="dxa"/>
            <w:tcBorders>
              <w:top w:val="single" w:sz="4" w:space="0" w:color="auto"/>
              <w:left w:val="nil"/>
              <w:bottom w:val="single" w:sz="8" w:space="0" w:color="auto"/>
              <w:right w:val="single" w:sz="8" w:space="0" w:color="auto"/>
            </w:tcBorders>
            <w:shd w:val="clear" w:color="auto" w:fill="C2D69B" w:themeFill="accent3" w:themeFillTint="99"/>
            <w:vAlign w:val="center"/>
            <w:hideMark/>
          </w:tcPr>
          <w:p w14:paraId="17B556C0" w14:textId="77777777" w:rsidR="002D0009" w:rsidRPr="00123376" w:rsidRDefault="002D0009">
            <w:pPr>
              <w:jc w:val="center"/>
              <w:rPr>
                <w:rFonts w:ascii="Arial" w:hAnsi="Arial" w:cs="Arial"/>
                <w:b/>
                <w:bCs/>
                <w:color w:val="000000"/>
                <w:sz w:val="14"/>
                <w:szCs w:val="14"/>
              </w:rPr>
            </w:pPr>
            <w:r w:rsidRPr="00123376">
              <w:rPr>
                <w:rFonts w:ascii="Arial" w:hAnsi="Arial" w:cs="Arial"/>
                <w:b/>
                <w:bCs/>
                <w:color w:val="000000"/>
                <w:sz w:val="14"/>
                <w:szCs w:val="14"/>
              </w:rPr>
              <w:t>Výška mimoriadne ukončených projektov</w:t>
            </w:r>
          </w:p>
        </w:tc>
      </w:tr>
      <w:tr w:rsidR="00C179B0" w:rsidRPr="00E21C60" w14:paraId="074B8E26" w14:textId="77777777" w:rsidTr="0008447E">
        <w:trPr>
          <w:trHeight w:val="400"/>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4BA9FED5" w14:textId="77777777" w:rsidR="00552561" w:rsidRPr="002526CC" w:rsidRDefault="00552561" w:rsidP="00F87D11">
            <w:pPr>
              <w:ind w:right="-212"/>
              <w:rPr>
                <w:rFonts w:ascii="Arial" w:hAnsi="Arial" w:cs="Arial"/>
                <w:color w:val="000000"/>
                <w:sz w:val="14"/>
                <w:szCs w:val="14"/>
              </w:rPr>
            </w:pPr>
            <w:r w:rsidRPr="00123376">
              <w:rPr>
                <w:rFonts w:ascii="Arial" w:hAnsi="Arial" w:cs="Arial"/>
                <w:color w:val="000000"/>
                <w:sz w:val="14"/>
                <w:szCs w:val="14"/>
              </w:rPr>
              <w:t xml:space="preserve">1 Integrovaná ochrana </w:t>
            </w:r>
          </w:p>
          <w:p w14:paraId="53A21748" w14:textId="77777777" w:rsidR="00552561" w:rsidRPr="00123376" w:rsidRDefault="00552561" w:rsidP="00F87D11">
            <w:pPr>
              <w:ind w:right="-212"/>
              <w:rPr>
                <w:rFonts w:ascii="Arial" w:hAnsi="Arial" w:cs="Arial"/>
                <w:color w:val="000000"/>
                <w:sz w:val="14"/>
                <w:szCs w:val="14"/>
              </w:rPr>
            </w:pPr>
            <w:r w:rsidRPr="00123376">
              <w:rPr>
                <w:rFonts w:ascii="Arial" w:hAnsi="Arial" w:cs="Arial"/>
                <w:color w:val="000000"/>
                <w:sz w:val="14"/>
                <w:szCs w:val="14"/>
              </w:rPr>
              <w:t>a racionálne využívanie vôd</w:t>
            </w:r>
          </w:p>
        </w:tc>
        <w:tc>
          <w:tcPr>
            <w:tcW w:w="1134" w:type="dxa"/>
            <w:tcBorders>
              <w:top w:val="nil"/>
              <w:left w:val="nil"/>
              <w:bottom w:val="single" w:sz="8" w:space="0" w:color="auto"/>
              <w:right w:val="single" w:sz="8" w:space="0" w:color="auto"/>
            </w:tcBorders>
            <w:shd w:val="clear" w:color="auto" w:fill="auto"/>
            <w:vAlign w:val="center"/>
            <w:hideMark/>
          </w:tcPr>
          <w:p w14:paraId="0C640033" w14:textId="52CD3FBE" w:rsidR="00552561" w:rsidRPr="00897745" w:rsidRDefault="00447FED" w:rsidP="00552561">
            <w:pPr>
              <w:jc w:val="center"/>
              <w:rPr>
                <w:rFonts w:ascii="Arial" w:hAnsi="Arial" w:cs="Arial"/>
                <w:color w:val="000000"/>
                <w:sz w:val="14"/>
                <w:szCs w:val="14"/>
              </w:rPr>
            </w:pPr>
            <w:r>
              <w:rPr>
                <w:rFonts w:ascii="Arial" w:hAnsi="Arial" w:cs="Arial"/>
                <w:color w:val="000000"/>
                <w:sz w:val="14"/>
                <w:szCs w:val="14"/>
              </w:rPr>
              <w:t>1 062 956 430</w:t>
            </w:r>
          </w:p>
        </w:tc>
        <w:tc>
          <w:tcPr>
            <w:tcW w:w="1134" w:type="dxa"/>
            <w:tcBorders>
              <w:top w:val="nil"/>
              <w:left w:val="nil"/>
              <w:bottom w:val="single" w:sz="8" w:space="0" w:color="auto"/>
              <w:right w:val="single" w:sz="8" w:space="0" w:color="auto"/>
            </w:tcBorders>
            <w:shd w:val="clear" w:color="auto" w:fill="auto"/>
            <w:noWrap/>
            <w:vAlign w:val="center"/>
            <w:hideMark/>
          </w:tcPr>
          <w:p w14:paraId="73684C3D" w14:textId="0C69CFB4"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3 012 394 87</w:t>
            </w:r>
            <w:r w:rsidR="00447FED">
              <w:rPr>
                <w:rFonts w:ascii="Arial" w:hAnsi="Arial" w:cs="Arial"/>
                <w:color w:val="000000"/>
                <w:sz w:val="14"/>
                <w:szCs w:val="14"/>
              </w:rPr>
              <w:t>6</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0341A458" w14:textId="4DBAD798" w:rsidR="00552561" w:rsidRPr="00897745" w:rsidRDefault="00552561" w:rsidP="00F87D11">
            <w:pPr>
              <w:ind w:right="-70"/>
              <w:jc w:val="center"/>
              <w:rPr>
                <w:rFonts w:ascii="Arial" w:hAnsi="Arial" w:cs="Arial"/>
                <w:color w:val="000000"/>
                <w:sz w:val="14"/>
                <w:szCs w:val="14"/>
              </w:rPr>
            </w:pPr>
            <w:r w:rsidRPr="00897745">
              <w:rPr>
                <w:rFonts w:ascii="Arial" w:hAnsi="Arial" w:cs="Arial"/>
                <w:color w:val="000000"/>
                <w:sz w:val="14"/>
                <w:szCs w:val="14"/>
              </w:rPr>
              <w:t>1 397 729 77</w:t>
            </w:r>
            <w:r w:rsidR="00447FED">
              <w:rPr>
                <w:rFonts w:ascii="Arial" w:hAnsi="Arial" w:cs="Arial"/>
                <w:color w:val="000000"/>
                <w:sz w:val="14"/>
                <w:szCs w:val="14"/>
              </w:rPr>
              <w:t>3</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084A71E7" w14:textId="640A7243"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1 106 860 166</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2B006BA9" w14:textId="3663E3CC" w:rsidR="00552561" w:rsidRPr="00102919" w:rsidRDefault="00516DA3" w:rsidP="004E7EE9">
            <w:pPr>
              <w:jc w:val="center"/>
              <w:rPr>
                <w:rFonts w:ascii="Arial" w:hAnsi="Arial" w:cs="Arial"/>
                <w:color w:val="000000"/>
                <w:sz w:val="14"/>
                <w:szCs w:val="14"/>
              </w:rPr>
            </w:pPr>
            <w:r>
              <w:rPr>
                <w:rFonts w:ascii="Arial" w:hAnsi="Arial" w:cs="Arial"/>
                <w:color w:val="000000"/>
                <w:sz w:val="14"/>
                <w:szCs w:val="14"/>
              </w:rPr>
              <w:t>952 069 354</w:t>
            </w:r>
            <w:r w:rsidR="004E7EE9" w:rsidRPr="004E7EE9">
              <w:rPr>
                <w:rFonts w:ascii="Arial" w:hAnsi="Arial" w:cs="Arial"/>
                <w:color w:val="000000"/>
                <w:sz w:val="14"/>
                <w:szCs w:val="14"/>
              </w:rPr>
              <w:t xml:space="preserve">   </w:t>
            </w:r>
          </w:p>
        </w:tc>
        <w:tc>
          <w:tcPr>
            <w:tcW w:w="1134" w:type="dxa"/>
            <w:tcBorders>
              <w:top w:val="nil"/>
              <w:left w:val="nil"/>
              <w:bottom w:val="single" w:sz="8" w:space="0" w:color="auto"/>
              <w:right w:val="single" w:sz="8" w:space="0" w:color="auto"/>
            </w:tcBorders>
            <w:shd w:val="clear" w:color="auto" w:fill="auto"/>
            <w:noWrap/>
            <w:vAlign w:val="center"/>
            <w:hideMark/>
          </w:tcPr>
          <w:p w14:paraId="4A2EFA77" w14:textId="22118277"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54 291 306</w:t>
            </w:r>
          </w:p>
        </w:tc>
      </w:tr>
      <w:tr w:rsidR="00B72C46" w:rsidRPr="00E21C60" w14:paraId="44E130E9" w14:textId="77777777" w:rsidTr="0008447E">
        <w:trPr>
          <w:trHeight w:val="207"/>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7898FA9A" w14:textId="77777777" w:rsidR="00552561" w:rsidRPr="00123376" w:rsidRDefault="00552561" w:rsidP="00F87D11">
            <w:pPr>
              <w:ind w:right="-212"/>
              <w:rPr>
                <w:rFonts w:ascii="Arial" w:hAnsi="Arial" w:cs="Arial"/>
                <w:color w:val="000000"/>
                <w:sz w:val="14"/>
                <w:szCs w:val="14"/>
              </w:rPr>
            </w:pPr>
            <w:r w:rsidRPr="00123376">
              <w:rPr>
                <w:rFonts w:ascii="Arial" w:hAnsi="Arial" w:cs="Arial"/>
                <w:color w:val="000000"/>
                <w:sz w:val="14"/>
                <w:szCs w:val="14"/>
              </w:rPr>
              <w:t>2 Ochrana pred povodňami</w:t>
            </w:r>
          </w:p>
        </w:tc>
        <w:tc>
          <w:tcPr>
            <w:tcW w:w="1134" w:type="dxa"/>
            <w:tcBorders>
              <w:top w:val="nil"/>
              <w:left w:val="nil"/>
              <w:bottom w:val="single" w:sz="8" w:space="0" w:color="auto"/>
              <w:right w:val="single" w:sz="8" w:space="0" w:color="auto"/>
            </w:tcBorders>
            <w:shd w:val="clear" w:color="auto" w:fill="auto"/>
            <w:vAlign w:val="center"/>
            <w:hideMark/>
          </w:tcPr>
          <w:p w14:paraId="1FD2EBFF" w14:textId="2915A338"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306 788 353</w:t>
            </w:r>
          </w:p>
        </w:tc>
        <w:tc>
          <w:tcPr>
            <w:tcW w:w="1134" w:type="dxa"/>
            <w:tcBorders>
              <w:top w:val="nil"/>
              <w:left w:val="nil"/>
              <w:bottom w:val="single" w:sz="8" w:space="0" w:color="auto"/>
              <w:right w:val="single" w:sz="8" w:space="0" w:color="auto"/>
            </w:tcBorders>
            <w:shd w:val="clear" w:color="auto" w:fill="auto"/>
            <w:noWrap/>
            <w:vAlign w:val="center"/>
            <w:hideMark/>
          </w:tcPr>
          <w:p w14:paraId="79B44776" w14:textId="013A89E8"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704 582 813</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1426720E" w14:textId="09745B65"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261 936 461</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21F2440D" w14:textId="4D6D11B0"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325 201 001</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66296CB4" w14:textId="1B6489EC" w:rsidR="00552561" w:rsidRPr="00102919" w:rsidRDefault="004E7EE9" w:rsidP="004E7EE9">
            <w:pPr>
              <w:jc w:val="center"/>
              <w:rPr>
                <w:rFonts w:ascii="Arial" w:hAnsi="Arial" w:cs="Arial"/>
                <w:color w:val="000000"/>
                <w:sz w:val="14"/>
                <w:szCs w:val="14"/>
              </w:rPr>
            </w:pPr>
            <w:r>
              <w:rPr>
                <w:rFonts w:ascii="Arial" w:hAnsi="Arial" w:cs="Arial"/>
                <w:color w:val="000000"/>
                <w:sz w:val="14"/>
                <w:szCs w:val="14"/>
              </w:rPr>
              <w:t>300 569 528</w:t>
            </w:r>
            <w:r w:rsidRPr="004E7EE9">
              <w:rPr>
                <w:rFonts w:ascii="Arial" w:hAnsi="Arial" w:cs="Arial"/>
                <w:color w:val="000000"/>
                <w:sz w:val="14"/>
                <w:szCs w:val="14"/>
              </w:rPr>
              <w:t xml:space="preserve">   </w:t>
            </w:r>
          </w:p>
        </w:tc>
        <w:tc>
          <w:tcPr>
            <w:tcW w:w="1134" w:type="dxa"/>
            <w:tcBorders>
              <w:top w:val="nil"/>
              <w:left w:val="nil"/>
              <w:bottom w:val="single" w:sz="8" w:space="0" w:color="auto"/>
              <w:right w:val="single" w:sz="8" w:space="0" w:color="auto"/>
            </w:tcBorders>
            <w:shd w:val="clear" w:color="auto" w:fill="auto"/>
            <w:noWrap/>
            <w:vAlign w:val="center"/>
            <w:hideMark/>
          </w:tcPr>
          <w:p w14:paraId="5E3C2841" w14:textId="484C6645"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15 559 068</w:t>
            </w:r>
          </w:p>
        </w:tc>
      </w:tr>
      <w:tr w:rsidR="00B72C46" w:rsidRPr="00E21C60" w14:paraId="01F9294F" w14:textId="77777777" w:rsidTr="0008447E">
        <w:trPr>
          <w:trHeight w:val="315"/>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0E1E38AF" w14:textId="77777777" w:rsidR="00552561" w:rsidRPr="002526CC" w:rsidRDefault="00552561" w:rsidP="00F87D11">
            <w:pPr>
              <w:ind w:right="-212"/>
              <w:rPr>
                <w:rFonts w:ascii="Arial" w:hAnsi="Arial" w:cs="Arial"/>
                <w:color w:val="000000"/>
                <w:sz w:val="14"/>
                <w:szCs w:val="14"/>
              </w:rPr>
            </w:pPr>
            <w:r w:rsidRPr="00123376">
              <w:rPr>
                <w:rFonts w:ascii="Arial" w:hAnsi="Arial" w:cs="Arial"/>
                <w:color w:val="000000"/>
                <w:sz w:val="14"/>
                <w:szCs w:val="14"/>
              </w:rPr>
              <w:t xml:space="preserve">3 Ochrana ovzdušia </w:t>
            </w:r>
          </w:p>
          <w:p w14:paraId="3871437A" w14:textId="77777777" w:rsidR="00552561" w:rsidRPr="00123376" w:rsidRDefault="00552561" w:rsidP="00F87D11">
            <w:pPr>
              <w:ind w:right="-212"/>
              <w:rPr>
                <w:rFonts w:ascii="Arial" w:hAnsi="Arial" w:cs="Arial"/>
                <w:color w:val="000000"/>
                <w:sz w:val="14"/>
                <w:szCs w:val="14"/>
              </w:rPr>
            </w:pPr>
            <w:r w:rsidRPr="00123376">
              <w:rPr>
                <w:rFonts w:ascii="Arial" w:hAnsi="Arial" w:cs="Arial"/>
                <w:color w:val="000000"/>
                <w:sz w:val="14"/>
                <w:szCs w:val="14"/>
              </w:rPr>
              <w:t>a minimalizácia nepriaznivých vplyvov zmeny klímy</w:t>
            </w:r>
          </w:p>
        </w:tc>
        <w:tc>
          <w:tcPr>
            <w:tcW w:w="1134" w:type="dxa"/>
            <w:tcBorders>
              <w:top w:val="nil"/>
              <w:left w:val="nil"/>
              <w:bottom w:val="single" w:sz="8" w:space="0" w:color="auto"/>
              <w:right w:val="single" w:sz="8" w:space="0" w:color="auto"/>
            </w:tcBorders>
            <w:shd w:val="clear" w:color="auto" w:fill="auto"/>
            <w:vAlign w:val="center"/>
            <w:hideMark/>
          </w:tcPr>
          <w:p w14:paraId="6C36781C" w14:textId="06B9FACC"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211 764 706</w:t>
            </w:r>
          </w:p>
        </w:tc>
        <w:tc>
          <w:tcPr>
            <w:tcW w:w="1134" w:type="dxa"/>
            <w:tcBorders>
              <w:top w:val="nil"/>
              <w:left w:val="nil"/>
              <w:bottom w:val="single" w:sz="8" w:space="0" w:color="auto"/>
              <w:right w:val="single" w:sz="8" w:space="0" w:color="auto"/>
            </w:tcBorders>
            <w:shd w:val="clear" w:color="auto" w:fill="auto"/>
            <w:noWrap/>
            <w:vAlign w:val="center"/>
            <w:hideMark/>
          </w:tcPr>
          <w:p w14:paraId="00AAAD62" w14:textId="26B256D7"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559 303 99</w:t>
            </w:r>
            <w:r w:rsidR="00447FED">
              <w:rPr>
                <w:rFonts w:ascii="Arial" w:hAnsi="Arial" w:cs="Arial"/>
                <w:color w:val="000000"/>
                <w:sz w:val="14"/>
                <w:szCs w:val="14"/>
              </w:rPr>
              <w:t>1</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2ECA2899" w14:textId="4275B844"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235 474 150</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1C843E91" w14:textId="627759A1"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218 199 236</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1860FC82" w14:textId="12B4E639" w:rsidR="00552561" w:rsidRPr="00102919" w:rsidRDefault="004E7EE9" w:rsidP="004E7EE9">
            <w:pPr>
              <w:jc w:val="center"/>
              <w:rPr>
                <w:rFonts w:ascii="Arial" w:hAnsi="Arial" w:cs="Arial"/>
                <w:color w:val="000000"/>
                <w:sz w:val="14"/>
                <w:szCs w:val="14"/>
              </w:rPr>
            </w:pPr>
            <w:r w:rsidRPr="004E7EE9">
              <w:rPr>
                <w:rFonts w:ascii="Arial" w:hAnsi="Arial" w:cs="Arial"/>
                <w:color w:val="000000"/>
                <w:sz w:val="14"/>
                <w:szCs w:val="14"/>
              </w:rPr>
              <w:t xml:space="preserve">212 093 039   </w:t>
            </w:r>
          </w:p>
        </w:tc>
        <w:tc>
          <w:tcPr>
            <w:tcW w:w="1134" w:type="dxa"/>
            <w:tcBorders>
              <w:top w:val="nil"/>
              <w:left w:val="nil"/>
              <w:bottom w:val="single" w:sz="8" w:space="0" w:color="auto"/>
              <w:right w:val="single" w:sz="8" w:space="0" w:color="auto"/>
            </w:tcBorders>
            <w:shd w:val="clear" w:color="auto" w:fill="auto"/>
            <w:noWrap/>
            <w:vAlign w:val="center"/>
            <w:hideMark/>
          </w:tcPr>
          <w:p w14:paraId="5BC3CF6B" w14:textId="3CFF72CE"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13 989 201</w:t>
            </w:r>
          </w:p>
        </w:tc>
      </w:tr>
      <w:tr w:rsidR="00B72C46" w:rsidRPr="00E21C60" w14:paraId="0757CAC3" w14:textId="77777777" w:rsidTr="0008447E">
        <w:trPr>
          <w:trHeight w:val="188"/>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4EB26702" w14:textId="77777777" w:rsidR="00552561" w:rsidRPr="00123376" w:rsidRDefault="00552561" w:rsidP="00F87D11">
            <w:pPr>
              <w:ind w:right="-212"/>
              <w:rPr>
                <w:rFonts w:ascii="Arial" w:hAnsi="Arial" w:cs="Arial"/>
                <w:color w:val="000000"/>
                <w:sz w:val="14"/>
                <w:szCs w:val="14"/>
              </w:rPr>
            </w:pPr>
            <w:r w:rsidRPr="00123376">
              <w:rPr>
                <w:rFonts w:ascii="Arial" w:hAnsi="Arial" w:cs="Arial"/>
                <w:color w:val="000000"/>
                <w:sz w:val="14"/>
                <w:szCs w:val="14"/>
              </w:rPr>
              <w:t>4 Odpadové hospodárstvo</w:t>
            </w:r>
          </w:p>
        </w:tc>
        <w:tc>
          <w:tcPr>
            <w:tcW w:w="1134" w:type="dxa"/>
            <w:tcBorders>
              <w:top w:val="nil"/>
              <w:left w:val="nil"/>
              <w:bottom w:val="single" w:sz="8" w:space="0" w:color="auto"/>
              <w:right w:val="single" w:sz="8" w:space="0" w:color="auto"/>
            </w:tcBorders>
            <w:shd w:val="clear" w:color="auto" w:fill="auto"/>
            <w:vAlign w:val="center"/>
            <w:hideMark/>
          </w:tcPr>
          <w:p w14:paraId="2D26911F" w14:textId="6B552374"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419 247 059</w:t>
            </w:r>
          </w:p>
        </w:tc>
        <w:tc>
          <w:tcPr>
            <w:tcW w:w="1134" w:type="dxa"/>
            <w:tcBorders>
              <w:top w:val="nil"/>
              <w:left w:val="nil"/>
              <w:bottom w:val="single" w:sz="8" w:space="0" w:color="auto"/>
              <w:right w:val="single" w:sz="8" w:space="0" w:color="auto"/>
            </w:tcBorders>
            <w:shd w:val="clear" w:color="auto" w:fill="auto"/>
            <w:noWrap/>
            <w:vAlign w:val="center"/>
            <w:hideMark/>
          </w:tcPr>
          <w:p w14:paraId="3B9A1121" w14:textId="13848584"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1 833 470 32</w:t>
            </w:r>
            <w:r w:rsidR="00447FED">
              <w:rPr>
                <w:rFonts w:ascii="Arial" w:hAnsi="Arial" w:cs="Arial"/>
                <w:color w:val="000000"/>
                <w:sz w:val="14"/>
                <w:szCs w:val="14"/>
              </w:rPr>
              <w:t>1</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208FE1AD" w14:textId="240B9A19"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480 323 727</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4AD176A6" w14:textId="59C143DB"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435 198 132</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60C19F1C" w14:textId="783EDE52" w:rsidR="00552561" w:rsidRPr="00102919" w:rsidRDefault="004E7EE9" w:rsidP="004E7EE9">
            <w:pPr>
              <w:jc w:val="center"/>
              <w:rPr>
                <w:rFonts w:ascii="Arial" w:hAnsi="Arial" w:cs="Arial"/>
                <w:color w:val="000000"/>
                <w:sz w:val="14"/>
                <w:szCs w:val="14"/>
              </w:rPr>
            </w:pPr>
            <w:r w:rsidRPr="004E7EE9">
              <w:rPr>
                <w:rFonts w:ascii="Arial" w:hAnsi="Arial" w:cs="Arial"/>
                <w:color w:val="000000"/>
                <w:sz w:val="14"/>
                <w:szCs w:val="14"/>
              </w:rPr>
              <w:t xml:space="preserve">399 265 215   </w:t>
            </w:r>
          </w:p>
        </w:tc>
        <w:tc>
          <w:tcPr>
            <w:tcW w:w="1134" w:type="dxa"/>
            <w:tcBorders>
              <w:top w:val="nil"/>
              <w:left w:val="nil"/>
              <w:bottom w:val="single" w:sz="8" w:space="0" w:color="auto"/>
              <w:right w:val="single" w:sz="8" w:space="0" w:color="auto"/>
            </w:tcBorders>
            <w:shd w:val="clear" w:color="auto" w:fill="auto"/>
            <w:noWrap/>
            <w:vAlign w:val="center"/>
            <w:hideMark/>
          </w:tcPr>
          <w:p w14:paraId="7F01E915" w14:textId="41872299"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39 178 899</w:t>
            </w:r>
          </w:p>
        </w:tc>
      </w:tr>
      <w:tr w:rsidR="00B72C46" w:rsidRPr="00E21C60" w14:paraId="72D557CC" w14:textId="77777777" w:rsidTr="0008447E">
        <w:trPr>
          <w:trHeight w:val="315"/>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4E0A3F54" w14:textId="77777777" w:rsidR="00552561" w:rsidRPr="00123376" w:rsidRDefault="00552561" w:rsidP="00F87D11">
            <w:pPr>
              <w:ind w:right="-212"/>
              <w:rPr>
                <w:rFonts w:ascii="Arial" w:hAnsi="Arial" w:cs="Arial"/>
                <w:color w:val="000000"/>
                <w:sz w:val="14"/>
                <w:szCs w:val="14"/>
              </w:rPr>
            </w:pPr>
            <w:r w:rsidRPr="00123376">
              <w:rPr>
                <w:rFonts w:ascii="Arial" w:hAnsi="Arial" w:cs="Arial"/>
                <w:color w:val="000000"/>
                <w:sz w:val="14"/>
                <w:szCs w:val="14"/>
              </w:rPr>
              <w:t>5 Ochrana a regenerácia prírodného prostredia a krajiny</w:t>
            </w:r>
          </w:p>
        </w:tc>
        <w:tc>
          <w:tcPr>
            <w:tcW w:w="1134" w:type="dxa"/>
            <w:tcBorders>
              <w:top w:val="nil"/>
              <w:left w:val="nil"/>
              <w:bottom w:val="single" w:sz="8" w:space="0" w:color="auto"/>
              <w:right w:val="single" w:sz="8" w:space="0" w:color="auto"/>
            </w:tcBorders>
            <w:shd w:val="clear" w:color="auto" w:fill="auto"/>
            <w:vAlign w:val="center"/>
            <w:hideMark/>
          </w:tcPr>
          <w:p w14:paraId="7A2C64F6" w14:textId="4959650F"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59 714 042</w:t>
            </w:r>
          </w:p>
        </w:tc>
        <w:tc>
          <w:tcPr>
            <w:tcW w:w="1134" w:type="dxa"/>
            <w:tcBorders>
              <w:top w:val="nil"/>
              <w:left w:val="nil"/>
              <w:bottom w:val="single" w:sz="8" w:space="0" w:color="auto"/>
              <w:right w:val="single" w:sz="8" w:space="0" w:color="auto"/>
            </w:tcBorders>
            <w:shd w:val="clear" w:color="auto" w:fill="auto"/>
            <w:noWrap/>
            <w:vAlign w:val="center"/>
            <w:hideMark/>
          </w:tcPr>
          <w:p w14:paraId="142A1D58" w14:textId="2EC15B00"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86 987 58</w:t>
            </w:r>
            <w:r w:rsidR="00447FED">
              <w:rPr>
                <w:rFonts w:ascii="Arial" w:hAnsi="Arial" w:cs="Arial"/>
                <w:color w:val="000000"/>
                <w:sz w:val="14"/>
                <w:szCs w:val="14"/>
              </w:rPr>
              <w:t>2</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2EB462B5" w14:textId="087583A9"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65 998 08</w:t>
            </w:r>
            <w:r w:rsidR="00447FED">
              <w:rPr>
                <w:rFonts w:ascii="Arial" w:hAnsi="Arial" w:cs="Arial"/>
                <w:color w:val="000000"/>
                <w:sz w:val="14"/>
                <w:szCs w:val="14"/>
              </w:rPr>
              <w:t>6</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593B73E6" w14:textId="0E9DD293"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60 375 888</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58DA1698" w14:textId="2C390782" w:rsidR="00552561" w:rsidRPr="00102919" w:rsidRDefault="009A0491" w:rsidP="009A0491">
            <w:pPr>
              <w:jc w:val="center"/>
              <w:rPr>
                <w:rFonts w:ascii="Arial" w:hAnsi="Arial" w:cs="Arial"/>
                <w:color w:val="000000"/>
                <w:sz w:val="14"/>
                <w:szCs w:val="14"/>
              </w:rPr>
            </w:pPr>
            <w:r w:rsidRPr="009A0491">
              <w:rPr>
                <w:rFonts w:ascii="Arial" w:hAnsi="Arial" w:cs="Arial"/>
                <w:color w:val="000000"/>
                <w:sz w:val="14"/>
                <w:szCs w:val="14"/>
              </w:rPr>
              <w:t>54 114 4</w:t>
            </w:r>
            <w:r>
              <w:rPr>
                <w:rFonts w:ascii="Arial" w:hAnsi="Arial" w:cs="Arial"/>
                <w:color w:val="000000"/>
                <w:sz w:val="14"/>
                <w:szCs w:val="14"/>
              </w:rPr>
              <w:t>40</w:t>
            </w:r>
            <w:r w:rsidRPr="009A0491">
              <w:rPr>
                <w:rFonts w:ascii="Arial" w:hAnsi="Arial" w:cs="Arial"/>
                <w:color w:val="000000"/>
                <w:sz w:val="14"/>
                <w:szCs w:val="14"/>
              </w:rPr>
              <w:t xml:space="preserve">   </w:t>
            </w:r>
          </w:p>
        </w:tc>
        <w:tc>
          <w:tcPr>
            <w:tcW w:w="1134" w:type="dxa"/>
            <w:tcBorders>
              <w:top w:val="nil"/>
              <w:left w:val="nil"/>
              <w:bottom w:val="single" w:sz="8" w:space="0" w:color="auto"/>
              <w:right w:val="single" w:sz="8" w:space="0" w:color="auto"/>
            </w:tcBorders>
            <w:shd w:val="clear" w:color="auto" w:fill="auto"/>
            <w:noWrap/>
            <w:vAlign w:val="center"/>
            <w:hideMark/>
          </w:tcPr>
          <w:p w14:paraId="41A1AF78" w14:textId="4C72BC5C"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5 619 640</w:t>
            </w:r>
          </w:p>
        </w:tc>
      </w:tr>
      <w:tr w:rsidR="00B72C46" w:rsidRPr="00E21C60" w14:paraId="12514446" w14:textId="77777777" w:rsidTr="0008447E">
        <w:trPr>
          <w:trHeight w:val="315"/>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7D9618B4" w14:textId="77777777" w:rsidR="00552561" w:rsidRPr="00123376" w:rsidRDefault="00552561" w:rsidP="00F87D11">
            <w:pPr>
              <w:ind w:right="-212"/>
              <w:rPr>
                <w:rFonts w:ascii="Arial" w:hAnsi="Arial" w:cs="Arial"/>
                <w:color w:val="000000"/>
                <w:sz w:val="14"/>
                <w:szCs w:val="14"/>
              </w:rPr>
            </w:pPr>
            <w:r w:rsidRPr="00123376">
              <w:rPr>
                <w:rFonts w:ascii="Arial" w:hAnsi="Arial" w:cs="Arial"/>
                <w:color w:val="000000"/>
                <w:sz w:val="14"/>
                <w:szCs w:val="14"/>
              </w:rPr>
              <w:t>7 Budovanie povodňového varovného a predpovedného systému</w:t>
            </w:r>
          </w:p>
        </w:tc>
        <w:tc>
          <w:tcPr>
            <w:tcW w:w="1134" w:type="dxa"/>
            <w:tcBorders>
              <w:top w:val="nil"/>
              <w:left w:val="nil"/>
              <w:bottom w:val="single" w:sz="8" w:space="0" w:color="auto"/>
              <w:right w:val="single" w:sz="8" w:space="0" w:color="auto"/>
            </w:tcBorders>
            <w:shd w:val="clear" w:color="auto" w:fill="auto"/>
            <w:vAlign w:val="center"/>
            <w:hideMark/>
          </w:tcPr>
          <w:p w14:paraId="023EAB4E" w14:textId="0AEDC66C"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23 529 412</w:t>
            </w:r>
          </w:p>
        </w:tc>
        <w:tc>
          <w:tcPr>
            <w:tcW w:w="1134" w:type="dxa"/>
            <w:tcBorders>
              <w:top w:val="nil"/>
              <w:left w:val="nil"/>
              <w:bottom w:val="single" w:sz="8" w:space="0" w:color="auto"/>
              <w:right w:val="single" w:sz="8" w:space="0" w:color="auto"/>
            </w:tcBorders>
            <w:shd w:val="clear" w:color="auto" w:fill="auto"/>
            <w:noWrap/>
            <w:vAlign w:val="center"/>
            <w:hideMark/>
          </w:tcPr>
          <w:p w14:paraId="393E70D4" w14:textId="0A81728B"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26 502 93</w:t>
            </w:r>
            <w:r w:rsidR="00447FED">
              <w:rPr>
                <w:rFonts w:ascii="Arial" w:hAnsi="Arial" w:cs="Arial"/>
                <w:color w:val="000000"/>
                <w:sz w:val="14"/>
                <w:szCs w:val="14"/>
              </w:rPr>
              <w:t>6</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2B7B5647" w14:textId="6817ED50" w:rsidR="00552561" w:rsidRPr="00897745" w:rsidRDefault="00552561" w:rsidP="00447FED">
            <w:pPr>
              <w:jc w:val="center"/>
              <w:rPr>
                <w:rFonts w:ascii="Arial" w:hAnsi="Arial" w:cs="Arial"/>
                <w:color w:val="000000"/>
                <w:sz w:val="14"/>
                <w:szCs w:val="14"/>
              </w:rPr>
            </w:pPr>
            <w:r w:rsidRPr="00897745">
              <w:rPr>
                <w:rFonts w:ascii="Arial" w:hAnsi="Arial" w:cs="Arial"/>
                <w:color w:val="000000"/>
                <w:sz w:val="14"/>
                <w:szCs w:val="14"/>
              </w:rPr>
              <w:t>23 529 306</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35A9A36E" w14:textId="2B62D36A"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23 529 306</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47EF914C" w14:textId="425EFA1C" w:rsidR="00552561" w:rsidRPr="00102919" w:rsidRDefault="009A0491" w:rsidP="009A0491">
            <w:pPr>
              <w:jc w:val="center"/>
              <w:rPr>
                <w:rFonts w:ascii="Arial" w:hAnsi="Arial" w:cs="Arial"/>
                <w:color w:val="000000"/>
                <w:sz w:val="14"/>
                <w:szCs w:val="14"/>
              </w:rPr>
            </w:pPr>
            <w:r w:rsidRPr="009A0491">
              <w:rPr>
                <w:rFonts w:ascii="Arial" w:hAnsi="Arial" w:cs="Arial"/>
                <w:color w:val="000000"/>
                <w:sz w:val="14"/>
                <w:szCs w:val="14"/>
              </w:rPr>
              <w:t xml:space="preserve">19 728 985   </w:t>
            </w:r>
          </w:p>
        </w:tc>
        <w:tc>
          <w:tcPr>
            <w:tcW w:w="1134" w:type="dxa"/>
            <w:tcBorders>
              <w:top w:val="nil"/>
              <w:left w:val="nil"/>
              <w:bottom w:val="single" w:sz="8" w:space="0" w:color="auto"/>
              <w:right w:val="single" w:sz="8" w:space="0" w:color="auto"/>
            </w:tcBorders>
            <w:shd w:val="clear" w:color="auto" w:fill="auto"/>
            <w:noWrap/>
            <w:vAlign w:val="center"/>
            <w:hideMark/>
          </w:tcPr>
          <w:p w14:paraId="4CA5DE62" w14:textId="1DA6DB20"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0</w:t>
            </w:r>
          </w:p>
        </w:tc>
      </w:tr>
      <w:tr w:rsidR="00B72C46" w:rsidRPr="00E21C60" w14:paraId="09CFBAED" w14:textId="77777777" w:rsidTr="0008447E">
        <w:trPr>
          <w:trHeight w:val="145"/>
          <w:jc w:val="center"/>
        </w:trPr>
        <w:tc>
          <w:tcPr>
            <w:tcW w:w="2480" w:type="dxa"/>
            <w:tcBorders>
              <w:top w:val="nil"/>
              <w:left w:val="single" w:sz="8" w:space="0" w:color="auto"/>
              <w:bottom w:val="single" w:sz="8" w:space="0" w:color="auto"/>
              <w:right w:val="single" w:sz="8" w:space="0" w:color="auto"/>
            </w:tcBorders>
            <w:shd w:val="clear" w:color="000000" w:fill="EAF1DD"/>
            <w:vAlign w:val="center"/>
            <w:hideMark/>
          </w:tcPr>
          <w:p w14:paraId="52B4EFC5" w14:textId="77777777" w:rsidR="00552561" w:rsidRPr="00123376" w:rsidRDefault="00552561" w:rsidP="00552561">
            <w:pPr>
              <w:rPr>
                <w:rFonts w:ascii="Arial" w:hAnsi="Arial" w:cs="Arial"/>
                <w:b/>
                <w:bCs/>
                <w:color w:val="000000"/>
                <w:sz w:val="14"/>
                <w:szCs w:val="14"/>
              </w:rPr>
            </w:pPr>
            <w:r w:rsidRPr="00123376">
              <w:rPr>
                <w:rFonts w:ascii="Arial" w:hAnsi="Arial" w:cs="Arial"/>
                <w:b/>
                <w:bCs/>
                <w:color w:val="000000"/>
                <w:sz w:val="14"/>
                <w:szCs w:val="14"/>
              </w:rPr>
              <w:t>Celkom</w:t>
            </w:r>
          </w:p>
        </w:tc>
        <w:tc>
          <w:tcPr>
            <w:tcW w:w="1134" w:type="dxa"/>
            <w:tcBorders>
              <w:top w:val="nil"/>
              <w:left w:val="nil"/>
              <w:bottom w:val="single" w:sz="8" w:space="0" w:color="auto"/>
              <w:right w:val="single" w:sz="8" w:space="0" w:color="auto"/>
            </w:tcBorders>
            <w:shd w:val="clear" w:color="000000" w:fill="EAF1DD"/>
            <w:noWrap/>
            <w:vAlign w:val="center"/>
            <w:hideMark/>
          </w:tcPr>
          <w:p w14:paraId="025F3734" w14:textId="0F699E14" w:rsidR="00552561" w:rsidRPr="00840F35" w:rsidRDefault="00552561" w:rsidP="00447FED">
            <w:pPr>
              <w:jc w:val="center"/>
              <w:rPr>
                <w:rFonts w:ascii="Arial Narrow" w:hAnsi="Arial Narrow" w:cs="Arial"/>
                <w:b/>
                <w:bCs/>
                <w:color w:val="000000"/>
                <w:sz w:val="16"/>
                <w:szCs w:val="16"/>
              </w:rPr>
            </w:pPr>
            <w:r w:rsidRPr="007F34D1">
              <w:rPr>
                <w:rFonts w:ascii="Arial Narrow" w:hAnsi="Arial Narrow"/>
                <w:b/>
                <w:bCs/>
                <w:color w:val="000000"/>
                <w:sz w:val="16"/>
                <w:szCs w:val="16"/>
              </w:rPr>
              <w:t>2 084 000 002</w:t>
            </w:r>
          </w:p>
        </w:tc>
        <w:tc>
          <w:tcPr>
            <w:tcW w:w="1134" w:type="dxa"/>
            <w:tcBorders>
              <w:top w:val="nil"/>
              <w:left w:val="nil"/>
              <w:bottom w:val="single" w:sz="8" w:space="0" w:color="auto"/>
              <w:right w:val="single" w:sz="8" w:space="0" w:color="auto"/>
            </w:tcBorders>
            <w:shd w:val="clear" w:color="000000" w:fill="EAF1DD"/>
            <w:noWrap/>
            <w:vAlign w:val="center"/>
            <w:hideMark/>
          </w:tcPr>
          <w:p w14:paraId="19D5892E" w14:textId="0735E5C7" w:rsidR="00552561" w:rsidRPr="00840F35" w:rsidRDefault="00552561" w:rsidP="00447FED">
            <w:pPr>
              <w:jc w:val="center"/>
              <w:rPr>
                <w:rFonts w:ascii="Arial Narrow" w:hAnsi="Arial Narrow"/>
                <w:b/>
                <w:color w:val="000000"/>
                <w:sz w:val="16"/>
                <w:szCs w:val="16"/>
              </w:rPr>
            </w:pPr>
            <w:r w:rsidRPr="00883130">
              <w:rPr>
                <w:rFonts w:ascii="Arial Narrow" w:hAnsi="Arial Narrow"/>
                <w:b/>
                <w:color w:val="000000"/>
                <w:sz w:val="16"/>
                <w:szCs w:val="16"/>
              </w:rPr>
              <w:t>6 223 242 518</w:t>
            </w:r>
          </w:p>
        </w:tc>
        <w:tc>
          <w:tcPr>
            <w:tcW w:w="992" w:type="dxa"/>
            <w:gridSpan w:val="2"/>
            <w:tcBorders>
              <w:top w:val="nil"/>
              <w:left w:val="nil"/>
              <w:bottom w:val="single" w:sz="8" w:space="0" w:color="auto"/>
              <w:right w:val="single" w:sz="8" w:space="0" w:color="auto"/>
            </w:tcBorders>
            <w:shd w:val="clear" w:color="000000" w:fill="EAF1DD"/>
            <w:noWrap/>
            <w:vAlign w:val="center"/>
            <w:hideMark/>
          </w:tcPr>
          <w:p w14:paraId="2FFC6189" w14:textId="70D33617" w:rsidR="00552561" w:rsidRPr="00840F35" w:rsidRDefault="00552561" w:rsidP="00447FED">
            <w:pPr>
              <w:jc w:val="center"/>
              <w:rPr>
                <w:rFonts w:ascii="Arial Narrow" w:hAnsi="Arial Narrow"/>
                <w:b/>
                <w:color w:val="000000"/>
                <w:sz w:val="16"/>
                <w:szCs w:val="16"/>
              </w:rPr>
            </w:pPr>
            <w:r w:rsidRPr="000C30EE">
              <w:rPr>
                <w:rFonts w:ascii="Arial Narrow" w:hAnsi="Arial Narrow"/>
                <w:b/>
                <w:color w:val="000000"/>
                <w:sz w:val="16"/>
                <w:szCs w:val="16"/>
              </w:rPr>
              <w:t>2 464 991 50</w:t>
            </w:r>
            <w:r w:rsidR="00447FED">
              <w:rPr>
                <w:rFonts w:ascii="Arial Narrow" w:hAnsi="Arial Narrow"/>
                <w:b/>
                <w:color w:val="000000"/>
                <w:sz w:val="16"/>
                <w:szCs w:val="16"/>
              </w:rPr>
              <w:t>3</w:t>
            </w:r>
          </w:p>
        </w:tc>
        <w:tc>
          <w:tcPr>
            <w:tcW w:w="1276" w:type="dxa"/>
            <w:gridSpan w:val="2"/>
            <w:tcBorders>
              <w:top w:val="nil"/>
              <w:left w:val="nil"/>
              <w:bottom w:val="single" w:sz="8" w:space="0" w:color="auto"/>
              <w:right w:val="single" w:sz="8" w:space="0" w:color="auto"/>
            </w:tcBorders>
            <w:shd w:val="clear" w:color="000000" w:fill="EAF1DD"/>
            <w:noWrap/>
            <w:vAlign w:val="center"/>
            <w:hideMark/>
          </w:tcPr>
          <w:p w14:paraId="00369B9E" w14:textId="61A6CD0C" w:rsidR="00552561" w:rsidRPr="00102919" w:rsidRDefault="00552561" w:rsidP="00102919">
            <w:pPr>
              <w:jc w:val="center"/>
              <w:rPr>
                <w:rFonts w:ascii="Arial" w:hAnsi="Arial" w:cs="Arial"/>
                <w:b/>
                <w:color w:val="000000"/>
                <w:sz w:val="14"/>
                <w:szCs w:val="14"/>
              </w:rPr>
            </w:pPr>
            <w:r w:rsidRPr="00102919">
              <w:rPr>
                <w:rFonts w:ascii="Arial" w:hAnsi="Arial" w:cs="Arial"/>
                <w:b/>
                <w:color w:val="000000"/>
                <w:sz w:val="14"/>
                <w:szCs w:val="14"/>
              </w:rPr>
              <w:t>2 169 363 730</w:t>
            </w:r>
          </w:p>
        </w:tc>
        <w:tc>
          <w:tcPr>
            <w:tcW w:w="1276" w:type="dxa"/>
            <w:gridSpan w:val="2"/>
            <w:tcBorders>
              <w:top w:val="nil"/>
              <w:left w:val="nil"/>
              <w:bottom w:val="single" w:sz="8" w:space="0" w:color="auto"/>
              <w:right w:val="single" w:sz="8" w:space="0" w:color="auto"/>
            </w:tcBorders>
            <w:shd w:val="clear" w:color="000000" w:fill="EAF1DD"/>
            <w:noWrap/>
            <w:vAlign w:val="center"/>
            <w:hideMark/>
          </w:tcPr>
          <w:p w14:paraId="49FC9D84" w14:textId="7C355899" w:rsidR="00552561" w:rsidRPr="00102919" w:rsidRDefault="00552561" w:rsidP="00516DA3">
            <w:pPr>
              <w:jc w:val="center"/>
              <w:rPr>
                <w:rFonts w:ascii="Arial" w:hAnsi="Arial" w:cs="Arial"/>
                <w:b/>
                <w:color w:val="000000"/>
                <w:sz w:val="14"/>
                <w:szCs w:val="14"/>
              </w:rPr>
            </w:pPr>
            <w:r w:rsidRPr="00102919">
              <w:rPr>
                <w:rFonts w:ascii="Arial" w:hAnsi="Arial" w:cs="Arial"/>
                <w:b/>
                <w:color w:val="000000"/>
                <w:sz w:val="14"/>
                <w:szCs w:val="14"/>
              </w:rPr>
              <w:t>1</w:t>
            </w:r>
            <w:r w:rsidR="00516DA3">
              <w:rPr>
                <w:rFonts w:ascii="Arial" w:hAnsi="Arial" w:cs="Arial"/>
                <w:b/>
                <w:color w:val="000000"/>
                <w:sz w:val="14"/>
                <w:szCs w:val="14"/>
              </w:rPr>
              <w:t> 937 840 561</w:t>
            </w:r>
          </w:p>
        </w:tc>
        <w:tc>
          <w:tcPr>
            <w:tcW w:w="1134" w:type="dxa"/>
            <w:tcBorders>
              <w:top w:val="nil"/>
              <w:left w:val="nil"/>
              <w:bottom w:val="single" w:sz="8" w:space="0" w:color="auto"/>
              <w:right w:val="single" w:sz="8" w:space="0" w:color="auto"/>
            </w:tcBorders>
            <w:shd w:val="clear" w:color="000000" w:fill="EAF1DD"/>
            <w:noWrap/>
            <w:vAlign w:val="center"/>
            <w:hideMark/>
          </w:tcPr>
          <w:p w14:paraId="7B33B5BB" w14:textId="658A4B2C" w:rsidR="00552561" w:rsidRPr="00102919" w:rsidRDefault="00552561" w:rsidP="00102919">
            <w:pPr>
              <w:jc w:val="center"/>
              <w:rPr>
                <w:rFonts w:ascii="Arial" w:hAnsi="Arial" w:cs="Arial"/>
                <w:b/>
                <w:color w:val="000000"/>
                <w:sz w:val="14"/>
                <w:szCs w:val="14"/>
              </w:rPr>
            </w:pPr>
            <w:r w:rsidRPr="00102919">
              <w:rPr>
                <w:rFonts w:ascii="Arial" w:hAnsi="Arial" w:cs="Arial"/>
                <w:b/>
                <w:color w:val="000000"/>
                <w:sz w:val="14"/>
                <w:szCs w:val="14"/>
              </w:rPr>
              <w:t>128 638 114</w:t>
            </w:r>
          </w:p>
        </w:tc>
      </w:tr>
      <w:tr w:rsidR="00B72C46" w:rsidRPr="00E21C60" w14:paraId="62239E95" w14:textId="77777777" w:rsidTr="0008447E">
        <w:trPr>
          <w:trHeight w:val="281"/>
          <w:jc w:val="center"/>
        </w:trPr>
        <w:tc>
          <w:tcPr>
            <w:tcW w:w="2480" w:type="dxa"/>
            <w:tcBorders>
              <w:top w:val="nil"/>
              <w:left w:val="single" w:sz="8" w:space="0" w:color="auto"/>
              <w:bottom w:val="single" w:sz="8" w:space="0" w:color="auto"/>
              <w:right w:val="single" w:sz="8" w:space="0" w:color="auto"/>
            </w:tcBorders>
            <w:shd w:val="clear" w:color="auto" w:fill="auto"/>
            <w:vAlign w:val="center"/>
            <w:hideMark/>
          </w:tcPr>
          <w:p w14:paraId="0142D079" w14:textId="77777777" w:rsidR="00552561" w:rsidRPr="00123376" w:rsidRDefault="00552561" w:rsidP="00552561">
            <w:pPr>
              <w:rPr>
                <w:rFonts w:ascii="Arial" w:hAnsi="Arial" w:cs="Arial"/>
                <w:color w:val="000000"/>
                <w:sz w:val="14"/>
                <w:szCs w:val="14"/>
              </w:rPr>
            </w:pPr>
            <w:r w:rsidRPr="00123376">
              <w:rPr>
                <w:rFonts w:ascii="Arial" w:hAnsi="Arial" w:cs="Arial"/>
                <w:color w:val="000000"/>
                <w:sz w:val="14"/>
                <w:szCs w:val="14"/>
              </w:rPr>
              <w:t>6 Technická pomoc</w:t>
            </w:r>
          </w:p>
        </w:tc>
        <w:tc>
          <w:tcPr>
            <w:tcW w:w="1134" w:type="dxa"/>
            <w:tcBorders>
              <w:top w:val="nil"/>
              <w:left w:val="nil"/>
              <w:bottom w:val="single" w:sz="8" w:space="0" w:color="auto"/>
              <w:right w:val="single" w:sz="8" w:space="0" w:color="auto"/>
            </w:tcBorders>
            <w:shd w:val="clear" w:color="auto" w:fill="auto"/>
            <w:vAlign w:val="center"/>
            <w:hideMark/>
          </w:tcPr>
          <w:p w14:paraId="7B44522C" w14:textId="226A9E3D" w:rsidR="00552561" w:rsidRPr="00F87D11" w:rsidRDefault="00552561" w:rsidP="00447FED">
            <w:pPr>
              <w:jc w:val="center"/>
              <w:rPr>
                <w:rFonts w:ascii="Arial" w:hAnsi="Arial" w:cs="Arial"/>
                <w:color w:val="000000"/>
                <w:sz w:val="14"/>
                <w:szCs w:val="14"/>
              </w:rPr>
            </w:pPr>
            <w:r w:rsidRPr="00F87D11">
              <w:rPr>
                <w:rFonts w:ascii="Arial" w:hAnsi="Arial" w:cs="Arial"/>
                <w:color w:val="000000"/>
                <w:sz w:val="14"/>
                <w:szCs w:val="14"/>
              </w:rPr>
              <w:t>57176470</w:t>
            </w:r>
          </w:p>
        </w:tc>
        <w:tc>
          <w:tcPr>
            <w:tcW w:w="1134" w:type="dxa"/>
            <w:tcBorders>
              <w:top w:val="nil"/>
              <w:left w:val="nil"/>
              <w:bottom w:val="single" w:sz="8" w:space="0" w:color="auto"/>
              <w:right w:val="single" w:sz="8" w:space="0" w:color="auto"/>
            </w:tcBorders>
            <w:shd w:val="clear" w:color="auto" w:fill="auto"/>
            <w:noWrap/>
            <w:vAlign w:val="center"/>
            <w:hideMark/>
          </w:tcPr>
          <w:p w14:paraId="0711663D" w14:textId="420086EC" w:rsidR="00552561" w:rsidRPr="00F87D11" w:rsidRDefault="00552561" w:rsidP="00447FED">
            <w:pPr>
              <w:jc w:val="center"/>
              <w:rPr>
                <w:rFonts w:ascii="Arial" w:hAnsi="Arial" w:cs="Arial"/>
                <w:color w:val="000000"/>
                <w:sz w:val="14"/>
                <w:szCs w:val="14"/>
              </w:rPr>
            </w:pPr>
            <w:r w:rsidRPr="00F87D11">
              <w:rPr>
                <w:rFonts w:ascii="Arial" w:hAnsi="Arial" w:cs="Arial"/>
                <w:color w:val="000000"/>
                <w:sz w:val="14"/>
                <w:szCs w:val="14"/>
              </w:rPr>
              <w:t>77 886 97</w:t>
            </w:r>
            <w:r w:rsidR="00447FED" w:rsidRPr="00F87D11">
              <w:rPr>
                <w:rFonts w:ascii="Arial" w:hAnsi="Arial" w:cs="Arial"/>
                <w:color w:val="000000"/>
                <w:sz w:val="14"/>
                <w:szCs w:val="14"/>
              </w:rPr>
              <w:t>8</w:t>
            </w:r>
          </w:p>
        </w:tc>
        <w:tc>
          <w:tcPr>
            <w:tcW w:w="992" w:type="dxa"/>
            <w:gridSpan w:val="2"/>
            <w:tcBorders>
              <w:top w:val="nil"/>
              <w:left w:val="nil"/>
              <w:bottom w:val="single" w:sz="8" w:space="0" w:color="auto"/>
              <w:right w:val="single" w:sz="8" w:space="0" w:color="auto"/>
            </w:tcBorders>
            <w:shd w:val="clear" w:color="auto" w:fill="auto"/>
            <w:noWrap/>
            <w:vAlign w:val="center"/>
            <w:hideMark/>
          </w:tcPr>
          <w:p w14:paraId="418BE1BD" w14:textId="1F0E9003" w:rsidR="00552561" w:rsidRPr="00F87D11" w:rsidRDefault="00552561" w:rsidP="00447FED">
            <w:pPr>
              <w:jc w:val="center"/>
              <w:rPr>
                <w:rFonts w:ascii="Arial" w:hAnsi="Arial" w:cs="Arial"/>
                <w:color w:val="000000"/>
                <w:sz w:val="14"/>
                <w:szCs w:val="14"/>
              </w:rPr>
            </w:pPr>
            <w:r w:rsidRPr="00F87D11">
              <w:rPr>
                <w:rFonts w:ascii="Arial" w:hAnsi="Arial" w:cs="Arial"/>
                <w:color w:val="000000"/>
                <w:sz w:val="14"/>
                <w:szCs w:val="14"/>
              </w:rPr>
              <w:t>77 881 16</w:t>
            </w:r>
            <w:r w:rsidR="00447FED" w:rsidRPr="00F87D11">
              <w:rPr>
                <w:rFonts w:ascii="Arial" w:hAnsi="Arial" w:cs="Arial"/>
                <w:color w:val="000000"/>
                <w:sz w:val="14"/>
                <w:szCs w:val="14"/>
              </w:rPr>
              <w:t>4</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2E5FF69D" w14:textId="114AEF4A"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76 531 164</w:t>
            </w:r>
          </w:p>
        </w:tc>
        <w:tc>
          <w:tcPr>
            <w:tcW w:w="1276" w:type="dxa"/>
            <w:gridSpan w:val="2"/>
            <w:tcBorders>
              <w:top w:val="nil"/>
              <w:left w:val="nil"/>
              <w:bottom w:val="single" w:sz="8" w:space="0" w:color="auto"/>
              <w:right w:val="single" w:sz="8" w:space="0" w:color="auto"/>
            </w:tcBorders>
            <w:shd w:val="clear" w:color="auto" w:fill="auto"/>
            <w:noWrap/>
            <w:vAlign w:val="center"/>
            <w:hideMark/>
          </w:tcPr>
          <w:p w14:paraId="3284AE8A" w14:textId="35CF9DE2" w:rsidR="00552561" w:rsidRPr="00102919" w:rsidRDefault="009A0491" w:rsidP="009A0491">
            <w:pPr>
              <w:jc w:val="center"/>
              <w:rPr>
                <w:rFonts w:ascii="Arial" w:hAnsi="Arial" w:cs="Arial"/>
                <w:color w:val="000000"/>
                <w:sz w:val="14"/>
                <w:szCs w:val="14"/>
              </w:rPr>
            </w:pPr>
            <w:r w:rsidRPr="009A0491">
              <w:rPr>
                <w:rFonts w:ascii="Arial" w:hAnsi="Arial" w:cs="Arial"/>
                <w:color w:val="000000"/>
                <w:sz w:val="14"/>
                <w:szCs w:val="14"/>
              </w:rPr>
              <w:t>58 054 49</w:t>
            </w:r>
            <w:r>
              <w:rPr>
                <w:rFonts w:ascii="Arial" w:hAnsi="Arial" w:cs="Arial"/>
                <w:color w:val="000000"/>
                <w:sz w:val="14"/>
                <w:szCs w:val="14"/>
              </w:rPr>
              <w:t>9</w:t>
            </w:r>
            <w:r w:rsidRPr="009A0491">
              <w:rPr>
                <w:rFonts w:ascii="Arial" w:hAnsi="Arial" w:cs="Arial"/>
                <w:color w:val="000000"/>
                <w:sz w:val="14"/>
                <w:szCs w:val="14"/>
              </w:rPr>
              <w:t xml:space="preserve">   </w:t>
            </w:r>
          </w:p>
        </w:tc>
        <w:tc>
          <w:tcPr>
            <w:tcW w:w="1134" w:type="dxa"/>
            <w:tcBorders>
              <w:top w:val="nil"/>
              <w:left w:val="nil"/>
              <w:bottom w:val="single" w:sz="8" w:space="0" w:color="auto"/>
              <w:right w:val="single" w:sz="8" w:space="0" w:color="auto"/>
            </w:tcBorders>
            <w:shd w:val="clear" w:color="auto" w:fill="auto"/>
            <w:noWrap/>
            <w:vAlign w:val="center"/>
            <w:hideMark/>
          </w:tcPr>
          <w:p w14:paraId="2728C53E" w14:textId="0CD3629A" w:rsidR="00552561" w:rsidRPr="00102919" w:rsidRDefault="00552561" w:rsidP="00102919">
            <w:pPr>
              <w:jc w:val="center"/>
              <w:rPr>
                <w:rFonts w:ascii="Arial" w:hAnsi="Arial" w:cs="Arial"/>
                <w:color w:val="000000"/>
                <w:sz w:val="14"/>
                <w:szCs w:val="14"/>
              </w:rPr>
            </w:pPr>
            <w:r w:rsidRPr="00102919">
              <w:rPr>
                <w:rFonts w:ascii="Arial" w:hAnsi="Arial" w:cs="Arial"/>
                <w:color w:val="000000"/>
                <w:sz w:val="14"/>
                <w:szCs w:val="14"/>
              </w:rPr>
              <w:t>0</w:t>
            </w:r>
          </w:p>
        </w:tc>
      </w:tr>
      <w:tr w:rsidR="00B72C46" w:rsidRPr="00E21C60" w14:paraId="298A6960" w14:textId="77777777" w:rsidTr="0008447E">
        <w:trPr>
          <w:trHeight w:val="256"/>
          <w:jc w:val="center"/>
        </w:trPr>
        <w:tc>
          <w:tcPr>
            <w:tcW w:w="2480" w:type="dxa"/>
            <w:tcBorders>
              <w:top w:val="nil"/>
              <w:left w:val="single" w:sz="8" w:space="0" w:color="auto"/>
              <w:bottom w:val="single" w:sz="8" w:space="0" w:color="auto"/>
              <w:right w:val="single" w:sz="8" w:space="0" w:color="auto"/>
            </w:tcBorders>
            <w:shd w:val="clear" w:color="000000" w:fill="EAF1DD"/>
            <w:vAlign w:val="center"/>
            <w:hideMark/>
          </w:tcPr>
          <w:p w14:paraId="0B87A9C7" w14:textId="77777777" w:rsidR="00552561" w:rsidRPr="00123376" w:rsidRDefault="00552561" w:rsidP="00552561">
            <w:pPr>
              <w:rPr>
                <w:rFonts w:ascii="Arial" w:hAnsi="Arial" w:cs="Arial"/>
                <w:b/>
                <w:bCs/>
                <w:color w:val="000000"/>
                <w:sz w:val="14"/>
                <w:szCs w:val="14"/>
              </w:rPr>
            </w:pPr>
            <w:r w:rsidRPr="00123376">
              <w:rPr>
                <w:rFonts w:ascii="Arial" w:hAnsi="Arial" w:cs="Arial"/>
                <w:b/>
                <w:bCs/>
                <w:color w:val="000000"/>
                <w:sz w:val="14"/>
                <w:szCs w:val="14"/>
              </w:rPr>
              <w:t>Celkom</w:t>
            </w:r>
          </w:p>
        </w:tc>
        <w:tc>
          <w:tcPr>
            <w:tcW w:w="1134" w:type="dxa"/>
            <w:tcBorders>
              <w:top w:val="nil"/>
              <w:left w:val="nil"/>
              <w:bottom w:val="single" w:sz="8" w:space="0" w:color="auto"/>
              <w:right w:val="single" w:sz="8" w:space="0" w:color="auto"/>
            </w:tcBorders>
            <w:shd w:val="clear" w:color="000000" w:fill="EAF1DD"/>
            <w:noWrap/>
            <w:vAlign w:val="center"/>
            <w:hideMark/>
          </w:tcPr>
          <w:p w14:paraId="6E88DD21" w14:textId="613A72D3" w:rsidR="00552561" w:rsidRPr="00912C87" w:rsidRDefault="00552561" w:rsidP="00447FED">
            <w:pPr>
              <w:jc w:val="center"/>
              <w:rPr>
                <w:rFonts w:ascii="Arial Narrow" w:hAnsi="Arial Narrow" w:cs="Arial"/>
                <w:b/>
                <w:bCs/>
                <w:color w:val="000000"/>
                <w:sz w:val="16"/>
                <w:szCs w:val="16"/>
              </w:rPr>
            </w:pPr>
            <w:r w:rsidRPr="007F34D1">
              <w:rPr>
                <w:rFonts w:ascii="Arial Narrow" w:hAnsi="Arial Narrow"/>
                <w:b/>
                <w:bCs/>
                <w:color w:val="000000"/>
                <w:sz w:val="16"/>
                <w:szCs w:val="16"/>
              </w:rPr>
              <w:t>2 141 176 472</w:t>
            </w:r>
          </w:p>
        </w:tc>
        <w:tc>
          <w:tcPr>
            <w:tcW w:w="1134" w:type="dxa"/>
            <w:tcBorders>
              <w:top w:val="nil"/>
              <w:left w:val="nil"/>
              <w:bottom w:val="single" w:sz="8" w:space="0" w:color="auto"/>
              <w:right w:val="single" w:sz="8" w:space="0" w:color="auto"/>
            </w:tcBorders>
            <w:shd w:val="clear" w:color="000000" w:fill="EAF1DD"/>
            <w:noWrap/>
            <w:vAlign w:val="center"/>
            <w:hideMark/>
          </w:tcPr>
          <w:p w14:paraId="139830C7" w14:textId="42D67D5E" w:rsidR="00552561" w:rsidRPr="00840F35" w:rsidRDefault="00552561" w:rsidP="00447FED">
            <w:pPr>
              <w:jc w:val="center"/>
              <w:rPr>
                <w:rFonts w:ascii="Arial Narrow" w:hAnsi="Arial Narrow"/>
                <w:b/>
                <w:color w:val="000000"/>
                <w:sz w:val="16"/>
                <w:szCs w:val="16"/>
              </w:rPr>
            </w:pPr>
            <w:r w:rsidRPr="00883130">
              <w:rPr>
                <w:rFonts w:ascii="Arial Narrow" w:hAnsi="Arial Narrow"/>
                <w:b/>
                <w:color w:val="000000"/>
                <w:sz w:val="16"/>
                <w:szCs w:val="16"/>
              </w:rPr>
              <w:t>6 301 129 49</w:t>
            </w:r>
            <w:r w:rsidR="00447FED">
              <w:rPr>
                <w:rFonts w:ascii="Arial Narrow" w:hAnsi="Arial Narrow"/>
                <w:b/>
                <w:color w:val="000000"/>
                <w:sz w:val="16"/>
                <w:szCs w:val="16"/>
              </w:rPr>
              <w:t>6</w:t>
            </w:r>
          </w:p>
        </w:tc>
        <w:tc>
          <w:tcPr>
            <w:tcW w:w="992" w:type="dxa"/>
            <w:gridSpan w:val="2"/>
            <w:tcBorders>
              <w:top w:val="nil"/>
              <w:left w:val="nil"/>
              <w:bottom w:val="single" w:sz="8" w:space="0" w:color="auto"/>
              <w:right w:val="single" w:sz="8" w:space="0" w:color="auto"/>
            </w:tcBorders>
            <w:shd w:val="clear" w:color="000000" w:fill="EAF1DD"/>
            <w:noWrap/>
            <w:vAlign w:val="center"/>
            <w:hideMark/>
          </w:tcPr>
          <w:p w14:paraId="50940A73" w14:textId="407B377F" w:rsidR="00552561" w:rsidRPr="00840F35" w:rsidRDefault="00552561" w:rsidP="00447FED">
            <w:pPr>
              <w:jc w:val="center"/>
              <w:rPr>
                <w:rFonts w:ascii="Arial Narrow" w:hAnsi="Arial Narrow"/>
                <w:b/>
                <w:color w:val="000000"/>
                <w:sz w:val="16"/>
                <w:szCs w:val="16"/>
              </w:rPr>
            </w:pPr>
            <w:r w:rsidRPr="000C30EE">
              <w:rPr>
                <w:rFonts w:ascii="Arial Narrow" w:hAnsi="Arial Narrow"/>
                <w:b/>
                <w:color w:val="000000"/>
                <w:sz w:val="16"/>
                <w:szCs w:val="16"/>
              </w:rPr>
              <w:t>2 542 872 666</w:t>
            </w:r>
          </w:p>
        </w:tc>
        <w:tc>
          <w:tcPr>
            <w:tcW w:w="1276" w:type="dxa"/>
            <w:gridSpan w:val="2"/>
            <w:tcBorders>
              <w:top w:val="nil"/>
              <w:left w:val="nil"/>
              <w:bottom w:val="single" w:sz="8" w:space="0" w:color="auto"/>
              <w:right w:val="single" w:sz="8" w:space="0" w:color="auto"/>
            </w:tcBorders>
            <w:shd w:val="clear" w:color="000000" w:fill="EAF1DD"/>
            <w:noWrap/>
            <w:vAlign w:val="center"/>
            <w:hideMark/>
          </w:tcPr>
          <w:p w14:paraId="5A61B48B" w14:textId="54D90500" w:rsidR="00552561" w:rsidRPr="00102919" w:rsidRDefault="00552561" w:rsidP="00102919">
            <w:pPr>
              <w:jc w:val="center"/>
              <w:rPr>
                <w:rFonts w:ascii="Arial" w:hAnsi="Arial" w:cs="Arial"/>
                <w:b/>
                <w:color w:val="000000"/>
                <w:sz w:val="14"/>
                <w:szCs w:val="14"/>
              </w:rPr>
            </w:pPr>
            <w:r w:rsidRPr="00102919">
              <w:rPr>
                <w:rFonts w:ascii="Arial" w:hAnsi="Arial" w:cs="Arial"/>
                <w:b/>
                <w:color w:val="000000"/>
                <w:sz w:val="14"/>
                <w:szCs w:val="14"/>
              </w:rPr>
              <w:t>2 245 894 894</w:t>
            </w:r>
          </w:p>
        </w:tc>
        <w:tc>
          <w:tcPr>
            <w:tcW w:w="1276" w:type="dxa"/>
            <w:gridSpan w:val="2"/>
            <w:tcBorders>
              <w:top w:val="nil"/>
              <w:left w:val="nil"/>
              <w:bottom w:val="single" w:sz="8" w:space="0" w:color="auto"/>
              <w:right w:val="single" w:sz="8" w:space="0" w:color="auto"/>
            </w:tcBorders>
            <w:shd w:val="clear" w:color="000000" w:fill="EAF1DD"/>
            <w:noWrap/>
            <w:vAlign w:val="center"/>
            <w:hideMark/>
          </w:tcPr>
          <w:p w14:paraId="71581F5F" w14:textId="31A16B58" w:rsidR="00552561" w:rsidRPr="00102919" w:rsidRDefault="00516DA3" w:rsidP="00102919">
            <w:pPr>
              <w:jc w:val="center"/>
              <w:rPr>
                <w:rFonts w:ascii="Arial" w:hAnsi="Arial" w:cs="Arial"/>
                <w:b/>
                <w:color w:val="000000"/>
                <w:sz w:val="14"/>
                <w:szCs w:val="14"/>
              </w:rPr>
            </w:pPr>
            <w:r>
              <w:rPr>
                <w:rFonts w:ascii="Arial" w:hAnsi="Arial" w:cs="Arial"/>
                <w:b/>
                <w:color w:val="000000"/>
                <w:sz w:val="14"/>
                <w:szCs w:val="14"/>
              </w:rPr>
              <w:t>1 995 895 060</w:t>
            </w:r>
          </w:p>
        </w:tc>
        <w:tc>
          <w:tcPr>
            <w:tcW w:w="1134" w:type="dxa"/>
            <w:tcBorders>
              <w:top w:val="nil"/>
              <w:left w:val="nil"/>
              <w:bottom w:val="single" w:sz="8" w:space="0" w:color="auto"/>
              <w:right w:val="single" w:sz="8" w:space="0" w:color="auto"/>
            </w:tcBorders>
            <w:shd w:val="clear" w:color="000000" w:fill="EAF1DD"/>
            <w:noWrap/>
            <w:vAlign w:val="center"/>
            <w:hideMark/>
          </w:tcPr>
          <w:p w14:paraId="5CB86869" w14:textId="1B7086B5" w:rsidR="00552561" w:rsidRPr="00102919" w:rsidRDefault="00552561" w:rsidP="00102919">
            <w:pPr>
              <w:jc w:val="center"/>
              <w:rPr>
                <w:rFonts w:ascii="Arial" w:hAnsi="Arial" w:cs="Arial"/>
                <w:b/>
                <w:color w:val="000000"/>
                <w:sz w:val="14"/>
                <w:szCs w:val="14"/>
              </w:rPr>
            </w:pPr>
            <w:r w:rsidRPr="00102919">
              <w:rPr>
                <w:rFonts w:ascii="Arial" w:hAnsi="Arial" w:cs="Arial"/>
                <w:b/>
                <w:color w:val="000000"/>
                <w:sz w:val="14"/>
                <w:szCs w:val="14"/>
              </w:rPr>
              <w:t>128 638 114</w:t>
            </w:r>
          </w:p>
        </w:tc>
      </w:tr>
    </w:tbl>
    <w:p w14:paraId="3DF94A90" w14:textId="6F744734" w:rsidR="002416B1" w:rsidRPr="00123376" w:rsidRDefault="002D0009" w:rsidP="00123376">
      <w:pPr>
        <w:jc w:val="both"/>
        <w:rPr>
          <w:rFonts w:ascii="Arial" w:hAnsi="Arial" w:cs="Arial"/>
          <w:sz w:val="16"/>
          <w:szCs w:val="16"/>
        </w:rPr>
      </w:pPr>
      <w:r w:rsidRPr="00123376">
        <w:rPr>
          <w:rFonts w:ascii="Arial" w:hAnsi="Arial" w:cs="Arial"/>
          <w:sz w:val="16"/>
          <w:szCs w:val="16"/>
        </w:rPr>
        <w:t>Zdroj: RO</w:t>
      </w:r>
      <w:r w:rsidR="0008447E">
        <w:rPr>
          <w:rFonts w:ascii="Arial" w:hAnsi="Arial" w:cs="Arial"/>
          <w:sz w:val="16"/>
          <w:szCs w:val="16"/>
        </w:rPr>
        <w:t xml:space="preserve">      </w:t>
      </w:r>
      <w:r w:rsidR="0008447E" w:rsidRPr="002526CC">
        <w:rPr>
          <w:rFonts w:ascii="Arial" w:hAnsi="Arial" w:cs="Arial"/>
          <w:b/>
          <w:bCs/>
          <w:i/>
          <w:iCs/>
          <w:sz w:val="16"/>
          <w:szCs w:val="16"/>
          <w:vertAlign w:val="superscript"/>
        </w:rPr>
        <w:t>1</w:t>
      </w:r>
      <w:r w:rsidR="0008447E" w:rsidRPr="00E21C60">
        <w:rPr>
          <w:rFonts w:ascii="Arial" w:hAnsi="Arial" w:cs="Arial"/>
          <w:i/>
          <w:iCs/>
          <w:sz w:val="16"/>
          <w:szCs w:val="16"/>
          <w:vertAlign w:val="superscript"/>
        </w:rPr>
        <w:t xml:space="preserve"> </w:t>
      </w:r>
      <w:r w:rsidR="0008447E" w:rsidRPr="00E21C60">
        <w:rPr>
          <w:rFonts w:ascii="Arial" w:hAnsi="Arial" w:cs="Arial"/>
          <w:i/>
          <w:iCs/>
          <w:sz w:val="16"/>
          <w:szCs w:val="16"/>
        </w:rPr>
        <w:t>Objem čerpaných prostriedkov NFP</w:t>
      </w:r>
    </w:p>
    <w:p w14:paraId="031B4D86" w14:textId="795E6639" w:rsidR="002416B1" w:rsidRPr="00FF6B18" w:rsidRDefault="00A9424C" w:rsidP="00BE37FB">
      <w:pPr>
        <w:spacing w:before="120"/>
        <w:jc w:val="both"/>
        <w:rPr>
          <w:rFonts w:ascii="Arial" w:hAnsi="Arial" w:cs="Arial"/>
          <w:sz w:val="20"/>
          <w:szCs w:val="20"/>
        </w:rPr>
      </w:pPr>
      <w:r>
        <w:rPr>
          <w:rFonts w:ascii="Arial" w:hAnsi="Arial" w:cs="Arial"/>
          <w:sz w:val="20"/>
          <w:szCs w:val="20"/>
        </w:rPr>
        <w:lastRenderedPageBreak/>
        <w:t>K 31.10</w:t>
      </w:r>
      <w:r w:rsidR="002416B1" w:rsidRPr="00FF6B18">
        <w:rPr>
          <w:rFonts w:ascii="Arial" w:hAnsi="Arial" w:cs="Arial"/>
          <w:sz w:val="20"/>
          <w:szCs w:val="20"/>
        </w:rPr>
        <w:t>.</w:t>
      </w:r>
      <w:r w:rsidR="00830A0B" w:rsidRPr="00FF6B18">
        <w:rPr>
          <w:rFonts w:ascii="Arial" w:hAnsi="Arial" w:cs="Arial"/>
          <w:sz w:val="20"/>
          <w:szCs w:val="20"/>
        </w:rPr>
        <w:t>201</w:t>
      </w:r>
      <w:r>
        <w:rPr>
          <w:rFonts w:ascii="Arial" w:hAnsi="Arial" w:cs="Arial"/>
          <w:sz w:val="20"/>
          <w:szCs w:val="20"/>
        </w:rPr>
        <w:t>6</w:t>
      </w:r>
      <w:r w:rsidR="00830A0B" w:rsidRPr="002526CC">
        <w:rPr>
          <w:rFonts w:ascii="Arial" w:hAnsi="Arial" w:cs="Arial"/>
          <w:sz w:val="20"/>
          <w:szCs w:val="20"/>
        </w:rPr>
        <w:t xml:space="preserve"> </w:t>
      </w:r>
      <w:r w:rsidR="002416B1" w:rsidRPr="00FF6B18">
        <w:rPr>
          <w:rFonts w:ascii="Arial" w:hAnsi="Arial" w:cs="Arial"/>
          <w:sz w:val="20"/>
          <w:szCs w:val="20"/>
        </w:rPr>
        <w:t>možno konštatovať, že z</w:t>
      </w:r>
      <w:r w:rsidR="00E473AC">
        <w:rPr>
          <w:rFonts w:ascii="Arial" w:hAnsi="Arial" w:cs="Arial"/>
          <w:sz w:val="20"/>
          <w:szCs w:val="20"/>
        </w:rPr>
        <w:t xml:space="preserve"> 3 023 </w:t>
      </w:r>
      <w:r w:rsidR="002416B1" w:rsidRPr="00FF6B18">
        <w:rPr>
          <w:rFonts w:ascii="Arial" w:hAnsi="Arial" w:cs="Arial"/>
          <w:sz w:val="20"/>
          <w:szCs w:val="20"/>
        </w:rPr>
        <w:t xml:space="preserve">prijatých žiadostí o NFP v celkovej požadovanej sume </w:t>
      </w:r>
      <w:r w:rsidR="000F6332">
        <w:rPr>
          <w:rFonts w:ascii="Arial" w:hAnsi="Arial" w:cs="Arial"/>
          <w:sz w:val="20"/>
          <w:szCs w:val="20"/>
        </w:rPr>
        <w:br/>
      </w:r>
      <w:r w:rsidR="00EB0E1C" w:rsidRPr="00EB0E1C">
        <w:rPr>
          <w:rFonts w:ascii="Arial" w:hAnsi="Arial" w:cs="Arial"/>
          <w:sz w:val="20"/>
          <w:szCs w:val="20"/>
        </w:rPr>
        <w:t>6</w:t>
      </w:r>
      <w:r w:rsidR="00E473AC">
        <w:rPr>
          <w:rFonts w:ascii="Arial" w:hAnsi="Arial" w:cs="Arial"/>
          <w:sz w:val="20"/>
          <w:szCs w:val="20"/>
        </w:rPr>
        <w:t> 301 129 49</w:t>
      </w:r>
      <w:r w:rsidR="0059350B">
        <w:rPr>
          <w:rFonts w:ascii="Arial" w:hAnsi="Arial" w:cs="Arial"/>
          <w:sz w:val="20"/>
          <w:szCs w:val="20"/>
        </w:rPr>
        <w:t>6</w:t>
      </w:r>
      <w:r w:rsidR="00E473AC">
        <w:rPr>
          <w:rFonts w:ascii="Arial" w:hAnsi="Arial" w:cs="Arial"/>
          <w:sz w:val="20"/>
          <w:szCs w:val="20"/>
        </w:rPr>
        <w:t xml:space="preserve"> </w:t>
      </w:r>
      <w:r w:rsidR="00366C2D">
        <w:rPr>
          <w:rFonts w:ascii="Arial" w:hAnsi="Arial" w:cs="Arial"/>
          <w:sz w:val="20"/>
          <w:szCs w:val="20"/>
        </w:rPr>
        <w:t>€</w:t>
      </w:r>
      <w:r w:rsidR="002416B1" w:rsidRPr="00FF6B18">
        <w:rPr>
          <w:rFonts w:ascii="Arial" w:hAnsi="Arial" w:cs="Arial"/>
          <w:sz w:val="20"/>
          <w:szCs w:val="20"/>
        </w:rPr>
        <w:t xml:space="preserve"> bolo </w:t>
      </w:r>
      <w:r w:rsidR="00815D42" w:rsidRPr="00FF6B18">
        <w:rPr>
          <w:rFonts w:ascii="Arial" w:hAnsi="Arial" w:cs="Arial"/>
          <w:sz w:val="20"/>
          <w:szCs w:val="20"/>
        </w:rPr>
        <w:t>RO</w:t>
      </w:r>
      <w:r w:rsidR="002416B1" w:rsidRPr="00FF6B18">
        <w:rPr>
          <w:rFonts w:ascii="Arial" w:hAnsi="Arial" w:cs="Arial"/>
          <w:sz w:val="20"/>
          <w:szCs w:val="20"/>
        </w:rPr>
        <w:t xml:space="preserve"> schválených </w:t>
      </w:r>
      <w:r w:rsidR="00E473AC">
        <w:rPr>
          <w:rFonts w:ascii="Arial" w:hAnsi="Arial" w:cs="Arial"/>
          <w:sz w:val="20"/>
          <w:szCs w:val="20"/>
        </w:rPr>
        <w:t>868</w:t>
      </w:r>
      <w:r w:rsidR="00EB0E1C" w:rsidRPr="002526CC">
        <w:rPr>
          <w:rFonts w:ascii="Arial" w:hAnsi="Arial" w:cs="Arial"/>
          <w:sz w:val="20"/>
          <w:szCs w:val="20"/>
        </w:rPr>
        <w:t xml:space="preserve"> </w:t>
      </w:r>
      <w:r w:rsidR="002416B1" w:rsidRPr="00FF6B18">
        <w:rPr>
          <w:rFonts w:ascii="Arial" w:hAnsi="Arial" w:cs="Arial"/>
          <w:sz w:val="20"/>
          <w:szCs w:val="20"/>
        </w:rPr>
        <w:t xml:space="preserve">žiadostí o NFP v sume schváleného NFP </w:t>
      </w:r>
      <w:r w:rsidR="00C7298A">
        <w:rPr>
          <w:rFonts w:ascii="Arial" w:hAnsi="Arial" w:cs="Arial"/>
          <w:sz w:val="20"/>
          <w:szCs w:val="20"/>
        </w:rPr>
        <w:br/>
      </w:r>
      <w:r w:rsidR="00EB0E1C" w:rsidRPr="00EB0E1C">
        <w:rPr>
          <w:rFonts w:ascii="Arial" w:hAnsi="Arial" w:cs="Arial"/>
          <w:sz w:val="20"/>
          <w:szCs w:val="20"/>
        </w:rPr>
        <w:t>2</w:t>
      </w:r>
      <w:r w:rsidR="00E473AC">
        <w:rPr>
          <w:rFonts w:ascii="Arial" w:hAnsi="Arial" w:cs="Arial"/>
          <w:sz w:val="20"/>
          <w:szCs w:val="20"/>
        </w:rPr>
        <w:t> 542 872 666</w:t>
      </w:r>
      <w:r w:rsidR="00266FDA" w:rsidRPr="002526CC">
        <w:rPr>
          <w:rFonts w:ascii="Arial" w:hAnsi="Arial" w:cs="Arial"/>
          <w:sz w:val="20"/>
          <w:szCs w:val="20"/>
        </w:rPr>
        <w:t xml:space="preserve"> </w:t>
      </w:r>
      <w:r w:rsidR="00366C2D">
        <w:rPr>
          <w:rFonts w:ascii="Arial" w:hAnsi="Arial" w:cs="Arial"/>
          <w:sz w:val="20"/>
          <w:szCs w:val="20"/>
        </w:rPr>
        <w:t>€</w:t>
      </w:r>
      <w:r w:rsidR="00E473AC">
        <w:rPr>
          <w:rFonts w:ascii="Arial" w:hAnsi="Arial" w:cs="Arial"/>
          <w:sz w:val="20"/>
          <w:szCs w:val="20"/>
        </w:rPr>
        <w:t>.</w:t>
      </w:r>
      <w:r w:rsidR="002416B1" w:rsidRPr="00FF6B18">
        <w:rPr>
          <w:rFonts w:ascii="Arial" w:hAnsi="Arial" w:cs="Arial"/>
          <w:sz w:val="20"/>
          <w:szCs w:val="20"/>
        </w:rPr>
        <w:t xml:space="preserve"> </w:t>
      </w:r>
      <w:r w:rsidR="007D300D">
        <w:rPr>
          <w:rFonts w:ascii="Arial" w:hAnsi="Arial" w:cs="Arial"/>
          <w:sz w:val="20"/>
          <w:szCs w:val="20"/>
        </w:rPr>
        <w:t xml:space="preserve">Najväčší záujem o finančné prostriedky bol v rámci PO 4 – Odpadové hospodárstvo, pri ktorej bolo v rámci vyhlásených výziev predložených celkovo 1 543 ŽoNFP. Z pohľadu objemu požadovaných príspevkov v rámci predložených ŽoNFP hrala prím zase PO 1 - </w:t>
      </w:r>
      <w:r w:rsidR="007D300D" w:rsidRPr="00BE37FB">
        <w:rPr>
          <w:rFonts w:ascii="Arial" w:hAnsi="Arial" w:cs="Arial"/>
          <w:sz w:val="20"/>
          <w:szCs w:val="20"/>
        </w:rPr>
        <w:t>Integrovaná ochrana a racionálne využívanie vôd</w:t>
      </w:r>
      <w:r w:rsidR="007D300D">
        <w:rPr>
          <w:rFonts w:ascii="Arial" w:hAnsi="Arial" w:cs="Arial"/>
          <w:sz w:val="20"/>
          <w:szCs w:val="20"/>
        </w:rPr>
        <w:t xml:space="preserve">, a to v sume vyše 3 miliárd €. </w:t>
      </w:r>
      <w:r w:rsidR="00E473AC">
        <w:rPr>
          <w:rFonts w:ascii="Arial" w:hAnsi="Arial" w:cs="Arial"/>
          <w:sz w:val="20"/>
          <w:szCs w:val="20"/>
        </w:rPr>
        <w:t>Počas vykazovaného obdobia</w:t>
      </w:r>
      <w:r w:rsidR="00CF695B" w:rsidRPr="00FF6B18">
        <w:rPr>
          <w:rFonts w:ascii="Arial" w:hAnsi="Arial" w:cs="Arial"/>
          <w:sz w:val="20"/>
          <w:szCs w:val="20"/>
        </w:rPr>
        <w:t xml:space="preserve"> </w:t>
      </w:r>
      <w:r w:rsidR="00281250" w:rsidRPr="00FF6B18">
        <w:rPr>
          <w:rFonts w:ascii="Arial" w:hAnsi="Arial" w:cs="Arial"/>
          <w:sz w:val="20"/>
          <w:szCs w:val="20"/>
        </w:rPr>
        <w:t>bolo</w:t>
      </w:r>
      <w:r w:rsidR="00E473AC">
        <w:rPr>
          <w:rFonts w:ascii="Arial" w:hAnsi="Arial" w:cs="Arial"/>
          <w:sz w:val="20"/>
          <w:szCs w:val="20"/>
        </w:rPr>
        <w:t xml:space="preserve"> celkovo</w:t>
      </w:r>
      <w:r w:rsidR="00281250" w:rsidRPr="00FF6B18">
        <w:rPr>
          <w:rFonts w:ascii="Arial" w:hAnsi="Arial" w:cs="Arial"/>
          <w:sz w:val="20"/>
          <w:szCs w:val="20"/>
        </w:rPr>
        <w:t xml:space="preserve"> </w:t>
      </w:r>
      <w:r w:rsidR="002416B1" w:rsidRPr="00FF6B18">
        <w:rPr>
          <w:rFonts w:ascii="Arial" w:hAnsi="Arial" w:cs="Arial"/>
          <w:sz w:val="20"/>
          <w:szCs w:val="20"/>
        </w:rPr>
        <w:t xml:space="preserve">zazmluvnených </w:t>
      </w:r>
      <w:r w:rsidR="00E473AC">
        <w:rPr>
          <w:rFonts w:ascii="Arial" w:hAnsi="Arial" w:cs="Arial"/>
          <w:sz w:val="20"/>
          <w:szCs w:val="20"/>
        </w:rPr>
        <w:t>805</w:t>
      </w:r>
      <w:r w:rsidR="00EB0E1C" w:rsidRPr="00FF6B18">
        <w:rPr>
          <w:rFonts w:ascii="Arial" w:hAnsi="Arial" w:cs="Arial"/>
          <w:sz w:val="20"/>
          <w:szCs w:val="20"/>
        </w:rPr>
        <w:t xml:space="preserve"> </w:t>
      </w:r>
      <w:r w:rsidR="002416B1" w:rsidRPr="00FF6B18">
        <w:rPr>
          <w:rFonts w:ascii="Arial" w:hAnsi="Arial" w:cs="Arial"/>
          <w:sz w:val="20"/>
          <w:szCs w:val="20"/>
        </w:rPr>
        <w:t xml:space="preserve">projektov </w:t>
      </w:r>
      <w:r w:rsidR="00281250" w:rsidRPr="00FF6B18">
        <w:rPr>
          <w:rFonts w:ascii="Arial" w:hAnsi="Arial" w:cs="Arial"/>
          <w:sz w:val="20"/>
          <w:szCs w:val="20"/>
        </w:rPr>
        <w:t xml:space="preserve">s NFP </w:t>
      </w:r>
      <w:r w:rsidR="002416B1" w:rsidRPr="00FF6B18">
        <w:rPr>
          <w:rFonts w:ascii="Arial" w:hAnsi="Arial" w:cs="Arial"/>
          <w:sz w:val="20"/>
          <w:szCs w:val="20"/>
        </w:rPr>
        <w:t xml:space="preserve">vo výške </w:t>
      </w:r>
      <w:r w:rsidR="00EB0E1C" w:rsidRPr="00EB0E1C">
        <w:rPr>
          <w:rFonts w:ascii="Arial" w:hAnsi="Arial" w:cs="Arial"/>
          <w:sz w:val="20"/>
          <w:szCs w:val="20"/>
        </w:rPr>
        <w:t>2</w:t>
      </w:r>
      <w:r w:rsidR="00E473AC">
        <w:rPr>
          <w:rFonts w:ascii="Arial" w:hAnsi="Arial" w:cs="Arial"/>
          <w:sz w:val="20"/>
          <w:szCs w:val="20"/>
        </w:rPr>
        <w:t> 245 894 894</w:t>
      </w:r>
      <w:r w:rsidR="00B77970">
        <w:rPr>
          <w:rFonts w:ascii="Arial" w:hAnsi="Arial" w:cs="Arial"/>
          <w:sz w:val="20"/>
          <w:szCs w:val="20"/>
        </w:rPr>
        <w:t xml:space="preserve"> </w:t>
      </w:r>
      <w:r w:rsidR="00366C2D">
        <w:rPr>
          <w:rFonts w:ascii="Arial" w:hAnsi="Arial" w:cs="Arial"/>
          <w:sz w:val="20"/>
          <w:szCs w:val="20"/>
        </w:rPr>
        <w:t>€</w:t>
      </w:r>
      <w:r w:rsidR="00281250" w:rsidRPr="00FF6B18">
        <w:rPr>
          <w:rFonts w:ascii="Arial" w:hAnsi="Arial" w:cs="Arial"/>
          <w:sz w:val="20"/>
          <w:szCs w:val="20"/>
        </w:rPr>
        <w:t>, z</w:t>
      </w:r>
      <w:r w:rsidR="00115196" w:rsidRPr="00FF6B18">
        <w:rPr>
          <w:rFonts w:ascii="Arial" w:hAnsi="Arial" w:cs="Arial"/>
          <w:sz w:val="20"/>
          <w:szCs w:val="20"/>
        </w:rPr>
        <w:t> ktorých bolo</w:t>
      </w:r>
      <w:r w:rsidR="00115196" w:rsidRPr="00FF6B18" w:rsidDel="00115196">
        <w:rPr>
          <w:rFonts w:ascii="Arial" w:hAnsi="Arial" w:cs="Arial"/>
          <w:sz w:val="20"/>
          <w:szCs w:val="20"/>
        </w:rPr>
        <w:t xml:space="preserve"> </w:t>
      </w:r>
      <w:r w:rsidR="00BA0397" w:rsidRPr="00FF6B18">
        <w:rPr>
          <w:rFonts w:ascii="Arial" w:hAnsi="Arial" w:cs="Arial"/>
          <w:sz w:val="20"/>
          <w:szCs w:val="20"/>
        </w:rPr>
        <w:t xml:space="preserve">riadne </w:t>
      </w:r>
      <w:r w:rsidR="002416B1" w:rsidRPr="00FF6B18">
        <w:rPr>
          <w:rFonts w:ascii="Arial" w:hAnsi="Arial" w:cs="Arial"/>
          <w:sz w:val="20"/>
          <w:szCs w:val="20"/>
        </w:rPr>
        <w:t>ukončených</w:t>
      </w:r>
      <w:r w:rsidR="00115196" w:rsidRPr="00FF6B18">
        <w:rPr>
          <w:rFonts w:ascii="Arial" w:hAnsi="Arial" w:cs="Arial"/>
          <w:sz w:val="20"/>
          <w:szCs w:val="20"/>
        </w:rPr>
        <w:t xml:space="preserve"> </w:t>
      </w:r>
      <w:r w:rsidR="0059350B" w:rsidRPr="0025148A">
        <w:rPr>
          <w:rFonts w:ascii="Arial" w:hAnsi="Arial" w:cs="Arial"/>
          <w:sz w:val="20"/>
          <w:szCs w:val="20"/>
        </w:rPr>
        <w:t>79</w:t>
      </w:r>
      <w:r w:rsidR="0059350B">
        <w:rPr>
          <w:rFonts w:ascii="Arial" w:hAnsi="Arial" w:cs="Arial"/>
          <w:sz w:val="20"/>
          <w:szCs w:val="20"/>
        </w:rPr>
        <w:t>9</w:t>
      </w:r>
      <w:r w:rsidR="0059350B" w:rsidRPr="00FF6B18">
        <w:rPr>
          <w:rFonts w:ascii="Arial" w:hAnsi="Arial" w:cs="Arial"/>
          <w:sz w:val="20"/>
          <w:szCs w:val="20"/>
        </w:rPr>
        <w:t xml:space="preserve"> </w:t>
      </w:r>
      <w:r w:rsidR="00281250" w:rsidRPr="00FF6B18">
        <w:rPr>
          <w:rFonts w:ascii="Arial" w:hAnsi="Arial" w:cs="Arial"/>
          <w:sz w:val="20"/>
          <w:szCs w:val="20"/>
        </w:rPr>
        <w:t xml:space="preserve">projektov. V rámci OP ŽP bolo </w:t>
      </w:r>
      <w:r w:rsidR="00E473AC" w:rsidRPr="0025148A">
        <w:rPr>
          <w:rFonts w:ascii="Arial" w:hAnsi="Arial" w:cs="Arial"/>
          <w:sz w:val="20"/>
          <w:szCs w:val="20"/>
        </w:rPr>
        <w:t>69</w:t>
      </w:r>
      <w:r w:rsidR="00EB0E1C" w:rsidRPr="00FF6B18">
        <w:rPr>
          <w:rFonts w:ascii="Arial" w:hAnsi="Arial" w:cs="Arial"/>
          <w:sz w:val="20"/>
          <w:szCs w:val="20"/>
        </w:rPr>
        <w:t xml:space="preserve"> </w:t>
      </w:r>
      <w:r w:rsidR="00BA0397" w:rsidRPr="00FF6B18">
        <w:rPr>
          <w:rFonts w:ascii="Arial" w:hAnsi="Arial" w:cs="Arial"/>
          <w:sz w:val="20"/>
          <w:szCs w:val="20"/>
        </w:rPr>
        <w:t>projektov mimoriadne ukončených, a to z</w:t>
      </w:r>
      <w:r w:rsidR="004B6E87" w:rsidRPr="00FF6B18">
        <w:rPr>
          <w:rFonts w:ascii="Arial" w:hAnsi="Arial" w:cs="Arial"/>
          <w:sz w:val="20"/>
          <w:szCs w:val="20"/>
        </w:rPr>
        <w:t> </w:t>
      </w:r>
      <w:r w:rsidR="00BA0397" w:rsidRPr="00FF6B18">
        <w:rPr>
          <w:rFonts w:ascii="Arial" w:hAnsi="Arial" w:cs="Arial"/>
          <w:sz w:val="20"/>
          <w:szCs w:val="20"/>
        </w:rPr>
        <w:t>dôvod</w:t>
      </w:r>
      <w:r w:rsidR="004B6E87" w:rsidRPr="00FF6B18">
        <w:rPr>
          <w:rFonts w:ascii="Arial" w:hAnsi="Arial" w:cs="Arial"/>
          <w:sz w:val="20"/>
          <w:szCs w:val="20"/>
        </w:rPr>
        <w:t>ov odstúpenia od zmluvy</w:t>
      </w:r>
      <w:r w:rsidR="00815D42" w:rsidRPr="00FF6B18">
        <w:rPr>
          <w:rFonts w:ascii="Arial" w:hAnsi="Arial" w:cs="Arial"/>
          <w:sz w:val="20"/>
          <w:szCs w:val="20"/>
        </w:rPr>
        <w:t xml:space="preserve"> a identifikovaných </w:t>
      </w:r>
      <w:r w:rsidR="004B6E87" w:rsidRPr="00FF6B18">
        <w:rPr>
          <w:rFonts w:ascii="Arial" w:hAnsi="Arial" w:cs="Arial"/>
          <w:sz w:val="20"/>
          <w:szCs w:val="20"/>
        </w:rPr>
        <w:t xml:space="preserve"> nezrovnalostí</w:t>
      </w:r>
      <w:r w:rsidR="00815D42" w:rsidRPr="00FF6B18">
        <w:rPr>
          <w:rFonts w:ascii="Arial" w:hAnsi="Arial" w:cs="Arial"/>
          <w:sz w:val="20"/>
          <w:szCs w:val="20"/>
        </w:rPr>
        <w:t>.</w:t>
      </w:r>
      <w:r w:rsidR="002416B1" w:rsidRPr="00FF6B18">
        <w:rPr>
          <w:rFonts w:ascii="Arial" w:hAnsi="Arial" w:cs="Arial"/>
          <w:sz w:val="20"/>
          <w:szCs w:val="20"/>
        </w:rPr>
        <w:t xml:space="preserve"> </w:t>
      </w:r>
    </w:p>
    <w:p w14:paraId="4979C128" w14:textId="33B12C86" w:rsidR="00B2126F" w:rsidRPr="00FF6B18" w:rsidRDefault="002416B1" w:rsidP="00123376">
      <w:pPr>
        <w:spacing w:before="120" w:after="120"/>
        <w:jc w:val="both"/>
        <w:rPr>
          <w:rFonts w:ascii="Arial" w:hAnsi="Arial" w:cs="Arial"/>
          <w:b/>
          <w:i/>
          <w:sz w:val="20"/>
          <w:szCs w:val="20"/>
        </w:rPr>
      </w:pPr>
      <w:r w:rsidRPr="006C6ABC">
        <w:rPr>
          <w:rFonts w:ascii="Arial" w:hAnsi="Arial" w:cs="Arial"/>
          <w:sz w:val="20"/>
          <w:szCs w:val="20"/>
        </w:rPr>
        <w:t xml:space="preserve">Príklady úspešných projektov, finančne aj fyzicky ukončených, sú uvedené na </w:t>
      </w:r>
      <w:r w:rsidR="00C21A5E" w:rsidRPr="006C6ABC">
        <w:rPr>
          <w:rFonts w:ascii="Arial" w:hAnsi="Arial" w:cs="Arial"/>
          <w:sz w:val="20"/>
          <w:szCs w:val="20"/>
        </w:rPr>
        <w:t xml:space="preserve">webovom sídle </w:t>
      </w:r>
      <w:r w:rsidRPr="006C6ABC">
        <w:rPr>
          <w:rFonts w:ascii="Arial" w:hAnsi="Arial" w:cs="Arial"/>
          <w:sz w:val="20"/>
          <w:szCs w:val="20"/>
        </w:rPr>
        <w:t xml:space="preserve">OP ŽP, </w:t>
      </w:r>
      <w:hyperlink r:id="rId13" w:history="1">
        <w:r w:rsidR="002B2E25" w:rsidRPr="002D4C2D">
          <w:rPr>
            <w:rStyle w:val="Hypertextovprepojenie"/>
            <w:rFonts w:ascii="Arial" w:hAnsi="Arial" w:cs="Arial"/>
            <w:sz w:val="20"/>
            <w:szCs w:val="20"/>
          </w:rPr>
          <w:t>www.opzp.sk</w:t>
        </w:r>
      </w:hyperlink>
      <w:r w:rsidR="002B2E25">
        <w:rPr>
          <w:rFonts w:ascii="Arial" w:hAnsi="Arial" w:cs="Arial"/>
          <w:sz w:val="20"/>
          <w:szCs w:val="20"/>
        </w:rPr>
        <w:t xml:space="preserve"> v časti: </w:t>
      </w:r>
      <w:r w:rsidR="002B2E25" w:rsidRPr="002B2E25">
        <w:rPr>
          <w:rFonts w:ascii="Arial" w:hAnsi="Arial" w:cs="Arial"/>
          <w:sz w:val="20"/>
          <w:szCs w:val="20"/>
        </w:rPr>
        <w:t>Hlavná stránka &gt; Projekty &gt; Mapa vzorových úspešne realizovaných projektov OPŽP</w:t>
      </w:r>
      <w:r w:rsidR="00AA7036" w:rsidRPr="00123376">
        <w:rPr>
          <w:rFonts w:ascii="Arial" w:hAnsi="Arial" w:cs="Arial"/>
          <w:sz w:val="20"/>
          <w:szCs w:val="20"/>
        </w:rPr>
        <w:t xml:space="preserve"> </w:t>
      </w:r>
      <w:r w:rsidR="004E3C16" w:rsidRPr="006C6ABC">
        <w:rPr>
          <w:rFonts w:ascii="Arial" w:hAnsi="Arial" w:cs="Arial"/>
          <w:sz w:val="20"/>
          <w:szCs w:val="20"/>
        </w:rPr>
        <w:t>a</w:t>
      </w:r>
      <w:r w:rsidR="00AD1BF2" w:rsidRPr="006C6ABC">
        <w:rPr>
          <w:rFonts w:ascii="Arial" w:hAnsi="Arial" w:cs="Arial"/>
          <w:sz w:val="20"/>
          <w:szCs w:val="20"/>
        </w:rPr>
        <w:t xml:space="preserve"> z nich sú </w:t>
      </w:r>
      <w:r w:rsidR="004E3C16" w:rsidRPr="006C6ABC">
        <w:rPr>
          <w:rFonts w:ascii="Arial" w:hAnsi="Arial" w:cs="Arial"/>
          <w:sz w:val="20"/>
          <w:szCs w:val="20"/>
        </w:rPr>
        <w:t xml:space="preserve">taktiež </w:t>
      </w:r>
      <w:r w:rsidR="00C5733B" w:rsidRPr="006C6ABC">
        <w:rPr>
          <w:rFonts w:ascii="Arial" w:hAnsi="Arial" w:cs="Arial"/>
          <w:sz w:val="20"/>
          <w:szCs w:val="20"/>
        </w:rPr>
        <w:t xml:space="preserve"> niektoré</w:t>
      </w:r>
      <w:r w:rsidR="004E3C16" w:rsidRPr="006C6ABC">
        <w:rPr>
          <w:rFonts w:ascii="Arial" w:hAnsi="Arial" w:cs="Arial"/>
          <w:sz w:val="20"/>
          <w:szCs w:val="20"/>
        </w:rPr>
        <w:t xml:space="preserve"> súčasťou</w:t>
      </w:r>
      <w:r w:rsidR="004E3C16" w:rsidRPr="00242ABA">
        <w:rPr>
          <w:rFonts w:ascii="Arial" w:hAnsi="Arial" w:cs="Arial"/>
          <w:sz w:val="20"/>
          <w:szCs w:val="20"/>
        </w:rPr>
        <w:t xml:space="preserve"> Prílohy č. 10 </w:t>
      </w:r>
      <w:r w:rsidR="00E473AC">
        <w:rPr>
          <w:rFonts w:ascii="Arial" w:hAnsi="Arial" w:cs="Arial"/>
          <w:sz w:val="20"/>
          <w:szCs w:val="20"/>
        </w:rPr>
        <w:t>záverečnej</w:t>
      </w:r>
      <w:r w:rsidR="004E3C16" w:rsidRPr="00242ABA">
        <w:rPr>
          <w:rFonts w:ascii="Arial" w:hAnsi="Arial" w:cs="Arial"/>
          <w:sz w:val="20"/>
          <w:szCs w:val="20"/>
        </w:rPr>
        <w:t xml:space="preserve"> s</w:t>
      </w:r>
      <w:r w:rsidR="004E3C16" w:rsidRPr="00FF6B18">
        <w:rPr>
          <w:rFonts w:ascii="Arial" w:hAnsi="Arial" w:cs="Arial"/>
          <w:sz w:val="20"/>
          <w:szCs w:val="20"/>
        </w:rPr>
        <w:t>právy.</w:t>
      </w:r>
      <w:r w:rsidRPr="00FF6B18">
        <w:rPr>
          <w:rFonts w:ascii="Arial" w:hAnsi="Arial" w:cs="Arial"/>
          <w:sz w:val="20"/>
          <w:szCs w:val="20"/>
        </w:rPr>
        <w:t xml:space="preserve"> </w:t>
      </w:r>
    </w:p>
    <w:p w14:paraId="5EF3ED34" w14:textId="78C1930F" w:rsidR="00B2126F" w:rsidRPr="00350FF8" w:rsidRDefault="004420A9" w:rsidP="00123376">
      <w:pPr>
        <w:spacing w:before="240" w:after="120"/>
        <w:jc w:val="both"/>
        <w:rPr>
          <w:rFonts w:ascii="Arial" w:hAnsi="Arial" w:cs="Arial"/>
          <w:b/>
          <w:i/>
          <w:sz w:val="20"/>
          <w:szCs w:val="20"/>
        </w:rPr>
      </w:pPr>
      <w:r w:rsidRPr="00350FF8">
        <w:rPr>
          <w:rFonts w:ascii="Arial" w:hAnsi="Arial" w:cs="Arial"/>
          <w:b/>
          <w:i/>
          <w:sz w:val="20"/>
          <w:szCs w:val="20"/>
        </w:rPr>
        <w:t>Najčastejšie d</w:t>
      </w:r>
      <w:r w:rsidR="00B2126F" w:rsidRPr="00350FF8">
        <w:rPr>
          <w:rFonts w:ascii="Arial" w:hAnsi="Arial" w:cs="Arial"/>
          <w:b/>
          <w:i/>
          <w:sz w:val="20"/>
          <w:szCs w:val="20"/>
        </w:rPr>
        <w:t>ôvody neschválenia a vylúčenia žiadostí o</w:t>
      </w:r>
      <w:r w:rsidR="00E9296A" w:rsidRPr="00350FF8">
        <w:rPr>
          <w:rFonts w:ascii="Arial" w:hAnsi="Arial" w:cs="Arial"/>
          <w:b/>
          <w:i/>
          <w:sz w:val="20"/>
          <w:szCs w:val="20"/>
        </w:rPr>
        <w:t> </w:t>
      </w:r>
      <w:r w:rsidR="00B2126F" w:rsidRPr="00350FF8">
        <w:rPr>
          <w:rFonts w:ascii="Arial" w:hAnsi="Arial" w:cs="Arial"/>
          <w:b/>
          <w:i/>
          <w:sz w:val="20"/>
          <w:szCs w:val="20"/>
        </w:rPr>
        <w:t>NFP</w:t>
      </w:r>
      <w:r w:rsidR="00E9296A" w:rsidRPr="00350FF8">
        <w:rPr>
          <w:rFonts w:ascii="Arial" w:hAnsi="Arial" w:cs="Arial"/>
          <w:b/>
          <w:i/>
          <w:sz w:val="20"/>
          <w:szCs w:val="20"/>
        </w:rPr>
        <w:t xml:space="preserve"> </w:t>
      </w:r>
      <w:r w:rsidR="00B2126F" w:rsidRPr="00350FF8">
        <w:rPr>
          <w:rFonts w:ascii="Arial" w:hAnsi="Arial" w:cs="Arial"/>
          <w:b/>
          <w:i/>
          <w:sz w:val="20"/>
          <w:szCs w:val="20"/>
        </w:rPr>
        <w:t>a vykonané opatrenia na predchádzanie identifikovaných nedostatkov</w:t>
      </w:r>
    </w:p>
    <w:p w14:paraId="04BFA911" w14:textId="4A08AC58" w:rsidR="0046726E" w:rsidRPr="00BE37FB" w:rsidRDefault="0046726E" w:rsidP="0046726E">
      <w:pPr>
        <w:pStyle w:val="Default"/>
        <w:spacing w:before="120" w:after="120"/>
        <w:jc w:val="both"/>
        <w:rPr>
          <w:rFonts w:ascii="Arial" w:hAnsi="Arial" w:cs="Arial"/>
          <w:color w:val="auto"/>
          <w:sz w:val="20"/>
          <w:szCs w:val="20"/>
        </w:rPr>
      </w:pPr>
      <w:r w:rsidRPr="00350FF8">
        <w:rPr>
          <w:rFonts w:ascii="Arial" w:hAnsi="Arial" w:cs="Arial"/>
          <w:sz w:val="20"/>
          <w:szCs w:val="20"/>
        </w:rPr>
        <w:t xml:space="preserve">Dôvody neschválenia a vylúčenia žiadosti o NFP v programovom období 2007 až 2013 boli nesplnenie kritérií oprávnenosti vo fáze kontroly formálnej správnosti žiadosti, nesplnenie kritérií úplnosti vo fáze formálnej kontroly správnosti a nesplnenie kritérií odborného hodnotenia. </w:t>
      </w:r>
      <w:r w:rsidRPr="00BE37FB">
        <w:rPr>
          <w:rFonts w:ascii="Arial" w:hAnsi="Arial" w:cs="Arial"/>
          <w:color w:val="auto"/>
          <w:sz w:val="20"/>
          <w:szCs w:val="20"/>
        </w:rPr>
        <w:t xml:space="preserve">Nakoľko dopyt žiadateľov vo viacerých prípadoch presahoval disponibilnú výšku finančných prostriedkov rámci príslušnej výzvy, dôvodom neschválenia žiadosti o NFP bolo </w:t>
      </w:r>
      <w:r w:rsidR="00A90642" w:rsidRPr="00BE37FB">
        <w:rPr>
          <w:rFonts w:ascii="Arial" w:hAnsi="Arial" w:cs="Arial"/>
          <w:color w:val="auto"/>
          <w:sz w:val="20"/>
          <w:szCs w:val="20"/>
        </w:rPr>
        <w:t xml:space="preserve">aj </w:t>
      </w:r>
      <w:r w:rsidRPr="00BE37FB">
        <w:rPr>
          <w:rFonts w:ascii="Arial" w:hAnsi="Arial" w:cs="Arial"/>
          <w:color w:val="auto"/>
          <w:sz w:val="20"/>
          <w:szCs w:val="20"/>
        </w:rPr>
        <w:t xml:space="preserve">nesplnenie výberového kritéria č. 2 Výška alokácie. </w:t>
      </w:r>
    </w:p>
    <w:p w14:paraId="6BCF7191" w14:textId="77777777" w:rsidR="00562105" w:rsidRDefault="00E06B54" w:rsidP="00E06B54">
      <w:pPr>
        <w:spacing w:before="120" w:after="120"/>
        <w:jc w:val="both"/>
        <w:rPr>
          <w:rFonts w:ascii="Arial" w:hAnsi="Arial" w:cs="Arial"/>
          <w:sz w:val="20"/>
          <w:szCs w:val="20"/>
        </w:rPr>
      </w:pPr>
      <w:r>
        <w:rPr>
          <w:rFonts w:ascii="Arial" w:hAnsi="Arial" w:cs="Arial"/>
          <w:sz w:val="20"/>
          <w:szCs w:val="20"/>
        </w:rPr>
        <w:t>K najčastejším dôvodom</w:t>
      </w:r>
      <w:r w:rsidRPr="00350FF8">
        <w:rPr>
          <w:rFonts w:ascii="Arial" w:hAnsi="Arial" w:cs="Arial"/>
          <w:sz w:val="20"/>
          <w:szCs w:val="20"/>
        </w:rPr>
        <w:t xml:space="preserve"> vylúčenia žiadosti o NFP z dôvodu nesplnenia kritérií oprávnenosti </w:t>
      </w:r>
      <w:r>
        <w:rPr>
          <w:rFonts w:ascii="Arial" w:hAnsi="Arial" w:cs="Arial"/>
          <w:sz w:val="20"/>
          <w:szCs w:val="20"/>
        </w:rPr>
        <w:t>v rámci prioritnej osi 1 bola oprávnenosť projektu z hľadiska zvyšovania napojenia oprávnených aglomerácií. To znamená,</w:t>
      </w:r>
      <w:r w:rsidRPr="00350FF8">
        <w:rPr>
          <w:rFonts w:ascii="Arial" w:hAnsi="Arial" w:cs="Arial"/>
          <w:sz w:val="20"/>
          <w:szCs w:val="20"/>
        </w:rPr>
        <w:t xml:space="preserve"> že projekt na základe miesta realizácie nebol zaradený medzi aglomerácie, ktoré sú v súlade s Národným programom SR pre vykonávanie smernice Rady 91/271/EHS o čistení komunálnych odpadových vôd</w:t>
      </w:r>
      <w:r>
        <w:rPr>
          <w:rFonts w:ascii="Arial" w:hAnsi="Arial" w:cs="Arial"/>
          <w:sz w:val="20"/>
          <w:szCs w:val="20"/>
        </w:rPr>
        <w:t xml:space="preserve">; </w:t>
      </w:r>
      <w:r w:rsidRPr="00350FF8">
        <w:rPr>
          <w:rFonts w:ascii="Arial" w:hAnsi="Arial" w:cs="Arial"/>
          <w:sz w:val="20"/>
          <w:szCs w:val="20"/>
        </w:rPr>
        <w:t>výstavba verejnej kanalizácie, ktorá bola predmetom projektu, bola plánovaná v neexistujúcej zástavbe</w:t>
      </w:r>
      <w:r>
        <w:rPr>
          <w:rFonts w:ascii="Arial" w:hAnsi="Arial" w:cs="Arial"/>
          <w:sz w:val="20"/>
          <w:szCs w:val="20"/>
        </w:rPr>
        <w:t>;</w:t>
      </w:r>
      <w:r w:rsidRPr="00350FF8">
        <w:rPr>
          <w:rFonts w:ascii="Arial" w:hAnsi="Arial" w:cs="Arial"/>
          <w:sz w:val="20"/>
          <w:szCs w:val="20"/>
        </w:rPr>
        <w:t xml:space="preserve"> prípadne podmienky oprávnenosti v rámci operačného cieľa 1.1 neboli splnené tým, že predkladanou žiadosťou o NFP sa nezvyšoval počet reálne novo zásobovaných obyvateľov pitnou vodou z vybudovaného verejného vodovodu. </w:t>
      </w:r>
    </w:p>
    <w:p w14:paraId="3215B5E8" w14:textId="77777777" w:rsidR="00562105" w:rsidRDefault="00E06B54" w:rsidP="00E06B54">
      <w:pPr>
        <w:spacing w:before="120" w:after="120"/>
        <w:jc w:val="both"/>
        <w:rPr>
          <w:rFonts w:ascii="Arial" w:hAnsi="Arial" w:cs="Arial"/>
          <w:sz w:val="20"/>
          <w:szCs w:val="20"/>
        </w:rPr>
      </w:pPr>
      <w:r w:rsidRPr="00350FF8">
        <w:rPr>
          <w:rFonts w:ascii="Arial" w:hAnsi="Arial" w:cs="Arial"/>
          <w:sz w:val="20"/>
          <w:szCs w:val="20"/>
        </w:rPr>
        <w:t>V rámci prioritnej osi 2 najčastejším dôvodom vylúčenia bola neoprávnenosť žiadateľa projektu v zmysle podmienok definovaných vo výzve na predkladanie žiadostí o NFP napr</w:t>
      </w:r>
      <w:r>
        <w:rPr>
          <w:rFonts w:ascii="Arial" w:hAnsi="Arial" w:cs="Arial"/>
          <w:sz w:val="20"/>
          <w:szCs w:val="20"/>
        </w:rPr>
        <w:t>íklad,</w:t>
      </w:r>
      <w:r w:rsidRPr="00350FF8">
        <w:rPr>
          <w:rFonts w:ascii="Arial" w:hAnsi="Arial" w:cs="Arial"/>
          <w:sz w:val="20"/>
          <w:szCs w:val="20"/>
        </w:rPr>
        <w:t xml:space="preserve"> v prípade vodohospodársky významných vodných tokov bol oprávneným žiadateľom iba Slovenský vodohospodársky podnik, š. p., ako ich správca</w:t>
      </w:r>
      <w:r w:rsidR="00562105">
        <w:rPr>
          <w:rFonts w:ascii="Arial" w:hAnsi="Arial" w:cs="Arial"/>
          <w:sz w:val="20"/>
          <w:szCs w:val="20"/>
        </w:rPr>
        <w:t>,</w:t>
      </w:r>
      <w:r w:rsidRPr="00350FF8">
        <w:rPr>
          <w:rFonts w:ascii="Arial" w:hAnsi="Arial" w:cs="Arial"/>
          <w:sz w:val="20"/>
          <w:szCs w:val="20"/>
        </w:rPr>
        <w:t xml:space="preserve"> alebo projekt nebol zameraný na preventívne opatrenia na ochranu pred povodňami. </w:t>
      </w:r>
    </w:p>
    <w:p w14:paraId="70EE4066" w14:textId="77777777" w:rsidR="00562105" w:rsidRDefault="00E06B54" w:rsidP="00E06B54">
      <w:pPr>
        <w:spacing w:before="120" w:after="120"/>
        <w:jc w:val="both"/>
        <w:rPr>
          <w:rFonts w:ascii="Arial" w:hAnsi="Arial" w:cs="Arial"/>
          <w:sz w:val="20"/>
          <w:szCs w:val="20"/>
        </w:rPr>
      </w:pPr>
      <w:r w:rsidRPr="00350FF8">
        <w:rPr>
          <w:rFonts w:ascii="Arial" w:hAnsi="Arial" w:cs="Arial"/>
          <w:sz w:val="20"/>
          <w:szCs w:val="20"/>
        </w:rPr>
        <w:t xml:space="preserve">V prioritnej osi 3 bolo najčastejším dôvodom vylúčenia </w:t>
      </w:r>
      <w:r w:rsidRPr="00350FF8">
        <w:rPr>
          <w:rFonts w:ascii="Arial" w:hAnsi="Arial" w:cs="Arial"/>
          <w:sz w:val="20"/>
          <w:szCs w:val="20"/>
        </w:rPr>
        <w:tab/>
        <w:t>nesplnenie podmienok oprávnenosti z hľadiska záložného práva</w:t>
      </w:r>
      <w:r>
        <w:rPr>
          <w:rFonts w:ascii="Arial" w:hAnsi="Arial" w:cs="Arial"/>
          <w:sz w:val="20"/>
          <w:szCs w:val="20"/>
        </w:rPr>
        <w:t xml:space="preserve"> </w:t>
      </w:r>
      <w:r w:rsidRPr="00350FF8">
        <w:rPr>
          <w:rFonts w:ascii="Arial" w:hAnsi="Arial" w:cs="Arial"/>
          <w:sz w:val="20"/>
          <w:szCs w:val="20"/>
        </w:rPr>
        <w:t>k nehnuteľnému/hnuteľnému majetku, ktor</w:t>
      </w:r>
      <w:r>
        <w:rPr>
          <w:rFonts w:ascii="Arial" w:hAnsi="Arial" w:cs="Arial"/>
          <w:sz w:val="20"/>
          <w:szCs w:val="20"/>
        </w:rPr>
        <w:t>ý</w:t>
      </w:r>
      <w:r w:rsidRPr="00350FF8">
        <w:rPr>
          <w:rFonts w:ascii="Arial" w:hAnsi="Arial" w:cs="Arial"/>
          <w:sz w:val="20"/>
          <w:szCs w:val="20"/>
        </w:rPr>
        <w:t xml:space="preserve"> </w:t>
      </w:r>
      <w:r>
        <w:rPr>
          <w:rFonts w:ascii="Arial" w:hAnsi="Arial" w:cs="Arial"/>
          <w:sz w:val="20"/>
          <w:szCs w:val="20"/>
        </w:rPr>
        <w:t>je</w:t>
      </w:r>
      <w:r w:rsidRPr="00350FF8">
        <w:rPr>
          <w:rFonts w:ascii="Arial" w:hAnsi="Arial" w:cs="Arial"/>
          <w:sz w:val="20"/>
          <w:szCs w:val="20"/>
        </w:rPr>
        <w:t xml:space="preserve"> predmetom projektu</w:t>
      </w:r>
      <w:r>
        <w:rPr>
          <w:rFonts w:ascii="Arial" w:hAnsi="Arial" w:cs="Arial"/>
          <w:sz w:val="20"/>
          <w:szCs w:val="20"/>
        </w:rPr>
        <w:t>;</w:t>
      </w:r>
      <w:r w:rsidRPr="00350FF8">
        <w:rPr>
          <w:rFonts w:ascii="Arial" w:hAnsi="Arial" w:cs="Arial"/>
          <w:sz w:val="20"/>
          <w:szCs w:val="20"/>
        </w:rPr>
        <w:t xml:space="preserve"> nesplnenie oprávnenosti aktivít z dôvodu zvyšovania príkonu, resp. výkonu nových zdrojov vykurovania</w:t>
      </w:r>
      <w:r>
        <w:rPr>
          <w:rFonts w:ascii="Arial" w:hAnsi="Arial" w:cs="Arial"/>
          <w:sz w:val="20"/>
          <w:szCs w:val="20"/>
        </w:rPr>
        <w:t>; nesplnením podmienok oprávnenosti cieľa tým, že</w:t>
      </w:r>
      <w:r w:rsidRPr="00350FF8">
        <w:rPr>
          <w:rFonts w:ascii="Arial" w:hAnsi="Arial" w:cs="Arial"/>
          <w:sz w:val="20"/>
          <w:szCs w:val="20"/>
        </w:rPr>
        <w:t xml:space="preserve"> žiadateľ nezabezpečil zníženie skleníkových plynov odpojením sa od centrálneho zdroja vykurovania alebo nedodržanie limitu celkových oprávnených výdavkov projektu do 50 mil. </w:t>
      </w:r>
      <w:r w:rsidR="00366C2D">
        <w:rPr>
          <w:rFonts w:ascii="Arial" w:hAnsi="Arial" w:cs="Arial"/>
          <w:sz w:val="20"/>
          <w:szCs w:val="20"/>
        </w:rPr>
        <w:t>€</w:t>
      </w:r>
      <w:r w:rsidRPr="00350FF8">
        <w:rPr>
          <w:rFonts w:ascii="Arial" w:hAnsi="Arial" w:cs="Arial"/>
          <w:sz w:val="20"/>
          <w:szCs w:val="20"/>
        </w:rPr>
        <w:t xml:space="preserve">. </w:t>
      </w:r>
    </w:p>
    <w:p w14:paraId="59A65741" w14:textId="77777777" w:rsidR="00562105" w:rsidRDefault="00E06B54" w:rsidP="00E06B54">
      <w:pPr>
        <w:spacing w:before="120" w:after="120"/>
        <w:jc w:val="both"/>
        <w:rPr>
          <w:rFonts w:ascii="Arial" w:hAnsi="Arial" w:cs="Arial"/>
          <w:sz w:val="20"/>
          <w:szCs w:val="20"/>
        </w:rPr>
      </w:pPr>
      <w:r w:rsidRPr="00350FF8">
        <w:rPr>
          <w:rFonts w:ascii="Arial" w:hAnsi="Arial" w:cs="Arial"/>
          <w:sz w:val="20"/>
          <w:szCs w:val="20"/>
        </w:rPr>
        <w:t>V prioritnej osi 4 nesplnili žiadatelia kritériá oprávnenosti napríklad z dôvodu založenia nehnuteľnosti</w:t>
      </w:r>
      <w:r w:rsidR="00562105">
        <w:rPr>
          <w:rFonts w:ascii="Arial" w:hAnsi="Arial" w:cs="Arial"/>
          <w:sz w:val="20"/>
          <w:szCs w:val="20"/>
        </w:rPr>
        <w:t>,</w:t>
      </w:r>
      <w:r w:rsidRPr="00350FF8">
        <w:rPr>
          <w:rFonts w:ascii="Arial" w:hAnsi="Arial" w:cs="Arial"/>
          <w:sz w:val="20"/>
          <w:szCs w:val="20"/>
        </w:rPr>
        <w:t xml:space="preserve"> a tým nesplnením podmienky z hľadiska záložného práva na nehnuteľnom a hnuteľnom majetku, ktorý bol predmetom projektu</w:t>
      </w:r>
      <w:r>
        <w:rPr>
          <w:rFonts w:ascii="Arial" w:hAnsi="Arial" w:cs="Arial"/>
          <w:sz w:val="20"/>
          <w:szCs w:val="20"/>
        </w:rPr>
        <w:t>;</w:t>
      </w:r>
      <w:r w:rsidRPr="00350FF8">
        <w:rPr>
          <w:rFonts w:ascii="Arial" w:hAnsi="Arial" w:cs="Arial"/>
          <w:sz w:val="20"/>
          <w:szCs w:val="20"/>
        </w:rPr>
        <w:t xml:space="preserve"> nesplnením podmienok oprávnenosti tým, že skládka nebola po celú dobu prevádzkovaná obcou, ňou zriadenou rozpočtovou alebo príspevkovou organizáciou alebo spoločnosťou v jej 100</w:t>
      </w:r>
      <w:r w:rsidR="00562105">
        <w:rPr>
          <w:rFonts w:ascii="Arial" w:hAnsi="Arial" w:cs="Arial"/>
          <w:sz w:val="20"/>
          <w:szCs w:val="20"/>
        </w:rPr>
        <w:t xml:space="preserve"> </w:t>
      </w:r>
      <w:r w:rsidRPr="00350FF8">
        <w:rPr>
          <w:rFonts w:ascii="Arial" w:hAnsi="Arial" w:cs="Arial"/>
          <w:sz w:val="20"/>
          <w:szCs w:val="20"/>
        </w:rPr>
        <w:t>% vlastníctve alebo nesplnením kritéria nevyhnutnosti pomoci v zmysle Schémy štátnej pomoci pre zlepšenie a rozvoj infraštruktúry odpadového hospodárstva pre programové obdobie 2007</w:t>
      </w:r>
      <w:r w:rsidR="00562105">
        <w:rPr>
          <w:rFonts w:ascii="Arial" w:hAnsi="Arial" w:cs="Arial"/>
          <w:sz w:val="20"/>
          <w:szCs w:val="20"/>
        </w:rPr>
        <w:t xml:space="preserve"> </w:t>
      </w:r>
      <w:r w:rsidRPr="00350FF8">
        <w:rPr>
          <w:rFonts w:ascii="Arial" w:hAnsi="Arial" w:cs="Arial"/>
          <w:sz w:val="20"/>
          <w:szCs w:val="20"/>
        </w:rPr>
        <w:t>-</w:t>
      </w:r>
      <w:r w:rsidR="00562105">
        <w:rPr>
          <w:rFonts w:ascii="Arial" w:hAnsi="Arial" w:cs="Arial"/>
          <w:sz w:val="20"/>
          <w:szCs w:val="20"/>
        </w:rPr>
        <w:t xml:space="preserve"> </w:t>
      </w:r>
      <w:r w:rsidRPr="00350FF8">
        <w:rPr>
          <w:rFonts w:ascii="Arial" w:hAnsi="Arial" w:cs="Arial"/>
          <w:sz w:val="20"/>
          <w:szCs w:val="20"/>
        </w:rPr>
        <w:t xml:space="preserve">2013 (regionálna pomoc). </w:t>
      </w:r>
    </w:p>
    <w:p w14:paraId="2E8C240E" w14:textId="5D6E4781" w:rsidR="00E06B54" w:rsidRPr="00350FF8" w:rsidRDefault="00E06B54" w:rsidP="00E06B54">
      <w:pPr>
        <w:spacing w:before="120" w:after="120"/>
        <w:jc w:val="both"/>
        <w:rPr>
          <w:rFonts w:ascii="Arial" w:hAnsi="Arial" w:cs="Arial"/>
          <w:sz w:val="20"/>
          <w:szCs w:val="20"/>
        </w:rPr>
      </w:pPr>
      <w:r w:rsidRPr="00350FF8">
        <w:rPr>
          <w:rFonts w:ascii="Arial" w:hAnsi="Arial" w:cs="Arial"/>
          <w:sz w:val="20"/>
          <w:szCs w:val="20"/>
        </w:rPr>
        <w:t xml:space="preserve">Medzi najzávažnejšie dôvody zamietnutia v prioritnej osi 5 patrilo </w:t>
      </w:r>
      <w:r w:rsidRPr="00350FF8">
        <w:rPr>
          <w:rFonts w:ascii="Arial" w:hAnsi="Arial" w:cs="Arial"/>
          <w:sz w:val="20"/>
          <w:szCs w:val="20"/>
        </w:rPr>
        <w:tab/>
      </w:r>
      <w:r w:rsidRPr="00350FF8">
        <w:rPr>
          <w:rFonts w:ascii="Arial" w:hAnsi="Arial" w:cs="Arial"/>
          <w:sz w:val="20"/>
          <w:szCs w:val="20"/>
        </w:rPr>
        <w:tab/>
        <w:t>nesplnenie podmienky oprávnenosti cieľa a aktivít v zmysle podmienok definovaných vo výzve na predkladanie žiadostí o NFP.</w:t>
      </w:r>
    </w:p>
    <w:p w14:paraId="514FF996" w14:textId="371C8029" w:rsidR="00E06B54" w:rsidRPr="00350FF8" w:rsidRDefault="00E06B54" w:rsidP="00E06B54">
      <w:pPr>
        <w:spacing w:before="120" w:after="120"/>
        <w:jc w:val="both"/>
        <w:rPr>
          <w:rFonts w:ascii="Arial" w:hAnsi="Arial" w:cs="Arial"/>
          <w:sz w:val="20"/>
          <w:szCs w:val="20"/>
        </w:rPr>
      </w:pPr>
      <w:r w:rsidRPr="00350FF8">
        <w:rPr>
          <w:rFonts w:ascii="Arial" w:hAnsi="Arial" w:cs="Arial"/>
          <w:sz w:val="20"/>
          <w:szCs w:val="20"/>
        </w:rPr>
        <w:t>Čo sa týka vylúčenia žiadostí z dôvodu nesplnenia kritérií úplnosti, môžeme povedať</w:t>
      </w:r>
      <w:r>
        <w:rPr>
          <w:rFonts w:ascii="Arial" w:hAnsi="Arial" w:cs="Arial"/>
          <w:sz w:val="20"/>
          <w:szCs w:val="20"/>
        </w:rPr>
        <w:t>,</w:t>
      </w:r>
      <w:r w:rsidRPr="00350FF8">
        <w:rPr>
          <w:rFonts w:ascii="Arial" w:hAnsi="Arial" w:cs="Arial"/>
          <w:sz w:val="20"/>
          <w:szCs w:val="20"/>
        </w:rPr>
        <w:t xml:space="preserve"> že sú podobné vo všetkých prioritných osiach OP ŽP. Týka s</w:t>
      </w:r>
      <w:r>
        <w:rPr>
          <w:rFonts w:ascii="Arial" w:hAnsi="Arial" w:cs="Arial"/>
          <w:sz w:val="20"/>
          <w:szCs w:val="20"/>
        </w:rPr>
        <w:t xml:space="preserve">a to predovšetkým </w:t>
      </w:r>
      <w:r>
        <w:rPr>
          <w:rFonts w:ascii="Arial" w:hAnsi="Arial" w:cs="Arial"/>
          <w:sz w:val="20"/>
          <w:szCs w:val="20"/>
        </w:rPr>
        <w:tab/>
        <w:t xml:space="preserve">nesplnenia </w:t>
      </w:r>
      <w:r w:rsidRPr="00350FF8">
        <w:rPr>
          <w:rFonts w:ascii="Arial" w:hAnsi="Arial" w:cs="Arial"/>
          <w:sz w:val="20"/>
          <w:szCs w:val="20"/>
        </w:rPr>
        <w:t>všeobecných</w:t>
      </w:r>
      <w:r>
        <w:rPr>
          <w:rFonts w:ascii="Arial" w:hAnsi="Arial" w:cs="Arial"/>
          <w:sz w:val="20"/>
          <w:szCs w:val="20"/>
        </w:rPr>
        <w:t xml:space="preserve"> </w:t>
      </w:r>
      <w:r w:rsidRPr="00350FF8">
        <w:rPr>
          <w:rFonts w:ascii="Arial" w:hAnsi="Arial" w:cs="Arial"/>
          <w:sz w:val="20"/>
          <w:szCs w:val="20"/>
        </w:rPr>
        <w:t xml:space="preserve">podmienok definovaných výzvou a všetkých špecifických podmienok vzťahujúcich sa k príslušnej prioritnej osi, ktoré vzhľadom na neúplnosť predloženej žiadosti nebolo možné posúdiť pri kontrole oprávnenosti. </w:t>
      </w:r>
      <w:r w:rsidRPr="00350FF8">
        <w:rPr>
          <w:rFonts w:ascii="Arial" w:hAnsi="Arial" w:cs="Arial"/>
          <w:sz w:val="20"/>
          <w:szCs w:val="20"/>
        </w:rPr>
        <w:lastRenderedPageBreak/>
        <w:t>Ide o nedoloženie právoplatného povolenia v zmysle zákona č. 50/1976 Zb. o územnom plá</w:t>
      </w:r>
      <w:r>
        <w:rPr>
          <w:rFonts w:ascii="Arial" w:hAnsi="Arial" w:cs="Arial"/>
          <w:sz w:val="20"/>
          <w:szCs w:val="20"/>
        </w:rPr>
        <w:t>novaní a stavebnom poriadku (s</w:t>
      </w:r>
      <w:r w:rsidRPr="00350FF8">
        <w:rPr>
          <w:rFonts w:ascii="Arial" w:hAnsi="Arial" w:cs="Arial"/>
          <w:sz w:val="20"/>
          <w:szCs w:val="20"/>
        </w:rPr>
        <w:t>tavebný zákon) v znení neskorších predpisov</w:t>
      </w:r>
      <w:r>
        <w:rPr>
          <w:rFonts w:ascii="Arial" w:hAnsi="Arial" w:cs="Arial"/>
          <w:sz w:val="20"/>
          <w:szCs w:val="20"/>
        </w:rPr>
        <w:t>;</w:t>
      </w:r>
      <w:r w:rsidRPr="00350FF8">
        <w:rPr>
          <w:rFonts w:ascii="Arial" w:hAnsi="Arial" w:cs="Arial"/>
          <w:sz w:val="20"/>
          <w:szCs w:val="20"/>
        </w:rPr>
        <w:t xml:space="preserve"> chýbajúca, neúplná alebo stavebným úradom neoverená dokumentácia k stavebnému povolen</w:t>
      </w:r>
      <w:r w:rsidR="00F06CDA">
        <w:rPr>
          <w:rFonts w:ascii="Arial" w:hAnsi="Arial" w:cs="Arial"/>
          <w:sz w:val="20"/>
          <w:szCs w:val="20"/>
        </w:rPr>
        <w:t>iu</w:t>
      </w:r>
      <w:r>
        <w:rPr>
          <w:rFonts w:ascii="Arial" w:hAnsi="Arial" w:cs="Arial"/>
          <w:sz w:val="20"/>
          <w:szCs w:val="20"/>
        </w:rPr>
        <w:t>;</w:t>
      </w:r>
      <w:r w:rsidRPr="00350FF8">
        <w:rPr>
          <w:rFonts w:ascii="Arial" w:hAnsi="Arial" w:cs="Arial"/>
          <w:sz w:val="20"/>
          <w:szCs w:val="20"/>
        </w:rPr>
        <w:t xml:space="preserve"> nedoloženie vysporiadania majetkovo právnych vzťaho</w:t>
      </w:r>
      <w:r>
        <w:rPr>
          <w:rFonts w:ascii="Arial" w:hAnsi="Arial" w:cs="Arial"/>
          <w:sz w:val="20"/>
          <w:szCs w:val="20"/>
        </w:rPr>
        <w:t>v;</w:t>
      </w:r>
      <w:r w:rsidRPr="00350FF8">
        <w:t xml:space="preserve"> </w:t>
      </w:r>
      <w:r w:rsidRPr="00350FF8">
        <w:rPr>
          <w:rFonts w:ascii="Arial" w:hAnsi="Arial" w:cs="Arial"/>
          <w:sz w:val="20"/>
          <w:szCs w:val="20"/>
        </w:rPr>
        <w:t>chýbajúci doklad o zabezpečení spolufinancovania, resp. nedostatočne zabezpečené spolufinancovanie; neúplná príloha Finančná analýza – chýbajúce cenové ponuky. Špecificky pre jednotlivé prioritné osi boli dôvody na vylúčenie z hľadiska nesplneni</w:t>
      </w:r>
      <w:r w:rsidR="00F06CDA">
        <w:rPr>
          <w:rFonts w:ascii="Arial" w:hAnsi="Arial" w:cs="Arial"/>
          <w:sz w:val="20"/>
          <w:szCs w:val="20"/>
        </w:rPr>
        <w:t>a</w:t>
      </w:r>
      <w:r w:rsidRPr="00350FF8">
        <w:rPr>
          <w:rFonts w:ascii="Arial" w:hAnsi="Arial" w:cs="Arial"/>
          <w:sz w:val="20"/>
          <w:szCs w:val="20"/>
        </w:rPr>
        <w:t xml:space="preserve"> kritérií úplnosti napríklad: nepredloženie zmluvy o nájme, resp. výpožičke na časť vodného toku, ktorá, je predmetom projektu v rámci výziev prioritnej osi 2</w:t>
      </w:r>
      <w:r>
        <w:rPr>
          <w:rFonts w:ascii="Arial" w:hAnsi="Arial" w:cs="Arial"/>
          <w:sz w:val="20"/>
          <w:szCs w:val="20"/>
        </w:rPr>
        <w:t>;</w:t>
      </w:r>
      <w:r w:rsidRPr="00350FF8">
        <w:rPr>
          <w:rFonts w:ascii="Arial" w:hAnsi="Arial" w:cs="Arial"/>
          <w:sz w:val="20"/>
          <w:szCs w:val="20"/>
        </w:rPr>
        <w:t xml:space="preserve"> nepredloženie súhlasu príslušného orgánu ochrany ovzdušia podľa zákona č. 137/2010 Z. z. o ovzduší v znení zákona č. 318/2012 Z. z. alebo nepredloženie integrovaného povolenia podľa zákona č. 245/2003 Z. z. o integrovanej prevencii a kontrole znečisťovania životného prostredia a o zmene a doplnení niektorých zákonov v znení neskorších predpisov alebo podľa zákona č. 39/2013 Z. z. o integrovanej prevencii a kontrole znečisťovania životného prostredia a o zmene a doplnení niektorých zákonov.</w:t>
      </w:r>
    </w:p>
    <w:p w14:paraId="0426DACB" w14:textId="5B6D67E1" w:rsidR="00E06B54" w:rsidRPr="00350FF8" w:rsidRDefault="00E06B54" w:rsidP="00E06B54">
      <w:pPr>
        <w:spacing w:before="120" w:after="120"/>
        <w:jc w:val="both"/>
        <w:rPr>
          <w:rFonts w:ascii="Arial" w:hAnsi="Arial" w:cs="Arial"/>
          <w:sz w:val="20"/>
          <w:szCs w:val="20"/>
        </w:rPr>
      </w:pPr>
      <w:r w:rsidRPr="00350FF8">
        <w:rPr>
          <w:rFonts w:ascii="Arial" w:hAnsi="Arial" w:cs="Arial"/>
          <w:sz w:val="20"/>
          <w:szCs w:val="20"/>
        </w:rPr>
        <w:t>Ďalším dôvodom neschválenie žiadostí o NFP bolo nesplnenie kritérií odborného hodnotenia v rámci procesu posudzovania žiadosti o NFP. Žiadosť o NFP bola vylúčená v rámci procesu odborného hodnotenia v prípade, ak jej bola pridelená nulová bodová hodnota vo vylučovacom kritériu, nedosiahla 50</w:t>
      </w:r>
      <w:r w:rsidR="00A90642">
        <w:rPr>
          <w:rFonts w:ascii="Arial" w:hAnsi="Arial" w:cs="Arial"/>
          <w:sz w:val="20"/>
          <w:szCs w:val="20"/>
        </w:rPr>
        <w:t xml:space="preserve"> </w:t>
      </w:r>
      <w:r w:rsidRPr="00350FF8">
        <w:rPr>
          <w:rFonts w:ascii="Arial" w:hAnsi="Arial" w:cs="Arial"/>
          <w:sz w:val="20"/>
          <w:szCs w:val="20"/>
        </w:rPr>
        <w:t xml:space="preserve">% z maximálneho počtu bodov v rámci bloku hodnotiacich kritérií, alebo </w:t>
      </w:r>
      <w:r w:rsidR="00A90642">
        <w:rPr>
          <w:rFonts w:ascii="Arial" w:hAnsi="Arial" w:cs="Arial"/>
          <w:sz w:val="20"/>
          <w:szCs w:val="20"/>
        </w:rPr>
        <w:tab/>
        <w:t>nedosiahla </w:t>
      </w:r>
      <w:r w:rsidRPr="00350FF8">
        <w:rPr>
          <w:rFonts w:ascii="Arial" w:hAnsi="Arial" w:cs="Arial"/>
          <w:sz w:val="20"/>
          <w:szCs w:val="20"/>
        </w:rPr>
        <w:t xml:space="preserve">70% z maximálneho počtu bodov. Dôvody zníženia bodového hodnotenia </w:t>
      </w:r>
      <w:r w:rsidR="00A90642">
        <w:rPr>
          <w:rFonts w:ascii="Arial" w:hAnsi="Arial" w:cs="Arial"/>
          <w:sz w:val="20"/>
          <w:szCs w:val="20"/>
        </w:rPr>
        <w:t>boli</w:t>
      </w:r>
      <w:r w:rsidRPr="00350FF8">
        <w:rPr>
          <w:rFonts w:ascii="Arial" w:hAnsi="Arial" w:cs="Arial"/>
          <w:sz w:val="20"/>
          <w:szCs w:val="20"/>
        </w:rPr>
        <w:t xml:space="preserve"> uvedené priamo v rozhodnutí o neschválení pr</w:t>
      </w:r>
      <w:r w:rsidR="00A90642">
        <w:rPr>
          <w:rFonts w:ascii="Arial" w:hAnsi="Arial" w:cs="Arial"/>
          <w:sz w:val="20"/>
          <w:szCs w:val="20"/>
        </w:rPr>
        <w:t>íslušnej žiadosti o NFP a bývali</w:t>
      </w:r>
      <w:r w:rsidRPr="00350FF8">
        <w:rPr>
          <w:rFonts w:ascii="Arial" w:hAnsi="Arial" w:cs="Arial"/>
          <w:sz w:val="20"/>
          <w:szCs w:val="20"/>
        </w:rPr>
        <w:t xml:space="preserve"> špecifické pre každú žiadosť o NFP. Ako príklad môžeme uviesť zníženie počtu bodov v prípade, ak projekt prispieva k splneniu naplánovaného cieľa len čiastočne – nízky podiel plynofikovaných autobusov z celkového vozového parku, zlá dostupnosť plynofikovaných autobusov k čerpacím staniciam CNG</w:t>
      </w:r>
      <w:r>
        <w:rPr>
          <w:rFonts w:ascii="Arial" w:hAnsi="Arial" w:cs="Arial"/>
          <w:sz w:val="20"/>
          <w:szCs w:val="20"/>
        </w:rPr>
        <w:t>;</w:t>
      </w:r>
      <w:r w:rsidRPr="00350FF8">
        <w:rPr>
          <w:rFonts w:ascii="Arial" w:hAnsi="Arial" w:cs="Arial"/>
          <w:sz w:val="20"/>
          <w:szCs w:val="20"/>
        </w:rPr>
        <w:t xml:space="preserve"> ak z popisu žiadosti o NFP vyplývali nedostatočné personálne kapacity na plnenie cieľov projektu (zabezpečenie prevádzky projektu)</w:t>
      </w:r>
      <w:r>
        <w:rPr>
          <w:rFonts w:ascii="Arial" w:hAnsi="Arial" w:cs="Arial"/>
          <w:sz w:val="20"/>
          <w:szCs w:val="20"/>
        </w:rPr>
        <w:t>;</w:t>
      </w:r>
      <w:r w:rsidRPr="00350FF8">
        <w:rPr>
          <w:rFonts w:ascii="Arial" w:hAnsi="Arial" w:cs="Arial"/>
          <w:sz w:val="20"/>
          <w:szCs w:val="20"/>
        </w:rPr>
        <w:t xml:space="preserve"> ak ukazovatele v rámci finančnej analýzy neboli vypočítané v súlade s Metodikou na vypracovanie finančnej analýzy projektu (investičné výdavky, zostatková hodnota a ukazovatele mernej investičnej náročnosti, vstupy do cash-flow, výška medzery vo financovaní, atď</w:t>
      </w:r>
      <w:r w:rsidR="00A90642">
        <w:rPr>
          <w:rFonts w:ascii="Arial" w:hAnsi="Arial" w:cs="Arial"/>
          <w:sz w:val="20"/>
          <w:szCs w:val="20"/>
        </w:rPr>
        <w:t>.</w:t>
      </w:r>
      <w:r w:rsidRPr="00350FF8">
        <w:rPr>
          <w:rFonts w:ascii="Arial" w:hAnsi="Arial" w:cs="Arial"/>
          <w:sz w:val="20"/>
          <w:szCs w:val="20"/>
        </w:rPr>
        <w:t>)</w:t>
      </w:r>
      <w:r>
        <w:rPr>
          <w:rFonts w:ascii="Arial" w:hAnsi="Arial" w:cs="Arial"/>
          <w:sz w:val="20"/>
          <w:szCs w:val="20"/>
        </w:rPr>
        <w:t>;</w:t>
      </w:r>
      <w:r w:rsidRPr="00350FF8">
        <w:rPr>
          <w:rFonts w:ascii="Arial" w:hAnsi="Arial" w:cs="Arial"/>
          <w:sz w:val="20"/>
          <w:szCs w:val="20"/>
        </w:rPr>
        <w:t xml:space="preserve"> ak z údajov v žiadosti o NFP bola identifikovaná neurčitá finančná situácia žiadateľa (Altmanov index). Pridelenie nulovej hodnoty vo vylučovacom kritériu nastalo v prípade hrubého nesúladu žiadosti o NFP so strategickými dokumentmi a právnymi predpismi pre príslušnú oblasť. </w:t>
      </w:r>
    </w:p>
    <w:p w14:paraId="61A4556B" w14:textId="77777777" w:rsidR="00E06B54" w:rsidRPr="00350FF8" w:rsidRDefault="00E06B54" w:rsidP="00E06B54">
      <w:pPr>
        <w:spacing w:before="120" w:after="120"/>
        <w:jc w:val="both"/>
        <w:rPr>
          <w:rFonts w:ascii="Arial" w:hAnsi="Arial" w:cs="Arial"/>
          <w:sz w:val="20"/>
          <w:szCs w:val="20"/>
        </w:rPr>
      </w:pPr>
      <w:r w:rsidRPr="00350FF8">
        <w:rPr>
          <w:rFonts w:ascii="Arial" w:hAnsi="Arial" w:cs="Arial"/>
          <w:sz w:val="20"/>
          <w:szCs w:val="20"/>
        </w:rPr>
        <w:t>Tak</w:t>
      </w:r>
      <w:r>
        <w:rPr>
          <w:rFonts w:ascii="Arial" w:hAnsi="Arial" w:cs="Arial"/>
          <w:sz w:val="20"/>
          <w:szCs w:val="20"/>
        </w:rPr>
        <w:t>,</w:t>
      </w:r>
      <w:r w:rsidRPr="00350FF8">
        <w:rPr>
          <w:rFonts w:ascii="Arial" w:hAnsi="Arial" w:cs="Arial"/>
          <w:sz w:val="20"/>
          <w:szCs w:val="20"/>
        </w:rPr>
        <w:t xml:space="preserve"> ako bolo v úvode kapitoly uvedené v prípade, ak dopyt žiadostí presahoval disponibilnú alokáciu finančných prostriedkov na príslušnú výzvu, došlo k aplikácii výberového kritéria č. 2 Výška alokácie. V praxi to znamenalo, že finančné prostriedky alokované na predmetnú výzvu boli použité na financovanie tých žiadostí, ktoré v procese odborného hodnotenia získali vyššie bodové hodnotenie. Predovšetkým v rámci prioritnej osi 1, 2, 3 a 4 dopyt žiadateľov niekoľko násobne presahoval disponibilnú alokáciu</w:t>
      </w:r>
      <w:r>
        <w:rPr>
          <w:rFonts w:ascii="Arial" w:hAnsi="Arial" w:cs="Arial"/>
          <w:sz w:val="20"/>
          <w:szCs w:val="20"/>
        </w:rPr>
        <w:t>, čo malo za následok vysoký počet neschválených žiadostí.</w:t>
      </w:r>
      <w:r w:rsidRPr="00350FF8">
        <w:rPr>
          <w:rFonts w:ascii="Arial" w:hAnsi="Arial" w:cs="Arial"/>
          <w:sz w:val="20"/>
          <w:szCs w:val="20"/>
        </w:rPr>
        <w:t xml:space="preserve">    </w:t>
      </w:r>
    </w:p>
    <w:p w14:paraId="786DC222" w14:textId="23D8BC79" w:rsidR="00E06B54" w:rsidRDefault="00E06B54" w:rsidP="00E06B54">
      <w:pPr>
        <w:pStyle w:val="Default"/>
        <w:spacing w:before="120" w:after="120"/>
        <w:jc w:val="both"/>
        <w:rPr>
          <w:rFonts w:ascii="Arial" w:hAnsi="Arial" w:cs="Arial"/>
          <w:sz w:val="20"/>
          <w:szCs w:val="20"/>
        </w:rPr>
      </w:pPr>
      <w:r w:rsidRPr="00350FF8">
        <w:rPr>
          <w:rFonts w:ascii="Arial" w:hAnsi="Arial" w:cs="Arial"/>
          <w:sz w:val="20"/>
          <w:szCs w:val="20"/>
        </w:rPr>
        <w:t xml:space="preserve">Najmä pre účely zníženia počtu žiadostí vylúčených na základe nesplnenia kritérií oprávnenosti a úplnosti, RO pre OP ŽP realizoval súbor opatrení na predchádzanie vyššie uvedeným nedostatkom. Zavedeniu uvedených opatrení predchádzala </w:t>
      </w:r>
      <w:r w:rsidRPr="00350FF8">
        <w:rPr>
          <w:rFonts w:ascii="Arial" w:hAnsi="Arial" w:cs="Arial"/>
          <w:sz w:val="20"/>
          <w:szCs w:val="20"/>
        </w:rPr>
        <w:tab/>
        <w:t>dôsledná analýza dôvodov neschválenia, ktoré sú uvádzané v rozhodnutiach o neschválení jednotlivých žiadostí o NFP. I</w:t>
      </w:r>
      <w:r w:rsidR="00182301">
        <w:rPr>
          <w:rFonts w:ascii="Arial" w:hAnsi="Arial" w:cs="Arial"/>
          <w:sz w:val="20"/>
          <w:szCs w:val="20"/>
        </w:rPr>
        <w:t>šlo</w:t>
      </w:r>
      <w:r w:rsidRPr="00350FF8">
        <w:rPr>
          <w:rFonts w:ascii="Arial" w:hAnsi="Arial" w:cs="Arial"/>
          <w:sz w:val="20"/>
          <w:szCs w:val="20"/>
        </w:rPr>
        <w:t xml:space="preserve"> predovšetkým o zintenzívnenie komunikácie so žiadateľmi prostredníctvom poskytovania informácií priamo RO ale</w:t>
      </w:r>
      <w:r>
        <w:rPr>
          <w:rFonts w:ascii="Arial" w:hAnsi="Arial" w:cs="Arial"/>
          <w:sz w:val="20"/>
          <w:szCs w:val="20"/>
        </w:rPr>
        <w:t>bo</w:t>
      </w:r>
      <w:r w:rsidRPr="00350FF8">
        <w:rPr>
          <w:rFonts w:ascii="Arial" w:hAnsi="Arial" w:cs="Arial"/>
          <w:sz w:val="20"/>
          <w:szCs w:val="20"/>
        </w:rPr>
        <w:t xml:space="preserve"> prostredníctvom centier prvého kontaktu so žiadateľmi (tzv. REPIS) alebo organizovaním rôznych podporných informačných aktivít. Dôsledné informovanie žiadateľov o najčastejších nedostatkoch a spôsoboch ich odstraňovania na webovej stránke www.opzp.sk, v časti Často kladené otázky.</w:t>
      </w:r>
      <w:r w:rsidRPr="00350FF8">
        <w:t xml:space="preserve"> </w:t>
      </w:r>
      <w:r>
        <w:rPr>
          <w:rFonts w:ascii="Arial" w:hAnsi="Arial" w:cs="Arial"/>
          <w:sz w:val="20"/>
          <w:szCs w:val="20"/>
        </w:rPr>
        <w:t>Prepracovanie</w:t>
      </w:r>
      <w:r w:rsidRPr="00350FF8">
        <w:rPr>
          <w:rFonts w:ascii="Arial" w:hAnsi="Arial" w:cs="Arial"/>
          <w:sz w:val="20"/>
          <w:szCs w:val="20"/>
        </w:rPr>
        <w:t xml:space="preserve"> dokumentácie zverejňovanej v rámci výziev na predkladanie žiadostí o NFP napríklad </w:t>
      </w:r>
      <w:r>
        <w:rPr>
          <w:rFonts w:ascii="Arial" w:hAnsi="Arial" w:cs="Arial"/>
          <w:sz w:val="20"/>
          <w:szCs w:val="20"/>
        </w:rPr>
        <w:t>úprava</w:t>
      </w:r>
      <w:r w:rsidRPr="00350FF8">
        <w:rPr>
          <w:rFonts w:ascii="Arial" w:hAnsi="Arial" w:cs="Arial"/>
          <w:sz w:val="20"/>
          <w:szCs w:val="20"/>
        </w:rPr>
        <w:t xml:space="preserve"> Príručky pre žiadateľa alebo </w:t>
      </w:r>
      <w:r>
        <w:rPr>
          <w:rFonts w:ascii="Arial" w:hAnsi="Arial" w:cs="Arial"/>
          <w:sz w:val="20"/>
          <w:szCs w:val="20"/>
        </w:rPr>
        <w:t>úprava</w:t>
      </w:r>
      <w:r w:rsidRPr="00350FF8">
        <w:rPr>
          <w:rFonts w:ascii="Arial" w:hAnsi="Arial" w:cs="Arial"/>
          <w:sz w:val="20"/>
          <w:szCs w:val="20"/>
        </w:rPr>
        <w:t xml:space="preserve"> dokumentu „Ďalšie podmienky poskytnutia pomoci“ </w:t>
      </w:r>
    </w:p>
    <w:p w14:paraId="4DDE0434" w14:textId="35339BCA" w:rsidR="005D1E6E" w:rsidRDefault="005D1E6E" w:rsidP="005D1E6E">
      <w:pPr>
        <w:spacing w:before="240" w:after="120"/>
        <w:jc w:val="both"/>
        <w:rPr>
          <w:rFonts w:ascii="Arial" w:hAnsi="Arial" w:cs="Arial"/>
          <w:b/>
          <w:i/>
          <w:sz w:val="20"/>
          <w:szCs w:val="20"/>
        </w:rPr>
      </w:pPr>
      <w:r w:rsidRPr="00350FF8">
        <w:rPr>
          <w:rFonts w:ascii="Arial" w:hAnsi="Arial" w:cs="Arial"/>
          <w:b/>
          <w:i/>
          <w:sz w:val="20"/>
          <w:szCs w:val="20"/>
        </w:rPr>
        <w:t xml:space="preserve">Najčastejšie dôvody </w:t>
      </w:r>
      <w:r>
        <w:rPr>
          <w:rFonts w:ascii="Arial" w:hAnsi="Arial" w:cs="Arial"/>
          <w:b/>
          <w:i/>
          <w:sz w:val="20"/>
          <w:szCs w:val="20"/>
        </w:rPr>
        <w:t>nezazmluvnenia schválených ŽoNFP</w:t>
      </w:r>
    </w:p>
    <w:p w14:paraId="59540B2B" w14:textId="23E3A42A" w:rsidR="005D1E6E" w:rsidRDefault="005D1E6E" w:rsidP="00F87D11">
      <w:pPr>
        <w:spacing w:before="120" w:after="120"/>
        <w:jc w:val="both"/>
        <w:rPr>
          <w:rFonts w:ascii="Arial" w:hAnsi="Arial" w:cs="Arial"/>
          <w:sz w:val="20"/>
          <w:szCs w:val="20"/>
        </w:rPr>
      </w:pPr>
      <w:r>
        <w:rPr>
          <w:rFonts w:ascii="Arial" w:hAnsi="Arial" w:cs="Arial"/>
          <w:sz w:val="20"/>
          <w:szCs w:val="20"/>
        </w:rPr>
        <w:t>K nezazmluvneniu schválenej ŽoNFP došlo v šiestich prípadoch</w:t>
      </w:r>
      <w:r w:rsidR="00663933">
        <w:rPr>
          <w:rFonts w:ascii="Arial" w:hAnsi="Arial" w:cs="Arial"/>
          <w:sz w:val="20"/>
          <w:szCs w:val="20"/>
        </w:rPr>
        <w:t>,</w:t>
      </w:r>
      <w:r>
        <w:rPr>
          <w:rFonts w:ascii="Arial" w:hAnsi="Arial" w:cs="Arial"/>
          <w:sz w:val="20"/>
          <w:szCs w:val="20"/>
        </w:rPr>
        <w:t xml:space="preserve"> a to z nasledovných dôvodov: </w:t>
      </w:r>
    </w:p>
    <w:p w14:paraId="32B110CB" w14:textId="2E0652DB" w:rsidR="005D1E6E" w:rsidRDefault="005D1E6E" w:rsidP="00F87D11">
      <w:pPr>
        <w:spacing w:before="120" w:after="120"/>
        <w:jc w:val="both"/>
        <w:rPr>
          <w:rFonts w:ascii="Arial" w:hAnsi="Arial" w:cs="Arial"/>
          <w:sz w:val="20"/>
          <w:szCs w:val="20"/>
        </w:rPr>
      </w:pPr>
      <w:r>
        <w:rPr>
          <w:rFonts w:ascii="Arial" w:hAnsi="Arial" w:cs="Arial"/>
          <w:sz w:val="20"/>
          <w:szCs w:val="20"/>
        </w:rPr>
        <w:t>V prípade štyroch projektov v PO 4 projekty neboli zazmluvnené, nakoľko žiadatelia listom oznámili, že nemajú záujem o uzatvorenie zmluvy o poskytnutí NFP. V rámci PO 1 nedošlo k zazmluvneniu schváleného projektu v jednom prípade</w:t>
      </w:r>
      <w:r w:rsidR="00946883">
        <w:rPr>
          <w:rFonts w:ascii="Arial" w:hAnsi="Arial" w:cs="Arial"/>
          <w:sz w:val="20"/>
          <w:szCs w:val="20"/>
        </w:rPr>
        <w:t>,</w:t>
      </w:r>
      <w:r>
        <w:rPr>
          <w:rFonts w:ascii="Arial" w:hAnsi="Arial" w:cs="Arial"/>
          <w:sz w:val="20"/>
          <w:szCs w:val="20"/>
        </w:rPr>
        <w:t xml:space="preserve"> a to z dôvodu, že žiadateľ nedoručil v stanovenej lehote 15 dní podpísaný návrh zmluvy o poskytnutí NFP. Taktiež došlo k neuzatvoreniu zmluvy v súvislosti so </w:t>
      </w:r>
      <w:r w:rsidRPr="00F96951">
        <w:rPr>
          <w:rFonts w:ascii="Arial" w:hAnsi="Arial" w:cs="Arial"/>
          <w:sz w:val="20"/>
          <w:szCs w:val="20"/>
        </w:rPr>
        <w:t>zmenou uznesenia vlády SR č. 752 z 21.</w:t>
      </w:r>
      <w:r w:rsidR="00F06CDA">
        <w:rPr>
          <w:rFonts w:ascii="Arial" w:hAnsi="Arial" w:cs="Arial"/>
          <w:sz w:val="20"/>
          <w:szCs w:val="20"/>
        </w:rPr>
        <w:t xml:space="preserve"> </w:t>
      </w:r>
      <w:r w:rsidRPr="00F96951">
        <w:rPr>
          <w:rFonts w:ascii="Arial" w:hAnsi="Arial" w:cs="Arial"/>
          <w:sz w:val="20"/>
          <w:szCs w:val="20"/>
        </w:rPr>
        <w:t>10.</w:t>
      </w:r>
      <w:r w:rsidR="00F06CDA">
        <w:rPr>
          <w:rFonts w:ascii="Arial" w:hAnsi="Arial" w:cs="Arial"/>
          <w:sz w:val="20"/>
          <w:szCs w:val="20"/>
        </w:rPr>
        <w:t xml:space="preserve"> </w:t>
      </w:r>
      <w:r w:rsidRPr="00F96951">
        <w:rPr>
          <w:rFonts w:ascii="Arial" w:hAnsi="Arial" w:cs="Arial"/>
          <w:sz w:val="20"/>
          <w:szCs w:val="20"/>
        </w:rPr>
        <w:t>2009 v znení uznesenia vlády SR č. 265 z 26.</w:t>
      </w:r>
      <w:r w:rsidR="00F06CDA">
        <w:rPr>
          <w:rFonts w:ascii="Arial" w:hAnsi="Arial" w:cs="Arial"/>
          <w:sz w:val="20"/>
          <w:szCs w:val="20"/>
        </w:rPr>
        <w:t xml:space="preserve"> </w:t>
      </w:r>
      <w:r w:rsidRPr="00F96951">
        <w:rPr>
          <w:rFonts w:ascii="Arial" w:hAnsi="Arial" w:cs="Arial"/>
          <w:sz w:val="20"/>
          <w:szCs w:val="20"/>
        </w:rPr>
        <w:t>4.</w:t>
      </w:r>
      <w:r w:rsidR="00F06CDA">
        <w:rPr>
          <w:rFonts w:ascii="Arial" w:hAnsi="Arial" w:cs="Arial"/>
          <w:sz w:val="20"/>
          <w:szCs w:val="20"/>
        </w:rPr>
        <w:t xml:space="preserve"> </w:t>
      </w:r>
      <w:r w:rsidRPr="00F96951">
        <w:rPr>
          <w:rFonts w:ascii="Arial" w:hAnsi="Arial" w:cs="Arial"/>
          <w:sz w:val="20"/>
          <w:szCs w:val="20"/>
        </w:rPr>
        <w:t xml:space="preserve">2010 </w:t>
      </w:r>
      <w:r w:rsidRPr="00F96951">
        <w:rPr>
          <w:rFonts w:ascii="Arial" w:hAnsi="Arial" w:cs="Arial"/>
          <w:sz w:val="20"/>
          <w:szCs w:val="20"/>
        </w:rPr>
        <w:lastRenderedPageBreak/>
        <w:t>bolo MŽP SR nahradené M</w:t>
      </w:r>
      <w:r w:rsidR="00946883">
        <w:rPr>
          <w:rFonts w:ascii="Arial" w:hAnsi="Arial" w:cs="Arial"/>
          <w:sz w:val="20"/>
          <w:szCs w:val="20"/>
        </w:rPr>
        <w:t>inisterstvom hospodárstva</w:t>
      </w:r>
      <w:r>
        <w:rPr>
          <w:rFonts w:ascii="Arial" w:hAnsi="Arial" w:cs="Arial"/>
          <w:sz w:val="20"/>
          <w:szCs w:val="20"/>
        </w:rPr>
        <w:t xml:space="preserve"> </w:t>
      </w:r>
      <w:r w:rsidR="00946883">
        <w:rPr>
          <w:rFonts w:ascii="Arial" w:hAnsi="Arial" w:cs="Arial"/>
          <w:sz w:val="20"/>
          <w:szCs w:val="20"/>
        </w:rPr>
        <w:t>Slovenskej republiky</w:t>
      </w:r>
      <w:r>
        <w:rPr>
          <w:rFonts w:ascii="Arial" w:hAnsi="Arial" w:cs="Arial"/>
          <w:sz w:val="20"/>
          <w:szCs w:val="20"/>
        </w:rPr>
        <w:t xml:space="preserve"> v rámci iniciatívy JEREMIE v prípade jedného schváleného projektu v PO 3. </w:t>
      </w:r>
    </w:p>
    <w:p w14:paraId="17EC593F" w14:textId="503DBAF0" w:rsidR="008D23BD" w:rsidRPr="005D1E6E" w:rsidRDefault="008D23BD" w:rsidP="005D1E6E">
      <w:pPr>
        <w:spacing w:before="240" w:after="120"/>
        <w:jc w:val="both"/>
        <w:rPr>
          <w:rFonts w:ascii="Arial" w:hAnsi="Arial" w:cs="Arial"/>
          <w:sz w:val="20"/>
          <w:szCs w:val="20"/>
        </w:rPr>
      </w:pPr>
      <w:r>
        <w:rPr>
          <w:rFonts w:ascii="Arial" w:hAnsi="Arial" w:cs="Arial"/>
          <w:sz w:val="20"/>
          <w:szCs w:val="20"/>
        </w:rPr>
        <w:t xml:space="preserve">Tieto projekty majú v ITMS uvedený kód projektu aj napriek tomu, že nedošlo k podpísaniu zmluvy o NFP. </w:t>
      </w:r>
    </w:p>
    <w:p w14:paraId="02AD30B7" w14:textId="77777777" w:rsidR="002416B1" w:rsidRPr="002526CC" w:rsidRDefault="002416B1" w:rsidP="00123376">
      <w:pPr>
        <w:spacing w:before="240" w:after="120"/>
        <w:jc w:val="both"/>
        <w:rPr>
          <w:rFonts w:ascii="Arial" w:hAnsi="Arial" w:cs="Arial"/>
          <w:b/>
          <w:i/>
          <w:sz w:val="20"/>
          <w:szCs w:val="20"/>
        </w:rPr>
      </w:pPr>
      <w:r w:rsidRPr="00636BB6">
        <w:rPr>
          <w:rFonts w:ascii="Arial" w:hAnsi="Arial" w:cs="Arial"/>
          <w:b/>
          <w:i/>
          <w:sz w:val="20"/>
          <w:szCs w:val="20"/>
        </w:rPr>
        <w:t>Mimoriadne ukončené projekty</w:t>
      </w:r>
    </w:p>
    <w:p w14:paraId="32296DE2" w14:textId="26648DBD" w:rsidR="00F35738" w:rsidRDefault="00F35738" w:rsidP="00F35738">
      <w:pPr>
        <w:spacing w:before="120" w:after="120"/>
        <w:jc w:val="both"/>
        <w:rPr>
          <w:rFonts w:ascii="Arial" w:hAnsi="Arial" w:cs="Arial"/>
          <w:sz w:val="20"/>
          <w:szCs w:val="20"/>
        </w:rPr>
      </w:pPr>
      <w:r w:rsidRPr="00B14C65">
        <w:rPr>
          <w:rFonts w:ascii="Arial" w:hAnsi="Arial" w:cs="Arial"/>
          <w:sz w:val="20"/>
          <w:szCs w:val="20"/>
        </w:rPr>
        <w:t xml:space="preserve">S výnimkou prioritnej osi </w:t>
      </w:r>
      <w:r>
        <w:rPr>
          <w:rFonts w:ascii="Arial" w:hAnsi="Arial" w:cs="Arial"/>
          <w:sz w:val="20"/>
          <w:szCs w:val="20"/>
        </w:rPr>
        <w:t>6 a</w:t>
      </w:r>
      <w:r w:rsidR="00946883">
        <w:rPr>
          <w:rFonts w:ascii="Arial" w:hAnsi="Arial" w:cs="Arial"/>
          <w:sz w:val="20"/>
          <w:szCs w:val="20"/>
        </w:rPr>
        <w:t xml:space="preserve"> </w:t>
      </w:r>
      <w:r w:rsidRPr="00B14C65">
        <w:rPr>
          <w:rFonts w:ascii="Arial" w:hAnsi="Arial" w:cs="Arial"/>
          <w:sz w:val="20"/>
          <w:szCs w:val="20"/>
        </w:rPr>
        <w:t>7 došlo k mimoriadnemu ukončeniu projektov v</w:t>
      </w:r>
      <w:r>
        <w:rPr>
          <w:rFonts w:ascii="Arial" w:hAnsi="Arial" w:cs="Arial"/>
          <w:sz w:val="20"/>
          <w:szCs w:val="20"/>
        </w:rPr>
        <w:t> rámci všetkých prioritných osi.</w:t>
      </w:r>
      <w:r w:rsidRPr="00B14C65">
        <w:rPr>
          <w:rFonts w:ascii="Arial" w:hAnsi="Arial" w:cs="Arial"/>
          <w:sz w:val="20"/>
          <w:szCs w:val="20"/>
        </w:rPr>
        <w:t xml:space="preserve"> </w:t>
      </w:r>
      <w:r>
        <w:rPr>
          <w:rFonts w:ascii="Arial" w:hAnsi="Arial" w:cs="Arial"/>
          <w:sz w:val="20"/>
          <w:szCs w:val="20"/>
        </w:rPr>
        <w:t>Spolu došlo k mimoriadnemu ukončeniu pri 69 projektov, v rozdelení na prioritné osi v nasledovnej tabuľke:</w:t>
      </w:r>
      <w:r w:rsidRPr="00EB3D27">
        <w:rPr>
          <w:rFonts w:ascii="Arial" w:hAnsi="Arial" w:cs="Arial"/>
          <w:sz w:val="20"/>
          <w:szCs w:val="20"/>
        </w:rPr>
        <w:t xml:space="preserve"> </w:t>
      </w:r>
    </w:p>
    <w:p w14:paraId="7A694BFE" w14:textId="32A870F6" w:rsidR="00F35738" w:rsidRDefault="00F35738" w:rsidP="00F35738">
      <w:pPr>
        <w:spacing w:before="120" w:after="120"/>
        <w:jc w:val="both"/>
        <w:rPr>
          <w:rFonts w:ascii="Arial" w:hAnsi="Arial" w:cs="Arial"/>
          <w:sz w:val="20"/>
          <w:szCs w:val="20"/>
        </w:rPr>
      </w:pPr>
      <w:r>
        <w:rPr>
          <w:rFonts w:ascii="Arial" w:hAnsi="Arial" w:cs="Arial"/>
          <w:sz w:val="20"/>
          <w:szCs w:val="20"/>
        </w:rPr>
        <w:t xml:space="preserve">Tabuľka č. </w:t>
      </w:r>
      <w:r w:rsidR="00682B07">
        <w:rPr>
          <w:rFonts w:ascii="Arial" w:hAnsi="Arial" w:cs="Arial"/>
          <w:sz w:val="20"/>
          <w:szCs w:val="20"/>
        </w:rPr>
        <w:t>9</w:t>
      </w:r>
      <w:r>
        <w:rPr>
          <w:rFonts w:ascii="Arial" w:hAnsi="Arial" w:cs="Arial"/>
          <w:sz w:val="20"/>
          <w:szCs w:val="20"/>
        </w:rPr>
        <w:t>: Počet mimoriadne ukončených projektov v rozdelení na prioritné osi</w:t>
      </w:r>
    </w:p>
    <w:tbl>
      <w:tblPr>
        <w:tblW w:w="9087" w:type="dxa"/>
        <w:tblInd w:w="55" w:type="dxa"/>
        <w:tblCellMar>
          <w:left w:w="70" w:type="dxa"/>
          <w:right w:w="70" w:type="dxa"/>
        </w:tblCellMar>
        <w:tblLook w:val="04A0" w:firstRow="1" w:lastRow="0" w:firstColumn="1" w:lastColumn="0" w:noHBand="0" w:noVBand="1"/>
      </w:tblPr>
      <w:tblGrid>
        <w:gridCol w:w="963"/>
        <w:gridCol w:w="960"/>
        <w:gridCol w:w="960"/>
        <w:gridCol w:w="960"/>
        <w:gridCol w:w="960"/>
        <w:gridCol w:w="960"/>
        <w:gridCol w:w="3324"/>
      </w:tblGrid>
      <w:tr w:rsidR="00F35738" w:rsidRPr="00EB3D27" w14:paraId="5167C555" w14:textId="77777777" w:rsidTr="00EE50CC">
        <w:trPr>
          <w:trHeight w:val="510"/>
        </w:trPr>
        <w:tc>
          <w:tcPr>
            <w:tcW w:w="963"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49547C2" w14:textId="77777777" w:rsidR="00F35738" w:rsidRPr="00EB3D27" w:rsidRDefault="00F35738" w:rsidP="00C2669B">
            <w:pPr>
              <w:jc w:val="center"/>
              <w:rPr>
                <w:rFonts w:ascii="Arial" w:hAnsi="Arial" w:cs="Arial"/>
                <w:b/>
                <w:sz w:val="16"/>
                <w:szCs w:val="20"/>
              </w:rPr>
            </w:pPr>
            <w:r w:rsidRPr="00EB3D27">
              <w:rPr>
                <w:rFonts w:ascii="Arial" w:hAnsi="Arial" w:cs="Arial"/>
                <w:b/>
                <w:sz w:val="16"/>
                <w:szCs w:val="20"/>
              </w:rPr>
              <w:t>Prioritná os</w:t>
            </w:r>
          </w:p>
        </w:tc>
        <w:tc>
          <w:tcPr>
            <w:tcW w:w="9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DEEBA50" w14:textId="77777777" w:rsidR="00F35738" w:rsidRPr="00EB3D27" w:rsidRDefault="00F35738" w:rsidP="00C2669B">
            <w:pPr>
              <w:jc w:val="center"/>
              <w:rPr>
                <w:rFonts w:ascii="Arial" w:hAnsi="Arial" w:cs="Arial"/>
                <w:b/>
                <w:sz w:val="16"/>
                <w:szCs w:val="20"/>
              </w:rPr>
            </w:pPr>
            <w:r w:rsidRPr="00EB3D27">
              <w:rPr>
                <w:rFonts w:ascii="Arial" w:hAnsi="Arial" w:cs="Arial"/>
                <w:b/>
                <w:sz w:val="16"/>
                <w:szCs w:val="20"/>
              </w:rPr>
              <w:t>PO 1</w:t>
            </w:r>
          </w:p>
        </w:tc>
        <w:tc>
          <w:tcPr>
            <w:tcW w:w="960"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2A6E6AED" w14:textId="77777777" w:rsidR="00F35738" w:rsidRPr="00EB3D27" w:rsidRDefault="00F35738" w:rsidP="00C2669B">
            <w:pPr>
              <w:jc w:val="center"/>
              <w:rPr>
                <w:rFonts w:ascii="Arial" w:hAnsi="Arial" w:cs="Arial"/>
                <w:b/>
                <w:sz w:val="16"/>
                <w:szCs w:val="20"/>
              </w:rPr>
            </w:pPr>
            <w:r w:rsidRPr="00EB3D27">
              <w:rPr>
                <w:rFonts w:ascii="Arial" w:hAnsi="Arial" w:cs="Arial"/>
                <w:b/>
                <w:sz w:val="16"/>
                <w:szCs w:val="20"/>
              </w:rPr>
              <w:t>PO 2</w:t>
            </w:r>
          </w:p>
        </w:tc>
        <w:tc>
          <w:tcPr>
            <w:tcW w:w="960"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6908D419" w14:textId="77777777" w:rsidR="00F35738" w:rsidRPr="00EB3D27" w:rsidRDefault="00F35738" w:rsidP="00C2669B">
            <w:pPr>
              <w:jc w:val="center"/>
              <w:rPr>
                <w:rFonts w:ascii="Arial" w:hAnsi="Arial" w:cs="Arial"/>
                <w:b/>
                <w:sz w:val="16"/>
                <w:szCs w:val="20"/>
              </w:rPr>
            </w:pPr>
            <w:r w:rsidRPr="00EB3D27">
              <w:rPr>
                <w:rFonts w:ascii="Arial" w:hAnsi="Arial" w:cs="Arial"/>
                <w:b/>
                <w:sz w:val="16"/>
                <w:szCs w:val="20"/>
              </w:rPr>
              <w:t>PO 3</w:t>
            </w:r>
          </w:p>
        </w:tc>
        <w:tc>
          <w:tcPr>
            <w:tcW w:w="960"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12BDA04C" w14:textId="77777777" w:rsidR="00F35738" w:rsidRPr="00EB3D27" w:rsidRDefault="00F35738" w:rsidP="00C2669B">
            <w:pPr>
              <w:jc w:val="center"/>
              <w:rPr>
                <w:rFonts w:ascii="Arial" w:hAnsi="Arial" w:cs="Arial"/>
                <w:b/>
                <w:sz w:val="16"/>
                <w:szCs w:val="20"/>
              </w:rPr>
            </w:pPr>
            <w:r w:rsidRPr="00EB3D27">
              <w:rPr>
                <w:rFonts w:ascii="Arial" w:hAnsi="Arial" w:cs="Arial"/>
                <w:b/>
                <w:sz w:val="16"/>
                <w:szCs w:val="20"/>
              </w:rPr>
              <w:t>PO 4</w:t>
            </w:r>
          </w:p>
        </w:tc>
        <w:tc>
          <w:tcPr>
            <w:tcW w:w="960"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0FBB3597" w14:textId="77777777" w:rsidR="00F35738" w:rsidRPr="00EB3D27" w:rsidRDefault="00F35738" w:rsidP="00C2669B">
            <w:pPr>
              <w:jc w:val="center"/>
              <w:rPr>
                <w:rFonts w:ascii="Arial" w:hAnsi="Arial" w:cs="Arial"/>
                <w:b/>
                <w:sz w:val="16"/>
                <w:szCs w:val="20"/>
              </w:rPr>
            </w:pPr>
            <w:r w:rsidRPr="00EB3D27">
              <w:rPr>
                <w:rFonts w:ascii="Arial" w:hAnsi="Arial" w:cs="Arial"/>
                <w:b/>
                <w:sz w:val="16"/>
                <w:szCs w:val="20"/>
              </w:rPr>
              <w:t>PO 5</w:t>
            </w:r>
          </w:p>
        </w:tc>
        <w:tc>
          <w:tcPr>
            <w:tcW w:w="3324"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1C039B41" w14:textId="77777777" w:rsidR="00F35738" w:rsidRPr="00EB3D27" w:rsidRDefault="00F35738" w:rsidP="00C2669B">
            <w:pPr>
              <w:jc w:val="center"/>
              <w:rPr>
                <w:rFonts w:ascii="Arial" w:hAnsi="Arial" w:cs="Arial"/>
                <w:b/>
                <w:sz w:val="16"/>
                <w:szCs w:val="20"/>
              </w:rPr>
            </w:pPr>
            <w:r w:rsidRPr="00EB3D27">
              <w:rPr>
                <w:rFonts w:ascii="Arial" w:hAnsi="Arial" w:cs="Arial"/>
                <w:b/>
                <w:sz w:val="16"/>
                <w:szCs w:val="20"/>
              </w:rPr>
              <w:t>SPOLU</w:t>
            </w:r>
          </w:p>
        </w:tc>
      </w:tr>
      <w:tr w:rsidR="00F35738" w:rsidRPr="00EB3D27" w14:paraId="64C3D0BC" w14:textId="77777777" w:rsidTr="00C2669B">
        <w:trPr>
          <w:trHeight w:val="411"/>
        </w:trPr>
        <w:tc>
          <w:tcPr>
            <w:tcW w:w="963" w:type="dxa"/>
            <w:tcBorders>
              <w:top w:val="nil"/>
              <w:left w:val="single" w:sz="4" w:space="0" w:color="auto"/>
              <w:bottom w:val="single" w:sz="4" w:space="0" w:color="auto"/>
              <w:right w:val="single" w:sz="4" w:space="0" w:color="auto"/>
            </w:tcBorders>
            <w:shd w:val="clear" w:color="auto" w:fill="auto"/>
            <w:noWrap/>
            <w:vAlign w:val="center"/>
            <w:hideMark/>
          </w:tcPr>
          <w:p w14:paraId="150A3AFA" w14:textId="77777777" w:rsidR="00F35738" w:rsidRPr="00EB3D27" w:rsidRDefault="00F35738" w:rsidP="00C2669B">
            <w:pPr>
              <w:jc w:val="center"/>
              <w:rPr>
                <w:rFonts w:ascii="Arial" w:hAnsi="Arial" w:cs="Arial"/>
                <w:b/>
                <w:sz w:val="16"/>
                <w:szCs w:val="20"/>
              </w:rPr>
            </w:pPr>
            <w:r w:rsidRPr="00EB3D27">
              <w:rPr>
                <w:rFonts w:ascii="Arial" w:hAnsi="Arial" w:cs="Arial"/>
                <w:b/>
                <w:sz w:val="16"/>
                <w:szCs w:val="20"/>
              </w:rPr>
              <w:t>Počet</w:t>
            </w:r>
          </w:p>
        </w:tc>
        <w:tc>
          <w:tcPr>
            <w:tcW w:w="960" w:type="dxa"/>
            <w:tcBorders>
              <w:top w:val="nil"/>
              <w:left w:val="nil"/>
              <w:bottom w:val="single" w:sz="4" w:space="0" w:color="auto"/>
              <w:right w:val="single" w:sz="4" w:space="0" w:color="auto"/>
            </w:tcBorders>
            <w:shd w:val="clear" w:color="auto" w:fill="auto"/>
            <w:noWrap/>
            <w:vAlign w:val="center"/>
            <w:hideMark/>
          </w:tcPr>
          <w:p w14:paraId="44854E47" w14:textId="77777777" w:rsidR="00F35738" w:rsidRPr="00EB3D27" w:rsidRDefault="00F35738" w:rsidP="00C2669B">
            <w:pPr>
              <w:jc w:val="center"/>
              <w:rPr>
                <w:rFonts w:ascii="Arial" w:hAnsi="Arial" w:cs="Arial"/>
                <w:sz w:val="16"/>
                <w:szCs w:val="20"/>
              </w:rPr>
            </w:pPr>
            <w:r w:rsidRPr="00EB3D27">
              <w:rPr>
                <w:rFonts w:ascii="Arial" w:hAnsi="Arial" w:cs="Arial"/>
                <w:sz w:val="16"/>
                <w:szCs w:val="20"/>
              </w:rPr>
              <w:t>13</w:t>
            </w:r>
          </w:p>
        </w:tc>
        <w:tc>
          <w:tcPr>
            <w:tcW w:w="960" w:type="dxa"/>
            <w:tcBorders>
              <w:top w:val="nil"/>
              <w:left w:val="nil"/>
              <w:bottom w:val="single" w:sz="4" w:space="0" w:color="auto"/>
              <w:right w:val="single" w:sz="4" w:space="0" w:color="auto"/>
            </w:tcBorders>
            <w:shd w:val="clear" w:color="auto" w:fill="auto"/>
            <w:noWrap/>
            <w:vAlign w:val="center"/>
            <w:hideMark/>
          </w:tcPr>
          <w:p w14:paraId="4918E23E" w14:textId="77777777" w:rsidR="00F35738" w:rsidRPr="00EB3D27" w:rsidRDefault="00F35738" w:rsidP="00C2669B">
            <w:pPr>
              <w:jc w:val="center"/>
              <w:rPr>
                <w:rFonts w:ascii="Arial" w:hAnsi="Arial" w:cs="Arial"/>
                <w:sz w:val="16"/>
                <w:szCs w:val="20"/>
              </w:rPr>
            </w:pPr>
            <w:r w:rsidRPr="00EB3D27">
              <w:rPr>
                <w:rFonts w:ascii="Arial" w:hAnsi="Arial" w:cs="Arial"/>
                <w:sz w:val="16"/>
                <w:szCs w:val="20"/>
              </w:rPr>
              <w:t>12</w:t>
            </w:r>
          </w:p>
        </w:tc>
        <w:tc>
          <w:tcPr>
            <w:tcW w:w="960" w:type="dxa"/>
            <w:tcBorders>
              <w:top w:val="nil"/>
              <w:left w:val="nil"/>
              <w:bottom w:val="single" w:sz="4" w:space="0" w:color="auto"/>
              <w:right w:val="single" w:sz="4" w:space="0" w:color="auto"/>
            </w:tcBorders>
            <w:shd w:val="clear" w:color="auto" w:fill="auto"/>
            <w:noWrap/>
            <w:vAlign w:val="center"/>
            <w:hideMark/>
          </w:tcPr>
          <w:p w14:paraId="5AAC464E" w14:textId="77777777" w:rsidR="00F35738" w:rsidRPr="00EB3D27" w:rsidRDefault="00F35738" w:rsidP="00C2669B">
            <w:pPr>
              <w:jc w:val="center"/>
              <w:rPr>
                <w:rFonts w:ascii="Arial" w:hAnsi="Arial" w:cs="Arial"/>
                <w:sz w:val="16"/>
                <w:szCs w:val="20"/>
              </w:rPr>
            </w:pPr>
            <w:r w:rsidRPr="00EB3D27">
              <w:rPr>
                <w:rFonts w:ascii="Arial" w:hAnsi="Arial" w:cs="Arial"/>
                <w:sz w:val="16"/>
                <w:szCs w:val="20"/>
              </w:rPr>
              <w:t>18</w:t>
            </w:r>
          </w:p>
        </w:tc>
        <w:tc>
          <w:tcPr>
            <w:tcW w:w="960" w:type="dxa"/>
            <w:tcBorders>
              <w:top w:val="nil"/>
              <w:left w:val="nil"/>
              <w:bottom w:val="single" w:sz="4" w:space="0" w:color="auto"/>
              <w:right w:val="single" w:sz="4" w:space="0" w:color="auto"/>
            </w:tcBorders>
            <w:shd w:val="clear" w:color="auto" w:fill="auto"/>
            <w:noWrap/>
            <w:vAlign w:val="center"/>
            <w:hideMark/>
          </w:tcPr>
          <w:p w14:paraId="1E11F9C0" w14:textId="77777777" w:rsidR="00F35738" w:rsidRPr="00EB3D27" w:rsidRDefault="00F35738" w:rsidP="00C2669B">
            <w:pPr>
              <w:jc w:val="center"/>
              <w:rPr>
                <w:rFonts w:ascii="Arial" w:hAnsi="Arial" w:cs="Arial"/>
                <w:sz w:val="16"/>
                <w:szCs w:val="20"/>
              </w:rPr>
            </w:pPr>
            <w:r w:rsidRPr="00EB3D27">
              <w:rPr>
                <w:rFonts w:ascii="Arial" w:hAnsi="Arial" w:cs="Arial"/>
                <w:sz w:val="16"/>
                <w:szCs w:val="20"/>
              </w:rPr>
              <w:t>22</w:t>
            </w:r>
          </w:p>
        </w:tc>
        <w:tc>
          <w:tcPr>
            <w:tcW w:w="960" w:type="dxa"/>
            <w:tcBorders>
              <w:top w:val="nil"/>
              <w:left w:val="nil"/>
              <w:bottom w:val="single" w:sz="4" w:space="0" w:color="auto"/>
              <w:right w:val="single" w:sz="4" w:space="0" w:color="auto"/>
            </w:tcBorders>
            <w:shd w:val="clear" w:color="auto" w:fill="auto"/>
            <w:noWrap/>
            <w:vAlign w:val="center"/>
            <w:hideMark/>
          </w:tcPr>
          <w:p w14:paraId="32A7054E" w14:textId="77777777" w:rsidR="00F35738" w:rsidRPr="00EB3D27" w:rsidRDefault="00F35738" w:rsidP="00C2669B">
            <w:pPr>
              <w:jc w:val="center"/>
              <w:rPr>
                <w:rFonts w:ascii="Arial" w:hAnsi="Arial" w:cs="Arial"/>
                <w:sz w:val="16"/>
                <w:szCs w:val="20"/>
              </w:rPr>
            </w:pPr>
            <w:r w:rsidRPr="00EB3D27">
              <w:rPr>
                <w:rFonts w:ascii="Arial" w:hAnsi="Arial" w:cs="Arial"/>
                <w:sz w:val="16"/>
                <w:szCs w:val="20"/>
              </w:rPr>
              <w:t>4</w:t>
            </w:r>
          </w:p>
        </w:tc>
        <w:tc>
          <w:tcPr>
            <w:tcW w:w="3324" w:type="dxa"/>
            <w:tcBorders>
              <w:top w:val="nil"/>
              <w:left w:val="nil"/>
              <w:bottom w:val="single" w:sz="4" w:space="0" w:color="auto"/>
              <w:right w:val="single" w:sz="4" w:space="0" w:color="auto"/>
            </w:tcBorders>
            <w:shd w:val="clear" w:color="auto" w:fill="auto"/>
            <w:noWrap/>
            <w:vAlign w:val="center"/>
            <w:hideMark/>
          </w:tcPr>
          <w:p w14:paraId="4C8350E9" w14:textId="77777777" w:rsidR="00F35738" w:rsidRPr="00EB3D27" w:rsidRDefault="00F35738" w:rsidP="00C2669B">
            <w:pPr>
              <w:jc w:val="center"/>
              <w:rPr>
                <w:rFonts w:ascii="Arial" w:hAnsi="Arial" w:cs="Arial"/>
                <w:sz w:val="16"/>
                <w:szCs w:val="20"/>
              </w:rPr>
            </w:pPr>
            <w:r w:rsidRPr="00EB3D27">
              <w:rPr>
                <w:rFonts w:ascii="Arial" w:hAnsi="Arial" w:cs="Arial"/>
                <w:sz w:val="16"/>
                <w:szCs w:val="20"/>
              </w:rPr>
              <w:t>69</w:t>
            </w:r>
          </w:p>
        </w:tc>
      </w:tr>
    </w:tbl>
    <w:p w14:paraId="7A9E5BC1" w14:textId="283301FC" w:rsidR="00946883" w:rsidRPr="00946883" w:rsidRDefault="00946883" w:rsidP="00F35738">
      <w:pPr>
        <w:spacing w:before="120" w:after="120"/>
        <w:jc w:val="both"/>
        <w:rPr>
          <w:rFonts w:ascii="Arial" w:hAnsi="Arial" w:cs="Arial"/>
          <w:sz w:val="16"/>
          <w:szCs w:val="16"/>
        </w:rPr>
      </w:pPr>
      <w:r w:rsidRPr="00946883">
        <w:rPr>
          <w:rFonts w:ascii="Arial" w:hAnsi="Arial" w:cs="Arial"/>
          <w:sz w:val="16"/>
          <w:szCs w:val="16"/>
        </w:rPr>
        <w:t>Zdroj: RO</w:t>
      </w:r>
    </w:p>
    <w:p w14:paraId="472BB12F" w14:textId="12BC3D8A" w:rsidR="00F35738" w:rsidRDefault="00F35738" w:rsidP="00F35738">
      <w:pPr>
        <w:spacing w:before="120" w:after="120"/>
        <w:jc w:val="both"/>
        <w:rPr>
          <w:rFonts w:ascii="Arial" w:hAnsi="Arial" w:cs="Arial"/>
          <w:sz w:val="20"/>
          <w:szCs w:val="20"/>
        </w:rPr>
      </w:pPr>
      <w:r w:rsidRPr="00B14C65">
        <w:rPr>
          <w:rFonts w:ascii="Arial" w:hAnsi="Arial" w:cs="Arial"/>
          <w:sz w:val="20"/>
          <w:szCs w:val="20"/>
        </w:rPr>
        <w:t xml:space="preserve">Dôvodmi mimoriadneho ukončenia projektov boli predovšetkým odstúpenia od zmlúv. Išlo hlavne o nepredvídateľné okolnosti na strane žiadateľa, </w:t>
      </w:r>
      <w:r>
        <w:rPr>
          <w:rFonts w:ascii="Arial" w:hAnsi="Arial" w:cs="Arial"/>
          <w:sz w:val="20"/>
          <w:szCs w:val="20"/>
        </w:rPr>
        <w:t xml:space="preserve">zlá ekonomická situácia prijímateľa, </w:t>
      </w:r>
      <w:r w:rsidRPr="00946883">
        <w:rPr>
          <w:rFonts w:ascii="Arial" w:hAnsi="Arial" w:cs="Arial"/>
          <w:sz w:val="20"/>
          <w:szCs w:val="20"/>
        </w:rPr>
        <w:t xml:space="preserve">nepristúpenie prijímateľa k podpisu návrhu zmluvy, nedodržanie </w:t>
      </w:r>
      <w:r>
        <w:rPr>
          <w:rFonts w:ascii="Arial" w:hAnsi="Arial" w:cs="Arial"/>
          <w:sz w:val="20"/>
          <w:szCs w:val="20"/>
        </w:rPr>
        <w:t>termínov stanovených v zmluve,</w:t>
      </w:r>
      <w:r w:rsidR="00B632B6">
        <w:rPr>
          <w:rFonts w:ascii="Arial" w:hAnsi="Arial" w:cs="Arial"/>
          <w:sz w:val="20"/>
          <w:szCs w:val="20"/>
        </w:rPr>
        <w:t xml:space="preserve"> </w:t>
      </w:r>
      <w:r w:rsidRPr="00FD6F1D">
        <w:rPr>
          <w:rFonts w:ascii="Arial" w:hAnsi="Arial" w:cs="Arial"/>
          <w:sz w:val="20"/>
          <w:szCs w:val="20"/>
        </w:rPr>
        <w:t>prijímateľ nezačal s výkonom verejného obstarávania na výber dodávateľov do 6 mesiacov odo dňa doručenia oznámenia o schválení žiadosti o zmenu projektu týkajúcej sa predĺženia lehoty ukončenia realizácie projektu</w:t>
      </w:r>
      <w:r>
        <w:rPr>
          <w:rFonts w:ascii="Arial" w:hAnsi="Arial" w:cs="Arial"/>
          <w:sz w:val="20"/>
          <w:szCs w:val="20"/>
        </w:rPr>
        <w:t xml:space="preserve">. Zoznam mimoriadne ukončených projektov s uvedením dôvodu tvorí prílohu č.12 záverečnej správy. </w:t>
      </w:r>
    </w:p>
    <w:p w14:paraId="0C93B174" w14:textId="77777777" w:rsidR="003F7162" w:rsidRPr="00B14C65" w:rsidRDefault="003F7162" w:rsidP="003F7162">
      <w:pPr>
        <w:spacing w:before="240" w:after="120"/>
        <w:jc w:val="both"/>
        <w:rPr>
          <w:rFonts w:ascii="Arial" w:hAnsi="Arial" w:cs="Arial"/>
          <w:b/>
          <w:i/>
          <w:sz w:val="20"/>
          <w:szCs w:val="20"/>
        </w:rPr>
      </w:pPr>
      <w:r w:rsidRPr="00EB48E5">
        <w:rPr>
          <w:rFonts w:ascii="Arial" w:hAnsi="Arial" w:cs="Arial"/>
          <w:b/>
          <w:i/>
          <w:sz w:val="20"/>
          <w:szCs w:val="20"/>
        </w:rPr>
        <w:t>Dôvody vrátenia finančných prostriedkov</w:t>
      </w:r>
      <w:r w:rsidRPr="00B14C65">
        <w:rPr>
          <w:rFonts w:ascii="Arial" w:hAnsi="Arial" w:cs="Arial"/>
          <w:b/>
          <w:i/>
          <w:sz w:val="20"/>
          <w:szCs w:val="20"/>
        </w:rPr>
        <w:t xml:space="preserve"> </w:t>
      </w:r>
    </w:p>
    <w:p w14:paraId="55006E48" w14:textId="4DBDB1D5" w:rsidR="003F7162" w:rsidRPr="00123376" w:rsidRDefault="003F7162" w:rsidP="00F35738">
      <w:pPr>
        <w:spacing w:before="120" w:after="120"/>
        <w:jc w:val="both"/>
        <w:rPr>
          <w:rFonts w:ascii="Arial" w:hAnsi="Arial" w:cs="Arial"/>
          <w:sz w:val="20"/>
          <w:szCs w:val="20"/>
        </w:rPr>
      </w:pPr>
      <w:r w:rsidRPr="00B14C65">
        <w:rPr>
          <w:rFonts w:ascii="Arial" w:hAnsi="Arial" w:cs="Arial"/>
          <w:sz w:val="20"/>
          <w:szCs w:val="20"/>
        </w:rPr>
        <w:t>Počas implementácie OP ŽP</w:t>
      </w:r>
      <w:r>
        <w:rPr>
          <w:rFonts w:ascii="Arial" w:hAnsi="Arial" w:cs="Arial"/>
          <w:sz w:val="20"/>
          <w:szCs w:val="20"/>
        </w:rPr>
        <w:t xml:space="preserve"> k 31.</w:t>
      </w:r>
      <w:r w:rsidR="00F06CDA">
        <w:rPr>
          <w:rFonts w:ascii="Arial" w:hAnsi="Arial" w:cs="Arial"/>
          <w:sz w:val="20"/>
          <w:szCs w:val="20"/>
        </w:rPr>
        <w:t xml:space="preserve"> </w:t>
      </w:r>
      <w:r>
        <w:rPr>
          <w:rFonts w:ascii="Arial" w:hAnsi="Arial" w:cs="Arial"/>
          <w:sz w:val="20"/>
          <w:szCs w:val="20"/>
        </w:rPr>
        <w:t>10.</w:t>
      </w:r>
      <w:r w:rsidR="00F06CDA">
        <w:rPr>
          <w:rFonts w:ascii="Arial" w:hAnsi="Arial" w:cs="Arial"/>
          <w:sz w:val="20"/>
          <w:szCs w:val="20"/>
        </w:rPr>
        <w:t xml:space="preserve"> </w:t>
      </w:r>
      <w:r>
        <w:rPr>
          <w:rFonts w:ascii="Arial" w:hAnsi="Arial" w:cs="Arial"/>
          <w:sz w:val="20"/>
          <w:szCs w:val="20"/>
        </w:rPr>
        <w:t>2016,</w:t>
      </w:r>
      <w:r w:rsidRPr="00B14C65">
        <w:rPr>
          <w:rFonts w:ascii="Arial" w:hAnsi="Arial" w:cs="Arial"/>
          <w:sz w:val="20"/>
          <w:szCs w:val="20"/>
        </w:rPr>
        <w:t xml:space="preserve"> došlo k vráteniu finančných prostriedkov v </w:t>
      </w:r>
      <w:r>
        <w:rPr>
          <w:rFonts w:ascii="Arial" w:hAnsi="Arial" w:cs="Arial"/>
          <w:sz w:val="20"/>
          <w:szCs w:val="20"/>
        </w:rPr>
        <w:t>181</w:t>
      </w:r>
      <w:r w:rsidRPr="00B14C65">
        <w:rPr>
          <w:rFonts w:ascii="Arial" w:hAnsi="Arial" w:cs="Arial"/>
          <w:sz w:val="20"/>
          <w:szCs w:val="20"/>
        </w:rPr>
        <w:t xml:space="preserve"> prípadoch</w:t>
      </w:r>
      <w:r w:rsidRPr="00E21C60">
        <w:rPr>
          <w:rFonts w:ascii="Arial" w:hAnsi="Arial" w:cs="Arial"/>
          <w:sz w:val="20"/>
          <w:szCs w:val="20"/>
        </w:rPr>
        <w:t xml:space="preserve">, pričom vrátená suma predstavuje celkovo </w:t>
      </w:r>
      <w:r>
        <w:rPr>
          <w:rFonts w:ascii="Arial" w:hAnsi="Arial" w:cs="Arial"/>
          <w:sz w:val="20"/>
          <w:szCs w:val="20"/>
        </w:rPr>
        <w:t>22 854 531</w:t>
      </w:r>
      <w:r w:rsidRPr="00E21C60">
        <w:rPr>
          <w:rFonts w:ascii="Arial" w:hAnsi="Arial" w:cs="Arial"/>
          <w:sz w:val="20"/>
          <w:szCs w:val="20"/>
        </w:rPr>
        <w:t xml:space="preserve"> </w:t>
      </w:r>
      <w:r w:rsidR="00366C2D">
        <w:rPr>
          <w:rFonts w:ascii="Arial" w:hAnsi="Arial" w:cs="Arial"/>
          <w:sz w:val="20"/>
          <w:szCs w:val="20"/>
        </w:rPr>
        <w:t>€</w:t>
      </w:r>
      <w:r w:rsidRPr="00E21C60">
        <w:rPr>
          <w:rFonts w:ascii="Arial" w:hAnsi="Arial" w:cs="Arial"/>
          <w:sz w:val="20"/>
          <w:szCs w:val="20"/>
        </w:rPr>
        <w:t xml:space="preserve">. </w:t>
      </w:r>
    </w:p>
    <w:p w14:paraId="73F7ADD7" w14:textId="77777777" w:rsidR="002416B1" w:rsidRPr="00E21C60" w:rsidRDefault="002416B1" w:rsidP="00123376">
      <w:pPr>
        <w:spacing w:before="240" w:after="120"/>
        <w:rPr>
          <w:rFonts w:ascii="Arial" w:hAnsi="Arial" w:cs="Arial"/>
          <w:b/>
          <w:i/>
          <w:sz w:val="20"/>
          <w:szCs w:val="20"/>
        </w:rPr>
      </w:pPr>
      <w:r w:rsidRPr="00E21C60">
        <w:rPr>
          <w:rFonts w:ascii="Arial" w:hAnsi="Arial" w:cs="Arial"/>
          <w:b/>
          <w:i/>
          <w:sz w:val="20"/>
          <w:szCs w:val="20"/>
        </w:rPr>
        <w:t>Žiadosti prijímateľa o zmenu projektu</w:t>
      </w:r>
    </w:p>
    <w:p w14:paraId="7FD51833" w14:textId="064E6311" w:rsidR="002416B1" w:rsidRPr="00E21C60" w:rsidRDefault="00CC3C51" w:rsidP="00123376">
      <w:pPr>
        <w:spacing w:before="120" w:after="120"/>
        <w:jc w:val="both"/>
        <w:rPr>
          <w:rFonts w:ascii="Arial" w:hAnsi="Arial" w:cs="Arial"/>
          <w:sz w:val="20"/>
          <w:szCs w:val="20"/>
        </w:rPr>
      </w:pPr>
      <w:r w:rsidRPr="00E21C60">
        <w:rPr>
          <w:rFonts w:ascii="Arial" w:hAnsi="Arial" w:cs="Arial"/>
          <w:sz w:val="20"/>
          <w:szCs w:val="20"/>
        </w:rPr>
        <w:t xml:space="preserve">Počet </w:t>
      </w:r>
      <w:r w:rsidR="002416B1" w:rsidRPr="00E21C60">
        <w:rPr>
          <w:rFonts w:ascii="Arial" w:hAnsi="Arial" w:cs="Arial"/>
          <w:sz w:val="20"/>
          <w:szCs w:val="20"/>
        </w:rPr>
        <w:t xml:space="preserve">projektov v rozdelení podľa prioritných osí, v rámci ktorých boli evidované </w:t>
      </w:r>
      <w:r w:rsidR="00825158" w:rsidRPr="00E21C60">
        <w:rPr>
          <w:rFonts w:ascii="Arial" w:hAnsi="Arial" w:cs="Arial"/>
          <w:sz w:val="20"/>
          <w:szCs w:val="20"/>
        </w:rPr>
        <w:t xml:space="preserve">žiadostí </w:t>
      </w:r>
      <w:r w:rsidR="002416B1" w:rsidRPr="00E21C60">
        <w:rPr>
          <w:rFonts w:ascii="Arial" w:hAnsi="Arial" w:cs="Arial"/>
          <w:sz w:val="20"/>
          <w:szCs w:val="20"/>
        </w:rPr>
        <w:t>o</w:t>
      </w:r>
      <w:r w:rsidR="00C116EB" w:rsidRPr="00E21C60">
        <w:rPr>
          <w:rFonts w:ascii="Arial" w:hAnsi="Arial" w:cs="Arial"/>
          <w:sz w:val="20"/>
          <w:szCs w:val="20"/>
        </w:rPr>
        <w:t> </w:t>
      </w:r>
      <w:r w:rsidR="002416B1" w:rsidRPr="00E21C60">
        <w:rPr>
          <w:rFonts w:ascii="Arial" w:hAnsi="Arial" w:cs="Arial"/>
          <w:sz w:val="20"/>
          <w:szCs w:val="20"/>
        </w:rPr>
        <w:t>zmenu</w:t>
      </w:r>
      <w:r w:rsidR="00C116EB" w:rsidRPr="00E21C60">
        <w:rPr>
          <w:rFonts w:ascii="Arial" w:hAnsi="Arial" w:cs="Arial"/>
          <w:sz w:val="20"/>
          <w:szCs w:val="20"/>
        </w:rPr>
        <w:t xml:space="preserve"> k </w:t>
      </w:r>
      <w:r w:rsidR="005E2C96" w:rsidRPr="00B34C09">
        <w:rPr>
          <w:rFonts w:ascii="Arial" w:hAnsi="Arial" w:cs="Arial"/>
          <w:sz w:val="20"/>
          <w:szCs w:val="20"/>
        </w:rPr>
        <w:t>30</w:t>
      </w:r>
      <w:r w:rsidR="00C116EB" w:rsidRPr="00B34C09">
        <w:rPr>
          <w:rFonts w:ascii="Arial" w:hAnsi="Arial" w:cs="Arial"/>
          <w:sz w:val="20"/>
          <w:szCs w:val="20"/>
        </w:rPr>
        <w:t>.</w:t>
      </w:r>
      <w:r w:rsidR="00F06CDA">
        <w:rPr>
          <w:rFonts w:ascii="Arial" w:hAnsi="Arial" w:cs="Arial"/>
          <w:sz w:val="20"/>
          <w:szCs w:val="20"/>
        </w:rPr>
        <w:t xml:space="preserve"> </w:t>
      </w:r>
      <w:r w:rsidR="00B34C09" w:rsidRPr="00B34C09">
        <w:rPr>
          <w:rFonts w:ascii="Arial" w:hAnsi="Arial" w:cs="Arial"/>
          <w:sz w:val="20"/>
          <w:szCs w:val="20"/>
        </w:rPr>
        <w:t>10</w:t>
      </w:r>
      <w:r w:rsidR="00C116EB" w:rsidRPr="00B34C09">
        <w:rPr>
          <w:rFonts w:ascii="Arial" w:hAnsi="Arial" w:cs="Arial"/>
          <w:sz w:val="20"/>
          <w:szCs w:val="20"/>
        </w:rPr>
        <w:t>.</w:t>
      </w:r>
      <w:r w:rsidR="00F06CDA">
        <w:rPr>
          <w:rFonts w:ascii="Arial" w:hAnsi="Arial" w:cs="Arial"/>
          <w:sz w:val="20"/>
          <w:szCs w:val="20"/>
        </w:rPr>
        <w:t xml:space="preserve"> </w:t>
      </w:r>
      <w:r w:rsidR="005E2C96" w:rsidRPr="00B34C09">
        <w:rPr>
          <w:rFonts w:ascii="Arial" w:hAnsi="Arial" w:cs="Arial"/>
          <w:sz w:val="20"/>
          <w:szCs w:val="20"/>
        </w:rPr>
        <w:t>2016</w:t>
      </w:r>
      <w:r w:rsidR="002416B1" w:rsidRPr="00E21C60">
        <w:rPr>
          <w:rFonts w:ascii="Arial" w:hAnsi="Arial" w:cs="Arial"/>
          <w:sz w:val="20"/>
          <w:szCs w:val="20"/>
        </w:rPr>
        <w:t xml:space="preserve">, ako aj </w:t>
      </w:r>
      <w:r w:rsidRPr="00E21C60">
        <w:rPr>
          <w:rFonts w:ascii="Arial" w:hAnsi="Arial" w:cs="Arial"/>
          <w:sz w:val="20"/>
          <w:szCs w:val="20"/>
        </w:rPr>
        <w:t>typ zmeny je uvedený v nasledovnej tabuľke</w:t>
      </w:r>
      <w:r w:rsidR="00CF06B5" w:rsidRPr="00E21C60">
        <w:rPr>
          <w:rFonts w:ascii="Arial" w:hAnsi="Arial" w:cs="Arial"/>
          <w:sz w:val="20"/>
          <w:szCs w:val="20"/>
        </w:rPr>
        <w:t>.</w:t>
      </w:r>
    </w:p>
    <w:p w14:paraId="182864CA" w14:textId="0C63E345" w:rsidR="002416B1" w:rsidRPr="00E21C60" w:rsidRDefault="002416B1" w:rsidP="008A1902">
      <w:pPr>
        <w:keepNext/>
        <w:jc w:val="both"/>
        <w:rPr>
          <w:rFonts w:ascii="Arial" w:hAnsi="Arial" w:cs="Arial"/>
          <w:sz w:val="20"/>
          <w:szCs w:val="20"/>
        </w:rPr>
      </w:pPr>
      <w:r w:rsidRPr="00E21C60">
        <w:rPr>
          <w:rFonts w:ascii="Arial" w:hAnsi="Arial" w:cs="Arial"/>
          <w:sz w:val="20"/>
          <w:szCs w:val="20"/>
        </w:rPr>
        <w:t>Tab</w:t>
      </w:r>
      <w:r w:rsidR="00CF06B5" w:rsidRPr="00E21C60">
        <w:rPr>
          <w:rFonts w:ascii="Arial" w:hAnsi="Arial" w:cs="Arial"/>
          <w:sz w:val="20"/>
          <w:szCs w:val="20"/>
        </w:rPr>
        <w:t xml:space="preserve">uľka </w:t>
      </w:r>
      <w:r w:rsidRPr="00E21C60">
        <w:rPr>
          <w:rFonts w:ascii="Arial" w:hAnsi="Arial" w:cs="Arial"/>
          <w:sz w:val="20"/>
          <w:szCs w:val="20"/>
        </w:rPr>
        <w:t xml:space="preserve">č. </w:t>
      </w:r>
      <w:r w:rsidR="00682B07">
        <w:rPr>
          <w:rFonts w:ascii="Arial" w:hAnsi="Arial" w:cs="Arial"/>
          <w:sz w:val="20"/>
          <w:szCs w:val="20"/>
        </w:rPr>
        <w:t>10</w:t>
      </w:r>
      <w:r w:rsidR="00DF7365" w:rsidRPr="00E21C60">
        <w:rPr>
          <w:rFonts w:ascii="Arial" w:hAnsi="Arial" w:cs="Arial"/>
          <w:sz w:val="20"/>
          <w:szCs w:val="20"/>
        </w:rPr>
        <w:t>:</w:t>
      </w:r>
      <w:r w:rsidR="00930222" w:rsidRPr="00E21C60">
        <w:rPr>
          <w:rFonts w:ascii="Arial" w:hAnsi="Arial" w:cs="Arial"/>
          <w:sz w:val="20"/>
          <w:szCs w:val="20"/>
        </w:rPr>
        <w:t xml:space="preserve"> Prehľad o projektoch, v rámci ktorých boli evidované žiadosti o zmenu projektu</w:t>
      </w:r>
    </w:p>
    <w:tbl>
      <w:tblPr>
        <w:tblW w:w="9080" w:type="dxa"/>
        <w:tblInd w:w="55" w:type="dxa"/>
        <w:tblCellMar>
          <w:left w:w="70" w:type="dxa"/>
          <w:right w:w="70" w:type="dxa"/>
        </w:tblCellMar>
        <w:tblLook w:val="04A0" w:firstRow="1" w:lastRow="0" w:firstColumn="1" w:lastColumn="0" w:noHBand="0" w:noVBand="1"/>
      </w:tblPr>
      <w:tblGrid>
        <w:gridCol w:w="1160"/>
        <w:gridCol w:w="1980"/>
        <w:gridCol w:w="1980"/>
        <w:gridCol w:w="1980"/>
        <w:gridCol w:w="1980"/>
      </w:tblGrid>
      <w:tr w:rsidR="00825158" w:rsidRPr="00E21C60" w14:paraId="327DBEB6" w14:textId="77777777" w:rsidTr="00EE50CC">
        <w:trPr>
          <w:trHeight w:val="450"/>
        </w:trPr>
        <w:tc>
          <w:tcPr>
            <w:tcW w:w="116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0AF668F" w14:textId="77777777" w:rsidR="00825158" w:rsidRPr="00E21C60" w:rsidRDefault="00825158" w:rsidP="008A1902">
            <w:pPr>
              <w:keepNext/>
              <w:jc w:val="center"/>
              <w:rPr>
                <w:rFonts w:ascii="Arial" w:hAnsi="Arial" w:cs="Arial"/>
                <w:b/>
                <w:bCs/>
                <w:color w:val="000000"/>
                <w:sz w:val="16"/>
                <w:szCs w:val="16"/>
              </w:rPr>
            </w:pPr>
            <w:r w:rsidRPr="00E21C60">
              <w:rPr>
                <w:rFonts w:ascii="Arial" w:hAnsi="Arial" w:cs="Arial"/>
                <w:b/>
                <w:bCs/>
                <w:color w:val="000000"/>
                <w:sz w:val="16"/>
                <w:szCs w:val="16"/>
              </w:rPr>
              <w:t>Prioritná os</w:t>
            </w:r>
          </w:p>
        </w:tc>
        <w:tc>
          <w:tcPr>
            <w:tcW w:w="19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3FE593C" w14:textId="77777777" w:rsidR="00825158" w:rsidRPr="00E21C60" w:rsidRDefault="00825158" w:rsidP="008A1902">
            <w:pPr>
              <w:keepNext/>
              <w:jc w:val="center"/>
              <w:rPr>
                <w:rFonts w:ascii="Arial" w:hAnsi="Arial" w:cs="Arial"/>
                <w:b/>
                <w:bCs/>
                <w:color w:val="000000"/>
                <w:sz w:val="16"/>
                <w:szCs w:val="16"/>
              </w:rPr>
            </w:pPr>
            <w:r w:rsidRPr="00E21C60">
              <w:rPr>
                <w:rFonts w:ascii="Arial" w:hAnsi="Arial" w:cs="Arial"/>
                <w:b/>
                <w:bCs/>
                <w:color w:val="000000"/>
                <w:sz w:val="16"/>
                <w:szCs w:val="16"/>
              </w:rPr>
              <w:t>počet</w:t>
            </w:r>
            <w:r w:rsidRPr="00E21C60">
              <w:rPr>
                <w:rFonts w:ascii="Arial" w:hAnsi="Arial" w:cs="Arial"/>
                <w:b/>
                <w:bCs/>
                <w:color w:val="000000"/>
                <w:sz w:val="16"/>
                <w:szCs w:val="16"/>
              </w:rPr>
              <w:br/>
              <w:t>projektov</w:t>
            </w:r>
          </w:p>
        </w:tc>
        <w:tc>
          <w:tcPr>
            <w:tcW w:w="19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FB2321C" w14:textId="77777777" w:rsidR="00825158" w:rsidRPr="00E21C60" w:rsidRDefault="00825158" w:rsidP="008A1902">
            <w:pPr>
              <w:keepNext/>
              <w:jc w:val="center"/>
              <w:rPr>
                <w:rFonts w:ascii="Arial" w:hAnsi="Arial" w:cs="Arial"/>
                <w:b/>
                <w:bCs/>
                <w:color w:val="000000"/>
                <w:sz w:val="16"/>
                <w:szCs w:val="16"/>
              </w:rPr>
            </w:pPr>
            <w:r w:rsidRPr="00E21C60">
              <w:rPr>
                <w:rFonts w:ascii="Arial" w:hAnsi="Arial" w:cs="Arial"/>
                <w:b/>
                <w:bCs/>
                <w:color w:val="000000"/>
                <w:sz w:val="16"/>
                <w:szCs w:val="16"/>
              </w:rPr>
              <w:t>počet prijatých</w:t>
            </w:r>
          </w:p>
          <w:p w14:paraId="42391172" w14:textId="46D0B0F2" w:rsidR="00825158" w:rsidRPr="00E21C60" w:rsidRDefault="00825158" w:rsidP="008A1902">
            <w:pPr>
              <w:keepNext/>
              <w:jc w:val="center"/>
              <w:rPr>
                <w:rFonts w:ascii="Arial" w:hAnsi="Arial" w:cs="Arial"/>
                <w:b/>
                <w:bCs/>
                <w:color w:val="000000"/>
                <w:sz w:val="16"/>
                <w:szCs w:val="16"/>
              </w:rPr>
            </w:pPr>
            <w:r w:rsidRPr="00E21C60">
              <w:rPr>
                <w:rFonts w:ascii="Arial" w:hAnsi="Arial" w:cs="Arial"/>
                <w:b/>
                <w:bCs/>
                <w:color w:val="000000"/>
                <w:sz w:val="16"/>
                <w:szCs w:val="16"/>
              </w:rPr>
              <w:t>Žiadostí o</w:t>
            </w:r>
            <w:r w:rsidR="008C26EF">
              <w:rPr>
                <w:rFonts w:ascii="Arial" w:hAnsi="Arial" w:cs="Arial"/>
                <w:b/>
                <w:bCs/>
                <w:color w:val="000000"/>
                <w:sz w:val="16"/>
                <w:szCs w:val="16"/>
              </w:rPr>
              <w:t> </w:t>
            </w:r>
            <w:r w:rsidRPr="00E21C60">
              <w:rPr>
                <w:rFonts w:ascii="Arial" w:hAnsi="Arial" w:cs="Arial"/>
                <w:b/>
                <w:bCs/>
                <w:color w:val="000000"/>
                <w:sz w:val="16"/>
                <w:szCs w:val="16"/>
              </w:rPr>
              <w:t>zmenu</w:t>
            </w:r>
            <w:r w:rsidR="008C26EF">
              <w:rPr>
                <w:rFonts w:ascii="Arial" w:hAnsi="Arial" w:cs="Arial"/>
                <w:b/>
                <w:bCs/>
                <w:color w:val="000000"/>
                <w:sz w:val="16"/>
                <w:szCs w:val="16"/>
              </w:rPr>
              <w:t>*</w:t>
            </w:r>
          </w:p>
        </w:tc>
        <w:tc>
          <w:tcPr>
            <w:tcW w:w="19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25F21E0" w14:textId="77777777" w:rsidR="00825158" w:rsidRPr="00E21C60" w:rsidRDefault="00825158" w:rsidP="008A1902">
            <w:pPr>
              <w:keepNext/>
              <w:jc w:val="center"/>
              <w:rPr>
                <w:rFonts w:ascii="Arial" w:hAnsi="Arial" w:cs="Arial"/>
                <w:b/>
                <w:bCs/>
                <w:color w:val="000000"/>
                <w:sz w:val="16"/>
                <w:szCs w:val="16"/>
              </w:rPr>
            </w:pPr>
            <w:r w:rsidRPr="00E21C60">
              <w:rPr>
                <w:rFonts w:ascii="Arial" w:hAnsi="Arial" w:cs="Arial"/>
                <w:b/>
                <w:bCs/>
                <w:color w:val="000000"/>
                <w:sz w:val="16"/>
                <w:szCs w:val="16"/>
              </w:rPr>
              <w:t>počet</w:t>
            </w:r>
            <w:r w:rsidRPr="00E21C60">
              <w:rPr>
                <w:rFonts w:ascii="Arial" w:hAnsi="Arial" w:cs="Arial"/>
                <w:b/>
                <w:bCs/>
                <w:color w:val="000000"/>
                <w:sz w:val="16"/>
                <w:szCs w:val="16"/>
              </w:rPr>
              <w:br/>
              <w:t>časových zmien</w:t>
            </w:r>
          </w:p>
        </w:tc>
        <w:tc>
          <w:tcPr>
            <w:tcW w:w="19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6A35196" w14:textId="77777777" w:rsidR="00825158" w:rsidRPr="00E21C60" w:rsidRDefault="00825158" w:rsidP="008A1902">
            <w:pPr>
              <w:keepNext/>
              <w:jc w:val="center"/>
              <w:rPr>
                <w:rFonts w:ascii="Arial" w:hAnsi="Arial" w:cs="Arial"/>
                <w:b/>
                <w:bCs/>
                <w:color w:val="000000"/>
                <w:sz w:val="16"/>
                <w:szCs w:val="16"/>
              </w:rPr>
            </w:pPr>
            <w:r w:rsidRPr="00E21C60">
              <w:rPr>
                <w:rFonts w:ascii="Arial" w:hAnsi="Arial" w:cs="Arial"/>
                <w:b/>
                <w:bCs/>
                <w:color w:val="000000"/>
                <w:sz w:val="16"/>
                <w:szCs w:val="16"/>
              </w:rPr>
              <w:t>počet</w:t>
            </w:r>
            <w:r w:rsidRPr="00E21C60">
              <w:rPr>
                <w:rFonts w:ascii="Arial" w:hAnsi="Arial" w:cs="Arial"/>
                <w:b/>
                <w:bCs/>
                <w:color w:val="000000"/>
                <w:sz w:val="16"/>
                <w:szCs w:val="16"/>
              </w:rPr>
              <w:br/>
              <w:t>technických zmien</w:t>
            </w:r>
          </w:p>
        </w:tc>
      </w:tr>
      <w:tr w:rsidR="00C35EFF" w:rsidRPr="00E21C60" w14:paraId="2082B425" w14:textId="77777777" w:rsidTr="00EA70A8">
        <w:trPr>
          <w:trHeight w:val="300"/>
        </w:trPr>
        <w:tc>
          <w:tcPr>
            <w:tcW w:w="1160" w:type="dxa"/>
            <w:tcBorders>
              <w:top w:val="nil"/>
              <w:left w:val="single" w:sz="4" w:space="0" w:color="auto"/>
              <w:bottom w:val="single" w:sz="4" w:space="0" w:color="auto"/>
              <w:right w:val="single" w:sz="4" w:space="0" w:color="auto"/>
            </w:tcBorders>
            <w:shd w:val="clear" w:color="000000" w:fill="EAF1DD"/>
            <w:vAlign w:val="center"/>
            <w:hideMark/>
          </w:tcPr>
          <w:p w14:paraId="1D0A1014" w14:textId="77777777" w:rsidR="00C35EFF" w:rsidRPr="002526CC" w:rsidRDefault="00C35EFF" w:rsidP="00C35EFF">
            <w:pPr>
              <w:keepNext/>
              <w:jc w:val="center"/>
              <w:rPr>
                <w:rFonts w:ascii="Arial" w:hAnsi="Arial" w:cs="Arial"/>
                <w:b/>
                <w:bCs/>
                <w:color w:val="000000"/>
                <w:sz w:val="16"/>
                <w:szCs w:val="16"/>
              </w:rPr>
            </w:pPr>
            <w:r w:rsidRPr="002526CC">
              <w:rPr>
                <w:rFonts w:ascii="Arial" w:hAnsi="Arial" w:cs="Arial"/>
                <w:b/>
                <w:bCs/>
                <w:color w:val="000000"/>
                <w:sz w:val="16"/>
                <w:szCs w:val="16"/>
              </w:rPr>
              <w:t>PO 1</w:t>
            </w:r>
          </w:p>
        </w:tc>
        <w:tc>
          <w:tcPr>
            <w:tcW w:w="1980" w:type="dxa"/>
            <w:tcBorders>
              <w:top w:val="nil"/>
              <w:left w:val="nil"/>
              <w:bottom w:val="single" w:sz="4" w:space="0" w:color="auto"/>
              <w:right w:val="single" w:sz="4" w:space="0" w:color="auto"/>
            </w:tcBorders>
            <w:shd w:val="clear" w:color="auto" w:fill="auto"/>
            <w:vAlign w:val="center"/>
            <w:hideMark/>
          </w:tcPr>
          <w:p w14:paraId="26179F71" w14:textId="4F210E80"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204</w:t>
            </w:r>
          </w:p>
        </w:tc>
        <w:tc>
          <w:tcPr>
            <w:tcW w:w="1980" w:type="dxa"/>
            <w:tcBorders>
              <w:top w:val="nil"/>
              <w:left w:val="nil"/>
              <w:bottom w:val="single" w:sz="4" w:space="0" w:color="auto"/>
              <w:right w:val="single" w:sz="4" w:space="0" w:color="auto"/>
            </w:tcBorders>
            <w:shd w:val="clear" w:color="auto" w:fill="auto"/>
            <w:vAlign w:val="center"/>
            <w:hideMark/>
          </w:tcPr>
          <w:p w14:paraId="734C7329" w14:textId="4236357E"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347</w:t>
            </w:r>
          </w:p>
        </w:tc>
        <w:tc>
          <w:tcPr>
            <w:tcW w:w="1980" w:type="dxa"/>
            <w:tcBorders>
              <w:top w:val="nil"/>
              <w:left w:val="nil"/>
              <w:bottom w:val="single" w:sz="4" w:space="0" w:color="auto"/>
              <w:right w:val="single" w:sz="4" w:space="0" w:color="auto"/>
            </w:tcBorders>
            <w:shd w:val="clear" w:color="auto" w:fill="auto"/>
            <w:vAlign w:val="center"/>
            <w:hideMark/>
          </w:tcPr>
          <w:p w14:paraId="56EAE62D" w14:textId="34AEF951"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229</w:t>
            </w:r>
          </w:p>
        </w:tc>
        <w:tc>
          <w:tcPr>
            <w:tcW w:w="1980" w:type="dxa"/>
            <w:tcBorders>
              <w:top w:val="nil"/>
              <w:left w:val="nil"/>
              <w:bottom w:val="single" w:sz="4" w:space="0" w:color="auto"/>
              <w:right w:val="single" w:sz="4" w:space="0" w:color="auto"/>
            </w:tcBorders>
            <w:shd w:val="clear" w:color="auto" w:fill="auto"/>
            <w:noWrap/>
            <w:vAlign w:val="center"/>
            <w:hideMark/>
          </w:tcPr>
          <w:p w14:paraId="0C8D36F9" w14:textId="379F6A66"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137</w:t>
            </w:r>
          </w:p>
        </w:tc>
      </w:tr>
      <w:tr w:rsidR="00C35EFF" w:rsidRPr="00E21C60" w14:paraId="544AD802" w14:textId="77777777" w:rsidTr="00EA70A8">
        <w:trPr>
          <w:trHeight w:val="300"/>
        </w:trPr>
        <w:tc>
          <w:tcPr>
            <w:tcW w:w="1160" w:type="dxa"/>
            <w:tcBorders>
              <w:top w:val="nil"/>
              <w:left w:val="single" w:sz="4" w:space="0" w:color="auto"/>
              <w:bottom w:val="single" w:sz="4" w:space="0" w:color="auto"/>
              <w:right w:val="single" w:sz="4" w:space="0" w:color="auto"/>
            </w:tcBorders>
            <w:shd w:val="clear" w:color="000000" w:fill="EAF1DD"/>
            <w:vAlign w:val="center"/>
            <w:hideMark/>
          </w:tcPr>
          <w:p w14:paraId="5145A012" w14:textId="77777777" w:rsidR="00C35EFF" w:rsidRPr="002526CC" w:rsidRDefault="00C35EFF" w:rsidP="00C35EFF">
            <w:pPr>
              <w:keepNext/>
              <w:jc w:val="center"/>
              <w:rPr>
                <w:rFonts w:ascii="Arial" w:hAnsi="Arial" w:cs="Arial"/>
                <w:b/>
                <w:bCs/>
                <w:color w:val="000000"/>
                <w:sz w:val="16"/>
                <w:szCs w:val="16"/>
              </w:rPr>
            </w:pPr>
            <w:r w:rsidRPr="002526CC">
              <w:rPr>
                <w:rFonts w:ascii="Arial" w:hAnsi="Arial" w:cs="Arial"/>
                <w:b/>
                <w:bCs/>
                <w:color w:val="000000"/>
                <w:sz w:val="16"/>
                <w:szCs w:val="16"/>
              </w:rPr>
              <w:t>PO 2</w:t>
            </w:r>
          </w:p>
        </w:tc>
        <w:tc>
          <w:tcPr>
            <w:tcW w:w="1980" w:type="dxa"/>
            <w:tcBorders>
              <w:top w:val="nil"/>
              <w:left w:val="nil"/>
              <w:bottom w:val="single" w:sz="4" w:space="0" w:color="auto"/>
              <w:right w:val="single" w:sz="4" w:space="0" w:color="auto"/>
            </w:tcBorders>
            <w:shd w:val="clear" w:color="auto" w:fill="auto"/>
            <w:vAlign w:val="center"/>
            <w:hideMark/>
          </w:tcPr>
          <w:p w14:paraId="771AA7F4" w14:textId="79C199F3"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138</w:t>
            </w:r>
          </w:p>
        </w:tc>
        <w:tc>
          <w:tcPr>
            <w:tcW w:w="1980" w:type="dxa"/>
            <w:tcBorders>
              <w:top w:val="nil"/>
              <w:left w:val="nil"/>
              <w:bottom w:val="single" w:sz="4" w:space="0" w:color="auto"/>
              <w:right w:val="single" w:sz="4" w:space="0" w:color="auto"/>
            </w:tcBorders>
            <w:shd w:val="clear" w:color="auto" w:fill="auto"/>
            <w:vAlign w:val="center"/>
            <w:hideMark/>
          </w:tcPr>
          <w:p w14:paraId="54AA3E8A" w14:textId="133C09BF"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194</w:t>
            </w:r>
          </w:p>
        </w:tc>
        <w:tc>
          <w:tcPr>
            <w:tcW w:w="1980" w:type="dxa"/>
            <w:tcBorders>
              <w:top w:val="nil"/>
              <w:left w:val="nil"/>
              <w:bottom w:val="single" w:sz="4" w:space="0" w:color="auto"/>
              <w:right w:val="single" w:sz="4" w:space="0" w:color="auto"/>
            </w:tcBorders>
            <w:shd w:val="clear" w:color="auto" w:fill="auto"/>
            <w:vAlign w:val="center"/>
            <w:hideMark/>
          </w:tcPr>
          <w:p w14:paraId="222E1A90" w14:textId="014EB1A4"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136</w:t>
            </w:r>
          </w:p>
        </w:tc>
        <w:tc>
          <w:tcPr>
            <w:tcW w:w="1980" w:type="dxa"/>
            <w:tcBorders>
              <w:top w:val="nil"/>
              <w:left w:val="nil"/>
              <w:bottom w:val="single" w:sz="4" w:space="0" w:color="auto"/>
              <w:right w:val="single" w:sz="4" w:space="0" w:color="auto"/>
            </w:tcBorders>
            <w:shd w:val="clear" w:color="auto" w:fill="auto"/>
            <w:noWrap/>
            <w:vAlign w:val="center"/>
            <w:hideMark/>
          </w:tcPr>
          <w:p w14:paraId="5DBDC567" w14:textId="43019E78"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59</w:t>
            </w:r>
          </w:p>
        </w:tc>
      </w:tr>
      <w:tr w:rsidR="00C35EFF" w:rsidRPr="00E21C60" w14:paraId="24E047D7" w14:textId="77777777" w:rsidTr="00EA70A8">
        <w:trPr>
          <w:trHeight w:val="300"/>
        </w:trPr>
        <w:tc>
          <w:tcPr>
            <w:tcW w:w="1160" w:type="dxa"/>
            <w:tcBorders>
              <w:top w:val="nil"/>
              <w:left w:val="single" w:sz="4" w:space="0" w:color="auto"/>
              <w:bottom w:val="single" w:sz="4" w:space="0" w:color="auto"/>
              <w:right w:val="single" w:sz="4" w:space="0" w:color="auto"/>
            </w:tcBorders>
            <w:shd w:val="clear" w:color="000000" w:fill="EAF1DD"/>
            <w:vAlign w:val="center"/>
            <w:hideMark/>
          </w:tcPr>
          <w:p w14:paraId="564DAB87" w14:textId="77777777" w:rsidR="00C35EFF" w:rsidRPr="002526CC" w:rsidRDefault="00C35EFF" w:rsidP="00C35EFF">
            <w:pPr>
              <w:jc w:val="center"/>
              <w:rPr>
                <w:rFonts w:ascii="Arial" w:hAnsi="Arial" w:cs="Arial"/>
                <w:b/>
                <w:bCs/>
                <w:color w:val="000000"/>
                <w:sz w:val="16"/>
                <w:szCs w:val="16"/>
              </w:rPr>
            </w:pPr>
            <w:r w:rsidRPr="002526CC">
              <w:rPr>
                <w:rFonts w:ascii="Arial" w:hAnsi="Arial" w:cs="Arial"/>
                <w:b/>
                <w:bCs/>
                <w:color w:val="000000"/>
                <w:sz w:val="16"/>
                <w:szCs w:val="16"/>
              </w:rPr>
              <w:t>PO 3</w:t>
            </w:r>
          </w:p>
        </w:tc>
        <w:tc>
          <w:tcPr>
            <w:tcW w:w="1980" w:type="dxa"/>
            <w:tcBorders>
              <w:top w:val="nil"/>
              <w:left w:val="nil"/>
              <w:bottom w:val="single" w:sz="4" w:space="0" w:color="auto"/>
              <w:right w:val="single" w:sz="4" w:space="0" w:color="auto"/>
            </w:tcBorders>
            <w:shd w:val="clear" w:color="auto" w:fill="auto"/>
            <w:vAlign w:val="center"/>
            <w:hideMark/>
          </w:tcPr>
          <w:p w14:paraId="7CBA3BF9" w14:textId="30293CC9"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146</w:t>
            </w:r>
          </w:p>
        </w:tc>
        <w:tc>
          <w:tcPr>
            <w:tcW w:w="1980" w:type="dxa"/>
            <w:tcBorders>
              <w:top w:val="nil"/>
              <w:left w:val="nil"/>
              <w:bottom w:val="single" w:sz="4" w:space="0" w:color="auto"/>
              <w:right w:val="single" w:sz="4" w:space="0" w:color="auto"/>
            </w:tcBorders>
            <w:shd w:val="clear" w:color="auto" w:fill="auto"/>
            <w:vAlign w:val="center"/>
            <w:hideMark/>
          </w:tcPr>
          <w:p w14:paraId="0F9BA8CF" w14:textId="390DAC22"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217</w:t>
            </w:r>
          </w:p>
        </w:tc>
        <w:tc>
          <w:tcPr>
            <w:tcW w:w="1980" w:type="dxa"/>
            <w:tcBorders>
              <w:top w:val="nil"/>
              <w:left w:val="nil"/>
              <w:bottom w:val="single" w:sz="4" w:space="0" w:color="auto"/>
              <w:right w:val="single" w:sz="4" w:space="0" w:color="auto"/>
            </w:tcBorders>
            <w:shd w:val="clear" w:color="auto" w:fill="auto"/>
            <w:vAlign w:val="center"/>
            <w:hideMark/>
          </w:tcPr>
          <w:p w14:paraId="61A7CFA9" w14:textId="5C916845"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157</w:t>
            </w:r>
          </w:p>
        </w:tc>
        <w:tc>
          <w:tcPr>
            <w:tcW w:w="1980" w:type="dxa"/>
            <w:tcBorders>
              <w:top w:val="nil"/>
              <w:left w:val="nil"/>
              <w:bottom w:val="single" w:sz="4" w:space="0" w:color="auto"/>
              <w:right w:val="single" w:sz="4" w:space="0" w:color="auto"/>
            </w:tcBorders>
            <w:shd w:val="clear" w:color="auto" w:fill="auto"/>
            <w:noWrap/>
            <w:vAlign w:val="center"/>
            <w:hideMark/>
          </w:tcPr>
          <w:p w14:paraId="7DD664A7" w14:textId="515A09B0"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66</w:t>
            </w:r>
          </w:p>
        </w:tc>
      </w:tr>
      <w:tr w:rsidR="00C35EFF" w:rsidRPr="00E21C60" w14:paraId="233BB3B3" w14:textId="77777777" w:rsidTr="00EA70A8">
        <w:trPr>
          <w:trHeight w:val="300"/>
        </w:trPr>
        <w:tc>
          <w:tcPr>
            <w:tcW w:w="1160" w:type="dxa"/>
            <w:tcBorders>
              <w:top w:val="nil"/>
              <w:left w:val="single" w:sz="4" w:space="0" w:color="auto"/>
              <w:bottom w:val="single" w:sz="4" w:space="0" w:color="auto"/>
              <w:right w:val="single" w:sz="4" w:space="0" w:color="auto"/>
            </w:tcBorders>
            <w:shd w:val="clear" w:color="000000" w:fill="EAF1DD"/>
            <w:vAlign w:val="center"/>
            <w:hideMark/>
          </w:tcPr>
          <w:p w14:paraId="4B30CF9B" w14:textId="77777777" w:rsidR="00C35EFF" w:rsidRPr="002526CC" w:rsidRDefault="00C35EFF" w:rsidP="00C35EFF">
            <w:pPr>
              <w:jc w:val="center"/>
              <w:rPr>
                <w:rFonts w:ascii="Arial" w:hAnsi="Arial" w:cs="Arial"/>
                <w:b/>
                <w:bCs/>
                <w:color w:val="000000"/>
                <w:sz w:val="16"/>
                <w:szCs w:val="16"/>
              </w:rPr>
            </w:pPr>
            <w:r w:rsidRPr="002526CC">
              <w:rPr>
                <w:rFonts w:ascii="Arial" w:hAnsi="Arial" w:cs="Arial"/>
                <w:b/>
                <w:bCs/>
                <w:color w:val="000000"/>
                <w:sz w:val="16"/>
                <w:szCs w:val="16"/>
              </w:rPr>
              <w:t>PO 4</w:t>
            </w:r>
          </w:p>
        </w:tc>
        <w:tc>
          <w:tcPr>
            <w:tcW w:w="1980" w:type="dxa"/>
            <w:tcBorders>
              <w:top w:val="nil"/>
              <w:left w:val="nil"/>
              <w:bottom w:val="single" w:sz="4" w:space="0" w:color="auto"/>
              <w:right w:val="single" w:sz="4" w:space="0" w:color="auto"/>
            </w:tcBorders>
            <w:shd w:val="clear" w:color="auto" w:fill="auto"/>
            <w:vAlign w:val="center"/>
            <w:hideMark/>
          </w:tcPr>
          <w:p w14:paraId="2A99589C" w14:textId="063290FD"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310</w:t>
            </w:r>
          </w:p>
        </w:tc>
        <w:tc>
          <w:tcPr>
            <w:tcW w:w="1980" w:type="dxa"/>
            <w:tcBorders>
              <w:top w:val="nil"/>
              <w:left w:val="nil"/>
              <w:bottom w:val="single" w:sz="4" w:space="0" w:color="auto"/>
              <w:right w:val="single" w:sz="4" w:space="0" w:color="auto"/>
            </w:tcBorders>
            <w:shd w:val="clear" w:color="auto" w:fill="auto"/>
            <w:noWrap/>
            <w:vAlign w:val="center"/>
            <w:hideMark/>
          </w:tcPr>
          <w:p w14:paraId="57E91058" w14:textId="5CF0EA8A"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687</w:t>
            </w:r>
          </w:p>
        </w:tc>
        <w:tc>
          <w:tcPr>
            <w:tcW w:w="1980" w:type="dxa"/>
            <w:tcBorders>
              <w:top w:val="nil"/>
              <w:left w:val="nil"/>
              <w:bottom w:val="single" w:sz="4" w:space="0" w:color="auto"/>
              <w:right w:val="single" w:sz="4" w:space="0" w:color="auto"/>
            </w:tcBorders>
            <w:shd w:val="clear" w:color="auto" w:fill="auto"/>
            <w:noWrap/>
            <w:vAlign w:val="center"/>
            <w:hideMark/>
          </w:tcPr>
          <w:p w14:paraId="2324D83D" w14:textId="2162858E"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496</w:t>
            </w:r>
          </w:p>
        </w:tc>
        <w:tc>
          <w:tcPr>
            <w:tcW w:w="1980" w:type="dxa"/>
            <w:tcBorders>
              <w:top w:val="nil"/>
              <w:left w:val="nil"/>
              <w:bottom w:val="single" w:sz="4" w:space="0" w:color="auto"/>
              <w:right w:val="single" w:sz="4" w:space="0" w:color="auto"/>
            </w:tcBorders>
            <w:shd w:val="clear" w:color="auto" w:fill="auto"/>
            <w:noWrap/>
            <w:vAlign w:val="center"/>
            <w:hideMark/>
          </w:tcPr>
          <w:p w14:paraId="57884E96" w14:textId="5BAA4EC2"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246</w:t>
            </w:r>
          </w:p>
        </w:tc>
      </w:tr>
      <w:tr w:rsidR="00C35EFF" w:rsidRPr="00E21C60" w14:paraId="6A568DDA" w14:textId="77777777" w:rsidTr="00EA70A8">
        <w:trPr>
          <w:trHeight w:val="300"/>
        </w:trPr>
        <w:tc>
          <w:tcPr>
            <w:tcW w:w="1160" w:type="dxa"/>
            <w:tcBorders>
              <w:top w:val="nil"/>
              <w:left w:val="single" w:sz="4" w:space="0" w:color="auto"/>
              <w:bottom w:val="single" w:sz="4" w:space="0" w:color="auto"/>
              <w:right w:val="single" w:sz="4" w:space="0" w:color="auto"/>
            </w:tcBorders>
            <w:shd w:val="clear" w:color="000000" w:fill="EAF1DD"/>
            <w:noWrap/>
            <w:vAlign w:val="center"/>
            <w:hideMark/>
          </w:tcPr>
          <w:p w14:paraId="4469A063" w14:textId="77777777" w:rsidR="00C35EFF" w:rsidRPr="002526CC" w:rsidRDefault="00C35EFF" w:rsidP="00C35EFF">
            <w:pPr>
              <w:jc w:val="center"/>
              <w:rPr>
                <w:rFonts w:ascii="Arial" w:hAnsi="Arial" w:cs="Arial"/>
                <w:b/>
                <w:bCs/>
                <w:color w:val="000000"/>
                <w:sz w:val="16"/>
                <w:szCs w:val="16"/>
              </w:rPr>
            </w:pPr>
            <w:r w:rsidRPr="002526CC">
              <w:rPr>
                <w:rFonts w:ascii="Arial" w:hAnsi="Arial" w:cs="Arial"/>
                <w:b/>
                <w:bCs/>
                <w:color w:val="000000"/>
                <w:sz w:val="16"/>
                <w:szCs w:val="16"/>
              </w:rPr>
              <w:t>PO 5</w:t>
            </w:r>
          </w:p>
        </w:tc>
        <w:tc>
          <w:tcPr>
            <w:tcW w:w="1980" w:type="dxa"/>
            <w:tcBorders>
              <w:top w:val="nil"/>
              <w:left w:val="nil"/>
              <w:bottom w:val="single" w:sz="4" w:space="0" w:color="auto"/>
              <w:right w:val="single" w:sz="4" w:space="0" w:color="auto"/>
            </w:tcBorders>
            <w:shd w:val="clear" w:color="auto" w:fill="auto"/>
            <w:noWrap/>
            <w:vAlign w:val="center"/>
            <w:hideMark/>
          </w:tcPr>
          <w:p w14:paraId="233ABEF2" w14:textId="2F9C4ED4"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46</w:t>
            </w:r>
          </w:p>
        </w:tc>
        <w:tc>
          <w:tcPr>
            <w:tcW w:w="1980" w:type="dxa"/>
            <w:tcBorders>
              <w:top w:val="nil"/>
              <w:left w:val="nil"/>
              <w:bottom w:val="single" w:sz="4" w:space="0" w:color="auto"/>
              <w:right w:val="single" w:sz="4" w:space="0" w:color="auto"/>
            </w:tcBorders>
            <w:shd w:val="clear" w:color="auto" w:fill="auto"/>
            <w:noWrap/>
            <w:vAlign w:val="center"/>
            <w:hideMark/>
          </w:tcPr>
          <w:p w14:paraId="1FBC209C" w14:textId="1A88F981"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180</w:t>
            </w:r>
          </w:p>
        </w:tc>
        <w:tc>
          <w:tcPr>
            <w:tcW w:w="1980" w:type="dxa"/>
            <w:tcBorders>
              <w:top w:val="nil"/>
              <w:left w:val="nil"/>
              <w:bottom w:val="single" w:sz="4" w:space="0" w:color="auto"/>
              <w:right w:val="single" w:sz="4" w:space="0" w:color="auto"/>
            </w:tcBorders>
            <w:shd w:val="clear" w:color="auto" w:fill="auto"/>
            <w:noWrap/>
            <w:vAlign w:val="center"/>
            <w:hideMark/>
          </w:tcPr>
          <w:p w14:paraId="0F3BBA38" w14:textId="13D87F37"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103</w:t>
            </w:r>
          </w:p>
        </w:tc>
        <w:tc>
          <w:tcPr>
            <w:tcW w:w="1980" w:type="dxa"/>
            <w:tcBorders>
              <w:top w:val="nil"/>
              <w:left w:val="nil"/>
              <w:bottom w:val="single" w:sz="4" w:space="0" w:color="auto"/>
              <w:right w:val="single" w:sz="4" w:space="0" w:color="auto"/>
            </w:tcBorders>
            <w:shd w:val="clear" w:color="auto" w:fill="auto"/>
            <w:noWrap/>
            <w:vAlign w:val="center"/>
            <w:hideMark/>
          </w:tcPr>
          <w:p w14:paraId="0163BD01" w14:textId="7395210B"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79</w:t>
            </w:r>
          </w:p>
        </w:tc>
      </w:tr>
      <w:tr w:rsidR="00C35EFF" w:rsidRPr="00E21C60" w14:paraId="49528D67" w14:textId="77777777" w:rsidTr="00EA70A8">
        <w:trPr>
          <w:trHeight w:val="300"/>
        </w:trPr>
        <w:tc>
          <w:tcPr>
            <w:tcW w:w="1160" w:type="dxa"/>
            <w:tcBorders>
              <w:top w:val="nil"/>
              <w:left w:val="single" w:sz="4" w:space="0" w:color="auto"/>
              <w:bottom w:val="single" w:sz="4" w:space="0" w:color="auto"/>
              <w:right w:val="single" w:sz="4" w:space="0" w:color="auto"/>
            </w:tcBorders>
            <w:shd w:val="clear" w:color="000000" w:fill="EAF1DD"/>
            <w:noWrap/>
            <w:vAlign w:val="center"/>
            <w:hideMark/>
          </w:tcPr>
          <w:p w14:paraId="158CD0C5" w14:textId="77777777" w:rsidR="00C35EFF" w:rsidRPr="002526CC" w:rsidRDefault="00C35EFF" w:rsidP="00C35EFF">
            <w:pPr>
              <w:jc w:val="center"/>
              <w:rPr>
                <w:rFonts w:ascii="Arial" w:hAnsi="Arial" w:cs="Arial"/>
                <w:b/>
                <w:bCs/>
                <w:color w:val="000000"/>
                <w:sz w:val="16"/>
                <w:szCs w:val="16"/>
              </w:rPr>
            </w:pPr>
            <w:r w:rsidRPr="002526CC">
              <w:rPr>
                <w:rFonts w:ascii="Arial" w:hAnsi="Arial" w:cs="Arial"/>
                <w:b/>
                <w:bCs/>
                <w:color w:val="000000"/>
                <w:sz w:val="16"/>
                <w:szCs w:val="16"/>
              </w:rPr>
              <w:t>PO 6</w:t>
            </w:r>
          </w:p>
        </w:tc>
        <w:tc>
          <w:tcPr>
            <w:tcW w:w="1980" w:type="dxa"/>
            <w:tcBorders>
              <w:top w:val="nil"/>
              <w:left w:val="nil"/>
              <w:bottom w:val="single" w:sz="4" w:space="0" w:color="auto"/>
              <w:right w:val="single" w:sz="4" w:space="0" w:color="auto"/>
            </w:tcBorders>
            <w:shd w:val="clear" w:color="auto" w:fill="auto"/>
            <w:noWrap/>
            <w:vAlign w:val="center"/>
            <w:hideMark/>
          </w:tcPr>
          <w:p w14:paraId="5631DC13" w14:textId="3B218873"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39</w:t>
            </w:r>
          </w:p>
        </w:tc>
        <w:tc>
          <w:tcPr>
            <w:tcW w:w="1980" w:type="dxa"/>
            <w:tcBorders>
              <w:top w:val="nil"/>
              <w:left w:val="nil"/>
              <w:bottom w:val="single" w:sz="4" w:space="0" w:color="auto"/>
              <w:right w:val="single" w:sz="4" w:space="0" w:color="auto"/>
            </w:tcBorders>
            <w:shd w:val="clear" w:color="auto" w:fill="auto"/>
            <w:noWrap/>
            <w:vAlign w:val="center"/>
            <w:hideMark/>
          </w:tcPr>
          <w:p w14:paraId="51D49BD2" w14:textId="107C7B86"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29</w:t>
            </w:r>
          </w:p>
        </w:tc>
        <w:tc>
          <w:tcPr>
            <w:tcW w:w="1980" w:type="dxa"/>
            <w:tcBorders>
              <w:top w:val="nil"/>
              <w:left w:val="nil"/>
              <w:bottom w:val="single" w:sz="4" w:space="0" w:color="auto"/>
              <w:right w:val="single" w:sz="4" w:space="0" w:color="auto"/>
            </w:tcBorders>
            <w:shd w:val="clear" w:color="auto" w:fill="auto"/>
            <w:noWrap/>
            <w:vAlign w:val="center"/>
            <w:hideMark/>
          </w:tcPr>
          <w:p w14:paraId="646A95BD" w14:textId="129B6BB2"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11</w:t>
            </w:r>
          </w:p>
        </w:tc>
        <w:tc>
          <w:tcPr>
            <w:tcW w:w="1980" w:type="dxa"/>
            <w:tcBorders>
              <w:top w:val="nil"/>
              <w:left w:val="nil"/>
              <w:bottom w:val="single" w:sz="4" w:space="0" w:color="auto"/>
              <w:right w:val="single" w:sz="4" w:space="0" w:color="auto"/>
            </w:tcBorders>
            <w:shd w:val="clear" w:color="auto" w:fill="auto"/>
            <w:noWrap/>
            <w:vAlign w:val="center"/>
            <w:hideMark/>
          </w:tcPr>
          <w:p w14:paraId="67FF5451" w14:textId="6F7F3EFD"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22</w:t>
            </w:r>
          </w:p>
        </w:tc>
      </w:tr>
      <w:tr w:rsidR="00C35EFF" w:rsidRPr="00E21C60" w14:paraId="1CAAD11D" w14:textId="77777777" w:rsidTr="00EA70A8">
        <w:trPr>
          <w:trHeight w:val="300"/>
        </w:trPr>
        <w:tc>
          <w:tcPr>
            <w:tcW w:w="1160" w:type="dxa"/>
            <w:tcBorders>
              <w:top w:val="nil"/>
              <w:left w:val="single" w:sz="4" w:space="0" w:color="auto"/>
              <w:bottom w:val="single" w:sz="4" w:space="0" w:color="auto"/>
              <w:right w:val="single" w:sz="4" w:space="0" w:color="auto"/>
            </w:tcBorders>
            <w:shd w:val="clear" w:color="000000" w:fill="EAF1DD"/>
            <w:noWrap/>
            <w:vAlign w:val="center"/>
            <w:hideMark/>
          </w:tcPr>
          <w:p w14:paraId="7F078A6C" w14:textId="77777777" w:rsidR="00C35EFF" w:rsidRPr="002526CC" w:rsidRDefault="00C35EFF" w:rsidP="00C35EFF">
            <w:pPr>
              <w:jc w:val="center"/>
              <w:rPr>
                <w:rFonts w:ascii="Arial" w:hAnsi="Arial" w:cs="Arial"/>
                <w:b/>
                <w:bCs/>
                <w:color w:val="000000"/>
                <w:sz w:val="16"/>
                <w:szCs w:val="16"/>
              </w:rPr>
            </w:pPr>
            <w:r w:rsidRPr="002526CC">
              <w:rPr>
                <w:rFonts w:ascii="Arial" w:hAnsi="Arial" w:cs="Arial"/>
                <w:b/>
                <w:bCs/>
                <w:color w:val="000000"/>
                <w:sz w:val="16"/>
                <w:szCs w:val="16"/>
              </w:rPr>
              <w:t>PO 7</w:t>
            </w:r>
          </w:p>
        </w:tc>
        <w:tc>
          <w:tcPr>
            <w:tcW w:w="1980" w:type="dxa"/>
            <w:tcBorders>
              <w:top w:val="nil"/>
              <w:left w:val="nil"/>
              <w:bottom w:val="single" w:sz="4" w:space="0" w:color="auto"/>
              <w:right w:val="single" w:sz="4" w:space="0" w:color="auto"/>
            </w:tcBorders>
            <w:shd w:val="clear" w:color="auto" w:fill="auto"/>
            <w:noWrap/>
            <w:vAlign w:val="center"/>
            <w:hideMark/>
          </w:tcPr>
          <w:p w14:paraId="5F56418D" w14:textId="7FA05A01"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w:t>
            </w:r>
          </w:p>
        </w:tc>
        <w:tc>
          <w:tcPr>
            <w:tcW w:w="1980" w:type="dxa"/>
            <w:tcBorders>
              <w:top w:val="nil"/>
              <w:left w:val="nil"/>
              <w:bottom w:val="single" w:sz="4" w:space="0" w:color="auto"/>
              <w:right w:val="single" w:sz="4" w:space="0" w:color="auto"/>
            </w:tcBorders>
            <w:shd w:val="clear" w:color="auto" w:fill="auto"/>
            <w:noWrap/>
            <w:vAlign w:val="center"/>
            <w:hideMark/>
          </w:tcPr>
          <w:p w14:paraId="0B1DA2DB" w14:textId="45A9E05C"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2</w:t>
            </w:r>
          </w:p>
        </w:tc>
        <w:tc>
          <w:tcPr>
            <w:tcW w:w="1980" w:type="dxa"/>
            <w:tcBorders>
              <w:top w:val="nil"/>
              <w:left w:val="nil"/>
              <w:bottom w:val="single" w:sz="4" w:space="0" w:color="auto"/>
              <w:right w:val="single" w:sz="4" w:space="0" w:color="auto"/>
            </w:tcBorders>
            <w:shd w:val="clear" w:color="auto" w:fill="auto"/>
            <w:noWrap/>
            <w:vAlign w:val="center"/>
            <w:hideMark/>
          </w:tcPr>
          <w:p w14:paraId="0AFD5CDD" w14:textId="2110F6FA"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w:t>
            </w:r>
          </w:p>
        </w:tc>
        <w:tc>
          <w:tcPr>
            <w:tcW w:w="1980" w:type="dxa"/>
            <w:tcBorders>
              <w:top w:val="nil"/>
              <w:left w:val="nil"/>
              <w:bottom w:val="single" w:sz="4" w:space="0" w:color="auto"/>
              <w:right w:val="single" w:sz="4" w:space="0" w:color="auto"/>
            </w:tcBorders>
            <w:shd w:val="clear" w:color="auto" w:fill="auto"/>
            <w:noWrap/>
            <w:vAlign w:val="center"/>
            <w:hideMark/>
          </w:tcPr>
          <w:p w14:paraId="34E051B1" w14:textId="22DF8839" w:rsidR="00C35EFF" w:rsidRPr="00F87D11" w:rsidRDefault="00C35EFF" w:rsidP="00EA70A8">
            <w:pPr>
              <w:keepNext/>
              <w:jc w:val="center"/>
              <w:rPr>
                <w:rFonts w:ascii="Arial Narrow" w:hAnsi="Arial Narrow"/>
                <w:sz w:val="18"/>
                <w:szCs w:val="18"/>
              </w:rPr>
            </w:pPr>
            <w:r w:rsidRPr="00F87D11">
              <w:rPr>
                <w:rFonts w:ascii="Arial Narrow" w:hAnsi="Arial Narrow"/>
                <w:sz w:val="18"/>
                <w:szCs w:val="18"/>
              </w:rPr>
              <w:t>1</w:t>
            </w:r>
          </w:p>
        </w:tc>
      </w:tr>
    </w:tbl>
    <w:p w14:paraId="602508E5" w14:textId="77777777" w:rsidR="002416B1" w:rsidRDefault="002416B1" w:rsidP="00123376">
      <w:pPr>
        <w:jc w:val="both"/>
        <w:rPr>
          <w:rFonts w:ascii="Arial" w:hAnsi="Arial" w:cs="Arial"/>
          <w:sz w:val="16"/>
          <w:szCs w:val="16"/>
        </w:rPr>
      </w:pPr>
      <w:r w:rsidRPr="00123376">
        <w:rPr>
          <w:rFonts w:ascii="Arial" w:hAnsi="Arial" w:cs="Arial"/>
          <w:sz w:val="16"/>
          <w:szCs w:val="16"/>
        </w:rPr>
        <w:t>Zdroj: RO</w:t>
      </w:r>
    </w:p>
    <w:p w14:paraId="2B98FDA0" w14:textId="67B2DB26" w:rsidR="008C26EF" w:rsidRPr="00123376" w:rsidRDefault="008C26EF" w:rsidP="00123376">
      <w:pPr>
        <w:jc w:val="both"/>
        <w:rPr>
          <w:rFonts w:ascii="Arial" w:hAnsi="Arial" w:cs="Arial"/>
          <w:sz w:val="16"/>
          <w:szCs w:val="16"/>
        </w:rPr>
      </w:pPr>
      <w:r w:rsidRPr="008C26EF">
        <w:rPr>
          <w:rFonts w:ascii="Arial" w:hAnsi="Arial" w:cs="Arial"/>
          <w:sz w:val="16"/>
          <w:szCs w:val="16"/>
        </w:rPr>
        <w:t>*celkový počet prijatých Žiadostí o zmenu projektu môže obsahovať aj kumuláciu časovej a technickej zmeny projektu</w:t>
      </w:r>
    </w:p>
    <w:p w14:paraId="07D31E59" w14:textId="63E2E85F" w:rsidR="002416B1" w:rsidRDefault="002416B1" w:rsidP="00123376">
      <w:pPr>
        <w:spacing w:before="120" w:after="120"/>
        <w:jc w:val="both"/>
        <w:rPr>
          <w:rFonts w:ascii="Arial" w:hAnsi="Arial" w:cs="Arial"/>
          <w:sz w:val="20"/>
          <w:szCs w:val="20"/>
        </w:rPr>
      </w:pPr>
      <w:bookmarkStart w:id="15" w:name="OLE_LINK7"/>
      <w:bookmarkStart w:id="16" w:name="OLE_LINK8"/>
      <w:r w:rsidRPr="002526CC">
        <w:rPr>
          <w:rFonts w:ascii="Arial" w:hAnsi="Arial" w:cs="Arial"/>
          <w:sz w:val="20"/>
          <w:szCs w:val="20"/>
        </w:rPr>
        <w:t xml:space="preserve">Zoznam schválených </w:t>
      </w:r>
      <w:r w:rsidRPr="00DB28A9">
        <w:rPr>
          <w:rFonts w:ascii="Arial" w:hAnsi="Arial" w:cs="Arial"/>
          <w:sz w:val="20"/>
          <w:szCs w:val="20"/>
        </w:rPr>
        <w:t xml:space="preserve">projektov s objemom zazmluvnených prostriedkov </w:t>
      </w:r>
      <w:r w:rsidR="00AD6366">
        <w:rPr>
          <w:rFonts w:ascii="Arial" w:hAnsi="Arial" w:cs="Arial"/>
          <w:sz w:val="20"/>
          <w:szCs w:val="20"/>
        </w:rPr>
        <w:t>bol zverejňovaný</w:t>
      </w:r>
      <w:r w:rsidRPr="00DB28A9">
        <w:rPr>
          <w:rFonts w:ascii="Arial" w:hAnsi="Arial" w:cs="Arial"/>
          <w:sz w:val="20"/>
          <w:szCs w:val="20"/>
        </w:rPr>
        <w:t xml:space="preserve"> na </w:t>
      </w:r>
      <w:r w:rsidR="00091E84" w:rsidRPr="00DB28A9">
        <w:rPr>
          <w:rFonts w:ascii="Arial" w:hAnsi="Arial" w:cs="Arial"/>
          <w:sz w:val="20"/>
          <w:szCs w:val="20"/>
        </w:rPr>
        <w:t xml:space="preserve">webovom </w:t>
      </w:r>
      <w:r w:rsidR="00602CA2" w:rsidRPr="00DB28A9">
        <w:rPr>
          <w:rFonts w:ascii="Arial" w:hAnsi="Arial" w:cs="Arial"/>
          <w:sz w:val="20"/>
          <w:szCs w:val="20"/>
        </w:rPr>
        <w:t>sídle</w:t>
      </w:r>
      <w:r w:rsidRPr="00DB28A9">
        <w:rPr>
          <w:rFonts w:ascii="Arial" w:hAnsi="Arial" w:cs="Arial"/>
          <w:sz w:val="20"/>
          <w:szCs w:val="20"/>
        </w:rPr>
        <w:t xml:space="preserve"> </w:t>
      </w:r>
      <w:hyperlink r:id="rId14" w:history="1">
        <w:r w:rsidR="00E5227C" w:rsidRPr="008C1EDD">
          <w:rPr>
            <w:rStyle w:val="Hypertextovprepojenie"/>
            <w:rFonts w:ascii="Arial" w:hAnsi="Arial" w:cs="Arial"/>
            <w:sz w:val="20"/>
            <w:szCs w:val="20"/>
          </w:rPr>
          <w:t>www.opzp.sk</w:t>
        </w:r>
      </w:hyperlink>
      <w:r w:rsidR="00E5227C">
        <w:rPr>
          <w:rFonts w:ascii="Arial" w:hAnsi="Arial" w:cs="Arial"/>
          <w:sz w:val="20"/>
          <w:szCs w:val="20"/>
        </w:rPr>
        <w:t xml:space="preserve"> v časti </w:t>
      </w:r>
      <w:r w:rsidR="00E5227C" w:rsidRPr="00E5227C">
        <w:rPr>
          <w:rFonts w:ascii="Arial" w:hAnsi="Arial" w:cs="Arial"/>
          <w:sz w:val="20"/>
          <w:szCs w:val="20"/>
        </w:rPr>
        <w:t>Hlavná stránka &gt; Projekty &gt; Zoznamy OPŽP &gt; Zoznam prijímateľov z</w:t>
      </w:r>
      <w:r w:rsidR="00E5227C">
        <w:rPr>
          <w:rFonts w:ascii="Arial" w:hAnsi="Arial" w:cs="Arial"/>
          <w:sz w:val="20"/>
          <w:szCs w:val="20"/>
        </w:rPr>
        <w:t> </w:t>
      </w:r>
      <w:r w:rsidR="00E5227C" w:rsidRPr="00E5227C">
        <w:rPr>
          <w:rFonts w:ascii="Arial" w:hAnsi="Arial" w:cs="Arial"/>
          <w:sz w:val="20"/>
          <w:szCs w:val="20"/>
        </w:rPr>
        <w:t>OPŽP</w:t>
      </w:r>
      <w:bookmarkEnd w:id="15"/>
      <w:bookmarkEnd w:id="16"/>
      <w:r w:rsidR="00E5227C">
        <w:rPr>
          <w:rFonts w:ascii="Arial" w:hAnsi="Arial" w:cs="Arial"/>
          <w:sz w:val="20"/>
          <w:szCs w:val="20"/>
        </w:rPr>
        <w:t xml:space="preserve"> </w:t>
      </w:r>
      <w:r w:rsidR="00EB591A" w:rsidRPr="00DB28A9">
        <w:rPr>
          <w:rFonts w:ascii="Arial" w:hAnsi="Arial" w:cs="Arial"/>
          <w:sz w:val="20"/>
          <w:szCs w:val="20"/>
        </w:rPr>
        <w:t>a </w:t>
      </w:r>
      <w:r w:rsidR="00281250" w:rsidRPr="00DB28A9">
        <w:rPr>
          <w:rFonts w:ascii="Arial" w:hAnsi="Arial" w:cs="Arial"/>
          <w:sz w:val="20"/>
          <w:szCs w:val="20"/>
        </w:rPr>
        <w:t>zároveň</w:t>
      </w:r>
      <w:r w:rsidR="00EB591A" w:rsidRPr="00DB28A9">
        <w:rPr>
          <w:rFonts w:ascii="Arial" w:hAnsi="Arial" w:cs="Arial"/>
          <w:sz w:val="20"/>
          <w:szCs w:val="20"/>
        </w:rPr>
        <w:t xml:space="preserve"> </w:t>
      </w:r>
      <w:r w:rsidR="00E17EE7">
        <w:rPr>
          <w:rFonts w:ascii="Arial" w:hAnsi="Arial" w:cs="Arial"/>
          <w:sz w:val="20"/>
          <w:szCs w:val="20"/>
        </w:rPr>
        <w:t xml:space="preserve">aktuálny stav </w:t>
      </w:r>
      <w:r w:rsidR="00AD6366">
        <w:rPr>
          <w:rFonts w:ascii="Arial" w:hAnsi="Arial" w:cs="Arial"/>
          <w:sz w:val="20"/>
          <w:szCs w:val="20"/>
        </w:rPr>
        <w:t xml:space="preserve">zazmluvnených </w:t>
      </w:r>
      <w:r w:rsidR="00E17EE7">
        <w:rPr>
          <w:rFonts w:ascii="Arial" w:hAnsi="Arial" w:cs="Arial"/>
          <w:sz w:val="20"/>
          <w:szCs w:val="20"/>
        </w:rPr>
        <w:t>projektov k 31.</w:t>
      </w:r>
      <w:r w:rsidR="00F06CDA">
        <w:rPr>
          <w:rFonts w:ascii="Arial" w:hAnsi="Arial" w:cs="Arial"/>
          <w:sz w:val="20"/>
          <w:szCs w:val="20"/>
        </w:rPr>
        <w:t xml:space="preserve"> </w:t>
      </w:r>
      <w:r w:rsidR="00E17EE7">
        <w:rPr>
          <w:rFonts w:ascii="Arial" w:hAnsi="Arial" w:cs="Arial"/>
          <w:sz w:val="20"/>
          <w:szCs w:val="20"/>
        </w:rPr>
        <w:t>10.</w:t>
      </w:r>
      <w:r w:rsidR="00F06CDA">
        <w:rPr>
          <w:rFonts w:ascii="Arial" w:hAnsi="Arial" w:cs="Arial"/>
          <w:sz w:val="20"/>
          <w:szCs w:val="20"/>
        </w:rPr>
        <w:t xml:space="preserve"> </w:t>
      </w:r>
      <w:r w:rsidR="00E17EE7">
        <w:rPr>
          <w:rFonts w:ascii="Arial" w:hAnsi="Arial" w:cs="Arial"/>
          <w:sz w:val="20"/>
          <w:szCs w:val="20"/>
        </w:rPr>
        <w:t xml:space="preserve">2016 </w:t>
      </w:r>
      <w:r w:rsidR="00EB591A" w:rsidRPr="00DB28A9">
        <w:rPr>
          <w:rFonts w:ascii="Arial" w:hAnsi="Arial" w:cs="Arial"/>
          <w:sz w:val="20"/>
          <w:szCs w:val="20"/>
        </w:rPr>
        <w:t>je</w:t>
      </w:r>
      <w:r w:rsidR="00EB591A" w:rsidRPr="00B14C65">
        <w:rPr>
          <w:rFonts w:ascii="Arial" w:hAnsi="Arial" w:cs="Arial"/>
          <w:sz w:val="20"/>
          <w:szCs w:val="20"/>
        </w:rPr>
        <w:t xml:space="preserve"> </w:t>
      </w:r>
      <w:r w:rsidR="00281250" w:rsidRPr="00B14C65">
        <w:rPr>
          <w:rFonts w:ascii="Arial" w:hAnsi="Arial" w:cs="Arial"/>
          <w:sz w:val="20"/>
          <w:szCs w:val="20"/>
        </w:rPr>
        <w:t xml:space="preserve">súčasťou </w:t>
      </w:r>
      <w:r w:rsidR="00EB591A" w:rsidRPr="00B14C65">
        <w:rPr>
          <w:rFonts w:ascii="Arial" w:hAnsi="Arial" w:cs="Arial"/>
          <w:sz w:val="20"/>
          <w:szCs w:val="20"/>
        </w:rPr>
        <w:t>Prílohy č.</w:t>
      </w:r>
      <w:r w:rsidR="00E17EE7">
        <w:rPr>
          <w:rFonts w:ascii="Arial" w:hAnsi="Arial" w:cs="Arial"/>
          <w:sz w:val="20"/>
          <w:szCs w:val="20"/>
        </w:rPr>
        <w:t xml:space="preserve"> </w:t>
      </w:r>
      <w:r w:rsidR="00EB591A" w:rsidRPr="00B14C65">
        <w:rPr>
          <w:rFonts w:ascii="Arial" w:hAnsi="Arial" w:cs="Arial"/>
          <w:sz w:val="20"/>
          <w:szCs w:val="20"/>
        </w:rPr>
        <w:t>9.</w:t>
      </w:r>
    </w:p>
    <w:p w14:paraId="2D3BEE36" w14:textId="77777777" w:rsidR="00C179B0" w:rsidRPr="00E21C60" w:rsidRDefault="00C179B0" w:rsidP="00123376">
      <w:pPr>
        <w:spacing w:before="120" w:after="120"/>
        <w:jc w:val="both"/>
        <w:rPr>
          <w:rFonts w:ascii="Arial" w:hAnsi="Arial" w:cs="Arial"/>
          <w:sz w:val="20"/>
          <w:szCs w:val="20"/>
        </w:rPr>
      </w:pPr>
    </w:p>
    <w:p w14:paraId="493FF80D" w14:textId="77777777" w:rsidR="002416B1" w:rsidRPr="00E21C60" w:rsidRDefault="002416B1" w:rsidP="00680FCA">
      <w:pPr>
        <w:spacing w:before="240" w:after="120"/>
        <w:rPr>
          <w:rFonts w:ascii="Arial" w:hAnsi="Arial" w:cs="Arial"/>
          <w:b/>
          <w:i/>
          <w:sz w:val="20"/>
          <w:szCs w:val="20"/>
        </w:rPr>
      </w:pPr>
      <w:r w:rsidRPr="00E006F9">
        <w:rPr>
          <w:rFonts w:ascii="Arial" w:hAnsi="Arial" w:cs="Arial"/>
          <w:b/>
          <w:i/>
          <w:sz w:val="20"/>
          <w:szCs w:val="20"/>
        </w:rPr>
        <w:t>Schémy štátnej pomoc</w:t>
      </w:r>
      <w:r w:rsidR="007574A6" w:rsidRPr="00E006F9">
        <w:rPr>
          <w:rFonts w:ascii="Arial" w:hAnsi="Arial" w:cs="Arial"/>
          <w:b/>
          <w:i/>
          <w:sz w:val="20"/>
          <w:szCs w:val="20"/>
        </w:rPr>
        <w:t>i</w:t>
      </w:r>
    </w:p>
    <w:p w14:paraId="6BC66B1B" w14:textId="77777777" w:rsidR="00E006F9" w:rsidRPr="00E21C60" w:rsidRDefault="00E006F9" w:rsidP="00C179B0">
      <w:pPr>
        <w:spacing w:before="120" w:after="120"/>
        <w:jc w:val="both"/>
        <w:rPr>
          <w:rFonts w:ascii="Arial" w:hAnsi="Arial" w:cs="Arial"/>
          <w:sz w:val="20"/>
          <w:szCs w:val="20"/>
        </w:rPr>
      </w:pPr>
      <w:bookmarkStart w:id="17" w:name="OLE_LINK51"/>
      <w:r w:rsidRPr="00E21C60">
        <w:rPr>
          <w:rFonts w:ascii="Arial" w:hAnsi="Arial" w:cs="Arial"/>
          <w:sz w:val="20"/>
          <w:szCs w:val="20"/>
        </w:rPr>
        <w:lastRenderedPageBreak/>
        <w:t>Riadiaci orgán uplatňoval v</w:t>
      </w:r>
      <w:r>
        <w:rPr>
          <w:rFonts w:ascii="Arial" w:hAnsi="Arial" w:cs="Arial"/>
          <w:sz w:val="20"/>
          <w:szCs w:val="20"/>
        </w:rPr>
        <w:t xml:space="preserve"> rámci OP ŽP </w:t>
      </w:r>
      <w:r w:rsidRPr="00E21C60">
        <w:rPr>
          <w:rFonts w:ascii="Arial" w:hAnsi="Arial" w:cs="Arial"/>
          <w:sz w:val="20"/>
          <w:szCs w:val="20"/>
        </w:rPr>
        <w:t xml:space="preserve">tri schémy štátnej pomoci: </w:t>
      </w:r>
    </w:p>
    <w:p w14:paraId="3607E099" w14:textId="77777777" w:rsidR="00E006F9" w:rsidRDefault="00E006F9" w:rsidP="00F87D11">
      <w:pPr>
        <w:pStyle w:val="Odsekzoznamu"/>
        <w:numPr>
          <w:ilvl w:val="0"/>
          <w:numId w:val="142"/>
        </w:numPr>
        <w:spacing w:before="120" w:after="120" w:line="240" w:lineRule="auto"/>
        <w:ind w:left="426"/>
        <w:jc w:val="both"/>
        <w:rPr>
          <w:rFonts w:ascii="Arial" w:hAnsi="Arial" w:cs="Arial"/>
          <w:sz w:val="20"/>
          <w:szCs w:val="20"/>
        </w:rPr>
      </w:pPr>
      <w:r w:rsidRPr="00766795">
        <w:rPr>
          <w:rFonts w:ascii="Arial" w:hAnsi="Arial" w:cs="Arial"/>
          <w:sz w:val="20"/>
          <w:szCs w:val="20"/>
        </w:rPr>
        <w:t xml:space="preserve">Schéma štátnej pomoci pre zlepšenie a rozvoj infraštruktúry odpadového hospodárstva pre programové obdobie/roky 2007 – 2013 (regionálna pomoc), </w:t>
      </w:r>
      <w:r>
        <w:rPr>
          <w:rFonts w:ascii="Arial" w:hAnsi="Arial" w:cs="Arial"/>
          <w:sz w:val="20"/>
          <w:szCs w:val="20"/>
        </w:rPr>
        <w:t xml:space="preserve">registračné číslo XR 80/08, </w:t>
      </w:r>
    </w:p>
    <w:p w14:paraId="674015BC" w14:textId="77777777" w:rsidR="00E006F9" w:rsidRPr="00085534" w:rsidRDefault="00E006F9" w:rsidP="00F87D11">
      <w:pPr>
        <w:pStyle w:val="Odsekzoznamu"/>
        <w:numPr>
          <w:ilvl w:val="0"/>
          <w:numId w:val="142"/>
        </w:numPr>
        <w:spacing w:before="120" w:after="120" w:line="240" w:lineRule="auto"/>
        <w:ind w:left="426"/>
        <w:jc w:val="both"/>
        <w:rPr>
          <w:rFonts w:ascii="Arial" w:hAnsi="Arial" w:cs="Arial"/>
          <w:sz w:val="20"/>
          <w:szCs w:val="20"/>
        </w:rPr>
      </w:pPr>
      <w:r w:rsidRPr="00245102">
        <w:rPr>
          <w:rFonts w:ascii="Arial" w:hAnsi="Arial" w:cs="Arial"/>
          <w:sz w:val="20"/>
          <w:szCs w:val="20"/>
        </w:rPr>
        <w:t>Schéme štátnej pomoci pre zlepšenie a rozvoj infraštruktúry pre ochranu ovzdušia pre programové obdobie / roky 2007 – 2013 (regionálna pomoc), registračné číslo XR 81/08</w:t>
      </w:r>
      <w:r>
        <w:rPr>
          <w:rFonts w:ascii="Arial" w:hAnsi="Arial" w:cs="Arial"/>
          <w:sz w:val="20"/>
          <w:szCs w:val="20"/>
        </w:rPr>
        <w:t xml:space="preserve">, </w:t>
      </w:r>
    </w:p>
    <w:p w14:paraId="208ECA6E" w14:textId="77777777" w:rsidR="00E006F9" w:rsidRDefault="00E006F9" w:rsidP="00F87D11">
      <w:pPr>
        <w:pStyle w:val="Odsekzoznamu"/>
        <w:numPr>
          <w:ilvl w:val="0"/>
          <w:numId w:val="142"/>
        </w:numPr>
        <w:spacing w:before="120" w:after="120" w:line="240" w:lineRule="auto"/>
        <w:ind w:left="426"/>
        <w:jc w:val="both"/>
        <w:rPr>
          <w:rFonts w:ascii="Arial" w:hAnsi="Arial" w:cs="Arial"/>
          <w:sz w:val="20"/>
          <w:szCs w:val="20"/>
        </w:rPr>
      </w:pPr>
      <w:r w:rsidRPr="00112324">
        <w:rPr>
          <w:rFonts w:ascii="Arial" w:hAnsi="Arial" w:cs="Arial"/>
          <w:sz w:val="20"/>
          <w:szCs w:val="20"/>
        </w:rPr>
        <w:t>Schémy štátnej pomoci na ochranu životného prostredia v oblasti ochrany ovzdušia a minimalizácie nepriaznivých vplyvov zmeny klímy pre programové obdobie/roky 2007 -</w:t>
      </w:r>
      <w:r>
        <w:rPr>
          <w:rFonts w:ascii="Arial" w:hAnsi="Arial" w:cs="Arial"/>
          <w:sz w:val="20"/>
          <w:szCs w:val="20"/>
        </w:rPr>
        <w:t xml:space="preserve"> </w:t>
      </w:r>
      <w:r w:rsidRPr="00112324">
        <w:rPr>
          <w:rFonts w:ascii="Arial" w:hAnsi="Arial" w:cs="Arial"/>
          <w:sz w:val="20"/>
          <w:szCs w:val="20"/>
        </w:rPr>
        <w:t>2013 (skupinová výnimka)</w:t>
      </w:r>
      <w:r>
        <w:rPr>
          <w:rFonts w:ascii="Arial" w:hAnsi="Arial" w:cs="Arial"/>
          <w:sz w:val="20"/>
          <w:szCs w:val="20"/>
        </w:rPr>
        <w:t>.</w:t>
      </w:r>
    </w:p>
    <w:p w14:paraId="20F89E7A" w14:textId="08BEA298" w:rsidR="00E006F9" w:rsidRPr="000F57E6" w:rsidRDefault="00E006F9" w:rsidP="00680FCA">
      <w:pPr>
        <w:spacing w:before="120" w:after="120"/>
        <w:jc w:val="both"/>
        <w:rPr>
          <w:rFonts w:ascii="Arial" w:hAnsi="Arial" w:cs="Arial"/>
          <w:sz w:val="20"/>
          <w:szCs w:val="20"/>
        </w:rPr>
      </w:pPr>
      <w:r>
        <w:rPr>
          <w:rFonts w:ascii="Arial" w:hAnsi="Arial" w:cs="Arial"/>
          <w:sz w:val="20"/>
          <w:szCs w:val="20"/>
        </w:rPr>
        <w:t xml:space="preserve">V súvislosti s predmetnými schémami Riadiaci orgán v priebehu programového obdobia vyhlásil 19 výziev na predkladanie </w:t>
      </w:r>
      <w:r w:rsidR="00C15B70">
        <w:rPr>
          <w:rFonts w:ascii="Arial" w:hAnsi="Arial" w:cs="Arial"/>
          <w:sz w:val="20"/>
          <w:szCs w:val="20"/>
        </w:rPr>
        <w:t>Žo</w:t>
      </w:r>
      <w:r>
        <w:rPr>
          <w:rFonts w:ascii="Arial" w:hAnsi="Arial" w:cs="Arial"/>
          <w:sz w:val="20"/>
          <w:szCs w:val="20"/>
        </w:rPr>
        <w:t xml:space="preserve">NFP, z toho 8 v oblasti ochrany ovzdušia (prioritná os 3) a 11 v oblasti odpadového hospodárstva (prioritná os 4) s celkovou alokáciou </w:t>
      </w:r>
      <w:r w:rsidRPr="000F57E6">
        <w:rPr>
          <w:rFonts w:ascii="Arial" w:hAnsi="Arial" w:cs="Arial"/>
          <w:sz w:val="20"/>
          <w:szCs w:val="20"/>
        </w:rPr>
        <w:t xml:space="preserve">vo výške </w:t>
      </w:r>
      <w:r w:rsidR="000C1733">
        <w:rPr>
          <w:rFonts w:ascii="Arial" w:hAnsi="Arial" w:cs="Arial"/>
          <w:sz w:val="20"/>
          <w:szCs w:val="20"/>
        </w:rPr>
        <w:t>727,3</w:t>
      </w:r>
      <w:r w:rsidRPr="000F57E6">
        <w:rPr>
          <w:rFonts w:ascii="Arial" w:hAnsi="Arial" w:cs="Arial"/>
          <w:sz w:val="20"/>
          <w:szCs w:val="20"/>
        </w:rPr>
        <w:t xml:space="preserve"> mil. </w:t>
      </w:r>
      <w:r w:rsidR="00366C2D" w:rsidRPr="000F57E6">
        <w:rPr>
          <w:rFonts w:ascii="Arial" w:hAnsi="Arial" w:cs="Arial"/>
          <w:sz w:val="20"/>
          <w:szCs w:val="20"/>
        </w:rPr>
        <w:t>€</w:t>
      </w:r>
      <w:r w:rsidR="000C1733">
        <w:rPr>
          <w:rStyle w:val="Odkaznapoznmkupodiarou"/>
          <w:rFonts w:ascii="Arial" w:hAnsi="Arial" w:cs="Arial"/>
          <w:sz w:val="20"/>
          <w:szCs w:val="20"/>
        </w:rPr>
        <w:footnoteReference w:id="5"/>
      </w:r>
      <w:r w:rsidRPr="000F57E6">
        <w:rPr>
          <w:rFonts w:ascii="Arial" w:hAnsi="Arial" w:cs="Arial"/>
          <w:sz w:val="20"/>
          <w:szCs w:val="20"/>
        </w:rPr>
        <w:t xml:space="preserve">. Na základe vyhlásených výziev bolo predložených takmer 1 700 </w:t>
      </w:r>
      <w:r w:rsidR="00122BF0" w:rsidRPr="000F57E6">
        <w:rPr>
          <w:rFonts w:ascii="Arial" w:hAnsi="Arial" w:cs="Arial"/>
          <w:sz w:val="20"/>
          <w:szCs w:val="20"/>
        </w:rPr>
        <w:t>Žo</w:t>
      </w:r>
      <w:r w:rsidRPr="000F57E6">
        <w:rPr>
          <w:rFonts w:ascii="Arial" w:hAnsi="Arial" w:cs="Arial"/>
          <w:sz w:val="20"/>
          <w:szCs w:val="20"/>
        </w:rPr>
        <w:t xml:space="preserve">NFP s celkovým žiadaným NFP v objeme viac ako 1,9 mld. </w:t>
      </w:r>
      <w:r w:rsidR="00366C2D" w:rsidRPr="000F57E6">
        <w:rPr>
          <w:rFonts w:ascii="Arial" w:hAnsi="Arial" w:cs="Arial"/>
          <w:sz w:val="20"/>
          <w:szCs w:val="20"/>
        </w:rPr>
        <w:t>€</w:t>
      </w:r>
      <w:r w:rsidRPr="000F57E6">
        <w:rPr>
          <w:rFonts w:ascii="Arial" w:hAnsi="Arial" w:cs="Arial"/>
          <w:sz w:val="20"/>
          <w:szCs w:val="20"/>
        </w:rPr>
        <w:t xml:space="preserve">, čo predstavuje úhrnný dopyt prevyšujúci alokáciu finančných prostriedkov v príslušných výzvach o viac ako 180 % vo finančnom vyjadrení. </w:t>
      </w:r>
    </w:p>
    <w:p w14:paraId="7CE470DA" w14:textId="325A0D2C" w:rsidR="00E006F9" w:rsidRPr="00807178" w:rsidRDefault="00E006F9" w:rsidP="00E006F9">
      <w:pPr>
        <w:spacing w:before="120" w:after="120"/>
        <w:jc w:val="both"/>
        <w:rPr>
          <w:rFonts w:ascii="Arial" w:hAnsi="Arial" w:cs="Arial"/>
          <w:sz w:val="20"/>
          <w:szCs w:val="18"/>
        </w:rPr>
      </w:pPr>
      <w:r w:rsidRPr="000F57E6">
        <w:rPr>
          <w:rFonts w:ascii="Arial" w:hAnsi="Arial" w:cs="Arial"/>
          <w:sz w:val="20"/>
          <w:szCs w:val="18"/>
        </w:rPr>
        <w:t>Tabuľka č.</w:t>
      </w:r>
      <w:r w:rsidR="00682B07" w:rsidRPr="000F57E6">
        <w:rPr>
          <w:rFonts w:ascii="Arial" w:hAnsi="Arial" w:cs="Arial"/>
          <w:sz w:val="20"/>
          <w:szCs w:val="18"/>
        </w:rPr>
        <w:t>11</w:t>
      </w:r>
      <w:r w:rsidRPr="000F57E6">
        <w:rPr>
          <w:rFonts w:ascii="Arial" w:hAnsi="Arial" w:cs="Arial"/>
          <w:sz w:val="20"/>
          <w:szCs w:val="18"/>
        </w:rPr>
        <w:t>: Prehľad vyhlásených výziev viazaných na schémy štátnej pomoci.</w:t>
      </w:r>
    </w:p>
    <w:tbl>
      <w:tblPr>
        <w:tblW w:w="8940" w:type="dxa"/>
        <w:tblInd w:w="55" w:type="dxa"/>
        <w:tblCellMar>
          <w:left w:w="70" w:type="dxa"/>
          <w:right w:w="70" w:type="dxa"/>
        </w:tblCellMar>
        <w:tblLook w:val="04A0" w:firstRow="1" w:lastRow="0" w:firstColumn="1" w:lastColumn="0" w:noHBand="0" w:noVBand="1"/>
      </w:tblPr>
      <w:tblGrid>
        <w:gridCol w:w="1960"/>
        <w:gridCol w:w="1720"/>
        <w:gridCol w:w="820"/>
        <w:gridCol w:w="1900"/>
        <w:gridCol w:w="820"/>
        <w:gridCol w:w="1720"/>
      </w:tblGrid>
      <w:tr w:rsidR="00E006F9" w:rsidRPr="00803DFA" w14:paraId="54DB2756" w14:textId="77777777" w:rsidTr="00EE50CC">
        <w:trPr>
          <w:trHeight w:val="450"/>
        </w:trPr>
        <w:tc>
          <w:tcPr>
            <w:tcW w:w="1960"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2CA66C9" w14:textId="77777777" w:rsidR="00E006F9" w:rsidRPr="00803DFA" w:rsidRDefault="00E006F9" w:rsidP="00D66206">
            <w:pPr>
              <w:jc w:val="center"/>
              <w:rPr>
                <w:rFonts w:ascii="Arial" w:hAnsi="Arial" w:cs="Arial"/>
                <w:b/>
                <w:bCs/>
                <w:color w:val="000000"/>
                <w:sz w:val="16"/>
                <w:szCs w:val="16"/>
              </w:rPr>
            </w:pPr>
            <w:r w:rsidRPr="00803DFA">
              <w:rPr>
                <w:rFonts w:ascii="Arial" w:hAnsi="Arial" w:cs="Arial"/>
                <w:b/>
                <w:bCs/>
                <w:color w:val="000000"/>
                <w:sz w:val="16"/>
                <w:szCs w:val="16"/>
              </w:rPr>
              <w:t>Kód výzvy</w:t>
            </w:r>
          </w:p>
        </w:tc>
        <w:tc>
          <w:tcPr>
            <w:tcW w:w="1720"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9D61626" w14:textId="1226E33A" w:rsidR="00E006F9" w:rsidRPr="00803DFA" w:rsidRDefault="00E006F9" w:rsidP="00D66206">
            <w:pPr>
              <w:jc w:val="center"/>
              <w:rPr>
                <w:rFonts w:ascii="Arial" w:hAnsi="Arial" w:cs="Arial"/>
                <w:b/>
                <w:bCs/>
                <w:color w:val="000000"/>
                <w:sz w:val="16"/>
                <w:szCs w:val="16"/>
              </w:rPr>
            </w:pPr>
            <w:r w:rsidRPr="00803DFA">
              <w:rPr>
                <w:rFonts w:ascii="Arial" w:hAnsi="Arial" w:cs="Arial"/>
                <w:b/>
                <w:bCs/>
                <w:color w:val="000000"/>
                <w:sz w:val="16"/>
                <w:szCs w:val="16"/>
              </w:rPr>
              <w:t xml:space="preserve">Alokácia v </w:t>
            </w:r>
            <w:r w:rsidR="00366C2D">
              <w:rPr>
                <w:rFonts w:ascii="Arial" w:hAnsi="Arial" w:cs="Arial"/>
                <w:b/>
                <w:bCs/>
                <w:color w:val="000000"/>
                <w:sz w:val="16"/>
                <w:szCs w:val="16"/>
              </w:rPr>
              <w:t>€</w:t>
            </w:r>
            <w:r w:rsidRPr="00803DFA">
              <w:rPr>
                <w:rFonts w:ascii="Arial" w:hAnsi="Arial" w:cs="Arial"/>
                <w:b/>
                <w:bCs/>
                <w:color w:val="000000"/>
                <w:sz w:val="16"/>
                <w:szCs w:val="16"/>
              </w:rPr>
              <w:t xml:space="preserve"> (ŠF+ŠR)</w:t>
            </w:r>
          </w:p>
        </w:tc>
        <w:tc>
          <w:tcPr>
            <w:tcW w:w="2720" w:type="dxa"/>
            <w:gridSpan w:val="2"/>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51C5D35" w14:textId="77777777" w:rsidR="00E006F9" w:rsidRPr="00803DFA" w:rsidRDefault="00E006F9" w:rsidP="00D66206">
            <w:pPr>
              <w:jc w:val="center"/>
              <w:rPr>
                <w:rFonts w:ascii="Arial" w:hAnsi="Arial" w:cs="Arial"/>
                <w:b/>
                <w:bCs/>
                <w:color w:val="000000"/>
                <w:sz w:val="16"/>
                <w:szCs w:val="16"/>
              </w:rPr>
            </w:pPr>
            <w:r w:rsidRPr="00803DFA">
              <w:rPr>
                <w:rFonts w:ascii="Arial" w:hAnsi="Arial" w:cs="Arial"/>
                <w:b/>
                <w:bCs/>
                <w:color w:val="000000"/>
                <w:sz w:val="16"/>
                <w:szCs w:val="16"/>
              </w:rPr>
              <w:t>Prijaté ŽoNFP</w:t>
            </w:r>
          </w:p>
        </w:tc>
        <w:tc>
          <w:tcPr>
            <w:tcW w:w="2540" w:type="dxa"/>
            <w:gridSpan w:val="2"/>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C30BD4D" w14:textId="77777777" w:rsidR="00E006F9" w:rsidRPr="00803DFA" w:rsidRDefault="00E006F9" w:rsidP="00D66206">
            <w:pPr>
              <w:jc w:val="center"/>
              <w:rPr>
                <w:rFonts w:ascii="Arial" w:hAnsi="Arial" w:cs="Arial"/>
                <w:b/>
                <w:bCs/>
                <w:color w:val="000000"/>
                <w:sz w:val="16"/>
                <w:szCs w:val="16"/>
              </w:rPr>
            </w:pPr>
            <w:r w:rsidRPr="00803DFA">
              <w:rPr>
                <w:rFonts w:ascii="Arial" w:hAnsi="Arial" w:cs="Arial"/>
                <w:b/>
                <w:bCs/>
                <w:color w:val="000000"/>
                <w:sz w:val="16"/>
                <w:szCs w:val="16"/>
              </w:rPr>
              <w:t>Schválené ŽoNFP</w:t>
            </w:r>
          </w:p>
        </w:tc>
      </w:tr>
      <w:tr w:rsidR="00E006F9" w:rsidRPr="00803DFA" w14:paraId="4FB73466" w14:textId="77777777" w:rsidTr="00EE50CC">
        <w:trPr>
          <w:trHeight w:val="450"/>
        </w:trPr>
        <w:tc>
          <w:tcPr>
            <w:tcW w:w="1960"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680EB73" w14:textId="77777777" w:rsidR="00E006F9" w:rsidRPr="00803DFA" w:rsidRDefault="00E006F9" w:rsidP="00D66206">
            <w:pPr>
              <w:rPr>
                <w:rFonts w:ascii="Arial" w:hAnsi="Arial" w:cs="Arial"/>
                <w:b/>
                <w:bCs/>
                <w:color w:val="000000"/>
                <w:sz w:val="16"/>
                <w:szCs w:val="16"/>
              </w:rPr>
            </w:pPr>
          </w:p>
        </w:tc>
        <w:tc>
          <w:tcPr>
            <w:tcW w:w="1720"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AD5997B" w14:textId="77777777" w:rsidR="00E006F9" w:rsidRPr="00803DFA" w:rsidRDefault="00E006F9" w:rsidP="00D66206">
            <w:pPr>
              <w:rPr>
                <w:rFonts w:ascii="Arial" w:hAnsi="Arial" w:cs="Arial"/>
                <w:b/>
                <w:bCs/>
                <w:color w:val="000000"/>
                <w:sz w:val="16"/>
                <w:szCs w:val="16"/>
              </w:rPr>
            </w:pPr>
          </w:p>
        </w:tc>
        <w:tc>
          <w:tcPr>
            <w:tcW w:w="820" w:type="dxa"/>
            <w:tcBorders>
              <w:top w:val="nil"/>
              <w:left w:val="nil"/>
              <w:bottom w:val="single" w:sz="4" w:space="0" w:color="auto"/>
              <w:right w:val="single" w:sz="4" w:space="0" w:color="auto"/>
            </w:tcBorders>
            <w:shd w:val="clear" w:color="auto" w:fill="C2D69B" w:themeFill="accent3" w:themeFillTint="99"/>
            <w:vAlign w:val="center"/>
            <w:hideMark/>
          </w:tcPr>
          <w:p w14:paraId="7F6DE383" w14:textId="77777777" w:rsidR="00E006F9" w:rsidRPr="00803DFA" w:rsidRDefault="00E006F9" w:rsidP="00D66206">
            <w:pPr>
              <w:jc w:val="center"/>
              <w:rPr>
                <w:rFonts w:ascii="Arial" w:hAnsi="Arial" w:cs="Arial"/>
                <w:b/>
                <w:bCs/>
                <w:color w:val="000000"/>
                <w:sz w:val="16"/>
                <w:szCs w:val="16"/>
              </w:rPr>
            </w:pPr>
            <w:r w:rsidRPr="00803DFA">
              <w:rPr>
                <w:rFonts w:ascii="Arial" w:hAnsi="Arial" w:cs="Arial"/>
                <w:b/>
                <w:bCs/>
                <w:color w:val="000000"/>
                <w:sz w:val="16"/>
                <w:szCs w:val="16"/>
              </w:rPr>
              <w:t>počet</w:t>
            </w:r>
          </w:p>
        </w:tc>
        <w:tc>
          <w:tcPr>
            <w:tcW w:w="1900" w:type="dxa"/>
            <w:tcBorders>
              <w:top w:val="nil"/>
              <w:left w:val="nil"/>
              <w:bottom w:val="single" w:sz="4" w:space="0" w:color="auto"/>
              <w:right w:val="single" w:sz="4" w:space="0" w:color="auto"/>
            </w:tcBorders>
            <w:shd w:val="clear" w:color="auto" w:fill="C2D69B" w:themeFill="accent3" w:themeFillTint="99"/>
            <w:vAlign w:val="center"/>
            <w:hideMark/>
          </w:tcPr>
          <w:p w14:paraId="35BE2502" w14:textId="75483437" w:rsidR="00E006F9" w:rsidRPr="00803DFA" w:rsidRDefault="00E006F9" w:rsidP="00D66206">
            <w:pPr>
              <w:jc w:val="center"/>
              <w:rPr>
                <w:rFonts w:ascii="Arial" w:hAnsi="Arial" w:cs="Arial"/>
                <w:b/>
                <w:bCs/>
                <w:color w:val="000000"/>
                <w:sz w:val="16"/>
                <w:szCs w:val="16"/>
              </w:rPr>
            </w:pPr>
            <w:r w:rsidRPr="00803DFA">
              <w:rPr>
                <w:rFonts w:ascii="Arial" w:hAnsi="Arial" w:cs="Arial"/>
                <w:b/>
                <w:bCs/>
                <w:color w:val="000000"/>
                <w:sz w:val="16"/>
                <w:szCs w:val="16"/>
              </w:rPr>
              <w:t xml:space="preserve">Žiadaný NFP v </w:t>
            </w:r>
            <w:r w:rsidR="00366C2D">
              <w:rPr>
                <w:rFonts w:ascii="Arial" w:hAnsi="Arial" w:cs="Arial"/>
                <w:b/>
                <w:bCs/>
                <w:color w:val="000000"/>
                <w:sz w:val="16"/>
                <w:szCs w:val="16"/>
              </w:rPr>
              <w:t>€</w:t>
            </w:r>
            <w:r w:rsidRPr="00803DFA">
              <w:rPr>
                <w:rFonts w:ascii="Arial" w:hAnsi="Arial" w:cs="Arial"/>
                <w:b/>
                <w:bCs/>
                <w:color w:val="000000"/>
                <w:sz w:val="16"/>
                <w:szCs w:val="16"/>
              </w:rPr>
              <w:t xml:space="preserve"> (ŠF+ŠR)</w:t>
            </w:r>
          </w:p>
        </w:tc>
        <w:tc>
          <w:tcPr>
            <w:tcW w:w="820" w:type="dxa"/>
            <w:tcBorders>
              <w:top w:val="nil"/>
              <w:left w:val="nil"/>
              <w:bottom w:val="single" w:sz="4" w:space="0" w:color="auto"/>
              <w:right w:val="single" w:sz="4" w:space="0" w:color="auto"/>
            </w:tcBorders>
            <w:shd w:val="clear" w:color="auto" w:fill="C2D69B" w:themeFill="accent3" w:themeFillTint="99"/>
            <w:vAlign w:val="center"/>
            <w:hideMark/>
          </w:tcPr>
          <w:p w14:paraId="5A9E807D" w14:textId="77777777" w:rsidR="00E006F9" w:rsidRPr="00803DFA" w:rsidRDefault="00E006F9" w:rsidP="00D66206">
            <w:pPr>
              <w:jc w:val="center"/>
              <w:rPr>
                <w:rFonts w:ascii="Arial" w:hAnsi="Arial" w:cs="Arial"/>
                <w:b/>
                <w:bCs/>
                <w:color w:val="000000"/>
                <w:sz w:val="16"/>
                <w:szCs w:val="16"/>
              </w:rPr>
            </w:pPr>
            <w:r w:rsidRPr="00803DFA">
              <w:rPr>
                <w:rFonts w:ascii="Arial" w:hAnsi="Arial" w:cs="Arial"/>
                <w:b/>
                <w:bCs/>
                <w:color w:val="000000"/>
                <w:sz w:val="16"/>
                <w:szCs w:val="16"/>
              </w:rPr>
              <w:t>počet</w:t>
            </w:r>
          </w:p>
        </w:tc>
        <w:tc>
          <w:tcPr>
            <w:tcW w:w="1720" w:type="dxa"/>
            <w:tcBorders>
              <w:top w:val="nil"/>
              <w:left w:val="nil"/>
              <w:bottom w:val="single" w:sz="4" w:space="0" w:color="auto"/>
              <w:right w:val="single" w:sz="4" w:space="0" w:color="auto"/>
            </w:tcBorders>
            <w:shd w:val="clear" w:color="auto" w:fill="C2D69B" w:themeFill="accent3" w:themeFillTint="99"/>
            <w:vAlign w:val="center"/>
            <w:hideMark/>
          </w:tcPr>
          <w:p w14:paraId="0DB40F2F" w14:textId="4542E2CB" w:rsidR="00E006F9" w:rsidRPr="00803DFA" w:rsidRDefault="00E006F9" w:rsidP="00D66206">
            <w:pPr>
              <w:jc w:val="center"/>
              <w:rPr>
                <w:rFonts w:ascii="Arial" w:hAnsi="Arial" w:cs="Arial"/>
                <w:b/>
                <w:bCs/>
                <w:color w:val="000000"/>
                <w:sz w:val="16"/>
                <w:szCs w:val="16"/>
              </w:rPr>
            </w:pPr>
            <w:r w:rsidRPr="00803DFA">
              <w:rPr>
                <w:rFonts w:ascii="Arial" w:hAnsi="Arial" w:cs="Arial"/>
                <w:b/>
                <w:bCs/>
                <w:color w:val="000000"/>
                <w:sz w:val="16"/>
                <w:szCs w:val="16"/>
              </w:rPr>
              <w:t xml:space="preserve">Schválený NFP </w:t>
            </w:r>
            <w:r w:rsidR="00366C2D">
              <w:rPr>
                <w:rFonts w:ascii="Arial" w:hAnsi="Arial" w:cs="Arial"/>
                <w:b/>
                <w:bCs/>
                <w:color w:val="000000"/>
                <w:sz w:val="16"/>
                <w:szCs w:val="16"/>
              </w:rPr>
              <w:t>€</w:t>
            </w:r>
            <w:r w:rsidRPr="00803DFA">
              <w:rPr>
                <w:rFonts w:ascii="Arial" w:hAnsi="Arial" w:cs="Arial"/>
                <w:b/>
                <w:bCs/>
                <w:color w:val="000000"/>
                <w:sz w:val="16"/>
                <w:szCs w:val="16"/>
              </w:rPr>
              <w:t xml:space="preserve"> (ŠF+SR)</w:t>
            </w:r>
          </w:p>
        </w:tc>
      </w:tr>
      <w:tr w:rsidR="00E006F9" w:rsidRPr="00803DFA" w14:paraId="5A5BD5F1"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4261FAFB"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OPZP-PO3-08-2</w:t>
            </w:r>
          </w:p>
        </w:tc>
        <w:tc>
          <w:tcPr>
            <w:tcW w:w="1720" w:type="dxa"/>
            <w:tcBorders>
              <w:top w:val="nil"/>
              <w:left w:val="nil"/>
              <w:bottom w:val="single" w:sz="4" w:space="0" w:color="auto"/>
              <w:right w:val="single" w:sz="4" w:space="0" w:color="auto"/>
            </w:tcBorders>
            <w:shd w:val="clear" w:color="auto" w:fill="auto"/>
            <w:noWrap/>
            <w:vAlign w:val="center"/>
            <w:hideMark/>
          </w:tcPr>
          <w:p w14:paraId="43E6456D" w14:textId="147044F6"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15 890 199   </w:t>
            </w:r>
          </w:p>
        </w:tc>
        <w:tc>
          <w:tcPr>
            <w:tcW w:w="820" w:type="dxa"/>
            <w:tcBorders>
              <w:top w:val="nil"/>
              <w:left w:val="nil"/>
              <w:bottom w:val="single" w:sz="4" w:space="0" w:color="auto"/>
              <w:right w:val="single" w:sz="4" w:space="0" w:color="auto"/>
            </w:tcBorders>
            <w:shd w:val="clear" w:color="auto" w:fill="auto"/>
            <w:noWrap/>
            <w:vAlign w:val="center"/>
            <w:hideMark/>
          </w:tcPr>
          <w:p w14:paraId="7402430E"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12</w:t>
            </w:r>
          </w:p>
        </w:tc>
        <w:tc>
          <w:tcPr>
            <w:tcW w:w="1900" w:type="dxa"/>
            <w:tcBorders>
              <w:top w:val="nil"/>
              <w:left w:val="nil"/>
              <w:bottom w:val="single" w:sz="4" w:space="0" w:color="auto"/>
              <w:right w:val="single" w:sz="4" w:space="0" w:color="auto"/>
            </w:tcBorders>
            <w:shd w:val="clear" w:color="auto" w:fill="auto"/>
            <w:noWrap/>
            <w:vAlign w:val="center"/>
            <w:hideMark/>
          </w:tcPr>
          <w:p w14:paraId="15D375D6" w14:textId="32125D7F"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19 268 41</w:t>
            </w:r>
            <w:r w:rsidR="000609DA">
              <w:rPr>
                <w:rFonts w:ascii="Arial" w:hAnsi="Arial" w:cs="Arial"/>
                <w:color w:val="000000"/>
                <w:sz w:val="16"/>
                <w:szCs w:val="16"/>
              </w:rPr>
              <w:t>9</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6C5C4F0F"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8</w:t>
            </w:r>
          </w:p>
        </w:tc>
        <w:tc>
          <w:tcPr>
            <w:tcW w:w="1720" w:type="dxa"/>
            <w:tcBorders>
              <w:top w:val="nil"/>
              <w:left w:val="nil"/>
              <w:bottom w:val="single" w:sz="4" w:space="0" w:color="auto"/>
              <w:right w:val="single" w:sz="4" w:space="0" w:color="auto"/>
            </w:tcBorders>
            <w:shd w:val="clear" w:color="auto" w:fill="auto"/>
            <w:noWrap/>
            <w:vAlign w:val="center"/>
            <w:hideMark/>
          </w:tcPr>
          <w:p w14:paraId="2C51D4C2" w14:textId="05999999"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12 679 91</w:t>
            </w:r>
            <w:r w:rsidR="000609DA">
              <w:rPr>
                <w:rFonts w:ascii="Arial" w:hAnsi="Arial" w:cs="Arial"/>
                <w:color w:val="000000"/>
                <w:sz w:val="16"/>
                <w:szCs w:val="16"/>
              </w:rPr>
              <w:t>6</w:t>
            </w:r>
            <w:r w:rsidRPr="00803DFA">
              <w:rPr>
                <w:rFonts w:ascii="Arial" w:hAnsi="Arial" w:cs="Arial"/>
                <w:color w:val="000000"/>
                <w:sz w:val="16"/>
                <w:szCs w:val="16"/>
              </w:rPr>
              <w:t xml:space="preserve">   </w:t>
            </w:r>
          </w:p>
        </w:tc>
      </w:tr>
      <w:tr w:rsidR="00E006F9" w:rsidRPr="00803DFA" w14:paraId="0E961E1F"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102B52A0"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OPZP-PO3-08-5</w:t>
            </w:r>
          </w:p>
        </w:tc>
        <w:tc>
          <w:tcPr>
            <w:tcW w:w="1720" w:type="dxa"/>
            <w:tcBorders>
              <w:top w:val="nil"/>
              <w:left w:val="nil"/>
              <w:bottom w:val="single" w:sz="4" w:space="0" w:color="auto"/>
              <w:right w:val="single" w:sz="4" w:space="0" w:color="auto"/>
            </w:tcBorders>
            <w:shd w:val="clear" w:color="auto" w:fill="auto"/>
            <w:noWrap/>
            <w:vAlign w:val="center"/>
            <w:hideMark/>
          </w:tcPr>
          <w:p w14:paraId="690D6FF5" w14:textId="70A6287E"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23 294 118   </w:t>
            </w:r>
          </w:p>
        </w:tc>
        <w:tc>
          <w:tcPr>
            <w:tcW w:w="820" w:type="dxa"/>
            <w:tcBorders>
              <w:top w:val="nil"/>
              <w:left w:val="nil"/>
              <w:bottom w:val="single" w:sz="4" w:space="0" w:color="auto"/>
              <w:right w:val="single" w:sz="4" w:space="0" w:color="auto"/>
            </w:tcBorders>
            <w:shd w:val="clear" w:color="auto" w:fill="auto"/>
            <w:noWrap/>
            <w:vAlign w:val="center"/>
            <w:hideMark/>
          </w:tcPr>
          <w:p w14:paraId="438CEDCF"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55</w:t>
            </w:r>
          </w:p>
        </w:tc>
        <w:tc>
          <w:tcPr>
            <w:tcW w:w="1900" w:type="dxa"/>
            <w:tcBorders>
              <w:top w:val="nil"/>
              <w:left w:val="nil"/>
              <w:bottom w:val="single" w:sz="4" w:space="0" w:color="auto"/>
              <w:right w:val="single" w:sz="4" w:space="0" w:color="auto"/>
            </w:tcBorders>
            <w:shd w:val="clear" w:color="auto" w:fill="auto"/>
            <w:noWrap/>
            <w:vAlign w:val="center"/>
            <w:hideMark/>
          </w:tcPr>
          <w:p w14:paraId="108BF5F2" w14:textId="316C6688"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60 322 34</w:t>
            </w:r>
            <w:r w:rsidR="000609DA">
              <w:rPr>
                <w:rFonts w:ascii="Arial" w:hAnsi="Arial" w:cs="Arial"/>
                <w:color w:val="000000"/>
                <w:sz w:val="16"/>
                <w:szCs w:val="16"/>
              </w:rPr>
              <w:t>3</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6466ECED"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17</w:t>
            </w:r>
          </w:p>
        </w:tc>
        <w:tc>
          <w:tcPr>
            <w:tcW w:w="1720" w:type="dxa"/>
            <w:tcBorders>
              <w:top w:val="nil"/>
              <w:left w:val="nil"/>
              <w:bottom w:val="single" w:sz="4" w:space="0" w:color="auto"/>
              <w:right w:val="single" w:sz="4" w:space="0" w:color="auto"/>
            </w:tcBorders>
            <w:shd w:val="clear" w:color="auto" w:fill="auto"/>
            <w:noWrap/>
            <w:vAlign w:val="center"/>
            <w:hideMark/>
          </w:tcPr>
          <w:p w14:paraId="5B9C19C9" w14:textId="26A63385"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23 246 957   </w:t>
            </w:r>
          </w:p>
        </w:tc>
      </w:tr>
      <w:tr w:rsidR="00E006F9" w:rsidRPr="00803DFA" w14:paraId="24CFC8C5"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300E4688"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OPZP-PO3-09-2</w:t>
            </w:r>
          </w:p>
        </w:tc>
        <w:tc>
          <w:tcPr>
            <w:tcW w:w="1720" w:type="dxa"/>
            <w:tcBorders>
              <w:top w:val="nil"/>
              <w:left w:val="nil"/>
              <w:bottom w:val="single" w:sz="4" w:space="0" w:color="auto"/>
              <w:right w:val="single" w:sz="4" w:space="0" w:color="auto"/>
            </w:tcBorders>
            <w:shd w:val="clear" w:color="auto" w:fill="auto"/>
            <w:noWrap/>
            <w:vAlign w:val="center"/>
            <w:hideMark/>
          </w:tcPr>
          <w:p w14:paraId="2EB49CE2" w14:textId="51132D10"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19 000 000   </w:t>
            </w:r>
          </w:p>
        </w:tc>
        <w:tc>
          <w:tcPr>
            <w:tcW w:w="820" w:type="dxa"/>
            <w:tcBorders>
              <w:top w:val="nil"/>
              <w:left w:val="nil"/>
              <w:bottom w:val="single" w:sz="4" w:space="0" w:color="auto"/>
              <w:right w:val="single" w:sz="4" w:space="0" w:color="auto"/>
            </w:tcBorders>
            <w:shd w:val="clear" w:color="auto" w:fill="auto"/>
            <w:noWrap/>
            <w:vAlign w:val="center"/>
            <w:hideMark/>
          </w:tcPr>
          <w:p w14:paraId="61F35CE5"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101</w:t>
            </w:r>
          </w:p>
        </w:tc>
        <w:tc>
          <w:tcPr>
            <w:tcW w:w="1900" w:type="dxa"/>
            <w:tcBorders>
              <w:top w:val="nil"/>
              <w:left w:val="nil"/>
              <w:bottom w:val="single" w:sz="4" w:space="0" w:color="auto"/>
              <w:right w:val="single" w:sz="4" w:space="0" w:color="auto"/>
            </w:tcBorders>
            <w:shd w:val="clear" w:color="auto" w:fill="auto"/>
            <w:noWrap/>
            <w:vAlign w:val="center"/>
            <w:hideMark/>
          </w:tcPr>
          <w:p w14:paraId="503FB261" w14:textId="67B49E0B"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97 472 174   </w:t>
            </w:r>
          </w:p>
        </w:tc>
        <w:tc>
          <w:tcPr>
            <w:tcW w:w="820" w:type="dxa"/>
            <w:tcBorders>
              <w:top w:val="nil"/>
              <w:left w:val="nil"/>
              <w:bottom w:val="single" w:sz="4" w:space="0" w:color="auto"/>
              <w:right w:val="single" w:sz="4" w:space="0" w:color="auto"/>
            </w:tcBorders>
            <w:shd w:val="clear" w:color="auto" w:fill="auto"/>
            <w:noWrap/>
            <w:vAlign w:val="center"/>
            <w:hideMark/>
          </w:tcPr>
          <w:p w14:paraId="36AB1060"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19</w:t>
            </w:r>
          </w:p>
        </w:tc>
        <w:tc>
          <w:tcPr>
            <w:tcW w:w="1720" w:type="dxa"/>
            <w:tcBorders>
              <w:top w:val="nil"/>
              <w:left w:val="nil"/>
              <w:bottom w:val="single" w:sz="4" w:space="0" w:color="auto"/>
              <w:right w:val="single" w:sz="4" w:space="0" w:color="auto"/>
            </w:tcBorders>
            <w:shd w:val="clear" w:color="auto" w:fill="auto"/>
            <w:noWrap/>
            <w:vAlign w:val="center"/>
            <w:hideMark/>
          </w:tcPr>
          <w:p w14:paraId="5BA0043F" w14:textId="17200708"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19 227 82</w:t>
            </w:r>
            <w:r w:rsidR="000609DA">
              <w:rPr>
                <w:rFonts w:ascii="Arial" w:hAnsi="Arial" w:cs="Arial"/>
                <w:color w:val="000000"/>
                <w:sz w:val="16"/>
                <w:szCs w:val="16"/>
              </w:rPr>
              <w:t>1</w:t>
            </w:r>
            <w:r w:rsidRPr="00803DFA">
              <w:rPr>
                <w:rFonts w:ascii="Arial" w:hAnsi="Arial" w:cs="Arial"/>
                <w:color w:val="000000"/>
                <w:sz w:val="16"/>
                <w:szCs w:val="16"/>
              </w:rPr>
              <w:t xml:space="preserve">   </w:t>
            </w:r>
          </w:p>
        </w:tc>
      </w:tr>
      <w:tr w:rsidR="00E006F9" w:rsidRPr="00803DFA" w14:paraId="6DC28892"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5255E5E9"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OPZP-PO3-09-3</w:t>
            </w:r>
          </w:p>
        </w:tc>
        <w:tc>
          <w:tcPr>
            <w:tcW w:w="1720" w:type="dxa"/>
            <w:tcBorders>
              <w:top w:val="nil"/>
              <w:left w:val="nil"/>
              <w:bottom w:val="single" w:sz="4" w:space="0" w:color="auto"/>
              <w:right w:val="single" w:sz="4" w:space="0" w:color="auto"/>
            </w:tcBorders>
            <w:shd w:val="clear" w:color="auto" w:fill="auto"/>
            <w:noWrap/>
            <w:vAlign w:val="center"/>
            <w:hideMark/>
          </w:tcPr>
          <w:p w14:paraId="44620C43" w14:textId="42BA7B1F"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68 235 294   </w:t>
            </w:r>
          </w:p>
        </w:tc>
        <w:tc>
          <w:tcPr>
            <w:tcW w:w="820" w:type="dxa"/>
            <w:tcBorders>
              <w:top w:val="nil"/>
              <w:left w:val="nil"/>
              <w:bottom w:val="single" w:sz="4" w:space="0" w:color="auto"/>
              <w:right w:val="single" w:sz="4" w:space="0" w:color="auto"/>
            </w:tcBorders>
            <w:shd w:val="clear" w:color="auto" w:fill="auto"/>
            <w:noWrap/>
            <w:vAlign w:val="center"/>
            <w:hideMark/>
          </w:tcPr>
          <w:p w14:paraId="007D4068"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129</w:t>
            </w:r>
          </w:p>
        </w:tc>
        <w:tc>
          <w:tcPr>
            <w:tcW w:w="1900" w:type="dxa"/>
            <w:tcBorders>
              <w:top w:val="nil"/>
              <w:left w:val="nil"/>
              <w:bottom w:val="single" w:sz="4" w:space="0" w:color="auto"/>
              <w:right w:val="single" w:sz="4" w:space="0" w:color="auto"/>
            </w:tcBorders>
            <w:shd w:val="clear" w:color="auto" w:fill="auto"/>
            <w:noWrap/>
            <w:vAlign w:val="center"/>
            <w:hideMark/>
          </w:tcPr>
          <w:p w14:paraId="601C95FE" w14:textId="07123D77"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119 222 04</w:t>
            </w:r>
            <w:r w:rsidR="000609DA">
              <w:rPr>
                <w:rFonts w:ascii="Arial" w:hAnsi="Arial" w:cs="Arial"/>
                <w:color w:val="000000"/>
                <w:sz w:val="16"/>
                <w:szCs w:val="16"/>
              </w:rPr>
              <w:t>5</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43B324AA"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55</w:t>
            </w:r>
          </w:p>
        </w:tc>
        <w:tc>
          <w:tcPr>
            <w:tcW w:w="1720" w:type="dxa"/>
            <w:tcBorders>
              <w:top w:val="nil"/>
              <w:left w:val="nil"/>
              <w:bottom w:val="single" w:sz="4" w:space="0" w:color="auto"/>
              <w:right w:val="single" w:sz="4" w:space="0" w:color="auto"/>
            </w:tcBorders>
            <w:shd w:val="clear" w:color="auto" w:fill="auto"/>
            <w:noWrap/>
            <w:vAlign w:val="center"/>
            <w:hideMark/>
          </w:tcPr>
          <w:p w14:paraId="4A926892" w14:textId="61CCB29B"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70 866 675   </w:t>
            </w:r>
          </w:p>
        </w:tc>
      </w:tr>
      <w:tr w:rsidR="00E006F9" w:rsidRPr="00803DFA" w14:paraId="343C34E8"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5AFE3994"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OPZP-PO3-13-2</w:t>
            </w:r>
          </w:p>
        </w:tc>
        <w:tc>
          <w:tcPr>
            <w:tcW w:w="1720" w:type="dxa"/>
            <w:tcBorders>
              <w:top w:val="nil"/>
              <w:left w:val="nil"/>
              <w:bottom w:val="single" w:sz="4" w:space="0" w:color="auto"/>
              <w:right w:val="single" w:sz="4" w:space="0" w:color="auto"/>
            </w:tcBorders>
            <w:shd w:val="clear" w:color="auto" w:fill="auto"/>
            <w:noWrap/>
            <w:vAlign w:val="center"/>
            <w:hideMark/>
          </w:tcPr>
          <w:p w14:paraId="65F3DC5F" w14:textId="04ECBCE1"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36 926 551   </w:t>
            </w:r>
          </w:p>
        </w:tc>
        <w:tc>
          <w:tcPr>
            <w:tcW w:w="820" w:type="dxa"/>
            <w:tcBorders>
              <w:top w:val="nil"/>
              <w:left w:val="nil"/>
              <w:bottom w:val="single" w:sz="4" w:space="0" w:color="auto"/>
              <w:right w:val="single" w:sz="4" w:space="0" w:color="auto"/>
            </w:tcBorders>
            <w:shd w:val="clear" w:color="auto" w:fill="auto"/>
            <w:noWrap/>
            <w:vAlign w:val="center"/>
            <w:hideMark/>
          </w:tcPr>
          <w:p w14:paraId="575A2125"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5</w:t>
            </w:r>
          </w:p>
        </w:tc>
        <w:tc>
          <w:tcPr>
            <w:tcW w:w="1900" w:type="dxa"/>
            <w:tcBorders>
              <w:top w:val="nil"/>
              <w:left w:val="nil"/>
              <w:bottom w:val="single" w:sz="4" w:space="0" w:color="auto"/>
              <w:right w:val="single" w:sz="4" w:space="0" w:color="auto"/>
            </w:tcBorders>
            <w:shd w:val="clear" w:color="auto" w:fill="auto"/>
            <w:noWrap/>
            <w:vAlign w:val="center"/>
            <w:hideMark/>
          </w:tcPr>
          <w:p w14:paraId="37B67337" w14:textId="0916ABAE"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29 879 679   </w:t>
            </w:r>
          </w:p>
        </w:tc>
        <w:tc>
          <w:tcPr>
            <w:tcW w:w="820" w:type="dxa"/>
            <w:tcBorders>
              <w:top w:val="nil"/>
              <w:left w:val="nil"/>
              <w:bottom w:val="single" w:sz="4" w:space="0" w:color="auto"/>
              <w:right w:val="single" w:sz="4" w:space="0" w:color="auto"/>
            </w:tcBorders>
            <w:shd w:val="clear" w:color="auto" w:fill="auto"/>
            <w:noWrap/>
            <w:vAlign w:val="center"/>
            <w:hideMark/>
          </w:tcPr>
          <w:p w14:paraId="6D6ED899"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4</w:t>
            </w:r>
          </w:p>
        </w:tc>
        <w:tc>
          <w:tcPr>
            <w:tcW w:w="1720" w:type="dxa"/>
            <w:tcBorders>
              <w:top w:val="nil"/>
              <w:left w:val="nil"/>
              <w:bottom w:val="single" w:sz="4" w:space="0" w:color="auto"/>
              <w:right w:val="single" w:sz="4" w:space="0" w:color="auto"/>
            </w:tcBorders>
            <w:shd w:val="clear" w:color="auto" w:fill="auto"/>
            <w:noWrap/>
            <w:vAlign w:val="center"/>
            <w:hideMark/>
          </w:tcPr>
          <w:p w14:paraId="50785AB2" w14:textId="45C4DE92"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20 383 43</w:t>
            </w:r>
            <w:r w:rsidR="000609DA">
              <w:rPr>
                <w:rFonts w:ascii="Arial" w:hAnsi="Arial" w:cs="Arial"/>
                <w:color w:val="000000"/>
                <w:sz w:val="16"/>
                <w:szCs w:val="16"/>
              </w:rPr>
              <w:t>2</w:t>
            </w:r>
            <w:r w:rsidRPr="00803DFA">
              <w:rPr>
                <w:rFonts w:ascii="Arial" w:hAnsi="Arial" w:cs="Arial"/>
                <w:color w:val="000000"/>
                <w:sz w:val="16"/>
                <w:szCs w:val="16"/>
              </w:rPr>
              <w:t xml:space="preserve">   </w:t>
            </w:r>
          </w:p>
        </w:tc>
      </w:tr>
      <w:tr w:rsidR="00E006F9" w:rsidRPr="00803DFA" w14:paraId="0EE032AF"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04C684BF"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OPZP-PO3-13-3</w:t>
            </w:r>
          </w:p>
        </w:tc>
        <w:tc>
          <w:tcPr>
            <w:tcW w:w="1720" w:type="dxa"/>
            <w:tcBorders>
              <w:top w:val="nil"/>
              <w:left w:val="nil"/>
              <w:bottom w:val="single" w:sz="4" w:space="0" w:color="auto"/>
              <w:right w:val="single" w:sz="4" w:space="0" w:color="auto"/>
            </w:tcBorders>
            <w:shd w:val="clear" w:color="auto" w:fill="auto"/>
            <w:noWrap/>
            <w:vAlign w:val="center"/>
            <w:hideMark/>
          </w:tcPr>
          <w:p w14:paraId="4EDF4C68" w14:textId="2C9B4EE6"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11 285 846   </w:t>
            </w:r>
          </w:p>
        </w:tc>
        <w:tc>
          <w:tcPr>
            <w:tcW w:w="820" w:type="dxa"/>
            <w:tcBorders>
              <w:top w:val="nil"/>
              <w:left w:val="nil"/>
              <w:bottom w:val="single" w:sz="4" w:space="0" w:color="auto"/>
              <w:right w:val="single" w:sz="4" w:space="0" w:color="auto"/>
            </w:tcBorders>
            <w:shd w:val="clear" w:color="auto" w:fill="auto"/>
            <w:noWrap/>
            <w:vAlign w:val="center"/>
            <w:hideMark/>
          </w:tcPr>
          <w:p w14:paraId="67831463"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2</w:t>
            </w:r>
          </w:p>
        </w:tc>
        <w:tc>
          <w:tcPr>
            <w:tcW w:w="1900" w:type="dxa"/>
            <w:tcBorders>
              <w:top w:val="nil"/>
              <w:left w:val="nil"/>
              <w:bottom w:val="single" w:sz="4" w:space="0" w:color="auto"/>
              <w:right w:val="single" w:sz="4" w:space="0" w:color="auto"/>
            </w:tcBorders>
            <w:shd w:val="clear" w:color="auto" w:fill="auto"/>
            <w:noWrap/>
            <w:vAlign w:val="center"/>
            <w:hideMark/>
          </w:tcPr>
          <w:p w14:paraId="2AB1F54E" w14:textId="5D2E8872"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2 263 92</w:t>
            </w:r>
            <w:r w:rsidR="000609DA">
              <w:rPr>
                <w:rFonts w:ascii="Arial" w:hAnsi="Arial" w:cs="Arial"/>
                <w:color w:val="000000"/>
                <w:sz w:val="16"/>
                <w:szCs w:val="16"/>
              </w:rPr>
              <w:t>3</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081C74ED"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0</w:t>
            </w:r>
          </w:p>
        </w:tc>
        <w:tc>
          <w:tcPr>
            <w:tcW w:w="1720" w:type="dxa"/>
            <w:tcBorders>
              <w:top w:val="nil"/>
              <w:left w:val="nil"/>
              <w:bottom w:val="single" w:sz="4" w:space="0" w:color="auto"/>
              <w:right w:val="single" w:sz="4" w:space="0" w:color="auto"/>
            </w:tcBorders>
            <w:shd w:val="clear" w:color="auto" w:fill="auto"/>
            <w:noWrap/>
            <w:vAlign w:val="center"/>
            <w:hideMark/>
          </w:tcPr>
          <w:p w14:paraId="46BE556E" w14:textId="5D3574C6" w:rsidR="00E006F9" w:rsidRPr="00803DFA" w:rsidRDefault="009C255E" w:rsidP="00D66206">
            <w:pPr>
              <w:jc w:val="right"/>
              <w:rPr>
                <w:rFonts w:ascii="Arial" w:hAnsi="Arial" w:cs="Arial"/>
                <w:color w:val="000000"/>
                <w:sz w:val="16"/>
                <w:szCs w:val="16"/>
              </w:rPr>
            </w:pPr>
            <w:r>
              <w:rPr>
                <w:rFonts w:ascii="Arial" w:hAnsi="Arial" w:cs="Arial"/>
                <w:color w:val="000000"/>
                <w:sz w:val="16"/>
                <w:szCs w:val="16"/>
              </w:rPr>
              <w:t>-</w:t>
            </w:r>
            <w:r w:rsidR="00E006F9" w:rsidRPr="00803DFA">
              <w:rPr>
                <w:rFonts w:ascii="Arial" w:hAnsi="Arial" w:cs="Arial"/>
                <w:color w:val="000000"/>
                <w:sz w:val="16"/>
                <w:szCs w:val="16"/>
              </w:rPr>
              <w:t> </w:t>
            </w:r>
          </w:p>
        </w:tc>
      </w:tr>
      <w:tr w:rsidR="00E006F9" w:rsidRPr="00803DFA" w14:paraId="5E5FC873"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4A050F42"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OPZP-PO3-13-4</w:t>
            </w:r>
          </w:p>
        </w:tc>
        <w:tc>
          <w:tcPr>
            <w:tcW w:w="1720" w:type="dxa"/>
            <w:tcBorders>
              <w:top w:val="nil"/>
              <w:left w:val="nil"/>
              <w:bottom w:val="single" w:sz="4" w:space="0" w:color="auto"/>
              <w:right w:val="single" w:sz="4" w:space="0" w:color="auto"/>
            </w:tcBorders>
            <w:shd w:val="clear" w:color="auto" w:fill="auto"/>
            <w:noWrap/>
            <w:vAlign w:val="center"/>
            <w:hideMark/>
          </w:tcPr>
          <w:p w14:paraId="3F272CD8" w14:textId="66CDB754"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24 030 05</w:t>
            </w:r>
            <w:r w:rsidR="0059350B">
              <w:rPr>
                <w:rFonts w:ascii="Arial" w:hAnsi="Arial" w:cs="Arial"/>
                <w:color w:val="000000"/>
                <w:sz w:val="16"/>
                <w:szCs w:val="16"/>
              </w:rPr>
              <w:t>9</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5CF03A73"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7</w:t>
            </w:r>
          </w:p>
        </w:tc>
        <w:tc>
          <w:tcPr>
            <w:tcW w:w="1900" w:type="dxa"/>
            <w:tcBorders>
              <w:top w:val="nil"/>
              <w:left w:val="nil"/>
              <w:bottom w:val="single" w:sz="4" w:space="0" w:color="auto"/>
              <w:right w:val="single" w:sz="4" w:space="0" w:color="auto"/>
            </w:tcBorders>
            <w:shd w:val="clear" w:color="auto" w:fill="auto"/>
            <w:noWrap/>
            <w:vAlign w:val="center"/>
            <w:hideMark/>
          </w:tcPr>
          <w:p w14:paraId="06FF41C5" w14:textId="7CFF04D4"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39 602 93</w:t>
            </w:r>
            <w:r w:rsidR="000609DA">
              <w:rPr>
                <w:rFonts w:ascii="Arial" w:hAnsi="Arial" w:cs="Arial"/>
                <w:color w:val="000000"/>
                <w:sz w:val="16"/>
                <w:szCs w:val="16"/>
              </w:rPr>
              <w:t>1</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098ADCF0"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4</w:t>
            </w:r>
          </w:p>
        </w:tc>
        <w:tc>
          <w:tcPr>
            <w:tcW w:w="1720" w:type="dxa"/>
            <w:tcBorders>
              <w:top w:val="nil"/>
              <w:left w:val="nil"/>
              <w:bottom w:val="single" w:sz="4" w:space="0" w:color="auto"/>
              <w:right w:val="single" w:sz="4" w:space="0" w:color="auto"/>
            </w:tcBorders>
            <w:shd w:val="clear" w:color="auto" w:fill="auto"/>
            <w:noWrap/>
            <w:vAlign w:val="center"/>
            <w:hideMark/>
          </w:tcPr>
          <w:p w14:paraId="2F4AA9C5" w14:textId="5E6927C2"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24 030 05</w:t>
            </w:r>
            <w:r w:rsidR="000609DA">
              <w:rPr>
                <w:rFonts w:ascii="Arial" w:hAnsi="Arial" w:cs="Arial"/>
                <w:color w:val="000000"/>
                <w:sz w:val="16"/>
                <w:szCs w:val="16"/>
              </w:rPr>
              <w:t>7</w:t>
            </w:r>
            <w:r w:rsidRPr="00803DFA">
              <w:rPr>
                <w:rFonts w:ascii="Arial" w:hAnsi="Arial" w:cs="Arial"/>
                <w:color w:val="000000"/>
                <w:sz w:val="16"/>
                <w:szCs w:val="16"/>
              </w:rPr>
              <w:t xml:space="preserve">   </w:t>
            </w:r>
          </w:p>
        </w:tc>
      </w:tr>
      <w:tr w:rsidR="00E006F9" w:rsidRPr="00803DFA" w14:paraId="4B94E615"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1B99D479"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OPZP-PO4-08-2</w:t>
            </w:r>
          </w:p>
        </w:tc>
        <w:tc>
          <w:tcPr>
            <w:tcW w:w="1720" w:type="dxa"/>
            <w:tcBorders>
              <w:top w:val="nil"/>
              <w:left w:val="nil"/>
              <w:bottom w:val="single" w:sz="4" w:space="0" w:color="auto"/>
              <w:right w:val="single" w:sz="4" w:space="0" w:color="auto"/>
            </w:tcBorders>
            <w:shd w:val="clear" w:color="auto" w:fill="auto"/>
            <w:noWrap/>
            <w:vAlign w:val="center"/>
            <w:hideMark/>
          </w:tcPr>
          <w:p w14:paraId="7778E09F" w14:textId="0327294D"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15 407 153   </w:t>
            </w:r>
          </w:p>
        </w:tc>
        <w:tc>
          <w:tcPr>
            <w:tcW w:w="820" w:type="dxa"/>
            <w:tcBorders>
              <w:top w:val="nil"/>
              <w:left w:val="nil"/>
              <w:bottom w:val="single" w:sz="4" w:space="0" w:color="auto"/>
              <w:right w:val="single" w:sz="4" w:space="0" w:color="auto"/>
            </w:tcBorders>
            <w:shd w:val="clear" w:color="auto" w:fill="auto"/>
            <w:noWrap/>
            <w:vAlign w:val="center"/>
            <w:hideMark/>
          </w:tcPr>
          <w:p w14:paraId="734E3C94"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103</w:t>
            </w:r>
          </w:p>
        </w:tc>
        <w:tc>
          <w:tcPr>
            <w:tcW w:w="1900" w:type="dxa"/>
            <w:tcBorders>
              <w:top w:val="nil"/>
              <w:left w:val="nil"/>
              <w:bottom w:val="single" w:sz="4" w:space="0" w:color="auto"/>
              <w:right w:val="single" w:sz="4" w:space="0" w:color="auto"/>
            </w:tcBorders>
            <w:shd w:val="clear" w:color="auto" w:fill="auto"/>
            <w:noWrap/>
            <w:vAlign w:val="center"/>
            <w:hideMark/>
          </w:tcPr>
          <w:p w14:paraId="1B76EDAF" w14:textId="10683110"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55 263 51</w:t>
            </w:r>
            <w:r w:rsidR="000609DA">
              <w:rPr>
                <w:rFonts w:ascii="Arial" w:hAnsi="Arial" w:cs="Arial"/>
                <w:color w:val="000000"/>
                <w:sz w:val="16"/>
                <w:szCs w:val="16"/>
              </w:rPr>
              <w:t>6</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3C89060D"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18</w:t>
            </w:r>
          </w:p>
        </w:tc>
        <w:tc>
          <w:tcPr>
            <w:tcW w:w="1720" w:type="dxa"/>
            <w:tcBorders>
              <w:top w:val="nil"/>
              <w:left w:val="nil"/>
              <w:bottom w:val="single" w:sz="4" w:space="0" w:color="auto"/>
              <w:right w:val="single" w:sz="4" w:space="0" w:color="auto"/>
            </w:tcBorders>
            <w:shd w:val="clear" w:color="auto" w:fill="auto"/>
            <w:noWrap/>
            <w:vAlign w:val="center"/>
            <w:hideMark/>
          </w:tcPr>
          <w:p w14:paraId="6FB9F264" w14:textId="082EEE3D"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15 262 599   </w:t>
            </w:r>
          </w:p>
        </w:tc>
      </w:tr>
      <w:tr w:rsidR="00E006F9" w:rsidRPr="00803DFA" w14:paraId="4504A10C"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2A4B81EE"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OPZP-PO4-08-3</w:t>
            </w:r>
          </w:p>
        </w:tc>
        <w:tc>
          <w:tcPr>
            <w:tcW w:w="1720" w:type="dxa"/>
            <w:tcBorders>
              <w:top w:val="nil"/>
              <w:left w:val="nil"/>
              <w:bottom w:val="single" w:sz="4" w:space="0" w:color="auto"/>
              <w:right w:val="single" w:sz="4" w:space="0" w:color="auto"/>
            </w:tcBorders>
            <w:shd w:val="clear" w:color="auto" w:fill="auto"/>
            <w:noWrap/>
            <w:vAlign w:val="center"/>
            <w:hideMark/>
          </w:tcPr>
          <w:p w14:paraId="2DC45A2F" w14:textId="0B763FDA"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61 628 613   </w:t>
            </w:r>
          </w:p>
        </w:tc>
        <w:tc>
          <w:tcPr>
            <w:tcW w:w="820" w:type="dxa"/>
            <w:tcBorders>
              <w:top w:val="nil"/>
              <w:left w:val="nil"/>
              <w:bottom w:val="single" w:sz="4" w:space="0" w:color="auto"/>
              <w:right w:val="single" w:sz="4" w:space="0" w:color="auto"/>
            </w:tcBorders>
            <w:shd w:val="clear" w:color="auto" w:fill="auto"/>
            <w:noWrap/>
            <w:vAlign w:val="center"/>
            <w:hideMark/>
          </w:tcPr>
          <w:p w14:paraId="60C484EE"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69</w:t>
            </w:r>
          </w:p>
        </w:tc>
        <w:tc>
          <w:tcPr>
            <w:tcW w:w="1900" w:type="dxa"/>
            <w:tcBorders>
              <w:top w:val="nil"/>
              <w:left w:val="nil"/>
              <w:bottom w:val="single" w:sz="4" w:space="0" w:color="auto"/>
              <w:right w:val="single" w:sz="4" w:space="0" w:color="auto"/>
            </w:tcBorders>
            <w:shd w:val="clear" w:color="auto" w:fill="auto"/>
            <w:noWrap/>
            <w:vAlign w:val="center"/>
            <w:hideMark/>
          </w:tcPr>
          <w:p w14:paraId="6E2C7FB7" w14:textId="527C4FAF"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195 330 49</w:t>
            </w:r>
            <w:r w:rsidR="000609DA">
              <w:rPr>
                <w:rFonts w:ascii="Arial" w:hAnsi="Arial" w:cs="Arial"/>
                <w:color w:val="000000"/>
                <w:sz w:val="16"/>
                <w:szCs w:val="16"/>
              </w:rPr>
              <w:t>3</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3C2C86D8"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21</w:t>
            </w:r>
          </w:p>
        </w:tc>
        <w:tc>
          <w:tcPr>
            <w:tcW w:w="1720" w:type="dxa"/>
            <w:tcBorders>
              <w:top w:val="nil"/>
              <w:left w:val="nil"/>
              <w:bottom w:val="single" w:sz="4" w:space="0" w:color="auto"/>
              <w:right w:val="single" w:sz="4" w:space="0" w:color="auto"/>
            </w:tcBorders>
            <w:shd w:val="clear" w:color="auto" w:fill="auto"/>
            <w:noWrap/>
            <w:vAlign w:val="center"/>
            <w:hideMark/>
          </w:tcPr>
          <w:p w14:paraId="133DCD96" w14:textId="3EA3727A"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43 332 99</w:t>
            </w:r>
            <w:r w:rsidR="000609DA">
              <w:rPr>
                <w:rFonts w:ascii="Arial" w:hAnsi="Arial" w:cs="Arial"/>
                <w:color w:val="000000"/>
                <w:sz w:val="16"/>
                <w:szCs w:val="16"/>
              </w:rPr>
              <w:t>4</w:t>
            </w:r>
            <w:r w:rsidRPr="00803DFA">
              <w:rPr>
                <w:rFonts w:ascii="Arial" w:hAnsi="Arial" w:cs="Arial"/>
                <w:color w:val="000000"/>
                <w:sz w:val="16"/>
                <w:szCs w:val="16"/>
              </w:rPr>
              <w:t xml:space="preserve">   </w:t>
            </w:r>
          </w:p>
        </w:tc>
      </w:tr>
      <w:tr w:rsidR="00E006F9" w:rsidRPr="00803DFA" w14:paraId="7D020AD2"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5DA333FB"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OPZP-PO4-08-4</w:t>
            </w:r>
          </w:p>
        </w:tc>
        <w:tc>
          <w:tcPr>
            <w:tcW w:w="1720" w:type="dxa"/>
            <w:tcBorders>
              <w:top w:val="nil"/>
              <w:left w:val="nil"/>
              <w:bottom w:val="single" w:sz="4" w:space="0" w:color="auto"/>
              <w:right w:val="single" w:sz="4" w:space="0" w:color="auto"/>
            </w:tcBorders>
            <w:shd w:val="clear" w:color="auto" w:fill="auto"/>
            <w:noWrap/>
            <w:vAlign w:val="center"/>
            <w:hideMark/>
          </w:tcPr>
          <w:p w14:paraId="590E103B" w14:textId="1F6B79E1"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12 325 722   </w:t>
            </w:r>
          </w:p>
        </w:tc>
        <w:tc>
          <w:tcPr>
            <w:tcW w:w="820" w:type="dxa"/>
            <w:tcBorders>
              <w:top w:val="nil"/>
              <w:left w:val="nil"/>
              <w:bottom w:val="single" w:sz="4" w:space="0" w:color="auto"/>
              <w:right w:val="single" w:sz="4" w:space="0" w:color="auto"/>
            </w:tcBorders>
            <w:shd w:val="clear" w:color="auto" w:fill="auto"/>
            <w:noWrap/>
            <w:vAlign w:val="center"/>
            <w:hideMark/>
          </w:tcPr>
          <w:p w14:paraId="0B917E6E"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4</w:t>
            </w:r>
          </w:p>
        </w:tc>
        <w:tc>
          <w:tcPr>
            <w:tcW w:w="1900" w:type="dxa"/>
            <w:tcBorders>
              <w:top w:val="nil"/>
              <w:left w:val="nil"/>
              <w:bottom w:val="single" w:sz="4" w:space="0" w:color="auto"/>
              <w:right w:val="single" w:sz="4" w:space="0" w:color="auto"/>
            </w:tcBorders>
            <w:shd w:val="clear" w:color="auto" w:fill="auto"/>
            <w:noWrap/>
            <w:vAlign w:val="center"/>
            <w:hideMark/>
          </w:tcPr>
          <w:p w14:paraId="67ABF104" w14:textId="792F721E"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4 133 952   </w:t>
            </w:r>
          </w:p>
        </w:tc>
        <w:tc>
          <w:tcPr>
            <w:tcW w:w="820" w:type="dxa"/>
            <w:tcBorders>
              <w:top w:val="nil"/>
              <w:left w:val="nil"/>
              <w:bottom w:val="single" w:sz="4" w:space="0" w:color="auto"/>
              <w:right w:val="single" w:sz="4" w:space="0" w:color="auto"/>
            </w:tcBorders>
            <w:shd w:val="clear" w:color="auto" w:fill="auto"/>
            <w:noWrap/>
            <w:vAlign w:val="center"/>
            <w:hideMark/>
          </w:tcPr>
          <w:p w14:paraId="4A4A02FD"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3</w:t>
            </w:r>
          </w:p>
        </w:tc>
        <w:tc>
          <w:tcPr>
            <w:tcW w:w="1720" w:type="dxa"/>
            <w:tcBorders>
              <w:top w:val="nil"/>
              <w:left w:val="nil"/>
              <w:bottom w:val="single" w:sz="4" w:space="0" w:color="auto"/>
              <w:right w:val="single" w:sz="4" w:space="0" w:color="auto"/>
            </w:tcBorders>
            <w:shd w:val="clear" w:color="auto" w:fill="auto"/>
            <w:noWrap/>
            <w:vAlign w:val="center"/>
            <w:hideMark/>
          </w:tcPr>
          <w:p w14:paraId="14618A44" w14:textId="2C39F0BF"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3 550 154   </w:t>
            </w:r>
          </w:p>
        </w:tc>
      </w:tr>
      <w:tr w:rsidR="00E006F9" w:rsidRPr="00803DFA" w14:paraId="5DCEC27C"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52661C5D"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OPZP-PO4-09-1</w:t>
            </w:r>
          </w:p>
        </w:tc>
        <w:tc>
          <w:tcPr>
            <w:tcW w:w="1720" w:type="dxa"/>
            <w:tcBorders>
              <w:top w:val="nil"/>
              <w:left w:val="nil"/>
              <w:bottom w:val="single" w:sz="4" w:space="0" w:color="auto"/>
              <w:right w:val="single" w:sz="4" w:space="0" w:color="auto"/>
            </w:tcBorders>
            <w:shd w:val="clear" w:color="auto" w:fill="auto"/>
            <w:noWrap/>
            <w:vAlign w:val="center"/>
            <w:hideMark/>
          </w:tcPr>
          <w:p w14:paraId="325B0237" w14:textId="45D58F00"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130 000 000   </w:t>
            </w:r>
          </w:p>
        </w:tc>
        <w:tc>
          <w:tcPr>
            <w:tcW w:w="820" w:type="dxa"/>
            <w:tcBorders>
              <w:top w:val="nil"/>
              <w:left w:val="nil"/>
              <w:bottom w:val="single" w:sz="4" w:space="0" w:color="auto"/>
              <w:right w:val="single" w:sz="4" w:space="0" w:color="auto"/>
            </w:tcBorders>
            <w:shd w:val="clear" w:color="auto" w:fill="auto"/>
            <w:noWrap/>
            <w:vAlign w:val="center"/>
            <w:hideMark/>
          </w:tcPr>
          <w:p w14:paraId="6870B711"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190</w:t>
            </w:r>
          </w:p>
        </w:tc>
        <w:tc>
          <w:tcPr>
            <w:tcW w:w="1900" w:type="dxa"/>
            <w:tcBorders>
              <w:top w:val="nil"/>
              <w:left w:val="nil"/>
              <w:bottom w:val="single" w:sz="4" w:space="0" w:color="auto"/>
              <w:right w:val="single" w:sz="4" w:space="0" w:color="auto"/>
            </w:tcBorders>
            <w:shd w:val="clear" w:color="auto" w:fill="auto"/>
            <w:noWrap/>
            <w:vAlign w:val="center"/>
            <w:hideMark/>
          </w:tcPr>
          <w:p w14:paraId="472C0521" w14:textId="2CDBD502"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291 106 000   </w:t>
            </w:r>
          </w:p>
        </w:tc>
        <w:tc>
          <w:tcPr>
            <w:tcW w:w="820" w:type="dxa"/>
            <w:tcBorders>
              <w:top w:val="nil"/>
              <w:left w:val="nil"/>
              <w:bottom w:val="single" w:sz="4" w:space="0" w:color="auto"/>
              <w:right w:val="single" w:sz="4" w:space="0" w:color="auto"/>
            </w:tcBorders>
            <w:shd w:val="clear" w:color="auto" w:fill="auto"/>
            <w:noWrap/>
            <w:vAlign w:val="center"/>
            <w:hideMark/>
          </w:tcPr>
          <w:p w14:paraId="7ECDA9C9"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62</w:t>
            </w:r>
          </w:p>
        </w:tc>
        <w:tc>
          <w:tcPr>
            <w:tcW w:w="1720" w:type="dxa"/>
            <w:tcBorders>
              <w:top w:val="nil"/>
              <w:left w:val="nil"/>
              <w:bottom w:val="single" w:sz="4" w:space="0" w:color="auto"/>
              <w:right w:val="single" w:sz="4" w:space="0" w:color="auto"/>
            </w:tcBorders>
            <w:shd w:val="clear" w:color="auto" w:fill="auto"/>
            <w:noWrap/>
            <w:vAlign w:val="center"/>
            <w:hideMark/>
          </w:tcPr>
          <w:p w14:paraId="32F78C51" w14:textId="088777AF"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125 168 14</w:t>
            </w:r>
            <w:r w:rsidR="000609DA">
              <w:rPr>
                <w:rFonts w:ascii="Arial" w:hAnsi="Arial" w:cs="Arial"/>
                <w:color w:val="000000"/>
                <w:sz w:val="16"/>
                <w:szCs w:val="16"/>
              </w:rPr>
              <w:t>2</w:t>
            </w:r>
            <w:r w:rsidRPr="00803DFA">
              <w:rPr>
                <w:rFonts w:ascii="Arial" w:hAnsi="Arial" w:cs="Arial"/>
                <w:color w:val="000000"/>
                <w:sz w:val="16"/>
                <w:szCs w:val="16"/>
              </w:rPr>
              <w:t xml:space="preserve">   </w:t>
            </w:r>
          </w:p>
        </w:tc>
      </w:tr>
      <w:tr w:rsidR="00E006F9" w:rsidRPr="00803DFA" w14:paraId="4456A35C"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6007FEB0"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OPZP-PO4-09-4</w:t>
            </w:r>
          </w:p>
        </w:tc>
        <w:tc>
          <w:tcPr>
            <w:tcW w:w="1720" w:type="dxa"/>
            <w:tcBorders>
              <w:top w:val="nil"/>
              <w:left w:val="nil"/>
              <w:bottom w:val="single" w:sz="4" w:space="0" w:color="auto"/>
              <w:right w:val="single" w:sz="4" w:space="0" w:color="auto"/>
            </w:tcBorders>
            <w:shd w:val="clear" w:color="auto" w:fill="auto"/>
            <w:noWrap/>
            <w:vAlign w:val="center"/>
            <w:hideMark/>
          </w:tcPr>
          <w:p w14:paraId="2DC29881" w14:textId="500732C4"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87 038 081   </w:t>
            </w:r>
          </w:p>
        </w:tc>
        <w:tc>
          <w:tcPr>
            <w:tcW w:w="820" w:type="dxa"/>
            <w:tcBorders>
              <w:top w:val="nil"/>
              <w:left w:val="nil"/>
              <w:bottom w:val="single" w:sz="4" w:space="0" w:color="auto"/>
              <w:right w:val="single" w:sz="4" w:space="0" w:color="auto"/>
            </w:tcBorders>
            <w:shd w:val="clear" w:color="auto" w:fill="auto"/>
            <w:noWrap/>
            <w:vAlign w:val="center"/>
            <w:hideMark/>
          </w:tcPr>
          <w:p w14:paraId="1D615C4A"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6</w:t>
            </w:r>
          </w:p>
        </w:tc>
        <w:tc>
          <w:tcPr>
            <w:tcW w:w="1900" w:type="dxa"/>
            <w:tcBorders>
              <w:top w:val="nil"/>
              <w:left w:val="nil"/>
              <w:bottom w:val="single" w:sz="4" w:space="0" w:color="auto"/>
              <w:right w:val="single" w:sz="4" w:space="0" w:color="auto"/>
            </w:tcBorders>
            <w:shd w:val="clear" w:color="auto" w:fill="auto"/>
            <w:noWrap/>
            <w:vAlign w:val="center"/>
            <w:hideMark/>
          </w:tcPr>
          <w:p w14:paraId="3B1E4B0A" w14:textId="3F3359E7"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9 690 661   </w:t>
            </w:r>
          </w:p>
        </w:tc>
        <w:tc>
          <w:tcPr>
            <w:tcW w:w="820" w:type="dxa"/>
            <w:tcBorders>
              <w:top w:val="nil"/>
              <w:left w:val="nil"/>
              <w:bottom w:val="single" w:sz="4" w:space="0" w:color="auto"/>
              <w:right w:val="single" w:sz="4" w:space="0" w:color="auto"/>
            </w:tcBorders>
            <w:shd w:val="clear" w:color="auto" w:fill="auto"/>
            <w:noWrap/>
            <w:vAlign w:val="center"/>
            <w:hideMark/>
          </w:tcPr>
          <w:p w14:paraId="14319567"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5</w:t>
            </w:r>
          </w:p>
        </w:tc>
        <w:tc>
          <w:tcPr>
            <w:tcW w:w="1720" w:type="dxa"/>
            <w:tcBorders>
              <w:top w:val="nil"/>
              <w:left w:val="nil"/>
              <w:bottom w:val="single" w:sz="4" w:space="0" w:color="auto"/>
              <w:right w:val="single" w:sz="4" w:space="0" w:color="auto"/>
            </w:tcBorders>
            <w:shd w:val="clear" w:color="auto" w:fill="auto"/>
            <w:noWrap/>
            <w:vAlign w:val="center"/>
            <w:hideMark/>
          </w:tcPr>
          <w:p w14:paraId="4D3D50EE" w14:textId="300CBE72"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8 933 15</w:t>
            </w:r>
            <w:r w:rsidR="000609DA">
              <w:rPr>
                <w:rFonts w:ascii="Arial" w:hAnsi="Arial" w:cs="Arial"/>
                <w:color w:val="000000"/>
                <w:sz w:val="16"/>
                <w:szCs w:val="16"/>
              </w:rPr>
              <w:t>7</w:t>
            </w:r>
            <w:r w:rsidRPr="00803DFA">
              <w:rPr>
                <w:rFonts w:ascii="Arial" w:hAnsi="Arial" w:cs="Arial"/>
                <w:color w:val="000000"/>
                <w:sz w:val="16"/>
                <w:szCs w:val="16"/>
              </w:rPr>
              <w:t xml:space="preserve">   </w:t>
            </w:r>
          </w:p>
        </w:tc>
      </w:tr>
      <w:tr w:rsidR="00E006F9" w:rsidRPr="00803DFA" w14:paraId="179CE045"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4AC5E5A6"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OPZP-PO4-10-1</w:t>
            </w:r>
          </w:p>
        </w:tc>
        <w:tc>
          <w:tcPr>
            <w:tcW w:w="1720" w:type="dxa"/>
            <w:tcBorders>
              <w:top w:val="nil"/>
              <w:left w:val="nil"/>
              <w:bottom w:val="single" w:sz="4" w:space="0" w:color="auto"/>
              <w:right w:val="single" w:sz="4" w:space="0" w:color="auto"/>
            </w:tcBorders>
            <w:shd w:val="clear" w:color="auto" w:fill="auto"/>
            <w:noWrap/>
            <w:vAlign w:val="center"/>
            <w:hideMark/>
          </w:tcPr>
          <w:p w14:paraId="2507FA5B" w14:textId="73F2F8D9"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73 000 000   </w:t>
            </w:r>
          </w:p>
        </w:tc>
        <w:tc>
          <w:tcPr>
            <w:tcW w:w="820" w:type="dxa"/>
            <w:tcBorders>
              <w:top w:val="nil"/>
              <w:left w:val="nil"/>
              <w:bottom w:val="single" w:sz="4" w:space="0" w:color="auto"/>
              <w:right w:val="single" w:sz="4" w:space="0" w:color="auto"/>
            </w:tcBorders>
            <w:shd w:val="clear" w:color="auto" w:fill="auto"/>
            <w:noWrap/>
            <w:vAlign w:val="center"/>
            <w:hideMark/>
          </w:tcPr>
          <w:p w14:paraId="3E1C41DC"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428</w:t>
            </w:r>
          </w:p>
        </w:tc>
        <w:tc>
          <w:tcPr>
            <w:tcW w:w="1900" w:type="dxa"/>
            <w:tcBorders>
              <w:top w:val="nil"/>
              <w:left w:val="nil"/>
              <w:bottom w:val="single" w:sz="4" w:space="0" w:color="auto"/>
              <w:right w:val="single" w:sz="4" w:space="0" w:color="auto"/>
            </w:tcBorders>
            <w:shd w:val="clear" w:color="auto" w:fill="auto"/>
            <w:noWrap/>
            <w:vAlign w:val="center"/>
            <w:hideMark/>
          </w:tcPr>
          <w:p w14:paraId="5D1775BA" w14:textId="4B418A14"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578 438 83</w:t>
            </w:r>
            <w:r w:rsidR="000609DA">
              <w:rPr>
                <w:rFonts w:ascii="Arial" w:hAnsi="Arial" w:cs="Arial"/>
                <w:color w:val="000000"/>
                <w:sz w:val="16"/>
                <w:szCs w:val="16"/>
              </w:rPr>
              <w:t>1</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680C547B"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58</w:t>
            </w:r>
          </w:p>
        </w:tc>
        <w:tc>
          <w:tcPr>
            <w:tcW w:w="1720" w:type="dxa"/>
            <w:tcBorders>
              <w:top w:val="nil"/>
              <w:left w:val="nil"/>
              <w:bottom w:val="single" w:sz="4" w:space="0" w:color="auto"/>
              <w:right w:val="single" w:sz="4" w:space="0" w:color="auto"/>
            </w:tcBorders>
            <w:shd w:val="clear" w:color="auto" w:fill="auto"/>
            <w:noWrap/>
            <w:vAlign w:val="center"/>
            <w:hideMark/>
          </w:tcPr>
          <w:p w14:paraId="3C11F2D0" w14:textId="2C5AF4D0"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72 721 50</w:t>
            </w:r>
            <w:r w:rsidR="000609DA">
              <w:rPr>
                <w:rFonts w:ascii="Arial" w:hAnsi="Arial" w:cs="Arial"/>
                <w:color w:val="000000"/>
                <w:sz w:val="16"/>
                <w:szCs w:val="16"/>
              </w:rPr>
              <w:t>1</w:t>
            </w:r>
            <w:r w:rsidRPr="00803DFA">
              <w:rPr>
                <w:rFonts w:ascii="Arial" w:hAnsi="Arial" w:cs="Arial"/>
                <w:color w:val="000000"/>
                <w:sz w:val="16"/>
                <w:szCs w:val="16"/>
              </w:rPr>
              <w:t xml:space="preserve">   </w:t>
            </w:r>
          </w:p>
        </w:tc>
      </w:tr>
      <w:tr w:rsidR="00E006F9" w:rsidRPr="00803DFA" w14:paraId="12FFD28B"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78546E36"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OPZP-PO4-11-3</w:t>
            </w:r>
          </w:p>
        </w:tc>
        <w:tc>
          <w:tcPr>
            <w:tcW w:w="1720" w:type="dxa"/>
            <w:tcBorders>
              <w:top w:val="nil"/>
              <w:left w:val="nil"/>
              <w:bottom w:val="single" w:sz="4" w:space="0" w:color="auto"/>
              <w:right w:val="single" w:sz="4" w:space="0" w:color="auto"/>
            </w:tcBorders>
            <w:shd w:val="clear" w:color="auto" w:fill="auto"/>
            <w:noWrap/>
            <w:vAlign w:val="center"/>
            <w:hideMark/>
          </w:tcPr>
          <w:p w14:paraId="5A1501D4" w14:textId="386E9758"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50 000 000   </w:t>
            </w:r>
          </w:p>
        </w:tc>
        <w:tc>
          <w:tcPr>
            <w:tcW w:w="820" w:type="dxa"/>
            <w:tcBorders>
              <w:top w:val="nil"/>
              <w:left w:val="nil"/>
              <w:bottom w:val="single" w:sz="4" w:space="0" w:color="auto"/>
              <w:right w:val="single" w:sz="4" w:space="0" w:color="auto"/>
            </w:tcBorders>
            <w:shd w:val="clear" w:color="auto" w:fill="auto"/>
            <w:noWrap/>
            <w:vAlign w:val="center"/>
            <w:hideMark/>
          </w:tcPr>
          <w:p w14:paraId="72F417BA"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501</w:t>
            </w:r>
          </w:p>
        </w:tc>
        <w:tc>
          <w:tcPr>
            <w:tcW w:w="1900" w:type="dxa"/>
            <w:tcBorders>
              <w:top w:val="nil"/>
              <w:left w:val="nil"/>
              <w:bottom w:val="single" w:sz="4" w:space="0" w:color="auto"/>
              <w:right w:val="single" w:sz="4" w:space="0" w:color="auto"/>
            </w:tcBorders>
            <w:shd w:val="clear" w:color="auto" w:fill="auto"/>
            <w:noWrap/>
            <w:vAlign w:val="center"/>
            <w:hideMark/>
          </w:tcPr>
          <w:p w14:paraId="193F2220" w14:textId="05B0E543"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380 948 </w:t>
            </w:r>
            <w:r w:rsidR="000609DA">
              <w:rPr>
                <w:rFonts w:ascii="Arial" w:hAnsi="Arial" w:cs="Arial"/>
                <w:color w:val="000000"/>
                <w:sz w:val="16"/>
                <w:szCs w:val="16"/>
              </w:rPr>
              <w:t>280</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260CDA4D"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38</w:t>
            </w:r>
          </w:p>
        </w:tc>
        <w:tc>
          <w:tcPr>
            <w:tcW w:w="1720" w:type="dxa"/>
            <w:tcBorders>
              <w:top w:val="nil"/>
              <w:left w:val="nil"/>
              <w:bottom w:val="single" w:sz="4" w:space="0" w:color="auto"/>
              <w:right w:val="single" w:sz="4" w:space="0" w:color="auto"/>
            </w:tcBorders>
            <w:shd w:val="clear" w:color="auto" w:fill="auto"/>
            <w:noWrap/>
            <w:vAlign w:val="center"/>
            <w:hideMark/>
          </w:tcPr>
          <w:p w14:paraId="561F8A0C" w14:textId="6E57EA18"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36 496 812   </w:t>
            </w:r>
          </w:p>
        </w:tc>
      </w:tr>
      <w:tr w:rsidR="00E006F9" w:rsidRPr="00803DFA" w14:paraId="19476559"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7B3CCC59"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OPZP-PO4-11-4-LSKxP</w:t>
            </w:r>
          </w:p>
        </w:tc>
        <w:tc>
          <w:tcPr>
            <w:tcW w:w="1720" w:type="dxa"/>
            <w:tcBorders>
              <w:top w:val="nil"/>
              <w:left w:val="nil"/>
              <w:bottom w:val="single" w:sz="4" w:space="0" w:color="auto"/>
              <w:right w:val="single" w:sz="4" w:space="0" w:color="auto"/>
            </w:tcBorders>
            <w:shd w:val="clear" w:color="auto" w:fill="auto"/>
            <w:noWrap/>
            <w:vAlign w:val="center"/>
            <w:hideMark/>
          </w:tcPr>
          <w:p w14:paraId="667878D4" w14:textId="3DBC81BF"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15 000 000   </w:t>
            </w:r>
          </w:p>
        </w:tc>
        <w:tc>
          <w:tcPr>
            <w:tcW w:w="820" w:type="dxa"/>
            <w:tcBorders>
              <w:top w:val="nil"/>
              <w:left w:val="nil"/>
              <w:bottom w:val="single" w:sz="4" w:space="0" w:color="auto"/>
              <w:right w:val="single" w:sz="4" w:space="0" w:color="auto"/>
            </w:tcBorders>
            <w:shd w:val="clear" w:color="auto" w:fill="auto"/>
            <w:noWrap/>
            <w:vAlign w:val="center"/>
            <w:hideMark/>
          </w:tcPr>
          <w:p w14:paraId="36C038A7"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27</w:t>
            </w:r>
          </w:p>
        </w:tc>
        <w:tc>
          <w:tcPr>
            <w:tcW w:w="1900" w:type="dxa"/>
            <w:tcBorders>
              <w:top w:val="nil"/>
              <w:left w:val="nil"/>
              <w:bottom w:val="single" w:sz="4" w:space="0" w:color="auto"/>
              <w:right w:val="single" w:sz="4" w:space="0" w:color="auto"/>
            </w:tcBorders>
            <w:shd w:val="clear" w:color="auto" w:fill="auto"/>
            <w:noWrap/>
            <w:vAlign w:val="center"/>
            <w:hideMark/>
          </w:tcPr>
          <w:p w14:paraId="074A3E21" w14:textId="03CA4CF0"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15 551 199   </w:t>
            </w:r>
          </w:p>
        </w:tc>
        <w:tc>
          <w:tcPr>
            <w:tcW w:w="820" w:type="dxa"/>
            <w:tcBorders>
              <w:top w:val="nil"/>
              <w:left w:val="nil"/>
              <w:bottom w:val="single" w:sz="4" w:space="0" w:color="auto"/>
              <w:right w:val="single" w:sz="4" w:space="0" w:color="auto"/>
            </w:tcBorders>
            <w:shd w:val="clear" w:color="auto" w:fill="auto"/>
            <w:noWrap/>
            <w:vAlign w:val="center"/>
            <w:hideMark/>
          </w:tcPr>
          <w:p w14:paraId="463E3B33"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3</w:t>
            </w:r>
          </w:p>
        </w:tc>
        <w:tc>
          <w:tcPr>
            <w:tcW w:w="1720" w:type="dxa"/>
            <w:tcBorders>
              <w:top w:val="nil"/>
              <w:left w:val="nil"/>
              <w:bottom w:val="single" w:sz="4" w:space="0" w:color="auto"/>
              <w:right w:val="single" w:sz="4" w:space="0" w:color="auto"/>
            </w:tcBorders>
            <w:shd w:val="clear" w:color="auto" w:fill="auto"/>
            <w:noWrap/>
            <w:vAlign w:val="center"/>
            <w:hideMark/>
          </w:tcPr>
          <w:p w14:paraId="5C71EABE" w14:textId="02F650C8"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1 109 </w:t>
            </w:r>
            <w:r w:rsidR="000609DA">
              <w:rPr>
                <w:rFonts w:ascii="Arial" w:hAnsi="Arial" w:cs="Arial"/>
                <w:color w:val="000000"/>
                <w:sz w:val="16"/>
                <w:szCs w:val="16"/>
              </w:rPr>
              <w:t>900</w:t>
            </w:r>
            <w:r w:rsidRPr="00803DFA">
              <w:rPr>
                <w:rFonts w:ascii="Arial" w:hAnsi="Arial" w:cs="Arial"/>
                <w:color w:val="000000"/>
                <w:sz w:val="16"/>
                <w:szCs w:val="16"/>
              </w:rPr>
              <w:t xml:space="preserve">   </w:t>
            </w:r>
          </w:p>
        </w:tc>
      </w:tr>
      <w:tr w:rsidR="00E006F9" w:rsidRPr="00803DFA" w14:paraId="44F8B15C"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6307D781"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OPZP-PO4-11-5</w:t>
            </w:r>
          </w:p>
        </w:tc>
        <w:tc>
          <w:tcPr>
            <w:tcW w:w="1720" w:type="dxa"/>
            <w:tcBorders>
              <w:top w:val="nil"/>
              <w:left w:val="nil"/>
              <w:bottom w:val="single" w:sz="4" w:space="0" w:color="auto"/>
              <w:right w:val="single" w:sz="4" w:space="0" w:color="auto"/>
            </w:tcBorders>
            <w:shd w:val="clear" w:color="auto" w:fill="auto"/>
            <w:noWrap/>
            <w:vAlign w:val="center"/>
            <w:hideMark/>
          </w:tcPr>
          <w:p w14:paraId="3EE35757" w14:textId="3E85C7F9"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8 000 000   </w:t>
            </w:r>
          </w:p>
        </w:tc>
        <w:tc>
          <w:tcPr>
            <w:tcW w:w="820" w:type="dxa"/>
            <w:tcBorders>
              <w:top w:val="nil"/>
              <w:left w:val="nil"/>
              <w:bottom w:val="single" w:sz="4" w:space="0" w:color="auto"/>
              <w:right w:val="single" w:sz="4" w:space="0" w:color="auto"/>
            </w:tcBorders>
            <w:shd w:val="clear" w:color="auto" w:fill="auto"/>
            <w:noWrap/>
            <w:vAlign w:val="center"/>
            <w:hideMark/>
          </w:tcPr>
          <w:p w14:paraId="329A7887"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8</w:t>
            </w:r>
          </w:p>
        </w:tc>
        <w:tc>
          <w:tcPr>
            <w:tcW w:w="1900" w:type="dxa"/>
            <w:tcBorders>
              <w:top w:val="nil"/>
              <w:left w:val="nil"/>
              <w:bottom w:val="single" w:sz="4" w:space="0" w:color="auto"/>
              <w:right w:val="single" w:sz="4" w:space="0" w:color="auto"/>
            </w:tcBorders>
            <w:shd w:val="clear" w:color="auto" w:fill="auto"/>
            <w:noWrap/>
            <w:vAlign w:val="center"/>
            <w:hideMark/>
          </w:tcPr>
          <w:p w14:paraId="6B0E974D" w14:textId="2D556198"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8 233 35</w:t>
            </w:r>
            <w:r w:rsidR="000609DA">
              <w:rPr>
                <w:rFonts w:ascii="Arial" w:hAnsi="Arial" w:cs="Arial"/>
                <w:color w:val="000000"/>
                <w:sz w:val="16"/>
                <w:szCs w:val="16"/>
              </w:rPr>
              <w:t>4</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29CF5105"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1</w:t>
            </w:r>
          </w:p>
        </w:tc>
        <w:tc>
          <w:tcPr>
            <w:tcW w:w="1720" w:type="dxa"/>
            <w:tcBorders>
              <w:top w:val="nil"/>
              <w:left w:val="nil"/>
              <w:bottom w:val="single" w:sz="4" w:space="0" w:color="auto"/>
              <w:right w:val="single" w:sz="4" w:space="0" w:color="auto"/>
            </w:tcBorders>
            <w:shd w:val="clear" w:color="auto" w:fill="auto"/>
            <w:noWrap/>
            <w:vAlign w:val="center"/>
            <w:hideMark/>
          </w:tcPr>
          <w:p w14:paraId="116403F6" w14:textId="3F8DCF4C"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312 529   </w:t>
            </w:r>
          </w:p>
        </w:tc>
      </w:tr>
      <w:tr w:rsidR="00E006F9" w:rsidRPr="00803DFA" w14:paraId="7EEB433A"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13B8EAB8"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OPZP-PO4-13-1</w:t>
            </w:r>
          </w:p>
        </w:tc>
        <w:tc>
          <w:tcPr>
            <w:tcW w:w="1720" w:type="dxa"/>
            <w:tcBorders>
              <w:top w:val="nil"/>
              <w:left w:val="nil"/>
              <w:bottom w:val="single" w:sz="4" w:space="0" w:color="auto"/>
              <w:right w:val="single" w:sz="4" w:space="0" w:color="auto"/>
            </w:tcBorders>
            <w:shd w:val="clear" w:color="auto" w:fill="auto"/>
            <w:noWrap/>
            <w:vAlign w:val="center"/>
            <w:hideMark/>
          </w:tcPr>
          <w:p w14:paraId="38115595" w14:textId="3E567099"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7 333 930   </w:t>
            </w:r>
          </w:p>
        </w:tc>
        <w:tc>
          <w:tcPr>
            <w:tcW w:w="820" w:type="dxa"/>
            <w:tcBorders>
              <w:top w:val="nil"/>
              <w:left w:val="nil"/>
              <w:bottom w:val="single" w:sz="4" w:space="0" w:color="auto"/>
              <w:right w:val="single" w:sz="4" w:space="0" w:color="auto"/>
            </w:tcBorders>
            <w:shd w:val="clear" w:color="auto" w:fill="auto"/>
            <w:noWrap/>
            <w:vAlign w:val="center"/>
            <w:hideMark/>
          </w:tcPr>
          <w:p w14:paraId="0C0D0C93"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8</w:t>
            </w:r>
          </w:p>
        </w:tc>
        <w:tc>
          <w:tcPr>
            <w:tcW w:w="1900" w:type="dxa"/>
            <w:tcBorders>
              <w:top w:val="nil"/>
              <w:left w:val="nil"/>
              <w:bottom w:val="single" w:sz="4" w:space="0" w:color="auto"/>
              <w:right w:val="single" w:sz="4" w:space="0" w:color="auto"/>
            </w:tcBorders>
            <w:shd w:val="clear" w:color="auto" w:fill="auto"/>
            <w:noWrap/>
            <w:vAlign w:val="center"/>
            <w:hideMark/>
          </w:tcPr>
          <w:p w14:paraId="6BA815E7" w14:textId="152A7D32"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5 842 201   </w:t>
            </w:r>
          </w:p>
        </w:tc>
        <w:tc>
          <w:tcPr>
            <w:tcW w:w="820" w:type="dxa"/>
            <w:tcBorders>
              <w:top w:val="nil"/>
              <w:left w:val="nil"/>
              <w:bottom w:val="single" w:sz="4" w:space="0" w:color="auto"/>
              <w:right w:val="single" w:sz="4" w:space="0" w:color="auto"/>
            </w:tcBorders>
            <w:shd w:val="clear" w:color="auto" w:fill="auto"/>
            <w:noWrap/>
            <w:vAlign w:val="center"/>
            <w:hideMark/>
          </w:tcPr>
          <w:p w14:paraId="2A5D2918"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2</w:t>
            </w:r>
          </w:p>
        </w:tc>
        <w:tc>
          <w:tcPr>
            <w:tcW w:w="1720" w:type="dxa"/>
            <w:tcBorders>
              <w:top w:val="nil"/>
              <w:left w:val="nil"/>
              <w:bottom w:val="single" w:sz="4" w:space="0" w:color="auto"/>
              <w:right w:val="single" w:sz="4" w:space="0" w:color="auto"/>
            </w:tcBorders>
            <w:shd w:val="clear" w:color="auto" w:fill="auto"/>
            <w:noWrap/>
            <w:vAlign w:val="center"/>
            <w:hideMark/>
          </w:tcPr>
          <w:p w14:paraId="52FE4008" w14:textId="1A1191F3"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718 23</w:t>
            </w:r>
            <w:r w:rsidR="000609DA">
              <w:rPr>
                <w:rFonts w:ascii="Arial" w:hAnsi="Arial" w:cs="Arial"/>
                <w:color w:val="000000"/>
                <w:sz w:val="16"/>
                <w:szCs w:val="16"/>
              </w:rPr>
              <w:t>4</w:t>
            </w:r>
            <w:r w:rsidRPr="00803DFA">
              <w:rPr>
                <w:rFonts w:ascii="Arial" w:hAnsi="Arial" w:cs="Arial"/>
                <w:color w:val="000000"/>
                <w:sz w:val="16"/>
                <w:szCs w:val="16"/>
              </w:rPr>
              <w:t xml:space="preserve">   </w:t>
            </w:r>
          </w:p>
        </w:tc>
      </w:tr>
      <w:tr w:rsidR="00E006F9" w:rsidRPr="00803DFA" w14:paraId="68AA43F7" w14:textId="77777777" w:rsidTr="00D66206">
        <w:trPr>
          <w:trHeight w:val="300"/>
        </w:trPr>
        <w:tc>
          <w:tcPr>
            <w:tcW w:w="1960" w:type="dxa"/>
            <w:tcBorders>
              <w:top w:val="nil"/>
              <w:left w:val="single" w:sz="4" w:space="0" w:color="auto"/>
              <w:bottom w:val="single" w:sz="4" w:space="0" w:color="auto"/>
              <w:right w:val="single" w:sz="4" w:space="0" w:color="auto"/>
            </w:tcBorders>
            <w:shd w:val="clear" w:color="auto" w:fill="auto"/>
            <w:noWrap/>
            <w:vAlign w:val="center"/>
            <w:hideMark/>
          </w:tcPr>
          <w:p w14:paraId="227EFD7C"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OPZP-PO4-13-2-LSKxP</w:t>
            </w:r>
          </w:p>
        </w:tc>
        <w:tc>
          <w:tcPr>
            <w:tcW w:w="1720" w:type="dxa"/>
            <w:tcBorders>
              <w:top w:val="nil"/>
              <w:left w:val="nil"/>
              <w:bottom w:val="single" w:sz="4" w:space="0" w:color="auto"/>
              <w:right w:val="single" w:sz="4" w:space="0" w:color="auto"/>
            </w:tcBorders>
            <w:shd w:val="clear" w:color="auto" w:fill="auto"/>
            <w:noWrap/>
            <w:vAlign w:val="center"/>
            <w:hideMark/>
          </w:tcPr>
          <w:p w14:paraId="7CCF49CC" w14:textId="69461052" w:rsidR="00E006F9" w:rsidRPr="00803DFA" w:rsidRDefault="00E006F9" w:rsidP="0059350B">
            <w:pPr>
              <w:jc w:val="center"/>
              <w:rPr>
                <w:rFonts w:ascii="Arial" w:hAnsi="Arial" w:cs="Arial"/>
                <w:color w:val="000000"/>
                <w:sz w:val="16"/>
                <w:szCs w:val="16"/>
              </w:rPr>
            </w:pPr>
            <w:r w:rsidRPr="00803DFA">
              <w:rPr>
                <w:rFonts w:ascii="Arial" w:hAnsi="Arial" w:cs="Arial"/>
                <w:color w:val="000000"/>
                <w:sz w:val="16"/>
                <w:szCs w:val="16"/>
              </w:rPr>
              <w:t xml:space="preserve">          23 865 525</w:t>
            </w:r>
            <w:r w:rsidR="0059350B">
              <w:rPr>
                <w:rFonts w:ascii="Arial" w:hAnsi="Arial" w:cs="Arial"/>
                <w:color w:val="000000"/>
                <w:sz w:val="16"/>
                <w:szCs w:val="16"/>
              </w:rPr>
              <w:t>6</w:t>
            </w:r>
            <w:r w:rsidRPr="00803DFA">
              <w:rPr>
                <w:rFonts w:ascii="Arial" w:hAnsi="Arial" w:cs="Arial"/>
                <w:color w:val="000000"/>
                <w:sz w:val="16"/>
                <w:szCs w:val="16"/>
              </w:rPr>
              <w:t xml:space="preserve">   </w:t>
            </w:r>
          </w:p>
        </w:tc>
        <w:tc>
          <w:tcPr>
            <w:tcW w:w="820" w:type="dxa"/>
            <w:tcBorders>
              <w:top w:val="nil"/>
              <w:left w:val="nil"/>
              <w:bottom w:val="single" w:sz="4" w:space="0" w:color="auto"/>
              <w:right w:val="single" w:sz="4" w:space="0" w:color="auto"/>
            </w:tcBorders>
            <w:shd w:val="clear" w:color="auto" w:fill="auto"/>
            <w:noWrap/>
            <w:vAlign w:val="center"/>
            <w:hideMark/>
          </w:tcPr>
          <w:p w14:paraId="374F0973"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36</w:t>
            </w:r>
          </w:p>
        </w:tc>
        <w:tc>
          <w:tcPr>
            <w:tcW w:w="1900" w:type="dxa"/>
            <w:tcBorders>
              <w:top w:val="nil"/>
              <w:left w:val="nil"/>
              <w:bottom w:val="single" w:sz="4" w:space="0" w:color="auto"/>
              <w:right w:val="single" w:sz="4" w:space="0" w:color="auto"/>
            </w:tcBorders>
            <w:shd w:val="clear" w:color="auto" w:fill="auto"/>
            <w:noWrap/>
            <w:vAlign w:val="center"/>
            <w:hideMark/>
          </w:tcPr>
          <w:p w14:paraId="6E2A61CF" w14:textId="3FED0948"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21 715 938   </w:t>
            </w:r>
          </w:p>
        </w:tc>
        <w:tc>
          <w:tcPr>
            <w:tcW w:w="820" w:type="dxa"/>
            <w:tcBorders>
              <w:top w:val="nil"/>
              <w:left w:val="nil"/>
              <w:bottom w:val="single" w:sz="4" w:space="0" w:color="auto"/>
              <w:right w:val="single" w:sz="4" w:space="0" w:color="auto"/>
            </w:tcBorders>
            <w:shd w:val="clear" w:color="auto" w:fill="auto"/>
            <w:noWrap/>
            <w:vAlign w:val="center"/>
            <w:hideMark/>
          </w:tcPr>
          <w:p w14:paraId="6AF724A7" w14:textId="77777777" w:rsidR="00E006F9" w:rsidRPr="00803DFA" w:rsidRDefault="00E006F9" w:rsidP="00D66206">
            <w:pPr>
              <w:jc w:val="center"/>
              <w:rPr>
                <w:rFonts w:ascii="Arial" w:hAnsi="Arial" w:cs="Arial"/>
                <w:color w:val="000000"/>
                <w:sz w:val="16"/>
                <w:szCs w:val="16"/>
              </w:rPr>
            </w:pPr>
            <w:r w:rsidRPr="00803DFA">
              <w:rPr>
                <w:rFonts w:ascii="Arial" w:hAnsi="Arial" w:cs="Arial"/>
                <w:color w:val="000000"/>
                <w:sz w:val="16"/>
                <w:szCs w:val="16"/>
              </w:rPr>
              <w:t>14</w:t>
            </w:r>
          </w:p>
        </w:tc>
        <w:tc>
          <w:tcPr>
            <w:tcW w:w="1720" w:type="dxa"/>
            <w:tcBorders>
              <w:top w:val="nil"/>
              <w:left w:val="nil"/>
              <w:bottom w:val="single" w:sz="4" w:space="0" w:color="auto"/>
              <w:right w:val="single" w:sz="4" w:space="0" w:color="auto"/>
            </w:tcBorders>
            <w:shd w:val="clear" w:color="auto" w:fill="auto"/>
            <w:noWrap/>
            <w:vAlign w:val="center"/>
            <w:hideMark/>
          </w:tcPr>
          <w:p w14:paraId="26460E95" w14:textId="0389F3CA" w:rsidR="00E006F9" w:rsidRPr="00803DFA" w:rsidRDefault="00E006F9" w:rsidP="000609DA">
            <w:pPr>
              <w:jc w:val="right"/>
              <w:rPr>
                <w:rFonts w:ascii="Arial" w:hAnsi="Arial" w:cs="Arial"/>
                <w:color w:val="000000"/>
                <w:sz w:val="16"/>
                <w:szCs w:val="16"/>
              </w:rPr>
            </w:pPr>
            <w:r w:rsidRPr="00803DFA">
              <w:rPr>
                <w:rFonts w:ascii="Arial" w:hAnsi="Arial" w:cs="Arial"/>
                <w:color w:val="000000"/>
                <w:sz w:val="16"/>
                <w:szCs w:val="16"/>
              </w:rPr>
              <w:t xml:space="preserve">            8 967 662   </w:t>
            </w:r>
          </w:p>
        </w:tc>
      </w:tr>
      <w:tr w:rsidR="00E006F9" w:rsidRPr="000F57E6" w14:paraId="2EE148D3" w14:textId="77777777" w:rsidTr="00D66206">
        <w:trPr>
          <w:trHeight w:val="300"/>
        </w:trPr>
        <w:tc>
          <w:tcPr>
            <w:tcW w:w="1960" w:type="dxa"/>
            <w:tcBorders>
              <w:top w:val="nil"/>
              <w:left w:val="single" w:sz="4" w:space="0" w:color="auto"/>
              <w:bottom w:val="single" w:sz="4" w:space="0" w:color="auto"/>
              <w:right w:val="single" w:sz="4" w:space="0" w:color="auto"/>
            </w:tcBorders>
            <w:shd w:val="clear" w:color="000000" w:fill="FFFFFF"/>
            <w:noWrap/>
            <w:vAlign w:val="center"/>
            <w:hideMark/>
          </w:tcPr>
          <w:p w14:paraId="66FE52C3" w14:textId="77777777" w:rsidR="00E006F9" w:rsidRPr="000F57E6" w:rsidRDefault="00E006F9" w:rsidP="00D66206">
            <w:pPr>
              <w:jc w:val="center"/>
              <w:rPr>
                <w:rFonts w:ascii="Arial" w:hAnsi="Arial" w:cs="Arial"/>
                <w:b/>
                <w:bCs/>
                <w:color w:val="000000"/>
                <w:sz w:val="16"/>
                <w:szCs w:val="16"/>
              </w:rPr>
            </w:pPr>
            <w:r w:rsidRPr="00803DFA">
              <w:rPr>
                <w:rFonts w:ascii="Arial" w:hAnsi="Arial" w:cs="Arial"/>
                <w:b/>
                <w:bCs/>
                <w:color w:val="000000"/>
                <w:sz w:val="16"/>
                <w:szCs w:val="16"/>
              </w:rPr>
              <w:t xml:space="preserve"> </w:t>
            </w:r>
            <w:r w:rsidRPr="000F57E6">
              <w:rPr>
                <w:rFonts w:ascii="Arial" w:hAnsi="Arial" w:cs="Arial"/>
                <w:b/>
                <w:bCs/>
                <w:color w:val="000000"/>
                <w:sz w:val="16"/>
                <w:szCs w:val="16"/>
              </w:rPr>
              <w:t xml:space="preserve">Spolu </w:t>
            </w:r>
          </w:p>
        </w:tc>
        <w:tc>
          <w:tcPr>
            <w:tcW w:w="1720" w:type="dxa"/>
            <w:tcBorders>
              <w:top w:val="nil"/>
              <w:left w:val="nil"/>
              <w:bottom w:val="single" w:sz="4" w:space="0" w:color="auto"/>
              <w:right w:val="single" w:sz="4" w:space="0" w:color="auto"/>
            </w:tcBorders>
            <w:shd w:val="clear" w:color="000000" w:fill="FFFFFF"/>
            <w:noWrap/>
            <w:vAlign w:val="center"/>
            <w:hideMark/>
          </w:tcPr>
          <w:p w14:paraId="45BA0298" w14:textId="46FD5058" w:rsidR="00E006F9" w:rsidRPr="000F57E6" w:rsidRDefault="00E006F9" w:rsidP="0059350B">
            <w:pPr>
              <w:jc w:val="center"/>
              <w:rPr>
                <w:rFonts w:ascii="Arial" w:hAnsi="Arial" w:cs="Arial"/>
                <w:b/>
                <w:bCs/>
                <w:color w:val="000000"/>
                <w:sz w:val="16"/>
                <w:szCs w:val="16"/>
              </w:rPr>
            </w:pPr>
            <w:r w:rsidRPr="000F57E6">
              <w:rPr>
                <w:rFonts w:ascii="Arial" w:hAnsi="Arial" w:cs="Arial"/>
                <w:b/>
                <w:bCs/>
                <w:color w:val="000000"/>
                <w:sz w:val="16"/>
                <w:szCs w:val="16"/>
              </w:rPr>
              <w:t xml:space="preserve">        682 261 09</w:t>
            </w:r>
            <w:r w:rsidR="0059350B">
              <w:rPr>
                <w:rFonts w:ascii="Arial" w:hAnsi="Arial" w:cs="Arial"/>
                <w:b/>
                <w:bCs/>
                <w:color w:val="000000"/>
                <w:sz w:val="16"/>
                <w:szCs w:val="16"/>
              </w:rPr>
              <w:t>3</w:t>
            </w:r>
            <w:r w:rsidRPr="000F57E6">
              <w:rPr>
                <w:rFonts w:ascii="Arial" w:hAnsi="Arial" w:cs="Arial"/>
                <w:b/>
                <w:bCs/>
                <w:color w:val="000000"/>
                <w:sz w:val="16"/>
                <w:szCs w:val="16"/>
              </w:rPr>
              <w:t xml:space="preserve">  </w:t>
            </w:r>
          </w:p>
        </w:tc>
        <w:tc>
          <w:tcPr>
            <w:tcW w:w="820" w:type="dxa"/>
            <w:tcBorders>
              <w:top w:val="nil"/>
              <w:left w:val="nil"/>
              <w:bottom w:val="single" w:sz="4" w:space="0" w:color="auto"/>
              <w:right w:val="single" w:sz="4" w:space="0" w:color="auto"/>
            </w:tcBorders>
            <w:shd w:val="clear" w:color="000000" w:fill="FFFFFF"/>
            <w:noWrap/>
            <w:vAlign w:val="center"/>
            <w:hideMark/>
          </w:tcPr>
          <w:p w14:paraId="0C024F73" w14:textId="77777777" w:rsidR="00E006F9" w:rsidRPr="000F57E6" w:rsidRDefault="00E006F9" w:rsidP="00D66206">
            <w:pPr>
              <w:jc w:val="center"/>
              <w:rPr>
                <w:rFonts w:ascii="Arial" w:hAnsi="Arial" w:cs="Arial"/>
                <w:b/>
                <w:bCs/>
                <w:color w:val="000000"/>
                <w:sz w:val="16"/>
                <w:szCs w:val="16"/>
              </w:rPr>
            </w:pPr>
            <w:r w:rsidRPr="000F57E6">
              <w:rPr>
                <w:rFonts w:ascii="Arial" w:hAnsi="Arial" w:cs="Arial"/>
                <w:b/>
                <w:bCs/>
                <w:color w:val="000000"/>
                <w:sz w:val="16"/>
                <w:szCs w:val="16"/>
              </w:rPr>
              <w:t>1 691</w:t>
            </w:r>
          </w:p>
        </w:tc>
        <w:tc>
          <w:tcPr>
            <w:tcW w:w="1900" w:type="dxa"/>
            <w:tcBorders>
              <w:top w:val="nil"/>
              <w:left w:val="nil"/>
              <w:bottom w:val="single" w:sz="4" w:space="0" w:color="auto"/>
              <w:right w:val="single" w:sz="4" w:space="0" w:color="auto"/>
            </w:tcBorders>
            <w:shd w:val="clear" w:color="000000" w:fill="FFFFFF"/>
            <w:noWrap/>
            <w:vAlign w:val="center"/>
            <w:hideMark/>
          </w:tcPr>
          <w:p w14:paraId="4FAE942A" w14:textId="7F001DC7" w:rsidR="00E006F9" w:rsidRPr="000F57E6" w:rsidRDefault="00E006F9" w:rsidP="000609DA">
            <w:pPr>
              <w:jc w:val="right"/>
              <w:rPr>
                <w:rFonts w:ascii="Arial" w:hAnsi="Arial" w:cs="Arial"/>
                <w:b/>
                <w:bCs/>
                <w:color w:val="000000"/>
                <w:sz w:val="16"/>
                <w:szCs w:val="16"/>
              </w:rPr>
            </w:pPr>
            <w:r w:rsidRPr="000F57E6">
              <w:rPr>
                <w:rFonts w:ascii="Arial" w:hAnsi="Arial" w:cs="Arial"/>
                <w:b/>
                <w:bCs/>
                <w:color w:val="000000"/>
                <w:sz w:val="16"/>
                <w:szCs w:val="16"/>
              </w:rPr>
              <w:t xml:space="preserve">         1 934 285 93</w:t>
            </w:r>
            <w:r w:rsidR="000609DA">
              <w:rPr>
                <w:rFonts w:ascii="Arial" w:hAnsi="Arial" w:cs="Arial"/>
                <w:b/>
                <w:bCs/>
                <w:color w:val="000000"/>
                <w:sz w:val="16"/>
                <w:szCs w:val="16"/>
              </w:rPr>
              <w:t>8</w:t>
            </w:r>
            <w:r w:rsidRPr="000F57E6">
              <w:rPr>
                <w:rFonts w:ascii="Arial" w:hAnsi="Arial" w:cs="Arial"/>
                <w:b/>
                <w:bCs/>
                <w:color w:val="000000"/>
                <w:sz w:val="16"/>
                <w:szCs w:val="16"/>
              </w:rPr>
              <w:t xml:space="preserve">   </w:t>
            </w:r>
          </w:p>
        </w:tc>
        <w:tc>
          <w:tcPr>
            <w:tcW w:w="820" w:type="dxa"/>
            <w:tcBorders>
              <w:top w:val="nil"/>
              <w:left w:val="nil"/>
              <w:bottom w:val="single" w:sz="4" w:space="0" w:color="auto"/>
              <w:right w:val="single" w:sz="4" w:space="0" w:color="auto"/>
            </w:tcBorders>
            <w:shd w:val="clear" w:color="000000" w:fill="FFFFFF"/>
            <w:noWrap/>
            <w:vAlign w:val="center"/>
            <w:hideMark/>
          </w:tcPr>
          <w:p w14:paraId="77770198" w14:textId="77777777" w:rsidR="00E006F9" w:rsidRPr="000F57E6" w:rsidRDefault="00E006F9" w:rsidP="00D66206">
            <w:pPr>
              <w:jc w:val="center"/>
              <w:rPr>
                <w:rFonts w:ascii="Arial" w:hAnsi="Arial" w:cs="Arial"/>
                <w:b/>
                <w:bCs/>
                <w:color w:val="000000"/>
                <w:sz w:val="16"/>
                <w:szCs w:val="16"/>
              </w:rPr>
            </w:pPr>
            <w:r w:rsidRPr="000F57E6">
              <w:rPr>
                <w:rFonts w:ascii="Arial" w:hAnsi="Arial" w:cs="Arial"/>
                <w:b/>
                <w:bCs/>
                <w:color w:val="000000"/>
                <w:sz w:val="16"/>
                <w:szCs w:val="16"/>
              </w:rPr>
              <w:t>332</w:t>
            </w:r>
          </w:p>
        </w:tc>
        <w:tc>
          <w:tcPr>
            <w:tcW w:w="1720" w:type="dxa"/>
            <w:tcBorders>
              <w:top w:val="nil"/>
              <w:left w:val="nil"/>
              <w:bottom w:val="single" w:sz="4" w:space="0" w:color="auto"/>
              <w:right w:val="single" w:sz="4" w:space="0" w:color="auto"/>
            </w:tcBorders>
            <w:shd w:val="clear" w:color="000000" w:fill="FFFFFF"/>
            <w:noWrap/>
            <w:vAlign w:val="center"/>
            <w:hideMark/>
          </w:tcPr>
          <w:p w14:paraId="2B852B77" w14:textId="42834504" w:rsidR="00E006F9" w:rsidRPr="000F57E6" w:rsidRDefault="00E006F9" w:rsidP="000609DA">
            <w:pPr>
              <w:jc w:val="right"/>
              <w:rPr>
                <w:rFonts w:ascii="Arial" w:hAnsi="Arial" w:cs="Arial"/>
                <w:b/>
                <w:bCs/>
                <w:color w:val="000000"/>
                <w:sz w:val="16"/>
                <w:szCs w:val="16"/>
              </w:rPr>
            </w:pPr>
            <w:r w:rsidRPr="000F57E6">
              <w:rPr>
                <w:rFonts w:ascii="Arial" w:hAnsi="Arial" w:cs="Arial"/>
                <w:b/>
                <w:bCs/>
                <w:color w:val="000000"/>
                <w:sz w:val="16"/>
                <w:szCs w:val="16"/>
              </w:rPr>
              <w:t xml:space="preserve">        487 008 54</w:t>
            </w:r>
            <w:r w:rsidR="000609DA">
              <w:rPr>
                <w:rFonts w:ascii="Arial" w:hAnsi="Arial" w:cs="Arial"/>
                <w:b/>
                <w:bCs/>
                <w:color w:val="000000"/>
                <w:sz w:val="16"/>
                <w:szCs w:val="16"/>
              </w:rPr>
              <w:t>2</w:t>
            </w:r>
            <w:r w:rsidRPr="000F57E6">
              <w:rPr>
                <w:rFonts w:ascii="Arial" w:hAnsi="Arial" w:cs="Arial"/>
                <w:b/>
                <w:bCs/>
                <w:color w:val="000000"/>
                <w:sz w:val="16"/>
                <w:szCs w:val="16"/>
              </w:rPr>
              <w:t xml:space="preserve">   </w:t>
            </w:r>
          </w:p>
        </w:tc>
      </w:tr>
    </w:tbl>
    <w:p w14:paraId="13B3A344" w14:textId="77777777" w:rsidR="00E006F9" w:rsidRPr="000F57E6" w:rsidRDefault="00E006F9" w:rsidP="00E006F9">
      <w:pPr>
        <w:spacing w:after="120"/>
        <w:jc w:val="both"/>
        <w:rPr>
          <w:rFonts w:ascii="Arial" w:hAnsi="Arial" w:cs="Arial"/>
          <w:sz w:val="16"/>
          <w:szCs w:val="16"/>
        </w:rPr>
      </w:pPr>
      <w:r w:rsidRPr="000F57E6">
        <w:rPr>
          <w:rFonts w:ascii="Arial" w:hAnsi="Arial" w:cs="Arial"/>
          <w:sz w:val="16"/>
          <w:szCs w:val="16"/>
        </w:rPr>
        <w:t>Zdroj: RO</w:t>
      </w:r>
    </w:p>
    <w:p w14:paraId="6D8B2EA8" w14:textId="77777777" w:rsidR="00E006F9" w:rsidRPr="000F57E6" w:rsidRDefault="00E006F9" w:rsidP="00E006F9">
      <w:pPr>
        <w:spacing w:before="120" w:after="120"/>
        <w:jc w:val="both"/>
        <w:rPr>
          <w:rFonts w:ascii="Arial" w:hAnsi="Arial" w:cs="Arial"/>
          <w:sz w:val="20"/>
          <w:szCs w:val="20"/>
        </w:rPr>
      </w:pPr>
      <w:r w:rsidRPr="000F57E6">
        <w:rPr>
          <w:rFonts w:ascii="Arial" w:hAnsi="Arial" w:cs="Arial"/>
          <w:sz w:val="20"/>
          <w:szCs w:val="20"/>
        </w:rPr>
        <w:t>Vzhľadom na skutočnosť, že väčšina výziev nebola viazaná výlučne na niektorú zo spomínaných schém, ale kombinovala viacero podporovaných aktivít, ktorých realizácia v závislosti od subjektu a ním plánovanej aktivity mohla viesť k poskytnutiu štátnej pomoci, boli v rámci jednotlivých výziev predkladané ŽoNFP viazané na predmetné schémy i ŽoNFP mimo oblasť štátnej pomoci.</w:t>
      </w:r>
    </w:p>
    <w:p w14:paraId="0F89E3C3" w14:textId="08CCCDAA" w:rsidR="00E006F9" w:rsidRPr="000F57E6" w:rsidRDefault="00E006F9" w:rsidP="00E006F9">
      <w:pPr>
        <w:spacing w:before="120" w:after="120"/>
        <w:jc w:val="both"/>
        <w:rPr>
          <w:rFonts w:ascii="Arial" w:hAnsi="Arial" w:cs="Arial"/>
          <w:sz w:val="20"/>
          <w:szCs w:val="20"/>
        </w:rPr>
      </w:pPr>
      <w:r w:rsidRPr="000F57E6">
        <w:rPr>
          <w:rFonts w:ascii="Arial" w:hAnsi="Arial" w:cs="Arial"/>
          <w:sz w:val="20"/>
          <w:szCs w:val="20"/>
        </w:rPr>
        <w:t xml:space="preserve">Vo všeobecnosti je možné povedať, že z celkového počtu ŽoNFP predložených a schválených v rámci výziev viazaných na spomínané schémy štátnej pomoci, predstavovali samotné ŽoNFP, resp. projekty </w:t>
      </w:r>
      <w:r w:rsidRPr="000F57E6">
        <w:rPr>
          <w:rFonts w:ascii="Arial" w:hAnsi="Arial" w:cs="Arial"/>
          <w:sz w:val="20"/>
          <w:szCs w:val="20"/>
        </w:rPr>
        <w:lastRenderedPageBreak/>
        <w:t xml:space="preserve">podliehajúce pravidlám štátnej </w:t>
      </w:r>
      <w:r w:rsidR="00AE42BD" w:rsidRPr="000F57E6">
        <w:rPr>
          <w:rFonts w:ascii="Arial" w:hAnsi="Arial" w:cs="Arial"/>
          <w:sz w:val="20"/>
          <w:szCs w:val="20"/>
        </w:rPr>
        <w:t xml:space="preserve">pomoci </w:t>
      </w:r>
      <w:r w:rsidRPr="000F57E6">
        <w:rPr>
          <w:rFonts w:ascii="Arial" w:hAnsi="Arial" w:cs="Arial"/>
          <w:sz w:val="20"/>
          <w:szCs w:val="20"/>
        </w:rPr>
        <w:t xml:space="preserve">len cca. 20 %. Vzhľadom na skutočnosť, že projekty realizované v režime štátnej pomoci vo väčšine prípadov predstavovali investične výrazne náročnejšie a komplexnejšie riešenia, bol aj podiel žiadaného a schváleného NFP na tieto ŽoNFP oproti celkovému žiadanému a schválenému NFP v ŽoNFP predložených a schválených v dotknutých výzvach výrazne vyšší v porovnaní s počtom ŽoNFP. </w:t>
      </w:r>
    </w:p>
    <w:p w14:paraId="37F365B7" w14:textId="0C2A2880" w:rsidR="00E006F9" w:rsidRPr="00807178" w:rsidRDefault="00E006F9" w:rsidP="00E006F9">
      <w:pPr>
        <w:spacing w:before="120" w:after="120"/>
        <w:jc w:val="both"/>
        <w:rPr>
          <w:rFonts w:ascii="Arial" w:hAnsi="Arial" w:cs="Arial"/>
          <w:sz w:val="20"/>
          <w:szCs w:val="20"/>
        </w:rPr>
      </w:pPr>
      <w:r w:rsidRPr="000F57E6">
        <w:rPr>
          <w:rFonts w:ascii="Arial" w:hAnsi="Arial" w:cs="Arial"/>
          <w:sz w:val="20"/>
          <w:szCs w:val="20"/>
        </w:rPr>
        <w:t>Tabuľka č.</w:t>
      </w:r>
      <w:r w:rsidR="00682B07" w:rsidRPr="000F57E6">
        <w:rPr>
          <w:rFonts w:ascii="Arial" w:hAnsi="Arial" w:cs="Arial"/>
          <w:sz w:val="20"/>
          <w:szCs w:val="20"/>
        </w:rPr>
        <w:t>12</w:t>
      </w:r>
      <w:r w:rsidRPr="000F57E6">
        <w:rPr>
          <w:rFonts w:ascii="Arial" w:hAnsi="Arial" w:cs="Arial"/>
          <w:sz w:val="20"/>
          <w:szCs w:val="20"/>
        </w:rPr>
        <w:t>: Prehľad ŽoNFP viazaných na pravidlá štátnej pomoci a ich podiel na celkovom objeme predložených ŽoNFP</w:t>
      </w:r>
    </w:p>
    <w:tbl>
      <w:tblPr>
        <w:tblW w:w="10106" w:type="dxa"/>
        <w:jc w:val="center"/>
        <w:tblCellMar>
          <w:left w:w="70" w:type="dxa"/>
          <w:right w:w="70" w:type="dxa"/>
        </w:tblCellMar>
        <w:tblLook w:val="04A0" w:firstRow="1" w:lastRow="0" w:firstColumn="1" w:lastColumn="0" w:noHBand="0" w:noVBand="1"/>
      </w:tblPr>
      <w:tblGrid>
        <w:gridCol w:w="1433"/>
        <w:gridCol w:w="1172"/>
        <w:gridCol w:w="1172"/>
        <w:gridCol w:w="1172"/>
        <w:gridCol w:w="1172"/>
        <w:gridCol w:w="1163"/>
        <w:gridCol w:w="1163"/>
        <w:gridCol w:w="1163"/>
        <w:gridCol w:w="1234"/>
      </w:tblGrid>
      <w:tr w:rsidR="00E006F9" w:rsidRPr="006C191C" w14:paraId="1C400A42" w14:textId="77777777" w:rsidTr="00D66206">
        <w:trPr>
          <w:trHeight w:val="224"/>
          <w:jc w:val="center"/>
        </w:trPr>
        <w:tc>
          <w:tcPr>
            <w:tcW w:w="1433" w:type="dxa"/>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14:paraId="0F91E7F6" w14:textId="77777777" w:rsidR="00E006F9" w:rsidRPr="001D2056" w:rsidRDefault="00E006F9" w:rsidP="00D66206">
            <w:pPr>
              <w:jc w:val="center"/>
              <w:rPr>
                <w:rFonts w:ascii="Arial" w:hAnsi="Arial" w:cs="Arial"/>
                <w:b/>
                <w:color w:val="000000"/>
                <w:sz w:val="16"/>
                <w:szCs w:val="16"/>
              </w:rPr>
            </w:pPr>
            <w:r w:rsidRPr="001D2056">
              <w:rPr>
                <w:rFonts w:ascii="Arial" w:hAnsi="Arial" w:cs="Arial"/>
                <w:b/>
                <w:color w:val="000000"/>
                <w:sz w:val="16"/>
                <w:szCs w:val="16"/>
              </w:rPr>
              <w:t>Kód výzvy</w:t>
            </w:r>
          </w:p>
        </w:tc>
        <w:tc>
          <w:tcPr>
            <w:tcW w:w="1092"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6B7C90F8" w14:textId="014FB6D7" w:rsidR="00E006F9" w:rsidRPr="001D2056" w:rsidRDefault="00E006F9" w:rsidP="00D66206">
            <w:pPr>
              <w:jc w:val="center"/>
              <w:rPr>
                <w:rFonts w:ascii="Arial" w:hAnsi="Arial" w:cs="Arial"/>
                <w:b/>
                <w:color w:val="000000"/>
                <w:sz w:val="16"/>
                <w:szCs w:val="16"/>
              </w:rPr>
            </w:pPr>
            <w:r w:rsidRPr="001D2056">
              <w:rPr>
                <w:rFonts w:ascii="Arial" w:hAnsi="Arial" w:cs="Arial"/>
                <w:b/>
                <w:color w:val="000000"/>
                <w:sz w:val="16"/>
                <w:szCs w:val="16"/>
              </w:rPr>
              <w:t>Počet predložených ŽoNFP</w:t>
            </w:r>
            <w:r w:rsidR="00AE42BD">
              <w:rPr>
                <w:rFonts w:ascii="Arial" w:hAnsi="Arial" w:cs="Arial"/>
                <w:b/>
                <w:color w:val="000000"/>
                <w:sz w:val="16"/>
                <w:szCs w:val="16"/>
              </w:rPr>
              <w:t xml:space="preserve"> s relevanciou k ŠP</w:t>
            </w:r>
          </w:p>
        </w:tc>
        <w:tc>
          <w:tcPr>
            <w:tcW w:w="1092"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24D27AAC" w14:textId="4E4E481C" w:rsidR="00E006F9" w:rsidRPr="001D2056" w:rsidRDefault="00E006F9" w:rsidP="00D66206">
            <w:pPr>
              <w:jc w:val="center"/>
              <w:rPr>
                <w:rFonts w:ascii="Arial" w:hAnsi="Arial" w:cs="Arial"/>
                <w:b/>
                <w:color w:val="000000"/>
                <w:sz w:val="16"/>
                <w:szCs w:val="16"/>
              </w:rPr>
            </w:pPr>
            <w:r w:rsidRPr="001D2056">
              <w:rPr>
                <w:rFonts w:ascii="Arial" w:hAnsi="Arial" w:cs="Arial"/>
                <w:b/>
                <w:color w:val="000000"/>
                <w:sz w:val="16"/>
                <w:szCs w:val="16"/>
              </w:rPr>
              <w:t xml:space="preserve">Podiel </w:t>
            </w:r>
            <w:r w:rsidR="00C15B70" w:rsidRPr="001D2056">
              <w:rPr>
                <w:rFonts w:ascii="Arial" w:hAnsi="Arial" w:cs="Arial"/>
                <w:b/>
                <w:color w:val="000000"/>
                <w:sz w:val="16"/>
                <w:szCs w:val="16"/>
              </w:rPr>
              <w:t>ŽoNFP</w:t>
            </w:r>
            <w:r w:rsidR="00D07445">
              <w:rPr>
                <w:rFonts w:ascii="Arial" w:hAnsi="Arial" w:cs="Arial"/>
                <w:b/>
                <w:color w:val="000000"/>
                <w:sz w:val="16"/>
                <w:szCs w:val="16"/>
              </w:rPr>
              <w:t xml:space="preserve"> </w:t>
            </w:r>
            <w:r w:rsidR="00D07445" w:rsidRPr="00ED35BD">
              <w:rPr>
                <w:rFonts w:ascii="Arial" w:hAnsi="Arial" w:cs="Arial"/>
                <w:b/>
                <w:color w:val="000000"/>
                <w:sz w:val="16"/>
                <w:szCs w:val="16"/>
              </w:rPr>
              <w:t>s relevanciou k ŠP</w:t>
            </w:r>
            <w:r w:rsidRPr="00ED35BD">
              <w:rPr>
                <w:rFonts w:ascii="Arial" w:hAnsi="Arial" w:cs="Arial"/>
                <w:b/>
                <w:color w:val="000000"/>
                <w:sz w:val="16"/>
                <w:szCs w:val="16"/>
              </w:rPr>
              <w:t xml:space="preserve"> z celkového</w:t>
            </w:r>
            <w:r w:rsidRPr="001D2056">
              <w:rPr>
                <w:rFonts w:ascii="Arial" w:hAnsi="Arial" w:cs="Arial"/>
                <w:b/>
                <w:color w:val="000000"/>
                <w:sz w:val="16"/>
                <w:szCs w:val="16"/>
              </w:rPr>
              <w:t xml:space="preserve"> počtu predložených ŽoNFP</w:t>
            </w:r>
          </w:p>
        </w:tc>
        <w:tc>
          <w:tcPr>
            <w:tcW w:w="1172"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39B8E6A3" w14:textId="1830E34C" w:rsidR="00E006F9" w:rsidRPr="001D2056" w:rsidRDefault="00C15B70" w:rsidP="00D66206">
            <w:pPr>
              <w:jc w:val="center"/>
              <w:rPr>
                <w:rFonts w:ascii="Arial" w:hAnsi="Arial" w:cs="Arial"/>
                <w:b/>
                <w:color w:val="000000"/>
                <w:sz w:val="16"/>
                <w:szCs w:val="16"/>
              </w:rPr>
            </w:pPr>
            <w:r w:rsidRPr="001D2056">
              <w:rPr>
                <w:rFonts w:ascii="Arial" w:hAnsi="Arial" w:cs="Arial"/>
                <w:b/>
                <w:color w:val="000000"/>
                <w:sz w:val="16"/>
                <w:szCs w:val="16"/>
              </w:rPr>
              <w:t>Žiadaná</w:t>
            </w:r>
            <w:r w:rsidR="00E006F9" w:rsidRPr="001D2056">
              <w:rPr>
                <w:rFonts w:ascii="Arial" w:hAnsi="Arial" w:cs="Arial"/>
                <w:b/>
                <w:color w:val="000000"/>
                <w:sz w:val="16"/>
                <w:szCs w:val="16"/>
              </w:rPr>
              <w:t xml:space="preserve"> výška NFP </w:t>
            </w:r>
            <w:r w:rsidR="00AE42BD">
              <w:rPr>
                <w:rFonts w:ascii="Arial" w:hAnsi="Arial" w:cs="Arial"/>
                <w:b/>
                <w:color w:val="000000"/>
                <w:sz w:val="16"/>
                <w:szCs w:val="16"/>
              </w:rPr>
              <w:t xml:space="preserve">s relevanciou k ŠP </w:t>
            </w:r>
            <w:r w:rsidR="00E006F9" w:rsidRPr="001D2056">
              <w:rPr>
                <w:rFonts w:ascii="Arial" w:hAnsi="Arial" w:cs="Arial"/>
                <w:b/>
                <w:color w:val="000000"/>
                <w:sz w:val="16"/>
                <w:szCs w:val="16"/>
              </w:rPr>
              <w:t xml:space="preserve">v </w:t>
            </w:r>
            <w:r w:rsidR="00366C2D" w:rsidRPr="001D2056">
              <w:rPr>
                <w:rFonts w:ascii="Arial" w:hAnsi="Arial" w:cs="Arial"/>
                <w:b/>
                <w:color w:val="000000"/>
                <w:sz w:val="16"/>
                <w:szCs w:val="16"/>
              </w:rPr>
              <w:t>€</w:t>
            </w:r>
          </w:p>
        </w:tc>
        <w:tc>
          <w:tcPr>
            <w:tcW w:w="1092"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0574C001" w14:textId="60FA7B4D" w:rsidR="00E006F9" w:rsidRPr="001D2056" w:rsidRDefault="00E006F9" w:rsidP="00D66206">
            <w:pPr>
              <w:jc w:val="center"/>
              <w:rPr>
                <w:rFonts w:ascii="Arial" w:hAnsi="Arial" w:cs="Arial"/>
                <w:b/>
                <w:color w:val="000000"/>
                <w:sz w:val="16"/>
                <w:szCs w:val="16"/>
              </w:rPr>
            </w:pPr>
            <w:r w:rsidRPr="001D2056">
              <w:rPr>
                <w:rFonts w:ascii="Arial" w:hAnsi="Arial" w:cs="Arial"/>
                <w:b/>
                <w:color w:val="000000"/>
                <w:sz w:val="16"/>
                <w:szCs w:val="16"/>
              </w:rPr>
              <w:t xml:space="preserve">Podiel žiadaného </w:t>
            </w:r>
            <w:r w:rsidRPr="00ED35BD">
              <w:rPr>
                <w:rFonts w:ascii="Arial" w:hAnsi="Arial" w:cs="Arial"/>
                <w:b/>
                <w:color w:val="000000"/>
                <w:sz w:val="16"/>
                <w:szCs w:val="16"/>
              </w:rPr>
              <w:t xml:space="preserve">NFP </w:t>
            </w:r>
            <w:r w:rsidR="00D07445" w:rsidRPr="00ED35BD">
              <w:rPr>
                <w:rFonts w:ascii="Arial" w:hAnsi="Arial" w:cs="Arial"/>
                <w:b/>
                <w:color w:val="000000"/>
                <w:sz w:val="16"/>
                <w:szCs w:val="16"/>
              </w:rPr>
              <w:t xml:space="preserve">s relevanciou  k ŠP </w:t>
            </w:r>
            <w:r w:rsidRPr="00ED35BD">
              <w:rPr>
                <w:rFonts w:ascii="Arial" w:hAnsi="Arial" w:cs="Arial"/>
                <w:b/>
                <w:color w:val="000000"/>
                <w:sz w:val="16"/>
                <w:szCs w:val="16"/>
              </w:rPr>
              <w:t>z celkového objemu v</w:t>
            </w:r>
            <w:r w:rsidRPr="001D2056">
              <w:rPr>
                <w:rFonts w:ascii="Arial" w:hAnsi="Arial" w:cs="Arial"/>
                <w:b/>
                <w:color w:val="000000"/>
                <w:sz w:val="16"/>
                <w:szCs w:val="16"/>
              </w:rPr>
              <w:t xml:space="preserve"> predložených ŽoNFP</w:t>
            </w:r>
          </w:p>
        </w:tc>
        <w:tc>
          <w:tcPr>
            <w:tcW w:w="1021"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6AF69019" w14:textId="69EE656D" w:rsidR="00E006F9" w:rsidRPr="001D2056" w:rsidRDefault="00E006F9" w:rsidP="00D66206">
            <w:pPr>
              <w:jc w:val="center"/>
              <w:rPr>
                <w:rFonts w:ascii="Arial" w:hAnsi="Arial" w:cs="Arial"/>
                <w:b/>
                <w:color w:val="000000"/>
                <w:sz w:val="16"/>
                <w:szCs w:val="16"/>
              </w:rPr>
            </w:pPr>
            <w:r w:rsidRPr="001D2056">
              <w:rPr>
                <w:rFonts w:ascii="Arial" w:hAnsi="Arial" w:cs="Arial"/>
                <w:b/>
                <w:color w:val="000000"/>
                <w:sz w:val="16"/>
                <w:szCs w:val="16"/>
              </w:rPr>
              <w:t>Počet schválených ŽoNFP</w:t>
            </w:r>
            <w:r w:rsidR="00AE42BD">
              <w:rPr>
                <w:rFonts w:ascii="Arial" w:hAnsi="Arial" w:cs="Arial"/>
                <w:b/>
                <w:color w:val="000000"/>
                <w:sz w:val="16"/>
                <w:szCs w:val="16"/>
              </w:rPr>
              <w:t xml:space="preserve"> s relevanciou k ŠP</w:t>
            </w:r>
          </w:p>
        </w:tc>
        <w:tc>
          <w:tcPr>
            <w:tcW w:w="1021"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01040D4A" w14:textId="5676D449" w:rsidR="00AE42BD" w:rsidRDefault="00E006F9" w:rsidP="00D66206">
            <w:pPr>
              <w:jc w:val="center"/>
              <w:rPr>
                <w:rFonts w:ascii="Arial" w:hAnsi="Arial" w:cs="Arial"/>
                <w:b/>
                <w:color w:val="000000"/>
                <w:sz w:val="16"/>
                <w:szCs w:val="16"/>
              </w:rPr>
            </w:pPr>
            <w:r w:rsidRPr="001D2056">
              <w:rPr>
                <w:rFonts w:ascii="Arial" w:hAnsi="Arial" w:cs="Arial"/>
                <w:b/>
                <w:color w:val="000000"/>
                <w:sz w:val="16"/>
                <w:szCs w:val="16"/>
              </w:rPr>
              <w:t xml:space="preserve">Podiel </w:t>
            </w:r>
            <w:r w:rsidR="00C15B70" w:rsidRPr="001D2056">
              <w:rPr>
                <w:rFonts w:ascii="Arial" w:hAnsi="Arial" w:cs="Arial"/>
                <w:b/>
                <w:color w:val="000000"/>
                <w:sz w:val="16"/>
                <w:szCs w:val="16"/>
              </w:rPr>
              <w:t>ŽoNFP</w:t>
            </w:r>
            <w:r w:rsidRPr="001D2056">
              <w:rPr>
                <w:rFonts w:ascii="Arial" w:hAnsi="Arial" w:cs="Arial"/>
                <w:b/>
                <w:color w:val="000000"/>
                <w:sz w:val="16"/>
                <w:szCs w:val="16"/>
              </w:rPr>
              <w:t xml:space="preserve"> </w:t>
            </w:r>
            <w:r w:rsidR="00AE42BD">
              <w:rPr>
                <w:rFonts w:ascii="Arial" w:hAnsi="Arial" w:cs="Arial"/>
                <w:b/>
                <w:color w:val="000000"/>
                <w:sz w:val="16"/>
                <w:szCs w:val="16"/>
              </w:rPr>
              <w:t>s relevanciou k ŠP</w:t>
            </w:r>
          </w:p>
          <w:p w14:paraId="1002EF98" w14:textId="0CB7C4C2" w:rsidR="00E006F9" w:rsidRPr="001D2056" w:rsidRDefault="00E006F9" w:rsidP="00D66206">
            <w:pPr>
              <w:jc w:val="center"/>
              <w:rPr>
                <w:rFonts w:ascii="Arial" w:hAnsi="Arial" w:cs="Arial"/>
                <w:b/>
                <w:color w:val="000000"/>
                <w:sz w:val="16"/>
                <w:szCs w:val="16"/>
              </w:rPr>
            </w:pPr>
            <w:r w:rsidRPr="001D2056">
              <w:rPr>
                <w:rFonts w:ascii="Arial" w:hAnsi="Arial" w:cs="Arial"/>
                <w:b/>
                <w:color w:val="000000"/>
                <w:sz w:val="16"/>
                <w:szCs w:val="16"/>
              </w:rPr>
              <w:t>z celkového počtu schválených ŽoNFP</w:t>
            </w:r>
          </w:p>
        </w:tc>
        <w:tc>
          <w:tcPr>
            <w:tcW w:w="1038"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5BAE4BE5" w14:textId="78A35D33" w:rsidR="00E006F9" w:rsidRPr="00ED35BD" w:rsidRDefault="00E006F9" w:rsidP="00D66206">
            <w:pPr>
              <w:jc w:val="center"/>
              <w:rPr>
                <w:rFonts w:ascii="Arial" w:hAnsi="Arial" w:cs="Arial"/>
                <w:b/>
                <w:color w:val="000000"/>
                <w:sz w:val="16"/>
                <w:szCs w:val="16"/>
              </w:rPr>
            </w:pPr>
            <w:r w:rsidRPr="00ED35BD">
              <w:rPr>
                <w:rFonts w:ascii="Arial" w:hAnsi="Arial" w:cs="Arial"/>
                <w:b/>
                <w:color w:val="000000"/>
                <w:sz w:val="16"/>
                <w:szCs w:val="16"/>
              </w:rPr>
              <w:t>Schválená výška NFP</w:t>
            </w:r>
            <w:r w:rsidR="00ED35BD" w:rsidRPr="00ED35BD">
              <w:rPr>
                <w:rFonts w:ascii="Arial" w:hAnsi="Arial" w:cs="Arial"/>
                <w:b/>
                <w:color w:val="000000"/>
                <w:sz w:val="16"/>
                <w:szCs w:val="16"/>
              </w:rPr>
              <w:t xml:space="preserve"> s relevanciou  k ŠP</w:t>
            </w:r>
          </w:p>
        </w:tc>
        <w:tc>
          <w:tcPr>
            <w:tcW w:w="1145"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48A27A71" w14:textId="2E3B603E" w:rsidR="00E006F9" w:rsidRPr="001D2056" w:rsidRDefault="00E006F9" w:rsidP="00D66206">
            <w:pPr>
              <w:jc w:val="center"/>
              <w:rPr>
                <w:rFonts w:ascii="Arial" w:hAnsi="Arial" w:cs="Arial"/>
                <w:b/>
                <w:color w:val="000000"/>
                <w:sz w:val="16"/>
                <w:szCs w:val="16"/>
              </w:rPr>
            </w:pPr>
            <w:r w:rsidRPr="001D2056">
              <w:rPr>
                <w:rFonts w:ascii="Arial" w:hAnsi="Arial" w:cs="Arial"/>
                <w:b/>
                <w:color w:val="000000"/>
                <w:sz w:val="16"/>
                <w:szCs w:val="16"/>
              </w:rPr>
              <w:t xml:space="preserve">Podiel schváleného NFP </w:t>
            </w:r>
            <w:r w:rsidR="00ED35BD" w:rsidRPr="00ED35BD">
              <w:rPr>
                <w:rFonts w:ascii="Arial" w:hAnsi="Arial" w:cs="Arial"/>
                <w:b/>
                <w:color w:val="000000"/>
                <w:sz w:val="16"/>
                <w:szCs w:val="16"/>
              </w:rPr>
              <w:t>s relevanciou  k ŠP</w:t>
            </w:r>
            <w:r w:rsidR="00ED35BD">
              <w:rPr>
                <w:rFonts w:ascii="Arial" w:hAnsi="Arial" w:cs="Arial"/>
                <w:b/>
                <w:color w:val="000000"/>
                <w:sz w:val="16"/>
                <w:szCs w:val="16"/>
              </w:rPr>
              <w:t xml:space="preserve"> </w:t>
            </w:r>
            <w:r w:rsidRPr="001D2056">
              <w:rPr>
                <w:rFonts w:ascii="Arial" w:hAnsi="Arial" w:cs="Arial"/>
                <w:b/>
                <w:color w:val="000000"/>
                <w:sz w:val="16"/>
                <w:szCs w:val="16"/>
              </w:rPr>
              <w:t>z celkového objemu v schválených ŽoNFP</w:t>
            </w:r>
          </w:p>
        </w:tc>
      </w:tr>
      <w:tr w:rsidR="00E006F9" w:rsidRPr="006C191C" w14:paraId="77FA3BC8"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5FD64B35" w14:textId="137E75F3"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OPZP-PO3-08-2</w:t>
            </w:r>
          </w:p>
        </w:tc>
        <w:tc>
          <w:tcPr>
            <w:tcW w:w="1092" w:type="dxa"/>
            <w:tcBorders>
              <w:top w:val="nil"/>
              <w:left w:val="nil"/>
              <w:bottom w:val="single" w:sz="4" w:space="0" w:color="auto"/>
              <w:right w:val="single" w:sz="4" w:space="0" w:color="auto"/>
            </w:tcBorders>
            <w:shd w:val="clear" w:color="auto" w:fill="auto"/>
            <w:noWrap/>
            <w:vAlign w:val="center"/>
            <w:hideMark/>
          </w:tcPr>
          <w:p w14:paraId="3B102A2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w:t>
            </w:r>
          </w:p>
        </w:tc>
        <w:tc>
          <w:tcPr>
            <w:tcW w:w="1092" w:type="dxa"/>
            <w:tcBorders>
              <w:top w:val="nil"/>
              <w:left w:val="nil"/>
              <w:bottom w:val="single" w:sz="4" w:space="0" w:color="auto"/>
              <w:right w:val="single" w:sz="4" w:space="0" w:color="auto"/>
            </w:tcBorders>
            <w:shd w:val="clear" w:color="auto" w:fill="auto"/>
            <w:noWrap/>
            <w:vAlign w:val="center"/>
            <w:hideMark/>
          </w:tcPr>
          <w:p w14:paraId="762E5509"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8%</w:t>
            </w:r>
          </w:p>
        </w:tc>
        <w:tc>
          <w:tcPr>
            <w:tcW w:w="1172" w:type="dxa"/>
            <w:tcBorders>
              <w:top w:val="nil"/>
              <w:left w:val="nil"/>
              <w:bottom w:val="single" w:sz="4" w:space="0" w:color="auto"/>
              <w:right w:val="single" w:sz="4" w:space="0" w:color="auto"/>
            </w:tcBorders>
            <w:shd w:val="clear" w:color="auto" w:fill="auto"/>
            <w:noWrap/>
            <w:vAlign w:val="center"/>
            <w:hideMark/>
          </w:tcPr>
          <w:p w14:paraId="6A813AEB"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8 962 358</w:t>
            </w:r>
          </w:p>
        </w:tc>
        <w:tc>
          <w:tcPr>
            <w:tcW w:w="1092" w:type="dxa"/>
            <w:tcBorders>
              <w:top w:val="nil"/>
              <w:left w:val="nil"/>
              <w:bottom w:val="single" w:sz="4" w:space="0" w:color="auto"/>
              <w:right w:val="single" w:sz="4" w:space="0" w:color="auto"/>
            </w:tcBorders>
            <w:shd w:val="clear" w:color="auto" w:fill="auto"/>
            <w:noWrap/>
            <w:vAlign w:val="center"/>
            <w:hideMark/>
          </w:tcPr>
          <w:p w14:paraId="7ABE44E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47%</w:t>
            </w:r>
          </w:p>
        </w:tc>
        <w:tc>
          <w:tcPr>
            <w:tcW w:w="1021" w:type="dxa"/>
            <w:tcBorders>
              <w:top w:val="nil"/>
              <w:left w:val="nil"/>
              <w:bottom w:val="single" w:sz="4" w:space="0" w:color="auto"/>
              <w:right w:val="single" w:sz="4" w:space="0" w:color="auto"/>
            </w:tcBorders>
            <w:shd w:val="clear" w:color="auto" w:fill="auto"/>
            <w:noWrap/>
            <w:vAlign w:val="center"/>
            <w:hideMark/>
          </w:tcPr>
          <w:p w14:paraId="70672617"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w:t>
            </w:r>
          </w:p>
        </w:tc>
        <w:tc>
          <w:tcPr>
            <w:tcW w:w="1021" w:type="dxa"/>
            <w:tcBorders>
              <w:top w:val="nil"/>
              <w:left w:val="nil"/>
              <w:bottom w:val="single" w:sz="4" w:space="0" w:color="auto"/>
              <w:right w:val="single" w:sz="4" w:space="0" w:color="auto"/>
            </w:tcBorders>
            <w:shd w:val="clear" w:color="auto" w:fill="auto"/>
            <w:noWrap/>
            <w:vAlign w:val="center"/>
            <w:hideMark/>
          </w:tcPr>
          <w:p w14:paraId="402D3312"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13%</w:t>
            </w:r>
          </w:p>
        </w:tc>
        <w:tc>
          <w:tcPr>
            <w:tcW w:w="1038" w:type="dxa"/>
            <w:tcBorders>
              <w:top w:val="nil"/>
              <w:left w:val="nil"/>
              <w:bottom w:val="single" w:sz="4" w:space="0" w:color="auto"/>
              <w:right w:val="single" w:sz="4" w:space="0" w:color="auto"/>
            </w:tcBorders>
            <w:shd w:val="clear" w:color="auto" w:fill="auto"/>
            <w:noWrap/>
            <w:vAlign w:val="center"/>
            <w:hideMark/>
          </w:tcPr>
          <w:p w14:paraId="210D16F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8 962 358</w:t>
            </w:r>
          </w:p>
        </w:tc>
        <w:tc>
          <w:tcPr>
            <w:tcW w:w="1145" w:type="dxa"/>
            <w:tcBorders>
              <w:top w:val="nil"/>
              <w:left w:val="nil"/>
              <w:bottom w:val="single" w:sz="4" w:space="0" w:color="auto"/>
              <w:right w:val="single" w:sz="4" w:space="0" w:color="auto"/>
            </w:tcBorders>
            <w:shd w:val="clear" w:color="auto" w:fill="auto"/>
            <w:noWrap/>
            <w:vAlign w:val="center"/>
            <w:hideMark/>
          </w:tcPr>
          <w:p w14:paraId="0E373BB5"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71%</w:t>
            </w:r>
          </w:p>
        </w:tc>
      </w:tr>
      <w:tr w:rsidR="00E006F9" w:rsidRPr="006C191C" w14:paraId="42F5A9EF"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55D46E3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OPZP-PO3-08-5</w:t>
            </w:r>
          </w:p>
        </w:tc>
        <w:tc>
          <w:tcPr>
            <w:tcW w:w="1092" w:type="dxa"/>
            <w:tcBorders>
              <w:top w:val="nil"/>
              <w:left w:val="nil"/>
              <w:bottom w:val="single" w:sz="4" w:space="0" w:color="auto"/>
              <w:right w:val="single" w:sz="4" w:space="0" w:color="auto"/>
            </w:tcBorders>
            <w:shd w:val="clear" w:color="auto" w:fill="auto"/>
            <w:noWrap/>
            <w:vAlign w:val="center"/>
            <w:hideMark/>
          </w:tcPr>
          <w:p w14:paraId="5195899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13</w:t>
            </w:r>
          </w:p>
        </w:tc>
        <w:tc>
          <w:tcPr>
            <w:tcW w:w="1092" w:type="dxa"/>
            <w:tcBorders>
              <w:top w:val="nil"/>
              <w:left w:val="nil"/>
              <w:bottom w:val="single" w:sz="4" w:space="0" w:color="auto"/>
              <w:right w:val="single" w:sz="4" w:space="0" w:color="auto"/>
            </w:tcBorders>
            <w:shd w:val="clear" w:color="auto" w:fill="auto"/>
            <w:noWrap/>
            <w:vAlign w:val="center"/>
            <w:hideMark/>
          </w:tcPr>
          <w:p w14:paraId="70CCAD50"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24%</w:t>
            </w:r>
          </w:p>
        </w:tc>
        <w:tc>
          <w:tcPr>
            <w:tcW w:w="1172" w:type="dxa"/>
            <w:tcBorders>
              <w:top w:val="nil"/>
              <w:left w:val="nil"/>
              <w:bottom w:val="single" w:sz="4" w:space="0" w:color="auto"/>
              <w:right w:val="single" w:sz="4" w:space="0" w:color="auto"/>
            </w:tcBorders>
            <w:shd w:val="clear" w:color="auto" w:fill="auto"/>
            <w:noWrap/>
            <w:vAlign w:val="center"/>
            <w:hideMark/>
          </w:tcPr>
          <w:p w14:paraId="7721C421"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23 180 565</w:t>
            </w:r>
          </w:p>
        </w:tc>
        <w:tc>
          <w:tcPr>
            <w:tcW w:w="1092" w:type="dxa"/>
            <w:tcBorders>
              <w:top w:val="nil"/>
              <w:left w:val="nil"/>
              <w:bottom w:val="single" w:sz="4" w:space="0" w:color="auto"/>
              <w:right w:val="single" w:sz="4" w:space="0" w:color="auto"/>
            </w:tcBorders>
            <w:shd w:val="clear" w:color="auto" w:fill="auto"/>
            <w:noWrap/>
            <w:vAlign w:val="center"/>
            <w:hideMark/>
          </w:tcPr>
          <w:p w14:paraId="656E1FBF"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38%</w:t>
            </w:r>
          </w:p>
        </w:tc>
        <w:tc>
          <w:tcPr>
            <w:tcW w:w="1021" w:type="dxa"/>
            <w:tcBorders>
              <w:top w:val="nil"/>
              <w:left w:val="nil"/>
              <w:bottom w:val="single" w:sz="4" w:space="0" w:color="auto"/>
              <w:right w:val="single" w:sz="4" w:space="0" w:color="auto"/>
            </w:tcBorders>
            <w:shd w:val="clear" w:color="auto" w:fill="auto"/>
            <w:noWrap/>
            <w:vAlign w:val="center"/>
            <w:hideMark/>
          </w:tcPr>
          <w:p w14:paraId="4CC4C2AB"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4</w:t>
            </w:r>
          </w:p>
        </w:tc>
        <w:tc>
          <w:tcPr>
            <w:tcW w:w="1021" w:type="dxa"/>
            <w:tcBorders>
              <w:top w:val="nil"/>
              <w:left w:val="nil"/>
              <w:bottom w:val="single" w:sz="4" w:space="0" w:color="auto"/>
              <w:right w:val="single" w:sz="4" w:space="0" w:color="auto"/>
            </w:tcBorders>
            <w:shd w:val="clear" w:color="auto" w:fill="auto"/>
            <w:noWrap/>
            <w:vAlign w:val="center"/>
            <w:hideMark/>
          </w:tcPr>
          <w:p w14:paraId="336D039F"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24%</w:t>
            </w:r>
          </w:p>
        </w:tc>
        <w:tc>
          <w:tcPr>
            <w:tcW w:w="1038" w:type="dxa"/>
            <w:tcBorders>
              <w:top w:val="nil"/>
              <w:left w:val="nil"/>
              <w:bottom w:val="single" w:sz="4" w:space="0" w:color="auto"/>
              <w:right w:val="single" w:sz="4" w:space="0" w:color="auto"/>
            </w:tcBorders>
            <w:shd w:val="clear" w:color="auto" w:fill="auto"/>
            <w:noWrap/>
            <w:vAlign w:val="center"/>
            <w:hideMark/>
          </w:tcPr>
          <w:p w14:paraId="7830BB02"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7 037 214</w:t>
            </w:r>
          </w:p>
        </w:tc>
        <w:tc>
          <w:tcPr>
            <w:tcW w:w="1145" w:type="dxa"/>
            <w:tcBorders>
              <w:top w:val="nil"/>
              <w:left w:val="nil"/>
              <w:bottom w:val="single" w:sz="4" w:space="0" w:color="auto"/>
              <w:right w:val="single" w:sz="4" w:space="0" w:color="auto"/>
            </w:tcBorders>
            <w:shd w:val="clear" w:color="auto" w:fill="auto"/>
            <w:noWrap/>
            <w:vAlign w:val="center"/>
            <w:hideMark/>
          </w:tcPr>
          <w:p w14:paraId="00832A2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30%</w:t>
            </w:r>
          </w:p>
        </w:tc>
      </w:tr>
      <w:tr w:rsidR="00E006F9" w:rsidRPr="006C191C" w14:paraId="7353EDC9"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65850865"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OPZP-PO3-09-2</w:t>
            </w:r>
          </w:p>
        </w:tc>
        <w:tc>
          <w:tcPr>
            <w:tcW w:w="1092" w:type="dxa"/>
            <w:tcBorders>
              <w:top w:val="nil"/>
              <w:left w:val="nil"/>
              <w:bottom w:val="single" w:sz="4" w:space="0" w:color="auto"/>
              <w:right w:val="single" w:sz="4" w:space="0" w:color="auto"/>
            </w:tcBorders>
            <w:shd w:val="clear" w:color="auto" w:fill="auto"/>
            <w:noWrap/>
            <w:vAlign w:val="center"/>
            <w:hideMark/>
          </w:tcPr>
          <w:p w14:paraId="3B9FF670"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16</w:t>
            </w:r>
          </w:p>
        </w:tc>
        <w:tc>
          <w:tcPr>
            <w:tcW w:w="1092" w:type="dxa"/>
            <w:tcBorders>
              <w:top w:val="nil"/>
              <w:left w:val="nil"/>
              <w:bottom w:val="single" w:sz="4" w:space="0" w:color="auto"/>
              <w:right w:val="single" w:sz="4" w:space="0" w:color="auto"/>
            </w:tcBorders>
            <w:shd w:val="clear" w:color="auto" w:fill="auto"/>
            <w:noWrap/>
            <w:vAlign w:val="center"/>
            <w:hideMark/>
          </w:tcPr>
          <w:p w14:paraId="02BE082C"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16%</w:t>
            </w:r>
          </w:p>
        </w:tc>
        <w:tc>
          <w:tcPr>
            <w:tcW w:w="1172" w:type="dxa"/>
            <w:tcBorders>
              <w:top w:val="nil"/>
              <w:left w:val="nil"/>
              <w:bottom w:val="single" w:sz="4" w:space="0" w:color="auto"/>
              <w:right w:val="single" w:sz="4" w:space="0" w:color="auto"/>
            </w:tcBorders>
            <w:shd w:val="clear" w:color="auto" w:fill="auto"/>
            <w:noWrap/>
            <w:vAlign w:val="center"/>
            <w:hideMark/>
          </w:tcPr>
          <w:p w14:paraId="4F4C3F86"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30 809 301</w:t>
            </w:r>
          </w:p>
        </w:tc>
        <w:tc>
          <w:tcPr>
            <w:tcW w:w="1092" w:type="dxa"/>
            <w:tcBorders>
              <w:top w:val="nil"/>
              <w:left w:val="nil"/>
              <w:bottom w:val="single" w:sz="4" w:space="0" w:color="auto"/>
              <w:right w:val="single" w:sz="4" w:space="0" w:color="auto"/>
            </w:tcBorders>
            <w:shd w:val="clear" w:color="auto" w:fill="auto"/>
            <w:noWrap/>
            <w:vAlign w:val="center"/>
            <w:hideMark/>
          </w:tcPr>
          <w:p w14:paraId="3B2DD2B8"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32%</w:t>
            </w:r>
          </w:p>
        </w:tc>
        <w:tc>
          <w:tcPr>
            <w:tcW w:w="1021" w:type="dxa"/>
            <w:tcBorders>
              <w:top w:val="nil"/>
              <w:left w:val="nil"/>
              <w:bottom w:val="single" w:sz="4" w:space="0" w:color="auto"/>
              <w:right w:val="single" w:sz="4" w:space="0" w:color="auto"/>
            </w:tcBorders>
            <w:shd w:val="clear" w:color="auto" w:fill="auto"/>
            <w:noWrap/>
            <w:vAlign w:val="center"/>
            <w:hideMark/>
          </w:tcPr>
          <w:p w14:paraId="67F9C1EB"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5</w:t>
            </w:r>
          </w:p>
        </w:tc>
        <w:tc>
          <w:tcPr>
            <w:tcW w:w="1021" w:type="dxa"/>
            <w:tcBorders>
              <w:top w:val="nil"/>
              <w:left w:val="nil"/>
              <w:bottom w:val="single" w:sz="4" w:space="0" w:color="auto"/>
              <w:right w:val="single" w:sz="4" w:space="0" w:color="auto"/>
            </w:tcBorders>
            <w:shd w:val="clear" w:color="auto" w:fill="auto"/>
            <w:noWrap/>
            <w:vAlign w:val="center"/>
            <w:hideMark/>
          </w:tcPr>
          <w:p w14:paraId="739155D8"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26%</w:t>
            </w:r>
          </w:p>
        </w:tc>
        <w:tc>
          <w:tcPr>
            <w:tcW w:w="1038" w:type="dxa"/>
            <w:tcBorders>
              <w:top w:val="nil"/>
              <w:left w:val="nil"/>
              <w:bottom w:val="single" w:sz="4" w:space="0" w:color="auto"/>
              <w:right w:val="single" w:sz="4" w:space="0" w:color="auto"/>
            </w:tcBorders>
            <w:shd w:val="clear" w:color="auto" w:fill="auto"/>
            <w:noWrap/>
            <w:vAlign w:val="center"/>
            <w:hideMark/>
          </w:tcPr>
          <w:p w14:paraId="29973AE1"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10 635 003</w:t>
            </w:r>
          </w:p>
        </w:tc>
        <w:tc>
          <w:tcPr>
            <w:tcW w:w="1145" w:type="dxa"/>
            <w:tcBorders>
              <w:top w:val="nil"/>
              <w:left w:val="nil"/>
              <w:bottom w:val="single" w:sz="4" w:space="0" w:color="auto"/>
              <w:right w:val="single" w:sz="4" w:space="0" w:color="auto"/>
            </w:tcBorders>
            <w:shd w:val="clear" w:color="auto" w:fill="auto"/>
            <w:noWrap/>
            <w:vAlign w:val="center"/>
            <w:hideMark/>
          </w:tcPr>
          <w:p w14:paraId="29BA8382"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55%</w:t>
            </w:r>
          </w:p>
        </w:tc>
      </w:tr>
      <w:tr w:rsidR="00E006F9" w:rsidRPr="006C191C" w14:paraId="13DD7314"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75D636DF"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OPZP-PO3-09-3</w:t>
            </w:r>
          </w:p>
        </w:tc>
        <w:tc>
          <w:tcPr>
            <w:tcW w:w="1092" w:type="dxa"/>
            <w:tcBorders>
              <w:top w:val="nil"/>
              <w:left w:val="nil"/>
              <w:bottom w:val="single" w:sz="4" w:space="0" w:color="auto"/>
              <w:right w:val="single" w:sz="4" w:space="0" w:color="auto"/>
            </w:tcBorders>
            <w:shd w:val="clear" w:color="auto" w:fill="auto"/>
            <w:noWrap/>
            <w:vAlign w:val="center"/>
            <w:hideMark/>
          </w:tcPr>
          <w:p w14:paraId="3603F6C8"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7</w:t>
            </w:r>
          </w:p>
        </w:tc>
        <w:tc>
          <w:tcPr>
            <w:tcW w:w="1092" w:type="dxa"/>
            <w:tcBorders>
              <w:top w:val="nil"/>
              <w:left w:val="nil"/>
              <w:bottom w:val="single" w:sz="4" w:space="0" w:color="auto"/>
              <w:right w:val="single" w:sz="4" w:space="0" w:color="auto"/>
            </w:tcBorders>
            <w:shd w:val="clear" w:color="auto" w:fill="auto"/>
            <w:noWrap/>
            <w:vAlign w:val="center"/>
            <w:hideMark/>
          </w:tcPr>
          <w:p w14:paraId="511F348A"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5%</w:t>
            </w:r>
          </w:p>
        </w:tc>
        <w:tc>
          <w:tcPr>
            <w:tcW w:w="1172" w:type="dxa"/>
            <w:tcBorders>
              <w:top w:val="nil"/>
              <w:left w:val="nil"/>
              <w:bottom w:val="single" w:sz="4" w:space="0" w:color="auto"/>
              <w:right w:val="single" w:sz="4" w:space="0" w:color="auto"/>
            </w:tcBorders>
            <w:shd w:val="clear" w:color="auto" w:fill="auto"/>
            <w:noWrap/>
            <w:vAlign w:val="center"/>
            <w:hideMark/>
          </w:tcPr>
          <w:p w14:paraId="352F82D3"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28 467 070</w:t>
            </w:r>
          </w:p>
        </w:tc>
        <w:tc>
          <w:tcPr>
            <w:tcW w:w="1092" w:type="dxa"/>
            <w:tcBorders>
              <w:top w:val="nil"/>
              <w:left w:val="nil"/>
              <w:bottom w:val="single" w:sz="4" w:space="0" w:color="auto"/>
              <w:right w:val="single" w:sz="4" w:space="0" w:color="auto"/>
            </w:tcBorders>
            <w:shd w:val="clear" w:color="auto" w:fill="auto"/>
            <w:noWrap/>
            <w:vAlign w:val="center"/>
            <w:hideMark/>
          </w:tcPr>
          <w:p w14:paraId="7ABAB9AE"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24%</w:t>
            </w:r>
          </w:p>
        </w:tc>
        <w:tc>
          <w:tcPr>
            <w:tcW w:w="1021" w:type="dxa"/>
            <w:tcBorders>
              <w:top w:val="nil"/>
              <w:left w:val="nil"/>
              <w:bottom w:val="single" w:sz="4" w:space="0" w:color="auto"/>
              <w:right w:val="single" w:sz="4" w:space="0" w:color="auto"/>
            </w:tcBorders>
            <w:shd w:val="clear" w:color="auto" w:fill="auto"/>
            <w:noWrap/>
            <w:vAlign w:val="center"/>
            <w:hideMark/>
          </w:tcPr>
          <w:p w14:paraId="68725107"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w:t>
            </w:r>
          </w:p>
        </w:tc>
        <w:tc>
          <w:tcPr>
            <w:tcW w:w="1021" w:type="dxa"/>
            <w:tcBorders>
              <w:top w:val="nil"/>
              <w:left w:val="nil"/>
              <w:bottom w:val="single" w:sz="4" w:space="0" w:color="auto"/>
              <w:right w:val="single" w:sz="4" w:space="0" w:color="auto"/>
            </w:tcBorders>
            <w:shd w:val="clear" w:color="auto" w:fill="auto"/>
            <w:noWrap/>
            <w:vAlign w:val="center"/>
            <w:hideMark/>
          </w:tcPr>
          <w:p w14:paraId="049B6D76"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5%</w:t>
            </w:r>
          </w:p>
        </w:tc>
        <w:tc>
          <w:tcPr>
            <w:tcW w:w="1038" w:type="dxa"/>
            <w:tcBorders>
              <w:top w:val="nil"/>
              <w:left w:val="nil"/>
              <w:bottom w:val="single" w:sz="4" w:space="0" w:color="auto"/>
              <w:right w:val="single" w:sz="4" w:space="0" w:color="auto"/>
            </w:tcBorders>
            <w:shd w:val="clear" w:color="auto" w:fill="auto"/>
            <w:noWrap/>
            <w:vAlign w:val="center"/>
            <w:hideMark/>
          </w:tcPr>
          <w:p w14:paraId="59C2FB4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14 929 134</w:t>
            </w:r>
          </w:p>
        </w:tc>
        <w:tc>
          <w:tcPr>
            <w:tcW w:w="1145" w:type="dxa"/>
            <w:tcBorders>
              <w:top w:val="nil"/>
              <w:left w:val="nil"/>
              <w:bottom w:val="single" w:sz="4" w:space="0" w:color="auto"/>
              <w:right w:val="single" w:sz="4" w:space="0" w:color="auto"/>
            </w:tcBorders>
            <w:shd w:val="clear" w:color="auto" w:fill="auto"/>
            <w:noWrap/>
            <w:vAlign w:val="center"/>
            <w:hideMark/>
          </w:tcPr>
          <w:p w14:paraId="282E50C6"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21%</w:t>
            </w:r>
          </w:p>
        </w:tc>
      </w:tr>
      <w:tr w:rsidR="00E006F9" w:rsidRPr="006C191C" w14:paraId="31C9BDCB"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3194941E"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OPZP-PO3-13-2</w:t>
            </w:r>
          </w:p>
        </w:tc>
        <w:tc>
          <w:tcPr>
            <w:tcW w:w="1092" w:type="dxa"/>
            <w:tcBorders>
              <w:top w:val="nil"/>
              <w:left w:val="nil"/>
              <w:bottom w:val="single" w:sz="4" w:space="0" w:color="auto"/>
              <w:right w:val="single" w:sz="4" w:space="0" w:color="auto"/>
            </w:tcBorders>
            <w:shd w:val="clear" w:color="auto" w:fill="auto"/>
            <w:noWrap/>
            <w:vAlign w:val="center"/>
            <w:hideMark/>
          </w:tcPr>
          <w:p w14:paraId="2C03122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5</w:t>
            </w:r>
          </w:p>
        </w:tc>
        <w:tc>
          <w:tcPr>
            <w:tcW w:w="1092" w:type="dxa"/>
            <w:tcBorders>
              <w:top w:val="nil"/>
              <w:left w:val="nil"/>
              <w:bottom w:val="single" w:sz="4" w:space="0" w:color="auto"/>
              <w:right w:val="single" w:sz="4" w:space="0" w:color="auto"/>
            </w:tcBorders>
            <w:shd w:val="clear" w:color="auto" w:fill="auto"/>
            <w:noWrap/>
            <w:vAlign w:val="center"/>
            <w:hideMark/>
          </w:tcPr>
          <w:p w14:paraId="0CDD0292"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100%</w:t>
            </w:r>
          </w:p>
        </w:tc>
        <w:tc>
          <w:tcPr>
            <w:tcW w:w="1172" w:type="dxa"/>
            <w:tcBorders>
              <w:top w:val="nil"/>
              <w:left w:val="nil"/>
              <w:bottom w:val="single" w:sz="4" w:space="0" w:color="auto"/>
              <w:right w:val="single" w:sz="4" w:space="0" w:color="auto"/>
            </w:tcBorders>
            <w:shd w:val="clear" w:color="auto" w:fill="auto"/>
            <w:noWrap/>
            <w:vAlign w:val="center"/>
            <w:hideMark/>
          </w:tcPr>
          <w:p w14:paraId="15B853B0"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29 879 679</w:t>
            </w:r>
          </w:p>
        </w:tc>
        <w:tc>
          <w:tcPr>
            <w:tcW w:w="1092" w:type="dxa"/>
            <w:tcBorders>
              <w:top w:val="nil"/>
              <w:left w:val="nil"/>
              <w:bottom w:val="single" w:sz="4" w:space="0" w:color="auto"/>
              <w:right w:val="single" w:sz="4" w:space="0" w:color="auto"/>
            </w:tcBorders>
            <w:shd w:val="clear" w:color="auto" w:fill="auto"/>
            <w:noWrap/>
            <w:vAlign w:val="center"/>
            <w:hideMark/>
          </w:tcPr>
          <w:p w14:paraId="5B6F46B3"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c>
          <w:tcPr>
            <w:tcW w:w="1021" w:type="dxa"/>
            <w:tcBorders>
              <w:top w:val="nil"/>
              <w:left w:val="nil"/>
              <w:bottom w:val="single" w:sz="4" w:space="0" w:color="auto"/>
              <w:right w:val="single" w:sz="4" w:space="0" w:color="auto"/>
            </w:tcBorders>
            <w:shd w:val="clear" w:color="auto" w:fill="auto"/>
            <w:noWrap/>
            <w:vAlign w:val="center"/>
            <w:hideMark/>
          </w:tcPr>
          <w:p w14:paraId="56F830F8"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4</w:t>
            </w:r>
          </w:p>
        </w:tc>
        <w:tc>
          <w:tcPr>
            <w:tcW w:w="1021" w:type="dxa"/>
            <w:tcBorders>
              <w:top w:val="nil"/>
              <w:left w:val="nil"/>
              <w:bottom w:val="single" w:sz="4" w:space="0" w:color="auto"/>
              <w:right w:val="single" w:sz="4" w:space="0" w:color="auto"/>
            </w:tcBorders>
            <w:shd w:val="clear" w:color="auto" w:fill="auto"/>
            <w:noWrap/>
            <w:vAlign w:val="center"/>
            <w:hideMark/>
          </w:tcPr>
          <w:p w14:paraId="0A7B822C"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c>
          <w:tcPr>
            <w:tcW w:w="1038" w:type="dxa"/>
            <w:tcBorders>
              <w:top w:val="nil"/>
              <w:left w:val="nil"/>
              <w:bottom w:val="single" w:sz="4" w:space="0" w:color="auto"/>
              <w:right w:val="single" w:sz="4" w:space="0" w:color="auto"/>
            </w:tcBorders>
            <w:shd w:val="clear" w:color="auto" w:fill="auto"/>
            <w:noWrap/>
            <w:vAlign w:val="center"/>
            <w:hideMark/>
          </w:tcPr>
          <w:p w14:paraId="3F3D90E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20 383 432</w:t>
            </w:r>
          </w:p>
        </w:tc>
        <w:tc>
          <w:tcPr>
            <w:tcW w:w="1145" w:type="dxa"/>
            <w:tcBorders>
              <w:top w:val="nil"/>
              <w:left w:val="nil"/>
              <w:bottom w:val="single" w:sz="4" w:space="0" w:color="auto"/>
              <w:right w:val="single" w:sz="4" w:space="0" w:color="auto"/>
            </w:tcBorders>
            <w:shd w:val="clear" w:color="auto" w:fill="auto"/>
            <w:noWrap/>
            <w:vAlign w:val="center"/>
            <w:hideMark/>
          </w:tcPr>
          <w:p w14:paraId="37ED9DC1"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r>
      <w:tr w:rsidR="00E006F9" w:rsidRPr="006C191C" w14:paraId="0EE0EAAA"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2382F5EE"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OPZP-PO3-13-3</w:t>
            </w:r>
          </w:p>
        </w:tc>
        <w:tc>
          <w:tcPr>
            <w:tcW w:w="1092" w:type="dxa"/>
            <w:tcBorders>
              <w:top w:val="nil"/>
              <w:left w:val="nil"/>
              <w:bottom w:val="single" w:sz="4" w:space="0" w:color="auto"/>
              <w:right w:val="single" w:sz="4" w:space="0" w:color="auto"/>
            </w:tcBorders>
            <w:shd w:val="clear" w:color="auto" w:fill="auto"/>
            <w:noWrap/>
            <w:vAlign w:val="center"/>
            <w:hideMark/>
          </w:tcPr>
          <w:p w14:paraId="7221757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w:t>
            </w:r>
          </w:p>
        </w:tc>
        <w:tc>
          <w:tcPr>
            <w:tcW w:w="1092" w:type="dxa"/>
            <w:tcBorders>
              <w:top w:val="nil"/>
              <w:left w:val="nil"/>
              <w:bottom w:val="single" w:sz="4" w:space="0" w:color="auto"/>
              <w:right w:val="single" w:sz="4" w:space="0" w:color="auto"/>
            </w:tcBorders>
            <w:shd w:val="clear" w:color="auto" w:fill="auto"/>
            <w:noWrap/>
            <w:vAlign w:val="center"/>
            <w:hideMark/>
          </w:tcPr>
          <w:p w14:paraId="08A527F0"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100%</w:t>
            </w:r>
          </w:p>
        </w:tc>
        <w:tc>
          <w:tcPr>
            <w:tcW w:w="1172" w:type="dxa"/>
            <w:tcBorders>
              <w:top w:val="nil"/>
              <w:left w:val="nil"/>
              <w:bottom w:val="single" w:sz="4" w:space="0" w:color="auto"/>
              <w:right w:val="single" w:sz="4" w:space="0" w:color="auto"/>
            </w:tcBorders>
            <w:shd w:val="clear" w:color="auto" w:fill="auto"/>
            <w:noWrap/>
            <w:vAlign w:val="center"/>
            <w:hideMark/>
          </w:tcPr>
          <w:p w14:paraId="42F9C87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2 263 923</w:t>
            </w:r>
          </w:p>
        </w:tc>
        <w:tc>
          <w:tcPr>
            <w:tcW w:w="1092" w:type="dxa"/>
            <w:tcBorders>
              <w:top w:val="nil"/>
              <w:left w:val="nil"/>
              <w:bottom w:val="single" w:sz="4" w:space="0" w:color="auto"/>
              <w:right w:val="single" w:sz="4" w:space="0" w:color="auto"/>
            </w:tcBorders>
            <w:shd w:val="clear" w:color="auto" w:fill="auto"/>
            <w:noWrap/>
            <w:vAlign w:val="center"/>
            <w:hideMark/>
          </w:tcPr>
          <w:p w14:paraId="038CC332"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c>
          <w:tcPr>
            <w:tcW w:w="1021" w:type="dxa"/>
            <w:tcBorders>
              <w:top w:val="nil"/>
              <w:left w:val="nil"/>
              <w:bottom w:val="single" w:sz="4" w:space="0" w:color="auto"/>
              <w:right w:val="single" w:sz="4" w:space="0" w:color="auto"/>
            </w:tcBorders>
            <w:shd w:val="clear" w:color="auto" w:fill="auto"/>
            <w:noWrap/>
            <w:vAlign w:val="center"/>
            <w:hideMark/>
          </w:tcPr>
          <w:p w14:paraId="4A290498"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21" w:type="dxa"/>
            <w:tcBorders>
              <w:top w:val="nil"/>
              <w:left w:val="nil"/>
              <w:bottom w:val="single" w:sz="4" w:space="0" w:color="auto"/>
              <w:right w:val="single" w:sz="4" w:space="0" w:color="auto"/>
            </w:tcBorders>
            <w:shd w:val="clear" w:color="auto" w:fill="auto"/>
            <w:noWrap/>
            <w:vAlign w:val="center"/>
            <w:hideMark/>
          </w:tcPr>
          <w:p w14:paraId="22A2143C"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38" w:type="dxa"/>
            <w:tcBorders>
              <w:top w:val="nil"/>
              <w:left w:val="nil"/>
              <w:bottom w:val="single" w:sz="4" w:space="0" w:color="auto"/>
              <w:right w:val="single" w:sz="4" w:space="0" w:color="auto"/>
            </w:tcBorders>
            <w:shd w:val="clear" w:color="auto" w:fill="auto"/>
            <w:noWrap/>
            <w:vAlign w:val="center"/>
            <w:hideMark/>
          </w:tcPr>
          <w:p w14:paraId="3EEF138B"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w:t>
            </w:r>
          </w:p>
        </w:tc>
        <w:tc>
          <w:tcPr>
            <w:tcW w:w="1145" w:type="dxa"/>
            <w:tcBorders>
              <w:top w:val="nil"/>
              <w:left w:val="nil"/>
              <w:bottom w:val="single" w:sz="4" w:space="0" w:color="auto"/>
              <w:right w:val="single" w:sz="4" w:space="0" w:color="auto"/>
            </w:tcBorders>
            <w:shd w:val="clear" w:color="auto" w:fill="auto"/>
            <w:noWrap/>
            <w:vAlign w:val="center"/>
            <w:hideMark/>
          </w:tcPr>
          <w:p w14:paraId="74CD9BD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r>
      <w:tr w:rsidR="00E006F9" w:rsidRPr="006C191C" w14:paraId="1F3EE8A0"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659747F5"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OPZP-PO3-13-4</w:t>
            </w:r>
          </w:p>
        </w:tc>
        <w:tc>
          <w:tcPr>
            <w:tcW w:w="1092" w:type="dxa"/>
            <w:tcBorders>
              <w:top w:val="nil"/>
              <w:left w:val="nil"/>
              <w:bottom w:val="single" w:sz="4" w:space="0" w:color="auto"/>
              <w:right w:val="single" w:sz="4" w:space="0" w:color="auto"/>
            </w:tcBorders>
            <w:shd w:val="clear" w:color="auto" w:fill="auto"/>
            <w:noWrap/>
            <w:vAlign w:val="center"/>
            <w:hideMark/>
          </w:tcPr>
          <w:p w14:paraId="77B077C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7</w:t>
            </w:r>
          </w:p>
        </w:tc>
        <w:tc>
          <w:tcPr>
            <w:tcW w:w="1092" w:type="dxa"/>
            <w:tcBorders>
              <w:top w:val="nil"/>
              <w:left w:val="nil"/>
              <w:bottom w:val="single" w:sz="4" w:space="0" w:color="auto"/>
              <w:right w:val="single" w:sz="4" w:space="0" w:color="auto"/>
            </w:tcBorders>
            <w:shd w:val="clear" w:color="auto" w:fill="auto"/>
            <w:noWrap/>
            <w:vAlign w:val="center"/>
            <w:hideMark/>
          </w:tcPr>
          <w:p w14:paraId="47F06EE7"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100%</w:t>
            </w:r>
          </w:p>
        </w:tc>
        <w:tc>
          <w:tcPr>
            <w:tcW w:w="1172" w:type="dxa"/>
            <w:tcBorders>
              <w:top w:val="nil"/>
              <w:left w:val="nil"/>
              <w:bottom w:val="single" w:sz="4" w:space="0" w:color="auto"/>
              <w:right w:val="single" w:sz="4" w:space="0" w:color="auto"/>
            </w:tcBorders>
            <w:shd w:val="clear" w:color="auto" w:fill="auto"/>
            <w:noWrap/>
            <w:vAlign w:val="center"/>
            <w:hideMark/>
          </w:tcPr>
          <w:p w14:paraId="6DDB6AC2"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39 602 931</w:t>
            </w:r>
          </w:p>
        </w:tc>
        <w:tc>
          <w:tcPr>
            <w:tcW w:w="1092" w:type="dxa"/>
            <w:tcBorders>
              <w:top w:val="nil"/>
              <w:left w:val="nil"/>
              <w:bottom w:val="single" w:sz="4" w:space="0" w:color="auto"/>
              <w:right w:val="single" w:sz="4" w:space="0" w:color="auto"/>
            </w:tcBorders>
            <w:shd w:val="clear" w:color="auto" w:fill="auto"/>
            <w:noWrap/>
            <w:vAlign w:val="center"/>
            <w:hideMark/>
          </w:tcPr>
          <w:p w14:paraId="159B8253"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c>
          <w:tcPr>
            <w:tcW w:w="1021" w:type="dxa"/>
            <w:tcBorders>
              <w:top w:val="nil"/>
              <w:left w:val="nil"/>
              <w:bottom w:val="single" w:sz="4" w:space="0" w:color="auto"/>
              <w:right w:val="single" w:sz="4" w:space="0" w:color="auto"/>
            </w:tcBorders>
            <w:shd w:val="clear" w:color="auto" w:fill="auto"/>
            <w:noWrap/>
            <w:vAlign w:val="center"/>
            <w:hideMark/>
          </w:tcPr>
          <w:p w14:paraId="09E368B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4</w:t>
            </w:r>
          </w:p>
        </w:tc>
        <w:tc>
          <w:tcPr>
            <w:tcW w:w="1021" w:type="dxa"/>
            <w:tcBorders>
              <w:top w:val="nil"/>
              <w:left w:val="nil"/>
              <w:bottom w:val="single" w:sz="4" w:space="0" w:color="auto"/>
              <w:right w:val="single" w:sz="4" w:space="0" w:color="auto"/>
            </w:tcBorders>
            <w:shd w:val="clear" w:color="auto" w:fill="auto"/>
            <w:noWrap/>
            <w:vAlign w:val="center"/>
            <w:hideMark/>
          </w:tcPr>
          <w:p w14:paraId="7435280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c>
          <w:tcPr>
            <w:tcW w:w="1038" w:type="dxa"/>
            <w:tcBorders>
              <w:top w:val="nil"/>
              <w:left w:val="nil"/>
              <w:bottom w:val="single" w:sz="4" w:space="0" w:color="auto"/>
              <w:right w:val="single" w:sz="4" w:space="0" w:color="auto"/>
            </w:tcBorders>
            <w:shd w:val="clear" w:color="auto" w:fill="auto"/>
            <w:noWrap/>
            <w:vAlign w:val="center"/>
            <w:hideMark/>
          </w:tcPr>
          <w:p w14:paraId="364D251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24 030 057</w:t>
            </w:r>
          </w:p>
        </w:tc>
        <w:tc>
          <w:tcPr>
            <w:tcW w:w="1145" w:type="dxa"/>
            <w:tcBorders>
              <w:top w:val="nil"/>
              <w:left w:val="nil"/>
              <w:bottom w:val="single" w:sz="4" w:space="0" w:color="auto"/>
              <w:right w:val="single" w:sz="4" w:space="0" w:color="auto"/>
            </w:tcBorders>
            <w:shd w:val="clear" w:color="auto" w:fill="auto"/>
            <w:noWrap/>
            <w:vAlign w:val="center"/>
            <w:hideMark/>
          </w:tcPr>
          <w:p w14:paraId="489535D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r>
      <w:tr w:rsidR="00E006F9" w:rsidRPr="006C191C" w14:paraId="387E6A89"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4B6EF71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OPZP-PO4-08-2</w:t>
            </w:r>
          </w:p>
        </w:tc>
        <w:tc>
          <w:tcPr>
            <w:tcW w:w="1092" w:type="dxa"/>
            <w:tcBorders>
              <w:top w:val="nil"/>
              <w:left w:val="nil"/>
              <w:bottom w:val="single" w:sz="4" w:space="0" w:color="auto"/>
              <w:right w:val="single" w:sz="4" w:space="0" w:color="auto"/>
            </w:tcBorders>
            <w:shd w:val="clear" w:color="auto" w:fill="auto"/>
            <w:noWrap/>
            <w:vAlign w:val="center"/>
            <w:hideMark/>
          </w:tcPr>
          <w:p w14:paraId="7B0A6407"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4</w:t>
            </w:r>
          </w:p>
        </w:tc>
        <w:tc>
          <w:tcPr>
            <w:tcW w:w="1092" w:type="dxa"/>
            <w:tcBorders>
              <w:top w:val="nil"/>
              <w:left w:val="nil"/>
              <w:bottom w:val="single" w:sz="4" w:space="0" w:color="auto"/>
              <w:right w:val="single" w:sz="4" w:space="0" w:color="auto"/>
            </w:tcBorders>
            <w:shd w:val="clear" w:color="auto" w:fill="auto"/>
            <w:noWrap/>
            <w:vAlign w:val="center"/>
            <w:hideMark/>
          </w:tcPr>
          <w:p w14:paraId="58AC5A9A"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4%</w:t>
            </w:r>
          </w:p>
        </w:tc>
        <w:tc>
          <w:tcPr>
            <w:tcW w:w="1172" w:type="dxa"/>
            <w:tcBorders>
              <w:top w:val="nil"/>
              <w:left w:val="nil"/>
              <w:bottom w:val="single" w:sz="4" w:space="0" w:color="auto"/>
              <w:right w:val="single" w:sz="4" w:space="0" w:color="auto"/>
            </w:tcBorders>
            <w:shd w:val="clear" w:color="auto" w:fill="auto"/>
            <w:noWrap/>
            <w:vAlign w:val="center"/>
            <w:hideMark/>
          </w:tcPr>
          <w:p w14:paraId="671C9BBC"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2 156 539</w:t>
            </w:r>
          </w:p>
        </w:tc>
        <w:tc>
          <w:tcPr>
            <w:tcW w:w="1092" w:type="dxa"/>
            <w:tcBorders>
              <w:top w:val="nil"/>
              <w:left w:val="nil"/>
              <w:bottom w:val="single" w:sz="4" w:space="0" w:color="auto"/>
              <w:right w:val="single" w:sz="4" w:space="0" w:color="auto"/>
            </w:tcBorders>
            <w:shd w:val="clear" w:color="auto" w:fill="auto"/>
            <w:noWrap/>
            <w:vAlign w:val="center"/>
            <w:hideMark/>
          </w:tcPr>
          <w:p w14:paraId="4F8F7AA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4%</w:t>
            </w:r>
          </w:p>
        </w:tc>
        <w:tc>
          <w:tcPr>
            <w:tcW w:w="1021" w:type="dxa"/>
            <w:tcBorders>
              <w:top w:val="nil"/>
              <w:left w:val="nil"/>
              <w:bottom w:val="single" w:sz="4" w:space="0" w:color="auto"/>
              <w:right w:val="single" w:sz="4" w:space="0" w:color="auto"/>
            </w:tcBorders>
            <w:shd w:val="clear" w:color="auto" w:fill="auto"/>
            <w:noWrap/>
            <w:vAlign w:val="center"/>
            <w:hideMark/>
          </w:tcPr>
          <w:p w14:paraId="4E621098"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w:t>
            </w:r>
          </w:p>
        </w:tc>
        <w:tc>
          <w:tcPr>
            <w:tcW w:w="1021" w:type="dxa"/>
            <w:tcBorders>
              <w:top w:val="nil"/>
              <w:left w:val="nil"/>
              <w:bottom w:val="single" w:sz="4" w:space="0" w:color="auto"/>
              <w:right w:val="single" w:sz="4" w:space="0" w:color="auto"/>
            </w:tcBorders>
            <w:shd w:val="clear" w:color="auto" w:fill="auto"/>
            <w:noWrap/>
            <w:vAlign w:val="center"/>
            <w:hideMark/>
          </w:tcPr>
          <w:p w14:paraId="2323779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6%</w:t>
            </w:r>
          </w:p>
        </w:tc>
        <w:tc>
          <w:tcPr>
            <w:tcW w:w="1038" w:type="dxa"/>
            <w:tcBorders>
              <w:top w:val="nil"/>
              <w:left w:val="nil"/>
              <w:bottom w:val="single" w:sz="4" w:space="0" w:color="auto"/>
              <w:right w:val="single" w:sz="4" w:space="0" w:color="auto"/>
            </w:tcBorders>
            <w:shd w:val="clear" w:color="auto" w:fill="auto"/>
            <w:noWrap/>
            <w:vAlign w:val="center"/>
            <w:hideMark/>
          </w:tcPr>
          <w:p w14:paraId="22AF32DF"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353 401</w:t>
            </w:r>
          </w:p>
        </w:tc>
        <w:tc>
          <w:tcPr>
            <w:tcW w:w="1145" w:type="dxa"/>
            <w:tcBorders>
              <w:top w:val="nil"/>
              <w:left w:val="nil"/>
              <w:bottom w:val="single" w:sz="4" w:space="0" w:color="auto"/>
              <w:right w:val="single" w:sz="4" w:space="0" w:color="auto"/>
            </w:tcBorders>
            <w:shd w:val="clear" w:color="auto" w:fill="auto"/>
            <w:noWrap/>
            <w:vAlign w:val="center"/>
            <w:hideMark/>
          </w:tcPr>
          <w:p w14:paraId="363F612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w:t>
            </w:r>
          </w:p>
        </w:tc>
      </w:tr>
      <w:tr w:rsidR="00E006F9" w:rsidRPr="006C191C" w14:paraId="6A89C8B4"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64C9D60B"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OPZP-PO4-08-3</w:t>
            </w:r>
          </w:p>
        </w:tc>
        <w:tc>
          <w:tcPr>
            <w:tcW w:w="1092" w:type="dxa"/>
            <w:tcBorders>
              <w:top w:val="nil"/>
              <w:left w:val="nil"/>
              <w:bottom w:val="single" w:sz="4" w:space="0" w:color="auto"/>
              <w:right w:val="single" w:sz="4" w:space="0" w:color="auto"/>
            </w:tcBorders>
            <w:shd w:val="clear" w:color="auto" w:fill="auto"/>
            <w:noWrap/>
            <w:vAlign w:val="center"/>
            <w:hideMark/>
          </w:tcPr>
          <w:p w14:paraId="2E2560C1"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38</w:t>
            </w:r>
          </w:p>
        </w:tc>
        <w:tc>
          <w:tcPr>
            <w:tcW w:w="1092" w:type="dxa"/>
            <w:tcBorders>
              <w:top w:val="nil"/>
              <w:left w:val="nil"/>
              <w:bottom w:val="single" w:sz="4" w:space="0" w:color="auto"/>
              <w:right w:val="single" w:sz="4" w:space="0" w:color="auto"/>
            </w:tcBorders>
            <w:shd w:val="clear" w:color="auto" w:fill="auto"/>
            <w:noWrap/>
            <w:vAlign w:val="center"/>
            <w:hideMark/>
          </w:tcPr>
          <w:p w14:paraId="6AFD9025"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55%</w:t>
            </w:r>
          </w:p>
        </w:tc>
        <w:tc>
          <w:tcPr>
            <w:tcW w:w="1172" w:type="dxa"/>
            <w:tcBorders>
              <w:top w:val="nil"/>
              <w:left w:val="nil"/>
              <w:bottom w:val="single" w:sz="4" w:space="0" w:color="auto"/>
              <w:right w:val="single" w:sz="4" w:space="0" w:color="auto"/>
            </w:tcBorders>
            <w:shd w:val="clear" w:color="auto" w:fill="auto"/>
            <w:noWrap/>
            <w:vAlign w:val="center"/>
            <w:hideMark/>
          </w:tcPr>
          <w:p w14:paraId="1C8FD8F3"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159 657 900</w:t>
            </w:r>
          </w:p>
        </w:tc>
        <w:tc>
          <w:tcPr>
            <w:tcW w:w="1092" w:type="dxa"/>
            <w:tcBorders>
              <w:top w:val="nil"/>
              <w:left w:val="nil"/>
              <w:bottom w:val="single" w:sz="4" w:space="0" w:color="auto"/>
              <w:right w:val="single" w:sz="4" w:space="0" w:color="auto"/>
            </w:tcBorders>
            <w:shd w:val="clear" w:color="auto" w:fill="auto"/>
            <w:noWrap/>
            <w:vAlign w:val="center"/>
            <w:hideMark/>
          </w:tcPr>
          <w:p w14:paraId="55829F58"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82%</w:t>
            </w:r>
          </w:p>
        </w:tc>
        <w:tc>
          <w:tcPr>
            <w:tcW w:w="1021" w:type="dxa"/>
            <w:tcBorders>
              <w:top w:val="nil"/>
              <w:left w:val="nil"/>
              <w:bottom w:val="single" w:sz="4" w:space="0" w:color="auto"/>
              <w:right w:val="single" w:sz="4" w:space="0" w:color="auto"/>
            </w:tcBorders>
            <w:shd w:val="clear" w:color="auto" w:fill="auto"/>
            <w:noWrap/>
            <w:vAlign w:val="center"/>
            <w:hideMark/>
          </w:tcPr>
          <w:p w14:paraId="0F27CE3C"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7</w:t>
            </w:r>
          </w:p>
        </w:tc>
        <w:tc>
          <w:tcPr>
            <w:tcW w:w="1021" w:type="dxa"/>
            <w:tcBorders>
              <w:top w:val="nil"/>
              <w:left w:val="nil"/>
              <w:bottom w:val="single" w:sz="4" w:space="0" w:color="auto"/>
              <w:right w:val="single" w:sz="4" w:space="0" w:color="auto"/>
            </w:tcBorders>
            <w:shd w:val="clear" w:color="auto" w:fill="auto"/>
            <w:noWrap/>
            <w:vAlign w:val="center"/>
            <w:hideMark/>
          </w:tcPr>
          <w:p w14:paraId="051F906B"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33%</w:t>
            </w:r>
          </w:p>
        </w:tc>
        <w:tc>
          <w:tcPr>
            <w:tcW w:w="1038" w:type="dxa"/>
            <w:tcBorders>
              <w:top w:val="nil"/>
              <w:left w:val="nil"/>
              <w:bottom w:val="single" w:sz="4" w:space="0" w:color="auto"/>
              <w:right w:val="single" w:sz="4" w:space="0" w:color="auto"/>
            </w:tcBorders>
            <w:shd w:val="clear" w:color="auto" w:fill="auto"/>
            <w:noWrap/>
            <w:vAlign w:val="center"/>
            <w:hideMark/>
          </w:tcPr>
          <w:p w14:paraId="26F40A53"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25 666 090</w:t>
            </w:r>
          </w:p>
        </w:tc>
        <w:tc>
          <w:tcPr>
            <w:tcW w:w="1145" w:type="dxa"/>
            <w:tcBorders>
              <w:top w:val="nil"/>
              <w:left w:val="nil"/>
              <w:bottom w:val="single" w:sz="4" w:space="0" w:color="auto"/>
              <w:right w:val="single" w:sz="4" w:space="0" w:color="auto"/>
            </w:tcBorders>
            <w:shd w:val="clear" w:color="auto" w:fill="auto"/>
            <w:noWrap/>
            <w:vAlign w:val="center"/>
            <w:hideMark/>
          </w:tcPr>
          <w:p w14:paraId="7B3CE77E"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59%</w:t>
            </w:r>
          </w:p>
        </w:tc>
      </w:tr>
      <w:tr w:rsidR="00E006F9" w:rsidRPr="006C191C" w14:paraId="52D38368"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42E58C0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OPZP-PO4-08-4</w:t>
            </w:r>
          </w:p>
        </w:tc>
        <w:tc>
          <w:tcPr>
            <w:tcW w:w="1092" w:type="dxa"/>
            <w:tcBorders>
              <w:top w:val="nil"/>
              <w:left w:val="nil"/>
              <w:bottom w:val="single" w:sz="4" w:space="0" w:color="auto"/>
              <w:right w:val="single" w:sz="4" w:space="0" w:color="auto"/>
            </w:tcBorders>
            <w:shd w:val="clear" w:color="auto" w:fill="auto"/>
            <w:noWrap/>
            <w:vAlign w:val="center"/>
            <w:hideMark/>
          </w:tcPr>
          <w:p w14:paraId="7B393B22"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4</w:t>
            </w:r>
          </w:p>
        </w:tc>
        <w:tc>
          <w:tcPr>
            <w:tcW w:w="1092" w:type="dxa"/>
            <w:tcBorders>
              <w:top w:val="nil"/>
              <w:left w:val="nil"/>
              <w:bottom w:val="single" w:sz="4" w:space="0" w:color="auto"/>
              <w:right w:val="single" w:sz="4" w:space="0" w:color="auto"/>
            </w:tcBorders>
            <w:shd w:val="clear" w:color="auto" w:fill="auto"/>
            <w:noWrap/>
            <w:vAlign w:val="center"/>
            <w:hideMark/>
          </w:tcPr>
          <w:p w14:paraId="5D9E84B5"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100%</w:t>
            </w:r>
          </w:p>
        </w:tc>
        <w:tc>
          <w:tcPr>
            <w:tcW w:w="1172" w:type="dxa"/>
            <w:tcBorders>
              <w:top w:val="nil"/>
              <w:left w:val="nil"/>
              <w:bottom w:val="single" w:sz="4" w:space="0" w:color="auto"/>
              <w:right w:val="single" w:sz="4" w:space="0" w:color="auto"/>
            </w:tcBorders>
            <w:shd w:val="clear" w:color="auto" w:fill="auto"/>
            <w:noWrap/>
            <w:vAlign w:val="center"/>
            <w:hideMark/>
          </w:tcPr>
          <w:p w14:paraId="2555E940"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4 133 952</w:t>
            </w:r>
          </w:p>
        </w:tc>
        <w:tc>
          <w:tcPr>
            <w:tcW w:w="1092" w:type="dxa"/>
            <w:tcBorders>
              <w:top w:val="nil"/>
              <w:left w:val="nil"/>
              <w:bottom w:val="single" w:sz="4" w:space="0" w:color="auto"/>
              <w:right w:val="single" w:sz="4" w:space="0" w:color="auto"/>
            </w:tcBorders>
            <w:shd w:val="clear" w:color="auto" w:fill="auto"/>
            <w:noWrap/>
            <w:vAlign w:val="center"/>
            <w:hideMark/>
          </w:tcPr>
          <w:p w14:paraId="6BE1F96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c>
          <w:tcPr>
            <w:tcW w:w="1021" w:type="dxa"/>
            <w:tcBorders>
              <w:top w:val="nil"/>
              <w:left w:val="nil"/>
              <w:bottom w:val="single" w:sz="4" w:space="0" w:color="auto"/>
              <w:right w:val="single" w:sz="4" w:space="0" w:color="auto"/>
            </w:tcBorders>
            <w:shd w:val="clear" w:color="auto" w:fill="auto"/>
            <w:noWrap/>
            <w:vAlign w:val="center"/>
            <w:hideMark/>
          </w:tcPr>
          <w:p w14:paraId="5729538F"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w:t>
            </w:r>
          </w:p>
        </w:tc>
        <w:tc>
          <w:tcPr>
            <w:tcW w:w="1021" w:type="dxa"/>
            <w:tcBorders>
              <w:top w:val="nil"/>
              <w:left w:val="nil"/>
              <w:bottom w:val="single" w:sz="4" w:space="0" w:color="auto"/>
              <w:right w:val="single" w:sz="4" w:space="0" w:color="auto"/>
            </w:tcBorders>
            <w:shd w:val="clear" w:color="auto" w:fill="auto"/>
            <w:noWrap/>
            <w:vAlign w:val="center"/>
            <w:hideMark/>
          </w:tcPr>
          <w:p w14:paraId="677773E2"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c>
          <w:tcPr>
            <w:tcW w:w="1038" w:type="dxa"/>
            <w:tcBorders>
              <w:top w:val="nil"/>
              <w:left w:val="nil"/>
              <w:bottom w:val="single" w:sz="4" w:space="0" w:color="auto"/>
              <w:right w:val="single" w:sz="4" w:space="0" w:color="auto"/>
            </w:tcBorders>
            <w:shd w:val="clear" w:color="auto" w:fill="auto"/>
            <w:noWrap/>
            <w:vAlign w:val="center"/>
            <w:hideMark/>
          </w:tcPr>
          <w:p w14:paraId="6CA58442"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3 550 154</w:t>
            </w:r>
          </w:p>
        </w:tc>
        <w:tc>
          <w:tcPr>
            <w:tcW w:w="1145" w:type="dxa"/>
            <w:tcBorders>
              <w:top w:val="nil"/>
              <w:left w:val="nil"/>
              <w:bottom w:val="single" w:sz="4" w:space="0" w:color="auto"/>
              <w:right w:val="single" w:sz="4" w:space="0" w:color="auto"/>
            </w:tcBorders>
            <w:shd w:val="clear" w:color="auto" w:fill="auto"/>
            <w:noWrap/>
            <w:vAlign w:val="center"/>
            <w:hideMark/>
          </w:tcPr>
          <w:p w14:paraId="24CFCC0B"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r>
      <w:tr w:rsidR="00E006F9" w:rsidRPr="006C191C" w14:paraId="1E62B2C6"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17651C9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OPZP-PO4-09-1</w:t>
            </w:r>
          </w:p>
        </w:tc>
        <w:tc>
          <w:tcPr>
            <w:tcW w:w="1092" w:type="dxa"/>
            <w:tcBorders>
              <w:top w:val="nil"/>
              <w:left w:val="nil"/>
              <w:bottom w:val="single" w:sz="4" w:space="0" w:color="auto"/>
              <w:right w:val="single" w:sz="4" w:space="0" w:color="auto"/>
            </w:tcBorders>
            <w:shd w:val="clear" w:color="auto" w:fill="auto"/>
            <w:noWrap/>
            <w:vAlign w:val="center"/>
            <w:hideMark/>
          </w:tcPr>
          <w:p w14:paraId="1D060D8B"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39</w:t>
            </w:r>
          </w:p>
        </w:tc>
        <w:tc>
          <w:tcPr>
            <w:tcW w:w="1092" w:type="dxa"/>
            <w:tcBorders>
              <w:top w:val="nil"/>
              <w:left w:val="nil"/>
              <w:bottom w:val="single" w:sz="4" w:space="0" w:color="auto"/>
              <w:right w:val="single" w:sz="4" w:space="0" w:color="auto"/>
            </w:tcBorders>
            <w:shd w:val="clear" w:color="auto" w:fill="auto"/>
            <w:noWrap/>
            <w:vAlign w:val="center"/>
            <w:hideMark/>
          </w:tcPr>
          <w:p w14:paraId="0C4254AE"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21%</w:t>
            </w:r>
          </w:p>
        </w:tc>
        <w:tc>
          <w:tcPr>
            <w:tcW w:w="1172" w:type="dxa"/>
            <w:tcBorders>
              <w:top w:val="nil"/>
              <w:left w:val="nil"/>
              <w:bottom w:val="single" w:sz="4" w:space="0" w:color="auto"/>
              <w:right w:val="single" w:sz="4" w:space="0" w:color="auto"/>
            </w:tcBorders>
            <w:shd w:val="clear" w:color="auto" w:fill="auto"/>
            <w:noWrap/>
            <w:vAlign w:val="center"/>
            <w:hideMark/>
          </w:tcPr>
          <w:p w14:paraId="67B7601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117 634 494</w:t>
            </w:r>
          </w:p>
        </w:tc>
        <w:tc>
          <w:tcPr>
            <w:tcW w:w="1092" w:type="dxa"/>
            <w:tcBorders>
              <w:top w:val="nil"/>
              <w:left w:val="nil"/>
              <w:bottom w:val="single" w:sz="4" w:space="0" w:color="auto"/>
              <w:right w:val="single" w:sz="4" w:space="0" w:color="auto"/>
            </w:tcBorders>
            <w:shd w:val="clear" w:color="auto" w:fill="auto"/>
            <w:noWrap/>
            <w:vAlign w:val="center"/>
            <w:hideMark/>
          </w:tcPr>
          <w:p w14:paraId="00EF2EA0"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40%</w:t>
            </w:r>
          </w:p>
        </w:tc>
        <w:tc>
          <w:tcPr>
            <w:tcW w:w="1021" w:type="dxa"/>
            <w:tcBorders>
              <w:top w:val="nil"/>
              <w:left w:val="nil"/>
              <w:bottom w:val="single" w:sz="4" w:space="0" w:color="auto"/>
              <w:right w:val="single" w:sz="4" w:space="0" w:color="auto"/>
            </w:tcBorders>
            <w:shd w:val="clear" w:color="auto" w:fill="auto"/>
            <w:noWrap/>
            <w:vAlign w:val="center"/>
            <w:hideMark/>
          </w:tcPr>
          <w:p w14:paraId="72DC6DC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14</w:t>
            </w:r>
          </w:p>
        </w:tc>
        <w:tc>
          <w:tcPr>
            <w:tcW w:w="1021" w:type="dxa"/>
            <w:tcBorders>
              <w:top w:val="nil"/>
              <w:left w:val="nil"/>
              <w:bottom w:val="single" w:sz="4" w:space="0" w:color="auto"/>
              <w:right w:val="single" w:sz="4" w:space="0" w:color="auto"/>
            </w:tcBorders>
            <w:shd w:val="clear" w:color="auto" w:fill="auto"/>
            <w:noWrap/>
            <w:vAlign w:val="center"/>
            <w:hideMark/>
          </w:tcPr>
          <w:p w14:paraId="0D6CCB0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23%</w:t>
            </w:r>
          </w:p>
        </w:tc>
        <w:tc>
          <w:tcPr>
            <w:tcW w:w="1038" w:type="dxa"/>
            <w:tcBorders>
              <w:top w:val="nil"/>
              <w:left w:val="nil"/>
              <w:bottom w:val="single" w:sz="4" w:space="0" w:color="auto"/>
              <w:right w:val="single" w:sz="4" w:space="0" w:color="auto"/>
            </w:tcBorders>
            <w:shd w:val="clear" w:color="auto" w:fill="auto"/>
            <w:noWrap/>
            <w:vAlign w:val="center"/>
            <w:hideMark/>
          </w:tcPr>
          <w:p w14:paraId="21B5BF76"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30 996 150</w:t>
            </w:r>
          </w:p>
        </w:tc>
        <w:tc>
          <w:tcPr>
            <w:tcW w:w="1145" w:type="dxa"/>
            <w:tcBorders>
              <w:top w:val="nil"/>
              <w:left w:val="nil"/>
              <w:bottom w:val="single" w:sz="4" w:space="0" w:color="auto"/>
              <w:right w:val="single" w:sz="4" w:space="0" w:color="auto"/>
            </w:tcBorders>
            <w:shd w:val="clear" w:color="auto" w:fill="auto"/>
            <w:noWrap/>
            <w:vAlign w:val="center"/>
            <w:hideMark/>
          </w:tcPr>
          <w:p w14:paraId="547EC54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25%</w:t>
            </w:r>
          </w:p>
        </w:tc>
      </w:tr>
      <w:tr w:rsidR="00E006F9" w:rsidRPr="006C191C" w14:paraId="1C6FCFC1"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4B710D1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OPZP-PO4-09-4</w:t>
            </w:r>
          </w:p>
        </w:tc>
        <w:tc>
          <w:tcPr>
            <w:tcW w:w="1092" w:type="dxa"/>
            <w:tcBorders>
              <w:top w:val="nil"/>
              <w:left w:val="nil"/>
              <w:bottom w:val="single" w:sz="4" w:space="0" w:color="auto"/>
              <w:right w:val="single" w:sz="4" w:space="0" w:color="auto"/>
            </w:tcBorders>
            <w:shd w:val="clear" w:color="auto" w:fill="auto"/>
            <w:noWrap/>
            <w:vAlign w:val="center"/>
            <w:hideMark/>
          </w:tcPr>
          <w:p w14:paraId="4B0F861E"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w:t>
            </w:r>
          </w:p>
        </w:tc>
        <w:tc>
          <w:tcPr>
            <w:tcW w:w="1092" w:type="dxa"/>
            <w:tcBorders>
              <w:top w:val="nil"/>
              <w:left w:val="nil"/>
              <w:bottom w:val="single" w:sz="4" w:space="0" w:color="auto"/>
              <w:right w:val="single" w:sz="4" w:space="0" w:color="auto"/>
            </w:tcBorders>
            <w:shd w:val="clear" w:color="auto" w:fill="auto"/>
            <w:noWrap/>
            <w:vAlign w:val="center"/>
            <w:hideMark/>
          </w:tcPr>
          <w:p w14:paraId="2D98FC2D"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50%</w:t>
            </w:r>
          </w:p>
        </w:tc>
        <w:tc>
          <w:tcPr>
            <w:tcW w:w="1172" w:type="dxa"/>
            <w:tcBorders>
              <w:top w:val="nil"/>
              <w:left w:val="nil"/>
              <w:bottom w:val="single" w:sz="4" w:space="0" w:color="auto"/>
              <w:right w:val="single" w:sz="4" w:space="0" w:color="auto"/>
            </w:tcBorders>
            <w:shd w:val="clear" w:color="auto" w:fill="auto"/>
            <w:noWrap/>
            <w:vAlign w:val="center"/>
            <w:hideMark/>
          </w:tcPr>
          <w:p w14:paraId="610F0491"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6 823 483</w:t>
            </w:r>
          </w:p>
        </w:tc>
        <w:tc>
          <w:tcPr>
            <w:tcW w:w="1092" w:type="dxa"/>
            <w:tcBorders>
              <w:top w:val="nil"/>
              <w:left w:val="nil"/>
              <w:bottom w:val="single" w:sz="4" w:space="0" w:color="auto"/>
              <w:right w:val="single" w:sz="4" w:space="0" w:color="auto"/>
            </w:tcBorders>
            <w:shd w:val="clear" w:color="auto" w:fill="auto"/>
            <w:noWrap/>
            <w:vAlign w:val="center"/>
            <w:hideMark/>
          </w:tcPr>
          <w:p w14:paraId="182F0DB0"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70%</w:t>
            </w:r>
          </w:p>
        </w:tc>
        <w:tc>
          <w:tcPr>
            <w:tcW w:w="1021" w:type="dxa"/>
            <w:tcBorders>
              <w:top w:val="nil"/>
              <w:left w:val="nil"/>
              <w:bottom w:val="single" w:sz="4" w:space="0" w:color="auto"/>
              <w:right w:val="single" w:sz="4" w:space="0" w:color="auto"/>
            </w:tcBorders>
            <w:shd w:val="clear" w:color="auto" w:fill="auto"/>
            <w:noWrap/>
            <w:vAlign w:val="center"/>
            <w:hideMark/>
          </w:tcPr>
          <w:p w14:paraId="602CD8B3"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w:t>
            </w:r>
          </w:p>
        </w:tc>
        <w:tc>
          <w:tcPr>
            <w:tcW w:w="1021" w:type="dxa"/>
            <w:tcBorders>
              <w:top w:val="nil"/>
              <w:left w:val="nil"/>
              <w:bottom w:val="single" w:sz="4" w:space="0" w:color="auto"/>
              <w:right w:val="single" w:sz="4" w:space="0" w:color="auto"/>
            </w:tcBorders>
            <w:shd w:val="clear" w:color="auto" w:fill="auto"/>
            <w:noWrap/>
            <w:vAlign w:val="center"/>
            <w:hideMark/>
          </w:tcPr>
          <w:p w14:paraId="33823AF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40%</w:t>
            </w:r>
          </w:p>
        </w:tc>
        <w:tc>
          <w:tcPr>
            <w:tcW w:w="1038" w:type="dxa"/>
            <w:tcBorders>
              <w:top w:val="nil"/>
              <w:left w:val="nil"/>
              <w:bottom w:val="single" w:sz="4" w:space="0" w:color="auto"/>
              <w:right w:val="single" w:sz="4" w:space="0" w:color="auto"/>
            </w:tcBorders>
            <w:shd w:val="clear" w:color="auto" w:fill="auto"/>
            <w:noWrap/>
            <w:vAlign w:val="center"/>
            <w:hideMark/>
          </w:tcPr>
          <w:p w14:paraId="261D242C"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6 065 979</w:t>
            </w:r>
          </w:p>
        </w:tc>
        <w:tc>
          <w:tcPr>
            <w:tcW w:w="1145" w:type="dxa"/>
            <w:tcBorders>
              <w:top w:val="nil"/>
              <w:left w:val="nil"/>
              <w:bottom w:val="single" w:sz="4" w:space="0" w:color="auto"/>
              <w:right w:val="single" w:sz="4" w:space="0" w:color="auto"/>
            </w:tcBorders>
            <w:shd w:val="clear" w:color="auto" w:fill="auto"/>
            <w:noWrap/>
            <w:vAlign w:val="center"/>
            <w:hideMark/>
          </w:tcPr>
          <w:p w14:paraId="47016AE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68%</w:t>
            </w:r>
          </w:p>
        </w:tc>
      </w:tr>
      <w:tr w:rsidR="00E006F9" w:rsidRPr="006C191C" w14:paraId="2B43DAF3"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0881E7CC"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OPZP-PO4-10-1</w:t>
            </w:r>
          </w:p>
        </w:tc>
        <w:tc>
          <w:tcPr>
            <w:tcW w:w="1092" w:type="dxa"/>
            <w:tcBorders>
              <w:top w:val="nil"/>
              <w:left w:val="nil"/>
              <w:bottom w:val="single" w:sz="4" w:space="0" w:color="auto"/>
              <w:right w:val="single" w:sz="4" w:space="0" w:color="auto"/>
            </w:tcBorders>
            <w:shd w:val="clear" w:color="auto" w:fill="auto"/>
            <w:noWrap/>
            <w:vAlign w:val="center"/>
            <w:hideMark/>
          </w:tcPr>
          <w:p w14:paraId="7AA637E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69</w:t>
            </w:r>
          </w:p>
        </w:tc>
        <w:tc>
          <w:tcPr>
            <w:tcW w:w="1092" w:type="dxa"/>
            <w:tcBorders>
              <w:top w:val="nil"/>
              <w:left w:val="nil"/>
              <w:bottom w:val="single" w:sz="4" w:space="0" w:color="auto"/>
              <w:right w:val="single" w:sz="4" w:space="0" w:color="auto"/>
            </w:tcBorders>
            <w:shd w:val="clear" w:color="auto" w:fill="auto"/>
            <w:noWrap/>
            <w:vAlign w:val="center"/>
            <w:hideMark/>
          </w:tcPr>
          <w:p w14:paraId="55BC6F7D"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16%</w:t>
            </w:r>
          </w:p>
        </w:tc>
        <w:tc>
          <w:tcPr>
            <w:tcW w:w="1172" w:type="dxa"/>
            <w:tcBorders>
              <w:top w:val="nil"/>
              <w:left w:val="nil"/>
              <w:bottom w:val="single" w:sz="4" w:space="0" w:color="auto"/>
              <w:right w:val="single" w:sz="4" w:space="0" w:color="auto"/>
            </w:tcBorders>
            <w:shd w:val="clear" w:color="auto" w:fill="auto"/>
            <w:noWrap/>
            <w:vAlign w:val="center"/>
            <w:hideMark/>
          </w:tcPr>
          <w:p w14:paraId="390DF9EF"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185 168 810</w:t>
            </w:r>
          </w:p>
        </w:tc>
        <w:tc>
          <w:tcPr>
            <w:tcW w:w="1092" w:type="dxa"/>
            <w:tcBorders>
              <w:top w:val="nil"/>
              <w:left w:val="nil"/>
              <w:bottom w:val="single" w:sz="4" w:space="0" w:color="auto"/>
              <w:right w:val="single" w:sz="4" w:space="0" w:color="auto"/>
            </w:tcBorders>
            <w:shd w:val="clear" w:color="auto" w:fill="auto"/>
            <w:noWrap/>
            <w:vAlign w:val="center"/>
            <w:hideMark/>
          </w:tcPr>
          <w:p w14:paraId="683A1266"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32%</w:t>
            </w:r>
          </w:p>
        </w:tc>
        <w:tc>
          <w:tcPr>
            <w:tcW w:w="1021" w:type="dxa"/>
            <w:tcBorders>
              <w:top w:val="nil"/>
              <w:left w:val="nil"/>
              <w:bottom w:val="single" w:sz="4" w:space="0" w:color="auto"/>
              <w:right w:val="single" w:sz="4" w:space="0" w:color="auto"/>
            </w:tcBorders>
            <w:shd w:val="clear" w:color="auto" w:fill="auto"/>
            <w:noWrap/>
            <w:vAlign w:val="center"/>
            <w:hideMark/>
          </w:tcPr>
          <w:p w14:paraId="16E0C553"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w:t>
            </w:r>
          </w:p>
        </w:tc>
        <w:tc>
          <w:tcPr>
            <w:tcW w:w="1021" w:type="dxa"/>
            <w:tcBorders>
              <w:top w:val="nil"/>
              <w:left w:val="nil"/>
              <w:bottom w:val="single" w:sz="4" w:space="0" w:color="auto"/>
              <w:right w:val="single" w:sz="4" w:space="0" w:color="auto"/>
            </w:tcBorders>
            <w:shd w:val="clear" w:color="auto" w:fill="auto"/>
            <w:noWrap/>
            <w:vAlign w:val="center"/>
            <w:hideMark/>
          </w:tcPr>
          <w:p w14:paraId="47FEB4B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17%</w:t>
            </w:r>
          </w:p>
        </w:tc>
        <w:tc>
          <w:tcPr>
            <w:tcW w:w="1038" w:type="dxa"/>
            <w:tcBorders>
              <w:top w:val="nil"/>
              <w:left w:val="nil"/>
              <w:bottom w:val="single" w:sz="4" w:space="0" w:color="auto"/>
              <w:right w:val="single" w:sz="4" w:space="0" w:color="auto"/>
            </w:tcBorders>
            <w:shd w:val="clear" w:color="auto" w:fill="auto"/>
            <w:noWrap/>
            <w:vAlign w:val="center"/>
            <w:hideMark/>
          </w:tcPr>
          <w:p w14:paraId="1167360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24 838 682</w:t>
            </w:r>
          </w:p>
        </w:tc>
        <w:tc>
          <w:tcPr>
            <w:tcW w:w="1145" w:type="dxa"/>
            <w:tcBorders>
              <w:top w:val="nil"/>
              <w:left w:val="nil"/>
              <w:bottom w:val="single" w:sz="4" w:space="0" w:color="auto"/>
              <w:right w:val="single" w:sz="4" w:space="0" w:color="auto"/>
            </w:tcBorders>
            <w:shd w:val="clear" w:color="auto" w:fill="auto"/>
            <w:noWrap/>
            <w:vAlign w:val="center"/>
            <w:hideMark/>
          </w:tcPr>
          <w:p w14:paraId="3F90A62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34%</w:t>
            </w:r>
          </w:p>
        </w:tc>
      </w:tr>
      <w:tr w:rsidR="00E006F9" w:rsidRPr="006C191C" w14:paraId="28C81C21"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65336482"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OPZP-PO4-11-3</w:t>
            </w:r>
          </w:p>
        </w:tc>
        <w:tc>
          <w:tcPr>
            <w:tcW w:w="1092" w:type="dxa"/>
            <w:tcBorders>
              <w:top w:val="nil"/>
              <w:left w:val="nil"/>
              <w:bottom w:val="single" w:sz="4" w:space="0" w:color="auto"/>
              <w:right w:val="single" w:sz="4" w:space="0" w:color="auto"/>
            </w:tcBorders>
            <w:shd w:val="clear" w:color="auto" w:fill="auto"/>
            <w:noWrap/>
            <w:vAlign w:val="center"/>
            <w:hideMark/>
          </w:tcPr>
          <w:p w14:paraId="7FA3ACF5"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66</w:t>
            </w:r>
          </w:p>
        </w:tc>
        <w:tc>
          <w:tcPr>
            <w:tcW w:w="1092" w:type="dxa"/>
            <w:tcBorders>
              <w:top w:val="nil"/>
              <w:left w:val="nil"/>
              <w:bottom w:val="single" w:sz="4" w:space="0" w:color="auto"/>
              <w:right w:val="single" w:sz="4" w:space="0" w:color="auto"/>
            </w:tcBorders>
            <w:shd w:val="clear" w:color="auto" w:fill="auto"/>
            <w:noWrap/>
            <w:vAlign w:val="center"/>
            <w:hideMark/>
          </w:tcPr>
          <w:p w14:paraId="452F3C1F"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13%</w:t>
            </w:r>
          </w:p>
        </w:tc>
        <w:tc>
          <w:tcPr>
            <w:tcW w:w="1172" w:type="dxa"/>
            <w:tcBorders>
              <w:top w:val="nil"/>
              <w:left w:val="nil"/>
              <w:bottom w:val="single" w:sz="4" w:space="0" w:color="auto"/>
              <w:right w:val="single" w:sz="4" w:space="0" w:color="auto"/>
            </w:tcBorders>
            <w:shd w:val="clear" w:color="auto" w:fill="auto"/>
            <w:noWrap/>
            <w:vAlign w:val="center"/>
            <w:hideMark/>
          </w:tcPr>
          <w:p w14:paraId="40225AB0"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101 638 497</w:t>
            </w:r>
          </w:p>
        </w:tc>
        <w:tc>
          <w:tcPr>
            <w:tcW w:w="1092" w:type="dxa"/>
            <w:tcBorders>
              <w:top w:val="nil"/>
              <w:left w:val="nil"/>
              <w:bottom w:val="single" w:sz="4" w:space="0" w:color="auto"/>
              <w:right w:val="single" w:sz="4" w:space="0" w:color="auto"/>
            </w:tcBorders>
            <w:shd w:val="clear" w:color="auto" w:fill="auto"/>
            <w:noWrap/>
            <w:vAlign w:val="center"/>
            <w:hideMark/>
          </w:tcPr>
          <w:p w14:paraId="00FDDB3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27%</w:t>
            </w:r>
          </w:p>
        </w:tc>
        <w:tc>
          <w:tcPr>
            <w:tcW w:w="1021" w:type="dxa"/>
            <w:tcBorders>
              <w:top w:val="nil"/>
              <w:left w:val="nil"/>
              <w:bottom w:val="single" w:sz="4" w:space="0" w:color="auto"/>
              <w:right w:val="single" w:sz="4" w:space="0" w:color="auto"/>
            </w:tcBorders>
            <w:shd w:val="clear" w:color="auto" w:fill="auto"/>
            <w:noWrap/>
            <w:vAlign w:val="center"/>
            <w:hideMark/>
          </w:tcPr>
          <w:p w14:paraId="25CFBF8C"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7</w:t>
            </w:r>
          </w:p>
        </w:tc>
        <w:tc>
          <w:tcPr>
            <w:tcW w:w="1021" w:type="dxa"/>
            <w:tcBorders>
              <w:top w:val="nil"/>
              <w:left w:val="nil"/>
              <w:bottom w:val="single" w:sz="4" w:space="0" w:color="auto"/>
              <w:right w:val="single" w:sz="4" w:space="0" w:color="auto"/>
            </w:tcBorders>
            <w:shd w:val="clear" w:color="auto" w:fill="auto"/>
            <w:noWrap/>
            <w:vAlign w:val="center"/>
            <w:hideMark/>
          </w:tcPr>
          <w:p w14:paraId="2DF42D4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18%</w:t>
            </w:r>
          </w:p>
        </w:tc>
        <w:tc>
          <w:tcPr>
            <w:tcW w:w="1038" w:type="dxa"/>
            <w:tcBorders>
              <w:top w:val="nil"/>
              <w:left w:val="nil"/>
              <w:bottom w:val="single" w:sz="4" w:space="0" w:color="auto"/>
              <w:right w:val="single" w:sz="4" w:space="0" w:color="auto"/>
            </w:tcBorders>
            <w:shd w:val="clear" w:color="auto" w:fill="auto"/>
            <w:noWrap/>
            <w:vAlign w:val="center"/>
            <w:hideMark/>
          </w:tcPr>
          <w:p w14:paraId="0B7A1D2E"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19 211 201</w:t>
            </w:r>
          </w:p>
        </w:tc>
        <w:tc>
          <w:tcPr>
            <w:tcW w:w="1145" w:type="dxa"/>
            <w:tcBorders>
              <w:top w:val="nil"/>
              <w:left w:val="nil"/>
              <w:bottom w:val="single" w:sz="4" w:space="0" w:color="auto"/>
              <w:right w:val="single" w:sz="4" w:space="0" w:color="auto"/>
            </w:tcBorders>
            <w:shd w:val="clear" w:color="auto" w:fill="auto"/>
            <w:noWrap/>
            <w:vAlign w:val="center"/>
            <w:hideMark/>
          </w:tcPr>
          <w:p w14:paraId="66BE2CC3"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53%</w:t>
            </w:r>
          </w:p>
        </w:tc>
      </w:tr>
      <w:tr w:rsidR="00E006F9" w:rsidRPr="006C191C" w14:paraId="1B0BF5D8"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1FEBF3B5"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OPZP-PO4-11-4-LSKxP</w:t>
            </w:r>
          </w:p>
        </w:tc>
        <w:tc>
          <w:tcPr>
            <w:tcW w:w="1092" w:type="dxa"/>
            <w:tcBorders>
              <w:top w:val="nil"/>
              <w:left w:val="nil"/>
              <w:bottom w:val="single" w:sz="4" w:space="0" w:color="auto"/>
              <w:right w:val="single" w:sz="4" w:space="0" w:color="auto"/>
            </w:tcBorders>
            <w:shd w:val="clear" w:color="auto" w:fill="auto"/>
            <w:noWrap/>
            <w:vAlign w:val="center"/>
            <w:hideMark/>
          </w:tcPr>
          <w:p w14:paraId="39F138C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92" w:type="dxa"/>
            <w:tcBorders>
              <w:top w:val="nil"/>
              <w:left w:val="nil"/>
              <w:bottom w:val="single" w:sz="4" w:space="0" w:color="auto"/>
              <w:right w:val="single" w:sz="4" w:space="0" w:color="auto"/>
            </w:tcBorders>
            <w:shd w:val="clear" w:color="auto" w:fill="auto"/>
            <w:noWrap/>
            <w:vAlign w:val="center"/>
            <w:hideMark/>
          </w:tcPr>
          <w:p w14:paraId="761CE656"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0%</w:t>
            </w:r>
          </w:p>
        </w:tc>
        <w:tc>
          <w:tcPr>
            <w:tcW w:w="1172" w:type="dxa"/>
            <w:tcBorders>
              <w:top w:val="nil"/>
              <w:left w:val="nil"/>
              <w:bottom w:val="single" w:sz="4" w:space="0" w:color="auto"/>
              <w:right w:val="single" w:sz="4" w:space="0" w:color="auto"/>
            </w:tcBorders>
            <w:shd w:val="clear" w:color="auto" w:fill="auto"/>
            <w:noWrap/>
            <w:vAlign w:val="center"/>
            <w:hideMark/>
          </w:tcPr>
          <w:p w14:paraId="4DBD7797"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w:t>
            </w:r>
          </w:p>
        </w:tc>
        <w:tc>
          <w:tcPr>
            <w:tcW w:w="1092" w:type="dxa"/>
            <w:tcBorders>
              <w:top w:val="nil"/>
              <w:left w:val="nil"/>
              <w:bottom w:val="single" w:sz="4" w:space="0" w:color="auto"/>
              <w:right w:val="single" w:sz="4" w:space="0" w:color="auto"/>
            </w:tcBorders>
            <w:shd w:val="clear" w:color="auto" w:fill="auto"/>
            <w:noWrap/>
            <w:vAlign w:val="center"/>
            <w:hideMark/>
          </w:tcPr>
          <w:p w14:paraId="78A1A98E"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21" w:type="dxa"/>
            <w:tcBorders>
              <w:top w:val="nil"/>
              <w:left w:val="nil"/>
              <w:bottom w:val="single" w:sz="4" w:space="0" w:color="auto"/>
              <w:right w:val="single" w:sz="4" w:space="0" w:color="auto"/>
            </w:tcBorders>
            <w:shd w:val="clear" w:color="auto" w:fill="auto"/>
            <w:noWrap/>
            <w:vAlign w:val="center"/>
            <w:hideMark/>
          </w:tcPr>
          <w:p w14:paraId="6CF2944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21" w:type="dxa"/>
            <w:tcBorders>
              <w:top w:val="nil"/>
              <w:left w:val="nil"/>
              <w:bottom w:val="single" w:sz="4" w:space="0" w:color="auto"/>
              <w:right w:val="single" w:sz="4" w:space="0" w:color="auto"/>
            </w:tcBorders>
            <w:shd w:val="clear" w:color="auto" w:fill="auto"/>
            <w:noWrap/>
            <w:vAlign w:val="center"/>
            <w:hideMark/>
          </w:tcPr>
          <w:p w14:paraId="312F9D58"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38" w:type="dxa"/>
            <w:tcBorders>
              <w:top w:val="nil"/>
              <w:left w:val="nil"/>
              <w:bottom w:val="single" w:sz="4" w:space="0" w:color="auto"/>
              <w:right w:val="single" w:sz="4" w:space="0" w:color="auto"/>
            </w:tcBorders>
            <w:shd w:val="clear" w:color="auto" w:fill="auto"/>
            <w:noWrap/>
            <w:vAlign w:val="center"/>
            <w:hideMark/>
          </w:tcPr>
          <w:p w14:paraId="0AB4174F"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w:t>
            </w:r>
          </w:p>
        </w:tc>
        <w:tc>
          <w:tcPr>
            <w:tcW w:w="1145" w:type="dxa"/>
            <w:tcBorders>
              <w:top w:val="nil"/>
              <w:left w:val="nil"/>
              <w:bottom w:val="single" w:sz="4" w:space="0" w:color="auto"/>
              <w:right w:val="single" w:sz="4" w:space="0" w:color="auto"/>
            </w:tcBorders>
            <w:shd w:val="clear" w:color="auto" w:fill="auto"/>
            <w:noWrap/>
            <w:vAlign w:val="center"/>
            <w:hideMark/>
          </w:tcPr>
          <w:p w14:paraId="39EED91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r>
      <w:tr w:rsidR="00E006F9" w:rsidRPr="006C191C" w14:paraId="0EEF65FC"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34E31DCF"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OPZP-PO4-11-5</w:t>
            </w:r>
          </w:p>
        </w:tc>
        <w:tc>
          <w:tcPr>
            <w:tcW w:w="1092" w:type="dxa"/>
            <w:tcBorders>
              <w:top w:val="nil"/>
              <w:left w:val="nil"/>
              <w:bottom w:val="single" w:sz="4" w:space="0" w:color="auto"/>
              <w:right w:val="single" w:sz="4" w:space="0" w:color="auto"/>
            </w:tcBorders>
            <w:shd w:val="clear" w:color="auto" w:fill="auto"/>
            <w:noWrap/>
            <w:vAlign w:val="center"/>
            <w:hideMark/>
          </w:tcPr>
          <w:p w14:paraId="07FB6CD6"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7</w:t>
            </w:r>
          </w:p>
        </w:tc>
        <w:tc>
          <w:tcPr>
            <w:tcW w:w="1092" w:type="dxa"/>
            <w:tcBorders>
              <w:top w:val="nil"/>
              <w:left w:val="nil"/>
              <w:bottom w:val="single" w:sz="4" w:space="0" w:color="auto"/>
              <w:right w:val="single" w:sz="4" w:space="0" w:color="auto"/>
            </w:tcBorders>
            <w:shd w:val="clear" w:color="auto" w:fill="auto"/>
            <w:noWrap/>
            <w:vAlign w:val="center"/>
            <w:hideMark/>
          </w:tcPr>
          <w:p w14:paraId="538B1107"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88%</w:t>
            </w:r>
          </w:p>
        </w:tc>
        <w:tc>
          <w:tcPr>
            <w:tcW w:w="1172" w:type="dxa"/>
            <w:tcBorders>
              <w:top w:val="nil"/>
              <w:left w:val="nil"/>
              <w:bottom w:val="single" w:sz="4" w:space="0" w:color="auto"/>
              <w:right w:val="single" w:sz="4" w:space="0" w:color="auto"/>
            </w:tcBorders>
            <w:shd w:val="clear" w:color="auto" w:fill="auto"/>
            <w:noWrap/>
            <w:vAlign w:val="center"/>
            <w:hideMark/>
          </w:tcPr>
          <w:p w14:paraId="191917BB"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7 920 825</w:t>
            </w:r>
          </w:p>
        </w:tc>
        <w:tc>
          <w:tcPr>
            <w:tcW w:w="1092" w:type="dxa"/>
            <w:tcBorders>
              <w:top w:val="nil"/>
              <w:left w:val="nil"/>
              <w:bottom w:val="single" w:sz="4" w:space="0" w:color="auto"/>
              <w:right w:val="single" w:sz="4" w:space="0" w:color="auto"/>
            </w:tcBorders>
            <w:shd w:val="clear" w:color="auto" w:fill="auto"/>
            <w:noWrap/>
            <w:vAlign w:val="center"/>
            <w:hideMark/>
          </w:tcPr>
          <w:p w14:paraId="72B020C5"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96%</w:t>
            </w:r>
          </w:p>
        </w:tc>
        <w:tc>
          <w:tcPr>
            <w:tcW w:w="1021" w:type="dxa"/>
            <w:tcBorders>
              <w:top w:val="nil"/>
              <w:left w:val="nil"/>
              <w:bottom w:val="single" w:sz="4" w:space="0" w:color="auto"/>
              <w:right w:val="single" w:sz="4" w:space="0" w:color="auto"/>
            </w:tcBorders>
            <w:shd w:val="clear" w:color="auto" w:fill="auto"/>
            <w:noWrap/>
            <w:vAlign w:val="center"/>
            <w:hideMark/>
          </w:tcPr>
          <w:p w14:paraId="69E61C7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21" w:type="dxa"/>
            <w:tcBorders>
              <w:top w:val="nil"/>
              <w:left w:val="nil"/>
              <w:bottom w:val="single" w:sz="4" w:space="0" w:color="auto"/>
              <w:right w:val="single" w:sz="4" w:space="0" w:color="auto"/>
            </w:tcBorders>
            <w:shd w:val="clear" w:color="auto" w:fill="auto"/>
            <w:noWrap/>
            <w:vAlign w:val="center"/>
            <w:hideMark/>
          </w:tcPr>
          <w:p w14:paraId="3BDF585A"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38" w:type="dxa"/>
            <w:tcBorders>
              <w:top w:val="nil"/>
              <w:left w:val="nil"/>
              <w:bottom w:val="single" w:sz="4" w:space="0" w:color="auto"/>
              <w:right w:val="single" w:sz="4" w:space="0" w:color="auto"/>
            </w:tcBorders>
            <w:shd w:val="clear" w:color="auto" w:fill="auto"/>
            <w:noWrap/>
            <w:vAlign w:val="center"/>
            <w:hideMark/>
          </w:tcPr>
          <w:p w14:paraId="024D3AFB"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w:t>
            </w:r>
          </w:p>
        </w:tc>
        <w:tc>
          <w:tcPr>
            <w:tcW w:w="1145" w:type="dxa"/>
            <w:tcBorders>
              <w:top w:val="nil"/>
              <w:left w:val="nil"/>
              <w:bottom w:val="single" w:sz="4" w:space="0" w:color="auto"/>
              <w:right w:val="single" w:sz="4" w:space="0" w:color="auto"/>
            </w:tcBorders>
            <w:shd w:val="clear" w:color="auto" w:fill="auto"/>
            <w:noWrap/>
            <w:vAlign w:val="center"/>
            <w:hideMark/>
          </w:tcPr>
          <w:p w14:paraId="67DC7131"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r>
      <w:tr w:rsidR="00E006F9" w:rsidRPr="006C191C" w14:paraId="677D6647"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11281E5C"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OPZP-PO4-13-1</w:t>
            </w:r>
          </w:p>
        </w:tc>
        <w:tc>
          <w:tcPr>
            <w:tcW w:w="1092" w:type="dxa"/>
            <w:tcBorders>
              <w:top w:val="nil"/>
              <w:left w:val="nil"/>
              <w:bottom w:val="single" w:sz="4" w:space="0" w:color="auto"/>
              <w:right w:val="single" w:sz="4" w:space="0" w:color="auto"/>
            </w:tcBorders>
            <w:shd w:val="clear" w:color="auto" w:fill="auto"/>
            <w:noWrap/>
            <w:vAlign w:val="center"/>
            <w:hideMark/>
          </w:tcPr>
          <w:p w14:paraId="4B21708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8</w:t>
            </w:r>
          </w:p>
        </w:tc>
        <w:tc>
          <w:tcPr>
            <w:tcW w:w="1092" w:type="dxa"/>
            <w:tcBorders>
              <w:top w:val="nil"/>
              <w:left w:val="nil"/>
              <w:bottom w:val="single" w:sz="4" w:space="0" w:color="auto"/>
              <w:right w:val="single" w:sz="4" w:space="0" w:color="auto"/>
            </w:tcBorders>
            <w:shd w:val="clear" w:color="auto" w:fill="auto"/>
            <w:noWrap/>
            <w:vAlign w:val="center"/>
            <w:hideMark/>
          </w:tcPr>
          <w:p w14:paraId="5CE70BB0"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100%</w:t>
            </w:r>
          </w:p>
        </w:tc>
        <w:tc>
          <w:tcPr>
            <w:tcW w:w="1172" w:type="dxa"/>
            <w:tcBorders>
              <w:top w:val="nil"/>
              <w:left w:val="nil"/>
              <w:bottom w:val="single" w:sz="4" w:space="0" w:color="auto"/>
              <w:right w:val="single" w:sz="4" w:space="0" w:color="auto"/>
            </w:tcBorders>
            <w:shd w:val="clear" w:color="auto" w:fill="auto"/>
            <w:noWrap/>
            <w:vAlign w:val="center"/>
            <w:hideMark/>
          </w:tcPr>
          <w:p w14:paraId="26B84990"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5 842 201</w:t>
            </w:r>
          </w:p>
        </w:tc>
        <w:tc>
          <w:tcPr>
            <w:tcW w:w="1092" w:type="dxa"/>
            <w:tcBorders>
              <w:top w:val="nil"/>
              <w:left w:val="nil"/>
              <w:bottom w:val="single" w:sz="4" w:space="0" w:color="auto"/>
              <w:right w:val="single" w:sz="4" w:space="0" w:color="auto"/>
            </w:tcBorders>
            <w:shd w:val="clear" w:color="auto" w:fill="auto"/>
            <w:noWrap/>
            <w:vAlign w:val="center"/>
            <w:hideMark/>
          </w:tcPr>
          <w:p w14:paraId="06EADF00"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c>
          <w:tcPr>
            <w:tcW w:w="1021" w:type="dxa"/>
            <w:tcBorders>
              <w:top w:val="nil"/>
              <w:left w:val="nil"/>
              <w:bottom w:val="single" w:sz="4" w:space="0" w:color="auto"/>
              <w:right w:val="single" w:sz="4" w:space="0" w:color="auto"/>
            </w:tcBorders>
            <w:shd w:val="clear" w:color="auto" w:fill="auto"/>
            <w:noWrap/>
            <w:vAlign w:val="center"/>
            <w:hideMark/>
          </w:tcPr>
          <w:p w14:paraId="7B79B3A0"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2</w:t>
            </w:r>
          </w:p>
        </w:tc>
        <w:tc>
          <w:tcPr>
            <w:tcW w:w="1021" w:type="dxa"/>
            <w:tcBorders>
              <w:top w:val="nil"/>
              <w:left w:val="nil"/>
              <w:bottom w:val="single" w:sz="4" w:space="0" w:color="auto"/>
              <w:right w:val="single" w:sz="4" w:space="0" w:color="auto"/>
            </w:tcBorders>
            <w:shd w:val="clear" w:color="auto" w:fill="auto"/>
            <w:noWrap/>
            <w:vAlign w:val="center"/>
            <w:hideMark/>
          </w:tcPr>
          <w:p w14:paraId="06ECFCE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c>
          <w:tcPr>
            <w:tcW w:w="1038" w:type="dxa"/>
            <w:tcBorders>
              <w:top w:val="nil"/>
              <w:left w:val="nil"/>
              <w:bottom w:val="single" w:sz="4" w:space="0" w:color="auto"/>
              <w:right w:val="single" w:sz="4" w:space="0" w:color="auto"/>
            </w:tcBorders>
            <w:shd w:val="clear" w:color="auto" w:fill="auto"/>
            <w:noWrap/>
            <w:vAlign w:val="center"/>
            <w:hideMark/>
          </w:tcPr>
          <w:p w14:paraId="4CAF2CD1"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718 234</w:t>
            </w:r>
          </w:p>
        </w:tc>
        <w:tc>
          <w:tcPr>
            <w:tcW w:w="1145" w:type="dxa"/>
            <w:tcBorders>
              <w:top w:val="nil"/>
              <w:left w:val="nil"/>
              <w:bottom w:val="single" w:sz="4" w:space="0" w:color="auto"/>
              <w:right w:val="single" w:sz="4" w:space="0" w:color="auto"/>
            </w:tcBorders>
            <w:shd w:val="clear" w:color="auto" w:fill="auto"/>
            <w:noWrap/>
            <w:vAlign w:val="center"/>
            <w:hideMark/>
          </w:tcPr>
          <w:p w14:paraId="77573446"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100%</w:t>
            </w:r>
          </w:p>
        </w:tc>
      </w:tr>
      <w:tr w:rsidR="00E006F9" w:rsidRPr="006C191C" w14:paraId="3B3E36E1" w14:textId="77777777" w:rsidTr="00D66206">
        <w:trPr>
          <w:trHeight w:val="298"/>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14:paraId="50C98D9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OPZP-PO4-13-2-LSKxP</w:t>
            </w:r>
          </w:p>
        </w:tc>
        <w:tc>
          <w:tcPr>
            <w:tcW w:w="1092" w:type="dxa"/>
            <w:tcBorders>
              <w:top w:val="nil"/>
              <w:left w:val="nil"/>
              <w:bottom w:val="single" w:sz="4" w:space="0" w:color="auto"/>
              <w:right w:val="single" w:sz="4" w:space="0" w:color="auto"/>
            </w:tcBorders>
            <w:shd w:val="clear" w:color="auto" w:fill="auto"/>
            <w:noWrap/>
            <w:vAlign w:val="center"/>
            <w:hideMark/>
          </w:tcPr>
          <w:p w14:paraId="5F49542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92" w:type="dxa"/>
            <w:tcBorders>
              <w:top w:val="nil"/>
              <w:left w:val="nil"/>
              <w:bottom w:val="single" w:sz="4" w:space="0" w:color="auto"/>
              <w:right w:val="single" w:sz="4" w:space="0" w:color="auto"/>
            </w:tcBorders>
            <w:shd w:val="clear" w:color="auto" w:fill="auto"/>
            <w:noWrap/>
            <w:vAlign w:val="center"/>
            <w:hideMark/>
          </w:tcPr>
          <w:p w14:paraId="1B2E8A3B" w14:textId="77777777" w:rsidR="00E006F9" w:rsidRPr="00AE42BD" w:rsidRDefault="00E006F9" w:rsidP="00D66206">
            <w:pPr>
              <w:jc w:val="center"/>
              <w:rPr>
                <w:rFonts w:ascii="Arial" w:hAnsi="Arial" w:cs="Arial"/>
                <w:color w:val="000000"/>
                <w:sz w:val="16"/>
                <w:szCs w:val="16"/>
              </w:rPr>
            </w:pPr>
            <w:r w:rsidRPr="00AE42BD">
              <w:rPr>
                <w:rFonts w:ascii="Arial" w:hAnsi="Arial" w:cs="Arial"/>
                <w:color w:val="000000"/>
                <w:sz w:val="16"/>
                <w:szCs w:val="16"/>
              </w:rPr>
              <w:t>0%</w:t>
            </w:r>
          </w:p>
        </w:tc>
        <w:tc>
          <w:tcPr>
            <w:tcW w:w="1172" w:type="dxa"/>
            <w:tcBorders>
              <w:top w:val="nil"/>
              <w:left w:val="nil"/>
              <w:bottom w:val="single" w:sz="4" w:space="0" w:color="auto"/>
              <w:right w:val="single" w:sz="4" w:space="0" w:color="auto"/>
            </w:tcBorders>
            <w:shd w:val="clear" w:color="auto" w:fill="auto"/>
            <w:noWrap/>
            <w:vAlign w:val="center"/>
            <w:hideMark/>
          </w:tcPr>
          <w:p w14:paraId="6379AB09"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w:t>
            </w:r>
          </w:p>
        </w:tc>
        <w:tc>
          <w:tcPr>
            <w:tcW w:w="1092" w:type="dxa"/>
            <w:tcBorders>
              <w:top w:val="nil"/>
              <w:left w:val="nil"/>
              <w:bottom w:val="single" w:sz="4" w:space="0" w:color="auto"/>
              <w:right w:val="single" w:sz="4" w:space="0" w:color="auto"/>
            </w:tcBorders>
            <w:shd w:val="clear" w:color="auto" w:fill="auto"/>
            <w:noWrap/>
            <w:vAlign w:val="center"/>
            <w:hideMark/>
          </w:tcPr>
          <w:p w14:paraId="4DA35B8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21" w:type="dxa"/>
            <w:tcBorders>
              <w:top w:val="nil"/>
              <w:left w:val="nil"/>
              <w:bottom w:val="single" w:sz="4" w:space="0" w:color="auto"/>
              <w:right w:val="single" w:sz="4" w:space="0" w:color="auto"/>
            </w:tcBorders>
            <w:shd w:val="clear" w:color="auto" w:fill="auto"/>
            <w:noWrap/>
            <w:vAlign w:val="center"/>
            <w:hideMark/>
          </w:tcPr>
          <w:p w14:paraId="0EFBFD8D"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 </w:t>
            </w:r>
          </w:p>
        </w:tc>
        <w:tc>
          <w:tcPr>
            <w:tcW w:w="1021" w:type="dxa"/>
            <w:tcBorders>
              <w:top w:val="nil"/>
              <w:left w:val="nil"/>
              <w:bottom w:val="single" w:sz="4" w:space="0" w:color="auto"/>
              <w:right w:val="single" w:sz="4" w:space="0" w:color="auto"/>
            </w:tcBorders>
            <w:shd w:val="clear" w:color="auto" w:fill="auto"/>
            <w:noWrap/>
            <w:vAlign w:val="center"/>
            <w:hideMark/>
          </w:tcPr>
          <w:p w14:paraId="743ACF14"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c>
          <w:tcPr>
            <w:tcW w:w="1038" w:type="dxa"/>
            <w:tcBorders>
              <w:top w:val="nil"/>
              <w:left w:val="nil"/>
              <w:bottom w:val="single" w:sz="4" w:space="0" w:color="auto"/>
              <w:right w:val="single" w:sz="4" w:space="0" w:color="auto"/>
            </w:tcBorders>
            <w:shd w:val="clear" w:color="auto" w:fill="auto"/>
            <w:noWrap/>
            <w:vAlign w:val="center"/>
            <w:hideMark/>
          </w:tcPr>
          <w:p w14:paraId="0F272FB3"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w:t>
            </w:r>
          </w:p>
        </w:tc>
        <w:tc>
          <w:tcPr>
            <w:tcW w:w="1145" w:type="dxa"/>
            <w:tcBorders>
              <w:top w:val="nil"/>
              <w:left w:val="nil"/>
              <w:bottom w:val="single" w:sz="4" w:space="0" w:color="auto"/>
              <w:right w:val="single" w:sz="4" w:space="0" w:color="auto"/>
            </w:tcBorders>
            <w:shd w:val="clear" w:color="auto" w:fill="auto"/>
            <w:noWrap/>
            <w:vAlign w:val="center"/>
            <w:hideMark/>
          </w:tcPr>
          <w:p w14:paraId="6D5D9C33" w14:textId="77777777" w:rsidR="00E006F9" w:rsidRPr="006C191C" w:rsidRDefault="00E006F9" w:rsidP="00D66206">
            <w:pPr>
              <w:jc w:val="center"/>
              <w:rPr>
                <w:rFonts w:ascii="Arial" w:hAnsi="Arial" w:cs="Arial"/>
                <w:color w:val="000000"/>
                <w:sz w:val="16"/>
                <w:szCs w:val="16"/>
              </w:rPr>
            </w:pPr>
            <w:r w:rsidRPr="006C191C">
              <w:rPr>
                <w:rFonts w:ascii="Arial" w:hAnsi="Arial" w:cs="Arial"/>
                <w:color w:val="000000"/>
                <w:sz w:val="16"/>
                <w:szCs w:val="16"/>
              </w:rPr>
              <w:t>0%</w:t>
            </w:r>
          </w:p>
        </w:tc>
      </w:tr>
      <w:tr w:rsidR="00E006F9" w:rsidRPr="00085A87" w14:paraId="5F608E5E" w14:textId="77777777" w:rsidTr="001D2056">
        <w:trPr>
          <w:trHeight w:val="298"/>
          <w:jc w:val="center"/>
        </w:trPr>
        <w:tc>
          <w:tcPr>
            <w:tcW w:w="1433"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14:paraId="5CCC345F" w14:textId="77777777" w:rsidR="00E006F9" w:rsidRPr="00085A87" w:rsidRDefault="00E006F9" w:rsidP="00D66206">
            <w:pPr>
              <w:jc w:val="center"/>
              <w:rPr>
                <w:rFonts w:ascii="Arial" w:hAnsi="Arial" w:cs="Arial"/>
                <w:b/>
                <w:color w:val="000000"/>
                <w:sz w:val="16"/>
                <w:szCs w:val="16"/>
              </w:rPr>
            </w:pPr>
            <w:r w:rsidRPr="00085A87">
              <w:rPr>
                <w:rFonts w:ascii="Arial" w:hAnsi="Arial" w:cs="Arial"/>
                <w:b/>
                <w:color w:val="000000"/>
                <w:sz w:val="16"/>
                <w:szCs w:val="16"/>
              </w:rPr>
              <w:t>Spolu</w:t>
            </w:r>
          </w:p>
        </w:tc>
        <w:tc>
          <w:tcPr>
            <w:tcW w:w="1092" w:type="dxa"/>
            <w:tcBorders>
              <w:top w:val="nil"/>
              <w:left w:val="nil"/>
              <w:bottom w:val="single" w:sz="4" w:space="0" w:color="auto"/>
              <w:right w:val="single" w:sz="4" w:space="0" w:color="auto"/>
            </w:tcBorders>
            <w:shd w:val="clear" w:color="auto" w:fill="F2F2F2" w:themeFill="background1" w:themeFillShade="F2"/>
            <w:noWrap/>
            <w:vAlign w:val="center"/>
            <w:hideMark/>
          </w:tcPr>
          <w:p w14:paraId="21020A2A" w14:textId="77777777" w:rsidR="00E006F9" w:rsidRPr="00085A87" w:rsidRDefault="00E006F9" w:rsidP="00D66206">
            <w:pPr>
              <w:jc w:val="center"/>
              <w:rPr>
                <w:rFonts w:ascii="Arial" w:hAnsi="Arial" w:cs="Arial"/>
                <w:b/>
                <w:color w:val="000000"/>
                <w:sz w:val="16"/>
                <w:szCs w:val="16"/>
              </w:rPr>
            </w:pPr>
            <w:r w:rsidRPr="00085A87">
              <w:rPr>
                <w:rFonts w:ascii="Arial" w:hAnsi="Arial" w:cs="Arial"/>
                <w:b/>
                <w:color w:val="000000"/>
                <w:sz w:val="16"/>
                <w:szCs w:val="16"/>
              </w:rPr>
              <w:t>289</w:t>
            </w:r>
          </w:p>
        </w:tc>
        <w:tc>
          <w:tcPr>
            <w:tcW w:w="1092" w:type="dxa"/>
            <w:tcBorders>
              <w:top w:val="nil"/>
              <w:left w:val="nil"/>
              <w:bottom w:val="single" w:sz="4" w:space="0" w:color="auto"/>
              <w:right w:val="single" w:sz="4" w:space="0" w:color="auto"/>
            </w:tcBorders>
            <w:shd w:val="clear" w:color="auto" w:fill="F2F2F2" w:themeFill="background1" w:themeFillShade="F2"/>
            <w:noWrap/>
            <w:vAlign w:val="center"/>
            <w:hideMark/>
          </w:tcPr>
          <w:p w14:paraId="664CA514" w14:textId="77777777" w:rsidR="00E006F9" w:rsidRPr="00AE42BD" w:rsidRDefault="00E006F9" w:rsidP="00D66206">
            <w:pPr>
              <w:jc w:val="center"/>
              <w:rPr>
                <w:rFonts w:ascii="Arial" w:hAnsi="Arial" w:cs="Arial"/>
                <w:b/>
                <w:color w:val="000000"/>
                <w:sz w:val="16"/>
                <w:szCs w:val="16"/>
              </w:rPr>
            </w:pPr>
            <w:r w:rsidRPr="00AE42BD">
              <w:rPr>
                <w:rFonts w:ascii="Arial" w:hAnsi="Arial" w:cs="Arial"/>
                <w:b/>
                <w:color w:val="000000"/>
                <w:sz w:val="16"/>
                <w:szCs w:val="16"/>
              </w:rPr>
              <w:t>17%</w:t>
            </w:r>
          </w:p>
        </w:tc>
        <w:tc>
          <w:tcPr>
            <w:tcW w:w="1172" w:type="dxa"/>
            <w:tcBorders>
              <w:top w:val="nil"/>
              <w:left w:val="nil"/>
              <w:bottom w:val="single" w:sz="4" w:space="0" w:color="auto"/>
              <w:right w:val="single" w:sz="4" w:space="0" w:color="auto"/>
            </w:tcBorders>
            <w:shd w:val="clear" w:color="auto" w:fill="F2F2F2" w:themeFill="background1" w:themeFillShade="F2"/>
            <w:noWrap/>
            <w:vAlign w:val="center"/>
            <w:hideMark/>
          </w:tcPr>
          <w:p w14:paraId="2565D678" w14:textId="77777777" w:rsidR="00E006F9" w:rsidRPr="00085A87" w:rsidRDefault="00E006F9" w:rsidP="00D66206">
            <w:pPr>
              <w:jc w:val="center"/>
              <w:rPr>
                <w:rFonts w:ascii="Arial" w:hAnsi="Arial" w:cs="Arial"/>
                <w:b/>
                <w:color w:val="000000"/>
                <w:sz w:val="16"/>
                <w:szCs w:val="16"/>
              </w:rPr>
            </w:pPr>
            <w:r w:rsidRPr="00085A87">
              <w:rPr>
                <w:rFonts w:ascii="Arial" w:hAnsi="Arial" w:cs="Arial"/>
                <w:b/>
                <w:color w:val="000000"/>
                <w:sz w:val="16"/>
                <w:szCs w:val="16"/>
              </w:rPr>
              <w:t>754 142 528</w:t>
            </w:r>
          </w:p>
        </w:tc>
        <w:tc>
          <w:tcPr>
            <w:tcW w:w="1092" w:type="dxa"/>
            <w:tcBorders>
              <w:top w:val="nil"/>
              <w:left w:val="nil"/>
              <w:bottom w:val="single" w:sz="4" w:space="0" w:color="auto"/>
              <w:right w:val="single" w:sz="4" w:space="0" w:color="auto"/>
            </w:tcBorders>
            <w:shd w:val="clear" w:color="auto" w:fill="F2F2F2" w:themeFill="background1" w:themeFillShade="F2"/>
            <w:noWrap/>
            <w:vAlign w:val="center"/>
            <w:hideMark/>
          </w:tcPr>
          <w:p w14:paraId="4EE18A24" w14:textId="77777777" w:rsidR="00E006F9" w:rsidRPr="00085A87" w:rsidRDefault="00E006F9" w:rsidP="00D66206">
            <w:pPr>
              <w:jc w:val="center"/>
              <w:rPr>
                <w:rFonts w:ascii="Arial" w:hAnsi="Arial" w:cs="Arial"/>
                <w:b/>
                <w:color w:val="000000"/>
                <w:sz w:val="16"/>
                <w:szCs w:val="16"/>
              </w:rPr>
            </w:pPr>
            <w:r w:rsidRPr="00085A87">
              <w:rPr>
                <w:rFonts w:ascii="Arial" w:hAnsi="Arial" w:cs="Arial"/>
                <w:b/>
                <w:color w:val="000000"/>
                <w:sz w:val="16"/>
                <w:szCs w:val="16"/>
              </w:rPr>
              <w:t>39%</w:t>
            </w:r>
          </w:p>
        </w:tc>
        <w:tc>
          <w:tcPr>
            <w:tcW w:w="1021" w:type="dxa"/>
            <w:tcBorders>
              <w:top w:val="nil"/>
              <w:left w:val="nil"/>
              <w:bottom w:val="single" w:sz="4" w:space="0" w:color="auto"/>
              <w:right w:val="single" w:sz="4" w:space="0" w:color="auto"/>
            </w:tcBorders>
            <w:shd w:val="clear" w:color="auto" w:fill="F2F2F2" w:themeFill="background1" w:themeFillShade="F2"/>
            <w:noWrap/>
            <w:vAlign w:val="center"/>
            <w:hideMark/>
          </w:tcPr>
          <w:p w14:paraId="3D7D6B08" w14:textId="77777777" w:rsidR="00E006F9" w:rsidRPr="00085A87" w:rsidRDefault="00E006F9" w:rsidP="00D66206">
            <w:pPr>
              <w:jc w:val="center"/>
              <w:rPr>
                <w:rFonts w:ascii="Arial" w:hAnsi="Arial" w:cs="Arial"/>
                <w:b/>
                <w:color w:val="000000"/>
                <w:sz w:val="16"/>
                <w:szCs w:val="16"/>
              </w:rPr>
            </w:pPr>
            <w:r w:rsidRPr="00085A87">
              <w:rPr>
                <w:rFonts w:ascii="Arial" w:hAnsi="Arial" w:cs="Arial"/>
                <w:b/>
                <w:color w:val="000000"/>
                <w:sz w:val="16"/>
                <w:szCs w:val="16"/>
              </w:rPr>
              <w:t>67</w:t>
            </w:r>
          </w:p>
        </w:tc>
        <w:tc>
          <w:tcPr>
            <w:tcW w:w="1021" w:type="dxa"/>
            <w:tcBorders>
              <w:top w:val="nil"/>
              <w:left w:val="nil"/>
              <w:bottom w:val="single" w:sz="4" w:space="0" w:color="auto"/>
              <w:right w:val="single" w:sz="4" w:space="0" w:color="auto"/>
            </w:tcBorders>
            <w:shd w:val="clear" w:color="auto" w:fill="F2F2F2" w:themeFill="background1" w:themeFillShade="F2"/>
            <w:noWrap/>
            <w:vAlign w:val="center"/>
            <w:hideMark/>
          </w:tcPr>
          <w:p w14:paraId="0F7FF796" w14:textId="77777777" w:rsidR="00E006F9" w:rsidRPr="00085A87" w:rsidRDefault="00E006F9" w:rsidP="00D66206">
            <w:pPr>
              <w:jc w:val="center"/>
              <w:rPr>
                <w:rFonts w:ascii="Arial" w:hAnsi="Arial" w:cs="Arial"/>
                <w:b/>
                <w:color w:val="000000"/>
                <w:sz w:val="16"/>
                <w:szCs w:val="16"/>
              </w:rPr>
            </w:pPr>
            <w:r w:rsidRPr="00085A87">
              <w:rPr>
                <w:rFonts w:ascii="Arial" w:hAnsi="Arial" w:cs="Arial"/>
                <w:b/>
                <w:color w:val="000000"/>
                <w:sz w:val="16"/>
                <w:szCs w:val="16"/>
              </w:rPr>
              <w:t>20%</w:t>
            </w:r>
          </w:p>
        </w:tc>
        <w:tc>
          <w:tcPr>
            <w:tcW w:w="1038" w:type="dxa"/>
            <w:tcBorders>
              <w:top w:val="nil"/>
              <w:left w:val="nil"/>
              <w:bottom w:val="single" w:sz="4" w:space="0" w:color="auto"/>
              <w:right w:val="single" w:sz="4" w:space="0" w:color="auto"/>
            </w:tcBorders>
            <w:shd w:val="clear" w:color="auto" w:fill="F2F2F2" w:themeFill="background1" w:themeFillShade="F2"/>
            <w:noWrap/>
            <w:vAlign w:val="center"/>
            <w:hideMark/>
          </w:tcPr>
          <w:p w14:paraId="3B49FBA0" w14:textId="77777777" w:rsidR="00E006F9" w:rsidRPr="00085A87" w:rsidRDefault="00E006F9" w:rsidP="00D66206">
            <w:pPr>
              <w:jc w:val="center"/>
              <w:rPr>
                <w:rFonts w:ascii="Arial" w:hAnsi="Arial" w:cs="Arial"/>
                <w:b/>
                <w:color w:val="000000"/>
                <w:sz w:val="16"/>
                <w:szCs w:val="16"/>
              </w:rPr>
            </w:pPr>
            <w:r w:rsidRPr="00085A87">
              <w:rPr>
                <w:rFonts w:ascii="Arial" w:hAnsi="Arial" w:cs="Arial"/>
                <w:b/>
                <w:color w:val="000000"/>
                <w:sz w:val="16"/>
                <w:szCs w:val="16"/>
              </w:rPr>
              <w:t>197 377 089</w:t>
            </w:r>
          </w:p>
        </w:tc>
        <w:tc>
          <w:tcPr>
            <w:tcW w:w="1145" w:type="dxa"/>
            <w:tcBorders>
              <w:top w:val="nil"/>
              <w:left w:val="nil"/>
              <w:bottom w:val="single" w:sz="4" w:space="0" w:color="auto"/>
              <w:right w:val="single" w:sz="4" w:space="0" w:color="auto"/>
            </w:tcBorders>
            <w:shd w:val="clear" w:color="auto" w:fill="F2F2F2" w:themeFill="background1" w:themeFillShade="F2"/>
            <w:noWrap/>
            <w:vAlign w:val="center"/>
            <w:hideMark/>
          </w:tcPr>
          <w:p w14:paraId="20470391" w14:textId="77777777" w:rsidR="00E006F9" w:rsidRPr="00085A87" w:rsidRDefault="00E006F9" w:rsidP="00D66206">
            <w:pPr>
              <w:jc w:val="center"/>
              <w:rPr>
                <w:rFonts w:ascii="Arial" w:hAnsi="Arial" w:cs="Arial"/>
                <w:b/>
                <w:color w:val="000000"/>
                <w:sz w:val="16"/>
                <w:szCs w:val="16"/>
              </w:rPr>
            </w:pPr>
            <w:r w:rsidRPr="00085A87">
              <w:rPr>
                <w:rFonts w:ascii="Arial" w:hAnsi="Arial" w:cs="Arial"/>
                <w:b/>
                <w:color w:val="000000"/>
                <w:sz w:val="16"/>
                <w:szCs w:val="16"/>
              </w:rPr>
              <w:t>41%</w:t>
            </w:r>
          </w:p>
        </w:tc>
      </w:tr>
    </w:tbl>
    <w:p w14:paraId="16428AF0" w14:textId="77777777" w:rsidR="00E006F9" w:rsidRPr="00F05908" w:rsidRDefault="00E006F9" w:rsidP="00E006F9">
      <w:pPr>
        <w:spacing w:after="120"/>
        <w:jc w:val="both"/>
        <w:rPr>
          <w:rFonts w:ascii="Arial" w:hAnsi="Arial" w:cs="Arial"/>
          <w:sz w:val="16"/>
          <w:szCs w:val="16"/>
        </w:rPr>
      </w:pPr>
      <w:r w:rsidRPr="00F05908">
        <w:rPr>
          <w:rFonts w:ascii="Arial" w:hAnsi="Arial" w:cs="Arial"/>
          <w:sz w:val="16"/>
          <w:szCs w:val="16"/>
        </w:rPr>
        <w:t>Zdroj: RO</w:t>
      </w:r>
    </w:p>
    <w:p w14:paraId="43E5D64D" w14:textId="0DC3EF44" w:rsidR="00E006F9" w:rsidRDefault="00E006F9" w:rsidP="00E006F9">
      <w:pPr>
        <w:spacing w:before="120" w:after="120"/>
        <w:jc w:val="both"/>
        <w:rPr>
          <w:rFonts w:ascii="Arial" w:hAnsi="Arial" w:cs="Arial"/>
          <w:sz w:val="20"/>
          <w:szCs w:val="20"/>
        </w:rPr>
      </w:pPr>
      <w:r>
        <w:rPr>
          <w:rFonts w:ascii="Arial" w:hAnsi="Arial" w:cs="Arial"/>
          <w:sz w:val="20"/>
          <w:szCs w:val="20"/>
        </w:rPr>
        <w:t>Z celkového množstva 67 schválených ŽoNFP viazaných na schémy štátnej pomoci bolo úspešne zrealizovaných 54 projektov (z toho 18 v oblasti ochrany ovzdušia a </w:t>
      </w:r>
      <w:r w:rsidR="001535E3">
        <w:rPr>
          <w:rFonts w:ascii="Arial" w:hAnsi="Arial" w:cs="Arial"/>
          <w:sz w:val="20"/>
          <w:szCs w:val="20"/>
        </w:rPr>
        <w:t>3</w:t>
      </w:r>
      <w:r>
        <w:rPr>
          <w:rFonts w:ascii="Arial" w:hAnsi="Arial" w:cs="Arial"/>
          <w:sz w:val="20"/>
          <w:szCs w:val="20"/>
        </w:rPr>
        <w:t>6 v oblasti odpadového hospodárstva) a na ich realizáciu bola v priebehu programového obdobia poskytnutá štátna pomoc v celkovom objeme prevyšujúcom 168,5 mil. €</w:t>
      </w:r>
      <w:r w:rsidR="00827E9F">
        <w:rPr>
          <w:rFonts w:ascii="Arial" w:hAnsi="Arial" w:cs="Arial"/>
          <w:sz w:val="20"/>
          <w:szCs w:val="20"/>
        </w:rPr>
        <w:t>.</w:t>
      </w:r>
      <w:r>
        <w:rPr>
          <w:rFonts w:ascii="Arial" w:hAnsi="Arial" w:cs="Arial"/>
          <w:sz w:val="20"/>
          <w:szCs w:val="20"/>
        </w:rPr>
        <w:t xml:space="preserve"> (z toho viac ako 79,4 mil. € v oblasti ochrany ovzdušia a takmer 89,1 mil. € v oblasti odpadového hospodárstva).</w:t>
      </w:r>
    </w:p>
    <w:p w14:paraId="635B2EEC" w14:textId="77777777" w:rsidR="00E006F9" w:rsidRPr="00123376" w:rsidRDefault="00E006F9" w:rsidP="00E006F9">
      <w:pPr>
        <w:spacing w:before="240" w:after="120"/>
        <w:jc w:val="both"/>
        <w:rPr>
          <w:rFonts w:ascii="Arial" w:hAnsi="Arial" w:cs="Arial"/>
          <w:b/>
          <w:sz w:val="20"/>
          <w:szCs w:val="20"/>
        </w:rPr>
      </w:pPr>
      <w:r w:rsidRPr="00100074">
        <w:rPr>
          <w:rFonts w:ascii="Arial" w:hAnsi="Arial" w:cs="Arial"/>
          <w:b/>
          <w:sz w:val="20"/>
          <w:szCs w:val="20"/>
        </w:rPr>
        <w:t xml:space="preserve">Vyhodnotenie prínosu štátnej pomoci poskytnutej z OP ŽP </w:t>
      </w:r>
    </w:p>
    <w:p w14:paraId="3C24039A" w14:textId="6609EB89" w:rsidR="00E006F9" w:rsidRPr="0041575C" w:rsidRDefault="00680FCA" w:rsidP="00F87D11">
      <w:pPr>
        <w:pStyle w:val="Odsekzoznamu"/>
        <w:numPr>
          <w:ilvl w:val="0"/>
          <w:numId w:val="145"/>
        </w:numPr>
        <w:spacing w:before="120" w:after="120" w:line="240" w:lineRule="auto"/>
        <w:ind w:left="0" w:firstLine="0"/>
        <w:jc w:val="both"/>
        <w:rPr>
          <w:rFonts w:ascii="Arial" w:hAnsi="Arial" w:cs="Arial"/>
          <w:sz w:val="20"/>
          <w:szCs w:val="20"/>
        </w:rPr>
      </w:pPr>
      <w:r>
        <w:rPr>
          <w:rFonts w:ascii="Arial" w:hAnsi="Arial" w:cs="Arial"/>
          <w:sz w:val="20"/>
          <w:szCs w:val="20"/>
        </w:rPr>
        <w:t xml:space="preserve"> </w:t>
      </w:r>
      <w:r w:rsidR="00E006F9" w:rsidRPr="0041575C">
        <w:rPr>
          <w:rFonts w:ascii="Arial" w:hAnsi="Arial" w:cs="Arial"/>
          <w:sz w:val="20"/>
          <w:szCs w:val="20"/>
        </w:rPr>
        <w:t xml:space="preserve">V rámci OP ŽP sa na úrovni projektov sledoval súbor merateľných ukazovateľov. Spomedzi všetkých ukazovateľov v oblasti ochrany ovzdušia a odpadového hospodárstva </w:t>
      </w:r>
      <w:r w:rsidR="00E006F9">
        <w:rPr>
          <w:rFonts w:ascii="Arial" w:hAnsi="Arial" w:cs="Arial"/>
          <w:sz w:val="20"/>
          <w:szCs w:val="20"/>
        </w:rPr>
        <w:t>pre potreby záverečnej správy uvádzame</w:t>
      </w:r>
      <w:r w:rsidR="00E006F9" w:rsidRPr="0041575C">
        <w:rPr>
          <w:rFonts w:ascii="Arial" w:hAnsi="Arial" w:cs="Arial"/>
          <w:sz w:val="20"/>
          <w:szCs w:val="20"/>
        </w:rPr>
        <w:t xml:space="preserve"> ukazovatele, ktoré sú relevantné pre aktivity podporované v rámci schém štátnej pomoci. Dosiahnuté hodnoty daných merateľných ukazovateľov sú uvádzané výlučne za projekty podporené v rámci schém štátnej pomoci.</w:t>
      </w:r>
    </w:p>
    <w:p w14:paraId="4CAB0C0D" w14:textId="77777777" w:rsidR="00E006F9" w:rsidRPr="0041575C" w:rsidRDefault="00E006F9" w:rsidP="00C179B0">
      <w:pPr>
        <w:spacing w:before="120" w:after="120"/>
        <w:jc w:val="both"/>
        <w:rPr>
          <w:rFonts w:ascii="Arial" w:hAnsi="Arial" w:cs="Arial"/>
          <w:sz w:val="20"/>
          <w:szCs w:val="20"/>
          <w:u w:val="single"/>
        </w:rPr>
      </w:pPr>
      <w:r w:rsidRPr="0041575C">
        <w:rPr>
          <w:rFonts w:ascii="Arial" w:hAnsi="Arial" w:cs="Arial"/>
          <w:sz w:val="20"/>
          <w:szCs w:val="20"/>
          <w:u w:val="single"/>
        </w:rPr>
        <w:t xml:space="preserve">Ukazovatele v oblasti ochrany ovzdušia: </w:t>
      </w:r>
    </w:p>
    <w:p w14:paraId="58FA3825" w14:textId="77777777" w:rsidR="00E006F9" w:rsidRPr="0041575C" w:rsidRDefault="00E006F9" w:rsidP="00F87D11">
      <w:pPr>
        <w:pStyle w:val="Odsekzoznamu"/>
        <w:numPr>
          <w:ilvl w:val="0"/>
          <w:numId w:val="144"/>
        </w:numPr>
        <w:spacing w:before="120" w:after="120" w:line="240" w:lineRule="auto"/>
        <w:ind w:left="426"/>
        <w:jc w:val="both"/>
        <w:rPr>
          <w:rFonts w:ascii="Arial" w:hAnsi="Arial" w:cs="Arial"/>
          <w:sz w:val="20"/>
          <w:szCs w:val="20"/>
        </w:rPr>
      </w:pPr>
      <w:r w:rsidRPr="0041575C">
        <w:rPr>
          <w:rFonts w:ascii="Arial" w:hAnsi="Arial" w:cs="Arial"/>
          <w:sz w:val="20"/>
          <w:szCs w:val="20"/>
        </w:rPr>
        <w:lastRenderedPageBreak/>
        <w:t xml:space="preserve">Množstvo emisií skleníkových plynov v t/rok pred projektom/po projekte </w:t>
      </w:r>
    </w:p>
    <w:p w14:paraId="1248D316" w14:textId="5899D0FB" w:rsidR="00E006F9" w:rsidRPr="00276573" w:rsidRDefault="00E006F9" w:rsidP="00C179B0">
      <w:pPr>
        <w:spacing w:before="120" w:after="120"/>
        <w:ind w:left="426"/>
        <w:jc w:val="both"/>
        <w:rPr>
          <w:rFonts w:ascii="Arial" w:hAnsi="Arial" w:cs="Arial"/>
          <w:sz w:val="20"/>
          <w:szCs w:val="20"/>
        </w:rPr>
      </w:pPr>
      <w:r w:rsidRPr="00276573">
        <w:rPr>
          <w:rFonts w:ascii="Arial" w:hAnsi="Arial" w:cs="Arial"/>
          <w:sz w:val="20"/>
          <w:szCs w:val="20"/>
        </w:rPr>
        <w:t>K 31.</w:t>
      </w:r>
      <w:r w:rsidR="00827E9F">
        <w:rPr>
          <w:rFonts w:ascii="Arial" w:hAnsi="Arial" w:cs="Arial"/>
          <w:sz w:val="20"/>
          <w:szCs w:val="20"/>
        </w:rPr>
        <w:t xml:space="preserve"> </w:t>
      </w:r>
      <w:r>
        <w:rPr>
          <w:rFonts w:ascii="Arial" w:hAnsi="Arial" w:cs="Arial"/>
          <w:sz w:val="20"/>
          <w:szCs w:val="20"/>
        </w:rPr>
        <w:t>10.</w:t>
      </w:r>
      <w:r w:rsidR="00827E9F">
        <w:rPr>
          <w:rFonts w:ascii="Arial" w:hAnsi="Arial" w:cs="Arial"/>
          <w:sz w:val="20"/>
          <w:szCs w:val="20"/>
        </w:rPr>
        <w:t xml:space="preserve"> </w:t>
      </w:r>
      <w:r>
        <w:rPr>
          <w:rFonts w:ascii="Arial" w:hAnsi="Arial" w:cs="Arial"/>
          <w:sz w:val="20"/>
          <w:szCs w:val="20"/>
        </w:rPr>
        <w:t>2016</w:t>
      </w:r>
      <w:r w:rsidRPr="00276573">
        <w:rPr>
          <w:rFonts w:ascii="Arial" w:hAnsi="Arial" w:cs="Arial"/>
          <w:sz w:val="20"/>
          <w:szCs w:val="20"/>
        </w:rPr>
        <w:t xml:space="preserve"> evidujeme na základe realizovaných projektov pokles množstva emisií skleníkových plynov z úrovne </w:t>
      </w:r>
      <w:r w:rsidRPr="0083435A">
        <w:rPr>
          <w:rFonts w:ascii="Arial" w:hAnsi="Arial" w:cs="Arial"/>
          <w:sz w:val="20"/>
          <w:szCs w:val="20"/>
        </w:rPr>
        <w:t>30 825,124</w:t>
      </w:r>
      <w:r>
        <w:rPr>
          <w:rFonts w:ascii="Arial" w:hAnsi="Arial" w:cs="Arial"/>
          <w:sz w:val="20"/>
          <w:szCs w:val="20"/>
        </w:rPr>
        <w:t xml:space="preserve"> </w:t>
      </w:r>
      <w:r w:rsidRPr="00276573">
        <w:rPr>
          <w:rFonts w:ascii="Arial" w:hAnsi="Arial" w:cs="Arial"/>
          <w:sz w:val="20"/>
          <w:szCs w:val="20"/>
        </w:rPr>
        <w:t xml:space="preserve">t/rok </w:t>
      </w:r>
      <w:r>
        <w:rPr>
          <w:rFonts w:ascii="Arial" w:hAnsi="Arial" w:cs="Arial"/>
          <w:sz w:val="20"/>
          <w:szCs w:val="20"/>
        </w:rPr>
        <w:t xml:space="preserve">o hodnotu </w:t>
      </w:r>
      <w:r w:rsidRPr="0083435A">
        <w:rPr>
          <w:rFonts w:ascii="Arial" w:hAnsi="Arial" w:cs="Arial"/>
          <w:sz w:val="20"/>
          <w:szCs w:val="20"/>
        </w:rPr>
        <w:t xml:space="preserve">28 252,751 </w:t>
      </w:r>
      <w:r w:rsidRPr="00276573">
        <w:rPr>
          <w:rFonts w:ascii="Arial" w:hAnsi="Arial" w:cs="Arial"/>
          <w:sz w:val="20"/>
          <w:szCs w:val="20"/>
        </w:rPr>
        <w:t>t/rok</w:t>
      </w:r>
      <w:r>
        <w:rPr>
          <w:rFonts w:ascii="Arial" w:hAnsi="Arial" w:cs="Arial"/>
          <w:sz w:val="20"/>
          <w:szCs w:val="20"/>
        </w:rPr>
        <w:t xml:space="preserve"> na úroveň </w:t>
      </w:r>
      <w:r w:rsidRPr="00112BCE">
        <w:rPr>
          <w:rFonts w:ascii="Arial" w:hAnsi="Arial" w:cs="Arial"/>
          <w:sz w:val="20"/>
          <w:szCs w:val="20"/>
        </w:rPr>
        <w:t>2</w:t>
      </w:r>
      <w:r>
        <w:rPr>
          <w:rFonts w:ascii="Arial" w:hAnsi="Arial" w:cs="Arial"/>
          <w:sz w:val="20"/>
          <w:szCs w:val="20"/>
        </w:rPr>
        <w:t> </w:t>
      </w:r>
      <w:r w:rsidRPr="00112BCE">
        <w:rPr>
          <w:rFonts w:ascii="Arial" w:hAnsi="Arial" w:cs="Arial"/>
          <w:sz w:val="20"/>
          <w:szCs w:val="20"/>
        </w:rPr>
        <w:t>572,373</w:t>
      </w:r>
      <w:r w:rsidRPr="00276573">
        <w:rPr>
          <w:rFonts w:ascii="Arial" w:hAnsi="Arial" w:cs="Arial"/>
          <w:sz w:val="20"/>
          <w:szCs w:val="20"/>
        </w:rPr>
        <w:t xml:space="preserve"> t/rok</w:t>
      </w:r>
      <w:r>
        <w:rPr>
          <w:rFonts w:ascii="Arial" w:hAnsi="Arial" w:cs="Arial"/>
          <w:sz w:val="20"/>
          <w:szCs w:val="20"/>
        </w:rPr>
        <w:t>.</w:t>
      </w:r>
    </w:p>
    <w:p w14:paraId="0ED6BF33" w14:textId="77777777" w:rsidR="00E006F9" w:rsidRPr="0041575C" w:rsidRDefault="00E006F9" w:rsidP="00F87D11">
      <w:pPr>
        <w:pStyle w:val="Odsekzoznamu"/>
        <w:numPr>
          <w:ilvl w:val="0"/>
          <w:numId w:val="144"/>
        </w:numPr>
        <w:spacing w:before="120" w:after="120" w:line="240" w:lineRule="auto"/>
        <w:ind w:left="426"/>
        <w:jc w:val="both"/>
        <w:rPr>
          <w:rFonts w:ascii="Arial" w:hAnsi="Arial" w:cs="Arial"/>
          <w:sz w:val="20"/>
          <w:szCs w:val="20"/>
        </w:rPr>
      </w:pPr>
      <w:r w:rsidRPr="0041575C">
        <w:rPr>
          <w:rFonts w:ascii="Arial" w:hAnsi="Arial" w:cs="Arial"/>
          <w:sz w:val="20"/>
          <w:szCs w:val="20"/>
        </w:rPr>
        <w:t xml:space="preserve">Zníženie emisií znečisťujúcich látok prepočítané na referenčné tony SO2. </w:t>
      </w:r>
    </w:p>
    <w:p w14:paraId="5F71B096" w14:textId="30BEAA25" w:rsidR="00E006F9" w:rsidRPr="0041575C" w:rsidRDefault="00E006F9" w:rsidP="00C179B0">
      <w:pPr>
        <w:spacing w:before="120" w:after="120"/>
        <w:ind w:left="426"/>
        <w:jc w:val="both"/>
        <w:rPr>
          <w:rFonts w:ascii="Arial" w:hAnsi="Arial" w:cs="Arial"/>
          <w:sz w:val="20"/>
          <w:szCs w:val="20"/>
        </w:rPr>
      </w:pPr>
      <w:r w:rsidRPr="0041575C">
        <w:rPr>
          <w:rFonts w:ascii="Arial" w:hAnsi="Arial" w:cs="Arial"/>
          <w:sz w:val="20"/>
          <w:szCs w:val="20"/>
        </w:rPr>
        <w:t>Realizáciou projektov dôjde k zníženiu množstva emisií znečisťujúcich látok do ovzdušia z úrovne 7 830,564 t/rok na 4 332,008 t/rok, čo by malo v konečnom dôsledku prispieť k zlepšeniu kvality ovzdušia nielen v okolí zdrojov znečisťovania ovzdušia</w:t>
      </w:r>
      <w:r>
        <w:rPr>
          <w:rFonts w:ascii="Arial" w:hAnsi="Arial" w:cs="Arial"/>
          <w:sz w:val="20"/>
          <w:szCs w:val="20"/>
        </w:rPr>
        <w:t>,</w:t>
      </w:r>
      <w:r w:rsidRPr="0041575C">
        <w:rPr>
          <w:rFonts w:ascii="Arial" w:hAnsi="Arial" w:cs="Arial"/>
          <w:sz w:val="20"/>
          <w:szCs w:val="20"/>
        </w:rPr>
        <w:t xml:space="preserve"> ale aj v dotknutej oblasti. </w:t>
      </w:r>
      <w:r w:rsidR="00827E9F">
        <w:rPr>
          <w:rFonts w:ascii="Arial" w:hAnsi="Arial" w:cs="Arial"/>
          <w:sz w:val="20"/>
          <w:szCs w:val="20"/>
        </w:rPr>
        <w:t xml:space="preserve">        </w:t>
      </w:r>
      <w:r w:rsidRPr="0041575C">
        <w:rPr>
          <w:rFonts w:ascii="Arial" w:hAnsi="Arial" w:cs="Arial"/>
          <w:sz w:val="20"/>
          <w:szCs w:val="20"/>
        </w:rPr>
        <w:t>K 31.</w:t>
      </w:r>
      <w:r w:rsidR="00827E9F">
        <w:rPr>
          <w:rFonts w:ascii="Arial" w:hAnsi="Arial" w:cs="Arial"/>
          <w:sz w:val="20"/>
          <w:szCs w:val="20"/>
        </w:rPr>
        <w:t xml:space="preserve"> </w:t>
      </w:r>
      <w:r w:rsidRPr="0041575C">
        <w:rPr>
          <w:rFonts w:ascii="Arial" w:hAnsi="Arial" w:cs="Arial"/>
          <w:sz w:val="20"/>
          <w:szCs w:val="20"/>
        </w:rPr>
        <w:t>10.</w:t>
      </w:r>
      <w:r w:rsidR="00827E9F">
        <w:rPr>
          <w:rFonts w:ascii="Arial" w:hAnsi="Arial" w:cs="Arial"/>
          <w:sz w:val="20"/>
          <w:szCs w:val="20"/>
        </w:rPr>
        <w:t xml:space="preserve"> </w:t>
      </w:r>
      <w:r w:rsidRPr="0041575C">
        <w:rPr>
          <w:rFonts w:ascii="Arial" w:hAnsi="Arial" w:cs="Arial"/>
          <w:sz w:val="20"/>
          <w:szCs w:val="20"/>
        </w:rPr>
        <w:t>2016 došlo k zníženiu emisií znečisťujúcich látok prepočítané na referenčné tony SO2 v rámci jedného projektu o 651,097 t/rok.</w:t>
      </w:r>
    </w:p>
    <w:p w14:paraId="27905903" w14:textId="77777777" w:rsidR="00E006F9" w:rsidRPr="0041575C" w:rsidRDefault="00E006F9">
      <w:pPr>
        <w:spacing w:before="120" w:after="120"/>
        <w:jc w:val="both"/>
        <w:rPr>
          <w:rFonts w:ascii="Arial" w:hAnsi="Arial" w:cs="Arial"/>
          <w:sz w:val="20"/>
          <w:szCs w:val="20"/>
          <w:u w:val="single"/>
        </w:rPr>
      </w:pPr>
      <w:r w:rsidRPr="0041575C">
        <w:rPr>
          <w:rFonts w:ascii="Arial" w:hAnsi="Arial" w:cs="Arial"/>
          <w:sz w:val="20"/>
          <w:szCs w:val="20"/>
          <w:u w:val="single"/>
        </w:rPr>
        <w:t>Ukazovatele v oblasti odpadového hospodárstva:</w:t>
      </w:r>
    </w:p>
    <w:p w14:paraId="67B39EDB" w14:textId="77777777" w:rsidR="00E006F9" w:rsidRPr="0041575C" w:rsidRDefault="00E006F9" w:rsidP="00F87D11">
      <w:pPr>
        <w:pStyle w:val="Odsekzoznamu"/>
        <w:numPr>
          <w:ilvl w:val="0"/>
          <w:numId w:val="143"/>
        </w:numPr>
        <w:spacing w:before="120" w:after="0" w:line="240" w:lineRule="auto"/>
        <w:ind w:left="425" w:hanging="357"/>
        <w:contextualSpacing w:val="0"/>
        <w:jc w:val="both"/>
        <w:rPr>
          <w:rFonts w:ascii="Arial" w:hAnsi="Arial" w:cs="Arial"/>
          <w:sz w:val="20"/>
          <w:szCs w:val="20"/>
        </w:rPr>
      </w:pPr>
      <w:r w:rsidRPr="0041575C">
        <w:rPr>
          <w:rFonts w:ascii="Arial" w:hAnsi="Arial" w:cs="Arial"/>
          <w:sz w:val="20"/>
          <w:szCs w:val="20"/>
        </w:rPr>
        <w:t xml:space="preserve">Množstvo vyseparovaných komunálnych odpadov </w:t>
      </w:r>
    </w:p>
    <w:p w14:paraId="70E21E6F" w14:textId="77777777" w:rsidR="00E006F9" w:rsidRPr="003F708F" w:rsidRDefault="00E006F9" w:rsidP="00C179B0">
      <w:pPr>
        <w:spacing w:after="120"/>
        <w:ind w:left="425"/>
        <w:jc w:val="both"/>
        <w:rPr>
          <w:rFonts w:ascii="Arial" w:hAnsi="Arial" w:cs="Arial"/>
          <w:sz w:val="20"/>
          <w:szCs w:val="20"/>
        </w:rPr>
      </w:pPr>
      <w:r w:rsidRPr="003F708F">
        <w:rPr>
          <w:rFonts w:ascii="Arial" w:hAnsi="Arial" w:cs="Arial"/>
          <w:sz w:val="20"/>
          <w:szCs w:val="20"/>
        </w:rPr>
        <w:t>K 31.10.2016 evidujeme  na základe realizovaných projektov dosiahnutie úrovne 8 883,795 t/rok.</w:t>
      </w:r>
    </w:p>
    <w:p w14:paraId="2DB6713A" w14:textId="77777777" w:rsidR="00E006F9" w:rsidRPr="0041575C" w:rsidRDefault="00E006F9" w:rsidP="00F87D11">
      <w:pPr>
        <w:pStyle w:val="Odsekzoznamu"/>
        <w:numPr>
          <w:ilvl w:val="0"/>
          <w:numId w:val="143"/>
        </w:numPr>
        <w:spacing w:before="120" w:after="0" w:line="240" w:lineRule="auto"/>
        <w:ind w:left="426"/>
        <w:jc w:val="both"/>
        <w:rPr>
          <w:rFonts w:ascii="Arial" w:hAnsi="Arial" w:cs="Arial"/>
          <w:sz w:val="20"/>
          <w:szCs w:val="20"/>
        </w:rPr>
      </w:pPr>
      <w:r w:rsidRPr="0041575C">
        <w:rPr>
          <w:rFonts w:ascii="Arial" w:hAnsi="Arial" w:cs="Arial"/>
          <w:sz w:val="20"/>
          <w:szCs w:val="20"/>
        </w:rPr>
        <w:t>Množstvo upravených odpadov pred ich zhodnotením alebo environmentálne vhodným zneškodnením</w:t>
      </w:r>
    </w:p>
    <w:p w14:paraId="4B227CEF" w14:textId="77777777" w:rsidR="00E006F9" w:rsidRPr="003F708F" w:rsidRDefault="00E006F9" w:rsidP="00C179B0">
      <w:pPr>
        <w:ind w:left="425"/>
        <w:contextualSpacing/>
        <w:jc w:val="both"/>
        <w:rPr>
          <w:rFonts w:ascii="Arial" w:hAnsi="Arial" w:cs="Arial"/>
          <w:sz w:val="20"/>
          <w:szCs w:val="20"/>
        </w:rPr>
      </w:pPr>
      <w:r w:rsidRPr="003F708F">
        <w:rPr>
          <w:rFonts w:ascii="Arial" w:hAnsi="Arial" w:cs="Arial"/>
          <w:sz w:val="20"/>
          <w:szCs w:val="20"/>
        </w:rPr>
        <w:t xml:space="preserve">K 31.10.2016 evidujeme  na základe realizovaných projektov dosiahnutie úrovne </w:t>
      </w:r>
      <w:r>
        <w:rPr>
          <w:rFonts w:ascii="Arial" w:hAnsi="Arial" w:cs="Arial"/>
          <w:sz w:val="20"/>
          <w:szCs w:val="20"/>
        </w:rPr>
        <w:t>35 496,19</w:t>
      </w:r>
      <w:r w:rsidRPr="003F708F">
        <w:rPr>
          <w:rFonts w:ascii="Arial" w:hAnsi="Arial" w:cs="Arial"/>
          <w:sz w:val="20"/>
          <w:szCs w:val="20"/>
        </w:rPr>
        <w:t xml:space="preserve"> t/rok.</w:t>
      </w:r>
    </w:p>
    <w:p w14:paraId="051FC5E1" w14:textId="77777777" w:rsidR="00E006F9" w:rsidRPr="0041575C" w:rsidRDefault="00E006F9" w:rsidP="00F87D11">
      <w:pPr>
        <w:pStyle w:val="Odsekzoznamu"/>
        <w:numPr>
          <w:ilvl w:val="0"/>
          <w:numId w:val="143"/>
        </w:numPr>
        <w:spacing w:before="120" w:after="0" w:line="240" w:lineRule="auto"/>
        <w:ind w:left="426"/>
        <w:jc w:val="both"/>
        <w:rPr>
          <w:rFonts w:ascii="Arial" w:hAnsi="Arial" w:cs="Arial"/>
          <w:sz w:val="20"/>
          <w:szCs w:val="20"/>
        </w:rPr>
      </w:pPr>
      <w:r w:rsidRPr="0041575C">
        <w:rPr>
          <w:rFonts w:ascii="Arial" w:hAnsi="Arial" w:cs="Arial"/>
          <w:sz w:val="20"/>
          <w:szCs w:val="20"/>
        </w:rPr>
        <w:t>Množstvo zhodnotených biologicky rozložiteľných odpadov</w:t>
      </w:r>
    </w:p>
    <w:p w14:paraId="2EF6EF2E" w14:textId="77777777" w:rsidR="00E006F9" w:rsidRPr="0041575C" w:rsidRDefault="00E006F9" w:rsidP="00C179B0">
      <w:pPr>
        <w:ind w:left="425"/>
        <w:jc w:val="both"/>
        <w:rPr>
          <w:rFonts w:ascii="Arial" w:hAnsi="Arial" w:cs="Arial"/>
          <w:sz w:val="20"/>
          <w:szCs w:val="20"/>
        </w:rPr>
      </w:pPr>
      <w:r w:rsidRPr="0041575C">
        <w:rPr>
          <w:rFonts w:ascii="Arial" w:hAnsi="Arial" w:cs="Arial"/>
          <w:sz w:val="20"/>
          <w:szCs w:val="20"/>
        </w:rPr>
        <w:t>K 31.10.2016 evidujeme na základe realizovaných projektov dosiahnutie úrovne 11 935,9 t/rok.</w:t>
      </w:r>
    </w:p>
    <w:p w14:paraId="52427227" w14:textId="77777777" w:rsidR="00E006F9" w:rsidRPr="0041575C" w:rsidRDefault="00E006F9" w:rsidP="00F87D11">
      <w:pPr>
        <w:pStyle w:val="Odsekzoznamu"/>
        <w:numPr>
          <w:ilvl w:val="0"/>
          <w:numId w:val="143"/>
        </w:numPr>
        <w:spacing w:before="120" w:after="0" w:line="240" w:lineRule="auto"/>
        <w:ind w:left="419" w:hanging="357"/>
        <w:contextualSpacing w:val="0"/>
        <w:jc w:val="both"/>
        <w:rPr>
          <w:rFonts w:ascii="Arial" w:hAnsi="Arial" w:cs="Arial"/>
          <w:sz w:val="20"/>
          <w:szCs w:val="20"/>
        </w:rPr>
      </w:pPr>
      <w:r w:rsidRPr="0041575C">
        <w:rPr>
          <w:rFonts w:ascii="Arial" w:hAnsi="Arial" w:cs="Arial"/>
          <w:sz w:val="20"/>
          <w:szCs w:val="20"/>
        </w:rPr>
        <w:t>Množstvo zhodnotených odpadových olejov</w:t>
      </w:r>
    </w:p>
    <w:p w14:paraId="5A223615" w14:textId="77777777" w:rsidR="00E006F9" w:rsidRDefault="00E006F9" w:rsidP="00C179B0">
      <w:pPr>
        <w:ind w:left="425"/>
        <w:jc w:val="both"/>
        <w:rPr>
          <w:rFonts w:ascii="Arial" w:hAnsi="Arial" w:cs="Arial"/>
          <w:sz w:val="20"/>
          <w:szCs w:val="20"/>
        </w:rPr>
      </w:pPr>
      <w:r w:rsidRPr="006513AC">
        <w:rPr>
          <w:rFonts w:ascii="Arial" w:hAnsi="Arial" w:cs="Arial"/>
          <w:sz w:val="20"/>
          <w:szCs w:val="20"/>
        </w:rPr>
        <w:t>K 31.10.2016 evidujeme  na základe realizovaných projektov dosiahnutie úrovne 4 742,12 t/rok</w:t>
      </w:r>
      <w:r>
        <w:rPr>
          <w:rFonts w:ascii="Arial" w:hAnsi="Arial" w:cs="Arial"/>
          <w:sz w:val="20"/>
          <w:szCs w:val="20"/>
        </w:rPr>
        <w:t>.</w:t>
      </w:r>
    </w:p>
    <w:p w14:paraId="6D819D64" w14:textId="77777777" w:rsidR="00E006F9" w:rsidRPr="0041575C" w:rsidRDefault="00E006F9" w:rsidP="00F87D11">
      <w:pPr>
        <w:pStyle w:val="Odsekzoznamu"/>
        <w:numPr>
          <w:ilvl w:val="0"/>
          <w:numId w:val="143"/>
        </w:numPr>
        <w:spacing w:before="120" w:after="0" w:line="240" w:lineRule="auto"/>
        <w:ind w:left="419" w:hanging="357"/>
        <w:contextualSpacing w:val="0"/>
        <w:jc w:val="both"/>
        <w:rPr>
          <w:rFonts w:ascii="Arial" w:hAnsi="Arial" w:cs="Arial"/>
          <w:sz w:val="20"/>
          <w:szCs w:val="20"/>
        </w:rPr>
      </w:pPr>
      <w:r w:rsidRPr="0041575C">
        <w:rPr>
          <w:rFonts w:ascii="Arial" w:hAnsi="Arial" w:cs="Arial"/>
          <w:sz w:val="20"/>
          <w:szCs w:val="20"/>
        </w:rPr>
        <w:t>Množstvo zhodnotených odpadových olovených akumulátorov</w:t>
      </w:r>
    </w:p>
    <w:p w14:paraId="207FF666" w14:textId="77777777" w:rsidR="00E006F9" w:rsidRPr="006513AC" w:rsidRDefault="00E006F9" w:rsidP="00C179B0">
      <w:pPr>
        <w:ind w:left="425"/>
        <w:jc w:val="both"/>
        <w:rPr>
          <w:rFonts w:ascii="Arial" w:hAnsi="Arial" w:cs="Arial"/>
          <w:sz w:val="20"/>
          <w:szCs w:val="20"/>
        </w:rPr>
      </w:pPr>
      <w:r w:rsidRPr="006513AC">
        <w:rPr>
          <w:rFonts w:ascii="Arial" w:hAnsi="Arial" w:cs="Arial"/>
          <w:sz w:val="20"/>
          <w:szCs w:val="20"/>
        </w:rPr>
        <w:t>K 31.10.2016 evidujeme  na základe realizovaných projektov dosiahnutie úrovne</w:t>
      </w:r>
      <w:r>
        <w:rPr>
          <w:rFonts w:ascii="Arial" w:hAnsi="Arial" w:cs="Arial"/>
          <w:sz w:val="20"/>
          <w:szCs w:val="20"/>
        </w:rPr>
        <w:t xml:space="preserve"> </w:t>
      </w:r>
      <w:r w:rsidRPr="002654BC">
        <w:rPr>
          <w:rFonts w:ascii="Arial" w:hAnsi="Arial" w:cs="Arial"/>
          <w:sz w:val="20"/>
          <w:szCs w:val="20"/>
        </w:rPr>
        <w:t>9 009,806</w:t>
      </w:r>
      <w:r>
        <w:rPr>
          <w:rFonts w:ascii="Arial" w:hAnsi="Arial" w:cs="Arial"/>
          <w:sz w:val="20"/>
          <w:szCs w:val="20"/>
        </w:rPr>
        <w:t xml:space="preserve"> </w:t>
      </w:r>
      <w:r w:rsidRPr="006513AC">
        <w:rPr>
          <w:rFonts w:ascii="Arial" w:hAnsi="Arial" w:cs="Arial"/>
          <w:sz w:val="20"/>
          <w:szCs w:val="20"/>
        </w:rPr>
        <w:t>t/rok</w:t>
      </w:r>
      <w:r>
        <w:rPr>
          <w:rFonts w:ascii="Arial" w:hAnsi="Arial" w:cs="Arial"/>
          <w:sz w:val="20"/>
          <w:szCs w:val="20"/>
        </w:rPr>
        <w:t>.</w:t>
      </w:r>
    </w:p>
    <w:p w14:paraId="681C5E46" w14:textId="77777777" w:rsidR="00E006F9" w:rsidRPr="0041575C" w:rsidRDefault="00E006F9" w:rsidP="00F87D11">
      <w:pPr>
        <w:pStyle w:val="Odsekzoznamu"/>
        <w:numPr>
          <w:ilvl w:val="0"/>
          <w:numId w:val="143"/>
        </w:numPr>
        <w:spacing w:before="120" w:after="0" w:line="240" w:lineRule="auto"/>
        <w:ind w:left="419" w:hanging="357"/>
        <w:contextualSpacing w:val="0"/>
        <w:jc w:val="both"/>
        <w:rPr>
          <w:rFonts w:ascii="Arial" w:hAnsi="Arial" w:cs="Arial"/>
          <w:sz w:val="20"/>
          <w:szCs w:val="20"/>
        </w:rPr>
      </w:pPr>
      <w:r w:rsidRPr="0041575C">
        <w:rPr>
          <w:rFonts w:ascii="Arial" w:hAnsi="Arial" w:cs="Arial"/>
          <w:sz w:val="20"/>
          <w:szCs w:val="20"/>
        </w:rPr>
        <w:t>Množstvo zhodnotených plastov</w:t>
      </w:r>
    </w:p>
    <w:p w14:paraId="23599E9D" w14:textId="77777777" w:rsidR="00E006F9" w:rsidRPr="006513AC" w:rsidRDefault="00E006F9" w:rsidP="00C179B0">
      <w:pPr>
        <w:ind w:left="425"/>
        <w:jc w:val="both"/>
        <w:rPr>
          <w:rFonts w:ascii="Arial" w:hAnsi="Arial" w:cs="Arial"/>
          <w:sz w:val="20"/>
          <w:szCs w:val="20"/>
        </w:rPr>
      </w:pPr>
      <w:r w:rsidRPr="006513AC">
        <w:rPr>
          <w:rFonts w:ascii="Arial" w:hAnsi="Arial" w:cs="Arial"/>
          <w:sz w:val="20"/>
          <w:szCs w:val="20"/>
        </w:rPr>
        <w:t>K 31.10.2016 evidujeme  na základe realizovaných projektov dosiahnutie úrovne 2 598,937 t/rok.</w:t>
      </w:r>
    </w:p>
    <w:p w14:paraId="4026B830" w14:textId="77777777" w:rsidR="00E006F9" w:rsidRPr="0041575C" w:rsidRDefault="00E006F9" w:rsidP="00F87D11">
      <w:pPr>
        <w:pStyle w:val="Odsekzoznamu"/>
        <w:numPr>
          <w:ilvl w:val="0"/>
          <w:numId w:val="143"/>
        </w:numPr>
        <w:spacing w:before="120" w:after="0" w:line="240" w:lineRule="auto"/>
        <w:ind w:left="419" w:hanging="357"/>
        <w:contextualSpacing w:val="0"/>
        <w:jc w:val="both"/>
        <w:rPr>
          <w:rFonts w:ascii="Arial" w:hAnsi="Arial" w:cs="Arial"/>
          <w:sz w:val="20"/>
          <w:szCs w:val="20"/>
        </w:rPr>
      </w:pPr>
      <w:r w:rsidRPr="0041575C">
        <w:rPr>
          <w:rFonts w:ascii="Arial" w:hAnsi="Arial" w:cs="Arial"/>
          <w:sz w:val="20"/>
          <w:szCs w:val="20"/>
        </w:rPr>
        <w:t xml:space="preserve">Množstvo zhodnotených prenosných batérií a akumulátorov  </w:t>
      </w:r>
    </w:p>
    <w:p w14:paraId="2874EA65" w14:textId="77777777" w:rsidR="00E006F9" w:rsidRPr="006513AC" w:rsidRDefault="00E006F9" w:rsidP="00C179B0">
      <w:pPr>
        <w:ind w:left="425"/>
        <w:jc w:val="both"/>
        <w:rPr>
          <w:rFonts w:ascii="Arial" w:hAnsi="Arial" w:cs="Arial"/>
          <w:sz w:val="20"/>
          <w:szCs w:val="20"/>
        </w:rPr>
      </w:pPr>
      <w:r w:rsidRPr="006513AC">
        <w:rPr>
          <w:rFonts w:ascii="Arial" w:hAnsi="Arial" w:cs="Arial"/>
          <w:sz w:val="20"/>
          <w:szCs w:val="20"/>
        </w:rPr>
        <w:t>K 31.10.2016 evidujeme  na základe realizovaných projektov dosiahnutie úrovne 417,467 t/rok.</w:t>
      </w:r>
    </w:p>
    <w:p w14:paraId="2851002E" w14:textId="77777777" w:rsidR="00E006F9" w:rsidRPr="0041575C" w:rsidRDefault="00E006F9" w:rsidP="00F87D11">
      <w:pPr>
        <w:pStyle w:val="Odsekzoznamu"/>
        <w:numPr>
          <w:ilvl w:val="0"/>
          <w:numId w:val="143"/>
        </w:numPr>
        <w:spacing w:before="120" w:after="0" w:line="240" w:lineRule="auto"/>
        <w:ind w:left="419" w:hanging="357"/>
        <w:contextualSpacing w:val="0"/>
        <w:jc w:val="both"/>
        <w:rPr>
          <w:rFonts w:ascii="Arial" w:hAnsi="Arial" w:cs="Arial"/>
          <w:sz w:val="20"/>
          <w:szCs w:val="20"/>
        </w:rPr>
      </w:pPr>
      <w:r w:rsidRPr="0041575C">
        <w:rPr>
          <w:rFonts w:ascii="Arial" w:hAnsi="Arial" w:cs="Arial"/>
          <w:sz w:val="20"/>
          <w:szCs w:val="20"/>
        </w:rPr>
        <w:t xml:space="preserve">Množstvo zhodnotených stavebných odpadov </w:t>
      </w:r>
    </w:p>
    <w:p w14:paraId="4680B63C" w14:textId="77777777" w:rsidR="00E006F9" w:rsidRPr="0041575C" w:rsidRDefault="00E006F9" w:rsidP="00C179B0">
      <w:pPr>
        <w:ind w:left="425"/>
        <w:jc w:val="both"/>
        <w:rPr>
          <w:rFonts w:ascii="Arial" w:hAnsi="Arial" w:cs="Arial"/>
          <w:sz w:val="20"/>
          <w:szCs w:val="20"/>
        </w:rPr>
      </w:pPr>
      <w:r w:rsidRPr="0041575C">
        <w:rPr>
          <w:rFonts w:ascii="Arial" w:hAnsi="Arial" w:cs="Arial"/>
          <w:sz w:val="20"/>
          <w:szCs w:val="20"/>
        </w:rPr>
        <w:t>K 31.10.2016 evidujeme  na základe realizovaných projektov dosiahnutie úrovne 534 130,056 t/rok.</w:t>
      </w:r>
    </w:p>
    <w:p w14:paraId="52DBE740" w14:textId="77777777" w:rsidR="00E006F9" w:rsidRPr="0041575C" w:rsidRDefault="00E006F9" w:rsidP="00F87D11">
      <w:pPr>
        <w:pStyle w:val="Odsekzoznamu"/>
        <w:numPr>
          <w:ilvl w:val="0"/>
          <w:numId w:val="143"/>
        </w:numPr>
        <w:spacing w:before="120" w:after="0" w:line="240" w:lineRule="auto"/>
        <w:ind w:left="419" w:hanging="357"/>
        <w:contextualSpacing w:val="0"/>
        <w:jc w:val="both"/>
        <w:rPr>
          <w:rFonts w:ascii="Arial" w:hAnsi="Arial" w:cs="Arial"/>
          <w:sz w:val="20"/>
          <w:szCs w:val="20"/>
        </w:rPr>
      </w:pPr>
      <w:r w:rsidRPr="0041575C">
        <w:rPr>
          <w:rFonts w:ascii="Arial" w:hAnsi="Arial" w:cs="Arial"/>
          <w:sz w:val="20"/>
          <w:szCs w:val="20"/>
        </w:rPr>
        <w:t>Množstvo zhodnotených textilných odpadov</w:t>
      </w:r>
    </w:p>
    <w:p w14:paraId="594358B7" w14:textId="77777777" w:rsidR="00E006F9" w:rsidRPr="0041575C" w:rsidRDefault="00E006F9" w:rsidP="00C179B0">
      <w:pPr>
        <w:ind w:left="425"/>
        <w:jc w:val="both"/>
        <w:rPr>
          <w:rFonts w:ascii="Arial" w:hAnsi="Arial" w:cs="Arial"/>
          <w:sz w:val="20"/>
          <w:szCs w:val="20"/>
        </w:rPr>
      </w:pPr>
      <w:r w:rsidRPr="0041575C">
        <w:rPr>
          <w:rFonts w:ascii="Arial" w:hAnsi="Arial" w:cs="Arial"/>
          <w:sz w:val="20"/>
          <w:szCs w:val="20"/>
        </w:rPr>
        <w:t>K 31.10.2016 evidujeme  na základe realizovaných projektov dosiahnutie úrovne 147 t/rok.</w:t>
      </w:r>
    </w:p>
    <w:p w14:paraId="07AF55DA" w14:textId="288A627A" w:rsidR="00E006F9" w:rsidRPr="0041575C" w:rsidRDefault="00663933" w:rsidP="00F87D11">
      <w:pPr>
        <w:pStyle w:val="Odsekzoznamu"/>
        <w:numPr>
          <w:ilvl w:val="0"/>
          <w:numId w:val="145"/>
        </w:numPr>
        <w:spacing w:before="120" w:after="120" w:line="240" w:lineRule="auto"/>
        <w:ind w:left="0" w:firstLine="0"/>
        <w:jc w:val="both"/>
        <w:rPr>
          <w:rFonts w:ascii="Arial" w:hAnsi="Arial" w:cs="Arial"/>
          <w:sz w:val="20"/>
          <w:szCs w:val="20"/>
        </w:rPr>
      </w:pPr>
      <w:r>
        <w:rPr>
          <w:rFonts w:ascii="Arial" w:hAnsi="Arial" w:cs="Arial"/>
          <w:sz w:val="20"/>
          <w:szCs w:val="20"/>
        </w:rPr>
        <w:t xml:space="preserve"> </w:t>
      </w:r>
      <w:r w:rsidR="00E006F9" w:rsidRPr="0041575C">
        <w:rPr>
          <w:rFonts w:ascii="Arial" w:hAnsi="Arial" w:cs="Arial"/>
          <w:sz w:val="20"/>
          <w:szCs w:val="20"/>
        </w:rPr>
        <w:t>Priemyselná výroba patrí k najväčším znečisťovateľom ovzdušia, ako aj k najväčším producentom odpadov. Schémy štátnej pomoci, ktoré umožňovali čerpať finančné prostriedky z fondov EÚ podnikom, tak predstavovali efektívny spôsob riešenia problémov nielen v oblasti ochrany životného prostredia, ale mohli mať aj vedľajší pozitívny efekt v tvorbe, respektíve v udržaní pracovných miest. Z</w:t>
      </w:r>
      <w:r w:rsidR="00E006F9">
        <w:rPr>
          <w:rFonts w:ascii="Arial" w:hAnsi="Arial" w:cs="Arial"/>
          <w:sz w:val="20"/>
          <w:szCs w:val="20"/>
        </w:rPr>
        <w:t> </w:t>
      </w:r>
      <w:r w:rsidR="00E006F9" w:rsidRPr="0041575C">
        <w:rPr>
          <w:rFonts w:ascii="Arial" w:hAnsi="Arial" w:cs="Arial"/>
          <w:sz w:val="20"/>
          <w:szCs w:val="20"/>
        </w:rPr>
        <w:t xml:space="preserve">celkového počtu 451 schválených projektov v rámci tretej a štvrtej prioritnej osi OP ŽP spadalo 67 projektov pod schémy štátnej pomoci. </w:t>
      </w:r>
    </w:p>
    <w:p w14:paraId="6C7D38DA" w14:textId="77777777" w:rsidR="00E006F9" w:rsidRPr="0041575C" w:rsidRDefault="00E006F9" w:rsidP="00C179B0">
      <w:pPr>
        <w:spacing w:before="120" w:after="120"/>
        <w:jc w:val="both"/>
        <w:rPr>
          <w:rFonts w:ascii="Arial" w:hAnsi="Arial" w:cs="Arial"/>
          <w:sz w:val="20"/>
          <w:szCs w:val="20"/>
        </w:rPr>
      </w:pPr>
      <w:r w:rsidRPr="0041575C">
        <w:rPr>
          <w:rFonts w:ascii="Arial" w:hAnsi="Arial" w:cs="Arial"/>
          <w:sz w:val="20"/>
          <w:szCs w:val="20"/>
        </w:rPr>
        <w:t>Z hľadiska príspevku projektov, podporených v rámci príslušných schém štátnej pomoci, k napĺňaniu vybraných merateľných ukazovateľov OP ŽP možno hodnotiť poskytovanie štátnej pomoci ako efektívne. V rámci merateľného ukazovateľa „Redukcia emisií skleníkových plynov prepočítaných na CO2 (rozdiel medzi množstvom pred projektom a po projekte)“ prispievajú projekty realizované v rámci príslušnej schémy štátnej pomoci k napĺňaniu tohto ukazovateľa vo výške 83,07 %. V prípade merateľného ukazovateľa „Množstvo vyseparovaných komunálnych odpadov“ prispievajú projekty realizované v rámci príslušnej schémy štátnej pomoci k napĺňaniu tohto ukazovateľa vo výške 10,37 %. Pokiaľ ide o merateľný ukazovateľ „Množstvo zhodnotených stavebných odpadov“, projekty realizované v rámci príslušnej schémy štátnej pomoci prispievajú k napĺňaniu tohto ukazovateľa vo výške 89,46 %.</w:t>
      </w:r>
    </w:p>
    <w:bookmarkEnd w:id="17"/>
    <w:p w14:paraId="08413C69" w14:textId="77777777" w:rsidR="00827E9F" w:rsidRDefault="00827E9F" w:rsidP="00912C87">
      <w:pPr>
        <w:autoSpaceDE w:val="0"/>
        <w:autoSpaceDN w:val="0"/>
        <w:adjustRightInd w:val="0"/>
        <w:spacing w:before="120" w:after="120"/>
        <w:jc w:val="both"/>
        <w:rPr>
          <w:rFonts w:ascii="Arial" w:hAnsi="Arial" w:cs="Arial"/>
          <w:b/>
          <w:sz w:val="20"/>
          <w:szCs w:val="20"/>
        </w:rPr>
      </w:pPr>
    </w:p>
    <w:p w14:paraId="49B7455C" w14:textId="77777777" w:rsidR="00827E9F" w:rsidRDefault="00827E9F" w:rsidP="00912C87">
      <w:pPr>
        <w:autoSpaceDE w:val="0"/>
        <w:autoSpaceDN w:val="0"/>
        <w:adjustRightInd w:val="0"/>
        <w:spacing w:before="120" w:after="120"/>
        <w:jc w:val="both"/>
        <w:rPr>
          <w:rFonts w:ascii="Arial" w:hAnsi="Arial" w:cs="Arial"/>
          <w:b/>
          <w:sz w:val="20"/>
          <w:szCs w:val="20"/>
        </w:rPr>
      </w:pPr>
    </w:p>
    <w:p w14:paraId="219AA4AD" w14:textId="77777777" w:rsidR="002416B1" w:rsidRPr="00E21C60" w:rsidRDefault="002416B1" w:rsidP="00912C87">
      <w:pPr>
        <w:autoSpaceDE w:val="0"/>
        <w:autoSpaceDN w:val="0"/>
        <w:adjustRightInd w:val="0"/>
        <w:spacing w:before="120" w:after="120"/>
        <w:jc w:val="both"/>
        <w:rPr>
          <w:rFonts w:ascii="Arial" w:hAnsi="Arial" w:cs="Arial"/>
          <w:b/>
          <w:sz w:val="20"/>
          <w:szCs w:val="20"/>
        </w:rPr>
      </w:pPr>
      <w:r w:rsidRPr="00B632B6">
        <w:rPr>
          <w:rFonts w:ascii="Arial" w:hAnsi="Arial" w:cs="Arial"/>
          <w:b/>
          <w:sz w:val="20"/>
          <w:szCs w:val="20"/>
        </w:rPr>
        <w:t>Plnenie merateľných ukazovateľov</w:t>
      </w:r>
    </w:p>
    <w:p w14:paraId="6C9DF6D2" w14:textId="77777777" w:rsidR="00536D7E" w:rsidRPr="00E21C60" w:rsidRDefault="00536D7E" w:rsidP="00536D7E">
      <w:pPr>
        <w:spacing w:before="120" w:after="120"/>
        <w:jc w:val="both"/>
        <w:rPr>
          <w:rFonts w:ascii="Arial" w:hAnsi="Arial" w:cs="Arial"/>
          <w:sz w:val="20"/>
          <w:szCs w:val="20"/>
        </w:rPr>
      </w:pPr>
      <w:r w:rsidRPr="00663933">
        <w:rPr>
          <w:rFonts w:ascii="Arial" w:hAnsi="Arial" w:cs="Arial"/>
          <w:sz w:val="20"/>
          <w:szCs w:val="20"/>
        </w:rPr>
        <w:t>Merateľné ukazovatele sú jedným z nástrojov  ako sledovať účinnosť pomoci z fondov EÚ, ako aj dosahovania cieľov a horizontálnych priorít definovaných v operačnom programe, okrem toho slúžia na zhodnotenie hospodárnosti, efektívnosti a účinnosti použitia prostriedkov alokovaných na operačný program a prioritnú os.</w:t>
      </w:r>
    </w:p>
    <w:p w14:paraId="331C51DF" w14:textId="77777777" w:rsidR="006F53BF" w:rsidRPr="009B7739" w:rsidRDefault="006F53BF" w:rsidP="006F53BF">
      <w:pPr>
        <w:spacing w:before="120" w:after="120"/>
        <w:ind w:right="40"/>
        <w:jc w:val="both"/>
        <w:rPr>
          <w:rFonts w:ascii="Arial" w:hAnsi="Arial" w:cs="Arial"/>
          <w:sz w:val="20"/>
        </w:rPr>
      </w:pPr>
      <w:r w:rsidRPr="009B7739">
        <w:rPr>
          <w:rFonts w:ascii="Arial" w:hAnsi="Arial" w:cs="Arial"/>
          <w:sz w:val="20"/>
        </w:rPr>
        <w:t xml:space="preserve">Na základe údajov generovaných z ITMS bolo vyhodnotené plnenie programových ukazovateľov spôsobom projekt – prioritná os – operačný program. Dosiahnuté hodnoty ukazovateľov OP ŽP za jednotlivé roky sú uvedené v Prílohe č. 2. Zoznam CORE ukazovateľov reportovaných EK prostredníctvom SFC2007 v rámci </w:t>
      </w:r>
      <w:r>
        <w:rPr>
          <w:rFonts w:ascii="Arial" w:hAnsi="Arial" w:cs="Arial"/>
          <w:sz w:val="20"/>
        </w:rPr>
        <w:t>závere</w:t>
      </w:r>
      <w:r w:rsidRPr="009B7739">
        <w:rPr>
          <w:rFonts w:ascii="Arial" w:hAnsi="Arial" w:cs="Arial"/>
          <w:sz w:val="20"/>
        </w:rPr>
        <w:t xml:space="preserve">čnej správy o vykonávaní OP ŽP je uvedený v Prílohe č. 11. </w:t>
      </w:r>
    </w:p>
    <w:p w14:paraId="607DB838" w14:textId="77777777" w:rsidR="006F53BF" w:rsidRPr="00E21C60" w:rsidRDefault="006F53BF" w:rsidP="006F53BF">
      <w:pPr>
        <w:spacing w:before="120" w:after="120"/>
        <w:jc w:val="both"/>
        <w:rPr>
          <w:rFonts w:ascii="Arial" w:hAnsi="Arial" w:cs="Arial"/>
          <w:sz w:val="20"/>
          <w:szCs w:val="20"/>
        </w:rPr>
      </w:pPr>
      <w:r w:rsidRPr="00E21C60">
        <w:rPr>
          <w:rFonts w:ascii="Arial" w:hAnsi="Arial" w:cs="Arial"/>
          <w:sz w:val="20"/>
          <w:szCs w:val="20"/>
        </w:rPr>
        <w:t>Zavedený systém monitorovania napomáha</w:t>
      </w:r>
      <w:r>
        <w:rPr>
          <w:rFonts w:ascii="Arial" w:hAnsi="Arial" w:cs="Arial"/>
          <w:sz w:val="20"/>
          <w:szCs w:val="20"/>
        </w:rPr>
        <w:t>l</w:t>
      </w:r>
      <w:r w:rsidRPr="00E21C60">
        <w:rPr>
          <w:rFonts w:ascii="Arial" w:hAnsi="Arial" w:cs="Arial"/>
          <w:sz w:val="20"/>
          <w:szCs w:val="20"/>
        </w:rPr>
        <w:t xml:space="preserve"> RO sledovať pokrok fyzickej imple</w:t>
      </w:r>
      <w:r>
        <w:rPr>
          <w:rFonts w:ascii="Arial" w:hAnsi="Arial" w:cs="Arial"/>
          <w:sz w:val="20"/>
          <w:szCs w:val="20"/>
        </w:rPr>
        <w:t xml:space="preserve">mentácie jednotlivých projektov (viac o sledovaní monitorovania na úrovni projektov je popísaný v kapitole 2.7.1 Monitorovanie) </w:t>
      </w:r>
      <w:r w:rsidRPr="00E21C60">
        <w:rPr>
          <w:rFonts w:ascii="Arial" w:hAnsi="Arial" w:cs="Arial"/>
          <w:sz w:val="20"/>
          <w:szCs w:val="20"/>
        </w:rPr>
        <w:t xml:space="preserve">v porovnaní s dosiahnutou úrovňou čerpania alokácie a </w:t>
      </w:r>
      <w:r>
        <w:rPr>
          <w:rFonts w:ascii="Arial" w:hAnsi="Arial" w:cs="Arial"/>
          <w:sz w:val="20"/>
          <w:szCs w:val="20"/>
        </w:rPr>
        <w:t>bol</w:t>
      </w:r>
      <w:r w:rsidRPr="00E21C60">
        <w:rPr>
          <w:rFonts w:ascii="Arial" w:hAnsi="Arial" w:cs="Arial"/>
          <w:sz w:val="20"/>
          <w:szCs w:val="20"/>
        </w:rPr>
        <w:t xml:space="preserve"> aj jedným z nástrojov rozhodovania pri vyhlasovaní jednotlivých výziev v nadväznosti na úroveň dosiahnutých plánovaných hodnôt merateľných ukazovateľov stanovených v OP.</w:t>
      </w:r>
    </w:p>
    <w:p w14:paraId="52111EE0" w14:textId="77777777" w:rsidR="006F53BF" w:rsidRPr="00E21C60" w:rsidRDefault="006F53BF" w:rsidP="006F53BF">
      <w:pPr>
        <w:spacing w:before="120" w:after="120"/>
        <w:jc w:val="both"/>
        <w:rPr>
          <w:rFonts w:ascii="Arial" w:hAnsi="Arial" w:cs="Arial"/>
          <w:iCs/>
          <w:sz w:val="20"/>
          <w:szCs w:val="20"/>
        </w:rPr>
      </w:pPr>
      <w:r w:rsidRPr="00B22273">
        <w:rPr>
          <w:rFonts w:ascii="Arial" w:hAnsi="Arial" w:cs="Arial"/>
          <w:sz w:val="20"/>
          <w:szCs w:val="20"/>
        </w:rPr>
        <w:t xml:space="preserve">Vzhľadom na skutočnosť, že hodnoty ukazovateľov dopadu </w:t>
      </w:r>
      <w:r w:rsidRPr="00B22273">
        <w:rPr>
          <w:rFonts w:ascii="Arial" w:hAnsi="Arial" w:cs="Arial"/>
          <w:iCs/>
          <w:sz w:val="20"/>
          <w:szCs w:val="20"/>
        </w:rPr>
        <w:t xml:space="preserve">na úrovni projektov sa vykazujú na základe následných monitorovacích správ, ktoré sú predkladané rok </w:t>
      </w:r>
      <w:r w:rsidRPr="009D7CF7">
        <w:rPr>
          <w:rFonts w:ascii="Arial" w:hAnsi="Arial" w:cs="Arial"/>
          <w:iCs/>
          <w:sz w:val="20"/>
          <w:szCs w:val="20"/>
        </w:rPr>
        <w:t xml:space="preserve">po skončení realizácie projektu, boli v Prílohe č. 2 Plnenie ukazovateľov </w:t>
      </w:r>
      <w:r w:rsidRPr="00D75C73">
        <w:rPr>
          <w:rFonts w:ascii="Arial" w:hAnsi="Arial" w:cs="Arial"/>
          <w:iCs/>
          <w:sz w:val="20"/>
          <w:szCs w:val="20"/>
        </w:rPr>
        <w:t xml:space="preserve">na úrovni </w:t>
      </w:r>
      <w:r w:rsidRPr="00293401">
        <w:rPr>
          <w:rFonts w:ascii="Arial" w:hAnsi="Arial" w:cs="Arial"/>
          <w:iCs/>
          <w:sz w:val="20"/>
          <w:szCs w:val="20"/>
        </w:rPr>
        <w:t>OP ŽP do</w:t>
      </w:r>
      <w:r w:rsidRPr="00E106D3">
        <w:rPr>
          <w:rFonts w:ascii="Arial" w:hAnsi="Arial" w:cs="Arial"/>
          <w:iCs/>
          <w:sz w:val="20"/>
          <w:szCs w:val="20"/>
        </w:rPr>
        <w:t>plnené deklarované cieľové hodnoty projektov v zmysle uzatvorených zmlúv o NFP k 31.12.2015.</w:t>
      </w:r>
      <w:r w:rsidRPr="00E21C60">
        <w:rPr>
          <w:rFonts w:ascii="Arial" w:hAnsi="Arial" w:cs="Arial"/>
          <w:iCs/>
          <w:sz w:val="20"/>
          <w:szCs w:val="20"/>
        </w:rPr>
        <w:t xml:space="preserve"> </w:t>
      </w:r>
    </w:p>
    <w:p w14:paraId="75DA4BBE" w14:textId="5257A284" w:rsidR="006F53BF" w:rsidRDefault="006F53BF" w:rsidP="0008447E">
      <w:pPr>
        <w:spacing w:before="120" w:after="120"/>
        <w:rPr>
          <w:rFonts w:ascii="Arial" w:hAnsi="Arial" w:cs="Arial"/>
          <w:sz w:val="20"/>
          <w:szCs w:val="20"/>
        </w:rPr>
      </w:pPr>
      <w:r w:rsidRPr="00C11A1F">
        <w:rPr>
          <w:rFonts w:ascii="Arial" w:hAnsi="Arial" w:cs="Arial"/>
          <w:sz w:val="20"/>
          <w:szCs w:val="20"/>
        </w:rPr>
        <w:t xml:space="preserve">Cieľové hodnoty </w:t>
      </w:r>
      <w:r>
        <w:rPr>
          <w:rFonts w:ascii="Arial" w:hAnsi="Arial" w:cs="Arial"/>
          <w:sz w:val="20"/>
          <w:szCs w:val="20"/>
        </w:rPr>
        <w:t>ukazovateľov</w:t>
      </w:r>
      <w:r w:rsidRPr="00C11A1F">
        <w:rPr>
          <w:rFonts w:ascii="Arial" w:hAnsi="Arial" w:cs="Arial"/>
          <w:sz w:val="20"/>
          <w:szCs w:val="20"/>
        </w:rPr>
        <w:t xml:space="preserve"> definovan</w:t>
      </w:r>
      <w:r>
        <w:rPr>
          <w:rFonts w:ascii="Arial" w:hAnsi="Arial" w:cs="Arial"/>
          <w:sz w:val="20"/>
          <w:szCs w:val="20"/>
        </w:rPr>
        <w:t>é</w:t>
      </w:r>
      <w:r w:rsidRPr="00C11A1F">
        <w:rPr>
          <w:rFonts w:ascii="Arial" w:hAnsi="Arial" w:cs="Arial"/>
          <w:sz w:val="20"/>
          <w:szCs w:val="20"/>
        </w:rPr>
        <w:t xml:space="preserve"> v  OP  a používané v </w:t>
      </w:r>
      <w:r>
        <w:rPr>
          <w:rFonts w:ascii="Arial" w:hAnsi="Arial" w:cs="Arial"/>
          <w:sz w:val="20"/>
          <w:szCs w:val="20"/>
        </w:rPr>
        <w:t>závereč</w:t>
      </w:r>
      <w:r w:rsidRPr="00C11A1F">
        <w:rPr>
          <w:rFonts w:ascii="Arial" w:hAnsi="Arial" w:cs="Arial"/>
          <w:sz w:val="20"/>
          <w:szCs w:val="20"/>
        </w:rPr>
        <w:t>nej správe (s výnimkou prílohy</w:t>
      </w:r>
      <w:r>
        <w:rPr>
          <w:rFonts w:ascii="Arial" w:hAnsi="Arial" w:cs="Arial"/>
          <w:sz w:val="20"/>
          <w:szCs w:val="20"/>
        </w:rPr>
        <w:t xml:space="preserve"> č</w:t>
      </w:r>
      <w:r w:rsidRPr="00C11A1F">
        <w:rPr>
          <w:rFonts w:ascii="Arial" w:hAnsi="Arial" w:cs="Arial"/>
          <w:sz w:val="20"/>
          <w:szCs w:val="20"/>
        </w:rPr>
        <w:t>. 11), zahŕňajú (nenulovú) východiskovú hodnotu pri všetkých ukazovateľoch okrem ukazovateľov v mernej jednotke – v %. Pri vykazovaní core indikátorov v prílohe č. 11 a v SFC2007 boli uvedené cieľové hodnoty očistené o (nenulové) východiskové hodnoty v súlade s pracovným dokumentom</w:t>
      </w:r>
      <w:r w:rsidR="00827E9F">
        <w:rPr>
          <w:rFonts w:ascii="Arial" w:hAnsi="Arial" w:cs="Arial"/>
          <w:sz w:val="20"/>
          <w:szCs w:val="20"/>
        </w:rPr>
        <w:t xml:space="preserve"> </w:t>
      </w:r>
      <w:r w:rsidRPr="00C11A1F">
        <w:rPr>
          <w:rFonts w:ascii="Arial" w:hAnsi="Arial" w:cs="Arial"/>
          <w:sz w:val="20"/>
          <w:szCs w:val="20"/>
        </w:rPr>
        <w:t>Komisie</w:t>
      </w:r>
      <w:r w:rsidR="00827E9F">
        <w:rPr>
          <w:rFonts w:ascii="Arial" w:hAnsi="Arial" w:cs="Arial"/>
          <w:sz w:val="20"/>
          <w:szCs w:val="20"/>
        </w:rPr>
        <w:t xml:space="preserve"> </w:t>
      </w:r>
      <w:r>
        <w:rPr>
          <w:rFonts w:ascii="Arial" w:hAnsi="Arial" w:cs="Arial"/>
          <w:sz w:val="20"/>
          <w:szCs w:val="20"/>
        </w:rPr>
        <w:t>č</w:t>
      </w:r>
      <w:r w:rsidRPr="00C11A1F">
        <w:rPr>
          <w:rFonts w:ascii="Arial" w:hAnsi="Arial" w:cs="Arial"/>
          <w:sz w:val="20"/>
          <w:szCs w:val="20"/>
        </w:rPr>
        <w:t xml:space="preserve">.7 </w:t>
      </w:r>
      <w:r>
        <w:rPr>
          <w:rFonts w:ascii="Arial" w:hAnsi="Arial" w:cs="Arial"/>
          <w:sz w:val="20"/>
          <w:szCs w:val="20"/>
        </w:rPr>
        <w:t>(</w:t>
      </w:r>
      <w:hyperlink r:id="rId15" w:history="1">
        <w:r w:rsidRPr="00C11A1F">
          <w:rPr>
            <w:rStyle w:val="Hypertextovprepojenie"/>
            <w:rFonts w:ascii="Arial" w:hAnsi="Arial" w:cs="Arial"/>
            <w:sz w:val="20"/>
            <w:szCs w:val="20"/>
          </w:rPr>
          <w:t>http://ec.europa.eu/regional_policy/sources/docoffic/2007/working/wd7_indicators_en.pdf</w:t>
        </w:r>
      </w:hyperlink>
      <w:r>
        <w:rPr>
          <w:rFonts w:ascii="Arial" w:hAnsi="Arial" w:cs="Arial"/>
          <w:sz w:val="20"/>
          <w:szCs w:val="20"/>
        </w:rPr>
        <w:t>)</w:t>
      </w:r>
      <w:r w:rsidRPr="00C11A1F">
        <w:rPr>
          <w:rFonts w:ascii="Arial" w:hAnsi="Arial" w:cs="Arial"/>
          <w:sz w:val="20"/>
          <w:szCs w:val="20"/>
        </w:rPr>
        <w:t>,</w:t>
      </w:r>
      <w:r>
        <w:rPr>
          <w:rFonts w:ascii="Arial" w:hAnsi="Arial" w:cs="Arial"/>
          <w:sz w:val="20"/>
          <w:szCs w:val="20"/>
        </w:rPr>
        <w:t xml:space="preserve"> </w:t>
      </w:r>
      <w:r w:rsidRPr="00C11A1F">
        <w:rPr>
          <w:rFonts w:ascii="Arial" w:hAnsi="Arial" w:cs="Arial"/>
          <w:sz w:val="20"/>
          <w:szCs w:val="20"/>
        </w:rPr>
        <w:t>z dôvodu zabezpečenia používania jednotnej metodiky vykazovania core indikátorov v členských štátoch EU. Dosiahnuté aktuálne ročné hodnoty (vykazovan</w:t>
      </w:r>
      <w:r w:rsidR="00827E9F">
        <w:rPr>
          <w:rFonts w:ascii="Arial" w:hAnsi="Arial" w:cs="Arial"/>
          <w:sz w:val="20"/>
          <w:szCs w:val="20"/>
        </w:rPr>
        <w:t>é</w:t>
      </w:r>
      <w:r w:rsidRPr="00C11A1F">
        <w:rPr>
          <w:rFonts w:ascii="Arial" w:hAnsi="Arial" w:cs="Arial"/>
          <w:sz w:val="20"/>
          <w:szCs w:val="20"/>
        </w:rPr>
        <w:t xml:space="preserve"> kumulatívne) ako i plánované cieľové hodnoty zazmluvnen</w:t>
      </w:r>
      <w:r w:rsidR="00827E9F">
        <w:rPr>
          <w:rFonts w:ascii="Arial" w:hAnsi="Arial" w:cs="Arial"/>
          <w:sz w:val="20"/>
          <w:szCs w:val="20"/>
        </w:rPr>
        <w:t>ý</w:t>
      </w:r>
      <w:r w:rsidRPr="00C11A1F">
        <w:rPr>
          <w:rFonts w:ascii="Arial" w:hAnsi="Arial" w:cs="Arial"/>
          <w:sz w:val="20"/>
          <w:szCs w:val="20"/>
        </w:rPr>
        <w:t>ch projektov vo výročnej správe, nezahŕňajú (nenulové) východiskové</w:t>
      </w:r>
      <w:r>
        <w:rPr>
          <w:rFonts w:ascii="Arial" w:hAnsi="Arial" w:cs="Arial"/>
          <w:sz w:val="20"/>
          <w:szCs w:val="20"/>
        </w:rPr>
        <w:t xml:space="preserve"> hodnoty.</w:t>
      </w:r>
    </w:p>
    <w:p w14:paraId="5298A618" w14:textId="77777777" w:rsidR="006F53BF" w:rsidRDefault="006F53BF" w:rsidP="006F53BF">
      <w:pPr>
        <w:spacing w:before="120" w:after="120"/>
        <w:jc w:val="both"/>
        <w:rPr>
          <w:rFonts w:ascii="Arial" w:hAnsi="Arial" w:cs="Arial"/>
          <w:sz w:val="20"/>
          <w:szCs w:val="20"/>
        </w:rPr>
      </w:pPr>
      <w:r>
        <w:rPr>
          <w:rFonts w:ascii="Arial" w:hAnsi="Arial" w:cs="Arial"/>
          <w:sz w:val="20"/>
          <w:szCs w:val="20"/>
        </w:rPr>
        <w:t xml:space="preserve">Dosahovanie cieľov operačného programu je realizované prostredníctvom setu ukazovateľov, ktoré rozdeľujeme na ukazovatele typu výsledok a dopad. Kým napĺňanie ukazovateľov typu výsledok je možné monitorovať priamo po ukončení realizácie projektu prostredníctvom záverečných monitorovacích správ, ukazovatele typu dopad sa monitorujú prostredníctvom následných monitorovacích správ po realizácii projektu, sú závislé od externých faktorov, ktoré prijímatelia ovplyvňujú v minimálnej miere, alebo vôbec. Preto v prípade ukončenia realizácie projektu v roku 2015, môže dôjsť k napĺňaniu ukazovateľa typu dopad až v roku 2016, v prípade ak sa jedná o technológiu kde prebieha určitú dobu skúšobná prevádzka, môže dôjsť k naplneniu cieľovej hodnoty príslušného ukazovateľa typu dopad ešte neskôr. </w:t>
      </w:r>
    </w:p>
    <w:p w14:paraId="4528BA1D" w14:textId="4E2773E6" w:rsidR="006F53BF" w:rsidRDefault="006F53BF" w:rsidP="006F53BF">
      <w:pPr>
        <w:spacing w:before="120" w:after="120"/>
        <w:jc w:val="both"/>
        <w:rPr>
          <w:rFonts w:ascii="Arial" w:hAnsi="Arial" w:cs="Arial"/>
          <w:sz w:val="20"/>
          <w:szCs w:val="20"/>
        </w:rPr>
      </w:pPr>
      <w:r>
        <w:rPr>
          <w:rFonts w:ascii="Arial" w:hAnsi="Arial" w:cs="Arial"/>
          <w:sz w:val="20"/>
          <w:szCs w:val="20"/>
        </w:rPr>
        <w:t xml:space="preserve">Napĺňanie cieľov OP ŽP je realizované prostredníctvom setu 66 ukazovateľov, z ktorých je 24 označených ako CORE, vykazovaných prostredníctvom systému SFC 2007 - 2013 Európskej komisii. K 30. 09. 2016 z uvedených ukazovateľov 38 ukazovateľov naplnilo alebo prekročilo cieľové hodnoty stanovené v OP ŽP. Nedosiahnuté cieľové hodnoty sa týkali predovšetkým ukazovateľov typu dopad, ktorých cieľovú hodnotu, tak ako je predchádzajúcom texte uvedené, ovplyvňuje množstvo externých faktorov. </w:t>
      </w:r>
      <w:r w:rsidRPr="00663933">
        <w:rPr>
          <w:rFonts w:ascii="Arial" w:hAnsi="Arial" w:cs="Arial"/>
          <w:sz w:val="20"/>
          <w:szCs w:val="20"/>
        </w:rPr>
        <w:t>Predovšetkým v rámci prierezového ukazovateľa „počet novovytvorených pracovných miest“ neboli dosiahnuté cieľové hodnoty stanovené v OP ŽP. Iba</w:t>
      </w:r>
      <w:r>
        <w:rPr>
          <w:rFonts w:ascii="Arial" w:hAnsi="Arial" w:cs="Arial"/>
          <w:sz w:val="20"/>
          <w:szCs w:val="20"/>
        </w:rPr>
        <w:t xml:space="preserve"> v rámci prioritnej osi Odpadové hospodárstvo a Technická pomoc sa podarilo vytvoriť operačným programom predpokladané novovytvorené pracovné miesta.</w:t>
      </w:r>
      <w:r w:rsidR="001F6473">
        <w:rPr>
          <w:rFonts w:ascii="Arial" w:hAnsi="Arial" w:cs="Arial"/>
          <w:sz w:val="20"/>
          <w:szCs w:val="20"/>
        </w:rPr>
        <w:t xml:space="preserve"> </w:t>
      </w:r>
      <w:r w:rsidR="001F6473" w:rsidRPr="00E21C60">
        <w:rPr>
          <w:rFonts w:ascii="Arial" w:hAnsi="Arial" w:cs="Arial"/>
          <w:sz w:val="20"/>
          <w:szCs w:val="20"/>
        </w:rPr>
        <w:t xml:space="preserve">Zároveň </w:t>
      </w:r>
      <w:r w:rsidR="001F6473">
        <w:rPr>
          <w:rFonts w:ascii="Arial" w:hAnsi="Arial" w:cs="Arial"/>
          <w:sz w:val="20"/>
          <w:szCs w:val="20"/>
        </w:rPr>
        <w:t xml:space="preserve">je potrebné uviesť, že vzhľadom na obsahové zameranie OP ŽP nebolo napĺňanie predmetného ukazovateľa primárnym cieľom podporovaných hlavných aktivít a ich príspevok v tomto smere možno identifikovať len sekundárne. </w:t>
      </w:r>
    </w:p>
    <w:p w14:paraId="4678CABE" w14:textId="07028097" w:rsidR="006F53BF" w:rsidRPr="00E21C60" w:rsidRDefault="006F53BF" w:rsidP="006F53BF">
      <w:pPr>
        <w:spacing w:before="120" w:after="120"/>
        <w:jc w:val="both"/>
        <w:rPr>
          <w:rFonts w:ascii="Arial" w:hAnsi="Arial" w:cs="Arial"/>
          <w:sz w:val="20"/>
          <w:szCs w:val="20"/>
        </w:rPr>
      </w:pPr>
      <w:r w:rsidRPr="00E21C60">
        <w:rPr>
          <w:rFonts w:ascii="Arial" w:hAnsi="Arial" w:cs="Arial"/>
          <w:sz w:val="20"/>
          <w:szCs w:val="20"/>
        </w:rPr>
        <w:t xml:space="preserve">Kvalitatívna analýza plnenia ukazovateľov jednotlivých prioritných osí je uvedená v kapitole č. 3 Realizácia podľa prioritných osí. Použitá metodika porovnáva podiel úrovne </w:t>
      </w:r>
      <w:r>
        <w:rPr>
          <w:rFonts w:ascii="Arial" w:hAnsi="Arial" w:cs="Arial"/>
          <w:sz w:val="20"/>
          <w:szCs w:val="20"/>
        </w:rPr>
        <w:t>dosiahnutej</w:t>
      </w:r>
      <w:r w:rsidRPr="00E21C60">
        <w:rPr>
          <w:rFonts w:ascii="Arial" w:hAnsi="Arial" w:cs="Arial"/>
          <w:sz w:val="20"/>
          <w:szCs w:val="20"/>
        </w:rPr>
        <w:t xml:space="preserve"> hodnoty jednotlivých merateľných ukazovateľov projektov podľa prioritných osí voči </w:t>
      </w:r>
      <w:r>
        <w:rPr>
          <w:rFonts w:ascii="Arial" w:hAnsi="Arial" w:cs="Arial"/>
          <w:sz w:val="20"/>
          <w:szCs w:val="20"/>
        </w:rPr>
        <w:t>cieľovej</w:t>
      </w:r>
      <w:r w:rsidRPr="00E21C60">
        <w:rPr>
          <w:rFonts w:ascii="Arial" w:hAnsi="Arial" w:cs="Arial"/>
          <w:sz w:val="20"/>
          <w:szCs w:val="20"/>
        </w:rPr>
        <w:t xml:space="preserve"> hodnote merateľných ukazovateľov </w:t>
      </w:r>
      <w:r>
        <w:rPr>
          <w:rFonts w:ascii="Arial" w:hAnsi="Arial" w:cs="Arial"/>
          <w:sz w:val="20"/>
          <w:szCs w:val="20"/>
        </w:rPr>
        <w:t>uvedených</w:t>
      </w:r>
      <w:r w:rsidRPr="00E21C60">
        <w:rPr>
          <w:rFonts w:ascii="Arial" w:hAnsi="Arial" w:cs="Arial"/>
          <w:sz w:val="20"/>
          <w:szCs w:val="20"/>
        </w:rPr>
        <w:t xml:space="preserve"> v operačnom programe. </w:t>
      </w:r>
    </w:p>
    <w:p w14:paraId="1D822E5D" w14:textId="25934117" w:rsidR="009166C6" w:rsidRPr="00E21C60" w:rsidRDefault="006F53BF" w:rsidP="00123376">
      <w:pPr>
        <w:spacing w:before="120" w:after="120"/>
        <w:jc w:val="both"/>
        <w:rPr>
          <w:rFonts w:ascii="Arial" w:hAnsi="Arial" w:cs="Arial"/>
          <w:iCs/>
          <w:sz w:val="20"/>
          <w:szCs w:val="20"/>
        </w:rPr>
      </w:pPr>
      <w:r w:rsidRPr="00E21C60">
        <w:rPr>
          <w:rFonts w:ascii="Arial" w:hAnsi="Arial" w:cs="Arial"/>
          <w:sz w:val="20"/>
          <w:szCs w:val="20"/>
        </w:rPr>
        <w:lastRenderedPageBreak/>
        <w:t>Merateľnou základňou pre jednotlivé výpočty a porovnania bol zoznam projektov, pri ktorých bola podpísaná zmluva o poskytnutí NFP (zazmluvnené projekty), a to tak pri stanovení čerpania alokácie (úroveň zazmluvnenia za zdroje EÚ), ako aj pri stanovení cieľových hodnôt ukazovateľov pre jednotlivé projekty k 31.</w:t>
      </w:r>
      <w:r w:rsidR="00827E9F">
        <w:rPr>
          <w:rFonts w:ascii="Arial" w:hAnsi="Arial" w:cs="Arial"/>
          <w:sz w:val="20"/>
          <w:szCs w:val="20"/>
        </w:rPr>
        <w:t xml:space="preserve"> </w:t>
      </w:r>
      <w:r w:rsidRPr="00E21C60">
        <w:rPr>
          <w:rFonts w:ascii="Arial" w:hAnsi="Arial" w:cs="Arial"/>
          <w:sz w:val="20"/>
          <w:szCs w:val="20"/>
        </w:rPr>
        <w:t>1</w:t>
      </w:r>
      <w:r>
        <w:rPr>
          <w:rFonts w:ascii="Arial" w:hAnsi="Arial" w:cs="Arial"/>
          <w:sz w:val="20"/>
          <w:szCs w:val="20"/>
        </w:rPr>
        <w:t>0</w:t>
      </w:r>
      <w:r w:rsidRPr="00E21C60">
        <w:rPr>
          <w:rFonts w:ascii="Arial" w:hAnsi="Arial" w:cs="Arial"/>
          <w:sz w:val="20"/>
          <w:szCs w:val="20"/>
        </w:rPr>
        <w:t>.</w:t>
      </w:r>
      <w:r w:rsidR="00827E9F">
        <w:rPr>
          <w:rFonts w:ascii="Arial" w:hAnsi="Arial" w:cs="Arial"/>
          <w:sz w:val="20"/>
          <w:szCs w:val="20"/>
        </w:rPr>
        <w:t xml:space="preserve"> </w:t>
      </w:r>
      <w:r>
        <w:rPr>
          <w:rFonts w:ascii="Arial" w:hAnsi="Arial" w:cs="Arial"/>
          <w:sz w:val="20"/>
          <w:szCs w:val="20"/>
        </w:rPr>
        <w:t>201</w:t>
      </w:r>
      <w:r w:rsidR="002F5A76">
        <w:rPr>
          <w:rFonts w:ascii="Arial" w:hAnsi="Arial" w:cs="Arial"/>
          <w:sz w:val="20"/>
          <w:szCs w:val="20"/>
        </w:rPr>
        <w:t>6</w:t>
      </w:r>
      <w:r w:rsidRPr="00E21C60">
        <w:rPr>
          <w:rFonts w:ascii="Arial" w:hAnsi="Arial" w:cs="Arial"/>
          <w:sz w:val="20"/>
          <w:szCs w:val="20"/>
        </w:rPr>
        <w:t xml:space="preserve"> podľa údajov z ITMS. Výška alokácie jednotlivých prioritných tém a prioritných osí je uvádzaná v súlade s výškou alokácie stanovenou v aktuálne platnej verzii Programového manuálu OP ŽP.</w:t>
      </w:r>
    </w:p>
    <w:p w14:paraId="1B217E61" w14:textId="77777777" w:rsidR="002416B1" w:rsidRPr="00123376" w:rsidRDefault="008F2A89" w:rsidP="00123376">
      <w:pPr>
        <w:spacing w:before="240" w:after="120"/>
        <w:jc w:val="both"/>
        <w:rPr>
          <w:rFonts w:ascii="Arial" w:hAnsi="Arial" w:cs="Arial"/>
          <w:b/>
          <w:sz w:val="20"/>
          <w:szCs w:val="20"/>
        </w:rPr>
      </w:pPr>
      <w:r w:rsidRPr="00774CFB">
        <w:rPr>
          <w:rFonts w:ascii="Arial" w:hAnsi="Arial" w:cs="Arial"/>
          <w:b/>
          <w:sz w:val="20"/>
          <w:szCs w:val="20"/>
          <w:lang w:eastAsia="cs-CZ"/>
        </w:rPr>
        <w:t>CORE</w:t>
      </w:r>
      <w:r w:rsidR="002416B1" w:rsidRPr="00774CFB">
        <w:rPr>
          <w:rFonts w:ascii="Arial" w:hAnsi="Arial" w:cs="Arial"/>
          <w:b/>
          <w:sz w:val="20"/>
          <w:szCs w:val="20"/>
          <w:lang w:eastAsia="cs-CZ"/>
        </w:rPr>
        <w:t xml:space="preserve"> ukazovatele</w:t>
      </w:r>
    </w:p>
    <w:p w14:paraId="6EF9FCA4" w14:textId="16A860F8" w:rsidR="00BA7B62" w:rsidRPr="008E1ACB" w:rsidRDefault="002416B1" w:rsidP="00123376">
      <w:pPr>
        <w:spacing w:before="120" w:after="120"/>
        <w:jc w:val="both"/>
        <w:rPr>
          <w:rFonts w:ascii="Arial" w:hAnsi="Arial" w:cs="Arial"/>
          <w:b/>
          <w:bCs/>
          <w:sz w:val="26"/>
          <w:szCs w:val="26"/>
        </w:rPr>
      </w:pPr>
      <w:r w:rsidRPr="002526CC">
        <w:rPr>
          <w:rFonts w:ascii="Arial" w:hAnsi="Arial" w:cs="Arial"/>
          <w:sz w:val="20"/>
          <w:szCs w:val="20"/>
          <w:lang w:eastAsia="cs-CZ"/>
        </w:rPr>
        <w:t>Vybrané ukazovatele, ktoré sú súčasťou programových ukazovateľov (najmä ukazovatele výstupu a</w:t>
      </w:r>
      <w:r w:rsidR="002F57D1" w:rsidRPr="00E21C60">
        <w:rPr>
          <w:rFonts w:ascii="Arial" w:hAnsi="Arial" w:cs="Arial"/>
          <w:sz w:val="20"/>
          <w:szCs w:val="20"/>
          <w:lang w:eastAsia="cs-CZ"/>
        </w:rPr>
        <w:t> </w:t>
      </w:r>
      <w:r w:rsidRPr="00E21C60">
        <w:rPr>
          <w:rFonts w:ascii="Arial" w:hAnsi="Arial" w:cs="Arial"/>
          <w:sz w:val="20"/>
          <w:szCs w:val="20"/>
          <w:lang w:eastAsia="cs-CZ"/>
        </w:rPr>
        <w:t>výsledku</w:t>
      </w:r>
      <w:r w:rsidR="002F57D1" w:rsidRPr="00E21C60">
        <w:rPr>
          <w:rFonts w:ascii="Arial" w:hAnsi="Arial" w:cs="Arial"/>
          <w:sz w:val="20"/>
          <w:szCs w:val="20"/>
          <w:lang w:eastAsia="cs-CZ"/>
        </w:rPr>
        <w:t> </w:t>
      </w:r>
      <w:r w:rsidRPr="00E21C60">
        <w:rPr>
          <w:rFonts w:ascii="Arial" w:hAnsi="Arial" w:cs="Arial"/>
          <w:sz w:val="20"/>
          <w:szCs w:val="20"/>
          <w:lang w:eastAsia="cs-CZ"/>
        </w:rPr>
        <w:t>OP), majú kľúčový význam pre EK a sú definované ako hlavné „</w:t>
      </w:r>
      <w:r w:rsidR="008F2A89" w:rsidRPr="00E21C60">
        <w:rPr>
          <w:rFonts w:ascii="Arial" w:hAnsi="Arial" w:cs="Arial"/>
          <w:sz w:val="20"/>
          <w:szCs w:val="20"/>
          <w:lang w:eastAsia="cs-CZ"/>
        </w:rPr>
        <w:t>CORE</w:t>
      </w:r>
      <w:r w:rsidRPr="00E21C60">
        <w:rPr>
          <w:rFonts w:ascii="Arial" w:hAnsi="Arial" w:cs="Arial"/>
          <w:sz w:val="20"/>
          <w:szCs w:val="20"/>
          <w:lang w:eastAsia="cs-CZ"/>
        </w:rPr>
        <w:t xml:space="preserve">“ ukazovatele. Prostredníctvom týchto ukazovateľov </w:t>
      </w:r>
      <w:r w:rsidR="0048211E" w:rsidRPr="00E21C60">
        <w:rPr>
          <w:rFonts w:ascii="Arial" w:hAnsi="Arial" w:cs="Arial"/>
          <w:sz w:val="20"/>
          <w:szCs w:val="20"/>
          <w:lang w:eastAsia="cs-CZ"/>
        </w:rPr>
        <w:t>EK</w:t>
      </w:r>
      <w:r w:rsidRPr="00E21C60">
        <w:rPr>
          <w:rFonts w:ascii="Arial" w:hAnsi="Arial" w:cs="Arial"/>
          <w:sz w:val="20"/>
          <w:szCs w:val="20"/>
          <w:lang w:eastAsia="cs-CZ"/>
        </w:rPr>
        <w:t xml:space="preserve"> vyjadruje svoje priority definované v Strategických usmerneniach spoločenstva o Kohézii. </w:t>
      </w:r>
      <w:r w:rsidR="002868ED">
        <w:rPr>
          <w:rFonts w:ascii="Arial" w:hAnsi="Arial" w:cs="Arial"/>
          <w:sz w:val="20"/>
          <w:szCs w:val="20"/>
          <w:lang w:eastAsia="cs-CZ"/>
        </w:rPr>
        <w:t>Kľúčové</w:t>
      </w:r>
      <w:r w:rsidR="002868ED" w:rsidRPr="00E21C60">
        <w:rPr>
          <w:rFonts w:ascii="Arial" w:hAnsi="Arial" w:cs="Arial"/>
          <w:sz w:val="20"/>
          <w:szCs w:val="20"/>
          <w:lang w:eastAsia="cs-CZ"/>
        </w:rPr>
        <w:t xml:space="preserve"> </w:t>
      </w:r>
      <w:r w:rsidRPr="00E21C60">
        <w:rPr>
          <w:rFonts w:ascii="Arial" w:hAnsi="Arial" w:cs="Arial"/>
          <w:sz w:val="20"/>
          <w:szCs w:val="20"/>
          <w:lang w:eastAsia="cs-CZ"/>
        </w:rPr>
        <w:t>„</w:t>
      </w:r>
      <w:r w:rsidR="008F2A89" w:rsidRPr="00E21C60">
        <w:rPr>
          <w:rFonts w:ascii="Arial" w:hAnsi="Arial" w:cs="Arial"/>
          <w:sz w:val="20"/>
          <w:szCs w:val="20"/>
          <w:lang w:eastAsia="cs-CZ"/>
        </w:rPr>
        <w:t>CORE</w:t>
      </w:r>
      <w:r w:rsidRPr="00E21C60">
        <w:rPr>
          <w:rFonts w:ascii="Arial" w:hAnsi="Arial" w:cs="Arial"/>
          <w:sz w:val="20"/>
          <w:szCs w:val="20"/>
          <w:lang w:eastAsia="cs-CZ"/>
        </w:rPr>
        <w:t xml:space="preserve">“ ukazovatele sú </w:t>
      </w:r>
      <w:r w:rsidR="002868ED">
        <w:rPr>
          <w:rFonts w:ascii="Arial" w:hAnsi="Arial" w:cs="Arial"/>
          <w:sz w:val="20"/>
          <w:szCs w:val="20"/>
          <w:lang w:eastAsia="cs-CZ"/>
        </w:rPr>
        <w:t xml:space="preserve">obzvlášť dôležité z hľadiska sledovania na úrovni EÚ, </w:t>
      </w:r>
      <w:r w:rsidR="000447A4">
        <w:rPr>
          <w:rFonts w:ascii="Arial" w:hAnsi="Arial" w:cs="Arial"/>
          <w:sz w:val="20"/>
          <w:szCs w:val="20"/>
          <w:lang w:eastAsia="cs-CZ"/>
        </w:rPr>
        <w:t>keďže</w:t>
      </w:r>
      <w:r w:rsidR="002868ED">
        <w:rPr>
          <w:rFonts w:ascii="Arial" w:hAnsi="Arial" w:cs="Arial"/>
          <w:sz w:val="20"/>
          <w:szCs w:val="20"/>
          <w:lang w:eastAsia="cs-CZ"/>
        </w:rPr>
        <w:t xml:space="preserve"> prostredníctvom sledovania uvedených ukazovateľov sa agregujú informácie za účelom </w:t>
      </w:r>
      <w:r w:rsidR="000447A4">
        <w:rPr>
          <w:rFonts w:ascii="Arial" w:hAnsi="Arial" w:cs="Arial"/>
          <w:sz w:val="20"/>
          <w:szCs w:val="20"/>
          <w:lang w:eastAsia="cs-CZ"/>
        </w:rPr>
        <w:t>preukázania použitia zdrojov a dosiahnutých cieľov Kohéznej politiky</w:t>
      </w:r>
      <w:r w:rsidR="002868ED">
        <w:rPr>
          <w:rFonts w:ascii="Arial" w:hAnsi="Arial" w:cs="Arial"/>
          <w:sz w:val="20"/>
          <w:szCs w:val="20"/>
          <w:lang w:eastAsia="cs-CZ"/>
        </w:rPr>
        <w:t xml:space="preserve">. Informácie sú prostredníctvom systému SFC2007 reportované EK. Kľúčové </w:t>
      </w:r>
      <w:r w:rsidR="000447A4">
        <w:rPr>
          <w:rFonts w:ascii="Arial" w:hAnsi="Arial" w:cs="Arial"/>
          <w:sz w:val="20"/>
          <w:szCs w:val="20"/>
          <w:lang w:eastAsia="cs-CZ"/>
        </w:rPr>
        <w:t>„</w:t>
      </w:r>
      <w:r w:rsidR="002868ED">
        <w:rPr>
          <w:rFonts w:ascii="Arial" w:hAnsi="Arial" w:cs="Arial"/>
          <w:sz w:val="20"/>
          <w:szCs w:val="20"/>
          <w:lang w:eastAsia="cs-CZ"/>
        </w:rPr>
        <w:t>CORE</w:t>
      </w:r>
      <w:r w:rsidR="000447A4">
        <w:rPr>
          <w:rFonts w:ascii="Arial" w:hAnsi="Arial" w:cs="Arial"/>
          <w:sz w:val="20"/>
          <w:szCs w:val="20"/>
          <w:lang w:eastAsia="cs-CZ"/>
        </w:rPr>
        <w:t>“</w:t>
      </w:r>
      <w:r w:rsidR="002868ED">
        <w:rPr>
          <w:rFonts w:ascii="Arial" w:hAnsi="Arial" w:cs="Arial"/>
          <w:sz w:val="20"/>
          <w:szCs w:val="20"/>
          <w:lang w:eastAsia="cs-CZ"/>
        </w:rPr>
        <w:t xml:space="preserve"> ukazovatele sú súčasťou prílohy č.11  tejto výročnej správy. </w:t>
      </w:r>
    </w:p>
    <w:p w14:paraId="075E22A2" w14:textId="77777777" w:rsidR="00454DC9" w:rsidRDefault="002416B1" w:rsidP="00123376">
      <w:pPr>
        <w:pStyle w:val="Nadpis3"/>
        <w:spacing w:after="120"/>
        <w:rPr>
          <w:rFonts w:cs="Arial"/>
        </w:rPr>
      </w:pPr>
      <w:bookmarkStart w:id="18" w:name="_Toc466914509"/>
      <w:r w:rsidRPr="004115C5">
        <w:rPr>
          <w:rFonts w:cs="Arial"/>
        </w:rPr>
        <w:t>2.1.2 Finančná implementácia programu</w:t>
      </w:r>
      <w:bookmarkEnd w:id="18"/>
    </w:p>
    <w:p w14:paraId="7F725C2F" w14:textId="060BE425" w:rsidR="006C73A6" w:rsidRPr="006C0B5D" w:rsidRDefault="006C73A6" w:rsidP="006C0B5D">
      <w:pPr>
        <w:spacing w:before="120" w:after="120"/>
        <w:jc w:val="both"/>
        <w:rPr>
          <w:rFonts w:ascii="Arial" w:hAnsi="Arial" w:cs="Arial"/>
          <w:b/>
          <w:sz w:val="20"/>
          <w:szCs w:val="20"/>
          <w:lang w:eastAsia="cs-CZ"/>
        </w:rPr>
      </w:pPr>
      <w:r w:rsidRPr="006C0B5D">
        <w:rPr>
          <w:rFonts w:ascii="Arial" w:hAnsi="Arial" w:cs="Arial"/>
          <w:b/>
          <w:sz w:val="20"/>
          <w:szCs w:val="20"/>
          <w:lang w:eastAsia="cs-CZ"/>
        </w:rPr>
        <w:t xml:space="preserve">Stav celkového čerpania na národnej úrovni a voči EK od začiatku programového obdobia </w:t>
      </w:r>
    </w:p>
    <w:p w14:paraId="61477E9E" w14:textId="683FE40B" w:rsidR="006C73A6" w:rsidRPr="006C0B5D" w:rsidRDefault="006C73A6" w:rsidP="006C0B5D">
      <w:pPr>
        <w:spacing w:before="120" w:after="120"/>
        <w:jc w:val="both"/>
        <w:rPr>
          <w:rFonts w:ascii="Arial" w:hAnsi="Arial" w:cs="Arial"/>
          <w:sz w:val="20"/>
          <w:szCs w:val="20"/>
          <w:lang w:eastAsia="cs-CZ"/>
        </w:rPr>
      </w:pPr>
      <w:r w:rsidRPr="006C0B5D">
        <w:rPr>
          <w:rFonts w:ascii="Arial" w:hAnsi="Arial" w:cs="Arial"/>
          <w:sz w:val="20"/>
          <w:szCs w:val="20"/>
          <w:lang w:eastAsia="cs-CZ"/>
        </w:rPr>
        <w:t>Čerpanie prostriedkov EÚ po zohľadnení nezrovnalostí a vratiek dosiahlo k 31.</w:t>
      </w:r>
      <w:r w:rsidR="00BD1782">
        <w:rPr>
          <w:rFonts w:ascii="Arial" w:hAnsi="Arial" w:cs="Arial"/>
          <w:sz w:val="20"/>
          <w:szCs w:val="20"/>
          <w:lang w:eastAsia="cs-CZ"/>
        </w:rPr>
        <w:t>10</w:t>
      </w:r>
      <w:r w:rsidRPr="006C0B5D">
        <w:rPr>
          <w:rFonts w:ascii="Arial" w:hAnsi="Arial" w:cs="Arial"/>
          <w:sz w:val="20"/>
          <w:szCs w:val="20"/>
          <w:lang w:eastAsia="cs-CZ"/>
        </w:rPr>
        <w:t xml:space="preserve">.2016 výšku </w:t>
      </w:r>
      <w:r w:rsidRPr="006C0B5D">
        <w:rPr>
          <w:rFonts w:ascii="Arial" w:hAnsi="Arial" w:cs="Arial"/>
          <w:sz w:val="20"/>
          <w:szCs w:val="20"/>
          <w:lang w:eastAsia="cs-CZ"/>
        </w:rPr>
        <w:br/>
      </w:r>
      <w:r w:rsidR="00BD1782" w:rsidRPr="009634CA">
        <w:rPr>
          <w:rFonts w:ascii="Arial" w:hAnsi="Arial" w:cs="Arial"/>
          <w:sz w:val="20"/>
          <w:szCs w:val="20"/>
          <w:lang w:eastAsia="cs-CZ"/>
        </w:rPr>
        <w:t>1 744 160 976,91</w:t>
      </w:r>
      <w:r w:rsidR="00366C2D">
        <w:rPr>
          <w:rFonts w:ascii="Arial" w:hAnsi="Arial" w:cs="Arial"/>
          <w:sz w:val="20"/>
          <w:szCs w:val="20"/>
          <w:lang w:eastAsia="cs-CZ"/>
        </w:rPr>
        <w:t>€</w:t>
      </w:r>
      <w:r w:rsidRPr="006C0B5D">
        <w:rPr>
          <w:rFonts w:ascii="Arial" w:hAnsi="Arial" w:cs="Arial"/>
          <w:sz w:val="20"/>
          <w:szCs w:val="20"/>
          <w:lang w:eastAsia="cs-CZ"/>
        </w:rPr>
        <w:t>, pričom podiel čerpania prostriedkov EÚ na celkovej alokácii je na úrovni 95,</w:t>
      </w:r>
      <w:r w:rsidR="00BD1782">
        <w:rPr>
          <w:rFonts w:ascii="Arial" w:hAnsi="Arial" w:cs="Arial"/>
          <w:sz w:val="20"/>
          <w:szCs w:val="20"/>
          <w:lang w:eastAsia="cs-CZ"/>
        </w:rPr>
        <w:t>83</w:t>
      </w:r>
      <w:r w:rsidR="00BD1782" w:rsidRPr="006C0B5D">
        <w:rPr>
          <w:rFonts w:ascii="Arial" w:hAnsi="Arial" w:cs="Arial"/>
          <w:sz w:val="20"/>
          <w:szCs w:val="20"/>
          <w:lang w:eastAsia="cs-CZ"/>
        </w:rPr>
        <w:t xml:space="preserve"> </w:t>
      </w:r>
      <w:r w:rsidRPr="006C0B5D">
        <w:rPr>
          <w:rFonts w:ascii="Arial" w:hAnsi="Arial" w:cs="Arial"/>
          <w:sz w:val="20"/>
          <w:szCs w:val="20"/>
          <w:lang w:eastAsia="cs-CZ"/>
        </w:rPr>
        <w:t>%.</w:t>
      </w:r>
    </w:p>
    <w:p w14:paraId="0ED163DE" w14:textId="05D452B3" w:rsidR="006C73A6" w:rsidRPr="006C0B5D" w:rsidRDefault="00D60F44" w:rsidP="006C0B5D">
      <w:pPr>
        <w:spacing w:before="120" w:after="120"/>
        <w:jc w:val="both"/>
        <w:rPr>
          <w:rFonts w:ascii="Arial" w:hAnsi="Arial" w:cs="Arial"/>
          <w:sz w:val="20"/>
          <w:szCs w:val="20"/>
          <w:lang w:eastAsia="cs-CZ"/>
        </w:rPr>
      </w:pPr>
      <w:r>
        <w:rPr>
          <w:rFonts w:ascii="Arial" w:hAnsi="Arial" w:cs="Arial"/>
          <w:sz w:val="20"/>
          <w:szCs w:val="20"/>
          <w:lang w:eastAsia="cs-CZ"/>
        </w:rPr>
        <w:t>Z</w:t>
      </w:r>
      <w:r w:rsidRPr="006C0B5D">
        <w:rPr>
          <w:rFonts w:ascii="Arial" w:hAnsi="Arial" w:cs="Arial"/>
          <w:sz w:val="20"/>
          <w:szCs w:val="20"/>
          <w:lang w:eastAsia="cs-CZ"/>
        </w:rPr>
        <w:t> </w:t>
      </w:r>
      <w:r w:rsidR="006C73A6" w:rsidRPr="006C0B5D">
        <w:rPr>
          <w:rFonts w:ascii="Arial" w:hAnsi="Arial" w:cs="Arial"/>
          <w:sz w:val="20"/>
          <w:szCs w:val="20"/>
          <w:lang w:eastAsia="cs-CZ"/>
        </w:rPr>
        <w:t xml:space="preserve">toho čerpanie prostriedkov za fond ERDF po zohľadnení nezrovnalostí a vratiek predstavuje </w:t>
      </w:r>
      <w:r w:rsidR="00827E9F">
        <w:rPr>
          <w:rFonts w:ascii="Arial" w:hAnsi="Arial" w:cs="Arial"/>
          <w:sz w:val="20"/>
          <w:szCs w:val="20"/>
          <w:lang w:eastAsia="cs-CZ"/>
        </w:rPr>
        <w:t xml:space="preserve">       </w:t>
      </w:r>
      <w:r w:rsidR="00BD1782" w:rsidRPr="006C0B5D">
        <w:rPr>
          <w:rFonts w:ascii="Arial" w:hAnsi="Arial" w:cs="Arial"/>
          <w:sz w:val="20"/>
          <w:szCs w:val="20"/>
          <w:lang w:eastAsia="cs-CZ"/>
        </w:rPr>
        <w:t>k 31.</w:t>
      </w:r>
      <w:r w:rsidR="00BD1782">
        <w:rPr>
          <w:rFonts w:ascii="Arial" w:hAnsi="Arial" w:cs="Arial"/>
          <w:sz w:val="20"/>
          <w:szCs w:val="20"/>
          <w:lang w:eastAsia="cs-CZ"/>
        </w:rPr>
        <w:t>10</w:t>
      </w:r>
      <w:r w:rsidR="00BD1782" w:rsidRPr="006C0B5D">
        <w:rPr>
          <w:rFonts w:ascii="Arial" w:hAnsi="Arial" w:cs="Arial"/>
          <w:sz w:val="20"/>
          <w:szCs w:val="20"/>
          <w:lang w:eastAsia="cs-CZ"/>
        </w:rPr>
        <w:t xml:space="preserve">.2016 výšku </w:t>
      </w:r>
      <w:r w:rsidR="00BD1782" w:rsidRPr="009634CA">
        <w:rPr>
          <w:rFonts w:ascii="Arial" w:hAnsi="Arial" w:cs="Arial"/>
          <w:sz w:val="20"/>
          <w:szCs w:val="20"/>
          <w:lang w:eastAsia="cs-CZ"/>
        </w:rPr>
        <w:t>236 526 640,13</w:t>
      </w:r>
      <w:r w:rsidR="00BD1782">
        <w:rPr>
          <w:rFonts w:ascii="Arial" w:hAnsi="Arial" w:cs="Arial"/>
          <w:sz w:val="20"/>
          <w:szCs w:val="20"/>
          <w:lang w:eastAsia="cs-CZ"/>
        </w:rPr>
        <w:t xml:space="preserve"> </w:t>
      </w:r>
      <w:r w:rsidR="00366C2D">
        <w:rPr>
          <w:rFonts w:ascii="Arial" w:hAnsi="Arial" w:cs="Arial"/>
          <w:sz w:val="20"/>
          <w:szCs w:val="20"/>
          <w:lang w:eastAsia="cs-CZ"/>
        </w:rPr>
        <w:t>€</w:t>
      </w:r>
      <w:r w:rsidR="006C73A6" w:rsidRPr="006C0B5D">
        <w:rPr>
          <w:rFonts w:ascii="Arial" w:hAnsi="Arial" w:cs="Arial"/>
          <w:sz w:val="20"/>
          <w:szCs w:val="20"/>
          <w:lang w:eastAsia="cs-CZ"/>
        </w:rPr>
        <w:t>, t. j. 94,33</w:t>
      </w:r>
      <w:r w:rsidR="00827E9F">
        <w:rPr>
          <w:rFonts w:ascii="Arial" w:hAnsi="Arial" w:cs="Arial"/>
          <w:sz w:val="20"/>
          <w:szCs w:val="20"/>
          <w:lang w:eastAsia="cs-CZ"/>
        </w:rPr>
        <w:t xml:space="preserve"> </w:t>
      </w:r>
      <w:r w:rsidR="006C73A6" w:rsidRPr="006C0B5D">
        <w:rPr>
          <w:rFonts w:ascii="Arial" w:hAnsi="Arial" w:cs="Arial"/>
          <w:sz w:val="20"/>
          <w:szCs w:val="20"/>
          <w:lang w:eastAsia="cs-CZ"/>
        </w:rPr>
        <w:t>% z alokácie programu,</w:t>
      </w:r>
    </w:p>
    <w:p w14:paraId="11F107C7" w14:textId="40DD98F1" w:rsidR="006C73A6" w:rsidRPr="006C0B5D" w:rsidRDefault="006C73A6" w:rsidP="006C0B5D">
      <w:pPr>
        <w:spacing w:before="120" w:after="120"/>
        <w:jc w:val="both"/>
        <w:rPr>
          <w:rFonts w:ascii="Arial" w:hAnsi="Arial" w:cs="Arial"/>
          <w:sz w:val="20"/>
          <w:szCs w:val="20"/>
          <w:lang w:eastAsia="cs-CZ"/>
        </w:rPr>
      </w:pPr>
      <w:r w:rsidRPr="006C0B5D">
        <w:rPr>
          <w:rFonts w:ascii="Arial" w:hAnsi="Arial" w:cs="Arial"/>
          <w:sz w:val="20"/>
          <w:szCs w:val="20"/>
          <w:lang w:eastAsia="cs-CZ"/>
        </w:rPr>
        <w:t xml:space="preserve">z toho čerpanie prostriedkov za fond KF po zohľadnení nezrovnalostí a vratiek predstavuje </w:t>
      </w:r>
      <w:r w:rsidR="00827E9F">
        <w:rPr>
          <w:rFonts w:ascii="Arial" w:hAnsi="Arial" w:cs="Arial"/>
          <w:sz w:val="20"/>
          <w:szCs w:val="20"/>
          <w:lang w:eastAsia="cs-CZ"/>
        </w:rPr>
        <w:t xml:space="preserve">            </w:t>
      </w:r>
      <w:r w:rsidR="00BD1782" w:rsidRPr="006C0B5D">
        <w:rPr>
          <w:rFonts w:ascii="Arial" w:hAnsi="Arial" w:cs="Arial"/>
          <w:sz w:val="20"/>
          <w:szCs w:val="20"/>
          <w:lang w:eastAsia="cs-CZ"/>
        </w:rPr>
        <w:t>k 31.</w:t>
      </w:r>
      <w:r w:rsidR="00BD1782">
        <w:rPr>
          <w:rFonts w:ascii="Arial" w:hAnsi="Arial" w:cs="Arial"/>
          <w:sz w:val="20"/>
          <w:szCs w:val="20"/>
          <w:lang w:eastAsia="cs-CZ"/>
        </w:rPr>
        <w:t>10</w:t>
      </w:r>
      <w:r w:rsidR="00BD1782" w:rsidRPr="006C0B5D">
        <w:rPr>
          <w:rFonts w:ascii="Arial" w:hAnsi="Arial" w:cs="Arial"/>
          <w:sz w:val="20"/>
          <w:szCs w:val="20"/>
          <w:lang w:eastAsia="cs-CZ"/>
        </w:rPr>
        <w:t xml:space="preserve">.2016 výšku </w:t>
      </w:r>
      <w:r w:rsidR="00BD1782" w:rsidRPr="009634CA">
        <w:rPr>
          <w:rFonts w:ascii="Arial" w:hAnsi="Arial" w:cs="Arial"/>
          <w:sz w:val="20"/>
          <w:szCs w:val="20"/>
          <w:lang w:eastAsia="cs-CZ"/>
        </w:rPr>
        <w:t>1 507 634 336,78</w:t>
      </w:r>
      <w:r w:rsidR="00BD1782">
        <w:rPr>
          <w:rFonts w:ascii="Arial" w:hAnsi="Arial" w:cs="Arial"/>
          <w:sz w:val="20"/>
          <w:szCs w:val="20"/>
          <w:lang w:eastAsia="cs-CZ"/>
        </w:rPr>
        <w:t>€</w:t>
      </w:r>
      <w:r w:rsidR="00BD1782" w:rsidRPr="006C0B5D">
        <w:rPr>
          <w:rFonts w:ascii="Arial" w:hAnsi="Arial" w:cs="Arial"/>
          <w:sz w:val="20"/>
          <w:szCs w:val="20"/>
          <w:lang w:eastAsia="cs-CZ"/>
        </w:rPr>
        <w:t xml:space="preserve">, t. j. </w:t>
      </w:r>
      <w:r w:rsidR="00BD1782">
        <w:rPr>
          <w:rFonts w:ascii="Arial" w:hAnsi="Arial" w:cs="Arial"/>
          <w:sz w:val="20"/>
          <w:szCs w:val="20"/>
          <w:lang w:eastAsia="cs-CZ"/>
        </w:rPr>
        <w:t xml:space="preserve">96,07 </w:t>
      </w:r>
      <w:r w:rsidRPr="006C0B5D">
        <w:rPr>
          <w:rFonts w:ascii="Arial" w:hAnsi="Arial" w:cs="Arial"/>
          <w:sz w:val="20"/>
          <w:szCs w:val="20"/>
          <w:lang w:eastAsia="cs-CZ"/>
        </w:rPr>
        <w:t>% z alokácie programu.</w:t>
      </w:r>
    </w:p>
    <w:p w14:paraId="66C425BF" w14:textId="77777777" w:rsidR="006C73A6" w:rsidRPr="006C0B5D" w:rsidRDefault="006C73A6" w:rsidP="006C0B5D">
      <w:pPr>
        <w:spacing w:before="120" w:after="120"/>
        <w:jc w:val="both"/>
        <w:rPr>
          <w:rFonts w:ascii="Arial" w:hAnsi="Arial" w:cs="Arial"/>
          <w:sz w:val="20"/>
          <w:szCs w:val="20"/>
          <w:lang w:eastAsia="cs-CZ"/>
        </w:rPr>
      </w:pPr>
      <w:r w:rsidRPr="006C0B5D">
        <w:rPr>
          <w:rFonts w:ascii="Arial" w:hAnsi="Arial" w:cs="Arial"/>
          <w:sz w:val="20"/>
          <w:szCs w:val="20"/>
          <w:lang w:eastAsia="cs-CZ"/>
        </w:rPr>
        <w:t xml:space="preserve">Najvyššie čerpanými prioritnými osami boli prioritná os č. 2 (Ochrana pred povodňami) na úrovni 98,36 % </w:t>
      </w:r>
      <w:r w:rsidRPr="006C0B5D">
        <w:rPr>
          <w:rFonts w:ascii="Arial" w:hAnsi="Arial" w:cs="Arial"/>
          <w:sz w:val="20"/>
          <w:szCs w:val="20"/>
          <w:lang w:eastAsia="cs-CZ"/>
        </w:rPr>
        <w:br/>
        <w:t xml:space="preserve">a prioritná os č. 3 (Ochrana ovzdušia a minimalizácia nepriaznivých vplyvov zmeny klímy) na úrovni 97,07 %. </w:t>
      </w:r>
    </w:p>
    <w:p w14:paraId="0DE90308" w14:textId="77777777" w:rsidR="006C73A6" w:rsidRPr="006C0B5D" w:rsidRDefault="006C73A6" w:rsidP="006C73A6">
      <w:pPr>
        <w:spacing w:before="120" w:after="120"/>
        <w:jc w:val="both"/>
        <w:rPr>
          <w:rFonts w:ascii="Arial" w:hAnsi="Arial" w:cs="Arial"/>
          <w:sz w:val="20"/>
          <w:szCs w:val="20"/>
          <w:lang w:eastAsia="cs-CZ"/>
        </w:rPr>
      </w:pPr>
      <w:r w:rsidRPr="006C0B5D">
        <w:rPr>
          <w:rFonts w:ascii="Arial" w:hAnsi="Arial" w:cs="Arial"/>
          <w:sz w:val="20"/>
          <w:szCs w:val="20"/>
          <w:lang w:eastAsia="cs-CZ"/>
        </w:rPr>
        <w:t>V zmysle zmeny Nariadenia Rady (ES) č. 1083/2006 s účinnosťou od 11.12.2013 bolo umožnené využiť 10 % flexibilitu čerpania v rámci prioritnej osi pri zachovaní 100% čerpania alokácie. V rámci daného programu flexibilita nebola uplatnená.</w:t>
      </w:r>
    </w:p>
    <w:p w14:paraId="3F25F9F0" w14:textId="10412DE6" w:rsidR="006C73A6" w:rsidRPr="006C0B5D" w:rsidRDefault="006C73A6" w:rsidP="006C73A6">
      <w:pPr>
        <w:spacing w:before="120" w:after="120"/>
        <w:jc w:val="both"/>
        <w:rPr>
          <w:rFonts w:ascii="Arial" w:hAnsi="Arial" w:cs="Arial"/>
          <w:sz w:val="20"/>
          <w:szCs w:val="20"/>
          <w:lang w:eastAsia="cs-CZ"/>
        </w:rPr>
      </w:pPr>
      <w:r w:rsidRPr="006C0B5D">
        <w:rPr>
          <w:rFonts w:ascii="Arial" w:hAnsi="Arial" w:cs="Arial"/>
          <w:sz w:val="20"/>
          <w:szCs w:val="20"/>
          <w:lang w:eastAsia="cs-CZ"/>
        </w:rPr>
        <w:t>Nasledujúca tabuľka poskytuje prehľad výdavkov schválených CO znížených o nezrovnalosti a vratky za jednotlivé prioritné osi kumulatívne od začiatku implementácie operačného programu do 31.</w:t>
      </w:r>
      <w:r w:rsidR="00BD1782">
        <w:rPr>
          <w:rFonts w:ascii="Arial" w:hAnsi="Arial" w:cs="Arial"/>
          <w:sz w:val="20"/>
          <w:szCs w:val="20"/>
          <w:lang w:eastAsia="cs-CZ"/>
        </w:rPr>
        <w:t>10</w:t>
      </w:r>
      <w:r w:rsidRPr="006C0B5D">
        <w:rPr>
          <w:rFonts w:ascii="Arial" w:hAnsi="Arial" w:cs="Arial"/>
          <w:sz w:val="20"/>
          <w:szCs w:val="20"/>
          <w:lang w:eastAsia="cs-CZ"/>
        </w:rPr>
        <w:t>.2016.</w:t>
      </w:r>
    </w:p>
    <w:p w14:paraId="0F2C8CE7" w14:textId="77777777" w:rsidR="0008447E" w:rsidRDefault="0008447E">
      <w:pPr>
        <w:rPr>
          <w:rFonts w:ascii="Arial" w:hAnsi="Arial" w:cs="Arial"/>
          <w:sz w:val="20"/>
          <w:szCs w:val="20"/>
          <w:lang w:eastAsia="cs-CZ"/>
        </w:rPr>
      </w:pPr>
      <w:r>
        <w:rPr>
          <w:rFonts w:ascii="Arial" w:hAnsi="Arial" w:cs="Arial"/>
          <w:sz w:val="20"/>
          <w:szCs w:val="20"/>
          <w:lang w:eastAsia="cs-CZ"/>
        </w:rPr>
        <w:br w:type="page"/>
      </w:r>
    </w:p>
    <w:p w14:paraId="2EF23039" w14:textId="6B78AA5C" w:rsidR="006C73A6" w:rsidRPr="00807178" w:rsidRDefault="006C73A6" w:rsidP="006C0B5D">
      <w:pPr>
        <w:spacing w:before="120" w:after="120"/>
        <w:jc w:val="both"/>
        <w:rPr>
          <w:rFonts w:ascii="Arial" w:hAnsi="Arial" w:cs="Arial"/>
          <w:sz w:val="20"/>
          <w:szCs w:val="20"/>
          <w:lang w:eastAsia="cs-CZ"/>
        </w:rPr>
      </w:pPr>
      <w:r w:rsidRPr="00807178">
        <w:rPr>
          <w:rFonts w:ascii="Arial" w:hAnsi="Arial" w:cs="Arial"/>
          <w:sz w:val="20"/>
          <w:szCs w:val="20"/>
          <w:lang w:eastAsia="cs-CZ"/>
        </w:rPr>
        <w:lastRenderedPageBreak/>
        <w:t xml:space="preserve">Tabuľka č. </w:t>
      </w:r>
      <w:r w:rsidR="00682B07" w:rsidRPr="00807178">
        <w:rPr>
          <w:rFonts w:ascii="Arial" w:hAnsi="Arial" w:cs="Arial"/>
          <w:sz w:val="20"/>
          <w:szCs w:val="20"/>
          <w:lang w:eastAsia="cs-CZ"/>
        </w:rPr>
        <w:t>13</w:t>
      </w:r>
      <w:r w:rsidRPr="00807178">
        <w:rPr>
          <w:rFonts w:ascii="Arial" w:hAnsi="Arial" w:cs="Arial"/>
          <w:sz w:val="20"/>
          <w:szCs w:val="20"/>
          <w:lang w:eastAsia="cs-CZ"/>
        </w:rPr>
        <w:t>: Stav čerpania na národnej úrovni od začiatku programového obdobia do 31.</w:t>
      </w:r>
      <w:r w:rsidR="00BD1782">
        <w:rPr>
          <w:rFonts w:ascii="Arial" w:hAnsi="Arial" w:cs="Arial"/>
          <w:sz w:val="20"/>
          <w:szCs w:val="20"/>
          <w:lang w:eastAsia="cs-CZ"/>
        </w:rPr>
        <w:t>10</w:t>
      </w:r>
      <w:r w:rsidRPr="00807178">
        <w:rPr>
          <w:rFonts w:ascii="Arial" w:hAnsi="Arial" w:cs="Arial"/>
          <w:sz w:val="20"/>
          <w:szCs w:val="20"/>
          <w:lang w:eastAsia="cs-CZ"/>
        </w:rPr>
        <w:t>.2016</w:t>
      </w:r>
    </w:p>
    <w:tbl>
      <w:tblPr>
        <w:tblW w:w="8921" w:type="dxa"/>
        <w:tblInd w:w="80" w:type="dxa"/>
        <w:tblCellMar>
          <w:left w:w="70" w:type="dxa"/>
          <w:right w:w="70" w:type="dxa"/>
        </w:tblCellMar>
        <w:tblLook w:val="04A0" w:firstRow="1" w:lastRow="0" w:firstColumn="1" w:lastColumn="0" w:noHBand="0" w:noVBand="1"/>
      </w:tblPr>
      <w:tblGrid>
        <w:gridCol w:w="1266"/>
        <w:gridCol w:w="1418"/>
        <w:gridCol w:w="1417"/>
        <w:gridCol w:w="1559"/>
        <w:gridCol w:w="1418"/>
        <w:gridCol w:w="850"/>
        <w:gridCol w:w="993"/>
      </w:tblGrid>
      <w:tr w:rsidR="006C73A6" w14:paraId="5297DFB6" w14:textId="77777777" w:rsidTr="00EE50CC">
        <w:trPr>
          <w:trHeight w:val="494"/>
        </w:trPr>
        <w:tc>
          <w:tcPr>
            <w:tcW w:w="1266" w:type="dxa"/>
            <w:vMerge w:val="restart"/>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1C30D1DA" w14:textId="77777777" w:rsidR="006C73A6" w:rsidRPr="00EE50CC" w:rsidRDefault="006C73A6" w:rsidP="004959AE">
            <w:pPr>
              <w:jc w:val="center"/>
              <w:rPr>
                <w:rFonts w:ascii="Arial" w:hAnsi="Arial" w:cs="Arial"/>
                <w:b/>
                <w:bCs/>
                <w:color w:val="000000"/>
                <w:sz w:val="16"/>
                <w:szCs w:val="16"/>
              </w:rPr>
            </w:pPr>
            <w:bookmarkStart w:id="19" w:name="RANGE!A2"/>
            <w:r w:rsidRPr="00EE50CC">
              <w:rPr>
                <w:rFonts w:ascii="Arial" w:hAnsi="Arial" w:cs="Arial"/>
                <w:b/>
                <w:bCs/>
                <w:color w:val="000000"/>
                <w:sz w:val="16"/>
                <w:szCs w:val="16"/>
              </w:rPr>
              <w:t>OP Životné prostredie</w:t>
            </w:r>
            <w:bookmarkEnd w:id="19"/>
          </w:p>
        </w:tc>
        <w:tc>
          <w:tcPr>
            <w:tcW w:w="2835" w:type="dxa"/>
            <w:gridSpan w:val="2"/>
            <w:vMerge w:val="restart"/>
            <w:tcBorders>
              <w:top w:val="single" w:sz="8" w:space="0" w:color="auto"/>
              <w:left w:val="single" w:sz="8" w:space="0" w:color="auto"/>
              <w:bottom w:val="nil"/>
              <w:right w:val="single" w:sz="8" w:space="0" w:color="000000"/>
            </w:tcBorders>
            <w:shd w:val="clear" w:color="auto" w:fill="C2D69B" w:themeFill="accent3" w:themeFillTint="99"/>
            <w:vAlign w:val="center"/>
            <w:hideMark/>
          </w:tcPr>
          <w:p w14:paraId="17EF5531"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Alokácia 2007-2013</w:t>
            </w:r>
          </w:p>
        </w:tc>
        <w:tc>
          <w:tcPr>
            <w:tcW w:w="2977" w:type="dxa"/>
            <w:gridSpan w:val="2"/>
            <w:vMerge w:val="restart"/>
            <w:tcBorders>
              <w:top w:val="single" w:sz="8" w:space="0" w:color="auto"/>
              <w:left w:val="single" w:sz="8" w:space="0" w:color="auto"/>
              <w:bottom w:val="single" w:sz="8" w:space="0" w:color="000000"/>
              <w:right w:val="nil"/>
            </w:tcBorders>
            <w:shd w:val="clear" w:color="auto" w:fill="C2D69B" w:themeFill="accent3" w:themeFillTint="99"/>
            <w:vAlign w:val="center"/>
            <w:hideMark/>
          </w:tcPr>
          <w:p w14:paraId="53A3E6BB"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Kumulatívne čerpanie  ŠF/KF (schválené SŽP znížené o nezrovnalosti)</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auto" w:fill="C2D69B" w:themeFill="accent3" w:themeFillTint="99"/>
            <w:vAlign w:val="center"/>
            <w:hideMark/>
          </w:tcPr>
          <w:p w14:paraId="51D77B09"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Podiel čerpania ŠF/KF v %</w:t>
            </w:r>
          </w:p>
        </w:tc>
      </w:tr>
      <w:tr w:rsidR="006C73A6" w14:paraId="1C447BEC" w14:textId="77777777" w:rsidTr="00EE50CC">
        <w:trPr>
          <w:trHeight w:val="320"/>
        </w:trPr>
        <w:tc>
          <w:tcPr>
            <w:tcW w:w="1266" w:type="dxa"/>
            <w:vMerge/>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276E21FC" w14:textId="77777777" w:rsidR="006C73A6" w:rsidRPr="00EE50CC" w:rsidRDefault="006C73A6" w:rsidP="004959AE">
            <w:pPr>
              <w:rPr>
                <w:rFonts w:ascii="Arial" w:hAnsi="Arial" w:cs="Arial"/>
                <w:b/>
                <w:bCs/>
                <w:color w:val="000000"/>
                <w:sz w:val="16"/>
                <w:szCs w:val="16"/>
              </w:rPr>
            </w:pPr>
          </w:p>
        </w:tc>
        <w:tc>
          <w:tcPr>
            <w:tcW w:w="2835" w:type="dxa"/>
            <w:gridSpan w:val="2"/>
            <w:vMerge/>
            <w:tcBorders>
              <w:top w:val="single" w:sz="8" w:space="0" w:color="auto"/>
              <w:left w:val="single" w:sz="8" w:space="0" w:color="auto"/>
              <w:bottom w:val="nil"/>
              <w:right w:val="single" w:sz="8" w:space="0" w:color="000000"/>
            </w:tcBorders>
            <w:shd w:val="clear" w:color="auto" w:fill="C2D69B" w:themeFill="accent3" w:themeFillTint="99"/>
            <w:vAlign w:val="center"/>
            <w:hideMark/>
          </w:tcPr>
          <w:p w14:paraId="471A845B" w14:textId="77777777" w:rsidR="006C73A6" w:rsidRPr="00EE50CC" w:rsidRDefault="006C73A6" w:rsidP="004959AE">
            <w:pPr>
              <w:rPr>
                <w:rFonts w:ascii="Arial" w:hAnsi="Arial" w:cs="Arial"/>
                <w:b/>
                <w:bCs/>
                <w:color w:val="000000"/>
                <w:sz w:val="16"/>
                <w:szCs w:val="16"/>
              </w:rPr>
            </w:pPr>
          </w:p>
        </w:tc>
        <w:tc>
          <w:tcPr>
            <w:tcW w:w="2977" w:type="dxa"/>
            <w:gridSpan w:val="2"/>
            <w:vMerge/>
            <w:tcBorders>
              <w:top w:val="single" w:sz="8" w:space="0" w:color="auto"/>
              <w:left w:val="single" w:sz="8" w:space="0" w:color="auto"/>
              <w:bottom w:val="single" w:sz="8" w:space="0" w:color="000000"/>
              <w:right w:val="nil"/>
            </w:tcBorders>
            <w:shd w:val="clear" w:color="auto" w:fill="C2D69B" w:themeFill="accent3" w:themeFillTint="99"/>
            <w:vAlign w:val="center"/>
            <w:hideMark/>
          </w:tcPr>
          <w:p w14:paraId="5F547FA8" w14:textId="77777777" w:rsidR="006C73A6" w:rsidRPr="00EE50CC" w:rsidRDefault="006C73A6" w:rsidP="004959AE">
            <w:pPr>
              <w:rPr>
                <w:rFonts w:ascii="Arial" w:hAnsi="Arial" w:cs="Arial"/>
                <w:b/>
                <w:bCs/>
                <w:color w:val="000000"/>
                <w:sz w:val="16"/>
                <w:szCs w:val="16"/>
              </w:rPr>
            </w:pPr>
          </w:p>
        </w:tc>
        <w:tc>
          <w:tcPr>
            <w:tcW w:w="1843" w:type="dxa"/>
            <w:gridSpan w:val="2"/>
            <w:vMerge/>
            <w:tcBorders>
              <w:top w:val="single" w:sz="8" w:space="0" w:color="auto"/>
              <w:left w:val="single" w:sz="8" w:space="0" w:color="auto"/>
              <w:bottom w:val="single" w:sz="8" w:space="0" w:color="000000"/>
              <w:right w:val="single" w:sz="8" w:space="0" w:color="000000"/>
            </w:tcBorders>
            <w:shd w:val="clear" w:color="auto" w:fill="C2D69B" w:themeFill="accent3" w:themeFillTint="99"/>
            <w:vAlign w:val="center"/>
            <w:hideMark/>
          </w:tcPr>
          <w:p w14:paraId="47B23FC0" w14:textId="77777777" w:rsidR="006C73A6" w:rsidRPr="00EE50CC" w:rsidRDefault="006C73A6" w:rsidP="004959AE">
            <w:pPr>
              <w:rPr>
                <w:rFonts w:ascii="Arial" w:hAnsi="Arial" w:cs="Arial"/>
                <w:b/>
                <w:bCs/>
                <w:color w:val="000000"/>
                <w:sz w:val="16"/>
                <w:szCs w:val="16"/>
              </w:rPr>
            </w:pPr>
          </w:p>
        </w:tc>
      </w:tr>
      <w:tr w:rsidR="006C73A6" w14:paraId="46C47C46" w14:textId="77777777" w:rsidTr="00EE50CC">
        <w:trPr>
          <w:trHeight w:val="320"/>
        </w:trPr>
        <w:tc>
          <w:tcPr>
            <w:tcW w:w="1266" w:type="dxa"/>
            <w:vMerge/>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0A52D80A" w14:textId="77777777" w:rsidR="006C73A6" w:rsidRPr="00EE50CC" w:rsidRDefault="006C73A6" w:rsidP="004959AE">
            <w:pPr>
              <w:rPr>
                <w:rFonts w:ascii="Arial" w:hAnsi="Arial" w:cs="Arial"/>
                <w:b/>
                <w:bCs/>
                <w:color w:val="000000"/>
                <w:sz w:val="16"/>
                <w:szCs w:val="16"/>
              </w:rPr>
            </w:pPr>
          </w:p>
        </w:tc>
        <w:tc>
          <w:tcPr>
            <w:tcW w:w="2835" w:type="dxa"/>
            <w:gridSpan w:val="2"/>
            <w:vMerge/>
            <w:tcBorders>
              <w:top w:val="single" w:sz="8" w:space="0" w:color="auto"/>
              <w:left w:val="single" w:sz="8" w:space="0" w:color="auto"/>
              <w:bottom w:val="nil"/>
              <w:right w:val="single" w:sz="8" w:space="0" w:color="000000"/>
            </w:tcBorders>
            <w:shd w:val="clear" w:color="auto" w:fill="C2D69B" w:themeFill="accent3" w:themeFillTint="99"/>
            <w:vAlign w:val="center"/>
            <w:hideMark/>
          </w:tcPr>
          <w:p w14:paraId="2736C02A" w14:textId="77777777" w:rsidR="006C73A6" w:rsidRPr="00EE50CC" w:rsidRDefault="006C73A6" w:rsidP="004959AE">
            <w:pPr>
              <w:rPr>
                <w:rFonts w:ascii="Arial" w:hAnsi="Arial" w:cs="Arial"/>
                <w:b/>
                <w:bCs/>
                <w:color w:val="000000"/>
                <w:sz w:val="16"/>
                <w:szCs w:val="16"/>
              </w:rPr>
            </w:pPr>
          </w:p>
        </w:tc>
        <w:tc>
          <w:tcPr>
            <w:tcW w:w="2977" w:type="dxa"/>
            <w:gridSpan w:val="2"/>
            <w:vMerge/>
            <w:tcBorders>
              <w:top w:val="single" w:sz="8" w:space="0" w:color="auto"/>
              <w:left w:val="single" w:sz="8" w:space="0" w:color="auto"/>
              <w:bottom w:val="single" w:sz="8" w:space="0" w:color="000000"/>
              <w:right w:val="nil"/>
            </w:tcBorders>
            <w:shd w:val="clear" w:color="auto" w:fill="C2D69B" w:themeFill="accent3" w:themeFillTint="99"/>
            <w:vAlign w:val="center"/>
            <w:hideMark/>
          </w:tcPr>
          <w:p w14:paraId="7A76DE80" w14:textId="77777777" w:rsidR="006C73A6" w:rsidRPr="00EE50CC" w:rsidRDefault="006C73A6" w:rsidP="004959AE">
            <w:pPr>
              <w:rPr>
                <w:rFonts w:ascii="Arial" w:hAnsi="Arial" w:cs="Arial"/>
                <w:b/>
                <w:bCs/>
                <w:color w:val="000000"/>
                <w:sz w:val="16"/>
                <w:szCs w:val="16"/>
              </w:rPr>
            </w:pPr>
          </w:p>
        </w:tc>
        <w:tc>
          <w:tcPr>
            <w:tcW w:w="1843" w:type="dxa"/>
            <w:gridSpan w:val="2"/>
            <w:vMerge/>
            <w:tcBorders>
              <w:top w:val="single" w:sz="8" w:space="0" w:color="auto"/>
              <w:left w:val="single" w:sz="8" w:space="0" w:color="auto"/>
              <w:bottom w:val="single" w:sz="8" w:space="0" w:color="000000"/>
              <w:right w:val="single" w:sz="8" w:space="0" w:color="000000"/>
            </w:tcBorders>
            <w:shd w:val="clear" w:color="auto" w:fill="C2D69B" w:themeFill="accent3" w:themeFillTint="99"/>
            <w:vAlign w:val="center"/>
            <w:hideMark/>
          </w:tcPr>
          <w:p w14:paraId="3D42CD23" w14:textId="77777777" w:rsidR="006C73A6" w:rsidRPr="00EE50CC" w:rsidRDefault="006C73A6" w:rsidP="004959AE">
            <w:pPr>
              <w:rPr>
                <w:rFonts w:ascii="Arial" w:hAnsi="Arial" w:cs="Arial"/>
                <w:b/>
                <w:bCs/>
                <w:color w:val="000000"/>
                <w:sz w:val="16"/>
                <w:szCs w:val="16"/>
              </w:rPr>
            </w:pPr>
          </w:p>
        </w:tc>
      </w:tr>
      <w:tr w:rsidR="006C73A6" w14:paraId="55932DED" w14:textId="77777777" w:rsidTr="00F87D11">
        <w:trPr>
          <w:trHeight w:val="184"/>
        </w:trPr>
        <w:tc>
          <w:tcPr>
            <w:tcW w:w="1266" w:type="dxa"/>
            <w:vMerge/>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7AE06AFC" w14:textId="77777777" w:rsidR="006C73A6" w:rsidRPr="00EE50CC" w:rsidRDefault="006C73A6" w:rsidP="004959AE">
            <w:pPr>
              <w:rPr>
                <w:rFonts w:ascii="Arial" w:hAnsi="Arial" w:cs="Arial"/>
                <w:b/>
                <w:bCs/>
                <w:color w:val="000000"/>
                <w:sz w:val="16"/>
                <w:szCs w:val="16"/>
              </w:rPr>
            </w:pPr>
          </w:p>
        </w:tc>
        <w:tc>
          <w:tcPr>
            <w:tcW w:w="2835" w:type="dxa"/>
            <w:gridSpan w:val="2"/>
            <w:vMerge/>
            <w:tcBorders>
              <w:top w:val="single" w:sz="8" w:space="0" w:color="auto"/>
              <w:left w:val="single" w:sz="8" w:space="0" w:color="auto"/>
              <w:bottom w:val="nil"/>
              <w:right w:val="single" w:sz="8" w:space="0" w:color="000000"/>
            </w:tcBorders>
            <w:shd w:val="clear" w:color="auto" w:fill="C2D69B" w:themeFill="accent3" w:themeFillTint="99"/>
            <w:vAlign w:val="center"/>
            <w:hideMark/>
          </w:tcPr>
          <w:p w14:paraId="0E75326C" w14:textId="77777777" w:rsidR="006C73A6" w:rsidRPr="00EE50CC" w:rsidRDefault="006C73A6" w:rsidP="004959AE">
            <w:pPr>
              <w:rPr>
                <w:rFonts w:ascii="Arial" w:hAnsi="Arial" w:cs="Arial"/>
                <w:b/>
                <w:bCs/>
                <w:color w:val="000000"/>
                <w:sz w:val="16"/>
                <w:szCs w:val="16"/>
              </w:rPr>
            </w:pPr>
          </w:p>
        </w:tc>
        <w:tc>
          <w:tcPr>
            <w:tcW w:w="2977" w:type="dxa"/>
            <w:gridSpan w:val="2"/>
            <w:vMerge/>
            <w:tcBorders>
              <w:top w:val="single" w:sz="8" w:space="0" w:color="auto"/>
              <w:left w:val="single" w:sz="8" w:space="0" w:color="auto"/>
              <w:bottom w:val="single" w:sz="8" w:space="0" w:color="000000"/>
              <w:right w:val="nil"/>
            </w:tcBorders>
            <w:shd w:val="clear" w:color="auto" w:fill="C2D69B" w:themeFill="accent3" w:themeFillTint="99"/>
            <w:vAlign w:val="center"/>
            <w:hideMark/>
          </w:tcPr>
          <w:p w14:paraId="411C09DD" w14:textId="77777777" w:rsidR="006C73A6" w:rsidRPr="00EE50CC" w:rsidRDefault="006C73A6" w:rsidP="004959AE">
            <w:pPr>
              <w:rPr>
                <w:rFonts w:ascii="Arial" w:hAnsi="Arial" w:cs="Arial"/>
                <w:b/>
                <w:bCs/>
                <w:color w:val="000000"/>
                <w:sz w:val="16"/>
                <w:szCs w:val="16"/>
              </w:rPr>
            </w:pPr>
          </w:p>
        </w:tc>
        <w:tc>
          <w:tcPr>
            <w:tcW w:w="1843" w:type="dxa"/>
            <w:gridSpan w:val="2"/>
            <w:vMerge/>
            <w:tcBorders>
              <w:top w:val="single" w:sz="8" w:space="0" w:color="auto"/>
              <w:left w:val="single" w:sz="8" w:space="0" w:color="auto"/>
              <w:bottom w:val="single" w:sz="8" w:space="0" w:color="000000"/>
              <w:right w:val="single" w:sz="8" w:space="0" w:color="000000"/>
            </w:tcBorders>
            <w:shd w:val="clear" w:color="auto" w:fill="C2D69B" w:themeFill="accent3" w:themeFillTint="99"/>
            <w:vAlign w:val="center"/>
            <w:hideMark/>
          </w:tcPr>
          <w:p w14:paraId="6BB338B3" w14:textId="77777777" w:rsidR="006C73A6" w:rsidRPr="00EE50CC" w:rsidRDefault="006C73A6" w:rsidP="004959AE">
            <w:pPr>
              <w:rPr>
                <w:rFonts w:ascii="Arial" w:hAnsi="Arial" w:cs="Arial"/>
                <w:b/>
                <w:bCs/>
                <w:color w:val="000000"/>
                <w:sz w:val="16"/>
                <w:szCs w:val="16"/>
              </w:rPr>
            </w:pPr>
          </w:p>
        </w:tc>
      </w:tr>
      <w:tr w:rsidR="006C73A6" w14:paraId="50B5BA2D" w14:textId="77777777" w:rsidTr="00EE50CC">
        <w:trPr>
          <w:trHeight w:val="334"/>
        </w:trPr>
        <w:tc>
          <w:tcPr>
            <w:tcW w:w="1266" w:type="dxa"/>
            <w:vMerge/>
            <w:tcBorders>
              <w:top w:val="single" w:sz="8" w:space="0" w:color="auto"/>
              <w:left w:val="single" w:sz="8" w:space="0" w:color="auto"/>
              <w:bottom w:val="single" w:sz="8" w:space="0" w:color="000000"/>
              <w:right w:val="single" w:sz="8" w:space="0" w:color="auto"/>
            </w:tcBorders>
            <w:shd w:val="clear" w:color="auto" w:fill="C2D69B" w:themeFill="accent3" w:themeFillTint="99"/>
            <w:vAlign w:val="center"/>
            <w:hideMark/>
          </w:tcPr>
          <w:p w14:paraId="0A55C387" w14:textId="77777777" w:rsidR="006C73A6" w:rsidRPr="00EE50CC" w:rsidRDefault="006C73A6" w:rsidP="004959AE">
            <w:pPr>
              <w:rPr>
                <w:rFonts w:ascii="Arial" w:hAnsi="Arial" w:cs="Arial"/>
                <w:b/>
                <w:bCs/>
                <w:color w:val="000000"/>
                <w:sz w:val="16"/>
                <w:szCs w:val="16"/>
              </w:rPr>
            </w:pPr>
          </w:p>
        </w:tc>
        <w:tc>
          <w:tcPr>
            <w:tcW w:w="1418" w:type="dxa"/>
            <w:tcBorders>
              <w:top w:val="single" w:sz="8" w:space="0" w:color="auto"/>
              <w:left w:val="nil"/>
              <w:bottom w:val="single" w:sz="8" w:space="0" w:color="auto"/>
              <w:right w:val="nil"/>
            </w:tcBorders>
            <w:shd w:val="clear" w:color="auto" w:fill="C2D69B" w:themeFill="accent3" w:themeFillTint="99"/>
            <w:vAlign w:val="center"/>
            <w:hideMark/>
          </w:tcPr>
          <w:p w14:paraId="173AD123"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EÚ</w:t>
            </w:r>
          </w:p>
        </w:tc>
        <w:tc>
          <w:tcPr>
            <w:tcW w:w="1417"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hideMark/>
          </w:tcPr>
          <w:p w14:paraId="4675DCF1"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ŠR</w:t>
            </w:r>
          </w:p>
        </w:tc>
        <w:tc>
          <w:tcPr>
            <w:tcW w:w="1559" w:type="dxa"/>
            <w:tcBorders>
              <w:top w:val="nil"/>
              <w:left w:val="nil"/>
              <w:bottom w:val="single" w:sz="8" w:space="0" w:color="auto"/>
              <w:right w:val="nil"/>
            </w:tcBorders>
            <w:shd w:val="clear" w:color="auto" w:fill="C2D69B" w:themeFill="accent3" w:themeFillTint="99"/>
            <w:vAlign w:val="center"/>
            <w:hideMark/>
          </w:tcPr>
          <w:p w14:paraId="32A9F05B"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EÚ</w:t>
            </w:r>
          </w:p>
        </w:tc>
        <w:tc>
          <w:tcPr>
            <w:tcW w:w="1418" w:type="dxa"/>
            <w:tcBorders>
              <w:top w:val="nil"/>
              <w:left w:val="single" w:sz="8" w:space="0" w:color="auto"/>
              <w:bottom w:val="single" w:sz="8" w:space="0" w:color="auto"/>
              <w:right w:val="single" w:sz="8" w:space="0" w:color="auto"/>
            </w:tcBorders>
            <w:shd w:val="clear" w:color="auto" w:fill="C2D69B" w:themeFill="accent3" w:themeFillTint="99"/>
            <w:vAlign w:val="center"/>
            <w:hideMark/>
          </w:tcPr>
          <w:p w14:paraId="3C768EA1"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ŠR</w:t>
            </w:r>
          </w:p>
        </w:tc>
        <w:tc>
          <w:tcPr>
            <w:tcW w:w="850" w:type="dxa"/>
            <w:tcBorders>
              <w:top w:val="nil"/>
              <w:left w:val="nil"/>
              <w:bottom w:val="single" w:sz="8" w:space="0" w:color="auto"/>
              <w:right w:val="nil"/>
            </w:tcBorders>
            <w:shd w:val="clear" w:color="auto" w:fill="C2D69B" w:themeFill="accent3" w:themeFillTint="99"/>
            <w:vAlign w:val="center"/>
            <w:hideMark/>
          </w:tcPr>
          <w:p w14:paraId="2B4A797A"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EÚ</w:t>
            </w:r>
          </w:p>
        </w:tc>
        <w:tc>
          <w:tcPr>
            <w:tcW w:w="993" w:type="dxa"/>
            <w:tcBorders>
              <w:top w:val="nil"/>
              <w:left w:val="single" w:sz="8" w:space="0" w:color="auto"/>
              <w:bottom w:val="single" w:sz="8" w:space="0" w:color="auto"/>
              <w:right w:val="single" w:sz="8" w:space="0" w:color="auto"/>
            </w:tcBorders>
            <w:shd w:val="clear" w:color="auto" w:fill="C2D69B" w:themeFill="accent3" w:themeFillTint="99"/>
            <w:vAlign w:val="center"/>
            <w:hideMark/>
          </w:tcPr>
          <w:p w14:paraId="6322FFA1"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ŠR</w:t>
            </w:r>
          </w:p>
        </w:tc>
      </w:tr>
      <w:tr w:rsidR="00BD1782" w14:paraId="6EEB2E6A" w14:textId="77777777" w:rsidTr="0008447E">
        <w:trPr>
          <w:trHeight w:val="334"/>
        </w:trPr>
        <w:tc>
          <w:tcPr>
            <w:tcW w:w="1266" w:type="dxa"/>
            <w:tcBorders>
              <w:top w:val="nil"/>
              <w:left w:val="single" w:sz="8" w:space="0" w:color="auto"/>
              <w:bottom w:val="single" w:sz="8" w:space="0" w:color="auto"/>
              <w:right w:val="single" w:sz="8" w:space="0" w:color="auto"/>
            </w:tcBorders>
            <w:shd w:val="clear" w:color="auto" w:fill="auto"/>
            <w:noWrap/>
            <w:vAlign w:val="center"/>
            <w:hideMark/>
          </w:tcPr>
          <w:p w14:paraId="66B41F65" w14:textId="77777777" w:rsidR="00BD1782" w:rsidRPr="00EE50CC" w:rsidRDefault="00BD1782" w:rsidP="00BD1782">
            <w:pPr>
              <w:rPr>
                <w:rFonts w:ascii="Arial" w:hAnsi="Arial" w:cs="Arial"/>
                <w:color w:val="000000"/>
                <w:sz w:val="16"/>
                <w:szCs w:val="16"/>
              </w:rPr>
            </w:pPr>
            <w:r w:rsidRPr="00EE50CC">
              <w:rPr>
                <w:rFonts w:ascii="Arial" w:hAnsi="Arial" w:cs="Arial"/>
                <w:color w:val="000000"/>
                <w:sz w:val="16"/>
                <w:szCs w:val="16"/>
              </w:rPr>
              <w:t>Prioritná os 1</w:t>
            </w:r>
          </w:p>
        </w:tc>
        <w:tc>
          <w:tcPr>
            <w:tcW w:w="1418" w:type="dxa"/>
            <w:tcBorders>
              <w:top w:val="nil"/>
              <w:left w:val="nil"/>
              <w:bottom w:val="single" w:sz="8" w:space="0" w:color="auto"/>
              <w:right w:val="nil"/>
            </w:tcBorders>
            <w:shd w:val="clear" w:color="auto" w:fill="auto"/>
            <w:noWrap/>
            <w:vAlign w:val="center"/>
            <w:hideMark/>
          </w:tcPr>
          <w:p w14:paraId="272557BC"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903 512 965,00</w:t>
            </w:r>
          </w:p>
        </w:tc>
        <w:tc>
          <w:tcPr>
            <w:tcW w:w="1417" w:type="dxa"/>
            <w:tcBorders>
              <w:top w:val="nil"/>
              <w:left w:val="single" w:sz="8" w:space="0" w:color="auto"/>
              <w:bottom w:val="single" w:sz="8" w:space="0" w:color="auto"/>
              <w:right w:val="single" w:sz="8" w:space="0" w:color="auto"/>
            </w:tcBorders>
            <w:shd w:val="clear" w:color="auto" w:fill="auto"/>
            <w:noWrap/>
            <w:vAlign w:val="center"/>
            <w:hideMark/>
          </w:tcPr>
          <w:p w14:paraId="5EA38C4E"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136 960 380,00</w:t>
            </w:r>
          </w:p>
        </w:tc>
        <w:tc>
          <w:tcPr>
            <w:tcW w:w="1559" w:type="dxa"/>
            <w:tcBorders>
              <w:top w:val="nil"/>
              <w:left w:val="nil"/>
              <w:bottom w:val="single" w:sz="8" w:space="0" w:color="auto"/>
              <w:right w:val="single" w:sz="8" w:space="0" w:color="auto"/>
            </w:tcBorders>
            <w:shd w:val="clear" w:color="auto" w:fill="auto"/>
            <w:noWrap/>
            <w:vAlign w:val="center"/>
            <w:hideMark/>
          </w:tcPr>
          <w:p w14:paraId="434A7157" w14:textId="506000EE"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864 836 440,10</w:t>
            </w:r>
          </w:p>
        </w:tc>
        <w:tc>
          <w:tcPr>
            <w:tcW w:w="1418" w:type="dxa"/>
            <w:tcBorders>
              <w:top w:val="nil"/>
              <w:left w:val="nil"/>
              <w:bottom w:val="single" w:sz="8" w:space="0" w:color="auto"/>
              <w:right w:val="single" w:sz="8" w:space="0" w:color="auto"/>
            </w:tcBorders>
            <w:shd w:val="clear" w:color="auto" w:fill="auto"/>
            <w:noWrap/>
            <w:vAlign w:val="center"/>
            <w:hideMark/>
          </w:tcPr>
          <w:p w14:paraId="19EAEAC1" w14:textId="0E109649"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135 119 083,18</w:t>
            </w:r>
          </w:p>
        </w:tc>
        <w:tc>
          <w:tcPr>
            <w:tcW w:w="850" w:type="dxa"/>
            <w:tcBorders>
              <w:top w:val="nil"/>
              <w:left w:val="nil"/>
              <w:bottom w:val="single" w:sz="8" w:space="0" w:color="auto"/>
              <w:right w:val="single" w:sz="8" w:space="0" w:color="auto"/>
            </w:tcBorders>
            <w:shd w:val="clear" w:color="auto" w:fill="auto"/>
            <w:noWrap/>
            <w:vAlign w:val="center"/>
            <w:hideMark/>
          </w:tcPr>
          <w:p w14:paraId="643CA0EA" w14:textId="2D62309C"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95,72%</w:t>
            </w:r>
          </w:p>
        </w:tc>
        <w:tc>
          <w:tcPr>
            <w:tcW w:w="993" w:type="dxa"/>
            <w:tcBorders>
              <w:top w:val="nil"/>
              <w:left w:val="nil"/>
              <w:bottom w:val="single" w:sz="8" w:space="0" w:color="auto"/>
              <w:right w:val="single" w:sz="8" w:space="0" w:color="auto"/>
            </w:tcBorders>
            <w:shd w:val="clear" w:color="auto" w:fill="auto"/>
            <w:noWrap/>
            <w:vAlign w:val="center"/>
            <w:hideMark/>
          </w:tcPr>
          <w:p w14:paraId="04F610B2" w14:textId="2AEF8C17"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98,66%</w:t>
            </w:r>
          </w:p>
        </w:tc>
      </w:tr>
      <w:tr w:rsidR="00BD1782" w14:paraId="03D285E0" w14:textId="77777777" w:rsidTr="0008447E">
        <w:trPr>
          <w:trHeight w:val="334"/>
        </w:trPr>
        <w:tc>
          <w:tcPr>
            <w:tcW w:w="1266" w:type="dxa"/>
            <w:tcBorders>
              <w:top w:val="nil"/>
              <w:left w:val="single" w:sz="8" w:space="0" w:color="auto"/>
              <w:bottom w:val="single" w:sz="8" w:space="0" w:color="auto"/>
              <w:right w:val="single" w:sz="8" w:space="0" w:color="auto"/>
            </w:tcBorders>
            <w:shd w:val="clear" w:color="auto" w:fill="auto"/>
            <w:noWrap/>
            <w:vAlign w:val="center"/>
            <w:hideMark/>
          </w:tcPr>
          <w:p w14:paraId="4F6089B9" w14:textId="77777777" w:rsidR="00BD1782" w:rsidRPr="00EE50CC" w:rsidRDefault="00BD1782" w:rsidP="00BD1782">
            <w:pPr>
              <w:rPr>
                <w:rFonts w:ascii="Arial" w:hAnsi="Arial" w:cs="Arial"/>
                <w:color w:val="000000"/>
                <w:sz w:val="16"/>
                <w:szCs w:val="16"/>
              </w:rPr>
            </w:pPr>
            <w:r w:rsidRPr="00EE50CC">
              <w:rPr>
                <w:rFonts w:ascii="Arial" w:hAnsi="Arial" w:cs="Arial"/>
                <w:color w:val="000000"/>
                <w:sz w:val="16"/>
                <w:szCs w:val="16"/>
              </w:rPr>
              <w:t>Prioritná os 2</w:t>
            </w:r>
          </w:p>
        </w:tc>
        <w:tc>
          <w:tcPr>
            <w:tcW w:w="1418" w:type="dxa"/>
            <w:tcBorders>
              <w:top w:val="nil"/>
              <w:left w:val="nil"/>
              <w:bottom w:val="single" w:sz="8" w:space="0" w:color="auto"/>
              <w:right w:val="nil"/>
            </w:tcBorders>
            <w:shd w:val="clear" w:color="auto" w:fill="auto"/>
            <w:noWrap/>
            <w:vAlign w:val="center"/>
            <w:hideMark/>
          </w:tcPr>
          <w:p w14:paraId="459069BB"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260 770 100,00</w:t>
            </w:r>
          </w:p>
        </w:tc>
        <w:tc>
          <w:tcPr>
            <w:tcW w:w="1417" w:type="dxa"/>
            <w:tcBorders>
              <w:top w:val="nil"/>
              <w:left w:val="single" w:sz="8" w:space="0" w:color="auto"/>
              <w:bottom w:val="single" w:sz="8" w:space="0" w:color="auto"/>
              <w:right w:val="single" w:sz="8" w:space="0" w:color="auto"/>
            </w:tcBorders>
            <w:shd w:val="clear" w:color="auto" w:fill="auto"/>
            <w:noWrap/>
            <w:vAlign w:val="center"/>
            <w:hideMark/>
          </w:tcPr>
          <w:p w14:paraId="5034F782"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44 635 900,00</w:t>
            </w:r>
          </w:p>
        </w:tc>
        <w:tc>
          <w:tcPr>
            <w:tcW w:w="1559" w:type="dxa"/>
            <w:tcBorders>
              <w:top w:val="nil"/>
              <w:left w:val="nil"/>
              <w:bottom w:val="single" w:sz="8" w:space="0" w:color="auto"/>
              <w:right w:val="single" w:sz="8" w:space="0" w:color="auto"/>
            </w:tcBorders>
            <w:shd w:val="clear" w:color="auto" w:fill="auto"/>
            <w:noWrap/>
            <w:vAlign w:val="center"/>
            <w:hideMark/>
          </w:tcPr>
          <w:p w14:paraId="1B08287F" w14:textId="42DE29C5"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256 482 397,85</w:t>
            </w:r>
          </w:p>
        </w:tc>
        <w:tc>
          <w:tcPr>
            <w:tcW w:w="1418" w:type="dxa"/>
            <w:tcBorders>
              <w:top w:val="nil"/>
              <w:left w:val="nil"/>
              <w:bottom w:val="single" w:sz="8" w:space="0" w:color="auto"/>
              <w:right w:val="single" w:sz="8" w:space="0" w:color="auto"/>
            </w:tcBorders>
            <w:shd w:val="clear" w:color="auto" w:fill="auto"/>
            <w:noWrap/>
            <w:vAlign w:val="center"/>
            <w:hideMark/>
          </w:tcPr>
          <w:p w14:paraId="230643B1" w14:textId="5FF5351E"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41 748 592,13</w:t>
            </w:r>
          </w:p>
        </w:tc>
        <w:tc>
          <w:tcPr>
            <w:tcW w:w="850" w:type="dxa"/>
            <w:tcBorders>
              <w:top w:val="nil"/>
              <w:left w:val="nil"/>
              <w:bottom w:val="single" w:sz="8" w:space="0" w:color="auto"/>
              <w:right w:val="single" w:sz="8" w:space="0" w:color="auto"/>
            </w:tcBorders>
            <w:shd w:val="clear" w:color="auto" w:fill="auto"/>
            <w:noWrap/>
            <w:vAlign w:val="center"/>
            <w:hideMark/>
          </w:tcPr>
          <w:p w14:paraId="425F8F94" w14:textId="5D03B5D6"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98,36%</w:t>
            </w:r>
          </w:p>
        </w:tc>
        <w:tc>
          <w:tcPr>
            <w:tcW w:w="993" w:type="dxa"/>
            <w:tcBorders>
              <w:top w:val="nil"/>
              <w:left w:val="nil"/>
              <w:bottom w:val="single" w:sz="8" w:space="0" w:color="auto"/>
              <w:right w:val="single" w:sz="8" w:space="0" w:color="auto"/>
            </w:tcBorders>
            <w:shd w:val="clear" w:color="auto" w:fill="auto"/>
            <w:noWrap/>
            <w:vAlign w:val="center"/>
            <w:hideMark/>
          </w:tcPr>
          <w:p w14:paraId="6713F608" w14:textId="7263A8D5"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93,53%</w:t>
            </w:r>
          </w:p>
        </w:tc>
      </w:tr>
      <w:tr w:rsidR="00BD1782" w14:paraId="1D76B01A" w14:textId="77777777" w:rsidTr="0008447E">
        <w:trPr>
          <w:trHeight w:val="334"/>
        </w:trPr>
        <w:tc>
          <w:tcPr>
            <w:tcW w:w="1266" w:type="dxa"/>
            <w:tcBorders>
              <w:top w:val="nil"/>
              <w:left w:val="single" w:sz="8" w:space="0" w:color="auto"/>
              <w:bottom w:val="single" w:sz="8" w:space="0" w:color="auto"/>
              <w:right w:val="single" w:sz="8" w:space="0" w:color="auto"/>
            </w:tcBorders>
            <w:shd w:val="clear" w:color="auto" w:fill="auto"/>
            <w:noWrap/>
            <w:vAlign w:val="center"/>
            <w:hideMark/>
          </w:tcPr>
          <w:p w14:paraId="3E66843E" w14:textId="77777777" w:rsidR="00BD1782" w:rsidRPr="00EE50CC" w:rsidRDefault="00BD1782" w:rsidP="00BD1782">
            <w:pPr>
              <w:rPr>
                <w:rFonts w:ascii="Arial" w:hAnsi="Arial" w:cs="Arial"/>
                <w:color w:val="000000"/>
                <w:sz w:val="16"/>
                <w:szCs w:val="16"/>
              </w:rPr>
            </w:pPr>
            <w:r w:rsidRPr="00EE50CC">
              <w:rPr>
                <w:rFonts w:ascii="Arial" w:hAnsi="Arial" w:cs="Arial"/>
                <w:color w:val="000000"/>
                <w:sz w:val="16"/>
                <w:szCs w:val="16"/>
              </w:rPr>
              <w:t>Prioritná os 3</w:t>
            </w:r>
          </w:p>
        </w:tc>
        <w:tc>
          <w:tcPr>
            <w:tcW w:w="1418" w:type="dxa"/>
            <w:tcBorders>
              <w:top w:val="nil"/>
              <w:left w:val="nil"/>
              <w:bottom w:val="single" w:sz="8" w:space="0" w:color="auto"/>
              <w:right w:val="nil"/>
            </w:tcBorders>
            <w:shd w:val="clear" w:color="auto" w:fill="auto"/>
            <w:noWrap/>
            <w:vAlign w:val="center"/>
            <w:hideMark/>
          </w:tcPr>
          <w:p w14:paraId="7DEC1C41"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180 000 000,00</w:t>
            </w:r>
          </w:p>
        </w:tc>
        <w:tc>
          <w:tcPr>
            <w:tcW w:w="1417" w:type="dxa"/>
            <w:tcBorders>
              <w:top w:val="nil"/>
              <w:left w:val="single" w:sz="8" w:space="0" w:color="auto"/>
              <w:bottom w:val="single" w:sz="8" w:space="0" w:color="auto"/>
              <w:right w:val="single" w:sz="8" w:space="0" w:color="auto"/>
            </w:tcBorders>
            <w:shd w:val="clear" w:color="auto" w:fill="auto"/>
            <w:noWrap/>
            <w:vAlign w:val="center"/>
            <w:hideMark/>
          </w:tcPr>
          <w:p w14:paraId="6604F2BB"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29 117 648,00</w:t>
            </w:r>
          </w:p>
        </w:tc>
        <w:tc>
          <w:tcPr>
            <w:tcW w:w="1559" w:type="dxa"/>
            <w:tcBorders>
              <w:top w:val="nil"/>
              <w:left w:val="nil"/>
              <w:bottom w:val="single" w:sz="8" w:space="0" w:color="auto"/>
              <w:right w:val="single" w:sz="8" w:space="0" w:color="auto"/>
            </w:tcBorders>
            <w:shd w:val="clear" w:color="auto" w:fill="auto"/>
            <w:noWrap/>
            <w:vAlign w:val="center"/>
            <w:hideMark/>
          </w:tcPr>
          <w:p w14:paraId="66E0D95B" w14:textId="5EEB6054"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174 724 571,67</w:t>
            </w:r>
          </w:p>
        </w:tc>
        <w:tc>
          <w:tcPr>
            <w:tcW w:w="1418" w:type="dxa"/>
            <w:tcBorders>
              <w:top w:val="nil"/>
              <w:left w:val="nil"/>
              <w:bottom w:val="single" w:sz="8" w:space="0" w:color="auto"/>
              <w:right w:val="single" w:sz="8" w:space="0" w:color="auto"/>
            </w:tcBorders>
            <w:shd w:val="clear" w:color="auto" w:fill="auto"/>
            <w:noWrap/>
            <w:vAlign w:val="center"/>
            <w:hideMark/>
          </w:tcPr>
          <w:p w14:paraId="5AFF67B3" w14:textId="06DB5873"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26 611 412,98</w:t>
            </w:r>
          </w:p>
        </w:tc>
        <w:tc>
          <w:tcPr>
            <w:tcW w:w="850" w:type="dxa"/>
            <w:tcBorders>
              <w:top w:val="nil"/>
              <w:left w:val="nil"/>
              <w:bottom w:val="single" w:sz="8" w:space="0" w:color="auto"/>
              <w:right w:val="single" w:sz="8" w:space="0" w:color="auto"/>
            </w:tcBorders>
            <w:shd w:val="clear" w:color="auto" w:fill="auto"/>
            <w:noWrap/>
            <w:vAlign w:val="center"/>
            <w:hideMark/>
          </w:tcPr>
          <w:p w14:paraId="133A3099" w14:textId="27DCF6C4"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97,07%</w:t>
            </w:r>
          </w:p>
        </w:tc>
        <w:tc>
          <w:tcPr>
            <w:tcW w:w="993" w:type="dxa"/>
            <w:tcBorders>
              <w:top w:val="nil"/>
              <w:left w:val="nil"/>
              <w:bottom w:val="single" w:sz="8" w:space="0" w:color="auto"/>
              <w:right w:val="single" w:sz="8" w:space="0" w:color="auto"/>
            </w:tcBorders>
            <w:shd w:val="clear" w:color="auto" w:fill="auto"/>
            <w:noWrap/>
            <w:vAlign w:val="center"/>
            <w:hideMark/>
          </w:tcPr>
          <w:p w14:paraId="3A6706A5" w14:textId="62F37F83"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91,39%</w:t>
            </w:r>
          </w:p>
        </w:tc>
      </w:tr>
      <w:tr w:rsidR="00BD1782" w14:paraId="1926A532" w14:textId="77777777" w:rsidTr="0008447E">
        <w:trPr>
          <w:trHeight w:val="334"/>
        </w:trPr>
        <w:tc>
          <w:tcPr>
            <w:tcW w:w="1266" w:type="dxa"/>
            <w:tcBorders>
              <w:top w:val="nil"/>
              <w:left w:val="single" w:sz="8" w:space="0" w:color="auto"/>
              <w:bottom w:val="single" w:sz="8" w:space="0" w:color="auto"/>
              <w:right w:val="single" w:sz="8" w:space="0" w:color="auto"/>
            </w:tcBorders>
            <w:shd w:val="clear" w:color="auto" w:fill="auto"/>
            <w:noWrap/>
            <w:vAlign w:val="center"/>
            <w:hideMark/>
          </w:tcPr>
          <w:p w14:paraId="6D4E85D9" w14:textId="77777777" w:rsidR="00BD1782" w:rsidRPr="00EE50CC" w:rsidRDefault="00BD1782" w:rsidP="00BD1782">
            <w:pPr>
              <w:rPr>
                <w:rFonts w:ascii="Arial" w:hAnsi="Arial" w:cs="Arial"/>
                <w:color w:val="000000"/>
                <w:sz w:val="16"/>
                <w:szCs w:val="16"/>
              </w:rPr>
            </w:pPr>
            <w:r w:rsidRPr="00EE50CC">
              <w:rPr>
                <w:rFonts w:ascii="Arial" w:hAnsi="Arial" w:cs="Arial"/>
                <w:color w:val="000000"/>
                <w:sz w:val="16"/>
                <w:szCs w:val="16"/>
              </w:rPr>
              <w:t>Prioritná os 4</w:t>
            </w:r>
          </w:p>
        </w:tc>
        <w:tc>
          <w:tcPr>
            <w:tcW w:w="1418" w:type="dxa"/>
            <w:tcBorders>
              <w:top w:val="nil"/>
              <w:left w:val="nil"/>
              <w:bottom w:val="single" w:sz="8" w:space="0" w:color="auto"/>
              <w:right w:val="nil"/>
            </w:tcBorders>
            <w:shd w:val="clear" w:color="auto" w:fill="auto"/>
            <w:noWrap/>
            <w:vAlign w:val="center"/>
            <w:hideMark/>
          </w:tcPr>
          <w:p w14:paraId="7871BCB5"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356 360 000,00</w:t>
            </w:r>
          </w:p>
        </w:tc>
        <w:tc>
          <w:tcPr>
            <w:tcW w:w="1417" w:type="dxa"/>
            <w:tcBorders>
              <w:top w:val="nil"/>
              <w:left w:val="single" w:sz="8" w:space="0" w:color="auto"/>
              <w:bottom w:val="single" w:sz="8" w:space="0" w:color="auto"/>
              <w:right w:val="single" w:sz="8" w:space="0" w:color="auto"/>
            </w:tcBorders>
            <w:shd w:val="clear" w:color="auto" w:fill="auto"/>
            <w:noWrap/>
            <w:vAlign w:val="center"/>
            <w:hideMark/>
          </w:tcPr>
          <w:p w14:paraId="3E6154BB"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51 493 432,00</w:t>
            </w:r>
          </w:p>
        </w:tc>
        <w:tc>
          <w:tcPr>
            <w:tcW w:w="1559" w:type="dxa"/>
            <w:tcBorders>
              <w:top w:val="nil"/>
              <w:left w:val="nil"/>
              <w:bottom w:val="single" w:sz="8" w:space="0" w:color="auto"/>
              <w:right w:val="single" w:sz="8" w:space="0" w:color="auto"/>
            </w:tcBorders>
            <w:shd w:val="clear" w:color="auto" w:fill="auto"/>
            <w:noWrap/>
            <w:vAlign w:val="center"/>
            <w:hideMark/>
          </w:tcPr>
          <w:p w14:paraId="36FC4FD8" w14:textId="326FBB47"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339 242 270,88</w:t>
            </w:r>
          </w:p>
        </w:tc>
        <w:tc>
          <w:tcPr>
            <w:tcW w:w="1418" w:type="dxa"/>
            <w:tcBorders>
              <w:top w:val="nil"/>
              <w:left w:val="nil"/>
              <w:bottom w:val="single" w:sz="8" w:space="0" w:color="auto"/>
              <w:right w:val="single" w:sz="8" w:space="0" w:color="auto"/>
            </w:tcBorders>
            <w:shd w:val="clear" w:color="auto" w:fill="auto"/>
            <w:noWrap/>
            <w:vAlign w:val="center"/>
            <w:hideMark/>
          </w:tcPr>
          <w:p w14:paraId="088FD702" w14:textId="037061D9"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47 452 320,82</w:t>
            </w:r>
          </w:p>
        </w:tc>
        <w:tc>
          <w:tcPr>
            <w:tcW w:w="850" w:type="dxa"/>
            <w:tcBorders>
              <w:top w:val="nil"/>
              <w:left w:val="nil"/>
              <w:bottom w:val="single" w:sz="8" w:space="0" w:color="auto"/>
              <w:right w:val="single" w:sz="8" w:space="0" w:color="auto"/>
            </w:tcBorders>
            <w:shd w:val="clear" w:color="auto" w:fill="auto"/>
            <w:noWrap/>
            <w:vAlign w:val="center"/>
            <w:hideMark/>
          </w:tcPr>
          <w:p w14:paraId="11380A6C" w14:textId="09666726"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95,20%</w:t>
            </w:r>
          </w:p>
        </w:tc>
        <w:tc>
          <w:tcPr>
            <w:tcW w:w="993" w:type="dxa"/>
            <w:tcBorders>
              <w:top w:val="nil"/>
              <w:left w:val="nil"/>
              <w:bottom w:val="single" w:sz="8" w:space="0" w:color="auto"/>
              <w:right w:val="single" w:sz="8" w:space="0" w:color="auto"/>
            </w:tcBorders>
            <w:shd w:val="clear" w:color="auto" w:fill="auto"/>
            <w:noWrap/>
            <w:vAlign w:val="center"/>
            <w:hideMark/>
          </w:tcPr>
          <w:p w14:paraId="2DF48888" w14:textId="388FE1D0"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92,15%</w:t>
            </w:r>
          </w:p>
        </w:tc>
      </w:tr>
      <w:tr w:rsidR="00BD1782" w14:paraId="7CD130B1" w14:textId="77777777" w:rsidTr="0008447E">
        <w:trPr>
          <w:trHeight w:val="334"/>
        </w:trPr>
        <w:tc>
          <w:tcPr>
            <w:tcW w:w="1266" w:type="dxa"/>
            <w:tcBorders>
              <w:top w:val="nil"/>
              <w:left w:val="single" w:sz="8" w:space="0" w:color="auto"/>
              <w:bottom w:val="single" w:sz="8" w:space="0" w:color="auto"/>
              <w:right w:val="single" w:sz="8" w:space="0" w:color="auto"/>
            </w:tcBorders>
            <w:shd w:val="clear" w:color="auto" w:fill="auto"/>
            <w:noWrap/>
            <w:vAlign w:val="center"/>
            <w:hideMark/>
          </w:tcPr>
          <w:p w14:paraId="7A9C3631" w14:textId="77777777" w:rsidR="00BD1782" w:rsidRPr="00EE50CC" w:rsidRDefault="00BD1782" w:rsidP="00BD1782">
            <w:pPr>
              <w:rPr>
                <w:rFonts w:ascii="Arial" w:hAnsi="Arial" w:cs="Arial"/>
                <w:color w:val="000000"/>
                <w:sz w:val="16"/>
                <w:szCs w:val="16"/>
              </w:rPr>
            </w:pPr>
            <w:r w:rsidRPr="00EE50CC">
              <w:rPr>
                <w:rFonts w:ascii="Arial" w:hAnsi="Arial" w:cs="Arial"/>
                <w:color w:val="000000"/>
                <w:sz w:val="16"/>
                <w:szCs w:val="16"/>
              </w:rPr>
              <w:t>Prioritná os 5</w:t>
            </w:r>
          </w:p>
        </w:tc>
        <w:tc>
          <w:tcPr>
            <w:tcW w:w="1418" w:type="dxa"/>
            <w:tcBorders>
              <w:top w:val="nil"/>
              <w:left w:val="nil"/>
              <w:bottom w:val="single" w:sz="8" w:space="0" w:color="auto"/>
              <w:right w:val="nil"/>
            </w:tcBorders>
            <w:shd w:val="clear" w:color="auto" w:fill="auto"/>
            <w:noWrap/>
            <w:vAlign w:val="center"/>
            <w:hideMark/>
          </w:tcPr>
          <w:p w14:paraId="55D7FD7F"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50 756 935,00</w:t>
            </w:r>
          </w:p>
        </w:tc>
        <w:tc>
          <w:tcPr>
            <w:tcW w:w="1417" w:type="dxa"/>
            <w:tcBorders>
              <w:top w:val="nil"/>
              <w:left w:val="single" w:sz="8" w:space="0" w:color="auto"/>
              <w:bottom w:val="single" w:sz="8" w:space="0" w:color="auto"/>
              <w:right w:val="single" w:sz="8" w:space="0" w:color="auto"/>
            </w:tcBorders>
            <w:shd w:val="clear" w:color="auto" w:fill="auto"/>
            <w:noWrap/>
            <w:vAlign w:val="center"/>
            <w:hideMark/>
          </w:tcPr>
          <w:p w14:paraId="5A24C92D"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8 957 107,00</w:t>
            </w:r>
          </w:p>
        </w:tc>
        <w:tc>
          <w:tcPr>
            <w:tcW w:w="1559" w:type="dxa"/>
            <w:tcBorders>
              <w:top w:val="nil"/>
              <w:left w:val="nil"/>
              <w:bottom w:val="single" w:sz="8" w:space="0" w:color="auto"/>
              <w:right w:val="single" w:sz="8" w:space="0" w:color="auto"/>
            </w:tcBorders>
            <w:shd w:val="clear" w:color="auto" w:fill="auto"/>
            <w:noWrap/>
            <w:vAlign w:val="center"/>
            <w:hideMark/>
          </w:tcPr>
          <w:p w14:paraId="5046AD98" w14:textId="02D6CD92"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45 032 430,85</w:t>
            </w:r>
          </w:p>
        </w:tc>
        <w:tc>
          <w:tcPr>
            <w:tcW w:w="1418" w:type="dxa"/>
            <w:tcBorders>
              <w:top w:val="nil"/>
              <w:left w:val="nil"/>
              <w:bottom w:val="single" w:sz="8" w:space="0" w:color="auto"/>
              <w:right w:val="single" w:sz="8" w:space="0" w:color="auto"/>
            </w:tcBorders>
            <w:shd w:val="clear" w:color="auto" w:fill="auto"/>
            <w:noWrap/>
            <w:vAlign w:val="center"/>
            <w:hideMark/>
          </w:tcPr>
          <w:p w14:paraId="427E8FCA" w14:textId="059907D3"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7 946 900,51</w:t>
            </w:r>
          </w:p>
        </w:tc>
        <w:tc>
          <w:tcPr>
            <w:tcW w:w="850" w:type="dxa"/>
            <w:tcBorders>
              <w:top w:val="nil"/>
              <w:left w:val="nil"/>
              <w:bottom w:val="single" w:sz="8" w:space="0" w:color="auto"/>
              <w:right w:val="single" w:sz="8" w:space="0" w:color="auto"/>
            </w:tcBorders>
            <w:shd w:val="clear" w:color="auto" w:fill="auto"/>
            <w:noWrap/>
            <w:vAlign w:val="center"/>
            <w:hideMark/>
          </w:tcPr>
          <w:p w14:paraId="0C5EFD9F" w14:textId="5ACDDC74"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88,72%</w:t>
            </w:r>
          </w:p>
        </w:tc>
        <w:tc>
          <w:tcPr>
            <w:tcW w:w="993" w:type="dxa"/>
            <w:tcBorders>
              <w:top w:val="nil"/>
              <w:left w:val="nil"/>
              <w:bottom w:val="single" w:sz="8" w:space="0" w:color="auto"/>
              <w:right w:val="single" w:sz="8" w:space="0" w:color="auto"/>
            </w:tcBorders>
            <w:shd w:val="clear" w:color="auto" w:fill="auto"/>
            <w:noWrap/>
            <w:vAlign w:val="center"/>
            <w:hideMark/>
          </w:tcPr>
          <w:p w14:paraId="333469F2" w14:textId="268F44D2"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88,72%</w:t>
            </w:r>
          </w:p>
        </w:tc>
      </w:tr>
      <w:tr w:rsidR="00BD1782" w14:paraId="757E67BC" w14:textId="77777777" w:rsidTr="0008447E">
        <w:trPr>
          <w:trHeight w:val="334"/>
        </w:trPr>
        <w:tc>
          <w:tcPr>
            <w:tcW w:w="1266" w:type="dxa"/>
            <w:tcBorders>
              <w:top w:val="nil"/>
              <w:left w:val="single" w:sz="8" w:space="0" w:color="auto"/>
              <w:bottom w:val="single" w:sz="8" w:space="0" w:color="auto"/>
              <w:right w:val="single" w:sz="8" w:space="0" w:color="auto"/>
            </w:tcBorders>
            <w:shd w:val="clear" w:color="auto" w:fill="auto"/>
            <w:noWrap/>
            <w:vAlign w:val="center"/>
            <w:hideMark/>
          </w:tcPr>
          <w:p w14:paraId="0045F6F5" w14:textId="77777777" w:rsidR="00BD1782" w:rsidRPr="00EE50CC" w:rsidRDefault="00BD1782" w:rsidP="00BD1782">
            <w:pPr>
              <w:rPr>
                <w:rFonts w:ascii="Arial" w:hAnsi="Arial" w:cs="Arial"/>
                <w:color w:val="000000"/>
                <w:sz w:val="16"/>
                <w:szCs w:val="16"/>
              </w:rPr>
            </w:pPr>
            <w:r w:rsidRPr="00EE50CC">
              <w:rPr>
                <w:rFonts w:ascii="Arial" w:hAnsi="Arial" w:cs="Arial"/>
                <w:color w:val="000000"/>
                <w:sz w:val="16"/>
                <w:szCs w:val="16"/>
              </w:rPr>
              <w:t>Prioritná os 6</w:t>
            </w:r>
          </w:p>
        </w:tc>
        <w:tc>
          <w:tcPr>
            <w:tcW w:w="1418" w:type="dxa"/>
            <w:tcBorders>
              <w:top w:val="nil"/>
              <w:left w:val="nil"/>
              <w:bottom w:val="single" w:sz="8" w:space="0" w:color="auto"/>
              <w:right w:val="nil"/>
            </w:tcBorders>
            <w:shd w:val="clear" w:color="auto" w:fill="auto"/>
            <w:noWrap/>
            <w:vAlign w:val="center"/>
            <w:hideMark/>
          </w:tcPr>
          <w:p w14:paraId="171FC3D6"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48 600 000,00</w:t>
            </w:r>
          </w:p>
        </w:tc>
        <w:tc>
          <w:tcPr>
            <w:tcW w:w="1417" w:type="dxa"/>
            <w:tcBorders>
              <w:top w:val="nil"/>
              <w:left w:val="single" w:sz="8" w:space="0" w:color="auto"/>
              <w:bottom w:val="single" w:sz="8" w:space="0" w:color="auto"/>
              <w:right w:val="single" w:sz="8" w:space="0" w:color="auto"/>
            </w:tcBorders>
            <w:shd w:val="clear" w:color="auto" w:fill="auto"/>
            <w:noWrap/>
            <w:vAlign w:val="center"/>
            <w:hideMark/>
          </w:tcPr>
          <w:p w14:paraId="38A8B060"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8 576 471,00</w:t>
            </w:r>
          </w:p>
        </w:tc>
        <w:tc>
          <w:tcPr>
            <w:tcW w:w="1559" w:type="dxa"/>
            <w:tcBorders>
              <w:top w:val="nil"/>
              <w:left w:val="nil"/>
              <w:bottom w:val="single" w:sz="8" w:space="0" w:color="auto"/>
              <w:right w:val="single" w:sz="8" w:space="0" w:color="auto"/>
            </w:tcBorders>
            <w:shd w:val="clear" w:color="auto" w:fill="auto"/>
            <w:noWrap/>
            <w:vAlign w:val="center"/>
            <w:hideMark/>
          </w:tcPr>
          <w:p w14:paraId="3A832D98" w14:textId="614FEC0D"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47 073 227,95</w:t>
            </w:r>
          </w:p>
        </w:tc>
        <w:tc>
          <w:tcPr>
            <w:tcW w:w="1418" w:type="dxa"/>
            <w:tcBorders>
              <w:top w:val="nil"/>
              <w:left w:val="nil"/>
              <w:bottom w:val="single" w:sz="8" w:space="0" w:color="auto"/>
              <w:right w:val="single" w:sz="8" w:space="0" w:color="auto"/>
            </w:tcBorders>
            <w:shd w:val="clear" w:color="auto" w:fill="auto"/>
            <w:noWrap/>
            <w:vAlign w:val="center"/>
            <w:hideMark/>
          </w:tcPr>
          <w:p w14:paraId="557900A7" w14:textId="521F9EAA"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8 307 041,50</w:t>
            </w:r>
          </w:p>
        </w:tc>
        <w:tc>
          <w:tcPr>
            <w:tcW w:w="850" w:type="dxa"/>
            <w:tcBorders>
              <w:top w:val="nil"/>
              <w:left w:val="nil"/>
              <w:bottom w:val="single" w:sz="8" w:space="0" w:color="auto"/>
              <w:right w:val="single" w:sz="8" w:space="0" w:color="auto"/>
            </w:tcBorders>
            <w:shd w:val="clear" w:color="auto" w:fill="auto"/>
            <w:noWrap/>
            <w:vAlign w:val="center"/>
            <w:hideMark/>
          </w:tcPr>
          <w:p w14:paraId="1E1AD7BE" w14:textId="2216C7D6"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96,86%</w:t>
            </w:r>
          </w:p>
        </w:tc>
        <w:tc>
          <w:tcPr>
            <w:tcW w:w="993" w:type="dxa"/>
            <w:tcBorders>
              <w:top w:val="nil"/>
              <w:left w:val="nil"/>
              <w:bottom w:val="single" w:sz="8" w:space="0" w:color="auto"/>
              <w:right w:val="single" w:sz="8" w:space="0" w:color="auto"/>
            </w:tcBorders>
            <w:shd w:val="clear" w:color="auto" w:fill="auto"/>
            <w:noWrap/>
            <w:vAlign w:val="center"/>
            <w:hideMark/>
          </w:tcPr>
          <w:p w14:paraId="06D35C09" w14:textId="5EFD1BAE"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96,86%</w:t>
            </w:r>
          </w:p>
        </w:tc>
      </w:tr>
      <w:tr w:rsidR="00BD1782" w14:paraId="151FD789" w14:textId="77777777" w:rsidTr="0008447E">
        <w:trPr>
          <w:trHeight w:val="334"/>
        </w:trPr>
        <w:tc>
          <w:tcPr>
            <w:tcW w:w="1266" w:type="dxa"/>
            <w:tcBorders>
              <w:top w:val="nil"/>
              <w:left w:val="single" w:sz="8" w:space="0" w:color="auto"/>
              <w:bottom w:val="single" w:sz="8" w:space="0" w:color="auto"/>
              <w:right w:val="single" w:sz="8" w:space="0" w:color="auto"/>
            </w:tcBorders>
            <w:shd w:val="clear" w:color="auto" w:fill="auto"/>
            <w:noWrap/>
            <w:vAlign w:val="center"/>
            <w:hideMark/>
          </w:tcPr>
          <w:p w14:paraId="0D5E866B" w14:textId="77777777" w:rsidR="00BD1782" w:rsidRPr="00EE50CC" w:rsidRDefault="00BD1782" w:rsidP="00BD1782">
            <w:pPr>
              <w:rPr>
                <w:rFonts w:ascii="Arial" w:hAnsi="Arial" w:cs="Arial"/>
                <w:color w:val="000000"/>
                <w:sz w:val="16"/>
                <w:szCs w:val="16"/>
              </w:rPr>
            </w:pPr>
            <w:r w:rsidRPr="00EE50CC">
              <w:rPr>
                <w:rFonts w:ascii="Arial" w:hAnsi="Arial" w:cs="Arial"/>
                <w:color w:val="000000"/>
                <w:sz w:val="16"/>
                <w:szCs w:val="16"/>
              </w:rPr>
              <w:t>Prioritná os 7</w:t>
            </w:r>
          </w:p>
        </w:tc>
        <w:tc>
          <w:tcPr>
            <w:tcW w:w="1418" w:type="dxa"/>
            <w:tcBorders>
              <w:top w:val="nil"/>
              <w:left w:val="nil"/>
              <w:bottom w:val="single" w:sz="8" w:space="0" w:color="auto"/>
              <w:right w:val="nil"/>
            </w:tcBorders>
            <w:shd w:val="clear" w:color="auto" w:fill="auto"/>
            <w:noWrap/>
            <w:vAlign w:val="center"/>
            <w:hideMark/>
          </w:tcPr>
          <w:p w14:paraId="7E5778BB"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20 000 000,00</w:t>
            </w:r>
          </w:p>
        </w:tc>
        <w:tc>
          <w:tcPr>
            <w:tcW w:w="1417" w:type="dxa"/>
            <w:tcBorders>
              <w:top w:val="nil"/>
              <w:left w:val="single" w:sz="8" w:space="0" w:color="auto"/>
              <w:bottom w:val="single" w:sz="8" w:space="0" w:color="auto"/>
              <w:right w:val="single" w:sz="8" w:space="0" w:color="auto"/>
            </w:tcBorders>
            <w:shd w:val="clear" w:color="auto" w:fill="auto"/>
            <w:noWrap/>
            <w:vAlign w:val="center"/>
            <w:hideMark/>
          </w:tcPr>
          <w:p w14:paraId="7CBF912C" w14:textId="77777777" w:rsidR="00BD1782" w:rsidRPr="00EE50CC" w:rsidRDefault="00BD1782" w:rsidP="00BD1782">
            <w:pPr>
              <w:jc w:val="right"/>
              <w:rPr>
                <w:rFonts w:ascii="Arial" w:hAnsi="Arial" w:cs="Arial"/>
                <w:color w:val="000000"/>
                <w:sz w:val="16"/>
                <w:szCs w:val="16"/>
              </w:rPr>
            </w:pPr>
            <w:r w:rsidRPr="00EE50CC">
              <w:rPr>
                <w:rFonts w:ascii="Arial" w:hAnsi="Arial" w:cs="Arial"/>
                <w:color w:val="000000"/>
                <w:sz w:val="16"/>
                <w:szCs w:val="16"/>
              </w:rPr>
              <w:t>3 529 412,00</w:t>
            </w:r>
          </w:p>
        </w:tc>
        <w:tc>
          <w:tcPr>
            <w:tcW w:w="1559" w:type="dxa"/>
            <w:tcBorders>
              <w:top w:val="nil"/>
              <w:left w:val="nil"/>
              <w:bottom w:val="single" w:sz="8" w:space="0" w:color="auto"/>
              <w:right w:val="single" w:sz="8" w:space="0" w:color="auto"/>
            </w:tcBorders>
            <w:shd w:val="clear" w:color="auto" w:fill="auto"/>
            <w:noWrap/>
            <w:vAlign w:val="center"/>
            <w:hideMark/>
          </w:tcPr>
          <w:p w14:paraId="5C312CE9" w14:textId="2F1BD23B"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16 769 637,61</w:t>
            </w:r>
          </w:p>
        </w:tc>
        <w:tc>
          <w:tcPr>
            <w:tcW w:w="1418" w:type="dxa"/>
            <w:tcBorders>
              <w:top w:val="nil"/>
              <w:left w:val="nil"/>
              <w:bottom w:val="single" w:sz="8" w:space="0" w:color="auto"/>
              <w:right w:val="single" w:sz="8" w:space="0" w:color="auto"/>
            </w:tcBorders>
            <w:shd w:val="clear" w:color="auto" w:fill="auto"/>
            <w:noWrap/>
            <w:vAlign w:val="center"/>
            <w:hideMark/>
          </w:tcPr>
          <w:p w14:paraId="6594BE15" w14:textId="5C8E3BB7" w:rsidR="00BD1782" w:rsidRPr="00EE50CC" w:rsidRDefault="00BD1782" w:rsidP="0008447E">
            <w:pPr>
              <w:jc w:val="center"/>
              <w:rPr>
                <w:rFonts w:ascii="Arial" w:hAnsi="Arial" w:cs="Arial"/>
                <w:color w:val="000000"/>
                <w:sz w:val="16"/>
                <w:szCs w:val="16"/>
              </w:rPr>
            </w:pPr>
            <w:r w:rsidRPr="0008447E">
              <w:rPr>
                <w:rFonts w:ascii="Arial" w:hAnsi="Arial" w:cs="Arial"/>
                <w:color w:val="000000"/>
                <w:sz w:val="16"/>
                <w:szCs w:val="16"/>
              </w:rPr>
              <w:t>2 959 347,81</w:t>
            </w:r>
          </w:p>
        </w:tc>
        <w:tc>
          <w:tcPr>
            <w:tcW w:w="850" w:type="dxa"/>
            <w:tcBorders>
              <w:top w:val="nil"/>
              <w:left w:val="nil"/>
              <w:bottom w:val="single" w:sz="8" w:space="0" w:color="auto"/>
              <w:right w:val="single" w:sz="8" w:space="0" w:color="auto"/>
            </w:tcBorders>
            <w:shd w:val="clear" w:color="auto" w:fill="auto"/>
            <w:noWrap/>
            <w:vAlign w:val="center"/>
            <w:hideMark/>
          </w:tcPr>
          <w:p w14:paraId="164D2ADC" w14:textId="5795CBDF"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83,85%</w:t>
            </w:r>
          </w:p>
        </w:tc>
        <w:tc>
          <w:tcPr>
            <w:tcW w:w="993" w:type="dxa"/>
            <w:tcBorders>
              <w:top w:val="nil"/>
              <w:left w:val="nil"/>
              <w:bottom w:val="single" w:sz="8" w:space="0" w:color="auto"/>
              <w:right w:val="single" w:sz="8" w:space="0" w:color="auto"/>
            </w:tcBorders>
            <w:shd w:val="clear" w:color="auto" w:fill="auto"/>
            <w:noWrap/>
            <w:vAlign w:val="center"/>
            <w:hideMark/>
          </w:tcPr>
          <w:p w14:paraId="2971FDBC" w14:textId="28BB1589" w:rsidR="00BD1782" w:rsidRPr="00EE50CC" w:rsidRDefault="00BD1782" w:rsidP="00BD1782">
            <w:pPr>
              <w:jc w:val="center"/>
              <w:rPr>
                <w:rFonts w:ascii="Arial" w:hAnsi="Arial" w:cs="Arial"/>
                <w:color w:val="000000"/>
                <w:sz w:val="16"/>
                <w:szCs w:val="16"/>
              </w:rPr>
            </w:pPr>
            <w:r w:rsidRPr="0008447E">
              <w:rPr>
                <w:rFonts w:ascii="Arial" w:hAnsi="Arial" w:cs="Arial"/>
                <w:color w:val="000000"/>
                <w:sz w:val="16"/>
                <w:szCs w:val="16"/>
              </w:rPr>
              <w:t>83,85%</w:t>
            </w:r>
          </w:p>
        </w:tc>
      </w:tr>
      <w:tr w:rsidR="0008447E" w14:paraId="04E2A695" w14:textId="77777777" w:rsidTr="0008447E">
        <w:trPr>
          <w:trHeight w:val="334"/>
        </w:trPr>
        <w:tc>
          <w:tcPr>
            <w:tcW w:w="1266" w:type="dxa"/>
            <w:tcBorders>
              <w:top w:val="nil"/>
              <w:left w:val="single" w:sz="8" w:space="0" w:color="auto"/>
              <w:bottom w:val="single" w:sz="8" w:space="0" w:color="auto"/>
              <w:right w:val="single" w:sz="8" w:space="0" w:color="auto"/>
            </w:tcBorders>
            <w:shd w:val="clear" w:color="000000" w:fill="CCCCCC"/>
            <w:noWrap/>
            <w:vAlign w:val="center"/>
            <w:hideMark/>
          </w:tcPr>
          <w:p w14:paraId="019C6C21" w14:textId="77777777" w:rsidR="00BD1782" w:rsidRPr="00EE50CC" w:rsidRDefault="00BD1782" w:rsidP="00BD1782">
            <w:pPr>
              <w:rPr>
                <w:rFonts w:ascii="Arial" w:hAnsi="Arial" w:cs="Arial"/>
                <w:b/>
                <w:bCs/>
                <w:color w:val="000000"/>
                <w:sz w:val="16"/>
                <w:szCs w:val="16"/>
              </w:rPr>
            </w:pPr>
            <w:r w:rsidRPr="00EE50CC">
              <w:rPr>
                <w:rFonts w:ascii="Arial" w:hAnsi="Arial" w:cs="Arial"/>
                <w:b/>
                <w:bCs/>
                <w:color w:val="000000"/>
                <w:sz w:val="16"/>
                <w:szCs w:val="16"/>
              </w:rPr>
              <w:t>SPOLU</w:t>
            </w:r>
          </w:p>
        </w:tc>
        <w:tc>
          <w:tcPr>
            <w:tcW w:w="1418" w:type="dxa"/>
            <w:tcBorders>
              <w:top w:val="nil"/>
              <w:left w:val="nil"/>
              <w:bottom w:val="single" w:sz="8" w:space="0" w:color="auto"/>
              <w:right w:val="nil"/>
            </w:tcBorders>
            <w:shd w:val="clear" w:color="000000" w:fill="CCCCCC"/>
            <w:noWrap/>
            <w:vAlign w:val="center"/>
            <w:hideMark/>
          </w:tcPr>
          <w:p w14:paraId="68ECDACB" w14:textId="77777777" w:rsidR="00BD1782" w:rsidRPr="00EE50CC" w:rsidRDefault="00BD1782" w:rsidP="00BD1782">
            <w:pPr>
              <w:jc w:val="right"/>
              <w:rPr>
                <w:rFonts w:ascii="Arial" w:hAnsi="Arial" w:cs="Arial"/>
                <w:b/>
                <w:bCs/>
                <w:color w:val="000000"/>
                <w:sz w:val="16"/>
                <w:szCs w:val="16"/>
              </w:rPr>
            </w:pPr>
            <w:r w:rsidRPr="00EE50CC">
              <w:rPr>
                <w:rFonts w:ascii="Arial" w:hAnsi="Arial" w:cs="Arial"/>
                <w:b/>
                <w:bCs/>
                <w:color w:val="000000"/>
                <w:sz w:val="16"/>
                <w:szCs w:val="16"/>
              </w:rPr>
              <w:t>1 820 000 000,00</w:t>
            </w:r>
          </w:p>
        </w:tc>
        <w:tc>
          <w:tcPr>
            <w:tcW w:w="1417" w:type="dxa"/>
            <w:tcBorders>
              <w:top w:val="nil"/>
              <w:left w:val="single" w:sz="8" w:space="0" w:color="auto"/>
              <w:bottom w:val="single" w:sz="8" w:space="0" w:color="auto"/>
              <w:right w:val="single" w:sz="8" w:space="0" w:color="auto"/>
            </w:tcBorders>
            <w:shd w:val="clear" w:color="000000" w:fill="CCCCCC"/>
            <w:noWrap/>
            <w:vAlign w:val="center"/>
            <w:hideMark/>
          </w:tcPr>
          <w:p w14:paraId="61928F69" w14:textId="77777777" w:rsidR="00BD1782" w:rsidRPr="00EE50CC" w:rsidRDefault="00BD1782" w:rsidP="00BD1782">
            <w:pPr>
              <w:jc w:val="right"/>
              <w:rPr>
                <w:rFonts w:ascii="Arial" w:hAnsi="Arial" w:cs="Arial"/>
                <w:b/>
                <w:bCs/>
                <w:color w:val="000000"/>
                <w:sz w:val="16"/>
                <w:szCs w:val="16"/>
              </w:rPr>
            </w:pPr>
            <w:r w:rsidRPr="00EE50CC">
              <w:rPr>
                <w:rFonts w:ascii="Arial" w:hAnsi="Arial" w:cs="Arial"/>
                <w:b/>
                <w:bCs/>
                <w:color w:val="000000"/>
                <w:sz w:val="16"/>
                <w:szCs w:val="16"/>
              </w:rPr>
              <w:t>283 270 350,00</w:t>
            </w:r>
          </w:p>
        </w:tc>
        <w:tc>
          <w:tcPr>
            <w:tcW w:w="1559" w:type="dxa"/>
            <w:tcBorders>
              <w:top w:val="nil"/>
              <w:left w:val="nil"/>
              <w:bottom w:val="single" w:sz="8" w:space="0" w:color="auto"/>
              <w:right w:val="single" w:sz="8" w:space="0" w:color="auto"/>
            </w:tcBorders>
            <w:shd w:val="clear" w:color="000000" w:fill="CCCCCC"/>
            <w:noWrap/>
            <w:vAlign w:val="center"/>
            <w:hideMark/>
          </w:tcPr>
          <w:p w14:paraId="4E94A980" w14:textId="2C35F559" w:rsidR="00BD1782" w:rsidRPr="00BD1782" w:rsidRDefault="00BD1782" w:rsidP="0008447E">
            <w:pPr>
              <w:jc w:val="center"/>
              <w:rPr>
                <w:rFonts w:ascii="Arial" w:hAnsi="Arial" w:cs="Arial"/>
                <w:b/>
                <w:color w:val="000000"/>
                <w:sz w:val="16"/>
                <w:szCs w:val="16"/>
              </w:rPr>
            </w:pPr>
            <w:r w:rsidRPr="0008447E">
              <w:rPr>
                <w:rFonts w:ascii="Arial" w:hAnsi="Arial" w:cs="Arial"/>
                <w:b/>
                <w:color w:val="000000"/>
                <w:sz w:val="16"/>
                <w:szCs w:val="16"/>
              </w:rPr>
              <w:t>1 744 160 976,91</w:t>
            </w:r>
          </w:p>
        </w:tc>
        <w:tc>
          <w:tcPr>
            <w:tcW w:w="1418" w:type="dxa"/>
            <w:tcBorders>
              <w:top w:val="nil"/>
              <w:left w:val="nil"/>
              <w:bottom w:val="single" w:sz="8" w:space="0" w:color="auto"/>
              <w:right w:val="single" w:sz="8" w:space="0" w:color="auto"/>
            </w:tcBorders>
            <w:shd w:val="clear" w:color="000000" w:fill="CCCCCC"/>
            <w:noWrap/>
            <w:vAlign w:val="center"/>
            <w:hideMark/>
          </w:tcPr>
          <w:p w14:paraId="38378518" w14:textId="2D12233C" w:rsidR="00BD1782" w:rsidRPr="00BD1782" w:rsidRDefault="00BD1782" w:rsidP="0008447E">
            <w:pPr>
              <w:jc w:val="center"/>
              <w:rPr>
                <w:rFonts w:ascii="Arial" w:hAnsi="Arial" w:cs="Arial"/>
                <w:b/>
                <w:color w:val="000000"/>
                <w:sz w:val="16"/>
                <w:szCs w:val="16"/>
              </w:rPr>
            </w:pPr>
            <w:r w:rsidRPr="0008447E">
              <w:rPr>
                <w:rFonts w:ascii="Arial" w:hAnsi="Arial" w:cs="Arial"/>
                <w:b/>
                <w:color w:val="000000"/>
                <w:sz w:val="16"/>
                <w:szCs w:val="16"/>
              </w:rPr>
              <w:t>270 144 698,93</w:t>
            </w:r>
          </w:p>
        </w:tc>
        <w:tc>
          <w:tcPr>
            <w:tcW w:w="850" w:type="dxa"/>
            <w:tcBorders>
              <w:top w:val="nil"/>
              <w:left w:val="nil"/>
              <w:bottom w:val="single" w:sz="8" w:space="0" w:color="auto"/>
              <w:right w:val="single" w:sz="8" w:space="0" w:color="auto"/>
            </w:tcBorders>
            <w:shd w:val="clear" w:color="000000" w:fill="CCCCCC"/>
            <w:noWrap/>
            <w:vAlign w:val="center"/>
            <w:hideMark/>
          </w:tcPr>
          <w:p w14:paraId="44F9AB48" w14:textId="2BDE8EB6" w:rsidR="00BD1782" w:rsidRPr="00BD1782" w:rsidRDefault="00BD1782" w:rsidP="00BD1782">
            <w:pPr>
              <w:jc w:val="center"/>
              <w:rPr>
                <w:rFonts w:ascii="Arial" w:hAnsi="Arial" w:cs="Arial"/>
                <w:b/>
                <w:color w:val="000000"/>
                <w:sz w:val="16"/>
                <w:szCs w:val="16"/>
              </w:rPr>
            </w:pPr>
            <w:r w:rsidRPr="0008447E">
              <w:rPr>
                <w:rFonts w:ascii="Arial" w:hAnsi="Arial" w:cs="Arial"/>
                <w:b/>
                <w:color w:val="000000"/>
                <w:sz w:val="16"/>
                <w:szCs w:val="16"/>
              </w:rPr>
              <w:t>95,83%</w:t>
            </w:r>
          </w:p>
        </w:tc>
        <w:tc>
          <w:tcPr>
            <w:tcW w:w="993" w:type="dxa"/>
            <w:tcBorders>
              <w:top w:val="nil"/>
              <w:left w:val="nil"/>
              <w:bottom w:val="single" w:sz="8" w:space="0" w:color="auto"/>
              <w:right w:val="single" w:sz="8" w:space="0" w:color="auto"/>
            </w:tcBorders>
            <w:shd w:val="clear" w:color="000000" w:fill="CCCCCC"/>
            <w:noWrap/>
            <w:vAlign w:val="center"/>
            <w:hideMark/>
          </w:tcPr>
          <w:p w14:paraId="392CC086" w14:textId="1415B4C3" w:rsidR="00BD1782" w:rsidRPr="00BD1782" w:rsidRDefault="00BD1782" w:rsidP="00BD1782">
            <w:pPr>
              <w:jc w:val="center"/>
              <w:rPr>
                <w:rFonts w:ascii="Arial" w:hAnsi="Arial" w:cs="Arial"/>
                <w:b/>
                <w:color w:val="000000"/>
                <w:sz w:val="16"/>
                <w:szCs w:val="16"/>
              </w:rPr>
            </w:pPr>
            <w:r w:rsidRPr="0008447E">
              <w:rPr>
                <w:rFonts w:ascii="Arial" w:hAnsi="Arial" w:cs="Arial"/>
                <w:b/>
                <w:color w:val="000000"/>
                <w:sz w:val="16"/>
                <w:szCs w:val="16"/>
              </w:rPr>
              <w:t>95,37%</w:t>
            </w:r>
          </w:p>
        </w:tc>
      </w:tr>
      <w:tr w:rsidR="006C73A6" w14:paraId="2F65EF78" w14:textId="77777777" w:rsidTr="004959AE">
        <w:trPr>
          <w:trHeight w:val="320"/>
        </w:trPr>
        <w:tc>
          <w:tcPr>
            <w:tcW w:w="2684" w:type="dxa"/>
            <w:gridSpan w:val="2"/>
            <w:tcBorders>
              <w:top w:val="nil"/>
              <w:left w:val="nil"/>
              <w:bottom w:val="nil"/>
              <w:right w:val="nil"/>
            </w:tcBorders>
            <w:shd w:val="clear" w:color="auto" w:fill="auto"/>
            <w:noWrap/>
            <w:vAlign w:val="center"/>
            <w:hideMark/>
          </w:tcPr>
          <w:p w14:paraId="061D43B3" w14:textId="77777777" w:rsidR="006C73A6" w:rsidRDefault="006C73A6" w:rsidP="004959AE">
            <w:pPr>
              <w:rPr>
                <w:rFonts w:ascii="Arial Narrow" w:hAnsi="Arial Narrow"/>
                <w:color w:val="000000"/>
                <w:sz w:val="18"/>
                <w:szCs w:val="18"/>
              </w:rPr>
            </w:pPr>
            <w:r>
              <w:rPr>
                <w:rFonts w:ascii="Arial Narrow" w:hAnsi="Arial Narrow"/>
                <w:color w:val="000000"/>
                <w:sz w:val="18"/>
                <w:szCs w:val="18"/>
              </w:rPr>
              <w:t>Zdroj: MFSR, CO</w:t>
            </w:r>
          </w:p>
        </w:tc>
        <w:tc>
          <w:tcPr>
            <w:tcW w:w="1417" w:type="dxa"/>
            <w:tcBorders>
              <w:top w:val="nil"/>
              <w:left w:val="nil"/>
              <w:bottom w:val="nil"/>
              <w:right w:val="nil"/>
            </w:tcBorders>
            <w:shd w:val="clear" w:color="auto" w:fill="auto"/>
            <w:noWrap/>
            <w:vAlign w:val="bottom"/>
            <w:hideMark/>
          </w:tcPr>
          <w:p w14:paraId="2BBAEBE4" w14:textId="77777777" w:rsidR="006C73A6" w:rsidRDefault="006C73A6" w:rsidP="004959AE">
            <w:pPr>
              <w:rPr>
                <w:sz w:val="20"/>
                <w:szCs w:val="20"/>
              </w:rPr>
            </w:pPr>
          </w:p>
        </w:tc>
        <w:tc>
          <w:tcPr>
            <w:tcW w:w="1559" w:type="dxa"/>
            <w:tcBorders>
              <w:top w:val="nil"/>
              <w:left w:val="nil"/>
              <w:bottom w:val="nil"/>
              <w:right w:val="nil"/>
            </w:tcBorders>
            <w:shd w:val="clear" w:color="auto" w:fill="auto"/>
            <w:noWrap/>
            <w:vAlign w:val="bottom"/>
            <w:hideMark/>
          </w:tcPr>
          <w:p w14:paraId="3CF856B4" w14:textId="77777777" w:rsidR="006C73A6" w:rsidRDefault="006C73A6" w:rsidP="004959AE">
            <w:pPr>
              <w:rPr>
                <w:sz w:val="20"/>
                <w:szCs w:val="20"/>
              </w:rPr>
            </w:pPr>
          </w:p>
        </w:tc>
        <w:tc>
          <w:tcPr>
            <w:tcW w:w="1418" w:type="dxa"/>
            <w:tcBorders>
              <w:top w:val="nil"/>
              <w:left w:val="nil"/>
              <w:bottom w:val="nil"/>
              <w:right w:val="nil"/>
            </w:tcBorders>
            <w:shd w:val="clear" w:color="auto" w:fill="auto"/>
            <w:noWrap/>
            <w:vAlign w:val="bottom"/>
            <w:hideMark/>
          </w:tcPr>
          <w:p w14:paraId="1E231F2B" w14:textId="77777777" w:rsidR="006C73A6" w:rsidRDefault="006C73A6" w:rsidP="004959AE">
            <w:pPr>
              <w:rPr>
                <w:sz w:val="20"/>
                <w:szCs w:val="20"/>
              </w:rPr>
            </w:pPr>
          </w:p>
        </w:tc>
        <w:tc>
          <w:tcPr>
            <w:tcW w:w="850" w:type="dxa"/>
            <w:tcBorders>
              <w:top w:val="nil"/>
              <w:left w:val="nil"/>
              <w:bottom w:val="nil"/>
              <w:right w:val="nil"/>
            </w:tcBorders>
            <w:shd w:val="clear" w:color="auto" w:fill="auto"/>
            <w:noWrap/>
            <w:vAlign w:val="bottom"/>
            <w:hideMark/>
          </w:tcPr>
          <w:p w14:paraId="446F7E0D" w14:textId="77777777" w:rsidR="006C73A6" w:rsidRDefault="006C73A6" w:rsidP="004959AE">
            <w:pPr>
              <w:rPr>
                <w:sz w:val="20"/>
                <w:szCs w:val="20"/>
              </w:rPr>
            </w:pPr>
          </w:p>
        </w:tc>
        <w:tc>
          <w:tcPr>
            <w:tcW w:w="993" w:type="dxa"/>
            <w:tcBorders>
              <w:top w:val="nil"/>
              <w:left w:val="nil"/>
              <w:bottom w:val="nil"/>
              <w:right w:val="nil"/>
            </w:tcBorders>
            <w:shd w:val="clear" w:color="auto" w:fill="auto"/>
            <w:noWrap/>
            <w:vAlign w:val="bottom"/>
            <w:hideMark/>
          </w:tcPr>
          <w:p w14:paraId="044392DE" w14:textId="77777777" w:rsidR="006C73A6" w:rsidRDefault="006C73A6" w:rsidP="004959AE">
            <w:pPr>
              <w:rPr>
                <w:sz w:val="20"/>
                <w:szCs w:val="20"/>
              </w:rPr>
            </w:pPr>
          </w:p>
        </w:tc>
      </w:tr>
    </w:tbl>
    <w:p w14:paraId="74A0977F" w14:textId="77777777" w:rsidR="006C73A6" w:rsidRPr="004801A7" w:rsidRDefault="006C73A6" w:rsidP="006C73A6">
      <w:pPr>
        <w:spacing w:after="120"/>
        <w:jc w:val="both"/>
        <w:rPr>
          <w:rFonts w:ascii="Arial Narrow" w:hAnsi="Arial Narrow"/>
          <w:bCs/>
          <w:color w:val="000000"/>
          <w:sz w:val="18"/>
          <w:szCs w:val="18"/>
        </w:rPr>
      </w:pPr>
      <w:r w:rsidRPr="004801A7">
        <w:rPr>
          <w:rFonts w:ascii="Arial Narrow" w:hAnsi="Arial Narrow"/>
          <w:bCs/>
          <w:color w:val="000000"/>
          <w:sz w:val="18"/>
          <w:szCs w:val="18"/>
        </w:rPr>
        <w:t xml:space="preserve">Poznámka: </w:t>
      </w:r>
      <w:r>
        <w:rPr>
          <w:rFonts w:ascii="Arial Narrow" w:hAnsi="Arial Narrow"/>
          <w:bCs/>
          <w:color w:val="000000"/>
          <w:sz w:val="18"/>
          <w:szCs w:val="18"/>
        </w:rPr>
        <w:t>F</w:t>
      </w:r>
      <w:r w:rsidRPr="004801A7">
        <w:rPr>
          <w:rFonts w:ascii="Arial Narrow" w:hAnsi="Arial Narrow"/>
          <w:bCs/>
          <w:color w:val="000000"/>
          <w:sz w:val="18"/>
          <w:szCs w:val="18"/>
        </w:rPr>
        <w:t xml:space="preserve">ond ERDF </w:t>
      </w:r>
      <w:r>
        <w:rPr>
          <w:rFonts w:ascii="Arial Narrow" w:hAnsi="Arial Narrow"/>
          <w:bCs/>
          <w:color w:val="000000"/>
          <w:sz w:val="18"/>
          <w:szCs w:val="18"/>
        </w:rPr>
        <w:t>-</w:t>
      </w:r>
      <w:r w:rsidRPr="004801A7">
        <w:rPr>
          <w:rFonts w:ascii="Arial Narrow" w:hAnsi="Arial Narrow"/>
          <w:bCs/>
          <w:color w:val="000000"/>
          <w:sz w:val="18"/>
          <w:szCs w:val="18"/>
        </w:rPr>
        <w:t xml:space="preserve"> PO 3, 5 a</w:t>
      </w:r>
      <w:r>
        <w:rPr>
          <w:rFonts w:ascii="Arial Narrow" w:hAnsi="Arial Narrow"/>
          <w:bCs/>
          <w:color w:val="000000"/>
          <w:sz w:val="18"/>
          <w:szCs w:val="18"/>
        </w:rPr>
        <w:t xml:space="preserve"> </w:t>
      </w:r>
      <w:r w:rsidRPr="004801A7">
        <w:rPr>
          <w:rFonts w:ascii="Arial Narrow" w:hAnsi="Arial Narrow"/>
          <w:bCs/>
          <w:color w:val="000000"/>
          <w:sz w:val="18"/>
          <w:szCs w:val="18"/>
        </w:rPr>
        <w:t xml:space="preserve">7. Fond KF </w:t>
      </w:r>
      <w:r>
        <w:rPr>
          <w:rFonts w:ascii="Arial Narrow" w:hAnsi="Arial Narrow"/>
          <w:bCs/>
          <w:color w:val="000000"/>
          <w:sz w:val="18"/>
          <w:szCs w:val="18"/>
        </w:rPr>
        <w:t>-</w:t>
      </w:r>
      <w:r w:rsidRPr="004801A7">
        <w:rPr>
          <w:rFonts w:ascii="Arial Narrow" w:hAnsi="Arial Narrow"/>
          <w:bCs/>
          <w:color w:val="000000"/>
          <w:sz w:val="18"/>
          <w:szCs w:val="18"/>
        </w:rPr>
        <w:t xml:space="preserve"> PO 1, 2, 4 a 6</w:t>
      </w:r>
    </w:p>
    <w:p w14:paraId="4EA45913" w14:textId="77777777" w:rsidR="006C73A6" w:rsidRDefault="006C73A6" w:rsidP="006C73A6">
      <w:pPr>
        <w:spacing w:before="120"/>
        <w:jc w:val="both"/>
        <w:rPr>
          <w:rFonts w:ascii="Arial Narrow" w:hAnsi="Arial Narrow"/>
          <w:sz w:val="22"/>
          <w:szCs w:val="22"/>
        </w:rPr>
      </w:pPr>
    </w:p>
    <w:p w14:paraId="11FA16A8" w14:textId="1FC44BBF" w:rsidR="006C73A6" w:rsidRPr="00807178" w:rsidRDefault="006C73A6" w:rsidP="006C73A6">
      <w:pPr>
        <w:jc w:val="both"/>
        <w:rPr>
          <w:rFonts w:ascii="Arial" w:hAnsi="Arial" w:cs="Arial"/>
          <w:color w:val="000000"/>
          <w:sz w:val="20"/>
          <w:szCs w:val="22"/>
        </w:rPr>
      </w:pPr>
      <w:r w:rsidRPr="00807178">
        <w:rPr>
          <w:rFonts w:ascii="Arial" w:hAnsi="Arial" w:cs="Arial"/>
          <w:color w:val="000000"/>
          <w:sz w:val="20"/>
          <w:szCs w:val="22"/>
        </w:rPr>
        <w:t xml:space="preserve">Graf č. </w:t>
      </w:r>
      <w:r w:rsidR="00682B07" w:rsidRPr="00807178">
        <w:rPr>
          <w:rFonts w:ascii="Arial" w:hAnsi="Arial" w:cs="Arial"/>
          <w:color w:val="000000"/>
          <w:sz w:val="20"/>
          <w:szCs w:val="22"/>
        </w:rPr>
        <w:t>1</w:t>
      </w:r>
      <w:r w:rsidRPr="00807178">
        <w:rPr>
          <w:rFonts w:ascii="Arial" w:hAnsi="Arial" w:cs="Arial"/>
          <w:color w:val="000000"/>
          <w:sz w:val="20"/>
          <w:szCs w:val="22"/>
        </w:rPr>
        <w:t>: Vývoj čerpania prostriedkov za OP Životné prostredie k 31.</w:t>
      </w:r>
      <w:r w:rsidR="00BD1782">
        <w:rPr>
          <w:rFonts w:ascii="Arial" w:hAnsi="Arial" w:cs="Arial"/>
          <w:color w:val="000000"/>
          <w:sz w:val="20"/>
          <w:szCs w:val="22"/>
        </w:rPr>
        <w:t xml:space="preserve"> 10</w:t>
      </w:r>
      <w:r w:rsidRPr="00807178">
        <w:rPr>
          <w:rFonts w:ascii="Arial" w:hAnsi="Arial" w:cs="Arial"/>
          <w:color w:val="000000"/>
          <w:sz w:val="20"/>
          <w:szCs w:val="22"/>
        </w:rPr>
        <w:t>.</w:t>
      </w:r>
      <w:r w:rsidR="00BD1782">
        <w:rPr>
          <w:rFonts w:ascii="Arial" w:hAnsi="Arial" w:cs="Arial"/>
          <w:color w:val="000000"/>
          <w:sz w:val="20"/>
          <w:szCs w:val="22"/>
        </w:rPr>
        <w:t xml:space="preserve"> </w:t>
      </w:r>
      <w:r w:rsidRPr="00807178">
        <w:rPr>
          <w:rFonts w:ascii="Arial" w:hAnsi="Arial" w:cs="Arial"/>
          <w:color w:val="000000"/>
          <w:sz w:val="20"/>
          <w:szCs w:val="22"/>
        </w:rPr>
        <w:t>2016 – fond ERDF</w:t>
      </w:r>
    </w:p>
    <w:p w14:paraId="4243DBF6" w14:textId="592FAEC8" w:rsidR="006C73A6" w:rsidRDefault="006C73A6" w:rsidP="006C73A6">
      <w:pPr>
        <w:jc w:val="both"/>
        <w:rPr>
          <w:rFonts w:ascii="Arial Narrow" w:hAnsi="Arial Narrow"/>
          <w:color w:val="000000"/>
          <w:sz w:val="22"/>
          <w:szCs w:val="22"/>
        </w:rPr>
      </w:pPr>
      <w:r w:rsidRPr="00B632B6">
        <w:rPr>
          <w:rFonts w:ascii="Arial Narrow" w:hAnsi="Arial Narrow"/>
          <w:noProof/>
          <w:color w:val="000000"/>
          <w:sz w:val="22"/>
          <w:szCs w:val="22"/>
        </w:rPr>
        <w:drawing>
          <wp:inline distT="0" distB="0" distL="0" distR="0" wp14:anchorId="620AF5A4" wp14:editId="15912294">
            <wp:extent cx="6191250" cy="3108498"/>
            <wp:effectExtent l="0" t="0" r="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94349" cy="3110054"/>
                    </a:xfrm>
                    <a:prstGeom prst="rect">
                      <a:avLst/>
                    </a:prstGeom>
                    <a:noFill/>
                  </pic:spPr>
                </pic:pic>
              </a:graphicData>
            </a:graphic>
          </wp:inline>
        </w:drawing>
      </w:r>
    </w:p>
    <w:p w14:paraId="405A374C" w14:textId="77777777" w:rsidR="006C73A6" w:rsidRDefault="006C73A6" w:rsidP="006C73A6">
      <w:pPr>
        <w:jc w:val="both"/>
        <w:rPr>
          <w:rFonts w:ascii="Arial Narrow" w:hAnsi="Arial Narrow"/>
          <w:color w:val="000000"/>
          <w:sz w:val="16"/>
          <w:szCs w:val="16"/>
        </w:rPr>
      </w:pPr>
      <w:r w:rsidRPr="0074532F">
        <w:rPr>
          <w:rFonts w:ascii="Arial Narrow" w:hAnsi="Arial Narrow"/>
          <w:color w:val="000000"/>
          <w:sz w:val="16"/>
          <w:szCs w:val="16"/>
        </w:rPr>
        <w:t>Zdroj: MF SR, CO</w:t>
      </w:r>
    </w:p>
    <w:p w14:paraId="60082AA9" w14:textId="77777777" w:rsidR="006C73A6" w:rsidRPr="0074532F" w:rsidRDefault="006C73A6" w:rsidP="006C73A6">
      <w:pPr>
        <w:jc w:val="both"/>
        <w:rPr>
          <w:rFonts w:ascii="Arial Narrow" w:hAnsi="Arial Narrow"/>
          <w:color w:val="000000"/>
          <w:sz w:val="16"/>
          <w:szCs w:val="16"/>
        </w:rPr>
      </w:pPr>
    </w:p>
    <w:p w14:paraId="41F055A4" w14:textId="77777777" w:rsidR="0008447E" w:rsidRDefault="0008447E">
      <w:pPr>
        <w:rPr>
          <w:rFonts w:ascii="Arial" w:hAnsi="Arial" w:cs="Arial"/>
          <w:bCs/>
          <w:color w:val="000000"/>
          <w:sz w:val="20"/>
          <w:szCs w:val="22"/>
        </w:rPr>
      </w:pPr>
      <w:r>
        <w:rPr>
          <w:rFonts w:ascii="Arial" w:hAnsi="Arial" w:cs="Arial"/>
          <w:bCs/>
          <w:color w:val="000000"/>
          <w:sz w:val="20"/>
          <w:szCs w:val="22"/>
        </w:rPr>
        <w:br w:type="page"/>
      </w:r>
    </w:p>
    <w:p w14:paraId="34597D3F" w14:textId="3B262899" w:rsidR="006C73A6" w:rsidRPr="00807178" w:rsidRDefault="006C73A6" w:rsidP="006C73A6">
      <w:pPr>
        <w:jc w:val="both"/>
        <w:rPr>
          <w:rFonts w:ascii="Arial" w:hAnsi="Arial" w:cs="Arial"/>
          <w:bCs/>
          <w:color w:val="000000"/>
          <w:sz w:val="20"/>
          <w:szCs w:val="22"/>
        </w:rPr>
      </w:pPr>
      <w:r w:rsidRPr="00807178">
        <w:rPr>
          <w:rFonts w:ascii="Arial" w:hAnsi="Arial" w:cs="Arial"/>
          <w:bCs/>
          <w:color w:val="000000"/>
          <w:sz w:val="20"/>
          <w:szCs w:val="22"/>
        </w:rPr>
        <w:lastRenderedPageBreak/>
        <w:t xml:space="preserve">Graf č. </w:t>
      </w:r>
      <w:r w:rsidR="00682B07" w:rsidRPr="00807178">
        <w:rPr>
          <w:rFonts w:ascii="Arial" w:hAnsi="Arial" w:cs="Arial"/>
          <w:bCs/>
          <w:color w:val="000000"/>
          <w:sz w:val="20"/>
          <w:szCs w:val="22"/>
        </w:rPr>
        <w:t>2</w:t>
      </w:r>
      <w:r w:rsidRPr="00807178">
        <w:rPr>
          <w:rFonts w:ascii="Arial" w:hAnsi="Arial" w:cs="Arial"/>
          <w:bCs/>
          <w:color w:val="000000"/>
          <w:sz w:val="20"/>
          <w:szCs w:val="22"/>
        </w:rPr>
        <w:t>: Vývoj čerpania prostriedkov za OP Životné prostredie k 31.</w:t>
      </w:r>
      <w:r w:rsidR="00BD1782">
        <w:rPr>
          <w:rFonts w:ascii="Arial" w:hAnsi="Arial" w:cs="Arial"/>
          <w:bCs/>
          <w:color w:val="000000"/>
          <w:sz w:val="20"/>
          <w:szCs w:val="22"/>
        </w:rPr>
        <w:t xml:space="preserve"> 10</w:t>
      </w:r>
      <w:r w:rsidRPr="00807178">
        <w:rPr>
          <w:rFonts w:ascii="Arial" w:hAnsi="Arial" w:cs="Arial"/>
          <w:bCs/>
          <w:color w:val="000000"/>
          <w:sz w:val="20"/>
          <w:szCs w:val="22"/>
        </w:rPr>
        <w:t>.</w:t>
      </w:r>
      <w:r w:rsidR="00BD1782">
        <w:rPr>
          <w:rFonts w:ascii="Arial" w:hAnsi="Arial" w:cs="Arial"/>
          <w:bCs/>
          <w:color w:val="000000"/>
          <w:sz w:val="20"/>
          <w:szCs w:val="22"/>
        </w:rPr>
        <w:t xml:space="preserve"> </w:t>
      </w:r>
      <w:r w:rsidRPr="00807178">
        <w:rPr>
          <w:rFonts w:ascii="Arial" w:hAnsi="Arial" w:cs="Arial"/>
          <w:bCs/>
          <w:color w:val="000000"/>
          <w:sz w:val="20"/>
          <w:szCs w:val="22"/>
        </w:rPr>
        <w:t>2016 – fond KF</w:t>
      </w:r>
    </w:p>
    <w:p w14:paraId="6826AA48" w14:textId="62E4A3F6" w:rsidR="006C73A6" w:rsidRDefault="006C73A6" w:rsidP="006C73A6">
      <w:pPr>
        <w:jc w:val="both"/>
        <w:rPr>
          <w:rFonts w:ascii="Arial Narrow" w:hAnsi="Arial Narrow"/>
          <w:bCs/>
          <w:color w:val="000000"/>
          <w:sz w:val="22"/>
          <w:szCs w:val="22"/>
        </w:rPr>
      </w:pPr>
      <w:r w:rsidRPr="00B632B6">
        <w:rPr>
          <w:rFonts w:ascii="Arial Narrow" w:hAnsi="Arial Narrow"/>
          <w:bCs/>
          <w:noProof/>
          <w:color w:val="000000"/>
          <w:sz w:val="22"/>
          <w:szCs w:val="22"/>
        </w:rPr>
        <w:drawing>
          <wp:inline distT="0" distB="0" distL="0" distR="0" wp14:anchorId="597E8C2A" wp14:editId="6A25ABDA">
            <wp:extent cx="6184582" cy="3105150"/>
            <wp:effectExtent l="0" t="0" r="6985"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91424" cy="3108585"/>
                    </a:xfrm>
                    <a:prstGeom prst="rect">
                      <a:avLst/>
                    </a:prstGeom>
                    <a:noFill/>
                  </pic:spPr>
                </pic:pic>
              </a:graphicData>
            </a:graphic>
          </wp:inline>
        </w:drawing>
      </w:r>
    </w:p>
    <w:p w14:paraId="2205DDB1" w14:textId="70E31902" w:rsidR="006C73A6" w:rsidRPr="008805AA" w:rsidRDefault="008805AA" w:rsidP="008805AA">
      <w:pPr>
        <w:pStyle w:val="Odsekzoznamu"/>
        <w:tabs>
          <w:tab w:val="left" w:pos="284"/>
        </w:tabs>
        <w:spacing w:before="120" w:after="0" w:line="240" w:lineRule="auto"/>
        <w:ind w:left="0"/>
        <w:contextualSpacing w:val="0"/>
        <w:jc w:val="both"/>
        <w:rPr>
          <w:rFonts w:ascii="Arial Narrow" w:hAnsi="Arial Narrow"/>
          <w:sz w:val="16"/>
          <w:szCs w:val="16"/>
        </w:rPr>
      </w:pPr>
      <w:r>
        <w:rPr>
          <w:rFonts w:ascii="Arial Narrow" w:hAnsi="Arial Narrow"/>
          <w:sz w:val="16"/>
          <w:szCs w:val="16"/>
        </w:rPr>
        <w:t>Zdroj: MF SR, CO</w:t>
      </w:r>
    </w:p>
    <w:p w14:paraId="3B52DF0E" w14:textId="36EB2E22" w:rsidR="006C73A6" w:rsidRPr="006C0B5D" w:rsidRDefault="006C73A6" w:rsidP="006C0B5D">
      <w:pPr>
        <w:spacing w:before="120" w:after="120"/>
        <w:jc w:val="both"/>
        <w:rPr>
          <w:rFonts w:ascii="Arial" w:hAnsi="Arial" w:cs="Arial"/>
          <w:sz w:val="20"/>
          <w:szCs w:val="20"/>
          <w:lang w:eastAsia="cs-CZ"/>
        </w:rPr>
      </w:pPr>
      <w:r w:rsidRPr="006C0B5D">
        <w:rPr>
          <w:rFonts w:ascii="Arial" w:hAnsi="Arial" w:cs="Arial"/>
          <w:sz w:val="20"/>
          <w:szCs w:val="20"/>
          <w:lang w:eastAsia="cs-CZ"/>
        </w:rPr>
        <w:t>Na účte CO pre OP Životné prostredie od začiatku programového obdobia d</w:t>
      </w:r>
      <w:r w:rsidR="0059168D">
        <w:rPr>
          <w:rFonts w:ascii="Arial" w:hAnsi="Arial" w:cs="Arial"/>
          <w:sz w:val="20"/>
          <w:szCs w:val="20"/>
          <w:lang w:eastAsia="cs-CZ"/>
        </w:rPr>
        <w:t xml:space="preserve">o </w:t>
      </w:r>
      <w:r w:rsidR="0059168D" w:rsidRPr="006C0B5D">
        <w:rPr>
          <w:rFonts w:ascii="Arial" w:hAnsi="Arial" w:cs="Arial"/>
          <w:sz w:val="20"/>
          <w:szCs w:val="20"/>
          <w:lang w:eastAsia="cs-CZ"/>
        </w:rPr>
        <w:t>31.</w:t>
      </w:r>
      <w:r w:rsidR="0059168D">
        <w:rPr>
          <w:rFonts w:ascii="Arial" w:hAnsi="Arial" w:cs="Arial"/>
          <w:sz w:val="20"/>
          <w:szCs w:val="20"/>
          <w:lang w:eastAsia="cs-CZ"/>
        </w:rPr>
        <w:t>10</w:t>
      </w:r>
      <w:r w:rsidR="0059168D" w:rsidRPr="006C0B5D">
        <w:rPr>
          <w:rFonts w:ascii="Arial" w:hAnsi="Arial" w:cs="Arial"/>
          <w:sz w:val="20"/>
          <w:szCs w:val="20"/>
          <w:lang w:eastAsia="cs-CZ"/>
        </w:rPr>
        <w:t xml:space="preserve">.2016 vznikli úroky </w:t>
      </w:r>
      <w:r w:rsidR="0059168D" w:rsidRPr="006C0B5D">
        <w:rPr>
          <w:rFonts w:ascii="Arial" w:hAnsi="Arial" w:cs="Arial"/>
          <w:sz w:val="20"/>
          <w:szCs w:val="20"/>
          <w:lang w:eastAsia="cs-CZ"/>
        </w:rPr>
        <w:br/>
        <w:t xml:space="preserve">v celkovej výške 929 </w:t>
      </w:r>
      <w:r w:rsidR="0059168D">
        <w:rPr>
          <w:rFonts w:ascii="Arial" w:hAnsi="Arial" w:cs="Arial"/>
          <w:sz w:val="20"/>
          <w:szCs w:val="20"/>
          <w:lang w:eastAsia="cs-CZ"/>
        </w:rPr>
        <w:t>811,36</w:t>
      </w:r>
      <w:r w:rsidR="0059168D" w:rsidRPr="006C0B5D">
        <w:rPr>
          <w:rFonts w:ascii="Arial" w:hAnsi="Arial" w:cs="Arial"/>
          <w:sz w:val="20"/>
          <w:szCs w:val="20"/>
          <w:lang w:eastAsia="cs-CZ"/>
        </w:rPr>
        <w:t xml:space="preserve"> </w:t>
      </w:r>
      <w:r w:rsidR="0059168D">
        <w:rPr>
          <w:rFonts w:ascii="Arial" w:hAnsi="Arial" w:cs="Arial"/>
          <w:sz w:val="20"/>
          <w:szCs w:val="20"/>
          <w:lang w:eastAsia="cs-CZ"/>
        </w:rPr>
        <w:t>€</w:t>
      </w:r>
      <w:r w:rsidR="0059168D" w:rsidRPr="006C0B5D">
        <w:rPr>
          <w:rFonts w:ascii="Arial" w:hAnsi="Arial" w:cs="Arial"/>
          <w:sz w:val="20"/>
          <w:szCs w:val="20"/>
          <w:lang w:eastAsia="cs-CZ"/>
        </w:rPr>
        <w:t xml:space="preserve"> (z toho za ERDF vo výške 97 27</w:t>
      </w:r>
      <w:r w:rsidR="0059168D">
        <w:rPr>
          <w:rFonts w:ascii="Arial" w:hAnsi="Arial" w:cs="Arial"/>
          <w:sz w:val="20"/>
          <w:szCs w:val="20"/>
          <w:lang w:eastAsia="cs-CZ"/>
        </w:rPr>
        <w:t>5</w:t>
      </w:r>
      <w:r w:rsidR="0059168D" w:rsidRPr="006C0B5D">
        <w:rPr>
          <w:rFonts w:ascii="Arial" w:hAnsi="Arial" w:cs="Arial"/>
          <w:sz w:val="20"/>
          <w:szCs w:val="20"/>
          <w:lang w:eastAsia="cs-CZ"/>
        </w:rPr>
        <w:t>,</w:t>
      </w:r>
      <w:r w:rsidR="0059168D">
        <w:rPr>
          <w:rFonts w:ascii="Arial" w:hAnsi="Arial" w:cs="Arial"/>
          <w:sz w:val="20"/>
          <w:szCs w:val="20"/>
          <w:lang w:eastAsia="cs-CZ"/>
        </w:rPr>
        <w:t>13</w:t>
      </w:r>
      <w:r w:rsidR="0059168D" w:rsidRPr="006C0B5D">
        <w:rPr>
          <w:rFonts w:ascii="Arial" w:hAnsi="Arial" w:cs="Arial"/>
          <w:sz w:val="20"/>
          <w:szCs w:val="20"/>
          <w:lang w:eastAsia="cs-CZ"/>
        </w:rPr>
        <w:t xml:space="preserve"> </w:t>
      </w:r>
      <w:r w:rsidR="0059168D">
        <w:rPr>
          <w:rFonts w:ascii="Arial" w:hAnsi="Arial" w:cs="Arial"/>
          <w:sz w:val="20"/>
          <w:szCs w:val="20"/>
          <w:lang w:eastAsia="cs-CZ"/>
        </w:rPr>
        <w:t>€</w:t>
      </w:r>
      <w:r w:rsidR="0059168D" w:rsidRPr="006C0B5D">
        <w:rPr>
          <w:rFonts w:ascii="Arial" w:hAnsi="Arial" w:cs="Arial"/>
          <w:sz w:val="20"/>
          <w:szCs w:val="20"/>
          <w:lang w:eastAsia="cs-CZ"/>
        </w:rPr>
        <w:t xml:space="preserve"> a za KF vo výške </w:t>
      </w:r>
      <w:r w:rsidR="0059168D" w:rsidRPr="006C0B5D">
        <w:rPr>
          <w:rFonts w:ascii="Arial" w:hAnsi="Arial" w:cs="Arial"/>
          <w:sz w:val="20"/>
          <w:szCs w:val="20"/>
          <w:lang w:eastAsia="cs-CZ"/>
        </w:rPr>
        <w:br/>
        <w:t xml:space="preserve">832 </w:t>
      </w:r>
      <w:r w:rsidR="0059168D">
        <w:rPr>
          <w:rFonts w:ascii="Arial" w:hAnsi="Arial" w:cs="Arial"/>
          <w:sz w:val="20"/>
          <w:szCs w:val="20"/>
          <w:lang w:eastAsia="cs-CZ"/>
        </w:rPr>
        <w:t>536</w:t>
      </w:r>
      <w:r w:rsidR="0059168D" w:rsidRPr="006C0B5D">
        <w:rPr>
          <w:rFonts w:ascii="Arial" w:hAnsi="Arial" w:cs="Arial"/>
          <w:sz w:val="20"/>
          <w:szCs w:val="20"/>
          <w:lang w:eastAsia="cs-CZ"/>
        </w:rPr>
        <w:t>,</w:t>
      </w:r>
      <w:r w:rsidR="0059168D">
        <w:rPr>
          <w:rFonts w:ascii="Arial" w:hAnsi="Arial" w:cs="Arial"/>
          <w:sz w:val="20"/>
          <w:szCs w:val="20"/>
          <w:lang w:eastAsia="cs-CZ"/>
        </w:rPr>
        <w:t>23</w:t>
      </w:r>
      <w:r w:rsidR="0059168D" w:rsidRPr="006C0B5D">
        <w:rPr>
          <w:rFonts w:ascii="Arial" w:hAnsi="Arial" w:cs="Arial"/>
          <w:sz w:val="20"/>
          <w:szCs w:val="20"/>
          <w:lang w:eastAsia="cs-CZ"/>
        </w:rPr>
        <w:t xml:space="preserve"> </w:t>
      </w:r>
      <w:r w:rsidR="0059168D">
        <w:rPr>
          <w:rFonts w:ascii="Arial" w:hAnsi="Arial" w:cs="Arial"/>
          <w:sz w:val="20"/>
          <w:szCs w:val="20"/>
          <w:lang w:eastAsia="cs-CZ"/>
        </w:rPr>
        <w:t>€</w:t>
      </w:r>
      <w:r w:rsidR="0059168D" w:rsidRPr="006C0B5D">
        <w:rPr>
          <w:rFonts w:ascii="Arial" w:hAnsi="Arial" w:cs="Arial"/>
          <w:sz w:val="20"/>
          <w:szCs w:val="20"/>
          <w:lang w:eastAsia="cs-CZ"/>
        </w:rPr>
        <w:t xml:space="preserve">) </w:t>
      </w:r>
      <w:r w:rsidRPr="006C0B5D">
        <w:rPr>
          <w:rFonts w:ascii="Arial" w:hAnsi="Arial" w:cs="Arial"/>
          <w:sz w:val="20"/>
          <w:szCs w:val="20"/>
          <w:lang w:eastAsia="cs-CZ"/>
        </w:rPr>
        <w:t xml:space="preserve">a boli použité v rámci programu na úhradu výdavkov schválených v súhrnných žiadostiach o platbu. </w:t>
      </w:r>
    </w:p>
    <w:p w14:paraId="754401FC" w14:textId="77777777" w:rsidR="006C73A6" w:rsidRPr="006C0B5D" w:rsidRDefault="006C73A6" w:rsidP="006C0B5D">
      <w:pPr>
        <w:spacing w:before="120" w:after="120"/>
        <w:jc w:val="both"/>
        <w:rPr>
          <w:rFonts w:ascii="Arial" w:hAnsi="Arial" w:cs="Arial"/>
          <w:sz w:val="20"/>
          <w:szCs w:val="20"/>
          <w:u w:val="single"/>
          <w:lang w:eastAsia="cs-CZ"/>
        </w:rPr>
      </w:pPr>
      <w:r w:rsidRPr="006C0B5D">
        <w:rPr>
          <w:rFonts w:ascii="Arial" w:hAnsi="Arial" w:cs="Arial"/>
          <w:sz w:val="20"/>
          <w:szCs w:val="20"/>
          <w:u w:val="single"/>
          <w:lang w:eastAsia="cs-CZ"/>
        </w:rPr>
        <w:t>Na národnej úrovni (ERDF + KF)</w:t>
      </w:r>
    </w:p>
    <w:p w14:paraId="4D0D21F3" w14:textId="201F4D00" w:rsidR="006C73A6" w:rsidRPr="006C0B5D" w:rsidRDefault="006C73A6" w:rsidP="006C0B5D">
      <w:pPr>
        <w:spacing w:before="120" w:after="120"/>
        <w:jc w:val="both"/>
        <w:rPr>
          <w:rFonts w:ascii="Arial" w:hAnsi="Arial" w:cs="Arial"/>
          <w:sz w:val="20"/>
          <w:szCs w:val="20"/>
          <w:lang w:eastAsia="cs-CZ"/>
        </w:rPr>
      </w:pPr>
      <w:r w:rsidRPr="006C0B5D">
        <w:rPr>
          <w:rFonts w:ascii="Arial" w:hAnsi="Arial" w:cs="Arial"/>
          <w:sz w:val="20"/>
          <w:szCs w:val="20"/>
          <w:lang w:eastAsia="cs-CZ"/>
        </w:rPr>
        <w:t>V prvých rokoch implementácie mal program pomalý nábeh čerpania, avšak v nasledujúcich rokoch došlo k jeho nárastu s miernym spomalením v roku 2014. Od tohto roku dochádza k výraznému nárastu čerpania v rokoch 2015 a 2016. Najvyšší nárast ročného čerpania</w:t>
      </w:r>
      <w:r w:rsidRPr="00644B7E">
        <w:rPr>
          <w:rFonts w:ascii="Arial Narrow" w:hAnsi="Arial Narrow"/>
          <w:bCs/>
          <w:sz w:val="22"/>
          <w:szCs w:val="22"/>
        </w:rPr>
        <w:t xml:space="preserve"> bol dosiahnutý v roku 2015, kedy sa program posunul z úrovne </w:t>
      </w:r>
      <w:r w:rsidRPr="006C0B5D">
        <w:rPr>
          <w:rFonts w:ascii="Arial" w:hAnsi="Arial" w:cs="Arial"/>
          <w:sz w:val="20"/>
          <w:szCs w:val="20"/>
          <w:lang w:eastAsia="cs-CZ"/>
        </w:rPr>
        <w:t>čerpania 52,54 % (60,47 % za ERDF a 51,28 % za KF) na úroveň 80,99 % (86,19 % za ERDF a 80,16 % za KF), t. j. ročný nárast predstavoval 28,45 % (28,89 p. b. za ERDF a 25,72 p. b. za KF).</w:t>
      </w:r>
    </w:p>
    <w:p w14:paraId="5AB10FE4" w14:textId="77777777" w:rsidR="0059168D" w:rsidRPr="006C0B5D" w:rsidRDefault="0059168D" w:rsidP="0059168D">
      <w:pPr>
        <w:spacing w:after="120"/>
        <w:jc w:val="both"/>
        <w:rPr>
          <w:rFonts w:ascii="Arial" w:hAnsi="Arial" w:cs="Arial"/>
          <w:sz w:val="20"/>
          <w:szCs w:val="20"/>
          <w:lang w:eastAsia="cs-CZ"/>
        </w:rPr>
      </w:pPr>
      <w:r w:rsidRPr="006C0B5D">
        <w:rPr>
          <w:rFonts w:ascii="Arial" w:hAnsi="Arial" w:cs="Arial"/>
          <w:sz w:val="20"/>
          <w:szCs w:val="20"/>
          <w:lang w:eastAsia="cs-CZ"/>
        </w:rPr>
        <w:t>Od začiatku programového obdobia do 31.</w:t>
      </w:r>
      <w:r>
        <w:rPr>
          <w:rFonts w:ascii="Arial" w:hAnsi="Arial" w:cs="Arial"/>
          <w:sz w:val="20"/>
          <w:szCs w:val="20"/>
          <w:lang w:eastAsia="cs-CZ"/>
        </w:rPr>
        <w:t>10</w:t>
      </w:r>
      <w:r w:rsidRPr="006C0B5D">
        <w:rPr>
          <w:rFonts w:ascii="Arial" w:hAnsi="Arial" w:cs="Arial"/>
          <w:sz w:val="20"/>
          <w:szCs w:val="20"/>
          <w:lang w:eastAsia="cs-CZ"/>
        </w:rPr>
        <w:t xml:space="preserve">.2016 dosahuje úroveň čerpania na národnej úrovni po odpočítaní nezrovnalostí a vratiek výšku </w:t>
      </w:r>
      <w:r w:rsidRPr="001B4E84">
        <w:rPr>
          <w:rFonts w:ascii="Arial" w:hAnsi="Arial" w:cs="Arial"/>
          <w:sz w:val="20"/>
          <w:szCs w:val="20"/>
          <w:lang w:eastAsia="cs-CZ"/>
        </w:rPr>
        <w:t>1 744 160 976,91</w:t>
      </w:r>
      <w:r w:rsidRPr="006C0B5D">
        <w:rPr>
          <w:rFonts w:ascii="Arial" w:hAnsi="Arial" w:cs="Arial"/>
          <w:sz w:val="20"/>
          <w:szCs w:val="20"/>
          <w:lang w:eastAsia="cs-CZ"/>
        </w:rPr>
        <w:t xml:space="preserve"> </w:t>
      </w:r>
      <w:r>
        <w:rPr>
          <w:rFonts w:ascii="Arial" w:hAnsi="Arial" w:cs="Arial"/>
          <w:sz w:val="20"/>
          <w:szCs w:val="20"/>
          <w:lang w:eastAsia="cs-CZ"/>
        </w:rPr>
        <w:t>€</w:t>
      </w:r>
      <w:r w:rsidRPr="006C0B5D">
        <w:rPr>
          <w:rFonts w:ascii="Arial" w:hAnsi="Arial" w:cs="Arial"/>
          <w:sz w:val="20"/>
          <w:szCs w:val="20"/>
          <w:lang w:eastAsia="cs-CZ"/>
        </w:rPr>
        <w:t xml:space="preserve"> (z toho </w:t>
      </w:r>
      <w:r w:rsidRPr="001B4E84">
        <w:rPr>
          <w:rFonts w:ascii="Arial" w:hAnsi="Arial" w:cs="Arial"/>
          <w:sz w:val="20"/>
          <w:szCs w:val="20"/>
          <w:lang w:eastAsia="cs-CZ"/>
        </w:rPr>
        <w:t>236 526 640,13</w:t>
      </w:r>
      <w:r>
        <w:rPr>
          <w:rFonts w:ascii="Arial" w:hAnsi="Arial" w:cs="Arial"/>
          <w:sz w:val="20"/>
          <w:szCs w:val="20"/>
          <w:lang w:eastAsia="cs-CZ"/>
        </w:rPr>
        <w:t xml:space="preserve">€ za ERDF  </w:t>
      </w:r>
      <w:r w:rsidRPr="006C0B5D">
        <w:rPr>
          <w:rFonts w:ascii="Arial" w:hAnsi="Arial" w:cs="Arial"/>
          <w:sz w:val="20"/>
          <w:szCs w:val="20"/>
          <w:lang w:eastAsia="cs-CZ"/>
        </w:rPr>
        <w:t xml:space="preserve">a </w:t>
      </w:r>
      <w:r w:rsidRPr="001B4E84">
        <w:rPr>
          <w:rFonts w:ascii="Arial" w:hAnsi="Arial" w:cs="Arial"/>
          <w:sz w:val="20"/>
          <w:szCs w:val="20"/>
          <w:lang w:eastAsia="cs-CZ"/>
        </w:rPr>
        <w:t>1 507 634 336,78</w:t>
      </w:r>
      <w:r>
        <w:rPr>
          <w:rFonts w:ascii="Arial" w:hAnsi="Arial" w:cs="Arial"/>
          <w:sz w:val="20"/>
          <w:szCs w:val="20"/>
          <w:lang w:eastAsia="cs-CZ"/>
        </w:rPr>
        <w:t>€</w:t>
      </w:r>
      <w:r w:rsidRPr="006C0B5D">
        <w:rPr>
          <w:rFonts w:ascii="Arial" w:hAnsi="Arial" w:cs="Arial"/>
          <w:sz w:val="20"/>
          <w:szCs w:val="20"/>
          <w:lang w:eastAsia="cs-CZ"/>
        </w:rPr>
        <w:t xml:space="preserve"> za KF), čo predstavuje 95,</w:t>
      </w:r>
      <w:r>
        <w:rPr>
          <w:rFonts w:ascii="Arial" w:hAnsi="Arial" w:cs="Arial"/>
          <w:sz w:val="20"/>
          <w:szCs w:val="20"/>
          <w:lang w:eastAsia="cs-CZ"/>
        </w:rPr>
        <w:t>83</w:t>
      </w:r>
      <w:r w:rsidRPr="006C0B5D">
        <w:rPr>
          <w:rFonts w:ascii="Arial" w:hAnsi="Arial" w:cs="Arial"/>
          <w:sz w:val="20"/>
          <w:szCs w:val="20"/>
          <w:lang w:eastAsia="cs-CZ"/>
        </w:rPr>
        <w:t xml:space="preserve"> % podiel čerpania alokácie (z toho za ERDF 94,33 % a za KF </w:t>
      </w:r>
      <w:r>
        <w:rPr>
          <w:rFonts w:ascii="Arial" w:hAnsi="Arial" w:cs="Arial"/>
          <w:sz w:val="20"/>
          <w:szCs w:val="20"/>
          <w:lang w:eastAsia="cs-CZ"/>
        </w:rPr>
        <w:t>96,07</w:t>
      </w:r>
      <w:r w:rsidRPr="006C0B5D">
        <w:rPr>
          <w:rFonts w:ascii="Arial" w:hAnsi="Arial" w:cs="Arial"/>
          <w:sz w:val="20"/>
          <w:szCs w:val="20"/>
          <w:lang w:eastAsia="cs-CZ"/>
        </w:rPr>
        <w:t xml:space="preserve"> %), pričom výška nevyčerpaných prostriedkov z alokácie je </w:t>
      </w:r>
      <w:r w:rsidRPr="001B4E84">
        <w:rPr>
          <w:rFonts w:ascii="Arial" w:hAnsi="Arial" w:cs="Arial"/>
          <w:sz w:val="20"/>
          <w:szCs w:val="20"/>
          <w:lang w:eastAsia="cs-CZ"/>
        </w:rPr>
        <w:t>75 839 023,09</w:t>
      </w:r>
      <w:r>
        <w:rPr>
          <w:rFonts w:ascii="Arial" w:hAnsi="Arial" w:cs="Arial"/>
          <w:sz w:val="20"/>
          <w:szCs w:val="20"/>
          <w:lang w:eastAsia="cs-CZ"/>
        </w:rPr>
        <w:t>€</w:t>
      </w:r>
      <w:r w:rsidRPr="006C0B5D">
        <w:rPr>
          <w:rFonts w:ascii="Arial" w:hAnsi="Arial" w:cs="Arial"/>
          <w:sz w:val="20"/>
          <w:szCs w:val="20"/>
          <w:lang w:eastAsia="cs-CZ"/>
        </w:rPr>
        <w:t xml:space="preserve"> (z toho </w:t>
      </w:r>
      <w:r w:rsidRPr="001B4E84">
        <w:rPr>
          <w:rFonts w:ascii="Arial" w:hAnsi="Arial" w:cs="Arial"/>
          <w:sz w:val="20"/>
          <w:szCs w:val="20"/>
          <w:lang w:eastAsia="cs-CZ"/>
        </w:rPr>
        <w:t>14 230 294,87</w:t>
      </w:r>
      <w:r>
        <w:rPr>
          <w:rFonts w:ascii="Arial" w:hAnsi="Arial" w:cs="Arial"/>
          <w:sz w:val="20"/>
          <w:szCs w:val="20"/>
          <w:lang w:eastAsia="cs-CZ"/>
        </w:rPr>
        <w:t>€</w:t>
      </w:r>
      <w:r w:rsidRPr="006C0B5D">
        <w:rPr>
          <w:rFonts w:ascii="Arial" w:hAnsi="Arial" w:cs="Arial"/>
          <w:sz w:val="20"/>
          <w:szCs w:val="20"/>
          <w:lang w:eastAsia="cs-CZ"/>
        </w:rPr>
        <w:t xml:space="preserve"> za ERDF a </w:t>
      </w:r>
      <w:r w:rsidRPr="001B4E84">
        <w:rPr>
          <w:rFonts w:ascii="Arial" w:hAnsi="Arial" w:cs="Arial"/>
          <w:sz w:val="20"/>
          <w:szCs w:val="20"/>
          <w:lang w:eastAsia="cs-CZ"/>
        </w:rPr>
        <w:t>61 608 728,22</w:t>
      </w:r>
      <w:r>
        <w:rPr>
          <w:rFonts w:ascii="Arial" w:hAnsi="Arial" w:cs="Arial"/>
          <w:sz w:val="20"/>
          <w:szCs w:val="20"/>
          <w:lang w:eastAsia="cs-CZ"/>
        </w:rPr>
        <w:t>€</w:t>
      </w:r>
      <w:r w:rsidRPr="006C0B5D">
        <w:rPr>
          <w:rFonts w:ascii="Arial" w:hAnsi="Arial" w:cs="Arial"/>
          <w:sz w:val="20"/>
          <w:szCs w:val="20"/>
          <w:lang w:eastAsia="cs-CZ"/>
        </w:rPr>
        <w:t xml:space="preserve"> za KF), čo predstavuje 4,</w:t>
      </w:r>
      <w:r>
        <w:rPr>
          <w:rFonts w:ascii="Arial" w:hAnsi="Arial" w:cs="Arial"/>
          <w:sz w:val="20"/>
          <w:szCs w:val="20"/>
          <w:lang w:eastAsia="cs-CZ"/>
        </w:rPr>
        <w:t xml:space="preserve">17 % </w:t>
      </w:r>
      <w:r w:rsidRPr="006C0B5D">
        <w:rPr>
          <w:rFonts w:ascii="Arial" w:hAnsi="Arial" w:cs="Arial"/>
          <w:sz w:val="20"/>
          <w:szCs w:val="20"/>
          <w:lang w:eastAsia="cs-CZ"/>
        </w:rPr>
        <w:t>z alokácie (z toho 5,67 % za ERDF a </w:t>
      </w:r>
      <w:r>
        <w:rPr>
          <w:rFonts w:ascii="Arial" w:hAnsi="Arial" w:cs="Arial"/>
          <w:sz w:val="20"/>
          <w:szCs w:val="20"/>
          <w:lang w:eastAsia="cs-CZ"/>
        </w:rPr>
        <w:t>3,93</w:t>
      </w:r>
      <w:r w:rsidRPr="006C0B5D">
        <w:rPr>
          <w:rFonts w:ascii="Arial" w:hAnsi="Arial" w:cs="Arial"/>
          <w:sz w:val="20"/>
          <w:szCs w:val="20"/>
          <w:lang w:eastAsia="cs-CZ"/>
        </w:rPr>
        <w:t xml:space="preserve"> % za KF).</w:t>
      </w:r>
    </w:p>
    <w:p w14:paraId="3A504C7C" w14:textId="77777777" w:rsidR="006C73A6" w:rsidRPr="006C0B5D" w:rsidRDefault="006C73A6" w:rsidP="006C73A6">
      <w:pPr>
        <w:autoSpaceDE w:val="0"/>
        <w:autoSpaceDN w:val="0"/>
        <w:adjustRightInd w:val="0"/>
        <w:spacing w:before="120" w:after="120"/>
        <w:jc w:val="both"/>
        <w:rPr>
          <w:rFonts w:ascii="Arial" w:hAnsi="Arial" w:cs="Arial"/>
          <w:sz w:val="20"/>
          <w:szCs w:val="20"/>
          <w:u w:val="single"/>
          <w:lang w:eastAsia="cs-CZ"/>
        </w:rPr>
      </w:pPr>
      <w:r w:rsidRPr="006C0B5D">
        <w:rPr>
          <w:rFonts w:ascii="Arial" w:hAnsi="Arial" w:cs="Arial"/>
          <w:sz w:val="20"/>
          <w:szCs w:val="20"/>
          <w:u w:val="single"/>
          <w:lang w:eastAsia="cs-CZ"/>
        </w:rPr>
        <w:t>Voči EK (ERDF + KF):</w:t>
      </w:r>
    </w:p>
    <w:p w14:paraId="3593118E" w14:textId="01F5D6F7" w:rsidR="006C73A6" w:rsidRPr="006C0B5D" w:rsidRDefault="006C73A6" w:rsidP="006C73A6">
      <w:pPr>
        <w:autoSpaceDE w:val="0"/>
        <w:autoSpaceDN w:val="0"/>
        <w:adjustRightInd w:val="0"/>
        <w:spacing w:before="120" w:after="120"/>
        <w:jc w:val="both"/>
        <w:rPr>
          <w:rFonts w:ascii="Arial" w:hAnsi="Arial" w:cs="Arial"/>
          <w:sz w:val="20"/>
          <w:szCs w:val="20"/>
          <w:lang w:eastAsia="cs-CZ"/>
        </w:rPr>
      </w:pPr>
      <w:r w:rsidRPr="006C0B5D">
        <w:rPr>
          <w:rFonts w:ascii="Arial" w:hAnsi="Arial" w:cs="Arial"/>
          <w:sz w:val="20"/>
          <w:szCs w:val="20"/>
          <w:lang w:eastAsia="cs-CZ"/>
        </w:rPr>
        <w:t>Od začiatku programového obdobia do 31.</w:t>
      </w:r>
      <w:r w:rsidR="0059168D">
        <w:rPr>
          <w:rFonts w:ascii="Arial" w:hAnsi="Arial" w:cs="Arial"/>
          <w:sz w:val="20"/>
          <w:szCs w:val="20"/>
          <w:lang w:eastAsia="cs-CZ"/>
        </w:rPr>
        <w:t xml:space="preserve"> 10</w:t>
      </w:r>
      <w:r w:rsidRPr="006C0B5D">
        <w:rPr>
          <w:rFonts w:ascii="Arial" w:hAnsi="Arial" w:cs="Arial"/>
          <w:sz w:val="20"/>
          <w:szCs w:val="20"/>
          <w:lang w:eastAsia="cs-CZ"/>
        </w:rPr>
        <w:t>.</w:t>
      </w:r>
      <w:r w:rsidR="0059168D">
        <w:rPr>
          <w:rFonts w:ascii="Arial" w:hAnsi="Arial" w:cs="Arial"/>
          <w:sz w:val="20"/>
          <w:szCs w:val="20"/>
          <w:lang w:eastAsia="cs-CZ"/>
        </w:rPr>
        <w:t xml:space="preserve"> </w:t>
      </w:r>
      <w:r w:rsidRPr="006C0B5D">
        <w:rPr>
          <w:rFonts w:ascii="Arial" w:hAnsi="Arial" w:cs="Arial"/>
          <w:sz w:val="20"/>
          <w:szCs w:val="20"/>
          <w:lang w:eastAsia="cs-CZ"/>
        </w:rPr>
        <w:t xml:space="preserve">2016 bolo na EK predložených 43 žiadostí o platbu vo výške deklarovaných výdavkov 1 729 222 893,48 </w:t>
      </w:r>
      <w:r w:rsidR="00366C2D">
        <w:rPr>
          <w:rFonts w:ascii="Arial" w:hAnsi="Arial" w:cs="Arial"/>
          <w:sz w:val="20"/>
          <w:szCs w:val="20"/>
          <w:lang w:eastAsia="cs-CZ"/>
        </w:rPr>
        <w:t>€</w:t>
      </w:r>
      <w:r w:rsidRPr="006C0B5D">
        <w:rPr>
          <w:rFonts w:ascii="Arial" w:hAnsi="Arial" w:cs="Arial"/>
          <w:sz w:val="20"/>
          <w:szCs w:val="20"/>
          <w:lang w:eastAsia="cs-CZ"/>
        </w:rPr>
        <w:t xml:space="preserve">, čo predstavuje 95,01 % podiel čerpania alokácie, pričom výška nevyčerpaných prostriedkov z alokácie predstavuje sumu 90 777 106,52 </w:t>
      </w:r>
      <w:r w:rsidR="00366C2D">
        <w:rPr>
          <w:rFonts w:ascii="Arial" w:hAnsi="Arial" w:cs="Arial"/>
          <w:sz w:val="20"/>
          <w:szCs w:val="20"/>
          <w:lang w:eastAsia="cs-CZ"/>
        </w:rPr>
        <w:t>€</w:t>
      </w:r>
      <w:r w:rsidRPr="006C0B5D">
        <w:rPr>
          <w:rFonts w:ascii="Arial" w:hAnsi="Arial" w:cs="Arial"/>
          <w:sz w:val="20"/>
          <w:szCs w:val="20"/>
          <w:lang w:eastAsia="cs-CZ"/>
        </w:rPr>
        <w:t xml:space="preserve"> (4,99 % alokácie). Celkovo bolo z EK prijatých 1 729 000 000,00 </w:t>
      </w:r>
      <w:r w:rsidR="00366C2D">
        <w:rPr>
          <w:rFonts w:ascii="Arial" w:hAnsi="Arial" w:cs="Arial"/>
          <w:sz w:val="20"/>
          <w:szCs w:val="20"/>
          <w:lang w:eastAsia="cs-CZ"/>
        </w:rPr>
        <w:t>€</w:t>
      </w:r>
      <w:r w:rsidRPr="006C0B5D">
        <w:rPr>
          <w:rFonts w:ascii="Arial" w:hAnsi="Arial" w:cs="Arial"/>
          <w:sz w:val="20"/>
          <w:szCs w:val="20"/>
          <w:lang w:eastAsia="cs-CZ"/>
        </w:rPr>
        <w:t xml:space="preserve">, z čoho 185 538 645,97 </w:t>
      </w:r>
      <w:r w:rsidR="00366C2D">
        <w:rPr>
          <w:rFonts w:ascii="Arial" w:hAnsi="Arial" w:cs="Arial"/>
          <w:sz w:val="20"/>
          <w:szCs w:val="20"/>
          <w:lang w:eastAsia="cs-CZ"/>
        </w:rPr>
        <w:t>€</w:t>
      </w:r>
      <w:r w:rsidRPr="006C0B5D">
        <w:rPr>
          <w:rFonts w:ascii="Arial" w:hAnsi="Arial" w:cs="Arial"/>
          <w:sz w:val="20"/>
          <w:szCs w:val="20"/>
          <w:lang w:eastAsia="cs-CZ"/>
        </w:rPr>
        <w:t xml:space="preserve"> prestavuje sumu zálohových platieb a 1 543 461 354,03 </w:t>
      </w:r>
      <w:r w:rsidR="00366C2D">
        <w:rPr>
          <w:rFonts w:ascii="Arial" w:hAnsi="Arial" w:cs="Arial"/>
          <w:sz w:val="20"/>
          <w:szCs w:val="20"/>
          <w:lang w:eastAsia="cs-CZ"/>
        </w:rPr>
        <w:t>€</w:t>
      </w:r>
      <w:r w:rsidRPr="006C0B5D">
        <w:rPr>
          <w:rFonts w:ascii="Arial" w:hAnsi="Arial" w:cs="Arial"/>
          <w:sz w:val="20"/>
          <w:szCs w:val="20"/>
          <w:lang w:eastAsia="cs-CZ"/>
        </w:rPr>
        <w:t xml:space="preserve"> predstavuje úhradu priebežných žiadostí o platbu (príloha č. 3).</w:t>
      </w:r>
    </w:p>
    <w:p w14:paraId="66154CA0" w14:textId="5D123F20" w:rsidR="006C73A6" w:rsidRPr="006C0B5D" w:rsidRDefault="006C73A6" w:rsidP="006C73A6">
      <w:pPr>
        <w:autoSpaceDE w:val="0"/>
        <w:autoSpaceDN w:val="0"/>
        <w:adjustRightInd w:val="0"/>
        <w:spacing w:before="120" w:after="120"/>
        <w:jc w:val="both"/>
        <w:rPr>
          <w:rFonts w:ascii="Arial" w:hAnsi="Arial" w:cs="Arial"/>
          <w:sz w:val="20"/>
          <w:szCs w:val="20"/>
          <w:lang w:eastAsia="cs-CZ"/>
        </w:rPr>
      </w:pPr>
      <w:r w:rsidRPr="006C0B5D">
        <w:rPr>
          <w:rFonts w:ascii="Arial" w:hAnsi="Arial" w:cs="Arial"/>
          <w:sz w:val="20"/>
          <w:szCs w:val="20"/>
          <w:lang w:eastAsia="cs-CZ"/>
        </w:rPr>
        <w:t xml:space="preserve">V nadväznosti na článok 79 (1) nariadenia Rady (ES) č. 1083/2006 boli žiadosťami o platbu č. 2411600703 (ERDF) z 01.04.2016 a č. 2411600705 (KF) z 29.06.2016 dosiahnuté hranice 95 % pre zálohové a priebežné platby, preto sa výšky žiadaných súm v nasledujúcich predložených žiadostiach o platbu rovnali 0,00 </w:t>
      </w:r>
      <w:r w:rsidR="00366C2D">
        <w:rPr>
          <w:rFonts w:ascii="Arial" w:hAnsi="Arial" w:cs="Arial"/>
          <w:sz w:val="20"/>
          <w:szCs w:val="20"/>
          <w:lang w:eastAsia="cs-CZ"/>
        </w:rPr>
        <w:t>€</w:t>
      </w:r>
      <w:r w:rsidRPr="006C0B5D">
        <w:rPr>
          <w:rFonts w:ascii="Arial" w:hAnsi="Arial" w:cs="Arial"/>
          <w:sz w:val="20"/>
          <w:szCs w:val="20"/>
          <w:lang w:eastAsia="cs-CZ"/>
        </w:rPr>
        <w:t>.</w:t>
      </w:r>
    </w:p>
    <w:p w14:paraId="5A29805F" w14:textId="4F446D0A" w:rsidR="006C73A6" w:rsidRPr="006C0B5D" w:rsidRDefault="006C73A6" w:rsidP="006C73A6">
      <w:pPr>
        <w:autoSpaceDE w:val="0"/>
        <w:autoSpaceDN w:val="0"/>
        <w:adjustRightInd w:val="0"/>
        <w:spacing w:before="120" w:after="120"/>
        <w:jc w:val="both"/>
        <w:rPr>
          <w:rFonts w:ascii="Arial" w:hAnsi="Arial" w:cs="Arial"/>
          <w:sz w:val="20"/>
          <w:szCs w:val="20"/>
          <w:lang w:eastAsia="cs-CZ"/>
        </w:rPr>
      </w:pPr>
      <w:r w:rsidRPr="006C0B5D">
        <w:rPr>
          <w:rFonts w:ascii="Arial" w:hAnsi="Arial" w:cs="Arial"/>
          <w:sz w:val="20"/>
          <w:szCs w:val="20"/>
          <w:lang w:eastAsia="cs-CZ"/>
        </w:rPr>
        <w:lastRenderedPageBreak/>
        <w:t>Za fond ERDF bolo od začiatku programového obdobia do 31.</w:t>
      </w:r>
      <w:r w:rsidR="0059168D">
        <w:rPr>
          <w:rFonts w:ascii="Arial" w:hAnsi="Arial" w:cs="Arial"/>
          <w:sz w:val="20"/>
          <w:szCs w:val="20"/>
          <w:lang w:eastAsia="cs-CZ"/>
        </w:rPr>
        <w:t xml:space="preserve"> 10</w:t>
      </w:r>
      <w:r w:rsidRPr="006C0B5D">
        <w:rPr>
          <w:rFonts w:ascii="Arial" w:hAnsi="Arial" w:cs="Arial"/>
          <w:sz w:val="20"/>
          <w:szCs w:val="20"/>
          <w:lang w:eastAsia="cs-CZ"/>
        </w:rPr>
        <w:t>.</w:t>
      </w:r>
      <w:r w:rsidR="0059168D">
        <w:rPr>
          <w:rFonts w:ascii="Arial" w:hAnsi="Arial" w:cs="Arial"/>
          <w:sz w:val="20"/>
          <w:szCs w:val="20"/>
          <w:lang w:eastAsia="cs-CZ"/>
        </w:rPr>
        <w:t xml:space="preserve"> </w:t>
      </w:r>
      <w:r w:rsidRPr="006C0B5D">
        <w:rPr>
          <w:rFonts w:ascii="Arial" w:hAnsi="Arial" w:cs="Arial"/>
          <w:sz w:val="20"/>
          <w:szCs w:val="20"/>
          <w:lang w:eastAsia="cs-CZ"/>
        </w:rPr>
        <w:t xml:space="preserve">2016 na EK predložených 19 žiadostí o platbu vo výške deklarovaných výdavkov 233 365 261,03 </w:t>
      </w:r>
      <w:r w:rsidR="00366C2D">
        <w:rPr>
          <w:rFonts w:ascii="Arial" w:hAnsi="Arial" w:cs="Arial"/>
          <w:sz w:val="20"/>
          <w:szCs w:val="20"/>
          <w:lang w:eastAsia="cs-CZ"/>
        </w:rPr>
        <w:t>€</w:t>
      </w:r>
      <w:r w:rsidRPr="006C0B5D">
        <w:rPr>
          <w:rFonts w:ascii="Arial" w:hAnsi="Arial" w:cs="Arial"/>
          <w:sz w:val="20"/>
          <w:szCs w:val="20"/>
          <w:lang w:eastAsia="cs-CZ"/>
        </w:rPr>
        <w:t xml:space="preserve">, čo predstavuje 93,06 % podiel čerpania alokácie, pričom výška nevyčerpaných prostriedkov z alokácie predstavuje sumu 17 391 673,97 </w:t>
      </w:r>
      <w:r w:rsidR="00366C2D">
        <w:rPr>
          <w:rFonts w:ascii="Arial" w:hAnsi="Arial" w:cs="Arial"/>
          <w:sz w:val="20"/>
          <w:szCs w:val="20"/>
          <w:lang w:eastAsia="cs-CZ"/>
        </w:rPr>
        <w:t>€</w:t>
      </w:r>
      <w:r w:rsidRPr="006C0B5D">
        <w:rPr>
          <w:rFonts w:ascii="Arial" w:hAnsi="Arial" w:cs="Arial"/>
          <w:sz w:val="20"/>
          <w:szCs w:val="20"/>
          <w:lang w:eastAsia="cs-CZ"/>
        </w:rPr>
        <w:t xml:space="preserve"> (6,94 % alokácie). Celkovo bolo z EK prijatých 238 219 088,25 </w:t>
      </w:r>
      <w:r w:rsidR="00366C2D">
        <w:rPr>
          <w:rFonts w:ascii="Arial" w:hAnsi="Arial" w:cs="Arial"/>
          <w:sz w:val="20"/>
          <w:szCs w:val="20"/>
          <w:lang w:eastAsia="cs-CZ"/>
        </w:rPr>
        <w:t>€</w:t>
      </w:r>
      <w:r w:rsidRPr="006C0B5D">
        <w:rPr>
          <w:rFonts w:ascii="Arial" w:hAnsi="Arial" w:cs="Arial"/>
          <w:sz w:val="20"/>
          <w:szCs w:val="20"/>
          <w:lang w:eastAsia="cs-CZ"/>
        </w:rPr>
        <w:t xml:space="preserve">, z čoho 20 768 124,15 </w:t>
      </w:r>
      <w:r w:rsidR="00366C2D">
        <w:rPr>
          <w:rFonts w:ascii="Arial" w:hAnsi="Arial" w:cs="Arial"/>
          <w:sz w:val="20"/>
          <w:szCs w:val="20"/>
          <w:lang w:eastAsia="cs-CZ"/>
        </w:rPr>
        <w:t>€</w:t>
      </w:r>
      <w:r w:rsidRPr="006C0B5D">
        <w:rPr>
          <w:rFonts w:ascii="Arial" w:hAnsi="Arial" w:cs="Arial"/>
          <w:sz w:val="20"/>
          <w:szCs w:val="20"/>
          <w:lang w:eastAsia="cs-CZ"/>
        </w:rPr>
        <w:t xml:space="preserve"> prestavuje sumu zálohových platieb a 217 450 964,10 </w:t>
      </w:r>
      <w:r w:rsidR="00366C2D">
        <w:rPr>
          <w:rFonts w:ascii="Arial" w:hAnsi="Arial" w:cs="Arial"/>
          <w:sz w:val="20"/>
          <w:szCs w:val="20"/>
          <w:lang w:eastAsia="cs-CZ"/>
        </w:rPr>
        <w:t>€</w:t>
      </w:r>
      <w:r w:rsidRPr="006C0B5D">
        <w:rPr>
          <w:rFonts w:ascii="Arial" w:hAnsi="Arial" w:cs="Arial"/>
          <w:sz w:val="20"/>
          <w:szCs w:val="20"/>
          <w:lang w:eastAsia="cs-CZ"/>
        </w:rPr>
        <w:t xml:space="preserve"> predstavuje úhradu priebežných žiadostí o platbu (príloha č. 3).</w:t>
      </w:r>
    </w:p>
    <w:p w14:paraId="052EAC15" w14:textId="0F17F207" w:rsidR="006C73A6" w:rsidRPr="006C0B5D" w:rsidRDefault="006C73A6" w:rsidP="006C73A6">
      <w:pPr>
        <w:autoSpaceDE w:val="0"/>
        <w:autoSpaceDN w:val="0"/>
        <w:adjustRightInd w:val="0"/>
        <w:spacing w:before="120" w:after="120"/>
        <w:jc w:val="both"/>
        <w:rPr>
          <w:rFonts w:ascii="Arial" w:hAnsi="Arial" w:cs="Arial"/>
          <w:sz w:val="20"/>
          <w:szCs w:val="20"/>
          <w:lang w:eastAsia="cs-CZ"/>
        </w:rPr>
      </w:pPr>
      <w:r w:rsidRPr="006C0B5D">
        <w:rPr>
          <w:rFonts w:ascii="Arial" w:hAnsi="Arial" w:cs="Arial"/>
          <w:sz w:val="20"/>
          <w:szCs w:val="20"/>
          <w:lang w:eastAsia="cs-CZ"/>
        </w:rPr>
        <w:t>Za fond KF bolo od začiatku programového obdobia do 31.</w:t>
      </w:r>
      <w:r w:rsidR="0059168D">
        <w:rPr>
          <w:rFonts w:ascii="Arial" w:hAnsi="Arial" w:cs="Arial"/>
          <w:sz w:val="20"/>
          <w:szCs w:val="20"/>
          <w:lang w:eastAsia="cs-CZ"/>
        </w:rPr>
        <w:t xml:space="preserve"> 10</w:t>
      </w:r>
      <w:r w:rsidRPr="006C0B5D">
        <w:rPr>
          <w:rFonts w:ascii="Arial" w:hAnsi="Arial" w:cs="Arial"/>
          <w:sz w:val="20"/>
          <w:szCs w:val="20"/>
          <w:lang w:eastAsia="cs-CZ"/>
        </w:rPr>
        <w:t>.</w:t>
      </w:r>
      <w:r w:rsidR="0059168D">
        <w:rPr>
          <w:rFonts w:ascii="Arial" w:hAnsi="Arial" w:cs="Arial"/>
          <w:sz w:val="20"/>
          <w:szCs w:val="20"/>
          <w:lang w:eastAsia="cs-CZ"/>
        </w:rPr>
        <w:t xml:space="preserve"> </w:t>
      </w:r>
      <w:r w:rsidRPr="006C0B5D">
        <w:rPr>
          <w:rFonts w:ascii="Arial" w:hAnsi="Arial" w:cs="Arial"/>
          <w:sz w:val="20"/>
          <w:szCs w:val="20"/>
          <w:lang w:eastAsia="cs-CZ"/>
        </w:rPr>
        <w:t xml:space="preserve">2016 na EK predložených 24 žiadostí o platbu vo výške deklarovaných výdavkov 1 495 857 632,45 </w:t>
      </w:r>
      <w:r w:rsidR="00366C2D">
        <w:rPr>
          <w:rFonts w:ascii="Arial" w:hAnsi="Arial" w:cs="Arial"/>
          <w:sz w:val="20"/>
          <w:szCs w:val="20"/>
          <w:lang w:eastAsia="cs-CZ"/>
        </w:rPr>
        <w:t>€</w:t>
      </w:r>
      <w:r w:rsidRPr="006C0B5D">
        <w:rPr>
          <w:rFonts w:ascii="Arial" w:hAnsi="Arial" w:cs="Arial"/>
          <w:sz w:val="20"/>
          <w:szCs w:val="20"/>
          <w:lang w:eastAsia="cs-CZ"/>
        </w:rPr>
        <w:t xml:space="preserve">, čo predstavuje 95,32 % podiel čerpania alokácie, pričom výška nevyčerpaných prostriedkov z alokácie predstavuje sumu 73 385 432,55 </w:t>
      </w:r>
      <w:r w:rsidR="00366C2D">
        <w:rPr>
          <w:rFonts w:ascii="Arial" w:hAnsi="Arial" w:cs="Arial"/>
          <w:sz w:val="20"/>
          <w:szCs w:val="20"/>
          <w:lang w:eastAsia="cs-CZ"/>
        </w:rPr>
        <w:t>€</w:t>
      </w:r>
      <w:r w:rsidRPr="006C0B5D">
        <w:rPr>
          <w:rFonts w:ascii="Arial" w:hAnsi="Arial" w:cs="Arial"/>
          <w:sz w:val="20"/>
          <w:szCs w:val="20"/>
          <w:lang w:eastAsia="cs-CZ"/>
        </w:rPr>
        <w:t xml:space="preserve"> (4,68 % alokácie). Celkovo bolo z EK prijatých 1 490 780 911,75 </w:t>
      </w:r>
      <w:r w:rsidR="00366C2D">
        <w:rPr>
          <w:rFonts w:ascii="Arial" w:hAnsi="Arial" w:cs="Arial"/>
          <w:sz w:val="20"/>
          <w:szCs w:val="20"/>
          <w:lang w:eastAsia="cs-CZ"/>
        </w:rPr>
        <w:t>€</w:t>
      </w:r>
      <w:r w:rsidRPr="006C0B5D">
        <w:rPr>
          <w:rFonts w:ascii="Arial" w:hAnsi="Arial" w:cs="Arial"/>
          <w:sz w:val="20"/>
          <w:szCs w:val="20"/>
          <w:lang w:eastAsia="cs-CZ"/>
        </w:rPr>
        <w:t xml:space="preserve">, z čoho 164 770 521,82 </w:t>
      </w:r>
      <w:r w:rsidR="00366C2D">
        <w:rPr>
          <w:rFonts w:ascii="Arial" w:hAnsi="Arial" w:cs="Arial"/>
          <w:sz w:val="20"/>
          <w:szCs w:val="20"/>
          <w:lang w:eastAsia="cs-CZ"/>
        </w:rPr>
        <w:t>€</w:t>
      </w:r>
      <w:r w:rsidRPr="006C0B5D">
        <w:rPr>
          <w:rFonts w:ascii="Arial" w:hAnsi="Arial" w:cs="Arial"/>
          <w:sz w:val="20"/>
          <w:szCs w:val="20"/>
          <w:lang w:eastAsia="cs-CZ"/>
        </w:rPr>
        <w:t xml:space="preserve"> prestavuje sumu zálohových platieb a 1 326 010 389,93 </w:t>
      </w:r>
      <w:r w:rsidR="00366C2D">
        <w:rPr>
          <w:rFonts w:ascii="Arial" w:hAnsi="Arial" w:cs="Arial"/>
          <w:sz w:val="20"/>
          <w:szCs w:val="20"/>
          <w:lang w:eastAsia="cs-CZ"/>
        </w:rPr>
        <w:t>€</w:t>
      </w:r>
      <w:r w:rsidRPr="006C0B5D">
        <w:rPr>
          <w:rFonts w:ascii="Arial" w:hAnsi="Arial" w:cs="Arial"/>
          <w:sz w:val="20"/>
          <w:szCs w:val="20"/>
          <w:lang w:eastAsia="cs-CZ"/>
        </w:rPr>
        <w:t xml:space="preserve"> predstavuje úhradu priebežných žiadostí o platbu (príloha č. 3).</w:t>
      </w:r>
    </w:p>
    <w:p w14:paraId="2752FFD5" w14:textId="4371A3AE" w:rsidR="006C73A6" w:rsidRPr="006C0B5D" w:rsidRDefault="006C73A6" w:rsidP="006C0B5D">
      <w:pPr>
        <w:autoSpaceDE w:val="0"/>
        <w:autoSpaceDN w:val="0"/>
        <w:adjustRightInd w:val="0"/>
        <w:spacing w:before="120" w:after="120"/>
        <w:jc w:val="both"/>
        <w:rPr>
          <w:rFonts w:ascii="Arial" w:hAnsi="Arial" w:cs="Arial"/>
          <w:sz w:val="20"/>
          <w:szCs w:val="20"/>
          <w:lang w:eastAsia="cs-CZ"/>
        </w:rPr>
      </w:pPr>
      <w:r w:rsidRPr="006C0B5D">
        <w:rPr>
          <w:rFonts w:ascii="Arial" w:hAnsi="Arial" w:cs="Arial"/>
          <w:sz w:val="20"/>
          <w:szCs w:val="20"/>
          <w:lang w:eastAsia="cs-CZ"/>
        </w:rPr>
        <w:t xml:space="preserve">Z pohľadu plnenia pravidla N+3 vstúpila dňa 11.12.2013 do platnosti novela nariadenia Rady (ES) č. 1297/2013 pre Slovenskú republiku a Rumunsko, ktorou sa zmenilo nariadenie Rady (ES) č. 1083/2006. V zmysle tejto novely bolo schválené pravidlo N+3 aj na záväzky 2011 a 2012. V rámci tohto programu bolo pravidlo N+2/ N+3 počas celej implementácie splnené. </w:t>
      </w:r>
    </w:p>
    <w:p w14:paraId="51FC07A7" w14:textId="08C461A8" w:rsidR="00131407" w:rsidRDefault="006C73A6" w:rsidP="006C0B5D">
      <w:pPr>
        <w:autoSpaceDE w:val="0"/>
        <w:autoSpaceDN w:val="0"/>
        <w:adjustRightInd w:val="0"/>
        <w:spacing w:before="120" w:after="120"/>
        <w:jc w:val="both"/>
        <w:rPr>
          <w:rFonts w:ascii="Arial" w:hAnsi="Arial" w:cs="Arial"/>
          <w:sz w:val="20"/>
          <w:szCs w:val="20"/>
          <w:lang w:eastAsia="cs-CZ"/>
        </w:rPr>
      </w:pPr>
      <w:r w:rsidRPr="006C0B5D">
        <w:rPr>
          <w:rFonts w:ascii="Arial" w:hAnsi="Arial" w:cs="Arial"/>
          <w:sz w:val="20"/>
          <w:szCs w:val="20"/>
          <w:lang w:eastAsia="cs-CZ"/>
        </w:rPr>
        <w:t>Nasledovná tabuľka poskytuje prehľad výdavkov deklarovaných na EK v žiadostiach o platbu v členení podľa prioritných osí od začiatku impl</w:t>
      </w:r>
      <w:r w:rsidR="008805AA">
        <w:rPr>
          <w:rFonts w:ascii="Arial" w:hAnsi="Arial" w:cs="Arial"/>
          <w:sz w:val="20"/>
          <w:szCs w:val="20"/>
          <w:lang w:eastAsia="cs-CZ"/>
        </w:rPr>
        <w:t xml:space="preserve">ementácie operačného programu. </w:t>
      </w:r>
    </w:p>
    <w:p w14:paraId="2FC53A62" w14:textId="24ACB569" w:rsidR="006C73A6" w:rsidRPr="00807178" w:rsidRDefault="006C73A6" w:rsidP="006C0B5D">
      <w:pPr>
        <w:autoSpaceDE w:val="0"/>
        <w:autoSpaceDN w:val="0"/>
        <w:adjustRightInd w:val="0"/>
        <w:spacing w:before="120" w:after="120"/>
        <w:jc w:val="both"/>
        <w:rPr>
          <w:rFonts w:ascii="Arial" w:hAnsi="Arial" w:cs="Arial"/>
          <w:sz w:val="20"/>
          <w:szCs w:val="20"/>
          <w:lang w:eastAsia="cs-CZ"/>
        </w:rPr>
      </w:pPr>
      <w:r w:rsidRPr="00807178">
        <w:rPr>
          <w:rFonts w:ascii="Arial" w:hAnsi="Arial" w:cs="Arial"/>
          <w:sz w:val="20"/>
          <w:szCs w:val="20"/>
          <w:lang w:eastAsia="cs-CZ"/>
        </w:rPr>
        <w:t xml:space="preserve">Tabuľka č. </w:t>
      </w:r>
      <w:r w:rsidR="00682B07" w:rsidRPr="00807178">
        <w:rPr>
          <w:rFonts w:ascii="Arial" w:hAnsi="Arial" w:cs="Arial"/>
          <w:sz w:val="20"/>
          <w:szCs w:val="20"/>
          <w:lang w:eastAsia="cs-CZ"/>
        </w:rPr>
        <w:t>14</w:t>
      </w:r>
      <w:r w:rsidRPr="00807178">
        <w:rPr>
          <w:rFonts w:ascii="Arial" w:hAnsi="Arial" w:cs="Arial"/>
          <w:sz w:val="20"/>
          <w:szCs w:val="20"/>
          <w:lang w:eastAsia="cs-CZ"/>
        </w:rPr>
        <w:t>: Kumulatívny prehľad deklarovaných výdavkov EK k 31.</w:t>
      </w:r>
      <w:r w:rsidR="0059168D">
        <w:rPr>
          <w:rFonts w:ascii="Arial" w:hAnsi="Arial" w:cs="Arial"/>
          <w:sz w:val="20"/>
          <w:szCs w:val="20"/>
          <w:lang w:eastAsia="cs-CZ"/>
        </w:rPr>
        <w:t xml:space="preserve"> 10 </w:t>
      </w:r>
      <w:r w:rsidRPr="00807178">
        <w:rPr>
          <w:rFonts w:ascii="Arial" w:hAnsi="Arial" w:cs="Arial"/>
          <w:sz w:val="20"/>
          <w:szCs w:val="20"/>
          <w:lang w:eastAsia="cs-CZ"/>
        </w:rPr>
        <w:t xml:space="preserve">.2016            </w:t>
      </w:r>
    </w:p>
    <w:tbl>
      <w:tblPr>
        <w:tblW w:w="8926" w:type="dxa"/>
        <w:tblInd w:w="75" w:type="dxa"/>
        <w:tblCellMar>
          <w:left w:w="70" w:type="dxa"/>
          <w:right w:w="70" w:type="dxa"/>
        </w:tblCellMar>
        <w:tblLook w:val="04A0" w:firstRow="1" w:lastRow="0" w:firstColumn="1" w:lastColumn="0" w:noHBand="0" w:noVBand="1"/>
      </w:tblPr>
      <w:tblGrid>
        <w:gridCol w:w="1320"/>
        <w:gridCol w:w="1510"/>
        <w:gridCol w:w="1418"/>
        <w:gridCol w:w="1701"/>
        <w:gridCol w:w="1701"/>
        <w:gridCol w:w="1276"/>
      </w:tblGrid>
      <w:tr w:rsidR="006C73A6" w:rsidRPr="00A9697A" w14:paraId="013F3E12" w14:textId="77777777" w:rsidTr="00EE50CC">
        <w:trPr>
          <w:trHeight w:val="1530"/>
        </w:trPr>
        <w:tc>
          <w:tcPr>
            <w:tcW w:w="1320"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C5D87BC"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OP Životné prostredie</w:t>
            </w:r>
          </w:p>
        </w:tc>
        <w:tc>
          <w:tcPr>
            <w:tcW w:w="151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B2D11BC"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Celkové financovanie OP</w:t>
            </w:r>
            <w:r w:rsidRPr="00EE50CC">
              <w:rPr>
                <w:rFonts w:ascii="Arial" w:hAnsi="Arial" w:cs="Arial"/>
                <w:b/>
                <w:bCs/>
                <w:color w:val="000000"/>
                <w:sz w:val="16"/>
                <w:szCs w:val="16"/>
              </w:rPr>
              <w:br/>
              <w:t>(na úrovni EÚ a národnej úrovni)</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B0E3C5A"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Základ pre výpočet príspevku EÚ</w:t>
            </w:r>
            <w:r w:rsidRPr="00EE50CC">
              <w:rPr>
                <w:rFonts w:ascii="Arial" w:hAnsi="Arial" w:cs="Arial"/>
                <w:b/>
                <w:bCs/>
                <w:color w:val="000000"/>
                <w:sz w:val="16"/>
                <w:szCs w:val="16"/>
              </w:rPr>
              <w:br/>
              <w:t>(verejné alebo celkové zdroje)</w:t>
            </w:r>
          </w:p>
        </w:tc>
        <w:tc>
          <w:tcPr>
            <w:tcW w:w="1701"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C2E27A2"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Celková suma certifikovaných oprávnených výdavkov zahrnutá do ŽoP na EK</w:t>
            </w:r>
          </w:p>
        </w:tc>
        <w:tc>
          <w:tcPr>
            <w:tcW w:w="1701"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1B32AA7"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 xml:space="preserve">Zodpovedajúci príspevok z verejných zdrojov </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177F001"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Miera plnenia v %</w:t>
            </w:r>
          </w:p>
        </w:tc>
      </w:tr>
      <w:tr w:rsidR="006C73A6" w:rsidRPr="00A9697A" w14:paraId="3D97FA0F" w14:textId="77777777" w:rsidTr="00EE50CC">
        <w:trPr>
          <w:trHeight w:val="173"/>
        </w:trPr>
        <w:tc>
          <w:tcPr>
            <w:tcW w:w="1320"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23CEBA3" w14:textId="77777777" w:rsidR="006C73A6" w:rsidRPr="00EE50CC" w:rsidRDefault="006C73A6" w:rsidP="004959AE">
            <w:pPr>
              <w:rPr>
                <w:rFonts w:ascii="Arial" w:hAnsi="Arial" w:cs="Arial"/>
                <w:b/>
                <w:bCs/>
                <w:color w:val="000000"/>
                <w:sz w:val="16"/>
                <w:szCs w:val="16"/>
              </w:rPr>
            </w:pPr>
          </w:p>
        </w:tc>
        <w:tc>
          <w:tcPr>
            <w:tcW w:w="1510" w:type="dxa"/>
            <w:tcBorders>
              <w:top w:val="nil"/>
              <w:left w:val="nil"/>
              <w:bottom w:val="single" w:sz="4" w:space="0" w:color="auto"/>
              <w:right w:val="single" w:sz="4" w:space="0" w:color="auto"/>
            </w:tcBorders>
            <w:shd w:val="clear" w:color="auto" w:fill="C2D69B" w:themeFill="accent3" w:themeFillTint="99"/>
            <w:vAlign w:val="center"/>
            <w:hideMark/>
          </w:tcPr>
          <w:p w14:paraId="2628C7C6" w14:textId="78C600BA"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 xml:space="preserve">v </w:t>
            </w:r>
            <w:r w:rsidR="00366C2D">
              <w:rPr>
                <w:rFonts w:ascii="Arial" w:hAnsi="Arial" w:cs="Arial"/>
                <w:b/>
                <w:bCs/>
                <w:color w:val="000000"/>
                <w:sz w:val="16"/>
                <w:szCs w:val="16"/>
              </w:rPr>
              <w:t>€</w:t>
            </w:r>
          </w:p>
        </w:tc>
        <w:tc>
          <w:tcPr>
            <w:tcW w:w="1418"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584CA2E" w14:textId="77777777" w:rsidR="006C73A6" w:rsidRPr="00EE50CC" w:rsidRDefault="006C73A6" w:rsidP="004959AE">
            <w:pPr>
              <w:rPr>
                <w:rFonts w:ascii="Arial" w:hAnsi="Arial" w:cs="Arial"/>
                <w:b/>
                <w:bCs/>
                <w:color w:val="000000"/>
                <w:sz w:val="16"/>
                <w:szCs w:val="16"/>
              </w:rPr>
            </w:pPr>
          </w:p>
        </w:tc>
        <w:tc>
          <w:tcPr>
            <w:tcW w:w="1701" w:type="dxa"/>
            <w:tcBorders>
              <w:top w:val="nil"/>
              <w:left w:val="nil"/>
              <w:bottom w:val="single" w:sz="4" w:space="0" w:color="auto"/>
              <w:right w:val="single" w:sz="4" w:space="0" w:color="auto"/>
            </w:tcBorders>
            <w:shd w:val="clear" w:color="auto" w:fill="C2D69B" w:themeFill="accent3" w:themeFillTint="99"/>
            <w:vAlign w:val="center"/>
            <w:hideMark/>
          </w:tcPr>
          <w:p w14:paraId="524CF29E" w14:textId="09EFD390"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 xml:space="preserve">v </w:t>
            </w:r>
            <w:r w:rsidR="00366C2D">
              <w:rPr>
                <w:rFonts w:ascii="Arial" w:hAnsi="Arial" w:cs="Arial"/>
                <w:b/>
                <w:bCs/>
                <w:color w:val="000000"/>
                <w:sz w:val="16"/>
                <w:szCs w:val="16"/>
              </w:rPr>
              <w:t>€</w:t>
            </w:r>
          </w:p>
        </w:tc>
        <w:tc>
          <w:tcPr>
            <w:tcW w:w="1701" w:type="dxa"/>
            <w:tcBorders>
              <w:top w:val="nil"/>
              <w:left w:val="nil"/>
              <w:bottom w:val="single" w:sz="4" w:space="0" w:color="auto"/>
              <w:right w:val="single" w:sz="4" w:space="0" w:color="auto"/>
            </w:tcBorders>
            <w:shd w:val="clear" w:color="auto" w:fill="C2D69B" w:themeFill="accent3" w:themeFillTint="99"/>
            <w:vAlign w:val="center"/>
            <w:hideMark/>
          </w:tcPr>
          <w:p w14:paraId="6D04822B" w14:textId="5564F6C1"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 xml:space="preserve">v </w:t>
            </w:r>
            <w:r w:rsidR="00366C2D">
              <w:rPr>
                <w:rFonts w:ascii="Arial" w:hAnsi="Arial" w:cs="Arial"/>
                <w:b/>
                <w:bCs/>
                <w:color w:val="000000"/>
                <w:sz w:val="16"/>
                <w:szCs w:val="16"/>
              </w:rPr>
              <w:t>€</w:t>
            </w:r>
          </w:p>
        </w:tc>
        <w:tc>
          <w:tcPr>
            <w:tcW w:w="1276"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102A59A" w14:textId="77777777" w:rsidR="006C73A6" w:rsidRPr="00EE50CC" w:rsidRDefault="006C73A6" w:rsidP="004959AE">
            <w:pPr>
              <w:rPr>
                <w:rFonts w:ascii="Arial" w:hAnsi="Arial" w:cs="Arial"/>
                <w:b/>
                <w:bCs/>
                <w:color w:val="000000"/>
                <w:sz w:val="16"/>
                <w:szCs w:val="16"/>
              </w:rPr>
            </w:pPr>
          </w:p>
        </w:tc>
      </w:tr>
      <w:tr w:rsidR="006C73A6" w:rsidRPr="00A9697A" w14:paraId="0335C4CC" w14:textId="77777777" w:rsidTr="00EE50CC">
        <w:trPr>
          <w:trHeight w:val="121"/>
        </w:trPr>
        <w:tc>
          <w:tcPr>
            <w:tcW w:w="1320"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A60E79F" w14:textId="77777777" w:rsidR="006C73A6" w:rsidRPr="00EE50CC" w:rsidRDefault="006C73A6" w:rsidP="004959AE">
            <w:pPr>
              <w:rPr>
                <w:rFonts w:ascii="Arial" w:hAnsi="Arial" w:cs="Arial"/>
                <w:b/>
                <w:bCs/>
                <w:color w:val="000000"/>
                <w:sz w:val="16"/>
                <w:szCs w:val="16"/>
              </w:rPr>
            </w:pPr>
          </w:p>
        </w:tc>
        <w:tc>
          <w:tcPr>
            <w:tcW w:w="1510" w:type="dxa"/>
            <w:tcBorders>
              <w:top w:val="nil"/>
              <w:left w:val="nil"/>
              <w:bottom w:val="single" w:sz="4" w:space="0" w:color="auto"/>
              <w:right w:val="single" w:sz="4" w:space="0" w:color="auto"/>
            </w:tcBorders>
            <w:shd w:val="clear" w:color="auto" w:fill="C2D69B" w:themeFill="accent3" w:themeFillTint="99"/>
            <w:vAlign w:val="center"/>
            <w:hideMark/>
          </w:tcPr>
          <w:p w14:paraId="42A26DE4"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a</w:t>
            </w:r>
          </w:p>
        </w:tc>
        <w:tc>
          <w:tcPr>
            <w:tcW w:w="1418" w:type="dxa"/>
            <w:tcBorders>
              <w:top w:val="nil"/>
              <w:left w:val="nil"/>
              <w:bottom w:val="single" w:sz="4" w:space="0" w:color="auto"/>
              <w:right w:val="single" w:sz="4" w:space="0" w:color="auto"/>
            </w:tcBorders>
            <w:shd w:val="clear" w:color="auto" w:fill="C2D69B" w:themeFill="accent3" w:themeFillTint="99"/>
            <w:vAlign w:val="center"/>
            <w:hideMark/>
          </w:tcPr>
          <w:p w14:paraId="6C5EA755"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b</w:t>
            </w:r>
          </w:p>
        </w:tc>
        <w:tc>
          <w:tcPr>
            <w:tcW w:w="1701" w:type="dxa"/>
            <w:tcBorders>
              <w:top w:val="nil"/>
              <w:left w:val="nil"/>
              <w:bottom w:val="single" w:sz="4" w:space="0" w:color="auto"/>
              <w:right w:val="single" w:sz="4" w:space="0" w:color="auto"/>
            </w:tcBorders>
            <w:shd w:val="clear" w:color="auto" w:fill="C2D69B" w:themeFill="accent3" w:themeFillTint="99"/>
            <w:vAlign w:val="center"/>
            <w:hideMark/>
          </w:tcPr>
          <w:p w14:paraId="06464A1D"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c</w:t>
            </w:r>
          </w:p>
        </w:tc>
        <w:tc>
          <w:tcPr>
            <w:tcW w:w="1701" w:type="dxa"/>
            <w:tcBorders>
              <w:top w:val="nil"/>
              <w:left w:val="nil"/>
              <w:bottom w:val="single" w:sz="4" w:space="0" w:color="auto"/>
              <w:right w:val="single" w:sz="4" w:space="0" w:color="auto"/>
            </w:tcBorders>
            <w:shd w:val="clear" w:color="auto" w:fill="C2D69B" w:themeFill="accent3" w:themeFillTint="99"/>
            <w:vAlign w:val="center"/>
            <w:hideMark/>
          </w:tcPr>
          <w:p w14:paraId="5195F31B"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d</w:t>
            </w:r>
          </w:p>
        </w:tc>
        <w:tc>
          <w:tcPr>
            <w:tcW w:w="1276" w:type="dxa"/>
            <w:tcBorders>
              <w:top w:val="nil"/>
              <w:left w:val="nil"/>
              <w:bottom w:val="single" w:sz="4" w:space="0" w:color="auto"/>
              <w:right w:val="single" w:sz="4" w:space="0" w:color="auto"/>
            </w:tcBorders>
            <w:shd w:val="clear" w:color="auto" w:fill="C2D69B" w:themeFill="accent3" w:themeFillTint="99"/>
            <w:vAlign w:val="center"/>
            <w:hideMark/>
          </w:tcPr>
          <w:p w14:paraId="009C31F9"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e = d/a</w:t>
            </w:r>
          </w:p>
        </w:tc>
      </w:tr>
      <w:tr w:rsidR="006C73A6" w:rsidRPr="00A9697A" w14:paraId="7127E802" w14:textId="77777777" w:rsidTr="004959AE">
        <w:trPr>
          <w:trHeight w:val="330"/>
        </w:trPr>
        <w:tc>
          <w:tcPr>
            <w:tcW w:w="1320" w:type="dxa"/>
            <w:tcBorders>
              <w:top w:val="nil"/>
              <w:left w:val="single" w:sz="4" w:space="0" w:color="auto"/>
              <w:bottom w:val="single" w:sz="4" w:space="0" w:color="auto"/>
              <w:right w:val="single" w:sz="4" w:space="0" w:color="auto"/>
            </w:tcBorders>
            <w:shd w:val="clear" w:color="auto" w:fill="auto"/>
            <w:hideMark/>
          </w:tcPr>
          <w:p w14:paraId="40CB8773"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1</w:t>
            </w:r>
          </w:p>
        </w:tc>
        <w:tc>
          <w:tcPr>
            <w:tcW w:w="1510" w:type="dxa"/>
            <w:tcBorders>
              <w:top w:val="nil"/>
              <w:left w:val="nil"/>
              <w:bottom w:val="single" w:sz="4" w:space="0" w:color="auto"/>
              <w:right w:val="single" w:sz="4" w:space="0" w:color="auto"/>
            </w:tcBorders>
            <w:shd w:val="clear" w:color="auto" w:fill="auto"/>
            <w:vAlign w:val="center"/>
            <w:hideMark/>
          </w:tcPr>
          <w:p w14:paraId="5B1814BD"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1 062 956 430,00</w:t>
            </w:r>
          </w:p>
        </w:tc>
        <w:tc>
          <w:tcPr>
            <w:tcW w:w="1418" w:type="dxa"/>
            <w:tcBorders>
              <w:top w:val="nil"/>
              <w:left w:val="nil"/>
              <w:bottom w:val="single" w:sz="4" w:space="0" w:color="auto"/>
              <w:right w:val="single" w:sz="4" w:space="0" w:color="auto"/>
            </w:tcBorders>
            <w:shd w:val="clear" w:color="auto" w:fill="auto"/>
            <w:vAlign w:val="center"/>
            <w:hideMark/>
          </w:tcPr>
          <w:p w14:paraId="45E06C9A"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verejné zdroje</w:t>
            </w:r>
          </w:p>
        </w:tc>
        <w:tc>
          <w:tcPr>
            <w:tcW w:w="1701" w:type="dxa"/>
            <w:tcBorders>
              <w:top w:val="nil"/>
              <w:left w:val="nil"/>
              <w:bottom w:val="single" w:sz="4" w:space="0" w:color="auto"/>
              <w:right w:val="single" w:sz="4" w:space="0" w:color="auto"/>
            </w:tcBorders>
            <w:shd w:val="clear" w:color="auto" w:fill="auto"/>
            <w:vAlign w:val="center"/>
            <w:hideMark/>
          </w:tcPr>
          <w:p w14:paraId="4DB336E5"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1 046 517 460,71</w:t>
            </w:r>
          </w:p>
        </w:tc>
        <w:tc>
          <w:tcPr>
            <w:tcW w:w="1701" w:type="dxa"/>
            <w:tcBorders>
              <w:top w:val="nil"/>
              <w:left w:val="nil"/>
              <w:bottom w:val="single" w:sz="4" w:space="0" w:color="auto"/>
              <w:right w:val="single" w:sz="4" w:space="0" w:color="auto"/>
            </w:tcBorders>
            <w:shd w:val="clear" w:color="auto" w:fill="auto"/>
            <w:vAlign w:val="center"/>
            <w:hideMark/>
          </w:tcPr>
          <w:p w14:paraId="6F4DDF0F"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1 012 422 371,74</w:t>
            </w:r>
          </w:p>
        </w:tc>
        <w:tc>
          <w:tcPr>
            <w:tcW w:w="1276" w:type="dxa"/>
            <w:tcBorders>
              <w:top w:val="nil"/>
              <w:left w:val="nil"/>
              <w:bottom w:val="single" w:sz="4" w:space="0" w:color="auto"/>
              <w:right w:val="single" w:sz="4" w:space="0" w:color="auto"/>
            </w:tcBorders>
            <w:shd w:val="clear" w:color="auto" w:fill="auto"/>
            <w:vAlign w:val="center"/>
            <w:hideMark/>
          </w:tcPr>
          <w:p w14:paraId="1973238F"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95,25%</w:t>
            </w:r>
          </w:p>
        </w:tc>
      </w:tr>
      <w:tr w:rsidR="006C73A6" w:rsidRPr="00A9697A" w14:paraId="2707972B" w14:textId="77777777" w:rsidTr="004959AE">
        <w:trPr>
          <w:trHeight w:val="330"/>
        </w:trPr>
        <w:tc>
          <w:tcPr>
            <w:tcW w:w="1320" w:type="dxa"/>
            <w:tcBorders>
              <w:top w:val="nil"/>
              <w:left w:val="single" w:sz="4" w:space="0" w:color="auto"/>
              <w:bottom w:val="single" w:sz="4" w:space="0" w:color="auto"/>
              <w:right w:val="single" w:sz="4" w:space="0" w:color="auto"/>
            </w:tcBorders>
            <w:shd w:val="clear" w:color="auto" w:fill="auto"/>
            <w:hideMark/>
          </w:tcPr>
          <w:p w14:paraId="22FC845F"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2</w:t>
            </w:r>
          </w:p>
        </w:tc>
        <w:tc>
          <w:tcPr>
            <w:tcW w:w="1510" w:type="dxa"/>
            <w:tcBorders>
              <w:top w:val="nil"/>
              <w:left w:val="nil"/>
              <w:bottom w:val="single" w:sz="4" w:space="0" w:color="auto"/>
              <w:right w:val="single" w:sz="4" w:space="0" w:color="auto"/>
            </w:tcBorders>
            <w:shd w:val="clear" w:color="auto" w:fill="auto"/>
            <w:vAlign w:val="center"/>
            <w:hideMark/>
          </w:tcPr>
          <w:p w14:paraId="4C6EFCDD"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306 788 353,00</w:t>
            </w:r>
          </w:p>
        </w:tc>
        <w:tc>
          <w:tcPr>
            <w:tcW w:w="1418" w:type="dxa"/>
            <w:tcBorders>
              <w:top w:val="nil"/>
              <w:left w:val="nil"/>
              <w:bottom w:val="single" w:sz="4" w:space="0" w:color="auto"/>
              <w:right w:val="single" w:sz="4" w:space="0" w:color="auto"/>
            </w:tcBorders>
            <w:shd w:val="clear" w:color="auto" w:fill="auto"/>
            <w:vAlign w:val="center"/>
            <w:hideMark/>
          </w:tcPr>
          <w:p w14:paraId="58E787A5"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verejné zdroje</w:t>
            </w:r>
          </w:p>
        </w:tc>
        <w:tc>
          <w:tcPr>
            <w:tcW w:w="1701" w:type="dxa"/>
            <w:tcBorders>
              <w:top w:val="nil"/>
              <w:left w:val="nil"/>
              <w:bottom w:val="single" w:sz="4" w:space="0" w:color="auto"/>
              <w:right w:val="single" w:sz="4" w:space="0" w:color="auto"/>
            </w:tcBorders>
            <w:shd w:val="clear" w:color="auto" w:fill="auto"/>
            <w:vAlign w:val="center"/>
            <w:hideMark/>
          </w:tcPr>
          <w:p w14:paraId="454BAB38"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300 906 339,39</w:t>
            </w:r>
          </w:p>
        </w:tc>
        <w:tc>
          <w:tcPr>
            <w:tcW w:w="1701" w:type="dxa"/>
            <w:tcBorders>
              <w:top w:val="nil"/>
              <w:left w:val="nil"/>
              <w:bottom w:val="single" w:sz="4" w:space="0" w:color="auto"/>
              <w:right w:val="single" w:sz="4" w:space="0" w:color="auto"/>
            </w:tcBorders>
            <w:shd w:val="clear" w:color="auto" w:fill="auto"/>
            <w:vAlign w:val="center"/>
            <w:hideMark/>
          </w:tcPr>
          <w:p w14:paraId="02F45ADD"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296 571 560,70</w:t>
            </w:r>
          </w:p>
        </w:tc>
        <w:tc>
          <w:tcPr>
            <w:tcW w:w="1276" w:type="dxa"/>
            <w:tcBorders>
              <w:top w:val="nil"/>
              <w:left w:val="nil"/>
              <w:bottom w:val="single" w:sz="4" w:space="0" w:color="auto"/>
              <w:right w:val="single" w:sz="4" w:space="0" w:color="auto"/>
            </w:tcBorders>
            <w:shd w:val="clear" w:color="auto" w:fill="auto"/>
            <w:vAlign w:val="center"/>
            <w:hideMark/>
          </w:tcPr>
          <w:p w14:paraId="734E89C1"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96,67%</w:t>
            </w:r>
          </w:p>
        </w:tc>
      </w:tr>
      <w:tr w:rsidR="006C73A6" w:rsidRPr="00A9697A" w14:paraId="4F650955" w14:textId="77777777" w:rsidTr="004959AE">
        <w:trPr>
          <w:trHeight w:val="330"/>
        </w:trPr>
        <w:tc>
          <w:tcPr>
            <w:tcW w:w="1320" w:type="dxa"/>
            <w:tcBorders>
              <w:top w:val="nil"/>
              <w:left w:val="single" w:sz="4" w:space="0" w:color="auto"/>
              <w:bottom w:val="single" w:sz="4" w:space="0" w:color="auto"/>
              <w:right w:val="single" w:sz="4" w:space="0" w:color="auto"/>
            </w:tcBorders>
            <w:shd w:val="clear" w:color="auto" w:fill="auto"/>
            <w:hideMark/>
          </w:tcPr>
          <w:p w14:paraId="693F264F"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3</w:t>
            </w:r>
          </w:p>
        </w:tc>
        <w:tc>
          <w:tcPr>
            <w:tcW w:w="1510" w:type="dxa"/>
            <w:tcBorders>
              <w:top w:val="nil"/>
              <w:left w:val="nil"/>
              <w:bottom w:val="single" w:sz="4" w:space="0" w:color="auto"/>
              <w:right w:val="single" w:sz="4" w:space="0" w:color="auto"/>
            </w:tcBorders>
            <w:shd w:val="clear" w:color="auto" w:fill="auto"/>
            <w:vAlign w:val="center"/>
            <w:hideMark/>
          </w:tcPr>
          <w:p w14:paraId="36AD8ECC"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211 764 706,00</w:t>
            </w:r>
          </w:p>
        </w:tc>
        <w:tc>
          <w:tcPr>
            <w:tcW w:w="1418" w:type="dxa"/>
            <w:tcBorders>
              <w:top w:val="nil"/>
              <w:left w:val="nil"/>
              <w:bottom w:val="single" w:sz="4" w:space="0" w:color="auto"/>
              <w:right w:val="single" w:sz="4" w:space="0" w:color="auto"/>
            </w:tcBorders>
            <w:shd w:val="clear" w:color="auto" w:fill="auto"/>
            <w:vAlign w:val="center"/>
            <w:hideMark/>
          </w:tcPr>
          <w:p w14:paraId="3B4C09BE"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verejné zdroje</w:t>
            </w:r>
          </w:p>
        </w:tc>
        <w:tc>
          <w:tcPr>
            <w:tcW w:w="1701" w:type="dxa"/>
            <w:tcBorders>
              <w:top w:val="nil"/>
              <w:left w:val="nil"/>
              <w:bottom w:val="single" w:sz="4" w:space="0" w:color="auto"/>
              <w:right w:val="single" w:sz="4" w:space="0" w:color="auto"/>
            </w:tcBorders>
            <w:shd w:val="clear" w:color="auto" w:fill="auto"/>
            <w:vAlign w:val="center"/>
            <w:hideMark/>
          </w:tcPr>
          <w:p w14:paraId="6F1E8B7F"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293 681 590,64</w:t>
            </w:r>
          </w:p>
        </w:tc>
        <w:tc>
          <w:tcPr>
            <w:tcW w:w="1701" w:type="dxa"/>
            <w:tcBorders>
              <w:top w:val="nil"/>
              <w:left w:val="nil"/>
              <w:bottom w:val="single" w:sz="4" w:space="0" w:color="auto"/>
              <w:right w:val="single" w:sz="4" w:space="0" w:color="auto"/>
            </w:tcBorders>
            <w:shd w:val="clear" w:color="auto" w:fill="auto"/>
            <w:vAlign w:val="center"/>
            <w:hideMark/>
          </w:tcPr>
          <w:p w14:paraId="01DA804D"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201 979 203,78</w:t>
            </w:r>
          </w:p>
        </w:tc>
        <w:tc>
          <w:tcPr>
            <w:tcW w:w="1276" w:type="dxa"/>
            <w:tcBorders>
              <w:top w:val="nil"/>
              <w:left w:val="nil"/>
              <w:bottom w:val="single" w:sz="4" w:space="0" w:color="auto"/>
              <w:right w:val="single" w:sz="4" w:space="0" w:color="auto"/>
            </w:tcBorders>
            <w:shd w:val="clear" w:color="auto" w:fill="auto"/>
            <w:vAlign w:val="center"/>
            <w:hideMark/>
          </w:tcPr>
          <w:p w14:paraId="3678B283"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95,38%</w:t>
            </w:r>
          </w:p>
        </w:tc>
      </w:tr>
      <w:tr w:rsidR="006C73A6" w:rsidRPr="00A9697A" w14:paraId="15562A0E" w14:textId="77777777" w:rsidTr="004959AE">
        <w:trPr>
          <w:trHeight w:val="330"/>
        </w:trPr>
        <w:tc>
          <w:tcPr>
            <w:tcW w:w="1320" w:type="dxa"/>
            <w:tcBorders>
              <w:top w:val="nil"/>
              <w:left w:val="single" w:sz="4" w:space="0" w:color="auto"/>
              <w:bottom w:val="single" w:sz="4" w:space="0" w:color="auto"/>
              <w:right w:val="single" w:sz="4" w:space="0" w:color="auto"/>
            </w:tcBorders>
            <w:shd w:val="clear" w:color="auto" w:fill="auto"/>
            <w:hideMark/>
          </w:tcPr>
          <w:p w14:paraId="7223E621"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4</w:t>
            </w:r>
          </w:p>
        </w:tc>
        <w:tc>
          <w:tcPr>
            <w:tcW w:w="1510" w:type="dxa"/>
            <w:tcBorders>
              <w:top w:val="nil"/>
              <w:left w:val="nil"/>
              <w:bottom w:val="single" w:sz="4" w:space="0" w:color="auto"/>
              <w:right w:val="single" w:sz="4" w:space="0" w:color="auto"/>
            </w:tcBorders>
            <w:shd w:val="clear" w:color="auto" w:fill="auto"/>
            <w:vAlign w:val="center"/>
            <w:hideMark/>
          </w:tcPr>
          <w:p w14:paraId="6640818A"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419 247 059,00</w:t>
            </w:r>
          </w:p>
        </w:tc>
        <w:tc>
          <w:tcPr>
            <w:tcW w:w="1418" w:type="dxa"/>
            <w:tcBorders>
              <w:top w:val="nil"/>
              <w:left w:val="nil"/>
              <w:bottom w:val="single" w:sz="4" w:space="0" w:color="auto"/>
              <w:right w:val="single" w:sz="4" w:space="0" w:color="auto"/>
            </w:tcBorders>
            <w:shd w:val="clear" w:color="auto" w:fill="auto"/>
            <w:vAlign w:val="center"/>
            <w:hideMark/>
          </w:tcPr>
          <w:p w14:paraId="53B66738"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verejné zdroje</w:t>
            </w:r>
          </w:p>
        </w:tc>
        <w:tc>
          <w:tcPr>
            <w:tcW w:w="1701" w:type="dxa"/>
            <w:tcBorders>
              <w:top w:val="nil"/>
              <w:left w:val="nil"/>
              <w:bottom w:val="single" w:sz="4" w:space="0" w:color="auto"/>
              <w:right w:val="single" w:sz="4" w:space="0" w:color="auto"/>
            </w:tcBorders>
            <w:shd w:val="clear" w:color="auto" w:fill="auto"/>
            <w:vAlign w:val="center"/>
            <w:hideMark/>
          </w:tcPr>
          <w:p w14:paraId="17A2B240"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441 812 421,80</w:t>
            </w:r>
          </w:p>
        </w:tc>
        <w:tc>
          <w:tcPr>
            <w:tcW w:w="1701" w:type="dxa"/>
            <w:tcBorders>
              <w:top w:val="nil"/>
              <w:left w:val="nil"/>
              <w:bottom w:val="single" w:sz="4" w:space="0" w:color="auto"/>
              <w:right w:val="single" w:sz="4" w:space="0" w:color="auto"/>
            </w:tcBorders>
            <w:shd w:val="clear" w:color="auto" w:fill="auto"/>
            <w:vAlign w:val="center"/>
            <w:hideMark/>
          </w:tcPr>
          <w:p w14:paraId="579D1219"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398 497 738,27</w:t>
            </w:r>
          </w:p>
        </w:tc>
        <w:tc>
          <w:tcPr>
            <w:tcW w:w="1276" w:type="dxa"/>
            <w:tcBorders>
              <w:top w:val="nil"/>
              <w:left w:val="nil"/>
              <w:bottom w:val="single" w:sz="4" w:space="0" w:color="auto"/>
              <w:right w:val="single" w:sz="4" w:space="0" w:color="auto"/>
            </w:tcBorders>
            <w:shd w:val="clear" w:color="auto" w:fill="auto"/>
            <w:vAlign w:val="center"/>
            <w:hideMark/>
          </w:tcPr>
          <w:p w14:paraId="3FCC228C"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95,05%</w:t>
            </w:r>
          </w:p>
        </w:tc>
      </w:tr>
      <w:tr w:rsidR="006C73A6" w:rsidRPr="00A9697A" w14:paraId="091F5DDC" w14:textId="77777777" w:rsidTr="004959AE">
        <w:trPr>
          <w:trHeight w:val="330"/>
        </w:trPr>
        <w:tc>
          <w:tcPr>
            <w:tcW w:w="1320" w:type="dxa"/>
            <w:tcBorders>
              <w:top w:val="nil"/>
              <w:left w:val="single" w:sz="4" w:space="0" w:color="auto"/>
              <w:bottom w:val="single" w:sz="4" w:space="0" w:color="auto"/>
              <w:right w:val="single" w:sz="4" w:space="0" w:color="auto"/>
            </w:tcBorders>
            <w:shd w:val="clear" w:color="auto" w:fill="auto"/>
            <w:hideMark/>
          </w:tcPr>
          <w:p w14:paraId="259822B8"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5</w:t>
            </w:r>
          </w:p>
        </w:tc>
        <w:tc>
          <w:tcPr>
            <w:tcW w:w="1510" w:type="dxa"/>
            <w:tcBorders>
              <w:top w:val="nil"/>
              <w:left w:val="nil"/>
              <w:bottom w:val="single" w:sz="4" w:space="0" w:color="auto"/>
              <w:right w:val="single" w:sz="4" w:space="0" w:color="auto"/>
            </w:tcBorders>
            <w:shd w:val="clear" w:color="auto" w:fill="auto"/>
            <w:vAlign w:val="center"/>
            <w:hideMark/>
          </w:tcPr>
          <w:p w14:paraId="5878B932"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59 714 042,00</w:t>
            </w:r>
          </w:p>
        </w:tc>
        <w:tc>
          <w:tcPr>
            <w:tcW w:w="1418" w:type="dxa"/>
            <w:tcBorders>
              <w:top w:val="nil"/>
              <w:left w:val="nil"/>
              <w:bottom w:val="single" w:sz="4" w:space="0" w:color="auto"/>
              <w:right w:val="single" w:sz="4" w:space="0" w:color="auto"/>
            </w:tcBorders>
            <w:shd w:val="clear" w:color="auto" w:fill="auto"/>
            <w:vAlign w:val="center"/>
            <w:hideMark/>
          </w:tcPr>
          <w:p w14:paraId="2A659087"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verejné zdroje</w:t>
            </w:r>
          </w:p>
        </w:tc>
        <w:tc>
          <w:tcPr>
            <w:tcW w:w="1701" w:type="dxa"/>
            <w:tcBorders>
              <w:top w:val="nil"/>
              <w:left w:val="nil"/>
              <w:bottom w:val="single" w:sz="4" w:space="0" w:color="auto"/>
              <w:right w:val="single" w:sz="4" w:space="0" w:color="auto"/>
            </w:tcBorders>
            <w:shd w:val="clear" w:color="auto" w:fill="auto"/>
            <w:vAlign w:val="center"/>
            <w:hideMark/>
          </w:tcPr>
          <w:p w14:paraId="15664AF6"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52 839 177,75</w:t>
            </w:r>
          </w:p>
        </w:tc>
        <w:tc>
          <w:tcPr>
            <w:tcW w:w="1701" w:type="dxa"/>
            <w:tcBorders>
              <w:top w:val="nil"/>
              <w:left w:val="nil"/>
              <w:bottom w:val="single" w:sz="4" w:space="0" w:color="auto"/>
              <w:right w:val="single" w:sz="4" w:space="0" w:color="auto"/>
            </w:tcBorders>
            <w:shd w:val="clear" w:color="auto" w:fill="auto"/>
            <w:vAlign w:val="center"/>
            <w:hideMark/>
          </w:tcPr>
          <w:p w14:paraId="10567086"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52 839 177,75</w:t>
            </w:r>
          </w:p>
        </w:tc>
        <w:tc>
          <w:tcPr>
            <w:tcW w:w="1276" w:type="dxa"/>
            <w:tcBorders>
              <w:top w:val="nil"/>
              <w:left w:val="nil"/>
              <w:bottom w:val="single" w:sz="4" w:space="0" w:color="auto"/>
              <w:right w:val="single" w:sz="4" w:space="0" w:color="auto"/>
            </w:tcBorders>
            <w:shd w:val="clear" w:color="auto" w:fill="auto"/>
            <w:vAlign w:val="center"/>
            <w:hideMark/>
          </w:tcPr>
          <w:p w14:paraId="5F277E26"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88,49%</w:t>
            </w:r>
          </w:p>
        </w:tc>
      </w:tr>
      <w:tr w:rsidR="006C73A6" w:rsidRPr="00A9697A" w14:paraId="517B359C" w14:textId="77777777" w:rsidTr="004959AE">
        <w:trPr>
          <w:trHeight w:val="330"/>
        </w:trPr>
        <w:tc>
          <w:tcPr>
            <w:tcW w:w="1320" w:type="dxa"/>
            <w:tcBorders>
              <w:top w:val="nil"/>
              <w:left w:val="single" w:sz="4" w:space="0" w:color="auto"/>
              <w:bottom w:val="single" w:sz="4" w:space="0" w:color="auto"/>
              <w:right w:val="single" w:sz="4" w:space="0" w:color="auto"/>
            </w:tcBorders>
            <w:shd w:val="clear" w:color="auto" w:fill="auto"/>
          </w:tcPr>
          <w:p w14:paraId="13608389"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6</w:t>
            </w:r>
          </w:p>
        </w:tc>
        <w:tc>
          <w:tcPr>
            <w:tcW w:w="1510" w:type="dxa"/>
            <w:tcBorders>
              <w:top w:val="nil"/>
              <w:left w:val="nil"/>
              <w:bottom w:val="single" w:sz="4" w:space="0" w:color="auto"/>
              <w:right w:val="single" w:sz="4" w:space="0" w:color="auto"/>
            </w:tcBorders>
            <w:shd w:val="clear" w:color="auto" w:fill="auto"/>
            <w:vAlign w:val="center"/>
          </w:tcPr>
          <w:p w14:paraId="78A2E499"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57 176 471,00</w:t>
            </w:r>
          </w:p>
        </w:tc>
        <w:tc>
          <w:tcPr>
            <w:tcW w:w="1418" w:type="dxa"/>
            <w:tcBorders>
              <w:top w:val="nil"/>
              <w:left w:val="nil"/>
              <w:bottom w:val="single" w:sz="4" w:space="0" w:color="auto"/>
              <w:right w:val="single" w:sz="4" w:space="0" w:color="auto"/>
            </w:tcBorders>
            <w:shd w:val="clear" w:color="auto" w:fill="auto"/>
            <w:vAlign w:val="center"/>
          </w:tcPr>
          <w:p w14:paraId="1C28CCE0"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verejné zdroje</w:t>
            </w:r>
          </w:p>
        </w:tc>
        <w:tc>
          <w:tcPr>
            <w:tcW w:w="1701" w:type="dxa"/>
            <w:tcBorders>
              <w:top w:val="nil"/>
              <w:left w:val="nil"/>
              <w:bottom w:val="single" w:sz="4" w:space="0" w:color="auto"/>
              <w:right w:val="single" w:sz="4" w:space="0" w:color="auto"/>
            </w:tcBorders>
            <w:shd w:val="clear" w:color="auto" w:fill="auto"/>
            <w:vAlign w:val="center"/>
          </w:tcPr>
          <w:p w14:paraId="64487AA0"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52 340 839,21</w:t>
            </w:r>
          </w:p>
        </w:tc>
        <w:tc>
          <w:tcPr>
            <w:tcW w:w="1701" w:type="dxa"/>
            <w:tcBorders>
              <w:top w:val="nil"/>
              <w:left w:val="nil"/>
              <w:bottom w:val="single" w:sz="4" w:space="0" w:color="auto"/>
              <w:right w:val="single" w:sz="4" w:space="0" w:color="auto"/>
            </w:tcBorders>
            <w:shd w:val="clear" w:color="auto" w:fill="auto"/>
            <w:vAlign w:val="center"/>
          </w:tcPr>
          <w:p w14:paraId="4B953061"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52 340 839,21</w:t>
            </w:r>
          </w:p>
        </w:tc>
        <w:tc>
          <w:tcPr>
            <w:tcW w:w="1276" w:type="dxa"/>
            <w:tcBorders>
              <w:top w:val="nil"/>
              <w:left w:val="nil"/>
              <w:bottom w:val="single" w:sz="4" w:space="0" w:color="auto"/>
              <w:right w:val="single" w:sz="4" w:space="0" w:color="auto"/>
            </w:tcBorders>
            <w:shd w:val="clear" w:color="auto" w:fill="auto"/>
            <w:vAlign w:val="center"/>
          </w:tcPr>
          <w:p w14:paraId="356DD46D"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91,54%</w:t>
            </w:r>
          </w:p>
        </w:tc>
      </w:tr>
      <w:tr w:rsidR="006C73A6" w:rsidRPr="00A9697A" w14:paraId="43F33B1A" w14:textId="77777777" w:rsidTr="004959AE">
        <w:trPr>
          <w:trHeight w:val="330"/>
        </w:trPr>
        <w:tc>
          <w:tcPr>
            <w:tcW w:w="1320" w:type="dxa"/>
            <w:tcBorders>
              <w:top w:val="nil"/>
              <w:left w:val="single" w:sz="4" w:space="0" w:color="auto"/>
              <w:bottom w:val="single" w:sz="4" w:space="0" w:color="auto"/>
              <w:right w:val="single" w:sz="4" w:space="0" w:color="auto"/>
            </w:tcBorders>
            <w:shd w:val="clear" w:color="auto" w:fill="auto"/>
          </w:tcPr>
          <w:p w14:paraId="7EC47D9B"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7</w:t>
            </w:r>
          </w:p>
        </w:tc>
        <w:tc>
          <w:tcPr>
            <w:tcW w:w="1510" w:type="dxa"/>
            <w:tcBorders>
              <w:top w:val="nil"/>
              <w:left w:val="nil"/>
              <w:bottom w:val="single" w:sz="4" w:space="0" w:color="auto"/>
              <w:right w:val="single" w:sz="4" w:space="0" w:color="auto"/>
            </w:tcBorders>
            <w:shd w:val="clear" w:color="auto" w:fill="auto"/>
            <w:vAlign w:val="center"/>
          </w:tcPr>
          <w:p w14:paraId="53139EA4"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23 529 412,00</w:t>
            </w:r>
          </w:p>
        </w:tc>
        <w:tc>
          <w:tcPr>
            <w:tcW w:w="1418" w:type="dxa"/>
            <w:tcBorders>
              <w:top w:val="nil"/>
              <w:left w:val="nil"/>
              <w:bottom w:val="single" w:sz="4" w:space="0" w:color="auto"/>
              <w:right w:val="single" w:sz="4" w:space="0" w:color="auto"/>
            </w:tcBorders>
            <w:shd w:val="clear" w:color="auto" w:fill="auto"/>
            <w:vAlign w:val="center"/>
          </w:tcPr>
          <w:p w14:paraId="32B9D2D2"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verejné zdroje</w:t>
            </w:r>
          </w:p>
        </w:tc>
        <w:tc>
          <w:tcPr>
            <w:tcW w:w="1701" w:type="dxa"/>
            <w:tcBorders>
              <w:top w:val="nil"/>
              <w:left w:val="nil"/>
              <w:bottom w:val="single" w:sz="4" w:space="0" w:color="auto"/>
              <w:right w:val="single" w:sz="4" w:space="0" w:color="auto"/>
            </w:tcBorders>
            <w:shd w:val="clear" w:color="auto" w:fill="auto"/>
            <w:vAlign w:val="center"/>
          </w:tcPr>
          <w:p w14:paraId="1DD98294"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19 728 985,42</w:t>
            </w:r>
          </w:p>
        </w:tc>
        <w:tc>
          <w:tcPr>
            <w:tcW w:w="1701" w:type="dxa"/>
            <w:tcBorders>
              <w:top w:val="nil"/>
              <w:left w:val="nil"/>
              <w:bottom w:val="single" w:sz="4" w:space="0" w:color="auto"/>
              <w:right w:val="single" w:sz="4" w:space="0" w:color="auto"/>
            </w:tcBorders>
            <w:shd w:val="clear" w:color="auto" w:fill="auto"/>
            <w:vAlign w:val="center"/>
          </w:tcPr>
          <w:p w14:paraId="3C733BC3"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19 728 985,42</w:t>
            </w:r>
          </w:p>
        </w:tc>
        <w:tc>
          <w:tcPr>
            <w:tcW w:w="1276" w:type="dxa"/>
            <w:tcBorders>
              <w:top w:val="nil"/>
              <w:left w:val="nil"/>
              <w:bottom w:val="single" w:sz="4" w:space="0" w:color="auto"/>
              <w:right w:val="single" w:sz="4" w:space="0" w:color="auto"/>
            </w:tcBorders>
            <w:shd w:val="clear" w:color="auto" w:fill="auto"/>
            <w:vAlign w:val="center"/>
          </w:tcPr>
          <w:p w14:paraId="2BC87312"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83,85%</w:t>
            </w:r>
          </w:p>
        </w:tc>
      </w:tr>
      <w:tr w:rsidR="006C73A6" w:rsidRPr="00A9697A" w14:paraId="3D4A1847" w14:textId="77777777" w:rsidTr="00EE50CC">
        <w:trPr>
          <w:trHeight w:val="330"/>
        </w:trPr>
        <w:tc>
          <w:tcPr>
            <w:tcW w:w="1320"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52F2BCF" w14:textId="77777777" w:rsidR="006C73A6" w:rsidRPr="00EE50CC" w:rsidRDefault="006C73A6" w:rsidP="004959AE">
            <w:pPr>
              <w:rPr>
                <w:rFonts w:ascii="Arial" w:hAnsi="Arial" w:cs="Arial"/>
                <w:b/>
                <w:bCs/>
                <w:color w:val="000000"/>
                <w:sz w:val="16"/>
                <w:szCs w:val="16"/>
              </w:rPr>
            </w:pPr>
            <w:r w:rsidRPr="00EE50CC">
              <w:rPr>
                <w:rFonts w:ascii="Arial" w:hAnsi="Arial" w:cs="Arial"/>
                <w:b/>
                <w:bCs/>
                <w:color w:val="000000"/>
                <w:sz w:val="16"/>
                <w:szCs w:val="16"/>
              </w:rPr>
              <w:t>Celkový súčet</w:t>
            </w:r>
          </w:p>
        </w:tc>
        <w:tc>
          <w:tcPr>
            <w:tcW w:w="1510" w:type="dxa"/>
            <w:tcBorders>
              <w:top w:val="nil"/>
              <w:left w:val="nil"/>
              <w:bottom w:val="single" w:sz="4" w:space="0" w:color="auto"/>
              <w:right w:val="single" w:sz="4" w:space="0" w:color="auto"/>
            </w:tcBorders>
            <w:shd w:val="clear" w:color="auto" w:fill="D9D9D9" w:themeFill="background1" w:themeFillShade="D9"/>
            <w:vAlign w:val="center"/>
            <w:hideMark/>
          </w:tcPr>
          <w:p w14:paraId="5DB09C75" w14:textId="77777777" w:rsidR="006C73A6" w:rsidRPr="00EE50CC" w:rsidRDefault="006C73A6" w:rsidP="004959AE">
            <w:pPr>
              <w:jc w:val="right"/>
              <w:rPr>
                <w:rFonts w:ascii="Arial" w:hAnsi="Arial" w:cs="Arial"/>
                <w:b/>
                <w:sz w:val="16"/>
                <w:szCs w:val="16"/>
              </w:rPr>
            </w:pPr>
            <w:r w:rsidRPr="00EE50CC">
              <w:rPr>
                <w:rFonts w:ascii="Arial" w:hAnsi="Arial" w:cs="Arial"/>
                <w:b/>
                <w:sz w:val="16"/>
                <w:szCs w:val="16"/>
              </w:rPr>
              <w:t>2 141 176 473,00</w:t>
            </w:r>
          </w:p>
        </w:tc>
        <w:tc>
          <w:tcPr>
            <w:tcW w:w="1418" w:type="dxa"/>
            <w:tcBorders>
              <w:top w:val="nil"/>
              <w:left w:val="nil"/>
              <w:bottom w:val="single" w:sz="4" w:space="0" w:color="auto"/>
              <w:right w:val="single" w:sz="4" w:space="0" w:color="auto"/>
            </w:tcBorders>
            <w:shd w:val="clear" w:color="auto" w:fill="D9D9D9" w:themeFill="background1" w:themeFillShade="D9"/>
            <w:vAlign w:val="center"/>
            <w:hideMark/>
          </w:tcPr>
          <w:p w14:paraId="5B6F22CC"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w:t>
            </w:r>
          </w:p>
        </w:tc>
        <w:tc>
          <w:tcPr>
            <w:tcW w:w="1701" w:type="dxa"/>
            <w:tcBorders>
              <w:top w:val="nil"/>
              <w:left w:val="nil"/>
              <w:bottom w:val="single" w:sz="4" w:space="0" w:color="auto"/>
              <w:right w:val="single" w:sz="4" w:space="0" w:color="auto"/>
            </w:tcBorders>
            <w:shd w:val="clear" w:color="auto" w:fill="D9D9D9" w:themeFill="background1" w:themeFillShade="D9"/>
            <w:vAlign w:val="center"/>
            <w:hideMark/>
          </w:tcPr>
          <w:p w14:paraId="5196D455" w14:textId="77777777" w:rsidR="006C73A6" w:rsidRPr="00EE50CC" w:rsidRDefault="006C73A6" w:rsidP="004959AE">
            <w:pPr>
              <w:jc w:val="right"/>
              <w:rPr>
                <w:rFonts w:ascii="Arial" w:hAnsi="Arial" w:cs="Arial"/>
                <w:b/>
                <w:sz w:val="16"/>
                <w:szCs w:val="16"/>
              </w:rPr>
            </w:pPr>
            <w:r w:rsidRPr="00EE50CC">
              <w:rPr>
                <w:rFonts w:ascii="Arial" w:hAnsi="Arial" w:cs="Arial"/>
                <w:b/>
                <w:sz w:val="16"/>
                <w:szCs w:val="16"/>
              </w:rPr>
              <w:t>2 207 826 814,92</w:t>
            </w:r>
          </w:p>
        </w:tc>
        <w:tc>
          <w:tcPr>
            <w:tcW w:w="1701" w:type="dxa"/>
            <w:tcBorders>
              <w:top w:val="nil"/>
              <w:left w:val="nil"/>
              <w:bottom w:val="single" w:sz="4" w:space="0" w:color="auto"/>
              <w:right w:val="single" w:sz="4" w:space="0" w:color="auto"/>
            </w:tcBorders>
            <w:shd w:val="clear" w:color="auto" w:fill="D9D9D9" w:themeFill="background1" w:themeFillShade="D9"/>
            <w:vAlign w:val="center"/>
            <w:hideMark/>
          </w:tcPr>
          <w:p w14:paraId="225CB41F" w14:textId="77777777" w:rsidR="006C73A6" w:rsidRPr="00EE50CC" w:rsidRDefault="006C73A6" w:rsidP="004959AE">
            <w:pPr>
              <w:jc w:val="right"/>
              <w:rPr>
                <w:rFonts w:ascii="Arial" w:hAnsi="Arial" w:cs="Arial"/>
                <w:b/>
                <w:sz w:val="16"/>
                <w:szCs w:val="16"/>
              </w:rPr>
            </w:pPr>
            <w:r w:rsidRPr="00EE50CC">
              <w:rPr>
                <w:rFonts w:ascii="Arial" w:hAnsi="Arial" w:cs="Arial"/>
                <w:b/>
                <w:sz w:val="16"/>
                <w:szCs w:val="16"/>
              </w:rPr>
              <w:t>2 034 379 876,87</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5976CAAC" w14:textId="77777777" w:rsidR="006C73A6" w:rsidRPr="00EE50CC" w:rsidRDefault="006C73A6" w:rsidP="004959AE">
            <w:pPr>
              <w:jc w:val="right"/>
              <w:rPr>
                <w:rFonts w:ascii="Arial" w:hAnsi="Arial" w:cs="Arial"/>
                <w:b/>
                <w:sz w:val="16"/>
                <w:szCs w:val="16"/>
              </w:rPr>
            </w:pPr>
            <w:r w:rsidRPr="00EE50CC">
              <w:rPr>
                <w:rFonts w:ascii="Arial" w:hAnsi="Arial" w:cs="Arial"/>
                <w:b/>
                <w:sz w:val="16"/>
                <w:szCs w:val="16"/>
              </w:rPr>
              <w:t>95,01%</w:t>
            </w:r>
          </w:p>
        </w:tc>
      </w:tr>
    </w:tbl>
    <w:p w14:paraId="5E9235EE" w14:textId="77777777" w:rsidR="006C73A6" w:rsidRPr="00B5184A" w:rsidRDefault="006C73A6" w:rsidP="006C73A6">
      <w:pPr>
        <w:rPr>
          <w:rFonts w:ascii="Arial Narrow" w:hAnsi="Arial Narrow"/>
          <w:color w:val="000000"/>
          <w:sz w:val="18"/>
          <w:szCs w:val="18"/>
        </w:rPr>
      </w:pPr>
      <w:r w:rsidRPr="00B5184A">
        <w:rPr>
          <w:rFonts w:ascii="Arial Narrow" w:hAnsi="Arial Narrow"/>
          <w:color w:val="000000"/>
          <w:sz w:val="18"/>
          <w:szCs w:val="18"/>
        </w:rPr>
        <w:t xml:space="preserve">Zdroj: CO  </w:t>
      </w:r>
    </w:p>
    <w:p w14:paraId="2A2BD902" w14:textId="77777777" w:rsidR="006C73A6" w:rsidRPr="004801A7" w:rsidRDefault="006C73A6" w:rsidP="006C73A6">
      <w:pPr>
        <w:rPr>
          <w:rFonts w:ascii="Arial Narrow" w:hAnsi="Arial Narrow"/>
          <w:bCs/>
          <w:color w:val="000000"/>
          <w:sz w:val="18"/>
          <w:szCs w:val="18"/>
        </w:rPr>
      </w:pPr>
      <w:r w:rsidRPr="00B5184A">
        <w:rPr>
          <w:rFonts w:ascii="Arial Narrow" w:hAnsi="Arial Narrow"/>
          <w:color w:val="000000"/>
          <w:sz w:val="18"/>
          <w:szCs w:val="18"/>
        </w:rPr>
        <w:t>Poznámka</w:t>
      </w:r>
      <w:r w:rsidRPr="004801A7">
        <w:rPr>
          <w:rFonts w:ascii="Arial Narrow" w:hAnsi="Arial Narrow"/>
          <w:bCs/>
          <w:color w:val="000000"/>
          <w:sz w:val="18"/>
          <w:szCs w:val="18"/>
        </w:rPr>
        <w:t xml:space="preserve">: </w:t>
      </w:r>
      <w:r>
        <w:rPr>
          <w:rFonts w:ascii="Arial Narrow" w:hAnsi="Arial Narrow"/>
          <w:bCs/>
          <w:color w:val="000000"/>
          <w:sz w:val="18"/>
          <w:szCs w:val="18"/>
        </w:rPr>
        <w:t>F</w:t>
      </w:r>
      <w:r w:rsidRPr="004801A7">
        <w:rPr>
          <w:rFonts w:ascii="Arial Narrow" w:hAnsi="Arial Narrow"/>
          <w:bCs/>
          <w:color w:val="000000"/>
          <w:sz w:val="18"/>
          <w:szCs w:val="18"/>
        </w:rPr>
        <w:t xml:space="preserve">ond ERDF </w:t>
      </w:r>
      <w:r>
        <w:rPr>
          <w:rFonts w:ascii="Arial Narrow" w:hAnsi="Arial Narrow"/>
          <w:bCs/>
          <w:color w:val="000000"/>
          <w:sz w:val="18"/>
          <w:szCs w:val="18"/>
        </w:rPr>
        <w:t>-</w:t>
      </w:r>
      <w:r w:rsidRPr="004801A7">
        <w:rPr>
          <w:rFonts w:ascii="Arial Narrow" w:hAnsi="Arial Narrow"/>
          <w:bCs/>
          <w:color w:val="000000"/>
          <w:sz w:val="18"/>
          <w:szCs w:val="18"/>
        </w:rPr>
        <w:t xml:space="preserve"> PO 3, 5 a</w:t>
      </w:r>
      <w:r>
        <w:rPr>
          <w:rFonts w:ascii="Arial Narrow" w:hAnsi="Arial Narrow"/>
          <w:bCs/>
          <w:color w:val="000000"/>
          <w:sz w:val="18"/>
          <w:szCs w:val="18"/>
        </w:rPr>
        <w:t xml:space="preserve"> </w:t>
      </w:r>
      <w:r w:rsidRPr="004801A7">
        <w:rPr>
          <w:rFonts w:ascii="Arial Narrow" w:hAnsi="Arial Narrow"/>
          <w:bCs/>
          <w:color w:val="000000"/>
          <w:sz w:val="18"/>
          <w:szCs w:val="18"/>
        </w:rPr>
        <w:t xml:space="preserve">7. Fond KF </w:t>
      </w:r>
      <w:r>
        <w:rPr>
          <w:rFonts w:ascii="Arial Narrow" w:hAnsi="Arial Narrow"/>
          <w:bCs/>
          <w:color w:val="000000"/>
          <w:sz w:val="18"/>
          <w:szCs w:val="18"/>
        </w:rPr>
        <w:t>-</w:t>
      </w:r>
      <w:r w:rsidRPr="004801A7">
        <w:rPr>
          <w:rFonts w:ascii="Arial Narrow" w:hAnsi="Arial Narrow"/>
          <w:bCs/>
          <w:color w:val="000000"/>
          <w:sz w:val="18"/>
          <w:szCs w:val="18"/>
        </w:rPr>
        <w:t xml:space="preserve"> PO 1, 2, 4 a 6</w:t>
      </w:r>
    </w:p>
    <w:p w14:paraId="4082AFE1" w14:textId="423ECBD2" w:rsidR="00796058" w:rsidRPr="00021D46" w:rsidRDefault="006C73A6" w:rsidP="00021D46">
      <w:pPr>
        <w:autoSpaceDE w:val="0"/>
        <w:autoSpaceDN w:val="0"/>
        <w:adjustRightInd w:val="0"/>
        <w:spacing w:before="120" w:after="120"/>
        <w:jc w:val="both"/>
        <w:rPr>
          <w:rFonts w:ascii="Arial" w:hAnsi="Arial" w:cs="Arial"/>
          <w:sz w:val="20"/>
          <w:szCs w:val="20"/>
          <w:lang w:eastAsia="cs-CZ"/>
        </w:rPr>
      </w:pPr>
      <w:r w:rsidRPr="006C0B5D">
        <w:rPr>
          <w:rFonts w:ascii="Arial" w:hAnsi="Arial" w:cs="Arial"/>
          <w:sz w:val="20"/>
          <w:szCs w:val="20"/>
          <w:lang w:eastAsia="cs-CZ"/>
        </w:rPr>
        <w:t>Nasledovná tabuľka poskytuje prehľad deklarovaných výdavkov na EK v žiadostiach o platbu, ako aj uhradenú sumu z EK v členení podľa prioritných osí od začiatku implementácie operačného programu.</w:t>
      </w:r>
    </w:p>
    <w:p w14:paraId="248DF999" w14:textId="77777777" w:rsidR="0008447E" w:rsidRDefault="0008447E">
      <w:pPr>
        <w:rPr>
          <w:rFonts w:ascii="Arial" w:hAnsi="Arial" w:cs="Arial"/>
          <w:sz w:val="20"/>
          <w:szCs w:val="22"/>
        </w:rPr>
      </w:pPr>
      <w:r>
        <w:rPr>
          <w:rFonts w:ascii="Arial" w:hAnsi="Arial" w:cs="Arial"/>
          <w:sz w:val="20"/>
          <w:szCs w:val="22"/>
        </w:rPr>
        <w:br w:type="page"/>
      </w:r>
    </w:p>
    <w:p w14:paraId="7909A36E" w14:textId="3C12492C" w:rsidR="006C73A6" w:rsidRPr="00807178" w:rsidRDefault="00682B07" w:rsidP="006C73A6">
      <w:pPr>
        <w:spacing w:line="276" w:lineRule="auto"/>
        <w:rPr>
          <w:rFonts w:ascii="Arial" w:hAnsi="Arial" w:cs="Arial"/>
          <w:sz w:val="20"/>
          <w:szCs w:val="22"/>
        </w:rPr>
      </w:pPr>
      <w:r w:rsidRPr="00807178">
        <w:rPr>
          <w:rFonts w:ascii="Arial" w:hAnsi="Arial" w:cs="Arial"/>
          <w:sz w:val="20"/>
          <w:szCs w:val="22"/>
        </w:rPr>
        <w:lastRenderedPageBreak/>
        <w:t>Tabuľka č. 15</w:t>
      </w:r>
      <w:r w:rsidR="006C73A6" w:rsidRPr="00807178">
        <w:rPr>
          <w:rFonts w:ascii="Arial" w:hAnsi="Arial" w:cs="Arial"/>
          <w:sz w:val="20"/>
          <w:szCs w:val="22"/>
        </w:rPr>
        <w:t>: Kumulatívny prehľad deklarovaných a uhradených výdavkov EK k 31.</w:t>
      </w:r>
      <w:r w:rsidR="0059168D">
        <w:rPr>
          <w:rFonts w:ascii="Arial" w:hAnsi="Arial" w:cs="Arial"/>
          <w:sz w:val="20"/>
          <w:szCs w:val="22"/>
        </w:rPr>
        <w:t xml:space="preserve"> 10</w:t>
      </w:r>
      <w:r w:rsidR="006C73A6" w:rsidRPr="00807178">
        <w:rPr>
          <w:rFonts w:ascii="Arial" w:hAnsi="Arial" w:cs="Arial"/>
          <w:sz w:val="20"/>
          <w:szCs w:val="22"/>
        </w:rPr>
        <w:t>.</w:t>
      </w:r>
      <w:r w:rsidR="0059168D">
        <w:rPr>
          <w:rFonts w:ascii="Arial" w:hAnsi="Arial" w:cs="Arial"/>
          <w:sz w:val="20"/>
          <w:szCs w:val="22"/>
        </w:rPr>
        <w:t xml:space="preserve"> </w:t>
      </w:r>
      <w:r w:rsidR="006C73A6" w:rsidRPr="00807178">
        <w:rPr>
          <w:rFonts w:ascii="Arial" w:hAnsi="Arial" w:cs="Arial"/>
          <w:sz w:val="20"/>
          <w:szCs w:val="22"/>
        </w:rPr>
        <w:t xml:space="preserve">2016 </w:t>
      </w:r>
    </w:p>
    <w:tbl>
      <w:tblPr>
        <w:tblW w:w="9036" w:type="dxa"/>
        <w:tblInd w:w="75" w:type="dxa"/>
        <w:tblCellMar>
          <w:left w:w="70" w:type="dxa"/>
          <w:right w:w="70" w:type="dxa"/>
        </w:tblCellMar>
        <w:tblLook w:val="04A0" w:firstRow="1" w:lastRow="0" w:firstColumn="1" w:lastColumn="0" w:noHBand="0" w:noVBand="1"/>
      </w:tblPr>
      <w:tblGrid>
        <w:gridCol w:w="1696"/>
        <w:gridCol w:w="1418"/>
        <w:gridCol w:w="1417"/>
        <w:gridCol w:w="1843"/>
        <w:gridCol w:w="1418"/>
        <w:gridCol w:w="1244"/>
      </w:tblGrid>
      <w:tr w:rsidR="006C73A6" w14:paraId="49544F96" w14:textId="77777777" w:rsidTr="00EE50CC">
        <w:trPr>
          <w:trHeight w:hRule="exact" w:val="737"/>
        </w:trPr>
        <w:tc>
          <w:tcPr>
            <w:tcW w:w="1696"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1CF9F9C"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OP Životné prostredie</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52AE5D6"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 xml:space="preserve">Alokácia OP </w:t>
            </w:r>
          </w:p>
          <w:p w14:paraId="29C00522"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2007 – 2013</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691B148"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 xml:space="preserve">Suma deklarovaných výdavkov </w:t>
            </w:r>
            <w:r w:rsidRPr="00EE50CC">
              <w:rPr>
                <w:rFonts w:ascii="Arial" w:hAnsi="Arial" w:cs="Arial"/>
                <w:b/>
                <w:bCs/>
                <w:color w:val="000000"/>
                <w:sz w:val="16"/>
                <w:szCs w:val="16"/>
              </w:rPr>
              <w:br/>
              <w:t>na EK</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E4AFF61"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 xml:space="preserve">Uhradená suma deklarovaných výdavkov </w:t>
            </w:r>
            <w:r w:rsidRPr="00EE50CC">
              <w:rPr>
                <w:rFonts w:ascii="Arial" w:hAnsi="Arial" w:cs="Arial"/>
                <w:b/>
                <w:bCs/>
                <w:color w:val="000000"/>
                <w:sz w:val="16"/>
                <w:szCs w:val="16"/>
              </w:rPr>
              <w:br/>
              <w:t>z EK</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E341F79"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Miera plnenia v %</w:t>
            </w:r>
          </w:p>
        </w:tc>
        <w:tc>
          <w:tcPr>
            <w:tcW w:w="1244"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0A87319"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Miera plnenia v %</w:t>
            </w:r>
          </w:p>
        </w:tc>
      </w:tr>
      <w:tr w:rsidR="006C73A6" w14:paraId="46DD261B" w14:textId="77777777" w:rsidTr="00EE50CC">
        <w:trPr>
          <w:trHeight w:val="230"/>
        </w:trPr>
        <w:tc>
          <w:tcPr>
            <w:tcW w:w="1696"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27E0E99" w14:textId="77777777" w:rsidR="006C73A6" w:rsidRPr="00EE50CC" w:rsidRDefault="006C73A6" w:rsidP="004959AE">
            <w:pPr>
              <w:rPr>
                <w:rFonts w:ascii="Arial" w:hAnsi="Arial" w:cs="Arial"/>
                <w:b/>
                <w:bCs/>
                <w:color w:val="000000"/>
                <w:sz w:val="16"/>
                <w:szCs w:val="16"/>
              </w:rPr>
            </w:pPr>
          </w:p>
        </w:tc>
        <w:tc>
          <w:tcPr>
            <w:tcW w:w="1418"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902ED01" w14:textId="77777777" w:rsidR="006C73A6" w:rsidRPr="00EE50CC" w:rsidRDefault="006C73A6" w:rsidP="004959AE">
            <w:pPr>
              <w:rPr>
                <w:rFonts w:ascii="Arial" w:hAnsi="Arial" w:cs="Arial"/>
                <w:b/>
                <w:bCs/>
                <w:color w:val="000000"/>
                <w:sz w:val="16"/>
                <w:szCs w:val="16"/>
              </w:rPr>
            </w:pPr>
          </w:p>
        </w:tc>
        <w:tc>
          <w:tcPr>
            <w:tcW w:w="1417"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04B2F03" w14:textId="77777777" w:rsidR="006C73A6" w:rsidRPr="00EE50CC" w:rsidRDefault="006C73A6" w:rsidP="004959AE">
            <w:pPr>
              <w:rPr>
                <w:rFonts w:ascii="Arial" w:hAnsi="Arial" w:cs="Arial"/>
                <w:b/>
                <w:bCs/>
                <w:color w:val="000000"/>
                <w:sz w:val="16"/>
                <w:szCs w:val="16"/>
              </w:rPr>
            </w:pPr>
          </w:p>
        </w:tc>
        <w:tc>
          <w:tcPr>
            <w:tcW w:w="1843"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F572C14" w14:textId="77777777" w:rsidR="006C73A6" w:rsidRPr="00EE50CC" w:rsidRDefault="006C73A6" w:rsidP="004959AE">
            <w:pPr>
              <w:rPr>
                <w:rFonts w:ascii="Arial" w:hAnsi="Arial" w:cs="Arial"/>
                <w:b/>
                <w:bCs/>
                <w:color w:val="000000"/>
                <w:sz w:val="16"/>
                <w:szCs w:val="16"/>
              </w:rPr>
            </w:pPr>
          </w:p>
        </w:tc>
        <w:tc>
          <w:tcPr>
            <w:tcW w:w="1418"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E42D8A1" w14:textId="77777777" w:rsidR="006C73A6" w:rsidRPr="00EE50CC" w:rsidRDefault="006C73A6" w:rsidP="004959AE">
            <w:pPr>
              <w:rPr>
                <w:rFonts w:ascii="Arial" w:hAnsi="Arial" w:cs="Arial"/>
                <w:b/>
                <w:bCs/>
                <w:color w:val="000000"/>
                <w:sz w:val="16"/>
                <w:szCs w:val="16"/>
              </w:rPr>
            </w:pPr>
          </w:p>
        </w:tc>
        <w:tc>
          <w:tcPr>
            <w:tcW w:w="1244"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57D66CA" w14:textId="77777777" w:rsidR="006C73A6" w:rsidRPr="00EE50CC" w:rsidRDefault="006C73A6" w:rsidP="004959AE">
            <w:pPr>
              <w:rPr>
                <w:rFonts w:ascii="Arial" w:hAnsi="Arial" w:cs="Arial"/>
                <w:b/>
                <w:bCs/>
                <w:color w:val="000000"/>
                <w:sz w:val="16"/>
                <w:szCs w:val="16"/>
              </w:rPr>
            </w:pPr>
          </w:p>
        </w:tc>
      </w:tr>
      <w:tr w:rsidR="006C73A6" w14:paraId="4DB84E63" w14:textId="77777777" w:rsidTr="00EE50CC">
        <w:trPr>
          <w:trHeight w:val="51"/>
        </w:trPr>
        <w:tc>
          <w:tcPr>
            <w:tcW w:w="1696"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D0BA1AB" w14:textId="77777777" w:rsidR="006C73A6" w:rsidRPr="00EE50CC" w:rsidRDefault="006C73A6" w:rsidP="004959AE">
            <w:pPr>
              <w:rPr>
                <w:rFonts w:ascii="Arial" w:hAnsi="Arial" w:cs="Arial"/>
                <w:b/>
                <w:bCs/>
                <w:color w:val="000000"/>
                <w:sz w:val="16"/>
                <w:szCs w:val="16"/>
              </w:rPr>
            </w:pPr>
          </w:p>
        </w:tc>
        <w:tc>
          <w:tcPr>
            <w:tcW w:w="1418" w:type="dxa"/>
            <w:tcBorders>
              <w:top w:val="nil"/>
              <w:left w:val="nil"/>
              <w:bottom w:val="single" w:sz="4" w:space="0" w:color="auto"/>
              <w:right w:val="single" w:sz="4" w:space="0" w:color="auto"/>
            </w:tcBorders>
            <w:shd w:val="clear" w:color="auto" w:fill="C2D69B" w:themeFill="accent3" w:themeFillTint="99"/>
            <w:vAlign w:val="center"/>
            <w:hideMark/>
          </w:tcPr>
          <w:p w14:paraId="3245D804" w14:textId="4CC13656"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 xml:space="preserve">v </w:t>
            </w:r>
            <w:r w:rsidR="00366C2D">
              <w:rPr>
                <w:rFonts w:ascii="Arial" w:hAnsi="Arial" w:cs="Arial"/>
                <w:b/>
                <w:bCs/>
                <w:color w:val="000000"/>
                <w:sz w:val="16"/>
                <w:szCs w:val="16"/>
              </w:rPr>
              <w:t>€</w:t>
            </w:r>
          </w:p>
        </w:tc>
        <w:tc>
          <w:tcPr>
            <w:tcW w:w="1417" w:type="dxa"/>
            <w:tcBorders>
              <w:top w:val="nil"/>
              <w:left w:val="nil"/>
              <w:bottom w:val="single" w:sz="4" w:space="0" w:color="auto"/>
              <w:right w:val="single" w:sz="4" w:space="0" w:color="auto"/>
            </w:tcBorders>
            <w:shd w:val="clear" w:color="auto" w:fill="C2D69B" w:themeFill="accent3" w:themeFillTint="99"/>
            <w:vAlign w:val="center"/>
            <w:hideMark/>
          </w:tcPr>
          <w:p w14:paraId="3C7CE273"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EÚ zdroj</w:t>
            </w:r>
          </w:p>
        </w:tc>
        <w:tc>
          <w:tcPr>
            <w:tcW w:w="1843" w:type="dxa"/>
            <w:tcBorders>
              <w:top w:val="nil"/>
              <w:left w:val="nil"/>
              <w:bottom w:val="single" w:sz="4" w:space="0" w:color="auto"/>
              <w:right w:val="single" w:sz="4" w:space="0" w:color="auto"/>
            </w:tcBorders>
            <w:shd w:val="clear" w:color="auto" w:fill="C2D69B" w:themeFill="accent3" w:themeFillTint="99"/>
            <w:vAlign w:val="center"/>
            <w:hideMark/>
          </w:tcPr>
          <w:p w14:paraId="1E083D2E"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EÚ zdroj</w:t>
            </w:r>
          </w:p>
        </w:tc>
        <w:tc>
          <w:tcPr>
            <w:tcW w:w="1418" w:type="dxa"/>
            <w:tcBorders>
              <w:top w:val="nil"/>
              <w:left w:val="nil"/>
              <w:bottom w:val="single" w:sz="4" w:space="0" w:color="auto"/>
              <w:right w:val="single" w:sz="4" w:space="0" w:color="auto"/>
            </w:tcBorders>
            <w:shd w:val="clear" w:color="auto" w:fill="C2D69B" w:themeFill="accent3" w:themeFillTint="99"/>
            <w:vAlign w:val="center"/>
            <w:hideMark/>
          </w:tcPr>
          <w:p w14:paraId="3D1FDAAA"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EÚ zdroj</w:t>
            </w:r>
          </w:p>
        </w:tc>
        <w:tc>
          <w:tcPr>
            <w:tcW w:w="1244" w:type="dxa"/>
            <w:tcBorders>
              <w:top w:val="nil"/>
              <w:left w:val="nil"/>
              <w:bottom w:val="single" w:sz="4" w:space="0" w:color="auto"/>
              <w:right w:val="single" w:sz="4" w:space="0" w:color="auto"/>
            </w:tcBorders>
            <w:shd w:val="clear" w:color="auto" w:fill="C2D69B" w:themeFill="accent3" w:themeFillTint="99"/>
            <w:vAlign w:val="center"/>
            <w:hideMark/>
          </w:tcPr>
          <w:p w14:paraId="0A147424"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EÚ zdroj</w:t>
            </w:r>
          </w:p>
        </w:tc>
      </w:tr>
      <w:tr w:rsidR="006C73A6" w14:paraId="509624A5" w14:textId="77777777" w:rsidTr="00EE50CC">
        <w:trPr>
          <w:trHeight w:val="306"/>
        </w:trPr>
        <w:tc>
          <w:tcPr>
            <w:tcW w:w="1696"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2A4067B" w14:textId="77777777" w:rsidR="006C73A6" w:rsidRPr="00EE50CC" w:rsidRDefault="006C73A6" w:rsidP="004959AE">
            <w:pPr>
              <w:rPr>
                <w:rFonts w:ascii="Arial" w:hAnsi="Arial" w:cs="Arial"/>
                <w:b/>
                <w:bCs/>
                <w:color w:val="000000"/>
                <w:sz w:val="16"/>
                <w:szCs w:val="16"/>
              </w:rPr>
            </w:pPr>
          </w:p>
        </w:tc>
        <w:tc>
          <w:tcPr>
            <w:tcW w:w="1418" w:type="dxa"/>
            <w:tcBorders>
              <w:top w:val="nil"/>
              <w:left w:val="nil"/>
              <w:bottom w:val="single" w:sz="4" w:space="0" w:color="auto"/>
              <w:right w:val="single" w:sz="4" w:space="0" w:color="auto"/>
            </w:tcBorders>
            <w:shd w:val="clear" w:color="auto" w:fill="C2D69B" w:themeFill="accent3" w:themeFillTint="99"/>
            <w:vAlign w:val="center"/>
            <w:hideMark/>
          </w:tcPr>
          <w:p w14:paraId="59996058"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a</w:t>
            </w:r>
          </w:p>
        </w:tc>
        <w:tc>
          <w:tcPr>
            <w:tcW w:w="1417" w:type="dxa"/>
            <w:tcBorders>
              <w:top w:val="nil"/>
              <w:left w:val="nil"/>
              <w:bottom w:val="single" w:sz="4" w:space="0" w:color="auto"/>
              <w:right w:val="single" w:sz="4" w:space="0" w:color="auto"/>
            </w:tcBorders>
            <w:shd w:val="clear" w:color="auto" w:fill="C2D69B" w:themeFill="accent3" w:themeFillTint="99"/>
            <w:vAlign w:val="center"/>
            <w:hideMark/>
          </w:tcPr>
          <w:p w14:paraId="6C11EAA1"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b</w:t>
            </w:r>
          </w:p>
        </w:tc>
        <w:tc>
          <w:tcPr>
            <w:tcW w:w="1843" w:type="dxa"/>
            <w:tcBorders>
              <w:top w:val="nil"/>
              <w:left w:val="nil"/>
              <w:bottom w:val="single" w:sz="4" w:space="0" w:color="auto"/>
              <w:right w:val="single" w:sz="4" w:space="0" w:color="auto"/>
            </w:tcBorders>
            <w:shd w:val="clear" w:color="auto" w:fill="C2D69B" w:themeFill="accent3" w:themeFillTint="99"/>
            <w:vAlign w:val="center"/>
            <w:hideMark/>
          </w:tcPr>
          <w:p w14:paraId="06631A74"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c</w:t>
            </w:r>
          </w:p>
        </w:tc>
        <w:tc>
          <w:tcPr>
            <w:tcW w:w="1418" w:type="dxa"/>
            <w:tcBorders>
              <w:top w:val="nil"/>
              <w:left w:val="nil"/>
              <w:bottom w:val="single" w:sz="4" w:space="0" w:color="auto"/>
              <w:right w:val="single" w:sz="4" w:space="0" w:color="auto"/>
            </w:tcBorders>
            <w:shd w:val="clear" w:color="auto" w:fill="C2D69B" w:themeFill="accent3" w:themeFillTint="99"/>
            <w:vAlign w:val="center"/>
            <w:hideMark/>
          </w:tcPr>
          <w:p w14:paraId="22FA8047"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d=b/a</w:t>
            </w:r>
          </w:p>
        </w:tc>
        <w:tc>
          <w:tcPr>
            <w:tcW w:w="1244" w:type="dxa"/>
            <w:tcBorders>
              <w:top w:val="nil"/>
              <w:left w:val="nil"/>
              <w:bottom w:val="single" w:sz="4" w:space="0" w:color="auto"/>
              <w:right w:val="single" w:sz="4" w:space="0" w:color="auto"/>
            </w:tcBorders>
            <w:shd w:val="clear" w:color="auto" w:fill="C2D69B" w:themeFill="accent3" w:themeFillTint="99"/>
            <w:vAlign w:val="center"/>
            <w:hideMark/>
          </w:tcPr>
          <w:p w14:paraId="7F17D6BE"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e=c/a</w:t>
            </w:r>
          </w:p>
        </w:tc>
      </w:tr>
      <w:tr w:rsidR="006C73A6" w14:paraId="7C32D689" w14:textId="77777777" w:rsidTr="004959AE">
        <w:trPr>
          <w:trHeight w:val="170"/>
        </w:trPr>
        <w:tc>
          <w:tcPr>
            <w:tcW w:w="1696" w:type="dxa"/>
            <w:tcBorders>
              <w:top w:val="nil"/>
              <w:left w:val="single" w:sz="4" w:space="0" w:color="auto"/>
              <w:bottom w:val="single" w:sz="4" w:space="0" w:color="auto"/>
              <w:right w:val="single" w:sz="4" w:space="0" w:color="auto"/>
            </w:tcBorders>
            <w:shd w:val="clear" w:color="auto" w:fill="auto"/>
            <w:hideMark/>
          </w:tcPr>
          <w:p w14:paraId="2B089DE4"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1</w:t>
            </w:r>
          </w:p>
        </w:tc>
        <w:tc>
          <w:tcPr>
            <w:tcW w:w="1418" w:type="dxa"/>
            <w:tcBorders>
              <w:top w:val="nil"/>
              <w:left w:val="nil"/>
              <w:bottom w:val="single" w:sz="4" w:space="0" w:color="auto"/>
              <w:right w:val="single" w:sz="4" w:space="0" w:color="auto"/>
            </w:tcBorders>
            <w:shd w:val="clear" w:color="auto" w:fill="auto"/>
            <w:hideMark/>
          </w:tcPr>
          <w:p w14:paraId="049E0667"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903 512 965,00</w:t>
            </w:r>
          </w:p>
        </w:tc>
        <w:tc>
          <w:tcPr>
            <w:tcW w:w="1417" w:type="dxa"/>
            <w:tcBorders>
              <w:top w:val="nil"/>
              <w:left w:val="nil"/>
              <w:bottom w:val="single" w:sz="4" w:space="0" w:color="auto"/>
              <w:right w:val="single" w:sz="4" w:space="0" w:color="auto"/>
            </w:tcBorders>
            <w:shd w:val="clear" w:color="auto" w:fill="auto"/>
            <w:hideMark/>
          </w:tcPr>
          <w:p w14:paraId="3D685757"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860 559 015,50</w:t>
            </w:r>
          </w:p>
        </w:tc>
        <w:tc>
          <w:tcPr>
            <w:tcW w:w="1843" w:type="dxa"/>
            <w:tcBorders>
              <w:top w:val="nil"/>
              <w:left w:val="nil"/>
              <w:bottom w:val="single" w:sz="4" w:space="0" w:color="auto"/>
              <w:right w:val="single" w:sz="4" w:space="0" w:color="auto"/>
            </w:tcBorders>
            <w:shd w:val="clear" w:color="auto" w:fill="auto"/>
            <w:hideMark/>
          </w:tcPr>
          <w:p w14:paraId="66EB67BD"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784 864 750,76</w:t>
            </w:r>
          </w:p>
        </w:tc>
        <w:tc>
          <w:tcPr>
            <w:tcW w:w="1418" w:type="dxa"/>
            <w:tcBorders>
              <w:top w:val="nil"/>
              <w:left w:val="nil"/>
              <w:bottom w:val="single" w:sz="4" w:space="0" w:color="auto"/>
              <w:right w:val="single" w:sz="4" w:space="0" w:color="auto"/>
            </w:tcBorders>
            <w:shd w:val="clear" w:color="auto" w:fill="auto"/>
            <w:hideMark/>
          </w:tcPr>
          <w:p w14:paraId="6FF7B445"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95,25%</w:t>
            </w:r>
          </w:p>
        </w:tc>
        <w:tc>
          <w:tcPr>
            <w:tcW w:w="1244" w:type="dxa"/>
            <w:tcBorders>
              <w:top w:val="nil"/>
              <w:left w:val="nil"/>
              <w:bottom w:val="single" w:sz="4" w:space="0" w:color="auto"/>
              <w:right w:val="single" w:sz="4" w:space="0" w:color="auto"/>
            </w:tcBorders>
            <w:shd w:val="clear" w:color="auto" w:fill="auto"/>
            <w:hideMark/>
          </w:tcPr>
          <w:p w14:paraId="0CCBA984"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86,87%</w:t>
            </w:r>
          </w:p>
        </w:tc>
      </w:tr>
      <w:tr w:rsidR="006C73A6" w14:paraId="5D5C4E48" w14:textId="77777777" w:rsidTr="004959AE">
        <w:trPr>
          <w:trHeight w:val="170"/>
        </w:trPr>
        <w:tc>
          <w:tcPr>
            <w:tcW w:w="1696" w:type="dxa"/>
            <w:tcBorders>
              <w:top w:val="nil"/>
              <w:left w:val="single" w:sz="4" w:space="0" w:color="auto"/>
              <w:bottom w:val="single" w:sz="4" w:space="0" w:color="auto"/>
              <w:right w:val="single" w:sz="4" w:space="0" w:color="auto"/>
            </w:tcBorders>
            <w:shd w:val="clear" w:color="auto" w:fill="auto"/>
            <w:hideMark/>
          </w:tcPr>
          <w:p w14:paraId="455D3EB4"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2</w:t>
            </w:r>
          </w:p>
        </w:tc>
        <w:tc>
          <w:tcPr>
            <w:tcW w:w="1418" w:type="dxa"/>
            <w:tcBorders>
              <w:top w:val="nil"/>
              <w:left w:val="nil"/>
              <w:bottom w:val="single" w:sz="4" w:space="0" w:color="auto"/>
              <w:right w:val="single" w:sz="4" w:space="0" w:color="auto"/>
            </w:tcBorders>
            <w:shd w:val="clear" w:color="auto" w:fill="auto"/>
            <w:hideMark/>
          </w:tcPr>
          <w:p w14:paraId="253B5FD3"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260 770 100,00</w:t>
            </w:r>
          </w:p>
        </w:tc>
        <w:tc>
          <w:tcPr>
            <w:tcW w:w="1417" w:type="dxa"/>
            <w:tcBorders>
              <w:top w:val="nil"/>
              <w:left w:val="nil"/>
              <w:bottom w:val="single" w:sz="4" w:space="0" w:color="auto"/>
              <w:right w:val="single" w:sz="4" w:space="0" w:color="auto"/>
            </w:tcBorders>
            <w:shd w:val="clear" w:color="auto" w:fill="auto"/>
            <w:hideMark/>
          </w:tcPr>
          <w:p w14:paraId="71D7F2B9"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252 085 826,55</w:t>
            </w:r>
          </w:p>
        </w:tc>
        <w:tc>
          <w:tcPr>
            <w:tcW w:w="1843" w:type="dxa"/>
            <w:tcBorders>
              <w:top w:val="nil"/>
              <w:left w:val="nil"/>
              <w:bottom w:val="single" w:sz="4" w:space="0" w:color="auto"/>
              <w:right w:val="single" w:sz="4" w:space="0" w:color="auto"/>
            </w:tcBorders>
            <w:shd w:val="clear" w:color="auto" w:fill="auto"/>
            <w:hideMark/>
          </w:tcPr>
          <w:p w14:paraId="04879195"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162 335 331,59</w:t>
            </w:r>
          </w:p>
        </w:tc>
        <w:tc>
          <w:tcPr>
            <w:tcW w:w="1418" w:type="dxa"/>
            <w:tcBorders>
              <w:top w:val="nil"/>
              <w:left w:val="nil"/>
              <w:bottom w:val="single" w:sz="4" w:space="0" w:color="auto"/>
              <w:right w:val="single" w:sz="4" w:space="0" w:color="auto"/>
            </w:tcBorders>
            <w:shd w:val="clear" w:color="auto" w:fill="auto"/>
            <w:hideMark/>
          </w:tcPr>
          <w:p w14:paraId="5FE8A3AB"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96,67%</w:t>
            </w:r>
          </w:p>
        </w:tc>
        <w:tc>
          <w:tcPr>
            <w:tcW w:w="1244" w:type="dxa"/>
            <w:tcBorders>
              <w:top w:val="nil"/>
              <w:left w:val="nil"/>
              <w:bottom w:val="single" w:sz="4" w:space="0" w:color="auto"/>
              <w:right w:val="single" w:sz="4" w:space="0" w:color="auto"/>
            </w:tcBorders>
            <w:shd w:val="clear" w:color="auto" w:fill="auto"/>
            <w:hideMark/>
          </w:tcPr>
          <w:p w14:paraId="7ADBCD34"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62,25%</w:t>
            </w:r>
          </w:p>
        </w:tc>
      </w:tr>
      <w:tr w:rsidR="006C73A6" w14:paraId="3AEDC939" w14:textId="77777777" w:rsidTr="004959AE">
        <w:trPr>
          <w:trHeight w:val="170"/>
        </w:trPr>
        <w:tc>
          <w:tcPr>
            <w:tcW w:w="1696" w:type="dxa"/>
            <w:tcBorders>
              <w:top w:val="nil"/>
              <w:left w:val="single" w:sz="4" w:space="0" w:color="auto"/>
              <w:bottom w:val="single" w:sz="4" w:space="0" w:color="auto"/>
              <w:right w:val="single" w:sz="4" w:space="0" w:color="auto"/>
            </w:tcBorders>
            <w:shd w:val="clear" w:color="auto" w:fill="auto"/>
          </w:tcPr>
          <w:p w14:paraId="39340CE1"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3</w:t>
            </w:r>
          </w:p>
        </w:tc>
        <w:tc>
          <w:tcPr>
            <w:tcW w:w="1418" w:type="dxa"/>
            <w:tcBorders>
              <w:top w:val="nil"/>
              <w:left w:val="nil"/>
              <w:bottom w:val="single" w:sz="4" w:space="0" w:color="auto"/>
              <w:right w:val="single" w:sz="4" w:space="0" w:color="auto"/>
            </w:tcBorders>
            <w:shd w:val="clear" w:color="auto" w:fill="auto"/>
          </w:tcPr>
          <w:p w14:paraId="1CDEDCB9"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180 000 000,00</w:t>
            </w:r>
          </w:p>
        </w:tc>
        <w:tc>
          <w:tcPr>
            <w:tcW w:w="1417" w:type="dxa"/>
            <w:tcBorders>
              <w:top w:val="nil"/>
              <w:left w:val="nil"/>
              <w:bottom w:val="single" w:sz="4" w:space="0" w:color="auto"/>
              <w:right w:val="single" w:sz="4" w:space="0" w:color="auto"/>
            </w:tcBorders>
            <w:shd w:val="clear" w:color="auto" w:fill="auto"/>
          </w:tcPr>
          <w:p w14:paraId="2CC6558A"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171 682 323,12</w:t>
            </w:r>
          </w:p>
        </w:tc>
        <w:tc>
          <w:tcPr>
            <w:tcW w:w="1843" w:type="dxa"/>
            <w:tcBorders>
              <w:top w:val="nil"/>
              <w:left w:val="nil"/>
              <w:bottom w:val="single" w:sz="4" w:space="0" w:color="auto"/>
              <w:right w:val="single" w:sz="4" w:space="0" w:color="auto"/>
            </w:tcBorders>
            <w:shd w:val="clear" w:color="auto" w:fill="auto"/>
          </w:tcPr>
          <w:p w14:paraId="4FCC48AD"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161 927 548,03</w:t>
            </w:r>
          </w:p>
        </w:tc>
        <w:tc>
          <w:tcPr>
            <w:tcW w:w="1418" w:type="dxa"/>
            <w:tcBorders>
              <w:top w:val="nil"/>
              <w:left w:val="nil"/>
              <w:bottom w:val="single" w:sz="4" w:space="0" w:color="auto"/>
              <w:right w:val="single" w:sz="4" w:space="0" w:color="auto"/>
            </w:tcBorders>
            <w:shd w:val="clear" w:color="auto" w:fill="auto"/>
          </w:tcPr>
          <w:p w14:paraId="6B0D01DE"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95,38%</w:t>
            </w:r>
          </w:p>
        </w:tc>
        <w:tc>
          <w:tcPr>
            <w:tcW w:w="1244" w:type="dxa"/>
            <w:tcBorders>
              <w:top w:val="nil"/>
              <w:left w:val="nil"/>
              <w:bottom w:val="single" w:sz="4" w:space="0" w:color="auto"/>
              <w:right w:val="single" w:sz="4" w:space="0" w:color="auto"/>
            </w:tcBorders>
            <w:shd w:val="clear" w:color="auto" w:fill="auto"/>
          </w:tcPr>
          <w:p w14:paraId="6D0D8680"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89,96%</w:t>
            </w:r>
          </w:p>
        </w:tc>
      </w:tr>
      <w:tr w:rsidR="006C73A6" w14:paraId="03B7F453" w14:textId="77777777" w:rsidTr="004959AE">
        <w:trPr>
          <w:trHeight w:val="170"/>
        </w:trPr>
        <w:tc>
          <w:tcPr>
            <w:tcW w:w="1696" w:type="dxa"/>
            <w:tcBorders>
              <w:top w:val="nil"/>
              <w:left w:val="single" w:sz="4" w:space="0" w:color="auto"/>
              <w:bottom w:val="single" w:sz="4" w:space="0" w:color="auto"/>
              <w:right w:val="single" w:sz="4" w:space="0" w:color="auto"/>
            </w:tcBorders>
            <w:shd w:val="clear" w:color="auto" w:fill="auto"/>
          </w:tcPr>
          <w:p w14:paraId="4F4D58C3"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4</w:t>
            </w:r>
          </w:p>
        </w:tc>
        <w:tc>
          <w:tcPr>
            <w:tcW w:w="1418" w:type="dxa"/>
            <w:tcBorders>
              <w:top w:val="nil"/>
              <w:left w:val="nil"/>
              <w:bottom w:val="single" w:sz="4" w:space="0" w:color="auto"/>
              <w:right w:val="single" w:sz="4" w:space="0" w:color="auto"/>
            </w:tcBorders>
            <w:shd w:val="clear" w:color="auto" w:fill="auto"/>
          </w:tcPr>
          <w:p w14:paraId="65530E80"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356 360 000,00</w:t>
            </w:r>
          </w:p>
        </w:tc>
        <w:tc>
          <w:tcPr>
            <w:tcW w:w="1417" w:type="dxa"/>
            <w:tcBorders>
              <w:top w:val="nil"/>
              <w:left w:val="nil"/>
              <w:bottom w:val="single" w:sz="4" w:space="0" w:color="auto"/>
              <w:right w:val="single" w:sz="4" w:space="0" w:color="auto"/>
            </w:tcBorders>
            <w:shd w:val="clear" w:color="auto" w:fill="auto"/>
          </w:tcPr>
          <w:p w14:paraId="3E60204A"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338 723 077,39</w:t>
            </w:r>
          </w:p>
        </w:tc>
        <w:tc>
          <w:tcPr>
            <w:tcW w:w="1843" w:type="dxa"/>
            <w:tcBorders>
              <w:top w:val="nil"/>
              <w:left w:val="nil"/>
              <w:bottom w:val="single" w:sz="4" w:space="0" w:color="auto"/>
              <w:right w:val="single" w:sz="4" w:space="0" w:color="auto"/>
            </w:tcBorders>
            <w:shd w:val="clear" w:color="auto" w:fill="auto"/>
          </w:tcPr>
          <w:p w14:paraId="08C37DEB"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334 483 651,95</w:t>
            </w:r>
          </w:p>
        </w:tc>
        <w:tc>
          <w:tcPr>
            <w:tcW w:w="1418" w:type="dxa"/>
            <w:tcBorders>
              <w:top w:val="nil"/>
              <w:left w:val="nil"/>
              <w:bottom w:val="single" w:sz="4" w:space="0" w:color="auto"/>
              <w:right w:val="single" w:sz="4" w:space="0" w:color="auto"/>
            </w:tcBorders>
            <w:shd w:val="clear" w:color="auto" w:fill="auto"/>
          </w:tcPr>
          <w:p w14:paraId="4EC25B57"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95,05%</w:t>
            </w:r>
          </w:p>
        </w:tc>
        <w:tc>
          <w:tcPr>
            <w:tcW w:w="1244" w:type="dxa"/>
            <w:tcBorders>
              <w:top w:val="nil"/>
              <w:left w:val="nil"/>
              <w:bottom w:val="single" w:sz="4" w:space="0" w:color="auto"/>
              <w:right w:val="single" w:sz="4" w:space="0" w:color="auto"/>
            </w:tcBorders>
            <w:shd w:val="clear" w:color="auto" w:fill="auto"/>
          </w:tcPr>
          <w:p w14:paraId="1136F093"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93,86%</w:t>
            </w:r>
          </w:p>
        </w:tc>
      </w:tr>
      <w:tr w:rsidR="006C73A6" w14:paraId="5B519D94" w14:textId="77777777" w:rsidTr="004959AE">
        <w:trPr>
          <w:trHeight w:val="170"/>
        </w:trPr>
        <w:tc>
          <w:tcPr>
            <w:tcW w:w="1696" w:type="dxa"/>
            <w:tcBorders>
              <w:top w:val="nil"/>
              <w:left w:val="single" w:sz="4" w:space="0" w:color="auto"/>
              <w:bottom w:val="single" w:sz="4" w:space="0" w:color="auto"/>
              <w:right w:val="single" w:sz="4" w:space="0" w:color="auto"/>
            </w:tcBorders>
            <w:shd w:val="clear" w:color="auto" w:fill="auto"/>
          </w:tcPr>
          <w:p w14:paraId="4324BB1D"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5</w:t>
            </w:r>
          </w:p>
        </w:tc>
        <w:tc>
          <w:tcPr>
            <w:tcW w:w="1418" w:type="dxa"/>
            <w:tcBorders>
              <w:top w:val="nil"/>
              <w:left w:val="nil"/>
              <w:bottom w:val="single" w:sz="4" w:space="0" w:color="auto"/>
              <w:right w:val="single" w:sz="4" w:space="0" w:color="auto"/>
            </w:tcBorders>
            <w:shd w:val="clear" w:color="auto" w:fill="auto"/>
          </w:tcPr>
          <w:p w14:paraId="732B32C1"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50 756 935,00</w:t>
            </w:r>
          </w:p>
        </w:tc>
        <w:tc>
          <w:tcPr>
            <w:tcW w:w="1417" w:type="dxa"/>
            <w:tcBorders>
              <w:top w:val="nil"/>
              <w:left w:val="nil"/>
              <w:bottom w:val="single" w:sz="4" w:space="0" w:color="auto"/>
              <w:right w:val="single" w:sz="4" w:space="0" w:color="auto"/>
            </w:tcBorders>
            <w:shd w:val="clear" w:color="auto" w:fill="auto"/>
          </w:tcPr>
          <w:p w14:paraId="5B47138B"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44 913 300,47</w:t>
            </w:r>
          </w:p>
        </w:tc>
        <w:tc>
          <w:tcPr>
            <w:tcW w:w="1843" w:type="dxa"/>
            <w:tcBorders>
              <w:top w:val="nil"/>
              <w:left w:val="nil"/>
              <w:bottom w:val="single" w:sz="4" w:space="0" w:color="auto"/>
              <w:right w:val="single" w:sz="4" w:space="0" w:color="auto"/>
            </w:tcBorders>
            <w:shd w:val="clear" w:color="auto" w:fill="auto"/>
          </w:tcPr>
          <w:p w14:paraId="50C59808"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41 428 453,55</w:t>
            </w:r>
          </w:p>
        </w:tc>
        <w:tc>
          <w:tcPr>
            <w:tcW w:w="1418" w:type="dxa"/>
            <w:tcBorders>
              <w:top w:val="nil"/>
              <w:left w:val="nil"/>
              <w:bottom w:val="single" w:sz="4" w:space="0" w:color="auto"/>
              <w:right w:val="single" w:sz="4" w:space="0" w:color="auto"/>
            </w:tcBorders>
            <w:shd w:val="clear" w:color="auto" w:fill="auto"/>
          </w:tcPr>
          <w:p w14:paraId="47665142"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88,49%</w:t>
            </w:r>
          </w:p>
        </w:tc>
        <w:tc>
          <w:tcPr>
            <w:tcW w:w="1244" w:type="dxa"/>
            <w:tcBorders>
              <w:top w:val="nil"/>
              <w:left w:val="nil"/>
              <w:bottom w:val="single" w:sz="4" w:space="0" w:color="auto"/>
              <w:right w:val="single" w:sz="4" w:space="0" w:color="auto"/>
            </w:tcBorders>
            <w:shd w:val="clear" w:color="auto" w:fill="auto"/>
          </w:tcPr>
          <w:p w14:paraId="3B482F76"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81,62%</w:t>
            </w:r>
          </w:p>
        </w:tc>
      </w:tr>
      <w:tr w:rsidR="006C73A6" w14:paraId="32B99134" w14:textId="77777777" w:rsidTr="004959AE">
        <w:trPr>
          <w:trHeight w:val="170"/>
        </w:trPr>
        <w:tc>
          <w:tcPr>
            <w:tcW w:w="1696" w:type="dxa"/>
            <w:tcBorders>
              <w:top w:val="nil"/>
              <w:left w:val="single" w:sz="4" w:space="0" w:color="auto"/>
              <w:bottom w:val="single" w:sz="4" w:space="0" w:color="auto"/>
              <w:right w:val="single" w:sz="4" w:space="0" w:color="auto"/>
            </w:tcBorders>
            <w:shd w:val="clear" w:color="auto" w:fill="auto"/>
            <w:hideMark/>
          </w:tcPr>
          <w:p w14:paraId="65171D31"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6</w:t>
            </w:r>
          </w:p>
        </w:tc>
        <w:tc>
          <w:tcPr>
            <w:tcW w:w="1418" w:type="dxa"/>
            <w:tcBorders>
              <w:top w:val="nil"/>
              <w:left w:val="nil"/>
              <w:bottom w:val="single" w:sz="4" w:space="0" w:color="auto"/>
              <w:right w:val="single" w:sz="4" w:space="0" w:color="auto"/>
            </w:tcBorders>
            <w:shd w:val="clear" w:color="auto" w:fill="auto"/>
            <w:hideMark/>
          </w:tcPr>
          <w:p w14:paraId="42C7C641"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48 600 000,00</w:t>
            </w:r>
          </w:p>
        </w:tc>
        <w:tc>
          <w:tcPr>
            <w:tcW w:w="1417" w:type="dxa"/>
            <w:tcBorders>
              <w:top w:val="nil"/>
              <w:left w:val="nil"/>
              <w:bottom w:val="single" w:sz="4" w:space="0" w:color="auto"/>
              <w:right w:val="single" w:sz="4" w:space="0" w:color="auto"/>
            </w:tcBorders>
            <w:shd w:val="clear" w:color="auto" w:fill="auto"/>
            <w:hideMark/>
          </w:tcPr>
          <w:p w14:paraId="050D8335"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44 489 713,01</w:t>
            </w:r>
          </w:p>
        </w:tc>
        <w:tc>
          <w:tcPr>
            <w:tcW w:w="1843" w:type="dxa"/>
            <w:tcBorders>
              <w:top w:val="nil"/>
              <w:left w:val="nil"/>
              <w:bottom w:val="single" w:sz="4" w:space="0" w:color="auto"/>
              <w:right w:val="single" w:sz="4" w:space="0" w:color="auto"/>
            </w:tcBorders>
            <w:shd w:val="clear" w:color="auto" w:fill="auto"/>
            <w:hideMark/>
          </w:tcPr>
          <w:p w14:paraId="726F48B1"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44 326 655,63</w:t>
            </w:r>
          </w:p>
        </w:tc>
        <w:tc>
          <w:tcPr>
            <w:tcW w:w="1418" w:type="dxa"/>
            <w:tcBorders>
              <w:top w:val="nil"/>
              <w:left w:val="nil"/>
              <w:bottom w:val="single" w:sz="4" w:space="0" w:color="auto"/>
              <w:right w:val="single" w:sz="4" w:space="0" w:color="auto"/>
            </w:tcBorders>
            <w:shd w:val="clear" w:color="auto" w:fill="auto"/>
            <w:hideMark/>
          </w:tcPr>
          <w:p w14:paraId="3244903C"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91,54%</w:t>
            </w:r>
          </w:p>
        </w:tc>
        <w:tc>
          <w:tcPr>
            <w:tcW w:w="1244" w:type="dxa"/>
            <w:tcBorders>
              <w:top w:val="nil"/>
              <w:left w:val="nil"/>
              <w:bottom w:val="single" w:sz="4" w:space="0" w:color="auto"/>
              <w:right w:val="single" w:sz="4" w:space="0" w:color="auto"/>
            </w:tcBorders>
            <w:shd w:val="clear" w:color="auto" w:fill="auto"/>
            <w:hideMark/>
          </w:tcPr>
          <w:p w14:paraId="0B5E10DC"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91,21%</w:t>
            </w:r>
          </w:p>
        </w:tc>
      </w:tr>
      <w:tr w:rsidR="006C73A6" w14:paraId="48C4BDB8" w14:textId="77777777" w:rsidTr="004959AE">
        <w:trPr>
          <w:trHeight w:val="170"/>
        </w:trPr>
        <w:tc>
          <w:tcPr>
            <w:tcW w:w="1696" w:type="dxa"/>
            <w:tcBorders>
              <w:top w:val="nil"/>
              <w:left w:val="single" w:sz="4" w:space="0" w:color="auto"/>
              <w:bottom w:val="single" w:sz="4" w:space="0" w:color="auto"/>
              <w:right w:val="single" w:sz="4" w:space="0" w:color="auto"/>
            </w:tcBorders>
            <w:shd w:val="clear" w:color="auto" w:fill="auto"/>
          </w:tcPr>
          <w:p w14:paraId="14044419" w14:textId="77777777" w:rsidR="006C73A6" w:rsidRPr="00EE50CC" w:rsidRDefault="006C73A6" w:rsidP="004959AE">
            <w:pPr>
              <w:rPr>
                <w:rFonts w:ascii="Arial" w:hAnsi="Arial" w:cs="Arial"/>
                <w:sz w:val="16"/>
                <w:szCs w:val="16"/>
              </w:rPr>
            </w:pPr>
            <w:r w:rsidRPr="00EE50CC">
              <w:rPr>
                <w:rFonts w:ascii="Arial" w:hAnsi="Arial" w:cs="Arial"/>
                <w:sz w:val="16"/>
                <w:szCs w:val="16"/>
              </w:rPr>
              <w:t>Prioritná os 7</w:t>
            </w:r>
          </w:p>
        </w:tc>
        <w:tc>
          <w:tcPr>
            <w:tcW w:w="1418" w:type="dxa"/>
            <w:tcBorders>
              <w:top w:val="nil"/>
              <w:left w:val="nil"/>
              <w:bottom w:val="single" w:sz="4" w:space="0" w:color="auto"/>
              <w:right w:val="single" w:sz="4" w:space="0" w:color="auto"/>
            </w:tcBorders>
            <w:shd w:val="clear" w:color="auto" w:fill="auto"/>
          </w:tcPr>
          <w:p w14:paraId="02B51C26"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20 000 000,00</w:t>
            </w:r>
          </w:p>
        </w:tc>
        <w:tc>
          <w:tcPr>
            <w:tcW w:w="1417" w:type="dxa"/>
            <w:tcBorders>
              <w:top w:val="nil"/>
              <w:left w:val="nil"/>
              <w:bottom w:val="single" w:sz="4" w:space="0" w:color="auto"/>
              <w:right w:val="single" w:sz="4" w:space="0" w:color="auto"/>
            </w:tcBorders>
            <w:shd w:val="clear" w:color="auto" w:fill="auto"/>
          </w:tcPr>
          <w:p w14:paraId="79057F98"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16 769 637,44</w:t>
            </w:r>
          </w:p>
        </w:tc>
        <w:tc>
          <w:tcPr>
            <w:tcW w:w="1843" w:type="dxa"/>
            <w:tcBorders>
              <w:top w:val="nil"/>
              <w:left w:val="nil"/>
              <w:bottom w:val="single" w:sz="4" w:space="0" w:color="auto"/>
              <w:right w:val="single" w:sz="4" w:space="0" w:color="auto"/>
            </w:tcBorders>
            <w:shd w:val="clear" w:color="auto" w:fill="auto"/>
          </w:tcPr>
          <w:p w14:paraId="62FCE759"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14 094 962,52</w:t>
            </w:r>
          </w:p>
        </w:tc>
        <w:tc>
          <w:tcPr>
            <w:tcW w:w="1418" w:type="dxa"/>
            <w:tcBorders>
              <w:top w:val="nil"/>
              <w:left w:val="nil"/>
              <w:bottom w:val="single" w:sz="4" w:space="0" w:color="auto"/>
              <w:right w:val="single" w:sz="4" w:space="0" w:color="auto"/>
            </w:tcBorders>
            <w:shd w:val="clear" w:color="auto" w:fill="auto"/>
          </w:tcPr>
          <w:p w14:paraId="1B443F4A"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83,85%</w:t>
            </w:r>
          </w:p>
        </w:tc>
        <w:tc>
          <w:tcPr>
            <w:tcW w:w="1244" w:type="dxa"/>
            <w:tcBorders>
              <w:top w:val="nil"/>
              <w:left w:val="nil"/>
              <w:bottom w:val="single" w:sz="4" w:space="0" w:color="auto"/>
              <w:right w:val="single" w:sz="4" w:space="0" w:color="auto"/>
            </w:tcBorders>
            <w:shd w:val="clear" w:color="auto" w:fill="auto"/>
          </w:tcPr>
          <w:p w14:paraId="243CBA53" w14:textId="77777777" w:rsidR="006C73A6" w:rsidRPr="00EE50CC" w:rsidRDefault="006C73A6" w:rsidP="004959AE">
            <w:pPr>
              <w:jc w:val="center"/>
              <w:rPr>
                <w:rFonts w:ascii="Arial" w:hAnsi="Arial" w:cs="Arial"/>
                <w:sz w:val="16"/>
                <w:szCs w:val="16"/>
              </w:rPr>
            </w:pPr>
            <w:r w:rsidRPr="00EE50CC">
              <w:rPr>
                <w:rFonts w:ascii="Arial" w:hAnsi="Arial" w:cs="Arial"/>
                <w:sz w:val="16"/>
                <w:szCs w:val="16"/>
              </w:rPr>
              <w:t>70,47%</w:t>
            </w:r>
          </w:p>
        </w:tc>
      </w:tr>
      <w:tr w:rsidR="006C73A6" w14:paraId="4A3CB64F" w14:textId="77777777" w:rsidTr="00EE50CC">
        <w:trPr>
          <w:trHeight w:val="170"/>
        </w:trPr>
        <w:tc>
          <w:tcPr>
            <w:tcW w:w="1696" w:type="dxa"/>
            <w:tcBorders>
              <w:top w:val="nil"/>
              <w:left w:val="single" w:sz="4" w:space="0" w:color="auto"/>
              <w:bottom w:val="single" w:sz="4" w:space="0" w:color="auto"/>
              <w:right w:val="single" w:sz="4" w:space="0" w:color="auto"/>
            </w:tcBorders>
            <w:shd w:val="clear" w:color="auto" w:fill="D9D9D9" w:themeFill="background1" w:themeFillShade="D9"/>
            <w:hideMark/>
          </w:tcPr>
          <w:p w14:paraId="3EAF2531" w14:textId="77777777" w:rsidR="006C73A6" w:rsidRPr="00EE50CC" w:rsidRDefault="006C73A6" w:rsidP="004959AE">
            <w:pPr>
              <w:rPr>
                <w:rFonts w:ascii="Arial" w:hAnsi="Arial" w:cs="Arial"/>
                <w:b/>
                <w:sz w:val="16"/>
                <w:szCs w:val="16"/>
              </w:rPr>
            </w:pPr>
            <w:r w:rsidRPr="00EE50CC">
              <w:rPr>
                <w:rFonts w:ascii="Arial" w:hAnsi="Arial" w:cs="Arial"/>
                <w:b/>
                <w:sz w:val="16"/>
                <w:szCs w:val="16"/>
              </w:rPr>
              <w:t>Celkový súčet</w:t>
            </w:r>
          </w:p>
        </w:tc>
        <w:tc>
          <w:tcPr>
            <w:tcW w:w="1418" w:type="dxa"/>
            <w:tcBorders>
              <w:top w:val="nil"/>
              <w:left w:val="nil"/>
              <w:bottom w:val="single" w:sz="4" w:space="0" w:color="auto"/>
              <w:right w:val="single" w:sz="4" w:space="0" w:color="auto"/>
            </w:tcBorders>
            <w:shd w:val="clear" w:color="auto" w:fill="D9D9D9" w:themeFill="background1" w:themeFillShade="D9"/>
            <w:hideMark/>
          </w:tcPr>
          <w:p w14:paraId="6032B179" w14:textId="77777777" w:rsidR="006C73A6" w:rsidRPr="00EE50CC" w:rsidRDefault="006C73A6" w:rsidP="004959AE">
            <w:pPr>
              <w:jc w:val="right"/>
              <w:rPr>
                <w:rFonts w:ascii="Arial" w:hAnsi="Arial" w:cs="Arial"/>
                <w:b/>
                <w:sz w:val="16"/>
                <w:szCs w:val="16"/>
              </w:rPr>
            </w:pPr>
            <w:r w:rsidRPr="00EE50CC">
              <w:rPr>
                <w:rFonts w:ascii="Arial" w:hAnsi="Arial" w:cs="Arial"/>
                <w:b/>
                <w:sz w:val="16"/>
                <w:szCs w:val="16"/>
              </w:rPr>
              <w:t>1 820 000 000,00</w:t>
            </w:r>
          </w:p>
        </w:tc>
        <w:tc>
          <w:tcPr>
            <w:tcW w:w="1417" w:type="dxa"/>
            <w:tcBorders>
              <w:top w:val="nil"/>
              <w:left w:val="nil"/>
              <w:bottom w:val="single" w:sz="4" w:space="0" w:color="auto"/>
              <w:right w:val="single" w:sz="4" w:space="0" w:color="auto"/>
            </w:tcBorders>
            <w:shd w:val="clear" w:color="auto" w:fill="D9D9D9" w:themeFill="background1" w:themeFillShade="D9"/>
            <w:hideMark/>
          </w:tcPr>
          <w:p w14:paraId="13CF65A5" w14:textId="77777777" w:rsidR="006C73A6" w:rsidRPr="00EE50CC" w:rsidRDefault="006C73A6" w:rsidP="004959AE">
            <w:pPr>
              <w:jc w:val="right"/>
              <w:rPr>
                <w:rFonts w:ascii="Arial" w:hAnsi="Arial" w:cs="Arial"/>
                <w:b/>
                <w:sz w:val="16"/>
                <w:szCs w:val="16"/>
              </w:rPr>
            </w:pPr>
            <w:r w:rsidRPr="00EE50CC">
              <w:rPr>
                <w:rFonts w:ascii="Arial" w:hAnsi="Arial" w:cs="Arial"/>
                <w:b/>
                <w:sz w:val="16"/>
                <w:szCs w:val="16"/>
              </w:rPr>
              <w:t>1 729 222 893,48</w:t>
            </w:r>
          </w:p>
        </w:tc>
        <w:tc>
          <w:tcPr>
            <w:tcW w:w="1843" w:type="dxa"/>
            <w:tcBorders>
              <w:top w:val="nil"/>
              <w:left w:val="nil"/>
              <w:bottom w:val="single" w:sz="4" w:space="0" w:color="auto"/>
              <w:right w:val="single" w:sz="4" w:space="0" w:color="auto"/>
            </w:tcBorders>
            <w:shd w:val="clear" w:color="auto" w:fill="D9D9D9" w:themeFill="background1" w:themeFillShade="D9"/>
            <w:hideMark/>
          </w:tcPr>
          <w:p w14:paraId="167B39FE" w14:textId="77777777" w:rsidR="006C73A6" w:rsidRPr="00EE50CC" w:rsidRDefault="006C73A6" w:rsidP="004959AE">
            <w:pPr>
              <w:jc w:val="right"/>
              <w:rPr>
                <w:rFonts w:ascii="Arial" w:hAnsi="Arial" w:cs="Arial"/>
                <w:b/>
                <w:sz w:val="16"/>
                <w:szCs w:val="16"/>
              </w:rPr>
            </w:pPr>
            <w:r w:rsidRPr="00EE50CC">
              <w:rPr>
                <w:rFonts w:ascii="Arial" w:hAnsi="Arial" w:cs="Arial"/>
                <w:b/>
                <w:sz w:val="16"/>
                <w:szCs w:val="16"/>
              </w:rPr>
              <w:t>1 543 461 354,03</w:t>
            </w:r>
          </w:p>
        </w:tc>
        <w:tc>
          <w:tcPr>
            <w:tcW w:w="1418" w:type="dxa"/>
            <w:tcBorders>
              <w:top w:val="nil"/>
              <w:left w:val="nil"/>
              <w:bottom w:val="single" w:sz="4" w:space="0" w:color="auto"/>
              <w:right w:val="single" w:sz="4" w:space="0" w:color="auto"/>
            </w:tcBorders>
            <w:shd w:val="clear" w:color="auto" w:fill="D9D9D9" w:themeFill="background1" w:themeFillShade="D9"/>
            <w:hideMark/>
          </w:tcPr>
          <w:p w14:paraId="106C90F4" w14:textId="77777777" w:rsidR="006C73A6" w:rsidRPr="00EE50CC" w:rsidRDefault="006C73A6" w:rsidP="004959AE">
            <w:pPr>
              <w:jc w:val="center"/>
              <w:rPr>
                <w:rFonts w:ascii="Arial" w:hAnsi="Arial" w:cs="Arial"/>
                <w:b/>
                <w:sz w:val="16"/>
                <w:szCs w:val="16"/>
              </w:rPr>
            </w:pPr>
            <w:r w:rsidRPr="00EE50CC">
              <w:rPr>
                <w:rFonts w:ascii="Arial" w:hAnsi="Arial" w:cs="Arial"/>
                <w:b/>
                <w:sz w:val="16"/>
                <w:szCs w:val="16"/>
              </w:rPr>
              <w:t>95,01%</w:t>
            </w:r>
          </w:p>
        </w:tc>
        <w:tc>
          <w:tcPr>
            <w:tcW w:w="1244" w:type="dxa"/>
            <w:tcBorders>
              <w:top w:val="nil"/>
              <w:left w:val="nil"/>
              <w:bottom w:val="single" w:sz="4" w:space="0" w:color="auto"/>
              <w:right w:val="single" w:sz="4" w:space="0" w:color="auto"/>
            </w:tcBorders>
            <w:shd w:val="clear" w:color="auto" w:fill="D9D9D9" w:themeFill="background1" w:themeFillShade="D9"/>
            <w:hideMark/>
          </w:tcPr>
          <w:p w14:paraId="3001A5A7" w14:textId="77777777" w:rsidR="006C73A6" w:rsidRPr="00EE50CC" w:rsidRDefault="006C73A6" w:rsidP="004959AE">
            <w:pPr>
              <w:jc w:val="center"/>
              <w:rPr>
                <w:rFonts w:ascii="Arial" w:hAnsi="Arial" w:cs="Arial"/>
                <w:b/>
                <w:sz w:val="16"/>
                <w:szCs w:val="16"/>
              </w:rPr>
            </w:pPr>
            <w:r w:rsidRPr="00EE50CC">
              <w:rPr>
                <w:rFonts w:ascii="Arial" w:hAnsi="Arial" w:cs="Arial"/>
                <w:b/>
                <w:sz w:val="16"/>
                <w:szCs w:val="16"/>
              </w:rPr>
              <w:t>84,81%</w:t>
            </w:r>
          </w:p>
        </w:tc>
      </w:tr>
    </w:tbl>
    <w:p w14:paraId="162AC8D9" w14:textId="77777777" w:rsidR="006C73A6" w:rsidRPr="00B5184A" w:rsidRDefault="006C73A6" w:rsidP="006C73A6">
      <w:pPr>
        <w:rPr>
          <w:rFonts w:ascii="Arial Narrow" w:hAnsi="Arial Narrow"/>
          <w:color w:val="000000"/>
          <w:sz w:val="18"/>
          <w:szCs w:val="18"/>
        </w:rPr>
      </w:pPr>
      <w:r w:rsidRPr="00B5184A">
        <w:rPr>
          <w:rFonts w:ascii="Arial Narrow" w:hAnsi="Arial Narrow"/>
          <w:color w:val="000000"/>
          <w:sz w:val="18"/>
          <w:szCs w:val="18"/>
        </w:rPr>
        <w:t xml:space="preserve">Zdroj: CO  </w:t>
      </w:r>
    </w:p>
    <w:p w14:paraId="0267DFA3" w14:textId="77777777" w:rsidR="006C73A6" w:rsidRPr="004801A7" w:rsidRDefault="006C73A6" w:rsidP="006C73A6">
      <w:pPr>
        <w:rPr>
          <w:rFonts w:ascii="Arial Narrow" w:hAnsi="Arial Narrow"/>
          <w:bCs/>
          <w:color w:val="000000"/>
          <w:sz w:val="18"/>
          <w:szCs w:val="18"/>
        </w:rPr>
      </w:pPr>
      <w:r w:rsidRPr="00B5184A">
        <w:rPr>
          <w:rFonts w:ascii="Arial Narrow" w:hAnsi="Arial Narrow"/>
          <w:color w:val="000000"/>
          <w:sz w:val="18"/>
          <w:szCs w:val="18"/>
        </w:rPr>
        <w:t>Poznámka</w:t>
      </w:r>
      <w:r w:rsidRPr="004801A7">
        <w:rPr>
          <w:rFonts w:ascii="Arial Narrow" w:hAnsi="Arial Narrow"/>
          <w:bCs/>
          <w:color w:val="000000"/>
          <w:sz w:val="18"/>
          <w:szCs w:val="18"/>
        </w:rPr>
        <w:t xml:space="preserve">: </w:t>
      </w:r>
      <w:r>
        <w:rPr>
          <w:rFonts w:ascii="Arial Narrow" w:hAnsi="Arial Narrow"/>
          <w:bCs/>
          <w:color w:val="000000"/>
          <w:sz w:val="18"/>
          <w:szCs w:val="18"/>
        </w:rPr>
        <w:t>F</w:t>
      </w:r>
      <w:r w:rsidRPr="004801A7">
        <w:rPr>
          <w:rFonts w:ascii="Arial Narrow" w:hAnsi="Arial Narrow"/>
          <w:bCs/>
          <w:color w:val="000000"/>
          <w:sz w:val="18"/>
          <w:szCs w:val="18"/>
        </w:rPr>
        <w:t xml:space="preserve">ond ERDF </w:t>
      </w:r>
      <w:r>
        <w:rPr>
          <w:rFonts w:ascii="Arial Narrow" w:hAnsi="Arial Narrow"/>
          <w:bCs/>
          <w:color w:val="000000"/>
          <w:sz w:val="18"/>
          <w:szCs w:val="18"/>
        </w:rPr>
        <w:t>-</w:t>
      </w:r>
      <w:r w:rsidRPr="004801A7">
        <w:rPr>
          <w:rFonts w:ascii="Arial Narrow" w:hAnsi="Arial Narrow"/>
          <w:bCs/>
          <w:color w:val="000000"/>
          <w:sz w:val="18"/>
          <w:szCs w:val="18"/>
        </w:rPr>
        <w:t xml:space="preserve"> PO 3, 5 a</w:t>
      </w:r>
      <w:r>
        <w:rPr>
          <w:rFonts w:ascii="Arial Narrow" w:hAnsi="Arial Narrow"/>
          <w:bCs/>
          <w:color w:val="000000"/>
          <w:sz w:val="18"/>
          <w:szCs w:val="18"/>
        </w:rPr>
        <w:t xml:space="preserve"> </w:t>
      </w:r>
      <w:r w:rsidRPr="004801A7">
        <w:rPr>
          <w:rFonts w:ascii="Arial Narrow" w:hAnsi="Arial Narrow"/>
          <w:bCs/>
          <w:color w:val="000000"/>
          <w:sz w:val="18"/>
          <w:szCs w:val="18"/>
        </w:rPr>
        <w:t xml:space="preserve">7. Fond KF </w:t>
      </w:r>
      <w:r>
        <w:rPr>
          <w:rFonts w:ascii="Arial Narrow" w:hAnsi="Arial Narrow"/>
          <w:bCs/>
          <w:color w:val="000000"/>
          <w:sz w:val="18"/>
          <w:szCs w:val="18"/>
        </w:rPr>
        <w:t>-</w:t>
      </w:r>
      <w:r w:rsidRPr="004801A7">
        <w:rPr>
          <w:rFonts w:ascii="Arial Narrow" w:hAnsi="Arial Narrow"/>
          <w:bCs/>
          <w:color w:val="000000"/>
          <w:sz w:val="18"/>
          <w:szCs w:val="18"/>
        </w:rPr>
        <w:t xml:space="preserve"> PO 1, 2, 4 a 6</w:t>
      </w:r>
    </w:p>
    <w:p w14:paraId="65FB2988" w14:textId="77777777" w:rsidR="006C73A6" w:rsidRDefault="006C73A6" w:rsidP="006C73A6">
      <w:pPr>
        <w:jc w:val="both"/>
        <w:rPr>
          <w:rFonts w:ascii="Arial Narrow" w:hAnsi="Arial Narrow" w:cs="Arial Narrow"/>
          <w:b/>
          <w:sz w:val="22"/>
          <w:szCs w:val="22"/>
          <w:u w:val="single"/>
        </w:rPr>
      </w:pPr>
    </w:p>
    <w:p w14:paraId="6F7544E3" w14:textId="40B90B55" w:rsidR="006C73A6" w:rsidRPr="006C0B5D" w:rsidRDefault="007901C8" w:rsidP="006C73A6">
      <w:pPr>
        <w:spacing w:after="120"/>
        <w:rPr>
          <w:rFonts w:ascii="Arial" w:hAnsi="Arial" w:cs="Arial"/>
          <w:b/>
          <w:color w:val="000000"/>
          <w:sz w:val="20"/>
          <w:szCs w:val="22"/>
        </w:rPr>
      </w:pPr>
      <w:r w:rsidRPr="006C0B5D">
        <w:rPr>
          <w:rFonts w:ascii="Arial" w:hAnsi="Arial" w:cs="Arial"/>
          <w:b/>
          <w:color w:val="000000"/>
          <w:sz w:val="20"/>
          <w:szCs w:val="22"/>
        </w:rPr>
        <w:t xml:space="preserve">h) </w:t>
      </w:r>
      <w:r w:rsidR="006C73A6" w:rsidRPr="006C0B5D">
        <w:rPr>
          <w:rFonts w:ascii="Arial" w:hAnsi="Arial" w:cs="Arial"/>
          <w:b/>
          <w:color w:val="000000"/>
          <w:sz w:val="20"/>
          <w:szCs w:val="22"/>
        </w:rPr>
        <w:t>Certifikačné overovania</w:t>
      </w:r>
    </w:p>
    <w:p w14:paraId="00E09A53" w14:textId="07759B2F" w:rsidR="006C73A6" w:rsidRPr="006C0B5D" w:rsidRDefault="006C73A6" w:rsidP="006C73A6">
      <w:pPr>
        <w:jc w:val="both"/>
        <w:rPr>
          <w:rFonts w:ascii="Arial" w:hAnsi="Arial" w:cs="Arial"/>
          <w:color w:val="000000"/>
          <w:sz w:val="20"/>
          <w:szCs w:val="22"/>
        </w:rPr>
      </w:pPr>
      <w:r w:rsidRPr="006C0B5D">
        <w:rPr>
          <w:rFonts w:ascii="Arial" w:hAnsi="Arial" w:cs="Arial"/>
          <w:color w:val="000000"/>
          <w:sz w:val="20"/>
          <w:szCs w:val="22"/>
        </w:rPr>
        <w:t>Od začiatku programového obdobia do 31.</w:t>
      </w:r>
      <w:r w:rsidR="0059168D">
        <w:rPr>
          <w:rFonts w:ascii="Arial" w:hAnsi="Arial" w:cs="Arial"/>
          <w:color w:val="000000"/>
          <w:sz w:val="20"/>
          <w:szCs w:val="22"/>
        </w:rPr>
        <w:t xml:space="preserve"> 10</w:t>
      </w:r>
      <w:r w:rsidRPr="006C0B5D">
        <w:rPr>
          <w:rFonts w:ascii="Arial" w:hAnsi="Arial" w:cs="Arial"/>
          <w:color w:val="000000"/>
          <w:sz w:val="20"/>
          <w:szCs w:val="22"/>
        </w:rPr>
        <w:t>.</w:t>
      </w:r>
      <w:r w:rsidR="0059168D">
        <w:rPr>
          <w:rFonts w:ascii="Arial" w:hAnsi="Arial" w:cs="Arial"/>
          <w:color w:val="000000"/>
          <w:sz w:val="20"/>
          <w:szCs w:val="22"/>
        </w:rPr>
        <w:t xml:space="preserve"> </w:t>
      </w:r>
      <w:r w:rsidRPr="006C0B5D">
        <w:rPr>
          <w:rFonts w:ascii="Arial" w:hAnsi="Arial" w:cs="Arial"/>
          <w:color w:val="000000"/>
          <w:sz w:val="20"/>
          <w:szCs w:val="22"/>
        </w:rPr>
        <w:t>2016 bolo v rámci OP ŽP vykonaných 19 certifikačných overovaní na RO, SORO a PJ z toho 17 v rámci SŽP a 2 tematické certifikačné overovania, pričom 1 tematické certifikačné overovanie bolo zamerané na overenie postupov kontroly verejného obstarávania a 1 tematické certifikačné overovanie bolo so zameraním na overenie postupov týkajúcich sa preddavkových platieb.</w:t>
      </w:r>
    </w:p>
    <w:p w14:paraId="438D1E52" w14:textId="77777777" w:rsidR="006C73A6" w:rsidRPr="006C0B5D" w:rsidRDefault="006C73A6" w:rsidP="006C73A6">
      <w:pPr>
        <w:jc w:val="both"/>
        <w:rPr>
          <w:rFonts w:ascii="Arial" w:hAnsi="Arial" w:cs="Arial"/>
          <w:sz w:val="20"/>
          <w:szCs w:val="22"/>
        </w:rPr>
      </w:pPr>
    </w:p>
    <w:p w14:paraId="17D1042A" w14:textId="45CF1485" w:rsidR="006C73A6" w:rsidRPr="006C0B5D" w:rsidRDefault="006C73A6" w:rsidP="006C73A6">
      <w:pPr>
        <w:jc w:val="both"/>
        <w:rPr>
          <w:rFonts w:ascii="Arial" w:hAnsi="Arial" w:cs="Arial"/>
          <w:sz w:val="20"/>
          <w:szCs w:val="22"/>
        </w:rPr>
      </w:pPr>
      <w:r w:rsidRPr="006C0B5D">
        <w:rPr>
          <w:rFonts w:ascii="Arial" w:hAnsi="Arial" w:cs="Arial"/>
          <w:sz w:val="20"/>
          <w:szCs w:val="22"/>
        </w:rPr>
        <w:t xml:space="preserve">Overovaná vzorka výdavkov bola vo výške 38 646 412,23 </w:t>
      </w:r>
      <w:r w:rsidR="00366C2D">
        <w:rPr>
          <w:rFonts w:ascii="Arial" w:hAnsi="Arial" w:cs="Arial"/>
          <w:sz w:val="20"/>
          <w:szCs w:val="22"/>
        </w:rPr>
        <w:t>€</w:t>
      </w:r>
      <w:r w:rsidRPr="006C0B5D">
        <w:rPr>
          <w:rFonts w:ascii="Arial" w:hAnsi="Arial" w:cs="Arial"/>
          <w:sz w:val="20"/>
          <w:szCs w:val="22"/>
        </w:rPr>
        <w:t xml:space="preserve">, pričom overená vzorka zo ŽoP bola </w:t>
      </w:r>
      <w:r w:rsidRPr="006C0B5D">
        <w:rPr>
          <w:rFonts w:ascii="Arial" w:hAnsi="Arial" w:cs="Arial"/>
          <w:sz w:val="20"/>
          <w:szCs w:val="22"/>
        </w:rPr>
        <w:br/>
        <w:t xml:space="preserve">17 177 502,67 </w:t>
      </w:r>
      <w:r w:rsidR="00366C2D">
        <w:rPr>
          <w:rFonts w:ascii="Arial" w:hAnsi="Arial" w:cs="Arial"/>
          <w:sz w:val="20"/>
          <w:szCs w:val="22"/>
        </w:rPr>
        <w:t>€</w:t>
      </w:r>
      <w:r w:rsidRPr="006C0B5D">
        <w:rPr>
          <w:rFonts w:ascii="Arial" w:hAnsi="Arial" w:cs="Arial"/>
          <w:sz w:val="20"/>
          <w:szCs w:val="22"/>
        </w:rPr>
        <w:t xml:space="preserve"> a overená vzorka procesu verejného obstarávania predstavuje 33 045 275,29 </w:t>
      </w:r>
      <w:r w:rsidR="00366C2D">
        <w:rPr>
          <w:rFonts w:ascii="Arial" w:hAnsi="Arial" w:cs="Arial"/>
          <w:sz w:val="20"/>
          <w:szCs w:val="22"/>
        </w:rPr>
        <w:t>€</w:t>
      </w:r>
      <w:r w:rsidRPr="006C0B5D">
        <w:rPr>
          <w:rFonts w:ascii="Arial" w:hAnsi="Arial" w:cs="Arial"/>
          <w:sz w:val="20"/>
          <w:szCs w:val="22"/>
        </w:rPr>
        <w:t xml:space="preserve">. </w:t>
      </w:r>
      <w:r w:rsidRPr="006C0B5D">
        <w:rPr>
          <w:rFonts w:ascii="Arial" w:hAnsi="Arial" w:cs="Arial"/>
          <w:color w:val="000000"/>
          <w:sz w:val="20"/>
          <w:szCs w:val="22"/>
        </w:rPr>
        <w:t xml:space="preserve">Overovaná vzorka výdavkov ŽoP zo SŽP predstavuje 0,74% a overovaná vzorka so zarátaním overovaných </w:t>
      </w:r>
      <w:r w:rsidRPr="006C0B5D">
        <w:rPr>
          <w:rFonts w:ascii="Arial" w:hAnsi="Arial" w:cs="Arial"/>
          <w:sz w:val="20"/>
          <w:szCs w:val="22"/>
        </w:rPr>
        <w:t>zákaziek predstavuje</w:t>
      </w:r>
      <w:r w:rsidRPr="006C0B5D">
        <w:rPr>
          <w:rFonts w:ascii="Arial" w:hAnsi="Arial" w:cs="Arial"/>
          <w:color w:val="000000"/>
          <w:sz w:val="20"/>
          <w:szCs w:val="22"/>
        </w:rPr>
        <w:t xml:space="preserve"> </w:t>
      </w:r>
      <w:r w:rsidRPr="006C0B5D">
        <w:rPr>
          <w:rFonts w:ascii="Arial" w:hAnsi="Arial" w:cs="Arial"/>
          <w:sz w:val="20"/>
          <w:szCs w:val="22"/>
        </w:rPr>
        <w:t>1,</w:t>
      </w:r>
      <w:r w:rsidR="0059168D">
        <w:rPr>
          <w:rFonts w:ascii="Arial" w:hAnsi="Arial" w:cs="Arial"/>
          <w:sz w:val="20"/>
          <w:szCs w:val="22"/>
        </w:rPr>
        <w:t>67</w:t>
      </w:r>
      <w:r w:rsidRPr="006C0B5D">
        <w:rPr>
          <w:rFonts w:ascii="Arial" w:hAnsi="Arial" w:cs="Arial"/>
          <w:sz w:val="20"/>
          <w:szCs w:val="22"/>
        </w:rPr>
        <w:t>%</w:t>
      </w:r>
      <w:r w:rsidRPr="006C0B5D">
        <w:rPr>
          <w:rFonts w:ascii="Arial" w:hAnsi="Arial" w:cs="Arial"/>
          <w:color w:val="000000"/>
          <w:sz w:val="20"/>
          <w:szCs w:val="22"/>
        </w:rPr>
        <w:t xml:space="preserve"> z celkového objemu predložených súhrnných žiadostí o platbu. </w:t>
      </w:r>
      <w:r w:rsidRPr="006C0B5D">
        <w:rPr>
          <w:rFonts w:ascii="Arial" w:hAnsi="Arial" w:cs="Arial"/>
          <w:sz w:val="20"/>
          <w:szCs w:val="22"/>
        </w:rPr>
        <w:t xml:space="preserve">V rámci tematického certifikačného overovania so zameraním na overenie postupov kontroly verejného obstarávania bolo overených 21 verejných obstarávaní v sume 60 829 470,18 </w:t>
      </w:r>
      <w:r w:rsidR="00366C2D">
        <w:rPr>
          <w:rFonts w:ascii="Arial" w:hAnsi="Arial" w:cs="Arial"/>
          <w:sz w:val="20"/>
          <w:szCs w:val="22"/>
        </w:rPr>
        <w:t>€</w:t>
      </w:r>
      <w:r w:rsidRPr="006C0B5D">
        <w:rPr>
          <w:rFonts w:ascii="Arial" w:hAnsi="Arial" w:cs="Arial"/>
          <w:sz w:val="20"/>
          <w:szCs w:val="22"/>
        </w:rPr>
        <w:t xml:space="preserve">. V rámci tematického certifikačného overovania so zameraním na overenie postupov týkajúcich sa preddavkových platieb boli overené 4 žiadosti o platbu  v sume 365 588,46 </w:t>
      </w:r>
      <w:r w:rsidR="00366C2D">
        <w:rPr>
          <w:rFonts w:ascii="Arial" w:hAnsi="Arial" w:cs="Arial"/>
          <w:sz w:val="20"/>
          <w:szCs w:val="22"/>
        </w:rPr>
        <w:t>€</w:t>
      </w:r>
      <w:r w:rsidRPr="006C0B5D">
        <w:rPr>
          <w:rFonts w:ascii="Arial" w:hAnsi="Arial" w:cs="Arial"/>
          <w:sz w:val="20"/>
          <w:szCs w:val="22"/>
        </w:rPr>
        <w:t xml:space="preserve">. </w:t>
      </w:r>
    </w:p>
    <w:p w14:paraId="48996C11" w14:textId="77777777" w:rsidR="006C73A6" w:rsidRPr="00BE515F" w:rsidRDefault="006C73A6" w:rsidP="006C73A6">
      <w:pPr>
        <w:jc w:val="both"/>
        <w:rPr>
          <w:rFonts w:ascii="Arial Narrow" w:hAnsi="Arial Narrow"/>
          <w:sz w:val="22"/>
          <w:szCs w:val="22"/>
        </w:rPr>
      </w:pPr>
    </w:p>
    <w:p w14:paraId="40D3937B" w14:textId="5C322272" w:rsidR="006C73A6" w:rsidRPr="006C0B5D" w:rsidRDefault="006C73A6" w:rsidP="00B632B6">
      <w:pPr>
        <w:pStyle w:val="Odsekzoznamu"/>
        <w:numPr>
          <w:ilvl w:val="0"/>
          <w:numId w:val="138"/>
        </w:numPr>
        <w:spacing w:after="120"/>
        <w:ind w:left="142" w:hanging="142"/>
        <w:jc w:val="both"/>
        <w:rPr>
          <w:rFonts w:ascii="Arial" w:hAnsi="Arial" w:cs="Arial"/>
          <w:b/>
          <w:sz w:val="20"/>
        </w:rPr>
      </w:pPr>
      <w:r w:rsidRPr="006C0B5D">
        <w:rPr>
          <w:rFonts w:ascii="Arial" w:hAnsi="Arial" w:cs="Arial"/>
          <w:b/>
          <w:sz w:val="20"/>
        </w:rPr>
        <w:t>Nezrovnalosti</w:t>
      </w:r>
    </w:p>
    <w:p w14:paraId="0FCD9E38" w14:textId="26A1DC2F" w:rsidR="006C73A6" w:rsidRPr="006C0B5D" w:rsidRDefault="006C73A6" w:rsidP="006C73A6">
      <w:pPr>
        <w:jc w:val="both"/>
        <w:rPr>
          <w:rFonts w:ascii="Arial" w:hAnsi="Arial" w:cs="Arial"/>
          <w:sz w:val="20"/>
          <w:szCs w:val="22"/>
        </w:rPr>
      </w:pPr>
      <w:r w:rsidRPr="006C0B5D">
        <w:rPr>
          <w:rFonts w:ascii="Arial" w:hAnsi="Arial" w:cs="Arial"/>
          <w:sz w:val="20"/>
          <w:szCs w:val="22"/>
        </w:rPr>
        <w:t xml:space="preserve">Od začiatku programového obdobia do 31.08.2016 bolo certifikačnému orgánu oznámených 93 individuálnych nezrovnalostí  vo výške 18 599 385,11 </w:t>
      </w:r>
      <w:r w:rsidR="00366C2D">
        <w:rPr>
          <w:rFonts w:ascii="Arial" w:hAnsi="Arial" w:cs="Arial"/>
          <w:sz w:val="20"/>
          <w:szCs w:val="22"/>
        </w:rPr>
        <w:t>€</w:t>
      </w:r>
      <w:r w:rsidRPr="006C0B5D">
        <w:rPr>
          <w:rFonts w:ascii="Arial" w:hAnsi="Arial" w:cs="Arial"/>
          <w:sz w:val="20"/>
          <w:szCs w:val="22"/>
        </w:rPr>
        <w:t xml:space="preserve"> (EÚ zdroj) a 84 systémových nezrovnalostí vo výške  47 422 170,04 </w:t>
      </w:r>
      <w:r w:rsidR="00366C2D">
        <w:rPr>
          <w:rFonts w:ascii="Arial" w:hAnsi="Arial" w:cs="Arial"/>
          <w:sz w:val="20"/>
          <w:szCs w:val="22"/>
        </w:rPr>
        <w:t>€</w:t>
      </w:r>
      <w:r w:rsidRPr="006C0B5D">
        <w:rPr>
          <w:rFonts w:ascii="Arial" w:hAnsi="Arial" w:cs="Arial"/>
          <w:sz w:val="20"/>
          <w:szCs w:val="22"/>
        </w:rPr>
        <w:t xml:space="preserve"> (EÚ zdroj) s finančným dopadom na rozpočet EÚ. </w:t>
      </w:r>
      <w:r w:rsidR="0059168D" w:rsidRPr="00A9026A">
        <w:rPr>
          <w:rFonts w:ascii="Arial" w:hAnsi="Arial" w:cs="Arial"/>
          <w:sz w:val="20"/>
          <w:szCs w:val="22"/>
        </w:rPr>
        <w:t>Ide o nezrovnalosti, ktoré zodpovedajú ex ante a ex post finančným opravám uplatneným voči rozpočtu EÚ.</w:t>
      </w:r>
    </w:p>
    <w:p w14:paraId="5E3B7739" w14:textId="77777777" w:rsidR="006C73A6" w:rsidRPr="006C0B5D" w:rsidRDefault="006C73A6" w:rsidP="006C73A6">
      <w:pPr>
        <w:jc w:val="both"/>
        <w:rPr>
          <w:rFonts w:ascii="Arial" w:hAnsi="Arial" w:cs="Arial"/>
          <w:sz w:val="20"/>
          <w:szCs w:val="22"/>
        </w:rPr>
      </w:pPr>
    </w:p>
    <w:p w14:paraId="0F1F6D80" w14:textId="77777777" w:rsidR="0008447E" w:rsidRDefault="0008447E">
      <w:pPr>
        <w:rPr>
          <w:rFonts w:ascii="Arial" w:hAnsi="Arial" w:cs="Arial"/>
          <w:sz w:val="20"/>
          <w:szCs w:val="22"/>
        </w:rPr>
      </w:pPr>
      <w:r>
        <w:rPr>
          <w:rFonts w:ascii="Arial" w:hAnsi="Arial" w:cs="Arial"/>
          <w:sz w:val="20"/>
          <w:szCs w:val="22"/>
        </w:rPr>
        <w:br w:type="page"/>
      </w:r>
    </w:p>
    <w:p w14:paraId="2A59BE58" w14:textId="75AD2989" w:rsidR="006C73A6" w:rsidRPr="00807178" w:rsidRDefault="006C73A6" w:rsidP="006C73A6">
      <w:pPr>
        <w:jc w:val="both"/>
        <w:rPr>
          <w:rFonts w:ascii="Arial" w:hAnsi="Arial" w:cs="Arial"/>
          <w:sz w:val="20"/>
          <w:szCs w:val="22"/>
        </w:rPr>
      </w:pPr>
      <w:r w:rsidRPr="00807178">
        <w:rPr>
          <w:rFonts w:ascii="Arial" w:hAnsi="Arial" w:cs="Arial"/>
          <w:sz w:val="20"/>
          <w:szCs w:val="22"/>
        </w:rPr>
        <w:lastRenderedPageBreak/>
        <w:t>Tabuľka</w:t>
      </w:r>
      <w:r w:rsidR="00682B07" w:rsidRPr="00807178">
        <w:rPr>
          <w:rFonts w:ascii="Arial" w:hAnsi="Arial" w:cs="Arial"/>
          <w:sz w:val="20"/>
          <w:szCs w:val="22"/>
        </w:rPr>
        <w:t xml:space="preserve"> č. 16</w:t>
      </w:r>
      <w:r w:rsidRPr="00807178">
        <w:rPr>
          <w:rFonts w:ascii="Arial" w:hAnsi="Arial" w:cs="Arial"/>
          <w:sz w:val="20"/>
          <w:szCs w:val="22"/>
        </w:rPr>
        <w:t>: Prehľad nezrovnalostí s finančným dopadom na úrovni opatrení k 31.08.2016</w:t>
      </w:r>
    </w:p>
    <w:tbl>
      <w:tblPr>
        <w:tblW w:w="8480" w:type="dxa"/>
        <w:tblInd w:w="75" w:type="dxa"/>
        <w:tblCellMar>
          <w:left w:w="70" w:type="dxa"/>
          <w:right w:w="70" w:type="dxa"/>
        </w:tblCellMar>
        <w:tblLook w:val="04A0" w:firstRow="1" w:lastRow="0" w:firstColumn="1" w:lastColumn="0" w:noHBand="0" w:noVBand="1"/>
      </w:tblPr>
      <w:tblGrid>
        <w:gridCol w:w="2280"/>
        <w:gridCol w:w="2280"/>
        <w:gridCol w:w="1749"/>
        <w:gridCol w:w="2171"/>
      </w:tblGrid>
      <w:tr w:rsidR="006C73A6" w14:paraId="3E6AA8A7" w14:textId="77777777" w:rsidTr="00EE50CC">
        <w:trPr>
          <w:trHeight w:val="360"/>
        </w:trPr>
        <w:tc>
          <w:tcPr>
            <w:tcW w:w="2280"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14:paraId="4FE7FA61"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Opatrenie</w:t>
            </w:r>
          </w:p>
        </w:tc>
        <w:tc>
          <w:tcPr>
            <w:tcW w:w="2280"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14:paraId="117D2EDD"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Nezrovnalosti (počet)</w:t>
            </w:r>
          </w:p>
        </w:tc>
        <w:tc>
          <w:tcPr>
            <w:tcW w:w="3920" w:type="dxa"/>
            <w:gridSpan w:val="2"/>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0A7B7CAD" w14:textId="3624A4E4"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 xml:space="preserve">Nezrovnalosti (v </w:t>
            </w:r>
            <w:r w:rsidR="00366C2D">
              <w:rPr>
                <w:rFonts w:ascii="Arial" w:hAnsi="Arial" w:cs="Arial"/>
                <w:b/>
                <w:bCs/>
                <w:color w:val="000000"/>
                <w:sz w:val="16"/>
                <w:szCs w:val="16"/>
              </w:rPr>
              <w:t>€</w:t>
            </w:r>
            <w:r w:rsidRPr="00EE50CC">
              <w:rPr>
                <w:rFonts w:ascii="Arial" w:hAnsi="Arial" w:cs="Arial"/>
                <w:b/>
                <w:bCs/>
                <w:color w:val="000000"/>
                <w:sz w:val="16"/>
                <w:szCs w:val="16"/>
              </w:rPr>
              <w:t>)</w:t>
            </w:r>
          </w:p>
        </w:tc>
      </w:tr>
      <w:tr w:rsidR="006C73A6" w14:paraId="5481A36E" w14:textId="77777777" w:rsidTr="00EE50CC">
        <w:trPr>
          <w:trHeight w:val="360"/>
        </w:trPr>
        <w:tc>
          <w:tcPr>
            <w:tcW w:w="2280"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CD4E42A" w14:textId="77777777" w:rsidR="006C73A6" w:rsidRPr="00EE50CC" w:rsidRDefault="006C73A6" w:rsidP="004959AE">
            <w:pPr>
              <w:rPr>
                <w:rFonts w:ascii="Arial" w:hAnsi="Arial" w:cs="Arial"/>
                <w:b/>
                <w:bCs/>
                <w:color w:val="000000"/>
                <w:sz w:val="16"/>
                <w:szCs w:val="16"/>
              </w:rPr>
            </w:pPr>
          </w:p>
        </w:tc>
        <w:tc>
          <w:tcPr>
            <w:tcW w:w="2280"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E41DC67" w14:textId="77777777" w:rsidR="006C73A6" w:rsidRPr="00EE50CC" w:rsidRDefault="006C73A6" w:rsidP="004959AE">
            <w:pPr>
              <w:rPr>
                <w:rFonts w:ascii="Arial" w:hAnsi="Arial" w:cs="Arial"/>
                <w:b/>
                <w:bCs/>
                <w:color w:val="000000"/>
                <w:sz w:val="16"/>
                <w:szCs w:val="16"/>
              </w:rPr>
            </w:pPr>
          </w:p>
        </w:tc>
        <w:tc>
          <w:tcPr>
            <w:tcW w:w="1749" w:type="dxa"/>
            <w:tcBorders>
              <w:top w:val="nil"/>
              <w:left w:val="nil"/>
              <w:bottom w:val="single" w:sz="4" w:space="0" w:color="auto"/>
              <w:right w:val="single" w:sz="4" w:space="0" w:color="auto"/>
            </w:tcBorders>
            <w:shd w:val="clear" w:color="auto" w:fill="C2D69B" w:themeFill="accent3" w:themeFillTint="99"/>
            <w:noWrap/>
            <w:vAlign w:val="center"/>
            <w:hideMark/>
          </w:tcPr>
          <w:p w14:paraId="2FB11749"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Celková suma</w:t>
            </w:r>
          </w:p>
        </w:tc>
        <w:tc>
          <w:tcPr>
            <w:tcW w:w="2171" w:type="dxa"/>
            <w:tcBorders>
              <w:top w:val="nil"/>
              <w:left w:val="nil"/>
              <w:bottom w:val="single" w:sz="4" w:space="0" w:color="auto"/>
              <w:right w:val="single" w:sz="4" w:space="0" w:color="auto"/>
            </w:tcBorders>
            <w:shd w:val="clear" w:color="auto" w:fill="C2D69B" w:themeFill="accent3" w:themeFillTint="99"/>
            <w:noWrap/>
            <w:vAlign w:val="center"/>
            <w:hideMark/>
          </w:tcPr>
          <w:p w14:paraId="37D72A61"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Suma za zdroj EÚ</w:t>
            </w:r>
          </w:p>
        </w:tc>
      </w:tr>
      <w:tr w:rsidR="006C73A6" w14:paraId="5D707865"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0C6784C9"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1.1</w:t>
            </w:r>
          </w:p>
        </w:tc>
        <w:tc>
          <w:tcPr>
            <w:tcW w:w="2280" w:type="dxa"/>
            <w:tcBorders>
              <w:top w:val="nil"/>
              <w:left w:val="nil"/>
              <w:bottom w:val="single" w:sz="4" w:space="0" w:color="auto"/>
              <w:right w:val="single" w:sz="4" w:space="0" w:color="auto"/>
            </w:tcBorders>
            <w:shd w:val="clear" w:color="auto" w:fill="auto"/>
            <w:noWrap/>
            <w:vAlign w:val="bottom"/>
            <w:hideMark/>
          </w:tcPr>
          <w:p w14:paraId="7A5DD3FB"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14</w:t>
            </w:r>
          </w:p>
        </w:tc>
        <w:tc>
          <w:tcPr>
            <w:tcW w:w="1749" w:type="dxa"/>
            <w:tcBorders>
              <w:top w:val="nil"/>
              <w:left w:val="nil"/>
              <w:bottom w:val="single" w:sz="4" w:space="0" w:color="auto"/>
              <w:right w:val="single" w:sz="4" w:space="0" w:color="auto"/>
            </w:tcBorders>
            <w:shd w:val="clear" w:color="auto" w:fill="auto"/>
            <w:noWrap/>
            <w:vAlign w:val="bottom"/>
            <w:hideMark/>
          </w:tcPr>
          <w:p w14:paraId="7C9A3087"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1 180 799,89</w:t>
            </w:r>
          </w:p>
        </w:tc>
        <w:tc>
          <w:tcPr>
            <w:tcW w:w="2171" w:type="dxa"/>
            <w:tcBorders>
              <w:top w:val="nil"/>
              <w:left w:val="nil"/>
              <w:bottom w:val="single" w:sz="4" w:space="0" w:color="auto"/>
              <w:right w:val="single" w:sz="4" w:space="0" w:color="auto"/>
            </w:tcBorders>
            <w:shd w:val="clear" w:color="auto" w:fill="auto"/>
            <w:noWrap/>
            <w:vAlign w:val="bottom"/>
            <w:hideMark/>
          </w:tcPr>
          <w:p w14:paraId="42449E0F"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989 171,03</w:t>
            </w:r>
          </w:p>
        </w:tc>
      </w:tr>
      <w:tr w:rsidR="006C73A6" w14:paraId="4588191F"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3EC79774"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2.1</w:t>
            </w:r>
          </w:p>
        </w:tc>
        <w:tc>
          <w:tcPr>
            <w:tcW w:w="2280" w:type="dxa"/>
            <w:tcBorders>
              <w:top w:val="nil"/>
              <w:left w:val="nil"/>
              <w:bottom w:val="single" w:sz="4" w:space="0" w:color="auto"/>
              <w:right w:val="single" w:sz="4" w:space="0" w:color="auto"/>
            </w:tcBorders>
            <w:shd w:val="clear" w:color="auto" w:fill="auto"/>
            <w:noWrap/>
            <w:vAlign w:val="bottom"/>
            <w:hideMark/>
          </w:tcPr>
          <w:p w14:paraId="0A0A120A"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3</w:t>
            </w:r>
          </w:p>
        </w:tc>
        <w:tc>
          <w:tcPr>
            <w:tcW w:w="1749" w:type="dxa"/>
            <w:tcBorders>
              <w:top w:val="nil"/>
              <w:left w:val="nil"/>
              <w:bottom w:val="single" w:sz="4" w:space="0" w:color="auto"/>
              <w:right w:val="single" w:sz="4" w:space="0" w:color="auto"/>
            </w:tcBorders>
            <w:shd w:val="clear" w:color="auto" w:fill="auto"/>
            <w:noWrap/>
            <w:vAlign w:val="bottom"/>
            <w:hideMark/>
          </w:tcPr>
          <w:p w14:paraId="3F62B564"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1 065 018,04</w:t>
            </w:r>
          </w:p>
        </w:tc>
        <w:tc>
          <w:tcPr>
            <w:tcW w:w="2171" w:type="dxa"/>
            <w:tcBorders>
              <w:top w:val="nil"/>
              <w:left w:val="nil"/>
              <w:bottom w:val="single" w:sz="4" w:space="0" w:color="auto"/>
              <w:right w:val="single" w:sz="4" w:space="0" w:color="auto"/>
            </w:tcBorders>
            <w:shd w:val="clear" w:color="auto" w:fill="auto"/>
            <w:noWrap/>
            <w:vAlign w:val="bottom"/>
            <w:hideMark/>
          </w:tcPr>
          <w:p w14:paraId="48D59A2A"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905 265,33</w:t>
            </w:r>
          </w:p>
        </w:tc>
      </w:tr>
      <w:tr w:rsidR="006C73A6" w14:paraId="5C16C19F"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11388844"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3.1</w:t>
            </w:r>
          </w:p>
        </w:tc>
        <w:tc>
          <w:tcPr>
            <w:tcW w:w="2280" w:type="dxa"/>
            <w:tcBorders>
              <w:top w:val="nil"/>
              <w:left w:val="nil"/>
              <w:bottom w:val="single" w:sz="4" w:space="0" w:color="auto"/>
              <w:right w:val="single" w:sz="4" w:space="0" w:color="auto"/>
            </w:tcBorders>
            <w:shd w:val="clear" w:color="auto" w:fill="auto"/>
            <w:noWrap/>
            <w:vAlign w:val="bottom"/>
            <w:hideMark/>
          </w:tcPr>
          <w:p w14:paraId="40D04F8D"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7</w:t>
            </w:r>
          </w:p>
        </w:tc>
        <w:tc>
          <w:tcPr>
            <w:tcW w:w="1749" w:type="dxa"/>
            <w:tcBorders>
              <w:top w:val="nil"/>
              <w:left w:val="nil"/>
              <w:bottom w:val="single" w:sz="4" w:space="0" w:color="auto"/>
              <w:right w:val="single" w:sz="4" w:space="0" w:color="auto"/>
            </w:tcBorders>
            <w:shd w:val="clear" w:color="auto" w:fill="auto"/>
            <w:noWrap/>
            <w:vAlign w:val="bottom"/>
            <w:hideMark/>
          </w:tcPr>
          <w:p w14:paraId="1288AC91"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307 856,96</w:t>
            </w:r>
          </w:p>
        </w:tc>
        <w:tc>
          <w:tcPr>
            <w:tcW w:w="2171" w:type="dxa"/>
            <w:tcBorders>
              <w:top w:val="nil"/>
              <w:left w:val="nil"/>
              <w:bottom w:val="single" w:sz="4" w:space="0" w:color="auto"/>
              <w:right w:val="single" w:sz="4" w:space="0" w:color="auto"/>
            </w:tcBorders>
            <w:shd w:val="clear" w:color="auto" w:fill="auto"/>
            <w:noWrap/>
            <w:vAlign w:val="bottom"/>
            <w:hideMark/>
          </w:tcPr>
          <w:p w14:paraId="2050F013"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261 678,41</w:t>
            </w:r>
          </w:p>
        </w:tc>
      </w:tr>
      <w:tr w:rsidR="006C73A6" w14:paraId="35EA4C26"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700EDDDB"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4.1</w:t>
            </w:r>
          </w:p>
        </w:tc>
        <w:tc>
          <w:tcPr>
            <w:tcW w:w="2280" w:type="dxa"/>
            <w:tcBorders>
              <w:top w:val="nil"/>
              <w:left w:val="nil"/>
              <w:bottom w:val="single" w:sz="4" w:space="0" w:color="auto"/>
              <w:right w:val="single" w:sz="4" w:space="0" w:color="auto"/>
            </w:tcBorders>
            <w:shd w:val="clear" w:color="auto" w:fill="auto"/>
            <w:noWrap/>
            <w:vAlign w:val="bottom"/>
            <w:hideMark/>
          </w:tcPr>
          <w:p w14:paraId="05620662"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39</w:t>
            </w:r>
          </w:p>
        </w:tc>
        <w:tc>
          <w:tcPr>
            <w:tcW w:w="1749" w:type="dxa"/>
            <w:tcBorders>
              <w:top w:val="nil"/>
              <w:left w:val="nil"/>
              <w:bottom w:val="single" w:sz="4" w:space="0" w:color="auto"/>
              <w:right w:val="single" w:sz="4" w:space="0" w:color="auto"/>
            </w:tcBorders>
            <w:shd w:val="clear" w:color="auto" w:fill="auto"/>
            <w:noWrap/>
            <w:vAlign w:val="bottom"/>
            <w:hideMark/>
          </w:tcPr>
          <w:p w14:paraId="1C9B9FC4"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9 234 809,22</w:t>
            </w:r>
          </w:p>
        </w:tc>
        <w:tc>
          <w:tcPr>
            <w:tcW w:w="2171" w:type="dxa"/>
            <w:tcBorders>
              <w:top w:val="nil"/>
              <w:left w:val="nil"/>
              <w:bottom w:val="single" w:sz="4" w:space="0" w:color="auto"/>
              <w:right w:val="single" w:sz="4" w:space="0" w:color="auto"/>
            </w:tcBorders>
            <w:shd w:val="clear" w:color="auto" w:fill="auto"/>
            <w:noWrap/>
            <w:vAlign w:val="bottom"/>
            <w:hideMark/>
          </w:tcPr>
          <w:p w14:paraId="194CE498"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6 459 650,87</w:t>
            </w:r>
          </w:p>
        </w:tc>
      </w:tr>
      <w:tr w:rsidR="006C73A6" w14:paraId="58BF0EDD"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787818BB"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5.1</w:t>
            </w:r>
          </w:p>
        </w:tc>
        <w:tc>
          <w:tcPr>
            <w:tcW w:w="2280" w:type="dxa"/>
            <w:tcBorders>
              <w:top w:val="nil"/>
              <w:left w:val="nil"/>
              <w:bottom w:val="single" w:sz="4" w:space="0" w:color="auto"/>
              <w:right w:val="single" w:sz="4" w:space="0" w:color="auto"/>
            </w:tcBorders>
            <w:shd w:val="clear" w:color="auto" w:fill="auto"/>
            <w:noWrap/>
            <w:vAlign w:val="bottom"/>
            <w:hideMark/>
          </w:tcPr>
          <w:p w14:paraId="3259B05A"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13</w:t>
            </w:r>
          </w:p>
        </w:tc>
        <w:tc>
          <w:tcPr>
            <w:tcW w:w="1749" w:type="dxa"/>
            <w:tcBorders>
              <w:top w:val="nil"/>
              <w:left w:val="nil"/>
              <w:bottom w:val="single" w:sz="4" w:space="0" w:color="auto"/>
              <w:right w:val="single" w:sz="4" w:space="0" w:color="auto"/>
            </w:tcBorders>
            <w:shd w:val="clear" w:color="auto" w:fill="auto"/>
            <w:noWrap/>
            <w:vAlign w:val="bottom"/>
            <w:hideMark/>
          </w:tcPr>
          <w:p w14:paraId="35CF2E42"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316 457,52</w:t>
            </w:r>
          </w:p>
        </w:tc>
        <w:tc>
          <w:tcPr>
            <w:tcW w:w="2171" w:type="dxa"/>
            <w:tcBorders>
              <w:top w:val="nil"/>
              <w:left w:val="nil"/>
              <w:bottom w:val="single" w:sz="4" w:space="0" w:color="auto"/>
              <w:right w:val="single" w:sz="4" w:space="0" w:color="auto"/>
            </w:tcBorders>
            <w:shd w:val="clear" w:color="auto" w:fill="auto"/>
            <w:noWrap/>
            <w:vAlign w:val="bottom"/>
            <w:hideMark/>
          </w:tcPr>
          <w:p w14:paraId="682E7157"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268 988,89</w:t>
            </w:r>
          </w:p>
        </w:tc>
      </w:tr>
      <w:tr w:rsidR="006C73A6" w14:paraId="7064225F"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34AA2295"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6.1</w:t>
            </w:r>
          </w:p>
        </w:tc>
        <w:tc>
          <w:tcPr>
            <w:tcW w:w="2280" w:type="dxa"/>
            <w:tcBorders>
              <w:top w:val="nil"/>
              <w:left w:val="nil"/>
              <w:bottom w:val="single" w:sz="4" w:space="0" w:color="auto"/>
              <w:right w:val="single" w:sz="4" w:space="0" w:color="auto"/>
            </w:tcBorders>
            <w:shd w:val="clear" w:color="auto" w:fill="auto"/>
            <w:noWrap/>
            <w:vAlign w:val="bottom"/>
            <w:hideMark/>
          </w:tcPr>
          <w:p w14:paraId="7DFD6FFD"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17</w:t>
            </w:r>
          </w:p>
        </w:tc>
        <w:tc>
          <w:tcPr>
            <w:tcW w:w="1749" w:type="dxa"/>
            <w:tcBorders>
              <w:top w:val="nil"/>
              <w:left w:val="nil"/>
              <w:bottom w:val="single" w:sz="4" w:space="0" w:color="auto"/>
              <w:right w:val="single" w:sz="4" w:space="0" w:color="auto"/>
            </w:tcBorders>
            <w:shd w:val="clear" w:color="auto" w:fill="auto"/>
            <w:noWrap/>
            <w:vAlign w:val="bottom"/>
            <w:hideMark/>
          </w:tcPr>
          <w:p w14:paraId="7EBE3025"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11 428 977,23</w:t>
            </w:r>
          </w:p>
        </w:tc>
        <w:tc>
          <w:tcPr>
            <w:tcW w:w="2171" w:type="dxa"/>
            <w:tcBorders>
              <w:top w:val="nil"/>
              <w:left w:val="nil"/>
              <w:bottom w:val="single" w:sz="4" w:space="0" w:color="auto"/>
              <w:right w:val="single" w:sz="4" w:space="0" w:color="auto"/>
            </w:tcBorders>
            <w:shd w:val="clear" w:color="auto" w:fill="auto"/>
            <w:noWrap/>
            <w:vAlign w:val="bottom"/>
            <w:hideMark/>
          </w:tcPr>
          <w:p w14:paraId="614A09BB"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9 714 630,58</w:t>
            </w:r>
          </w:p>
        </w:tc>
      </w:tr>
      <w:tr w:rsidR="006C73A6" w14:paraId="3377ABC9" w14:textId="77777777" w:rsidTr="00EE50CC">
        <w:trPr>
          <w:trHeight w:val="330"/>
        </w:trPr>
        <w:tc>
          <w:tcPr>
            <w:tcW w:w="228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4C8795BD"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Spolu individuálne N:</w:t>
            </w:r>
          </w:p>
        </w:tc>
        <w:tc>
          <w:tcPr>
            <w:tcW w:w="2280" w:type="dxa"/>
            <w:tcBorders>
              <w:top w:val="nil"/>
              <w:left w:val="nil"/>
              <w:bottom w:val="single" w:sz="4" w:space="0" w:color="auto"/>
              <w:right w:val="single" w:sz="4" w:space="0" w:color="auto"/>
            </w:tcBorders>
            <w:shd w:val="clear" w:color="auto" w:fill="D9D9D9" w:themeFill="background1" w:themeFillShade="D9"/>
            <w:noWrap/>
            <w:vAlign w:val="bottom"/>
            <w:hideMark/>
          </w:tcPr>
          <w:p w14:paraId="08885DFD"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93</w:t>
            </w:r>
          </w:p>
        </w:tc>
        <w:tc>
          <w:tcPr>
            <w:tcW w:w="1749" w:type="dxa"/>
            <w:tcBorders>
              <w:top w:val="nil"/>
              <w:left w:val="nil"/>
              <w:bottom w:val="single" w:sz="4" w:space="0" w:color="auto"/>
              <w:right w:val="single" w:sz="4" w:space="0" w:color="auto"/>
            </w:tcBorders>
            <w:shd w:val="clear" w:color="auto" w:fill="D9D9D9" w:themeFill="background1" w:themeFillShade="D9"/>
            <w:noWrap/>
            <w:vAlign w:val="bottom"/>
            <w:hideMark/>
          </w:tcPr>
          <w:p w14:paraId="728A5CB8" w14:textId="77777777" w:rsidR="006C73A6" w:rsidRPr="00EE50CC" w:rsidRDefault="006C73A6" w:rsidP="004959AE">
            <w:pPr>
              <w:jc w:val="right"/>
              <w:rPr>
                <w:rFonts w:ascii="Arial" w:hAnsi="Arial" w:cs="Arial"/>
                <w:b/>
                <w:bCs/>
                <w:color w:val="000000"/>
                <w:sz w:val="16"/>
                <w:szCs w:val="16"/>
              </w:rPr>
            </w:pPr>
            <w:r w:rsidRPr="00EE50CC">
              <w:rPr>
                <w:rFonts w:ascii="Arial" w:hAnsi="Arial" w:cs="Arial"/>
                <w:b/>
                <w:bCs/>
                <w:color w:val="000000"/>
                <w:sz w:val="16"/>
                <w:szCs w:val="16"/>
              </w:rPr>
              <w:t>23 533 918,86</w:t>
            </w:r>
          </w:p>
        </w:tc>
        <w:tc>
          <w:tcPr>
            <w:tcW w:w="2171" w:type="dxa"/>
            <w:tcBorders>
              <w:top w:val="nil"/>
              <w:left w:val="nil"/>
              <w:bottom w:val="single" w:sz="4" w:space="0" w:color="auto"/>
              <w:right w:val="single" w:sz="4" w:space="0" w:color="auto"/>
            </w:tcBorders>
            <w:shd w:val="clear" w:color="auto" w:fill="D9D9D9" w:themeFill="background1" w:themeFillShade="D9"/>
            <w:noWrap/>
            <w:vAlign w:val="bottom"/>
            <w:hideMark/>
          </w:tcPr>
          <w:p w14:paraId="4113E652" w14:textId="77777777" w:rsidR="006C73A6" w:rsidRPr="00EE50CC" w:rsidRDefault="006C73A6" w:rsidP="004959AE">
            <w:pPr>
              <w:jc w:val="right"/>
              <w:rPr>
                <w:rFonts w:ascii="Arial" w:hAnsi="Arial" w:cs="Arial"/>
                <w:b/>
                <w:bCs/>
                <w:color w:val="000000"/>
                <w:sz w:val="16"/>
                <w:szCs w:val="16"/>
              </w:rPr>
            </w:pPr>
            <w:r w:rsidRPr="00EE50CC">
              <w:rPr>
                <w:rFonts w:ascii="Arial" w:hAnsi="Arial" w:cs="Arial"/>
                <w:b/>
                <w:bCs/>
                <w:color w:val="000000"/>
                <w:sz w:val="16"/>
                <w:szCs w:val="16"/>
              </w:rPr>
              <w:t>18 599 385,11</w:t>
            </w:r>
          </w:p>
        </w:tc>
      </w:tr>
      <w:tr w:rsidR="006C73A6" w14:paraId="76E3405A"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11060940"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1.1</w:t>
            </w:r>
          </w:p>
        </w:tc>
        <w:tc>
          <w:tcPr>
            <w:tcW w:w="2280" w:type="dxa"/>
            <w:tcBorders>
              <w:top w:val="nil"/>
              <w:left w:val="nil"/>
              <w:bottom w:val="single" w:sz="4" w:space="0" w:color="auto"/>
              <w:right w:val="single" w:sz="4" w:space="0" w:color="auto"/>
            </w:tcBorders>
            <w:shd w:val="clear" w:color="auto" w:fill="auto"/>
            <w:noWrap/>
            <w:vAlign w:val="bottom"/>
            <w:hideMark/>
          </w:tcPr>
          <w:p w14:paraId="2F9D9DD0"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31</w:t>
            </w:r>
          </w:p>
        </w:tc>
        <w:tc>
          <w:tcPr>
            <w:tcW w:w="1749" w:type="dxa"/>
            <w:tcBorders>
              <w:top w:val="nil"/>
              <w:left w:val="nil"/>
              <w:bottom w:val="single" w:sz="4" w:space="0" w:color="auto"/>
              <w:right w:val="single" w:sz="4" w:space="0" w:color="auto"/>
            </w:tcBorders>
            <w:shd w:val="clear" w:color="auto" w:fill="auto"/>
            <w:noWrap/>
            <w:vAlign w:val="bottom"/>
            <w:hideMark/>
          </w:tcPr>
          <w:p w14:paraId="4CBC0BEE"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26 757 405,05</w:t>
            </w:r>
          </w:p>
        </w:tc>
        <w:tc>
          <w:tcPr>
            <w:tcW w:w="2171" w:type="dxa"/>
            <w:tcBorders>
              <w:top w:val="nil"/>
              <w:left w:val="nil"/>
              <w:bottom w:val="single" w:sz="4" w:space="0" w:color="auto"/>
              <w:right w:val="single" w:sz="4" w:space="0" w:color="auto"/>
            </w:tcBorders>
            <w:shd w:val="clear" w:color="auto" w:fill="auto"/>
            <w:noWrap/>
            <w:vAlign w:val="bottom"/>
            <w:hideMark/>
          </w:tcPr>
          <w:p w14:paraId="65227B5B"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21 949 228,41</w:t>
            </w:r>
          </w:p>
        </w:tc>
      </w:tr>
      <w:tr w:rsidR="006C73A6" w14:paraId="36962A99"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0728A4ED"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2.1</w:t>
            </w:r>
          </w:p>
        </w:tc>
        <w:tc>
          <w:tcPr>
            <w:tcW w:w="2280" w:type="dxa"/>
            <w:tcBorders>
              <w:top w:val="nil"/>
              <w:left w:val="nil"/>
              <w:bottom w:val="single" w:sz="4" w:space="0" w:color="auto"/>
              <w:right w:val="single" w:sz="4" w:space="0" w:color="auto"/>
            </w:tcBorders>
            <w:shd w:val="clear" w:color="auto" w:fill="auto"/>
            <w:noWrap/>
            <w:vAlign w:val="bottom"/>
            <w:hideMark/>
          </w:tcPr>
          <w:p w14:paraId="3D4BBEB0"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9</w:t>
            </w:r>
          </w:p>
        </w:tc>
        <w:tc>
          <w:tcPr>
            <w:tcW w:w="1749" w:type="dxa"/>
            <w:tcBorders>
              <w:top w:val="nil"/>
              <w:left w:val="nil"/>
              <w:bottom w:val="single" w:sz="4" w:space="0" w:color="auto"/>
              <w:right w:val="single" w:sz="4" w:space="0" w:color="auto"/>
            </w:tcBorders>
            <w:shd w:val="clear" w:color="auto" w:fill="auto"/>
            <w:noWrap/>
            <w:vAlign w:val="bottom"/>
            <w:hideMark/>
          </w:tcPr>
          <w:p w14:paraId="1DDF2E52"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2 474 564,07</w:t>
            </w:r>
          </w:p>
        </w:tc>
        <w:tc>
          <w:tcPr>
            <w:tcW w:w="2171" w:type="dxa"/>
            <w:tcBorders>
              <w:top w:val="nil"/>
              <w:left w:val="nil"/>
              <w:bottom w:val="single" w:sz="4" w:space="0" w:color="auto"/>
              <w:right w:val="single" w:sz="4" w:space="0" w:color="auto"/>
            </w:tcBorders>
            <w:shd w:val="clear" w:color="auto" w:fill="auto"/>
            <w:noWrap/>
            <w:vAlign w:val="bottom"/>
            <w:hideMark/>
          </w:tcPr>
          <w:p w14:paraId="1600C51A"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2 060 148,31</w:t>
            </w:r>
          </w:p>
        </w:tc>
      </w:tr>
      <w:tr w:rsidR="006C73A6" w14:paraId="232A6EA6"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39ECF33E"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3.1</w:t>
            </w:r>
          </w:p>
        </w:tc>
        <w:tc>
          <w:tcPr>
            <w:tcW w:w="2280" w:type="dxa"/>
            <w:tcBorders>
              <w:top w:val="nil"/>
              <w:left w:val="nil"/>
              <w:bottom w:val="single" w:sz="4" w:space="0" w:color="auto"/>
              <w:right w:val="single" w:sz="4" w:space="0" w:color="auto"/>
            </w:tcBorders>
            <w:shd w:val="clear" w:color="auto" w:fill="auto"/>
            <w:noWrap/>
            <w:vAlign w:val="bottom"/>
            <w:hideMark/>
          </w:tcPr>
          <w:p w14:paraId="523C6C30"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8</w:t>
            </w:r>
          </w:p>
        </w:tc>
        <w:tc>
          <w:tcPr>
            <w:tcW w:w="1749" w:type="dxa"/>
            <w:tcBorders>
              <w:top w:val="nil"/>
              <w:left w:val="nil"/>
              <w:bottom w:val="single" w:sz="4" w:space="0" w:color="auto"/>
              <w:right w:val="single" w:sz="4" w:space="0" w:color="auto"/>
            </w:tcBorders>
            <w:shd w:val="clear" w:color="auto" w:fill="auto"/>
            <w:noWrap/>
            <w:vAlign w:val="bottom"/>
            <w:hideMark/>
          </w:tcPr>
          <w:p w14:paraId="730F3F08"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13 143 537,05</w:t>
            </w:r>
          </w:p>
        </w:tc>
        <w:tc>
          <w:tcPr>
            <w:tcW w:w="2171" w:type="dxa"/>
            <w:tcBorders>
              <w:top w:val="nil"/>
              <w:left w:val="nil"/>
              <w:bottom w:val="single" w:sz="4" w:space="0" w:color="auto"/>
              <w:right w:val="single" w:sz="4" w:space="0" w:color="auto"/>
            </w:tcBorders>
            <w:shd w:val="clear" w:color="auto" w:fill="auto"/>
            <w:noWrap/>
            <w:vAlign w:val="bottom"/>
            <w:hideMark/>
          </w:tcPr>
          <w:p w14:paraId="2AF20EB1"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9 150 276,91</w:t>
            </w:r>
          </w:p>
        </w:tc>
      </w:tr>
      <w:tr w:rsidR="006C73A6" w14:paraId="42F3A1C4"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2DE3A1AF"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4.1</w:t>
            </w:r>
          </w:p>
        </w:tc>
        <w:tc>
          <w:tcPr>
            <w:tcW w:w="2280" w:type="dxa"/>
            <w:tcBorders>
              <w:top w:val="nil"/>
              <w:left w:val="nil"/>
              <w:bottom w:val="single" w:sz="4" w:space="0" w:color="auto"/>
              <w:right w:val="single" w:sz="4" w:space="0" w:color="auto"/>
            </w:tcBorders>
            <w:shd w:val="clear" w:color="auto" w:fill="auto"/>
            <w:noWrap/>
            <w:vAlign w:val="bottom"/>
            <w:hideMark/>
          </w:tcPr>
          <w:p w14:paraId="10BE8614"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23</w:t>
            </w:r>
          </w:p>
        </w:tc>
        <w:tc>
          <w:tcPr>
            <w:tcW w:w="1749" w:type="dxa"/>
            <w:tcBorders>
              <w:top w:val="nil"/>
              <w:left w:val="nil"/>
              <w:bottom w:val="single" w:sz="4" w:space="0" w:color="auto"/>
              <w:right w:val="single" w:sz="4" w:space="0" w:color="auto"/>
            </w:tcBorders>
            <w:shd w:val="clear" w:color="auto" w:fill="auto"/>
            <w:noWrap/>
            <w:vAlign w:val="bottom"/>
            <w:hideMark/>
          </w:tcPr>
          <w:p w14:paraId="782A5606"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16 475 315,87</w:t>
            </w:r>
          </w:p>
        </w:tc>
        <w:tc>
          <w:tcPr>
            <w:tcW w:w="2171" w:type="dxa"/>
            <w:tcBorders>
              <w:top w:val="nil"/>
              <w:left w:val="nil"/>
              <w:bottom w:val="single" w:sz="4" w:space="0" w:color="auto"/>
              <w:right w:val="single" w:sz="4" w:space="0" w:color="auto"/>
            </w:tcBorders>
            <w:shd w:val="clear" w:color="auto" w:fill="auto"/>
            <w:noWrap/>
            <w:vAlign w:val="bottom"/>
            <w:hideMark/>
          </w:tcPr>
          <w:p w14:paraId="0B331D31"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13 390 946,10</w:t>
            </w:r>
          </w:p>
        </w:tc>
      </w:tr>
      <w:tr w:rsidR="006C73A6" w14:paraId="70E969E4"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1791A230"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5.1</w:t>
            </w:r>
          </w:p>
        </w:tc>
        <w:tc>
          <w:tcPr>
            <w:tcW w:w="2280" w:type="dxa"/>
            <w:tcBorders>
              <w:top w:val="nil"/>
              <w:left w:val="nil"/>
              <w:bottom w:val="single" w:sz="4" w:space="0" w:color="auto"/>
              <w:right w:val="single" w:sz="4" w:space="0" w:color="auto"/>
            </w:tcBorders>
            <w:shd w:val="clear" w:color="auto" w:fill="auto"/>
            <w:noWrap/>
            <w:vAlign w:val="bottom"/>
            <w:hideMark/>
          </w:tcPr>
          <w:p w14:paraId="4907D7F0"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11</w:t>
            </w:r>
          </w:p>
        </w:tc>
        <w:tc>
          <w:tcPr>
            <w:tcW w:w="1749" w:type="dxa"/>
            <w:tcBorders>
              <w:top w:val="nil"/>
              <w:left w:val="nil"/>
              <w:bottom w:val="single" w:sz="4" w:space="0" w:color="auto"/>
              <w:right w:val="single" w:sz="4" w:space="0" w:color="auto"/>
            </w:tcBorders>
            <w:shd w:val="clear" w:color="auto" w:fill="auto"/>
            <w:noWrap/>
            <w:vAlign w:val="bottom"/>
            <w:hideMark/>
          </w:tcPr>
          <w:p w14:paraId="4CF3FD7C"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819 781,30</w:t>
            </w:r>
          </w:p>
        </w:tc>
        <w:tc>
          <w:tcPr>
            <w:tcW w:w="2171" w:type="dxa"/>
            <w:tcBorders>
              <w:top w:val="nil"/>
              <w:left w:val="nil"/>
              <w:bottom w:val="single" w:sz="4" w:space="0" w:color="auto"/>
              <w:right w:val="single" w:sz="4" w:space="0" w:color="auto"/>
            </w:tcBorders>
            <w:shd w:val="clear" w:color="auto" w:fill="auto"/>
            <w:noWrap/>
            <w:vAlign w:val="bottom"/>
            <w:hideMark/>
          </w:tcPr>
          <w:p w14:paraId="47505C15"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696 814,08</w:t>
            </w:r>
          </w:p>
        </w:tc>
      </w:tr>
      <w:tr w:rsidR="006C73A6" w14:paraId="66D96644" w14:textId="77777777" w:rsidTr="004959AE">
        <w:trPr>
          <w:trHeight w:val="330"/>
        </w:trPr>
        <w:tc>
          <w:tcPr>
            <w:tcW w:w="2280" w:type="dxa"/>
            <w:tcBorders>
              <w:top w:val="nil"/>
              <w:left w:val="single" w:sz="4" w:space="0" w:color="auto"/>
              <w:bottom w:val="single" w:sz="4" w:space="0" w:color="auto"/>
              <w:right w:val="single" w:sz="4" w:space="0" w:color="auto"/>
            </w:tcBorders>
            <w:shd w:val="clear" w:color="auto" w:fill="auto"/>
            <w:noWrap/>
            <w:vAlign w:val="bottom"/>
            <w:hideMark/>
          </w:tcPr>
          <w:p w14:paraId="45904EFB"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6.1</w:t>
            </w:r>
          </w:p>
        </w:tc>
        <w:tc>
          <w:tcPr>
            <w:tcW w:w="2280" w:type="dxa"/>
            <w:tcBorders>
              <w:top w:val="nil"/>
              <w:left w:val="nil"/>
              <w:bottom w:val="single" w:sz="4" w:space="0" w:color="auto"/>
              <w:right w:val="single" w:sz="4" w:space="0" w:color="auto"/>
            </w:tcBorders>
            <w:shd w:val="clear" w:color="auto" w:fill="auto"/>
            <w:noWrap/>
            <w:vAlign w:val="bottom"/>
            <w:hideMark/>
          </w:tcPr>
          <w:p w14:paraId="4C32D677" w14:textId="77777777" w:rsidR="006C73A6" w:rsidRPr="00EE50CC" w:rsidRDefault="006C73A6" w:rsidP="004959AE">
            <w:pPr>
              <w:jc w:val="center"/>
              <w:rPr>
                <w:rFonts w:ascii="Arial" w:hAnsi="Arial" w:cs="Arial"/>
                <w:color w:val="000000"/>
                <w:sz w:val="16"/>
                <w:szCs w:val="16"/>
              </w:rPr>
            </w:pPr>
            <w:r w:rsidRPr="00EE50CC">
              <w:rPr>
                <w:rFonts w:ascii="Arial" w:hAnsi="Arial" w:cs="Arial"/>
                <w:color w:val="000000"/>
                <w:sz w:val="16"/>
                <w:szCs w:val="16"/>
              </w:rPr>
              <w:t>2</w:t>
            </w:r>
          </w:p>
        </w:tc>
        <w:tc>
          <w:tcPr>
            <w:tcW w:w="1749" w:type="dxa"/>
            <w:tcBorders>
              <w:top w:val="nil"/>
              <w:left w:val="nil"/>
              <w:bottom w:val="single" w:sz="4" w:space="0" w:color="auto"/>
              <w:right w:val="single" w:sz="4" w:space="0" w:color="auto"/>
            </w:tcBorders>
            <w:shd w:val="clear" w:color="auto" w:fill="auto"/>
            <w:noWrap/>
            <w:vAlign w:val="bottom"/>
            <w:hideMark/>
          </w:tcPr>
          <w:p w14:paraId="555A608E" w14:textId="77777777" w:rsidR="006C73A6" w:rsidRPr="00EE50CC" w:rsidRDefault="006C73A6" w:rsidP="004959AE">
            <w:pPr>
              <w:jc w:val="right"/>
              <w:rPr>
                <w:rFonts w:ascii="Arial" w:hAnsi="Arial" w:cs="Arial"/>
                <w:sz w:val="16"/>
                <w:szCs w:val="16"/>
              </w:rPr>
            </w:pPr>
            <w:r w:rsidRPr="00EE50CC">
              <w:rPr>
                <w:rFonts w:ascii="Arial" w:hAnsi="Arial" w:cs="Arial"/>
                <w:sz w:val="16"/>
                <w:szCs w:val="16"/>
              </w:rPr>
              <w:t>205 595,59</w:t>
            </w:r>
          </w:p>
        </w:tc>
        <w:tc>
          <w:tcPr>
            <w:tcW w:w="2171" w:type="dxa"/>
            <w:tcBorders>
              <w:top w:val="nil"/>
              <w:left w:val="nil"/>
              <w:bottom w:val="single" w:sz="4" w:space="0" w:color="auto"/>
              <w:right w:val="single" w:sz="4" w:space="0" w:color="auto"/>
            </w:tcBorders>
            <w:shd w:val="clear" w:color="auto" w:fill="auto"/>
            <w:noWrap/>
            <w:vAlign w:val="bottom"/>
            <w:hideMark/>
          </w:tcPr>
          <w:p w14:paraId="073712D0" w14:textId="77777777" w:rsidR="006C73A6" w:rsidRPr="00EE50CC" w:rsidRDefault="006C73A6" w:rsidP="004959AE">
            <w:pPr>
              <w:jc w:val="right"/>
              <w:rPr>
                <w:rFonts w:ascii="Arial" w:hAnsi="Arial" w:cs="Arial"/>
                <w:color w:val="000000"/>
                <w:sz w:val="16"/>
                <w:szCs w:val="16"/>
              </w:rPr>
            </w:pPr>
            <w:r w:rsidRPr="00EE50CC">
              <w:rPr>
                <w:rFonts w:ascii="Arial" w:hAnsi="Arial" w:cs="Arial"/>
                <w:color w:val="000000"/>
                <w:sz w:val="16"/>
                <w:szCs w:val="16"/>
              </w:rPr>
              <w:t>174 756,23</w:t>
            </w:r>
          </w:p>
        </w:tc>
      </w:tr>
      <w:tr w:rsidR="006C73A6" w14:paraId="35C9DFBA" w14:textId="77777777" w:rsidTr="00EE50CC">
        <w:trPr>
          <w:trHeight w:val="330"/>
        </w:trPr>
        <w:tc>
          <w:tcPr>
            <w:tcW w:w="228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3D351B17"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Spolu systémové N:</w:t>
            </w:r>
          </w:p>
        </w:tc>
        <w:tc>
          <w:tcPr>
            <w:tcW w:w="2280" w:type="dxa"/>
            <w:tcBorders>
              <w:top w:val="nil"/>
              <w:left w:val="nil"/>
              <w:bottom w:val="single" w:sz="4" w:space="0" w:color="auto"/>
              <w:right w:val="single" w:sz="4" w:space="0" w:color="auto"/>
            </w:tcBorders>
            <w:shd w:val="clear" w:color="auto" w:fill="D9D9D9" w:themeFill="background1" w:themeFillShade="D9"/>
            <w:noWrap/>
            <w:vAlign w:val="bottom"/>
            <w:hideMark/>
          </w:tcPr>
          <w:p w14:paraId="395D19C6"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84</w:t>
            </w:r>
          </w:p>
        </w:tc>
        <w:tc>
          <w:tcPr>
            <w:tcW w:w="1749" w:type="dxa"/>
            <w:tcBorders>
              <w:top w:val="nil"/>
              <w:left w:val="nil"/>
              <w:bottom w:val="single" w:sz="4" w:space="0" w:color="auto"/>
              <w:right w:val="single" w:sz="4" w:space="0" w:color="auto"/>
            </w:tcBorders>
            <w:shd w:val="clear" w:color="auto" w:fill="D9D9D9" w:themeFill="background1" w:themeFillShade="D9"/>
            <w:noWrap/>
            <w:vAlign w:val="bottom"/>
            <w:hideMark/>
          </w:tcPr>
          <w:p w14:paraId="43B2814B" w14:textId="77777777" w:rsidR="006C73A6" w:rsidRPr="00EE50CC" w:rsidRDefault="006C73A6" w:rsidP="004959AE">
            <w:pPr>
              <w:jc w:val="right"/>
              <w:rPr>
                <w:rFonts w:ascii="Arial" w:hAnsi="Arial" w:cs="Arial"/>
                <w:b/>
                <w:bCs/>
                <w:color w:val="000000"/>
                <w:sz w:val="16"/>
                <w:szCs w:val="16"/>
              </w:rPr>
            </w:pPr>
            <w:r w:rsidRPr="00EE50CC">
              <w:rPr>
                <w:rFonts w:ascii="Arial" w:hAnsi="Arial" w:cs="Arial"/>
                <w:b/>
                <w:bCs/>
                <w:color w:val="000000"/>
                <w:sz w:val="16"/>
                <w:szCs w:val="16"/>
              </w:rPr>
              <w:t>59 876 198,93</w:t>
            </w:r>
          </w:p>
        </w:tc>
        <w:tc>
          <w:tcPr>
            <w:tcW w:w="2171" w:type="dxa"/>
            <w:tcBorders>
              <w:top w:val="nil"/>
              <w:left w:val="nil"/>
              <w:bottom w:val="single" w:sz="4" w:space="0" w:color="auto"/>
              <w:right w:val="single" w:sz="4" w:space="0" w:color="auto"/>
            </w:tcBorders>
            <w:shd w:val="clear" w:color="auto" w:fill="D9D9D9" w:themeFill="background1" w:themeFillShade="D9"/>
            <w:noWrap/>
            <w:vAlign w:val="bottom"/>
            <w:hideMark/>
          </w:tcPr>
          <w:p w14:paraId="3216F536" w14:textId="77777777" w:rsidR="006C73A6" w:rsidRPr="00EE50CC" w:rsidRDefault="006C73A6" w:rsidP="004959AE">
            <w:pPr>
              <w:jc w:val="right"/>
              <w:rPr>
                <w:rFonts w:ascii="Arial" w:hAnsi="Arial" w:cs="Arial"/>
                <w:b/>
                <w:bCs/>
                <w:color w:val="000000"/>
                <w:sz w:val="16"/>
                <w:szCs w:val="16"/>
              </w:rPr>
            </w:pPr>
            <w:r w:rsidRPr="00EE50CC">
              <w:rPr>
                <w:rFonts w:ascii="Arial" w:hAnsi="Arial" w:cs="Arial"/>
                <w:b/>
                <w:bCs/>
                <w:color w:val="000000"/>
                <w:sz w:val="16"/>
                <w:szCs w:val="16"/>
              </w:rPr>
              <w:t>47 422 170,04</w:t>
            </w:r>
          </w:p>
        </w:tc>
      </w:tr>
      <w:tr w:rsidR="006C73A6" w14:paraId="440800B6" w14:textId="77777777" w:rsidTr="00EE50CC">
        <w:trPr>
          <w:trHeight w:val="360"/>
        </w:trPr>
        <w:tc>
          <w:tcPr>
            <w:tcW w:w="2280"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1C98A482"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Spolu N:</w:t>
            </w:r>
          </w:p>
        </w:tc>
        <w:tc>
          <w:tcPr>
            <w:tcW w:w="2280" w:type="dxa"/>
            <w:tcBorders>
              <w:top w:val="nil"/>
              <w:left w:val="nil"/>
              <w:bottom w:val="single" w:sz="4" w:space="0" w:color="auto"/>
              <w:right w:val="single" w:sz="4" w:space="0" w:color="auto"/>
            </w:tcBorders>
            <w:shd w:val="clear" w:color="auto" w:fill="F2F2F2" w:themeFill="background1" w:themeFillShade="F2"/>
            <w:noWrap/>
            <w:vAlign w:val="bottom"/>
            <w:hideMark/>
          </w:tcPr>
          <w:p w14:paraId="26EBE313" w14:textId="77777777" w:rsidR="006C73A6" w:rsidRPr="00EE50CC" w:rsidRDefault="006C73A6" w:rsidP="004959AE">
            <w:pPr>
              <w:jc w:val="center"/>
              <w:rPr>
                <w:rFonts w:ascii="Arial" w:hAnsi="Arial" w:cs="Arial"/>
                <w:b/>
                <w:bCs/>
                <w:color w:val="000000"/>
                <w:sz w:val="16"/>
                <w:szCs w:val="16"/>
              </w:rPr>
            </w:pPr>
            <w:r w:rsidRPr="00EE50CC">
              <w:rPr>
                <w:rFonts w:ascii="Arial" w:hAnsi="Arial" w:cs="Arial"/>
                <w:b/>
                <w:bCs/>
                <w:color w:val="000000"/>
                <w:sz w:val="16"/>
                <w:szCs w:val="16"/>
              </w:rPr>
              <w:t>177</w:t>
            </w:r>
          </w:p>
        </w:tc>
        <w:tc>
          <w:tcPr>
            <w:tcW w:w="1749" w:type="dxa"/>
            <w:tcBorders>
              <w:top w:val="nil"/>
              <w:left w:val="nil"/>
              <w:bottom w:val="single" w:sz="4" w:space="0" w:color="auto"/>
              <w:right w:val="single" w:sz="4" w:space="0" w:color="auto"/>
            </w:tcBorders>
            <w:shd w:val="clear" w:color="auto" w:fill="F2F2F2" w:themeFill="background1" w:themeFillShade="F2"/>
            <w:noWrap/>
            <w:vAlign w:val="bottom"/>
            <w:hideMark/>
          </w:tcPr>
          <w:p w14:paraId="42730D32" w14:textId="77777777" w:rsidR="006C73A6" w:rsidRPr="00EE50CC" w:rsidRDefault="006C73A6" w:rsidP="004959AE">
            <w:pPr>
              <w:jc w:val="right"/>
              <w:rPr>
                <w:rFonts w:ascii="Arial" w:hAnsi="Arial" w:cs="Arial"/>
                <w:b/>
                <w:bCs/>
                <w:color w:val="000000"/>
                <w:sz w:val="16"/>
                <w:szCs w:val="16"/>
              </w:rPr>
            </w:pPr>
            <w:r w:rsidRPr="00EE50CC">
              <w:rPr>
                <w:rFonts w:ascii="Arial" w:hAnsi="Arial" w:cs="Arial"/>
                <w:b/>
                <w:bCs/>
                <w:color w:val="000000"/>
                <w:sz w:val="16"/>
                <w:szCs w:val="16"/>
              </w:rPr>
              <w:t>83 410 117,79</w:t>
            </w:r>
          </w:p>
        </w:tc>
        <w:tc>
          <w:tcPr>
            <w:tcW w:w="2171" w:type="dxa"/>
            <w:tcBorders>
              <w:top w:val="nil"/>
              <w:left w:val="nil"/>
              <w:bottom w:val="single" w:sz="4" w:space="0" w:color="auto"/>
              <w:right w:val="single" w:sz="4" w:space="0" w:color="auto"/>
            </w:tcBorders>
            <w:shd w:val="clear" w:color="auto" w:fill="F2F2F2" w:themeFill="background1" w:themeFillShade="F2"/>
            <w:noWrap/>
            <w:vAlign w:val="bottom"/>
            <w:hideMark/>
          </w:tcPr>
          <w:p w14:paraId="52CE00F8" w14:textId="77777777" w:rsidR="006C73A6" w:rsidRPr="00EE50CC" w:rsidRDefault="006C73A6" w:rsidP="004959AE">
            <w:pPr>
              <w:jc w:val="right"/>
              <w:rPr>
                <w:rFonts w:ascii="Arial" w:hAnsi="Arial" w:cs="Arial"/>
                <w:b/>
                <w:bCs/>
                <w:color w:val="000000"/>
                <w:sz w:val="16"/>
                <w:szCs w:val="16"/>
              </w:rPr>
            </w:pPr>
            <w:r w:rsidRPr="00EE50CC">
              <w:rPr>
                <w:rFonts w:ascii="Arial" w:hAnsi="Arial" w:cs="Arial"/>
                <w:b/>
                <w:bCs/>
                <w:color w:val="000000"/>
                <w:sz w:val="16"/>
                <w:szCs w:val="16"/>
              </w:rPr>
              <w:t>66 021 555,15</w:t>
            </w:r>
          </w:p>
        </w:tc>
      </w:tr>
    </w:tbl>
    <w:p w14:paraId="51938E8D" w14:textId="52779962" w:rsidR="006C73A6" w:rsidRDefault="00B632B6" w:rsidP="006C73A6">
      <w:pPr>
        <w:jc w:val="both"/>
        <w:rPr>
          <w:rFonts w:ascii="Arial Narrow" w:hAnsi="Arial Narrow"/>
          <w:sz w:val="18"/>
          <w:szCs w:val="18"/>
        </w:rPr>
      </w:pPr>
      <w:r>
        <w:rPr>
          <w:rFonts w:ascii="Arial Narrow" w:hAnsi="Arial Narrow"/>
          <w:sz w:val="18"/>
          <w:szCs w:val="18"/>
        </w:rPr>
        <w:t>Zdroj: CO</w:t>
      </w:r>
    </w:p>
    <w:p w14:paraId="6702A188" w14:textId="77777777" w:rsidR="0059168D" w:rsidRDefault="0059168D" w:rsidP="0059168D">
      <w:pPr>
        <w:jc w:val="both"/>
        <w:rPr>
          <w:rFonts w:ascii="Arial" w:hAnsi="Arial" w:cs="Arial"/>
          <w:sz w:val="20"/>
          <w:szCs w:val="22"/>
        </w:rPr>
      </w:pPr>
    </w:p>
    <w:p w14:paraId="2A88C3E1" w14:textId="3452FFDE" w:rsidR="0059168D" w:rsidRDefault="0059168D" w:rsidP="006C73A6">
      <w:pPr>
        <w:spacing w:after="120"/>
        <w:jc w:val="both"/>
        <w:rPr>
          <w:rFonts w:ascii="Arial" w:hAnsi="Arial" w:cs="Arial"/>
          <w:b/>
          <w:sz w:val="20"/>
          <w:szCs w:val="22"/>
        </w:rPr>
      </w:pPr>
      <w:r w:rsidRPr="00FD53F6">
        <w:rPr>
          <w:rFonts w:ascii="Arial" w:hAnsi="Arial" w:cs="Arial"/>
          <w:sz w:val="20"/>
          <w:szCs w:val="22"/>
        </w:rPr>
        <w:t>Vyššie uvedené údaje budú spresnené a aktualizované na základe zoznamu nezrovnalostí hlásených v systéme AFIS IMS Európskemu úradu pre boj proti podvodom vrátane III. štvrťroka 2016 podľa stavu k 30.11.2016.</w:t>
      </w:r>
    </w:p>
    <w:p w14:paraId="24D097F5" w14:textId="2BF0C893" w:rsidR="006C73A6" w:rsidRPr="006C0B5D" w:rsidRDefault="006C73A6" w:rsidP="006C73A6">
      <w:pPr>
        <w:spacing w:after="120"/>
        <w:jc w:val="both"/>
        <w:rPr>
          <w:rFonts w:ascii="Arial" w:hAnsi="Arial" w:cs="Arial"/>
          <w:b/>
          <w:sz w:val="20"/>
          <w:szCs w:val="22"/>
        </w:rPr>
      </w:pPr>
      <w:r w:rsidRPr="006C0B5D">
        <w:rPr>
          <w:rFonts w:ascii="Arial" w:hAnsi="Arial" w:cs="Arial"/>
          <w:b/>
          <w:sz w:val="20"/>
          <w:szCs w:val="22"/>
        </w:rPr>
        <w:t>j) Finančné oprav</w:t>
      </w:r>
      <w:r w:rsidR="00827E9F">
        <w:rPr>
          <w:rFonts w:ascii="Arial" w:hAnsi="Arial" w:cs="Arial"/>
          <w:b/>
          <w:sz w:val="20"/>
          <w:szCs w:val="22"/>
        </w:rPr>
        <w:t>y</w:t>
      </w:r>
    </w:p>
    <w:p w14:paraId="660C62BC" w14:textId="77777777" w:rsidR="007B1CB9" w:rsidRDefault="0059168D" w:rsidP="007B1CB9">
      <w:pPr>
        <w:pStyle w:val="Odsekzoznamu"/>
        <w:spacing w:before="120" w:after="480" w:line="240" w:lineRule="auto"/>
        <w:ind w:left="0"/>
        <w:jc w:val="both"/>
        <w:rPr>
          <w:rFonts w:ascii="Arial" w:hAnsi="Arial" w:cs="Arial"/>
          <w:bCs/>
          <w:sz w:val="20"/>
        </w:rPr>
      </w:pPr>
      <w:r w:rsidRPr="00A9026A">
        <w:rPr>
          <w:rFonts w:ascii="Arial" w:hAnsi="Arial" w:cs="Arial"/>
          <w:bCs/>
          <w:sz w:val="20"/>
        </w:rPr>
        <w:t>V súlade s článkom 20 nariadenia EK (ES) č. 1828/2006 boli v  rokoch 2010 až 2015 uplatnené ex post finančné opravy voči rozpočtu EÚ v celkovej výške 23 897 532,93 EUR za všetky zdroje financovania.</w:t>
      </w:r>
    </w:p>
    <w:p w14:paraId="68C2297D" w14:textId="0434BC9D" w:rsidR="0059168D" w:rsidRPr="007B1CB9" w:rsidRDefault="0059168D" w:rsidP="007B1CB9">
      <w:pPr>
        <w:pStyle w:val="Odsekzoznamu"/>
        <w:spacing w:before="120" w:after="480" w:line="240" w:lineRule="auto"/>
        <w:ind w:left="0"/>
        <w:jc w:val="both"/>
        <w:rPr>
          <w:rFonts w:ascii="Arial" w:hAnsi="Arial" w:cs="Arial"/>
          <w:bCs/>
          <w:sz w:val="8"/>
        </w:rPr>
      </w:pPr>
      <w:r>
        <w:rPr>
          <w:rFonts w:ascii="Arial" w:hAnsi="Arial" w:cs="Arial"/>
          <w:bCs/>
          <w:sz w:val="20"/>
        </w:rPr>
        <w:t xml:space="preserve"> </w:t>
      </w:r>
    </w:p>
    <w:p w14:paraId="7BBE7CA5" w14:textId="55773161" w:rsidR="0059168D" w:rsidRDefault="007B1CB9" w:rsidP="0059168D">
      <w:pPr>
        <w:pStyle w:val="Odsekzoznamu"/>
        <w:spacing w:before="120" w:after="120" w:line="240" w:lineRule="auto"/>
        <w:ind w:left="0"/>
        <w:jc w:val="both"/>
        <w:rPr>
          <w:rFonts w:ascii="Arial" w:hAnsi="Arial" w:cs="Arial"/>
          <w:bCs/>
          <w:sz w:val="20"/>
        </w:rPr>
      </w:pPr>
      <w:r w:rsidRPr="00807178">
        <w:rPr>
          <w:rFonts w:ascii="Arial" w:hAnsi="Arial" w:cs="Arial"/>
          <w:sz w:val="20"/>
        </w:rPr>
        <w:t>Tabuľka č. 1</w:t>
      </w:r>
      <w:r>
        <w:rPr>
          <w:rFonts w:ascii="Arial" w:hAnsi="Arial" w:cs="Arial"/>
          <w:sz w:val="20"/>
        </w:rPr>
        <w:t>7</w:t>
      </w:r>
      <w:r w:rsidRPr="00807178">
        <w:rPr>
          <w:rFonts w:ascii="Arial" w:hAnsi="Arial" w:cs="Arial"/>
          <w:sz w:val="20"/>
        </w:rPr>
        <w:t xml:space="preserve">: Prehľad </w:t>
      </w:r>
      <w:r>
        <w:rPr>
          <w:rFonts w:ascii="Arial" w:hAnsi="Arial" w:cs="Arial"/>
          <w:sz w:val="20"/>
        </w:rPr>
        <w:t>finančných opráv</w:t>
      </w:r>
    </w:p>
    <w:tbl>
      <w:tblPr>
        <w:tblW w:w="914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70" w:type="dxa"/>
          <w:right w:w="70" w:type="dxa"/>
        </w:tblCellMar>
        <w:tblLook w:val="04A0" w:firstRow="1" w:lastRow="0" w:firstColumn="1" w:lastColumn="0" w:noHBand="0" w:noVBand="1"/>
      </w:tblPr>
      <w:tblGrid>
        <w:gridCol w:w="783"/>
        <w:gridCol w:w="1210"/>
        <w:gridCol w:w="1276"/>
        <w:gridCol w:w="1275"/>
        <w:gridCol w:w="1134"/>
        <w:gridCol w:w="1194"/>
        <w:gridCol w:w="1072"/>
        <w:gridCol w:w="1204"/>
      </w:tblGrid>
      <w:tr w:rsidR="0059168D" w:rsidRPr="00F97BAA" w14:paraId="7514AEB9" w14:textId="77777777" w:rsidTr="007B1CB9">
        <w:trPr>
          <w:trHeight w:val="300"/>
          <w:jc w:val="right"/>
        </w:trPr>
        <w:tc>
          <w:tcPr>
            <w:tcW w:w="783" w:type="dxa"/>
            <w:shd w:val="clear" w:color="auto" w:fill="C2D69B" w:themeFill="accent3" w:themeFillTint="99"/>
            <w:vAlign w:val="center"/>
            <w:hideMark/>
          </w:tcPr>
          <w:p w14:paraId="55C0B6C8" w14:textId="77777777" w:rsidR="0059168D" w:rsidRPr="00B74E3D" w:rsidRDefault="0059168D" w:rsidP="00CE7F78">
            <w:pPr>
              <w:rPr>
                <w:rFonts w:ascii="Arial" w:hAnsi="Arial" w:cs="Arial"/>
                <w:b/>
                <w:bCs/>
                <w:color w:val="000000"/>
                <w:sz w:val="16"/>
                <w:szCs w:val="16"/>
              </w:rPr>
            </w:pPr>
            <w:r w:rsidRPr="00B74E3D">
              <w:rPr>
                <w:rFonts w:ascii="Arial" w:hAnsi="Arial" w:cs="Arial"/>
                <w:b/>
                <w:bCs/>
                <w:color w:val="000000"/>
                <w:sz w:val="16"/>
                <w:szCs w:val="16"/>
              </w:rPr>
              <w:t>OP ŽP</w:t>
            </w:r>
          </w:p>
        </w:tc>
        <w:tc>
          <w:tcPr>
            <w:tcW w:w="1210" w:type="dxa"/>
            <w:shd w:val="clear" w:color="auto" w:fill="C2D69B" w:themeFill="accent3" w:themeFillTint="99"/>
            <w:vAlign w:val="center"/>
            <w:hideMark/>
          </w:tcPr>
          <w:p w14:paraId="5D3105C6" w14:textId="77777777" w:rsidR="0059168D" w:rsidRPr="00B74E3D" w:rsidRDefault="0059168D" w:rsidP="00CE7F78">
            <w:pPr>
              <w:jc w:val="center"/>
              <w:rPr>
                <w:rFonts w:ascii="Arial" w:hAnsi="Arial" w:cs="Arial"/>
                <w:b/>
                <w:bCs/>
                <w:color w:val="000000"/>
                <w:sz w:val="16"/>
                <w:szCs w:val="16"/>
              </w:rPr>
            </w:pPr>
            <w:r w:rsidRPr="00B74E3D">
              <w:rPr>
                <w:rFonts w:ascii="Arial" w:hAnsi="Arial" w:cs="Arial"/>
                <w:b/>
                <w:bCs/>
                <w:color w:val="000000"/>
                <w:sz w:val="16"/>
                <w:szCs w:val="16"/>
              </w:rPr>
              <w:t>2010</w:t>
            </w:r>
          </w:p>
        </w:tc>
        <w:tc>
          <w:tcPr>
            <w:tcW w:w="1276" w:type="dxa"/>
            <w:shd w:val="clear" w:color="auto" w:fill="C2D69B" w:themeFill="accent3" w:themeFillTint="99"/>
            <w:vAlign w:val="center"/>
            <w:hideMark/>
          </w:tcPr>
          <w:p w14:paraId="3CB76515" w14:textId="77777777" w:rsidR="0059168D" w:rsidRPr="00F97BAA" w:rsidRDefault="0059168D" w:rsidP="00CE7F78">
            <w:pPr>
              <w:jc w:val="center"/>
              <w:rPr>
                <w:rFonts w:ascii="Arial" w:hAnsi="Arial" w:cs="Arial"/>
                <w:b/>
                <w:bCs/>
                <w:color w:val="000000"/>
                <w:sz w:val="16"/>
                <w:szCs w:val="16"/>
              </w:rPr>
            </w:pPr>
            <w:r w:rsidRPr="00F97BAA">
              <w:rPr>
                <w:rFonts w:ascii="Arial" w:hAnsi="Arial" w:cs="Arial"/>
                <w:b/>
                <w:bCs/>
                <w:color w:val="000000"/>
                <w:sz w:val="16"/>
                <w:szCs w:val="16"/>
              </w:rPr>
              <w:t>2011</w:t>
            </w:r>
          </w:p>
        </w:tc>
        <w:tc>
          <w:tcPr>
            <w:tcW w:w="1275" w:type="dxa"/>
            <w:shd w:val="clear" w:color="auto" w:fill="C2D69B" w:themeFill="accent3" w:themeFillTint="99"/>
            <w:vAlign w:val="center"/>
            <w:hideMark/>
          </w:tcPr>
          <w:p w14:paraId="62AD9C89" w14:textId="77777777" w:rsidR="0059168D" w:rsidRPr="00F97BAA" w:rsidRDefault="0059168D" w:rsidP="00CE7F78">
            <w:pPr>
              <w:jc w:val="center"/>
              <w:rPr>
                <w:rFonts w:ascii="Arial" w:hAnsi="Arial" w:cs="Arial"/>
                <w:b/>
                <w:bCs/>
                <w:color w:val="000000"/>
                <w:sz w:val="16"/>
                <w:szCs w:val="16"/>
              </w:rPr>
            </w:pPr>
            <w:r w:rsidRPr="00F97BAA">
              <w:rPr>
                <w:rFonts w:ascii="Arial" w:hAnsi="Arial" w:cs="Arial"/>
                <w:b/>
                <w:bCs/>
                <w:color w:val="000000"/>
                <w:sz w:val="16"/>
                <w:szCs w:val="16"/>
              </w:rPr>
              <w:t>2012</w:t>
            </w:r>
          </w:p>
        </w:tc>
        <w:tc>
          <w:tcPr>
            <w:tcW w:w="1134" w:type="dxa"/>
            <w:shd w:val="clear" w:color="auto" w:fill="C2D69B" w:themeFill="accent3" w:themeFillTint="99"/>
            <w:vAlign w:val="center"/>
            <w:hideMark/>
          </w:tcPr>
          <w:p w14:paraId="395B1FAB" w14:textId="77777777" w:rsidR="0059168D" w:rsidRPr="00F97BAA" w:rsidRDefault="0059168D" w:rsidP="00CE7F78">
            <w:pPr>
              <w:jc w:val="center"/>
              <w:rPr>
                <w:rFonts w:ascii="Arial" w:hAnsi="Arial" w:cs="Arial"/>
                <w:b/>
                <w:bCs/>
                <w:color w:val="000000"/>
                <w:sz w:val="16"/>
                <w:szCs w:val="16"/>
              </w:rPr>
            </w:pPr>
            <w:r w:rsidRPr="00F97BAA">
              <w:rPr>
                <w:rFonts w:ascii="Arial" w:hAnsi="Arial" w:cs="Arial"/>
                <w:b/>
                <w:bCs/>
                <w:color w:val="000000"/>
                <w:sz w:val="16"/>
                <w:szCs w:val="16"/>
              </w:rPr>
              <w:t>2013</w:t>
            </w:r>
          </w:p>
        </w:tc>
        <w:tc>
          <w:tcPr>
            <w:tcW w:w="1194" w:type="dxa"/>
            <w:shd w:val="clear" w:color="auto" w:fill="C2D69B" w:themeFill="accent3" w:themeFillTint="99"/>
            <w:vAlign w:val="center"/>
            <w:hideMark/>
          </w:tcPr>
          <w:p w14:paraId="77DAAC2C" w14:textId="77777777" w:rsidR="0059168D" w:rsidRPr="00F97BAA" w:rsidRDefault="0059168D" w:rsidP="00CE7F78">
            <w:pPr>
              <w:jc w:val="center"/>
              <w:rPr>
                <w:rFonts w:ascii="Arial" w:hAnsi="Arial" w:cs="Arial"/>
                <w:b/>
                <w:bCs/>
                <w:color w:val="000000"/>
                <w:sz w:val="16"/>
                <w:szCs w:val="16"/>
              </w:rPr>
            </w:pPr>
            <w:r w:rsidRPr="00F97BAA">
              <w:rPr>
                <w:rFonts w:ascii="Arial" w:hAnsi="Arial" w:cs="Arial"/>
                <w:b/>
                <w:bCs/>
                <w:color w:val="000000"/>
                <w:sz w:val="16"/>
                <w:szCs w:val="16"/>
              </w:rPr>
              <w:t>2014</w:t>
            </w:r>
          </w:p>
        </w:tc>
        <w:tc>
          <w:tcPr>
            <w:tcW w:w="1072" w:type="dxa"/>
            <w:shd w:val="clear" w:color="auto" w:fill="C2D69B" w:themeFill="accent3" w:themeFillTint="99"/>
            <w:vAlign w:val="center"/>
            <w:hideMark/>
          </w:tcPr>
          <w:p w14:paraId="1B0C1803" w14:textId="77777777" w:rsidR="0059168D" w:rsidRPr="00F97BAA" w:rsidRDefault="0059168D" w:rsidP="00CE7F78">
            <w:pPr>
              <w:jc w:val="center"/>
              <w:rPr>
                <w:rFonts w:ascii="Arial" w:hAnsi="Arial" w:cs="Arial"/>
                <w:b/>
                <w:bCs/>
                <w:color w:val="000000"/>
                <w:sz w:val="16"/>
                <w:szCs w:val="16"/>
              </w:rPr>
            </w:pPr>
            <w:r w:rsidRPr="00F97BAA">
              <w:rPr>
                <w:rFonts w:ascii="Arial" w:hAnsi="Arial" w:cs="Arial"/>
                <w:b/>
                <w:bCs/>
                <w:color w:val="000000"/>
                <w:sz w:val="16"/>
                <w:szCs w:val="16"/>
              </w:rPr>
              <w:t>2015</w:t>
            </w:r>
          </w:p>
        </w:tc>
        <w:tc>
          <w:tcPr>
            <w:tcW w:w="1204" w:type="dxa"/>
            <w:shd w:val="clear" w:color="auto" w:fill="C2D69B" w:themeFill="accent3" w:themeFillTint="99"/>
            <w:vAlign w:val="center"/>
          </w:tcPr>
          <w:p w14:paraId="3A01E0AA" w14:textId="77777777" w:rsidR="0059168D" w:rsidRPr="00F97BAA" w:rsidRDefault="0059168D" w:rsidP="00CE7F78">
            <w:pPr>
              <w:jc w:val="center"/>
              <w:rPr>
                <w:rFonts w:ascii="Arial" w:hAnsi="Arial" w:cs="Arial"/>
                <w:b/>
                <w:bCs/>
                <w:color w:val="000000"/>
                <w:sz w:val="16"/>
                <w:szCs w:val="16"/>
              </w:rPr>
            </w:pPr>
            <w:r w:rsidRPr="00F97BAA">
              <w:rPr>
                <w:rFonts w:ascii="Arial" w:hAnsi="Arial" w:cs="Arial"/>
                <w:b/>
                <w:bCs/>
                <w:color w:val="000000"/>
                <w:sz w:val="16"/>
                <w:szCs w:val="16"/>
              </w:rPr>
              <w:t>Spolu</w:t>
            </w:r>
          </w:p>
        </w:tc>
      </w:tr>
      <w:tr w:rsidR="0059168D" w:rsidRPr="00F97BAA" w14:paraId="25A30314" w14:textId="77777777" w:rsidTr="007B1CB9">
        <w:trPr>
          <w:trHeight w:val="315"/>
          <w:jc w:val="right"/>
        </w:trPr>
        <w:tc>
          <w:tcPr>
            <w:tcW w:w="783" w:type="dxa"/>
            <w:shd w:val="clear" w:color="auto" w:fill="C2D69B" w:themeFill="accent3" w:themeFillTint="99"/>
            <w:vAlign w:val="center"/>
            <w:hideMark/>
          </w:tcPr>
          <w:p w14:paraId="357FEEA9" w14:textId="77777777" w:rsidR="0059168D" w:rsidRPr="00B74E3D" w:rsidRDefault="0059168D" w:rsidP="00CE7F78">
            <w:pPr>
              <w:rPr>
                <w:rFonts w:ascii="Arial" w:hAnsi="Arial" w:cs="Arial"/>
                <w:b/>
                <w:bCs/>
                <w:color w:val="000000"/>
                <w:sz w:val="16"/>
                <w:szCs w:val="16"/>
              </w:rPr>
            </w:pPr>
            <w:r w:rsidRPr="00B74E3D">
              <w:rPr>
                <w:rFonts w:ascii="Arial" w:hAnsi="Arial" w:cs="Arial"/>
                <w:b/>
                <w:bCs/>
                <w:color w:val="000000"/>
                <w:sz w:val="16"/>
                <w:szCs w:val="16"/>
              </w:rPr>
              <w:t>Suma</w:t>
            </w:r>
          </w:p>
        </w:tc>
        <w:tc>
          <w:tcPr>
            <w:tcW w:w="1210" w:type="dxa"/>
            <w:shd w:val="clear" w:color="auto" w:fill="auto"/>
            <w:noWrap/>
            <w:vAlign w:val="center"/>
            <w:hideMark/>
          </w:tcPr>
          <w:p w14:paraId="07F3A230" w14:textId="77777777" w:rsidR="0059168D" w:rsidRDefault="0059168D" w:rsidP="00CE7F78">
            <w:pPr>
              <w:jc w:val="center"/>
              <w:rPr>
                <w:rFonts w:ascii="Arial" w:hAnsi="Arial" w:cs="Arial"/>
                <w:bCs/>
                <w:color w:val="000000"/>
                <w:sz w:val="16"/>
                <w:szCs w:val="16"/>
              </w:rPr>
            </w:pPr>
          </w:p>
          <w:p w14:paraId="28A1C848" w14:textId="77777777" w:rsidR="0059168D" w:rsidRPr="005A0A13" w:rsidRDefault="0059168D" w:rsidP="00CE7F78">
            <w:pPr>
              <w:jc w:val="center"/>
              <w:rPr>
                <w:rFonts w:ascii="Arial" w:hAnsi="Arial" w:cs="Arial"/>
                <w:bCs/>
                <w:color w:val="000000"/>
                <w:sz w:val="16"/>
                <w:szCs w:val="16"/>
              </w:rPr>
            </w:pPr>
            <w:r w:rsidRPr="005A0A13">
              <w:rPr>
                <w:rFonts w:ascii="Arial" w:hAnsi="Arial" w:cs="Arial"/>
                <w:bCs/>
                <w:color w:val="000000"/>
                <w:sz w:val="16"/>
                <w:szCs w:val="16"/>
              </w:rPr>
              <w:t>40 557,07</w:t>
            </w:r>
          </w:p>
          <w:p w14:paraId="618D3883" w14:textId="77777777" w:rsidR="0059168D" w:rsidRPr="00B74E3D" w:rsidRDefault="0059168D" w:rsidP="00CE7F78">
            <w:pPr>
              <w:jc w:val="right"/>
              <w:rPr>
                <w:rFonts w:ascii="Arial" w:hAnsi="Arial" w:cs="Arial"/>
                <w:bCs/>
                <w:color w:val="000000"/>
                <w:sz w:val="16"/>
                <w:szCs w:val="16"/>
              </w:rPr>
            </w:pPr>
          </w:p>
        </w:tc>
        <w:tc>
          <w:tcPr>
            <w:tcW w:w="1276" w:type="dxa"/>
            <w:shd w:val="clear" w:color="auto" w:fill="auto"/>
            <w:noWrap/>
            <w:vAlign w:val="center"/>
            <w:hideMark/>
          </w:tcPr>
          <w:p w14:paraId="01BDE8F0" w14:textId="77777777" w:rsidR="0059168D" w:rsidRDefault="0059168D" w:rsidP="00CE7F78">
            <w:pPr>
              <w:jc w:val="center"/>
              <w:rPr>
                <w:rFonts w:ascii="Arial" w:hAnsi="Arial" w:cs="Arial"/>
                <w:bCs/>
                <w:color w:val="000000"/>
                <w:sz w:val="16"/>
                <w:szCs w:val="16"/>
              </w:rPr>
            </w:pPr>
          </w:p>
          <w:p w14:paraId="6D9DEF84" w14:textId="77777777" w:rsidR="0059168D" w:rsidRPr="005A0A13" w:rsidRDefault="0059168D" w:rsidP="00CE7F78">
            <w:pPr>
              <w:jc w:val="center"/>
              <w:rPr>
                <w:rFonts w:ascii="Arial" w:hAnsi="Arial" w:cs="Arial"/>
                <w:bCs/>
                <w:color w:val="000000"/>
                <w:sz w:val="16"/>
                <w:szCs w:val="16"/>
              </w:rPr>
            </w:pPr>
            <w:r w:rsidRPr="005A0A13">
              <w:rPr>
                <w:rFonts w:ascii="Arial" w:hAnsi="Arial" w:cs="Arial"/>
                <w:bCs/>
                <w:color w:val="000000"/>
                <w:sz w:val="16"/>
                <w:szCs w:val="16"/>
              </w:rPr>
              <w:t>321 495,11</w:t>
            </w:r>
          </w:p>
          <w:p w14:paraId="5EFA7ADD" w14:textId="77777777" w:rsidR="0059168D" w:rsidRPr="00B74E3D" w:rsidRDefault="0059168D" w:rsidP="00CE7F78">
            <w:pPr>
              <w:jc w:val="right"/>
              <w:rPr>
                <w:rFonts w:ascii="Arial" w:hAnsi="Arial" w:cs="Arial"/>
                <w:bCs/>
                <w:color w:val="000000"/>
                <w:sz w:val="16"/>
                <w:szCs w:val="16"/>
              </w:rPr>
            </w:pPr>
          </w:p>
        </w:tc>
        <w:tc>
          <w:tcPr>
            <w:tcW w:w="1275" w:type="dxa"/>
            <w:shd w:val="clear" w:color="auto" w:fill="auto"/>
            <w:noWrap/>
            <w:vAlign w:val="center"/>
            <w:hideMark/>
          </w:tcPr>
          <w:p w14:paraId="4A484E05" w14:textId="77777777" w:rsidR="0059168D" w:rsidRDefault="0059168D" w:rsidP="00CE7F78">
            <w:pPr>
              <w:jc w:val="center"/>
              <w:rPr>
                <w:rFonts w:ascii="Arial" w:hAnsi="Arial" w:cs="Arial"/>
                <w:bCs/>
                <w:color w:val="000000"/>
                <w:sz w:val="16"/>
                <w:szCs w:val="16"/>
              </w:rPr>
            </w:pPr>
          </w:p>
          <w:p w14:paraId="52E5F892" w14:textId="77777777" w:rsidR="0059168D" w:rsidRPr="005A0A13" w:rsidRDefault="0059168D" w:rsidP="00CE7F78">
            <w:pPr>
              <w:jc w:val="center"/>
              <w:rPr>
                <w:rFonts w:ascii="Arial" w:hAnsi="Arial" w:cs="Arial"/>
                <w:bCs/>
                <w:color w:val="000000"/>
                <w:sz w:val="16"/>
                <w:szCs w:val="16"/>
              </w:rPr>
            </w:pPr>
            <w:r w:rsidRPr="005A0A13">
              <w:rPr>
                <w:rFonts w:ascii="Arial" w:hAnsi="Arial" w:cs="Arial"/>
                <w:bCs/>
                <w:color w:val="000000"/>
                <w:sz w:val="16"/>
                <w:szCs w:val="16"/>
              </w:rPr>
              <w:t xml:space="preserve">13 870 </w:t>
            </w:r>
            <w:r>
              <w:rPr>
                <w:rFonts w:ascii="Arial" w:hAnsi="Arial" w:cs="Arial"/>
                <w:bCs/>
                <w:color w:val="000000"/>
                <w:sz w:val="16"/>
                <w:szCs w:val="16"/>
              </w:rPr>
              <w:t>4</w:t>
            </w:r>
            <w:r w:rsidRPr="005A0A13">
              <w:rPr>
                <w:rFonts w:ascii="Arial" w:hAnsi="Arial" w:cs="Arial"/>
                <w:bCs/>
                <w:color w:val="000000"/>
                <w:sz w:val="16"/>
                <w:szCs w:val="16"/>
              </w:rPr>
              <w:t>76,14</w:t>
            </w:r>
          </w:p>
          <w:p w14:paraId="5B7DE250" w14:textId="77777777" w:rsidR="0059168D" w:rsidRPr="00B74E3D" w:rsidRDefault="0059168D" w:rsidP="00CE7F78">
            <w:pPr>
              <w:jc w:val="right"/>
              <w:rPr>
                <w:rFonts w:ascii="Arial" w:hAnsi="Arial" w:cs="Arial"/>
                <w:bCs/>
                <w:color w:val="000000"/>
                <w:sz w:val="16"/>
                <w:szCs w:val="16"/>
              </w:rPr>
            </w:pPr>
          </w:p>
        </w:tc>
        <w:tc>
          <w:tcPr>
            <w:tcW w:w="1134" w:type="dxa"/>
            <w:shd w:val="clear" w:color="auto" w:fill="auto"/>
            <w:noWrap/>
            <w:vAlign w:val="center"/>
            <w:hideMark/>
          </w:tcPr>
          <w:p w14:paraId="075FF8C6" w14:textId="77777777" w:rsidR="0059168D" w:rsidRDefault="0059168D" w:rsidP="00CE7F78">
            <w:pPr>
              <w:jc w:val="center"/>
              <w:rPr>
                <w:rFonts w:ascii="Arial" w:hAnsi="Arial" w:cs="Arial"/>
                <w:bCs/>
                <w:color w:val="000000"/>
                <w:sz w:val="16"/>
                <w:szCs w:val="16"/>
              </w:rPr>
            </w:pPr>
          </w:p>
          <w:p w14:paraId="07D77204" w14:textId="77777777" w:rsidR="0059168D" w:rsidRPr="005A0A13" w:rsidRDefault="0059168D" w:rsidP="00CE7F78">
            <w:pPr>
              <w:jc w:val="center"/>
              <w:rPr>
                <w:rFonts w:ascii="Arial" w:hAnsi="Arial" w:cs="Arial"/>
                <w:bCs/>
                <w:color w:val="000000"/>
                <w:sz w:val="16"/>
                <w:szCs w:val="16"/>
              </w:rPr>
            </w:pPr>
            <w:r w:rsidRPr="005A0A13">
              <w:rPr>
                <w:rFonts w:ascii="Arial" w:hAnsi="Arial" w:cs="Arial"/>
                <w:bCs/>
                <w:color w:val="000000"/>
                <w:sz w:val="16"/>
                <w:szCs w:val="16"/>
              </w:rPr>
              <w:t>5 003 999,98</w:t>
            </w:r>
          </w:p>
          <w:p w14:paraId="6F3DABC3" w14:textId="77777777" w:rsidR="0059168D" w:rsidRPr="00B74E3D" w:rsidRDefault="0059168D" w:rsidP="00CE7F78">
            <w:pPr>
              <w:jc w:val="right"/>
              <w:rPr>
                <w:rFonts w:ascii="Arial" w:hAnsi="Arial" w:cs="Arial"/>
                <w:bCs/>
                <w:color w:val="000000"/>
                <w:sz w:val="16"/>
                <w:szCs w:val="16"/>
              </w:rPr>
            </w:pPr>
          </w:p>
        </w:tc>
        <w:tc>
          <w:tcPr>
            <w:tcW w:w="1194" w:type="dxa"/>
            <w:shd w:val="clear" w:color="auto" w:fill="auto"/>
            <w:noWrap/>
            <w:vAlign w:val="center"/>
            <w:hideMark/>
          </w:tcPr>
          <w:p w14:paraId="2BF34D67" w14:textId="77777777" w:rsidR="0059168D" w:rsidRDefault="0059168D" w:rsidP="00CE7F78">
            <w:pPr>
              <w:jc w:val="center"/>
              <w:rPr>
                <w:rFonts w:ascii="Arial" w:hAnsi="Arial" w:cs="Arial"/>
                <w:bCs/>
                <w:color w:val="000000"/>
                <w:sz w:val="16"/>
                <w:szCs w:val="16"/>
              </w:rPr>
            </w:pPr>
          </w:p>
          <w:p w14:paraId="2FED421C" w14:textId="77777777" w:rsidR="0059168D" w:rsidRPr="005A0A13" w:rsidRDefault="0059168D" w:rsidP="00CE7F78">
            <w:pPr>
              <w:jc w:val="center"/>
              <w:rPr>
                <w:rFonts w:ascii="Arial" w:hAnsi="Arial" w:cs="Arial"/>
                <w:bCs/>
                <w:color w:val="000000"/>
                <w:sz w:val="16"/>
                <w:szCs w:val="16"/>
              </w:rPr>
            </w:pPr>
            <w:r w:rsidRPr="005A0A13">
              <w:rPr>
                <w:rFonts w:ascii="Arial" w:hAnsi="Arial" w:cs="Arial"/>
                <w:bCs/>
                <w:color w:val="000000"/>
                <w:sz w:val="16"/>
                <w:szCs w:val="16"/>
              </w:rPr>
              <w:t>4 144 343,79</w:t>
            </w:r>
          </w:p>
          <w:p w14:paraId="3C0DEFE8" w14:textId="77777777" w:rsidR="0059168D" w:rsidRPr="00B74E3D" w:rsidRDefault="0059168D" w:rsidP="00CE7F78">
            <w:pPr>
              <w:jc w:val="right"/>
              <w:rPr>
                <w:rFonts w:ascii="Arial" w:hAnsi="Arial" w:cs="Arial"/>
                <w:bCs/>
                <w:color w:val="000000"/>
                <w:sz w:val="16"/>
                <w:szCs w:val="16"/>
              </w:rPr>
            </w:pPr>
          </w:p>
        </w:tc>
        <w:tc>
          <w:tcPr>
            <w:tcW w:w="1072" w:type="dxa"/>
            <w:shd w:val="clear" w:color="auto" w:fill="auto"/>
            <w:noWrap/>
            <w:vAlign w:val="center"/>
            <w:hideMark/>
          </w:tcPr>
          <w:p w14:paraId="7DB978E9" w14:textId="77777777" w:rsidR="0059168D" w:rsidRDefault="0059168D" w:rsidP="00CE7F78">
            <w:pPr>
              <w:jc w:val="center"/>
              <w:rPr>
                <w:rFonts w:ascii="Arial" w:hAnsi="Arial" w:cs="Arial"/>
                <w:bCs/>
                <w:color w:val="000000"/>
                <w:sz w:val="16"/>
                <w:szCs w:val="16"/>
              </w:rPr>
            </w:pPr>
          </w:p>
          <w:p w14:paraId="4F60767C" w14:textId="77777777" w:rsidR="0059168D" w:rsidRPr="005A0A13" w:rsidRDefault="0059168D" w:rsidP="00CE7F78">
            <w:pPr>
              <w:jc w:val="center"/>
              <w:rPr>
                <w:rFonts w:ascii="Arial" w:hAnsi="Arial" w:cs="Arial"/>
                <w:bCs/>
                <w:color w:val="000000"/>
                <w:sz w:val="16"/>
                <w:szCs w:val="16"/>
              </w:rPr>
            </w:pPr>
            <w:r w:rsidRPr="005A0A13">
              <w:rPr>
                <w:rFonts w:ascii="Arial" w:hAnsi="Arial" w:cs="Arial"/>
                <w:bCs/>
                <w:color w:val="000000"/>
                <w:sz w:val="16"/>
                <w:szCs w:val="16"/>
              </w:rPr>
              <w:t>516 660,84</w:t>
            </w:r>
          </w:p>
          <w:p w14:paraId="42AE45FE" w14:textId="77777777" w:rsidR="0059168D" w:rsidRPr="00B74E3D" w:rsidRDefault="0059168D" w:rsidP="00CE7F78">
            <w:pPr>
              <w:jc w:val="right"/>
              <w:rPr>
                <w:rFonts w:ascii="Arial" w:hAnsi="Arial" w:cs="Arial"/>
                <w:bCs/>
                <w:color w:val="000000"/>
                <w:sz w:val="16"/>
                <w:szCs w:val="16"/>
              </w:rPr>
            </w:pPr>
          </w:p>
        </w:tc>
        <w:tc>
          <w:tcPr>
            <w:tcW w:w="1204" w:type="dxa"/>
            <w:shd w:val="clear" w:color="auto" w:fill="auto"/>
            <w:vAlign w:val="center"/>
          </w:tcPr>
          <w:p w14:paraId="32BFFE09" w14:textId="77777777" w:rsidR="0059168D" w:rsidRDefault="0059168D" w:rsidP="00CE7F78">
            <w:pPr>
              <w:rPr>
                <w:rFonts w:ascii="Arial" w:hAnsi="Arial" w:cs="Arial"/>
                <w:bCs/>
                <w:color w:val="000000"/>
                <w:sz w:val="16"/>
                <w:szCs w:val="16"/>
              </w:rPr>
            </w:pPr>
          </w:p>
          <w:p w14:paraId="0A81742B" w14:textId="77777777" w:rsidR="0059168D" w:rsidRPr="00341E56" w:rsidRDefault="0059168D" w:rsidP="00CE7F78">
            <w:pPr>
              <w:rPr>
                <w:rFonts w:ascii="Arial" w:hAnsi="Arial" w:cs="Arial"/>
                <w:b/>
                <w:bCs/>
                <w:color w:val="000000"/>
                <w:sz w:val="16"/>
                <w:szCs w:val="16"/>
              </w:rPr>
            </w:pPr>
            <w:r w:rsidRPr="00341E56">
              <w:rPr>
                <w:rFonts w:ascii="Arial" w:hAnsi="Arial" w:cs="Arial"/>
                <w:b/>
                <w:bCs/>
                <w:color w:val="000000"/>
                <w:sz w:val="16"/>
                <w:szCs w:val="16"/>
              </w:rPr>
              <w:t xml:space="preserve">23 897 </w:t>
            </w:r>
            <w:r>
              <w:rPr>
                <w:rFonts w:ascii="Arial" w:hAnsi="Arial" w:cs="Arial"/>
                <w:b/>
                <w:bCs/>
                <w:color w:val="000000"/>
                <w:sz w:val="16"/>
                <w:szCs w:val="16"/>
              </w:rPr>
              <w:t>5</w:t>
            </w:r>
            <w:r w:rsidRPr="00341E56">
              <w:rPr>
                <w:rFonts w:ascii="Arial" w:hAnsi="Arial" w:cs="Arial"/>
                <w:b/>
                <w:bCs/>
                <w:color w:val="000000"/>
                <w:sz w:val="16"/>
                <w:szCs w:val="16"/>
              </w:rPr>
              <w:t>32,93</w:t>
            </w:r>
          </w:p>
          <w:p w14:paraId="23524162" w14:textId="77777777" w:rsidR="0059168D" w:rsidRPr="00F97BAA" w:rsidRDefault="0059168D" w:rsidP="00CE7F78">
            <w:pPr>
              <w:jc w:val="right"/>
              <w:rPr>
                <w:rFonts w:ascii="Arial" w:hAnsi="Arial" w:cs="Arial"/>
                <w:b/>
                <w:bCs/>
                <w:color w:val="000000"/>
                <w:sz w:val="16"/>
                <w:szCs w:val="16"/>
              </w:rPr>
            </w:pPr>
          </w:p>
        </w:tc>
      </w:tr>
    </w:tbl>
    <w:p w14:paraId="79B9CBC3" w14:textId="77777777" w:rsidR="0059168D" w:rsidRDefault="0059168D" w:rsidP="0059168D">
      <w:pPr>
        <w:jc w:val="both"/>
        <w:rPr>
          <w:rFonts w:ascii="Arial Narrow" w:hAnsi="Arial Narrow"/>
          <w:sz w:val="18"/>
          <w:szCs w:val="18"/>
        </w:rPr>
      </w:pPr>
      <w:r>
        <w:rPr>
          <w:rFonts w:ascii="Arial Narrow" w:hAnsi="Arial Narrow"/>
          <w:sz w:val="18"/>
          <w:szCs w:val="18"/>
        </w:rPr>
        <w:t>Zdroj: CO</w:t>
      </w:r>
    </w:p>
    <w:p w14:paraId="67CAEC34" w14:textId="77777777" w:rsidR="0059168D" w:rsidRDefault="0059168D" w:rsidP="0059168D">
      <w:pPr>
        <w:pStyle w:val="Odsekzoznamu"/>
        <w:spacing w:before="120" w:after="120" w:line="240" w:lineRule="auto"/>
        <w:ind w:left="0"/>
        <w:jc w:val="both"/>
        <w:rPr>
          <w:rFonts w:ascii="Arial" w:hAnsi="Arial" w:cs="Arial"/>
          <w:bCs/>
          <w:sz w:val="20"/>
        </w:rPr>
      </w:pPr>
      <w:r w:rsidRPr="00A9026A">
        <w:rPr>
          <w:rFonts w:ascii="Arial" w:hAnsi="Arial" w:cs="Arial"/>
          <w:bCs/>
          <w:sz w:val="20"/>
        </w:rPr>
        <w:t>Údaje k finančným opravám uplatneným za rok 2016 a v záverečnej žiadosti o platbu na EK budú doplnené dodatočne po spracovaní záverečného ročného výkazu podľa článku 20 nariadenia EK (ES) č. 1828/2006.</w:t>
      </w:r>
    </w:p>
    <w:p w14:paraId="604CDA47" w14:textId="54EA6343" w:rsidR="00F62BCC" w:rsidRPr="00EE50CC" w:rsidRDefault="00F62BCC" w:rsidP="00B632B6">
      <w:pPr>
        <w:spacing w:before="120" w:after="120"/>
        <w:jc w:val="both"/>
        <w:rPr>
          <w:rFonts w:ascii="Arial" w:hAnsi="Arial" w:cs="Arial"/>
          <w:b/>
          <w:sz w:val="20"/>
          <w:szCs w:val="20"/>
        </w:rPr>
      </w:pPr>
      <w:r w:rsidRPr="00EE50CC">
        <w:rPr>
          <w:rFonts w:ascii="Arial" w:hAnsi="Arial" w:cs="Arial"/>
          <w:b/>
          <w:sz w:val="20"/>
          <w:szCs w:val="20"/>
        </w:rPr>
        <w:t>k)</w:t>
      </w:r>
      <w:r w:rsidR="00DF6D90" w:rsidRPr="00EE50CC">
        <w:rPr>
          <w:rFonts w:ascii="Arial" w:hAnsi="Arial" w:cs="Arial"/>
          <w:b/>
          <w:sz w:val="20"/>
          <w:szCs w:val="20"/>
        </w:rPr>
        <w:t xml:space="preserve"> </w:t>
      </w:r>
      <w:r w:rsidRPr="00EE50CC">
        <w:rPr>
          <w:rFonts w:ascii="Arial" w:hAnsi="Arial" w:cs="Arial"/>
          <w:b/>
          <w:sz w:val="20"/>
          <w:szCs w:val="20"/>
        </w:rPr>
        <w:t>Popis využitia vrátenej alebo znovu použitej pomoci po zrušení pomoci podľa čl. 98 ods. 2 Nariadenia rady (ES) č. 1083/2006</w:t>
      </w:r>
    </w:p>
    <w:p w14:paraId="3A2609A5" w14:textId="58C08423" w:rsidR="00F62BCC" w:rsidRPr="00B632B6" w:rsidRDefault="00F62BCC" w:rsidP="00B632B6">
      <w:pPr>
        <w:spacing w:before="120" w:after="120"/>
        <w:jc w:val="both"/>
        <w:rPr>
          <w:rFonts w:ascii="Arial" w:hAnsi="Arial" w:cs="Arial"/>
          <w:sz w:val="20"/>
          <w:szCs w:val="20"/>
        </w:rPr>
      </w:pPr>
      <w:r w:rsidRPr="00EE50CC">
        <w:rPr>
          <w:rFonts w:ascii="Arial" w:hAnsi="Arial" w:cs="Arial"/>
          <w:sz w:val="20"/>
          <w:szCs w:val="20"/>
        </w:rPr>
        <w:t xml:space="preserve">Vrátené finančné prostriedky </w:t>
      </w:r>
      <w:r w:rsidR="00723D37" w:rsidRPr="00EE50CC">
        <w:rPr>
          <w:rFonts w:ascii="Arial" w:hAnsi="Arial" w:cs="Arial"/>
          <w:sz w:val="20"/>
          <w:szCs w:val="20"/>
        </w:rPr>
        <w:t>boli</w:t>
      </w:r>
      <w:r w:rsidRPr="00EE50CC">
        <w:rPr>
          <w:rFonts w:ascii="Arial" w:hAnsi="Arial" w:cs="Arial"/>
          <w:sz w:val="20"/>
          <w:szCs w:val="20"/>
        </w:rPr>
        <w:t xml:space="preserve"> využité na financovanie iných oprávnených projektov, nie na operácie, ktoré boli predmetom opravy.</w:t>
      </w:r>
    </w:p>
    <w:p w14:paraId="6323DF84" w14:textId="2E2EAB2A" w:rsidR="003F446D" w:rsidRPr="00123376" w:rsidRDefault="006C73A6" w:rsidP="00B632B6">
      <w:pPr>
        <w:spacing w:before="120" w:after="120"/>
        <w:jc w:val="both"/>
        <w:rPr>
          <w:rFonts w:ascii="Arial" w:hAnsi="Arial" w:cs="Arial"/>
          <w:b/>
          <w:sz w:val="20"/>
          <w:szCs w:val="20"/>
        </w:rPr>
      </w:pPr>
      <w:r w:rsidRPr="00B632B6">
        <w:rPr>
          <w:rFonts w:ascii="Arial" w:hAnsi="Arial" w:cs="Arial"/>
          <w:b/>
          <w:color w:val="000000"/>
          <w:sz w:val="20"/>
          <w:szCs w:val="16"/>
        </w:rPr>
        <w:t>l)</w:t>
      </w:r>
      <w:r w:rsidRPr="00B632B6">
        <w:rPr>
          <w:rFonts w:ascii="Arial" w:hAnsi="Arial" w:cs="Arial"/>
          <w:color w:val="000000"/>
          <w:sz w:val="20"/>
          <w:szCs w:val="16"/>
        </w:rPr>
        <w:t xml:space="preserve"> </w:t>
      </w:r>
      <w:r w:rsidR="003F446D" w:rsidRPr="00757EE1">
        <w:rPr>
          <w:rFonts w:ascii="Arial" w:hAnsi="Arial" w:cs="Arial"/>
          <w:b/>
          <w:sz w:val="20"/>
          <w:szCs w:val="20"/>
          <w:u w:val="single"/>
        </w:rPr>
        <w:tab/>
      </w:r>
      <w:r w:rsidR="003F446D" w:rsidRPr="00B632B6">
        <w:rPr>
          <w:rFonts w:ascii="Arial" w:hAnsi="Arial" w:cs="Arial"/>
          <w:b/>
          <w:sz w:val="20"/>
          <w:szCs w:val="20"/>
        </w:rPr>
        <w:t>Zoznam kontrol na mieste vykonaných RO</w:t>
      </w:r>
      <w:r w:rsidR="00577FB3" w:rsidRPr="00B632B6">
        <w:rPr>
          <w:rFonts w:ascii="Arial" w:hAnsi="Arial" w:cs="Arial"/>
          <w:b/>
          <w:sz w:val="20"/>
          <w:szCs w:val="20"/>
        </w:rPr>
        <w:t>/SORO</w:t>
      </w:r>
      <w:r w:rsidR="00493171" w:rsidRPr="00B632B6">
        <w:rPr>
          <w:rFonts w:ascii="Arial" w:hAnsi="Arial" w:cs="Arial"/>
          <w:b/>
          <w:sz w:val="20"/>
          <w:szCs w:val="20"/>
        </w:rPr>
        <w:t xml:space="preserve"> </w:t>
      </w:r>
      <w:r w:rsidR="003F446D" w:rsidRPr="00B632B6">
        <w:rPr>
          <w:rFonts w:ascii="Arial" w:hAnsi="Arial" w:cs="Arial"/>
          <w:b/>
          <w:sz w:val="20"/>
          <w:szCs w:val="20"/>
        </w:rPr>
        <w:t xml:space="preserve">v roku </w:t>
      </w:r>
      <w:r w:rsidR="00BD4002" w:rsidRPr="00B632B6">
        <w:rPr>
          <w:rFonts w:ascii="Arial" w:hAnsi="Arial" w:cs="Arial"/>
          <w:b/>
          <w:sz w:val="20"/>
          <w:szCs w:val="20"/>
        </w:rPr>
        <w:t>201</w:t>
      </w:r>
      <w:r w:rsidR="002B56BD" w:rsidRPr="00B632B6">
        <w:rPr>
          <w:rFonts w:ascii="Arial" w:hAnsi="Arial" w:cs="Arial"/>
          <w:b/>
          <w:sz w:val="20"/>
          <w:szCs w:val="20"/>
        </w:rPr>
        <w:t>5 a 2016</w:t>
      </w:r>
    </w:p>
    <w:p w14:paraId="4190992D" w14:textId="77777777" w:rsidR="00EA4DD3" w:rsidRDefault="00080D5E" w:rsidP="00080D5E">
      <w:pPr>
        <w:spacing w:before="120" w:after="120"/>
        <w:jc w:val="both"/>
        <w:rPr>
          <w:rFonts w:ascii="Arial" w:hAnsi="Arial" w:cs="Arial"/>
          <w:sz w:val="20"/>
          <w:szCs w:val="20"/>
        </w:rPr>
      </w:pPr>
      <w:r w:rsidRPr="002526CC">
        <w:rPr>
          <w:rFonts w:ascii="Arial" w:hAnsi="Arial" w:cs="Arial"/>
          <w:sz w:val="20"/>
          <w:szCs w:val="20"/>
        </w:rPr>
        <w:t xml:space="preserve">Súčasť finančnej kontroly projektu ako celku tvorí </w:t>
      </w:r>
      <w:r w:rsidR="00F06929">
        <w:rPr>
          <w:rFonts w:ascii="Arial" w:hAnsi="Arial" w:cs="Arial"/>
          <w:sz w:val="20"/>
          <w:szCs w:val="20"/>
        </w:rPr>
        <w:t xml:space="preserve">aj </w:t>
      </w:r>
      <w:r w:rsidRPr="002526CC">
        <w:rPr>
          <w:rFonts w:ascii="Arial" w:hAnsi="Arial" w:cs="Arial"/>
          <w:sz w:val="20"/>
          <w:szCs w:val="20"/>
        </w:rPr>
        <w:t>kontrola na mieste, ktorá sa vykonáva</w:t>
      </w:r>
      <w:r>
        <w:rPr>
          <w:rFonts w:ascii="Arial" w:hAnsi="Arial" w:cs="Arial"/>
          <w:sz w:val="20"/>
          <w:szCs w:val="20"/>
        </w:rPr>
        <w:t>la</w:t>
      </w:r>
      <w:r w:rsidRPr="002526CC">
        <w:rPr>
          <w:rFonts w:ascii="Arial" w:hAnsi="Arial" w:cs="Arial"/>
          <w:sz w:val="20"/>
          <w:szCs w:val="20"/>
        </w:rPr>
        <w:t xml:space="preserve"> za účelom zabezpečenia efektívneho finančného manažmentu prostriedkov poskytovaných z ERDF</w:t>
      </w:r>
      <w:r w:rsidRPr="00E21C60">
        <w:rPr>
          <w:rFonts w:ascii="Arial" w:hAnsi="Arial" w:cs="Arial"/>
          <w:sz w:val="20"/>
          <w:szCs w:val="20"/>
        </w:rPr>
        <w:t>/KF a štátneho</w:t>
      </w:r>
      <w:r>
        <w:rPr>
          <w:rFonts w:ascii="Arial" w:hAnsi="Arial" w:cs="Arial"/>
          <w:sz w:val="20"/>
          <w:szCs w:val="20"/>
        </w:rPr>
        <w:t xml:space="preserve"> rozpočtu SR.</w:t>
      </w:r>
    </w:p>
    <w:p w14:paraId="3E8C281F" w14:textId="3E6FE2E4" w:rsidR="00080D5E" w:rsidRPr="00E21C60" w:rsidRDefault="00080D5E" w:rsidP="00080D5E">
      <w:pPr>
        <w:spacing w:before="120" w:after="120"/>
        <w:jc w:val="both"/>
        <w:rPr>
          <w:rFonts w:ascii="Arial" w:hAnsi="Arial" w:cs="Arial"/>
          <w:sz w:val="20"/>
          <w:szCs w:val="20"/>
        </w:rPr>
      </w:pPr>
      <w:r>
        <w:rPr>
          <w:rFonts w:ascii="Arial" w:hAnsi="Arial" w:cs="Arial"/>
          <w:sz w:val="20"/>
          <w:szCs w:val="20"/>
        </w:rPr>
        <w:lastRenderedPageBreak/>
        <w:t>Každý projekt musel</w:t>
      </w:r>
      <w:r w:rsidRPr="00E21C60">
        <w:rPr>
          <w:rFonts w:ascii="Arial" w:hAnsi="Arial" w:cs="Arial"/>
          <w:sz w:val="20"/>
          <w:szCs w:val="20"/>
        </w:rPr>
        <w:t xml:space="preserve"> byť predmetom kontroly na mieste minimálne jedenkrát počas jeho realizácie, najneskôr však pred</w:t>
      </w:r>
      <w:r>
        <w:rPr>
          <w:rFonts w:ascii="Arial" w:hAnsi="Arial" w:cs="Arial"/>
          <w:sz w:val="20"/>
          <w:szCs w:val="20"/>
        </w:rPr>
        <w:t xml:space="preserve"> uhradením záverečnej ŽoP. RO je</w:t>
      </w:r>
      <w:r w:rsidRPr="00E21C60">
        <w:rPr>
          <w:rFonts w:ascii="Arial" w:hAnsi="Arial" w:cs="Arial"/>
          <w:sz w:val="20"/>
          <w:szCs w:val="20"/>
        </w:rPr>
        <w:t xml:space="preserve"> povinný vykonať minimálne jedenkrát kontrolu na mieste aj po skončení realizácie projektu, a to najneskôr do dňa uplynutia účinnosti Zmluvy o poskytnutí NFP.</w:t>
      </w:r>
    </w:p>
    <w:p w14:paraId="21EBF2F2" w14:textId="730BCAC2" w:rsidR="00080D5E" w:rsidRPr="00E21C60" w:rsidRDefault="00080D5E" w:rsidP="00080D5E">
      <w:pPr>
        <w:spacing w:before="120" w:after="120"/>
        <w:jc w:val="both"/>
        <w:rPr>
          <w:rFonts w:ascii="Arial" w:hAnsi="Arial" w:cs="Arial"/>
          <w:sz w:val="20"/>
          <w:szCs w:val="20"/>
        </w:rPr>
      </w:pPr>
      <w:r w:rsidRPr="00E21C60">
        <w:rPr>
          <w:rFonts w:ascii="Arial" w:hAnsi="Arial" w:cs="Arial"/>
          <w:sz w:val="20"/>
          <w:szCs w:val="20"/>
        </w:rPr>
        <w:t xml:space="preserve">Cieľom kontroly realizácie projektu na mieste </w:t>
      </w:r>
      <w:r w:rsidR="00EA4DD3">
        <w:rPr>
          <w:rFonts w:ascii="Arial" w:hAnsi="Arial" w:cs="Arial"/>
          <w:sz w:val="20"/>
          <w:szCs w:val="20"/>
        </w:rPr>
        <w:t>bolo</w:t>
      </w:r>
      <w:r w:rsidRPr="00E21C60">
        <w:rPr>
          <w:rFonts w:ascii="Arial" w:hAnsi="Arial" w:cs="Arial"/>
          <w:sz w:val="20"/>
          <w:szCs w:val="20"/>
        </w:rPr>
        <w:t xml:space="preserve"> skontrolovať reálne (skutočné) dodanie tovarov, vykonanie prác a poskytnutie služieb deklarovaných na účtovných dokladoch a podpornej dokumentácie predložených prijímateľom spolu so žiadosťou o platbu v súlade so Zmluvou o poskytnutí NFP, resp. s dokumentmi, na ktoré sa daná zmluva o poskytnutí NFP odvoláva.</w:t>
      </w:r>
    </w:p>
    <w:p w14:paraId="27CD0DB4" w14:textId="70307D7E" w:rsidR="00080D5E" w:rsidRPr="00B632B6" w:rsidRDefault="00080D5E" w:rsidP="00B632B6">
      <w:pPr>
        <w:spacing w:before="120" w:after="120"/>
        <w:jc w:val="both"/>
        <w:rPr>
          <w:rFonts w:ascii="Arial" w:hAnsi="Arial" w:cs="Arial"/>
          <w:sz w:val="20"/>
          <w:szCs w:val="20"/>
        </w:rPr>
      </w:pPr>
      <w:r w:rsidRPr="00E21C60">
        <w:rPr>
          <w:rFonts w:ascii="Arial" w:hAnsi="Arial" w:cs="Arial"/>
          <w:sz w:val="20"/>
          <w:szCs w:val="20"/>
        </w:rPr>
        <w:t xml:space="preserve">V roku </w:t>
      </w:r>
      <w:r>
        <w:rPr>
          <w:rFonts w:ascii="Arial" w:hAnsi="Arial" w:cs="Arial"/>
          <w:sz w:val="20"/>
          <w:szCs w:val="20"/>
        </w:rPr>
        <w:t xml:space="preserve">2015 a 2016 </w:t>
      </w:r>
      <w:r w:rsidRPr="00E21C60">
        <w:rPr>
          <w:rFonts w:ascii="Arial" w:hAnsi="Arial" w:cs="Arial"/>
          <w:sz w:val="20"/>
          <w:szCs w:val="20"/>
        </w:rPr>
        <w:t>RO</w:t>
      </w:r>
      <w:r>
        <w:rPr>
          <w:rFonts w:ascii="Arial" w:hAnsi="Arial" w:cs="Arial"/>
          <w:sz w:val="20"/>
          <w:szCs w:val="20"/>
        </w:rPr>
        <w:t>/SORO</w:t>
      </w:r>
      <w:r w:rsidRPr="00E21C60">
        <w:rPr>
          <w:rFonts w:ascii="Arial" w:hAnsi="Arial" w:cs="Arial"/>
          <w:sz w:val="20"/>
          <w:szCs w:val="20"/>
        </w:rPr>
        <w:t xml:space="preserve"> vykonal </w:t>
      </w:r>
      <w:r>
        <w:rPr>
          <w:rFonts w:ascii="Arial" w:hAnsi="Arial" w:cs="Arial"/>
          <w:sz w:val="20"/>
          <w:szCs w:val="20"/>
        </w:rPr>
        <w:t xml:space="preserve">875 </w:t>
      </w:r>
      <w:r w:rsidRPr="00E21C60">
        <w:rPr>
          <w:rFonts w:ascii="Arial" w:hAnsi="Arial" w:cs="Arial"/>
          <w:sz w:val="20"/>
          <w:szCs w:val="20"/>
        </w:rPr>
        <w:t>kontrol na mieste</w:t>
      </w:r>
      <w:r>
        <w:rPr>
          <w:rFonts w:ascii="Arial" w:hAnsi="Arial" w:cs="Arial"/>
          <w:sz w:val="20"/>
          <w:szCs w:val="20"/>
        </w:rPr>
        <w:t xml:space="preserve">. </w:t>
      </w:r>
      <w:r w:rsidRPr="00E21C60">
        <w:rPr>
          <w:rFonts w:ascii="Arial" w:hAnsi="Arial" w:cs="Arial"/>
          <w:sz w:val="20"/>
          <w:szCs w:val="20"/>
        </w:rPr>
        <w:t>Kompletný zoznam kontrol na mieste vykonaných RO</w:t>
      </w:r>
      <w:r>
        <w:rPr>
          <w:rFonts w:ascii="Arial" w:hAnsi="Arial" w:cs="Arial"/>
          <w:sz w:val="20"/>
          <w:szCs w:val="20"/>
        </w:rPr>
        <w:t>/SORO</w:t>
      </w:r>
      <w:r w:rsidRPr="00E21C60">
        <w:rPr>
          <w:rFonts w:ascii="Arial" w:hAnsi="Arial" w:cs="Arial"/>
          <w:sz w:val="20"/>
          <w:szCs w:val="20"/>
        </w:rPr>
        <w:t xml:space="preserve"> v roku </w:t>
      </w:r>
      <w:r>
        <w:rPr>
          <w:rFonts w:ascii="Arial" w:hAnsi="Arial" w:cs="Arial"/>
          <w:sz w:val="20"/>
          <w:szCs w:val="20"/>
        </w:rPr>
        <w:t xml:space="preserve">2015 a 2016 </w:t>
      </w:r>
      <w:r w:rsidRPr="00E21C60">
        <w:rPr>
          <w:rFonts w:ascii="Arial" w:hAnsi="Arial" w:cs="Arial"/>
          <w:sz w:val="20"/>
          <w:szCs w:val="20"/>
        </w:rPr>
        <w:t>spolu s termínmi, prijatými opatreniami a odpočtami je uvedený v Prílohe č. 5</w:t>
      </w:r>
      <w:r w:rsidR="00B632B6">
        <w:rPr>
          <w:rFonts w:ascii="Arial" w:hAnsi="Arial" w:cs="Arial"/>
          <w:sz w:val="20"/>
          <w:szCs w:val="20"/>
        </w:rPr>
        <w:t>.</w:t>
      </w:r>
    </w:p>
    <w:p w14:paraId="00936891" w14:textId="77777777" w:rsidR="00080D5E" w:rsidRPr="005430B5" w:rsidRDefault="00080D5E" w:rsidP="00080D5E">
      <w:pPr>
        <w:jc w:val="both"/>
        <w:rPr>
          <w:rFonts w:ascii="Arial" w:hAnsi="Arial" w:cs="Arial"/>
          <w:sz w:val="20"/>
          <w:szCs w:val="20"/>
        </w:rPr>
      </w:pPr>
      <w:r w:rsidRPr="00573B9F">
        <w:rPr>
          <w:rFonts w:ascii="Arial" w:hAnsi="Arial" w:cs="Arial"/>
          <w:sz w:val="20"/>
          <w:szCs w:val="20"/>
        </w:rPr>
        <w:t>Medzi najčastejšie vyskytujúce zistenia identifikované počas výkonu KnM možno</w:t>
      </w:r>
      <w:r w:rsidRPr="005430B5">
        <w:rPr>
          <w:rFonts w:ascii="Arial" w:hAnsi="Arial" w:cs="Arial"/>
          <w:sz w:val="20"/>
          <w:szCs w:val="20"/>
        </w:rPr>
        <w:t xml:space="preserve"> charakterizovať zistenia týkajúce sa:</w:t>
      </w:r>
    </w:p>
    <w:p w14:paraId="321F42AA" w14:textId="77777777" w:rsidR="00080D5E" w:rsidRDefault="00080D5E" w:rsidP="00080D5E">
      <w:pPr>
        <w:numPr>
          <w:ilvl w:val="0"/>
          <w:numId w:val="63"/>
        </w:numPr>
        <w:jc w:val="both"/>
        <w:rPr>
          <w:rFonts w:ascii="Arial" w:hAnsi="Arial" w:cs="Arial"/>
          <w:sz w:val="20"/>
          <w:szCs w:val="20"/>
        </w:rPr>
      </w:pPr>
      <w:r w:rsidRPr="005430B5">
        <w:rPr>
          <w:rFonts w:ascii="Arial" w:hAnsi="Arial" w:cs="Arial"/>
          <w:sz w:val="20"/>
          <w:szCs w:val="20"/>
        </w:rPr>
        <w:t>porušenia povinnosť prijímateľa poistiť, resp. zabezpečiť poistenie majetku obstaraného alebo zhodnoteného z</w:t>
      </w:r>
      <w:r>
        <w:rPr>
          <w:rFonts w:ascii="Arial" w:hAnsi="Arial" w:cs="Arial"/>
          <w:sz w:val="20"/>
          <w:szCs w:val="20"/>
        </w:rPr>
        <w:t> </w:t>
      </w:r>
      <w:r w:rsidRPr="005430B5">
        <w:rPr>
          <w:rFonts w:ascii="Arial" w:hAnsi="Arial" w:cs="Arial"/>
          <w:sz w:val="20"/>
          <w:szCs w:val="20"/>
        </w:rPr>
        <w:t>NFP</w:t>
      </w:r>
      <w:r>
        <w:rPr>
          <w:rFonts w:ascii="Arial" w:hAnsi="Arial" w:cs="Arial"/>
          <w:sz w:val="20"/>
          <w:szCs w:val="20"/>
        </w:rPr>
        <w:t>,</w:t>
      </w:r>
    </w:p>
    <w:p w14:paraId="744D523E" w14:textId="6560203D" w:rsidR="00080D5E" w:rsidRDefault="00080D5E" w:rsidP="00080D5E">
      <w:pPr>
        <w:numPr>
          <w:ilvl w:val="0"/>
          <w:numId w:val="63"/>
        </w:numPr>
        <w:jc w:val="both"/>
        <w:rPr>
          <w:rFonts w:ascii="Arial" w:hAnsi="Arial" w:cs="Arial"/>
          <w:sz w:val="20"/>
          <w:szCs w:val="20"/>
        </w:rPr>
      </w:pPr>
      <w:r>
        <w:rPr>
          <w:rFonts w:ascii="Arial" w:hAnsi="Arial" w:cs="Arial"/>
          <w:sz w:val="20"/>
          <w:szCs w:val="20"/>
        </w:rPr>
        <w:t>chyb v účtovníctve a uchovávaní účtovnej evidencie,</w:t>
      </w:r>
    </w:p>
    <w:p w14:paraId="5558FBBC" w14:textId="5902BE28" w:rsidR="00080D5E" w:rsidRPr="005430B5" w:rsidRDefault="00080D5E" w:rsidP="00080D5E">
      <w:pPr>
        <w:numPr>
          <w:ilvl w:val="0"/>
          <w:numId w:val="63"/>
        </w:numPr>
        <w:jc w:val="both"/>
        <w:rPr>
          <w:rFonts w:ascii="Arial" w:hAnsi="Arial" w:cs="Arial"/>
          <w:sz w:val="20"/>
          <w:szCs w:val="20"/>
        </w:rPr>
      </w:pPr>
      <w:r>
        <w:rPr>
          <w:rFonts w:ascii="Arial" w:hAnsi="Arial" w:cs="Arial"/>
          <w:sz w:val="20"/>
          <w:szCs w:val="20"/>
        </w:rPr>
        <w:t>nepredložen</w:t>
      </w:r>
      <w:r w:rsidR="00EA4DD3">
        <w:rPr>
          <w:rFonts w:ascii="Arial" w:hAnsi="Arial" w:cs="Arial"/>
          <w:sz w:val="20"/>
          <w:szCs w:val="20"/>
        </w:rPr>
        <w:t>ie</w:t>
      </w:r>
      <w:r>
        <w:rPr>
          <w:rFonts w:ascii="Arial" w:hAnsi="Arial" w:cs="Arial"/>
          <w:sz w:val="20"/>
          <w:szCs w:val="20"/>
        </w:rPr>
        <w:t xml:space="preserve"> dodac</w:t>
      </w:r>
      <w:r w:rsidR="00EA4DD3">
        <w:rPr>
          <w:rFonts w:ascii="Arial" w:hAnsi="Arial" w:cs="Arial"/>
          <w:sz w:val="20"/>
          <w:szCs w:val="20"/>
        </w:rPr>
        <w:t>ích</w:t>
      </w:r>
      <w:r>
        <w:rPr>
          <w:rFonts w:ascii="Arial" w:hAnsi="Arial" w:cs="Arial"/>
          <w:sz w:val="20"/>
          <w:szCs w:val="20"/>
        </w:rPr>
        <w:t xml:space="preserve"> list</w:t>
      </w:r>
      <w:r w:rsidR="00EA4DD3">
        <w:rPr>
          <w:rFonts w:ascii="Arial" w:hAnsi="Arial" w:cs="Arial"/>
          <w:sz w:val="20"/>
          <w:szCs w:val="20"/>
        </w:rPr>
        <w:t>ov</w:t>
      </w:r>
      <w:r>
        <w:rPr>
          <w:rFonts w:ascii="Arial" w:hAnsi="Arial" w:cs="Arial"/>
          <w:sz w:val="20"/>
          <w:szCs w:val="20"/>
        </w:rPr>
        <w:t>/záručn</w:t>
      </w:r>
      <w:r w:rsidR="00EA4DD3">
        <w:rPr>
          <w:rFonts w:ascii="Arial" w:hAnsi="Arial" w:cs="Arial"/>
          <w:sz w:val="20"/>
          <w:szCs w:val="20"/>
        </w:rPr>
        <w:t>ých</w:t>
      </w:r>
      <w:r>
        <w:rPr>
          <w:rFonts w:ascii="Arial" w:hAnsi="Arial" w:cs="Arial"/>
          <w:sz w:val="20"/>
          <w:szCs w:val="20"/>
        </w:rPr>
        <w:t xml:space="preserve"> list</w:t>
      </w:r>
      <w:r w:rsidR="00EA4DD3">
        <w:rPr>
          <w:rFonts w:ascii="Arial" w:hAnsi="Arial" w:cs="Arial"/>
          <w:sz w:val="20"/>
          <w:szCs w:val="20"/>
        </w:rPr>
        <w:t>ov</w:t>
      </w:r>
      <w:r>
        <w:rPr>
          <w:rFonts w:ascii="Arial" w:hAnsi="Arial" w:cs="Arial"/>
          <w:sz w:val="20"/>
          <w:szCs w:val="20"/>
        </w:rPr>
        <w:t xml:space="preserve"> k fakturovaným materiálom,</w:t>
      </w:r>
    </w:p>
    <w:p w14:paraId="51BE5069" w14:textId="69792849" w:rsidR="00080D5E" w:rsidRDefault="00080D5E" w:rsidP="00080D5E">
      <w:pPr>
        <w:numPr>
          <w:ilvl w:val="0"/>
          <w:numId w:val="63"/>
        </w:numPr>
        <w:jc w:val="both"/>
        <w:rPr>
          <w:rFonts w:ascii="Arial" w:hAnsi="Arial" w:cs="Arial"/>
          <w:sz w:val="20"/>
          <w:szCs w:val="20"/>
        </w:rPr>
      </w:pPr>
      <w:r w:rsidRPr="005430B5">
        <w:rPr>
          <w:rFonts w:ascii="Arial" w:hAnsi="Arial" w:cs="Arial"/>
          <w:sz w:val="20"/>
          <w:szCs w:val="20"/>
        </w:rPr>
        <w:t>zvereni</w:t>
      </w:r>
      <w:r w:rsidR="00EA4DD3">
        <w:rPr>
          <w:rFonts w:ascii="Arial" w:hAnsi="Arial" w:cs="Arial"/>
          <w:sz w:val="20"/>
          <w:szCs w:val="20"/>
        </w:rPr>
        <w:t>a</w:t>
      </w:r>
      <w:r w:rsidRPr="005430B5">
        <w:rPr>
          <w:rFonts w:ascii="Arial" w:hAnsi="Arial" w:cs="Arial"/>
          <w:sz w:val="20"/>
          <w:szCs w:val="20"/>
        </w:rPr>
        <w:t xml:space="preserve"> majetku obstaraného alebo zhodnotené z NFP počas platnosti a účinnosti zmluvy do prevádzky tretej osobe bez predchá</w:t>
      </w:r>
      <w:r>
        <w:rPr>
          <w:rFonts w:ascii="Arial" w:hAnsi="Arial" w:cs="Arial"/>
          <w:sz w:val="20"/>
          <w:szCs w:val="20"/>
        </w:rPr>
        <w:t>dzajúceho súhlasu poskytovateľa a</w:t>
      </w:r>
    </w:p>
    <w:p w14:paraId="0D1FA251" w14:textId="0BD25510" w:rsidR="00080D5E" w:rsidRPr="005430B5" w:rsidRDefault="00080D5E" w:rsidP="00080D5E">
      <w:pPr>
        <w:numPr>
          <w:ilvl w:val="0"/>
          <w:numId w:val="63"/>
        </w:numPr>
        <w:jc w:val="both"/>
        <w:rPr>
          <w:rFonts w:ascii="Arial" w:hAnsi="Arial" w:cs="Arial"/>
          <w:sz w:val="20"/>
          <w:szCs w:val="20"/>
        </w:rPr>
      </w:pPr>
      <w:r>
        <w:rPr>
          <w:rFonts w:ascii="Arial" w:hAnsi="Arial" w:cs="Arial"/>
          <w:sz w:val="20"/>
          <w:szCs w:val="20"/>
        </w:rPr>
        <w:t>nezabezpeč</w:t>
      </w:r>
      <w:r w:rsidR="00EA4DD3">
        <w:rPr>
          <w:rFonts w:ascii="Arial" w:hAnsi="Arial" w:cs="Arial"/>
          <w:sz w:val="20"/>
          <w:szCs w:val="20"/>
        </w:rPr>
        <w:t>enie</w:t>
      </w:r>
      <w:r w:rsidR="00221C6C">
        <w:rPr>
          <w:rFonts w:ascii="Arial" w:hAnsi="Arial" w:cs="Arial"/>
          <w:sz w:val="20"/>
          <w:szCs w:val="20"/>
        </w:rPr>
        <w:t xml:space="preserve"> opatrení v oblasti informovania a publicity počas </w:t>
      </w:r>
      <w:r>
        <w:rPr>
          <w:rFonts w:ascii="Arial" w:hAnsi="Arial" w:cs="Arial"/>
          <w:sz w:val="20"/>
          <w:szCs w:val="20"/>
        </w:rPr>
        <w:t>celej doby realizácie aktivít projektu.</w:t>
      </w:r>
    </w:p>
    <w:p w14:paraId="7297F6EA" w14:textId="65028D78" w:rsidR="003F446D" w:rsidRPr="00123376" w:rsidRDefault="007901C8" w:rsidP="00B632B6">
      <w:pPr>
        <w:spacing w:before="120" w:after="120"/>
        <w:jc w:val="both"/>
        <w:rPr>
          <w:rFonts w:ascii="Arial" w:hAnsi="Arial" w:cs="Arial"/>
          <w:b/>
          <w:sz w:val="20"/>
          <w:szCs w:val="20"/>
        </w:rPr>
      </w:pPr>
      <w:r>
        <w:rPr>
          <w:rFonts w:ascii="Arial" w:hAnsi="Arial" w:cs="Arial"/>
          <w:b/>
          <w:sz w:val="20"/>
          <w:szCs w:val="20"/>
        </w:rPr>
        <w:t xml:space="preserve">m) </w:t>
      </w:r>
      <w:r w:rsidR="003F446D" w:rsidRPr="00123376">
        <w:rPr>
          <w:rFonts w:ascii="Arial" w:hAnsi="Arial" w:cs="Arial"/>
          <w:b/>
          <w:sz w:val="20"/>
          <w:szCs w:val="20"/>
        </w:rPr>
        <w:t>Informácie o dodržiavaní lehôt v procesoch spracovávania ŽoP</w:t>
      </w:r>
    </w:p>
    <w:p w14:paraId="1492B7BC" w14:textId="69A9F68C" w:rsidR="00796058" w:rsidRPr="00021D46" w:rsidRDefault="001C539A" w:rsidP="00021D46">
      <w:pPr>
        <w:jc w:val="both"/>
        <w:rPr>
          <w:rFonts w:eastAsia="Calibri"/>
        </w:rPr>
      </w:pPr>
      <w:r>
        <w:rPr>
          <w:rFonts w:ascii="Arial" w:hAnsi="Arial" w:cs="Arial"/>
          <w:sz w:val="20"/>
          <w:szCs w:val="20"/>
        </w:rPr>
        <w:t>K 31.10.2016</w:t>
      </w:r>
      <w:r w:rsidR="00BD4002" w:rsidRPr="00B75885">
        <w:rPr>
          <w:rFonts w:ascii="Arial" w:hAnsi="Arial" w:cs="Arial"/>
          <w:sz w:val="20"/>
          <w:szCs w:val="20"/>
        </w:rPr>
        <w:t xml:space="preserve"> bolo na RO prijatých </w:t>
      </w:r>
      <w:r>
        <w:rPr>
          <w:rFonts w:ascii="Arial" w:hAnsi="Arial" w:cs="Arial"/>
          <w:sz w:val="20"/>
          <w:szCs w:val="20"/>
        </w:rPr>
        <w:t>10337</w:t>
      </w:r>
      <w:r w:rsidR="00BD4002" w:rsidRPr="00B75885">
        <w:rPr>
          <w:rFonts w:ascii="Arial" w:hAnsi="Arial" w:cs="Arial"/>
          <w:sz w:val="20"/>
          <w:szCs w:val="20"/>
        </w:rPr>
        <w:t xml:space="preserve"> ŽoP. Z tohto počtu bolo v sledovanom období uhradených </w:t>
      </w:r>
      <w:r>
        <w:rPr>
          <w:rFonts w:ascii="Arial" w:hAnsi="Arial" w:cs="Arial"/>
          <w:sz w:val="20"/>
          <w:szCs w:val="20"/>
        </w:rPr>
        <w:t>9890</w:t>
      </w:r>
      <w:r w:rsidRPr="00B75885">
        <w:rPr>
          <w:rFonts w:ascii="Arial" w:hAnsi="Arial" w:cs="Arial"/>
          <w:sz w:val="20"/>
          <w:szCs w:val="20"/>
        </w:rPr>
        <w:t xml:space="preserve"> </w:t>
      </w:r>
      <w:r w:rsidR="00BD4002" w:rsidRPr="00B75885">
        <w:rPr>
          <w:rFonts w:ascii="Arial" w:hAnsi="Arial" w:cs="Arial"/>
          <w:sz w:val="20"/>
          <w:szCs w:val="20"/>
        </w:rPr>
        <w:t>ŽoP s lehotami od prijatia ŽoP po úhradu</w:t>
      </w:r>
      <w:r w:rsidR="00080CFA">
        <w:rPr>
          <w:rFonts w:ascii="Arial" w:hAnsi="Arial" w:cs="Arial"/>
          <w:sz w:val="20"/>
          <w:szCs w:val="20"/>
        </w:rPr>
        <w:t xml:space="preserve"> uvedenými v tabuľke č.1</w:t>
      </w:r>
      <w:r w:rsidR="00D92FB1">
        <w:rPr>
          <w:rFonts w:ascii="Arial" w:hAnsi="Arial" w:cs="Arial"/>
          <w:sz w:val="20"/>
          <w:szCs w:val="20"/>
        </w:rPr>
        <w:t>8</w:t>
      </w:r>
      <w:r w:rsidR="00BD4002">
        <w:rPr>
          <w:rFonts w:ascii="Arial" w:hAnsi="Arial" w:cs="Arial"/>
          <w:sz w:val="20"/>
          <w:szCs w:val="20"/>
        </w:rPr>
        <w:t>.</w:t>
      </w:r>
    </w:p>
    <w:p w14:paraId="4DFA2AA9" w14:textId="2CCAC8B3" w:rsidR="00BD4002" w:rsidRPr="00B75885" w:rsidRDefault="00BD4002" w:rsidP="00BD4002">
      <w:pPr>
        <w:spacing w:before="120"/>
        <w:jc w:val="both"/>
        <w:rPr>
          <w:rFonts w:ascii="Arial" w:hAnsi="Arial" w:cs="Arial"/>
          <w:color w:val="000000"/>
          <w:sz w:val="20"/>
          <w:szCs w:val="20"/>
          <w:highlight w:val="yellow"/>
        </w:rPr>
      </w:pPr>
      <w:r w:rsidRPr="002526CC">
        <w:rPr>
          <w:rFonts w:ascii="Arial" w:hAnsi="Arial" w:cs="Arial"/>
          <w:color w:val="000000"/>
          <w:sz w:val="20"/>
          <w:szCs w:val="20"/>
        </w:rPr>
        <w:t xml:space="preserve">Tabuľka č. </w:t>
      </w:r>
      <w:r>
        <w:rPr>
          <w:rFonts w:ascii="Arial" w:hAnsi="Arial" w:cs="Arial"/>
          <w:color w:val="000000"/>
          <w:sz w:val="20"/>
          <w:szCs w:val="20"/>
        </w:rPr>
        <w:t>1</w:t>
      </w:r>
      <w:r w:rsidR="007B1CB9">
        <w:rPr>
          <w:rFonts w:ascii="Arial" w:hAnsi="Arial" w:cs="Arial"/>
          <w:color w:val="000000"/>
          <w:sz w:val="20"/>
          <w:szCs w:val="20"/>
        </w:rPr>
        <w:t>8</w:t>
      </w:r>
      <w:r w:rsidRPr="00E21C60">
        <w:rPr>
          <w:rFonts w:ascii="Arial" w:hAnsi="Arial" w:cs="Arial"/>
          <w:color w:val="000000"/>
          <w:sz w:val="20"/>
          <w:szCs w:val="20"/>
        </w:rPr>
        <w:t xml:space="preserve">: Prehľad </w:t>
      </w:r>
      <w:r w:rsidR="00AB4B5D">
        <w:rPr>
          <w:rFonts w:ascii="Arial" w:hAnsi="Arial" w:cs="Arial"/>
          <w:color w:val="000000"/>
          <w:sz w:val="20"/>
          <w:szCs w:val="20"/>
        </w:rPr>
        <w:t xml:space="preserve">ŽoP </w:t>
      </w:r>
      <w:r w:rsidR="00AB4B5D" w:rsidRPr="00B75885">
        <w:rPr>
          <w:rFonts w:ascii="Arial" w:hAnsi="Arial" w:cs="Arial"/>
          <w:sz w:val="20"/>
          <w:szCs w:val="20"/>
        </w:rPr>
        <w:t>s  lehotami od prijatia ŽoP po úhradu</w:t>
      </w:r>
      <w:r w:rsidR="00AB4B5D" w:rsidRPr="00AB4B5D">
        <w:rPr>
          <w:rFonts w:ascii="Arial" w:hAnsi="Arial" w:cs="Arial"/>
          <w:color w:val="000000"/>
          <w:sz w:val="20"/>
          <w:szCs w:val="20"/>
        </w:rPr>
        <w:t xml:space="preserve"> </w:t>
      </w:r>
      <w:r w:rsidR="001C539A">
        <w:rPr>
          <w:rFonts w:ascii="Arial" w:hAnsi="Arial" w:cs="Arial"/>
          <w:color w:val="000000"/>
          <w:sz w:val="20"/>
          <w:szCs w:val="20"/>
        </w:rPr>
        <w:t>k 31.10.2016</w:t>
      </w:r>
    </w:p>
    <w:tbl>
      <w:tblPr>
        <w:tblStyle w:val="Mriekatabuky"/>
        <w:tblW w:w="0" w:type="auto"/>
        <w:tblLook w:val="04A0" w:firstRow="1" w:lastRow="0" w:firstColumn="1" w:lastColumn="0" w:noHBand="0" w:noVBand="1"/>
      </w:tblPr>
      <w:tblGrid>
        <w:gridCol w:w="2183"/>
        <w:gridCol w:w="2163"/>
        <w:gridCol w:w="1336"/>
        <w:gridCol w:w="1388"/>
        <w:gridCol w:w="1323"/>
      </w:tblGrid>
      <w:tr w:rsidR="00BD4002" w:rsidRPr="00592A2E" w14:paraId="7D7BE484" w14:textId="77777777" w:rsidTr="00EE50CC">
        <w:trPr>
          <w:trHeight w:val="900"/>
        </w:trPr>
        <w:tc>
          <w:tcPr>
            <w:tcW w:w="2183" w:type="dxa"/>
            <w:tcBorders>
              <w:bottom w:val="single" w:sz="4" w:space="0" w:color="auto"/>
            </w:tcBorders>
            <w:shd w:val="clear" w:color="auto" w:fill="C2D69B" w:themeFill="accent3" w:themeFillTint="99"/>
            <w:vAlign w:val="center"/>
            <w:hideMark/>
          </w:tcPr>
          <w:p w14:paraId="1143874A" w14:textId="77777777" w:rsidR="00BD4002" w:rsidRPr="00B75885" w:rsidRDefault="00BD4002" w:rsidP="00BD4002">
            <w:pPr>
              <w:jc w:val="center"/>
              <w:rPr>
                <w:rFonts w:ascii="Arial" w:eastAsia="Calibri" w:hAnsi="Arial" w:cs="Arial"/>
                <w:b/>
                <w:sz w:val="16"/>
                <w:szCs w:val="16"/>
              </w:rPr>
            </w:pPr>
          </w:p>
        </w:tc>
        <w:tc>
          <w:tcPr>
            <w:tcW w:w="2163" w:type="dxa"/>
            <w:shd w:val="clear" w:color="auto" w:fill="C2D69B" w:themeFill="accent3" w:themeFillTint="99"/>
            <w:vAlign w:val="center"/>
            <w:hideMark/>
          </w:tcPr>
          <w:p w14:paraId="66A9D8F4" w14:textId="77777777" w:rsidR="00BD4002" w:rsidRPr="00B75885" w:rsidRDefault="00BD4002" w:rsidP="00BD4002">
            <w:pPr>
              <w:jc w:val="center"/>
              <w:rPr>
                <w:rFonts w:ascii="Arial" w:eastAsia="Calibri" w:hAnsi="Arial" w:cs="Arial"/>
                <w:b/>
                <w:sz w:val="16"/>
                <w:szCs w:val="16"/>
              </w:rPr>
            </w:pPr>
            <w:r w:rsidRPr="00B75885">
              <w:rPr>
                <w:rFonts w:ascii="Arial" w:eastAsia="Calibri" w:hAnsi="Arial" w:cs="Arial"/>
                <w:b/>
                <w:sz w:val="16"/>
                <w:szCs w:val="16"/>
              </w:rPr>
              <w:t>Počet prijatých ŽoP na RO</w:t>
            </w:r>
          </w:p>
        </w:tc>
        <w:tc>
          <w:tcPr>
            <w:tcW w:w="1336" w:type="dxa"/>
            <w:shd w:val="clear" w:color="auto" w:fill="C2D69B" w:themeFill="accent3" w:themeFillTint="99"/>
            <w:vAlign w:val="center"/>
            <w:hideMark/>
          </w:tcPr>
          <w:p w14:paraId="1CF4F5E3" w14:textId="77777777" w:rsidR="00BD4002" w:rsidRPr="00B75885" w:rsidRDefault="00BD4002" w:rsidP="00BD4002">
            <w:pPr>
              <w:jc w:val="center"/>
              <w:rPr>
                <w:rFonts w:ascii="Arial" w:eastAsia="Calibri" w:hAnsi="Arial" w:cs="Arial"/>
                <w:b/>
                <w:sz w:val="16"/>
                <w:szCs w:val="16"/>
              </w:rPr>
            </w:pPr>
            <w:r w:rsidRPr="00B75885">
              <w:rPr>
                <w:rFonts w:ascii="Arial" w:eastAsia="Calibri" w:hAnsi="Arial" w:cs="Arial"/>
                <w:b/>
                <w:sz w:val="16"/>
                <w:szCs w:val="16"/>
              </w:rPr>
              <w:t>Počet uhradených ŽoP</w:t>
            </w:r>
          </w:p>
        </w:tc>
        <w:tc>
          <w:tcPr>
            <w:tcW w:w="1388" w:type="dxa"/>
            <w:shd w:val="clear" w:color="auto" w:fill="C2D69B" w:themeFill="accent3" w:themeFillTint="99"/>
            <w:vAlign w:val="center"/>
            <w:hideMark/>
          </w:tcPr>
          <w:p w14:paraId="7C89D8DB" w14:textId="77777777" w:rsidR="00BD4002" w:rsidRPr="00B75885" w:rsidRDefault="00BD4002" w:rsidP="00BD4002">
            <w:pPr>
              <w:jc w:val="center"/>
              <w:rPr>
                <w:rFonts w:ascii="Arial" w:eastAsia="Calibri" w:hAnsi="Arial" w:cs="Arial"/>
                <w:b/>
                <w:sz w:val="16"/>
                <w:szCs w:val="16"/>
              </w:rPr>
            </w:pPr>
            <w:r w:rsidRPr="00B75885">
              <w:rPr>
                <w:rFonts w:ascii="Arial" w:eastAsia="Calibri" w:hAnsi="Arial" w:cs="Arial"/>
                <w:b/>
                <w:sz w:val="16"/>
                <w:szCs w:val="16"/>
              </w:rPr>
              <w:t>Priemerný počet dní na úhradu</w:t>
            </w:r>
          </w:p>
        </w:tc>
        <w:tc>
          <w:tcPr>
            <w:tcW w:w="1323" w:type="dxa"/>
            <w:shd w:val="clear" w:color="auto" w:fill="C2D69B" w:themeFill="accent3" w:themeFillTint="99"/>
            <w:vAlign w:val="center"/>
            <w:hideMark/>
          </w:tcPr>
          <w:p w14:paraId="4F515021" w14:textId="77777777" w:rsidR="00BD4002" w:rsidRPr="00B75885" w:rsidRDefault="00BD4002" w:rsidP="00BD4002">
            <w:pPr>
              <w:jc w:val="center"/>
              <w:rPr>
                <w:rFonts w:ascii="Arial" w:eastAsia="Calibri" w:hAnsi="Arial" w:cs="Arial"/>
                <w:b/>
                <w:sz w:val="16"/>
                <w:szCs w:val="16"/>
              </w:rPr>
            </w:pPr>
            <w:r w:rsidRPr="00B75885">
              <w:rPr>
                <w:rFonts w:ascii="Arial" w:eastAsia="Calibri" w:hAnsi="Arial" w:cs="Arial"/>
                <w:b/>
                <w:sz w:val="16"/>
                <w:szCs w:val="16"/>
              </w:rPr>
              <w:t>Maximálny počet dní na úhradu</w:t>
            </w:r>
          </w:p>
        </w:tc>
      </w:tr>
      <w:tr w:rsidR="009E5F0D" w:rsidRPr="00592A2E" w14:paraId="63E15462" w14:textId="77777777" w:rsidTr="009E5F0D">
        <w:trPr>
          <w:trHeight w:val="271"/>
        </w:trPr>
        <w:tc>
          <w:tcPr>
            <w:tcW w:w="2183" w:type="dxa"/>
            <w:shd w:val="clear" w:color="auto" w:fill="D6E3BC" w:themeFill="accent3" w:themeFillTint="66"/>
            <w:vAlign w:val="center"/>
            <w:hideMark/>
          </w:tcPr>
          <w:p w14:paraId="14FA96B0" w14:textId="77777777" w:rsidR="009E5F0D" w:rsidRPr="00B75885" w:rsidRDefault="009E5F0D" w:rsidP="009E5F0D">
            <w:pPr>
              <w:rPr>
                <w:rFonts w:ascii="Arial" w:eastAsia="Calibri" w:hAnsi="Arial" w:cs="Arial"/>
                <w:b/>
                <w:sz w:val="16"/>
                <w:szCs w:val="16"/>
              </w:rPr>
            </w:pPr>
            <w:r w:rsidRPr="00B75885">
              <w:rPr>
                <w:rFonts w:ascii="Arial" w:eastAsia="Calibri" w:hAnsi="Arial" w:cs="Arial"/>
                <w:b/>
                <w:sz w:val="16"/>
                <w:szCs w:val="16"/>
              </w:rPr>
              <w:t>Predfinancovanie</w:t>
            </w:r>
          </w:p>
        </w:tc>
        <w:tc>
          <w:tcPr>
            <w:tcW w:w="2163" w:type="dxa"/>
            <w:vAlign w:val="center"/>
            <w:hideMark/>
          </w:tcPr>
          <w:p w14:paraId="6C73A5CB" w14:textId="589B22D5" w:rsidR="009E5F0D" w:rsidRPr="00B75885" w:rsidRDefault="009E5F0D" w:rsidP="009E5F0D">
            <w:pPr>
              <w:jc w:val="center"/>
              <w:rPr>
                <w:rFonts w:ascii="Arial" w:eastAsia="Calibri" w:hAnsi="Arial" w:cs="Arial"/>
                <w:sz w:val="16"/>
                <w:szCs w:val="16"/>
              </w:rPr>
            </w:pPr>
            <w:r w:rsidRPr="009E5F0D">
              <w:rPr>
                <w:rFonts w:ascii="Arial" w:eastAsia="Calibri" w:hAnsi="Arial" w:cs="Arial"/>
                <w:sz w:val="16"/>
                <w:szCs w:val="16"/>
              </w:rPr>
              <w:t>4179</w:t>
            </w:r>
          </w:p>
        </w:tc>
        <w:tc>
          <w:tcPr>
            <w:tcW w:w="1336" w:type="dxa"/>
            <w:vAlign w:val="center"/>
            <w:hideMark/>
          </w:tcPr>
          <w:p w14:paraId="2BAC3E01" w14:textId="1B192F81" w:rsidR="009E5F0D" w:rsidRPr="00B75885" w:rsidRDefault="009E5F0D" w:rsidP="009E5F0D">
            <w:pPr>
              <w:jc w:val="center"/>
              <w:rPr>
                <w:rFonts w:ascii="Arial" w:eastAsia="Calibri" w:hAnsi="Arial" w:cs="Arial"/>
                <w:sz w:val="16"/>
                <w:szCs w:val="16"/>
              </w:rPr>
            </w:pPr>
            <w:r w:rsidRPr="009E5F0D">
              <w:rPr>
                <w:rFonts w:ascii="Arial" w:eastAsia="Calibri" w:hAnsi="Arial" w:cs="Arial"/>
                <w:sz w:val="16"/>
                <w:szCs w:val="16"/>
              </w:rPr>
              <w:t>3935</w:t>
            </w:r>
          </w:p>
        </w:tc>
        <w:tc>
          <w:tcPr>
            <w:tcW w:w="1388" w:type="dxa"/>
            <w:vAlign w:val="center"/>
            <w:hideMark/>
          </w:tcPr>
          <w:p w14:paraId="09D37D84" w14:textId="294E28C9" w:rsidR="009E5F0D" w:rsidRPr="00B75885" w:rsidRDefault="009E5F0D" w:rsidP="009E5F0D">
            <w:pPr>
              <w:jc w:val="center"/>
              <w:rPr>
                <w:rFonts w:ascii="Arial" w:eastAsia="Calibri" w:hAnsi="Arial" w:cs="Arial"/>
                <w:sz w:val="16"/>
                <w:szCs w:val="16"/>
              </w:rPr>
            </w:pPr>
            <w:r w:rsidRPr="009E5F0D">
              <w:rPr>
                <w:rFonts w:ascii="Arial" w:eastAsia="Calibri" w:hAnsi="Arial" w:cs="Arial"/>
                <w:sz w:val="16"/>
                <w:szCs w:val="16"/>
              </w:rPr>
              <w:t>40,71</w:t>
            </w:r>
          </w:p>
        </w:tc>
        <w:tc>
          <w:tcPr>
            <w:tcW w:w="1323" w:type="dxa"/>
            <w:vAlign w:val="center"/>
            <w:hideMark/>
          </w:tcPr>
          <w:p w14:paraId="1182D991" w14:textId="64762779" w:rsidR="009E5F0D" w:rsidRPr="00B75885" w:rsidRDefault="009E5F0D" w:rsidP="009E5F0D">
            <w:pPr>
              <w:jc w:val="center"/>
              <w:rPr>
                <w:rFonts w:ascii="Arial" w:eastAsia="Calibri" w:hAnsi="Arial" w:cs="Arial"/>
                <w:sz w:val="16"/>
                <w:szCs w:val="16"/>
              </w:rPr>
            </w:pPr>
            <w:r w:rsidRPr="00AB3787">
              <w:rPr>
                <w:rFonts w:ascii="Arial" w:eastAsia="Calibri" w:hAnsi="Arial" w:cs="Arial"/>
                <w:sz w:val="16"/>
                <w:szCs w:val="16"/>
              </w:rPr>
              <w:t>985</w:t>
            </w:r>
          </w:p>
        </w:tc>
      </w:tr>
      <w:tr w:rsidR="009E5F0D" w:rsidRPr="00592A2E" w14:paraId="0101B6CC" w14:textId="77777777" w:rsidTr="009E5F0D">
        <w:trPr>
          <w:trHeight w:val="300"/>
        </w:trPr>
        <w:tc>
          <w:tcPr>
            <w:tcW w:w="2183" w:type="dxa"/>
            <w:shd w:val="clear" w:color="auto" w:fill="D6E3BC" w:themeFill="accent3" w:themeFillTint="66"/>
            <w:vAlign w:val="center"/>
            <w:hideMark/>
          </w:tcPr>
          <w:p w14:paraId="566F2318" w14:textId="77777777" w:rsidR="009E5F0D" w:rsidRPr="00B75885" w:rsidRDefault="009E5F0D" w:rsidP="009E5F0D">
            <w:pPr>
              <w:rPr>
                <w:rFonts w:ascii="Arial" w:eastAsia="Calibri" w:hAnsi="Arial" w:cs="Arial"/>
                <w:b/>
                <w:sz w:val="16"/>
                <w:szCs w:val="16"/>
              </w:rPr>
            </w:pPr>
            <w:r w:rsidRPr="00B75885">
              <w:rPr>
                <w:rFonts w:ascii="Arial" w:eastAsia="Calibri" w:hAnsi="Arial" w:cs="Arial"/>
                <w:b/>
                <w:sz w:val="16"/>
                <w:szCs w:val="16"/>
              </w:rPr>
              <w:t>Priebežná</w:t>
            </w:r>
          </w:p>
        </w:tc>
        <w:tc>
          <w:tcPr>
            <w:tcW w:w="2163" w:type="dxa"/>
            <w:vAlign w:val="center"/>
            <w:hideMark/>
          </w:tcPr>
          <w:p w14:paraId="00A2345A" w14:textId="4FB3E0D1" w:rsidR="009E5F0D" w:rsidRPr="00B75885" w:rsidRDefault="009E5F0D" w:rsidP="009E5F0D">
            <w:pPr>
              <w:jc w:val="center"/>
              <w:rPr>
                <w:rFonts w:ascii="Arial" w:eastAsia="Calibri" w:hAnsi="Arial" w:cs="Arial"/>
                <w:sz w:val="16"/>
                <w:szCs w:val="16"/>
              </w:rPr>
            </w:pPr>
            <w:r w:rsidRPr="009E5F0D">
              <w:rPr>
                <w:rFonts w:ascii="Arial" w:eastAsia="Calibri" w:hAnsi="Arial" w:cs="Arial"/>
                <w:sz w:val="16"/>
                <w:szCs w:val="16"/>
              </w:rPr>
              <w:t>1426</w:t>
            </w:r>
          </w:p>
        </w:tc>
        <w:tc>
          <w:tcPr>
            <w:tcW w:w="1336" w:type="dxa"/>
            <w:vAlign w:val="center"/>
            <w:hideMark/>
          </w:tcPr>
          <w:p w14:paraId="69BF11FF" w14:textId="0860D952" w:rsidR="009E5F0D" w:rsidRPr="00B75885" w:rsidRDefault="009E5F0D" w:rsidP="009E5F0D">
            <w:pPr>
              <w:jc w:val="center"/>
              <w:rPr>
                <w:rFonts w:ascii="Arial" w:eastAsia="Calibri" w:hAnsi="Arial" w:cs="Arial"/>
                <w:sz w:val="16"/>
                <w:szCs w:val="16"/>
              </w:rPr>
            </w:pPr>
            <w:r w:rsidRPr="009E5F0D">
              <w:rPr>
                <w:rFonts w:ascii="Arial" w:eastAsia="Calibri" w:hAnsi="Arial" w:cs="Arial"/>
                <w:sz w:val="16"/>
                <w:szCs w:val="16"/>
              </w:rPr>
              <w:t>1300</w:t>
            </w:r>
          </w:p>
        </w:tc>
        <w:tc>
          <w:tcPr>
            <w:tcW w:w="1388" w:type="dxa"/>
            <w:vAlign w:val="center"/>
            <w:hideMark/>
          </w:tcPr>
          <w:p w14:paraId="62225168" w14:textId="22FE37A1" w:rsidR="009E5F0D" w:rsidRPr="00B75885" w:rsidRDefault="009E5F0D" w:rsidP="009E5F0D">
            <w:pPr>
              <w:jc w:val="center"/>
              <w:rPr>
                <w:rFonts w:ascii="Arial" w:eastAsia="Calibri" w:hAnsi="Arial" w:cs="Arial"/>
                <w:sz w:val="16"/>
                <w:szCs w:val="16"/>
              </w:rPr>
            </w:pPr>
            <w:r w:rsidRPr="009E5F0D">
              <w:rPr>
                <w:rFonts w:ascii="Arial" w:eastAsia="Calibri" w:hAnsi="Arial" w:cs="Arial"/>
                <w:sz w:val="16"/>
                <w:szCs w:val="16"/>
              </w:rPr>
              <w:t>70,99</w:t>
            </w:r>
          </w:p>
        </w:tc>
        <w:tc>
          <w:tcPr>
            <w:tcW w:w="1323" w:type="dxa"/>
            <w:vAlign w:val="center"/>
            <w:hideMark/>
          </w:tcPr>
          <w:p w14:paraId="5999EC0E" w14:textId="1B0ACD67" w:rsidR="009E5F0D" w:rsidRPr="00B75885" w:rsidRDefault="009E5F0D" w:rsidP="009E5F0D">
            <w:pPr>
              <w:jc w:val="center"/>
              <w:rPr>
                <w:rFonts w:ascii="Arial" w:eastAsia="Calibri" w:hAnsi="Arial" w:cs="Arial"/>
                <w:sz w:val="16"/>
                <w:szCs w:val="16"/>
              </w:rPr>
            </w:pPr>
            <w:r w:rsidRPr="00AB3787">
              <w:rPr>
                <w:rFonts w:ascii="Arial" w:eastAsia="Calibri" w:hAnsi="Arial" w:cs="Arial"/>
                <w:sz w:val="16"/>
                <w:szCs w:val="16"/>
              </w:rPr>
              <w:t>708</w:t>
            </w:r>
          </w:p>
        </w:tc>
      </w:tr>
      <w:tr w:rsidR="009E5F0D" w:rsidRPr="00592A2E" w14:paraId="545D6CA1" w14:textId="77777777" w:rsidTr="009E5F0D">
        <w:trPr>
          <w:trHeight w:val="300"/>
        </w:trPr>
        <w:tc>
          <w:tcPr>
            <w:tcW w:w="2183" w:type="dxa"/>
            <w:shd w:val="clear" w:color="auto" w:fill="D6E3BC" w:themeFill="accent3" w:themeFillTint="66"/>
            <w:vAlign w:val="center"/>
            <w:hideMark/>
          </w:tcPr>
          <w:p w14:paraId="39CE5E31" w14:textId="77777777" w:rsidR="009E5F0D" w:rsidRPr="00B75885" w:rsidRDefault="009E5F0D" w:rsidP="009E5F0D">
            <w:pPr>
              <w:rPr>
                <w:rFonts w:ascii="Arial" w:eastAsia="Calibri" w:hAnsi="Arial" w:cs="Arial"/>
                <w:b/>
                <w:sz w:val="16"/>
                <w:szCs w:val="16"/>
              </w:rPr>
            </w:pPr>
            <w:r w:rsidRPr="00B75885">
              <w:rPr>
                <w:rFonts w:ascii="Arial" w:eastAsia="Calibri" w:hAnsi="Arial" w:cs="Arial"/>
                <w:b/>
                <w:sz w:val="16"/>
                <w:szCs w:val="16"/>
              </w:rPr>
              <w:t>Zálohová</w:t>
            </w:r>
          </w:p>
        </w:tc>
        <w:tc>
          <w:tcPr>
            <w:tcW w:w="2163" w:type="dxa"/>
            <w:shd w:val="clear" w:color="auto" w:fill="auto"/>
            <w:vAlign w:val="center"/>
            <w:hideMark/>
          </w:tcPr>
          <w:p w14:paraId="3D004C7A" w14:textId="2204354A"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104</w:t>
            </w:r>
          </w:p>
        </w:tc>
        <w:tc>
          <w:tcPr>
            <w:tcW w:w="1336" w:type="dxa"/>
            <w:shd w:val="clear" w:color="auto" w:fill="auto"/>
            <w:vAlign w:val="center"/>
            <w:hideMark/>
          </w:tcPr>
          <w:p w14:paraId="4F82BEFC" w14:textId="59B8D119"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98</w:t>
            </w:r>
          </w:p>
        </w:tc>
        <w:tc>
          <w:tcPr>
            <w:tcW w:w="1388" w:type="dxa"/>
            <w:shd w:val="clear" w:color="auto" w:fill="auto"/>
            <w:vAlign w:val="center"/>
            <w:hideMark/>
          </w:tcPr>
          <w:p w14:paraId="65E59B24" w14:textId="39D1A4AD"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10,54</w:t>
            </w:r>
          </w:p>
        </w:tc>
        <w:tc>
          <w:tcPr>
            <w:tcW w:w="1323" w:type="dxa"/>
            <w:shd w:val="clear" w:color="auto" w:fill="auto"/>
            <w:vAlign w:val="center"/>
            <w:hideMark/>
          </w:tcPr>
          <w:p w14:paraId="347DACDD" w14:textId="022C0025" w:rsidR="009E5F0D" w:rsidRPr="00B34C09" w:rsidRDefault="009E5F0D" w:rsidP="009E5F0D">
            <w:pPr>
              <w:jc w:val="center"/>
              <w:rPr>
                <w:rFonts w:ascii="Arial" w:eastAsia="Calibri" w:hAnsi="Arial" w:cs="Arial"/>
                <w:sz w:val="16"/>
                <w:szCs w:val="16"/>
              </w:rPr>
            </w:pPr>
            <w:r w:rsidRPr="00B34C09">
              <w:rPr>
                <w:rFonts w:ascii="Arial" w:eastAsia="Calibri" w:hAnsi="Arial" w:cs="Arial"/>
                <w:sz w:val="16"/>
                <w:szCs w:val="16"/>
              </w:rPr>
              <w:t>43</w:t>
            </w:r>
          </w:p>
        </w:tc>
      </w:tr>
      <w:tr w:rsidR="009E5F0D" w:rsidRPr="00592A2E" w14:paraId="17D52FCC" w14:textId="77777777" w:rsidTr="009E5F0D">
        <w:trPr>
          <w:trHeight w:val="300"/>
        </w:trPr>
        <w:tc>
          <w:tcPr>
            <w:tcW w:w="2183" w:type="dxa"/>
            <w:shd w:val="clear" w:color="auto" w:fill="D6E3BC" w:themeFill="accent3" w:themeFillTint="66"/>
            <w:vAlign w:val="center"/>
            <w:hideMark/>
          </w:tcPr>
          <w:p w14:paraId="1F1D4E3B" w14:textId="77777777" w:rsidR="009E5F0D" w:rsidRPr="00B75885" w:rsidRDefault="009E5F0D" w:rsidP="009E5F0D">
            <w:pPr>
              <w:rPr>
                <w:rFonts w:ascii="Arial" w:eastAsia="Calibri" w:hAnsi="Arial" w:cs="Arial"/>
                <w:b/>
                <w:sz w:val="16"/>
                <w:szCs w:val="16"/>
              </w:rPr>
            </w:pPr>
            <w:r w:rsidRPr="00B75885">
              <w:rPr>
                <w:rFonts w:ascii="Arial" w:eastAsia="Calibri" w:hAnsi="Arial" w:cs="Arial"/>
                <w:b/>
                <w:sz w:val="16"/>
                <w:szCs w:val="16"/>
              </w:rPr>
              <w:t>Záverečná</w:t>
            </w:r>
          </w:p>
        </w:tc>
        <w:tc>
          <w:tcPr>
            <w:tcW w:w="2163" w:type="dxa"/>
            <w:shd w:val="clear" w:color="auto" w:fill="auto"/>
            <w:vAlign w:val="center"/>
            <w:hideMark/>
          </w:tcPr>
          <w:p w14:paraId="424EFCEF" w14:textId="3E9FE285"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824</w:t>
            </w:r>
          </w:p>
        </w:tc>
        <w:tc>
          <w:tcPr>
            <w:tcW w:w="1336" w:type="dxa"/>
            <w:shd w:val="clear" w:color="auto" w:fill="auto"/>
            <w:vAlign w:val="center"/>
            <w:hideMark/>
          </w:tcPr>
          <w:p w14:paraId="6B4A2BF2" w14:textId="251CA094"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783</w:t>
            </w:r>
          </w:p>
        </w:tc>
        <w:tc>
          <w:tcPr>
            <w:tcW w:w="1388" w:type="dxa"/>
            <w:shd w:val="clear" w:color="auto" w:fill="auto"/>
            <w:vAlign w:val="center"/>
            <w:hideMark/>
          </w:tcPr>
          <w:p w14:paraId="1784DBED" w14:textId="4D0BB34D"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128,99</w:t>
            </w:r>
          </w:p>
        </w:tc>
        <w:tc>
          <w:tcPr>
            <w:tcW w:w="1323" w:type="dxa"/>
            <w:shd w:val="clear" w:color="auto" w:fill="auto"/>
            <w:vAlign w:val="center"/>
            <w:hideMark/>
          </w:tcPr>
          <w:p w14:paraId="5EF5D40F" w14:textId="3D8D71C0" w:rsidR="009E5F0D" w:rsidRPr="00B34C09" w:rsidRDefault="009E5F0D" w:rsidP="009E5F0D">
            <w:pPr>
              <w:jc w:val="center"/>
              <w:rPr>
                <w:rFonts w:ascii="Arial" w:eastAsia="Calibri" w:hAnsi="Arial" w:cs="Arial"/>
                <w:sz w:val="16"/>
                <w:szCs w:val="16"/>
              </w:rPr>
            </w:pPr>
            <w:r w:rsidRPr="00B34C09">
              <w:rPr>
                <w:rFonts w:ascii="Arial" w:eastAsia="Calibri" w:hAnsi="Arial" w:cs="Arial"/>
                <w:sz w:val="16"/>
                <w:szCs w:val="16"/>
              </w:rPr>
              <w:t>1583</w:t>
            </w:r>
          </w:p>
        </w:tc>
      </w:tr>
      <w:tr w:rsidR="009E5F0D" w:rsidRPr="00592A2E" w14:paraId="17E66AB3" w14:textId="77777777" w:rsidTr="009E5F0D">
        <w:trPr>
          <w:trHeight w:val="600"/>
        </w:trPr>
        <w:tc>
          <w:tcPr>
            <w:tcW w:w="2183" w:type="dxa"/>
            <w:shd w:val="clear" w:color="auto" w:fill="D6E3BC" w:themeFill="accent3" w:themeFillTint="66"/>
            <w:vAlign w:val="center"/>
            <w:hideMark/>
          </w:tcPr>
          <w:p w14:paraId="6897719C" w14:textId="77777777" w:rsidR="009E5F0D" w:rsidRPr="00B75885" w:rsidRDefault="009E5F0D" w:rsidP="009E5F0D">
            <w:pPr>
              <w:rPr>
                <w:rFonts w:ascii="Arial" w:eastAsia="Calibri" w:hAnsi="Arial" w:cs="Arial"/>
                <w:b/>
                <w:sz w:val="16"/>
                <w:szCs w:val="16"/>
              </w:rPr>
            </w:pPr>
            <w:r w:rsidRPr="00B75885">
              <w:rPr>
                <w:rFonts w:ascii="Arial" w:eastAsia="Calibri" w:hAnsi="Arial" w:cs="Arial"/>
                <w:b/>
                <w:sz w:val="16"/>
                <w:szCs w:val="16"/>
              </w:rPr>
              <w:t>Zúčtovanie predfinancovania</w:t>
            </w:r>
          </w:p>
        </w:tc>
        <w:tc>
          <w:tcPr>
            <w:tcW w:w="2163" w:type="dxa"/>
            <w:shd w:val="clear" w:color="auto" w:fill="auto"/>
            <w:vAlign w:val="center"/>
            <w:hideMark/>
          </w:tcPr>
          <w:p w14:paraId="14EE58F9" w14:textId="43047D39"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3960</w:t>
            </w:r>
          </w:p>
        </w:tc>
        <w:tc>
          <w:tcPr>
            <w:tcW w:w="1336" w:type="dxa"/>
            <w:shd w:val="clear" w:color="auto" w:fill="auto"/>
            <w:vAlign w:val="center"/>
            <w:hideMark/>
          </w:tcPr>
          <w:p w14:paraId="16D80022" w14:textId="4F0A36FD"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3927</w:t>
            </w:r>
          </w:p>
        </w:tc>
        <w:tc>
          <w:tcPr>
            <w:tcW w:w="1388" w:type="dxa"/>
            <w:shd w:val="clear" w:color="auto" w:fill="auto"/>
            <w:vAlign w:val="center"/>
            <w:hideMark/>
          </w:tcPr>
          <w:p w14:paraId="7789CA40" w14:textId="6B4053F5"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40,78</w:t>
            </w:r>
          </w:p>
        </w:tc>
        <w:tc>
          <w:tcPr>
            <w:tcW w:w="1323" w:type="dxa"/>
            <w:shd w:val="clear" w:color="auto" w:fill="auto"/>
            <w:vAlign w:val="center"/>
            <w:hideMark/>
          </w:tcPr>
          <w:p w14:paraId="7C20F866" w14:textId="2428E86A" w:rsidR="009E5F0D" w:rsidRPr="00B34C09" w:rsidRDefault="009E5F0D" w:rsidP="009E5F0D">
            <w:pPr>
              <w:jc w:val="center"/>
              <w:rPr>
                <w:rFonts w:ascii="Arial" w:eastAsia="Calibri" w:hAnsi="Arial" w:cs="Arial"/>
                <w:sz w:val="16"/>
                <w:szCs w:val="16"/>
              </w:rPr>
            </w:pPr>
            <w:r w:rsidRPr="00B34C09">
              <w:rPr>
                <w:rFonts w:ascii="Arial" w:eastAsia="Calibri" w:hAnsi="Arial" w:cs="Arial"/>
                <w:sz w:val="16"/>
                <w:szCs w:val="16"/>
              </w:rPr>
              <w:t>748</w:t>
            </w:r>
          </w:p>
        </w:tc>
      </w:tr>
      <w:tr w:rsidR="009E5F0D" w:rsidRPr="00592A2E" w14:paraId="2C3EFE0F" w14:textId="77777777" w:rsidTr="00F87D11">
        <w:trPr>
          <w:trHeight w:val="484"/>
        </w:trPr>
        <w:tc>
          <w:tcPr>
            <w:tcW w:w="2183" w:type="dxa"/>
            <w:shd w:val="clear" w:color="auto" w:fill="D6E3BC" w:themeFill="accent3" w:themeFillTint="66"/>
            <w:vAlign w:val="center"/>
            <w:hideMark/>
          </w:tcPr>
          <w:p w14:paraId="7D98226D" w14:textId="77777777" w:rsidR="009E5F0D" w:rsidRPr="00B75885" w:rsidRDefault="009E5F0D" w:rsidP="009E5F0D">
            <w:pPr>
              <w:rPr>
                <w:rFonts w:ascii="Arial" w:eastAsia="Calibri" w:hAnsi="Arial" w:cs="Arial"/>
                <w:b/>
                <w:sz w:val="16"/>
                <w:szCs w:val="16"/>
              </w:rPr>
            </w:pPr>
            <w:r w:rsidRPr="00B75885">
              <w:rPr>
                <w:rFonts w:ascii="Arial" w:eastAsia="Calibri" w:hAnsi="Arial" w:cs="Arial"/>
                <w:b/>
                <w:sz w:val="16"/>
                <w:szCs w:val="16"/>
              </w:rPr>
              <w:t>Zúčtovanie zálohovej platby</w:t>
            </w:r>
          </w:p>
        </w:tc>
        <w:tc>
          <w:tcPr>
            <w:tcW w:w="2163" w:type="dxa"/>
            <w:tcBorders>
              <w:bottom w:val="single" w:sz="4" w:space="0" w:color="auto"/>
            </w:tcBorders>
            <w:shd w:val="clear" w:color="auto" w:fill="auto"/>
            <w:vAlign w:val="center"/>
            <w:hideMark/>
          </w:tcPr>
          <w:p w14:paraId="506DA1CA" w14:textId="7D3BC73E"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180</w:t>
            </w:r>
          </w:p>
        </w:tc>
        <w:tc>
          <w:tcPr>
            <w:tcW w:w="1336" w:type="dxa"/>
            <w:tcBorders>
              <w:bottom w:val="single" w:sz="4" w:space="0" w:color="auto"/>
            </w:tcBorders>
            <w:shd w:val="clear" w:color="auto" w:fill="auto"/>
            <w:vAlign w:val="center"/>
            <w:hideMark/>
          </w:tcPr>
          <w:p w14:paraId="18E49555" w14:textId="2DBF0D6C"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175</w:t>
            </w:r>
          </w:p>
        </w:tc>
        <w:tc>
          <w:tcPr>
            <w:tcW w:w="1388" w:type="dxa"/>
            <w:tcBorders>
              <w:bottom w:val="single" w:sz="4" w:space="0" w:color="auto"/>
            </w:tcBorders>
            <w:shd w:val="clear" w:color="auto" w:fill="auto"/>
            <w:vAlign w:val="center"/>
            <w:hideMark/>
          </w:tcPr>
          <w:p w14:paraId="14419448" w14:textId="6D6CB181"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39,58</w:t>
            </w:r>
          </w:p>
        </w:tc>
        <w:tc>
          <w:tcPr>
            <w:tcW w:w="1323" w:type="dxa"/>
            <w:tcBorders>
              <w:bottom w:val="single" w:sz="4" w:space="0" w:color="auto"/>
            </w:tcBorders>
            <w:shd w:val="clear" w:color="auto" w:fill="auto"/>
            <w:vAlign w:val="center"/>
            <w:hideMark/>
          </w:tcPr>
          <w:p w14:paraId="32E23CB0" w14:textId="145628A4" w:rsidR="009E5F0D" w:rsidRPr="00B34C09" w:rsidRDefault="009E5F0D" w:rsidP="009E5F0D">
            <w:pPr>
              <w:jc w:val="center"/>
              <w:rPr>
                <w:rFonts w:ascii="Arial" w:eastAsia="Calibri" w:hAnsi="Arial" w:cs="Arial"/>
                <w:sz w:val="16"/>
                <w:szCs w:val="16"/>
              </w:rPr>
            </w:pPr>
            <w:r w:rsidRPr="00B34C09">
              <w:rPr>
                <w:rFonts w:ascii="Arial" w:eastAsia="Calibri" w:hAnsi="Arial" w:cs="Arial"/>
                <w:sz w:val="16"/>
                <w:szCs w:val="16"/>
              </w:rPr>
              <w:t>172</w:t>
            </w:r>
          </w:p>
        </w:tc>
      </w:tr>
      <w:tr w:rsidR="009E5F0D" w:rsidRPr="00592A2E" w14:paraId="2FFC62A9" w14:textId="77777777" w:rsidTr="009E5F0D">
        <w:trPr>
          <w:trHeight w:val="300"/>
        </w:trPr>
        <w:tc>
          <w:tcPr>
            <w:tcW w:w="2183" w:type="dxa"/>
            <w:shd w:val="clear" w:color="auto" w:fill="D6E3BC" w:themeFill="accent3" w:themeFillTint="66"/>
            <w:vAlign w:val="center"/>
            <w:hideMark/>
          </w:tcPr>
          <w:p w14:paraId="07A5624A" w14:textId="77777777" w:rsidR="009E5F0D" w:rsidRPr="00B75885" w:rsidRDefault="009E5F0D" w:rsidP="009E5F0D">
            <w:pPr>
              <w:rPr>
                <w:rFonts w:ascii="Arial" w:eastAsia="Calibri" w:hAnsi="Arial" w:cs="Arial"/>
                <w:b/>
                <w:sz w:val="16"/>
                <w:szCs w:val="16"/>
              </w:rPr>
            </w:pPr>
            <w:r w:rsidRPr="00B75885">
              <w:rPr>
                <w:rFonts w:ascii="Arial" w:eastAsia="Calibri" w:hAnsi="Arial" w:cs="Arial"/>
                <w:b/>
                <w:sz w:val="16"/>
                <w:szCs w:val="16"/>
              </w:rPr>
              <w:t>Celkový súčet</w:t>
            </w:r>
          </w:p>
        </w:tc>
        <w:tc>
          <w:tcPr>
            <w:tcW w:w="2163" w:type="dxa"/>
            <w:shd w:val="clear" w:color="auto" w:fill="auto"/>
            <w:vAlign w:val="center"/>
            <w:hideMark/>
          </w:tcPr>
          <w:p w14:paraId="6EB86661" w14:textId="78E389C4"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10673</w:t>
            </w:r>
          </w:p>
        </w:tc>
        <w:tc>
          <w:tcPr>
            <w:tcW w:w="1336" w:type="dxa"/>
            <w:shd w:val="clear" w:color="auto" w:fill="auto"/>
            <w:vAlign w:val="center"/>
            <w:hideMark/>
          </w:tcPr>
          <w:p w14:paraId="333C8B9A" w14:textId="6160BBC9" w:rsidR="009E5F0D" w:rsidRPr="00B34C09" w:rsidRDefault="009E5F0D" w:rsidP="009E5F0D">
            <w:pPr>
              <w:jc w:val="center"/>
              <w:rPr>
                <w:rFonts w:ascii="Arial" w:eastAsia="Calibri" w:hAnsi="Arial" w:cs="Arial"/>
                <w:sz w:val="16"/>
                <w:szCs w:val="16"/>
              </w:rPr>
            </w:pPr>
            <w:r w:rsidRPr="009E5F0D">
              <w:rPr>
                <w:rFonts w:ascii="Arial" w:eastAsia="Calibri" w:hAnsi="Arial" w:cs="Arial"/>
                <w:sz w:val="16"/>
                <w:szCs w:val="16"/>
              </w:rPr>
              <w:t>10218</w:t>
            </w:r>
          </w:p>
        </w:tc>
        <w:tc>
          <w:tcPr>
            <w:tcW w:w="1388" w:type="dxa"/>
            <w:shd w:val="clear" w:color="auto" w:fill="auto"/>
            <w:vAlign w:val="center"/>
            <w:hideMark/>
          </w:tcPr>
          <w:p w14:paraId="34C4703B" w14:textId="0C81A840" w:rsidR="009E5F0D" w:rsidRPr="00B34C09" w:rsidRDefault="009E5F0D" w:rsidP="009E5F0D">
            <w:pPr>
              <w:jc w:val="center"/>
              <w:rPr>
                <w:rFonts w:ascii="Arial" w:eastAsia="Calibri" w:hAnsi="Arial" w:cs="Arial"/>
                <w:sz w:val="16"/>
                <w:szCs w:val="16"/>
              </w:rPr>
            </w:pPr>
            <w:r>
              <w:rPr>
                <w:rFonts w:ascii="Arial" w:eastAsia="Calibri" w:hAnsi="Arial" w:cs="Arial"/>
                <w:sz w:val="16"/>
                <w:szCs w:val="16"/>
              </w:rPr>
              <w:t>55,26</w:t>
            </w:r>
          </w:p>
        </w:tc>
        <w:tc>
          <w:tcPr>
            <w:tcW w:w="1323" w:type="dxa"/>
            <w:shd w:val="clear" w:color="auto" w:fill="auto"/>
            <w:vAlign w:val="center"/>
            <w:hideMark/>
          </w:tcPr>
          <w:p w14:paraId="6F1266BD" w14:textId="1A3F241A" w:rsidR="009E5F0D" w:rsidRPr="00B34C09" w:rsidRDefault="009E5F0D" w:rsidP="009E5F0D">
            <w:pPr>
              <w:jc w:val="center"/>
              <w:rPr>
                <w:rFonts w:ascii="Arial" w:eastAsia="Calibri" w:hAnsi="Arial" w:cs="Arial"/>
                <w:sz w:val="16"/>
                <w:szCs w:val="16"/>
              </w:rPr>
            </w:pPr>
            <w:r w:rsidRPr="00B34C09">
              <w:rPr>
                <w:rFonts w:ascii="Arial" w:eastAsia="Calibri" w:hAnsi="Arial" w:cs="Arial"/>
                <w:sz w:val="16"/>
                <w:szCs w:val="16"/>
              </w:rPr>
              <w:t>709,5</w:t>
            </w:r>
          </w:p>
        </w:tc>
      </w:tr>
    </w:tbl>
    <w:p w14:paraId="0061CCEF" w14:textId="0358C042" w:rsidR="00BD4002" w:rsidRPr="00123376" w:rsidRDefault="00BD4002" w:rsidP="00BD4002">
      <w:pPr>
        <w:spacing w:after="120"/>
        <w:jc w:val="both"/>
        <w:rPr>
          <w:rFonts w:ascii="Arial" w:hAnsi="Arial" w:cs="Arial"/>
          <w:color w:val="000000"/>
          <w:sz w:val="16"/>
          <w:szCs w:val="16"/>
        </w:rPr>
      </w:pPr>
      <w:r w:rsidRPr="00123376">
        <w:rPr>
          <w:rFonts w:ascii="Arial" w:hAnsi="Arial" w:cs="Arial"/>
          <w:color w:val="000000"/>
          <w:sz w:val="16"/>
          <w:szCs w:val="16"/>
        </w:rPr>
        <w:t xml:space="preserve">Zdroj: </w:t>
      </w:r>
      <w:r w:rsidR="00AB4B5D">
        <w:rPr>
          <w:rFonts w:ascii="Arial" w:hAnsi="Arial" w:cs="Arial"/>
          <w:color w:val="000000"/>
          <w:sz w:val="16"/>
          <w:szCs w:val="16"/>
        </w:rPr>
        <w:t>RO</w:t>
      </w:r>
      <w:r w:rsidR="00B34C09">
        <w:rPr>
          <w:rFonts w:ascii="Arial" w:hAnsi="Arial" w:cs="Arial"/>
          <w:color w:val="000000"/>
          <w:sz w:val="16"/>
          <w:szCs w:val="16"/>
        </w:rPr>
        <w:t>, SORO</w:t>
      </w:r>
    </w:p>
    <w:p w14:paraId="1ECD69EA" w14:textId="77777777" w:rsidR="002429F1" w:rsidRPr="002429F1" w:rsidRDefault="002429F1" w:rsidP="002429F1">
      <w:pPr>
        <w:spacing w:after="120"/>
        <w:jc w:val="both"/>
        <w:rPr>
          <w:rFonts w:ascii="Arial" w:hAnsi="Arial" w:cs="Arial"/>
          <w:sz w:val="20"/>
          <w:szCs w:val="20"/>
        </w:rPr>
      </w:pPr>
      <w:r w:rsidRPr="002429F1">
        <w:rPr>
          <w:rFonts w:ascii="Arial" w:hAnsi="Arial" w:cs="Arial"/>
          <w:sz w:val="20"/>
          <w:szCs w:val="20"/>
        </w:rPr>
        <w:t>Prekročenie termínu úhrady bolo vo väčšine prípadov spôsobené predložením nesprávnej ŽoP, resp. chýbajúcej dokumentácie, nevyhnutnej k overeniu oprávnenosti predložených výdavkov bola zasielaná výzva na doplnenie, v rámci ktorého mal prijímateľ zo Systému riadenia ŠF a KF na programové obdobie 2007-2013 nárok na minimálne 7 dňovú lehotu v závislosti od závažnosti nedostatku. V mnohých prípadoch sám prijímateľ žiadal RO o predĺženie stanovenej lehoty.</w:t>
      </w:r>
    </w:p>
    <w:p w14:paraId="4964F818" w14:textId="77777777" w:rsidR="002429F1" w:rsidRPr="002429F1" w:rsidRDefault="002429F1" w:rsidP="002429F1">
      <w:pPr>
        <w:spacing w:after="120"/>
        <w:jc w:val="both"/>
        <w:rPr>
          <w:rFonts w:ascii="Arial" w:hAnsi="Arial" w:cs="Arial"/>
          <w:sz w:val="20"/>
          <w:szCs w:val="20"/>
        </w:rPr>
      </w:pPr>
      <w:r w:rsidRPr="002429F1">
        <w:rPr>
          <w:rFonts w:ascii="Arial" w:hAnsi="Arial" w:cs="Arial"/>
          <w:sz w:val="20"/>
          <w:szCs w:val="20"/>
        </w:rPr>
        <w:t>Miera dodržiavania lehôt na úhradu platieb prijímateľom bola ovplyvnená aj procesom kontroly  verejného obstarávania v prípade, že dokumentáciu k VO  prijímateľ predkladal spolu s predloženými výdavkami.</w:t>
      </w:r>
    </w:p>
    <w:p w14:paraId="418E9280" w14:textId="77777777" w:rsidR="002429F1" w:rsidRPr="002429F1" w:rsidRDefault="002429F1" w:rsidP="002429F1">
      <w:pPr>
        <w:spacing w:after="120"/>
        <w:jc w:val="both"/>
        <w:rPr>
          <w:rFonts w:ascii="Arial" w:hAnsi="Arial" w:cs="Arial"/>
          <w:sz w:val="20"/>
          <w:szCs w:val="20"/>
        </w:rPr>
      </w:pPr>
      <w:r w:rsidRPr="002429F1">
        <w:rPr>
          <w:rFonts w:ascii="Arial" w:hAnsi="Arial" w:cs="Arial"/>
          <w:sz w:val="20"/>
          <w:szCs w:val="20"/>
        </w:rPr>
        <w:t>V uvedených prípadoch sú zahrnuté aj záverečné žiadosti o platbu, kedy SORO muselo vykonať kontrolu realizácie projektu na mieste a termín úhrady sa v zmysle platných pravidiel predlžuje o čas potrebný na kontrolu, spracovanie správy z kontroly a jej podpis zo strany prijímateľa.</w:t>
      </w:r>
    </w:p>
    <w:p w14:paraId="159713EA" w14:textId="77777777" w:rsidR="002429F1" w:rsidRPr="002429F1" w:rsidRDefault="002429F1" w:rsidP="002429F1">
      <w:pPr>
        <w:spacing w:after="120"/>
        <w:jc w:val="both"/>
        <w:rPr>
          <w:rFonts w:ascii="Arial" w:hAnsi="Arial" w:cs="Arial"/>
          <w:sz w:val="20"/>
          <w:szCs w:val="20"/>
        </w:rPr>
      </w:pPr>
      <w:r w:rsidRPr="002429F1">
        <w:rPr>
          <w:rFonts w:ascii="Arial" w:hAnsi="Arial" w:cs="Arial"/>
          <w:sz w:val="20"/>
          <w:szCs w:val="20"/>
        </w:rPr>
        <w:lastRenderedPageBreak/>
        <w:t xml:space="preserve">Tieto termíny, ktoré predlžujú čas potrebný na vykonanie kontroly, nie sú odrátané od stanovenej lehoty na spracovanie a kontrolu ŽoP. </w:t>
      </w:r>
    </w:p>
    <w:p w14:paraId="3FABDDE3" w14:textId="77777777" w:rsidR="002429F1" w:rsidRDefault="002429F1" w:rsidP="00BD4002">
      <w:pPr>
        <w:spacing w:before="120" w:after="120"/>
        <w:jc w:val="both"/>
        <w:rPr>
          <w:rFonts w:ascii="Arial" w:hAnsi="Arial" w:cs="Arial"/>
          <w:sz w:val="20"/>
          <w:szCs w:val="20"/>
        </w:rPr>
      </w:pPr>
      <w:r w:rsidRPr="002429F1">
        <w:rPr>
          <w:rFonts w:ascii="Arial" w:hAnsi="Arial" w:cs="Arial"/>
          <w:sz w:val="20"/>
          <w:szCs w:val="20"/>
        </w:rPr>
        <w:t>Lehota na kontrolu ŽoP bola predlžená resp. pozastavená v prípade riešenia zistení z certifikačného overovania, individuálnych finančných opráv prípadne prebiehajúcich správnych konaní a prebiehajúcich kontrol VO na ÚVO.</w:t>
      </w:r>
    </w:p>
    <w:p w14:paraId="737C1425" w14:textId="77777777" w:rsidR="002416B1" w:rsidRPr="002526CC" w:rsidRDefault="002416B1" w:rsidP="00123376">
      <w:pPr>
        <w:pStyle w:val="Nadpis3"/>
        <w:spacing w:after="120"/>
        <w:jc w:val="both"/>
        <w:rPr>
          <w:rFonts w:cs="Arial"/>
        </w:rPr>
      </w:pPr>
      <w:bookmarkStart w:id="20" w:name="_Toc466914510"/>
      <w:r w:rsidRPr="00F7290C">
        <w:rPr>
          <w:rFonts w:cs="Arial"/>
        </w:rPr>
        <w:t>2.1.3 Implementácia štrukturálnych fondov a Kohézneho fondu z regionálneho aspektu</w:t>
      </w:r>
      <w:bookmarkEnd w:id="20"/>
    </w:p>
    <w:p w14:paraId="7A1DD051" w14:textId="77777777" w:rsidR="002416B1" w:rsidRPr="00E21C60" w:rsidRDefault="00685184" w:rsidP="00123376">
      <w:pPr>
        <w:spacing w:before="240" w:after="120"/>
        <w:jc w:val="both"/>
        <w:rPr>
          <w:rFonts w:ascii="Arial" w:hAnsi="Arial" w:cs="Arial"/>
          <w:sz w:val="20"/>
          <w:szCs w:val="20"/>
        </w:rPr>
      </w:pPr>
      <w:r w:rsidRPr="00E21C60">
        <w:rPr>
          <w:rFonts w:ascii="Arial" w:hAnsi="Arial" w:cs="Arial"/>
          <w:sz w:val="20"/>
          <w:szCs w:val="20"/>
        </w:rPr>
        <w:t xml:space="preserve">Jedným z východísk tvorby </w:t>
      </w:r>
      <w:r w:rsidR="002416B1" w:rsidRPr="00E21C60">
        <w:rPr>
          <w:rFonts w:ascii="Arial" w:hAnsi="Arial" w:cs="Arial"/>
          <w:sz w:val="20"/>
          <w:szCs w:val="20"/>
        </w:rPr>
        <w:t>OP ŽP bola analýza socioekonomickej situácie SR, v rámci ktorej ako jedna z dôležitých disparít bola identifikovaná nedostatočná kvalita a nedobudovanosť environmentálnej infraštruktúry. Stav environmentálnej infraštruktúry patrí k rozhodujúcim faktorom ekonomického rozvoja a konkurencieschopnosti ekonomiky, pričom OP ŽP prostredníctvom svojich prioritných osí, resp. operačných cieľov prispieva k budovaniu a modernizácii environmentálnej infraštruktúry a ochrane životného prostredia, a tým k</w:t>
      </w:r>
      <w:r w:rsidR="00957B1B" w:rsidRPr="00E21C60">
        <w:rPr>
          <w:rFonts w:ascii="Arial" w:hAnsi="Arial" w:cs="Arial"/>
          <w:sz w:val="20"/>
          <w:szCs w:val="20"/>
        </w:rPr>
        <w:t> podpore rozvoja</w:t>
      </w:r>
      <w:r w:rsidR="002416B1" w:rsidRPr="00E21C60">
        <w:rPr>
          <w:rFonts w:ascii="Arial" w:hAnsi="Arial" w:cs="Arial"/>
          <w:sz w:val="20"/>
          <w:szCs w:val="20"/>
        </w:rPr>
        <w:t>  regi</w:t>
      </w:r>
      <w:r w:rsidR="00957B1B" w:rsidRPr="00E21C60">
        <w:rPr>
          <w:rFonts w:ascii="Arial" w:hAnsi="Arial" w:cs="Arial"/>
          <w:sz w:val="20"/>
          <w:szCs w:val="20"/>
        </w:rPr>
        <w:t>ónov.</w:t>
      </w:r>
      <w:r w:rsidR="002416B1" w:rsidRPr="00E21C60">
        <w:rPr>
          <w:rFonts w:ascii="Arial" w:hAnsi="Arial" w:cs="Arial"/>
          <w:sz w:val="20"/>
          <w:szCs w:val="20"/>
        </w:rPr>
        <w:t xml:space="preserve"> </w:t>
      </w:r>
    </w:p>
    <w:p w14:paraId="64CD9D73" w14:textId="77777777" w:rsidR="00957B1B" w:rsidRPr="00E21C60" w:rsidRDefault="00957B1B" w:rsidP="00123376">
      <w:pPr>
        <w:spacing w:before="240" w:after="120"/>
        <w:jc w:val="both"/>
        <w:rPr>
          <w:rFonts w:ascii="Arial" w:hAnsi="Arial" w:cs="Arial"/>
          <w:sz w:val="20"/>
          <w:szCs w:val="20"/>
        </w:rPr>
      </w:pPr>
      <w:r w:rsidRPr="00E21C60">
        <w:rPr>
          <w:rFonts w:ascii="Arial" w:hAnsi="Arial" w:cs="Arial"/>
          <w:b/>
          <w:sz w:val="20"/>
          <w:szCs w:val="20"/>
        </w:rPr>
        <w:t>Analýza uplatňovania indikatívnych regionálnych alokácií v rámci OP ŽP</w:t>
      </w:r>
    </w:p>
    <w:p w14:paraId="5748ED96" w14:textId="5BFE3AC8" w:rsidR="003C14CC" w:rsidRPr="00E21C60" w:rsidRDefault="003C14CC" w:rsidP="003C14CC">
      <w:pPr>
        <w:spacing w:before="120" w:after="120"/>
        <w:jc w:val="both"/>
        <w:rPr>
          <w:rFonts w:ascii="Arial" w:hAnsi="Arial" w:cs="Arial"/>
          <w:sz w:val="20"/>
          <w:szCs w:val="20"/>
          <w:u w:val="single"/>
        </w:rPr>
      </w:pPr>
      <w:r w:rsidRPr="00F87D11">
        <w:rPr>
          <w:rFonts w:ascii="Arial" w:hAnsi="Arial" w:cs="Arial"/>
          <w:sz w:val="20"/>
          <w:szCs w:val="20"/>
        </w:rPr>
        <w:t xml:space="preserve">OP ŽP </w:t>
      </w:r>
      <w:r w:rsidR="00827E9F">
        <w:rPr>
          <w:rFonts w:ascii="Arial" w:hAnsi="Arial" w:cs="Arial"/>
          <w:sz w:val="20"/>
          <w:szCs w:val="20"/>
        </w:rPr>
        <w:t>bol</w:t>
      </w:r>
      <w:r w:rsidRPr="00F87D11">
        <w:rPr>
          <w:rFonts w:ascii="Arial" w:hAnsi="Arial" w:cs="Arial"/>
          <w:sz w:val="20"/>
          <w:szCs w:val="20"/>
        </w:rPr>
        <w:t xml:space="preserve"> z prevažnej časti (1 569 243 065 </w:t>
      </w:r>
      <w:r w:rsidR="00366C2D" w:rsidRPr="00F87D11">
        <w:rPr>
          <w:rFonts w:ascii="Arial" w:hAnsi="Arial" w:cs="Arial"/>
          <w:sz w:val="20"/>
          <w:szCs w:val="20"/>
        </w:rPr>
        <w:t>€</w:t>
      </w:r>
      <w:r w:rsidRPr="00F87D11">
        <w:rPr>
          <w:rFonts w:ascii="Arial" w:hAnsi="Arial" w:cs="Arial"/>
          <w:sz w:val="20"/>
          <w:szCs w:val="20"/>
        </w:rPr>
        <w:t>) financovaný</w:t>
      </w:r>
      <w:r w:rsidRPr="00E21C60">
        <w:rPr>
          <w:rFonts w:ascii="Arial" w:hAnsi="Arial" w:cs="Arial"/>
          <w:sz w:val="20"/>
          <w:szCs w:val="20"/>
        </w:rPr>
        <w:t xml:space="preserve"> z prostriedkov Kohézneho fondu, ktorého programovanie sa uskutočň</w:t>
      </w:r>
      <w:r w:rsidR="00827E9F">
        <w:rPr>
          <w:rFonts w:ascii="Arial" w:hAnsi="Arial" w:cs="Arial"/>
          <w:sz w:val="20"/>
          <w:szCs w:val="20"/>
        </w:rPr>
        <w:t>ovalo</w:t>
      </w:r>
      <w:r w:rsidRPr="00E21C60">
        <w:rPr>
          <w:rFonts w:ascii="Arial" w:hAnsi="Arial" w:cs="Arial"/>
          <w:sz w:val="20"/>
          <w:szCs w:val="20"/>
        </w:rPr>
        <w:t xml:space="preserve"> na úrovni NUTS I</w:t>
      </w:r>
      <w:r w:rsidR="00F06929">
        <w:rPr>
          <w:rFonts w:ascii="Arial" w:hAnsi="Arial" w:cs="Arial"/>
          <w:sz w:val="20"/>
          <w:szCs w:val="20"/>
        </w:rPr>
        <w:t xml:space="preserve"> – Slovenská republika</w:t>
      </w:r>
      <w:r w:rsidRPr="00E21C60">
        <w:rPr>
          <w:rFonts w:ascii="Arial" w:hAnsi="Arial" w:cs="Arial"/>
          <w:sz w:val="20"/>
          <w:szCs w:val="20"/>
        </w:rPr>
        <w:t xml:space="preserve">. Stratégia OP ŽP a následne aj jeho implementácia </w:t>
      </w:r>
      <w:r>
        <w:rPr>
          <w:rFonts w:ascii="Arial" w:hAnsi="Arial" w:cs="Arial"/>
          <w:sz w:val="20"/>
          <w:szCs w:val="20"/>
        </w:rPr>
        <w:t>bola</w:t>
      </w:r>
      <w:r w:rsidRPr="00E21C60">
        <w:rPr>
          <w:rFonts w:ascii="Arial" w:hAnsi="Arial" w:cs="Arial"/>
          <w:sz w:val="20"/>
          <w:szCs w:val="20"/>
        </w:rPr>
        <w:t xml:space="preserve"> preto v prvom rade podriadená dosiahnutiu globálneho cieľa OP ŽP na národnej úrovni, ktorým </w:t>
      </w:r>
      <w:r w:rsidR="00827E9F">
        <w:rPr>
          <w:rFonts w:ascii="Arial" w:hAnsi="Arial" w:cs="Arial"/>
          <w:sz w:val="20"/>
          <w:szCs w:val="20"/>
        </w:rPr>
        <w:t>bolo</w:t>
      </w:r>
      <w:r w:rsidRPr="00E21C60">
        <w:rPr>
          <w:rFonts w:ascii="Arial" w:hAnsi="Arial" w:cs="Arial"/>
          <w:sz w:val="20"/>
          <w:szCs w:val="20"/>
        </w:rPr>
        <w:t xml:space="preserve"> zlepšenie stavu životného prostredia SR prostredníctvom dobudovania a skvalitnenia environmentálnej infraštruktúry SR v zmysle predpisov SR a EÚ, so zameraním najmä na splnenie záväzkov SR vyplývajúcich zo Zmluvy o pristúpení k EÚ.</w:t>
      </w:r>
      <w:r w:rsidRPr="00E21C60">
        <w:rPr>
          <w:rFonts w:ascii="Arial" w:hAnsi="Arial" w:cs="Arial"/>
          <w:sz w:val="20"/>
          <w:szCs w:val="20"/>
          <w:u w:val="single"/>
        </w:rPr>
        <w:t xml:space="preserve"> </w:t>
      </w:r>
    </w:p>
    <w:p w14:paraId="23CF7F04" w14:textId="0ADF58EB" w:rsidR="003C14CC" w:rsidRPr="00E21C60" w:rsidRDefault="003C14CC" w:rsidP="003C14CC">
      <w:pPr>
        <w:spacing w:before="120" w:after="120"/>
        <w:jc w:val="both"/>
        <w:rPr>
          <w:rFonts w:ascii="Arial" w:hAnsi="Arial" w:cs="Arial"/>
          <w:sz w:val="20"/>
          <w:szCs w:val="20"/>
        </w:rPr>
      </w:pPr>
      <w:r w:rsidRPr="00E21C60">
        <w:rPr>
          <w:rFonts w:ascii="Arial" w:hAnsi="Arial" w:cs="Arial"/>
          <w:sz w:val="20"/>
          <w:szCs w:val="20"/>
        </w:rPr>
        <w:t xml:space="preserve">Indikatívne rozdelenie alokácie na regionálnej úrovni </w:t>
      </w:r>
      <w:r w:rsidR="00827E9F">
        <w:rPr>
          <w:rFonts w:ascii="Arial" w:hAnsi="Arial" w:cs="Arial"/>
          <w:sz w:val="20"/>
          <w:szCs w:val="20"/>
        </w:rPr>
        <w:t>bolo</w:t>
      </w:r>
      <w:r w:rsidRPr="00E21C60">
        <w:rPr>
          <w:rFonts w:ascii="Arial" w:hAnsi="Arial" w:cs="Arial"/>
          <w:sz w:val="20"/>
          <w:szCs w:val="20"/>
        </w:rPr>
        <w:t xml:space="preserve"> preto podriadené dosiahnutiu vyššie uvedeného cieľa na národnej úrovni a teda </w:t>
      </w:r>
      <w:r w:rsidR="00827E9F">
        <w:rPr>
          <w:rFonts w:ascii="Arial" w:hAnsi="Arial" w:cs="Arial"/>
          <w:sz w:val="20"/>
          <w:szCs w:val="20"/>
        </w:rPr>
        <w:t>bolo</w:t>
      </w:r>
      <w:r w:rsidRPr="00E21C60">
        <w:rPr>
          <w:rFonts w:ascii="Arial" w:hAnsi="Arial" w:cs="Arial"/>
          <w:sz w:val="20"/>
          <w:szCs w:val="20"/>
        </w:rPr>
        <w:t xml:space="preserve"> významné v tej miere, v akej napomáha dosiahnutiu hlavného cieľa na úrovni NUTS I.</w:t>
      </w:r>
    </w:p>
    <w:p w14:paraId="6A488907" w14:textId="77777777" w:rsidR="003C14CC" w:rsidRPr="00935C61" w:rsidRDefault="003C14CC" w:rsidP="003C14CC">
      <w:pPr>
        <w:spacing w:before="120" w:after="120"/>
        <w:jc w:val="both"/>
        <w:rPr>
          <w:rFonts w:ascii="Arial" w:hAnsi="Arial" w:cs="Arial"/>
          <w:sz w:val="20"/>
          <w:szCs w:val="20"/>
        </w:rPr>
      </w:pPr>
      <w:r w:rsidRPr="00E21C60">
        <w:rPr>
          <w:rFonts w:ascii="Arial" w:hAnsi="Arial" w:cs="Arial"/>
          <w:sz w:val="20"/>
          <w:szCs w:val="20"/>
        </w:rPr>
        <w:t xml:space="preserve">Indikatívne regionálne alokácie sú v rámci OP ŽP prílohou č. 15 </w:t>
      </w:r>
      <w:r w:rsidRPr="00E21C60">
        <w:rPr>
          <w:rFonts w:ascii="Arial" w:hAnsi="Arial" w:cs="Arial"/>
          <w:bCs/>
          <w:sz w:val="20"/>
          <w:szCs w:val="20"/>
        </w:rPr>
        <w:t>Východiská a zdôvodnenie indikatívneho rozdelenia alokácií na regionálnej úrovni</w:t>
      </w:r>
      <w:r w:rsidRPr="00E21C60">
        <w:rPr>
          <w:rFonts w:ascii="Arial" w:hAnsi="Arial" w:cs="Arial"/>
          <w:sz w:val="20"/>
          <w:szCs w:val="20"/>
        </w:rPr>
        <w:t xml:space="preserve">. Regionálne alokácie uvedené v prílohe č. 15 OP ŽP sú </w:t>
      </w:r>
      <w:r w:rsidRPr="007B5722">
        <w:rPr>
          <w:rFonts w:ascii="Arial" w:hAnsi="Arial" w:cs="Arial"/>
          <w:sz w:val="20"/>
          <w:szCs w:val="20"/>
        </w:rPr>
        <w:t>zadefinované ako také, ktoré majú indikatívny, t.j. orientačný, a nie záväzný charakter. Zadefinovanie regionálnych alokácií ako nezáväzných je jednoznačne a explicitne uvedené aj v</w:t>
      </w:r>
      <w:r w:rsidRPr="00935C61">
        <w:rPr>
          <w:rFonts w:ascii="Arial" w:hAnsi="Arial" w:cs="Arial"/>
          <w:sz w:val="20"/>
          <w:szCs w:val="20"/>
        </w:rPr>
        <w:t xml:space="preserve"> texte uvedenej  prílohy, v úvode ktorej sa  </w:t>
      </w:r>
      <w:r w:rsidRPr="003B39DF">
        <w:rPr>
          <w:rFonts w:ascii="Arial" w:hAnsi="Arial" w:cs="Arial"/>
          <w:sz w:val="20"/>
          <w:szCs w:val="20"/>
        </w:rPr>
        <w:t>priamo konštatuje, že: „</w:t>
      </w:r>
      <w:r w:rsidRPr="007831CE">
        <w:rPr>
          <w:rFonts w:ascii="Arial" w:hAnsi="Arial" w:cs="Arial"/>
          <w:sz w:val="20"/>
          <w:szCs w:val="20"/>
        </w:rPr>
        <w:t>Percentuálne prerozdelenie finančných prostriedkov pre jednotlivé kraje</w:t>
      </w:r>
      <w:r w:rsidRPr="007B5722">
        <w:rPr>
          <w:rFonts w:ascii="Arial" w:hAnsi="Arial" w:cs="Arial"/>
          <w:sz w:val="20"/>
          <w:szCs w:val="20"/>
        </w:rPr>
        <w:t xml:space="preserve"> (NUTS III) </w:t>
      </w:r>
      <w:r w:rsidRPr="007831CE">
        <w:rPr>
          <w:rFonts w:ascii="Arial" w:hAnsi="Arial" w:cs="Arial"/>
          <w:sz w:val="20"/>
          <w:szCs w:val="20"/>
        </w:rPr>
        <w:t>je potrebné  považovať za orientačné</w:t>
      </w:r>
      <w:r w:rsidRPr="007B5722">
        <w:rPr>
          <w:rFonts w:ascii="Arial" w:hAnsi="Arial" w:cs="Arial"/>
          <w:sz w:val="20"/>
          <w:szCs w:val="20"/>
        </w:rPr>
        <w:t>, vytvorené odborným odhadom na základe podkladov, ktoré boli k dispozícii</w:t>
      </w:r>
      <w:r w:rsidRPr="00935C61">
        <w:rPr>
          <w:rFonts w:ascii="Arial" w:hAnsi="Arial" w:cs="Arial"/>
          <w:sz w:val="20"/>
          <w:szCs w:val="20"/>
        </w:rPr>
        <w:t xml:space="preserve"> v rámci prípravy operačného programu.</w:t>
      </w:r>
    </w:p>
    <w:p w14:paraId="7BBDC3CE" w14:textId="2DF30D03" w:rsidR="003C14CC" w:rsidRPr="00935C61" w:rsidRDefault="003C14CC" w:rsidP="003C14CC">
      <w:pPr>
        <w:overflowPunct w:val="0"/>
        <w:autoSpaceDE w:val="0"/>
        <w:autoSpaceDN w:val="0"/>
        <w:adjustRightInd w:val="0"/>
        <w:spacing w:before="120" w:after="120"/>
        <w:jc w:val="both"/>
        <w:textAlignment w:val="baseline"/>
        <w:rPr>
          <w:rFonts w:ascii="Arial" w:hAnsi="Arial" w:cs="Arial"/>
          <w:sz w:val="20"/>
          <w:szCs w:val="20"/>
        </w:rPr>
      </w:pPr>
      <w:r w:rsidRPr="00935C61">
        <w:rPr>
          <w:rFonts w:ascii="Arial" w:hAnsi="Arial" w:cs="Arial"/>
          <w:sz w:val="20"/>
          <w:szCs w:val="20"/>
        </w:rPr>
        <w:t xml:space="preserve">V súvislosti s problematikou regionálnych alokácií v rámci OP ŽP je potrebné zdôrazniť, že OP ŽP ako program financovaný prevažne z KF, </w:t>
      </w:r>
      <w:r w:rsidR="00827E9F">
        <w:rPr>
          <w:rFonts w:ascii="Arial" w:hAnsi="Arial" w:cs="Arial"/>
          <w:sz w:val="20"/>
          <w:szCs w:val="20"/>
        </w:rPr>
        <w:t>bol</w:t>
      </w:r>
      <w:r w:rsidRPr="00935C61">
        <w:rPr>
          <w:rFonts w:ascii="Arial" w:hAnsi="Arial" w:cs="Arial"/>
          <w:sz w:val="20"/>
          <w:szCs w:val="20"/>
        </w:rPr>
        <w:t xml:space="preserve"> programovaný na národnej úrovni. Skutočnosť, že relevantnou úrovňou programovania OP ŽP </w:t>
      </w:r>
      <w:r w:rsidR="00827E9F">
        <w:rPr>
          <w:rFonts w:ascii="Arial" w:hAnsi="Arial" w:cs="Arial"/>
          <w:sz w:val="20"/>
          <w:szCs w:val="20"/>
        </w:rPr>
        <w:t>bola</w:t>
      </w:r>
      <w:r w:rsidRPr="00935C61">
        <w:rPr>
          <w:rFonts w:ascii="Arial" w:hAnsi="Arial" w:cs="Arial"/>
          <w:sz w:val="20"/>
          <w:szCs w:val="20"/>
        </w:rPr>
        <w:t xml:space="preserve"> národná úroveň, vyplýva priamo z čl. 35 ods. 1 všeobecného nariadenia, vychádzajúc z ktorého sa priamo v úvode OP ŽP (kap. 1 Súhrnný obsah dokumentu, str. 3) uvádza, že: „V súlade s článkom 35 ods. 1 všeobecného nariadenia je OP ŽP vypracovaný na národnej úrovni“.</w:t>
      </w:r>
    </w:p>
    <w:p w14:paraId="3A0DB61D" w14:textId="000F1DE7" w:rsidR="003C14CC" w:rsidRDefault="003C14CC" w:rsidP="007831CE">
      <w:pPr>
        <w:spacing w:before="120" w:after="120"/>
        <w:jc w:val="both"/>
        <w:rPr>
          <w:rFonts w:ascii="Arial" w:hAnsi="Arial" w:cs="Arial"/>
          <w:sz w:val="20"/>
          <w:szCs w:val="20"/>
        </w:rPr>
      </w:pPr>
      <w:r w:rsidRPr="007831CE">
        <w:rPr>
          <w:rFonts w:ascii="Arial" w:hAnsi="Arial" w:cs="Arial"/>
          <w:sz w:val="20"/>
          <w:szCs w:val="20"/>
        </w:rPr>
        <w:t xml:space="preserve">Vzhľadom na to, že OP ŽP </w:t>
      </w:r>
      <w:r w:rsidR="00827E9F">
        <w:rPr>
          <w:rFonts w:ascii="Arial" w:hAnsi="Arial" w:cs="Arial"/>
          <w:sz w:val="20"/>
          <w:szCs w:val="20"/>
        </w:rPr>
        <w:t>bol</w:t>
      </w:r>
      <w:r w:rsidRPr="007831CE">
        <w:rPr>
          <w:rFonts w:ascii="Arial" w:hAnsi="Arial" w:cs="Arial"/>
          <w:sz w:val="20"/>
          <w:szCs w:val="20"/>
        </w:rPr>
        <w:t xml:space="preserve"> financované prostredníctvom KF, pre ktorého programovanie </w:t>
      </w:r>
      <w:r w:rsidR="00827E9F">
        <w:rPr>
          <w:rFonts w:ascii="Arial" w:hAnsi="Arial" w:cs="Arial"/>
          <w:sz w:val="20"/>
          <w:szCs w:val="20"/>
        </w:rPr>
        <w:t>bola</w:t>
      </w:r>
      <w:r w:rsidRPr="007831CE">
        <w:rPr>
          <w:rFonts w:ascii="Arial" w:hAnsi="Arial" w:cs="Arial"/>
          <w:sz w:val="20"/>
          <w:szCs w:val="20"/>
        </w:rPr>
        <w:t xml:space="preserve"> relevantná národná úroveň, </w:t>
      </w:r>
      <w:r w:rsidR="00827E9F">
        <w:rPr>
          <w:rFonts w:ascii="Arial" w:hAnsi="Arial" w:cs="Arial"/>
          <w:sz w:val="20"/>
          <w:szCs w:val="20"/>
        </w:rPr>
        <w:t>nebolo</w:t>
      </w:r>
      <w:r w:rsidRPr="007831CE">
        <w:rPr>
          <w:rFonts w:ascii="Arial" w:hAnsi="Arial" w:cs="Arial"/>
          <w:sz w:val="20"/>
          <w:szCs w:val="20"/>
        </w:rPr>
        <w:t xml:space="preserve"> aplikovanie regionálneho princípu a požiadaviek na „dodržiavanie regionálnej alokácie“ takým istým spôsobom, ako v prípade operačných programov financovaných z ERDF alebo ESF, </w:t>
      </w:r>
      <w:r w:rsidRPr="007831CE">
        <w:rPr>
          <w:rFonts w:ascii="Arial" w:hAnsi="Arial" w:cs="Arial"/>
          <w:sz w:val="20"/>
          <w:szCs w:val="20"/>
          <w:u w:val="single"/>
        </w:rPr>
        <w:t>opodstatnené a relevantné</w:t>
      </w:r>
      <w:r w:rsidRPr="007831CE">
        <w:rPr>
          <w:rFonts w:ascii="Arial" w:hAnsi="Arial" w:cs="Arial"/>
          <w:sz w:val="20"/>
          <w:szCs w:val="20"/>
        </w:rPr>
        <w:t xml:space="preserve">. Nakoľko </w:t>
      </w:r>
      <w:r w:rsidRPr="007831CE">
        <w:rPr>
          <w:rFonts w:ascii="Arial" w:hAnsi="Arial" w:cs="Arial"/>
          <w:sz w:val="20"/>
          <w:szCs w:val="20"/>
          <w:u w:val="single"/>
        </w:rPr>
        <w:t xml:space="preserve">hlavným účelom použitia prostriedkov OP ŽP </w:t>
      </w:r>
      <w:r w:rsidR="00827E9F">
        <w:rPr>
          <w:rFonts w:ascii="Arial" w:hAnsi="Arial" w:cs="Arial"/>
          <w:sz w:val="20"/>
          <w:szCs w:val="20"/>
          <w:u w:val="single"/>
        </w:rPr>
        <w:t>bola</w:t>
      </w:r>
      <w:r w:rsidRPr="007831CE">
        <w:rPr>
          <w:rFonts w:ascii="Arial" w:hAnsi="Arial" w:cs="Arial"/>
          <w:sz w:val="20"/>
          <w:szCs w:val="20"/>
          <w:u w:val="single"/>
        </w:rPr>
        <w:t xml:space="preserve"> podpora plnenia záväzkov SR v oblasti životného prostredia vyplývajúcich zo Zmluvy o pristúpení k EÚ, teda podpora investícií do environmentálnej infraštruktúry v celoštátnom (národnom) záujme možno riešenie problematiky </w:t>
      </w:r>
      <w:r w:rsidRPr="007831CE">
        <w:rPr>
          <w:rFonts w:ascii="Arial" w:hAnsi="Arial" w:cs="Arial"/>
          <w:sz w:val="20"/>
          <w:szCs w:val="20"/>
        </w:rPr>
        <w:t>regionálnych rozdielov považovať za sekundárny efekt realizácie programu.</w:t>
      </w:r>
      <w:r w:rsidRPr="007831CE">
        <w:rPr>
          <w:rFonts w:ascii="Arial" w:hAnsi="Arial" w:cs="Arial"/>
          <w:sz w:val="20"/>
          <w:szCs w:val="20"/>
          <w:u w:val="single"/>
        </w:rPr>
        <w:t xml:space="preserve"> Vyplýva to aj zo špecifika </w:t>
      </w:r>
      <w:r w:rsidRPr="007831CE">
        <w:rPr>
          <w:rFonts w:ascii="Arial" w:hAnsi="Arial" w:cs="Arial"/>
          <w:sz w:val="20"/>
          <w:szCs w:val="20"/>
        </w:rPr>
        <w:t xml:space="preserve">aktivít v oblasti životného prostredia, </w:t>
      </w:r>
      <w:r>
        <w:rPr>
          <w:rFonts w:ascii="Arial" w:hAnsi="Arial" w:cs="Arial"/>
          <w:sz w:val="20"/>
          <w:szCs w:val="20"/>
        </w:rPr>
        <w:t xml:space="preserve">ktoré </w:t>
      </w:r>
      <w:r w:rsidR="00827E9F">
        <w:rPr>
          <w:rFonts w:ascii="Arial" w:hAnsi="Arial" w:cs="Arial"/>
          <w:sz w:val="20"/>
          <w:szCs w:val="20"/>
        </w:rPr>
        <w:t>boli</w:t>
      </w:r>
      <w:r>
        <w:rPr>
          <w:rFonts w:ascii="Arial" w:hAnsi="Arial" w:cs="Arial"/>
          <w:sz w:val="20"/>
          <w:szCs w:val="20"/>
        </w:rPr>
        <w:t xml:space="preserve"> podporované prostredníctvom OP ŽP, pre väčšinu ktorých </w:t>
      </w:r>
      <w:r w:rsidR="00827E9F">
        <w:rPr>
          <w:rFonts w:ascii="Arial" w:hAnsi="Arial" w:cs="Arial"/>
          <w:sz w:val="20"/>
          <w:szCs w:val="20"/>
        </w:rPr>
        <w:t>nebolo</w:t>
      </w:r>
      <w:r>
        <w:rPr>
          <w:rFonts w:ascii="Arial" w:hAnsi="Arial" w:cs="Arial"/>
          <w:sz w:val="20"/>
          <w:szCs w:val="20"/>
        </w:rPr>
        <w:t xml:space="preserve"> </w:t>
      </w:r>
      <w:r w:rsidRPr="007831CE">
        <w:rPr>
          <w:rFonts w:ascii="Arial" w:hAnsi="Arial" w:cs="Arial"/>
          <w:sz w:val="20"/>
          <w:szCs w:val="20"/>
        </w:rPr>
        <w:t>členenie podľa administratívnych hraníc relevantné</w:t>
      </w:r>
      <w:r>
        <w:rPr>
          <w:rFonts w:ascii="Arial" w:hAnsi="Arial" w:cs="Arial"/>
          <w:sz w:val="20"/>
          <w:szCs w:val="20"/>
        </w:rPr>
        <w:t xml:space="preserve"> - </w:t>
      </w:r>
      <w:r w:rsidRPr="00E21C60">
        <w:rPr>
          <w:rFonts w:ascii="Arial" w:hAnsi="Arial" w:cs="Arial"/>
          <w:sz w:val="20"/>
          <w:szCs w:val="20"/>
        </w:rPr>
        <w:t xml:space="preserve">napr. aktivity v oblasti ochrany ovzdušia, kde šírenie emisií znečisťujúcich látok </w:t>
      </w:r>
      <w:r w:rsidR="00827E9F">
        <w:rPr>
          <w:rFonts w:ascii="Arial" w:hAnsi="Arial" w:cs="Arial"/>
          <w:sz w:val="20"/>
          <w:szCs w:val="20"/>
        </w:rPr>
        <w:t>nebolo</w:t>
      </w:r>
      <w:r w:rsidRPr="00E21C60">
        <w:rPr>
          <w:rFonts w:ascii="Arial" w:hAnsi="Arial" w:cs="Arial"/>
          <w:sz w:val="20"/>
          <w:szCs w:val="20"/>
        </w:rPr>
        <w:t xml:space="preserve"> limitované hranicou okresu č</w:t>
      </w:r>
      <w:r>
        <w:rPr>
          <w:rFonts w:ascii="Arial" w:hAnsi="Arial" w:cs="Arial"/>
          <w:sz w:val="20"/>
          <w:szCs w:val="20"/>
        </w:rPr>
        <w:t>i</w:t>
      </w:r>
      <w:r w:rsidRPr="00E21C60">
        <w:rPr>
          <w:rFonts w:ascii="Arial" w:hAnsi="Arial" w:cs="Arial"/>
          <w:sz w:val="20"/>
          <w:szCs w:val="20"/>
        </w:rPr>
        <w:t xml:space="preserve"> kraja;  aktivity v oblasti ochrany prírody a krajiny, ktoré </w:t>
      </w:r>
      <w:r w:rsidR="00827E9F">
        <w:rPr>
          <w:rFonts w:ascii="Arial" w:hAnsi="Arial" w:cs="Arial"/>
          <w:sz w:val="20"/>
          <w:szCs w:val="20"/>
        </w:rPr>
        <w:t>boli</w:t>
      </w:r>
      <w:r w:rsidRPr="00E21C60">
        <w:rPr>
          <w:rFonts w:ascii="Arial" w:hAnsi="Arial" w:cs="Arial"/>
          <w:sz w:val="20"/>
          <w:szCs w:val="20"/>
        </w:rPr>
        <w:t xml:space="preserve"> závislé od polohy chránených území; protipovodňové aktivity, ktoré  sa realiz</w:t>
      </w:r>
      <w:r w:rsidR="00827E9F">
        <w:rPr>
          <w:rFonts w:ascii="Arial" w:hAnsi="Arial" w:cs="Arial"/>
          <w:sz w:val="20"/>
          <w:szCs w:val="20"/>
        </w:rPr>
        <w:t>ovali</w:t>
      </w:r>
      <w:r w:rsidRPr="00E21C60">
        <w:rPr>
          <w:rFonts w:ascii="Arial" w:hAnsi="Arial" w:cs="Arial"/>
          <w:sz w:val="20"/>
          <w:szCs w:val="20"/>
        </w:rPr>
        <w:t xml:space="preserve"> podľa povodí; aktivity </w:t>
      </w:r>
      <w:r>
        <w:rPr>
          <w:rFonts w:ascii="Arial" w:hAnsi="Arial" w:cs="Arial"/>
          <w:sz w:val="20"/>
          <w:szCs w:val="20"/>
        </w:rPr>
        <w:br/>
      </w:r>
      <w:r w:rsidRPr="00E21C60">
        <w:rPr>
          <w:rFonts w:ascii="Arial" w:hAnsi="Arial" w:cs="Arial"/>
          <w:sz w:val="20"/>
          <w:szCs w:val="20"/>
        </w:rPr>
        <w:t>v oblasti vodného hospodárstva, implementácia ktorých prebieha</w:t>
      </w:r>
      <w:r w:rsidR="00A0132C">
        <w:rPr>
          <w:rFonts w:ascii="Arial" w:hAnsi="Arial" w:cs="Arial"/>
          <w:sz w:val="20"/>
          <w:szCs w:val="20"/>
        </w:rPr>
        <w:t>la</w:t>
      </w:r>
      <w:r w:rsidRPr="00E21C60">
        <w:rPr>
          <w:rFonts w:ascii="Arial" w:hAnsi="Arial" w:cs="Arial"/>
          <w:sz w:val="20"/>
          <w:szCs w:val="20"/>
        </w:rPr>
        <w:t xml:space="preserve"> podľa aglomerácií.</w:t>
      </w:r>
    </w:p>
    <w:p w14:paraId="3B104F2D" w14:textId="3E485F07" w:rsidR="003C14CC" w:rsidRPr="007831CE" w:rsidRDefault="003C14CC" w:rsidP="003C14CC">
      <w:pPr>
        <w:overflowPunct w:val="0"/>
        <w:autoSpaceDE w:val="0"/>
        <w:autoSpaceDN w:val="0"/>
        <w:adjustRightInd w:val="0"/>
        <w:spacing w:before="120" w:after="120"/>
        <w:jc w:val="both"/>
        <w:textAlignment w:val="baseline"/>
        <w:rPr>
          <w:rFonts w:ascii="Arial" w:hAnsi="Arial" w:cs="Arial"/>
          <w:sz w:val="20"/>
          <w:szCs w:val="20"/>
          <w:u w:val="single"/>
        </w:rPr>
      </w:pPr>
      <w:r w:rsidRPr="007831CE">
        <w:rPr>
          <w:rFonts w:ascii="Arial" w:hAnsi="Arial" w:cs="Arial"/>
          <w:sz w:val="20"/>
          <w:szCs w:val="20"/>
        </w:rPr>
        <w:lastRenderedPageBreak/>
        <w:t xml:space="preserve">Reálne regionálne rozdelenie finančných alokácií v procese implementácie OP ŽP </w:t>
      </w:r>
      <w:r>
        <w:rPr>
          <w:rFonts w:ascii="Arial" w:hAnsi="Arial" w:cs="Arial"/>
          <w:sz w:val="20"/>
          <w:szCs w:val="20"/>
        </w:rPr>
        <w:t>bolo</w:t>
      </w:r>
      <w:r w:rsidRPr="007831CE">
        <w:rPr>
          <w:rFonts w:ascii="Arial" w:hAnsi="Arial" w:cs="Arial"/>
          <w:sz w:val="20"/>
          <w:szCs w:val="20"/>
        </w:rPr>
        <w:t xml:space="preserve">  ovplyvnené pripravenosťou projektov žiadateľov z jednotlivých VÚC, počtom a najmä kvalitou predložených žiadostí</w:t>
      </w:r>
      <w:r w:rsidRPr="007B5722">
        <w:rPr>
          <w:rFonts w:ascii="Arial" w:hAnsi="Arial" w:cs="Arial"/>
          <w:sz w:val="20"/>
          <w:szCs w:val="20"/>
        </w:rPr>
        <w:t xml:space="preserve">“. </w:t>
      </w:r>
    </w:p>
    <w:p w14:paraId="32AEF594" w14:textId="2236AC93" w:rsidR="003C14CC" w:rsidRDefault="003C14CC" w:rsidP="003C14CC">
      <w:pPr>
        <w:spacing w:before="120" w:after="120"/>
        <w:jc w:val="both"/>
        <w:rPr>
          <w:rFonts w:ascii="Arial" w:hAnsi="Arial" w:cs="Arial"/>
          <w:sz w:val="20"/>
          <w:szCs w:val="20"/>
        </w:rPr>
      </w:pPr>
      <w:r w:rsidRPr="00774CFB">
        <w:rPr>
          <w:rFonts w:ascii="Arial" w:hAnsi="Arial" w:cs="Arial"/>
          <w:sz w:val="20"/>
          <w:szCs w:val="20"/>
        </w:rPr>
        <w:t>Stav naplnenia indikatívnych regionálnych alokácií/ú</w:t>
      </w:r>
      <w:r w:rsidRPr="00774CFB">
        <w:rPr>
          <w:rFonts w:ascii="Arial" w:hAnsi="Arial" w:cs="Arial"/>
          <w:bCs/>
          <w:sz w:val="20"/>
          <w:szCs w:val="20"/>
        </w:rPr>
        <w:t>spešnosť regiónov podľa výšky zazmluvnených finančných prostriedkov</w:t>
      </w:r>
      <w:r w:rsidR="00774CFB" w:rsidRPr="00774CFB">
        <w:rPr>
          <w:rFonts w:ascii="Arial" w:hAnsi="Arial" w:cs="Arial"/>
          <w:sz w:val="20"/>
          <w:szCs w:val="20"/>
        </w:rPr>
        <w:t xml:space="preserve"> OP ŽP k 31.10</w:t>
      </w:r>
      <w:r w:rsidRPr="00774CFB">
        <w:rPr>
          <w:rFonts w:ascii="Arial" w:hAnsi="Arial" w:cs="Arial"/>
          <w:sz w:val="20"/>
          <w:szCs w:val="20"/>
        </w:rPr>
        <w:t>.201</w:t>
      </w:r>
      <w:r w:rsidR="00774CFB" w:rsidRPr="00774CFB">
        <w:rPr>
          <w:rFonts w:ascii="Arial" w:hAnsi="Arial" w:cs="Arial"/>
          <w:sz w:val="20"/>
          <w:szCs w:val="20"/>
        </w:rPr>
        <w:t>6</w:t>
      </w:r>
      <w:r w:rsidRPr="00774CFB">
        <w:rPr>
          <w:rFonts w:ascii="Arial" w:hAnsi="Arial" w:cs="Arial"/>
          <w:sz w:val="20"/>
          <w:szCs w:val="20"/>
        </w:rPr>
        <w:t xml:space="preserve"> je nasledovná:</w:t>
      </w:r>
    </w:p>
    <w:p w14:paraId="3D2A6351" w14:textId="71BCFFD2" w:rsidR="00B41C71" w:rsidRPr="00E21C60" w:rsidRDefault="00B41C71" w:rsidP="00123376">
      <w:pPr>
        <w:spacing w:before="120"/>
        <w:rPr>
          <w:rFonts w:ascii="Arial" w:hAnsi="Arial" w:cs="Arial"/>
          <w:bCs/>
          <w:sz w:val="20"/>
          <w:szCs w:val="20"/>
        </w:rPr>
      </w:pPr>
      <w:r w:rsidRPr="00E21C60">
        <w:rPr>
          <w:rFonts w:ascii="Arial" w:hAnsi="Arial" w:cs="Arial"/>
          <w:bCs/>
          <w:sz w:val="20"/>
          <w:szCs w:val="20"/>
        </w:rPr>
        <w:t>Tab</w:t>
      </w:r>
      <w:r w:rsidR="006D5A54" w:rsidRPr="00E21C60">
        <w:rPr>
          <w:rFonts w:ascii="Arial" w:hAnsi="Arial" w:cs="Arial"/>
          <w:bCs/>
          <w:sz w:val="20"/>
          <w:szCs w:val="20"/>
        </w:rPr>
        <w:t>uľka</w:t>
      </w:r>
      <w:r w:rsidRPr="00E21C60">
        <w:rPr>
          <w:rFonts w:ascii="Arial" w:hAnsi="Arial" w:cs="Arial"/>
          <w:bCs/>
          <w:sz w:val="20"/>
          <w:szCs w:val="20"/>
        </w:rPr>
        <w:t xml:space="preserve"> č. </w:t>
      </w:r>
      <w:r w:rsidR="00696A78" w:rsidRPr="002526CC">
        <w:rPr>
          <w:rFonts w:ascii="Arial" w:hAnsi="Arial" w:cs="Arial"/>
          <w:bCs/>
          <w:sz w:val="20"/>
          <w:szCs w:val="20"/>
        </w:rPr>
        <w:t>1</w:t>
      </w:r>
      <w:r w:rsidR="007B1CB9">
        <w:rPr>
          <w:rFonts w:ascii="Arial" w:hAnsi="Arial" w:cs="Arial"/>
          <w:bCs/>
          <w:sz w:val="20"/>
          <w:szCs w:val="20"/>
        </w:rPr>
        <w:t>9</w:t>
      </w:r>
      <w:r w:rsidR="006D5A54" w:rsidRPr="00E21C60">
        <w:rPr>
          <w:rFonts w:ascii="Arial" w:hAnsi="Arial" w:cs="Arial"/>
          <w:bCs/>
          <w:sz w:val="20"/>
          <w:szCs w:val="20"/>
        </w:rPr>
        <w:t xml:space="preserve">: </w:t>
      </w:r>
      <w:r w:rsidR="00A413A1" w:rsidRPr="00E21C60">
        <w:rPr>
          <w:rFonts w:ascii="Arial" w:hAnsi="Arial" w:cs="Arial"/>
          <w:bCs/>
          <w:sz w:val="20"/>
          <w:szCs w:val="20"/>
        </w:rPr>
        <w:t>Finančná i</w:t>
      </w:r>
      <w:r w:rsidR="004F6A1C">
        <w:rPr>
          <w:rFonts w:ascii="Arial" w:hAnsi="Arial" w:cs="Arial"/>
          <w:bCs/>
          <w:sz w:val="20"/>
          <w:szCs w:val="20"/>
        </w:rPr>
        <w:t>mplementácia podľa NUTS II k 31.</w:t>
      </w:r>
      <w:r w:rsidR="00945A2C" w:rsidRPr="00E21C60">
        <w:rPr>
          <w:rFonts w:ascii="Arial" w:hAnsi="Arial" w:cs="Arial"/>
          <w:bCs/>
          <w:sz w:val="20"/>
          <w:szCs w:val="20"/>
        </w:rPr>
        <w:t>1</w:t>
      </w:r>
      <w:r w:rsidR="00945A2C">
        <w:rPr>
          <w:rFonts w:ascii="Arial" w:hAnsi="Arial" w:cs="Arial"/>
          <w:bCs/>
          <w:sz w:val="20"/>
          <w:szCs w:val="20"/>
        </w:rPr>
        <w:t>0</w:t>
      </w:r>
      <w:r w:rsidR="00A413A1" w:rsidRPr="00E21C60">
        <w:rPr>
          <w:rFonts w:ascii="Arial" w:hAnsi="Arial" w:cs="Arial"/>
          <w:bCs/>
          <w:sz w:val="20"/>
          <w:szCs w:val="20"/>
        </w:rPr>
        <w:t>.</w:t>
      </w:r>
      <w:r w:rsidR="00BD4002">
        <w:rPr>
          <w:rFonts w:ascii="Arial" w:hAnsi="Arial" w:cs="Arial"/>
          <w:bCs/>
          <w:sz w:val="20"/>
          <w:szCs w:val="20"/>
        </w:rPr>
        <w:t>201</w:t>
      </w:r>
      <w:r w:rsidR="00945A2C">
        <w:rPr>
          <w:rFonts w:ascii="Arial" w:hAnsi="Arial" w:cs="Arial"/>
          <w:bCs/>
          <w:sz w:val="20"/>
          <w:szCs w:val="20"/>
        </w:rPr>
        <w:t>6</w:t>
      </w:r>
    </w:p>
    <w:tbl>
      <w:tblPr>
        <w:tblW w:w="9155" w:type="dxa"/>
        <w:tblInd w:w="5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499"/>
        <w:gridCol w:w="1640"/>
        <w:gridCol w:w="1237"/>
        <w:gridCol w:w="1404"/>
        <w:gridCol w:w="1299"/>
        <w:gridCol w:w="1538"/>
        <w:gridCol w:w="1538"/>
      </w:tblGrid>
      <w:tr w:rsidR="006D5A54" w:rsidRPr="00E21C60" w14:paraId="37DC6570" w14:textId="77777777" w:rsidTr="00EE50CC">
        <w:trPr>
          <w:trHeight w:val="450"/>
        </w:trPr>
        <w:tc>
          <w:tcPr>
            <w:tcW w:w="499" w:type="dxa"/>
            <w:vMerge w:val="restart"/>
            <w:tcBorders>
              <w:top w:val="single" w:sz="8" w:space="0" w:color="auto"/>
              <w:left w:val="single" w:sz="8" w:space="0" w:color="auto"/>
              <w:bottom w:val="single" w:sz="2" w:space="0" w:color="auto"/>
              <w:right w:val="single" w:sz="2" w:space="0" w:color="auto"/>
            </w:tcBorders>
            <w:shd w:val="clear" w:color="auto" w:fill="C2D69B" w:themeFill="accent3" w:themeFillTint="99"/>
            <w:vAlign w:val="center"/>
            <w:hideMark/>
          </w:tcPr>
          <w:p w14:paraId="1E30DC71" w14:textId="77777777" w:rsidR="006D5A54" w:rsidRPr="00E21C60" w:rsidRDefault="006D5A54">
            <w:pPr>
              <w:jc w:val="center"/>
              <w:rPr>
                <w:rFonts w:ascii="Arial" w:hAnsi="Arial" w:cs="Arial"/>
                <w:b/>
                <w:bCs/>
                <w:color w:val="000000"/>
                <w:sz w:val="16"/>
                <w:szCs w:val="16"/>
              </w:rPr>
            </w:pPr>
            <w:r w:rsidRPr="00E21C60">
              <w:rPr>
                <w:rFonts w:ascii="Arial" w:hAnsi="Arial" w:cs="Arial"/>
                <w:b/>
                <w:bCs/>
                <w:color w:val="000000"/>
                <w:sz w:val="16"/>
                <w:szCs w:val="16"/>
              </w:rPr>
              <w:t>PO</w:t>
            </w:r>
          </w:p>
        </w:tc>
        <w:tc>
          <w:tcPr>
            <w:tcW w:w="1640" w:type="dxa"/>
            <w:vMerge w:val="restart"/>
            <w:tcBorders>
              <w:top w:val="single" w:sz="8" w:space="0" w:color="auto"/>
              <w:left w:val="single" w:sz="2" w:space="0" w:color="auto"/>
              <w:bottom w:val="single" w:sz="2" w:space="0" w:color="auto"/>
              <w:right w:val="single" w:sz="2" w:space="0" w:color="auto"/>
            </w:tcBorders>
            <w:shd w:val="clear" w:color="auto" w:fill="C2D69B" w:themeFill="accent3" w:themeFillTint="99"/>
            <w:vAlign w:val="center"/>
            <w:hideMark/>
          </w:tcPr>
          <w:p w14:paraId="53858F80" w14:textId="77777777" w:rsidR="006D5A54" w:rsidRPr="00E21C60" w:rsidRDefault="006D5A54">
            <w:pPr>
              <w:jc w:val="center"/>
              <w:rPr>
                <w:rFonts w:ascii="Arial" w:hAnsi="Arial" w:cs="Arial"/>
                <w:b/>
                <w:bCs/>
                <w:color w:val="000000"/>
                <w:sz w:val="16"/>
                <w:szCs w:val="16"/>
              </w:rPr>
            </w:pPr>
            <w:r w:rsidRPr="00E21C60">
              <w:rPr>
                <w:rFonts w:ascii="Arial" w:hAnsi="Arial" w:cs="Arial"/>
                <w:b/>
                <w:bCs/>
                <w:color w:val="000000"/>
                <w:sz w:val="16"/>
                <w:szCs w:val="16"/>
              </w:rPr>
              <w:t>Región NUTS II</w:t>
            </w:r>
          </w:p>
        </w:tc>
        <w:tc>
          <w:tcPr>
            <w:tcW w:w="1237" w:type="dxa"/>
            <w:vMerge w:val="restart"/>
            <w:tcBorders>
              <w:top w:val="single" w:sz="8" w:space="0" w:color="auto"/>
              <w:left w:val="single" w:sz="2" w:space="0" w:color="auto"/>
              <w:bottom w:val="single" w:sz="2" w:space="0" w:color="auto"/>
              <w:right w:val="single" w:sz="2" w:space="0" w:color="auto"/>
            </w:tcBorders>
            <w:shd w:val="clear" w:color="auto" w:fill="C2D69B" w:themeFill="accent3" w:themeFillTint="99"/>
            <w:vAlign w:val="center"/>
            <w:hideMark/>
          </w:tcPr>
          <w:p w14:paraId="45DF0109" w14:textId="77777777" w:rsidR="00A413A1" w:rsidRPr="00E21C60" w:rsidRDefault="00A413A1">
            <w:pPr>
              <w:jc w:val="center"/>
              <w:rPr>
                <w:rFonts w:ascii="Arial" w:hAnsi="Arial" w:cs="Arial"/>
                <w:b/>
                <w:bCs/>
                <w:color w:val="000000"/>
                <w:sz w:val="16"/>
                <w:szCs w:val="16"/>
              </w:rPr>
            </w:pPr>
            <w:r w:rsidRPr="00E21C60">
              <w:rPr>
                <w:rFonts w:ascii="Arial" w:hAnsi="Arial" w:cs="Arial"/>
                <w:b/>
                <w:bCs/>
                <w:color w:val="000000"/>
                <w:sz w:val="16"/>
                <w:szCs w:val="16"/>
              </w:rPr>
              <w:t>Indikatívne alokácie</w:t>
            </w:r>
          </w:p>
          <w:p w14:paraId="17378074" w14:textId="77777777" w:rsidR="00A413A1" w:rsidRPr="00E21C60" w:rsidRDefault="00A413A1">
            <w:pPr>
              <w:jc w:val="center"/>
              <w:rPr>
                <w:rFonts w:ascii="Arial" w:hAnsi="Arial" w:cs="Arial"/>
                <w:b/>
                <w:bCs/>
                <w:color w:val="000000"/>
                <w:sz w:val="16"/>
                <w:szCs w:val="16"/>
              </w:rPr>
            </w:pPr>
            <w:r w:rsidRPr="00E21C60">
              <w:rPr>
                <w:rFonts w:ascii="Arial" w:hAnsi="Arial" w:cs="Arial"/>
                <w:b/>
                <w:bCs/>
                <w:color w:val="000000"/>
                <w:sz w:val="16"/>
                <w:szCs w:val="16"/>
              </w:rPr>
              <w:t>z ŠF a KF</w:t>
            </w:r>
          </w:p>
          <w:p w14:paraId="47478EDF" w14:textId="77777777" w:rsidR="006D5A54" w:rsidRPr="00E21C60" w:rsidRDefault="006D5A54">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404" w:type="dxa"/>
            <w:vMerge w:val="restart"/>
            <w:tcBorders>
              <w:top w:val="single" w:sz="8" w:space="0" w:color="auto"/>
              <w:left w:val="single" w:sz="2" w:space="0" w:color="auto"/>
              <w:bottom w:val="single" w:sz="2" w:space="0" w:color="auto"/>
              <w:right w:val="single" w:sz="2" w:space="0" w:color="auto"/>
            </w:tcBorders>
            <w:shd w:val="clear" w:color="auto" w:fill="C2D69B" w:themeFill="accent3" w:themeFillTint="99"/>
            <w:vAlign w:val="center"/>
            <w:hideMark/>
          </w:tcPr>
          <w:p w14:paraId="1F40EBB6" w14:textId="77777777" w:rsidR="006D5A54" w:rsidRPr="00E21C60" w:rsidRDefault="006D5A54">
            <w:pPr>
              <w:jc w:val="center"/>
              <w:rPr>
                <w:rFonts w:ascii="Arial" w:hAnsi="Arial" w:cs="Arial"/>
                <w:b/>
                <w:bCs/>
                <w:color w:val="000000"/>
                <w:sz w:val="16"/>
                <w:szCs w:val="16"/>
              </w:rPr>
            </w:pPr>
            <w:r w:rsidRPr="00E21C60">
              <w:rPr>
                <w:rFonts w:ascii="Arial" w:hAnsi="Arial" w:cs="Arial"/>
                <w:b/>
                <w:bCs/>
                <w:color w:val="000000"/>
                <w:sz w:val="16"/>
                <w:szCs w:val="16"/>
              </w:rPr>
              <w:t>% zazmluvnenia voci regionalnej alokacii</w:t>
            </w:r>
          </w:p>
        </w:tc>
        <w:tc>
          <w:tcPr>
            <w:tcW w:w="4375" w:type="dxa"/>
            <w:gridSpan w:val="3"/>
            <w:vMerge w:val="restart"/>
            <w:tcBorders>
              <w:top w:val="single" w:sz="8" w:space="0" w:color="auto"/>
              <w:left w:val="single" w:sz="2" w:space="0" w:color="auto"/>
              <w:bottom w:val="single" w:sz="2" w:space="0" w:color="auto"/>
              <w:right w:val="single" w:sz="8" w:space="0" w:color="auto"/>
            </w:tcBorders>
            <w:shd w:val="clear" w:color="auto" w:fill="C2D69B" w:themeFill="accent3" w:themeFillTint="99"/>
            <w:vAlign w:val="center"/>
            <w:hideMark/>
          </w:tcPr>
          <w:p w14:paraId="189F71C6" w14:textId="77777777" w:rsidR="006D5A54" w:rsidRPr="00E21C60" w:rsidRDefault="006D5A54">
            <w:pPr>
              <w:jc w:val="center"/>
              <w:rPr>
                <w:rFonts w:ascii="Arial" w:hAnsi="Arial" w:cs="Arial"/>
                <w:b/>
                <w:bCs/>
                <w:color w:val="000000"/>
                <w:sz w:val="16"/>
                <w:szCs w:val="16"/>
              </w:rPr>
            </w:pPr>
            <w:r w:rsidRPr="00E21C60">
              <w:rPr>
                <w:rFonts w:ascii="Arial" w:hAnsi="Arial" w:cs="Arial"/>
                <w:b/>
                <w:bCs/>
                <w:color w:val="000000"/>
                <w:sz w:val="16"/>
                <w:szCs w:val="16"/>
              </w:rPr>
              <w:t>V</w:t>
            </w:r>
            <w:r w:rsidR="00A413A1" w:rsidRPr="00E21C60">
              <w:rPr>
                <w:rFonts w:ascii="Arial" w:hAnsi="Arial" w:cs="Arial"/>
                <w:b/>
                <w:bCs/>
                <w:color w:val="000000"/>
                <w:sz w:val="16"/>
                <w:szCs w:val="16"/>
              </w:rPr>
              <w:t xml:space="preserve">ýška zazmluvnených prostriedkov </w:t>
            </w:r>
            <w:r w:rsidRPr="00E21C60">
              <w:rPr>
                <w:rFonts w:ascii="Arial" w:hAnsi="Arial" w:cs="Arial"/>
                <w:b/>
                <w:bCs/>
                <w:color w:val="000000"/>
                <w:sz w:val="16"/>
                <w:szCs w:val="16"/>
              </w:rPr>
              <w:t>zo ŠF a KF</w:t>
            </w:r>
          </w:p>
        </w:tc>
      </w:tr>
      <w:tr w:rsidR="006D5A54" w:rsidRPr="00E21C60" w14:paraId="33EC500A" w14:textId="77777777" w:rsidTr="00EE50CC">
        <w:trPr>
          <w:trHeight w:val="184"/>
        </w:trPr>
        <w:tc>
          <w:tcPr>
            <w:tcW w:w="499" w:type="dxa"/>
            <w:vMerge/>
            <w:tcBorders>
              <w:top w:val="single" w:sz="2" w:space="0" w:color="auto"/>
              <w:left w:val="single" w:sz="8" w:space="0" w:color="auto"/>
              <w:bottom w:val="single" w:sz="2" w:space="0" w:color="auto"/>
              <w:right w:val="single" w:sz="2" w:space="0" w:color="auto"/>
            </w:tcBorders>
            <w:shd w:val="clear" w:color="auto" w:fill="C2D69B" w:themeFill="accent3" w:themeFillTint="99"/>
            <w:vAlign w:val="center"/>
            <w:hideMark/>
          </w:tcPr>
          <w:p w14:paraId="1D2C4F7C" w14:textId="77777777" w:rsidR="006D5A54" w:rsidRPr="00E21C60" w:rsidRDefault="006D5A54">
            <w:pPr>
              <w:rPr>
                <w:rFonts w:ascii="Arial" w:hAnsi="Arial" w:cs="Arial"/>
                <w:b/>
                <w:bCs/>
                <w:color w:val="000000"/>
                <w:sz w:val="16"/>
                <w:szCs w:val="16"/>
              </w:rPr>
            </w:pPr>
          </w:p>
        </w:tc>
        <w:tc>
          <w:tcPr>
            <w:tcW w:w="1640" w:type="dxa"/>
            <w:vMerge/>
            <w:tcBorders>
              <w:top w:val="single" w:sz="2" w:space="0" w:color="auto"/>
              <w:left w:val="single" w:sz="2" w:space="0" w:color="auto"/>
              <w:bottom w:val="single" w:sz="2" w:space="0" w:color="auto"/>
              <w:right w:val="single" w:sz="2" w:space="0" w:color="auto"/>
            </w:tcBorders>
            <w:shd w:val="clear" w:color="auto" w:fill="C2D69B" w:themeFill="accent3" w:themeFillTint="99"/>
            <w:vAlign w:val="center"/>
            <w:hideMark/>
          </w:tcPr>
          <w:p w14:paraId="47F1FAB3" w14:textId="77777777" w:rsidR="006D5A54" w:rsidRPr="00E21C60" w:rsidRDefault="006D5A54">
            <w:pPr>
              <w:rPr>
                <w:rFonts w:ascii="Arial" w:hAnsi="Arial" w:cs="Arial"/>
                <w:b/>
                <w:bCs/>
                <w:color w:val="000000"/>
                <w:sz w:val="16"/>
                <w:szCs w:val="16"/>
              </w:rPr>
            </w:pPr>
          </w:p>
        </w:tc>
        <w:tc>
          <w:tcPr>
            <w:tcW w:w="1237" w:type="dxa"/>
            <w:vMerge/>
            <w:tcBorders>
              <w:top w:val="single" w:sz="2" w:space="0" w:color="auto"/>
              <w:left w:val="single" w:sz="2" w:space="0" w:color="auto"/>
              <w:bottom w:val="single" w:sz="2" w:space="0" w:color="auto"/>
              <w:right w:val="single" w:sz="2" w:space="0" w:color="auto"/>
            </w:tcBorders>
            <w:shd w:val="clear" w:color="auto" w:fill="C2D69B" w:themeFill="accent3" w:themeFillTint="99"/>
            <w:vAlign w:val="center"/>
            <w:hideMark/>
          </w:tcPr>
          <w:p w14:paraId="292B76C7" w14:textId="77777777" w:rsidR="006D5A54" w:rsidRPr="00E21C60" w:rsidRDefault="006D5A54">
            <w:pPr>
              <w:rPr>
                <w:rFonts w:ascii="Arial" w:hAnsi="Arial" w:cs="Arial"/>
                <w:b/>
                <w:bCs/>
                <w:color w:val="000000"/>
                <w:sz w:val="16"/>
                <w:szCs w:val="16"/>
              </w:rPr>
            </w:pPr>
          </w:p>
        </w:tc>
        <w:tc>
          <w:tcPr>
            <w:tcW w:w="1404" w:type="dxa"/>
            <w:vMerge/>
            <w:tcBorders>
              <w:top w:val="single" w:sz="2" w:space="0" w:color="auto"/>
              <w:left w:val="single" w:sz="2" w:space="0" w:color="auto"/>
              <w:bottom w:val="single" w:sz="2" w:space="0" w:color="auto"/>
              <w:right w:val="single" w:sz="2" w:space="0" w:color="auto"/>
            </w:tcBorders>
            <w:shd w:val="clear" w:color="auto" w:fill="C2D69B" w:themeFill="accent3" w:themeFillTint="99"/>
            <w:vAlign w:val="center"/>
            <w:hideMark/>
          </w:tcPr>
          <w:p w14:paraId="03786A4B" w14:textId="77777777" w:rsidR="006D5A54" w:rsidRPr="00E21C60" w:rsidRDefault="006D5A54">
            <w:pPr>
              <w:rPr>
                <w:rFonts w:ascii="Arial" w:hAnsi="Arial" w:cs="Arial"/>
                <w:b/>
                <w:bCs/>
                <w:color w:val="000000"/>
                <w:sz w:val="16"/>
                <w:szCs w:val="16"/>
              </w:rPr>
            </w:pPr>
          </w:p>
        </w:tc>
        <w:tc>
          <w:tcPr>
            <w:tcW w:w="4375" w:type="dxa"/>
            <w:gridSpan w:val="3"/>
            <w:vMerge/>
            <w:tcBorders>
              <w:top w:val="single" w:sz="2" w:space="0" w:color="auto"/>
              <w:left w:val="single" w:sz="2" w:space="0" w:color="auto"/>
              <w:bottom w:val="single" w:sz="2" w:space="0" w:color="auto"/>
              <w:right w:val="single" w:sz="8" w:space="0" w:color="auto"/>
            </w:tcBorders>
            <w:shd w:val="clear" w:color="auto" w:fill="C2D69B" w:themeFill="accent3" w:themeFillTint="99"/>
            <w:vAlign w:val="center"/>
            <w:hideMark/>
          </w:tcPr>
          <w:p w14:paraId="3D9262FD" w14:textId="77777777" w:rsidR="006D5A54" w:rsidRPr="00E21C60" w:rsidRDefault="006D5A54">
            <w:pPr>
              <w:rPr>
                <w:rFonts w:ascii="Arial" w:hAnsi="Arial" w:cs="Arial"/>
                <w:b/>
                <w:bCs/>
                <w:color w:val="000000"/>
                <w:sz w:val="16"/>
                <w:szCs w:val="16"/>
              </w:rPr>
            </w:pPr>
          </w:p>
        </w:tc>
      </w:tr>
      <w:tr w:rsidR="006D5A54" w:rsidRPr="00E21C60" w14:paraId="27A65AFB" w14:textId="77777777" w:rsidTr="00EE50CC">
        <w:trPr>
          <w:trHeight w:val="416"/>
        </w:trPr>
        <w:tc>
          <w:tcPr>
            <w:tcW w:w="499" w:type="dxa"/>
            <w:vMerge/>
            <w:tcBorders>
              <w:top w:val="single" w:sz="2" w:space="0" w:color="auto"/>
              <w:left w:val="single" w:sz="8" w:space="0" w:color="auto"/>
              <w:bottom w:val="single" w:sz="2" w:space="0" w:color="auto"/>
              <w:right w:val="single" w:sz="2" w:space="0" w:color="auto"/>
            </w:tcBorders>
            <w:shd w:val="clear" w:color="auto" w:fill="C2D69B" w:themeFill="accent3" w:themeFillTint="99"/>
            <w:vAlign w:val="center"/>
            <w:hideMark/>
          </w:tcPr>
          <w:p w14:paraId="0BC75818" w14:textId="77777777" w:rsidR="006D5A54" w:rsidRPr="00E21C60" w:rsidRDefault="006D5A54">
            <w:pPr>
              <w:rPr>
                <w:rFonts w:ascii="Arial" w:hAnsi="Arial" w:cs="Arial"/>
                <w:b/>
                <w:bCs/>
                <w:color w:val="000000"/>
                <w:sz w:val="16"/>
                <w:szCs w:val="16"/>
              </w:rPr>
            </w:pPr>
          </w:p>
        </w:tc>
        <w:tc>
          <w:tcPr>
            <w:tcW w:w="1640" w:type="dxa"/>
            <w:vMerge/>
            <w:tcBorders>
              <w:top w:val="single" w:sz="2" w:space="0" w:color="auto"/>
              <w:left w:val="single" w:sz="2" w:space="0" w:color="auto"/>
              <w:bottom w:val="single" w:sz="2" w:space="0" w:color="auto"/>
              <w:right w:val="single" w:sz="2" w:space="0" w:color="auto"/>
            </w:tcBorders>
            <w:shd w:val="clear" w:color="auto" w:fill="C2D69B" w:themeFill="accent3" w:themeFillTint="99"/>
            <w:vAlign w:val="center"/>
            <w:hideMark/>
          </w:tcPr>
          <w:p w14:paraId="798B36A1" w14:textId="77777777" w:rsidR="006D5A54" w:rsidRPr="00E21C60" w:rsidRDefault="006D5A54">
            <w:pPr>
              <w:rPr>
                <w:rFonts w:ascii="Arial" w:hAnsi="Arial" w:cs="Arial"/>
                <w:b/>
                <w:bCs/>
                <w:color w:val="000000"/>
                <w:sz w:val="16"/>
                <w:szCs w:val="16"/>
              </w:rPr>
            </w:pPr>
          </w:p>
        </w:tc>
        <w:tc>
          <w:tcPr>
            <w:tcW w:w="1237" w:type="dxa"/>
            <w:vMerge/>
            <w:tcBorders>
              <w:top w:val="single" w:sz="2" w:space="0" w:color="auto"/>
              <w:left w:val="single" w:sz="2" w:space="0" w:color="auto"/>
              <w:bottom w:val="single" w:sz="2" w:space="0" w:color="auto"/>
              <w:right w:val="single" w:sz="2" w:space="0" w:color="auto"/>
            </w:tcBorders>
            <w:shd w:val="clear" w:color="auto" w:fill="C2D69B" w:themeFill="accent3" w:themeFillTint="99"/>
            <w:vAlign w:val="center"/>
            <w:hideMark/>
          </w:tcPr>
          <w:p w14:paraId="6CBBBB3E" w14:textId="77777777" w:rsidR="006D5A54" w:rsidRPr="00E21C60" w:rsidRDefault="006D5A54">
            <w:pPr>
              <w:rPr>
                <w:rFonts w:ascii="Arial" w:hAnsi="Arial" w:cs="Arial"/>
                <w:b/>
                <w:bCs/>
                <w:color w:val="000000"/>
                <w:sz w:val="16"/>
                <w:szCs w:val="16"/>
              </w:rPr>
            </w:pPr>
          </w:p>
        </w:tc>
        <w:tc>
          <w:tcPr>
            <w:tcW w:w="1404" w:type="dxa"/>
            <w:vMerge/>
            <w:tcBorders>
              <w:top w:val="single" w:sz="2" w:space="0" w:color="auto"/>
              <w:left w:val="single" w:sz="2" w:space="0" w:color="auto"/>
              <w:bottom w:val="single" w:sz="2" w:space="0" w:color="auto"/>
              <w:right w:val="single" w:sz="2" w:space="0" w:color="auto"/>
            </w:tcBorders>
            <w:shd w:val="clear" w:color="auto" w:fill="C2D69B" w:themeFill="accent3" w:themeFillTint="99"/>
            <w:vAlign w:val="center"/>
            <w:hideMark/>
          </w:tcPr>
          <w:p w14:paraId="790B23FE" w14:textId="77777777" w:rsidR="006D5A54" w:rsidRPr="00E21C60" w:rsidRDefault="006D5A54">
            <w:pPr>
              <w:rPr>
                <w:rFonts w:ascii="Arial" w:hAnsi="Arial" w:cs="Arial"/>
                <w:b/>
                <w:bCs/>
                <w:color w:val="000000"/>
                <w:sz w:val="16"/>
                <w:szCs w:val="16"/>
              </w:rPr>
            </w:pPr>
          </w:p>
        </w:tc>
        <w:tc>
          <w:tcPr>
            <w:tcW w:w="1299" w:type="dxa"/>
            <w:tcBorders>
              <w:top w:val="single" w:sz="2" w:space="0" w:color="auto"/>
              <w:left w:val="single" w:sz="2" w:space="0" w:color="auto"/>
              <w:bottom w:val="single" w:sz="2" w:space="0" w:color="auto"/>
              <w:right w:val="single" w:sz="2" w:space="0" w:color="auto"/>
            </w:tcBorders>
            <w:shd w:val="clear" w:color="auto" w:fill="C2D69B" w:themeFill="accent3" w:themeFillTint="99"/>
            <w:vAlign w:val="center"/>
            <w:hideMark/>
          </w:tcPr>
          <w:p w14:paraId="3B70CBD2" w14:textId="77777777" w:rsidR="006D5A54" w:rsidRPr="00E21C60" w:rsidRDefault="006D5A54">
            <w:pPr>
              <w:jc w:val="center"/>
              <w:rPr>
                <w:rFonts w:ascii="Arial" w:hAnsi="Arial" w:cs="Arial"/>
                <w:b/>
                <w:bCs/>
                <w:color w:val="000000"/>
                <w:sz w:val="16"/>
                <w:szCs w:val="16"/>
              </w:rPr>
            </w:pPr>
            <w:r w:rsidRPr="00E21C60">
              <w:rPr>
                <w:rFonts w:ascii="Arial" w:hAnsi="Arial" w:cs="Arial"/>
                <w:b/>
                <w:bCs/>
                <w:color w:val="000000"/>
                <w:sz w:val="16"/>
                <w:szCs w:val="16"/>
              </w:rPr>
              <w:t>€</w:t>
            </w:r>
          </w:p>
        </w:tc>
        <w:tc>
          <w:tcPr>
            <w:tcW w:w="1538" w:type="dxa"/>
            <w:tcBorders>
              <w:top w:val="single" w:sz="2" w:space="0" w:color="auto"/>
              <w:left w:val="single" w:sz="2" w:space="0" w:color="auto"/>
              <w:bottom w:val="single" w:sz="2" w:space="0" w:color="auto"/>
              <w:right w:val="single" w:sz="2" w:space="0" w:color="auto"/>
            </w:tcBorders>
            <w:shd w:val="clear" w:color="auto" w:fill="C2D69B" w:themeFill="accent3" w:themeFillTint="99"/>
            <w:vAlign w:val="center"/>
            <w:hideMark/>
          </w:tcPr>
          <w:p w14:paraId="71481D90" w14:textId="77777777" w:rsidR="006D5A54" w:rsidRPr="00E21C60" w:rsidRDefault="006D5A54">
            <w:pPr>
              <w:jc w:val="center"/>
              <w:rPr>
                <w:rFonts w:ascii="Arial" w:hAnsi="Arial" w:cs="Arial"/>
                <w:b/>
                <w:bCs/>
                <w:color w:val="000000"/>
                <w:sz w:val="16"/>
                <w:szCs w:val="16"/>
              </w:rPr>
            </w:pPr>
            <w:r w:rsidRPr="00E21C60">
              <w:rPr>
                <w:rFonts w:ascii="Arial" w:hAnsi="Arial" w:cs="Arial"/>
                <w:b/>
                <w:bCs/>
                <w:color w:val="000000"/>
                <w:sz w:val="16"/>
                <w:szCs w:val="16"/>
              </w:rPr>
              <w:t xml:space="preserve">% zo zazmluvnenia v rámci </w:t>
            </w:r>
            <w:r w:rsidR="00A413A1" w:rsidRPr="00E21C60">
              <w:rPr>
                <w:rFonts w:ascii="Arial" w:hAnsi="Arial" w:cs="Arial"/>
                <w:b/>
                <w:bCs/>
                <w:color w:val="000000"/>
                <w:sz w:val="16"/>
                <w:szCs w:val="16"/>
              </w:rPr>
              <w:t>PO</w:t>
            </w:r>
          </w:p>
        </w:tc>
        <w:tc>
          <w:tcPr>
            <w:tcW w:w="1538" w:type="dxa"/>
            <w:tcBorders>
              <w:top w:val="single" w:sz="2" w:space="0" w:color="auto"/>
              <w:left w:val="single" w:sz="2" w:space="0" w:color="auto"/>
              <w:bottom w:val="single" w:sz="2" w:space="0" w:color="auto"/>
              <w:right w:val="single" w:sz="8" w:space="0" w:color="auto"/>
            </w:tcBorders>
            <w:shd w:val="clear" w:color="auto" w:fill="C2D69B" w:themeFill="accent3" w:themeFillTint="99"/>
            <w:vAlign w:val="center"/>
            <w:hideMark/>
          </w:tcPr>
          <w:p w14:paraId="76A31B30" w14:textId="77777777" w:rsidR="00A413A1" w:rsidRPr="00E21C60" w:rsidRDefault="00A413A1">
            <w:pPr>
              <w:jc w:val="center"/>
              <w:rPr>
                <w:rFonts w:ascii="Arial" w:hAnsi="Arial" w:cs="Arial"/>
                <w:b/>
                <w:bCs/>
                <w:color w:val="000000"/>
                <w:sz w:val="16"/>
                <w:szCs w:val="16"/>
              </w:rPr>
            </w:pPr>
            <w:r w:rsidRPr="00E21C60">
              <w:rPr>
                <w:rFonts w:ascii="Arial" w:hAnsi="Arial" w:cs="Arial"/>
                <w:b/>
                <w:bCs/>
                <w:color w:val="000000"/>
                <w:sz w:val="16"/>
                <w:szCs w:val="16"/>
              </w:rPr>
              <w:t>% z alokácie</w:t>
            </w:r>
          </w:p>
          <w:p w14:paraId="6A5706A2" w14:textId="77777777" w:rsidR="006D5A54" w:rsidRPr="00E21C60" w:rsidRDefault="006D5A54">
            <w:pPr>
              <w:jc w:val="center"/>
              <w:rPr>
                <w:rFonts w:ascii="Arial" w:hAnsi="Arial" w:cs="Arial"/>
                <w:b/>
                <w:bCs/>
                <w:color w:val="000000"/>
                <w:sz w:val="16"/>
                <w:szCs w:val="16"/>
              </w:rPr>
            </w:pPr>
            <w:r w:rsidRPr="00E21C60">
              <w:rPr>
                <w:rFonts w:ascii="Arial" w:hAnsi="Arial" w:cs="Arial"/>
                <w:b/>
                <w:bCs/>
                <w:color w:val="000000"/>
                <w:sz w:val="16"/>
                <w:szCs w:val="16"/>
              </w:rPr>
              <w:t>na región</w:t>
            </w:r>
          </w:p>
        </w:tc>
      </w:tr>
      <w:tr w:rsidR="006D5A54" w:rsidRPr="00E21C60" w14:paraId="72A0BB71" w14:textId="77777777" w:rsidTr="00EE50CC">
        <w:trPr>
          <w:trHeight w:val="281"/>
        </w:trPr>
        <w:tc>
          <w:tcPr>
            <w:tcW w:w="499" w:type="dxa"/>
            <w:tcBorders>
              <w:top w:val="single" w:sz="2" w:space="0" w:color="auto"/>
              <w:left w:val="single" w:sz="8" w:space="0" w:color="auto"/>
              <w:bottom w:val="single" w:sz="8" w:space="0" w:color="auto"/>
              <w:right w:val="single" w:sz="2" w:space="0" w:color="auto"/>
            </w:tcBorders>
            <w:shd w:val="clear" w:color="auto" w:fill="C2D69B" w:themeFill="accent3" w:themeFillTint="99"/>
            <w:vAlign w:val="center"/>
            <w:hideMark/>
          </w:tcPr>
          <w:p w14:paraId="33FD18C4" w14:textId="77777777" w:rsidR="006D5A54" w:rsidRPr="002526CC" w:rsidRDefault="006D5A54">
            <w:pPr>
              <w:jc w:val="center"/>
              <w:rPr>
                <w:rFonts w:ascii="Arial" w:hAnsi="Arial" w:cs="Arial"/>
                <w:color w:val="000000"/>
                <w:sz w:val="16"/>
                <w:szCs w:val="16"/>
              </w:rPr>
            </w:pPr>
            <w:r w:rsidRPr="002526CC">
              <w:rPr>
                <w:rFonts w:ascii="Arial" w:hAnsi="Arial" w:cs="Arial"/>
                <w:color w:val="000000"/>
                <w:sz w:val="16"/>
                <w:szCs w:val="16"/>
              </w:rPr>
              <w:t>A</w:t>
            </w:r>
          </w:p>
        </w:tc>
        <w:tc>
          <w:tcPr>
            <w:tcW w:w="1640" w:type="dxa"/>
            <w:tcBorders>
              <w:top w:val="single" w:sz="2" w:space="0" w:color="auto"/>
              <w:left w:val="single" w:sz="2" w:space="0" w:color="auto"/>
              <w:bottom w:val="single" w:sz="8" w:space="0" w:color="auto"/>
              <w:right w:val="single" w:sz="2" w:space="0" w:color="auto"/>
            </w:tcBorders>
            <w:shd w:val="clear" w:color="auto" w:fill="C2D69B" w:themeFill="accent3" w:themeFillTint="99"/>
            <w:vAlign w:val="center"/>
            <w:hideMark/>
          </w:tcPr>
          <w:p w14:paraId="0FABD8EB" w14:textId="77777777" w:rsidR="006D5A54" w:rsidRPr="00E21C60" w:rsidRDefault="006D5A54">
            <w:pPr>
              <w:jc w:val="center"/>
              <w:rPr>
                <w:rFonts w:ascii="Arial" w:hAnsi="Arial" w:cs="Arial"/>
                <w:color w:val="000000"/>
                <w:sz w:val="16"/>
                <w:szCs w:val="16"/>
              </w:rPr>
            </w:pPr>
            <w:r w:rsidRPr="00E21C60">
              <w:rPr>
                <w:rFonts w:ascii="Arial" w:hAnsi="Arial" w:cs="Arial"/>
                <w:color w:val="000000"/>
                <w:sz w:val="16"/>
                <w:szCs w:val="16"/>
              </w:rPr>
              <w:t>B</w:t>
            </w:r>
          </w:p>
        </w:tc>
        <w:tc>
          <w:tcPr>
            <w:tcW w:w="1237" w:type="dxa"/>
            <w:tcBorders>
              <w:top w:val="single" w:sz="2" w:space="0" w:color="auto"/>
              <w:left w:val="single" w:sz="2" w:space="0" w:color="auto"/>
              <w:bottom w:val="single" w:sz="8" w:space="0" w:color="auto"/>
              <w:right w:val="single" w:sz="2" w:space="0" w:color="auto"/>
            </w:tcBorders>
            <w:shd w:val="clear" w:color="auto" w:fill="C2D69B" w:themeFill="accent3" w:themeFillTint="99"/>
            <w:vAlign w:val="center"/>
            <w:hideMark/>
          </w:tcPr>
          <w:p w14:paraId="4EAD6E4F" w14:textId="77777777" w:rsidR="006D5A54" w:rsidRPr="00E21C60" w:rsidRDefault="006D5A54">
            <w:pPr>
              <w:jc w:val="center"/>
              <w:rPr>
                <w:rFonts w:ascii="Arial" w:hAnsi="Arial" w:cs="Arial"/>
                <w:color w:val="000000"/>
                <w:sz w:val="16"/>
                <w:szCs w:val="16"/>
              </w:rPr>
            </w:pPr>
            <w:r w:rsidRPr="00E21C60">
              <w:rPr>
                <w:rFonts w:ascii="Arial" w:hAnsi="Arial" w:cs="Arial"/>
                <w:color w:val="000000"/>
                <w:sz w:val="16"/>
                <w:szCs w:val="16"/>
              </w:rPr>
              <w:t>C</w:t>
            </w:r>
          </w:p>
        </w:tc>
        <w:tc>
          <w:tcPr>
            <w:tcW w:w="1404" w:type="dxa"/>
            <w:tcBorders>
              <w:top w:val="single" w:sz="2" w:space="0" w:color="auto"/>
              <w:left w:val="single" w:sz="2" w:space="0" w:color="auto"/>
              <w:bottom w:val="single" w:sz="8" w:space="0" w:color="auto"/>
              <w:right w:val="single" w:sz="2" w:space="0" w:color="auto"/>
            </w:tcBorders>
            <w:shd w:val="clear" w:color="auto" w:fill="C2D69B" w:themeFill="accent3" w:themeFillTint="99"/>
            <w:vAlign w:val="center"/>
            <w:hideMark/>
          </w:tcPr>
          <w:p w14:paraId="6E6DBCB7" w14:textId="77777777" w:rsidR="006D5A54" w:rsidRPr="00E21C60" w:rsidRDefault="006D5A54">
            <w:pPr>
              <w:jc w:val="center"/>
              <w:rPr>
                <w:rFonts w:ascii="Arial" w:hAnsi="Arial" w:cs="Arial"/>
                <w:color w:val="000000"/>
                <w:sz w:val="16"/>
                <w:szCs w:val="16"/>
              </w:rPr>
            </w:pPr>
            <w:r w:rsidRPr="00E21C60">
              <w:rPr>
                <w:rFonts w:ascii="Arial" w:hAnsi="Arial" w:cs="Arial"/>
                <w:color w:val="000000"/>
                <w:sz w:val="16"/>
                <w:szCs w:val="16"/>
              </w:rPr>
              <w:t> </w:t>
            </w:r>
          </w:p>
        </w:tc>
        <w:tc>
          <w:tcPr>
            <w:tcW w:w="1299" w:type="dxa"/>
            <w:tcBorders>
              <w:top w:val="single" w:sz="2" w:space="0" w:color="auto"/>
              <w:left w:val="single" w:sz="2" w:space="0" w:color="auto"/>
              <w:bottom w:val="single" w:sz="8" w:space="0" w:color="auto"/>
              <w:right w:val="single" w:sz="2" w:space="0" w:color="auto"/>
            </w:tcBorders>
            <w:shd w:val="clear" w:color="auto" w:fill="C2D69B" w:themeFill="accent3" w:themeFillTint="99"/>
            <w:vAlign w:val="center"/>
            <w:hideMark/>
          </w:tcPr>
          <w:p w14:paraId="02EDA787" w14:textId="77777777" w:rsidR="006D5A54" w:rsidRPr="00E21C60" w:rsidRDefault="006D5A54">
            <w:pPr>
              <w:jc w:val="center"/>
              <w:rPr>
                <w:rFonts w:ascii="Arial" w:hAnsi="Arial" w:cs="Arial"/>
                <w:color w:val="000000"/>
                <w:sz w:val="16"/>
                <w:szCs w:val="16"/>
              </w:rPr>
            </w:pPr>
            <w:r w:rsidRPr="00E21C60">
              <w:rPr>
                <w:rFonts w:ascii="Arial" w:hAnsi="Arial" w:cs="Arial"/>
                <w:color w:val="000000"/>
                <w:sz w:val="16"/>
                <w:szCs w:val="16"/>
              </w:rPr>
              <w:t>D</w:t>
            </w:r>
          </w:p>
        </w:tc>
        <w:tc>
          <w:tcPr>
            <w:tcW w:w="1538" w:type="dxa"/>
            <w:tcBorders>
              <w:top w:val="single" w:sz="2" w:space="0" w:color="auto"/>
              <w:left w:val="single" w:sz="2" w:space="0" w:color="auto"/>
              <w:bottom w:val="single" w:sz="8" w:space="0" w:color="auto"/>
              <w:right w:val="single" w:sz="2" w:space="0" w:color="auto"/>
            </w:tcBorders>
            <w:shd w:val="clear" w:color="auto" w:fill="C2D69B" w:themeFill="accent3" w:themeFillTint="99"/>
            <w:vAlign w:val="center"/>
            <w:hideMark/>
          </w:tcPr>
          <w:p w14:paraId="7240A102" w14:textId="77777777" w:rsidR="006D5A54" w:rsidRPr="00E21C60" w:rsidRDefault="006D5A54">
            <w:pPr>
              <w:jc w:val="center"/>
              <w:rPr>
                <w:rFonts w:ascii="Arial" w:hAnsi="Arial" w:cs="Arial"/>
                <w:color w:val="000000"/>
                <w:sz w:val="16"/>
                <w:szCs w:val="16"/>
              </w:rPr>
            </w:pPr>
            <w:r w:rsidRPr="00E21C60">
              <w:rPr>
                <w:rFonts w:ascii="Arial" w:hAnsi="Arial" w:cs="Arial"/>
                <w:color w:val="000000"/>
                <w:sz w:val="16"/>
                <w:szCs w:val="16"/>
              </w:rPr>
              <w:t>E=D/∑prioritná os</w:t>
            </w:r>
          </w:p>
        </w:tc>
        <w:tc>
          <w:tcPr>
            <w:tcW w:w="1538" w:type="dxa"/>
            <w:tcBorders>
              <w:top w:val="single" w:sz="2" w:space="0" w:color="auto"/>
              <w:left w:val="single" w:sz="2" w:space="0" w:color="auto"/>
              <w:bottom w:val="single" w:sz="8" w:space="0" w:color="auto"/>
              <w:right w:val="single" w:sz="8" w:space="0" w:color="auto"/>
            </w:tcBorders>
            <w:shd w:val="clear" w:color="auto" w:fill="C2D69B" w:themeFill="accent3" w:themeFillTint="99"/>
            <w:vAlign w:val="center"/>
            <w:hideMark/>
          </w:tcPr>
          <w:p w14:paraId="346DC80F" w14:textId="77777777" w:rsidR="006D5A54" w:rsidRPr="00E21C60" w:rsidRDefault="006D5A54">
            <w:pPr>
              <w:jc w:val="center"/>
              <w:rPr>
                <w:rFonts w:ascii="Arial" w:hAnsi="Arial" w:cs="Arial"/>
                <w:color w:val="000000"/>
                <w:sz w:val="16"/>
                <w:szCs w:val="16"/>
              </w:rPr>
            </w:pPr>
            <w:r w:rsidRPr="00E21C60">
              <w:rPr>
                <w:rFonts w:ascii="Arial" w:hAnsi="Arial" w:cs="Arial"/>
                <w:color w:val="000000"/>
                <w:sz w:val="16"/>
                <w:szCs w:val="16"/>
              </w:rPr>
              <w:t>F=D/C</w:t>
            </w:r>
          </w:p>
        </w:tc>
      </w:tr>
      <w:tr w:rsidR="008A1AF7" w:rsidRPr="00E21C60" w14:paraId="67F30FEF" w14:textId="77777777" w:rsidTr="008A1AF7">
        <w:trPr>
          <w:trHeight w:val="259"/>
        </w:trPr>
        <w:tc>
          <w:tcPr>
            <w:tcW w:w="499" w:type="dxa"/>
            <w:vMerge w:val="restart"/>
            <w:tcBorders>
              <w:top w:val="single" w:sz="8" w:space="0" w:color="auto"/>
              <w:left w:val="single" w:sz="8" w:space="0" w:color="auto"/>
            </w:tcBorders>
            <w:shd w:val="clear" w:color="auto" w:fill="auto"/>
            <w:vAlign w:val="center"/>
            <w:hideMark/>
          </w:tcPr>
          <w:p w14:paraId="1B43CFA5" w14:textId="77777777" w:rsidR="008A1AF7" w:rsidRPr="002526CC" w:rsidRDefault="008A1AF7">
            <w:pPr>
              <w:jc w:val="center"/>
              <w:rPr>
                <w:rFonts w:ascii="Arial" w:hAnsi="Arial" w:cs="Arial"/>
                <w:color w:val="000000"/>
                <w:sz w:val="16"/>
                <w:szCs w:val="16"/>
              </w:rPr>
            </w:pPr>
            <w:r w:rsidRPr="002526CC">
              <w:rPr>
                <w:rFonts w:ascii="Arial" w:hAnsi="Arial" w:cs="Arial"/>
                <w:color w:val="000000"/>
                <w:sz w:val="16"/>
                <w:szCs w:val="16"/>
              </w:rPr>
              <w:t>PO 1</w:t>
            </w:r>
          </w:p>
        </w:tc>
        <w:tc>
          <w:tcPr>
            <w:tcW w:w="1640" w:type="dxa"/>
            <w:tcBorders>
              <w:top w:val="single" w:sz="8" w:space="0" w:color="auto"/>
            </w:tcBorders>
            <w:shd w:val="clear" w:color="auto" w:fill="auto"/>
            <w:vAlign w:val="center"/>
            <w:hideMark/>
          </w:tcPr>
          <w:p w14:paraId="1381AE82"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Bratislavský</w:t>
            </w:r>
          </w:p>
        </w:tc>
        <w:tc>
          <w:tcPr>
            <w:tcW w:w="1237" w:type="dxa"/>
            <w:tcBorders>
              <w:top w:val="single" w:sz="8" w:space="0" w:color="auto"/>
            </w:tcBorders>
            <w:shd w:val="clear" w:color="auto" w:fill="auto"/>
            <w:vAlign w:val="center"/>
          </w:tcPr>
          <w:p w14:paraId="7110623A" w14:textId="6ADC78D0" w:rsidR="008A1AF7" w:rsidRPr="00E21C60" w:rsidRDefault="008A1AF7" w:rsidP="008A1AF7">
            <w:pPr>
              <w:jc w:val="center"/>
              <w:rPr>
                <w:rFonts w:ascii="Arial" w:hAnsi="Arial" w:cs="Arial"/>
                <w:sz w:val="16"/>
                <w:szCs w:val="16"/>
              </w:rPr>
            </w:pPr>
            <w:r w:rsidRPr="008A1AF7">
              <w:rPr>
                <w:rFonts w:ascii="Arial" w:hAnsi="Arial" w:cs="Arial"/>
                <w:sz w:val="16"/>
                <w:szCs w:val="16"/>
              </w:rPr>
              <w:t>124 575 720</w:t>
            </w:r>
          </w:p>
        </w:tc>
        <w:tc>
          <w:tcPr>
            <w:tcW w:w="1404" w:type="dxa"/>
            <w:tcBorders>
              <w:top w:val="single" w:sz="8" w:space="0" w:color="auto"/>
            </w:tcBorders>
            <w:shd w:val="clear" w:color="auto" w:fill="auto"/>
            <w:vAlign w:val="center"/>
          </w:tcPr>
          <w:p w14:paraId="1C954355" w14:textId="5FBD38A2" w:rsidR="008A1AF7" w:rsidRPr="00E21C60" w:rsidRDefault="008A1AF7" w:rsidP="008A1AF7">
            <w:pPr>
              <w:jc w:val="center"/>
              <w:rPr>
                <w:rFonts w:ascii="Arial" w:hAnsi="Arial" w:cs="Arial"/>
                <w:sz w:val="16"/>
                <w:szCs w:val="16"/>
              </w:rPr>
            </w:pPr>
            <w:r w:rsidRPr="008A1AF7">
              <w:rPr>
                <w:rFonts w:ascii="Arial" w:hAnsi="Arial" w:cs="Arial"/>
                <w:sz w:val="16"/>
                <w:szCs w:val="16"/>
              </w:rPr>
              <w:t>61,94%</w:t>
            </w:r>
          </w:p>
        </w:tc>
        <w:tc>
          <w:tcPr>
            <w:tcW w:w="1299" w:type="dxa"/>
            <w:tcBorders>
              <w:top w:val="single" w:sz="8" w:space="0" w:color="auto"/>
            </w:tcBorders>
            <w:shd w:val="clear" w:color="auto" w:fill="auto"/>
            <w:vAlign w:val="center"/>
          </w:tcPr>
          <w:p w14:paraId="2544DBE3" w14:textId="374DC15F" w:rsidR="008A1AF7" w:rsidRPr="00E21C60" w:rsidRDefault="008A1AF7" w:rsidP="008A1AF7">
            <w:pPr>
              <w:jc w:val="center"/>
              <w:rPr>
                <w:rFonts w:ascii="Arial" w:hAnsi="Arial" w:cs="Arial"/>
                <w:sz w:val="16"/>
                <w:szCs w:val="16"/>
              </w:rPr>
            </w:pPr>
            <w:r w:rsidRPr="008A1AF7">
              <w:rPr>
                <w:rFonts w:ascii="Arial" w:hAnsi="Arial" w:cs="Arial"/>
                <w:sz w:val="16"/>
                <w:szCs w:val="16"/>
              </w:rPr>
              <w:t>77 165 039</w:t>
            </w:r>
          </w:p>
        </w:tc>
        <w:tc>
          <w:tcPr>
            <w:tcW w:w="1538" w:type="dxa"/>
            <w:tcBorders>
              <w:top w:val="single" w:sz="8" w:space="0" w:color="auto"/>
            </w:tcBorders>
            <w:shd w:val="clear" w:color="auto" w:fill="auto"/>
            <w:vAlign w:val="center"/>
          </w:tcPr>
          <w:p w14:paraId="5DB45C4B" w14:textId="201092B1" w:rsidR="008A1AF7" w:rsidRPr="00E21C60" w:rsidRDefault="008A1AF7" w:rsidP="008A1AF7">
            <w:pPr>
              <w:jc w:val="center"/>
              <w:rPr>
                <w:rFonts w:ascii="Arial" w:hAnsi="Arial" w:cs="Arial"/>
                <w:sz w:val="16"/>
                <w:szCs w:val="16"/>
              </w:rPr>
            </w:pPr>
            <w:r w:rsidRPr="008A1AF7">
              <w:rPr>
                <w:rFonts w:ascii="Arial" w:hAnsi="Arial" w:cs="Arial"/>
                <w:sz w:val="16"/>
                <w:szCs w:val="16"/>
              </w:rPr>
              <w:t>8,22%</w:t>
            </w:r>
          </w:p>
        </w:tc>
        <w:tc>
          <w:tcPr>
            <w:tcW w:w="1538" w:type="dxa"/>
            <w:tcBorders>
              <w:top w:val="single" w:sz="8" w:space="0" w:color="auto"/>
              <w:right w:val="single" w:sz="8" w:space="0" w:color="auto"/>
            </w:tcBorders>
            <w:shd w:val="clear" w:color="auto" w:fill="auto"/>
            <w:vAlign w:val="center"/>
          </w:tcPr>
          <w:p w14:paraId="6B45985D" w14:textId="36D84D38" w:rsidR="008A1AF7" w:rsidRPr="00E21C60" w:rsidRDefault="008A1AF7" w:rsidP="008A1AF7">
            <w:pPr>
              <w:jc w:val="center"/>
              <w:rPr>
                <w:rFonts w:ascii="Arial" w:hAnsi="Arial" w:cs="Arial"/>
                <w:sz w:val="16"/>
                <w:szCs w:val="16"/>
              </w:rPr>
            </w:pPr>
            <w:r w:rsidRPr="008A1AF7">
              <w:rPr>
                <w:rFonts w:ascii="Arial" w:hAnsi="Arial" w:cs="Arial"/>
                <w:sz w:val="16"/>
                <w:szCs w:val="16"/>
              </w:rPr>
              <w:t>61,94%</w:t>
            </w:r>
          </w:p>
        </w:tc>
      </w:tr>
      <w:tr w:rsidR="008A1AF7" w:rsidRPr="00E21C60" w14:paraId="22B9F477" w14:textId="77777777" w:rsidTr="008A1AF7">
        <w:trPr>
          <w:trHeight w:val="225"/>
        </w:trPr>
        <w:tc>
          <w:tcPr>
            <w:tcW w:w="499" w:type="dxa"/>
            <w:vMerge/>
            <w:tcBorders>
              <w:left w:val="single" w:sz="8" w:space="0" w:color="auto"/>
            </w:tcBorders>
            <w:vAlign w:val="center"/>
            <w:hideMark/>
          </w:tcPr>
          <w:p w14:paraId="72B7303E"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78C2B45B"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Západ</w:t>
            </w:r>
            <w:r>
              <w:rPr>
                <w:rFonts w:ascii="Arial" w:hAnsi="Arial" w:cs="Arial"/>
                <w:sz w:val="16"/>
                <w:szCs w:val="16"/>
              </w:rPr>
              <w:t>né Slovensko</w:t>
            </w:r>
          </w:p>
        </w:tc>
        <w:tc>
          <w:tcPr>
            <w:tcW w:w="1237" w:type="dxa"/>
            <w:shd w:val="clear" w:color="auto" w:fill="auto"/>
            <w:vAlign w:val="center"/>
          </w:tcPr>
          <w:p w14:paraId="608DEE62" w14:textId="4AF87E4A" w:rsidR="008A1AF7" w:rsidRPr="00E21C60" w:rsidRDefault="008A1AF7" w:rsidP="008A1AF7">
            <w:pPr>
              <w:jc w:val="center"/>
              <w:rPr>
                <w:rFonts w:ascii="Arial" w:hAnsi="Arial" w:cs="Arial"/>
                <w:sz w:val="16"/>
                <w:szCs w:val="16"/>
              </w:rPr>
            </w:pPr>
            <w:r w:rsidRPr="008A1AF7">
              <w:rPr>
                <w:rFonts w:ascii="Arial" w:hAnsi="Arial" w:cs="Arial"/>
                <w:sz w:val="16"/>
                <w:szCs w:val="16"/>
              </w:rPr>
              <w:t>394 992 452</w:t>
            </w:r>
          </w:p>
        </w:tc>
        <w:tc>
          <w:tcPr>
            <w:tcW w:w="1404" w:type="dxa"/>
            <w:shd w:val="clear" w:color="auto" w:fill="auto"/>
            <w:vAlign w:val="center"/>
          </w:tcPr>
          <w:p w14:paraId="3FFF1206" w14:textId="23172AAC" w:rsidR="008A1AF7" w:rsidRPr="00E21C60" w:rsidRDefault="008A1AF7" w:rsidP="008A1AF7">
            <w:pPr>
              <w:jc w:val="center"/>
              <w:rPr>
                <w:rFonts w:ascii="Arial" w:hAnsi="Arial" w:cs="Arial"/>
                <w:sz w:val="16"/>
                <w:szCs w:val="16"/>
              </w:rPr>
            </w:pPr>
            <w:r w:rsidRPr="008A1AF7">
              <w:rPr>
                <w:rFonts w:ascii="Arial" w:hAnsi="Arial" w:cs="Arial"/>
                <w:sz w:val="16"/>
                <w:szCs w:val="16"/>
              </w:rPr>
              <w:t>88,02%</w:t>
            </w:r>
          </w:p>
        </w:tc>
        <w:tc>
          <w:tcPr>
            <w:tcW w:w="1299" w:type="dxa"/>
            <w:shd w:val="clear" w:color="auto" w:fill="auto"/>
            <w:vAlign w:val="center"/>
          </w:tcPr>
          <w:p w14:paraId="376343A7" w14:textId="56E8EE5E" w:rsidR="008A1AF7" w:rsidRPr="00E21C60" w:rsidRDefault="008A1AF7" w:rsidP="008A1AF7">
            <w:pPr>
              <w:jc w:val="center"/>
              <w:rPr>
                <w:rFonts w:ascii="Arial" w:hAnsi="Arial" w:cs="Arial"/>
                <w:sz w:val="16"/>
                <w:szCs w:val="16"/>
              </w:rPr>
            </w:pPr>
            <w:r w:rsidRPr="008A1AF7">
              <w:rPr>
                <w:rFonts w:ascii="Arial" w:hAnsi="Arial" w:cs="Arial"/>
                <w:sz w:val="16"/>
                <w:szCs w:val="16"/>
              </w:rPr>
              <w:t>347 682 591</w:t>
            </w:r>
          </w:p>
        </w:tc>
        <w:tc>
          <w:tcPr>
            <w:tcW w:w="1538" w:type="dxa"/>
            <w:shd w:val="clear" w:color="auto" w:fill="auto"/>
            <w:vAlign w:val="center"/>
          </w:tcPr>
          <w:p w14:paraId="76271E7A" w14:textId="2DEE8009" w:rsidR="008A1AF7" w:rsidRPr="00E21C60" w:rsidRDefault="008A1AF7" w:rsidP="008A1AF7">
            <w:pPr>
              <w:jc w:val="center"/>
              <w:rPr>
                <w:rFonts w:ascii="Arial" w:hAnsi="Arial" w:cs="Arial"/>
                <w:sz w:val="16"/>
                <w:szCs w:val="16"/>
              </w:rPr>
            </w:pPr>
            <w:r w:rsidRPr="008A1AF7">
              <w:rPr>
                <w:rFonts w:ascii="Arial" w:hAnsi="Arial" w:cs="Arial"/>
                <w:sz w:val="16"/>
                <w:szCs w:val="16"/>
              </w:rPr>
              <w:t>37,05%</w:t>
            </w:r>
          </w:p>
        </w:tc>
        <w:tc>
          <w:tcPr>
            <w:tcW w:w="1538" w:type="dxa"/>
            <w:tcBorders>
              <w:right w:val="single" w:sz="8" w:space="0" w:color="auto"/>
            </w:tcBorders>
            <w:shd w:val="clear" w:color="auto" w:fill="auto"/>
            <w:vAlign w:val="center"/>
          </w:tcPr>
          <w:p w14:paraId="55C93318" w14:textId="31B2B5A8" w:rsidR="008A1AF7" w:rsidRPr="00E21C60" w:rsidRDefault="008A1AF7" w:rsidP="008A1AF7">
            <w:pPr>
              <w:jc w:val="center"/>
              <w:rPr>
                <w:rFonts w:ascii="Arial" w:hAnsi="Arial" w:cs="Arial"/>
                <w:sz w:val="16"/>
                <w:szCs w:val="16"/>
              </w:rPr>
            </w:pPr>
            <w:r w:rsidRPr="008A1AF7">
              <w:rPr>
                <w:rFonts w:ascii="Arial" w:hAnsi="Arial" w:cs="Arial"/>
                <w:sz w:val="16"/>
                <w:szCs w:val="16"/>
              </w:rPr>
              <w:t>88,02%</w:t>
            </w:r>
          </w:p>
        </w:tc>
      </w:tr>
      <w:tr w:rsidR="008A1AF7" w:rsidRPr="00E21C60" w14:paraId="272828E4" w14:textId="77777777" w:rsidTr="008A1AF7">
        <w:trPr>
          <w:trHeight w:val="259"/>
        </w:trPr>
        <w:tc>
          <w:tcPr>
            <w:tcW w:w="499" w:type="dxa"/>
            <w:vMerge/>
            <w:tcBorders>
              <w:left w:val="single" w:sz="8" w:space="0" w:color="auto"/>
            </w:tcBorders>
            <w:vAlign w:val="center"/>
            <w:hideMark/>
          </w:tcPr>
          <w:p w14:paraId="52E43D6A"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1914F097"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Stred</w:t>
            </w:r>
            <w:r>
              <w:rPr>
                <w:rFonts w:ascii="Arial" w:hAnsi="Arial" w:cs="Arial"/>
                <w:sz w:val="16"/>
                <w:szCs w:val="16"/>
              </w:rPr>
              <w:t>né Slovensko</w:t>
            </w:r>
          </w:p>
        </w:tc>
        <w:tc>
          <w:tcPr>
            <w:tcW w:w="1237" w:type="dxa"/>
            <w:shd w:val="clear" w:color="auto" w:fill="auto"/>
            <w:vAlign w:val="center"/>
          </w:tcPr>
          <w:p w14:paraId="535E859B" w14:textId="39DD8EC8" w:rsidR="008A1AF7" w:rsidRPr="00E21C60" w:rsidRDefault="008A1AF7" w:rsidP="008A1AF7">
            <w:pPr>
              <w:jc w:val="center"/>
              <w:rPr>
                <w:rFonts w:ascii="Arial" w:hAnsi="Arial" w:cs="Arial"/>
                <w:sz w:val="16"/>
                <w:szCs w:val="16"/>
              </w:rPr>
            </w:pPr>
            <w:r w:rsidRPr="008A1AF7">
              <w:rPr>
                <w:rFonts w:ascii="Arial" w:hAnsi="Arial" w:cs="Arial"/>
                <w:sz w:val="16"/>
                <w:szCs w:val="16"/>
              </w:rPr>
              <w:t>146 255 822</w:t>
            </w:r>
          </w:p>
        </w:tc>
        <w:tc>
          <w:tcPr>
            <w:tcW w:w="1404" w:type="dxa"/>
            <w:shd w:val="clear" w:color="auto" w:fill="auto"/>
            <w:vAlign w:val="center"/>
          </w:tcPr>
          <w:p w14:paraId="6C38605A" w14:textId="2FEFC673" w:rsidR="008A1AF7" w:rsidRPr="00E21C60" w:rsidRDefault="008A1AF7" w:rsidP="008A1AF7">
            <w:pPr>
              <w:jc w:val="center"/>
              <w:rPr>
                <w:rFonts w:ascii="Arial" w:hAnsi="Arial" w:cs="Arial"/>
                <w:sz w:val="16"/>
                <w:szCs w:val="16"/>
              </w:rPr>
            </w:pPr>
            <w:r w:rsidRPr="008A1AF7">
              <w:rPr>
                <w:rFonts w:ascii="Arial" w:hAnsi="Arial" w:cs="Arial"/>
                <w:sz w:val="16"/>
                <w:szCs w:val="16"/>
              </w:rPr>
              <w:t>183,94%</w:t>
            </w:r>
          </w:p>
        </w:tc>
        <w:tc>
          <w:tcPr>
            <w:tcW w:w="1299" w:type="dxa"/>
            <w:shd w:val="clear" w:color="auto" w:fill="auto"/>
            <w:vAlign w:val="center"/>
          </w:tcPr>
          <w:p w14:paraId="49D53CC1" w14:textId="46938E18" w:rsidR="008A1AF7" w:rsidRPr="00E21C60" w:rsidRDefault="008A1AF7" w:rsidP="008A1AF7">
            <w:pPr>
              <w:jc w:val="center"/>
              <w:rPr>
                <w:rFonts w:ascii="Arial" w:hAnsi="Arial" w:cs="Arial"/>
                <w:sz w:val="16"/>
                <w:szCs w:val="16"/>
              </w:rPr>
            </w:pPr>
            <w:r w:rsidRPr="008A1AF7">
              <w:rPr>
                <w:rFonts w:ascii="Arial" w:hAnsi="Arial" w:cs="Arial"/>
                <w:sz w:val="16"/>
                <w:szCs w:val="16"/>
              </w:rPr>
              <w:t>269 028 337</w:t>
            </w:r>
          </w:p>
        </w:tc>
        <w:tc>
          <w:tcPr>
            <w:tcW w:w="1538" w:type="dxa"/>
            <w:shd w:val="clear" w:color="auto" w:fill="auto"/>
            <w:vAlign w:val="center"/>
          </w:tcPr>
          <w:p w14:paraId="14888CDC" w14:textId="4ACF420A" w:rsidR="008A1AF7" w:rsidRPr="00E21C60" w:rsidRDefault="008A1AF7" w:rsidP="008A1AF7">
            <w:pPr>
              <w:jc w:val="center"/>
              <w:rPr>
                <w:rFonts w:ascii="Arial" w:hAnsi="Arial" w:cs="Arial"/>
                <w:sz w:val="16"/>
                <w:szCs w:val="16"/>
              </w:rPr>
            </w:pPr>
            <w:r w:rsidRPr="008A1AF7">
              <w:rPr>
                <w:rFonts w:ascii="Arial" w:hAnsi="Arial" w:cs="Arial"/>
                <w:sz w:val="16"/>
                <w:szCs w:val="16"/>
              </w:rPr>
              <w:t>28,67%</w:t>
            </w:r>
          </w:p>
        </w:tc>
        <w:tc>
          <w:tcPr>
            <w:tcW w:w="1538" w:type="dxa"/>
            <w:tcBorders>
              <w:right w:val="single" w:sz="8" w:space="0" w:color="auto"/>
            </w:tcBorders>
            <w:shd w:val="clear" w:color="auto" w:fill="auto"/>
            <w:vAlign w:val="center"/>
          </w:tcPr>
          <w:p w14:paraId="5590981B" w14:textId="0C25671B" w:rsidR="008A1AF7" w:rsidRPr="00E21C60" w:rsidRDefault="008A1AF7" w:rsidP="008A1AF7">
            <w:pPr>
              <w:jc w:val="center"/>
              <w:rPr>
                <w:rFonts w:ascii="Arial" w:hAnsi="Arial" w:cs="Arial"/>
                <w:sz w:val="16"/>
                <w:szCs w:val="16"/>
              </w:rPr>
            </w:pPr>
            <w:r w:rsidRPr="008A1AF7">
              <w:rPr>
                <w:rFonts w:ascii="Arial" w:hAnsi="Arial" w:cs="Arial"/>
                <w:sz w:val="16"/>
                <w:szCs w:val="16"/>
              </w:rPr>
              <w:t>183,94%</w:t>
            </w:r>
          </w:p>
        </w:tc>
      </w:tr>
      <w:tr w:rsidR="008A1AF7" w:rsidRPr="00E21C60" w14:paraId="166E1F80" w14:textId="77777777" w:rsidTr="008A1AF7">
        <w:trPr>
          <w:trHeight w:val="259"/>
        </w:trPr>
        <w:tc>
          <w:tcPr>
            <w:tcW w:w="499" w:type="dxa"/>
            <w:vMerge/>
            <w:tcBorders>
              <w:left w:val="single" w:sz="8" w:space="0" w:color="auto"/>
            </w:tcBorders>
            <w:vAlign w:val="center"/>
            <w:hideMark/>
          </w:tcPr>
          <w:p w14:paraId="4AB56794"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2C536DD0"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Východ</w:t>
            </w:r>
            <w:r>
              <w:rPr>
                <w:rFonts w:ascii="Arial" w:hAnsi="Arial" w:cs="Arial"/>
                <w:sz w:val="16"/>
                <w:szCs w:val="16"/>
              </w:rPr>
              <w:t>né Slovensko</w:t>
            </w:r>
          </w:p>
        </w:tc>
        <w:tc>
          <w:tcPr>
            <w:tcW w:w="1237" w:type="dxa"/>
            <w:shd w:val="clear" w:color="auto" w:fill="auto"/>
            <w:vAlign w:val="center"/>
          </w:tcPr>
          <w:p w14:paraId="17A87E43" w14:textId="2DD4BAD2" w:rsidR="008A1AF7" w:rsidRPr="00E21C60" w:rsidRDefault="008A1AF7" w:rsidP="008A1AF7">
            <w:pPr>
              <w:jc w:val="center"/>
              <w:rPr>
                <w:rFonts w:ascii="Arial" w:hAnsi="Arial" w:cs="Arial"/>
                <w:sz w:val="16"/>
                <w:szCs w:val="16"/>
              </w:rPr>
            </w:pPr>
            <w:r w:rsidRPr="008A1AF7">
              <w:rPr>
                <w:rFonts w:ascii="Arial" w:hAnsi="Arial" w:cs="Arial"/>
                <w:sz w:val="16"/>
                <w:szCs w:val="16"/>
              </w:rPr>
              <w:t>237 688 971</w:t>
            </w:r>
          </w:p>
        </w:tc>
        <w:tc>
          <w:tcPr>
            <w:tcW w:w="1404" w:type="dxa"/>
            <w:shd w:val="clear" w:color="auto" w:fill="auto"/>
            <w:vAlign w:val="center"/>
          </w:tcPr>
          <w:p w14:paraId="36007E92" w14:textId="11F138C0" w:rsidR="008A1AF7" w:rsidRPr="00E21C60" w:rsidRDefault="008A1AF7" w:rsidP="008A1AF7">
            <w:pPr>
              <w:jc w:val="center"/>
              <w:rPr>
                <w:rFonts w:ascii="Arial" w:hAnsi="Arial" w:cs="Arial"/>
                <w:sz w:val="16"/>
                <w:szCs w:val="16"/>
              </w:rPr>
            </w:pPr>
            <w:r w:rsidRPr="008A1AF7">
              <w:rPr>
                <w:rFonts w:ascii="Arial" w:hAnsi="Arial" w:cs="Arial"/>
                <w:sz w:val="16"/>
                <w:szCs w:val="16"/>
              </w:rPr>
              <w:t>102,89%</w:t>
            </w:r>
          </w:p>
        </w:tc>
        <w:tc>
          <w:tcPr>
            <w:tcW w:w="1299" w:type="dxa"/>
            <w:shd w:val="clear" w:color="auto" w:fill="auto"/>
            <w:vAlign w:val="center"/>
          </w:tcPr>
          <w:p w14:paraId="4C0483A6" w14:textId="59F82277" w:rsidR="008A1AF7" w:rsidRPr="00E21C60" w:rsidRDefault="008A1AF7" w:rsidP="008A1AF7">
            <w:pPr>
              <w:jc w:val="center"/>
              <w:rPr>
                <w:rFonts w:ascii="Arial" w:hAnsi="Arial" w:cs="Arial"/>
                <w:sz w:val="16"/>
                <w:szCs w:val="16"/>
              </w:rPr>
            </w:pPr>
            <w:r w:rsidRPr="008A1AF7">
              <w:rPr>
                <w:rFonts w:ascii="Arial" w:hAnsi="Arial" w:cs="Arial"/>
                <w:sz w:val="16"/>
                <w:szCs w:val="16"/>
              </w:rPr>
              <w:t>244 548 418</w:t>
            </w:r>
          </w:p>
        </w:tc>
        <w:tc>
          <w:tcPr>
            <w:tcW w:w="1538" w:type="dxa"/>
            <w:shd w:val="clear" w:color="auto" w:fill="auto"/>
            <w:vAlign w:val="center"/>
          </w:tcPr>
          <w:p w14:paraId="643B64A0" w14:textId="14F37A17" w:rsidR="008A1AF7" w:rsidRPr="00E21C60" w:rsidRDefault="008A1AF7" w:rsidP="008A1AF7">
            <w:pPr>
              <w:jc w:val="center"/>
              <w:rPr>
                <w:rFonts w:ascii="Arial" w:hAnsi="Arial" w:cs="Arial"/>
                <w:sz w:val="16"/>
                <w:szCs w:val="16"/>
              </w:rPr>
            </w:pPr>
            <w:r w:rsidRPr="008A1AF7">
              <w:rPr>
                <w:rFonts w:ascii="Arial" w:hAnsi="Arial" w:cs="Arial"/>
                <w:sz w:val="16"/>
                <w:szCs w:val="16"/>
              </w:rPr>
              <w:t>26,06%</w:t>
            </w:r>
          </w:p>
        </w:tc>
        <w:tc>
          <w:tcPr>
            <w:tcW w:w="1538" w:type="dxa"/>
            <w:tcBorders>
              <w:right w:val="single" w:sz="8" w:space="0" w:color="auto"/>
            </w:tcBorders>
            <w:shd w:val="clear" w:color="auto" w:fill="auto"/>
            <w:vAlign w:val="center"/>
          </w:tcPr>
          <w:p w14:paraId="5590287D" w14:textId="5B9F8E29" w:rsidR="008A1AF7" w:rsidRPr="00E21C60" w:rsidRDefault="008A1AF7" w:rsidP="008A1AF7">
            <w:pPr>
              <w:jc w:val="center"/>
              <w:rPr>
                <w:rFonts w:ascii="Arial" w:hAnsi="Arial" w:cs="Arial"/>
                <w:sz w:val="16"/>
                <w:szCs w:val="16"/>
              </w:rPr>
            </w:pPr>
            <w:r w:rsidRPr="008A1AF7">
              <w:rPr>
                <w:rFonts w:ascii="Arial" w:hAnsi="Arial" w:cs="Arial"/>
                <w:sz w:val="16"/>
                <w:szCs w:val="16"/>
              </w:rPr>
              <w:t>102,89%</w:t>
            </w:r>
          </w:p>
        </w:tc>
      </w:tr>
      <w:tr w:rsidR="008A1AF7" w:rsidRPr="00E21C60" w14:paraId="381C17C3" w14:textId="77777777" w:rsidTr="008A1AF7">
        <w:trPr>
          <w:trHeight w:val="259"/>
        </w:trPr>
        <w:tc>
          <w:tcPr>
            <w:tcW w:w="499" w:type="dxa"/>
            <w:vMerge/>
            <w:tcBorders>
              <w:left w:val="single" w:sz="8" w:space="0" w:color="auto"/>
              <w:bottom w:val="single" w:sz="8" w:space="0" w:color="auto"/>
            </w:tcBorders>
            <w:vAlign w:val="center"/>
            <w:hideMark/>
          </w:tcPr>
          <w:p w14:paraId="19BB2E0B" w14:textId="77777777" w:rsidR="008A1AF7" w:rsidRPr="00E21C60" w:rsidRDefault="008A1AF7">
            <w:pPr>
              <w:rPr>
                <w:rFonts w:ascii="Arial" w:hAnsi="Arial" w:cs="Arial"/>
                <w:color w:val="000000"/>
                <w:sz w:val="16"/>
                <w:szCs w:val="16"/>
              </w:rPr>
            </w:pPr>
          </w:p>
        </w:tc>
        <w:tc>
          <w:tcPr>
            <w:tcW w:w="1640" w:type="dxa"/>
            <w:tcBorders>
              <w:bottom w:val="single" w:sz="8" w:space="0" w:color="auto"/>
            </w:tcBorders>
            <w:shd w:val="clear" w:color="auto" w:fill="auto"/>
            <w:vAlign w:val="center"/>
            <w:hideMark/>
          </w:tcPr>
          <w:p w14:paraId="3CE22CD8" w14:textId="50CA18E3" w:rsidR="008A1AF7" w:rsidRPr="00E21C60" w:rsidRDefault="008A1AF7" w:rsidP="006B3ADD">
            <w:pPr>
              <w:jc w:val="center"/>
              <w:rPr>
                <w:rFonts w:ascii="Arial" w:hAnsi="Arial" w:cs="Arial"/>
                <w:b/>
                <w:bCs/>
                <w:color w:val="000000"/>
                <w:sz w:val="16"/>
                <w:szCs w:val="16"/>
              </w:rPr>
            </w:pPr>
            <w:r w:rsidRPr="008A1AF7">
              <w:rPr>
                <w:rFonts w:ascii="Arial" w:hAnsi="Arial" w:cs="Arial"/>
                <w:b/>
                <w:bCs/>
                <w:color w:val="000000"/>
                <w:sz w:val="16"/>
                <w:szCs w:val="16"/>
              </w:rPr>
              <w:t>Spolu</w:t>
            </w:r>
          </w:p>
        </w:tc>
        <w:tc>
          <w:tcPr>
            <w:tcW w:w="1237" w:type="dxa"/>
            <w:tcBorders>
              <w:bottom w:val="single" w:sz="8" w:space="0" w:color="auto"/>
            </w:tcBorders>
            <w:shd w:val="clear" w:color="auto" w:fill="auto"/>
            <w:vAlign w:val="center"/>
          </w:tcPr>
          <w:p w14:paraId="4BDF33EF" w14:textId="393DC521" w:rsidR="008A1AF7" w:rsidRPr="008A1AF7" w:rsidRDefault="008A1AF7" w:rsidP="008A1AF7">
            <w:pPr>
              <w:jc w:val="center"/>
              <w:rPr>
                <w:rFonts w:ascii="Arial" w:hAnsi="Arial" w:cs="Arial"/>
                <w:b/>
                <w:sz w:val="16"/>
                <w:szCs w:val="16"/>
              </w:rPr>
            </w:pPr>
            <w:r w:rsidRPr="008A1AF7">
              <w:rPr>
                <w:rFonts w:ascii="Arial" w:hAnsi="Arial" w:cs="Arial"/>
                <w:b/>
                <w:sz w:val="16"/>
                <w:szCs w:val="16"/>
              </w:rPr>
              <w:t>903 512 965</w:t>
            </w:r>
          </w:p>
        </w:tc>
        <w:tc>
          <w:tcPr>
            <w:tcW w:w="1404" w:type="dxa"/>
            <w:tcBorders>
              <w:bottom w:val="single" w:sz="8" w:space="0" w:color="auto"/>
            </w:tcBorders>
            <w:shd w:val="clear" w:color="000000" w:fill="FFFFFF"/>
            <w:vAlign w:val="center"/>
          </w:tcPr>
          <w:p w14:paraId="4CD82D04" w14:textId="131D9184" w:rsidR="008A1AF7" w:rsidRPr="008A1AF7" w:rsidRDefault="008A1AF7" w:rsidP="008A1AF7">
            <w:pPr>
              <w:jc w:val="center"/>
              <w:rPr>
                <w:rFonts w:ascii="Arial" w:hAnsi="Arial" w:cs="Arial"/>
                <w:b/>
                <w:sz w:val="16"/>
                <w:szCs w:val="16"/>
              </w:rPr>
            </w:pPr>
            <w:r w:rsidRPr="008A1AF7">
              <w:rPr>
                <w:rFonts w:ascii="Arial" w:hAnsi="Arial" w:cs="Arial"/>
                <w:b/>
                <w:sz w:val="16"/>
                <w:szCs w:val="16"/>
              </w:rPr>
              <w:t>103,86%</w:t>
            </w:r>
          </w:p>
        </w:tc>
        <w:tc>
          <w:tcPr>
            <w:tcW w:w="1299" w:type="dxa"/>
            <w:tcBorders>
              <w:bottom w:val="single" w:sz="8" w:space="0" w:color="auto"/>
            </w:tcBorders>
            <w:shd w:val="clear" w:color="auto" w:fill="auto"/>
            <w:vAlign w:val="center"/>
          </w:tcPr>
          <w:p w14:paraId="1C43E073" w14:textId="1BCFE187" w:rsidR="008A1AF7" w:rsidRPr="008A1AF7" w:rsidRDefault="008A1AF7" w:rsidP="008A1AF7">
            <w:pPr>
              <w:jc w:val="center"/>
              <w:rPr>
                <w:rFonts w:ascii="Arial" w:hAnsi="Arial" w:cs="Arial"/>
                <w:b/>
                <w:sz w:val="16"/>
                <w:szCs w:val="16"/>
              </w:rPr>
            </w:pPr>
            <w:r w:rsidRPr="008A1AF7">
              <w:rPr>
                <w:rFonts w:ascii="Arial" w:hAnsi="Arial" w:cs="Arial"/>
                <w:b/>
                <w:sz w:val="16"/>
                <w:szCs w:val="16"/>
              </w:rPr>
              <w:t>938 424 385</w:t>
            </w:r>
          </w:p>
        </w:tc>
        <w:tc>
          <w:tcPr>
            <w:tcW w:w="1538" w:type="dxa"/>
            <w:tcBorders>
              <w:bottom w:val="single" w:sz="8" w:space="0" w:color="auto"/>
            </w:tcBorders>
            <w:shd w:val="clear" w:color="auto" w:fill="auto"/>
            <w:vAlign w:val="center"/>
          </w:tcPr>
          <w:p w14:paraId="73066820" w14:textId="3A8BDD03" w:rsidR="008A1AF7" w:rsidRPr="008A1AF7" w:rsidRDefault="008A1AF7" w:rsidP="008A1AF7">
            <w:pPr>
              <w:jc w:val="center"/>
              <w:rPr>
                <w:rFonts w:ascii="Arial" w:hAnsi="Arial" w:cs="Arial"/>
                <w:b/>
                <w:sz w:val="16"/>
                <w:szCs w:val="16"/>
              </w:rPr>
            </w:pPr>
            <w:r>
              <w:rPr>
                <w:rFonts w:ascii="Arial" w:hAnsi="Arial" w:cs="Arial"/>
                <w:b/>
                <w:sz w:val="16"/>
                <w:szCs w:val="16"/>
              </w:rPr>
              <w:t>-</w:t>
            </w:r>
          </w:p>
        </w:tc>
        <w:tc>
          <w:tcPr>
            <w:tcW w:w="1538" w:type="dxa"/>
            <w:tcBorders>
              <w:bottom w:val="single" w:sz="8" w:space="0" w:color="auto"/>
              <w:right w:val="single" w:sz="8" w:space="0" w:color="auto"/>
            </w:tcBorders>
            <w:shd w:val="clear" w:color="auto" w:fill="auto"/>
            <w:vAlign w:val="center"/>
          </w:tcPr>
          <w:p w14:paraId="57D59759" w14:textId="2B168A8E" w:rsidR="008A1AF7" w:rsidRPr="008A1AF7" w:rsidRDefault="008A1AF7" w:rsidP="008A1AF7">
            <w:pPr>
              <w:jc w:val="center"/>
              <w:rPr>
                <w:rFonts w:ascii="Arial" w:hAnsi="Arial" w:cs="Arial"/>
                <w:b/>
                <w:sz w:val="16"/>
                <w:szCs w:val="16"/>
              </w:rPr>
            </w:pPr>
            <w:r w:rsidRPr="008A1AF7">
              <w:rPr>
                <w:rFonts w:ascii="Arial" w:hAnsi="Arial" w:cs="Arial"/>
                <w:b/>
                <w:sz w:val="16"/>
                <w:szCs w:val="16"/>
              </w:rPr>
              <w:t>103,86%</w:t>
            </w:r>
          </w:p>
        </w:tc>
      </w:tr>
      <w:tr w:rsidR="008A1AF7" w:rsidRPr="00E21C60" w14:paraId="145DB922" w14:textId="77777777" w:rsidTr="008A1AF7">
        <w:trPr>
          <w:trHeight w:val="259"/>
        </w:trPr>
        <w:tc>
          <w:tcPr>
            <w:tcW w:w="499" w:type="dxa"/>
            <w:vMerge w:val="restart"/>
            <w:tcBorders>
              <w:top w:val="single" w:sz="8" w:space="0" w:color="auto"/>
              <w:left w:val="single" w:sz="8" w:space="0" w:color="auto"/>
            </w:tcBorders>
            <w:shd w:val="clear" w:color="auto" w:fill="auto"/>
            <w:vAlign w:val="center"/>
            <w:hideMark/>
          </w:tcPr>
          <w:p w14:paraId="28C852EE" w14:textId="77777777" w:rsidR="008A1AF7" w:rsidRPr="002526CC" w:rsidRDefault="008A1AF7">
            <w:pPr>
              <w:jc w:val="center"/>
              <w:rPr>
                <w:rFonts w:ascii="Arial" w:hAnsi="Arial" w:cs="Arial"/>
                <w:color w:val="000000"/>
                <w:sz w:val="16"/>
                <w:szCs w:val="16"/>
              </w:rPr>
            </w:pPr>
            <w:r w:rsidRPr="002526CC">
              <w:rPr>
                <w:rFonts w:ascii="Arial" w:hAnsi="Arial" w:cs="Arial"/>
                <w:color w:val="000000"/>
                <w:sz w:val="16"/>
                <w:szCs w:val="16"/>
              </w:rPr>
              <w:t>PO 2</w:t>
            </w:r>
          </w:p>
        </w:tc>
        <w:tc>
          <w:tcPr>
            <w:tcW w:w="1640" w:type="dxa"/>
            <w:tcBorders>
              <w:top w:val="single" w:sz="8" w:space="0" w:color="auto"/>
            </w:tcBorders>
            <w:shd w:val="clear" w:color="auto" w:fill="auto"/>
            <w:vAlign w:val="center"/>
            <w:hideMark/>
          </w:tcPr>
          <w:p w14:paraId="28224C0E"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Bratislavský</w:t>
            </w:r>
          </w:p>
        </w:tc>
        <w:tc>
          <w:tcPr>
            <w:tcW w:w="1237" w:type="dxa"/>
            <w:tcBorders>
              <w:top w:val="single" w:sz="8" w:space="0" w:color="auto"/>
            </w:tcBorders>
            <w:shd w:val="clear" w:color="auto" w:fill="auto"/>
            <w:vAlign w:val="center"/>
          </w:tcPr>
          <w:p w14:paraId="46CC7586" w14:textId="23E0F619" w:rsidR="008A1AF7" w:rsidRPr="00E21C60" w:rsidRDefault="008A1AF7" w:rsidP="008A1AF7">
            <w:pPr>
              <w:jc w:val="center"/>
              <w:rPr>
                <w:rFonts w:ascii="Arial" w:hAnsi="Arial" w:cs="Arial"/>
                <w:sz w:val="16"/>
                <w:szCs w:val="16"/>
              </w:rPr>
            </w:pPr>
            <w:r w:rsidRPr="008A1AF7">
              <w:rPr>
                <w:rFonts w:ascii="Arial" w:hAnsi="Arial" w:cs="Arial"/>
                <w:sz w:val="16"/>
                <w:szCs w:val="16"/>
              </w:rPr>
              <w:t>20 861 608</w:t>
            </w:r>
          </w:p>
        </w:tc>
        <w:tc>
          <w:tcPr>
            <w:tcW w:w="1404" w:type="dxa"/>
            <w:tcBorders>
              <w:top w:val="single" w:sz="8" w:space="0" w:color="auto"/>
            </w:tcBorders>
            <w:shd w:val="clear" w:color="auto" w:fill="auto"/>
            <w:vAlign w:val="center"/>
          </w:tcPr>
          <w:p w14:paraId="2CC5779D" w14:textId="1ACE3351" w:rsidR="008A1AF7" w:rsidRPr="00E21C60" w:rsidRDefault="008A1AF7" w:rsidP="008A1AF7">
            <w:pPr>
              <w:jc w:val="center"/>
              <w:rPr>
                <w:rFonts w:ascii="Arial" w:hAnsi="Arial" w:cs="Arial"/>
                <w:sz w:val="16"/>
                <w:szCs w:val="16"/>
              </w:rPr>
            </w:pPr>
            <w:r w:rsidRPr="008A1AF7">
              <w:rPr>
                <w:rFonts w:ascii="Arial" w:hAnsi="Arial" w:cs="Arial"/>
                <w:sz w:val="16"/>
                <w:szCs w:val="16"/>
              </w:rPr>
              <w:t>25,35%</w:t>
            </w:r>
          </w:p>
        </w:tc>
        <w:tc>
          <w:tcPr>
            <w:tcW w:w="1299" w:type="dxa"/>
            <w:tcBorders>
              <w:top w:val="single" w:sz="8" w:space="0" w:color="auto"/>
            </w:tcBorders>
            <w:shd w:val="clear" w:color="auto" w:fill="auto"/>
            <w:vAlign w:val="center"/>
          </w:tcPr>
          <w:p w14:paraId="2E8A8506" w14:textId="30E71A57" w:rsidR="008A1AF7" w:rsidRPr="00E21C60" w:rsidRDefault="008A1AF7" w:rsidP="008A1AF7">
            <w:pPr>
              <w:jc w:val="center"/>
              <w:rPr>
                <w:rFonts w:ascii="Arial" w:hAnsi="Arial" w:cs="Arial"/>
                <w:sz w:val="16"/>
                <w:szCs w:val="16"/>
              </w:rPr>
            </w:pPr>
            <w:r w:rsidRPr="008A1AF7">
              <w:rPr>
                <w:rFonts w:ascii="Arial" w:hAnsi="Arial" w:cs="Arial"/>
                <w:sz w:val="16"/>
                <w:szCs w:val="16"/>
              </w:rPr>
              <w:t>5 287 941</w:t>
            </w:r>
          </w:p>
        </w:tc>
        <w:tc>
          <w:tcPr>
            <w:tcW w:w="1538" w:type="dxa"/>
            <w:tcBorders>
              <w:top w:val="single" w:sz="8" w:space="0" w:color="auto"/>
            </w:tcBorders>
            <w:shd w:val="clear" w:color="auto" w:fill="auto"/>
            <w:vAlign w:val="center"/>
          </w:tcPr>
          <w:p w14:paraId="131DF97F" w14:textId="7BBF07F6" w:rsidR="008A1AF7" w:rsidRPr="00E21C60" w:rsidRDefault="008A1AF7" w:rsidP="008A1AF7">
            <w:pPr>
              <w:jc w:val="center"/>
              <w:rPr>
                <w:rFonts w:ascii="Arial" w:hAnsi="Arial" w:cs="Arial"/>
                <w:sz w:val="16"/>
                <w:szCs w:val="16"/>
              </w:rPr>
            </w:pPr>
            <w:r w:rsidRPr="008A1AF7">
              <w:rPr>
                <w:rFonts w:ascii="Arial" w:hAnsi="Arial" w:cs="Arial"/>
                <w:sz w:val="16"/>
                <w:szCs w:val="16"/>
              </w:rPr>
              <w:t>3,83%</w:t>
            </w:r>
          </w:p>
        </w:tc>
        <w:tc>
          <w:tcPr>
            <w:tcW w:w="1538" w:type="dxa"/>
            <w:tcBorders>
              <w:top w:val="single" w:sz="8" w:space="0" w:color="auto"/>
              <w:right w:val="single" w:sz="8" w:space="0" w:color="auto"/>
            </w:tcBorders>
            <w:shd w:val="clear" w:color="auto" w:fill="auto"/>
            <w:vAlign w:val="center"/>
          </w:tcPr>
          <w:p w14:paraId="7FF92718" w14:textId="6AA15922" w:rsidR="008A1AF7" w:rsidRPr="00E21C60" w:rsidRDefault="008A1AF7" w:rsidP="008A1AF7">
            <w:pPr>
              <w:jc w:val="center"/>
              <w:rPr>
                <w:rFonts w:ascii="Arial" w:hAnsi="Arial" w:cs="Arial"/>
                <w:sz w:val="16"/>
                <w:szCs w:val="16"/>
              </w:rPr>
            </w:pPr>
            <w:r w:rsidRPr="008A1AF7">
              <w:rPr>
                <w:rFonts w:ascii="Arial" w:hAnsi="Arial" w:cs="Arial"/>
                <w:sz w:val="16"/>
                <w:szCs w:val="16"/>
              </w:rPr>
              <w:t>25,35%</w:t>
            </w:r>
          </w:p>
        </w:tc>
      </w:tr>
      <w:tr w:rsidR="008A1AF7" w:rsidRPr="00E21C60" w14:paraId="223245A0" w14:textId="77777777" w:rsidTr="008A1AF7">
        <w:trPr>
          <w:trHeight w:val="259"/>
        </w:trPr>
        <w:tc>
          <w:tcPr>
            <w:tcW w:w="499" w:type="dxa"/>
            <w:vMerge/>
            <w:tcBorders>
              <w:left w:val="single" w:sz="8" w:space="0" w:color="auto"/>
            </w:tcBorders>
            <w:vAlign w:val="center"/>
            <w:hideMark/>
          </w:tcPr>
          <w:p w14:paraId="6A94191A"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4E93ECC9"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Západ</w:t>
            </w:r>
            <w:r>
              <w:rPr>
                <w:rFonts w:ascii="Arial" w:hAnsi="Arial" w:cs="Arial"/>
                <w:sz w:val="16"/>
                <w:szCs w:val="16"/>
              </w:rPr>
              <w:t>né Slovensko</w:t>
            </w:r>
          </w:p>
        </w:tc>
        <w:tc>
          <w:tcPr>
            <w:tcW w:w="1237" w:type="dxa"/>
            <w:shd w:val="clear" w:color="auto" w:fill="auto"/>
            <w:vAlign w:val="center"/>
          </w:tcPr>
          <w:p w14:paraId="1BEFBBE8" w14:textId="335019EF" w:rsidR="008A1AF7" w:rsidRPr="00E21C60" w:rsidRDefault="008A1AF7" w:rsidP="008A1AF7">
            <w:pPr>
              <w:jc w:val="center"/>
              <w:rPr>
                <w:rFonts w:ascii="Arial" w:hAnsi="Arial" w:cs="Arial"/>
                <w:sz w:val="16"/>
                <w:szCs w:val="16"/>
              </w:rPr>
            </w:pPr>
            <w:r w:rsidRPr="008A1AF7">
              <w:rPr>
                <w:rFonts w:ascii="Arial" w:hAnsi="Arial" w:cs="Arial"/>
                <w:sz w:val="16"/>
                <w:szCs w:val="16"/>
              </w:rPr>
              <w:t>62 584 824</w:t>
            </w:r>
          </w:p>
        </w:tc>
        <w:tc>
          <w:tcPr>
            <w:tcW w:w="1404" w:type="dxa"/>
            <w:shd w:val="clear" w:color="auto" w:fill="auto"/>
            <w:vAlign w:val="center"/>
          </w:tcPr>
          <w:p w14:paraId="57086170" w14:textId="4AE5556D" w:rsidR="008A1AF7" w:rsidRPr="00E21C60" w:rsidRDefault="008A1AF7" w:rsidP="008A1AF7">
            <w:pPr>
              <w:jc w:val="center"/>
              <w:rPr>
                <w:rFonts w:ascii="Arial" w:hAnsi="Arial" w:cs="Arial"/>
                <w:sz w:val="16"/>
                <w:szCs w:val="16"/>
              </w:rPr>
            </w:pPr>
            <w:r w:rsidRPr="008A1AF7">
              <w:rPr>
                <w:rFonts w:ascii="Arial" w:hAnsi="Arial" w:cs="Arial"/>
                <w:sz w:val="16"/>
                <w:szCs w:val="16"/>
              </w:rPr>
              <w:t>59,01%</w:t>
            </w:r>
          </w:p>
        </w:tc>
        <w:tc>
          <w:tcPr>
            <w:tcW w:w="1299" w:type="dxa"/>
            <w:shd w:val="clear" w:color="auto" w:fill="auto"/>
            <w:vAlign w:val="center"/>
          </w:tcPr>
          <w:p w14:paraId="778EDB54" w14:textId="4754BAD8" w:rsidR="008A1AF7" w:rsidRPr="00E21C60" w:rsidRDefault="008A1AF7" w:rsidP="008A1AF7">
            <w:pPr>
              <w:jc w:val="center"/>
              <w:rPr>
                <w:rFonts w:ascii="Arial" w:hAnsi="Arial" w:cs="Arial"/>
                <w:sz w:val="16"/>
                <w:szCs w:val="16"/>
              </w:rPr>
            </w:pPr>
            <w:r w:rsidRPr="008A1AF7">
              <w:rPr>
                <w:rFonts w:ascii="Arial" w:hAnsi="Arial" w:cs="Arial"/>
                <w:sz w:val="16"/>
                <w:szCs w:val="16"/>
              </w:rPr>
              <w:t>36 934 197</w:t>
            </w:r>
          </w:p>
        </w:tc>
        <w:tc>
          <w:tcPr>
            <w:tcW w:w="1538" w:type="dxa"/>
            <w:shd w:val="clear" w:color="auto" w:fill="auto"/>
            <w:vAlign w:val="center"/>
          </w:tcPr>
          <w:p w14:paraId="3E8116F5" w14:textId="543A3692" w:rsidR="008A1AF7" w:rsidRPr="00E21C60" w:rsidRDefault="008A1AF7" w:rsidP="008A1AF7">
            <w:pPr>
              <w:jc w:val="center"/>
              <w:rPr>
                <w:rFonts w:ascii="Arial" w:hAnsi="Arial" w:cs="Arial"/>
                <w:sz w:val="16"/>
                <w:szCs w:val="16"/>
              </w:rPr>
            </w:pPr>
            <w:r w:rsidRPr="008A1AF7">
              <w:rPr>
                <w:rFonts w:ascii="Arial" w:hAnsi="Arial" w:cs="Arial"/>
                <w:sz w:val="16"/>
                <w:szCs w:val="16"/>
              </w:rPr>
              <w:t>26,75%</w:t>
            </w:r>
          </w:p>
        </w:tc>
        <w:tc>
          <w:tcPr>
            <w:tcW w:w="1538" w:type="dxa"/>
            <w:tcBorders>
              <w:right w:val="single" w:sz="8" w:space="0" w:color="auto"/>
            </w:tcBorders>
            <w:shd w:val="clear" w:color="auto" w:fill="auto"/>
            <w:vAlign w:val="center"/>
          </w:tcPr>
          <w:p w14:paraId="795A8F24" w14:textId="584C6E15" w:rsidR="008A1AF7" w:rsidRPr="00E21C60" w:rsidRDefault="008A1AF7" w:rsidP="008A1AF7">
            <w:pPr>
              <w:jc w:val="center"/>
              <w:rPr>
                <w:rFonts w:ascii="Arial" w:hAnsi="Arial" w:cs="Arial"/>
                <w:sz w:val="16"/>
                <w:szCs w:val="16"/>
              </w:rPr>
            </w:pPr>
            <w:r w:rsidRPr="008A1AF7">
              <w:rPr>
                <w:rFonts w:ascii="Arial" w:hAnsi="Arial" w:cs="Arial"/>
                <w:sz w:val="16"/>
                <w:szCs w:val="16"/>
              </w:rPr>
              <w:t>59,01%</w:t>
            </w:r>
          </w:p>
        </w:tc>
      </w:tr>
      <w:tr w:rsidR="008A1AF7" w:rsidRPr="00E21C60" w14:paraId="47C965B5" w14:textId="77777777" w:rsidTr="008A1AF7">
        <w:trPr>
          <w:trHeight w:val="259"/>
        </w:trPr>
        <w:tc>
          <w:tcPr>
            <w:tcW w:w="499" w:type="dxa"/>
            <w:vMerge/>
            <w:tcBorders>
              <w:left w:val="single" w:sz="8" w:space="0" w:color="auto"/>
            </w:tcBorders>
            <w:vAlign w:val="center"/>
            <w:hideMark/>
          </w:tcPr>
          <w:p w14:paraId="7DA5D42D"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5DC9C65F"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Stred</w:t>
            </w:r>
            <w:r>
              <w:rPr>
                <w:rFonts w:ascii="Arial" w:hAnsi="Arial" w:cs="Arial"/>
                <w:sz w:val="16"/>
                <w:szCs w:val="16"/>
              </w:rPr>
              <w:t>né Slovensko</w:t>
            </w:r>
          </w:p>
        </w:tc>
        <w:tc>
          <w:tcPr>
            <w:tcW w:w="1237" w:type="dxa"/>
            <w:shd w:val="clear" w:color="auto" w:fill="auto"/>
            <w:vAlign w:val="center"/>
          </w:tcPr>
          <w:p w14:paraId="20CC0673" w14:textId="0768B675" w:rsidR="008A1AF7" w:rsidRPr="00E21C60" w:rsidRDefault="008A1AF7" w:rsidP="008A1AF7">
            <w:pPr>
              <w:jc w:val="center"/>
              <w:rPr>
                <w:rFonts w:ascii="Arial" w:hAnsi="Arial" w:cs="Arial"/>
                <w:sz w:val="16"/>
                <w:szCs w:val="16"/>
              </w:rPr>
            </w:pPr>
            <w:r w:rsidRPr="008A1AF7">
              <w:rPr>
                <w:rFonts w:ascii="Arial" w:hAnsi="Arial" w:cs="Arial"/>
                <w:sz w:val="16"/>
                <w:szCs w:val="16"/>
              </w:rPr>
              <w:t>44 330 917</w:t>
            </w:r>
          </w:p>
        </w:tc>
        <w:tc>
          <w:tcPr>
            <w:tcW w:w="1404" w:type="dxa"/>
            <w:shd w:val="clear" w:color="auto" w:fill="auto"/>
            <w:vAlign w:val="center"/>
          </w:tcPr>
          <w:p w14:paraId="4E203EBF" w14:textId="0727FCD1" w:rsidR="008A1AF7" w:rsidRPr="00E21C60" w:rsidRDefault="008A1AF7" w:rsidP="008A1AF7">
            <w:pPr>
              <w:jc w:val="center"/>
              <w:rPr>
                <w:rFonts w:ascii="Arial" w:hAnsi="Arial" w:cs="Arial"/>
                <w:sz w:val="16"/>
                <w:szCs w:val="16"/>
              </w:rPr>
            </w:pPr>
            <w:r w:rsidRPr="008A1AF7">
              <w:rPr>
                <w:rFonts w:ascii="Arial" w:hAnsi="Arial" w:cs="Arial"/>
                <w:sz w:val="16"/>
                <w:szCs w:val="16"/>
              </w:rPr>
              <w:t>57,51%</w:t>
            </w:r>
          </w:p>
        </w:tc>
        <w:tc>
          <w:tcPr>
            <w:tcW w:w="1299" w:type="dxa"/>
            <w:shd w:val="clear" w:color="auto" w:fill="auto"/>
            <w:vAlign w:val="center"/>
          </w:tcPr>
          <w:p w14:paraId="4613FE7A" w14:textId="5E14265E" w:rsidR="008A1AF7" w:rsidRPr="00E21C60" w:rsidRDefault="008A1AF7" w:rsidP="008A1AF7">
            <w:pPr>
              <w:jc w:val="center"/>
              <w:rPr>
                <w:rFonts w:ascii="Arial" w:hAnsi="Arial" w:cs="Arial"/>
                <w:sz w:val="16"/>
                <w:szCs w:val="16"/>
              </w:rPr>
            </w:pPr>
            <w:r w:rsidRPr="008A1AF7">
              <w:rPr>
                <w:rFonts w:ascii="Arial" w:hAnsi="Arial" w:cs="Arial"/>
                <w:sz w:val="16"/>
                <w:szCs w:val="16"/>
              </w:rPr>
              <w:t>25 495 058</w:t>
            </w:r>
          </w:p>
        </w:tc>
        <w:tc>
          <w:tcPr>
            <w:tcW w:w="1538" w:type="dxa"/>
            <w:shd w:val="clear" w:color="auto" w:fill="auto"/>
            <w:vAlign w:val="center"/>
          </w:tcPr>
          <w:p w14:paraId="0816670A" w14:textId="27EA6961" w:rsidR="008A1AF7" w:rsidRPr="00E21C60" w:rsidRDefault="008A1AF7" w:rsidP="008A1AF7">
            <w:pPr>
              <w:jc w:val="center"/>
              <w:rPr>
                <w:rFonts w:ascii="Arial" w:hAnsi="Arial" w:cs="Arial"/>
                <w:sz w:val="16"/>
                <w:szCs w:val="16"/>
              </w:rPr>
            </w:pPr>
            <w:r w:rsidRPr="008A1AF7">
              <w:rPr>
                <w:rFonts w:ascii="Arial" w:hAnsi="Arial" w:cs="Arial"/>
                <w:sz w:val="16"/>
                <w:szCs w:val="16"/>
              </w:rPr>
              <w:t>18,47%</w:t>
            </w:r>
          </w:p>
        </w:tc>
        <w:tc>
          <w:tcPr>
            <w:tcW w:w="1538" w:type="dxa"/>
            <w:tcBorders>
              <w:right w:val="single" w:sz="8" w:space="0" w:color="auto"/>
            </w:tcBorders>
            <w:shd w:val="clear" w:color="auto" w:fill="auto"/>
            <w:vAlign w:val="center"/>
          </w:tcPr>
          <w:p w14:paraId="5E7BA081" w14:textId="66D97AD0" w:rsidR="008A1AF7" w:rsidRPr="00E21C60" w:rsidRDefault="008A1AF7" w:rsidP="008A1AF7">
            <w:pPr>
              <w:jc w:val="center"/>
              <w:rPr>
                <w:rFonts w:ascii="Arial" w:hAnsi="Arial" w:cs="Arial"/>
                <w:sz w:val="16"/>
                <w:szCs w:val="16"/>
              </w:rPr>
            </w:pPr>
            <w:r w:rsidRPr="008A1AF7">
              <w:rPr>
                <w:rFonts w:ascii="Arial" w:hAnsi="Arial" w:cs="Arial"/>
                <w:sz w:val="16"/>
                <w:szCs w:val="16"/>
              </w:rPr>
              <w:t>57,51%</w:t>
            </w:r>
          </w:p>
        </w:tc>
      </w:tr>
      <w:tr w:rsidR="008A1AF7" w:rsidRPr="00E21C60" w14:paraId="4E08B78F" w14:textId="77777777" w:rsidTr="008A1AF7">
        <w:trPr>
          <w:trHeight w:val="259"/>
        </w:trPr>
        <w:tc>
          <w:tcPr>
            <w:tcW w:w="499" w:type="dxa"/>
            <w:vMerge/>
            <w:tcBorders>
              <w:left w:val="single" w:sz="8" w:space="0" w:color="auto"/>
            </w:tcBorders>
            <w:vAlign w:val="center"/>
            <w:hideMark/>
          </w:tcPr>
          <w:p w14:paraId="144F995D"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4CBB38A3"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Východ</w:t>
            </w:r>
            <w:r>
              <w:rPr>
                <w:rFonts w:ascii="Arial" w:hAnsi="Arial" w:cs="Arial"/>
                <w:sz w:val="16"/>
                <w:szCs w:val="16"/>
              </w:rPr>
              <w:t>né Slovensko</w:t>
            </w:r>
          </w:p>
        </w:tc>
        <w:tc>
          <w:tcPr>
            <w:tcW w:w="1237" w:type="dxa"/>
            <w:shd w:val="clear" w:color="auto" w:fill="auto"/>
            <w:vAlign w:val="center"/>
          </w:tcPr>
          <w:p w14:paraId="4578935D" w14:textId="0E2F83BD" w:rsidR="008A1AF7" w:rsidRPr="00E21C60" w:rsidRDefault="008A1AF7" w:rsidP="008A1AF7">
            <w:pPr>
              <w:jc w:val="center"/>
              <w:rPr>
                <w:rFonts w:ascii="Arial" w:hAnsi="Arial" w:cs="Arial"/>
                <w:sz w:val="16"/>
                <w:szCs w:val="16"/>
              </w:rPr>
            </w:pPr>
            <w:r w:rsidRPr="008A1AF7">
              <w:rPr>
                <w:rFonts w:ascii="Arial" w:hAnsi="Arial" w:cs="Arial"/>
                <w:sz w:val="16"/>
                <w:szCs w:val="16"/>
              </w:rPr>
              <w:t>132 992 751</w:t>
            </w:r>
          </w:p>
        </w:tc>
        <w:tc>
          <w:tcPr>
            <w:tcW w:w="1404" w:type="dxa"/>
            <w:shd w:val="clear" w:color="auto" w:fill="auto"/>
            <w:vAlign w:val="center"/>
          </w:tcPr>
          <w:p w14:paraId="3DBA41EF" w14:textId="40496FD4" w:rsidR="008A1AF7" w:rsidRPr="00E21C60" w:rsidRDefault="008A1AF7" w:rsidP="008A1AF7">
            <w:pPr>
              <w:jc w:val="center"/>
              <w:rPr>
                <w:rFonts w:ascii="Arial" w:hAnsi="Arial" w:cs="Arial"/>
                <w:sz w:val="16"/>
                <w:szCs w:val="16"/>
              </w:rPr>
            </w:pPr>
            <w:r w:rsidRPr="008A1AF7">
              <w:rPr>
                <w:rFonts w:ascii="Arial" w:hAnsi="Arial" w:cs="Arial"/>
                <w:sz w:val="16"/>
                <w:szCs w:val="16"/>
              </w:rPr>
              <w:t>52,89%</w:t>
            </w:r>
          </w:p>
        </w:tc>
        <w:tc>
          <w:tcPr>
            <w:tcW w:w="1299" w:type="dxa"/>
            <w:shd w:val="clear" w:color="auto" w:fill="auto"/>
            <w:vAlign w:val="center"/>
          </w:tcPr>
          <w:p w14:paraId="2D803DED" w14:textId="022D2D0C" w:rsidR="008A1AF7" w:rsidRPr="00E21C60" w:rsidRDefault="008A1AF7" w:rsidP="008A1AF7">
            <w:pPr>
              <w:jc w:val="center"/>
              <w:rPr>
                <w:rFonts w:ascii="Arial" w:hAnsi="Arial" w:cs="Arial"/>
                <w:sz w:val="16"/>
                <w:szCs w:val="16"/>
              </w:rPr>
            </w:pPr>
            <w:r w:rsidRPr="008A1AF7">
              <w:rPr>
                <w:rFonts w:ascii="Arial" w:hAnsi="Arial" w:cs="Arial"/>
                <w:sz w:val="16"/>
                <w:szCs w:val="16"/>
              </w:rPr>
              <w:t>70 337 942</w:t>
            </w:r>
          </w:p>
        </w:tc>
        <w:tc>
          <w:tcPr>
            <w:tcW w:w="1538" w:type="dxa"/>
            <w:shd w:val="clear" w:color="auto" w:fill="auto"/>
            <w:vAlign w:val="center"/>
          </w:tcPr>
          <w:p w14:paraId="2BD4673E" w14:textId="1B75101B" w:rsidR="008A1AF7" w:rsidRPr="00E21C60" w:rsidRDefault="008A1AF7" w:rsidP="008A1AF7">
            <w:pPr>
              <w:jc w:val="center"/>
              <w:rPr>
                <w:rFonts w:ascii="Arial" w:hAnsi="Arial" w:cs="Arial"/>
                <w:sz w:val="16"/>
                <w:szCs w:val="16"/>
              </w:rPr>
            </w:pPr>
            <w:r w:rsidRPr="008A1AF7">
              <w:rPr>
                <w:rFonts w:ascii="Arial" w:hAnsi="Arial" w:cs="Arial"/>
                <w:sz w:val="16"/>
                <w:szCs w:val="16"/>
              </w:rPr>
              <w:t>50,95%</w:t>
            </w:r>
          </w:p>
        </w:tc>
        <w:tc>
          <w:tcPr>
            <w:tcW w:w="1538" w:type="dxa"/>
            <w:tcBorders>
              <w:right w:val="single" w:sz="8" w:space="0" w:color="auto"/>
            </w:tcBorders>
            <w:shd w:val="clear" w:color="auto" w:fill="auto"/>
            <w:vAlign w:val="center"/>
          </w:tcPr>
          <w:p w14:paraId="0E898D91" w14:textId="74F78AB6" w:rsidR="008A1AF7" w:rsidRPr="00E21C60" w:rsidRDefault="008A1AF7" w:rsidP="008A1AF7">
            <w:pPr>
              <w:jc w:val="center"/>
              <w:rPr>
                <w:rFonts w:ascii="Arial" w:hAnsi="Arial" w:cs="Arial"/>
                <w:sz w:val="16"/>
                <w:szCs w:val="16"/>
              </w:rPr>
            </w:pPr>
            <w:r w:rsidRPr="008A1AF7">
              <w:rPr>
                <w:rFonts w:ascii="Arial" w:hAnsi="Arial" w:cs="Arial"/>
                <w:sz w:val="16"/>
                <w:szCs w:val="16"/>
              </w:rPr>
              <w:t>52,89%</w:t>
            </w:r>
          </w:p>
        </w:tc>
      </w:tr>
      <w:tr w:rsidR="008A1AF7" w:rsidRPr="00E21C60" w14:paraId="7B8C61AC" w14:textId="77777777" w:rsidTr="008A1AF7">
        <w:trPr>
          <w:trHeight w:val="259"/>
        </w:trPr>
        <w:tc>
          <w:tcPr>
            <w:tcW w:w="499" w:type="dxa"/>
            <w:vMerge/>
            <w:tcBorders>
              <w:left w:val="single" w:sz="8" w:space="0" w:color="auto"/>
              <w:bottom w:val="single" w:sz="8" w:space="0" w:color="auto"/>
            </w:tcBorders>
            <w:vAlign w:val="center"/>
            <w:hideMark/>
          </w:tcPr>
          <w:p w14:paraId="3F76D885" w14:textId="77777777" w:rsidR="008A1AF7" w:rsidRPr="00E21C60" w:rsidRDefault="008A1AF7">
            <w:pPr>
              <w:rPr>
                <w:rFonts w:ascii="Arial" w:hAnsi="Arial" w:cs="Arial"/>
                <w:color w:val="000000"/>
                <w:sz w:val="16"/>
                <w:szCs w:val="16"/>
              </w:rPr>
            </w:pPr>
          </w:p>
        </w:tc>
        <w:tc>
          <w:tcPr>
            <w:tcW w:w="1640" w:type="dxa"/>
            <w:tcBorders>
              <w:bottom w:val="single" w:sz="8" w:space="0" w:color="auto"/>
            </w:tcBorders>
            <w:shd w:val="clear" w:color="auto" w:fill="auto"/>
            <w:vAlign w:val="center"/>
            <w:hideMark/>
          </w:tcPr>
          <w:p w14:paraId="4D5D2B8D" w14:textId="1E1022BC" w:rsidR="008A1AF7" w:rsidRPr="00E21C60" w:rsidRDefault="008A1AF7" w:rsidP="006B3ADD">
            <w:pPr>
              <w:jc w:val="center"/>
              <w:rPr>
                <w:rFonts w:ascii="Arial" w:hAnsi="Arial" w:cs="Arial"/>
                <w:b/>
                <w:bCs/>
                <w:color w:val="000000"/>
                <w:sz w:val="16"/>
                <w:szCs w:val="16"/>
              </w:rPr>
            </w:pPr>
            <w:r w:rsidRPr="008A1AF7">
              <w:rPr>
                <w:rFonts w:ascii="Arial" w:hAnsi="Arial" w:cs="Arial"/>
                <w:b/>
                <w:bCs/>
                <w:color w:val="000000"/>
                <w:sz w:val="16"/>
                <w:szCs w:val="16"/>
              </w:rPr>
              <w:t>Spolu</w:t>
            </w:r>
          </w:p>
        </w:tc>
        <w:tc>
          <w:tcPr>
            <w:tcW w:w="1237" w:type="dxa"/>
            <w:tcBorders>
              <w:bottom w:val="single" w:sz="8" w:space="0" w:color="auto"/>
            </w:tcBorders>
            <w:shd w:val="clear" w:color="auto" w:fill="auto"/>
            <w:vAlign w:val="center"/>
          </w:tcPr>
          <w:p w14:paraId="0A5C93C5" w14:textId="3ACE0677" w:rsidR="008A1AF7" w:rsidRPr="008A1AF7" w:rsidRDefault="008A1AF7" w:rsidP="008A1AF7">
            <w:pPr>
              <w:jc w:val="center"/>
              <w:rPr>
                <w:rFonts w:ascii="Arial" w:hAnsi="Arial" w:cs="Arial"/>
                <w:b/>
                <w:sz w:val="16"/>
                <w:szCs w:val="16"/>
              </w:rPr>
            </w:pPr>
            <w:r w:rsidRPr="008A1AF7">
              <w:rPr>
                <w:rFonts w:ascii="Arial" w:hAnsi="Arial" w:cs="Arial"/>
                <w:b/>
                <w:sz w:val="16"/>
                <w:szCs w:val="16"/>
              </w:rPr>
              <w:t>260 770 100</w:t>
            </w:r>
          </w:p>
        </w:tc>
        <w:tc>
          <w:tcPr>
            <w:tcW w:w="1404" w:type="dxa"/>
            <w:tcBorders>
              <w:bottom w:val="single" w:sz="8" w:space="0" w:color="auto"/>
            </w:tcBorders>
            <w:shd w:val="clear" w:color="000000" w:fill="FFFFFF"/>
            <w:vAlign w:val="center"/>
          </w:tcPr>
          <w:p w14:paraId="1C9DB45A" w14:textId="57915D14" w:rsidR="008A1AF7" w:rsidRPr="008A1AF7" w:rsidRDefault="008A1AF7" w:rsidP="008A1AF7">
            <w:pPr>
              <w:jc w:val="center"/>
              <w:rPr>
                <w:rFonts w:ascii="Arial" w:hAnsi="Arial" w:cs="Arial"/>
                <w:b/>
                <w:sz w:val="16"/>
                <w:szCs w:val="16"/>
              </w:rPr>
            </w:pPr>
            <w:r w:rsidRPr="008A1AF7">
              <w:rPr>
                <w:rFonts w:ascii="Arial" w:hAnsi="Arial" w:cs="Arial"/>
                <w:b/>
                <w:sz w:val="16"/>
                <w:szCs w:val="16"/>
              </w:rPr>
              <w:t>52,94%</w:t>
            </w:r>
          </w:p>
        </w:tc>
        <w:tc>
          <w:tcPr>
            <w:tcW w:w="1299" w:type="dxa"/>
            <w:tcBorders>
              <w:bottom w:val="single" w:sz="8" w:space="0" w:color="auto"/>
            </w:tcBorders>
            <w:shd w:val="clear" w:color="auto" w:fill="auto"/>
            <w:vAlign w:val="center"/>
          </w:tcPr>
          <w:p w14:paraId="691C949E" w14:textId="4470E0ED" w:rsidR="008A1AF7" w:rsidRPr="008A1AF7" w:rsidRDefault="008A1AF7" w:rsidP="008A1AF7">
            <w:pPr>
              <w:jc w:val="center"/>
              <w:rPr>
                <w:rFonts w:ascii="Arial" w:hAnsi="Arial" w:cs="Arial"/>
                <w:b/>
                <w:sz w:val="16"/>
                <w:szCs w:val="16"/>
              </w:rPr>
            </w:pPr>
            <w:r w:rsidRPr="008A1AF7">
              <w:rPr>
                <w:rFonts w:ascii="Arial" w:hAnsi="Arial" w:cs="Arial"/>
                <w:b/>
                <w:sz w:val="16"/>
                <w:szCs w:val="16"/>
              </w:rPr>
              <w:t>138 055 138</w:t>
            </w:r>
          </w:p>
        </w:tc>
        <w:tc>
          <w:tcPr>
            <w:tcW w:w="1538" w:type="dxa"/>
            <w:tcBorders>
              <w:bottom w:val="single" w:sz="8" w:space="0" w:color="auto"/>
            </w:tcBorders>
            <w:shd w:val="clear" w:color="auto" w:fill="auto"/>
            <w:vAlign w:val="center"/>
          </w:tcPr>
          <w:p w14:paraId="087E6CE2" w14:textId="22AA8812" w:rsidR="008A1AF7" w:rsidRPr="008A1AF7" w:rsidRDefault="008A1AF7" w:rsidP="008A1AF7">
            <w:pPr>
              <w:jc w:val="center"/>
              <w:rPr>
                <w:rFonts w:ascii="Arial" w:hAnsi="Arial" w:cs="Arial"/>
                <w:b/>
                <w:sz w:val="16"/>
                <w:szCs w:val="16"/>
              </w:rPr>
            </w:pPr>
            <w:r>
              <w:rPr>
                <w:rFonts w:ascii="Arial" w:hAnsi="Arial" w:cs="Arial"/>
                <w:b/>
                <w:sz w:val="16"/>
                <w:szCs w:val="16"/>
              </w:rPr>
              <w:t>-</w:t>
            </w:r>
          </w:p>
        </w:tc>
        <w:tc>
          <w:tcPr>
            <w:tcW w:w="1538" w:type="dxa"/>
            <w:tcBorders>
              <w:bottom w:val="single" w:sz="8" w:space="0" w:color="auto"/>
              <w:right w:val="single" w:sz="8" w:space="0" w:color="auto"/>
            </w:tcBorders>
            <w:shd w:val="clear" w:color="auto" w:fill="auto"/>
            <w:vAlign w:val="center"/>
          </w:tcPr>
          <w:p w14:paraId="7523DAC3" w14:textId="78A9C0AD" w:rsidR="008A1AF7" w:rsidRPr="008A1AF7" w:rsidRDefault="008A1AF7" w:rsidP="008A1AF7">
            <w:pPr>
              <w:jc w:val="center"/>
              <w:rPr>
                <w:rFonts w:ascii="Arial" w:hAnsi="Arial" w:cs="Arial"/>
                <w:b/>
                <w:sz w:val="16"/>
                <w:szCs w:val="16"/>
              </w:rPr>
            </w:pPr>
            <w:r w:rsidRPr="008A1AF7">
              <w:rPr>
                <w:rFonts w:ascii="Arial" w:hAnsi="Arial" w:cs="Arial"/>
                <w:b/>
                <w:sz w:val="16"/>
                <w:szCs w:val="16"/>
              </w:rPr>
              <w:t>52,94%</w:t>
            </w:r>
          </w:p>
        </w:tc>
      </w:tr>
      <w:tr w:rsidR="008A1AF7" w:rsidRPr="00E21C60" w14:paraId="56A293D1" w14:textId="77777777" w:rsidTr="008A1AF7">
        <w:trPr>
          <w:trHeight w:val="259"/>
        </w:trPr>
        <w:tc>
          <w:tcPr>
            <w:tcW w:w="499" w:type="dxa"/>
            <w:vMerge w:val="restart"/>
            <w:tcBorders>
              <w:top w:val="single" w:sz="8" w:space="0" w:color="auto"/>
              <w:left w:val="single" w:sz="8" w:space="0" w:color="auto"/>
            </w:tcBorders>
            <w:shd w:val="clear" w:color="auto" w:fill="auto"/>
            <w:vAlign w:val="center"/>
            <w:hideMark/>
          </w:tcPr>
          <w:p w14:paraId="538C06FC" w14:textId="77777777" w:rsidR="008A1AF7" w:rsidRPr="002526CC" w:rsidRDefault="008A1AF7">
            <w:pPr>
              <w:jc w:val="center"/>
              <w:rPr>
                <w:rFonts w:ascii="Arial" w:hAnsi="Arial" w:cs="Arial"/>
                <w:color w:val="000000"/>
                <w:sz w:val="16"/>
                <w:szCs w:val="16"/>
              </w:rPr>
            </w:pPr>
            <w:r w:rsidRPr="002526CC">
              <w:rPr>
                <w:rFonts w:ascii="Arial" w:hAnsi="Arial" w:cs="Arial"/>
                <w:color w:val="000000"/>
                <w:sz w:val="16"/>
                <w:szCs w:val="16"/>
              </w:rPr>
              <w:t>PO 3</w:t>
            </w:r>
          </w:p>
        </w:tc>
        <w:tc>
          <w:tcPr>
            <w:tcW w:w="1640" w:type="dxa"/>
            <w:tcBorders>
              <w:top w:val="single" w:sz="8" w:space="0" w:color="auto"/>
            </w:tcBorders>
            <w:shd w:val="clear" w:color="auto" w:fill="auto"/>
            <w:vAlign w:val="center"/>
            <w:hideMark/>
          </w:tcPr>
          <w:p w14:paraId="3DF4C2FF"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Bratislavský</w:t>
            </w:r>
          </w:p>
        </w:tc>
        <w:tc>
          <w:tcPr>
            <w:tcW w:w="1237" w:type="dxa"/>
            <w:tcBorders>
              <w:top w:val="single" w:sz="8" w:space="0" w:color="auto"/>
            </w:tcBorders>
            <w:shd w:val="clear" w:color="auto" w:fill="auto"/>
            <w:vAlign w:val="center"/>
          </w:tcPr>
          <w:p w14:paraId="71E9751E" w14:textId="7EE4F472" w:rsidR="008A1AF7" w:rsidRPr="00E21C60" w:rsidRDefault="008A1AF7" w:rsidP="008A1AF7">
            <w:pPr>
              <w:jc w:val="center"/>
              <w:rPr>
                <w:rFonts w:ascii="Arial" w:hAnsi="Arial" w:cs="Arial"/>
                <w:sz w:val="16"/>
                <w:szCs w:val="16"/>
              </w:rPr>
            </w:pPr>
            <w:r w:rsidRPr="008A1AF7">
              <w:rPr>
                <w:rFonts w:ascii="Arial" w:hAnsi="Arial" w:cs="Arial"/>
                <w:sz w:val="16"/>
                <w:szCs w:val="16"/>
              </w:rPr>
              <w:t>-</w:t>
            </w:r>
          </w:p>
        </w:tc>
        <w:tc>
          <w:tcPr>
            <w:tcW w:w="1404" w:type="dxa"/>
            <w:tcBorders>
              <w:top w:val="single" w:sz="8" w:space="0" w:color="auto"/>
            </w:tcBorders>
            <w:shd w:val="clear" w:color="auto" w:fill="auto"/>
            <w:vAlign w:val="center"/>
          </w:tcPr>
          <w:p w14:paraId="243F00DA" w14:textId="23519680" w:rsidR="008A1AF7" w:rsidRPr="00E21C60" w:rsidRDefault="008A1AF7" w:rsidP="008A1AF7">
            <w:pPr>
              <w:jc w:val="center"/>
              <w:rPr>
                <w:rFonts w:ascii="Arial" w:hAnsi="Arial" w:cs="Arial"/>
                <w:sz w:val="16"/>
                <w:szCs w:val="16"/>
              </w:rPr>
            </w:pPr>
            <w:r w:rsidRPr="008A1AF7">
              <w:rPr>
                <w:rFonts w:ascii="Arial" w:hAnsi="Arial" w:cs="Arial"/>
                <w:sz w:val="16"/>
                <w:szCs w:val="16"/>
              </w:rPr>
              <w:t>0,00%</w:t>
            </w:r>
          </w:p>
        </w:tc>
        <w:tc>
          <w:tcPr>
            <w:tcW w:w="1299" w:type="dxa"/>
            <w:tcBorders>
              <w:top w:val="single" w:sz="8" w:space="0" w:color="auto"/>
            </w:tcBorders>
            <w:shd w:val="clear" w:color="auto" w:fill="auto"/>
            <w:vAlign w:val="center"/>
          </w:tcPr>
          <w:p w14:paraId="201075E7" w14:textId="1FDE8DC1" w:rsidR="008A1AF7" w:rsidRPr="00E21C60" w:rsidRDefault="008A1AF7" w:rsidP="008A1AF7">
            <w:pPr>
              <w:jc w:val="center"/>
              <w:rPr>
                <w:rFonts w:ascii="Arial" w:hAnsi="Arial" w:cs="Arial"/>
                <w:sz w:val="16"/>
                <w:szCs w:val="16"/>
              </w:rPr>
            </w:pPr>
            <w:r w:rsidRPr="008A1AF7">
              <w:rPr>
                <w:rFonts w:ascii="Arial" w:hAnsi="Arial" w:cs="Arial"/>
                <w:sz w:val="16"/>
                <w:szCs w:val="16"/>
              </w:rPr>
              <w:t>-</w:t>
            </w:r>
          </w:p>
        </w:tc>
        <w:tc>
          <w:tcPr>
            <w:tcW w:w="1538" w:type="dxa"/>
            <w:tcBorders>
              <w:top w:val="single" w:sz="8" w:space="0" w:color="auto"/>
            </w:tcBorders>
            <w:shd w:val="clear" w:color="auto" w:fill="auto"/>
            <w:vAlign w:val="center"/>
          </w:tcPr>
          <w:p w14:paraId="3287D611" w14:textId="12A083FF" w:rsidR="008A1AF7" w:rsidRPr="00E21C60" w:rsidRDefault="008A1AF7" w:rsidP="008A1AF7">
            <w:pPr>
              <w:jc w:val="center"/>
              <w:rPr>
                <w:rFonts w:ascii="Arial" w:hAnsi="Arial" w:cs="Arial"/>
                <w:sz w:val="16"/>
                <w:szCs w:val="16"/>
              </w:rPr>
            </w:pPr>
            <w:r w:rsidRPr="008A1AF7">
              <w:rPr>
                <w:rFonts w:ascii="Arial" w:hAnsi="Arial" w:cs="Arial"/>
                <w:sz w:val="16"/>
                <w:szCs w:val="16"/>
              </w:rPr>
              <w:t>0,00%</w:t>
            </w:r>
          </w:p>
        </w:tc>
        <w:tc>
          <w:tcPr>
            <w:tcW w:w="1538" w:type="dxa"/>
            <w:tcBorders>
              <w:top w:val="single" w:sz="8" w:space="0" w:color="auto"/>
              <w:right w:val="single" w:sz="8" w:space="0" w:color="auto"/>
            </w:tcBorders>
            <w:shd w:val="clear" w:color="auto" w:fill="auto"/>
            <w:vAlign w:val="center"/>
          </w:tcPr>
          <w:p w14:paraId="202C1807" w14:textId="32F477D3" w:rsidR="008A1AF7" w:rsidRPr="00E21C60" w:rsidRDefault="008A1AF7" w:rsidP="008A1AF7">
            <w:pPr>
              <w:jc w:val="center"/>
              <w:rPr>
                <w:rFonts w:ascii="Arial" w:hAnsi="Arial" w:cs="Arial"/>
                <w:sz w:val="16"/>
                <w:szCs w:val="16"/>
              </w:rPr>
            </w:pPr>
            <w:r w:rsidRPr="008A1AF7">
              <w:rPr>
                <w:rFonts w:ascii="Arial" w:hAnsi="Arial" w:cs="Arial"/>
                <w:sz w:val="16"/>
                <w:szCs w:val="16"/>
              </w:rPr>
              <w:t>0,00%</w:t>
            </w:r>
          </w:p>
        </w:tc>
      </w:tr>
      <w:tr w:rsidR="008A1AF7" w:rsidRPr="00E21C60" w14:paraId="22DA7E91" w14:textId="77777777" w:rsidTr="008A1AF7">
        <w:trPr>
          <w:trHeight w:val="259"/>
        </w:trPr>
        <w:tc>
          <w:tcPr>
            <w:tcW w:w="499" w:type="dxa"/>
            <w:vMerge/>
            <w:tcBorders>
              <w:left w:val="single" w:sz="8" w:space="0" w:color="auto"/>
            </w:tcBorders>
            <w:vAlign w:val="center"/>
            <w:hideMark/>
          </w:tcPr>
          <w:p w14:paraId="360D9982"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42C6EF3C"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Západ</w:t>
            </w:r>
            <w:r>
              <w:rPr>
                <w:rFonts w:ascii="Arial" w:hAnsi="Arial" w:cs="Arial"/>
                <w:sz w:val="16"/>
                <w:szCs w:val="16"/>
              </w:rPr>
              <w:t>né Slovensko</w:t>
            </w:r>
          </w:p>
        </w:tc>
        <w:tc>
          <w:tcPr>
            <w:tcW w:w="1237" w:type="dxa"/>
            <w:shd w:val="clear" w:color="auto" w:fill="auto"/>
            <w:vAlign w:val="center"/>
          </w:tcPr>
          <w:p w14:paraId="64D4B6EC" w14:textId="3038AD6E" w:rsidR="008A1AF7" w:rsidRPr="00E21C60" w:rsidRDefault="008A1AF7" w:rsidP="008A1AF7">
            <w:pPr>
              <w:jc w:val="center"/>
              <w:rPr>
                <w:rFonts w:ascii="Arial" w:hAnsi="Arial" w:cs="Arial"/>
                <w:sz w:val="16"/>
                <w:szCs w:val="16"/>
              </w:rPr>
            </w:pPr>
            <w:r w:rsidRPr="008A1AF7">
              <w:rPr>
                <w:rFonts w:ascii="Arial" w:hAnsi="Arial" w:cs="Arial"/>
                <w:sz w:val="16"/>
                <w:szCs w:val="16"/>
              </w:rPr>
              <w:t>54 000 000</w:t>
            </w:r>
          </w:p>
        </w:tc>
        <w:tc>
          <w:tcPr>
            <w:tcW w:w="1404" w:type="dxa"/>
            <w:shd w:val="clear" w:color="auto" w:fill="auto"/>
            <w:vAlign w:val="center"/>
          </w:tcPr>
          <w:p w14:paraId="4F7A6BAD" w14:textId="67A5973E" w:rsidR="008A1AF7" w:rsidRPr="00E21C60" w:rsidRDefault="008A1AF7" w:rsidP="008A1AF7">
            <w:pPr>
              <w:jc w:val="center"/>
              <w:rPr>
                <w:rFonts w:ascii="Arial" w:hAnsi="Arial" w:cs="Arial"/>
                <w:sz w:val="16"/>
                <w:szCs w:val="16"/>
              </w:rPr>
            </w:pPr>
            <w:r w:rsidRPr="008A1AF7">
              <w:rPr>
                <w:rFonts w:ascii="Arial" w:hAnsi="Arial" w:cs="Arial"/>
                <w:sz w:val="16"/>
                <w:szCs w:val="16"/>
              </w:rPr>
              <w:t>62,10%</w:t>
            </w:r>
          </w:p>
        </w:tc>
        <w:tc>
          <w:tcPr>
            <w:tcW w:w="1299" w:type="dxa"/>
            <w:shd w:val="clear" w:color="auto" w:fill="auto"/>
            <w:vAlign w:val="center"/>
          </w:tcPr>
          <w:p w14:paraId="2681B3ED" w14:textId="159EEC2D" w:rsidR="008A1AF7" w:rsidRPr="00E21C60" w:rsidRDefault="008A1AF7" w:rsidP="008A1AF7">
            <w:pPr>
              <w:jc w:val="center"/>
              <w:rPr>
                <w:rFonts w:ascii="Arial" w:hAnsi="Arial" w:cs="Arial"/>
                <w:sz w:val="16"/>
                <w:szCs w:val="16"/>
              </w:rPr>
            </w:pPr>
            <w:r w:rsidRPr="008A1AF7">
              <w:rPr>
                <w:rFonts w:ascii="Arial" w:hAnsi="Arial" w:cs="Arial"/>
                <w:sz w:val="16"/>
                <w:szCs w:val="16"/>
              </w:rPr>
              <w:t>33 534 940</w:t>
            </w:r>
          </w:p>
        </w:tc>
        <w:tc>
          <w:tcPr>
            <w:tcW w:w="1538" w:type="dxa"/>
            <w:shd w:val="clear" w:color="auto" w:fill="auto"/>
            <w:vAlign w:val="center"/>
          </w:tcPr>
          <w:p w14:paraId="58E04A09" w14:textId="07C29007" w:rsidR="008A1AF7" w:rsidRPr="00E21C60" w:rsidRDefault="008A1AF7" w:rsidP="008A1AF7">
            <w:pPr>
              <w:jc w:val="center"/>
              <w:rPr>
                <w:rFonts w:ascii="Arial" w:hAnsi="Arial" w:cs="Arial"/>
                <w:sz w:val="16"/>
                <w:szCs w:val="16"/>
              </w:rPr>
            </w:pPr>
            <w:r w:rsidRPr="008A1AF7">
              <w:rPr>
                <w:rFonts w:ascii="Arial" w:hAnsi="Arial" w:cs="Arial"/>
                <w:sz w:val="16"/>
                <w:szCs w:val="16"/>
              </w:rPr>
              <w:t>18,79%</w:t>
            </w:r>
          </w:p>
        </w:tc>
        <w:tc>
          <w:tcPr>
            <w:tcW w:w="1538" w:type="dxa"/>
            <w:tcBorders>
              <w:right w:val="single" w:sz="8" w:space="0" w:color="auto"/>
            </w:tcBorders>
            <w:shd w:val="clear" w:color="auto" w:fill="auto"/>
            <w:vAlign w:val="center"/>
          </w:tcPr>
          <w:p w14:paraId="2F852B4A" w14:textId="4E1C109E" w:rsidR="008A1AF7" w:rsidRPr="00E21C60" w:rsidRDefault="008A1AF7" w:rsidP="008A1AF7">
            <w:pPr>
              <w:jc w:val="center"/>
              <w:rPr>
                <w:rFonts w:ascii="Arial" w:hAnsi="Arial" w:cs="Arial"/>
                <w:sz w:val="16"/>
                <w:szCs w:val="16"/>
              </w:rPr>
            </w:pPr>
            <w:r w:rsidRPr="008A1AF7">
              <w:rPr>
                <w:rFonts w:ascii="Arial" w:hAnsi="Arial" w:cs="Arial"/>
                <w:sz w:val="16"/>
                <w:szCs w:val="16"/>
              </w:rPr>
              <w:t>62,10%</w:t>
            </w:r>
          </w:p>
        </w:tc>
      </w:tr>
      <w:tr w:rsidR="008A1AF7" w:rsidRPr="00E21C60" w14:paraId="5C935079" w14:textId="77777777" w:rsidTr="008A1AF7">
        <w:trPr>
          <w:trHeight w:val="259"/>
        </w:trPr>
        <w:tc>
          <w:tcPr>
            <w:tcW w:w="499" w:type="dxa"/>
            <w:vMerge/>
            <w:tcBorders>
              <w:left w:val="single" w:sz="8" w:space="0" w:color="auto"/>
            </w:tcBorders>
            <w:vAlign w:val="center"/>
            <w:hideMark/>
          </w:tcPr>
          <w:p w14:paraId="33363B7F"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4295412B"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Stred</w:t>
            </w:r>
            <w:r>
              <w:rPr>
                <w:rFonts w:ascii="Arial" w:hAnsi="Arial" w:cs="Arial"/>
                <w:sz w:val="16"/>
                <w:szCs w:val="16"/>
              </w:rPr>
              <w:t>né Slovensko</w:t>
            </w:r>
          </w:p>
        </w:tc>
        <w:tc>
          <w:tcPr>
            <w:tcW w:w="1237" w:type="dxa"/>
            <w:shd w:val="clear" w:color="auto" w:fill="auto"/>
            <w:vAlign w:val="center"/>
          </w:tcPr>
          <w:p w14:paraId="72F1D3C7" w14:textId="35E62ABF" w:rsidR="008A1AF7" w:rsidRPr="00E21C60" w:rsidRDefault="008A1AF7" w:rsidP="008A1AF7">
            <w:pPr>
              <w:jc w:val="center"/>
              <w:rPr>
                <w:rFonts w:ascii="Arial" w:hAnsi="Arial" w:cs="Arial"/>
                <w:sz w:val="16"/>
                <w:szCs w:val="16"/>
              </w:rPr>
            </w:pPr>
            <w:r w:rsidRPr="008A1AF7">
              <w:rPr>
                <w:rFonts w:ascii="Arial" w:hAnsi="Arial" w:cs="Arial"/>
                <w:sz w:val="16"/>
                <w:szCs w:val="16"/>
              </w:rPr>
              <w:t>61 200 000</w:t>
            </w:r>
          </w:p>
        </w:tc>
        <w:tc>
          <w:tcPr>
            <w:tcW w:w="1404" w:type="dxa"/>
            <w:shd w:val="clear" w:color="auto" w:fill="auto"/>
            <w:vAlign w:val="center"/>
          </w:tcPr>
          <w:p w14:paraId="42566C3C" w14:textId="25B66075" w:rsidR="008A1AF7" w:rsidRPr="00E21C60" w:rsidRDefault="008A1AF7" w:rsidP="008A1AF7">
            <w:pPr>
              <w:jc w:val="center"/>
              <w:rPr>
                <w:rFonts w:ascii="Arial" w:hAnsi="Arial" w:cs="Arial"/>
                <w:sz w:val="16"/>
                <w:szCs w:val="16"/>
              </w:rPr>
            </w:pPr>
            <w:r w:rsidRPr="008A1AF7">
              <w:rPr>
                <w:rFonts w:ascii="Arial" w:hAnsi="Arial" w:cs="Arial"/>
                <w:sz w:val="16"/>
                <w:szCs w:val="16"/>
              </w:rPr>
              <w:t>108,78%</w:t>
            </w:r>
          </w:p>
        </w:tc>
        <w:tc>
          <w:tcPr>
            <w:tcW w:w="1299" w:type="dxa"/>
            <w:shd w:val="clear" w:color="auto" w:fill="auto"/>
            <w:vAlign w:val="center"/>
          </w:tcPr>
          <w:p w14:paraId="088305DA" w14:textId="36CF867E" w:rsidR="008A1AF7" w:rsidRPr="00E21C60" w:rsidRDefault="008A1AF7" w:rsidP="008A1AF7">
            <w:pPr>
              <w:jc w:val="center"/>
              <w:rPr>
                <w:rFonts w:ascii="Arial" w:hAnsi="Arial" w:cs="Arial"/>
                <w:sz w:val="16"/>
                <w:szCs w:val="16"/>
              </w:rPr>
            </w:pPr>
            <w:r w:rsidRPr="008A1AF7">
              <w:rPr>
                <w:rFonts w:ascii="Arial" w:hAnsi="Arial" w:cs="Arial"/>
                <w:sz w:val="16"/>
                <w:szCs w:val="16"/>
              </w:rPr>
              <w:t>66 576 016</w:t>
            </w:r>
          </w:p>
        </w:tc>
        <w:tc>
          <w:tcPr>
            <w:tcW w:w="1538" w:type="dxa"/>
            <w:shd w:val="clear" w:color="auto" w:fill="auto"/>
            <w:vAlign w:val="center"/>
          </w:tcPr>
          <w:p w14:paraId="25843DAF" w14:textId="53BEF552" w:rsidR="008A1AF7" w:rsidRPr="00E21C60" w:rsidRDefault="008A1AF7" w:rsidP="008A1AF7">
            <w:pPr>
              <w:jc w:val="center"/>
              <w:rPr>
                <w:rFonts w:ascii="Arial" w:hAnsi="Arial" w:cs="Arial"/>
                <w:sz w:val="16"/>
                <w:szCs w:val="16"/>
              </w:rPr>
            </w:pPr>
            <w:r w:rsidRPr="008A1AF7">
              <w:rPr>
                <w:rFonts w:ascii="Arial" w:hAnsi="Arial" w:cs="Arial"/>
                <w:sz w:val="16"/>
                <w:szCs w:val="16"/>
              </w:rPr>
              <w:t>37,30%</w:t>
            </w:r>
          </w:p>
        </w:tc>
        <w:tc>
          <w:tcPr>
            <w:tcW w:w="1538" w:type="dxa"/>
            <w:tcBorders>
              <w:right w:val="single" w:sz="8" w:space="0" w:color="auto"/>
            </w:tcBorders>
            <w:shd w:val="clear" w:color="auto" w:fill="auto"/>
            <w:vAlign w:val="center"/>
          </w:tcPr>
          <w:p w14:paraId="5D3F32F9" w14:textId="5FD620BB" w:rsidR="008A1AF7" w:rsidRPr="00E21C60" w:rsidRDefault="008A1AF7" w:rsidP="008A1AF7">
            <w:pPr>
              <w:jc w:val="center"/>
              <w:rPr>
                <w:rFonts w:ascii="Arial" w:hAnsi="Arial" w:cs="Arial"/>
                <w:sz w:val="16"/>
                <w:szCs w:val="16"/>
              </w:rPr>
            </w:pPr>
            <w:r w:rsidRPr="008A1AF7">
              <w:rPr>
                <w:rFonts w:ascii="Arial" w:hAnsi="Arial" w:cs="Arial"/>
                <w:sz w:val="16"/>
                <w:szCs w:val="16"/>
              </w:rPr>
              <w:t>108,78%</w:t>
            </w:r>
          </w:p>
        </w:tc>
      </w:tr>
      <w:tr w:rsidR="008A1AF7" w:rsidRPr="00E21C60" w14:paraId="0C066A4C" w14:textId="77777777" w:rsidTr="008A1AF7">
        <w:trPr>
          <w:trHeight w:val="259"/>
        </w:trPr>
        <w:tc>
          <w:tcPr>
            <w:tcW w:w="499" w:type="dxa"/>
            <w:vMerge/>
            <w:tcBorders>
              <w:left w:val="single" w:sz="8" w:space="0" w:color="auto"/>
            </w:tcBorders>
            <w:vAlign w:val="center"/>
            <w:hideMark/>
          </w:tcPr>
          <w:p w14:paraId="1A831FE1"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336AC01F"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Východ</w:t>
            </w:r>
            <w:r>
              <w:rPr>
                <w:rFonts w:ascii="Arial" w:hAnsi="Arial" w:cs="Arial"/>
                <w:sz w:val="16"/>
                <w:szCs w:val="16"/>
              </w:rPr>
              <w:t>né Slovensko</w:t>
            </w:r>
          </w:p>
        </w:tc>
        <w:tc>
          <w:tcPr>
            <w:tcW w:w="1237" w:type="dxa"/>
            <w:shd w:val="clear" w:color="auto" w:fill="auto"/>
            <w:vAlign w:val="center"/>
          </w:tcPr>
          <w:p w14:paraId="215946BF" w14:textId="623D755F" w:rsidR="008A1AF7" w:rsidRPr="00E21C60" w:rsidRDefault="008A1AF7" w:rsidP="008A1AF7">
            <w:pPr>
              <w:jc w:val="center"/>
              <w:rPr>
                <w:rFonts w:ascii="Arial" w:hAnsi="Arial" w:cs="Arial"/>
                <w:sz w:val="16"/>
                <w:szCs w:val="16"/>
              </w:rPr>
            </w:pPr>
            <w:r w:rsidRPr="008A1AF7">
              <w:rPr>
                <w:rFonts w:ascii="Arial" w:hAnsi="Arial" w:cs="Arial"/>
                <w:sz w:val="16"/>
                <w:szCs w:val="16"/>
              </w:rPr>
              <w:t>64 800 000</w:t>
            </w:r>
          </w:p>
        </w:tc>
        <w:tc>
          <w:tcPr>
            <w:tcW w:w="1404" w:type="dxa"/>
            <w:shd w:val="clear" w:color="auto" w:fill="auto"/>
            <w:vAlign w:val="center"/>
          </w:tcPr>
          <w:p w14:paraId="78FBCCEC" w14:textId="34B28CE3" w:rsidR="008A1AF7" w:rsidRPr="00E21C60" w:rsidRDefault="008A1AF7" w:rsidP="008A1AF7">
            <w:pPr>
              <w:jc w:val="center"/>
              <w:rPr>
                <w:rFonts w:ascii="Arial" w:hAnsi="Arial" w:cs="Arial"/>
                <w:sz w:val="16"/>
                <w:szCs w:val="16"/>
              </w:rPr>
            </w:pPr>
            <w:r w:rsidRPr="008A1AF7">
              <w:rPr>
                <w:rFonts w:ascii="Arial" w:hAnsi="Arial" w:cs="Arial"/>
                <w:sz w:val="16"/>
                <w:szCs w:val="16"/>
              </w:rPr>
              <w:t>120,95%</w:t>
            </w:r>
          </w:p>
        </w:tc>
        <w:tc>
          <w:tcPr>
            <w:tcW w:w="1299" w:type="dxa"/>
            <w:shd w:val="clear" w:color="auto" w:fill="auto"/>
            <w:vAlign w:val="center"/>
          </w:tcPr>
          <w:p w14:paraId="6EF17B22" w14:textId="498E9E8F" w:rsidR="008A1AF7" w:rsidRPr="00E21C60" w:rsidRDefault="008A1AF7" w:rsidP="008A1AF7">
            <w:pPr>
              <w:jc w:val="center"/>
              <w:rPr>
                <w:rFonts w:ascii="Arial" w:hAnsi="Arial" w:cs="Arial"/>
                <w:sz w:val="16"/>
                <w:szCs w:val="16"/>
              </w:rPr>
            </w:pPr>
            <w:r w:rsidRPr="008A1AF7">
              <w:rPr>
                <w:rFonts w:ascii="Arial" w:hAnsi="Arial" w:cs="Arial"/>
                <w:sz w:val="16"/>
                <w:szCs w:val="16"/>
              </w:rPr>
              <w:t>78 375 106</w:t>
            </w:r>
          </w:p>
        </w:tc>
        <w:tc>
          <w:tcPr>
            <w:tcW w:w="1538" w:type="dxa"/>
            <w:shd w:val="clear" w:color="auto" w:fill="auto"/>
            <w:vAlign w:val="center"/>
          </w:tcPr>
          <w:p w14:paraId="410DBBDE" w14:textId="132C7034" w:rsidR="008A1AF7" w:rsidRPr="00E21C60" w:rsidRDefault="008A1AF7" w:rsidP="008A1AF7">
            <w:pPr>
              <w:jc w:val="center"/>
              <w:rPr>
                <w:rFonts w:ascii="Arial" w:hAnsi="Arial" w:cs="Arial"/>
                <w:sz w:val="16"/>
                <w:szCs w:val="16"/>
              </w:rPr>
            </w:pPr>
            <w:r w:rsidRPr="008A1AF7">
              <w:rPr>
                <w:rFonts w:ascii="Arial" w:hAnsi="Arial" w:cs="Arial"/>
                <w:sz w:val="16"/>
                <w:szCs w:val="16"/>
              </w:rPr>
              <w:t>43,91%</w:t>
            </w:r>
          </w:p>
        </w:tc>
        <w:tc>
          <w:tcPr>
            <w:tcW w:w="1538" w:type="dxa"/>
            <w:tcBorders>
              <w:right w:val="single" w:sz="8" w:space="0" w:color="auto"/>
            </w:tcBorders>
            <w:shd w:val="clear" w:color="auto" w:fill="auto"/>
            <w:vAlign w:val="center"/>
          </w:tcPr>
          <w:p w14:paraId="46ECF882" w14:textId="2AD93DF4" w:rsidR="008A1AF7" w:rsidRPr="00E21C60" w:rsidRDefault="008A1AF7" w:rsidP="008A1AF7">
            <w:pPr>
              <w:jc w:val="center"/>
              <w:rPr>
                <w:rFonts w:ascii="Arial" w:hAnsi="Arial" w:cs="Arial"/>
                <w:sz w:val="16"/>
                <w:szCs w:val="16"/>
              </w:rPr>
            </w:pPr>
            <w:r w:rsidRPr="008A1AF7">
              <w:rPr>
                <w:rFonts w:ascii="Arial" w:hAnsi="Arial" w:cs="Arial"/>
                <w:sz w:val="16"/>
                <w:szCs w:val="16"/>
              </w:rPr>
              <w:t>120,95%</w:t>
            </w:r>
          </w:p>
        </w:tc>
      </w:tr>
      <w:tr w:rsidR="008A1AF7" w:rsidRPr="00E21C60" w14:paraId="5E977DAB" w14:textId="77777777" w:rsidTr="008A1AF7">
        <w:trPr>
          <w:trHeight w:val="259"/>
        </w:trPr>
        <w:tc>
          <w:tcPr>
            <w:tcW w:w="499" w:type="dxa"/>
            <w:vMerge/>
            <w:tcBorders>
              <w:left w:val="single" w:sz="8" w:space="0" w:color="auto"/>
              <w:bottom w:val="single" w:sz="8" w:space="0" w:color="auto"/>
            </w:tcBorders>
            <w:vAlign w:val="center"/>
            <w:hideMark/>
          </w:tcPr>
          <w:p w14:paraId="6D289BA1" w14:textId="77777777" w:rsidR="008A1AF7" w:rsidRPr="00E21C60" w:rsidRDefault="008A1AF7">
            <w:pPr>
              <w:rPr>
                <w:rFonts w:ascii="Arial" w:hAnsi="Arial" w:cs="Arial"/>
                <w:color w:val="000000"/>
                <w:sz w:val="16"/>
                <w:szCs w:val="16"/>
              </w:rPr>
            </w:pPr>
          </w:p>
        </w:tc>
        <w:tc>
          <w:tcPr>
            <w:tcW w:w="1640" w:type="dxa"/>
            <w:tcBorders>
              <w:bottom w:val="single" w:sz="8" w:space="0" w:color="auto"/>
            </w:tcBorders>
            <w:shd w:val="clear" w:color="auto" w:fill="auto"/>
            <w:vAlign w:val="center"/>
            <w:hideMark/>
          </w:tcPr>
          <w:p w14:paraId="49E76E44" w14:textId="3DB35AC1" w:rsidR="008A1AF7" w:rsidRPr="00E21C60" w:rsidRDefault="008A1AF7" w:rsidP="006B3ADD">
            <w:pPr>
              <w:jc w:val="center"/>
              <w:rPr>
                <w:rFonts w:ascii="Arial" w:hAnsi="Arial" w:cs="Arial"/>
                <w:b/>
                <w:bCs/>
                <w:color w:val="000000"/>
                <w:sz w:val="16"/>
                <w:szCs w:val="16"/>
              </w:rPr>
            </w:pPr>
            <w:r w:rsidRPr="008A1AF7">
              <w:rPr>
                <w:rFonts w:ascii="Arial" w:hAnsi="Arial" w:cs="Arial"/>
                <w:b/>
                <w:bCs/>
                <w:color w:val="000000"/>
                <w:sz w:val="16"/>
                <w:szCs w:val="16"/>
              </w:rPr>
              <w:t>Spolu</w:t>
            </w:r>
          </w:p>
        </w:tc>
        <w:tc>
          <w:tcPr>
            <w:tcW w:w="1237" w:type="dxa"/>
            <w:tcBorders>
              <w:bottom w:val="single" w:sz="8" w:space="0" w:color="auto"/>
            </w:tcBorders>
            <w:shd w:val="clear" w:color="auto" w:fill="auto"/>
            <w:vAlign w:val="center"/>
          </w:tcPr>
          <w:p w14:paraId="4E7E0D6E" w14:textId="7D471357" w:rsidR="008A1AF7" w:rsidRPr="008A1AF7" w:rsidRDefault="008A1AF7" w:rsidP="008A1AF7">
            <w:pPr>
              <w:jc w:val="center"/>
              <w:rPr>
                <w:rFonts w:ascii="Arial" w:hAnsi="Arial" w:cs="Arial"/>
                <w:b/>
                <w:sz w:val="16"/>
                <w:szCs w:val="16"/>
              </w:rPr>
            </w:pPr>
            <w:r w:rsidRPr="008A1AF7">
              <w:rPr>
                <w:rFonts w:ascii="Arial" w:hAnsi="Arial" w:cs="Arial"/>
                <w:b/>
                <w:sz w:val="16"/>
                <w:szCs w:val="16"/>
              </w:rPr>
              <w:t>180 000 000</w:t>
            </w:r>
          </w:p>
        </w:tc>
        <w:tc>
          <w:tcPr>
            <w:tcW w:w="1404" w:type="dxa"/>
            <w:tcBorders>
              <w:bottom w:val="single" w:sz="8" w:space="0" w:color="auto"/>
            </w:tcBorders>
            <w:shd w:val="clear" w:color="000000" w:fill="FFFFFF"/>
            <w:vAlign w:val="center"/>
          </w:tcPr>
          <w:p w14:paraId="54D60FEC" w14:textId="6B2A82EB" w:rsidR="008A1AF7" w:rsidRPr="008A1AF7" w:rsidRDefault="008A1AF7" w:rsidP="008A1AF7">
            <w:pPr>
              <w:jc w:val="center"/>
              <w:rPr>
                <w:rFonts w:ascii="Arial" w:hAnsi="Arial" w:cs="Arial"/>
                <w:b/>
                <w:sz w:val="16"/>
                <w:szCs w:val="16"/>
              </w:rPr>
            </w:pPr>
            <w:r w:rsidRPr="008A1AF7">
              <w:rPr>
                <w:rFonts w:ascii="Arial" w:hAnsi="Arial" w:cs="Arial"/>
                <w:b/>
                <w:sz w:val="16"/>
                <w:szCs w:val="16"/>
              </w:rPr>
              <w:t>99,16%</w:t>
            </w:r>
          </w:p>
        </w:tc>
        <w:tc>
          <w:tcPr>
            <w:tcW w:w="1299" w:type="dxa"/>
            <w:tcBorders>
              <w:bottom w:val="single" w:sz="8" w:space="0" w:color="auto"/>
            </w:tcBorders>
            <w:shd w:val="clear" w:color="auto" w:fill="auto"/>
            <w:vAlign w:val="center"/>
          </w:tcPr>
          <w:p w14:paraId="332DBE35" w14:textId="549AFDA2" w:rsidR="008A1AF7" w:rsidRPr="008A1AF7" w:rsidRDefault="008A1AF7" w:rsidP="008A1AF7">
            <w:pPr>
              <w:jc w:val="center"/>
              <w:rPr>
                <w:rFonts w:ascii="Arial" w:hAnsi="Arial" w:cs="Arial"/>
                <w:b/>
                <w:sz w:val="16"/>
                <w:szCs w:val="16"/>
              </w:rPr>
            </w:pPr>
            <w:r w:rsidRPr="008A1AF7">
              <w:rPr>
                <w:rFonts w:ascii="Arial" w:hAnsi="Arial" w:cs="Arial"/>
                <w:b/>
                <w:sz w:val="16"/>
                <w:szCs w:val="16"/>
              </w:rPr>
              <w:t>178 486 062</w:t>
            </w:r>
          </w:p>
        </w:tc>
        <w:tc>
          <w:tcPr>
            <w:tcW w:w="1538" w:type="dxa"/>
            <w:tcBorders>
              <w:bottom w:val="single" w:sz="8" w:space="0" w:color="auto"/>
            </w:tcBorders>
            <w:shd w:val="clear" w:color="auto" w:fill="auto"/>
            <w:vAlign w:val="center"/>
          </w:tcPr>
          <w:p w14:paraId="7CE6B930" w14:textId="0332D510" w:rsidR="008A1AF7" w:rsidRPr="008A1AF7" w:rsidRDefault="008A1AF7" w:rsidP="008A1AF7">
            <w:pPr>
              <w:jc w:val="center"/>
              <w:rPr>
                <w:rFonts w:ascii="Arial" w:hAnsi="Arial" w:cs="Arial"/>
                <w:b/>
                <w:sz w:val="16"/>
                <w:szCs w:val="16"/>
              </w:rPr>
            </w:pPr>
            <w:r>
              <w:rPr>
                <w:rFonts w:ascii="Arial" w:hAnsi="Arial" w:cs="Arial"/>
                <w:b/>
                <w:sz w:val="16"/>
                <w:szCs w:val="16"/>
              </w:rPr>
              <w:t>-</w:t>
            </w:r>
          </w:p>
        </w:tc>
        <w:tc>
          <w:tcPr>
            <w:tcW w:w="1538" w:type="dxa"/>
            <w:tcBorders>
              <w:bottom w:val="single" w:sz="8" w:space="0" w:color="auto"/>
              <w:right w:val="single" w:sz="8" w:space="0" w:color="auto"/>
            </w:tcBorders>
            <w:shd w:val="clear" w:color="auto" w:fill="auto"/>
            <w:vAlign w:val="center"/>
          </w:tcPr>
          <w:p w14:paraId="3A5B60A5" w14:textId="2ABCD810" w:rsidR="008A1AF7" w:rsidRPr="008A1AF7" w:rsidRDefault="008A1AF7" w:rsidP="008A1AF7">
            <w:pPr>
              <w:jc w:val="center"/>
              <w:rPr>
                <w:rFonts w:ascii="Arial" w:hAnsi="Arial" w:cs="Arial"/>
                <w:b/>
                <w:sz w:val="16"/>
                <w:szCs w:val="16"/>
              </w:rPr>
            </w:pPr>
            <w:r w:rsidRPr="008A1AF7">
              <w:rPr>
                <w:rFonts w:ascii="Arial" w:hAnsi="Arial" w:cs="Arial"/>
                <w:b/>
                <w:sz w:val="16"/>
                <w:szCs w:val="16"/>
              </w:rPr>
              <w:t>99,16%</w:t>
            </w:r>
          </w:p>
        </w:tc>
      </w:tr>
      <w:tr w:rsidR="008A1AF7" w:rsidRPr="00E21C60" w14:paraId="444111DC" w14:textId="77777777" w:rsidTr="008A1AF7">
        <w:trPr>
          <w:trHeight w:val="259"/>
        </w:trPr>
        <w:tc>
          <w:tcPr>
            <w:tcW w:w="499" w:type="dxa"/>
            <w:vMerge w:val="restart"/>
            <w:tcBorders>
              <w:top w:val="single" w:sz="8" w:space="0" w:color="auto"/>
              <w:left w:val="single" w:sz="8" w:space="0" w:color="auto"/>
            </w:tcBorders>
            <w:shd w:val="clear" w:color="auto" w:fill="auto"/>
            <w:vAlign w:val="center"/>
            <w:hideMark/>
          </w:tcPr>
          <w:p w14:paraId="74BD0041" w14:textId="77777777" w:rsidR="008A1AF7" w:rsidRPr="002526CC" w:rsidRDefault="008A1AF7">
            <w:pPr>
              <w:jc w:val="center"/>
              <w:rPr>
                <w:rFonts w:ascii="Arial" w:hAnsi="Arial" w:cs="Arial"/>
                <w:color w:val="000000"/>
                <w:sz w:val="16"/>
                <w:szCs w:val="16"/>
              </w:rPr>
            </w:pPr>
            <w:r w:rsidRPr="002526CC">
              <w:rPr>
                <w:rFonts w:ascii="Arial" w:hAnsi="Arial" w:cs="Arial"/>
                <w:color w:val="000000"/>
                <w:sz w:val="16"/>
                <w:szCs w:val="16"/>
              </w:rPr>
              <w:t>PO 4</w:t>
            </w:r>
          </w:p>
        </w:tc>
        <w:tc>
          <w:tcPr>
            <w:tcW w:w="1640" w:type="dxa"/>
            <w:tcBorders>
              <w:top w:val="single" w:sz="8" w:space="0" w:color="auto"/>
            </w:tcBorders>
            <w:shd w:val="clear" w:color="auto" w:fill="auto"/>
            <w:vAlign w:val="center"/>
            <w:hideMark/>
          </w:tcPr>
          <w:p w14:paraId="11BFB67A"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Bratislavský</w:t>
            </w:r>
          </w:p>
        </w:tc>
        <w:tc>
          <w:tcPr>
            <w:tcW w:w="1237" w:type="dxa"/>
            <w:tcBorders>
              <w:top w:val="single" w:sz="8" w:space="0" w:color="auto"/>
            </w:tcBorders>
            <w:shd w:val="clear" w:color="auto" w:fill="auto"/>
            <w:vAlign w:val="center"/>
          </w:tcPr>
          <w:p w14:paraId="02C8195A" w14:textId="3B321377" w:rsidR="008A1AF7" w:rsidRPr="00265459" w:rsidRDefault="008A1AF7" w:rsidP="008A1AF7">
            <w:pPr>
              <w:jc w:val="center"/>
              <w:rPr>
                <w:rFonts w:ascii="Arial" w:hAnsi="Arial" w:cs="Arial"/>
                <w:sz w:val="16"/>
                <w:szCs w:val="16"/>
              </w:rPr>
            </w:pPr>
            <w:r w:rsidRPr="008A1AF7">
              <w:rPr>
                <w:rFonts w:ascii="Arial" w:hAnsi="Arial" w:cs="Arial"/>
                <w:sz w:val="16"/>
                <w:szCs w:val="16"/>
              </w:rPr>
              <w:t>41 041 444</w:t>
            </w:r>
          </w:p>
        </w:tc>
        <w:tc>
          <w:tcPr>
            <w:tcW w:w="1404" w:type="dxa"/>
            <w:tcBorders>
              <w:top w:val="single" w:sz="8" w:space="0" w:color="auto"/>
            </w:tcBorders>
            <w:shd w:val="clear" w:color="auto" w:fill="auto"/>
            <w:vAlign w:val="center"/>
          </w:tcPr>
          <w:p w14:paraId="5181398E" w14:textId="29B9B076" w:rsidR="008A1AF7" w:rsidRPr="00265459" w:rsidRDefault="008A1AF7" w:rsidP="008A1AF7">
            <w:pPr>
              <w:jc w:val="center"/>
              <w:rPr>
                <w:rFonts w:ascii="Arial" w:hAnsi="Arial" w:cs="Arial"/>
                <w:sz w:val="16"/>
                <w:szCs w:val="16"/>
              </w:rPr>
            </w:pPr>
            <w:r w:rsidRPr="008A1AF7">
              <w:rPr>
                <w:rFonts w:ascii="Arial" w:hAnsi="Arial" w:cs="Arial"/>
                <w:sz w:val="16"/>
                <w:szCs w:val="16"/>
              </w:rPr>
              <w:t>31,98%</w:t>
            </w:r>
          </w:p>
        </w:tc>
        <w:tc>
          <w:tcPr>
            <w:tcW w:w="1299" w:type="dxa"/>
            <w:tcBorders>
              <w:top w:val="single" w:sz="8" w:space="0" w:color="auto"/>
            </w:tcBorders>
            <w:shd w:val="clear" w:color="auto" w:fill="auto"/>
            <w:vAlign w:val="center"/>
          </w:tcPr>
          <w:p w14:paraId="6589EEB4" w14:textId="21CF0A7D" w:rsidR="008A1AF7" w:rsidRPr="00265459" w:rsidRDefault="008A1AF7" w:rsidP="008A1AF7">
            <w:pPr>
              <w:jc w:val="center"/>
              <w:rPr>
                <w:rFonts w:ascii="Arial" w:hAnsi="Arial" w:cs="Arial"/>
                <w:sz w:val="16"/>
                <w:szCs w:val="16"/>
              </w:rPr>
            </w:pPr>
            <w:r w:rsidRPr="008A1AF7">
              <w:rPr>
                <w:rFonts w:ascii="Arial" w:hAnsi="Arial" w:cs="Arial"/>
                <w:sz w:val="16"/>
                <w:szCs w:val="16"/>
              </w:rPr>
              <w:t>13 124 825</w:t>
            </w:r>
          </w:p>
        </w:tc>
        <w:tc>
          <w:tcPr>
            <w:tcW w:w="1538" w:type="dxa"/>
            <w:tcBorders>
              <w:top w:val="single" w:sz="8" w:space="0" w:color="auto"/>
            </w:tcBorders>
            <w:shd w:val="clear" w:color="auto" w:fill="auto"/>
            <w:vAlign w:val="center"/>
          </w:tcPr>
          <w:p w14:paraId="7797525E" w14:textId="236D547E" w:rsidR="008A1AF7" w:rsidRPr="00265459" w:rsidRDefault="008A1AF7" w:rsidP="008A1AF7">
            <w:pPr>
              <w:jc w:val="center"/>
              <w:rPr>
                <w:rFonts w:ascii="Arial" w:hAnsi="Arial" w:cs="Arial"/>
                <w:sz w:val="16"/>
                <w:szCs w:val="16"/>
              </w:rPr>
            </w:pPr>
            <w:r w:rsidRPr="008A1AF7">
              <w:rPr>
                <w:rFonts w:ascii="Arial" w:hAnsi="Arial" w:cs="Arial"/>
                <w:sz w:val="16"/>
                <w:szCs w:val="16"/>
              </w:rPr>
              <w:t>3,71%</w:t>
            </w:r>
          </w:p>
        </w:tc>
        <w:tc>
          <w:tcPr>
            <w:tcW w:w="1538" w:type="dxa"/>
            <w:tcBorders>
              <w:top w:val="single" w:sz="8" w:space="0" w:color="auto"/>
              <w:right w:val="single" w:sz="8" w:space="0" w:color="auto"/>
            </w:tcBorders>
            <w:shd w:val="clear" w:color="auto" w:fill="auto"/>
            <w:vAlign w:val="center"/>
          </w:tcPr>
          <w:p w14:paraId="033FDE55" w14:textId="344F3666" w:rsidR="008A1AF7" w:rsidRPr="00265459" w:rsidRDefault="008A1AF7" w:rsidP="008A1AF7">
            <w:pPr>
              <w:jc w:val="center"/>
              <w:rPr>
                <w:rFonts w:ascii="Arial" w:hAnsi="Arial" w:cs="Arial"/>
                <w:sz w:val="16"/>
                <w:szCs w:val="16"/>
              </w:rPr>
            </w:pPr>
            <w:r w:rsidRPr="008A1AF7">
              <w:rPr>
                <w:rFonts w:ascii="Arial" w:hAnsi="Arial" w:cs="Arial"/>
                <w:sz w:val="16"/>
                <w:szCs w:val="16"/>
              </w:rPr>
              <w:t>31,98%</w:t>
            </w:r>
          </w:p>
        </w:tc>
      </w:tr>
      <w:tr w:rsidR="008A1AF7" w:rsidRPr="00E21C60" w14:paraId="7B2ECFAE" w14:textId="77777777" w:rsidTr="008A1AF7">
        <w:trPr>
          <w:trHeight w:val="259"/>
        </w:trPr>
        <w:tc>
          <w:tcPr>
            <w:tcW w:w="499" w:type="dxa"/>
            <w:vMerge/>
            <w:tcBorders>
              <w:left w:val="single" w:sz="8" w:space="0" w:color="auto"/>
            </w:tcBorders>
            <w:vAlign w:val="center"/>
            <w:hideMark/>
          </w:tcPr>
          <w:p w14:paraId="0F56FA7F"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16D48EE4"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Západ</w:t>
            </w:r>
            <w:r>
              <w:rPr>
                <w:rFonts w:ascii="Arial" w:hAnsi="Arial" w:cs="Arial"/>
                <w:sz w:val="16"/>
                <w:szCs w:val="16"/>
              </w:rPr>
              <w:t>né Slovensko</w:t>
            </w:r>
          </w:p>
        </w:tc>
        <w:tc>
          <w:tcPr>
            <w:tcW w:w="1237" w:type="dxa"/>
            <w:shd w:val="clear" w:color="auto" w:fill="auto"/>
            <w:vAlign w:val="center"/>
          </w:tcPr>
          <w:p w14:paraId="737A6F81" w14:textId="00D52CFB" w:rsidR="008A1AF7" w:rsidRPr="00265459" w:rsidRDefault="008A1AF7" w:rsidP="008A1AF7">
            <w:pPr>
              <w:jc w:val="center"/>
              <w:rPr>
                <w:rFonts w:ascii="Arial" w:hAnsi="Arial" w:cs="Arial"/>
                <w:sz w:val="16"/>
                <w:szCs w:val="16"/>
              </w:rPr>
            </w:pPr>
            <w:r w:rsidRPr="008A1AF7">
              <w:rPr>
                <w:rFonts w:ascii="Arial" w:hAnsi="Arial" w:cs="Arial"/>
                <w:sz w:val="16"/>
                <w:szCs w:val="16"/>
              </w:rPr>
              <w:t>142 130 425</w:t>
            </w:r>
          </w:p>
        </w:tc>
        <w:tc>
          <w:tcPr>
            <w:tcW w:w="1404" w:type="dxa"/>
            <w:shd w:val="clear" w:color="auto" w:fill="auto"/>
            <w:vAlign w:val="center"/>
          </w:tcPr>
          <w:p w14:paraId="3B14AE49" w14:textId="5DE6AB9D" w:rsidR="008A1AF7" w:rsidRPr="00265459" w:rsidRDefault="008A1AF7" w:rsidP="008A1AF7">
            <w:pPr>
              <w:jc w:val="center"/>
              <w:rPr>
                <w:rFonts w:ascii="Arial" w:hAnsi="Arial" w:cs="Arial"/>
                <w:sz w:val="16"/>
                <w:szCs w:val="16"/>
              </w:rPr>
            </w:pPr>
            <w:r w:rsidRPr="008A1AF7">
              <w:rPr>
                <w:rFonts w:ascii="Arial" w:hAnsi="Arial" w:cs="Arial"/>
                <w:sz w:val="16"/>
                <w:szCs w:val="16"/>
              </w:rPr>
              <w:t>91,08%</w:t>
            </w:r>
          </w:p>
        </w:tc>
        <w:tc>
          <w:tcPr>
            <w:tcW w:w="1299" w:type="dxa"/>
            <w:shd w:val="clear" w:color="auto" w:fill="auto"/>
            <w:vAlign w:val="center"/>
          </w:tcPr>
          <w:p w14:paraId="236EFB44" w14:textId="4E5461A8" w:rsidR="008A1AF7" w:rsidRPr="00265459" w:rsidRDefault="008A1AF7" w:rsidP="008A1AF7">
            <w:pPr>
              <w:jc w:val="center"/>
              <w:rPr>
                <w:rFonts w:ascii="Arial" w:hAnsi="Arial" w:cs="Arial"/>
                <w:sz w:val="16"/>
                <w:szCs w:val="16"/>
              </w:rPr>
            </w:pPr>
            <w:r w:rsidRPr="008A1AF7">
              <w:rPr>
                <w:rFonts w:ascii="Arial" w:hAnsi="Arial" w:cs="Arial"/>
                <w:sz w:val="16"/>
                <w:szCs w:val="16"/>
              </w:rPr>
              <w:t>129 448 936</w:t>
            </w:r>
          </w:p>
        </w:tc>
        <w:tc>
          <w:tcPr>
            <w:tcW w:w="1538" w:type="dxa"/>
            <w:shd w:val="clear" w:color="auto" w:fill="auto"/>
            <w:vAlign w:val="center"/>
          </w:tcPr>
          <w:p w14:paraId="73AA23E3" w14:textId="7A2898B9" w:rsidR="008A1AF7" w:rsidRPr="00265459" w:rsidRDefault="008A1AF7" w:rsidP="008A1AF7">
            <w:pPr>
              <w:jc w:val="center"/>
              <w:rPr>
                <w:rFonts w:ascii="Arial" w:hAnsi="Arial" w:cs="Arial"/>
                <w:sz w:val="16"/>
                <w:szCs w:val="16"/>
              </w:rPr>
            </w:pPr>
            <w:r w:rsidRPr="008A1AF7">
              <w:rPr>
                <w:rFonts w:ascii="Arial" w:hAnsi="Arial" w:cs="Arial"/>
                <w:sz w:val="16"/>
                <w:szCs w:val="16"/>
              </w:rPr>
              <w:t>36,61%</w:t>
            </w:r>
          </w:p>
        </w:tc>
        <w:tc>
          <w:tcPr>
            <w:tcW w:w="1538" w:type="dxa"/>
            <w:tcBorders>
              <w:right w:val="single" w:sz="8" w:space="0" w:color="auto"/>
            </w:tcBorders>
            <w:shd w:val="clear" w:color="auto" w:fill="auto"/>
            <w:vAlign w:val="center"/>
          </w:tcPr>
          <w:p w14:paraId="612FA08B" w14:textId="0277EE91" w:rsidR="008A1AF7" w:rsidRPr="00265459" w:rsidRDefault="008A1AF7" w:rsidP="008A1AF7">
            <w:pPr>
              <w:jc w:val="center"/>
              <w:rPr>
                <w:rFonts w:ascii="Arial" w:hAnsi="Arial" w:cs="Arial"/>
                <w:sz w:val="16"/>
                <w:szCs w:val="16"/>
              </w:rPr>
            </w:pPr>
            <w:r w:rsidRPr="008A1AF7">
              <w:rPr>
                <w:rFonts w:ascii="Arial" w:hAnsi="Arial" w:cs="Arial"/>
                <w:sz w:val="16"/>
                <w:szCs w:val="16"/>
              </w:rPr>
              <w:t>91,08%</w:t>
            </w:r>
          </w:p>
        </w:tc>
      </w:tr>
      <w:tr w:rsidR="008A1AF7" w:rsidRPr="00E21C60" w14:paraId="4E45CF8E" w14:textId="77777777" w:rsidTr="008A1AF7">
        <w:trPr>
          <w:trHeight w:val="259"/>
        </w:trPr>
        <w:tc>
          <w:tcPr>
            <w:tcW w:w="499" w:type="dxa"/>
            <w:vMerge/>
            <w:tcBorders>
              <w:left w:val="single" w:sz="8" w:space="0" w:color="auto"/>
            </w:tcBorders>
            <w:vAlign w:val="center"/>
            <w:hideMark/>
          </w:tcPr>
          <w:p w14:paraId="4DE24896"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7D077E6D"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Stred</w:t>
            </w:r>
            <w:r>
              <w:rPr>
                <w:rFonts w:ascii="Arial" w:hAnsi="Arial" w:cs="Arial"/>
                <w:sz w:val="16"/>
                <w:szCs w:val="16"/>
              </w:rPr>
              <w:t>né Slovensko</w:t>
            </w:r>
          </w:p>
        </w:tc>
        <w:tc>
          <w:tcPr>
            <w:tcW w:w="1237" w:type="dxa"/>
            <w:shd w:val="clear" w:color="auto" w:fill="auto"/>
            <w:vAlign w:val="center"/>
          </w:tcPr>
          <w:p w14:paraId="238A16EF" w14:textId="49CF0BFD" w:rsidR="008A1AF7" w:rsidRPr="00265459" w:rsidRDefault="008A1AF7" w:rsidP="008A1AF7">
            <w:pPr>
              <w:jc w:val="center"/>
              <w:rPr>
                <w:rFonts w:ascii="Arial" w:hAnsi="Arial" w:cs="Arial"/>
                <w:sz w:val="16"/>
                <w:szCs w:val="16"/>
              </w:rPr>
            </w:pPr>
            <w:r w:rsidRPr="008A1AF7">
              <w:rPr>
                <w:rFonts w:ascii="Arial" w:hAnsi="Arial" w:cs="Arial"/>
                <w:sz w:val="16"/>
                <w:szCs w:val="16"/>
              </w:rPr>
              <w:t>72 178 233</w:t>
            </w:r>
          </w:p>
        </w:tc>
        <w:tc>
          <w:tcPr>
            <w:tcW w:w="1404" w:type="dxa"/>
            <w:shd w:val="clear" w:color="auto" w:fill="auto"/>
            <w:vAlign w:val="center"/>
          </w:tcPr>
          <w:p w14:paraId="039E81B4" w14:textId="4E07DFCE" w:rsidR="008A1AF7" w:rsidRPr="00265459" w:rsidRDefault="008A1AF7" w:rsidP="008A1AF7">
            <w:pPr>
              <w:jc w:val="center"/>
              <w:rPr>
                <w:rFonts w:ascii="Arial" w:hAnsi="Arial" w:cs="Arial"/>
                <w:sz w:val="16"/>
                <w:szCs w:val="16"/>
              </w:rPr>
            </w:pPr>
            <w:r w:rsidRPr="008A1AF7">
              <w:rPr>
                <w:rFonts w:ascii="Arial" w:hAnsi="Arial" w:cs="Arial"/>
                <w:sz w:val="16"/>
                <w:szCs w:val="16"/>
              </w:rPr>
              <w:t>151,31%</w:t>
            </w:r>
          </w:p>
        </w:tc>
        <w:tc>
          <w:tcPr>
            <w:tcW w:w="1299" w:type="dxa"/>
            <w:shd w:val="clear" w:color="auto" w:fill="auto"/>
            <w:vAlign w:val="center"/>
          </w:tcPr>
          <w:p w14:paraId="72E296AD" w14:textId="0B57791D" w:rsidR="008A1AF7" w:rsidRPr="00265459" w:rsidRDefault="008A1AF7" w:rsidP="008A1AF7">
            <w:pPr>
              <w:jc w:val="center"/>
              <w:rPr>
                <w:rFonts w:ascii="Arial" w:hAnsi="Arial" w:cs="Arial"/>
                <w:sz w:val="16"/>
                <w:szCs w:val="16"/>
              </w:rPr>
            </w:pPr>
            <w:r w:rsidRPr="008A1AF7">
              <w:rPr>
                <w:rFonts w:ascii="Arial" w:hAnsi="Arial" w:cs="Arial"/>
                <w:sz w:val="16"/>
                <w:szCs w:val="16"/>
              </w:rPr>
              <w:t>109 213 337</w:t>
            </w:r>
          </w:p>
        </w:tc>
        <w:tc>
          <w:tcPr>
            <w:tcW w:w="1538" w:type="dxa"/>
            <w:shd w:val="clear" w:color="auto" w:fill="auto"/>
            <w:vAlign w:val="center"/>
          </w:tcPr>
          <w:p w14:paraId="79BB6534" w14:textId="6D9C93D6" w:rsidR="008A1AF7" w:rsidRPr="00265459" w:rsidRDefault="008A1AF7" w:rsidP="008A1AF7">
            <w:pPr>
              <w:jc w:val="center"/>
              <w:rPr>
                <w:rFonts w:ascii="Arial" w:hAnsi="Arial" w:cs="Arial"/>
                <w:sz w:val="16"/>
                <w:szCs w:val="16"/>
              </w:rPr>
            </w:pPr>
            <w:r w:rsidRPr="008A1AF7">
              <w:rPr>
                <w:rFonts w:ascii="Arial" w:hAnsi="Arial" w:cs="Arial"/>
                <w:sz w:val="16"/>
                <w:szCs w:val="16"/>
              </w:rPr>
              <w:t>30,89%</w:t>
            </w:r>
          </w:p>
        </w:tc>
        <w:tc>
          <w:tcPr>
            <w:tcW w:w="1538" w:type="dxa"/>
            <w:tcBorders>
              <w:right w:val="single" w:sz="8" w:space="0" w:color="auto"/>
            </w:tcBorders>
            <w:shd w:val="clear" w:color="auto" w:fill="auto"/>
            <w:vAlign w:val="center"/>
          </w:tcPr>
          <w:p w14:paraId="25266D8F" w14:textId="2AE074E6" w:rsidR="008A1AF7" w:rsidRPr="00265459" w:rsidRDefault="008A1AF7" w:rsidP="008A1AF7">
            <w:pPr>
              <w:jc w:val="center"/>
              <w:rPr>
                <w:rFonts w:ascii="Arial" w:hAnsi="Arial" w:cs="Arial"/>
                <w:sz w:val="16"/>
                <w:szCs w:val="16"/>
              </w:rPr>
            </w:pPr>
            <w:r w:rsidRPr="008A1AF7">
              <w:rPr>
                <w:rFonts w:ascii="Arial" w:hAnsi="Arial" w:cs="Arial"/>
                <w:sz w:val="16"/>
                <w:szCs w:val="16"/>
              </w:rPr>
              <w:t>151,31%</w:t>
            </w:r>
          </w:p>
        </w:tc>
      </w:tr>
      <w:tr w:rsidR="008A1AF7" w:rsidRPr="00E21C60" w14:paraId="63ACCCB3" w14:textId="77777777" w:rsidTr="008A1AF7">
        <w:trPr>
          <w:trHeight w:val="259"/>
        </w:trPr>
        <w:tc>
          <w:tcPr>
            <w:tcW w:w="499" w:type="dxa"/>
            <w:vMerge/>
            <w:tcBorders>
              <w:left w:val="single" w:sz="8" w:space="0" w:color="auto"/>
            </w:tcBorders>
            <w:vAlign w:val="center"/>
            <w:hideMark/>
          </w:tcPr>
          <w:p w14:paraId="673854CC"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771A0A9F"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Východ</w:t>
            </w:r>
            <w:r>
              <w:rPr>
                <w:rFonts w:ascii="Arial" w:hAnsi="Arial" w:cs="Arial"/>
                <w:sz w:val="16"/>
                <w:szCs w:val="16"/>
              </w:rPr>
              <w:t>né Slovensko</w:t>
            </w:r>
          </w:p>
        </w:tc>
        <w:tc>
          <w:tcPr>
            <w:tcW w:w="1237" w:type="dxa"/>
            <w:shd w:val="clear" w:color="auto" w:fill="auto"/>
            <w:vAlign w:val="center"/>
          </w:tcPr>
          <w:p w14:paraId="3D1660E9" w14:textId="39D8EF79" w:rsidR="008A1AF7" w:rsidRPr="00265459" w:rsidRDefault="008A1AF7" w:rsidP="008A1AF7">
            <w:pPr>
              <w:jc w:val="center"/>
              <w:rPr>
                <w:rFonts w:ascii="Arial" w:hAnsi="Arial" w:cs="Arial"/>
                <w:sz w:val="16"/>
                <w:szCs w:val="16"/>
              </w:rPr>
            </w:pPr>
            <w:r w:rsidRPr="008A1AF7">
              <w:rPr>
                <w:rFonts w:ascii="Arial" w:hAnsi="Arial" w:cs="Arial"/>
                <w:sz w:val="16"/>
                <w:szCs w:val="16"/>
              </w:rPr>
              <w:t>101 009 898</w:t>
            </w:r>
          </w:p>
        </w:tc>
        <w:tc>
          <w:tcPr>
            <w:tcW w:w="1404" w:type="dxa"/>
            <w:shd w:val="clear" w:color="auto" w:fill="auto"/>
            <w:vAlign w:val="center"/>
          </w:tcPr>
          <w:p w14:paraId="1E909AE5" w14:textId="7FF174A4" w:rsidR="008A1AF7" w:rsidRPr="00265459" w:rsidRDefault="008A1AF7" w:rsidP="008A1AF7">
            <w:pPr>
              <w:jc w:val="center"/>
              <w:rPr>
                <w:rFonts w:ascii="Arial" w:hAnsi="Arial" w:cs="Arial"/>
                <w:sz w:val="16"/>
                <w:szCs w:val="16"/>
              </w:rPr>
            </w:pPr>
            <w:r w:rsidRPr="008A1AF7">
              <w:rPr>
                <w:rFonts w:ascii="Arial" w:hAnsi="Arial" w:cs="Arial"/>
                <w:sz w:val="16"/>
                <w:szCs w:val="16"/>
              </w:rPr>
              <w:t>100,75%</w:t>
            </w:r>
          </w:p>
        </w:tc>
        <w:tc>
          <w:tcPr>
            <w:tcW w:w="1299" w:type="dxa"/>
            <w:shd w:val="clear" w:color="auto" w:fill="auto"/>
            <w:vAlign w:val="center"/>
          </w:tcPr>
          <w:p w14:paraId="2C930B46" w14:textId="6FDD632A" w:rsidR="008A1AF7" w:rsidRPr="00265459" w:rsidRDefault="008A1AF7" w:rsidP="008A1AF7">
            <w:pPr>
              <w:jc w:val="center"/>
              <w:rPr>
                <w:rFonts w:ascii="Arial" w:hAnsi="Arial" w:cs="Arial"/>
                <w:sz w:val="16"/>
                <w:szCs w:val="16"/>
              </w:rPr>
            </w:pPr>
            <w:r w:rsidRPr="008A1AF7">
              <w:rPr>
                <w:rFonts w:ascii="Arial" w:hAnsi="Arial" w:cs="Arial"/>
                <w:sz w:val="16"/>
                <w:szCs w:val="16"/>
              </w:rPr>
              <w:t>101 770 267</w:t>
            </w:r>
          </w:p>
        </w:tc>
        <w:tc>
          <w:tcPr>
            <w:tcW w:w="1538" w:type="dxa"/>
            <w:shd w:val="clear" w:color="auto" w:fill="auto"/>
            <w:vAlign w:val="center"/>
          </w:tcPr>
          <w:p w14:paraId="20244C3B" w14:textId="4EB02744" w:rsidR="008A1AF7" w:rsidRPr="00265459" w:rsidRDefault="008A1AF7" w:rsidP="008A1AF7">
            <w:pPr>
              <w:jc w:val="center"/>
              <w:rPr>
                <w:rFonts w:ascii="Arial" w:hAnsi="Arial" w:cs="Arial"/>
                <w:sz w:val="16"/>
                <w:szCs w:val="16"/>
              </w:rPr>
            </w:pPr>
            <w:r w:rsidRPr="008A1AF7">
              <w:rPr>
                <w:rFonts w:ascii="Arial" w:hAnsi="Arial" w:cs="Arial"/>
                <w:sz w:val="16"/>
                <w:szCs w:val="16"/>
              </w:rPr>
              <w:t>28,78%</w:t>
            </w:r>
          </w:p>
        </w:tc>
        <w:tc>
          <w:tcPr>
            <w:tcW w:w="1538" w:type="dxa"/>
            <w:tcBorders>
              <w:right w:val="single" w:sz="8" w:space="0" w:color="auto"/>
            </w:tcBorders>
            <w:shd w:val="clear" w:color="auto" w:fill="auto"/>
            <w:vAlign w:val="center"/>
          </w:tcPr>
          <w:p w14:paraId="2B8D3812" w14:textId="56DF4C9E" w:rsidR="008A1AF7" w:rsidRPr="00265459" w:rsidRDefault="008A1AF7" w:rsidP="008A1AF7">
            <w:pPr>
              <w:jc w:val="center"/>
              <w:rPr>
                <w:rFonts w:ascii="Arial" w:hAnsi="Arial" w:cs="Arial"/>
                <w:sz w:val="16"/>
                <w:szCs w:val="16"/>
              </w:rPr>
            </w:pPr>
            <w:r w:rsidRPr="008A1AF7">
              <w:rPr>
                <w:rFonts w:ascii="Arial" w:hAnsi="Arial" w:cs="Arial"/>
                <w:sz w:val="16"/>
                <w:szCs w:val="16"/>
              </w:rPr>
              <w:t>100,75%</w:t>
            </w:r>
          </w:p>
        </w:tc>
      </w:tr>
      <w:tr w:rsidR="008A1AF7" w:rsidRPr="00E21C60" w14:paraId="58EBD838" w14:textId="77777777" w:rsidTr="008A1AF7">
        <w:trPr>
          <w:trHeight w:val="259"/>
        </w:trPr>
        <w:tc>
          <w:tcPr>
            <w:tcW w:w="499" w:type="dxa"/>
            <w:vMerge/>
            <w:tcBorders>
              <w:left w:val="single" w:sz="8" w:space="0" w:color="auto"/>
              <w:bottom w:val="single" w:sz="8" w:space="0" w:color="auto"/>
            </w:tcBorders>
            <w:vAlign w:val="center"/>
            <w:hideMark/>
          </w:tcPr>
          <w:p w14:paraId="7735D7C6" w14:textId="77777777" w:rsidR="008A1AF7" w:rsidRPr="00E21C60" w:rsidRDefault="008A1AF7">
            <w:pPr>
              <w:rPr>
                <w:rFonts w:ascii="Arial" w:hAnsi="Arial" w:cs="Arial"/>
                <w:color w:val="000000"/>
                <w:sz w:val="16"/>
                <w:szCs w:val="16"/>
              </w:rPr>
            </w:pPr>
          </w:p>
        </w:tc>
        <w:tc>
          <w:tcPr>
            <w:tcW w:w="1640" w:type="dxa"/>
            <w:tcBorders>
              <w:bottom w:val="single" w:sz="8" w:space="0" w:color="auto"/>
            </w:tcBorders>
            <w:shd w:val="clear" w:color="auto" w:fill="auto"/>
            <w:vAlign w:val="center"/>
            <w:hideMark/>
          </w:tcPr>
          <w:p w14:paraId="67A3C495" w14:textId="4FA02552" w:rsidR="008A1AF7" w:rsidRPr="00E21C60" w:rsidRDefault="008A1AF7" w:rsidP="006B3ADD">
            <w:pPr>
              <w:jc w:val="center"/>
              <w:rPr>
                <w:rFonts w:ascii="Arial" w:hAnsi="Arial" w:cs="Arial"/>
                <w:b/>
                <w:bCs/>
                <w:color w:val="000000"/>
                <w:sz w:val="16"/>
                <w:szCs w:val="16"/>
              </w:rPr>
            </w:pPr>
            <w:r w:rsidRPr="008A1AF7">
              <w:rPr>
                <w:rFonts w:ascii="Arial" w:hAnsi="Arial" w:cs="Arial"/>
                <w:b/>
                <w:bCs/>
                <w:color w:val="000000"/>
                <w:sz w:val="16"/>
                <w:szCs w:val="16"/>
              </w:rPr>
              <w:t>Spolu</w:t>
            </w:r>
          </w:p>
        </w:tc>
        <w:tc>
          <w:tcPr>
            <w:tcW w:w="1237" w:type="dxa"/>
            <w:tcBorders>
              <w:bottom w:val="single" w:sz="8" w:space="0" w:color="auto"/>
            </w:tcBorders>
            <w:shd w:val="clear" w:color="auto" w:fill="auto"/>
            <w:vAlign w:val="center"/>
          </w:tcPr>
          <w:p w14:paraId="10B97980" w14:textId="6E8364C6" w:rsidR="008A1AF7" w:rsidRPr="008A1AF7" w:rsidRDefault="008A1AF7" w:rsidP="008A1AF7">
            <w:pPr>
              <w:jc w:val="center"/>
              <w:rPr>
                <w:rFonts w:ascii="Arial" w:hAnsi="Arial" w:cs="Arial"/>
                <w:b/>
                <w:sz w:val="16"/>
                <w:szCs w:val="16"/>
              </w:rPr>
            </w:pPr>
            <w:r w:rsidRPr="008A1AF7">
              <w:rPr>
                <w:rFonts w:ascii="Arial" w:hAnsi="Arial" w:cs="Arial"/>
                <w:b/>
                <w:sz w:val="16"/>
                <w:szCs w:val="16"/>
              </w:rPr>
              <w:t>356 360 000</w:t>
            </w:r>
          </w:p>
        </w:tc>
        <w:tc>
          <w:tcPr>
            <w:tcW w:w="1404" w:type="dxa"/>
            <w:tcBorders>
              <w:bottom w:val="single" w:sz="8" w:space="0" w:color="auto"/>
            </w:tcBorders>
            <w:shd w:val="clear" w:color="000000" w:fill="FFFFFF"/>
            <w:vAlign w:val="center"/>
          </w:tcPr>
          <w:p w14:paraId="3676D028" w14:textId="4F8B3F56" w:rsidR="008A1AF7" w:rsidRPr="008A1AF7" w:rsidRDefault="008A1AF7" w:rsidP="008A1AF7">
            <w:pPr>
              <w:jc w:val="center"/>
              <w:rPr>
                <w:rFonts w:ascii="Arial" w:hAnsi="Arial" w:cs="Arial"/>
                <w:b/>
                <w:sz w:val="16"/>
                <w:szCs w:val="16"/>
              </w:rPr>
            </w:pPr>
            <w:r w:rsidRPr="008A1AF7">
              <w:rPr>
                <w:rFonts w:ascii="Arial" w:hAnsi="Arial" w:cs="Arial"/>
                <w:b/>
                <w:sz w:val="16"/>
                <w:szCs w:val="16"/>
              </w:rPr>
              <w:t>99,21%</w:t>
            </w:r>
          </w:p>
        </w:tc>
        <w:tc>
          <w:tcPr>
            <w:tcW w:w="1299" w:type="dxa"/>
            <w:tcBorders>
              <w:bottom w:val="single" w:sz="8" w:space="0" w:color="auto"/>
            </w:tcBorders>
            <w:shd w:val="clear" w:color="auto" w:fill="auto"/>
            <w:vAlign w:val="center"/>
          </w:tcPr>
          <w:p w14:paraId="071C7244" w14:textId="2C6EFFB2" w:rsidR="008A1AF7" w:rsidRPr="008A1AF7" w:rsidRDefault="008A1AF7" w:rsidP="008A1AF7">
            <w:pPr>
              <w:jc w:val="center"/>
              <w:rPr>
                <w:rFonts w:ascii="Arial" w:hAnsi="Arial" w:cs="Arial"/>
                <w:b/>
                <w:sz w:val="16"/>
                <w:szCs w:val="16"/>
              </w:rPr>
            </w:pPr>
            <w:r w:rsidRPr="008A1AF7">
              <w:rPr>
                <w:rFonts w:ascii="Arial" w:hAnsi="Arial" w:cs="Arial"/>
                <w:b/>
                <w:sz w:val="16"/>
                <w:szCs w:val="16"/>
              </w:rPr>
              <w:t>353 557 365</w:t>
            </w:r>
          </w:p>
        </w:tc>
        <w:tc>
          <w:tcPr>
            <w:tcW w:w="1538" w:type="dxa"/>
            <w:tcBorders>
              <w:bottom w:val="single" w:sz="8" w:space="0" w:color="auto"/>
            </w:tcBorders>
            <w:shd w:val="clear" w:color="auto" w:fill="auto"/>
            <w:vAlign w:val="center"/>
          </w:tcPr>
          <w:p w14:paraId="6958451C" w14:textId="502474F8" w:rsidR="008A1AF7" w:rsidRPr="008A1AF7" w:rsidRDefault="008A1AF7" w:rsidP="008A1AF7">
            <w:pPr>
              <w:jc w:val="center"/>
              <w:rPr>
                <w:rFonts w:ascii="Arial" w:hAnsi="Arial" w:cs="Arial"/>
                <w:b/>
                <w:sz w:val="16"/>
                <w:szCs w:val="16"/>
              </w:rPr>
            </w:pPr>
            <w:r>
              <w:rPr>
                <w:rFonts w:ascii="Arial" w:hAnsi="Arial" w:cs="Arial"/>
                <w:b/>
                <w:sz w:val="16"/>
                <w:szCs w:val="16"/>
              </w:rPr>
              <w:t>-</w:t>
            </w:r>
          </w:p>
        </w:tc>
        <w:tc>
          <w:tcPr>
            <w:tcW w:w="1538" w:type="dxa"/>
            <w:tcBorders>
              <w:bottom w:val="single" w:sz="8" w:space="0" w:color="auto"/>
              <w:right w:val="single" w:sz="8" w:space="0" w:color="auto"/>
            </w:tcBorders>
            <w:shd w:val="clear" w:color="auto" w:fill="auto"/>
            <w:vAlign w:val="center"/>
          </w:tcPr>
          <w:p w14:paraId="7A603C07" w14:textId="537D0FD4" w:rsidR="008A1AF7" w:rsidRPr="008A1AF7" w:rsidRDefault="008A1AF7" w:rsidP="008A1AF7">
            <w:pPr>
              <w:jc w:val="center"/>
              <w:rPr>
                <w:rFonts w:ascii="Arial" w:hAnsi="Arial" w:cs="Arial"/>
                <w:b/>
                <w:sz w:val="16"/>
                <w:szCs w:val="16"/>
              </w:rPr>
            </w:pPr>
            <w:r w:rsidRPr="008A1AF7">
              <w:rPr>
                <w:rFonts w:ascii="Arial" w:hAnsi="Arial" w:cs="Arial"/>
                <w:b/>
                <w:sz w:val="16"/>
                <w:szCs w:val="16"/>
              </w:rPr>
              <w:t>99,21%</w:t>
            </w:r>
          </w:p>
        </w:tc>
      </w:tr>
      <w:tr w:rsidR="008A1AF7" w:rsidRPr="00E21C60" w14:paraId="3AE879D9" w14:textId="77777777" w:rsidTr="008A1AF7">
        <w:trPr>
          <w:trHeight w:val="259"/>
        </w:trPr>
        <w:tc>
          <w:tcPr>
            <w:tcW w:w="499" w:type="dxa"/>
            <w:vMerge w:val="restart"/>
            <w:tcBorders>
              <w:top w:val="single" w:sz="8" w:space="0" w:color="auto"/>
              <w:left w:val="single" w:sz="8" w:space="0" w:color="auto"/>
            </w:tcBorders>
            <w:shd w:val="clear" w:color="auto" w:fill="auto"/>
            <w:vAlign w:val="center"/>
            <w:hideMark/>
          </w:tcPr>
          <w:p w14:paraId="6AD2C9F6" w14:textId="77777777" w:rsidR="008A1AF7" w:rsidRPr="002526CC" w:rsidRDefault="008A1AF7">
            <w:pPr>
              <w:jc w:val="center"/>
              <w:rPr>
                <w:rFonts w:ascii="Arial" w:hAnsi="Arial" w:cs="Arial"/>
                <w:color w:val="000000"/>
                <w:sz w:val="16"/>
                <w:szCs w:val="16"/>
              </w:rPr>
            </w:pPr>
            <w:r w:rsidRPr="002526CC">
              <w:rPr>
                <w:rFonts w:ascii="Arial" w:hAnsi="Arial" w:cs="Arial"/>
                <w:color w:val="000000"/>
                <w:sz w:val="16"/>
                <w:szCs w:val="16"/>
              </w:rPr>
              <w:t>PO 5</w:t>
            </w:r>
          </w:p>
        </w:tc>
        <w:tc>
          <w:tcPr>
            <w:tcW w:w="1640" w:type="dxa"/>
            <w:tcBorders>
              <w:top w:val="single" w:sz="8" w:space="0" w:color="auto"/>
            </w:tcBorders>
            <w:shd w:val="clear" w:color="auto" w:fill="auto"/>
            <w:vAlign w:val="center"/>
            <w:hideMark/>
          </w:tcPr>
          <w:p w14:paraId="339AD89B"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Bratislavský</w:t>
            </w:r>
          </w:p>
        </w:tc>
        <w:tc>
          <w:tcPr>
            <w:tcW w:w="1237" w:type="dxa"/>
            <w:tcBorders>
              <w:top w:val="single" w:sz="8" w:space="0" w:color="auto"/>
            </w:tcBorders>
            <w:shd w:val="clear" w:color="auto" w:fill="auto"/>
            <w:vAlign w:val="center"/>
          </w:tcPr>
          <w:p w14:paraId="56747E0F" w14:textId="4502F653"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404" w:type="dxa"/>
            <w:tcBorders>
              <w:top w:val="single" w:sz="8" w:space="0" w:color="auto"/>
            </w:tcBorders>
            <w:shd w:val="clear" w:color="auto" w:fill="auto"/>
            <w:vAlign w:val="center"/>
          </w:tcPr>
          <w:p w14:paraId="4E14F7CA" w14:textId="7FD519DE"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299" w:type="dxa"/>
            <w:tcBorders>
              <w:top w:val="single" w:sz="8" w:space="0" w:color="auto"/>
            </w:tcBorders>
            <w:shd w:val="clear" w:color="auto" w:fill="auto"/>
            <w:vAlign w:val="center"/>
          </w:tcPr>
          <w:p w14:paraId="1572E145" w14:textId="1A832B78"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538" w:type="dxa"/>
            <w:tcBorders>
              <w:top w:val="single" w:sz="8" w:space="0" w:color="auto"/>
            </w:tcBorders>
            <w:shd w:val="clear" w:color="auto" w:fill="auto"/>
            <w:vAlign w:val="center"/>
          </w:tcPr>
          <w:p w14:paraId="7338C238" w14:textId="33218333"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538" w:type="dxa"/>
            <w:tcBorders>
              <w:top w:val="single" w:sz="8" w:space="0" w:color="auto"/>
              <w:right w:val="single" w:sz="8" w:space="0" w:color="auto"/>
            </w:tcBorders>
            <w:shd w:val="clear" w:color="auto" w:fill="auto"/>
            <w:vAlign w:val="center"/>
          </w:tcPr>
          <w:p w14:paraId="637FDA59" w14:textId="27B31272"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r>
      <w:tr w:rsidR="008A1AF7" w:rsidRPr="00E21C60" w14:paraId="14FD4A37" w14:textId="77777777" w:rsidTr="008A1AF7">
        <w:trPr>
          <w:trHeight w:val="259"/>
        </w:trPr>
        <w:tc>
          <w:tcPr>
            <w:tcW w:w="499" w:type="dxa"/>
            <w:vMerge/>
            <w:tcBorders>
              <w:left w:val="single" w:sz="8" w:space="0" w:color="auto"/>
            </w:tcBorders>
            <w:vAlign w:val="center"/>
            <w:hideMark/>
          </w:tcPr>
          <w:p w14:paraId="03975ACB"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6082D2DE"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Západ</w:t>
            </w:r>
            <w:r>
              <w:rPr>
                <w:rFonts w:ascii="Arial" w:hAnsi="Arial" w:cs="Arial"/>
                <w:sz w:val="16"/>
                <w:szCs w:val="16"/>
              </w:rPr>
              <w:t>né Slovensko</w:t>
            </w:r>
          </w:p>
        </w:tc>
        <w:tc>
          <w:tcPr>
            <w:tcW w:w="1237" w:type="dxa"/>
            <w:shd w:val="clear" w:color="auto" w:fill="auto"/>
            <w:vAlign w:val="center"/>
          </w:tcPr>
          <w:p w14:paraId="15E08689" w14:textId="41DF03B5" w:rsidR="008A1AF7" w:rsidRPr="00265459" w:rsidRDefault="008A1AF7" w:rsidP="008A1AF7">
            <w:pPr>
              <w:jc w:val="center"/>
              <w:rPr>
                <w:rFonts w:ascii="Arial" w:hAnsi="Arial" w:cs="Arial"/>
                <w:sz w:val="16"/>
                <w:szCs w:val="16"/>
              </w:rPr>
            </w:pPr>
            <w:r w:rsidRPr="008A1AF7">
              <w:rPr>
                <w:rFonts w:ascii="Arial" w:hAnsi="Arial" w:cs="Arial"/>
                <w:sz w:val="16"/>
                <w:szCs w:val="16"/>
              </w:rPr>
              <w:t>10 525 538</w:t>
            </w:r>
          </w:p>
        </w:tc>
        <w:tc>
          <w:tcPr>
            <w:tcW w:w="1404" w:type="dxa"/>
            <w:shd w:val="clear" w:color="auto" w:fill="auto"/>
            <w:vAlign w:val="center"/>
          </w:tcPr>
          <w:p w14:paraId="61960138" w14:textId="1BD76DDE" w:rsidR="008A1AF7" w:rsidRPr="00265459" w:rsidRDefault="008A1AF7" w:rsidP="008A1AF7">
            <w:pPr>
              <w:jc w:val="center"/>
              <w:rPr>
                <w:rFonts w:ascii="Arial" w:hAnsi="Arial" w:cs="Arial"/>
                <w:sz w:val="16"/>
                <w:szCs w:val="16"/>
              </w:rPr>
            </w:pPr>
            <w:r w:rsidRPr="008A1AF7">
              <w:rPr>
                <w:rFonts w:ascii="Arial" w:hAnsi="Arial" w:cs="Arial"/>
                <w:sz w:val="16"/>
                <w:szCs w:val="16"/>
              </w:rPr>
              <w:t>56,60%</w:t>
            </w:r>
          </w:p>
        </w:tc>
        <w:tc>
          <w:tcPr>
            <w:tcW w:w="1299" w:type="dxa"/>
            <w:shd w:val="clear" w:color="auto" w:fill="auto"/>
            <w:vAlign w:val="center"/>
          </w:tcPr>
          <w:p w14:paraId="52B9BE2C" w14:textId="03A4553D" w:rsidR="008A1AF7" w:rsidRPr="00265459" w:rsidRDefault="008A1AF7" w:rsidP="008A1AF7">
            <w:pPr>
              <w:jc w:val="center"/>
              <w:rPr>
                <w:rFonts w:ascii="Arial" w:hAnsi="Arial" w:cs="Arial"/>
                <w:sz w:val="16"/>
                <w:szCs w:val="16"/>
              </w:rPr>
            </w:pPr>
            <w:r w:rsidRPr="008A1AF7">
              <w:rPr>
                <w:rFonts w:ascii="Arial" w:hAnsi="Arial" w:cs="Arial"/>
                <w:sz w:val="16"/>
                <w:szCs w:val="16"/>
              </w:rPr>
              <w:t>5 957 472</w:t>
            </w:r>
          </w:p>
        </w:tc>
        <w:tc>
          <w:tcPr>
            <w:tcW w:w="1538" w:type="dxa"/>
            <w:shd w:val="clear" w:color="auto" w:fill="auto"/>
            <w:vAlign w:val="center"/>
          </w:tcPr>
          <w:p w14:paraId="3AC18F5A" w14:textId="0937DE88" w:rsidR="008A1AF7" w:rsidRPr="00265459" w:rsidRDefault="008A1AF7" w:rsidP="008A1AF7">
            <w:pPr>
              <w:jc w:val="center"/>
              <w:rPr>
                <w:rFonts w:ascii="Arial" w:hAnsi="Arial" w:cs="Arial"/>
                <w:sz w:val="16"/>
                <w:szCs w:val="16"/>
              </w:rPr>
            </w:pPr>
            <w:r w:rsidRPr="008A1AF7">
              <w:rPr>
                <w:rFonts w:ascii="Arial" w:hAnsi="Arial" w:cs="Arial"/>
                <w:sz w:val="16"/>
                <w:szCs w:val="16"/>
              </w:rPr>
              <w:t>25,32%</w:t>
            </w:r>
          </w:p>
        </w:tc>
        <w:tc>
          <w:tcPr>
            <w:tcW w:w="1538" w:type="dxa"/>
            <w:tcBorders>
              <w:right w:val="single" w:sz="8" w:space="0" w:color="auto"/>
            </w:tcBorders>
            <w:shd w:val="clear" w:color="auto" w:fill="auto"/>
            <w:vAlign w:val="center"/>
          </w:tcPr>
          <w:p w14:paraId="2EA542B8" w14:textId="3F60C30D" w:rsidR="008A1AF7" w:rsidRPr="00265459" w:rsidRDefault="008A1AF7" w:rsidP="008A1AF7">
            <w:pPr>
              <w:jc w:val="center"/>
              <w:rPr>
                <w:rFonts w:ascii="Arial" w:hAnsi="Arial" w:cs="Arial"/>
                <w:sz w:val="16"/>
                <w:szCs w:val="16"/>
              </w:rPr>
            </w:pPr>
            <w:r w:rsidRPr="008A1AF7">
              <w:rPr>
                <w:rFonts w:ascii="Arial" w:hAnsi="Arial" w:cs="Arial"/>
                <w:sz w:val="16"/>
                <w:szCs w:val="16"/>
              </w:rPr>
              <w:t>56,60%</w:t>
            </w:r>
          </w:p>
        </w:tc>
      </w:tr>
      <w:tr w:rsidR="008A1AF7" w:rsidRPr="00E21C60" w14:paraId="068AB918" w14:textId="77777777" w:rsidTr="008A1AF7">
        <w:trPr>
          <w:trHeight w:val="259"/>
        </w:trPr>
        <w:tc>
          <w:tcPr>
            <w:tcW w:w="499" w:type="dxa"/>
            <w:vMerge/>
            <w:tcBorders>
              <w:left w:val="single" w:sz="8" w:space="0" w:color="auto"/>
            </w:tcBorders>
            <w:vAlign w:val="center"/>
            <w:hideMark/>
          </w:tcPr>
          <w:p w14:paraId="5414CA64"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3CA530D3"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Stred</w:t>
            </w:r>
            <w:r>
              <w:rPr>
                <w:rFonts w:ascii="Arial" w:hAnsi="Arial" w:cs="Arial"/>
                <w:sz w:val="16"/>
                <w:szCs w:val="16"/>
              </w:rPr>
              <w:t>né Slovensko</w:t>
            </w:r>
          </w:p>
        </w:tc>
        <w:tc>
          <w:tcPr>
            <w:tcW w:w="1237" w:type="dxa"/>
            <w:shd w:val="clear" w:color="auto" w:fill="auto"/>
            <w:vAlign w:val="center"/>
          </w:tcPr>
          <w:p w14:paraId="284EE7F8" w14:textId="47D1ED64" w:rsidR="008A1AF7" w:rsidRPr="00265459" w:rsidRDefault="008A1AF7" w:rsidP="008A1AF7">
            <w:pPr>
              <w:jc w:val="center"/>
              <w:rPr>
                <w:rFonts w:ascii="Arial" w:hAnsi="Arial" w:cs="Arial"/>
                <w:sz w:val="16"/>
                <w:szCs w:val="16"/>
              </w:rPr>
            </w:pPr>
            <w:r w:rsidRPr="008A1AF7">
              <w:rPr>
                <w:rFonts w:ascii="Arial" w:hAnsi="Arial" w:cs="Arial"/>
                <w:sz w:val="16"/>
                <w:szCs w:val="16"/>
              </w:rPr>
              <w:t>22 056 060</w:t>
            </w:r>
          </w:p>
        </w:tc>
        <w:tc>
          <w:tcPr>
            <w:tcW w:w="1404" w:type="dxa"/>
            <w:shd w:val="clear" w:color="auto" w:fill="auto"/>
            <w:vAlign w:val="center"/>
          </w:tcPr>
          <w:p w14:paraId="7625DC59" w14:textId="7E2793AC" w:rsidR="008A1AF7" w:rsidRPr="00265459" w:rsidRDefault="008A1AF7" w:rsidP="008A1AF7">
            <w:pPr>
              <w:jc w:val="center"/>
              <w:rPr>
                <w:rFonts w:ascii="Arial" w:hAnsi="Arial" w:cs="Arial"/>
                <w:sz w:val="16"/>
                <w:szCs w:val="16"/>
              </w:rPr>
            </w:pPr>
            <w:r w:rsidRPr="008A1AF7">
              <w:rPr>
                <w:rFonts w:ascii="Arial" w:hAnsi="Arial" w:cs="Arial"/>
                <w:sz w:val="16"/>
                <w:szCs w:val="16"/>
              </w:rPr>
              <w:t>67,42%</w:t>
            </w:r>
          </w:p>
        </w:tc>
        <w:tc>
          <w:tcPr>
            <w:tcW w:w="1299" w:type="dxa"/>
            <w:shd w:val="clear" w:color="auto" w:fill="auto"/>
            <w:vAlign w:val="center"/>
          </w:tcPr>
          <w:p w14:paraId="25833892" w14:textId="46E8AB81" w:rsidR="008A1AF7" w:rsidRPr="00265459" w:rsidRDefault="008A1AF7" w:rsidP="008A1AF7">
            <w:pPr>
              <w:jc w:val="center"/>
              <w:rPr>
                <w:rFonts w:ascii="Arial" w:hAnsi="Arial" w:cs="Arial"/>
                <w:sz w:val="16"/>
                <w:szCs w:val="16"/>
              </w:rPr>
            </w:pPr>
            <w:r w:rsidRPr="008A1AF7">
              <w:rPr>
                <w:rFonts w:ascii="Arial" w:hAnsi="Arial" w:cs="Arial"/>
                <w:sz w:val="16"/>
                <w:szCs w:val="16"/>
              </w:rPr>
              <w:t>14 870 089</w:t>
            </w:r>
          </w:p>
        </w:tc>
        <w:tc>
          <w:tcPr>
            <w:tcW w:w="1538" w:type="dxa"/>
            <w:shd w:val="clear" w:color="auto" w:fill="auto"/>
            <w:vAlign w:val="center"/>
          </w:tcPr>
          <w:p w14:paraId="361E04CB" w14:textId="2CD5981E" w:rsidR="008A1AF7" w:rsidRPr="00265459" w:rsidRDefault="008A1AF7" w:rsidP="008A1AF7">
            <w:pPr>
              <w:jc w:val="center"/>
              <w:rPr>
                <w:rFonts w:ascii="Arial" w:hAnsi="Arial" w:cs="Arial"/>
                <w:sz w:val="16"/>
                <w:szCs w:val="16"/>
              </w:rPr>
            </w:pPr>
            <w:r w:rsidRPr="008A1AF7">
              <w:rPr>
                <w:rFonts w:ascii="Arial" w:hAnsi="Arial" w:cs="Arial"/>
                <w:sz w:val="16"/>
                <w:szCs w:val="16"/>
              </w:rPr>
              <w:t>63,19%</w:t>
            </w:r>
          </w:p>
        </w:tc>
        <w:tc>
          <w:tcPr>
            <w:tcW w:w="1538" w:type="dxa"/>
            <w:tcBorders>
              <w:right w:val="single" w:sz="8" w:space="0" w:color="auto"/>
            </w:tcBorders>
            <w:shd w:val="clear" w:color="auto" w:fill="auto"/>
            <w:vAlign w:val="center"/>
          </w:tcPr>
          <w:p w14:paraId="38AAABB9" w14:textId="1939826E" w:rsidR="008A1AF7" w:rsidRPr="00265459" w:rsidRDefault="008A1AF7" w:rsidP="008A1AF7">
            <w:pPr>
              <w:jc w:val="center"/>
              <w:rPr>
                <w:rFonts w:ascii="Arial" w:hAnsi="Arial" w:cs="Arial"/>
                <w:sz w:val="16"/>
                <w:szCs w:val="16"/>
              </w:rPr>
            </w:pPr>
            <w:r w:rsidRPr="008A1AF7">
              <w:rPr>
                <w:rFonts w:ascii="Arial" w:hAnsi="Arial" w:cs="Arial"/>
                <w:sz w:val="16"/>
                <w:szCs w:val="16"/>
              </w:rPr>
              <w:t>67,42%</w:t>
            </w:r>
          </w:p>
        </w:tc>
      </w:tr>
      <w:tr w:rsidR="008A1AF7" w:rsidRPr="00E21C60" w14:paraId="6B0BCD93" w14:textId="77777777" w:rsidTr="008A1AF7">
        <w:trPr>
          <w:trHeight w:val="259"/>
        </w:trPr>
        <w:tc>
          <w:tcPr>
            <w:tcW w:w="499" w:type="dxa"/>
            <w:vMerge/>
            <w:tcBorders>
              <w:left w:val="single" w:sz="8" w:space="0" w:color="auto"/>
            </w:tcBorders>
            <w:vAlign w:val="center"/>
            <w:hideMark/>
          </w:tcPr>
          <w:p w14:paraId="12EB7BE1"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6EFC1604"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Východ</w:t>
            </w:r>
            <w:r>
              <w:rPr>
                <w:rFonts w:ascii="Arial" w:hAnsi="Arial" w:cs="Arial"/>
                <w:sz w:val="16"/>
                <w:szCs w:val="16"/>
              </w:rPr>
              <w:t>né Slovensko</w:t>
            </w:r>
          </w:p>
        </w:tc>
        <w:tc>
          <w:tcPr>
            <w:tcW w:w="1237" w:type="dxa"/>
            <w:shd w:val="clear" w:color="auto" w:fill="auto"/>
            <w:vAlign w:val="center"/>
          </w:tcPr>
          <w:p w14:paraId="57E588E5" w14:textId="42551E30" w:rsidR="008A1AF7" w:rsidRPr="00265459" w:rsidRDefault="008A1AF7" w:rsidP="008A1AF7">
            <w:pPr>
              <w:jc w:val="center"/>
              <w:rPr>
                <w:rFonts w:ascii="Arial" w:hAnsi="Arial" w:cs="Arial"/>
                <w:sz w:val="16"/>
                <w:szCs w:val="16"/>
              </w:rPr>
            </w:pPr>
            <w:r w:rsidRPr="008A1AF7">
              <w:rPr>
                <w:rFonts w:ascii="Arial" w:hAnsi="Arial" w:cs="Arial"/>
                <w:sz w:val="16"/>
                <w:szCs w:val="16"/>
              </w:rPr>
              <w:t>18 175 337</w:t>
            </w:r>
          </w:p>
        </w:tc>
        <w:tc>
          <w:tcPr>
            <w:tcW w:w="1404" w:type="dxa"/>
            <w:shd w:val="clear" w:color="auto" w:fill="auto"/>
            <w:vAlign w:val="center"/>
          </w:tcPr>
          <w:p w14:paraId="1BC19355" w14:textId="4E4D6D08" w:rsidR="008A1AF7" w:rsidRPr="00265459" w:rsidRDefault="008A1AF7" w:rsidP="008A1AF7">
            <w:pPr>
              <w:jc w:val="center"/>
              <w:rPr>
                <w:rFonts w:ascii="Arial" w:hAnsi="Arial" w:cs="Arial"/>
                <w:sz w:val="16"/>
                <w:szCs w:val="16"/>
              </w:rPr>
            </w:pPr>
            <w:r w:rsidRPr="008A1AF7">
              <w:rPr>
                <w:rFonts w:ascii="Arial" w:hAnsi="Arial" w:cs="Arial"/>
                <w:sz w:val="16"/>
                <w:szCs w:val="16"/>
              </w:rPr>
              <w:t>14,87%</w:t>
            </w:r>
          </w:p>
        </w:tc>
        <w:tc>
          <w:tcPr>
            <w:tcW w:w="1299" w:type="dxa"/>
            <w:shd w:val="clear" w:color="auto" w:fill="auto"/>
            <w:vAlign w:val="center"/>
          </w:tcPr>
          <w:p w14:paraId="6C3DEB0F" w14:textId="37301728" w:rsidR="008A1AF7" w:rsidRPr="00265459" w:rsidRDefault="008A1AF7" w:rsidP="008A1AF7">
            <w:pPr>
              <w:jc w:val="center"/>
              <w:rPr>
                <w:rFonts w:ascii="Arial" w:hAnsi="Arial" w:cs="Arial"/>
                <w:sz w:val="16"/>
                <w:szCs w:val="16"/>
              </w:rPr>
            </w:pPr>
            <w:r w:rsidRPr="008A1AF7">
              <w:rPr>
                <w:rFonts w:ascii="Arial" w:hAnsi="Arial" w:cs="Arial"/>
                <w:sz w:val="16"/>
                <w:szCs w:val="16"/>
              </w:rPr>
              <w:t>2 703 055</w:t>
            </w:r>
          </w:p>
        </w:tc>
        <w:tc>
          <w:tcPr>
            <w:tcW w:w="1538" w:type="dxa"/>
            <w:shd w:val="clear" w:color="auto" w:fill="auto"/>
            <w:vAlign w:val="center"/>
          </w:tcPr>
          <w:p w14:paraId="1E6F8DB8" w14:textId="7F37E08F" w:rsidR="008A1AF7" w:rsidRPr="00265459" w:rsidRDefault="008A1AF7" w:rsidP="008A1AF7">
            <w:pPr>
              <w:jc w:val="center"/>
              <w:rPr>
                <w:rFonts w:ascii="Arial" w:hAnsi="Arial" w:cs="Arial"/>
                <w:sz w:val="16"/>
                <w:szCs w:val="16"/>
              </w:rPr>
            </w:pPr>
            <w:r w:rsidRPr="008A1AF7">
              <w:rPr>
                <w:rFonts w:ascii="Arial" w:hAnsi="Arial" w:cs="Arial"/>
                <w:sz w:val="16"/>
                <w:szCs w:val="16"/>
              </w:rPr>
              <w:t>11,49%</w:t>
            </w:r>
          </w:p>
        </w:tc>
        <w:tc>
          <w:tcPr>
            <w:tcW w:w="1538" w:type="dxa"/>
            <w:tcBorders>
              <w:right w:val="single" w:sz="8" w:space="0" w:color="auto"/>
            </w:tcBorders>
            <w:shd w:val="clear" w:color="auto" w:fill="auto"/>
            <w:vAlign w:val="center"/>
          </w:tcPr>
          <w:p w14:paraId="389C9BA5" w14:textId="1DAED486" w:rsidR="008A1AF7" w:rsidRPr="00265459" w:rsidRDefault="008A1AF7" w:rsidP="008A1AF7">
            <w:pPr>
              <w:jc w:val="center"/>
              <w:rPr>
                <w:rFonts w:ascii="Arial" w:hAnsi="Arial" w:cs="Arial"/>
                <w:sz w:val="16"/>
                <w:szCs w:val="16"/>
              </w:rPr>
            </w:pPr>
            <w:r w:rsidRPr="008A1AF7">
              <w:rPr>
                <w:rFonts w:ascii="Arial" w:hAnsi="Arial" w:cs="Arial"/>
                <w:sz w:val="16"/>
                <w:szCs w:val="16"/>
              </w:rPr>
              <w:t>14,87%</w:t>
            </w:r>
          </w:p>
        </w:tc>
      </w:tr>
      <w:tr w:rsidR="008A1AF7" w:rsidRPr="00E21C60" w14:paraId="63C7DBB9" w14:textId="77777777" w:rsidTr="008A1AF7">
        <w:trPr>
          <w:trHeight w:val="259"/>
        </w:trPr>
        <w:tc>
          <w:tcPr>
            <w:tcW w:w="499" w:type="dxa"/>
            <w:vMerge/>
            <w:tcBorders>
              <w:left w:val="single" w:sz="8" w:space="0" w:color="auto"/>
              <w:bottom w:val="single" w:sz="8" w:space="0" w:color="auto"/>
            </w:tcBorders>
            <w:vAlign w:val="center"/>
            <w:hideMark/>
          </w:tcPr>
          <w:p w14:paraId="3EDA68ED" w14:textId="77777777" w:rsidR="008A1AF7" w:rsidRPr="00E21C60" w:rsidRDefault="008A1AF7">
            <w:pPr>
              <w:rPr>
                <w:rFonts w:ascii="Arial" w:hAnsi="Arial" w:cs="Arial"/>
                <w:color w:val="000000"/>
                <w:sz w:val="16"/>
                <w:szCs w:val="16"/>
              </w:rPr>
            </w:pPr>
          </w:p>
        </w:tc>
        <w:tc>
          <w:tcPr>
            <w:tcW w:w="1640" w:type="dxa"/>
            <w:tcBorders>
              <w:bottom w:val="single" w:sz="8" w:space="0" w:color="auto"/>
            </w:tcBorders>
            <w:shd w:val="clear" w:color="auto" w:fill="auto"/>
            <w:vAlign w:val="center"/>
            <w:hideMark/>
          </w:tcPr>
          <w:p w14:paraId="5BF834EC" w14:textId="21FEEC9C" w:rsidR="008A1AF7" w:rsidRPr="00E21C60" w:rsidRDefault="008A1AF7" w:rsidP="006B3ADD">
            <w:pPr>
              <w:jc w:val="center"/>
              <w:rPr>
                <w:rFonts w:ascii="Arial" w:hAnsi="Arial" w:cs="Arial"/>
                <w:b/>
                <w:bCs/>
                <w:color w:val="000000"/>
                <w:sz w:val="16"/>
                <w:szCs w:val="16"/>
              </w:rPr>
            </w:pPr>
            <w:r w:rsidRPr="008A1AF7">
              <w:rPr>
                <w:rFonts w:ascii="Arial" w:hAnsi="Arial" w:cs="Arial"/>
                <w:b/>
                <w:bCs/>
                <w:color w:val="000000"/>
                <w:sz w:val="16"/>
                <w:szCs w:val="16"/>
              </w:rPr>
              <w:t>Spolu</w:t>
            </w:r>
          </w:p>
        </w:tc>
        <w:tc>
          <w:tcPr>
            <w:tcW w:w="1237" w:type="dxa"/>
            <w:tcBorders>
              <w:bottom w:val="single" w:sz="8" w:space="0" w:color="auto"/>
            </w:tcBorders>
            <w:shd w:val="clear" w:color="auto" w:fill="auto"/>
            <w:vAlign w:val="center"/>
          </w:tcPr>
          <w:p w14:paraId="5C131FFE" w14:textId="3CC3498B" w:rsidR="008A1AF7" w:rsidRPr="008A1AF7" w:rsidRDefault="008A1AF7" w:rsidP="008A1AF7">
            <w:pPr>
              <w:jc w:val="center"/>
              <w:rPr>
                <w:rFonts w:ascii="Arial" w:hAnsi="Arial" w:cs="Arial"/>
                <w:b/>
                <w:sz w:val="16"/>
                <w:szCs w:val="16"/>
              </w:rPr>
            </w:pPr>
            <w:r w:rsidRPr="008A1AF7">
              <w:rPr>
                <w:rFonts w:ascii="Arial" w:hAnsi="Arial" w:cs="Arial"/>
                <w:b/>
                <w:sz w:val="16"/>
                <w:szCs w:val="16"/>
              </w:rPr>
              <w:t>50 756 935</w:t>
            </w:r>
          </w:p>
        </w:tc>
        <w:tc>
          <w:tcPr>
            <w:tcW w:w="1404" w:type="dxa"/>
            <w:tcBorders>
              <w:bottom w:val="single" w:sz="8" w:space="0" w:color="auto"/>
            </w:tcBorders>
            <w:shd w:val="clear" w:color="000000" w:fill="FFFFFF"/>
            <w:vAlign w:val="center"/>
          </w:tcPr>
          <w:p w14:paraId="64BF4071" w14:textId="571BD4D9" w:rsidR="008A1AF7" w:rsidRPr="008A1AF7" w:rsidRDefault="008A1AF7" w:rsidP="008A1AF7">
            <w:pPr>
              <w:jc w:val="center"/>
              <w:rPr>
                <w:rFonts w:ascii="Arial" w:hAnsi="Arial" w:cs="Arial"/>
                <w:b/>
                <w:sz w:val="16"/>
                <w:szCs w:val="16"/>
              </w:rPr>
            </w:pPr>
            <w:r w:rsidRPr="008A1AF7">
              <w:rPr>
                <w:rFonts w:ascii="Arial" w:hAnsi="Arial" w:cs="Arial"/>
                <w:b/>
                <w:sz w:val="16"/>
                <w:szCs w:val="16"/>
              </w:rPr>
              <w:t>46,36%</w:t>
            </w:r>
          </w:p>
        </w:tc>
        <w:tc>
          <w:tcPr>
            <w:tcW w:w="1299" w:type="dxa"/>
            <w:tcBorders>
              <w:bottom w:val="single" w:sz="8" w:space="0" w:color="auto"/>
            </w:tcBorders>
            <w:shd w:val="clear" w:color="auto" w:fill="auto"/>
            <w:vAlign w:val="center"/>
          </w:tcPr>
          <w:p w14:paraId="181821D8" w14:textId="513AA6B4" w:rsidR="008A1AF7" w:rsidRPr="008A1AF7" w:rsidRDefault="008A1AF7" w:rsidP="008A1AF7">
            <w:pPr>
              <w:jc w:val="center"/>
              <w:rPr>
                <w:rFonts w:ascii="Arial" w:hAnsi="Arial" w:cs="Arial"/>
                <w:b/>
                <w:sz w:val="16"/>
                <w:szCs w:val="16"/>
              </w:rPr>
            </w:pPr>
            <w:r w:rsidRPr="008A1AF7">
              <w:rPr>
                <w:rFonts w:ascii="Arial" w:hAnsi="Arial" w:cs="Arial"/>
                <w:b/>
                <w:sz w:val="16"/>
                <w:szCs w:val="16"/>
              </w:rPr>
              <w:t>23 530 616</w:t>
            </w:r>
          </w:p>
        </w:tc>
        <w:tc>
          <w:tcPr>
            <w:tcW w:w="1538" w:type="dxa"/>
            <w:tcBorders>
              <w:bottom w:val="single" w:sz="8" w:space="0" w:color="auto"/>
            </w:tcBorders>
            <w:shd w:val="clear" w:color="auto" w:fill="auto"/>
            <w:vAlign w:val="center"/>
          </w:tcPr>
          <w:p w14:paraId="70D7196F" w14:textId="21A823BE" w:rsidR="008A1AF7" w:rsidRPr="008A1AF7" w:rsidRDefault="008A1AF7" w:rsidP="008A1AF7">
            <w:pPr>
              <w:jc w:val="center"/>
              <w:rPr>
                <w:rFonts w:ascii="Arial" w:hAnsi="Arial" w:cs="Arial"/>
                <w:b/>
                <w:sz w:val="16"/>
                <w:szCs w:val="16"/>
              </w:rPr>
            </w:pPr>
            <w:r>
              <w:rPr>
                <w:rFonts w:ascii="Arial" w:hAnsi="Arial" w:cs="Arial"/>
                <w:b/>
                <w:sz w:val="16"/>
                <w:szCs w:val="16"/>
              </w:rPr>
              <w:t>-</w:t>
            </w:r>
          </w:p>
        </w:tc>
        <w:tc>
          <w:tcPr>
            <w:tcW w:w="1538" w:type="dxa"/>
            <w:tcBorders>
              <w:bottom w:val="single" w:sz="8" w:space="0" w:color="auto"/>
              <w:right w:val="single" w:sz="8" w:space="0" w:color="auto"/>
            </w:tcBorders>
            <w:shd w:val="clear" w:color="auto" w:fill="auto"/>
            <w:vAlign w:val="center"/>
          </w:tcPr>
          <w:p w14:paraId="06F7997C" w14:textId="64C3CFE6" w:rsidR="008A1AF7" w:rsidRPr="008A1AF7" w:rsidRDefault="008A1AF7" w:rsidP="008A1AF7">
            <w:pPr>
              <w:jc w:val="center"/>
              <w:rPr>
                <w:rFonts w:ascii="Arial" w:hAnsi="Arial" w:cs="Arial"/>
                <w:b/>
                <w:sz w:val="16"/>
                <w:szCs w:val="16"/>
              </w:rPr>
            </w:pPr>
            <w:r w:rsidRPr="008A1AF7">
              <w:rPr>
                <w:rFonts w:ascii="Arial" w:hAnsi="Arial" w:cs="Arial"/>
                <w:b/>
                <w:sz w:val="16"/>
                <w:szCs w:val="16"/>
              </w:rPr>
              <w:t>46,36%</w:t>
            </w:r>
          </w:p>
        </w:tc>
      </w:tr>
      <w:tr w:rsidR="008A1AF7" w:rsidRPr="00E21C60" w14:paraId="49D2EAC1" w14:textId="77777777" w:rsidTr="008A1AF7">
        <w:trPr>
          <w:trHeight w:val="259"/>
        </w:trPr>
        <w:tc>
          <w:tcPr>
            <w:tcW w:w="499" w:type="dxa"/>
            <w:vMerge w:val="restart"/>
            <w:tcBorders>
              <w:top w:val="single" w:sz="8" w:space="0" w:color="auto"/>
              <w:left w:val="single" w:sz="8" w:space="0" w:color="auto"/>
            </w:tcBorders>
            <w:shd w:val="clear" w:color="auto" w:fill="auto"/>
            <w:vAlign w:val="center"/>
            <w:hideMark/>
          </w:tcPr>
          <w:p w14:paraId="05453276" w14:textId="77777777" w:rsidR="008A1AF7" w:rsidRPr="002526CC" w:rsidRDefault="008A1AF7">
            <w:pPr>
              <w:jc w:val="center"/>
              <w:rPr>
                <w:rFonts w:ascii="Arial" w:hAnsi="Arial" w:cs="Arial"/>
                <w:color w:val="000000"/>
                <w:sz w:val="16"/>
                <w:szCs w:val="16"/>
              </w:rPr>
            </w:pPr>
            <w:r w:rsidRPr="002526CC">
              <w:rPr>
                <w:rFonts w:ascii="Arial" w:hAnsi="Arial" w:cs="Arial"/>
                <w:color w:val="000000"/>
                <w:sz w:val="16"/>
                <w:szCs w:val="16"/>
              </w:rPr>
              <w:t>PO 6</w:t>
            </w:r>
          </w:p>
        </w:tc>
        <w:tc>
          <w:tcPr>
            <w:tcW w:w="1640" w:type="dxa"/>
            <w:tcBorders>
              <w:top w:val="single" w:sz="8" w:space="0" w:color="auto"/>
            </w:tcBorders>
            <w:shd w:val="clear" w:color="auto" w:fill="auto"/>
            <w:vAlign w:val="center"/>
            <w:hideMark/>
          </w:tcPr>
          <w:p w14:paraId="4AAD7BB5"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Bratislavský</w:t>
            </w:r>
          </w:p>
        </w:tc>
        <w:tc>
          <w:tcPr>
            <w:tcW w:w="1237" w:type="dxa"/>
            <w:tcBorders>
              <w:top w:val="single" w:sz="8" w:space="0" w:color="auto"/>
            </w:tcBorders>
            <w:shd w:val="clear" w:color="auto" w:fill="auto"/>
            <w:vAlign w:val="center"/>
          </w:tcPr>
          <w:p w14:paraId="7C6FBA59" w14:textId="6128CA6C"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404" w:type="dxa"/>
            <w:tcBorders>
              <w:top w:val="single" w:sz="8" w:space="0" w:color="auto"/>
            </w:tcBorders>
            <w:shd w:val="clear" w:color="auto" w:fill="auto"/>
            <w:vAlign w:val="center"/>
          </w:tcPr>
          <w:p w14:paraId="654CE23D" w14:textId="470BAA28"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299" w:type="dxa"/>
            <w:tcBorders>
              <w:top w:val="single" w:sz="8" w:space="0" w:color="auto"/>
            </w:tcBorders>
            <w:shd w:val="clear" w:color="auto" w:fill="auto"/>
            <w:vAlign w:val="center"/>
          </w:tcPr>
          <w:p w14:paraId="51902C61" w14:textId="634804F9"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538" w:type="dxa"/>
            <w:tcBorders>
              <w:top w:val="single" w:sz="8" w:space="0" w:color="auto"/>
            </w:tcBorders>
            <w:shd w:val="clear" w:color="auto" w:fill="auto"/>
            <w:vAlign w:val="center"/>
          </w:tcPr>
          <w:p w14:paraId="2303667F" w14:textId="79998A11"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538" w:type="dxa"/>
            <w:tcBorders>
              <w:top w:val="single" w:sz="8" w:space="0" w:color="auto"/>
              <w:right w:val="single" w:sz="8" w:space="0" w:color="auto"/>
            </w:tcBorders>
            <w:shd w:val="clear" w:color="auto" w:fill="auto"/>
            <w:vAlign w:val="center"/>
          </w:tcPr>
          <w:p w14:paraId="547FE722" w14:textId="12529FC5"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r>
      <w:tr w:rsidR="008A1AF7" w:rsidRPr="00E21C60" w14:paraId="5EEDD938" w14:textId="77777777" w:rsidTr="008A1AF7">
        <w:trPr>
          <w:trHeight w:val="259"/>
        </w:trPr>
        <w:tc>
          <w:tcPr>
            <w:tcW w:w="499" w:type="dxa"/>
            <w:vMerge/>
            <w:tcBorders>
              <w:left w:val="single" w:sz="8" w:space="0" w:color="auto"/>
            </w:tcBorders>
            <w:vAlign w:val="center"/>
            <w:hideMark/>
          </w:tcPr>
          <w:p w14:paraId="3B84BB11"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6E09438E"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Západ</w:t>
            </w:r>
            <w:r>
              <w:rPr>
                <w:rFonts w:ascii="Arial" w:hAnsi="Arial" w:cs="Arial"/>
                <w:sz w:val="16"/>
                <w:szCs w:val="16"/>
              </w:rPr>
              <w:t>né Slovensko</w:t>
            </w:r>
          </w:p>
        </w:tc>
        <w:tc>
          <w:tcPr>
            <w:tcW w:w="1237" w:type="dxa"/>
            <w:shd w:val="clear" w:color="auto" w:fill="auto"/>
            <w:vAlign w:val="center"/>
          </w:tcPr>
          <w:p w14:paraId="74718A41" w14:textId="0C70B43A"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404" w:type="dxa"/>
            <w:shd w:val="clear" w:color="auto" w:fill="auto"/>
            <w:vAlign w:val="center"/>
          </w:tcPr>
          <w:p w14:paraId="42D1E091" w14:textId="06C80A22"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299" w:type="dxa"/>
            <w:shd w:val="clear" w:color="auto" w:fill="auto"/>
            <w:vAlign w:val="center"/>
          </w:tcPr>
          <w:p w14:paraId="08A0E562" w14:textId="67455051"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538" w:type="dxa"/>
            <w:shd w:val="clear" w:color="auto" w:fill="auto"/>
            <w:vAlign w:val="center"/>
          </w:tcPr>
          <w:p w14:paraId="1F8C97C0" w14:textId="0CD853F5"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538" w:type="dxa"/>
            <w:tcBorders>
              <w:right w:val="single" w:sz="8" w:space="0" w:color="auto"/>
            </w:tcBorders>
            <w:shd w:val="clear" w:color="auto" w:fill="auto"/>
            <w:vAlign w:val="center"/>
          </w:tcPr>
          <w:p w14:paraId="6FA66E99" w14:textId="6219A5EF"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r>
      <w:tr w:rsidR="008A1AF7" w:rsidRPr="00E21C60" w14:paraId="7AF7AFF2" w14:textId="77777777" w:rsidTr="008A1AF7">
        <w:trPr>
          <w:trHeight w:val="259"/>
        </w:trPr>
        <w:tc>
          <w:tcPr>
            <w:tcW w:w="499" w:type="dxa"/>
            <w:vMerge/>
            <w:tcBorders>
              <w:left w:val="single" w:sz="8" w:space="0" w:color="auto"/>
            </w:tcBorders>
            <w:vAlign w:val="center"/>
            <w:hideMark/>
          </w:tcPr>
          <w:p w14:paraId="65B31A13"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22FC37DA"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Stred</w:t>
            </w:r>
            <w:r>
              <w:rPr>
                <w:rFonts w:ascii="Arial" w:hAnsi="Arial" w:cs="Arial"/>
                <w:sz w:val="16"/>
                <w:szCs w:val="16"/>
              </w:rPr>
              <w:t>né Slovensko</w:t>
            </w:r>
          </w:p>
        </w:tc>
        <w:tc>
          <w:tcPr>
            <w:tcW w:w="1237" w:type="dxa"/>
            <w:shd w:val="clear" w:color="auto" w:fill="auto"/>
            <w:vAlign w:val="center"/>
          </w:tcPr>
          <w:p w14:paraId="40F75DB8" w14:textId="1F703F1D"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404" w:type="dxa"/>
            <w:shd w:val="clear" w:color="auto" w:fill="auto"/>
            <w:vAlign w:val="center"/>
          </w:tcPr>
          <w:p w14:paraId="6CD3262C" w14:textId="0CFFAA0E"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299" w:type="dxa"/>
            <w:shd w:val="clear" w:color="auto" w:fill="auto"/>
            <w:vAlign w:val="center"/>
          </w:tcPr>
          <w:p w14:paraId="7B6C4703" w14:textId="06439C6C"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538" w:type="dxa"/>
            <w:shd w:val="clear" w:color="auto" w:fill="auto"/>
            <w:vAlign w:val="center"/>
          </w:tcPr>
          <w:p w14:paraId="03ED46FD" w14:textId="6B17B25B"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538" w:type="dxa"/>
            <w:tcBorders>
              <w:right w:val="single" w:sz="8" w:space="0" w:color="auto"/>
            </w:tcBorders>
            <w:shd w:val="clear" w:color="auto" w:fill="auto"/>
            <w:vAlign w:val="center"/>
          </w:tcPr>
          <w:p w14:paraId="40C905FE" w14:textId="07223CDB"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r>
      <w:tr w:rsidR="008A1AF7" w:rsidRPr="00E21C60" w14:paraId="1862A409" w14:textId="77777777" w:rsidTr="008A1AF7">
        <w:trPr>
          <w:trHeight w:val="259"/>
        </w:trPr>
        <w:tc>
          <w:tcPr>
            <w:tcW w:w="499" w:type="dxa"/>
            <w:vMerge/>
            <w:tcBorders>
              <w:left w:val="single" w:sz="8" w:space="0" w:color="auto"/>
            </w:tcBorders>
            <w:vAlign w:val="center"/>
            <w:hideMark/>
          </w:tcPr>
          <w:p w14:paraId="0B25CC7B"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44223E02"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Východ</w:t>
            </w:r>
            <w:r>
              <w:rPr>
                <w:rFonts w:ascii="Arial" w:hAnsi="Arial" w:cs="Arial"/>
                <w:sz w:val="16"/>
                <w:szCs w:val="16"/>
              </w:rPr>
              <w:t>né Slovensko</w:t>
            </w:r>
          </w:p>
        </w:tc>
        <w:tc>
          <w:tcPr>
            <w:tcW w:w="1237" w:type="dxa"/>
            <w:shd w:val="clear" w:color="auto" w:fill="auto"/>
            <w:vAlign w:val="center"/>
          </w:tcPr>
          <w:p w14:paraId="70B1BCD3" w14:textId="769EF75B"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404" w:type="dxa"/>
            <w:shd w:val="clear" w:color="auto" w:fill="auto"/>
            <w:vAlign w:val="center"/>
          </w:tcPr>
          <w:p w14:paraId="6DA5CC48" w14:textId="47855155"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299" w:type="dxa"/>
            <w:shd w:val="clear" w:color="auto" w:fill="auto"/>
            <w:vAlign w:val="center"/>
          </w:tcPr>
          <w:p w14:paraId="0C9ADA13" w14:textId="2FC5063A"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538" w:type="dxa"/>
            <w:shd w:val="clear" w:color="auto" w:fill="auto"/>
            <w:vAlign w:val="center"/>
          </w:tcPr>
          <w:p w14:paraId="2BACBE61" w14:textId="46257981"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538" w:type="dxa"/>
            <w:tcBorders>
              <w:right w:val="single" w:sz="8" w:space="0" w:color="auto"/>
            </w:tcBorders>
            <w:shd w:val="clear" w:color="auto" w:fill="auto"/>
            <w:vAlign w:val="center"/>
          </w:tcPr>
          <w:p w14:paraId="1D1060EA" w14:textId="26B31997"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r>
      <w:tr w:rsidR="008A1AF7" w:rsidRPr="00E21C60" w14:paraId="1FCE537F" w14:textId="77777777" w:rsidTr="008A1AF7">
        <w:trPr>
          <w:trHeight w:val="259"/>
        </w:trPr>
        <w:tc>
          <w:tcPr>
            <w:tcW w:w="499" w:type="dxa"/>
            <w:vMerge/>
            <w:tcBorders>
              <w:left w:val="single" w:sz="8" w:space="0" w:color="auto"/>
              <w:bottom w:val="single" w:sz="8" w:space="0" w:color="auto"/>
            </w:tcBorders>
            <w:vAlign w:val="center"/>
            <w:hideMark/>
          </w:tcPr>
          <w:p w14:paraId="1B3BBB7F" w14:textId="77777777" w:rsidR="008A1AF7" w:rsidRPr="00E21C60" w:rsidRDefault="008A1AF7">
            <w:pPr>
              <w:rPr>
                <w:rFonts w:ascii="Arial" w:hAnsi="Arial" w:cs="Arial"/>
                <w:color w:val="000000"/>
                <w:sz w:val="16"/>
                <w:szCs w:val="16"/>
              </w:rPr>
            </w:pPr>
          </w:p>
        </w:tc>
        <w:tc>
          <w:tcPr>
            <w:tcW w:w="1640" w:type="dxa"/>
            <w:tcBorders>
              <w:bottom w:val="single" w:sz="8" w:space="0" w:color="auto"/>
            </w:tcBorders>
            <w:shd w:val="clear" w:color="auto" w:fill="auto"/>
            <w:vAlign w:val="center"/>
            <w:hideMark/>
          </w:tcPr>
          <w:p w14:paraId="5D94C2E3" w14:textId="13998D51" w:rsidR="008A1AF7" w:rsidRPr="00E21C60" w:rsidRDefault="008A1AF7" w:rsidP="006B3ADD">
            <w:pPr>
              <w:jc w:val="center"/>
              <w:rPr>
                <w:rFonts w:ascii="Arial" w:hAnsi="Arial" w:cs="Arial"/>
                <w:b/>
                <w:bCs/>
                <w:color w:val="000000"/>
                <w:sz w:val="16"/>
                <w:szCs w:val="16"/>
              </w:rPr>
            </w:pPr>
            <w:r w:rsidRPr="008A1AF7">
              <w:rPr>
                <w:rFonts w:ascii="Arial" w:hAnsi="Arial" w:cs="Arial"/>
                <w:b/>
                <w:bCs/>
                <w:color w:val="000000"/>
                <w:sz w:val="16"/>
                <w:szCs w:val="16"/>
              </w:rPr>
              <w:t>Spolu</w:t>
            </w:r>
          </w:p>
        </w:tc>
        <w:tc>
          <w:tcPr>
            <w:tcW w:w="1237" w:type="dxa"/>
            <w:tcBorders>
              <w:bottom w:val="single" w:sz="8" w:space="0" w:color="auto"/>
            </w:tcBorders>
            <w:shd w:val="clear" w:color="auto" w:fill="auto"/>
            <w:vAlign w:val="center"/>
          </w:tcPr>
          <w:p w14:paraId="2F0570CF" w14:textId="135CCE50" w:rsidR="008A1AF7" w:rsidRPr="008A1AF7" w:rsidRDefault="008A1AF7" w:rsidP="008A1AF7">
            <w:pPr>
              <w:jc w:val="center"/>
              <w:rPr>
                <w:rFonts w:ascii="Arial" w:hAnsi="Arial" w:cs="Arial"/>
                <w:b/>
                <w:sz w:val="16"/>
                <w:szCs w:val="16"/>
              </w:rPr>
            </w:pPr>
            <w:r w:rsidRPr="008A1AF7">
              <w:rPr>
                <w:rFonts w:ascii="Arial" w:hAnsi="Arial" w:cs="Arial"/>
                <w:b/>
                <w:sz w:val="16"/>
                <w:szCs w:val="16"/>
              </w:rPr>
              <w:t>48 600 000</w:t>
            </w:r>
          </w:p>
        </w:tc>
        <w:tc>
          <w:tcPr>
            <w:tcW w:w="1404" w:type="dxa"/>
            <w:tcBorders>
              <w:bottom w:val="single" w:sz="8" w:space="0" w:color="auto"/>
            </w:tcBorders>
            <w:shd w:val="clear" w:color="000000" w:fill="FFFFFF"/>
            <w:vAlign w:val="center"/>
          </w:tcPr>
          <w:p w14:paraId="7EC56FB7" w14:textId="3FE97386" w:rsidR="008A1AF7" w:rsidRPr="008A1AF7" w:rsidRDefault="008A1AF7" w:rsidP="008A1AF7">
            <w:pPr>
              <w:jc w:val="center"/>
              <w:rPr>
                <w:rFonts w:ascii="Arial" w:hAnsi="Arial" w:cs="Arial"/>
                <w:b/>
                <w:sz w:val="16"/>
                <w:szCs w:val="16"/>
              </w:rPr>
            </w:pPr>
            <w:r w:rsidRPr="008A1AF7">
              <w:rPr>
                <w:rFonts w:ascii="Arial" w:hAnsi="Arial" w:cs="Arial"/>
                <w:b/>
                <w:sz w:val="16"/>
                <w:szCs w:val="16"/>
              </w:rPr>
              <w:t>0,00%</w:t>
            </w:r>
          </w:p>
        </w:tc>
        <w:tc>
          <w:tcPr>
            <w:tcW w:w="1299" w:type="dxa"/>
            <w:tcBorders>
              <w:bottom w:val="single" w:sz="8" w:space="0" w:color="auto"/>
            </w:tcBorders>
            <w:shd w:val="clear" w:color="auto" w:fill="auto"/>
            <w:vAlign w:val="center"/>
          </w:tcPr>
          <w:p w14:paraId="775BBA5C" w14:textId="0A82E766" w:rsidR="008A1AF7" w:rsidRPr="008A1AF7" w:rsidRDefault="008A1AF7" w:rsidP="008A1AF7">
            <w:pPr>
              <w:jc w:val="center"/>
              <w:rPr>
                <w:rFonts w:ascii="Arial" w:hAnsi="Arial" w:cs="Arial"/>
                <w:b/>
                <w:sz w:val="16"/>
                <w:szCs w:val="16"/>
              </w:rPr>
            </w:pPr>
            <w:r w:rsidRPr="008A1AF7">
              <w:rPr>
                <w:rFonts w:ascii="Arial" w:hAnsi="Arial" w:cs="Arial"/>
                <w:b/>
                <w:sz w:val="16"/>
                <w:szCs w:val="16"/>
              </w:rPr>
              <w:t>-</w:t>
            </w:r>
          </w:p>
        </w:tc>
        <w:tc>
          <w:tcPr>
            <w:tcW w:w="1538" w:type="dxa"/>
            <w:tcBorders>
              <w:bottom w:val="single" w:sz="8" w:space="0" w:color="auto"/>
            </w:tcBorders>
            <w:shd w:val="clear" w:color="auto" w:fill="auto"/>
            <w:vAlign w:val="center"/>
          </w:tcPr>
          <w:p w14:paraId="1509576E" w14:textId="4A6FEBBE" w:rsidR="008A1AF7" w:rsidRPr="008A1AF7" w:rsidRDefault="008A1AF7" w:rsidP="008A1AF7">
            <w:pPr>
              <w:jc w:val="center"/>
              <w:rPr>
                <w:rFonts w:ascii="Arial" w:hAnsi="Arial" w:cs="Arial"/>
                <w:b/>
                <w:sz w:val="16"/>
                <w:szCs w:val="16"/>
              </w:rPr>
            </w:pPr>
            <w:r>
              <w:rPr>
                <w:rFonts w:ascii="Arial" w:hAnsi="Arial" w:cs="Arial"/>
                <w:b/>
                <w:sz w:val="16"/>
                <w:szCs w:val="16"/>
              </w:rPr>
              <w:t>-</w:t>
            </w:r>
          </w:p>
        </w:tc>
        <w:tc>
          <w:tcPr>
            <w:tcW w:w="1538" w:type="dxa"/>
            <w:tcBorders>
              <w:bottom w:val="single" w:sz="8" w:space="0" w:color="auto"/>
              <w:right w:val="single" w:sz="8" w:space="0" w:color="auto"/>
            </w:tcBorders>
            <w:shd w:val="clear" w:color="auto" w:fill="auto"/>
            <w:vAlign w:val="center"/>
          </w:tcPr>
          <w:p w14:paraId="226BE21E" w14:textId="7DA04DE8" w:rsidR="008A1AF7" w:rsidRPr="008A1AF7" w:rsidRDefault="008A1AF7" w:rsidP="008A1AF7">
            <w:pPr>
              <w:jc w:val="center"/>
              <w:rPr>
                <w:rFonts w:ascii="Arial" w:hAnsi="Arial" w:cs="Arial"/>
                <w:b/>
                <w:sz w:val="16"/>
                <w:szCs w:val="16"/>
              </w:rPr>
            </w:pPr>
            <w:r w:rsidRPr="008A1AF7">
              <w:rPr>
                <w:rFonts w:ascii="Arial" w:hAnsi="Arial" w:cs="Arial"/>
                <w:b/>
                <w:sz w:val="16"/>
                <w:szCs w:val="16"/>
              </w:rPr>
              <w:t>0,00%</w:t>
            </w:r>
          </w:p>
        </w:tc>
      </w:tr>
      <w:tr w:rsidR="008A1AF7" w:rsidRPr="00E21C60" w14:paraId="37131398" w14:textId="77777777" w:rsidTr="008A1AF7">
        <w:trPr>
          <w:trHeight w:val="259"/>
        </w:trPr>
        <w:tc>
          <w:tcPr>
            <w:tcW w:w="499" w:type="dxa"/>
            <w:vMerge w:val="restart"/>
            <w:tcBorders>
              <w:top w:val="single" w:sz="8" w:space="0" w:color="auto"/>
              <w:left w:val="single" w:sz="8" w:space="0" w:color="auto"/>
            </w:tcBorders>
            <w:shd w:val="clear" w:color="auto" w:fill="auto"/>
            <w:vAlign w:val="center"/>
            <w:hideMark/>
          </w:tcPr>
          <w:p w14:paraId="4965E443" w14:textId="77777777" w:rsidR="008A1AF7" w:rsidRPr="002526CC" w:rsidRDefault="008A1AF7">
            <w:pPr>
              <w:jc w:val="center"/>
              <w:rPr>
                <w:rFonts w:ascii="Arial" w:hAnsi="Arial" w:cs="Arial"/>
                <w:color w:val="000000"/>
                <w:sz w:val="16"/>
                <w:szCs w:val="16"/>
              </w:rPr>
            </w:pPr>
            <w:r w:rsidRPr="002526CC">
              <w:rPr>
                <w:rFonts w:ascii="Arial" w:hAnsi="Arial" w:cs="Arial"/>
                <w:color w:val="000000"/>
                <w:sz w:val="16"/>
                <w:szCs w:val="16"/>
              </w:rPr>
              <w:t>PO 7</w:t>
            </w:r>
          </w:p>
        </w:tc>
        <w:tc>
          <w:tcPr>
            <w:tcW w:w="1640" w:type="dxa"/>
            <w:tcBorders>
              <w:top w:val="single" w:sz="8" w:space="0" w:color="auto"/>
            </w:tcBorders>
            <w:shd w:val="clear" w:color="auto" w:fill="auto"/>
            <w:vAlign w:val="center"/>
            <w:hideMark/>
          </w:tcPr>
          <w:p w14:paraId="64F2AFDC"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Bratislavský</w:t>
            </w:r>
          </w:p>
        </w:tc>
        <w:tc>
          <w:tcPr>
            <w:tcW w:w="1237" w:type="dxa"/>
            <w:tcBorders>
              <w:top w:val="single" w:sz="8" w:space="0" w:color="auto"/>
            </w:tcBorders>
            <w:shd w:val="clear" w:color="auto" w:fill="auto"/>
            <w:vAlign w:val="center"/>
          </w:tcPr>
          <w:p w14:paraId="4D517CBD" w14:textId="3D9087F4"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404" w:type="dxa"/>
            <w:tcBorders>
              <w:top w:val="single" w:sz="8" w:space="0" w:color="auto"/>
            </w:tcBorders>
            <w:shd w:val="clear" w:color="auto" w:fill="auto"/>
            <w:vAlign w:val="center"/>
          </w:tcPr>
          <w:p w14:paraId="4A2B3521" w14:textId="09D9CA26"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299" w:type="dxa"/>
            <w:tcBorders>
              <w:top w:val="single" w:sz="8" w:space="0" w:color="auto"/>
            </w:tcBorders>
            <w:shd w:val="clear" w:color="auto" w:fill="auto"/>
            <w:vAlign w:val="center"/>
          </w:tcPr>
          <w:p w14:paraId="76A1FDFD" w14:textId="15A03999"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538" w:type="dxa"/>
            <w:tcBorders>
              <w:top w:val="single" w:sz="8" w:space="0" w:color="auto"/>
            </w:tcBorders>
            <w:shd w:val="clear" w:color="auto" w:fill="auto"/>
            <w:vAlign w:val="center"/>
          </w:tcPr>
          <w:p w14:paraId="3F99CC4B" w14:textId="6AAEC6C1"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538" w:type="dxa"/>
            <w:tcBorders>
              <w:top w:val="single" w:sz="8" w:space="0" w:color="auto"/>
              <w:right w:val="single" w:sz="8" w:space="0" w:color="auto"/>
            </w:tcBorders>
            <w:shd w:val="clear" w:color="auto" w:fill="auto"/>
            <w:vAlign w:val="center"/>
          </w:tcPr>
          <w:p w14:paraId="0A3F3CFB" w14:textId="4E0BC14B"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r>
      <w:tr w:rsidR="008A1AF7" w:rsidRPr="00E21C60" w14:paraId="1B16C540" w14:textId="77777777" w:rsidTr="008A1AF7">
        <w:trPr>
          <w:trHeight w:val="259"/>
        </w:trPr>
        <w:tc>
          <w:tcPr>
            <w:tcW w:w="499" w:type="dxa"/>
            <w:vMerge/>
            <w:tcBorders>
              <w:left w:val="single" w:sz="8" w:space="0" w:color="auto"/>
            </w:tcBorders>
            <w:vAlign w:val="center"/>
            <w:hideMark/>
          </w:tcPr>
          <w:p w14:paraId="71E380B6"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3FCDC5CC"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Západ</w:t>
            </w:r>
            <w:r>
              <w:rPr>
                <w:rFonts w:ascii="Arial" w:hAnsi="Arial" w:cs="Arial"/>
                <w:sz w:val="16"/>
                <w:szCs w:val="16"/>
              </w:rPr>
              <w:t>né Slovensko</w:t>
            </w:r>
          </w:p>
        </w:tc>
        <w:tc>
          <w:tcPr>
            <w:tcW w:w="1237" w:type="dxa"/>
            <w:shd w:val="clear" w:color="auto" w:fill="auto"/>
            <w:vAlign w:val="center"/>
          </w:tcPr>
          <w:p w14:paraId="5429EA5E" w14:textId="0FE76B2C" w:rsidR="008A1AF7" w:rsidRPr="00265459" w:rsidRDefault="008A1AF7" w:rsidP="008A1AF7">
            <w:pPr>
              <w:jc w:val="center"/>
              <w:rPr>
                <w:rFonts w:ascii="Arial" w:hAnsi="Arial" w:cs="Arial"/>
                <w:sz w:val="16"/>
                <w:szCs w:val="16"/>
              </w:rPr>
            </w:pPr>
            <w:r w:rsidRPr="008A1AF7">
              <w:rPr>
                <w:rFonts w:ascii="Arial" w:hAnsi="Arial" w:cs="Arial"/>
                <w:sz w:val="16"/>
                <w:szCs w:val="16"/>
              </w:rPr>
              <w:t>5 400 000</w:t>
            </w:r>
          </w:p>
        </w:tc>
        <w:tc>
          <w:tcPr>
            <w:tcW w:w="1404" w:type="dxa"/>
            <w:shd w:val="clear" w:color="auto" w:fill="auto"/>
            <w:vAlign w:val="center"/>
          </w:tcPr>
          <w:p w14:paraId="6710E805" w14:textId="3403294C"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299" w:type="dxa"/>
            <w:shd w:val="clear" w:color="auto" w:fill="auto"/>
            <w:vAlign w:val="center"/>
          </w:tcPr>
          <w:p w14:paraId="0EA1F9C9" w14:textId="7AACBA42"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538" w:type="dxa"/>
            <w:shd w:val="clear" w:color="auto" w:fill="auto"/>
            <w:vAlign w:val="center"/>
          </w:tcPr>
          <w:p w14:paraId="76F8520F" w14:textId="4C9B1FE4"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538" w:type="dxa"/>
            <w:tcBorders>
              <w:right w:val="single" w:sz="8" w:space="0" w:color="auto"/>
            </w:tcBorders>
            <w:shd w:val="clear" w:color="auto" w:fill="auto"/>
            <w:vAlign w:val="center"/>
          </w:tcPr>
          <w:p w14:paraId="2F70F293" w14:textId="762352E7"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r>
      <w:tr w:rsidR="008A1AF7" w:rsidRPr="00E21C60" w14:paraId="4065F676" w14:textId="77777777" w:rsidTr="008A1AF7">
        <w:trPr>
          <w:trHeight w:val="259"/>
        </w:trPr>
        <w:tc>
          <w:tcPr>
            <w:tcW w:w="499" w:type="dxa"/>
            <w:vMerge/>
            <w:tcBorders>
              <w:left w:val="single" w:sz="8" w:space="0" w:color="auto"/>
            </w:tcBorders>
            <w:vAlign w:val="center"/>
            <w:hideMark/>
          </w:tcPr>
          <w:p w14:paraId="5399E58A"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5207CF4D"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Stred</w:t>
            </w:r>
            <w:r>
              <w:rPr>
                <w:rFonts w:ascii="Arial" w:hAnsi="Arial" w:cs="Arial"/>
                <w:sz w:val="16"/>
                <w:szCs w:val="16"/>
              </w:rPr>
              <w:t>né Slovensko</w:t>
            </w:r>
          </w:p>
        </w:tc>
        <w:tc>
          <w:tcPr>
            <w:tcW w:w="1237" w:type="dxa"/>
            <w:shd w:val="clear" w:color="auto" w:fill="auto"/>
            <w:vAlign w:val="center"/>
          </w:tcPr>
          <w:p w14:paraId="10A89398" w14:textId="75D34CF4" w:rsidR="008A1AF7" w:rsidRPr="00265459" w:rsidRDefault="008A1AF7" w:rsidP="008A1AF7">
            <w:pPr>
              <w:jc w:val="center"/>
              <w:rPr>
                <w:rFonts w:ascii="Arial" w:hAnsi="Arial" w:cs="Arial"/>
                <w:sz w:val="16"/>
                <w:szCs w:val="16"/>
              </w:rPr>
            </w:pPr>
            <w:r w:rsidRPr="008A1AF7">
              <w:rPr>
                <w:rFonts w:ascii="Arial" w:hAnsi="Arial" w:cs="Arial"/>
                <w:sz w:val="16"/>
                <w:szCs w:val="16"/>
              </w:rPr>
              <w:t>8 600 000</w:t>
            </w:r>
          </w:p>
        </w:tc>
        <w:tc>
          <w:tcPr>
            <w:tcW w:w="1404" w:type="dxa"/>
            <w:shd w:val="clear" w:color="auto" w:fill="auto"/>
            <w:vAlign w:val="center"/>
          </w:tcPr>
          <w:p w14:paraId="2E32E0CC" w14:textId="44306965"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299" w:type="dxa"/>
            <w:shd w:val="clear" w:color="auto" w:fill="auto"/>
            <w:vAlign w:val="center"/>
          </w:tcPr>
          <w:p w14:paraId="70E6BCE3" w14:textId="0D381027"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538" w:type="dxa"/>
            <w:shd w:val="clear" w:color="auto" w:fill="auto"/>
            <w:vAlign w:val="center"/>
          </w:tcPr>
          <w:p w14:paraId="5EE934F1" w14:textId="3983385B"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538" w:type="dxa"/>
            <w:tcBorders>
              <w:right w:val="single" w:sz="8" w:space="0" w:color="auto"/>
            </w:tcBorders>
            <w:shd w:val="clear" w:color="auto" w:fill="auto"/>
            <w:vAlign w:val="center"/>
          </w:tcPr>
          <w:p w14:paraId="33A0F1B8" w14:textId="7A15CFA6"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r>
      <w:tr w:rsidR="008A1AF7" w:rsidRPr="00E21C60" w14:paraId="6014DA2D" w14:textId="77777777" w:rsidTr="008A1AF7">
        <w:trPr>
          <w:trHeight w:val="259"/>
        </w:trPr>
        <w:tc>
          <w:tcPr>
            <w:tcW w:w="499" w:type="dxa"/>
            <w:vMerge/>
            <w:tcBorders>
              <w:left w:val="single" w:sz="8" w:space="0" w:color="auto"/>
            </w:tcBorders>
            <w:vAlign w:val="center"/>
            <w:hideMark/>
          </w:tcPr>
          <w:p w14:paraId="22ACE5CF" w14:textId="77777777" w:rsidR="008A1AF7" w:rsidRPr="00E21C60" w:rsidRDefault="008A1AF7">
            <w:pPr>
              <w:rPr>
                <w:rFonts w:ascii="Arial" w:hAnsi="Arial" w:cs="Arial"/>
                <w:color w:val="000000"/>
                <w:sz w:val="16"/>
                <w:szCs w:val="16"/>
              </w:rPr>
            </w:pPr>
          </w:p>
        </w:tc>
        <w:tc>
          <w:tcPr>
            <w:tcW w:w="1640" w:type="dxa"/>
            <w:shd w:val="clear" w:color="auto" w:fill="auto"/>
            <w:vAlign w:val="center"/>
            <w:hideMark/>
          </w:tcPr>
          <w:p w14:paraId="5DF900FA" w14:textId="77777777" w:rsidR="008A1AF7" w:rsidRPr="00E21C60" w:rsidRDefault="008A1AF7" w:rsidP="00A10FC0">
            <w:pPr>
              <w:jc w:val="center"/>
              <w:rPr>
                <w:rFonts w:ascii="Arial" w:hAnsi="Arial" w:cs="Arial"/>
                <w:sz w:val="16"/>
                <w:szCs w:val="16"/>
              </w:rPr>
            </w:pPr>
            <w:r w:rsidRPr="00E21C60">
              <w:rPr>
                <w:rFonts w:ascii="Arial" w:hAnsi="Arial" w:cs="Arial"/>
                <w:sz w:val="16"/>
                <w:szCs w:val="16"/>
              </w:rPr>
              <w:t>Východ</w:t>
            </w:r>
            <w:r>
              <w:rPr>
                <w:rFonts w:ascii="Arial" w:hAnsi="Arial" w:cs="Arial"/>
                <w:sz w:val="16"/>
                <w:szCs w:val="16"/>
              </w:rPr>
              <w:t>né Slovensko</w:t>
            </w:r>
          </w:p>
        </w:tc>
        <w:tc>
          <w:tcPr>
            <w:tcW w:w="1237" w:type="dxa"/>
            <w:shd w:val="clear" w:color="auto" w:fill="auto"/>
            <w:vAlign w:val="center"/>
          </w:tcPr>
          <w:p w14:paraId="34A75B4D" w14:textId="682D2588" w:rsidR="008A1AF7" w:rsidRPr="00265459" w:rsidRDefault="008A1AF7" w:rsidP="008A1AF7">
            <w:pPr>
              <w:jc w:val="center"/>
              <w:rPr>
                <w:rFonts w:ascii="Arial" w:hAnsi="Arial" w:cs="Arial"/>
                <w:sz w:val="16"/>
                <w:szCs w:val="16"/>
              </w:rPr>
            </w:pPr>
            <w:r w:rsidRPr="008A1AF7">
              <w:rPr>
                <w:rFonts w:ascii="Arial" w:hAnsi="Arial" w:cs="Arial"/>
                <w:sz w:val="16"/>
                <w:szCs w:val="16"/>
              </w:rPr>
              <w:t>6 000 000</w:t>
            </w:r>
          </w:p>
        </w:tc>
        <w:tc>
          <w:tcPr>
            <w:tcW w:w="1404" w:type="dxa"/>
            <w:shd w:val="clear" w:color="auto" w:fill="auto"/>
            <w:vAlign w:val="center"/>
          </w:tcPr>
          <w:p w14:paraId="136662B5" w14:textId="31CC1648"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299" w:type="dxa"/>
            <w:shd w:val="clear" w:color="auto" w:fill="auto"/>
            <w:vAlign w:val="center"/>
          </w:tcPr>
          <w:p w14:paraId="59E5630A" w14:textId="226DFEE0" w:rsidR="008A1AF7" w:rsidRPr="00265459" w:rsidRDefault="008A1AF7" w:rsidP="008A1AF7">
            <w:pPr>
              <w:jc w:val="center"/>
              <w:rPr>
                <w:rFonts w:ascii="Arial" w:hAnsi="Arial" w:cs="Arial"/>
                <w:sz w:val="16"/>
                <w:szCs w:val="16"/>
              </w:rPr>
            </w:pPr>
            <w:r w:rsidRPr="008A1AF7">
              <w:rPr>
                <w:rFonts w:ascii="Arial" w:hAnsi="Arial" w:cs="Arial"/>
                <w:sz w:val="16"/>
                <w:szCs w:val="16"/>
              </w:rPr>
              <w:t>-</w:t>
            </w:r>
          </w:p>
        </w:tc>
        <w:tc>
          <w:tcPr>
            <w:tcW w:w="1538" w:type="dxa"/>
            <w:shd w:val="clear" w:color="auto" w:fill="auto"/>
            <w:vAlign w:val="center"/>
          </w:tcPr>
          <w:p w14:paraId="501553B1" w14:textId="21A225E7"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c>
          <w:tcPr>
            <w:tcW w:w="1538" w:type="dxa"/>
            <w:tcBorders>
              <w:right w:val="single" w:sz="8" w:space="0" w:color="auto"/>
            </w:tcBorders>
            <w:shd w:val="clear" w:color="auto" w:fill="auto"/>
            <w:vAlign w:val="center"/>
          </w:tcPr>
          <w:p w14:paraId="5D389E11" w14:textId="6494C4A4" w:rsidR="008A1AF7" w:rsidRPr="00265459" w:rsidRDefault="008A1AF7" w:rsidP="008A1AF7">
            <w:pPr>
              <w:jc w:val="center"/>
              <w:rPr>
                <w:rFonts w:ascii="Arial" w:hAnsi="Arial" w:cs="Arial"/>
                <w:sz w:val="16"/>
                <w:szCs w:val="16"/>
              </w:rPr>
            </w:pPr>
            <w:r w:rsidRPr="008A1AF7">
              <w:rPr>
                <w:rFonts w:ascii="Arial" w:hAnsi="Arial" w:cs="Arial"/>
                <w:sz w:val="16"/>
                <w:szCs w:val="16"/>
              </w:rPr>
              <w:t>0,00%</w:t>
            </w:r>
          </w:p>
        </w:tc>
      </w:tr>
      <w:tr w:rsidR="008A1AF7" w:rsidRPr="00E21C60" w14:paraId="4D3C1ABB" w14:textId="77777777" w:rsidTr="008A1AF7">
        <w:trPr>
          <w:trHeight w:val="259"/>
        </w:trPr>
        <w:tc>
          <w:tcPr>
            <w:tcW w:w="499" w:type="dxa"/>
            <w:vMerge/>
            <w:tcBorders>
              <w:left w:val="single" w:sz="8" w:space="0" w:color="auto"/>
              <w:bottom w:val="single" w:sz="8" w:space="0" w:color="auto"/>
            </w:tcBorders>
            <w:vAlign w:val="center"/>
            <w:hideMark/>
          </w:tcPr>
          <w:p w14:paraId="1B02CEAF" w14:textId="77777777" w:rsidR="008A1AF7" w:rsidRPr="00E21C60" w:rsidRDefault="008A1AF7">
            <w:pPr>
              <w:rPr>
                <w:rFonts w:ascii="Arial" w:hAnsi="Arial" w:cs="Arial"/>
                <w:color w:val="000000"/>
                <w:sz w:val="16"/>
                <w:szCs w:val="16"/>
              </w:rPr>
            </w:pPr>
          </w:p>
        </w:tc>
        <w:tc>
          <w:tcPr>
            <w:tcW w:w="1640" w:type="dxa"/>
            <w:tcBorders>
              <w:bottom w:val="single" w:sz="8" w:space="0" w:color="auto"/>
            </w:tcBorders>
            <w:shd w:val="clear" w:color="auto" w:fill="auto"/>
            <w:vAlign w:val="center"/>
            <w:hideMark/>
          </w:tcPr>
          <w:p w14:paraId="55BFDD59" w14:textId="67837E29" w:rsidR="008A1AF7" w:rsidRPr="00E21C60" w:rsidRDefault="008A1AF7" w:rsidP="006B3ADD">
            <w:pPr>
              <w:jc w:val="center"/>
              <w:rPr>
                <w:rFonts w:ascii="Arial" w:hAnsi="Arial" w:cs="Arial"/>
                <w:b/>
                <w:bCs/>
                <w:color w:val="000000"/>
                <w:sz w:val="16"/>
                <w:szCs w:val="16"/>
              </w:rPr>
            </w:pPr>
            <w:r w:rsidRPr="008A1AF7">
              <w:rPr>
                <w:rFonts w:ascii="Arial" w:hAnsi="Arial" w:cs="Arial"/>
                <w:b/>
                <w:bCs/>
                <w:color w:val="000000"/>
                <w:sz w:val="16"/>
                <w:szCs w:val="16"/>
              </w:rPr>
              <w:t>Spolu</w:t>
            </w:r>
          </w:p>
        </w:tc>
        <w:tc>
          <w:tcPr>
            <w:tcW w:w="1237" w:type="dxa"/>
            <w:tcBorders>
              <w:bottom w:val="single" w:sz="8" w:space="0" w:color="auto"/>
            </w:tcBorders>
            <w:shd w:val="clear" w:color="auto" w:fill="auto"/>
            <w:vAlign w:val="center"/>
          </w:tcPr>
          <w:p w14:paraId="3C9B8E00" w14:textId="1BD09283" w:rsidR="008A1AF7" w:rsidRPr="008A1AF7" w:rsidRDefault="008A1AF7" w:rsidP="008A1AF7">
            <w:pPr>
              <w:jc w:val="center"/>
              <w:rPr>
                <w:rFonts w:ascii="Arial" w:hAnsi="Arial" w:cs="Arial"/>
                <w:b/>
                <w:sz w:val="16"/>
                <w:szCs w:val="16"/>
              </w:rPr>
            </w:pPr>
            <w:r w:rsidRPr="008A1AF7">
              <w:rPr>
                <w:rFonts w:ascii="Arial" w:hAnsi="Arial" w:cs="Arial"/>
                <w:b/>
                <w:sz w:val="16"/>
                <w:szCs w:val="16"/>
              </w:rPr>
              <w:t>20 000 000</w:t>
            </w:r>
          </w:p>
        </w:tc>
        <w:tc>
          <w:tcPr>
            <w:tcW w:w="1404" w:type="dxa"/>
            <w:tcBorders>
              <w:bottom w:val="single" w:sz="8" w:space="0" w:color="auto"/>
            </w:tcBorders>
            <w:shd w:val="clear" w:color="000000" w:fill="FFFFFF"/>
            <w:vAlign w:val="center"/>
          </w:tcPr>
          <w:p w14:paraId="36A37AB4" w14:textId="3A48AA7C" w:rsidR="008A1AF7" w:rsidRPr="008A1AF7" w:rsidRDefault="008A1AF7" w:rsidP="008A1AF7">
            <w:pPr>
              <w:jc w:val="center"/>
              <w:rPr>
                <w:rFonts w:ascii="Arial" w:hAnsi="Arial" w:cs="Arial"/>
                <w:b/>
                <w:sz w:val="16"/>
                <w:szCs w:val="16"/>
              </w:rPr>
            </w:pPr>
            <w:r w:rsidRPr="008A1AF7">
              <w:rPr>
                <w:rFonts w:ascii="Arial" w:hAnsi="Arial" w:cs="Arial"/>
                <w:b/>
                <w:sz w:val="16"/>
                <w:szCs w:val="16"/>
              </w:rPr>
              <w:t>0,00%</w:t>
            </w:r>
          </w:p>
        </w:tc>
        <w:tc>
          <w:tcPr>
            <w:tcW w:w="1299" w:type="dxa"/>
            <w:tcBorders>
              <w:bottom w:val="single" w:sz="8" w:space="0" w:color="auto"/>
            </w:tcBorders>
            <w:shd w:val="clear" w:color="auto" w:fill="auto"/>
            <w:vAlign w:val="center"/>
          </w:tcPr>
          <w:p w14:paraId="38A72A07" w14:textId="03CD9748" w:rsidR="008A1AF7" w:rsidRPr="008A1AF7" w:rsidRDefault="008A1AF7" w:rsidP="008A1AF7">
            <w:pPr>
              <w:jc w:val="center"/>
              <w:rPr>
                <w:rFonts w:ascii="Arial" w:hAnsi="Arial" w:cs="Arial"/>
                <w:b/>
                <w:sz w:val="16"/>
                <w:szCs w:val="16"/>
              </w:rPr>
            </w:pPr>
            <w:r w:rsidRPr="008A1AF7">
              <w:rPr>
                <w:rFonts w:ascii="Arial" w:hAnsi="Arial" w:cs="Arial"/>
                <w:b/>
                <w:sz w:val="16"/>
                <w:szCs w:val="16"/>
              </w:rPr>
              <w:t>-</w:t>
            </w:r>
          </w:p>
        </w:tc>
        <w:tc>
          <w:tcPr>
            <w:tcW w:w="1538" w:type="dxa"/>
            <w:tcBorders>
              <w:bottom w:val="single" w:sz="8" w:space="0" w:color="auto"/>
            </w:tcBorders>
            <w:shd w:val="clear" w:color="auto" w:fill="auto"/>
            <w:vAlign w:val="center"/>
          </w:tcPr>
          <w:p w14:paraId="000411D5" w14:textId="42B3A8F2" w:rsidR="008A1AF7" w:rsidRPr="008A1AF7" w:rsidRDefault="008A1AF7" w:rsidP="008A1AF7">
            <w:pPr>
              <w:jc w:val="center"/>
              <w:rPr>
                <w:rFonts w:ascii="Arial" w:hAnsi="Arial" w:cs="Arial"/>
                <w:b/>
                <w:sz w:val="16"/>
                <w:szCs w:val="16"/>
              </w:rPr>
            </w:pPr>
            <w:r>
              <w:rPr>
                <w:rFonts w:ascii="Arial" w:hAnsi="Arial" w:cs="Arial"/>
                <w:b/>
                <w:sz w:val="16"/>
                <w:szCs w:val="16"/>
              </w:rPr>
              <w:t>-</w:t>
            </w:r>
          </w:p>
        </w:tc>
        <w:tc>
          <w:tcPr>
            <w:tcW w:w="1538" w:type="dxa"/>
            <w:tcBorders>
              <w:bottom w:val="single" w:sz="8" w:space="0" w:color="auto"/>
              <w:right w:val="single" w:sz="8" w:space="0" w:color="auto"/>
            </w:tcBorders>
            <w:shd w:val="clear" w:color="auto" w:fill="auto"/>
            <w:vAlign w:val="center"/>
          </w:tcPr>
          <w:p w14:paraId="372CD034" w14:textId="55F6E339" w:rsidR="008A1AF7" w:rsidRPr="008A1AF7" w:rsidRDefault="008A1AF7" w:rsidP="008A1AF7">
            <w:pPr>
              <w:jc w:val="center"/>
              <w:rPr>
                <w:rFonts w:ascii="Arial" w:hAnsi="Arial" w:cs="Arial"/>
                <w:b/>
                <w:sz w:val="16"/>
                <w:szCs w:val="16"/>
              </w:rPr>
            </w:pPr>
            <w:r w:rsidRPr="008A1AF7">
              <w:rPr>
                <w:rFonts w:ascii="Arial" w:hAnsi="Arial" w:cs="Arial"/>
                <w:b/>
                <w:sz w:val="16"/>
                <w:szCs w:val="16"/>
              </w:rPr>
              <w:t>0,00%</w:t>
            </w:r>
          </w:p>
        </w:tc>
      </w:tr>
      <w:tr w:rsidR="008A1AF7" w:rsidRPr="00E21C60" w14:paraId="4EFE4E69" w14:textId="77777777" w:rsidTr="008A1AF7">
        <w:trPr>
          <w:trHeight w:val="285"/>
        </w:trPr>
        <w:tc>
          <w:tcPr>
            <w:tcW w:w="2139" w:type="dxa"/>
            <w:gridSpan w:val="2"/>
            <w:tcBorders>
              <w:top w:val="single" w:sz="8" w:space="0" w:color="auto"/>
              <w:left w:val="single" w:sz="8" w:space="0" w:color="auto"/>
              <w:bottom w:val="single" w:sz="8" w:space="0" w:color="auto"/>
            </w:tcBorders>
            <w:shd w:val="clear" w:color="000000" w:fill="EBF1DE"/>
            <w:noWrap/>
            <w:vAlign w:val="center"/>
            <w:hideMark/>
          </w:tcPr>
          <w:p w14:paraId="15DA5659" w14:textId="77777777" w:rsidR="008A1AF7" w:rsidRPr="002526CC" w:rsidRDefault="008A1AF7">
            <w:pPr>
              <w:rPr>
                <w:rFonts w:ascii="Arial" w:hAnsi="Arial" w:cs="Arial"/>
                <w:b/>
                <w:bCs/>
                <w:color w:val="000000"/>
                <w:sz w:val="16"/>
                <w:szCs w:val="16"/>
              </w:rPr>
            </w:pPr>
            <w:r w:rsidRPr="002526CC">
              <w:rPr>
                <w:rFonts w:ascii="Arial" w:hAnsi="Arial" w:cs="Arial"/>
                <w:b/>
                <w:bCs/>
                <w:color w:val="000000"/>
                <w:sz w:val="16"/>
                <w:szCs w:val="16"/>
              </w:rPr>
              <w:t>Celkom</w:t>
            </w:r>
          </w:p>
        </w:tc>
        <w:tc>
          <w:tcPr>
            <w:tcW w:w="1237" w:type="dxa"/>
            <w:tcBorders>
              <w:top w:val="single" w:sz="8" w:space="0" w:color="auto"/>
              <w:bottom w:val="single" w:sz="8" w:space="0" w:color="auto"/>
            </w:tcBorders>
            <w:shd w:val="clear" w:color="000000" w:fill="EBF1DE"/>
            <w:noWrap/>
            <w:vAlign w:val="center"/>
          </w:tcPr>
          <w:p w14:paraId="742F42B6" w14:textId="1C6103E3" w:rsidR="008A1AF7" w:rsidRPr="008A1AF7" w:rsidRDefault="008A1AF7" w:rsidP="008A1AF7">
            <w:pPr>
              <w:jc w:val="center"/>
              <w:rPr>
                <w:rFonts w:ascii="Arial" w:hAnsi="Arial" w:cs="Arial"/>
                <w:b/>
                <w:sz w:val="16"/>
                <w:szCs w:val="16"/>
              </w:rPr>
            </w:pPr>
            <w:r w:rsidRPr="008A1AF7">
              <w:rPr>
                <w:rFonts w:ascii="Arial" w:hAnsi="Arial" w:cs="Arial"/>
                <w:b/>
                <w:sz w:val="16"/>
                <w:szCs w:val="16"/>
              </w:rPr>
              <w:t>1 820 000 000</w:t>
            </w:r>
          </w:p>
        </w:tc>
        <w:tc>
          <w:tcPr>
            <w:tcW w:w="1404" w:type="dxa"/>
            <w:tcBorders>
              <w:top w:val="single" w:sz="8" w:space="0" w:color="auto"/>
              <w:bottom w:val="single" w:sz="8" w:space="0" w:color="auto"/>
            </w:tcBorders>
            <w:shd w:val="clear" w:color="000000" w:fill="EBF1DE"/>
            <w:noWrap/>
            <w:vAlign w:val="center"/>
          </w:tcPr>
          <w:p w14:paraId="541F2AAA" w14:textId="5EF75C12" w:rsidR="008A1AF7" w:rsidRPr="008A1AF7" w:rsidRDefault="008A1AF7" w:rsidP="008A1AF7">
            <w:pPr>
              <w:jc w:val="center"/>
              <w:rPr>
                <w:rFonts w:ascii="Arial" w:hAnsi="Arial" w:cs="Arial"/>
                <w:b/>
                <w:sz w:val="16"/>
                <w:szCs w:val="16"/>
              </w:rPr>
            </w:pPr>
            <w:r w:rsidRPr="008A1AF7">
              <w:rPr>
                <w:rFonts w:ascii="Arial" w:hAnsi="Arial" w:cs="Arial"/>
                <w:b/>
                <w:sz w:val="16"/>
                <w:szCs w:val="16"/>
              </w:rPr>
              <w:t>89,67%</w:t>
            </w:r>
          </w:p>
        </w:tc>
        <w:tc>
          <w:tcPr>
            <w:tcW w:w="1299" w:type="dxa"/>
            <w:tcBorders>
              <w:top w:val="single" w:sz="8" w:space="0" w:color="auto"/>
              <w:bottom w:val="single" w:sz="8" w:space="0" w:color="auto"/>
            </w:tcBorders>
            <w:shd w:val="clear" w:color="000000" w:fill="EBF1DE"/>
            <w:noWrap/>
            <w:vAlign w:val="center"/>
          </w:tcPr>
          <w:p w14:paraId="4AB4A0FC" w14:textId="0FCF788D" w:rsidR="008A1AF7" w:rsidRPr="008A1AF7" w:rsidRDefault="008A1AF7" w:rsidP="008A1AF7">
            <w:pPr>
              <w:jc w:val="center"/>
              <w:rPr>
                <w:rFonts w:ascii="Arial" w:hAnsi="Arial" w:cs="Arial"/>
                <w:b/>
                <w:sz w:val="16"/>
                <w:szCs w:val="16"/>
              </w:rPr>
            </w:pPr>
            <w:r w:rsidRPr="008A1AF7">
              <w:rPr>
                <w:rFonts w:ascii="Arial" w:hAnsi="Arial" w:cs="Arial"/>
                <w:b/>
                <w:sz w:val="16"/>
                <w:szCs w:val="16"/>
              </w:rPr>
              <w:t>1 632 053 566</w:t>
            </w:r>
          </w:p>
        </w:tc>
        <w:tc>
          <w:tcPr>
            <w:tcW w:w="1538" w:type="dxa"/>
            <w:tcBorders>
              <w:top w:val="single" w:sz="8" w:space="0" w:color="auto"/>
              <w:bottom w:val="single" w:sz="8" w:space="0" w:color="auto"/>
            </w:tcBorders>
            <w:shd w:val="clear" w:color="000000" w:fill="EBF1DE"/>
            <w:noWrap/>
            <w:vAlign w:val="center"/>
          </w:tcPr>
          <w:p w14:paraId="0E90CC9A" w14:textId="01652C5A" w:rsidR="008A1AF7" w:rsidRPr="008A1AF7" w:rsidRDefault="008A1AF7" w:rsidP="008A1AF7">
            <w:pPr>
              <w:jc w:val="center"/>
              <w:rPr>
                <w:rFonts w:ascii="Arial" w:hAnsi="Arial" w:cs="Arial"/>
                <w:b/>
                <w:sz w:val="16"/>
                <w:szCs w:val="16"/>
              </w:rPr>
            </w:pPr>
            <w:r>
              <w:rPr>
                <w:rFonts w:ascii="Arial" w:hAnsi="Arial" w:cs="Arial"/>
                <w:b/>
                <w:sz w:val="16"/>
                <w:szCs w:val="16"/>
              </w:rPr>
              <w:t>-</w:t>
            </w:r>
          </w:p>
        </w:tc>
        <w:tc>
          <w:tcPr>
            <w:tcW w:w="1538" w:type="dxa"/>
            <w:tcBorders>
              <w:top w:val="single" w:sz="8" w:space="0" w:color="auto"/>
              <w:bottom w:val="single" w:sz="8" w:space="0" w:color="auto"/>
              <w:right w:val="single" w:sz="8" w:space="0" w:color="auto"/>
            </w:tcBorders>
            <w:shd w:val="clear" w:color="000000" w:fill="EBF1DE"/>
            <w:noWrap/>
            <w:vAlign w:val="center"/>
          </w:tcPr>
          <w:p w14:paraId="6405D662" w14:textId="12C3465E" w:rsidR="008A1AF7" w:rsidRPr="008A1AF7" w:rsidRDefault="008A1AF7" w:rsidP="008A1AF7">
            <w:pPr>
              <w:jc w:val="center"/>
              <w:rPr>
                <w:rFonts w:ascii="Arial" w:hAnsi="Arial" w:cs="Arial"/>
                <w:b/>
                <w:sz w:val="16"/>
                <w:szCs w:val="16"/>
              </w:rPr>
            </w:pPr>
            <w:r w:rsidRPr="008A1AF7">
              <w:rPr>
                <w:rFonts w:ascii="Arial" w:hAnsi="Arial" w:cs="Arial"/>
                <w:b/>
                <w:sz w:val="16"/>
                <w:szCs w:val="16"/>
              </w:rPr>
              <w:t>89,67%</w:t>
            </w:r>
          </w:p>
        </w:tc>
      </w:tr>
    </w:tbl>
    <w:p w14:paraId="0D12DFB3" w14:textId="77777777" w:rsidR="00685184" w:rsidRPr="00123376" w:rsidRDefault="00B41C71" w:rsidP="00123376">
      <w:pPr>
        <w:spacing w:after="120"/>
        <w:jc w:val="both"/>
        <w:rPr>
          <w:rFonts w:ascii="Arial" w:hAnsi="Arial" w:cs="Arial"/>
          <w:sz w:val="16"/>
          <w:szCs w:val="16"/>
        </w:rPr>
      </w:pPr>
      <w:r w:rsidRPr="00123376">
        <w:rPr>
          <w:rFonts w:ascii="Arial" w:hAnsi="Arial" w:cs="Arial"/>
          <w:sz w:val="16"/>
          <w:szCs w:val="16"/>
        </w:rPr>
        <w:t>Zdroj: RO</w:t>
      </w:r>
    </w:p>
    <w:p w14:paraId="0CDE2545" w14:textId="60C0D6D0" w:rsidR="00A0132C" w:rsidRPr="001A699D" w:rsidRDefault="003C14CC" w:rsidP="001A699D">
      <w:pPr>
        <w:spacing w:before="120" w:after="120"/>
        <w:jc w:val="both"/>
        <w:rPr>
          <w:rFonts w:ascii="Arial" w:hAnsi="Arial" w:cs="Arial"/>
          <w:sz w:val="20"/>
          <w:szCs w:val="20"/>
        </w:rPr>
      </w:pPr>
      <w:r>
        <w:rPr>
          <w:rFonts w:ascii="Arial" w:hAnsi="Arial" w:cs="Arial"/>
          <w:sz w:val="20"/>
          <w:szCs w:val="20"/>
        </w:rPr>
        <w:lastRenderedPageBreak/>
        <w:t>Finančná implementácia OP ŽP podľa  NUTS III k 31.10.2016 je uvedená v prílohe č. 6 Záverečnej správy.</w:t>
      </w:r>
    </w:p>
    <w:p w14:paraId="69D10BAA" w14:textId="77777777" w:rsidR="002416B1" w:rsidRPr="00E21C60" w:rsidRDefault="004F3264" w:rsidP="008A1902">
      <w:pPr>
        <w:spacing w:before="240" w:after="120"/>
        <w:jc w:val="both"/>
        <w:rPr>
          <w:rFonts w:ascii="Arial" w:hAnsi="Arial" w:cs="Arial"/>
          <w:b/>
          <w:sz w:val="20"/>
          <w:szCs w:val="20"/>
        </w:rPr>
      </w:pPr>
      <w:r w:rsidRPr="00774CFB">
        <w:rPr>
          <w:rFonts w:ascii="Arial" w:hAnsi="Arial" w:cs="Arial"/>
          <w:b/>
          <w:sz w:val="20"/>
          <w:szCs w:val="20"/>
        </w:rPr>
        <w:t>Regionálny prínos projektu v h</w:t>
      </w:r>
      <w:r w:rsidR="002416B1" w:rsidRPr="00774CFB">
        <w:rPr>
          <w:rFonts w:ascii="Arial" w:hAnsi="Arial" w:cs="Arial"/>
          <w:b/>
          <w:sz w:val="20"/>
          <w:szCs w:val="20"/>
        </w:rPr>
        <w:t>odnotiac</w:t>
      </w:r>
      <w:r w:rsidRPr="00774CFB">
        <w:rPr>
          <w:rFonts w:ascii="Arial" w:hAnsi="Arial" w:cs="Arial"/>
          <w:b/>
          <w:sz w:val="20"/>
          <w:szCs w:val="20"/>
        </w:rPr>
        <w:t>om</w:t>
      </w:r>
      <w:r w:rsidR="002416B1" w:rsidRPr="00774CFB">
        <w:rPr>
          <w:rFonts w:ascii="Arial" w:hAnsi="Arial" w:cs="Arial"/>
          <w:b/>
          <w:sz w:val="20"/>
          <w:szCs w:val="20"/>
        </w:rPr>
        <w:t xml:space="preserve"> proces</w:t>
      </w:r>
      <w:r w:rsidRPr="00774CFB">
        <w:rPr>
          <w:rFonts w:ascii="Arial" w:hAnsi="Arial" w:cs="Arial"/>
          <w:b/>
          <w:sz w:val="20"/>
          <w:szCs w:val="20"/>
        </w:rPr>
        <w:t>e</w:t>
      </w:r>
      <w:r w:rsidR="002416B1" w:rsidRPr="00774CFB">
        <w:rPr>
          <w:rFonts w:ascii="Arial" w:hAnsi="Arial" w:cs="Arial"/>
          <w:b/>
          <w:sz w:val="20"/>
          <w:szCs w:val="20"/>
        </w:rPr>
        <w:t>:</w:t>
      </w:r>
    </w:p>
    <w:p w14:paraId="13B95645" w14:textId="4AF64F14" w:rsidR="002416B1" w:rsidRPr="00E21C60" w:rsidRDefault="002416B1" w:rsidP="00123376">
      <w:pPr>
        <w:spacing w:before="120" w:after="120"/>
        <w:jc w:val="both"/>
        <w:rPr>
          <w:rFonts w:ascii="Arial" w:hAnsi="Arial" w:cs="Arial"/>
          <w:i/>
          <w:sz w:val="20"/>
          <w:szCs w:val="20"/>
        </w:rPr>
      </w:pPr>
      <w:r w:rsidRPr="00E21C60">
        <w:rPr>
          <w:rFonts w:ascii="Arial" w:hAnsi="Arial" w:cs="Arial"/>
          <w:i/>
          <w:sz w:val="20"/>
          <w:szCs w:val="20"/>
        </w:rPr>
        <w:t xml:space="preserve">Regionálny prínos projektu </w:t>
      </w:r>
      <w:r w:rsidR="00411523">
        <w:rPr>
          <w:rFonts w:ascii="Arial" w:hAnsi="Arial" w:cs="Arial"/>
          <w:i/>
          <w:sz w:val="20"/>
          <w:szCs w:val="20"/>
        </w:rPr>
        <w:t>bol</w:t>
      </w:r>
      <w:r w:rsidR="00411523" w:rsidRPr="00E21C60">
        <w:rPr>
          <w:rFonts w:ascii="Arial" w:hAnsi="Arial" w:cs="Arial"/>
          <w:i/>
          <w:sz w:val="20"/>
          <w:szCs w:val="20"/>
        </w:rPr>
        <w:t xml:space="preserve"> </w:t>
      </w:r>
      <w:r w:rsidRPr="00E21C60">
        <w:rPr>
          <w:rFonts w:ascii="Arial" w:hAnsi="Arial" w:cs="Arial"/>
          <w:i/>
          <w:sz w:val="20"/>
          <w:szCs w:val="20"/>
        </w:rPr>
        <w:t xml:space="preserve">v rámci odborného hodnotenia posudzovaný z viacerých hľadísk. </w:t>
      </w:r>
    </w:p>
    <w:p w14:paraId="482F62EB" w14:textId="66449578"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u w:val="single"/>
        </w:rPr>
        <w:t>Pri Prioritnej osi 1</w:t>
      </w:r>
      <w:r w:rsidRPr="00E21C60">
        <w:rPr>
          <w:rFonts w:ascii="Arial" w:hAnsi="Arial" w:cs="Arial"/>
          <w:sz w:val="20"/>
          <w:szCs w:val="20"/>
        </w:rPr>
        <w:t xml:space="preserve"> </w:t>
      </w:r>
      <w:r w:rsidR="00411523">
        <w:rPr>
          <w:rFonts w:ascii="Arial" w:hAnsi="Arial" w:cs="Arial"/>
          <w:sz w:val="20"/>
          <w:szCs w:val="20"/>
        </w:rPr>
        <w:t>bol</w:t>
      </w:r>
      <w:r w:rsidR="00411523" w:rsidRPr="00E21C60">
        <w:rPr>
          <w:rFonts w:ascii="Arial" w:hAnsi="Arial" w:cs="Arial"/>
          <w:sz w:val="20"/>
          <w:szCs w:val="20"/>
        </w:rPr>
        <w:t xml:space="preserve"> </w:t>
      </w:r>
      <w:r w:rsidRPr="00E21C60">
        <w:rPr>
          <w:rFonts w:ascii="Arial" w:hAnsi="Arial" w:cs="Arial"/>
          <w:sz w:val="20"/>
          <w:szCs w:val="20"/>
        </w:rPr>
        <w:t>v rámci odborného hodnotenia posudzovaný z nasledovných hľadísk:</w:t>
      </w:r>
    </w:p>
    <w:p w14:paraId="5CF2A0A5" w14:textId="70270950"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 xml:space="preserve">V rámci kritéria „1.4 Zohľadnenie potrieb a podmienok územia“ </w:t>
      </w:r>
      <w:r w:rsidR="00411523">
        <w:rPr>
          <w:rFonts w:ascii="Arial" w:hAnsi="Arial" w:cs="Arial"/>
          <w:sz w:val="20"/>
          <w:szCs w:val="20"/>
        </w:rPr>
        <w:t xml:space="preserve">bol </w:t>
      </w:r>
      <w:r w:rsidRPr="00E21C60">
        <w:rPr>
          <w:rFonts w:ascii="Arial" w:hAnsi="Arial" w:cs="Arial"/>
          <w:sz w:val="20"/>
          <w:szCs w:val="20"/>
        </w:rPr>
        <w:t>posudzovaný:</w:t>
      </w:r>
    </w:p>
    <w:p w14:paraId="6309BA86" w14:textId="77777777" w:rsidR="002416B1" w:rsidRPr="00E21C60" w:rsidRDefault="002416B1" w:rsidP="00B632B6">
      <w:pPr>
        <w:numPr>
          <w:ilvl w:val="0"/>
          <w:numId w:val="8"/>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z pohľadu %-tuálnej napojenosti obyvateľov dotknutej oblasti na verejnú kanalizáciu, resp. vodovod;</w:t>
      </w:r>
    </w:p>
    <w:p w14:paraId="074585B1" w14:textId="77777777" w:rsidR="002416B1" w:rsidRPr="00E21C60" w:rsidRDefault="002416B1" w:rsidP="00B632B6">
      <w:pPr>
        <w:numPr>
          <w:ilvl w:val="0"/>
          <w:numId w:val="8"/>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 xml:space="preserve"> z pohľadu %-tuálneho zvýšenia podielu čistených komunálnych odpadových vôd, resp. zvýšenia podielu napojenosti obyvateľov na verejný vodovod;</w:t>
      </w:r>
    </w:p>
    <w:p w14:paraId="11269711" w14:textId="77777777" w:rsidR="002416B1" w:rsidRPr="00E21C60" w:rsidRDefault="002416B1" w:rsidP="00B632B6">
      <w:pPr>
        <w:numPr>
          <w:ilvl w:val="0"/>
          <w:numId w:val="8"/>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 xml:space="preserve"> z pohľadu zvýšenia kvality vyčistenej vody;</w:t>
      </w:r>
    </w:p>
    <w:p w14:paraId="107E30C2" w14:textId="77777777" w:rsidR="002416B1" w:rsidRPr="00E21C60" w:rsidRDefault="002416B1" w:rsidP="00B632B6">
      <w:pPr>
        <w:numPr>
          <w:ilvl w:val="0"/>
          <w:numId w:val="8"/>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 xml:space="preserve"> z pohľadu zlepšenia vody v recipiente a pod. </w:t>
      </w:r>
    </w:p>
    <w:p w14:paraId="54214430" w14:textId="249D3168" w:rsidR="002416B1" w:rsidRPr="00E21C60" w:rsidRDefault="002416B1" w:rsidP="00123376">
      <w:pPr>
        <w:spacing w:before="120" w:after="120"/>
        <w:rPr>
          <w:rFonts w:ascii="Arial" w:hAnsi="Arial" w:cs="Arial"/>
          <w:sz w:val="20"/>
          <w:szCs w:val="20"/>
        </w:rPr>
      </w:pPr>
      <w:r w:rsidRPr="00E21C60">
        <w:rPr>
          <w:rFonts w:ascii="Arial" w:hAnsi="Arial" w:cs="Arial"/>
          <w:sz w:val="20"/>
          <w:szCs w:val="20"/>
        </w:rPr>
        <w:t xml:space="preserve">V rámci kritéria „2.1 Zabezpečenie funkčnosti, etapizácia a nadväznosť výstavby na existujúcu environmentálnu infraštruktúru“ </w:t>
      </w:r>
      <w:r w:rsidR="00411523">
        <w:rPr>
          <w:rFonts w:ascii="Arial" w:hAnsi="Arial" w:cs="Arial"/>
          <w:sz w:val="20"/>
          <w:szCs w:val="20"/>
        </w:rPr>
        <w:t>bol</w:t>
      </w:r>
      <w:r w:rsidR="00411523" w:rsidRPr="00E21C60">
        <w:rPr>
          <w:rFonts w:ascii="Arial" w:hAnsi="Arial" w:cs="Arial"/>
          <w:sz w:val="20"/>
          <w:szCs w:val="20"/>
        </w:rPr>
        <w:t xml:space="preserve"> </w:t>
      </w:r>
      <w:r w:rsidRPr="00E21C60">
        <w:rPr>
          <w:rFonts w:ascii="Arial" w:hAnsi="Arial" w:cs="Arial"/>
          <w:sz w:val="20"/>
          <w:szCs w:val="20"/>
        </w:rPr>
        <w:t>posudzovaný:</w:t>
      </w:r>
    </w:p>
    <w:p w14:paraId="1B41CABE" w14:textId="77777777" w:rsidR="002416B1" w:rsidRPr="00E21C60" w:rsidRDefault="002416B1" w:rsidP="00B632B6">
      <w:pPr>
        <w:numPr>
          <w:ilvl w:val="0"/>
          <w:numId w:val="9"/>
        </w:numPr>
        <w:tabs>
          <w:tab w:val="clear" w:pos="720"/>
        </w:tabs>
        <w:spacing w:before="120" w:after="120"/>
        <w:ind w:left="714" w:hanging="357"/>
        <w:jc w:val="both"/>
        <w:rPr>
          <w:rFonts w:ascii="Arial" w:hAnsi="Arial" w:cs="Arial"/>
          <w:sz w:val="20"/>
          <w:szCs w:val="20"/>
        </w:rPr>
      </w:pPr>
      <w:r w:rsidRPr="00E21C60">
        <w:rPr>
          <w:rFonts w:ascii="Arial" w:hAnsi="Arial" w:cs="Arial"/>
          <w:sz w:val="20"/>
          <w:szCs w:val="20"/>
        </w:rPr>
        <w:t>z pohľadu zohľadnenia existujúcej environmentálnej infraštruktúry a situácie v danom regióne.</w:t>
      </w:r>
    </w:p>
    <w:p w14:paraId="460BA4AE" w14:textId="3D7D39A0"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 xml:space="preserve">V rámci kritéria „2.3 Úroveň technického riešenia“ </w:t>
      </w:r>
      <w:r w:rsidR="00737255">
        <w:rPr>
          <w:rFonts w:ascii="Arial" w:hAnsi="Arial" w:cs="Arial"/>
          <w:sz w:val="20"/>
          <w:szCs w:val="20"/>
        </w:rPr>
        <w:t xml:space="preserve">bol </w:t>
      </w:r>
      <w:r w:rsidRPr="00E21C60">
        <w:rPr>
          <w:rFonts w:ascii="Arial" w:hAnsi="Arial" w:cs="Arial"/>
          <w:sz w:val="20"/>
          <w:szCs w:val="20"/>
        </w:rPr>
        <w:t>posudzovaný:</w:t>
      </w:r>
    </w:p>
    <w:p w14:paraId="47B96FE4" w14:textId="77777777" w:rsidR="002416B1" w:rsidRPr="00E21C60" w:rsidRDefault="002416B1" w:rsidP="00B632B6">
      <w:pPr>
        <w:numPr>
          <w:ilvl w:val="0"/>
          <w:numId w:val="16"/>
        </w:numPr>
        <w:tabs>
          <w:tab w:val="clear" w:pos="720"/>
        </w:tabs>
        <w:spacing w:before="120" w:after="120"/>
        <w:ind w:left="714" w:hanging="357"/>
        <w:jc w:val="both"/>
        <w:rPr>
          <w:rFonts w:ascii="Arial" w:hAnsi="Arial" w:cs="Arial"/>
          <w:sz w:val="20"/>
          <w:szCs w:val="20"/>
        </w:rPr>
      </w:pPr>
      <w:r w:rsidRPr="00E21C60">
        <w:rPr>
          <w:rFonts w:ascii="Arial" w:hAnsi="Arial" w:cs="Arial"/>
          <w:sz w:val="20"/>
          <w:szCs w:val="20"/>
        </w:rPr>
        <w:t>z pohľadu úrovne a vhodnosti technického riešenia v nadväznosti aj na podmienky daného regiónu.</w:t>
      </w:r>
    </w:p>
    <w:p w14:paraId="30065F03" w14:textId="0818769C"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u w:val="single"/>
        </w:rPr>
        <w:t>Pri Prioritnej osi 2</w:t>
      </w:r>
      <w:r w:rsidRPr="00E21C60">
        <w:rPr>
          <w:rFonts w:ascii="Arial" w:hAnsi="Arial" w:cs="Arial"/>
          <w:sz w:val="20"/>
          <w:szCs w:val="20"/>
        </w:rPr>
        <w:t xml:space="preserve">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v rámci odborného hodnotenia posudzovaný z nasledovných hľadísk:</w:t>
      </w:r>
    </w:p>
    <w:p w14:paraId="7F77C01E" w14:textId="2D8AFD17"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V rámci kritéria „1.4 Zohľadnenie potrieb a podmienok územia“</w:t>
      </w:r>
      <w:r w:rsidR="00737255">
        <w:rPr>
          <w:rFonts w:ascii="Arial" w:hAnsi="Arial" w:cs="Arial"/>
          <w:sz w:val="20"/>
          <w:szCs w:val="20"/>
        </w:rPr>
        <w:t>,</w:t>
      </w:r>
      <w:r w:rsidRPr="00E21C60">
        <w:rPr>
          <w:rFonts w:ascii="Arial" w:hAnsi="Arial" w:cs="Arial"/>
          <w:sz w:val="20"/>
          <w:szCs w:val="20"/>
        </w:rPr>
        <w:t xml:space="preserve"> </w:t>
      </w:r>
      <w:r w:rsidR="00737255">
        <w:rPr>
          <w:rFonts w:ascii="Arial" w:hAnsi="Arial" w:cs="Arial"/>
          <w:sz w:val="20"/>
          <w:szCs w:val="20"/>
        </w:rPr>
        <w:t>kde bol</w:t>
      </w:r>
      <w:r w:rsidR="00737255" w:rsidRPr="00E21C60">
        <w:rPr>
          <w:rFonts w:ascii="Arial" w:hAnsi="Arial" w:cs="Arial"/>
          <w:sz w:val="20"/>
          <w:szCs w:val="20"/>
        </w:rPr>
        <w:t xml:space="preserve"> </w:t>
      </w:r>
      <w:r w:rsidRPr="00E21C60">
        <w:rPr>
          <w:rFonts w:ascii="Arial" w:hAnsi="Arial" w:cs="Arial"/>
          <w:sz w:val="20"/>
          <w:szCs w:val="20"/>
        </w:rPr>
        <w:t>posudzovaný:</w:t>
      </w:r>
    </w:p>
    <w:p w14:paraId="30122A6C" w14:textId="77777777" w:rsidR="002416B1" w:rsidRPr="00E21C60" w:rsidRDefault="002416B1" w:rsidP="00B632B6">
      <w:pPr>
        <w:numPr>
          <w:ilvl w:val="0"/>
          <w:numId w:val="13"/>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 xml:space="preserve">z pohľadu naliehavosti aktivity z hľadiska veľkosti a významu sídla, </w:t>
      </w:r>
    </w:p>
    <w:p w14:paraId="43F23DE3" w14:textId="77777777" w:rsidR="002416B1" w:rsidRPr="00E21C60" w:rsidRDefault="002416B1" w:rsidP="00B632B6">
      <w:pPr>
        <w:numPr>
          <w:ilvl w:val="0"/>
          <w:numId w:val="13"/>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 xml:space="preserve">z pohľadu naliehavosti aktivity z hľadiska druhu zátopového územia, </w:t>
      </w:r>
    </w:p>
    <w:p w14:paraId="3F3D0056" w14:textId="77777777" w:rsidR="002416B1" w:rsidRPr="00E21C60" w:rsidRDefault="002416B1" w:rsidP="00B632B6">
      <w:pPr>
        <w:numPr>
          <w:ilvl w:val="0"/>
          <w:numId w:val="13"/>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 xml:space="preserve">z pohľadu naliehavosti aktivity z hľadiska existencie dôležitých objektov hospodárskeho a spoločenského charakteru v zátopovom území, </w:t>
      </w:r>
    </w:p>
    <w:p w14:paraId="2242B90A" w14:textId="77777777" w:rsidR="002416B1" w:rsidRPr="00E21C60" w:rsidRDefault="002416B1" w:rsidP="00B632B6">
      <w:pPr>
        <w:numPr>
          <w:ilvl w:val="0"/>
          <w:numId w:val="13"/>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z pohľadu naliehavosti aktivity z hľadiska hydrologických parametrov v zátopovom území,</w:t>
      </w:r>
    </w:p>
    <w:p w14:paraId="74C16748" w14:textId="77777777" w:rsidR="002416B1" w:rsidRPr="00E21C60" w:rsidRDefault="002416B1" w:rsidP="00B632B6">
      <w:pPr>
        <w:numPr>
          <w:ilvl w:val="0"/>
          <w:numId w:val="13"/>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z pohľadu naliehavosti aktivity z hľadiska vodohospodárskeho významu oblasti,</w:t>
      </w:r>
    </w:p>
    <w:p w14:paraId="3AA42D44" w14:textId="77777777" w:rsidR="002416B1" w:rsidRPr="00E21C60" w:rsidRDefault="002416B1" w:rsidP="00B632B6">
      <w:pPr>
        <w:numPr>
          <w:ilvl w:val="0"/>
          <w:numId w:val="13"/>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z pohľadu naliehavosti aktivity z hľadiska výskytu ekologicky a krajinársky významných lokalít v záplavovej oblasti,</w:t>
      </w:r>
    </w:p>
    <w:p w14:paraId="47696A23" w14:textId="77777777" w:rsidR="002416B1" w:rsidRPr="00E21C60" w:rsidRDefault="002416B1" w:rsidP="00B632B6">
      <w:pPr>
        <w:numPr>
          <w:ilvl w:val="0"/>
          <w:numId w:val="13"/>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z pohľadu naliehavosti aktivity z hľadiska povodňových stavov v príslušnej lokalite,</w:t>
      </w:r>
    </w:p>
    <w:p w14:paraId="321991CA" w14:textId="77777777" w:rsidR="002416B1" w:rsidRPr="00E21C60" w:rsidRDefault="002416B1" w:rsidP="00B632B6">
      <w:pPr>
        <w:numPr>
          <w:ilvl w:val="0"/>
          <w:numId w:val="13"/>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z pohľadu naliehavosti aktivity z hľadiska veľkosti škôd spôsobených povodňami v dotknutej oblasti za posledné roky ako aj z hľadiska výšky nákladov na ich odstránenie.</w:t>
      </w:r>
    </w:p>
    <w:p w14:paraId="19FABA64" w14:textId="481C1A98"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 xml:space="preserve">V rámci kritéria „2.1 Zabezpečenie funkčnosti, etapizácia a nadväznosť výstavby na existujúcu environmentálnu infraštruktúru“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posudzovaný:</w:t>
      </w:r>
    </w:p>
    <w:p w14:paraId="42CD5729" w14:textId="77777777" w:rsidR="002416B1" w:rsidRPr="00E21C60" w:rsidRDefault="002416B1" w:rsidP="00B632B6">
      <w:pPr>
        <w:numPr>
          <w:ilvl w:val="0"/>
          <w:numId w:val="14"/>
        </w:numPr>
        <w:tabs>
          <w:tab w:val="clear" w:pos="921"/>
          <w:tab w:val="num" w:pos="567"/>
        </w:tabs>
        <w:spacing w:before="120" w:after="120"/>
        <w:ind w:left="567" w:hanging="142"/>
        <w:jc w:val="both"/>
        <w:rPr>
          <w:rFonts w:ascii="Arial" w:hAnsi="Arial" w:cs="Arial"/>
          <w:sz w:val="20"/>
          <w:szCs w:val="20"/>
        </w:rPr>
      </w:pPr>
      <w:r w:rsidRPr="00E21C60">
        <w:rPr>
          <w:rFonts w:ascii="Arial" w:hAnsi="Arial" w:cs="Arial"/>
          <w:sz w:val="20"/>
          <w:szCs w:val="20"/>
        </w:rPr>
        <w:t xml:space="preserve"> z pohľadu zohľadnenia existujúcej environmentálnej infraštruktúry a situácie v danom regióne.</w:t>
      </w:r>
    </w:p>
    <w:p w14:paraId="5A9588A6" w14:textId="79351EBE"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 xml:space="preserve">V rámci kritéria „2.3 Úroveň technického riešenia“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posudzovaný:</w:t>
      </w:r>
    </w:p>
    <w:p w14:paraId="35A83075" w14:textId="77777777" w:rsidR="002416B1" w:rsidRPr="00E21C60" w:rsidRDefault="002416B1" w:rsidP="00B632B6">
      <w:pPr>
        <w:numPr>
          <w:ilvl w:val="0"/>
          <w:numId w:val="15"/>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z pohľadu úrovne a vhodnosti technického riešenia v nadväznosti aj na podmienky daného regiónu.</w:t>
      </w:r>
    </w:p>
    <w:p w14:paraId="1057BE6A" w14:textId="05E963F3"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u w:val="single"/>
        </w:rPr>
        <w:t>Pri Prioritnej osi 3</w:t>
      </w:r>
      <w:r w:rsidRPr="00E21C60">
        <w:rPr>
          <w:rFonts w:ascii="Arial" w:hAnsi="Arial" w:cs="Arial"/>
          <w:sz w:val="20"/>
          <w:szCs w:val="20"/>
        </w:rPr>
        <w:t xml:space="preserve">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v rámci odborného hodnotenia posudzovaný z nasledovných hľadísk:</w:t>
      </w:r>
    </w:p>
    <w:p w14:paraId="1130AE0B" w14:textId="65AC1DBE"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V rámci kritéria 1.4 „Zohľadnenie potrieb a podmienok územia“</w:t>
      </w:r>
      <w:r w:rsidR="00737255">
        <w:rPr>
          <w:rFonts w:ascii="Arial" w:hAnsi="Arial" w:cs="Arial"/>
          <w:sz w:val="20"/>
          <w:szCs w:val="20"/>
        </w:rPr>
        <w:t>, kde bol</w:t>
      </w:r>
      <w:r w:rsidRPr="00E21C60">
        <w:rPr>
          <w:rFonts w:ascii="Arial" w:hAnsi="Arial" w:cs="Arial"/>
          <w:sz w:val="20"/>
          <w:szCs w:val="20"/>
        </w:rPr>
        <w:t xml:space="preserve"> posudzovaný:</w:t>
      </w:r>
    </w:p>
    <w:p w14:paraId="1391A50E" w14:textId="77777777" w:rsidR="002416B1" w:rsidRPr="00E21C60" w:rsidRDefault="002416B1" w:rsidP="00B632B6">
      <w:pPr>
        <w:numPr>
          <w:ilvl w:val="0"/>
          <w:numId w:val="18"/>
        </w:numPr>
        <w:spacing w:before="120" w:after="120"/>
        <w:ind w:left="714" w:hanging="357"/>
        <w:jc w:val="both"/>
        <w:rPr>
          <w:rFonts w:ascii="Arial" w:hAnsi="Arial" w:cs="Arial"/>
          <w:sz w:val="20"/>
          <w:szCs w:val="20"/>
        </w:rPr>
      </w:pPr>
      <w:r w:rsidRPr="00E21C60">
        <w:rPr>
          <w:rFonts w:ascii="Arial" w:hAnsi="Arial" w:cs="Arial"/>
          <w:sz w:val="20"/>
          <w:szCs w:val="20"/>
        </w:rPr>
        <w:lastRenderedPageBreak/>
        <w:t>z pohľadu skutočnosti, či oblasť, v rámci ktorej bude projekt realizovaný, je alebo nie je oblasťou vyžadujúcou osobitnú ochranu ovzdušia, alebo je v jej bezprostrednej blízkosti, pričom je zohľadňovaný aj počet obyvateľov danej oblasti.</w:t>
      </w:r>
    </w:p>
    <w:p w14:paraId="5575C162" w14:textId="16FDF245"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 xml:space="preserve">V rámci kritéria „2.1 Zabezpečenie funkčnosti, etapizácia a nadväznosť výstavby na existujúcu environmentálnu infraštruktúru“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posudzovaný:</w:t>
      </w:r>
    </w:p>
    <w:p w14:paraId="2188A864" w14:textId="77777777" w:rsidR="002416B1" w:rsidRPr="00E21C60" w:rsidRDefault="002416B1" w:rsidP="00B632B6">
      <w:pPr>
        <w:numPr>
          <w:ilvl w:val="0"/>
          <w:numId w:val="17"/>
        </w:numPr>
        <w:spacing w:before="120" w:after="120"/>
        <w:ind w:left="714" w:hanging="357"/>
        <w:jc w:val="both"/>
        <w:rPr>
          <w:rFonts w:ascii="Arial" w:hAnsi="Arial" w:cs="Arial"/>
          <w:sz w:val="20"/>
          <w:szCs w:val="20"/>
        </w:rPr>
      </w:pPr>
      <w:r w:rsidRPr="00E21C60">
        <w:rPr>
          <w:rFonts w:ascii="Arial" w:hAnsi="Arial" w:cs="Arial"/>
          <w:sz w:val="20"/>
          <w:szCs w:val="20"/>
        </w:rPr>
        <w:t>z pohľadu zohľadnenia existujúcej environmentálnej infraštruktúry a situácie v danom regióne.</w:t>
      </w:r>
    </w:p>
    <w:p w14:paraId="12B0CB5D" w14:textId="2743F84A"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u w:val="single"/>
        </w:rPr>
        <w:t>Pri Prioritnej osi 4</w:t>
      </w:r>
      <w:r w:rsidRPr="00E21C60">
        <w:rPr>
          <w:rFonts w:ascii="Arial" w:hAnsi="Arial" w:cs="Arial"/>
          <w:sz w:val="20"/>
          <w:szCs w:val="20"/>
        </w:rPr>
        <w:t xml:space="preserve">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v rámci odborného hodnotenia posudzovaný z nasledovných hľadísk:</w:t>
      </w:r>
    </w:p>
    <w:p w14:paraId="237669C1" w14:textId="759903B3"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 xml:space="preserve">V rámci skupiny kritérií „1. Vhodnosť a účelnosť projektu“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posudzovaný:</w:t>
      </w:r>
    </w:p>
    <w:p w14:paraId="10C3E915" w14:textId="77777777" w:rsidR="002416B1" w:rsidRPr="00E21C60" w:rsidRDefault="002416B1" w:rsidP="00B632B6">
      <w:pPr>
        <w:numPr>
          <w:ilvl w:val="0"/>
          <w:numId w:val="10"/>
        </w:numPr>
        <w:spacing w:before="120" w:after="120"/>
        <w:ind w:left="714" w:hanging="357"/>
        <w:jc w:val="both"/>
        <w:rPr>
          <w:rFonts w:ascii="Arial" w:hAnsi="Arial" w:cs="Arial"/>
          <w:sz w:val="20"/>
          <w:szCs w:val="20"/>
        </w:rPr>
      </w:pPr>
      <w:r w:rsidRPr="00E21C60">
        <w:rPr>
          <w:rFonts w:ascii="Arial" w:hAnsi="Arial" w:cs="Arial"/>
          <w:sz w:val="20"/>
          <w:szCs w:val="20"/>
        </w:rPr>
        <w:t>z pohľadu zohľadnenia súladu projektu so strategickými dokumentmi a s dokumentmi regionálneho charakteru v oblasti odpadového hospodárstva, napr. posúdenie plnenia požiadaviek a koncepčných cieľov na úseku odpadového hospodárstva uvedených v Programe odpadového hospodárstva daného regiónu, t.j. posúdenie zohľadnenia potrieb daného územia z pohľadu cieľov odpadového hospodárstva regiónu.</w:t>
      </w:r>
    </w:p>
    <w:p w14:paraId="46D1878C" w14:textId="0A2FDB8C" w:rsidR="002416B1" w:rsidRPr="00E21C60" w:rsidRDefault="002416B1" w:rsidP="00123376">
      <w:pPr>
        <w:spacing w:before="120" w:after="120"/>
        <w:rPr>
          <w:rFonts w:ascii="Arial" w:hAnsi="Arial" w:cs="Arial"/>
          <w:sz w:val="20"/>
          <w:szCs w:val="20"/>
        </w:rPr>
      </w:pPr>
      <w:r w:rsidRPr="00E21C60">
        <w:rPr>
          <w:rFonts w:ascii="Arial" w:hAnsi="Arial" w:cs="Arial"/>
          <w:sz w:val="20"/>
          <w:szCs w:val="20"/>
        </w:rPr>
        <w:t>V rámci kritéria „2.</w:t>
      </w:r>
      <w:r w:rsidR="00685184" w:rsidRPr="00E21C60">
        <w:rPr>
          <w:rFonts w:ascii="Arial" w:hAnsi="Arial" w:cs="Arial"/>
          <w:sz w:val="20"/>
          <w:szCs w:val="20"/>
        </w:rPr>
        <w:t>3</w:t>
      </w:r>
      <w:r w:rsidRPr="00E21C60">
        <w:rPr>
          <w:rFonts w:ascii="Arial" w:hAnsi="Arial" w:cs="Arial"/>
          <w:sz w:val="20"/>
          <w:szCs w:val="20"/>
        </w:rPr>
        <w:t xml:space="preserve"> Úroveň technického riešenia“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posudzovaný:</w:t>
      </w:r>
    </w:p>
    <w:p w14:paraId="6F49D32F" w14:textId="77777777" w:rsidR="002416B1" w:rsidRPr="00E21C60" w:rsidRDefault="002416B1" w:rsidP="00B632B6">
      <w:pPr>
        <w:numPr>
          <w:ilvl w:val="0"/>
          <w:numId w:val="11"/>
        </w:numPr>
        <w:spacing w:before="120" w:after="120"/>
        <w:ind w:left="714" w:hanging="357"/>
        <w:jc w:val="both"/>
        <w:rPr>
          <w:rFonts w:ascii="Arial" w:hAnsi="Arial" w:cs="Arial"/>
          <w:sz w:val="20"/>
          <w:szCs w:val="20"/>
        </w:rPr>
      </w:pPr>
      <w:r w:rsidRPr="00E21C60">
        <w:rPr>
          <w:rFonts w:ascii="Arial" w:hAnsi="Arial" w:cs="Arial"/>
          <w:sz w:val="20"/>
          <w:szCs w:val="20"/>
        </w:rPr>
        <w:t>z pohľadu úrovne a vhodnosti technického riešenia v nadväznosti aj na podmienky daného regiónu.</w:t>
      </w:r>
    </w:p>
    <w:p w14:paraId="369A43C0" w14:textId="69064487"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u w:val="single"/>
        </w:rPr>
        <w:t>Pri Prioritnej osi 5</w:t>
      </w:r>
      <w:r w:rsidRPr="00E21C60">
        <w:rPr>
          <w:rFonts w:ascii="Arial" w:hAnsi="Arial" w:cs="Arial"/>
          <w:sz w:val="20"/>
          <w:szCs w:val="20"/>
        </w:rPr>
        <w:t xml:space="preserve">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v rámci odborného hodnotenia posudzovaný z nasledovných hľadísk:</w:t>
      </w:r>
    </w:p>
    <w:p w14:paraId="5726002E" w14:textId="307FD180"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 xml:space="preserve">V rámci kritéria „1.2 Súlad projektu k dosiahnutiu cieľov prioritnej osi 5“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posudzovaný:</w:t>
      </w:r>
    </w:p>
    <w:p w14:paraId="67E1BFF9" w14:textId="77777777" w:rsidR="002416B1" w:rsidRPr="00E21C60" w:rsidRDefault="002416B1" w:rsidP="00B632B6">
      <w:pPr>
        <w:numPr>
          <w:ilvl w:val="1"/>
          <w:numId w:val="12"/>
        </w:numPr>
        <w:tabs>
          <w:tab w:val="clear" w:pos="1440"/>
          <w:tab w:val="num" w:pos="709"/>
        </w:tabs>
        <w:spacing w:before="120" w:after="120"/>
        <w:ind w:left="709" w:hanging="283"/>
        <w:jc w:val="both"/>
        <w:rPr>
          <w:rFonts w:ascii="Arial" w:hAnsi="Arial" w:cs="Arial"/>
          <w:sz w:val="20"/>
          <w:szCs w:val="20"/>
        </w:rPr>
      </w:pPr>
      <w:r w:rsidRPr="00E21C60">
        <w:rPr>
          <w:rFonts w:ascii="Arial" w:hAnsi="Arial" w:cs="Arial"/>
          <w:sz w:val="20"/>
          <w:szCs w:val="20"/>
        </w:rPr>
        <w:t>z pohľadu zohľadnenia súladu projektu so strategickými dokumentmi a právnymi predpismi</w:t>
      </w:r>
      <w:r w:rsidR="00C82B0E">
        <w:rPr>
          <w:rFonts w:ascii="Arial" w:hAnsi="Arial" w:cs="Arial"/>
          <w:sz w:val="20"/>
          <w:szCs w:val="20"/>
        </w:rPr>
        <w:t xml:space="preserve"> </w:t>
      </w:r>
      <w:r w:rsidRPr="00E21C60">
        <w:rPr>
          <w:rFonts w:ascii="Arial" w:hAnsi="Arial" w:cs="Arial"/>
          <w:sz w:val="20"/>
          <w:szCs w:val="20"/>
        </w:rPr>
        <w:t>v oblasti ochrany prírody.</w:t>
      </w:r>
    </w:p>
    <w:p w14:paraId="5A8E9670" w14:textId="3294E8E7"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 xml:space="preserve">V rámci kritéria „1.4 Širšie prínosy projektu počas alebo po realizácii projektu“ </w:t>
      </w:r>
      <w:r w:rsidR="00737255">
        <w:rPr>
          <w:rFonts w:ascii="Arial" w:hAnsi="Arial" w:cs="Arial"/>
          <w:sz w:val="20"/>
          <w:szCs w:val="20"/>
        </w:rPr>
        <w:t>bol</w:t>
      </w:r>
      <w:r w:rsidR="00737255" w:rsidRPr="00E21C60">
        <w:rPr>
          <w:rFonts w:ascii="Arial" w:hAnsi="Arial" w:cs="Arial"/>
          <w:sz w:val="20"/>
          <w:szCs w:val="20"/>
        </w:rPr>
        <w:t xml:space="preserve"> </w:t>
      </w:r>
      <w:r w:rsidRPr="00E21C60">
        <w:rPr>
          <w:rFonts w:ascii="Arial" w:hAnsi="Arial" w:cs="Arial"/>
          <w:sz w:val="20"/>
          <w:szCs w:val="20"/>
        </w:rPr>
        <w:t>posudzovaný:</w:t>
      </w:r>
    </w:p>
    <w:p w14:paraId="2B2E1E81" w14:textId="77777777" w:rsidR="002416B1" w:rsidRPr="00E21C60" w:rsidRDefault="002416B1" w:rsidP="00B632B6">
      <w:pPr>
        <w:numPr>
          <w:ilvl w:val="2"/>
          <w:numId w:val="12"/>
        </w:numPr>
        <w:tabs>
          <w:tab w:val="num" w:pos="748"/>
        </w:tabs>
        <w:spacing w:before="120" w:after="120"/>
        <w:ind w:left="782" w:hanging="357"/>
        <w:jc w:val="both"/>
        <w:rPr>
          <w:rFonts w:ascii="Arial" w:hAnsi="Arial" w:cs="Arial"/>
          <w:sz w:val="20"/>
          <w:szCs w:val="20"/>
        </w:rPr>
      </w:pPr>
      <w:r w:rsidRPr="00E21C60">
        <w:rPr>
          <w:rFonts w:ascii="Arial" w:hAnsi="Arial" w:cs="Arial"/>
          <w:sz w:val="20"/>
          <w:szCs w:val="20"/>
        </w:rPr>
        <w:t>z pohľadu skutočnosti, či do projektu budú zapojení aj miestni obyvatelia, vlastníci, resp. správcovia pozemkov v danom regióne a pod.,</w:t>
      </w:r>
    </w:p>
    <w:p w14:paraId="23551035" w14:textId="77777777" w:rsidR="002416B1" w:rsidRPr="00E21C60" w:rsidRDefault="002416B1" w:rsidP="00B632B6">
      <w:pPr>
        <w:numPr>
          <w:ilvl w:val="2"/>
          <w:numId w:val="12"/>
        </w:numPr>
        <w:tabs>
          <w:tab w:val="num" w:pos="748"/>
        </w:tabs>
        <w:spacing w:before="120" w:after="120"/>
        <w:ind w:left="782" w:hanging="357"/>
        <w:jc w:val="both"/>
        <w:rPr>
          <w:rFonts w:ascii="Arial" w:hAnsi="Arial" w:cs="Arial"/>
          <w:sz w:val="20"/>
          <w:szCs w:val="20"/>
        </w:rPr>
      </w:pPr>
      <w:r w:rsidRPr="00E21C60">
        <w:rPr>
          <w:rFonts w:ascii="Arial" w:hAnsi="Arial" w:cs="Arial"/>
          <w:sz w:val="20"/>
          <w:szCs w:val="20"/>
        </w:rPr>
        <w:t>z pohľadu skutočnosti, do akej miery je v rámci projektu využívaná práca s verejnosťou v danom regióne,</w:t>
      </w:r>
    </w:p>
    <w:p w14:paraId="115B96D3" w14:textId="77777777" w:rsidR="002416B1" w:rsidRPr="00E21C60" w:rsidRDefault="002416B1" w:rsidP="00B632B6">
      <w:pPr>
        <w:numPr>
          <w:ilvl w:val="2"/>
          <w:numId w:val="12"/>
        </w:numPr>
        <w:tabs>
          <w:tab w:val="num" w:pos="748"/>
        </w:tabs>
        <w:spacing w:before="120" w:after="120"/>
        <w:ind w:left="782" w:hanging="357"/>
        <w:jc w:val="both"/>
        <w:rPr>
          <w:rFonts w:ascii="Arial" w:hAnsi="Arial" w:cs="Arial"/>
          <w:sz w:val="20"/>
          <w:szCs w:val="20"/>
        </w:rPr>
      </w:pPr>
      <w:r w:rsidRPr="00E21C60">
        <w:rPr>
          <w:rFonts w:ascii="Arial" w:hAnsi="Arial" w:cs="Arial"/>
          <w:sz w:val="20"/>
          <w:szCs w:val="20"/>
        </w:rPr>
        <w:t>z pohľadu skutočnosti, do akej miery má v rámci projektu dôjsť k prínosom pre turizmus v rámci daného regiónu,</w:t>
      </w:r>
    </w:p>
    <w:p w14:paraId="01B5E0C4" w14:textId="77777777" w:rsidR="00685184" w:rsidRPr="00E21C60" w:rsidRDefault="002416B1" w:rsidP="00B632B6">
      <w:pPr>
        <w:numPr>
          <w:ilvl w:val="2"/>
          <w:numId w:val="12"/>
        </w:numPr>
        <w:tabs>
          <w:tab w:val="num" w:pos="748"/>
        </w:tabs>
        <w:spacing w:before="120" w:after="120"/>
        <w:ind w:left="782" w:hanging="357"/>
        <w:jc w:val="both"/>
        <w:rPr>
          <w:rFonts w:ascii="Arial" w:hAnsi="Arial" w:cs="Arial"/>
          <w:sz w:val="20"/>
          <w:szCs w:val="20"/>
        </w:rPr>
      </w:pPr>
      <w:r w:rsidRPr="00E21C60">
        <w:rPr>
          <w:rFonts w:ascii="Arial" w:hAnsi="Arial" w:cs="Arial"/>
          <w:sz w:val="20"/>
          <w:szCs w:val="20"/>
        </w:rPr>
        <w:t>z pohľadu skutočnosti, do akej miery má v rámci projektu byť využité vzdelávanie návštevníkov daného regiónu.</w:t>
      </w:r>
    </w:p>
    <w:p w14:paraId="397C76F3" w14:textId="77777777" w:rsidR="00685184" w:rsidRPr="00E21C60" w:rsidRDefault="00685184" w:rsidP="008A1902">
      <w:pPr>
        <w:keepNext/>
        <w:spacing w:before="240" w:after="120"/>
        <w:jc w:val="both"/>
        <w:rPr>
          <w:rFonts w:ascii="Arial" w:hAnsi="Arial" w:cs="Arial"/>
          <w:b/>
          <w:sz w:val="20"/>
          <w:szCs w:val="20"/>
        </w:rPr>
      </w:pPr>
      <w:r w:rsidRPr="00774CFB">
        <w:rPr>
          <w:rFonts w:ascii="Arial" w:hAnsi="Arial" w:cs="Arial"/>
          <w:b/>
          <w:sz w:val="20"/>
          <w:szCs w:val="20"/>
        </w:rPr>
        <w:t>Implementácia OP ŽP z regionálneho hľadiska</w:t>
      </w:r>
    </w:p>
    <w:p w14:paraId="16BA85A2" w14:textId="15B7B1C0" w:rsidR="003C14CC" w:rsidRPr="00E21C60" w:rsidRDefault="003C14CC" w:rsidP="003C14CC">
      <w:pPr>
        <w:keepNext/>
        <w:spacing w:before="120" w:after="120"/>
        <w:jc w:val="both"/>
        <w:rPr>
          <w:rFonts w:ascii="Arial" w:hAnsi="Arial" w:cs="Arial"/>
          <w:sz w:val="20"/>
        </w:rPr>
      </w:pPr>
      <w:r w:rsidRPr="00E21C60">
        <w:rPr>
          <w:rFonts w:ascii="Arial" w:hAnsi="Arial" w:cs="Arial"/>
          <w:sz w:val="20"/>
        </w:rPr>
        <w:t xml:space="preserve">Riadiaci orgán pre OP ŽP identifikoval odchýlky od </w:t>
      </w:r>
      <w:r w:rsidRPr="00E21C60">
        <w:rPr>
          <w:rFonts w:ascii="Arial" w:hAnsi="Arial" w:cs="Arial"/>
          <w:bCs/>
          <w:sz w:val="20"/>
        </w:rPr>
        <w:t xml:space="preserve">indikatívnych regionálnych alokácií </w:t>
      </w:r>
      <w:r w:rsidRPr="00E21C60">
        <w:rPr>
          <w:rFonts w:ascii="Arial" w:hAnsi="Arial" w:cs="Arial"/>
          <w:sz w:val="20"/>
        </w:rPr>
        <w:t>už v roku 2009</w:t>
      </w:r>
      <w:r>
        <w:rPr>
          <w:rFonts w:ascii="Arial" w:hAnsi="Arial" w:cs="Arial"/>
          <w:sz w:val="20"/>
        </w:rPr>
        <w:t>.</w:t>
      </w:r>
      <w:r w:rsidRPr="00E21C60">
        <w:rPr>
          <w:rFonts w:ascii="Arial" w:hAnsi="Arial" w:cs="Arial"/>
          <w:sz w:val="20"/>
        </w:rPr>
        <w:t xml:space="preserve"> Dôvodom nedodržania indikatívnych alokácií </w:t>
      </w:r>
      <w:r>
        <w:rPr>
          <w:rFonts w:ascii="Arial" w:hAnsi="Arial" w:cs="Arial"/>
          <w:sz w:val="20"/>
        </w:rPr>
        <w:t>bolo</w:t>
      </w:r>
      <w:r w:rsidRPr="00E21C60">
        <w:rPr>
          <w:rFonts w:ascii="Arial" w:hAnsi="Arial" w:cs="Arial"/>
          <w:sz w:val="20"/>
        </w:rPr>
        <w:t xml:space="preserve"> množstvo a finančný objem zazmluvnených projektov, ktoré boli schválené na základe najvyššieho bodového hodnotenia vykonaného príslušným externým/interným hodnotiteľom na základe hodnotiacich kritérií, ktoré boli odborne, objektívne a transparentne stanovené pre jednotlivé prioritné osi, resp. operačné ciele a ich skupiny aktivít OP ŽP. Reálne regionálne rozdelenie finančných alokácií v procese implementácie OP ŽP </w:t>
      </w:r>
      <w:r w:rsidR="00737255">
        <w:rPr>
          <w:rFonts w:ascii="Arial" w:hAnsi="Arial" w:cs="Arial"/>
          <w:sz w:val="20"/>
        </w:rPr>
        <w:t>bolo</w:t>
      </w:r>
      <w:r w:rsidR="00737255" w:rsidRPr="00E21C60">
        <w:rPr>
          <w:rFonts w:ascii="Arial" w:hAnsi="Arial" w:cs="Arial"/>
          <w:sz w:val="20"/>
        </w:rPr>
        <w:t xml:space="preserve"> </w:t>
      </w:r>
      <w:r w:rsidRPr="00E21C60">
        <w:rPr>
          <w:rFonts w:ascii="Arial" w:hAnsi="Arial" w:cs="Arial"/>
          <w:sz w:val="20"/>
        </w:rPr>
        <w:t>teda ovplyvnené najmä pripravenosťou projektov žiadateľov z jednotlivých VÚC, počtom a najmä kvalitou predložených žiadostí.</w:t>
      </w:r>
    </w:p>
    <w:p w14:paraId="0CA55F30" w14:textId="3A63CF69" w:rsidR="003C14CC" w:rsidRPr="0083529B" w:rsidRDefault="003C14CC" w:rsidP="003C14CC">
      <w:pPr>
        <w:spacing w:before="120" w:after="120"/>
        <w:jc w:val="both"/>
        <w:rPr>
          <w:rFonts w:ascii="Arial" w:hAnsi="Arial" w:cs="Arial"/>
          <w:sz w:val="20"/>
          <w:szCs w:val="20"/>
        </w:rPr>
      </w:pPr>
      <w:r w:rsidRPr="0083529B">
        <w:rPr>
          <w:rFonts w:ascii="Arial" w:hAnsi="Arial" w:cs="Arial"/>
          <w:sz w:val="20"/>
          <w:szCs w:val="20"/>
        </w:rPr>
        <w:t>Neschválením takých žiadostí o NFP, ktoré boli predložené v rámci kraja, pri ktorom už došlo k prekročeniu indikatívnej regionálnej alokácie aj napriek ich vysokej kvalite na úkor menej kvalitných žiadostí o NFP predložených v rámci kraja, kde indikatívna regionálna alokácia ešte nebola prekročená, by v konečnom dôsledku ohrozilo napĺňanie globálneho cieľa OP ŽP. Takýmto postupom by totiž neboli podporené tie najkvalitnejšie projekty a teda nedošlo by k takému skvalitneniu environmentálnej infraštruktúry, k akému by vzhľadom na výšku celkovej alokácie OP ŽP mohlo dôjsť.</w:t>
      </w:r>
    </w:p>
    <w:p w14:paraId="3F4164EB" w14:textId="1464F8EC" w:rsidR="003C14CC" w:rsidRPr="0083529B" w:rsidRDefault="003C14CC" w:rsidP="003C14CC">
      <w:pPr>
        <w:spacing w:before="120" w:after="120"/>
        <w:jc w:val="both"/>
        <w:rPr>
          <w:rFonts w:ascii="Arial" w:hAnsi="Arial" w:cs="Arial"/>
          <w:sz w:val="20"/>
          <w:szCs w:val="20"/>
        </w:rPr>
      </w:pPr>
      <w:r w:rsidRPr="0083529B">
        <w:rPr>
          <w:rFonts w:ascii="Arial" w:hAnsi="Arial" w:cs="Arial"/>
          <w:sz w:val="20"/>
          <w:szCs w:val="20"/>
        </w:rPr>
        <w:t>Rešpektujúc uvedené dôvody Monitorovací výbor pre OP ŽP dňa 18.</w:t>
      </w:r>
      <w:r w:rsidR="00A0132C">
        <w:rPr>
          <w:rFonts w:ascii="Arial" w:hAnsi="Arial" w:cs="Arial"/>
          <w:sz w:val="20"/>
          <w:szCs w:val="20"/>
        </w:rPr>
        <w:t xml:space="preserve"> </w:t>
      </w:r>
      <w:r w:rsidRPr="0083529B">
        <w:rPr>
          <w:rFonts w:ascii="Arial" w:hAnsi="Arial" w:cs="Arial"/>
          <w:sz w:val="20"/>
          <w:szCs w:val="20"/>
        </w:rPr>
        <w:t>12.</w:t>
      </w:r>
      <w:r w:rsidR="00A0132C">
        <w:rPr>
          <w:rFonts w:ascii="Arial" w:hAnsi="Arial" w:cs="Arial"/>
          <w:sz w:val="20"/>
          <w:szCs w:val="20"/>
        </w:rPr>
        <w:t xml:space="preserve"> </w:t>
      </w:r>
      <w:r w:rsidRPr="0083529B">
        <w:rPr>
          <w:rFonts w:ascii="Arial" w:hAnsi="Arial" w:cs="Arial"/>
          <w:sz w:val="20"/>
          <w:szCs w:val="20"/>
        </w:rPr>
        <w:t>2012 schválil, že v</w:t>
      </w:r>
      <w:r w:rsidRPr="0083529B">
        <w:rPr>
          <w:rFonts w:ascii="Arial" w:hAnsi="Arial" w:cs="Arial"/>
          <w:bCs/>
          <w:sz w:val="20"/>
          <w:szCs w:val="20"/>
        </w:rPr>
        <w:t xml:space="preserve">ýberovými kritériami žiadostí o nenávratný finančný príspevok z Európskeho fondu regionálneho rozvoja </w:t>
      </w:r>
      <w:r w:rsidRPr="0083529B">
        <w:rPr>
          <w:rFonts w:ascii="Arial" w:hAnsi="Arial" w:cs="Arial"/>
          <w:bCs/>
          <w:sz w:val="20"/>
          <w:szCs w:val="20"/>
        </w:rPr>
        <w:br/>
      </w:r>
      <w:r w:rsidRPr="0083529B">
        <w:rPr>
          <w:rFonts w:ascii="Arial" w:hAnsi="Arial" w:cs="Arial"/>
          <w:bCs/>
          <w:sz w:val="20"/>
          <w:szCs w:val="20"/>
        </w:rPr>
        <w:lastRenderedPageBreak/>
        <w:t xml:space="preserve">a Kohézneho fondu, ktorých celkové náklady nepresahujú 50 mil. </w:t>
      </w:r>
      <w:r w:rsidR="00366C2D">
        <w:rPr>
          <w:rFonts w:ascii="Arial" w:hAnsi="Arial" w:cs="Arial"/>
          <w:bCs/>
          <w:sz w:val="20"/>
          <w:szCs w:val="20"/>
        </w:rPr>
        <w:t>€</w:t>
      </w:r>
      <w:r w:rsidRPr="0083529B">
        <w:rPr>
          <w:rFonts w:ascii="Arial" w:hAnsi="Arial" w:cs="Arial"/>
          <w:bCs/>
          <w:sz w:val="20"/>
          <w:szCs w:val="20"/>
        </w:rPr>
        <w:t xml:space="preserve">, budú výsledky odborného hodnotenia a výška alokácie. </w:t>
      </w:r>
    </w:p>
    <w:p w14:paraId="1BAF6F8E" w14:textId="35082770" w:rsidR="0083529B" w:rsidRPr="0083529B" w:rsidRDefault="0083529B" w:rsidP="0083529B">
      <w:pPr>
        <w:spacing w:before="120" w:after="120"/>
        <w:jc w:val="both"/>
        <w:rPr>
          <w:rFonts w:ascii="Arial" w:hAnsi="Arial" w:cs="Arial"/>
          <w:sz w:val="20"/>
          <w:szCs w:val="20"/>
        </w:rPr>
      </w:pPr>
      <w:r w:rsidRPr="0083529B">
        <w:rPr>
          <w:rFonts w:ascii="Arial" w:hAnsi="Arial" w:cs="Arial"/>
          <w:sz w:val="20"/>
          <w:szCs w:val="20"/>
        </w:rPr>
        <w:t>Celkovo možno konštatovať, že k 31.</w:t>
      </w:r>
      <w:r w:rsidR="00A0132C">
        <w:rPr>
          <w:rFonts w:ascii="Arial" w:hAnsi="Arial" w:cs="Arial"/>
          <w:sz w:val="20"/>
          <w:szCs w:val="20"/>
        </w:rPr>
        <w:t xml:space="preserve"> </w:t>
      </w:r>
      <w:r w:rsidRPr="0083529B">
        <w:rPr>
          <w:rFonts w:ascii="Arial" w:hAnsi="Arial" w:cs="Arial"/>
          <w:sz w:val="20"/>
          <w:szCs w:val="20"/>
        </w:rPr>
        <w:t>10.</w:t>
      </w:r>
      <w:r w:rsidR="00A0132C">
        <w:rPr>
          <w:rFonts w:ascii="Arial" w:hAnsi="Arial" w:cs="Arial"/>
          <w:sz w:val="20"/>
          <w:szCs w:val="20"/>
        </w:rPr>
        <w:t xml:space="preserve"> </w:t>
      </w:r>
      <w:r w:rsidRPr="0083529B">
        <w:rPr>
          <w:rFonts w:ascii="Arial" w:hAnsi="Arial" w:cs="Arial"/>
          <w:sz w:val="20"/>
          <w:szCs w:val="20"/>
        </w:rPr>
        <w:t xml:space="preserve">2016 bolo v rámci OP ŽP prijatých </w:t>
      </w:r>
      <w:r w:rsidRPr="00196495">
        <w:rPr>
          <w:rFonts w:ascii="Arial" w:hAnsi="Arial" w:cs="Arial"/>
          <w:sz w:val="20"/>
          <w:szCs w:val="20"/>
        </w:rPr>
        <w:t>3023 žiadostí o NFP, z toho bolo 133 žiadostí o NFP, ktorých problematika sa týka celého územia SR. Tieto žiadosti sú zamerané najmä na</w:t>
      </w:r>
      <w:r w:rsidRPr="0083529B">
        <w:rPr>
          <w:rFonts w:ascii="Arial" w:hAnsi="Arial" w:cs="Arial"/>
          <w:sz w:val="20"/>
          <w:szCs w:val="20"/>
        </w:rPr>
        <w:t xml:space="preserve"> zabezpečovanie primeraného sledovania a hodnotenia stavu povrchových a podzemných vôd a aktivity s tým súvisiace, ako aj na riešenie problematiky environmentálnych záťaží vrátane ich odstraňovania a projekty v rámci technickej pomoci. </w:t>
      </w:r>
    </w:p>
    <w:p w14:paraId="345764C4" w14:textId="77777777" w:rsidR="0083529B" w:rsidRPr="0083529B" w:rsidRDefault="0083529B" w:rsidP="0083529B">
      <w:pPr>
        <w:spacing w:before="120" w:after="120"/>
        <w:jc w:val="both"/>
        <w:rPr>
          <w:rFonts w:ascii="Arial" w:hAnsi="Arial" w:cs="Arial"/>
          <w:sz w:val="20"/>
          <w:szCs w:val="20"/>
        </w:rPr>
      </w:pPr>
      <w:r w:rsidRPr="0083529B">
        <w:rPr>
          <w:rFonts w:ascii="Arial" w:hAnsi="Arial" w:cs="Arial"/>
          <w:sz w:val="20"/>
          <w:szCs w:val="20"/>
        </w:rPr>
        <w:t>Najviac prijatých a zazmluvnených žiadostí o NFP zo všetkých prioritných osí pochádzalo z Prešovského kraja, ktorý je z hľadiska rozlohy najväčším krajom SR.</w:t>
      </w:r>
    </w:p>
    <w:p w14:paraId="17C1864D" w14:textId="245AD51B" w:rsidR="0083529B" w:rsidRPr="0083529B" w:rsidRDefault="0083529B" w:rsidP="0083529B">
      <w:pPr>
        <w:spacing w:before="120" w:after="120"/>
        <w:jc w:val="both"/>
        <w:rPr>
          <w:rFonts w:ascii="Arial" w:hAnsi="Arial" w:cs="Arial"/>
          <w:sz w:val="20"/>
          <w:szCs w:val="20"/>
        </w:rPr>
      </w:pPr>
      <w:r w:rsidRPr="0083529B">
        <w:rPr>
          <w:rFonts w:ascii="Arial" w:hAnsi="Arial" w:cs="Arial"/>
          <w:sz w:val="20"/>
          <w:szCs w:val="20"/>
        </w:rPr>
        <w:t xml:space="preserve">Z hľadiska kontrahovania finančných prostriedkov v rámci OP ŽP,  najviac finančných prostriedkov z fondov EÚ </w:t>
      </w:r>
      <w:r w:rsidR="00F06929">
        <w:rPr>
          <w:rFonts w:ascii="Arial" w:hAnsi="Arial" w:cs="Arial"/>
          <w:sz w:val="20"/>
          <w:szCs w:val="20"/>
        </w:rPr>
        <w:t xml:space="preserve">smerovalo </w:t>
      </w:r>
      <w:r w:rsidRPr="0083529B">
        <w:rPr>
          <w:rFonts w:ascii="Arial" w:hAnsi="Arial" w:cs="Arial"/>
          <w:sz w:val="20"/>
          <w:szCs w:val="20"/>
        </w:rPr>
        <w:t>do Žilinského, Prešovského a Košického kraja.</w:t>
      </w:r>
    </w:p>
    <w:p w14:paraId="7649FC4E" w14:textId="6AFB9049" w:rsidR="0083529B" w:rsidRPr="0083529B" w:rsidRDefault="0083529B" w:rsidP="0083529B">
      <w:pPr>
        <w:spacing w:before="120" w:after="120"/>
        <w:jc w:val="both"/>
        <w:rPr>
          <w:rFonts w:ascii="Arial" w:hAnsi="Arial" w:cs="Arial"/>
          <w:sz w:val="20"/>
          <w:szCs w:val="20"/>
        </w:rPr>
      </w:pPr>
      <w:r w:rsidRPr="0083529B">
        <w:rPr>
          <w:rFonts w:ascii="Arial" w:hAnsi="Arial" w:cs="Arial"/>
          <w:sz w:val="20"/>
          <w:szCs w:val="20"/>
        </w:rPr>
        <w:t xml:space="preserve">V rámci </w:t>
      </w:r>
      <w:r w:rsidRPr="0083529B">
        <w:rPr>
          <w:rFonts w:ascii="Arial" w:hAnsi="Arial" w:cs="Arial"/>
          <w:sz w:val="20"/>
          <w:szCs w:val="20"/>
          <w:u w:val="single"/>
        </w:rPr>
        <w:t>PO 1</w:t>
      </w:r>
      <w:r w:rsidRPr="0083529B">
        <w:rPr>
          <w:rFonts w:ascii="Arial" w:hAnsi="Arial" w:cs="Arial"/>
          <w:sz w:val="20"/>
          <w:szCs w:val="20"/>
        </w:rPr>
        <w:t xml:space="preserve"> bolo k dátumu 31. 12. 2015 prijatých 486 žiadostí o NFP, z toho najväčší počet žiadostí o NFP bol za Prešovský, Banskobystrický a Nitriansky kraj. K </w:t>
      </w:r>
      <w:r w:rsidR="00376CFC">
        <w:rPr>
          <w:rFonts w:ascii="Arial" w:hAnsi="Arial" w:cs="Arial"/>
          <w:sz w:val="20"/>
          <w:szCs w:val="20"/>
        </w:rPr>
        <w:t>31</w:t>
      </w:r>
      <w:r w:rsidRPr="0083529B">
        <w:rPr>
          <w:rFonts w:ascii="Arial" w:hAnsi="Arial" w:cs="Arial"/>
          <w:sz w:val="20"/>
          <w:szCs w:val="20"/>
        </w:rPr>
        <w:t xml:space="preserve">. </w:t>
      </w:r>
      <w:r w:rsidR="00376CFC">
        <w:rPr>
          <w:rFonts w:ascii="Arial" w:hAnsi="Arial" w:cs="Arial"/>
          <w:sz w:val="20"/>
          <w:szCs w:val="20"/>
        </w:rPr>
        <w:t>10</w:t>
      </w:r>
      <w:r w:rsidRPr="0083529B">
        <w:rPr>
          <w:rFonts w:ascii="Arial" w:hAnsi="Arial" w:cs="Arial"/>
          <w:sz w:val="20"/>
          <w:szCs w:val="20"/>
        </w:rPr>
        <w:t xml:space="preserve">. 2016 bolo zo 191 zazmluvnených projektov </w:t>
      </w:r>
      <w:r w:rsidR="00AB1895">
        <w:rPr>
          <w:rFonts w:ascii="Arial" w:hAnsi="Arial" w:cs="Arial"/>
          <w:sz w:val="20"/>
          <w:szCs w:val="20"/>
        </w:rPr>
        <w:t xml:space="preserve">a </w:t>
      </w:r>
      <w:r w:rsidRPr="0083529B">
        <w:rPr>
          <w:rFonts w:ascii="Arial" w:hAnsi="Arial" w:cs="Arial"/>
          <w:sz w:val="20"/>
          <w:szCs w:val="20"/>
        </w:rPr>
        <w:t>1</w:t>
      </w:r>
      <w:r w:rsidR="00AB1895">
        <w:rPr>
          <w:rFonts w:ascii="Arial" w:hAnsi="Arial" w:cs="Arial"/>
          <w:sz w:val="20"/>
          <w:szCs w:val="20"/>
        </w:rPr>
        <w:t>8</w:t>
      </w:r>
      <w:r w:rsidR="000A01E9">
        <w:rPr>
          <w:rFonts w:ascii="Arial" w:hAnsi="Arial" w:cs="Arial"/>
          <w:sz w:val="20"/>
          <w:szCs w:val="20"/>
        </w:rPr>
        <w:t>6</w:t>
      </w:r>
      <w:r w:rsidRPr="0083529B">
        <w:rPr>
          <w:rFonts w:ascii="Arial" w:hAnsi="Arial" w:cs="Arial"/>
          <w:sz w:val="20"/>
          <w:szCs w:val="20"/>
        </w:rPr>
        <w:t xml:space="preserve"> riadne ukončených, z toho 7 projektov so zazmluvnenou sumou vo výške 19 320 578,46 </w:t>
      </w:r>
      <w:r w:rsidR="00366C2D">
        <w:rPr>
          <w:rFonts w:ascii="Arial" w:hAnsi="Arial" w:cs="Arial"/>
          <w:sz w:val="20"/>
          <w:szCs w:val="20"/>
        </w:rPr>
        <w:t>€</w:t>
      </w:r>
      <w:r w:rsidRPr="0083529B">
        <w:rPr>
          <w:rFonts w:ascii="Arial" w:hAnsi="Arial" w:cs="Arial"/>
          <w:sz w:val="20"/>
          <w:szCs w:val="20"/>
        </w:rPr>
        <w:t xml:space="preserve"> z fondov EÚ je miestom realizácie celé územie SR. V rámci prioritnej osi 1 bolo zazmluvnených približne 40 % prijatých žiadosti o NFP. </w:t>
      </w:r>
    </w:p>
    <w:p w14:paraId="0F612F5B" w14:textId="0CBAF47A" w:rsidR="0083529B" w:rsidRPr="0083529B" w:rsidRDefault="0083529B" w:rsidP="0083529B">
      <w:pPr>
        <w:spacing w:before="120" w:after="120"/>
        <w:jc w:val="both"/>
        <w:rPr>
          <w:rFonts w:ascii="Arial" w:hAnsi="Arial" w:cs="Arial"/>
          <w:sz w:val="20"/>
          <w:szCs w:val="20"/>
        </w:rPr>
      </w:pPr>
      <w:r w:rsidRPr="0083529B">
        <w:rPr>
          <w:rFonts w:ascii="Arial" w:hAnsi="Arial" w:cs="Arial"/>
          <w:sz w:val="20"/>
          <w:szCs w:val="20"/>
        </w:rPr>
        <w:t xml:space="preserve">V rámci </w:t>
      </w:r>
      <w:r w:rsidRPr="0083529B">
        <w:rPr>
          <w:rFonts w:ascii="Arial" w:hAnsi="Arial" w:cs="Arial"/>
          <w:sz w:val="20"/>
          <w:szCs w:val="20"/>
          <w:u w:val="single"/>
        </w:rPr>
        <w:t>PO 2</w:t>
      </w:r>
      <w:r w:rsidRPr="0083529B">
        <w:rPr>
          <w:rFonts w:ascii="Arial" w:hAnsi="Arial" w:cs="Arial"/>
          <w:sz w:val="20"/>
          <w:szCs w:val="20"/>
        </w:rPr>
        <w:t xml:space="preserve"> bolo prijatých 521 žiadostí o NFP, najmä za Prešovský kraj, pričom 126 bolo zazmluvnených a 126 projektov riadne ukončených. Najviac </w:t>
      </w:r>
      <w:r w:rsidR="00A572D5" w:rsidRPr="0083529B">
        <w:rPr>
          <w:rFonts w:ascii="Arial" w:hAnsi="Arial" w:cs="Arial"/>
          <w:sz w:val="20"/>
          <w:szCs w:val="20"/>
        </w:rPr>
        <w:t>zazmluvnených</w:t>
      </w:r>
      <w:r w:rsidRPr="0083529B">
        <w:rPr>
          <w:rFonts w:ascii="Arial" w:hAnsi="Arial" w:cs="Arial"/>
          <w:sz w:val="20"/>
          <w:szCs w:val="20"/>
        </w:rPr>
        <w:t xml:space="preserve"> prostriedkov bolo v rámci Prešovského kraja, ktorý vykazuje aj najvyššie percento čerpania na alokáciu prioritnej osi </w:t>
      </w:r>
      <w:r w:rsidR="00376CFC">
        <w:rPr>
          <w:rFonts w:ascii="Arial" w:hAnsi="Arial" w:cs="Arial"/>
          <w:sz w:val="20"/>
          <w:szCs w:val="20"/>
        </w:rPr>
        <w:t>2</w:t>
      </w:r>
      <w:r w:rsidRPr="0083529B">
        <w:rPr>
          <w:rFonts w:ascii="Arial" w:hAnsi="Arial" w:cs="Arial"/>
          <w:sz w:val="20"/>
          <w:szCs w:val="20"/>
        </w:rPr>
        <w:t xml:space="preserve">. </w:t>
      </w:r>
    </w:p>
    <w:p w14:paraId="1E6262A5" w14:textId="77777777" w:rsidR="0083529B" w:rsidRPr="0083529B" w:rsidRDefault="0083529B" w:rsidP="0083529B">
      <w:pPr>
        <w:spacing w:before="120" w:after="120"/>
        <w:jc w:val="both"/>
        <w:rPr>
          <w:rFonts w:ascii="Arial" w:hAnsi="Arial" w:cs="Arial"/>
          <w:sz w:val="20"/>
          <w:szCs w:val="20"/>
        </w:rPr>
      </w:pPr>
      <w:r w:rsidRPr="0083529B">
        <w:rPr>
          <w:rFonts w:ascii="Arial" w:hAnsi="Arial" w:cs="Arial"/>
          <w:sz w:val="20"/>
          <w:szCs w:val="20"/>
        </w:rPr>
        <w:t xml:space="preserve">Pre </w:t>
      </w:r>
      <w:r w:rsidRPr="0083529B">
        <w:rPr>
          <w:rFonts w:ascii="Arial" w:hAnsi="Arial" w:cs="Arial"/>
          <w:sz w:val="20"/>
          <w:szCs w:val="20"/>
          <w:u w:val="single"/>
        </w:rPr>
        <w:t>PO 3</w:t>
      </w:r>
      <w:r w:rsidRPr="0083529B">
        <w:rPr>
          <w:rFonts w:ascii="Arial" w:hAnsi="Arial" w:cs="Arial"/>
          <w:sz w:val="20"/>
          <w:szCs w:val="20"/>
        </w:rPr>
        <w:t xml:space="preserve"> bolo prijatých spolu 377 žiadostí o NFP, a to najmä v rámci Žilinského, Prešovského a Trenčianskeho kraja. Oprávneným územím pre túto prioritnú os je celé územie SR mimo Bratislavského kraja. K 31. 12. 2015 bolo zazmluvnených a riadne ukončených 128 projektov, najmä v rámci Prešovského a Žilinského kraja. Najvyššia úroveň zazmluvnených prostriedkov bola dosiahnutá v Košickom a Banskobystrickom kraji, ktoré spolu tvorili takmer polovicu celkového zazmluvnenia na prioritnú os 3.  </w:t>
      </w:r>
    </w:p>
    <w:p w14:paraId="3F6F0A57" w14:textId="6FE7F9DC" w:rsidR="0083529B" w:rsidRPr="0083529B" w:rsidRDefault="0083529B" w:rsidP="0083529B">
      <w:pPr>
        <w:spacing w:before="120" w:after="120"/>
        <w:jc w:val="both"/>
        <w:rPr>
          <w:rFonts w:ascii="Arial" w:hAnsi="Arial" w:cs="Arial"/>
          <w:sz w:val="20"/>
          <w:szCs w:val="20"/>
        </w:rPr>
      </w:pPr>
      <w:r w:rsidRPr="0083529B">
        <w:rPr>
          <w:rFonts w:ascii="Arial" w:hAnsi="Arial" w:cs="Arial"/>
          <w:sz w:val="20"/>
          <w:szCs w:val="20"/>
        </w:rPr>
        <w:t xml:space="preserve">Spomedzi všetkých prioritných osí bol zaznamenaný najväčší počet prijatých žiadostí o NFP v rámci </w:t>
      </w:r>
      <w:r w:rsidRPr="0083529B">
        <w:rPr>
          <w:rFonts w:ascii="Arial" w:hAnsi="Arial" w:cs="Arial"/>
          <w:sz w:val="20"/>
          <w:szCs w:val="20"/>
          <w:u w:val="single"/>
        </w:rPr>
        <w:t>PO 4</w:t>
      </w:r>
      <w:r w:rsidRPr="0083529B">
        <w:rPr>
          <w:rFonts w:ascii="Arial" w:hAnsi="Arial" w:cs="Arial"/>
          <w:sz w:val="20"/>
          <w:szCs w:val="20"/>
        </w:rPr>
        <w:t>, a to najmä za Nitriansky, Prešovský, Trnavský</w:t>
      </w:r>
      <w:r w:rsidRPr="0083529B" w:rsidDel="00307708">
        <w:rPr>
          <w:rFonts w:ascii="Arial" w:hAnsi="Arial" w:cs="Arial"/>
          <w:sz w:val="20"/>
          <w:szCs w:val="20"/>
        </w:rPr>
        <w:t xml:space="preserve"> </w:t>
      </w:r>
      <w:r w:rsidRPr="0083529B">
        <w:rPr>
          <w:rFonts w:ascii="Arial" w:hAnsi="Arial" w:cs="Arial"/>
          <w:sz w:val="20"/>
          <w:szCs w:val="20"/>
        </w:rPr>
        <w:t xml:space="preserve">a Žilinský kraj. Z 1 543 prijatých žiadostí o NFP bolo k 31. 12. 2015 zazmluvnených 288 žiadostí o NFP, z toho najviac pre Nitriansky, Prešovský a Trnavský kraj. Riadne ukončených bolo 287 projektov. Podiel zazmluvnených prostriedkov jednotlivých regiónov na alokáciu prioritnej osi je okrem Bratislavského kraja viac menej vyrovnaný . Naj vyššia hodnota bola </w:t>
      </w:r>
      <w:r w:rsidR="00A572D5" w:rsidRPr="0083529B">
        <w:rPr>
          <w:rFonts w:ascii="Arial" w:hAnsi="Arial" w:cs="Arial"/>
          <w:sz w:val="20"/>
          <w:szCs w:val="20"/>
        </w:rPr>
        <w:t>dosiahnutá</w:t>
      </w:r>
      <w:r w:rsidRPr="0083529B">
        <w:rPr>
          <w:rFonts w:ascii="Arial" w:hAnsi="Arial" w:cs="Arial"/>
          <w:sz w:val="20"/>
          <w:szCs w:val="20"/>
        </w:rPr>
        <w:t xml:space="preserve"> v Banskobystrickom kraji s 20,16 % hodnotou. </w:t>
      </w:r>
    </w:p>
    <w:p w14:paraId="21EC8080" w14:textId="77777777" w:rsidR="0083529B" w:rsidRPr="0061697E" w:rsidRDefault="0083529B" w:rsidP="0083529B">
      <w:pPr>
        <w:spacing w:before="120" w:after="120"/>
        <w:jc w:val="both"/>
        <w:rPr>
          <w:rFonts w:ascii="Arial" w:hAnsi="Arial" w:cs="Arial"/>
          <w:sz w:val="20"/>
          <w:szCs w:val="20"/>
        </w:rPr>
      </w:pPr>
      <w:r w:rsidRPr="0083529B">
        <w:rPr>
          <w:rFonts w:ascii="Arial" w:hAnsi="Arial" w:cs="Arial"/>
          <w:sz w:val="20"/>
          <w:szCs w:val="20"/>
        </w:rPr>
        <w:t xml:space="preserve">V rámci </w:t>
      </w:r>
      <w:r w:rsidRPr="0083529B">
        <w:rPr>
          <w:rFonts w:ascii="Arial" w:hAnsi="Arial" w:cs="Arial"/>
          <w:sz w:val="20"/>
          <w:szCs w:val="20"/>
          <w:u w:val="single"/>
        </w:rPr>
        <w:t>PO 5</w:t>
      </w:r>
      <w:r w:rsidRPr="0083529B">
        <w:rPr>
          <w:rFonts w:ascii="Arial" w:hAnsi="Arial" w:cs="Arial"/>
          <w:sz w:val="20"/>
          <w:szCs w:val="20"/>
        </w:rPr>
        <w:t xml:space="preserve"> bolo prijatých 66 žiadostí o NFP, najmä projekty, ktoré riešia celé územie SR (35 prijatých žiadostí o NFP). Z nich bolo 42 zazmluvnených a riadne ukončených.</w:t>
      </w:r>
    </w:p>
    <w:p w14:paraId="4CF70EFE" w14:textId="1E74141B" w:rsidR="003C14CC" w:rsidRDefault="0083529B" w:rsidP="0083529B">
      <w:pPr>
        <w:spacing w:before="120" w:after="120"/>
        <w:jc w:val="both"/>
        <w:rPr>
          <w:rFonts w:ascii="Arial" w:hAnsi="Arial" w:cs="Arial"/>
          <w:sz w:val="20"/>
          <w:szCs w:val="20"/>
        </w:rPr>
      </w:pPr>
      <w:r w:rsidRPr="0061697E">
        <w:rPr>
          <w:rFonts w:ascii="Arial" w:hAnsi="Arial" w:cs="Arial"/>
          <w:sz w:val="20"/>
          <w:szCs w:val="20"/>
        </w:rPr>
        <w:t xml:space="preserve">Zoznam schválených </w:t>
      </w:r>
      <w:r w:rsidRPr="006C6ABC">
        <w:rPr>
          <w:rFonts w:ascii="Arial" w:hAnsi="Arial" w:cs="Arial"/>
          <w:sz w:val="20"/>
          <w:szCs w:val="20"/>
        </w:rPr>
        <w:t>proj</w:t>
      </w:r>
      <w:r w:rsidRPr="00CA69BE">
        <w:rPr>
          <w:rFonts w:ascii="Arial" w:hAnsi="Arial" w:cs="Arial"/>
          <w:sz w:val="20"/>
          <w:szCs w:val="20"/>
        </w:rPr>
        <w:t xml:space="preserve">ektov s objemom zazmluvnených prostriedkov je zverejnený na </w:t>
      </w:r>
      <w:bookmarkStart w:id="21" w:name="OLE_LINK33"/>
      <w:bookmarkStart w:id="22" w:name="OLE_LINK34"/>
      <w:r w:rsidRPr="00CA69BE">
        <w:rPr>
          <w:rFonts w:ascii="Arial" w:hAnsi="Arial" w:cs="Arial"/>
          <w:sz w:val="20"/>
          <w:szCs w:val="20"/>
        </w:rPr>
        <w:t>webovom sídle</w:t>
      </w:r>
      <w:bookmarkEnd w:id="21"/>
      <w:bookmarkEnd w:id="22"/>
      <w:r w:rsidRPr="00CA69BE">
        <w:rPr>
          <w:rFonts w:ascii="Arial" w:hAnsi="Arial" w:cs="Arial"/>
          <w:sz w:val="20"/>
          <w:szCs w:val="20"/>
        </w:rPr>
        <w:t xml:space="preserve"> </w:t>
      </w:r>
      <w:hyperlink r:id="rId18" w:history="1">
        <w:r w:rsidR="00A87393" w:rsidRPr="00A87393">
          <w:rPr>
            <w:rStyle w:val="Hypertextovprepojenie"/>
            <w:rFonts w:ascii="Arial" w:hAnsi="Arial" w:cs="Arial"/>
            <w:sz w:val="20"/>
            <w:szCs w:val="20"/>
          </w:rPr>
          <w:t>www.opzp.sk</w:t>
        </w:r>
      </w:hyperlink>
      <w:r w:rsidR="00A87393">
        <w:rPr>
          <w:rFonts w:ascii="Arial" w:hAnsi="Arial" w:cs="Arial"/>
          <w:sz w:val="20"/>
          <w:szCs w:val="20"/>
        </w:rPr>
        <w:t xml:space="preserve"> v časti </w:t>
      </w:r>
      <w:r w:rsidR="00A87393" w:rsidRPr="00A87393">
        <w:rPr>
          <w:rFonts w:ascii="Arial" w:hAnsi="Arial" w:cs="Arial"/>
          <w:sz w:val="20"/>
          <w:szCs w:val="20"/>
        </w:rPr>
        <w:t>Hlavná stránka &gt; Projekty &gt; Zoznamy OPŽP &gt; Zoznam prijímateľov z</w:t>
      </w:r>
      <w:r w:rsidR="00473D0F">
        <w:rPr>
          <w:rFonts w:ascii="Arial" w:hAnsi="Arial" w:cs="Arial"/>
          <w:sz w:val="20"/>
          <w:szCs w:val="20"/>
        </w:rPr>
        <w:t> </w:t>
      </w:r>
      <w:r w:rsidR="00A87393" w:rsidRPr="00A87393">
        <w:rPr>
          <w:rFonts w:ascii="Arial" w:hAnsi="Arial" w:cs="Arial"/>
          <w:sz w:val="20"/>
          <w:szCs w:val="20"/>
        </w:rPr>
        <w:t>OPŽP</w:t>
      </w:r>
      <w:r w:rsidR="00473D0F">
        <w:rPr>
          <w:rFonts w:ascii="Arial" w:hAnsi="Arial" w:cs="Arial"/>
          <w:sz w:val="20"/>
          <w:szCs w:val="20"/>
        </w:rPr>
        <w:t>.</w:t>
      </w:r>
      <w:r w:rsidR="00A87393" w:rsidRPr="00A87393">
        <w:rPr>
          <w:rFonts w:ascii="Arial" w:hAnsi="Arial" w:cs="Arial"/>
          <w:sz w:val="20"/>
          <w:szCs w:val="20"/>
        </w:rPr>
        <w:t xml:space="preserve"> </w:t>
      </w:r>
      <w:r w:rsidR="00473D0F">
        <w:rPr>
          <w:rFonts w:ascii="Arial" w:hAnsi="Arial" w:cs="Arial"/>
          <w:sz w:val="20"/>
          <w:szCs w:val="20"/>
        </w:rPr>
        <w:t>Z</w:t>
      </w:r>
      <w:r w:rsidRPr="00CA69BE">
        <w:rPr>
          <w:rFonts w:ascii="Arial" w:hAnsi="Arial" w:cs="Arial"/>
          <w:sz w:val="20"/>
          <w:szCs w:val="20"/>
        </w:rPr>
        <w:t>oznam schválených projektov s uvedením stavu k 31.</w:t>
      </w:r>
      <w:r>
        <w:rPr>
          <w:rFonts w:ascii="Arial" w:hAnsi="Arial" w:cs="Arial"/>
          <w:sz w:val="20"/>
          <w:szCs w:val="20"/>
        </w:rPr>
        <w:t>10</w:t>
      </w:r>
      <w:r w:rsidRPr="00CA69BE">
        <w:rPr>
          <w:rFonts w:ascii="Arial" w:hAnsi="Arial" w:cs="Arial"/>
          <w:sz w:val="20"/>
          <w:szCs w:val="20"/>
        </w:rPr>
        <w:t>.</w:t>
      </w:r>
      <w:r>
        <w:rPr>
          <w:rFonts w:ascii="Arial" w:hAnsi="Arial" w:cs="Arial"/>
          <w:sz w:val="20"/>
          <w:szCs w:val="20"/>
        </w:rPr>
        <w:t>2016</w:t>
      </w:r>
      <w:r w:rsidRPr="00CA69BE">
        <w:rPr>
          <w:rFonts w:ascii="Arial" w:hAnsi="Arial" w:cs="Arial"/>
          <w:sz w:val="20"/>
          <w:szCs w:val="20"/>
        </w:rPr>
        <w:t xml:space="preserve"> je súčasťou Prílohy č. 9.</w:t>
      </w:r>
    </w:p>
    <w:p w14:paraId="05D8249E" w14:textId="6D6FD0E0" w:rsidR="002416B1" w:rsidRPr="00E21C60" w:rsidRDefault="002416B1" w:rsidP="003C14CC">
      <w:pPr>
        <w:tabs>
          <w:tab w:val="left" w:pos="8025"/>
        </w:tabs>
        <w:rPr>
          <w:rFonts w:ascii="Arial" w:hAnsi="Arial" w:cs="Arial"/>
          <w:sz w:val="20"/>
          <w:szCs w:val="20"/>
        </w:rPr>
      </w:pPr>
      <w:r w:rsidRPr="00E21C60">
        <w:rPr>
          <w:rFonts w:ascii="Arial" w:hAnsi="Arial" w:cs="Arial"/>
          <w:sz w:val="20"/>
          <w:szCs w:val="20"/>
        </w:rPr>
        <w:t>Tab</w:t>
      </w:r>
      <w:r w:rsidR="002D428A" w:rsidRPr="00E21C60">
        <w:rPr>
          <w:rFonts w:ascii="Arial" w:hAnsi="Arial" w:cs="Arial"/>
          <w:sz w:val="20"/>
          <w:szCs w:val="20"/>
        </w:rPr>
        <w:t>uľka</w:t>
      </w:r>
      <w:r w:rsidRPr="00E21C60">
        <w:rPr>
          <w:rFonts w:ascii="Arial" w:hAnsi="Arial" w:cs="Arial"/>
          <w:sz w:val="20"/>
          <w:szCs w:val="20"/>
        </w:rPr>
        <w:t xml:space="preserve"> č.</w:t>
      </w:r>
      <w:r w:rsidR="007B1CB9">
        <w:rPr>
          <w:rFonts w:ascii="Arial" w:hAnsi="Arial" w:cs="Arial"/>
          <w:sz w:val="20"/>
          <w:szCs w:val="20"/>
        </w:rPr>
        <w:t>20</w:t>
      </w:r>
      <w:r w:rsidRPr="00E21C60">
        <w:rPr>
          <w:rFonts w:ascii="Arial" w:hAnsi="Arial" w:cs="Arial"/>
          <w:sz w:val="20"/>
          <w:szCs w:val="20"/>
        </w:rPr>
        <w:t>: Fyzická implementácia podľa NUTS III k 31.</w:t>
      </w:r>
      <w:r w:rsidR="00E94433" w:rsidRPr="00E21C60">
        <w:rPr>
          <w:rFonts w:ascii="Arial" w:hAnsi="Arial" w:cs="Arial"/>
          <w:sz w:val="20"/>
          <w:szCs w:val="20"/>
        </w:rPr>
        <w:t>1</w:t>
      </w:r>
      <w:r w:rsidR="00E94433">
        <w:rPr>
          <w:rFonts w:ascii="Arial" w:hAnsi="Arial" w:cs="Arial"/>
          <w:sz w:val="20"/>
          <w:szCs w:val="20"/>
        </w:rPr>
        <w:t>0</w:t>
      </w:r>
      <w:r w:rsidRPr="00E21C60">
        <w:rPr>
          <w:rFonts w:ascii="Arial" w:hAnsi="Arial" w:cs="Arial"/>
          <w:sz w:val="20"/>
          <w:szCs w:val="20"/>
        </w:rPr>
        <w:t>.</w:t>
      </w:r>
      <w:r w:rsidR="00E94433">
        <w:rPr>
          <w:rFonts w:ascii="Arial" w:hAnsi="Arial" w:cs="Arial"/>
          <w:sz w:val="20"/>
          <w:szCs w:val="20"/>
        </w:rPr>
        <w:t>2016</w:t>
      </w:r>
      <w:r w:rsidR="003C14CC">
        <w:rPr>
          <w:rFonts w:ascii="Arial" w:hAnsi="Arial" w:cs="Arial"/>
          <w:sz w:val="20"/>
          <w:szCs w:val="20"/>
        </w:rPr>
        <w:tab/>
      </w:r>
    </w:p>
    <w:tbl>
      <w:tblPr>
        <w:tblW w:w="9060" w:type="dxa"/>
        <w:tblInd w:w="55" w:type="dxa"/>
        <w:tblCellMar>
          <w:left w:w="70" w:type="dxa"/>
          <w:right w:w="70" w:type="dxa"/>
        </w:tblCellMar>
        <w:tblLook w:val="04A0" w:firstRow="1" w:lastRow="0" w:firstColumn="1" w:lastColumn="0" w:noHBand="0" w:noVBand="1"/>
      </w:tblPr>
      <w:tblGrid>
        <w:gridCol w:w="1420"/>
        <w:gridCol w:w="2060"/>
        <w:gridCol w:w="1860"/>
        <w:gridCol w:w="1860"/>
        <w:gridCol w:w="1860"/>
      </w:tblGrid>
      <w:tr w:rsidR="002D428A" w:rsidRPr="00E21C60" w14:paraId="5541F173" w14:textId="77777777" w:rsidTr="007D7B08">
        <w:trPr>
          <w:trHeight w:val="255"/>
        </w:trPr>
        <w:tc>
          <w:tcPr>
            <w:tcW w:w="1420" w:type="dxa"/>
            <w:vMerge w:val="restart"/>
            <w:tcBorders>
              <w:top w:val="single" w:sz="12" w:space="0" w:color="auto"/>
              <w:left w:val="single" w:sz="12" w:space="0" w:color="auto"/>
              <w:bottom w:val="single" w:sz="12" w:space="0" w:color="auto"/>
              <w:right w:val="single" w:sz="6" w:space="0" w:color="auto"/>
            </w:tcBorders>
            <w:shd w:val="clear" w:color="auto" w:fill="C2D69B" w:themeFill="accent3" w:themeFillTint="99"/>
            <w:vAlign w:val="center"/>
            <w:hideMark/>
          </w:tcPr>
          <w:p w14:paraId="50016B35" w14:textId="77777777" w:rsidR="002D428A" w:rsidRPr="00E21C60" w:rsidRDefault="002D428A">
            <w:pPr>
              <w:jc w:val="center"/>
              <w:rPr>
                <w:rFonts w:ascii="Arial" w:hAnsi="Arial" w:cs="Arial"/>
                <w:b/>
                <w:bCs/>
                <w:color w:val="000000"/>
                <w:sz w:val="16"/>
                <w:szCs w:val="16"/>
              </w:rPr>
            </w:pPr>
            <w:r w:rsidRPr="00E21C60">
              <w:rPr>
                <w:rFonts w:ascii="Arial" w:hAnsi="Arial" w:cs="Arial"/>
                <w:b/>
                <w:bCs/>
                <w:color w:val="000000"/>
                <w:sz w:val="16"/>
                <w:szCs w:val="16"/>
              </w:rPr>
              <w:t>Prioritná os</w:t>
            </w:r>
          </w:p>
        </w:tc>
        <w:tc>
          <w:tcPr>
            <w:tcW w:w="2060" w:type="dxa"/>
            <w:vMerge w:val="restart"/>
            <w:tcBorders>
              <w:top w:val="single" w:sz="12" w:space="0" w:color="auto"/>
              <w:left w:val="single" w:sz="6" w:space="0" w:color="auto"/>
              <w:bottom w:val="single" w:sz="12" w:space="0" w:color="auto"/>
              <w:right w:val="single" w:sz="6" w:space="0" w:color="auto"/>
            </w:tcBorders>
            <w:shd w:val="clear" w:color="auto" w:fill="C2D69B" w:themeFill="accent3" w:themeFillTint="99"/>
            <w:vAlign w:val="center"/>
            <w:hideMark/>
          </w:tcPr>
          <w:p w14:paraId="617AB7BA" w14:textId="77777777" w:rsidR="002D428A" w:rsidRPr="00E21C60" w:rsidRDefault="002D428A" w:rsidP="001A5797">
            <w:pPr>
              <w:jc w:val="center"/>
              <w:rPr>
                <w:rFonts w:ascii="Arial" w:hAnsi="Arial" w:cs="Arial"/>
                <w:b/>
                <w:bCs/>
                <w:color w:val="000000"/>
                <w:sz w:val="16"/>
                <w:szCs w:val="16"/>
              </w:rPr>
            </w:pPr>
            <w:r w:rsidRPr="00E21C60">
              <w:rPr>
                <w:rFonts w:ascii="Arial" w:hAnsi="Arial" w:cs="Arial"/>
                <w:b/>
                <w:bCs/>
                <w:color w:val="000000"/>
                <w:sz w:val="16"/>
                <w:szCs w:val="16"/>
              </w:rPr>
              <w:t>Región NUTS III</w:t>
            </w:r>
          </w:p>
        </w:tc>
        <w:tc>
          <w:tcPr>
            <w:tcW w:w="1860" w:type="dxa"/>
            <w:vMerge w:val="restart"/>
            <w:tcBorders>
              <w:top w:val="single" w:sz="12" w:space="0" w:color="auto"/>
              <w:left w:val="single" w:sz="6" w:space="0" w:color="auto"/>
              <w:bottom w:val="single" w:sz="12" w:space="0" w:color="auto"/>
              <w:right w:val="single" w:sz="6" w:space="0" w:color="auto"/>
            </w:tcBorders>
            <w:shd w:val="clear" w:color="auto" w:fill="C2D69B" w:themeFill="accent3" w:themeFillTint="99"/>
            <w:vAlign w:val="center"/>
            <w:hideMark/>
          </w:tcPr>
          <w:p w14:paraId="3BE754DB" w14:textId="77777777" w:rsidR="002D428A" w:rsidRPr="00E21C60" w:rsidRDefault="002D428A">
            <w:pPr>
              <w:jc w:val="center"/>
              <w:rPr>
                <w:rFonts w:ascii="Arial" w:hAnsi="Arial" w:cs="Arial"/>
                <w:b/>
                <w:bCs/>
                <w:color w:val="000000"/>
                <w:sz w:val="16"/>
                <w:szCs w:val="16"/>
              </w:rPr>
            </w:pPr>
            <w:r w:rsidRPr="00E21C60">
              <w:rPr>
                <w:rFonts w:ascii="Arial" w:hAnsi="Arial" w:cs="Arial"/>
                <w:b/>
                <w:bCs/>
                <w:color w:val="000000"/>
                <w:sz w:val="16"/>
                <w:szCs w:val="16"/>
              </w:rPr>
              <w:t>Počet prijatých ŽoNFP</w:t>
            </w:r>
          </w:p>
        </w:tc>
        <w:tc>
          <w:tcPr>
            <w:tcW w:w="1860" w:type="dxa"/>
            <w:vMerge w:val="restart"/>
            <w:tcBorders>
              <w:top w:val="single" w:sz="12" w:space="0" w:color="auto"/>
              <w:left w:val="single" w:sz="6" w:space="0" w:color="auto"/>
              <w:bottom w:val="single" w:sz="12" w:space="0" w:color="auto"/>
              <w:right w:val="single" w:sz="6" w:space="0" w:color="auto"/>
            </w:tcBorders>
            <w:shd w:val="clear" w:color="auto" w:fill="C2D69B" w:themeFill="accent3" w:themeFillTint="99"/>
            <w:vAlign w:val="center"/>
            <w:hideMark/>
          </w:tcPr>
          <w:p w14:paraId="34AF19D2" w14:textId="77777777" w:rsidR="002D428A" w:rsidRPr="00E21C60" w:rsidRDefault="002D428A">
            <w:pPr>
              <w:jc w:val="center"/>
              <w:rPr>
                <w:rFonts w:ascii="Arial" w:hAnsi="Arial" w:cs="Arial"/>
                <w:b/>
                <w:bCs/>
                <w:color w:val="000000"/>
                <w:sz w:val="16"/>
                <w:szCs w:val="16"/>
              </w:rPr>
            </w:pPr>
            <w:r w:rsidRPr="00E21C60">
              <w:rPr>
                <w:rFonts w:ascii="Arial" w:hAnsi="Arial" w:cs="Arial"/>
                <w:b/>
                <w:bCs/>
                <w:color w:val="000000"/>
                <w:sz w:val="16"/>
                <w:szCs w:val="16"/>
              </w:rPr>
              <w:t>Počet zazmluvnených projektov</w:t>
            </w:r>
          </w:p>
        </w:tc>
        <w:tc>
          <w:tcPr>
            <w:tcW w:w="1860" w:type="dxa"/>
            <w:vMerge w:val="restart"/>
            <w:tcBorders>
              <w:top w:val="single" w:sz="12" w:space="0" w:color="auto"/>
              <w:left w:val="single" w:sz="6" w:space="0" w:color="auto"/>
              <w:bottom w:val="single" w:sz="12" w:space="0" w:color="auto"/>
              <w:right w:val="single" w:sz="12" w:space="0" w:color="auto"/>
            </w:tcBorders>
            <w:shd w:val="clear" w:color="auto" w:fill="C2D69B" w:themeFill="accent3" w:themeFillTint="99"/>
            <w:vAlign w:val="center"/>
            <w:hideMark/>
          </w:tcPr>
          <w:p w14:paraId="3C7E52F9" w14:textId="77777777" w:rsidR="002D428A" w:rsidRPr="00E21C60" w:rsidRDefault="002D428A">
            <w:pPr>
              <w:jc w:val="center"/>
              <w:rPr>
                <w:rFonts w:ascii="Arial" w:hAnsi="Arial" w:cs="Arial"/>
                <w:b/>
                <w:bCs/>
                <w:color w:val="000000"/>
                <w:sz w:val="16"/>
                <w:szCs w:val="16"/>
              </w:rPr>
            </w:pPr>
            <w:r w:rsidRPr="00E21C60">
              <w:rPr>
                <w:rFonts w:ascii="Arial" w:hAnsi="Arial" w:cs="Arial"/>
                <w:b/>
                <w:bCs/>
                <w:color w:val="000000"/>
                <w:sz w:val="16"/>
                <w:szCs w:val="16"/>
              </w:rPr>
              <w:t>Počet riadne ukončených projektov</w:t>
            </w:r>
          </w:p>
        </w:tc>
      </w:tr>
      <w:tr w:rsidR="002D428A" w:rsidRPr="00E21C60" w14:paraId="4C2BFDAB" w14:textId="77777777" w:rsidTr="007D7B08">
        <w:trPr>
          <w:trHeight w:val="495"/>
        </w:trPr>
        <w:tc>
          <w:tcPr>
            <w:tcW w:w="1420" w:type="dxa"/>
            <w:vMerge/>
            <w:tcBorders>
              <w:top w:val="single" w:sz="6" w:space="0" w:color="auto"/>
              <w:left w:val="single" w:sz="12" w:space="0" w:color="auto"/>
              <w:bottom w:val="single" w:sz="12" w:space="0" w:color="auto"/>
              <w:right w:val="single" w:sz="6" w:space="0" w:color="auto"/>
            </w:tcBorders>
            <w:shd w:val="clear" w:color="auto" w:fill="C2D69B" w:themeFill="accent3" w:themeFillTint="99"/>
            <w:vAlign w:val="center"/>
            <w:hideMark/>
          </w:tcPr>
          <w:p w14:paraId="5DD89E32" w14:textId="77777777" w:rsidR="002D428A" w:rsidRPr="00E21C60" w:rsidRDefault="002D428A">
            <w:pPr>
              <w:rPr>
                <w:rFonts w:ascii="Arial" w:hAnsi="Arial" w:cs="Arial"/>
                <w:b/>
                <w:bCs/>
                <w:color w:val="000000"/>
                <w:sz w:val="16"/>
                <w:szCs w:val="16"/>
              </w:rPr>
            </w:pPr>
          </w:p>
        </w:tc>
        <w:tc>
          <w:tcPr>
            <w:tcW w:w="2060" w:type="dxa"/>
            <w:vMerge/>
            <w:tcBorders>
              <w:top w:val="single" w:sz="6" w:space="0" w:color="auto"/>
              <w:left w:val="single" w:sz="6" w:space="0" w:color="auto"/>
              <w:bottom w:val="single" w:sz="12" w:space="0" w:color="auto"/>
              <w:right w:val="single" w:sz="6" w:space="0" w:color="auto"/>
            </w:tcBorders>
            <w:shd w:val="clear" w:color="auto" w:fill="C2D69B" w:themeFill="accent3" w:themeFillTint="99"/>
            <w:vAlign w:val="center"/>
            <w:hideMark/>
          </w:tcPr>
          <w:p w14:paraId="5A39C0B3" w14:textId="77777777" w:rsidR="002D428A" w:rsidRPr="00E21C60" w:rsidRDefault="002D428A" w:rsidP="006B3ADD">
            <w:pPr>
              <w:jc w:val="center"/>
              <w:rPr>
                <w:rFonts w:ascii="Arial" w:hAnsi="Arial" w:cs="Arial"/>
                <w:b/>
                <w:bCs/>
                <w:color w:val="000000"/>
                <w:sz w:val="16"/>
                <w:szCs w:val="16"/>
              </w:rPr>
            </w:pPr>
          </w:p>
        </w:tc>
        <w:tc>
          <w:tcPr>
            <w:tcW w:w="1860" w:type="dxa"/>
            <w:vMerge/>
            <w:tcBorders>
              <w:top w:val="single" w:sz="6" w:space="0" w:color="auto"/>
              <w:left w:val="single" w:sz="6" w:space="0" w:color="auto"/>
              <w:bottom w:val="single" w:sz="12" w:space="0" w:color="auto"/>
              <w:right w:val="single" w:sz="6" w:space="0" w:color="auto"/>
            </w:tcBorders>
            <w:shd w:val="clear" w:color="auto" w:fill="C2D69B" w:themeFill="accent3" w:themeFillTint="99"/>
            <w:vAlign w:val="center"/>
            <w:hideMark/>
          </w:tcPr>
          <w:p w14:paraId="74A27960" w14:textId="77777777" w:rsidR="002D428A" w:rsidRPr="00E21C60" w:rsidRDefault="002D428A" w:rsidP="006B3ADD">
            <w:pPr>
              <w:jc w:val="center"/>
              <w:rPr>
                <w:rFonts w:ascii="Arial" w:hAnsi="Arial" w:cs="Arial"/>
                <w:b/>
                <w:bCs/>
                <w:color w:val="000000"/>
                <w:sz w:val="16"/>
                <w:szCs w:val="16"/>
              </w:rPr>
            </w:pPr>
          </w:p>
        </w:tc>
        <w:tc>
          <w:tcPr>
            <w:tcW w:w="1860" w:type="dxa"/>
            <w:vMerge/>
            <w:tcBorders>
              <w:top w:val="single" w:sz="6" w:space="0" w:color="auto"/>
              <w:left w:val="single" w:sz="6" w:space="0" w:color="auto"/>
              <w:bottom w:val="single" w:sz="12" w:space="0" w:color="auto"/>
              <w:right w:val="single" w:sz="6" w:space="0" w:color="auto"/>
            </w:tcBorders>
            <w:shd w:val="clear" w:color="auto" w:fill="C2D69B" w:themeFill="accent3" w:themeFillTint="99"/>
            <w:vAlign w:val="center"/>
            <w:hideMark/>
          </w:tcPr>
          <w:p w14:paraId="18175CBA" w14:textId="77777777" w:rsidR="002D428A" w:rsidRPr="00E21C60" w:rsidRDefault="002D428A" w:rsidP="006B3ADD">
            <w:pPr>
              <w:jc w:val="center"/>
              <w:rPr>
                <w:rFonts w:ascii="Arial" w:hAnsi="Arial" w:cs="Arial"/>
                <w:b/>
                <w:bCs/>
                <w:color w:val="000000"/>
                <w:sz w:val="16"/>
                <w:szCs w:val="16"/>
              </w:rPr>
            </w:pPr>
          </w:p>
        </w:tc>
        <w:tc>
          <w:tcPr>
            <w:tcW w:w="1860" w:type="dxa"/>
            <w:vMerge/>
            <w:tcBorders>
              <w:top w:val="single" w:sz="6" w:space="0" w:color="auto"/>
              <w:left w:val="single" w:sz="6" w:space="0" w:color="auto"/>
              <w:bottom w:val="single" w:sz="12" w:space="0" w:color="auto"/>
              <w:right w:val="single" w:sz="12" w:space="0" w:color="auto"/>
            </w:tcBorders>
            <w:shd w:val="clear" w:color="auto" w:fill="C2D69B" w:themeFill="accent3" w:themeFillTint="99"/>
            <w:vAlign w:val="center"/>
            <w:hideMark/>
          </w:tcPr>
          <w:p w14:paraId="534D00FE" w14:textId="77777777" w:rsidR="002D428A" w:rsidRPr="00E21C60" w:rsidRDefault="002D428A" w:rsidP="006B3ADD">
            <w:pPr>
              <w:jc w:val="center"/>
              <w:rPr>
                <w:rFonts w:ascii="Arial" w:hAnsi="Arial" w:cs="Arial"/>
                <w:b/>
                <w:bCs/>
                <w:color w:val="000000"/>
                <w:sz w:val="16"/>
                <w:szCs w:val="16"/>
              </w:rPr>
            </w:pPr>
          </w:p>
        </w:tc>
      </w:tr>
      <w:tr w:rsidR="0083529B" w:rsidRPr="00E21C60" w14:paraId="038D5D65" w14:textId="77777777" w:rsidTr="007831CE">
        <w:trPr>
          <w:trHeight w:val="240"/>
        </w:trPr>
        <w:tc>
          <w:tcPr>
            <w:tcW w:w="1420" w:type="dxa"/>
            <w:vMerge w:val="restart"/>
            <w:tcBorders>
              <w:top w:val="single" w:sz="12" w:space="0" w:color="auto"/>
              <w:left w:val="single" w:sz="12" w:space="0" w:color="auto"/>
              <w:bottom w:val="single" w:sz="6" w:space="0" w:color="auto"/>
              <w:right w:val="single" w:sz="6" w:space="0" w:color="auto"/>
            </w:tcBorders>
            <w:shd w:val="clear" w:color="auto" w:fill="auto"/>
            <w:vAlign w:val="center"/>
            <w:hideMark/>
          </w:tcPr>
          <w:p w14:paraId="4EAF6A74" w14:textId="77777777" w:rsidR="0083529B" w:rsidRPr="002526CC" w:rsidRDefault="0083529B" w:rsidP="00F51E17">
            <w:pPr>
              <w:jc w:val="center"/>
              <w:rPr>
                <w:rFonts w:ascii="Arial" w:hAnsi="Arial" w:cs="Arial"/>
                <w:color w:val="000000"/>
                <w:sz w:val="16"/>
                <w:szCs w:val="16"/>
              </w:rPr>
            </w:pPr>
            <w:r w:rsidRPr="002526CC">
              <w:rPr>
                <w:rFonts w:ascii="Arial" w:hAnsi="Arial" w:cs="Arial"/>
                <w:color w:val="000000"/>
                <w:sz w:val="16"/>
                <w:szCs w:val="16"/>
              </w:rPr>
              <w:t>Prioritná os 1</w:t>
            </w:r>
          </w:p>
        </w:tc>
        <w:tc>
          <w:tcPr>
            <w:tcW w:w="2060" w:type="dxa"/>
            <w:tcBorders>
              <w:top w:val="single" w:sz="12" w:space="0" w:color="auto"/>
              <w:left w:val="single" w:sz="6" w:space="0" w:color="auto"/>
              <w:bottom w:val="single" w:sz="6" w:space="0" w:color="auto"/>
              <w:right w:val="single" w:sz="6" w:space="0" w:color="auto"/>
            </w:tcBorders>
            <w:shd w:val="clear" w:color="auto" w:fill="auto"/>
            <w:vAlign w:val="center"/>
          </w:tcPr>
          <w:p w14:paraId="3A93BC1B" w14:textId="329ED4D2"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Banskobystrický kraj</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50A43B16" w14:textId="12574C64"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79</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477BAEAE" w14:textId="3A1A5279"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31</w:t>
            </w:r>
          </w:p>
        </w:tc>
        <w:tc>
          <w:tcPr>
            <w:tcW w:w="1860" w:type="dxa"/>
            <w:tcBorders>
              <w:top w:val="single" w:sz="12" w:space="0" w:color="auto"/>
              <w:left w:val="single" w:sz="6" w:space="0" w:color="auto"/>
              <w:bottom w:val="single" w:sz="6" w:space="0" w:color="auto"/>
              <w:right w:val="single" w:sz="12" w:space="0" w:color="auto"/>
            </w:tcBorders>
            <w:shd w:val="clear" w:color="auto" w:fill="auto"/>
            <w:vAlign w:val="center"/>
          </w:tcPr>
          <w:p w14:paraId="6EE9346E" w14:textId="24A37482" w:rsidR="0083529B" w:rsidRPr="00265459" w:rsidRDefault="00865C2B" w:rsidP="00F51E17">
            <w:pPr>
              <w:jc w:val="center"/>
              <w:rPr>
                <w:rFonts w:ascii="Arial" w:hAnsi="Arial" w:cs="Arial"/>
                <w:color w:val="000000"/>
                <w:sz w:val="16"/>
                <w:szCs w:val="16"/>
              </w:rPr>
            </w:pPr>
            <w:r>
              <w:rPr>
                <w:rFonts w:ascii="Arial" w:hAnsi="Arial" w:cs="Arial"/>
                <w:color w:val="000000"/>
                <w:sz w:val="16"/>
                <w:szCs w:val="16"/>
              </w:rPr>
              <w:t>31</w:t>
            </w:r>
          </w:p>
        </w:tc>
      </w:tr>
      <w:tr w:rsidR="0083529B" w:rsidRPr="00E21C60" w14:paraId="17624C73"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6144A1DD"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210281A4" w14:textId="499DF7E3"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Bratislavský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83428B2" w14:textId="4C3B88AB"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27</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40A36BE" w14:textId="22F6F3B8"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12</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16E2D717" w14:textId="76F0AD63"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12</w:t>
            </w:r>
          </w:p>
        </w:tc>
      </w:tr>
      <w:tr w:rsidR="0083529B" w:rsidRPr="00E21C60" w14:paraId="395784BB"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311B8902"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0863D22B" w14:textId="0A389D1D"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Košický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8827730" w14:textId="38F01576"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58</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02355C9" w14:textId="6D7424FC"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25</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269EE8D9" w14:textId="2062C49D" w:rsidR="0083529B" w:rsidRPr="00265459" w:rsidRDefault="00DD50D8" w:rsidP="00F51E17">
            <w:pPr>
              <w:jc w:val="center"/>
              <w:rPr>
                <w:rFonts w:ascii="Arial" w:hAnsi="Arial" w:cs="Arial"/>
                <w:color w:val="000000"/>
                <w:sz w:val="16"/>
                <w:szCs w:val="16"/>
              </w:rPr>
            </w:pPr>
            <w:r>
              <w:rPr>
                <w:rFonts w:ascii="Arial" w:hAnsi="Arial" w:cs="Arial"/>
                <w:color w:val="000000"/>
                <w:sz w:val="16"/>
                <w:szCs w:val="16"/>
              </w:rPr>
              <w:t>23</w:t>
            </w:r>
          </w:p>
        </w:tc>
      </w:tr>
      <w:tr w:rsidR="0083529B" w:rsidRPr="00E21C60" w14:paraId="58720912"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6D8BC0BD"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256E0574" w14:textId="0C8ADDF4"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Nitriansky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8D3F11C" w14:textId="4671973B"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67</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5D57AF7" w14:textId="0EC3981D"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21</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29DB2D9F" w14:textId="6C3CE79C" w:rsidR="0083529B" w:rsidRPr="00265459" w:rsidRDefault="00865C2B" w:rsidP="00F51E17">
            <w:pPr>
              <w:jc w:val="center"/>
              <w:rPr>
                <w:rFonts w:ascii="Arial" w:hAnsi="Arial" w:cs="Arial"/>
                <w:color w:val="000000"/>
                <w:sz w:val="16"/>
                <w:szCs w:val="16"/>
              </w:rPr>
            </w:pPr>
            <w:r>
              <w:rPr>
                <w:rFonts w:ascii="Arial" w:hAnsi="Arial" w:cs="Arial"/>
                <w:color w:val="000000"/>
                <w:sz w:val="16"/>
                <w:szCs w:val="16"/>
              </w:rPr>
              <w:t>20</w:t>
            </w:r>
          </w:p>
        </w:tc>
      </w:tr>
      <w:tr w:rsidR="0083529B" w:rsidRPr="00E21C60" w14:paraId="78019261"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29D2EF5A"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1C35142F" w14:textId="619CB88F"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Prešovský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B54034D" w14:textId="54612901"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83</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210F6B9A" w14:textId="2E6EF59D"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34</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679FC97C" w14:textId="1BB69174" w:rsidR="0083529B" w:rsidRPr="00265459" w:rsidRDefault="00DD50D8" w:rsidP="00F51E17">
            <w:pPr>
              <w:jc w:val="center"/>
              <w:rPr>
                <w:rFonts w:ascii="Arial" w:hAnsi="Arial" w:cs="Arial"/>
                <w:color w:val="000000"/>
                <w:sz w:val="16"/>
                <w:szCs w:val="16"/>
              </w:rPr>
            </w:pPr>
            <w:r>
              <w:rPr>
                <w:rFonts w:ascii="Arial" w:hAnsi="Arial" w:cs="Arial"/>
                <w:color w:val="000000"/>
                <w:sz w:val="16"/>
                <w:szCs w:val="16"/>
              </w:rPr>
              <w:t>33</w:t>
            </w:r>
          </w:p>
        </w:tc>
      </w:tr>
      <w:tr w:rsidR="0083529B" w:rsidRPr="00E21C60" w14:paraId="62F96FD9"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6F598880"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58D67AAE" w14:textId="06267CC3"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Trenčiansky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72D3982" w14:textId="0D8CF206"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53</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D03F0F7" w14:textId="732D97F5"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15</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7B400B2B" w14:textId="2A916B29" w:rsidR="0083529B" w:rsidRPr="00265459" w:rsidRDefault="00DD50D8" w:rsidP="00F51E17">
            <w:pPr>
              <w:jc w:val="center"/>
              <w:rPr>
                <w:rFonts w:ascii="Arial" w:hAnsi="Arial" w:cs="Arial"/>
                <w:color w:val="000000"/>
                <w:sz w:val="16"/>
                <w:szCs w:val="16"/>
              </w:rPr>
            </w:pPr>
            <w:r>
              <w:rPr>
                <w:rFonts w:ascii="Arial" w:hAnsi="Arial" w:cs="Arial"/>
                <w:color w:val="000000"/>
                <w:sz w:val="16"/>
                <w:szCs w:val="16"/>
              </w:rPr>
              <w:t>14</w:t>
            </w:r>
          </w:p>
        </w:tc>
      </w:tr>
      <w:tr w:rsidR="0083529B" w:rsidRPr="00E21C60" w14:paraId="143840A9"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644C228"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66D948B4" w14:textId="1DA60C3A"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Trnavský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8C708DE" w14:textId="062FD4B5"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58</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6AC0091" w14:textId="73FFC9BD"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23</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4F9EA54C" w14:textId="36EB5B63"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23</w:t>
            </w:r>
          </w:p>
        </w:tc>
      </w:tr>
      <w:tr w:rsidR="0083529B" w:rsidRPr="00E21C60" w14:paraId="658426C0"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4D154406"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43DF6F99" w14:textId="7E1DA4E0"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Žilinský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DC91D1E" w14:textId="524B2341"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46</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76EEE40" w14:textId="27945473"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23</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55B6EBE2" w14:textId="5F17B0AB" w:rsidR="0083529B" w:rsidRPr="00265459" w:rsidRDefault="00DD50D8" w:rsidP="00F51E17">
            <w:pPr>
              <w:jc w:val="center"/>
              <w:rPr>
                <w:rFonts w:ascii="Arial" w:hAnsi="Arial" w:cs="Arial"/>
                <w:color w:val="000000"/>
                <w:sz w:val="16"/>
                <w:szCs w:val="16"/>
              </w:rPr>
            </w:pPr>
            <w:r>
              <w:rPr>
                <w:rFonts w:ascii="Arial" w:hAnsi="Arial" w:cs="Arial"/>
                <w:color w:val="000000"/>
                <w:sz w:val="16"/>
                <w:szCs w:val="16"/>
              </w:rPr>
              <w:t>23</w:t>
            </w:r>
          </w:p>
        </w:tc>
      </w:tr>
      <w:tr w:rsidR="0083529B" w:rsidRPr="00E21C60" w14:paraId="51B2361D"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9CF71F0"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4652C407" w14:textId="29BEE135"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Slovenská republika</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0371117" w14:textId="1AD27417" w:rsidR="0083529B" w:rsidRPr="00265459" w:rsidRDefault="0083529B">
            <w:pPr>
              <w:jc w:val="center"/>
              <w:rPr>
                <w:rFonts w:ascii="Arial" w:hAnsi="Arial" w:cs="Arial"/>
                <w:color w:val="000000"/>
                <w:sz w:val="16"/>
                <w:szCs w:val="16"/>
              </w:rPr>
            </w:pPr>
            <w:r>
              <w:rPr>
                <w:rFonts w:ascii="Arial" w:hAnsi="Arial" w:cs="Arial"/>
                <w:color w:val="000000"/>
                <w:sz w:val="16"/>
                <w:szCs w:val="16"/>
              </w:rPr>
              <w:t>15</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B978350" w14:textId="16BC606D" w:rsidR="0083529B" w:rsidRPr="00265459" w:rsidRDefault="0083529B">
            <w:pPr>
              <w:jc w:val="center"/>
              <w:rPr>
                <w:rFonts w:ascii="Arial" w:hAnsi="Arial" w:cs="Arial"/>
                <w:color w:val="000000"/>
                <w:sz w:val="16"/>
                <w:szCs w:val="16"/>
              </w:rPr>
            </w:pPr>
            <w:r>
              <w:rPr>
                <w:rFonts w:ascii="Arial" w:hAnsi="Arial" w:cs="Arial"/>
                <w:color w:val="000000"/>
                <w:sz w:val="16"/>
                <w:szCs w:val="16"/>
              </w:rPr>
              <w:t>7</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4E955387" w14:textId="53CBEB0F" w:rsidR="0083529B" w:rsidRPr="00265459" w:rsidRDefault="0083529B">
            <w:pPr>
              <w:jc w:val="center"/>
              <w:rPr>
                <w:rFonts w:ascii="Arial" w:hAnsi="Arial" w:cs="Arial"/>
                <w:color w:val="000000"/>
                <w:sz w:val="16"/>
                <w:szCs w:val="16"/>
              </w:rPr>
            </w:pPr>
            <w:r>
              <w:rPr>
                <w:rFonts w:ascii="Arial" w:hAnsi="Arial" w:cs="Arial"/>
                <w:color w:val="000000"/>
                <w:sz w:val="16"/>
                <w:szCs w:val="16"/>
              </w:rPr>
              <w:t>7</w:t>
            </w:r>
          </w:p>
        </w:tc>
      </w:tr>
      <w:tr w:rsidR="0083529B" w:rsidRPr="00E21C60" w14:paraId="14551F51" w14:textId="77777777" w:rsidTr="0083529B">
        <w:trPr>
          <w:trHeight w:val="240"/>
        </w:trPr>
        <w:tc>
          <w:tcPr>
            <w:tcW w:w="1420" w:type="dxa"/>
            <w:vMerge/>
            <w:tcBorders>
              <w:top w:val="single" w:sz="6" w:space="0" w:color="auto"/>
              <w:left w:val="single" w:sz="12" w:space="0" w:color="auto"/>
              <w:bottom w:val="single" w:sz="12" w:space="0" w:color="auto"/>
              <w:right w:val="single" w:sz="6" w:space="0" w:color="auto"/>
            </w:tcBorders>
            <w:vAlign w:val="center"/>
            <w:hideMark/>
          </w:tcPr>
          <w:p w14:paraId="3CD2C8BB"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12" w:space="0" w:color="auto"/>
              <w:right w:val="single" w:sz="6" w:space="0" w:color="auto"/>
            </w:tcBorders>
            <w:shd w:val="clear" w:color="auto" w:fill="auto"/>
            <w:vAlign w:val="center"/>
          </w:tcPr>
          <w:p w14:paraId="7D6B91BC" w14:textId="51057C25" w:rsidR="0083529B" w:rsidRPr="00E21C60" w:rsidRDefault="0083529B" w:rsidP="001A5797">
            <w:pPr>
              <w:jc w:val="center"/>
              <w:rPr>
                <w:rFonts w:ascii="Arial" w:hAnsi="Arial" w:cs="Arial"/>
                <w:b/>
                <w:bCs/>
                <w:color w:val="000000"/>
                <w:sz w:val="16"/>
                <w:szCs w:val="16"/>
              </w:rPr>
            </w:pPr>
            <w:r>
              <w:rPr>
                <w:rFonts w:ascii="Arial" w:hAnsi="Arial" w:cs="Arial"/>
                <w:b/>
                <w:bCs/>
                <w:color w:val="000000"/>
                <w:sz w:val="16"/>
                <w:szCs w:val="16"/>
              </w:rPr>
              <w:t>Spolu</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22C2D767" w14:textId="5A7889EE" w:rsidR="0083529B" w:rsidRPr="00265459" w:rsidRDefault="0083529B">
            <w:pPr>
              <w:jc w:val="center"/>
              <w:rPr>
                <w:rFonts w:ascii="Arial" w:hAnsi="Arial" w:cs="Arial"/>
                <w:b/>
                <w:bCs/>
                <w:color w:val="000000"/>
                <w:sz w:val="16"/>
                <w:szCs w:val="16"/>
              </w:rPr>
            </w:pPr>
            <w:r>
              <w:rPr>
                <w:rFonts w:ascii="Arial" w:hAnsi="Arial" w:cs="Arial"/>
                <w:b/>
                <w:bCs/>
                <w:color w:val="000000"/>
                <w:sz w:val="16"/>
                <w:szCs w:val="16"/>
              </w:rPr>
              <w:t>486</w:t>
            </w:r>
          </w:p>
        </w:tc>
        <w:tc>
          <w:tcPr>
            <w:tcW w:w="1860" w:type="dxa"/>
            <w:tcBorders>
              <w:top w:val="single" w:sz="6" w:space="0" w:color="auto"/>
              <w:left w:val="single" w:sz="6" w:space="0" w:color="auto"/>
              <w:bottom w:val="single" w:sz="12" w:space="0" w:color="auto"/>
              <w:right w:val="single" w:sz="6" w:space="0" w:color="auto"/>
            </w:tcBorders>
            <w:shd w:val="clear" w:color="000000" w:fill="FFFFFF"/>
            <w:vAlign w:val="center"/>
          </w:tcPr>
          <w:p w14:paraId="27CE58DF" w14:textId="5D505E47" w:rsidR="0083529B" w:rsidRPr="00265459" w:rsidRDefault="0083529B">
            <w:pPr>
              <w:jc w:val="center"/>
              <w:rPr>
                <w:rFonts w:ascii="Arial" w:hAnsi="Arial" w:cs="Arial"/>
                <w:b/>
                <w:bCs/>
                <w:color w:val="000000"/>
                <w:sz w:val="16"/>
                <w:szCs w:val="16"/>
              </w:rPr>
            </w:pPr>
            <w:r>
              <w:rPr>
                <w:rFonts w:ascii="Arial" w:hAnsi="Arial" w:cs="Arial"/>
                <w:b/>
                <w:bCs/>
                <w:color w:val="000000"/>
                <w:sz w:val="16"/>
                <w:szCs w:val="16"/>
              </w:rPr>
              <w:t>191</w:t>
            </w:r>
          </w:p>
        </w:tc>
        <w:tc>
          <w:tcPr>
            <w:tcW w:w="1860" w:type="dxa"/>
            <w:tcBorders>
              <w:top w:val="single" w:sz="6" w:space="0" w:color="auto"/>
              <w:left w:val="single" w:sz="6" w:space="0" w:color="auto"/>
              <w:bottom w:val="single" w:sz="12" w:space="0" w:color="auto"/>
              <w:right w:val="single" w:sz="12" w:space="0" w:color="auto"/>
            </w:tcBorders>
            <w:shd w:val="clear" w:color="auto" w:fill="auto"/>
            <w:vAlign w:val="center"/>
          </w:tcPr>
          <w:p w14:paraId="32341D4F" w14:textId="4056D534" w:rsidR="0083529B" w:rsidRPr="00265459" w:rsidRDefault="00865C2B">
            <w:pPr>
              <w:jc w:val="center"/>
              <w:rPr>
                <w:rFonts w:ascii="Arial" w:hAnsi="Arial" w:cs="Arial"/>
                <w:b/>
                <w:bCs/>
                <w:color w:val="000000"/>
                <w:sz w:val="16"/>
                <w:szCs w:val="16"/>
              </w:rPr>
            </w:pPr>
            <w:r>
              <w:rPr>
                <w:rFonts w:ascii="Arial" w:hAnsi="Arial" w:cs="Arial"/>
                <w:b/>
                <w:bCs/>
                <w:color w:val="000000"/>
                <w:sz w:val="16"/>
                <w:szCs w:val="16"/>
              </w:rPr>
              <w:t>186</w:t>
            </w:r>
          </w:p>
        </w:tc>
      </w:tr>
      <w:tr w:rsidR="0083529B" w:rsidRPr="00E21C60" w14:paraId="7D3910A9" w14:textId="77777777" w:rsidTr="007831CE">
        <w:trPr>
          <w:trHeight w:val="240"/>
        </w:trPr>
        <w:tc>
          <w:tcPr>
            <w:tcW w:w="1420" w:type="dxa"/>
            <w:vMerge w:val="restart"/>
            <w:tcBorders>
              <w:top w:val="single" w:sz="12" w:space="0" w:color="auto"/>
              <w:left w:val="single" w:sz="12" w:space="0" w:color="auto"/>
              <w:bottom w:val="single" w:sz="6" w:space="0" w:color="auto"/>
              <w:right w:val="single" w:sz="6" w:space="0" w:color="auto"/>
            </w:tcBorders>
            <w:shd w:val="clear" w:color="auto" w:fill="auto"/>
            <w:vAlign w:val="center"/>
            <w:hideMark/>
          </w:tcPr>
          <w:p w14:paraId="209F2212" w14:textId="77777777" w:rsidR="0083529B" w:rsidRPr="00E21C60" w:rsidRDefault="0083529B" w:rsidP="00F51E17">
            <w:pPr>
              <w:jc w:val="center"/>
              <w:rPr>
                <w:rFonts w:ascii="Arial" w:hAnsi="Arial" w:cs="Arial"/>
                <w:color w:val="000000"/>
                <w:sz w:val="16"/>
                <w:szCs w:val="16"/>
              </w:rPr>
            </w:pPr>
            <w:r w:rsidRPr="002526CC">
              <w:rPr>
                <w:rFonts w:ascii="Arial" w:hAnsi="Arial" w:cs="Arial"/>
                <w:color w:val="000000"/>
                <w:sz w:val="16"/>
                <w:szCs w:val="16"/>
              </w:rPr>
              <w:lastRenderedPageBreak/>
              <w:t>Pr</w:t>
            </w:r>
            <w:r w:rsidRPr="00E21C60">
              <w:rPr>
                <w:rFonts w:ascii="Arial" w:hAnsi="Arial" w:cs="Arial"/>
                <w:color w:val="000000"/>
                <w:sz w:val="16"/>
                <w:szCs w:val="16"/>
              </w:rPr>
              <w:t>ioritná os 2</w:t>
            </w:r>
          </w:p>
        </w:tc>
        <w:tc>
          <w:tcPr>
            <w:tcW w:w="2060" w:type="dxa"/>
            <w:tcBorders>
              <w:top w:val="single" w:sz="12" w:space="0" w:color="auto"/>
              <w:left w:val="single" w:sz="6" w:space="0" w:color="auto"/>
              <w:bottom w:val="single" w:sz="6" w:space="0" w:color="auto"/>
              <w:right w:val="single" w:sz="6" w:space="0" w:color="auto"/>
            </w:tcBorders>
            <w:shd w:val="clear" w:color="auto" w:fill="auto"/>
            <w:vAlign w:val="center"/>
          </w:tcPr>
          <w:p w14:paraId="13EAD67F" w14:textId="2E72C4B8"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Banskobystrický kraj</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33338454" w14:textId="03F18AF5"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39</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5A685B36" w14:textId="646C90C0"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15</w:t>
            </w:r>
          </w:p>
        </w:tc>
        <w:tc>
          <w:tcPr>
            <w:tcW w:w="1860" w:type="dxa"/>
            <w:tcBorders>
              <w:top w:val="single" w:sz="12" w:space="0" w:color="auto"/>
              <w:left w:val="single" w:sz="6" w:space="0" w:color="auto"/>
              <w:bottom w:val="single" w:sz="6" w:space="0" w:color="auto"/>
              <w:right w:val="single" w:sz="12" w:space="0" w:color="auto"/>
            </w:tcBorders>
            <w:shd w:val="clear" w:color="auto" w:fill="auto"/>
            <w:vAlign w:val="center"/>
          </w:tcPr>
          <w:p w14:paraId="70801881" w14:textId="33F9F4FC"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15</w:t>
            </w:r>
          </w:p>
        </w:tc>
      </w:tr>
      <w:tr w:rsidR="0083529B" w:rsidRPr="00E21C60" w14:paraId="79C62076"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14110B8"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082B16EC" w14:textId="17383C38"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Bratislavský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81B186C" w14:textId="636AED8F"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8</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284EC62" w14:textId="18287027"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5</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006D3CE7" w14:textId="62633C8B"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5</w:t>
            </w:r>
          </w:p>
        </w:tc>
      </w:tr>
      <w:tr w:rsidR="0083529B" w:rsidRPr="00E21C60" w14:paraId="033F0396"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40D85810"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46B7334E" w14:textId="14167910"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Košický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D381AD6" w14:textId="3D2F291D"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87</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C6A8C56" w14:textId="55491041"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16</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4E969E2D" w14:textId="6F017BD5"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16</w:t>
            </w:r>
          </w:p>
        </w:tc>
      </w:tr>
      <w:tr w:rsidR="0083529B" w:rsidRPr="00E21C60" w14:paraId="7B117E31"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23793FCD"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7D9158B0" w14:textId="26F87BA3"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Nitriansky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C045824" w14:textId="25ABED37"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42</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DB62ED3" w14:textId="4FB81805"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9</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312F3503" w14:textId="647E44C4"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9</w:t>
            </w:r>
          </w:p>
        </w:tc>
      </w:tr>
      <w:tr w:rsidR="0083529B" w:rsidRPr="00E21C60" w14:paraId="63337043"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6923104A"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0134D5B5" w14:textId="5B2101F2"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Prešovský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2F726AA" w14:textId="1C548C97"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225</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E934484" w14:textId="72A23101"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49</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32B84B74" w14:textId="533EDD63"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49</w:t>
            </w:r>
          </w:p>
        </w:tc>
      </w:tr>
      <w:tr w:rsidR="0083529B" w:rsidRPr="00E21C60" w14:paraId="5795A4AB"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4766B359"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49FB4495" w14:textId="2DBFF9B4"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Trenčiansky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782ED82" w14:textId="38DB46F5"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26</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4DE64DA" w14:textId="4F3DF34E"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6</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62CFC3C1" w14:textId="16ABCA0F"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6</w:t>
            </w:r>
          </w:p>
        </w:tc>
      </w:tr>
      <w:tr w:rsidR="0083529B" w:rsidRPr="00E21C60" w14:paraId="4912EC0F"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22DB20FE"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4B8D8731" w14:textId="5773694E"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Trnavský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F883141" w14:textId="019BB699"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16</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6D644E8" w14:textId="4DB8B637"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4</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151E5E43" w14:textId="42334362"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4</w:t>
            </w:r>
          </w:p>
        </w:tc>
      </w:tr>
      <w:tr w:rsidR="0083529B" w:rsidRPr="00E21C60" w14:paraId="7591044F"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75F6CC5E"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180B38F2" w14:textId="43ACDF04"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Žilinský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1946D11" w14:textId="59F4832E"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75</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628CDCA" w14:textId="145956AD"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20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566B8318" w14:textId="425EF1F4" w:rsidR="0083529B" w:rsidRPr="00265459" w:rsidRDefault="0083529B" w:rsidP="00F51E17">
            <w:pPr>
              <w:jc w:val="center"/>
              <w:rPr>
                <w:rFonts w:ascii="Arial" w:hAnsi="Arial" w:cs="Arial"/>
                <w:color w:val="000000"/>
                <w:sz w:val="16"/>
                <w:szCs w:val="16"/>
              </w:rPr>
            </w:pPr>
            <w:r>
              <w:rPr>
                <w:rFonts w:ascii="Arial" w:hAnsi="Arial" w:cs="Arial"/>
                <w:color w:val="000000"/>
                <w:sz w:val="16"/>
                <w:szCs w:val="16"/>
              </w:rPr>
              <w:t>20</w:t>
            </w:r>
          </w:p>
        </w:tc>
      </w:tr>
      <w:tr w:rsidR="0083529B" w:rsidRPr="00E21C60" w14:paraId="1EEC702F"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575F4DAC"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7E33ACCD" w14:textId="4F7505F1"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Slovenská republika</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F793534" w14:textId="5771C265" w:rsidR="0083529B" w:rsidRPr="00265459" w:rsidRDefault="0083529B">
            <w:pPr>
              <w:jc w:val="center"/>
              <w:rPr>
                <w:rFonts w:ascii="Arial" w:hAnsi="Arial" w:cs="Arial"/>
                <w:color w:val="000000"/>
                <w:sz w:val="16"/>
                <w:szCs w:val="16"/>
              </w:rPr>
            </w:pPr>
            <w:r>
              <w:rPr>
                <w:rFonts w:ascii="Arial" w:hAnsi="Arial" w:cs="Arial"/>
                <w:color w:val="000000"/>
                <w:sz w:val="16"/>
                <w:szCs w:val="16"/>
              </w:rPr>
              <w:t>3</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7FAC1C5" w14:textId="423B8059" w:rsidR="0083529B" w:rsidRPr="00265459" w:rsidRDefault="0083529B">
            <w:pPr>
              <w:jc w:val="center"/>
              <w:rPr>
                <w:rFonts w:ascii="Arial" w:hAnsi="Arial" w:cs="Arial"/>
                <w:color w:val="000000"/>
                <w:sz w:val="16"/>
                <w:szCs w:val="16"/>
              </w:rPr>
            </w:pPr>
            <w:r>
              <w:rPr>
                <w:rFonts w:ascii="Arial" w:hAnsi="Arial" w:cs="Arial"/>
                <w:color w:val="000000"/>
                <w:sz w:val="16"/>
                <w:szCs w:val="16"/>
              </w:rPr>
              <w:t>2</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39E846AF" w14:textId="7FB7A022" w:rsidR="0083529B" w:rsidRPr="00265459" w:rsidRDefault="0083529B">
            <w:pPr>
              <w:jc w:val="center"/>
              <w:rPr>
                <w:rFonts w:ascii="Arial" w:hAnsi="Arial" w:cs="Arial"/>
                <w:color w:val="000000"/>
                <w:sz w:val="16"/>
                <w:szCs w:val="16"/>
              </w:rPr>
            </w:pPr>
            <w:r>
              <w:rPr>
                <w:rFonts w:ascii="Arial" w:hAnsi="Arial" w:cs="Arial"/>
                <w:color w:val="000000"/>
                <w:sz w:val="16"/>
                <w:szCs w:val="16"/>
              </w:rPr>
              <w:t>2</w:t>
            </w:r>
          </w:p>
        </w:tc>
      </w:tr>
      <w:tr w:rsidR="0083529B" w:rsidRPr="00E21C60" w14:paraId="7CCB7845" w14:textId="77777777" w:rsidTr="0083529B">
        <w:trPr>
          <w:trHeight w:val="240"/>
        </w:trPr>
        <w:tc>
          <w:tcPr>
            <w:tcW w:w="1420" w:type="dxa"/>
            <w:vMerge/>
            <w:tcBorders>
              <w:top w:val="single" w:sz="6" w:space="0" w:color="auto"/>
              <w:left w:val="single" w:sz="12" w:space="0" w:color="auto"/>
              <w:bottom w:val="single" w:sz="12" w:space="0" w:color="auto"/>
              <w:right w:val="single" w:sz="6" w:space="0" w:color="auto"/>
            </w:tcBorders>
            <w:vAlign w:val="center"/>
            <w:hideMark/>
          </w:tcPr>
          <w:p w14:paraId="6F986EEC"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12" w:space="0" w:color="auto"/>
              <w:right w:val="single" w:sz="6" w:space="0" w:color="auto"/>
            </w:tcBorders>
            <w:shd w:val="clear" w:color="auto" w:fill="auto"/>
            <w:vAlign w:val="center"/>
          </w:tcPr>
          <w:p w14:paraId="45E4483F" w14:textId="42873555" w:rsidR="0083529B" w:rsidRPr="00E21C60" w:rsidRDefault="0083529B" w:rsidP="001A5797">
            <w:pPr>
              <w:jc w:val="center"/>
              <w:rPr>
                <w:rFonts w:ascii="Arial" w:hAnsi="Arial" w:cs="Arial"/>
                <w:b/>
                <w:bCs/>
                <w:color w:val="000000"/>
                <w:sz w:val="16"/>
                <w:szCs w:val="16"/>
              </w:rPr>
            </w:pPr>
            <w:r>
              <w:rPr>
                <w:rFonts w:ascii="Arial" w:hAnsi="Arial" w:cs="Arial"/>
                <w:b/>
                <w:bCs/>
                <w:color w:val="000000"/>
                <w:sz w:val="16"/>
                <w:szCs w:val="16"/>
              </w:rPr>
              <w:t>Spolu</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61B4841B" w14:textId="5815D6D1" w:rsidR="0083529B" w:rsidRPr="00265459" w:rsidRDefault="0083529B">
            <w:pPr>
              <w:jc w:val="center"/>
              <w:rPr>
                <w:rFonts w:ascii="Arial" w:hAnsi="Arial" w:cs="Arial"/>
                <w:b/>
                <w:bCs/>
                <w:color w:val="000000"/>
                <w:sz w:val="16"/>
                <w:szCs w:val="16"/>
              </w:rPr>
            </w:pPr>
            <w:r>
              <w:rPr>
                <w:rFonts w:ascii="Arial" w:hAnsi="Arial" w:cs="Arial"/>
                <w:b/>
                <w:bCs/>
                <w:color w:val="000000"/>
                <w:sz w:val="16"/>
                <w:szCs w:val="16"/>
              </w:rPr>
              <w:t>521</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653CFD3D" w14:textId="58DF0111" w:rsidR="0083529B" w:rsidRPr="00265459" w:rsidRDefault="0083529B">
            <w:pPr>
              <w:jc w:val="center"/>
              <w:rPr>
                <w:rFonts w:ascii="Arial" w:hAnsi="Arial" w:cs="Arial"/>
                <w:b/>
                <w:bCs/>
                <w:color w:val="000000"/>
                <w:sz w:val="16"/>
                <w:szCs w:val="16"/>
              </w:rPr>
            </w:pPr>
            <w:r>
              <w:rPr>
                <w:rFonts w:ascii="Arial" w:hAnsi="Arial" w:cs="Arial"/>
                <w:b/>
                <w:bCs/>
                <w:color w:val="000000"/>
                <w:sz w:val="16"/>
                <w:szCs w:val="16"/>
              </w:rPr>
              <w:t>126</w:t>
            </w:r>
          </w:p>
        </w:tc>
        <w:tc>
          <w:tcPr>
            <w:tcW w:w="1860" w:type="dxa"/>
            <w:tcBorders>
              <w:top w:val="single" w:sz="6" w:space="0" w:color="auto"/>
              <w:left w:val="single" w:sz="6" w:space="0" w:color="auto"/>
              <w:bottom w:val="single" w:sz="12" w:space="0" w:color="auto"/>
              <w:right w:val="single" w:sz="12" w:space="0" w:color="auto"/>
            </w:tcBorders>
            <w:shd w:val="clear" w:color="auto" w:fill="auto"/>
            <w:vAlign w:val="center"/>
          </w:tcPr>
          <w:p w14:paraId="6FCBE98B" w14:textId="7E38CDA7" w:rsidR="0083529B" w:rsidRPr="00265459" w:rsidRDefault="0083529B">
            <w:pPr>
              <w:jc w:val="center"/>
              <w:rPr>
                <w:rFonts w:ascii="Arial" w:hAnsi="Arial" w:cs="Arial"/>
                <w:b/>
                <w:bCs/>
                <w:color w:val="000000"/>
                <w:sz w:val="16"/>
                <w:szCs w:val="16"/>
              </w:rPr>
            </w:pPr>
            <w:r>
              <w:rPr>
                <w:rFonts w:ascii="Arial" w:hAnsi="Arial" w:cs="Arial"/>
                <w:b/>
                <w:bCs/>
                <w:color w:val="000000"/>
                <w:sz w:val="16"/>
                <w:szCs w:val="16"/>
              </w:rPr>
              <w:t>126</w:t>
            </w:r>
          </w:p>
        </w:tc>
      </w:tr>
      <w:tr w:rsidR="0083529B" w:rsidRPr="00E21C60" w14:paraId="70A8EF28" w14:textId="77777777" w:rsidTr="0083529B">
        <w:trPr>
          <w:trHeight w:val="240"/>
        </w:trPr>
        <w:tc>
          <w:tcPr>
            <w:tcW w:w="1420" w:type="dxa"/>
            <w:vMerge w:val="restart"/>
            <w:tcBorders>
              <w:top w:val="single" w:sz="12" w:space="0" w:color="auto"/>
              <w:left w:val="single" w:sz="12" w:space="0" w:color="auto"/>
              <w:bottom w:val="single" w:sz="6" w:space="0" w:color="auto"/>
              <w:right w:val="single" w:sz="6" w:space="0" w:color="auto"/>
            </w:tcBorders>
            <w:shd w:val="clear" w:color="auto" w:fill="auto"/>
            <w:vAlign w:val="center"/>
            <w:hideMark/>
          </w:tcPr>
          <w:p w14:paraId="24D1FC29" w14:textId="77777777" w:rsidR="0083529B" w:rsidRPr="002526CC" w:rsidRDefault="0083529B">
            <w:pPr>
              <w:jc w:val="center"/>
              <w:rPr>
                <w:rFonts w:ascii="Arial" w:hAnsi="Arial" w:cs="Arial"/>
                <w:color w:val="000000"/>
                <w:sz w:val="16"/>
                <w:szCs w:val="16"/>
              </w:rPr>
            </w:pPr>
            <w:r w:rsidRPr="002526CC">
              <w:rPr>
                <w:rFonts w:ascii="Arial" w:hAnsi="Arial" w:cs="Arial"/>
                <w:color w:val="000000"/>
                <w:sz w:val="16"/>
                <w:szCs w:val="16"/>
              </w:rPr>
              <w:t>Prioritná os 3</w:t>
            </w:r>
          </w:p>
        </w:tc>
        <w:tc>
          <w:tcPr>
            <w:tcW w:w="2060" w:type="dxa"/>
            <w:tcBorders>
              <w:top w:val="single" w:sz="12" w:space="0" w:color="auto"/>
              <w:left w:val="single" w:sz="6" w:space="0" w:color="auto"/>
              <w:bottom w:val="single" w:sz="6" w:space="0" w:color="auto"/>
              <w:right w:val="single" w:sz="6" w:space="0" w:color="auto"/>
            </w:tcBorders>
            <w:shd w:val="clear" w:color="auto" w:fill="auto"/>
            <w:vAlign w:val="center"/>
          </w:tcPr>
          <w:p w14:paraId="26C36592" w14:textId="64366FC2"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Banskobystrický kraj</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311C601E" w14:textId="176A5B7E" w:rsidR="0083529B" w:rsidRPr="00681A60" w:rsidRDefault="0083529B">
            <w:pPr>
              <w:jc w:val="center"/>
              <w:rPr>
                <w:rFonts w:ascii="Arial" w:hAnsi="Arial" w:cs="Arial"/>
                <w:color w:val="000000"/>
                <w:sz w:val="16"/>
                <w:szCs w:val="16"/>
              </w:rPr>
            </w:pPr>
            <w:r>
              <w:rPr>
                <w:rFonts w:ascii="Arial" w:hAnsi="Arial" w:cs="Arial"/>
                <w:color w:val="000000"/>
                <w:sz w:val="16"/>
                <w:szCs w:val="16"/>
              </w:rPr>
              <w:t>39</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28A01CB7" w14:textId="6644A778" w:rsidR="0083529B" w:rsidRPr="00681A60" w:rsidRDefault="0083529B">
            <w:pPr>
              <w:jc w:val="center"/>
              <w:rPr>
                <w:rFonts w:ascii="Arial" w:hAnsi="Arial" w:cs="Arial"/>
                <w:color w:val="000000"/>
                <w:sz w:val="16"/>
                <w:szCs w:val="16"/>
              </w:rPr>
            </w:pPr>
            <w:r>
              <w:rPr>
                <w:rFonts w:ascii="Arial" w:hAnsi="Arial" w:cs="Arial"/>
                <w:color w:val="000000"/>
                <w:sz w:val="16"/>
                <w:szCs w:val="16"/>
              </w:rPr>
              <w:t>17</w:t>
            </w:r>
          </w:p>
        </w:tc>
        <w:tc>
          <w:tcPr>
            <w:tcW w:w="1860" w:type="dxa"/>
            <w:tcBorders>
              <w:top w:val="single" w:sz="12" w:space="0" w:color="auto"/>
              <w:left w:val="single" w:sz="6" w:space="0" w:color="auto"/>
              <w:bottom w:val="single" w:sz="6" w:space="0" w:color="auto"/>
              <w:right w:val="single" w:sz="12" w:space="0" w:color="auto"/>
            </w:tcBorders>
            <w:shd w:val="clear" w:color="auto" w:fill="auto"/>
            <w:vAlign w:val="center"/>
          </w:tcPr>
          <w:p w14:paraId="217A6CB4" w14:textId="72D9975C" w:rsidR="0083529B" w:rsidRPr="00681A60" w:rsidRDefault="0083529B">
            <w:pPr>
              <w:jc w:val="center"/>
              <w:rPr>
                <w:rFonts w:ascii="Arial" w:hAnsi="Arial" w:cs="Arial"/>
                <w:color w:val="000000"/>
                <w:sz w:val="16"/>
                <w:szCs w:val="16"/>
              </w:rPr>
            </w:pPr>
            <w:r>
              <w:rPr>
                <w:rFonts w:ascii="Arial" w:hAnsi="Arial" w:cs="Arial"/>
                <w:color w:val="000000"/>
                <w:sz w:val="16"/>
                <w:szCs w:val="16"/>
              </w:rPr>
              <w:t>17</w:t>
            </w:r>
          </w:p>
        </w:tc>
      </w:tr>
      <w:tr w:rsidR="0083529B" w:rsidRPr="00E21C60" w14:paraId="3CEFC195"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BEBD376"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411C0825" w14:textId="20908C6D"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Bratislavský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B7148B5" w14:textId="6467E991"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3FF3CB7" w14:textId="017853D2"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21C92727" w14:textId="0034413C"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753364C7"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54E256BB"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0A262977" w14:textId="6FB75923"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Košický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511726C" w14:textId="67E37DD9"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50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95FA247" w14:textId="1D5FD203"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17</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24E1602D" w14:textId="00089150"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17</w:t>
            </w:r>
          </w:p>
        </w:tc>
      </w:tr>
      <w:tr w:rsidR="0083529B" w:rsidRPr="00E21C60" w14:paraId="2113344D"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4FAE1C9B"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658C38F4" w14:textId="63BB63D5"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Nitriansky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F71CFE4" w14:textId="26F1BDF2"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36</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C414334" w14:textId="2310ACAE"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5</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4EBC18E0" w14:textId="51BD58CA"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5</w:t>
            </w:r>
          </w:p>
        </w:tc>
      </w:tr>
      <w:tr w:rsidR="0083529B" w:rsidRPr="00E21C60" w14:paraId="22F1E5CD"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78CA292A"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7E9A1D20" w14:textId="68042575"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Prešovský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95C51FA" w14:textId="021DDED0"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66</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5C1DFAD" w14:textId="4EF974DA"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26</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59AED36D" w14:textId="5304BE3E"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26</w:t>
            </w:r>
          </w:p>
        </w:tc>
      </w:tr>
      <w:tr w:rsidR="0083529B" w:rsidRPr="00E21C60" w14:paraId="4B79D8D9"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35099DD9"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4CF96666" w14:textId="78032258"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Trenčiansky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6DA255C" w14:textId="2B49714C"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53</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9D7E6C7" w14:textId="3B8C36AB"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19</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7ABD4E82" w14:textId="0D1A1198"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19</w:t>
            </w:r>
          </w:p>
        </w:tc>
      </w:tr>
      <w:tr w:rsidR="0083529B" w:rsidRPr="00E21C60" w14:paraId="24DAB118"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C80CDFB"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146AE529" w14:textId="3C21B508"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Trnavský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3E61A9A" w14:textId="742AD250"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D977571" w14:textId="29D3422C"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12</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06812E52" w14:textId="289E563F"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12</w:t>
            </w:r>
          </w:p>
        </w:tc>
      </w:tr>
      <w:tr w:rsidR="0083529B" w:rsidRPr="00E21C60" w14:paraId="57D5C526"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74C8AD1F"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51A6826F" w14:textId="5D5F7492"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Žilinský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BE6C60B" w14:textId="3207DC08"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79</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F489F83" w14:textId="7290F452"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24</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001C46D3" w14:textId="3DF9F0B0"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24</w:t>
            </w:r>
          </w:p>
        </w:tc>
      </w:tr>
      <w:tr w:rsidR="0083529B" w:rsidRPr="00E21C60" w14:paraId="2648D6B5"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3EF91AFF"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758D88D7" w14:textId="3893765E"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Slovenská republika</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1C7A900" w14:textId="0C30B33E" w:rsidR="0083529B" w:rsidRPr="00681A60" w:rsidRDefault="0083529B">
            <w:pPr>
              <w:jc w:val="center"/>
              <w:rPr>
                <w:rFonts w:ascii="Arial" w:hAnsi="Arial" w:cs="Arial"/>
                <w:color w:val="000000"/>
                <w:sz w:val="16"/>
                <w:szCs w:val="16"/>
              </w:rPr>
            </w:pPr>
            <w:r>
              <w:rPr>
                <w:rFonts w:ascii="Arial" w:hAnsi="Arial" w:cs="Arial"/>
                <w:color w:val="000000"/>
                <w:sz w:val="16"/>
                <w:szCs w:val="16"/>
              </w:rPr>
              <w:t>14</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3AB3971" w14:textId="435902C0" w:rsidR="0083529B" w:rsidRPr="00681A60" w:rsidRDefault="0083529B">
            <w:pPr>
              <w:jc w:val="center"/>
              <w:rPr>
                <w:rFonts w:ascii="Arial" w:hAnsi="Arial" w:cs="Arial"/>
                <w:color w:val="000000"/>
                <w:sz w:val="16"/>
                <w:szCs w:val="16"/>
              </w:rPr>
            </w:pPr>
            <w:r>
              <w:rPr>
                <w:rFonts w:ascii="Arial" w:hAnsi="Arial" w:cs="Arial"/>
                <w:color w:val="000000"/>
                <w:sz w:val="16"/>
                <w:szCs w:val="16"/>
              </w:rPr>
              <w:t>8</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0AC79918" w14:textId="48CB668D" w:rsidR="0083529B" w:rsidRPr="00681A60" w:rsidRDefault="0083529B">
            <w:pPr>
              <w:jc w:val="center"/>
              <w:rPr>
                <w:rFonts w:ascii="Arial" w:hAnsi="Arial" w:cs="Arial"/>
                <w:color w:val="000000"/>
                <w:sz w:val="16"/>
                <w:szCs w:val="16"/>
              </w:rPr>
            </w:pPr>
            <w:r>
              <w:rPr>
                <w:rFonts w:ascii="Arial" w:hAnsi="Arial" w:cs="Arial"/>
                <w:color w:val="000000"/>
                <w:sz w:val="16"/>
                <w:szCs w:val="16"/>
              </w:rPr>
              <w:t>8</w:t>
            </w:r>
          </w:p>
        </w:tc>
      </w:tr>
      <w:tr w:rsidR="0083529B" w:rsidRPr="00E21C60" w14:paraId="278A9082" w14:textId="77777777" w:rsidTr="0083529B">
        <w:trPr>
          <w:trHeight w:val="240"/>
        </w:trPr>
        <w:tc>
          <w:tcPr>
            <w:tcW w:w="1420" w:type="dxa"/>
            <w:vMerge/>
            <w:tcBorders>
              <w:top w:val="single" w:sz="6" w:space="0" w:color="auto"/>
              <w:left w:val="single" w:sz="12" w:space="0" w:color="auto"/>
              <w:bottom w:val="single" w:sz="12" w:space="0" w:color="auto"/>
              <w:right w:val="single" w:sz="6" w:space="0" w:color="auto"/>
            </w:tcBorders>
            <w:vAlign w:val="center"/>
            <w:hideMark/>
          </w:tcPr>
          <w:p w14:paraId="53619EF1"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12" w:space="0" w:color="auto"/>
              <w:right w:val="single" w:sz="6" w:space="0" w:color="auto"/>
            </w:tcBorders>
            <w:shd w:val="clear" w:color="auto" w:fill="auto"/>
            <w:vAlign w:val="center"/>
          </w:tcPr>
          <w:p w14:paraId="631B5E70" w14:textId="3E2A1128" w:rsidR="0083529B" w:rsidRPr="00E21C60" w:rsidRDefault="0083529B" w:rsidP="001A5797">
            <w:pPr>
              <w:jc w:val="center"/>
              <w:rPr>
                <w:rFonts w:ascii="Arial" w:hAnsi="Arial" w:cs="Arial"/>
                <w:b/>
                <w:bCs/>
                <w:color w:val="000000"/>
                <w:sz w:val="16"/>
                <w:szCs w:val="16"/>
              </w:rPr>
            </w:pPr>
            <w:r>
              <w:rPr>
                <w:rFonts w:ascii="Arial" w:hAnsi="Arial" w:cs="Arial"/>
                <w:b/>
                <w:bCs/>
                <w:color w:val="000000"/>
                <w:sz w:val="16"/>
                <w:szCs w:val="16"/>
              </w:rPr>
              <w:t>Spolu</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2C02D531" w14:textId="6EE0EE84"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377</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03B97EDD" w14:textId="462B26A1"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128</w:t>
            </w:r>
          </w:p>
        </w:tc>
        <w:tc>
          <w:tcPr>
            <w:tcW w:w="1860" w:type="dxa"/>
            <w:tcBorders>
              <w:top w:val="single" w:sz="6" w:space="0" w:color="auto"/>
              <w:left w:val="single" w:sz="6" w:space="0" w:color="auto"/>
              <w:bottom w:val="single" w:sz="12" w:space="0" w:color="auto"/>
              <w:right w:val="single" w:sz="12" w:space="0" w:color="auto"/>
            </w:tcBorders>
            <w:shd w:val="clear" w:color="auto" w:fill="auto"/>
            <w:vAlign w:val="center"/>
          </w:tcPr>
          <w:p w14:paraId="7E449163" w14:textId="0075BEE4"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128</w:t>
            </w:r>
          </w:p>
        </w:tc>
      </w:tr>
      <w:tr w:rsidR="0083529B" w:rsidRPr="00E21C60" w14:paraId="5917A5D8" w14:textId="77777777" w:rsidTr="007831CE">
        <w:trPr>
          <w:trHeight w:val="317"/>
        </w:trPr>
        <w:tc>
          <w:tcPr>
            <w:tcW w:w="1420" w:type="dxa"/>
            <w:vMerge w:val="restart"/>
            <w:tcBorders>
              <w:top w:val="single" w:sz="12" w:space="0" w:color="auto"/>
              <w:left w:val="single" w:sz="12" w:space="0" w:color="auto"/>
              <w:bottom w:val="single" w:sz="6" w:space="0" w:color="auto"/>
              <w:right w:val="single" w:sz="6" w:space="0" w:color="auto"/>
            </w:tcBorders>
            <w:shd w:val="clear" w:color="auto" w:fill="auto"/>
            <w:vAlign w:val="center"/>
            <w:hideMark/>
          </w:tcPr>
          <w:p w14:paraId="09D6835A" w14:textId="77777777" w:rsidR="0083529B" w:rsidRPr="002526CC" w:rsidRDefault="0083529B" w:rsidP="00F51E17">
            <w:pPr>
              <w:jc w:val="center"/>
              <w:rPr>
                <w:rFonts w:ascii="Arial" w:hAnsi="Arial" w:cs="Arial"/>
                <w:color w:val="000000"/>
                <w:sz w:val="16"/>
                <w:szCs w:val="16"/>
              </w:rPr>
            </w:pPr>
            <w:r w:rsidRPr="002526CC">
              <w:rPr>
                <w:rFonts w:ascii="Arial" w:hAnsi="Arial" w:cs="Arial"/>
                <w:color w:val="000000"/>
                <w:sz w:val="16"/>
                <w:szCs w:val="16"/>
              </w:rPr>
              <w:t>Prioritná os 4</w:t>
            </w:r>
          </w:p>
        </w:tc>
        <w:tc>
          <w:tcPr>
            <w:tcW w:w="2060" w:type="dxa"/>
            <w:tcBorders>
              <w:top w:val="single" w:sz="12" w:space="0" w:color="auto"/>
              <w:left w:val="single" w:sz="6" w:space="0" w:color="auto"/>
              <w:bottom w:val="single" w:sz="6" w:space="0" w:color="auto"/>
              <w:right w:val="single" w:sz="6" w:space="0" w:color="auto"/>
            </w:tcBorders>
            <w:shd w:val="clear" w:color="auto" w:fill="auto"/>
            <w:vAlign w:val="center"/>
          </w:tcPr>
          <w:p w14:paraId="0579C90C" w14:textId="4028E07C"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Banskobystrický kraj</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2C22916D" w14:textId="7B38BC9A"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197</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4531C1B0" w14:textId="4AA85728"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42</w:t>
            </w:r>
          </w:p>
        </w:tc>
        <w:tc>
          <w:tcPr>
            <w:tcW w:w="1860" w:type="dxa"/>
            <w:tcBorders>
              <w:top w:val="single" w:sz="12" w:space="0" w:color="auto"/>
              <w:left w:val="single" w:sz="6" w:space="0" w:color="auto"/>
              <w:bottom w:val="single" w:sz="6" w:space="0" w:color="auto"/>
              <w:right w:val="single" w:sz="12" w:space="0" w:color="auto"/>
            </w:tcBorders>
            <w:shd w:val="clear" w:color="auto" w:fill="auto"/>
            <w:vAlign w:val="center"/>
          </w:tcPr>
          <w:p w14:paraId="20E05488" w14:textId="37247312"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42</w:t>
            </w:r>
          </w:p>
        </w:tc>
      </w:tr>
      <w:tr w:rsidR="0083529B" w:rsidRPr="00E21C60" w14:paraId="44611171"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7B423166"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356DFF68" w14:textId="0C5F55B4"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Bratislavský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7EBFB3E" w14:textId="40679DE7"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31257C9" w14:textId="622173A5"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41BE80D4" w14:textId="385E5AC8"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w:t>
            </w:r>
          </w:p>
        </w:tc>
      </w:tr>
      <w:tr w:rsidR="0083529B" w:rsidRPr="00E21C60" w14:paraId="2CEEE9BF"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5AE70061"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6B066B64" w14:textId="16CD7C55"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Košický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052D994" w14:textId="64277BE7"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166</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5720584" w14:textId="59C94181"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28</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724A7171" w14:textId="18E2E3FB"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27</w:t>
            </w:r>
          </w:p>
        </w:tc>
      </w:tr>
      <w:tr w:rsidR="0083529B" w:rsidRPr="00E21C60" w14:paraId="54DE1471"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648A1B3A"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21436DEB" w14:textId="5350E029"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Nitriansky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2DC8ECA" w14:textId="60B465C6"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253</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25E9A9F" w14:textId="03B157D1"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48</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125EAB4B" w14:textId="45829C35"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48</w:t>
            </w:r>
          </w:p>
        </w:tc>
      </w:tr>
      <w:tr w:rsidR="0083529B" w:rsidRPr="00E21C60" w14:paraId="4386EAC9"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66C315BB"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6525893D" w14:textId="3EAF6855"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Prešovský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C0ECEFC" w14:textId="6A425EDE"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233</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F2793FC" w14:textId="0F3E4A43"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41</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7C64D687" w14:textId="63B3971F"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41</w:t>
            </w:r>
          </w:p>
        </w:tc>
      </w:tr>
      <w:tr w:rsidR="0083529B" w:rsidRPr="00E21C60" w14:paraId="66673766"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29E9F0AC"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0EC2AD2F" w14:textId="7BB97599"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Trenčiansky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D7AAE7A" w14:textId="14E159A8"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189</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6846652" w14:textId="24394B3D"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24</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6056361F" w14:textId="45082865"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24</w:t>
            </w:r>
          </w:p>
        </w:tc>
      </w:tr>
      <w:tr w:rsidR="0083529B" w:rsidRPr="00E21C60" w14:paraId="0B7F7614"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20C532BA"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4837C7E9" w14:textId="65027E3C"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Trnavský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EFD1448" w14:textId="2BB1B1F1"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220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DFFD170" w14:textId="5B0444D7"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0A12BA3D" w14:textId="4DD1C139"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40</w:t>
            </w:r>
          </w:p>
        </w:tc>
      </w:tr>
      <w:tr w:rsidR="0083529B" w:rsidRPr="00E21C60" w14:paraId="42CC1675"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33E18E6B"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6F217EB4" w14:textId="02EE8EBD"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Žilinský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306A571" w14:textId="14E692C6"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209</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105C92C" w14:textId="6C996C8D"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41</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36039731" w14:textId="54E65E06"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41</w:t>
            </w:r>
          </w:p>
        </w:tc>
      </w:tr>
      <w:tr w:rsidR="0083529B" w:rsidRPr="00E21C60" w14:paraId="69DF4B69" w14:textId="77777777" w:rsidTr="006B3ADD">
        <w:trPr>
          <w:trHeight w:val="240"/>
        </w:trPr>
        <w:tc>
          <w:tcPr>
            <w:tcW w:w="1420" w:type="dxa"/>
            <w:vMerge/>
            <w:tcBorders>
              <w:top w:val="single" w:sz="6" w:space="0" w:color="auto"/>
              <w:left w:val="single" w:sz="12" w:space="0" w:color="auto"/>
              <w:bottom w:val="single" w:sz="12" w:space="0" w:color="auto"/>
              <w:right w:val="single" w:sz="6" w:space="0" w:color="auto"/>
            </w:tcBorders>
            <w:vAlign w:val="center"/>
          </w:tcPr>
          <w:p w14:paraId="6DB824A9"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12" w:space="0" w:color="auto"/>
              <w:right w:val="single" w:sz="6" w:space="0" w:color="auto"/>
            </w:tcBorders>
            <w:shd w:val="clear" w:color="auto" w:fill="auto"/>
            <w:vAlign w:val="center"/>
          </w:tcPr>
          <w:p w14:paraId="4C635CF5" w14:textId="24B1EF50" w:rsidR="0083529B" w:rsidRPr="00E21C60" w:rsidRDefault="0083529B" w:rsidP="001A5797">
            <w:pPr>
              <w:jc w:val="center"/>
              <w:rPr>
                <w:rFonts w:ascii="Arial" w:hAnsi="Arial" w:cs="Arial"/>
                <w:b/>
                <w:bCs/>
                <w:color w:val="000000"/>
                <w:sz w:val="16"/>
                <w:szCs w:val="16"/>
              </w:rPr>
            </w:pPr>
            <w:r>
              <w:rPr>
                <w:rFonts w:ascii="Arial" w:hAnsi="Arial" w:cs="Arial"/>
                <w:color w:val="000000"/>
                <w:sz w:val="16"/>
                <w:szCs w:val="16"/>
              </w:rPr>
              <w:t>Slovenská republika</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1AF1FCB2" w14:textId="59368F73" w:rsidR="0083529B" w:rsidRPr="00912C87" w:rsidRDefault="0083529B">
            <w:pPr>
              <w:jc w:val="center"/>
              <w:rPr>
                <w:rFonts w:ascii="Arial" w:hAnsi="Arial" w:cs="Arial"/>
                <w:b/>
                <w:bCs/>
                <w:color w:val="000000"/>
                <w:sz w:val="16"/>
                <w:szCs w:val="16"/>
              </w:rPr>
            </w:pPr>
            <w:r>
              <w:rPr>
                <w:rFonts w:ascii="Arial" w:hAnsi="Arial" w:cs="Arial"/>
                <w:color w:val="000000"/>
                <w:sz w:val="16"/>
                <w:szCs w:val="16"/>
              </w:rPr>
              <w:t>36</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5077FC66" w14:textId="1D2A223F" w:rsidR="0083529B" w:rsidRPr="00912C87" w:rsidRDefault="0083529B">
            <w:pPr>
              <w:jc w:val="center"/>
              <w:rPr>
                <w:rFonts w:ascii="Arial" w:hAnsi="Arial" w:cs="Arial"/>
                <w:b/>
                <w:bCs/>
                <w:color w:val="000000"/>
                <w:sz w:val="16"/>
                <w:szCs w:val="16"/>
              </w:rPr>
            </w:pPr>
            <w:r>
              <w:rPr>
                <w:rFonts w:ascii="Arial" w:hAnsi="Arial" w:cs="Arial"/>
                <w:color w:val="000000"/>
                <w:sz w:val="16"/>
                <w:szCs w:val="16"/>
              </w:rPr>
              <w:t>20</w:t>
            </w:r>
          </w:p>
        </w:tc>
        <w:tc>
          <w:tcPr>
            <w:tcW w:w="1860" w:type="dxa"/>
            <w:tcBorders>
              <w:top w:val="single" w:sz="6" w:space="0" w:color="auto"/>
              <w:left w:val="single" w:sz="6" w:space="0" w:color="auto"/>
              <w:bottom w:val="single" w:sz="12" w:space="0" w:color="auto"/>
              <w:right w:val="single" w:sz="12" w:space="0" w:color="auto"/>
            </w:tcBorders>
            <w:shd w:val="clear" w:color="auto" w:fill="auto"/>
            <w:vAlign w:val="center"/>
          </w:tcPr>
          <w:p w14:paraId="261AB6B0" w14:textId="74707AD7" w:rsidR="0083529B" w:rsidRPr="00912C87" w:rsidRDefault="0083529B">
            <w:pPr>
              <w:jc w:val="center"/>
              <w:rPr>
                <w:rFonts w:ascii="Arial" w:hAnsi="Arial" w:cs="Arial"/>
                <w:b/>
                <w:bCs/>
                <w:color w:val="000000"/>
                <w:sz w:val="16"/>
                <w:szCs w:val="16"/>
              </w:rPr>
            </w:pPr>
            <w:r>
              <w:rPr>
                <w:rFonts w:ascii="Arial" w:hAnsi="Arial" w:cs="Arial"/>
                <w:color w:val="000000"/>
                <w:sz w:val="16"/>
                <w:szCs w:val="16"/>
              </w:rPr>
              <w:t>20</w:t>
            </w:r>
          </w:p>
        </w:tc>
      </w:tr>
      <w:tr w:rsidR="0083529B" w:rsidRPr="00E21C60" w14:paraId="3286B448" w14:textId="77777777" w:rsidTr="0083529B">
        <w:trPr>
          <w:trHeight w:val="240"/>
        </w:trPr>
        <w:tc>
          <w:tcPr>
            <w:tcW w:w="1420" w:type="dxa"/>
            <w:vMerge/>
            <w:tcBorders>
              <w:top w:val="single" w:sz="6" w:space="0" w:color="auto"/>
              <w:left w:val="single" w:sz="12" w:space="0" w:color="auto"/>
              <w:bottom w:val="single" w:sz="12" w:space="0" w:color="auto"/>
              <w:right w:val="single" w:sz="6" w:space="0" w:color="auto"/>
            </w:tcBorders>
            <w:vAlign w:val="center"/>
            <w:hideMark/>
          </w:tcPr>
          <w:p w14:paraId="4EEB5FBB"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12" w:space="0" w:color="auto"/>
              <w:right w:val="single" w:sz="6" w:space="0" w:color="auto"/>
            </w:tcBorders>
            <w:shd w:val="clear" w:color="auto" w:fill="auto"/>
            <w:vAlign w:val="center"/>
          </w:tcPr>
          <w:p w14:paraId="36C45A3B" w14:textId="1A256D8A" w:rsidR="0083529B" w:rsidRPr="00E21C60" w:rsidRDefault="0083529B" w:rsidP="001A5797">
            <w:pPr>
              <w:jc w:val="center"/>
              <w:rPr>
                <w:rFonts w:ascii="Arial" w:hAnsi="Arial" w:cs="Arial"/>
                <w:b/>
                <w:bCs/>
                <w:color w:val="000000"/>
                <w:sz w:val="16"/>
                <w:szCs w:val="16"/>
              </w:rPr>
            </w:pPr>
            <w:r>
              <w:rPr>
                <w:rFonts w:ascii="Arial" w:hAnsi="Arial" w:cs="Arial"/>
                <w:b/>
                <w:bCs/>
                <w:color w:val="000000"/>
                <w:sz w:val="16"/>
                <w:szCs w:val="16"/>
              </w:rPr>
              <w:t>Spolu</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25C66659" w14:textId="28E7FC1C"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1543</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475120CD" w14:textId="66BF81C1"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288</w:t>
            </w:r>
          </w:p>
        </w:tc>
        <w:tc>
          <w:tcPr>
            <w:tcW w:w="1860" w:type="dxa"/>
            <w:tcBorders>
              <w:top w:val="single" w:sz="6" w:space="0" w:color="auto"/>
              <w:left w:val="single" w:sz="6" w:space="0" w:color="auto"/>
              <w:bottom w:val="single" w:sz="12" w:space="0" w:color="auto"/>
              <w:right w:val="single" w:sz="12" w:space="0" w:color="auto"/>
            </w:tcBorders>
            <w:shd w:val="clear" w:color="auto" w:fill="auto"/>
            <w:vAlign w:val="center"/>
          </w:tcPr>
          <w:p w14:paraId="0E64225B" w14:textId="5BE1C32C"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287</w:t>
            </w:r>
          </w:p>
        </w:tc>
      </w:tr>
      <w:tr w:rsidR="0083529B" w:rsidRPr="00E21C60" w14:paraId="7AF06D8C" w14:textId="77777777" w:rsidTr="0083529B">
        <w:trPr>
          <w:trHeight w:val="240"/>
        </w:trPr>
        <w:tc>
          <w:tcPr>
            <w:tcW w:w="1420" w:type="dxa"/>
            <w:vMerge w:val="restart"/>
            <w:tcBorders>
              <w:top w:val="single" w:sz="12" w:space="0" w:color="auto"/>
              <w:left w:val="single" w:sz="12" w:space="0" w:color="auto"/>
              <w:bottom w:val="single" w:sz="6" w:space="0" w:color="auto"/>
              <w:right w:val="single" w:sz="6" w:space="0" w:color="auto"/>
            </w:tcBorders>
            <w:shd w:val="clear" w:color="auto" w:fill="auto"/>
            <w:vAlign w:val="center"/>
            <w:hideMark/>
          </w:tcPr>
          <w:p w14:paraId="74BF02F9" w14:textId="77777777" w:rsidR="0083529B" w:rsidRPr="002526CC" w:rsidRDefault="0083529B">
            <w:pPr>
              <w:jc w:val="center"/>
              <w:rPr>
                <w:rFonts w:ascii="Arial" w:hAnsi="Arial" w:cs="Arial"/>
                <w:color w:val="000000"/>
                <w:sz w:val="16"/>
                <w:szCs w:val="16"/>
              </w:rPr>
            </w:pPr>
            <w:r w:rsidRPr="002526CC">
              <w:rPr>
                <w:rFonts w:ascii="Arial" w:hAnsi="Arial" w:cs="Arial"/>
                <w:color w:val="000000"/>
                <w:sz w:val="16"/>
                <w:szCs w:val="16"/>
              </w:rPr>
              <w:t>Prioritná os 5</w:t>
            </w:r>
          </w:p>
        </w:tc>
        <w:tc>
          <w:tcPr>
            <w:tcW w:w="2060" w:type="dxa"/>
            <w:tcBorders>
              <w:top w:val="single" w:sz="12" w:space="0" w:color="auto"/>
              <w:left w:val="single" w:sz="6" w:space="0" w:color="auto"/>
              <w:bottom w:val="single" w:sz="6" w:space="0" w:color="auto"/>
              <w:right w:val="single" w:sz="6" w:space="0" w:color="auto"/>
            </w:tcBorders>
            <w:shd w:val="clear" w:color="auto" w:fill="auto"/>
            <w:vAlign w:val="center"/>
          </w:tcPr>
          <w:p w14:paraId="5EE1FBF9" w14:textId="7F0944B3"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Banskobystrický kraj</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1E8C607E" w14:textId="219D7F70" w:rsidR="0083529B" w:rsidRPr="00681A60" w:rsidRDefault="0083529B">
            <w:pPr>
              <w:jc w:val="center"/>
              <w:rPr>
                <w:rFonts w:ascii="Arial" w:hAnsi="Arial" w:cs="Arial"/>
                <w:color w:val="000000"/>
                <w:sz w:val="16"/>
                <w:szCs w:val="16"/>
              </w:rPr>
            </w:pPr>
            <w:r>
              <w:rPr>
                <w:rFonts w:ascii="Arial" w:hAnsi="Arial" w:cs="Arial"/>
                <w:color w:val="000000"/>
                <w:sz w:val="16"/>
                <w:szCs w:val="16"/>
              </w:rPr>
              <w:t>5</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0A5E7DDF" w14:textId="322EC1A2" w:rsidR="0083529B" w:rsidRPr="00681A60" w:rsidRDefault="0083529B">
            <w:pPr>
              <w:jc w:val="center"/>
              <w:rPr>
                <w:rFonts w:ascii="Arial" w:hAnsi="Arial" w:cs="Arial"/>
                <w:color w:val="000000"/>
                <w:sz w:val="16"/>
                <w:szCs w:val="16"/>
              </w:rPr>
            </w:pPr>
            <w:r>
              <w:rPr>
                <w:rFonts w:ascii="Arial" w:hAnsi="Arial" w:cs="Arial"/>
                <w:color w:val="000000"/>
                <w:sz w:val="16"/>
                <w:szCs w:val="16"/>
              </w:rPr>
              <w:t>2</w:t>
            </w:r>
          </w:p>
        </w:tc>
        <w:tc>
          <w:tcPr>
            <w:tcW w:w="1860" w:type="dxa"/>
            <w:tcBorders>
              <w:top w:val="single" w:sz="12" w:space="0" w:color="auto"/>
              <w:left w:val="single" w:sz="6" w:space="0" w:color="auto"/>
              <w:bottom w:val="single" w:sz="6" w:space="0" w:color="auto"/>
              <w:right w:val="single" w:sz="12" w:space="0" w:color="auto"/>
            </w:tcBorders>
            <w:shd w:val="clear" w:color="auto" w:fill="auto"/>
            <w:vAlign w:val="center"/>
          </w:tcPr>
          <w:p w14:paraId="660F7B0C" w14:textId="46C72471" w:rsidR="0083529B" w:rsidRPr="00681A60" w:rsidRDefault="0083529B">
            <w:pPr>
              <w:jc w:val="center"/>
              <w:rPr>
                <w:rFonts w:ascii="Arial" w:hAnsi="Arial" w:cs="Arial"/>
                <w:color w:val="000000"/>
                <w:sz w:val="16"/>
                <w:szCs w:val="16"/>
              </w:rPr>
            </w:pPr>
            <w:r>
              <w:rPr>
                <w:rFonts w:ascii="Arial" w:hAnsi="Arial" w:cs="Arial"/>
                <w:color w:val="000000"/>
                <w:sz w:val="16"/>
                <w:szCs w:val="16"/>
              </w:rPr>
              <w:t>2</w:t>
            </w:r>
          </w:p>
        </w:tc>
      </w:tr>
      <w:tr w:rsidR="0083529B" w:rsidRPr="00E21C60" w14:paraId="2548E400"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74A78D2A"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5ADF8775" w14:textId="60CDCC8E"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Bratislavský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C5C6F71" w14:textId="522D44B1"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12C1706" w14:textId="2DB123BA"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637BF3E8" w14:textId="7FB45FD9"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1796F65D"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785F89DF"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043920DC" w14:textId="45CDFA66"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Košický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EAE3A51" w14:textId="0A0BEA8F"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3</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CFFF737" w14:textId="063218B7"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3</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22BBBEE4" w14:textId="4AEAD0C3"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3</w:t>
            </w:r>
          </w:p>
        </w:tc>
      </w:tr>
      <w:tr w:rsidR="0083529B" w:rsidRPr="00E21C60" w14:paraId="246402FB"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57616D8"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6E5713C3" w14:textId="2D57B018"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Nitriansky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D9E21FE" w14:textId="180B47BC"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68AD461" w14:textId="03CBC7EC"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2702758A" w14:textId="3BC16D4B"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w:t>
            </w:r>
          </w:p>
        </w:tc>
      </w:tr>
      <w:tr w:rsidR="0083529B" w:rsidRPr="00E21C60" w14:paraId="1FC32C5C"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2BD3147A"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5BC55620" w14:textId="068AB7CE"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Prešovský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C85E03E" w14:textId="12BA2059"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4</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6F88376" w14:textId="0977A6E4"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36D83703" w14:textId="4E4A20EA"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w:t>
            </w:r>
          </w:p>
        </w:tc>
      </w:tr>
      <w:tr w:rsidR="0083529B" w:rsidRPr="00E21C60" w14:paraId="092835A7"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D8976BA"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3D9C84FA" w14:textId="0CDD91AB"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Trenčiansky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8A648A2" w14:textId="2B2A0CBD"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3</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E3D3236" w14:textId="07376A4F"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3</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6CBC26C5" w14:textId="73F5FC4A"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3</w:t>
            </w:r>
          </w:p>
        </w:tc>
      </w:tr>
      <w:tr w:rsidR="0083529B" w:rsidRPr="00E21C60" w14:paraId="46433530"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669EF24D"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7AC25B5F" w14:textId="3EDC8770"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Trnavský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D383ED4" w14:textId="2D44A463"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1CF1379" w14:textId="3D63357E"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402AD53C" w14:textId="22080036"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595F58EE"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B5C5CD7"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416254E2" w14:textId="27FCDE80"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Žilinský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45F4574" w14:textId="2AF0A7E6"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14</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5F86DCD" w14:textId="6D65DC66"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2699124A" w14:textId="77C51795"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10</w:t>
            </w:r>
          </w:p>
        </w:tc>
      </w:tr>
      <w:tr w:rsidR="0083529B" w:rsidRPr="00E21C60" w14:paraId="526ACEA7" w14:textId="77777777" w:rsidTr="007831CE">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39E37735" w14:textId="77777777" w:rsidR="0083529B" w:rsidRPr="00E21C60" w:rsidRDefault="0083529B" w:rsidP="00F51E17">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6660F070" w14:textId="5F26A9EF" w:rsidR="0083529B" w:rsidRPr="00E21C60" w:rsidRDefault="0083529B" w:rsidP="00F51E17">
            <w:pPr>
              <w:jc w:val="center"/>
              <w:rPr>
                <w:rFonts w:ascii="Arial" w:hAnsi="Arial" w:cs="Arial"/>
                <w:color w:val="000000"/>
                <w:sz w:val="16"/>
                <w:szCs w:val="16"/>
              </w:rPr>
            </w:pPr>
            <w:r>
              <w:rPr>
                <w:rFonts w:ascii="Arial" w:hAnsi="Arial" w:cs="Arial"/>
                <w:color w:val="000000"/>
                <w:sz w:val="16"/>
                <w:szCs w:val="16"/>
              </w:rPr>
              <w:t>Slovenská republika</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2FF4DDC4" w14:textId="69522AEF"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35</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FEC8350" w14:textId="10460F5C"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21</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0F768F79" w14:textId="6AC7EB8D" w:rsidR="0083529B" w:rsidRPr="00681A60" w:rsidRDefault="0083529B" w:rsidP="00F51E17">
            <w:pPr>
              <w:jc w:val="center"/>
              <w:rPr>
                <w:rFonts w:ascii="Arial" w:hAnsi="Arial" w:cs="Arial"/>
                <w:color w:val="000000"/>
                <w:sz w:val="16"/>
                <w:szCs w:val="16"/>
              </w:rPr>
            </w:pPr>
            <w:r>
              <w:rPr>
                <w:rFonts w:ascii="Arial" w:hAnsi="Arial" w:cs="Arial"/>
                <w:color w:val="000000"/>
                <w:sz w:val="16"/>
                <w:szCs w:val="16"/>
              </w:rPr>
              <w:t>21</w:t>
            </w:r>
          </w:p>
        </w:tc>
      </w:tr>
      <w:tr w:rsidR="0083529B" w:rsidRPr="00E21C60" w14:paraId="788017E7" w14:textId="77777777" w:rsidTr="0083529B">
        <w:trPr>
          <w:trHeight w:val="240"/>
        </w:trPr>
        <w:tc>
          <w:tcPr>
            <w:tcW w:w="1420" w:type="dxa"/>
            <w:vMerge/>
            <w:tcBorders>
              <w:top w:val="single" w:sz="6" w:space="0" w:color="auto"/>
              <w:left w:val="single" w:sz="12" w:space="0" w:color="auto"/>
              <w:bottom w:val="single" w:sz="12" w:space="0" w:color="auto"/>
              <w:right w:val="single" w:sz="6" w:space="0" w:color="auto"/>
            </w:tcBorders>
            <w:vAlign w:val="center"/>
            <w:hideMark/>
          </w:tcPr>
          <w:p w14:paraId="6686B143"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12" w:space="0" w:color="auto"/>
              <w:right w:val="single" w:sz="6" w:space="0" w:color="auto"/>
            </w:tcBorders>
            <w:shd w:val="clear" w:color="auto" w:fill="auto"/>
            <w:vAlign w:val="center"/>
          </w:tcPr>
          <w:p w14:paraId="584B33F3" w14:textId="12A463BB" w:rsidR="0083529B" w:rsidRPr="00E21C60" w:rsidRDefault="0083529B" w:rsidP="001A5797">
            <w:pPr>
              <w:jc w:val="center"/>
              <w:rPr>
                <w:rFonts w:ascii="Arial" w:hAnsi="Arial" w:cs="Arial"/>
                <w:b/>
                <w:bCs/>
                <w:color w:val="000000"/>
                <w:sz w:val="16"/>
                <w:szCs w:val="16"/>
              </w:rPr>
            </w:pPr>
            <w:r>
              <w:rPr>
                <w:rFonts w:ascii="Arial" w:hAnsi="Arial" w:cs="Arial"/>
                <w:b/>
                <w:bCs/>
                <w:color w:val="000000"/>
                <w:sz w:val="16"/>
                <w:szCs w:val="16"/>
              </w:rPr>
              <w:t>Spolu</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5814DE99" w14:textId="4792B8CD"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66</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33AC6DF2" w14:textId="62C86F54"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42</w:t>
            </w:r>
          </w:p>
        </w:tc>
        <w:tc>
          <w:tcPr>
            <w:tcW w:w="1860" w:type="dxa"/>
            <w:tcBorders>
              <w:top w:val="single" w:sz="6" w:space="0" w:color="auto"/>
              <w:left w:val="single" w:sz="6" w:space="0" w:color="auto"/>
              <w:bottom w:val="single" w:sz="12" w:space="0" w:color="auto"/>
              <w:right w:val="single" w:sz="12" w:space="0" w:color="auto"/>
            </w:tcBorders>
            <w:shd w:val="clear" w:color="auto" w:fill="auto"/>
            <w:vAlign w:val="center"/>
          </w:tcPr>
          <w:p w14:paraId="7902B8FF" w14:textId="3E63E812"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42</w:t>
            </w:r>
          </w:p>
        </w:tc>
      </w:tr>
      <w:tr w:rsidR="0083529B" w:rsidRPr="00E21C60" w14:paraId="3985D54D" w14:textId="77777777" w:rsidTr="0083529B">
        <w:trPr>
          <w:trHeight w:val="240"/>
        </w:trPr>
        <w:tc>
          <w:tcPr>
            <w:tcW w:w="1420" w:type="dxa"/>
            <w:vMerge w:val="restart"/>
            <w:tcBorders>
              <w:top w:val="single" w:sz="12" w:space="0" w:color="auto"/>
              <w:left w:val="single" w:sz="12" w:space="0" w:color="auto"/>
              <w:bottom w:val="single" w:sz="6" w:space="0" w:color="auto"/>
              <w:right w:val="single" w:sz="6" w:space="0" w:color="auto"/>
            </w:tcBorders>
            <w:shd w:val="clear" w:color="auto" w:fill="auto"/>
            <w:vAlign w:val="center"/>
            <w:hideMark/>
          </w:tcPr>
          <w:p w14:paraId="6521F020" w14:textId="77777777" w:rsidR="0083529B" w:rsidRPr="002526CC" w:rsidRDefault="0083529B">
            <w:pPr>
              <w:jc w:val="center"/>
              <w:rPr>
                <w:rFonts w:ascii="Arial" w:hAnsi="Arial" w:cs="Arial"/>
                <w:color w:val="000000"/>
                <w:sz w:val="16"/>
                <w:szCs w:val="16"/>
              </w:rPr>
            </w:pPr>
            <w:r w:rsidRPr="002526CC">
              <w:rPr>
                <w:rFonts w:ascii="Arial" w:hAnsi="Arial" w:cs="Arial"/>
                <w:color w:val="000000"/>
                <w:sz w:val="16"/>
                <w:szCs w:val="16"/>
              </w:rPr>
              <w:t>Prioritná os 6</w:t>
            </w:r>
          </w:p>
        </w:tc>
        <w:tc>
          <w:tcPr>
            <w:tcW w:w="2060" w:type="dxa"/>
            <w:tcBorders>
              <w:top w:val="single" w:sz="12" w:space="0" w:color="auto"/>
              <w:left w:val="single" w:sz="6" w:space="0" w:color="auto"/>
              <w:bottom w:val="single" w:sz="6" w:space="0" w:color="auto"/>
              <w:right w:val="single" w:sz="6" w:space="0" w:color="auto"/>
            </w:tcBorders>
            <w:shd w:val="clear" w:color="auto" w:fill="auto"/>
            <w:vAlign w:val="center"/>
          </w:tcPr>
          <w:p w14:paraId="6205FB87" w14:textId="19CACC5D"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Banskobystrický kraj</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1A8F4635" w14:textId="140ECCC0"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058522C5" w14:textId="16D1A7BC"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12" w:space="0" w:color="auto"/>
              <w:left w:val="single" w:sz="6" w:space="0" w:color="auto"/>
              <w:bottom w:val="single" w:sz="6" w:space="0" w:color="auto"/>
              <w:right w:val="single" w:sz="12" w:space="0" w:color="auto"/>
            </w:tcBorders>
            <w:shd w:val="clear" w:color="auto" w:fill="auto"/>
            <w:vAlign w:val="center"/>
          </w:tcPr>
          <w:p w14:paraId="5F9385EE" w14:textId="041CA3CD"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34374CB6"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5E54BCA5"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73D5DF54" w14:textId="59C4B468"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Bratislavský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EE58E1A" w14:textId="6A49D7D0"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7896D8F" w14:textId="2DE94531"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6E3CF95D" w14:textId="69104197"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4B26CF94"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4886B98F"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73897BD0" w14:textId="2FB12110"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Košický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C5FC4BC" w14:textId="394E292C"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10B48FA" w14:textId="068E45F8"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28FB48DB" w14:textId="1B1EEB6D"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11DDCF28"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2AF633D3"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422EF9B9" w14:textId="0C3A6E25"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Nitriansky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F2F0068" w14:textId="38A04819"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92F5338" w14:textId="77FACBEF"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57988972" w14:textId="6B6E7C65"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07135416"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0560E4DC"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71388FA8" w14:textId="08A7102D"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Prešovský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21EC01AA" w14:textId="0C244DF7"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608A44E" w14:textId="67CFB85F"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44944477" w14:textId="26E104D5"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455A361D"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0B8D9514"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519CE5E0" w14:textId="21831D92"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Trenčiansky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B2B9267" w14:textId="3E123ABD"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219C2C99" w14:textId="5C643030"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7F679F61" w14:textId="0A997EE0"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14B3E429"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30DAC357"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53849B0C" w14:textId="3DA51E42"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Trnavský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213D0F47" w14:textId="02869D60"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E7FCA32" w14:textId="015025B9"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477CAADE" w14:textId="7AC3E660"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11F9B5EA"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5444C6BE"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6D895CA9" w14:textId="4869DC3E"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Žilinský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9B49FFA" w14:textId="2033086C"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16A18E8" w14:textId="60D6DF2A"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4E4A4303" w14:textId="2E3C367C" w:rsidR="0083529B" w:rsidRPr="00681A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787F8F8E"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33C49418"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17723E81" w14:textId="5702FFEC"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Slovenská republika</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4D48FEA" w14:textId="2920E883" w:rsidR="0083529B" w:rsidRPr="00681A60" w:rsidRDefault="0083529B">
            <w:pPr>
              <w:jc w:val="center"/>
              <w:rPr>
                <w:rFonts w:ascii="Arial" w:hAnsi="Arial" w:cs="Arial"/>
                <w:color w:val="000000"/>
                <w:sz w:val="16"/>
                <w:szCs w:val="16"/>
              </w:rPr>
            </w:pPr>
            <w:r>
              <w:rPr>
                <w:rFonts w:ascii="Arial" w:hAnsi="Arial" w:cs="Arial"/>
                <w:color w:val="000000"/>
                <w:sz w:val="16"/>
                <w:szCs w:val="16"/>
              </w:rPr>
              <w:t>29</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9A1CE90" w14:textId="6E84B304" w:rsidR="0083529B" w:rsidRPr="00681A60" w:rsidRDefault="0083529B">
            <w:pPr>
              <w:jc w:val="center"/>
              <w:rPr>
                <w:rFonts w:ascii="Arial" w:hAnsi="Arial" w:cs="Arial"/>
                <w:color w:val="000000"/>
                <w:sz w:val="16"/>
                <w:szCs w:val="16"/>
              </w:rPr>
            </w:pPr>
            <w:r>
              <w:rPr>
                <w:rFonts w:ascii="Arial" w:hAnsi="Arial" w:cs="Arial"/>
                <w:color w:val="000000"/>
                <w:sz w:val="16"/>
                <w:szCs w:val="16"/>
              </w:rPr>
              <w:t>29</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0F7E39E4" w14:textId="73D4A0F4" w:rsidR="0083529B" w:rsidRPr="00681A60" w:rsidRDefault="0083529B">
            <w:pPr>
              <w:jc w:val="center"/>
              <w:rPr>
                <w:rFonts w:ascii="Arial" w:hAnsi="Arial" w:cs="Arial"/>
                <w:color w:val="000000"/>
                <w:sz w:val="16"/>
                <w:szCs w:val="16"/>
              </w:rPr>
            </w:pPr>
            <w:r>
              <w:rPr>
                <w:rFonts w:ascii="Arial" w:hAnsi="Arial" w:cs="Arial"/>
                <w:color w:val="000000"/>
                <w:sz w:val="16"/>
                <w:szCs w:val="16"/>
              </w:rPr>
              <w:t>29</w:t>
            </w:r>
          </w:p>
        </w:tc>
      </w:tr>
      <w:tr w:rsidR="0083529B" w:rsidRPr="00E21C60" w14:paraId="3D704324" w14:textId="77777777" w:rsidTr="0083529B">
        <w:trPr>
          <w:trHeight w:val="240"/>
        </w:trPr>
        <w:tc>
          <w:tcPr>
            <w:tcW w:w="1420" w:type="dxa"/>
            <w:vMerge/>
            <w:tcBorders>
              <w:top w:val="single" w:sz="6" w:space="0" w:color="auto"/>
              <w:left w:val="single" w:sz="12" w:space="0" w:color="auto"/>
              <w:bottom w:val="single" w:sz="12" w:space="0" w:color="auto"/>
              <w:right w:val="single" w:sz="6" w:space="0" w:color="auto"/>
            </w:tcBorders>
            <w:vAlign w:val="center"/>
            <w:hideMark/>
          </w:tcPr>
          <w:p w14:paraId="50B32F79"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12" w:space="0" w:color="auto"/>
              <w:right w:val="single" w:sz="6" w:space="0" w:color="auto"/>
            </w:tcBorders>
            <w:shd w:val="clear" w:color="auto" w:fill="auto"/>
            <w:vAlign w:val="center"/>
          </w:tcPr>
          <w:p w14:paraId="05311C96" w14:textId="3F2F9E43" w:rsidR="0083529B" w:rsidRPr="00E21C60" w:rsidRDefault="0083529B" w:rsidP="001A5797">
            <w:pPr>
              <w:jc w:val="center"/>
              <w:rPr>
                <w:rFonts w:ascii="Arial" w:hAnsi="Arial" w:cs="Arial"/>
                <w:b/>
                <w:bCs/>
                <w:color w:val="000000"/>
                <w:sz w:val="16"/>
                <w:szCs w:val="16"/>
              </w:rPr>
            </w:pPr>
            <w:r>
              <w:rPr>
                <w:rFonts w:ascii="Arial" w:hAnsi="Arial" w:cs="Arial"/>
                <w:b/>
                <w:bCs/>
                <w:color w:val="000000"/>
                <w:sz w:val="16"/>
                <w:szCs w:val="16"/>
              </w:rPr>
              <w:t>Spolu</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482261FC" w14:textId="20D7404A"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29</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6A15E2ED" w14:textId="7CCA2973"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29</w:t>
            </w:r>
          </w:p>
        </w:tc>
        <w:tc>
          <w:tcPr>
            <w:tcW w:w="1860" w:type="dxa"/>
            <w:tcBorders>
              <w:top w:val="single" w:sz="6" w:space="0" w:color="auto"/>
              <w:left w:val="single" w:sz="6" w:space="0" w:color="auto"/>
              <w:bottom w:val="single" w:sz="12" w:space="0" w:color="auto"/>
              <w:right w:val="single" w:sz="12" w:space="0" w:color="auto"/>
            </w:tcBorders>
            <w:shd w:val="clear" w:color="auto" w:fill="auto"/>
            <w:vAlign w:val="center"/>
          </w:tcPr>
          <w:p w14:paraId="64AF8AE4" w14:textId="72A5276C"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29</w:t>
            </w:r>
          </w:p>
        </w:tc>
      </w:tr>
      <w:tr w:rsidR="0083529B" w:rsidRPr="00E21C60" w14:paraId="58D8D995" w14:textId="77777777" w:rsidTr="0083529B">
        <w:trPr>
          <w:trHeight w:val="240"/>
        </w:trPr>
        <w:tc>
          <w:tcPr>
            <w:tcW w:w="1420" w:type="dxa"/>
            <w:vMerge w:val="restart"/>
            <w:tcBorders>
              <w:top w:val="single" w:sz="12" w:space="0" w:color="auto"/>
              <w:left w:val="single" w:sz="12" w:space="0" w:color="auto"/>
              <w:bottom w:val="single" w:sz="6" w:space="0" w:color="auto"/>
              <w:right w:val="single" w:sz="6" w:space="0" w:color="auto"/>
            </w:tcBorders>
            <w:shd w:val="clear" w:color="auto" w:fill="auto"/>
            <w:vAlign w:val="center"/>
            <w:hideMark/>
          </w:tcPr>
          <w:p w14:paraId="16CC8EA7" w14:textId="77777777" w:rsidR="0083529B" w:rsidRPr="002526CC" w:rsidRDefault="0083529B">
            <w:pPr>
              <w:jc w:val="center"/>
              <w:rPr>
                <w:rFonts w:ascii="Arial" w:hAnsi="Arial" w:cs="Arial"/>
                <w:color w:val="000000"/>
                <w:sz w:val="16"/>
                <w:szCs w:val="16"/>
              </w:rPr>
            </w:pPr>
            <w:r w:rsidRPr="002526CC">
              <w:rPr>
                <w:rFonts w:ascii="Arial" w:hAnsi="Arial" w:cs="Arial"/>
                <w:color w:val="000000"/>
                <w:sz w:val="16"/>
                <w:szCs w:val="16"/>
              </w:rPr>
              <w:t>Prioritná os 7</w:t>
            </w:r>
          </w:p>
        </w:tc>
        <w:tc>
          <w:tcPr>
            <w:tcW w:w="2060" w:type="dxa"/>
            <w:tcBorders>
              <w:top w:val="single" w:sz="12" w:space="0" w:color="auto"/>
              <w:left w:val="single" w:sz="6" w:space="0" w:color="auto"/>
              <w:bottom w:val="single" w:sz="6" w:space="0" w:color="auto"/>
              <w:right w:val="single" w:sz="6" w:space="0" w:color="auto"/>
            </w:tcBorders>
            <w:shd w:val="clear" w:color="auto" w:fill="auto"/>
            <w:vAlign w:val="center"/>
          </w:tcPr>
          <w:p w14:paraId="40895696" w14:textId="44E643CF"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Banskobystrický kraj</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6FCBA1FD" w14:textId="50C4337D"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12" w:space="0" w:color="auto"/>
              <w:left w:val="single" w:sz="6" w:space="0" w:color="auto"/>
              <w:bottom w:val="single" w:sz="6" w:space="0" w:color="auto"/>
              <w:right w:val="single" w:sz="6" w:space="0" w:color="auto"/>
            </w:tcBorders>
            <w:shd w:val="clear" w:color="auto" w:fill="auto"/>
            <w:vAlign w:val="center"/>
          </w:tcPr>
          <w:p w14:paraId="72125D85" w14:textId="11F833B4"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12" w:space="0" w:color="auto"/>
              <w:left w:val="single" w:sz="6" w:space="0" w:color="auto"/>
              <w:bottom w:val="single" w:sz="6" w:space="0" w:color="auto"/>
              <w:right w:val="single" w:sz="12" w:space="0" w:color="auto"/>
            </w:tcBorders>
            <w:shd w:val="clear" w:color="auto" w:fill="auto"/>
            <w:vAlign w:val="center"/>
          </w:tcPr>
          <w:p w14:paraId="459AA5D6" w14:textId="79E44C71"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26649C9F"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22016FA"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741E333C" w14:textId="465572E7"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Bratislavský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5A06A66" w14:textId="5725D851"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61EB095" w14:textId="61E87171"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526922B0" w14:textId="2D54E9F9"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3CF7091C"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7CD93BB3"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34D44E38" w14:textId="2DA0BAD8"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Košický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FC98E7D" w14:textId="0A2CAB97"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026C2A94" w14:textId="6EBF7F64"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0AAA2917" w14:textId="438720BB"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1F37C0BD"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6C255904"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6FD4E7E9" w14:textId="31FF7416"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Nitriansky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5D1C06B" w14:textId="301534C7"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6ACF9C90" w14:textId="38968664"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39B63C65" w14:textId="01AE8AD7"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1B25D9C1"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38E9E887"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008A6308" w14:textId="20110BC9"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Prešovský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805D12B" w14:textId="48FDE1E8"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2363F5A" w14:textId="4ED0617D"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2629581B" w14:textId="2B38DAF1"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05A3856E"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61F81B4"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51BF9FE5" w14:textId="3F3423EC"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Trenčiansky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F65F54D" w14:textId="4E52DC71"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45804E09" w14:textId="5BDFAE5F"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663E788C" w14:textId="2F314BC1"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4A2518E6"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6D427605"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29B68C56" w14:textId="1133EB68"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Trnavský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B329615" w14:textId="0FDAA26A"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EB49179" w14:textId="519587BC"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303DB3BD" w14:textId="70851F38"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370698EA"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0C391516"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04EAA531" w14:textId="3E0BA513"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Žilinský kraj</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38D0051E" w14:textId="5FC89BCC"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1F613235" w14:textId="2E0DCF68"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6ECFDAB7" w14:textId="62DA8AA4" w:rsidR="0083529B" w:rsidRPr="00E21C60" w:rsidRDefault="0083529B">
            <w:pPr>
              <w:jc w:val="center"/>
              <w:rPr>
                <w:rFonts w:ascii="Arial" w:hAnsi="Arial" w:cs="Arial"/>
                <w:color w:val="000000"/>
                <w:sz w:val="16"/>
                <w:szCs w:val="16"/>
              </w:rPr>
            </w:pPr>
            <w:r>
              <w:rPr>
                <w:rFonts w:ascii="Arial" w:hAnsi="Arial" w:cs="Arial"/>
                <w:color w:val="000000"/>
                <w:sz w:val="16"/>
                <w:szCs w:val="16"/>
              </w:rPr>
              <w:t>0</w:t>
            </w:r>
          </w:p>
        </w:tc>
      </w:tr>
      <w:tr w:rsidR="0083529B" w:rsidRPr="00E21C60" w14:paraId="5CE07141" w14:textId="77777777" w:rsidTr="0083529B">
        <w:trPr>
          <w:trHeight w:val="240"/>
        </w:trPr>
        <w:tc>
          <w:tcPr>
            <w:tcW w:w="1420" w:type="dxa"/>
            <w:vMerge/>
            <w:tcBorders>
              <w:top w:val="single" w:sz="6" w:space="0" w:color="auto"/>
              <w:left w:val="single" w:sz="12" w:space="0" w:color="auto"/>
              <w:bottom w:val="single" w:sz="6" w:space="0" w:color="auto"/>
              <w:right w:val="single" w:sz="6" w:space="0" w:color="auto"/>
            </w:tcBorders>
            <w:vAlign w:val="center"/>
            <w:hideMark/>
          </w:tcPr>
          <w:p w14:paraId="13251B5B"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6" w:space="0" w:color="auto"/>
              <w:right w:val="single" w:sz="6" w:space="0" w:color="auto"/>
            </w:tcBorders>
            <w:shd w:val="clear" w:color="auto" w:fill="auto"/>
            <w:vAlign w:val="center"/>
          </w:tcPr>
          <w:p w14:paraId="11973D71" w14:textId="7505A8D1" w:rsidR="0083529B" w:rsidRPr="00E21C60" w:rsidRDefault="0083529B" w:rsidP="001A5797">
            <w:pPr>
              <w:jc w:val="center"/>
              <w:rPr>
                <w:rFonts w:ascii="Arial" w:hAnsi="Arial" w:cs="Arial"/>
                <w:color w:val="000000"/>
                <w:sz w:val="16"/>
                <w:szCs w:val="16"/>
              </w:rPr>
            </w:pPr>
            <w:r>
              <w:rPr>
                <w:rFonts w:ascii="Arial" w:hAnsi="Arial" w:cs="Arial"/>
                <w:color w:val="000000"/>
                <w:sz w:val="16"/>
                <w:szCs w:val="16"/>
              </w:rPr>
              <w:t>Slovenská republika</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721CC12F" w14:textId="752A41B3" w:rsidR="0083529B" w:rsidRPr="00E21C60" w:rsidRDefault="0083529B">
            <w:pPr>
              <w:jc w:val="center"/>
              <w:rPr>
                <w:rFonts w:ascii="Arial" w:hAnsi="Arial" w:cs="Arial"/>
                <w:color w:val="000000"/>
                <w:sz w:val="16"/>
                <w:szCs w:val="16"/>
              </w:rPr>
            </w:pPr>
            <w:r>
              <w:rPr>
                <w:rFonts w:ascii="Arial" w:hAnsi="Arial" w:cs="Arial"/>
                <w:color w:val="000000"/>
                <w:sz w:val="16"/>
                <w:szCs w:val="16"/>
              </w:rPr>
              <w:t>1</w:t>
            </w:r>
          </w:p>
        </w:tc>
        <w:tc>
          <w:tcPr>
            <w:tcW w:w="1860" w:type="dxa"/>
            <w:tcBorders>
              <w:top w:val="single" w:sz="6" w:space="0" w:color="auto"/>
              <w:left w:val="single" w:sz="6" w:space="0" w:color="auto"/>
              <w:bottom w:val="single" w:sz="6" w:space="0" w:color="auto"/>
              <w:right w:val="single" w:sz="6" w:space="0" w:color="auto"/>
            </w:tcBorders>
            <w:shd w:val="clear" w:color="auto" w:fill="auto"/>
            <w:vAlign w:val="center"/>
          </w:tcPr>
          <w:p w14:paraId="542C1D90" w14:textId="71275FE5" w:rsidR="0083529B" w:rsidRPr="00E21C60" w:rsidRDefault="0083529B">
            <w:pPr>
              <w:jc w:val="center"/>
              <w:rPr>
                <w:rFonts w:ascii="Arial" w:hAnsi="Arial" w:cs="Arial"/>
                <w:color w:val="000000"/>
                <w:sz w:val="16"/>
                <w:szCs w:val="16"/>
              </w:rPr>
            </w:pPr>
            <w:r>
              <w:rPr>
                <w:rFonts w:ascii="Arial" w:hAnsi="Arial" w:cs="Arial"/>
                <w:color w:val="000000"/>
                <w:sz w:val="16"/>
                <w:szCs w:val="16"/>
              </w:rPr>
              <w:t>1</w:t>
            </w:r>
          </w:p>
        </w:tc>
        <w:tc>
          <w:tcPr>
            <w:tcW w:w="1860" w:type="dxa"/>
            <w:tcBorders>
              <w:top w:val="single" w:sz="6" w:space="0" w:color="auto"/>
              <w:left w:val="single" w:sz="6" w:space="0" w:color="auto"/>
              <w:bottom w:val="single" w:sz="6" w:space="0" w:color="auto"/>
              <w:right w:val="single" w:sz="12" w:space="0" w:color="auto"/>
            </w:tcBorders>
            <w:shd w:val="clear" w:color="auto" w:fill="auto"/>
            <w:vAlign w:val="center"/>
          </w:tcPr>
          <w:p w14:paraId="3B76EFF6" w14:textId="163FB8BF" w:rsidR="0083529B" w:rsidRPr="00E21C60" w:rsidRDefault="00DD50D8">
            <w:pPr>
              <w:jc w:val="center"/>
              <w:rPr>
                <w:rFonts w:ascii="Arial" w:hAnsi="Arial" w:cs="Arial"/>
                <w:color w:val="000000"/>
                <w:sz w:val="16"/>
                <w:szCs w:val="16"/>
              </w:rPr>
            </w:pPr>
            <w:r>
              <w:rPr>
                <w:rFonts w:ascii="Arial" w:hAnsi="Arial" w:cs="Arial"/>
                <w:color w:val="000000"/>
                <w:sz w:val="16"/>
                <w:szCs w:val="16"/>
              </w:rPr>
              <w:t>1</w:t>
            </w:r>
          </w:p>
        </w:tc>
      </w:tr>
      <w:tr w:rsidR="0083529B" w:rsidRPr="00E21C60" w14:paraId="1D96A3FD" w14:textId="77777777" w:rsidTr="0083529B">
        <w:trPr>
          <w:trHeight w:val="240"/>
        </w:trPr>
        <w:tc>
          <w:tcPr>
            <w:tcW w:w="1420" w:type="dxa"/>
            <w:vMerge/>
            <w:tcBorders>
              <w:top w:val="single" w:sz="6" w:space="0" w:color="auto"/>
              <w:left w:val="single" w:sz="12" w:space="0" w:color="auto"/>
              <w:bottom w:val="single" w:sz="12" w:space="0" w:color="auto"/>
              <w:right w:val="single" w:sz="6" w:space="0" w:color="auto"/>
            </w:tcBorders>
            <w:vAlign w:val="center"/>
            <w:hideMark/>
          </w:tcPr>
          <w:p w14:paraId="2965AFFE" w14:textId="77777777" w:rsidR="0083529B" w:rsidRPr="00E21C60" w:rsidRDefault="0083529B">
            <w:pPr>
              <w:rPr>
                <w:rFonts w:ascii="Arial" w:hAnsi="Arial" w:cs="Arial"/>
                <w:color w:val="000000"/>
                <w:sz w:val="16"/>
                <w:szCs w:val="16"/>
              </w:rPr>
            </w:pPr>
          </w:p>
        </w:tc>
        <w:tc>
          <w:tcPr>
            <w:tcW w:w="2060" w:type="dxa"/>
            <w:tcBorders>
              <w:top w:val="single" w:sz="6" w:space="0" w:color="auto"/>
              <w:left w:val="single" w:sz="6" w:space="0" w:color="auto"/>
              <w:bottom w:val="single" w:sz="12" w:space="0" w:color="auto"/>
              <w:right w:val="single" w:sz="6" w:space="0" w:color="auto"/>
            </w:tcBorders>
            <w:shd w:val="clear" w:color="auto" w:fill="auto"/>
            <w:vAlign w:val="center"/>
          </w:tcPr>
          <w:p w14:paraId="3D1D73E6" w14:textId="46B8EDFB" w:rsidR="0083529B" w:rsidRPr="00E21C60" w:rsidRDefault="0083529B" w:rsidP="001A5797">
            <w:pPr>
              <w:jc w:val="center"/>
              <w:rPr>
                <w:rFonts w:ascii="Arial" w:hAnsi="Arial" w:cs="Arial"/>
                <w:b/>
                <w:bCs/>
                <w:color w:val="000000"/>
                <w:sz w:val="16"/>
                <w:szCs w:val="16"/>
              </w:rPr>
            </w:pPr>
            <w:r>
              <w:rPr>
                <w:rFonts w:ascii="Arial" w:hAnsi="Arial" w:cs="Arial"/>
                <w:b/>
                <w:bCs/>
                <w:color w:val="000000"/>
                <w:sz w:val="16"/>
                <w:szCs w:val="16"/>
              </w:rPr>
              <w:t>Spolu</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2DF4031E" w14:textId="3F8E8250" w:rsidR="0083529B" w:rsidRPr="00E21C60" w:rsidRDefault="0083529B">
            <w:pPr>
              <w:jc w:val="center"/>
              <w:rPr>
                <w:rFonts w:ascii="Arial" w:hAnsi="Arial" w:cs="Arial"/>
                <w:b/>
                <w:bCs/>
                <w:color w:val="000000"/>
                <w:sz w:val="16"/>
                <w:szCs w:val="16"/>
              </w:rPr>
            </w:pPr>
            <w:r>
              <w:rPr>
                <w:rFonts w:ascii="Arial" w:hAnsi="Arial" w:cs="Arial"/>
                <w:b/>
                <w:bCs/>
                <w:color w:val="000000"/>
                <w:sz w:val="16"/>
                <w:szCs w:val="16"/>
              </w:rPr>
              <w:t>1</w:t>
            </w:r>
          </w:p>
        </w:tc>
        <w:tc>
          <w:tcPr>
            <w:tcW w:w="1860" w:type="dxa"/>
            <w:tcBorders>
              <w:top w:val="single" w:sz="6" w:space="0" w:color="auto"/>
              <w:left w:val="single" w:sz="6" w:space="0" w:color="auto"/>
              <w:bottom w:val="single" w:sz="12" w:space="0" w:color="auto"/>
              <w:right w:val="single" w:sz="6" w:space="0" w:color="auto"/>
            </w:tcBorders>
            <w:shd w:val="clear" w:color="auto" w:fill="auto"/>
            <w:vAlign w:val="center"/>
          </w:tcPr>
          <w:p w14:paraId="05285119" w14:textId="5929FF84" w:rsidR="0083529B" w:rsidRPr="00E21C60" w:rsidRDefault="0083529B">
            <w:pPr>
              <w:jc w:val="center"/>
              <w:rPr>
                <w:rFonts w:ascii="Arial" w:hAnsi="Arial" w:cs="Arial"/>
                <w:b/>
                <w:bCs/>
                <w:color w:val="000000"/>
                <w:sz w:val="16"/>
                <w:szCs w:val="16"/>
              </w:rPr>
            </w:pPr>
            <w:r>
              <w:rPr>
                <w:rFonts w:ascii="Arial" w:hAnsi="Arial" w:cs="Arial"/>
                <w:b/>
                <w:bCs/>
                <w:color w:val="000000"/>
                <w:sz w:val="16"/>
                <w:szCs w:val="16"/>
              </w:rPr>
              <w:t>1</w:t>
            </w:r>
          </w:p>
        </w:tc>
        <w:tc>
          <w:tcPr>
            <w:tcW w:w="1860" w:type="dxa"/>
            <w:tcBorders>
              <w:top w:val="single" w:sz="6" w:space="0" w:color="auto"/>
              <w:left w:val="single" w:sz="6" w:space="0" w:color="auto"/>
              <w:bottom w:val="single" w:sz="12" w:space="0" w:color="auto"/>
              <w:right w:val="single" w:sz="12" w:space="0" w:color="auto"/>
            </w:tcBorders>
            <w:shd w:val="clear" w:color="auto" w:fill="auto"/>
            <w:vAlign w:val="center"/>
          </w:tcPr>
          <w:p w14:paraId="76BBCC39" w14:textId="70F9B211" w:rsidR="0083529B" w:rsidRPr="00E21C60" w:rsidRDefault="00DD50D8">
            <w:pPr>
              <w:jc w:val="center"/>
              <w:rPr>
                <w:rFonts w:ascii="Arial" w:hAnsi="Arial" w:cs="Arial"/>
                <w:b/>
                <w:bCs/>
                <w:color w:val="000000"/>
                <w:sz w:val="16"/>
                <w:szCs w:val="16"/>
              </w:rPr>
            </w:pPr>
            <w:r>
              <w:rPr>
                <w:rFonts w:ascii="Arial" w:hAnsi="Arial" w:cs="Arial"/>
                <w:b/>
                <w:bCs/>
                <w:color w:val="000000"/>
                <w:sz w:val="16"/>
                <w:szCs w:val="16"/>
              </w:rPr>
              <w:t>1</w:t>
            </w:r>
          </w:p>
        </w:tc>
      </w:tr>
      <w:tr w:rsidR="0083529B" w:rsidRPr="00E21C60" w14:paraId="7831655B" w14:textId="77777777" w:rsidTr="0083529B">
        <w:trPr>
          <w:trHeight w:val="255"/>
        </w:trPr>
        <w:tc>
          <w:tcPr>
            <w:tcW w:w="3480" w:type="dxa"/>
            <w:gridSpan w:val="2"/>
            <w:tcBorders>
              <w:top w:val="single" w:sz="12" w:space="0" w:color="auto"/>
              <w:left w:val="single" w:sz="12" w:space="0" w:color="auto"/>
              <w:bottom w:val="single" w:sz="12" w:space="0" w:color="auto"/>
              <w:right w:val="single" w:sz="6" w:space="0" w:color="auto"/>
            </w:tcBorders>
            <w:shd w:val="clear" w:color="000000" w:fill="EBF1DE"/>
            <w:noWrap/>
            <w:vAlign w:val="center"/>
          </w:tcPr>
          <w:p w14:paraId="371DEF5C" w14:textId="6C420AE4" w:rsidR="0083529B" w:rsidRPr="00123376" w:rsidRDefault="0083529B" w:rsidP="001A5797">
            <w:pPr>
              <w:jc w:val="center"/>
              <w:rPr>
                <w:rFonts w:ascii="Arial" w:hAnsi="Arial" w:cs="Arial"/>
                <w:b/>
                <w:bCs/>
                <w:color w:val="000000"/>
                <w:sz w:val="16"/>
                <w:szCs w:val="16"/>
              </w:rPr>
            </w:pPr>
          </w:p>
        </w:tc>
        <w:tc>
          <w:tcPr>
            <w:tcW w:w="1860" w:type="dxa"/>
            <w:tcBorders>
              <w:top w:val="single" w:sz="12" w:space="0" w:color="auto"/>
              <w:left w:val="single" w:sz="6" w:space="0" w:color="auto"/>
              <w:bottom w:val="single" w:sz="12" w:space="0" w:color="auto"/>
              <w:right w:val="single" w:sz="6" w:space="0" w:color="auto"/>
            </w:tcBorders>
            <w:shd w:val="clear" w:color="000000" w:fill="EBF1DE"/>
            <w:noWrap/>
            <w:vAlign w:val="center"/>
          </w:tcPr>
          <w:p w14:paraId="12747D15" w14:textId="0280A43B" w:rsidR="0083529B" w:rsidRPr="00681A60" w:rsidRDefault="001E239A">
            <w:pPr>
              <w:jc w:val="center"/>
              <w:rPr>
                <w:rFonts w:ascii="Arial" w:hAnsi="Arial" w:cs="Arial"/>
                <w:b/>
                <w:bCs/>
                <w:color w:val="000000"/>
                <w:sz w:val="16"/>
                <w:szCs w:val="16"/>
              </w:rPr>
            </w:pPr>
            <w:r w:rsidRPr="001E239A">
              <w:rPr>
                <w:rFonts w:ascii="Arial" w:hAnsi="Arial" w:cs="Arial"/>
                <w:b/>
                <w:bCs/>
                <w:color w:val="000000"/>
                <w:sz w:val="16"/>
                <w:szCs w:val="16"/>
              </w:rPr>
              <w:t>3023</w:t>
            </w:r>
          </w:p>
        </w:tc>
        <w:tc>
          <w:tcPr>
            <w:tcW w:w="1860" w:type="dxa"/>
            <w:tcBorders>
              <w:top w:val="single" w:sz="12" w:space="0" w:color="auto"/>
              <w:left w:val="single" w:sz="6" w:space="0" w:color="auto"/>
              <w:bottom w:val="single" w:sz="12" w:space="0" w:color="auto"/>
              <w:right w:val="single" w:sz="6" w:space="0" w:color="auto"/>
            </w:tcBorders>
            <w:shd w:val="clear" w:color="000000" w:fill="EBF1DE"/>
            <w:noWrap/>
            <w:vAlign w:val="center"/>
          </w:tcPr>
          <w:p w14:paraId="19EF4E3F" w14:textId="1E7FFE7B" w:rsidR="0083529B" w:rsidRPr="00681A60" w:rsidRDefault="0083529B">
            <w:pPr>
              <w:jc w:val="center"/>
              <w:rPr>
                <w:rFonts w:ascii="Arial" w:hAnsi="Arial" w:cs="Arial"/>
                <w:b/>
                <w:bCs/>
                <w:color w:val="000000"/>
                <w:sz w:val="16"/>
                <w:szCs w:val="16"/>
              </w:rPr>
            </w:pPr>
            <w:r>
              <w:rPr>
                <w:rFonts w:ascii="Arial" w:hAnsi="Arial" w:cs="Arial"/>
                <w:b/>
                <w:bCs/>
                <w:color w:val="000000"/>
                <w:sz w:val="16"/>
                <w:szCs w:val="16"/>
              </w:rPr>
              <w:t>805</w:t>
            </w:r>
          </w:p>
        </w:tc>
        <w:tc>
          <w:tcPr>
            <w:tcW w:w="1860" w:type="dxa"/>
            <w:tcBorders>
              <w:top w:val="single" w:sz="12" w:space="0" w:color="auto"/>
              <w:left w:val="single" w:sz="6" w:space="0" w:color="auto"/>
              <w:bottom w:val="single" w:sz="12" w:space="0" w:color="auto"/>
              <w:right w:val="single" w:sz="12" w:space="0" w:color="auto"/>
            </w:tcBorders>
            <w:shd w:val="clear" w:color="000000" w:fill="EBF1DE"/>
            <w:noWrap/>
            <w:vAlign w:val="center"/>
          </w:tcPr>
          <w:p w14:paraId="0C998288" w14:textId="0B0A38A5" w:rsidR="0083529B" w:rsidRPr="00681A60" w:rsidRDefault="00865C2B">
            <w:pPr>
              <w:jc w:val="center"/>
              <w:rPr>
                <w:rFonts w:ascii="Arial" w:hAnsi="Arial" w:cs="Arial"/>
                <w:b/>
                <w:bCs/>
                <w:color w:val="000000"/>
                <w:sz w:val="16"/>
                <w:szCs w:val="16"/>
              </w:rPr>
            </w:pPr>
            <w:r>
              <w:rPr>
                <w:rFonts w:ascii="Arial" w:hAnsi="Arial" w:cs="Arial"/>
                <w:b/>
                <w:bCs/>
                <w:color w:val="000000"/>
                <w:sz w:val="16"/>
                <w:szCs w:val="16"/>
              </w:rPr>
              <w:t>799</w:t>
            </w:r>
          </w:p>
        </w:tc>
      </w:tr>
    </w:tbl>
    <w:p w14:paraId="1A0A5EFA" w14:textId="77777777" w:rsidR="002416B1" w:rsidRPr="00123376" w:rsidRDefault="002416B1" w:rsidP="00123376">
      <w:pPr>
        <w:rPr>
          <w:rFonts w:ascii="Arial" w:hAnsi="Arial" w:cs="Arial"/>
          <w:sz w:val="16"/>
          <w:szCs w:val="16"/>
        </w:rPr>
      </w:pPr>
      <w:r w:rsidRPr="00123376">
        <w:rPr>
          <w:rFonts w:ascii="Arial" w:hAnsi="Arial" w:cs="Arial"/>
          <w:sz w:val="16"/>
          <w:szCs w:val="16"/>
        </w:rPr>
        <w:t xml:space="preserve">Zdroj: </w:t>
      </w:r>
      <w:r w:rsidR="00887C0A" w:rsidRPr="00123376">
        <w:rPr>
          <w:rFonts w:ascii="Arial" w:hAnsi="Arial" w:cs="Arial"/>
          <w:sz w:val="16"/>
          <w:szCs w:val="16"/>
        </w:rPr>
        <w:t>RO</w:t>
      </w:r>
    </w:p>
    <w:p w14:paraId="1AEA6DAC" w14:textId="77777777" w:rsidR="00A92150" w:rsidRPr="002526CC" w:rsidRDefault="00A92150" w:rsidP="00123376">
      <w:pPr>
        <w:jc w:val="both"/>
        <w:rPr>
          <w:rFonts w:ascii="Arial" w:hAnsi="Arial" w:cs="Arial"/>
          <w:i/>
          <w:sz w:val="16"/>
          <w:szCs w:val="16"/>
        </w:rPr>
      </w:pPr>
      <w:r w:rsidRPr="002526CC">
        <w:rPr>
          <w:rFonts w:ascii="Arial" w:hAnsi="Arial" w:cs="Arial"/>
          <w:i/>
          <w:sz w:val="16"/>
          <w:szCs w:val="16"/>
        </w:rPr>
        <w:t>Pozn.: Projekty, ktoré boli predložené v rámci viacerých krajov a nie je možné hodnoty rozdeliť na NUTS III, sú uvedené v rámci NUTS II.</w:t>
      </w:r>
    </w:p>
    <w:p w14:paraId="20C1BA53" w14:textId="73DE807C" w:rsidR="0083529B" w:rsidRPr="0083529B" w:rsidRDefault="0083529B" w:rsidP="0083529B">
      <w:pPr>
        <w:spacing w:before="120" w:after="120"/>
        <w:jc w:val="both"/>
        <w:rPr>
          <w:rFonts w:ascii="Arial" w:hAnsi="Arial" w:cs="Arial"/>
          <w:sz w:val="20"/>
          <w:szCs w:val="20"/>
        </w:rPr>
      </w:pPr>
      <w:r w:rsidRPr="0083529B">
        <w:rPr>
          <w:rFonts w:ascii="Arial" w:hAnsi="Arial" w:cs="Arial"/>
          <w:sz w:val="20"/>
          <w:szCs w:val="20"/>
        </w:rPr>
        <w:t xml:space="preserve">Finančnú implementáciu projektov podľa NUTS III, ako aj projektov nezaradených do NUTS III </w:t>
      </w:r>
      <w:r w:rsidR="00A0132C">
        <w:rPr>
          <w:rFonts w:ascii="Arial" w:hAnsi="Arial" w:cs="Arial"/>
          <w:sz w:val="20"/>
          <w:szCs w:val="20"/>
        </w:rPr>
        <w:t xml:space="preserve">      </w:t>
      </w:r>
      <w:r w:rsidRPr="0083529B">
        <w:rPr>
          <w:rFonts w:ascii="Arial" w:hAnsi="Arial" w:cs="Arial"/>
          <w:sz w:val="20"/>
          <w:szCs w:val="20"/>
        </w:rPr>
        <w:t>k 30.</w:t>
      </w:r>
      <w:r w:rsidR="00A0132C">
        <w:rPr>
          <w:rFonts w:ascii="Arial" w:hAnsi="Arial" w:cs="Arial"/>
          <w:sz w:val="20"/>
          <w:szCs w:val="20"/>
        </w:rPr>
        <w:t xml:space="preserve"> </w:t>
      </w:r>
      <w:r w:rsidRPr="0083529B">
        <w:rPr>
          <w:rFonts w:ascii="Arial" w:hAnsi="Arial" w:cs="Arial"/>
          <w:sz w:val="20"/>
          <w:szCs w:val="20"/>
        </w:rPr>
        <w:t>10.</w:t>
      </w:r>
      <w:r w:rsidR="00A0132C">
        <w:rPr>
          <w:rFonts w:ascii="Arial" w:hAnsi="Arial" w:cs="Arial"/>
          <w:sz w:val="20"/>
          <w:szCs w:val="20"/>
        </w:rPr>
        <w:t xml:space="preserve"> </w:t>
      </w:r>
      <w:r w:rsidRPr="0083529B">
        <w:rPr>
          <w:rFonts w:ascii="Arial" w:hAnsi="Arial" w:cs="Arial"/>
          <w:sz w:val="20"/>
          <w:szCs w:val="20"/>
        </w:rPr>
        <w:t>2016 znázorňuje Príloha č. 6.</w:t>
      </w:r>
    </w:p>
    <w:p w14:paraId="4315CE34" w14:textId="5DF687E3" w:rsidR="0083529B" w:rsidRPr="00E21C60" w:rsidRDefault="0083529B" w:rsidP="0083529B">
      <w:pPr>
        <w:spacing w:before="120" w:after="120"/>
        <w:jc w:val="both"/>
        <w:rPr>
          <w:rFonts w:ascii="Arial" w:hAnsi="Arial" w:cs="Arial"/>
          <w:sz w:val="20"/>
          <w:szCs w:val="20"/>
        </w:rPr>
      </w:pPr>
      <w:r w:rsidRPr="0083529B">
        <w:rPr>
          <w:rFonts w:ascii="Arial" w:hAnsi="Arial" w:cs="Arial"/>
          <w:sz w:val="20"/>
          <w:szCs w:val="20"/>
        </w:rPr>
        <w:t>Ako vyplýva z uvedenej prílohy, indikatívne regionálne alokácie boli prekročené v </w:t>
      </w:r>
      <w:r w:rsidRPr="007831CE">
        <w:rPr>
          <w:rFonts w:ascii="Arial" w:hAnsi="Arial" w:cs="Arial"/>
          <w:sz w:val="20"/>
          <w:szCs w:val="20"/>
        </w:rPr>
        <w:t>dvanástich</w:t>
      </w:r>
      <w:r w:rsidRPr="0083529B">
        <w:rPr>
          <w:rFonts w:ascii="Arial" w:hAnsi="Arial" w:cs="Arial"/>
          <w:sz w:val="20"/>
          <w:szCs w:val="20"/>
        </w:rPr>
        <w:t xml:space="preserve"> prípadoch, a to v rámci prioritnej osi 1 najviac v Žilinskom kraji, v rámci prioritnej osi 2  v</w:t>
      </w:r>
      <w:r w:rsidRPr="00AB3787">
        <w:rPr>
          <w:rFonts w:ascii="Arial" w:hAnsi="Arial" w:cs="Arial"/>
          <w:sz w:val="20"/>
          <w:szCs w:val="20"/>
        </w:rPr>
        <w:t xml:space="preserve"> Žilinskom a </w:t>
      </w:r>
      <w:r w:rsidRPr="0083529B">
        <w:rPr>
          <w:rFonts w:ascii="Arial" w:hAnsi="Arial" w:cs="Arial"/>
          <w:sz w:val="20"/>
          <w:szCs w:val="20"/>
        </w:rPr>
        <w:t>Prešovskom kraji, v rámci prioritnej osi 3 v Košickom kraji, v rámci prioritnej osi 4 v Banskobystrickom kraji a v rámci prioritnej osi 5 v Trenčianskom kraji. Environmentálne potreby jednotlivých regiónov sa v tomto prípade odzrkadľujú aj v počte a kvalite žiadostí o NFP predložených v rámci jednotlivých krajov.</w:t>
      </w:r>
      <w:r w:rsidRPr="00E21C60">
        <w:rPr>
          <w:rFonts w:ascii="Arial" w:hAnsi="Arial" w:cs="Arial"/>
          <w:sz w:val="20"/>
          <w:szCs w:val="20"/>
        </w:rPr>
        <w:t xml:space="preserve"> </w:t>
      </w:r>
    </w:p>
    <w:p w14:paraId="7B4EB16B" w14:textId="55C7F332" w:rsidR="0083529B" w:rsidRPr="00E21C60" w:rsidRDefault="0083529B" w:rsidP="0083529B">
      <w:pPr>
        <w:spacing w:before="120" w:after="120"/>
        <w:jc w:val="both"/>
        <w:rPr>
          <w:rFonts w:ascii="Arial" w:hAnsi="Arial" w:cs="Arial"/>
          <w:sz w:val="20"/>
          <w:szCs w:val="20"/>
        </w:rPr>
      </w:pPr>
      <w:r>
        <w:rPr>
          <w:rFonts w:ascii="Arial" w:hAnsi="Arial" w:cs="Arial"/>
          <w:sz w:val="20"/>
          <w:szCs w:val="20"/>
        </w:rPr>
        <w:t>R</w:t>
      </w:r>
      <w:r w:rsidRPr="00E21C60">
        <w:rPr>
          <w:rFonts w:ascii="Arial" w:hAnsi="Arial" w:cs="Arial"/>
          <w:sz w:val="20"/>
          <w:szCs w:val="20"/>
        </w:rPr>
        <w:t>egionáln</w:t>
      </w:r>
      <w:r w:rsidR="00A0132C">
        <w:rPr>
          <w:rFonts w:ascii="Arial" w:hAnsi="Arial" w:cs="Arial"/>
          <w:sz w:val="20"/>
          <w:szCs w:val="20"/>
        </w:rPr>
        <w:t>u</w:t>
      </w:r>
      <w:r w:rsidRPr="00E21C60">
        <w:rPr>
          <w:rFonts w:ascii="Arial" w:hAnsi="Arial" w:cs="Arial"/>
          <w:sz w:val="20"/>
          <w:szCs w:val="20"/>
        </w:rPr>
        <w:t xml:space="preserve"> vyváženosť </w:t>
      </w:r>
      <w:r>
        <w:rPr>
          <w:rFonts w:ascii="Arial" w:hAnsi="Arial" w:cs="Arial"/>
          <w:sz w:val="20"/>
          <w:szCs w:val="20"/>
        </w:rPr>
        <w:t>zabezpečoval RO pre OP ŽP aj</w:t>
      </w:r>
      <w:r w:rsidRPr="00E21C60">
        <w:rPr>
          <w:rFonts w:ascii="Arial" w:hAnsi="Arial" w:cs="Arial"/>
          <w:sz w:val="20"/>
          <w:szCs w:val="20"/>
        </w:rPr>
        <w:t xml:space="preserve"> opatren</w:t>
      </w:r>
      <w:r>
        <w:rPr>
          <w:rFonts w:ascii="Arial" w:hAnsi="Arial" w:cs="Arial"/>
          <w:sz w:val="20"/>
          <w:szCs w:val="20"/>
        </w:rPr>
        <w:t>iami</w:t>
      </w:r>
      <w:r w:rsidRPr="00E21C60">
        <w:rPr>
          <w:rFonts w:ascii="Arial" w:hAnsi="Arial" w:cs="Arial"/>
          <w:sz w:val="20"/>
          <w:szCs w:val="20"/>
        </w:rPr>
        <w:t xml:space="preserve"> na zvýšenie informovanosti žiadateľov a zlepšenie kvality predkladaných žiadostí o NFP zameraných na tie regióny, ktoré počtom predložených žiadostí, ich kvalitou alebo čerpaním </w:t>
      </w:r>
      <w:r>
        <w:rPr>
          <w:rFonts w:ascii="Arial" w:hAnsi="Arial" w:cs="Arial"/>
          <w:sz w:val="20"/>
          <w:szCs w:val="20"/>
        </w:rPr>
        <w:t>zaostávali</w:t>
      </w:r>
      <w:r w:rsidRPr="00E21C60">
        <w:rPr>
          <w:rFonts w:ascii="Arial" w:hAnsi="Arial" w:cs="Arial"/>
          <w:sz w:val="20"/>
          <w:szCs w:val="20"/>
        </w:rPr>
        <w:t xml:space="preserve"> v porovnaní so stanovenou indikatívnou alokáciou.</w:t>
      </w:r>
    </w:p>
    <w:p w14:paraId="3BD54F2C" w14:textId="77777777" w:rsidR="0083529B" w:rsidRPr="00E21C60" w:rsidRDefault="0083529B" w:rsidP="0083529B">
      <w:pPr>
        <w:spacing w:before="240" w:after="120"/>
        <w:jc w:val="both"/>
        <w:rPr>
          <w:rFonts w:ascii="Arial" w:hAnsi="Arial" w:cs="Arial"/>
          <w:b/>
          <w:sz w:val="20"/>
          <w:szCs w:val="20"/>
        </w:rPr>
      </w:pPr>
      <w:r w:rsidRPr="00E21C60">
        <w:rPr>
          <w:rFonts w:ascii="Arial" w:hAnsi="Arial" w:cs="Arial"/>
          <w:b/>
          <w:sz w:val="20"/>
          <w:szCs w:val="20"/>
        </w:rPr>
        <w:t>Záverečné zhrnutie:</w:t>
      </w:r>
    </w:p>
    <w:p w14:paraId="014B105F" w14:textId="66E429D8" w:rsidR="0083529B" w:rsidRPr="00E21C60" w:rsidRDefault="0083529B" w:rsidP="0083529B">
      <w:pPr>
        <w:autoSpaceDE w:val="0"/>
        <w:autoSpaceDN w:val="0"/>
        <w:adjustRightInd w:val="0"/>
        <w:spacing w:before="120"/>
        <w:jc w:val="both"/>
        <w:rPr>
          <w:rFonts w:ascii="Arial" w:hAnsi="Arial" w:cs="Arial"/>
          <w:sz w:val="20"/>
          <w:szCs w:val="20"/>
        </w:rPr>
      </w:pPr>
      <w:r w:rsidRPr="00E21C60">
        <w:rPr>
          <w:rFonts w:ascii="Arial" w:hAnsi="Arial" w:cs="Arial"/>
          <w:sz w:val="20"/>
          <w:szCs w:val="20"/>
        </w:rPr>
        <w:t xml:space="preserve">Hoci predpokladaný vplyv uplatnenia indikatívnych regionálnych alokácií v procese implementácie </w:t>
      </w:r>
      <w:r w:rsidR="00A0132C">
        <w:rPr>
          <w:rFonts w:ascii="Arial" w:hAnsi="Arial" w:cs="Arial"/>
          <w:sz w:val="20"/>
          <w:szCs w:val="20"/>
        </w:rPr>
        <w:t xml:space="preserve">   </w:t>
      </w:r>
      <w:r w:rsidRPr="00E21C60">
        <w:rPr>
          <w:rFonts w:ascii="Arial" w:hAnsi="Arial" w:cs="Arial"/>
          <w:sz w:val="20"/>
          <w:szCs w:val="20"/>
        </w:rPr>
        <w:t xml:space="preserve">OP ŽP nemožno posúdiť priamo, úroveň zazmluvnenia, čerpania alebo stav projektových indikátorov </w:t>
      </w:r>
      <w:r>
        <w:rPr>
          <w:rFonts w:ascii="Arial" w:hAnsi="Arial" w:cs="Arial"/>
          <w:sz w:val="20"/>
          <w:szCs w:val="20"/>
        </w:rPr>
        <w:t>vypovedali</w:t>
      </w:r>
      <w:r w:rsidRPr="00E21C60">
        <w:rPr>
          <w:rFonts w:ascii="Arial" w:hAnsi="Arial" w:cs="Arial"/>
          <w:sz w:val="20"/>
          <w:szCs w:val="20"/>
        </w:rPr>
        <w:t xml:space="preserve"> o nasledovných skutočnostiach:</w:t>
      </w:r>
    </w:p>
    <w:p w14:paraId="37BFC7A2" w14:textId="768F09A8" w:rsidR="0083529B" w:rsidRPr="00E21C60" w:rsidRDefault="0083529B" w:rsidP="00F87D11">
      <w:pPr>
        <w:pStyle w:val="Odsekzoznamu"/>
        <w:numPr>
          <w:ilvl w:val="0"/>
          <w:numId w:val="28"/>
        </w:numPr>
        <w:autoSpaceDE w:val="0"/>
        <w:autoSpaceDN w:val="0"/>
        <w:adjustRightInd w:val="0"/>
        <w:spacing w:before="120" w:after="120" w:line="240" w:lineRule="auto"/>
        <w:ind w:left="284" w:hanging="284"/>
        <w:contextualSpacing w:val="0"/>
        <w:jc w:val="both"/>
        <w:rPr>
          <w:rFonts w:ascii="Arial" w:hAnsi="Arial" w:cs="Arial"/>
          <w:bCs/>
          <w:sz w:val="20"/>
          <w:szCs w:val="20"/>
        </w:rPr>
      </w:pPr>
      <w:r w:rsidRPr="00E21C60">
        <w:rPr>
          <w:rFonts w:ascii="Arial" w:hAnsi="Arial" w:cs="Arial"/>
          <w:sz w:val="20"/>
          <w:szCs w:val="20"/>
        </w:rPr>
        <w:t xml:space="preserve">Záujem a pripravenosť regiónov o jednotlivé oblasti OP ŽP podpory sa </w:t>
      </w:r>
      <w:r>
        <w:rPr>
          <w:rFonts w:ascii="Arial" w:hAnsi="Arial" w:cs="Arial"/>
          <w:sz w:val="20"/>
          <w:szCs w:val="20"/>
        </w:rPr>
        <w:t>líšil</w:t>
      </w:r>
      <w:r w:rsidRPr="00E21C60">
        <w:rPr>
          <w:rFonts w:ascii="Arial" w:hAnsi="Arial" w:cs="Arial"/>
          <w:sz w:val="20"/>
          <w:szCs w:val="20"/>
        </w:rPr>
        <w:t xml:space="preserve">. Uvedený fakt je určitým determinantom úspešnosti jednotlivých regiónov.  </w:t>
      </w:r>
    </w:p>
    <w:p w14:paraId="535A5164" w14:textId="3AC923C2" w:rsidR="0083529B" w:rsidRPr="00E21C60" w:rsidRDefault="0083529B" w:rsidP="00F87D11">
      <w:pPr>
        <w:pStyle w:val="Odsekzoznamu"/>
        <w:numPr>
          <w:ilvl w:val="0"/>
          <w:numId w:val="28"/>
        </w:numPr>
        <w:autoSpaceDE w:val="0"/>
        <w:autoSpaceDN w:val="0"/>
        <w:adjustRightInd w:val="0"/>
        <w:spacing w:before="120" w:after="120" w:line="240" w:lineRule="auto"/>
        <w:ind w:left="284" w:hanging="284"/>
        <w:contextualSpacing w:val="0"/>
        <w:jc w:val="both"/>
        <w:rPr>
          <w:rFonts w:ascii="Arial" w:hAnsi="Arial" w:cs="Arial"/>
          <w:bCs/>
          <w:sz w:val="20"/>
          <w:szCs w:val="20"/>
        </w:rPr>
      </w:pPr>
      <w:r w:rsidRPr="00E21C60">
        <w:rPr>
          <w:rFonts w:ascii="Arial" w:hAnsi="Arial" w:cs="Arial"/>
          <w:bCs/>
          <w:sz w:val="20"/>
          <w:szCs w:val="20"/>
        </w:rPr>
        <w:t xml:space="preserve">Procesy zazmluvňovania, realizácie projektov alebo čerpania finančných prostriedkov </w:t>
      </w:r>
      <w:r>
        <w:rPr>
          <w:rFonts w:ascii="Arial" w:hAnsi="Arial" w:cs="Arial"/>
          <w:bCs/>
          <w:sz w:val="20"/>
          <w:szCs w:val="20"/>
        </w:rPr>
        <w:t>boli</w:t>
      </w:r>
      <w:r w:rsidRPr="00E21C60">
        <w:rPr>
          <w:rFonts w:ascii="Arial" w:hAnsi="Arial" w:cs="Arial"/>
          <w:bCs/>
          <w:sz w:val="20"/>
          <w:szCs w:val="20"/>
        </w:rPr>
        <w:t xml:space="preserve"> výrazne ovplyvňované samotnými prijímateľmi. Reálny výsledok resp. hodnota realizovaného projektu </w:t>
      </w:r>
      <w:r>
        <w:rPr>
          <w:rFonts w:ascii="Arial" w:hAnsi="Arial" w:cs="Arial"/>
          <w:bCs/>
          <w:sz w:val="20"/>
          <w:szCs w:val="20"/>
        </w:rPr>
        <w:t>bola</w:t>
      </w:r>
      <w:r w:rsidRPr="00E21C60">
        <w:rPr>
          <w:rFonts w:ascii="Arial" w:hAnsi="Arial" w:cs="Arial"/>
          <w:bCs/>
          <w:sz w:val="20"/>
          <w:szCs w:val="20"/>
        </w:rPr>
        <w:t xml:space="preserve"> pritom ovplyvnená výsledkom verejného obstarávania, zmenami projektu, externými faktormi vplývajúcimi na plnenie očakávaných hodnôt merateľných ukazovateľov projektu, </w:t>
      </w:r>
      <w:r w:rsidR="00A0132C">
        <w:rPr>
          <w:rFonts w:ascii="Arial" w:hAnsi="Arial" w:cs="Arial"/>
          <w:bCs/>
          <w:sz w:val="20"/>
          <w:szCs w:val="20"/>
        </w:rPr>
        <w:t xml:space="preserve">či </w:t>
      </w:r>
      <w:r w:rsidRPr="00E21C60">
        <w:rPr>
          <w:rFonts w:ascii="Arial" w:hAnsi="Arial" w:cs="Arial"/>
          <w:bCs/>
          <w:sz w:val="20"/>
          <w:szCs w:val="20"/>
        </w:rPr>
        <w:t>projekty gener</w:t>
      </w:r>
      <w:r w:rsidR="00A0132C">
        <w:rPr>
          <w:rFonts w:ascii="Arial" w:hAnsi="Arial" w:cs="Arial"/>
          <w:bCs/>
          <w:sz w:val="20"/>
          <w:szCs w:val="20"/>
        </w:rPr>
        <w:t>ovali</w:t>
      </w:r>
      <w:r w:rsidRPr="00E21C60">
        <w:rPr>
          <w:rFonts w:ascii="Arial" w:hAnsi="Arial" w:cs="Arial"/>
          <w:bCs/>
          <w:sz w:val="20"/>
          <w:szCs w:val="20"/>
        </w:rPr>
        <w:t xml:space="preserve"> čisté príjmy, </w:t>
      </w:r>
      <w:r w:rsidR="00A0132C">
        <w:rPr>
          <w:rFonts w:ascii="Arial" w:hAnsi="Arial" w:cs="Arial"/>
          <w:bCs/>
          <w:sz w:val="20"/>
          <w:szCs w:val="20"/>
        </w:rPr>
        <w:t xml:space="preserve">či </w:t>
      </w:r>
      <w:r w:rsidRPr="00E21C60">
        <w:rPr>
          <w:rFonts w:ascii="Arial" w:hAnsi="Arial" w:cs="Arial"/>
          <w:bCs/>
          <w:sz w:val="20"/>
          <w:szCs w:val="20"/>
        </w:rPr>
        <w:t>dochádza</w:t>
      </w:r>
      <w:r w:rsidR="00A0132C">
        <w:rPr>
          <w:rFonts w:ascii="Arial" w:hAnsi="Arial" w:cs="Arial"/>
          <w:bCs/>
          <w:sz w:val="20"/>
          <w:szCs w:val="20"/>
        </w:rPr>
        <w:t>lo</w:t>
      </w:r>
      <w:r w:rsidRPr="00E21C60">
        <w:rPr>
          <w:rFonts w:ascii="Arial" w:hAnsi="Arial" w:cs="Arial"/>
          <w:bCs/>
          <w:sz w:val="20"/>
          <w:szCs w:val="20"/>
        </w:rPr>
        <w:t xml:space="preserve"> k predčasným ukončeniam projektov, prijímatelia nedočerpa</w:t>
      </w:r>
      <w:r w:rsidR="00A0132C">
        <w:rPr>
          <w:rFonts w:ascii="Arial" w:hAnsi="Arial" w:cs="Arial"/>
          <w:bCs/>
          <w:sz w:val="20"/>
          <w:szCs w:val="20"/>
        </w:rPr>
        <w:t>li</w:t>
      </w:r>
      <w:r w:rsidRPr="00E21C60">
        <w:rPr>
          <w:rFonts w:ascii="Arial" w:hAnsi="Arial" w:cs="Arial"/>
          <w:bCs/>
          <w:sz w:val="20"/>
          <w:szCs w:val="20"/>
        </w:rPr>
        <w:t xml:space="preserve"> celú zazmluvnenú sumu, niektoré v ŽoP deklarované výdavky </w:t>
      </w:r>
      <w:r w:rsidR="00A0132C">
        <w:rPr>
          <w:rFonts w:ascii="Arial" w:hAnsi="Arial" w:cs="Arial"/>
          <w:bCs/>
          <w:sz w:val="20"/>
          <w:szCs w:val="20"/>
        </w:rPr>
        <w:t>boli</w:t>
      </w:r>
      <w:r w:rsidRPr="00E21C60">
        <w:rPr>
          <w:rFonts w:ascii="Arial" w:hAnsi="Arial" w:cs="Arial"/>
          <w:bCs/>
          <w:sz w:val="20"/>
          <w:szCs w:val="20"/>
        </w:rPr>
        <w:t xml:space="preserve"> neoprávnené, </w:t>
      </w:r>
      <w:r w:rsidR="00A0132C">
        <w:rPr>
          <w:rFonts w:ascii="Arial" w:hAnsi="Arial" w:cs="Arial"/>
          <w:bCs/>
          <w:sz w:val="20"/>
          <w:szCs w:val="20"/>
        </w:rPr>
        <w:t xml:space="preserve">či </w:t>
      </w:r>
      <w:r w:rsidRPr="00E21C60">
        <w:rPr>
          <w:rFonts w:ascii="Arial" w:hAnsi="Arial" w:cs="Arial"/>
          <w:bCs/>
          <w:sz w:val="20"/>
          <w:szCs w:val="20"/>
        </w:rPr>
        <w:t xml:space="preserve">výsledkom konania prijímateľov </w:t>
      </w:r>
      <w:r w:rsidR="00A0132C">
        <w:rPr>
          <w:rFonts w:ascii="Arial" w:hAnsi="Arial" w:cs="Arial"/>
          <w:bCs/>
          <w:sz w:val="20"/>
          <w:szCs w:val="20"/>
        </w:rPr>
        <w:t>boli</w:t>
      </w:r>
      <w:r w:rsidRPr="00E21C60">
        <w:rPr>
          <w:rFonts w:ascii="Arial" w:hAnsi="Arial" w:cs="Arial"/>
          <w:bCs/>
          <w:sz w:val="20"/>
          <w:szCs w:val="20"/>
        </w:rPr>
        <w:t xml:space="preserve"> nezrovnalosti. Tieto všetky faktory </w:t>
      </w:r>
      <w:r>
        <w:rPr>
          <w:rFonts w:ascii="Arial" w:hAnsi="Arial" w:cs="Arial"/>
          <w:bCs/>
          <w:sz w:val="20"/>
          <w:szCs w:val="20"/>
        </w:rPr>
        <w:t>vpl</w:t>
      </w:r>
      <w:r w:rsidR="00A0132C">
        <w:rPr>
          <w:rFonts w:ascii="Arial" w:hAnsi="Arial" w:cs="Arial"/>
          <w:bCs/>
          <w:sz w:val="20"/>
          <w:szCs w:val="20"/>
        </w:rPr>
        <w:t>ý</w:t>
      </w:r>
      <w:r>
        <w:rPr>
          <w:rFonts w:ascii="Arial" w:hAnsi="Arial" w:cs="Arial"/>
          <w:bCs/>
          <w:sz w:val="20"/>
          <w:szCs w:val="20"/>
        </w:rPr>
        <w:t>vali</w:t>
      </w:r>
      <w:r w:rsidRPr="00E21C60">
        <w:rPr>
          <w:rFonts w:ascii="Arial" w:hAnsi="Arial" w:cs="Arial"/>
          <w:bCs/>
          <w:sz w:val="20"/>
          <w:szCs w:val="20"/>
        </w:rPr>
        <w:t xml:space="preserve"> na celkové poskytované finančné prostriedky na úrovni NUTS II. </w:t>
      </w:r>
    </w:p>
    <w:p w14:paraId="4AF14FD4" w14:textId="740B6405" w:rsidR="0083529B" w:rsidRPr="00E21C60" w:rsidRDefault="0083529B" w:rsidP="00F87D11">
      <w:pPr>
        <w:pStyle w:val="Odsekzoznamu"/>
        <w:numPr>
          <w:ilvl w:val="0"/>
          <w:numId w:val="28"/>
        </w:numPr>
        <w:autoSpaceDE w:val="0"/>
        <w:autoSpaceDN w:val="0"/>
        <w:adjustRightInd w:val="0"/>
        <w:spacing w:before="120" w:after="120" w:line="240" w:lineRule="auto"/>
        <w:ind w:left="284" w:hanging="284"/>
        <w:contextualSpacing w:val="0"/>
        <w:jc w:val="both"/>
        <w:rPr>
          <w:rFonts w:ascii="Arial" w:hAnsi="Arial" w:cs="Arial"/>
          <w:bCs/>
          <w:sz w:val="20"/>
          <w:szCs w:val="20"/>
        </w:rPr>
      </w:pPr>
      <w:r w:rsidRPr="00E21C60">
        <w:rPr>
          <w:rFonts w:ascii="Arial" w:hAnsi="Arial" w:cs="Arial"/>
          <w:bCs/>
          <w:sz w:val="20"/>
          <w:szCs w:val="20"/>
        </w:rPr>
        <w:t xml:space="preserve">Na základe absorpčnej kapacity (dopytu žiadateľov) je zrejmé, že jednotlivé regióny </w:t>
      </w:r>
      <w:r>
        <w:rPr>
          <w:rFonts w:ascii="Arial" w:hAnsi="Arial" w:cs="Arial"/>
          <w:bCs/>
          <w:sz w:val="20"/>
          <w:szCs w:val="20"/>
        </w:rPr>
        <w:t>mali</w:t>
      </w:r>
      <w:r w:rsidRPr="00E21C60">
        <w:rPr>
          <w:rFonts w:ascii="Arial" w:hAnsi="Arial" w:cs="Arial"/>
          <w:bCs/>
          <w:sz w:val="20"/>
          <w:szCs w:val="20"/>
        </w:rPr>
        <w:t xml:space="preserve"> rôzne rozvojové priority, resp. rôzny počet predložených ŽoNFP </w:t>
      </w:r>
      <w:r w:rsidRPr="0083529B">
        <w:rPr>
          <w:rFonts w:ascii="Arial" w:hAnsi="Arial" w:cs="Arial"/>
          <w:bCs/>
          <w:sz w:val="20"/>
          <w:szCs w:val="20"/>
        </w:rPr>
        <w:t xml:space="preserve">vypovedá o rôznom stupni pripravenosti jednotlivých regiónov čerpať finančné prostriedky z OP ŽP. Z hľadiska celkového počtu prijatých žiadostí o NFP </w:t>
      </w:r>
      <w:r w:rsidR="00A0132C">
        <w:rPr>
          <w:rFonts w:ascii="Arial" w:hAnsi="Arial" w:cs="Arial"/>
          <w:bCs/>
          <w:sz w:val="20"/>
          <w:szCs w:val="20"/>
        </w:rPr>
        <w:t>bol</w:t>
      </w:r>
      <w:r w:rsidRPr="0083529B">
        <w:rPr>
          <w:rFonts w:ascii="Arial" w:hAnsi="Arial" w:cs="Arial"/>
          <w:bCs/>
          <w:sz w:val="20"/>
          <w:szCs w:val="20"/>
        </w:rPr>
        <w:t xml:space="preserve"> pomerne dominantný Prešovský kraj, nasledovaný Žilinským krajom.  </w:t>
      </w:r>
      <w:r>
        <w:rPr>
          <w:rFonts w:ascii="Arial" w:hAnsi="Arial" w:cs="Arial"/>
          <w:sz w:val="20"/>
          <w:szCs w:val="20"/>
        </w:rPr>
        <w:t>Najvyššie sumy zazmluvnených finančných prostriedkov pripada</w:t>
      </w:r>
      <w:r w:rsidR="00A0132C">
        <w:rPr>
          <w:rFonts w:ascii="Arial" w:hAnsi="Arial" w:cs="Arial"/>
          <w:sz w:val="20"/>
          <w:szCs w:val="20"/>
        </w:rPr>
        <w:t>li</w:t>
      </w:r>
      <w:r>
        <w:rPr>
          <w:rFonts w:ascii="Arial" w:hAnsi="Arial" w:cs="Arial"/>
          <w:sz w:val="20"/>
          <w:szCs w:val="20"/>
        </w:rPr>
        <w:t xml:space="preserve"> na Žilinský, Prešovský a Košický kraj. </w:t>
      </w:r>
      <w:r w:rsidRPr="00E21C60">
        <w:rPr>
          <w:rFonts w:ascii="Arial" w:hAnsi="Arial" w:cs="Arial"/>
          <w:sz w:val="20"/>
          <w:szCs w:val="20"/>
        </w:rPr>
        <w:t xml:space="preserve">  </w:t>
      </w:r>
    </w:p>
    <w:p w14:paraId="726D9685" w14:textId="1D652BF5" w:rsidR="00D314B3" w:rsidRDefault="0083529B" w:rsidP="00610DA6">
      <w:pPr>
        <w:pStyle w:val="Odsekzoznamu"/>
        <w:numPr>
          <w:ilvl w:val="0"/>
          <w:numId w:val="28"/>
        </w:numPr>
        <w:autoSpaceDE w:val="0"/>
        <w:autoSpaceDN w:val="0"/>
        <w:adjustRightInd w:val="0"/>
        <w:spacing w:before="120" w:after="0" w:line="240" w:lineRule="auto"/>
        <w:ind w:left="284" w:hanging="284"/>
        <w:jc w:val="both"/>
        <w:rPr>
          <w:rFonts w:ascii="Arial" w:hAnsi="Arial" w:cs="Arial"/>
          <w:bCs/>
          <w:sz w:val="20"/>
          <w:szCs w:val="20"/>
        </w:rPr>
      </w:pPr>
      <w:r w:rsidRPr="00E21C60">
        <w:rPr>
          <w:rFonts w:ascii="Arial" w:hAnsi="Arial" w:cs="Arial"/>
          <w:bCs/>
          <w:sz w:val="20"/>
          <w:szCs w:val="20"/>
        </w:rPr>
        <w:t>Vzhľadom</w:t>
      </w:r>
      <w:r>
        <w:rPr>
          <w:rFonts w:ascii="Arial" w:hAnsi="Arial" w:cs="Arial"/>
          <w:bCs/>
          <w:sz w:val="20"/>
          <w:szCs w:val="20"/>
        </w:rPr>
        <w:t xml:space="preserve"> na</w:t>
      </w:r>
      <w:r w:rsidRPr="00E21C60">
        <w:rPr>
          <w:rFonts w:ascii="Arial" w:hAnsi="Arial" w:cs="Arial"/>
          <w:bCs/>
          <w:sz w:val="20"/>
          <w:szCs w:val="20"/>
        </w:rPr>
        <w:t> skutočnos</w:t>
      </w:r>
      <w:r>
        <w:rPr>
          <w:rFonts w:ascii="Arial" w:hAnsi="Arial" w:cs="Arial"/>
          <w:bCs/>
          <w:sz w:val="20"/>
          <w:szCs w:val="20"/>
        </w:rPr>
        <w:t>ť</w:t>
      </w:r>
      <w:r w:rsidRPr="00E21C60">
        <w:rPr>
          <w:rFonts w:ascii="Arial" w:hAnsi="Arial" w:cs="Arial"/>
          <w:bCs/>
          <w:sz w:val="20"/>
          <w:szCs w:val="20"/>
        </w:rPr>
        <w:t xml:space="preserve">, že stav čerpania na úrovni jednotlivých regiónov nemá zásadný vplyv na dosahovanie cieľov OP ŽP, sú odchýlky od indikatívnych regionálnych alokácií vo vzťahu k stratégii OP ŽP nerelevantné. </w:t>
      </w:r>
    </w:p>
    <w:p w14:paraId="566CB99A" w14:textId="77777777" w:rsidR="00131407" w:rsidRDefault="00131407" w:rsidP="00F87D11">
      <w:pPr>
        <w:autoSpaceDE w:val="0"/>
        <w:autoSpaceDN w:val="0"/>
        <w:adjustRightInd w:val="0"/>
        <w:spacing w:before="120"/>
        <w:jc w:val="both"/>
        <w:rPr>
          <w:rFonts w:ascii="Arial" w:hAnsi="Arial" w:cs="Arial"/>
          <w:bCs/>
          <w:sz w:val="20"/>
          <w:szCs w:val="20"/>
        </w:rPr>
      </w:pPr>
    </w:p>
    <w:p w14:paraId="5CEA24B5" w14:textId="77777777" w:rsidR="00131407" w:rsidRPr="00F87D11" w:rsidRDefault="00131407" w:rsidP="00F87D11">
      <w:pPr>
        <w:autoSpaceDE w:val="0"/>
        <w:autoSpaceDN w:val="0"/>
        <w:adjustRightInd w:val="0"/>
        <w:spacing w:before="120"/>
        <w:jc w:val="both"/>
        <w:rPr>
          <w:rFonts w:ascii="Arial" w:hAnsi="Arial" w:cs="Arial"/>
          <w:bCs/>
          <w:sz w:val="20"/>
          <w:szCs w:val="20"/>
        </w:rPr>
      </w:pPr>
    </w:p>
    <w:p w14:paraId="71344FF8" w14:textId="77777777" w:rsidR="002416B1" w:rsidRPr="005017FE" w:rsidRDefault="002416B1" w:rsidP="00123376">
      <w:pPr>
        <w:pStyle w:val="Nadpis3"/>
        <w:spacing w:after="120"/>
        <w:rPr>
          <w:rFonts w:cs="Arial"/>
        </w:rPr>
      </w:pPr>
      <w:bookmarkStart w:id="23" w:name="_Toc224632900"/>
      <w:bookmarkStart w:id="24" w:name="_Toc466914511"/>
      <w:r w:rsidRPr="00D00E7C">
        <w:rPr>
          <w:rFonts w:cs="Arial"/>
        </w:rPr>
        <w:lastRenderedPageBreak/>
        <w:t>2.1.4 Finančná kontrola a</w:t>
      </w:r>
      <w:r w:rsidR="00DF6A16" w:rsidRPr="00D00E7C">
        <w:rPr>
          <w:rFonts w:cs="Arial"/>
        </w:rPr>
        <w:t> </w:t>
      </w:r>
      <w:r w:rsidRPr="00EC6B78">
        <w:rPr>
          <w:rFonts w:cs="Arial"/>
        </w:rPr>
        <w:t>audit</w:t>
      </w:r>
      <w:bookmarkEnd w:id="23"/>
      <w:bookmarkEnd w:id="24"/>
    </w:p>
    <w:p w14:paraId="17C12EE6" w14:textId="10F92145" w:rsidR="00610DA6" w:rsidRPr="00524AE6" w:rsidRDefault="00610DA6" w:rsidP="00610DA6">
      <w:pPr>
        <w:spacing w:before="120" w:after="120"/>
        <w:jc w:val="both"/>
        <w:rPr>
          <w:rFonts w:ascii="Arial" w:hAnsi="Arial" w:cs="Arial"/>
          <w:color w:val="000000"/>
          <w:sz w:val="20"/>
          <w:szCs w:val="20"/>
          <w:highlight w:val="yellow"/>
        </w:rPr>
      </w:pPr>
      <w:r w:rsidRPr="00524AE6">
        <w:rPr>
          <w:rFonts w:ascii="Arial" w:hAnsi="Arial" w:cs="Arial"/>
          <w:color w:val="000000"/>
          <w:sz w:val="20"/>
          <w:szCs w:val="20"/>
        </w:rPr>
        <w:t>Úlohy orgánu auditu zabezpečovala sekcia auditu a kontroly MF SR v spolupráci so spolupracujúcimi orgánmi</w:t>
      </w:r>
      <w:r w:rsidR="00917609" w:rsidRPr="00524AE6">
        <w:rPr>
          <w:rStyle w:val="Odkaznapoznmkupodiarou"/>
          <w:rFonts w:ascii="Arial" w:hAnsi="Arial" w:cs="Arial"/>
          <w:color w:val="000000"/>
          <w:sz w:val="20"/>
          <w:szCs w:val="20"/>
        </w:rPr>
        <w:footnoteReference w:id="6"/>
      </w:r>
      <w:r w:rsidRPr="00524AE6">
        <w:rPr>
          <w:rFonts w:ascii="Arial" w:hAnsi="Arial" w:cs="Arial"/>
          <w:color w:val="000000"/>
          <w:sz w:val="20"/>
          <w:szCs w:val="20"/>
        </w:rPr>
        <w:t>. V zmysle stratégie auditu pre programové obdobie 2007 - 2013 pre programy štrukturálnej pomoci sa systémové audity a audity operácií podľa čl. 62 nariadenia Rady (ES) č. 1083/2006 vykonávali ako vládny audit, ktorého základné prvky do 31. 12. 2015 legislatívne upravoval zákon č. 502/2001 Z. z. o finančnej kontrole a vnútornom audite a o zmene a doplnení niektorých zákonov v znení neskorších predpisov (ďalej len „zákon o finančnej kontrole a vnútornom audite“)</w:t>
      </w:r>
      <w:r w:rsidR="00917609" w:rsidRPr="00524AE6">
        <w:rPr>
          <w:rStyle w:val="Odkaznapoznmkupodiarou"/>
          <w:rFonts w:ascii="Arial" w:hAnsi="Arial" w:cs="Arial"/>
          <w:color w:val="000000"/>
          <w:sz w:val="20"/>
          <w:szCs w:val="20"/>
        </w:rPr>
        <w:footnoteReference w:id="7"/>
      </w:r>
      <w:r w:rsidRPr="00524AE6">
        <w:rPr>
          <w:rFonts w:ascii="Arial" w:hAnsi="Arial" w:cs="Arial"/>
          <w:color w:val="000000"/>
          <w:sz w:val="20"/>
          <w:szCs w:val="20"/>
        </w:rPr>
        <w:t>.</w:t>
      </w:r>
    </w:p>
    <w:p w14:paraId="6930E67F" w14:textId="77777777" w:rsidR="00610DA6" w:rsidRPr="00524AE6" w:rsidRDefault="00610DA6" w:rsidP="00610DA6">
      <w:pPr>
        <w:spacing w:before="120" w:after="120"/>
        <w:jc w:val="both"/>
        <w:rPr>
          <w:rFonts w:ascii="Arial" w:hAnsi="Arial" w:cs="Arial"/>
          <w:b/>
          <w:color w:val="000000"/>
          <w:sz w:val="20"/>
          <w:szCs w:val="20"/>
        </w:rPr>
      </w:pPr>
      <w:r w:rsidRPr="00524AE6">
        <w:rPr>
          <w:rFonts w:ascii="Arial" w:hAnsi="Arial" w:cs="Arial"/>
          <w:b/>
          <w:color w:val="000000"/>
          <w:sz w:val="20"/>
          <w:szCs w:val="20"/>
        </w:rPr>
        <w:t>Systémové audity a audity operácií podľa článku 62 nariadenia Rady (ES) č. 1083/2006</w:t>
      </w:r>
    </w:p>
    <w:p w14:paraId="14079824" w14:textId="77777777" w:rsidR="00610DA6" w:rsidRPr="00524AE6" w:rsidRDefault="00610DA6" w:rsidP="00610DA6">
      <w:pPr>
        <w:spacing w:before="120" w:after="120"/>
        <w:jc w:val="both"/>
        <w:rPr>
          <w:rFonts w:ascii="Arial" w:hAnsi="Arial" w:cs="Arial"/>
          <w:color w:val="000000"/>
          <w:sz w:val="20"/>
          <w:szCs w:val="20"/>
          <w:u w:val="single"/>
        </w:rPr>
      </w:pPr>
      <w:r w:rsidRPr="00524AE6">
        <w:rPr>
          <w:rFonts w:ascii="Arial" w:hAnsi="Arial" w:cs="Arial"/>
          <w:color w:val="000000"/>
          <w:sz w:val="20"/>
          <w:szCs w:val="20"/>
          <w:u w:val="single"/>
        </w:rPr>
        <w:t>Systémové audity (čl. 62 ods. 1 písm. a):</w:t>
      </w:r>
    </w:p>
    <w:p w14:paraId="0264562D"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 xml:space="preserve">V I. polroku 2015 ukončil orgán auditu (Ministerstvo financií SR, ďalej len „MF SR“) v spolupráci so Správou finančnej kontroly Zvolen výkon systémového auditu č. </w:t>
      </w:r>
      <w:r w:rsidRPr="0008447E">
        <w:rPr>
          <w:rFonts w:ascii="Arial" w:hAnsi="Arial" w:cs="Arial"/>
          <w:b/>
          <w:color w:val="000000"/>
          <w:sz w:val="20"/>
          <w:szCs w:val="20"/>
        </w:rPr>
        <w:t>A678</w:t>
      </w:r>
      <w:r w:rsidRPr="00524AE6">
        <w:rPr>
          <w:rFonts w:ascii="Arial" w:hAnsi="Arial" w:cs="Arial"/>
          <w:color w:val="000000"/>
          <w:sz w:val="20"/>
          <w:szCs w:val="20"/>
        </w:rPr>
        <w:t>, ktorého hlavným cieľom bolo získanie uistenia o dostatočnosti a účinnosti riadiaceho a kontrolného systému v rámci riadenia Operačného programu Životné prostredie na úrovni RO (Ministerstvo životného prostredia Slovenskej republiky, ďalej len „MŽP SR”) podľa čl. 62 nariadenia Rady (ES) č. 1083/2006. V rámci vládneho auditu audítorská skupina (ďalej len „AS”) identifikovala nasledovný najzávažnejší nedostatok RO:</w:t>
      </w:r>
    </w:p>
    <w:p w14:paraId="5E4ABF8F"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bez finančného dopadu:</w:t>
      </w:r>
    </w:p>
    <w:p w14:paraId="74A3A82A" w14:textId="4B3D9B4B" w:rsidR="00610DA6" w:rsidRPr="00524AE6" w:rsidRDefault="00610DA6" w:rsidP="00610DA6">
      <w:pPr>
        <w:pStyle w:val="Odsekzoznamu"/>
        <w:numPr>
          <w:ilvl w:val="0"/>
          <w:numId w:val="143"/>
        </w:numPr>
        <w:spacing w:before="120" w:after="120"/>
        <w:jc w:val="both"/>
        <w:rPr>
          <w:rFonts w:ascii="Arial" w:hAnsi="Arial" w:cs="Arial"/>
          <w:color w:val="000000"/>
          <w:sz w:val="20"/>
          <w:szCs w:val="20"/>
        </w:rPr>
      </w:pPr>
      <w:r w:rsidRPr="00524AE6">
        <w:rPr>
          <w:rFonts w:ascii="Arial" w:hAnsi="Arial" w:cs="Arial"/>
          <w:color w:val="000000"/>
          <w:sz w:val="20"/>
          <w:szCs w:val="20"/>
        </w:rPr>
        <w:t>nezavedenie postupov pre preskúmavanie medializovaných podnetov a prijímanie opatrení na odstránenie nedostatkov súvisiacich s projektmi administrovanými SORO – SAŽP</w:t>
      </w:r>
      <w:r w:rsidR="00917609" w:rsidRPr="00524AE6">
        <w:rPr>
          <w:rStyle w:val="Odkaznapoznmkupodiarou"/>
          <w:rFonts w:ascii="Arial" w:hAnsi="Arial" w:cs="Arial"/>
          <w:color w:val="000000"/>
          <w:sz w:val="20"/>
          <w:szCs w:val="20"/>
        </w:rPr>
        <w:footnoteReference w:id="8"/>
      </w:r>
      <w:r w:rsidRPr="00524AE6">
        <w:rPr>
          <w:rFonts w:ascii="Arial" w:hAnsi="Arial" w:cs="Arial"/>
          <w:color w:val="000000"/>
          <w:sz w:val="20"/>
          <w:szCs w:val="20"/>
        </w:rPr>
        <w:t>.</w:t>
      </w:r>
    </w:p>
    <w:p w14:paraId="45775496"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AS na základe vykonaného vládneho auditu vydala výrok o účinnosti riadiaceho a kontrolného systému Operačného programu Životné prostredie - systém funguje, ale sú potrebné niektoré zlepšenia – t.j. 2. stupeň uistenia.</w:t>
      </w:r>
    </w:p>
    <w:p w14:paraId="0DF4C5C1"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 xml:space="preserve">V II. polroku 2015 ukončil orgán auditu MF SR výkon systémového auditu č. </w:t>
      </w:r>
      <w:r w:rsidRPr="0008447E">
        <w:rPr>
          <w:rFonts w:ascii="Arial" w:hAnsi="Arial" w:cs="Arial"/>
          <w:b/>
          <w:color w:val="000000"/>
          <w:sz w:val="20"/>
          <w:szCs w:val="20"/>
        </w:rPr>
        <w:t>A753</w:t>
      </w:r>
      <w:r w:rsidRPr="00524AE6">
        <w:rPr>
          <w:rFonts w:ascii="Arial" w:hAnsi="Arial" w:cs="Arial"/>
          <w:color w:val="000000"/>
          <w:sz w:val="20"/>
          <w:szCs w:val="20"/>
        </w:rPr>
        <w:t>, ktorého hlavným cieľom bolo získanie uistenia o súlade riadiacich a kontrolných systémov Operačného programu Životné prostredie s požiadavkami článkov 58 až 60 nariadenia Rady (ES) č. 1083/2006 v nadväznosti na zmeny súvisiace s presunom vybraných úloh riadiaceho orgánu v oblasti implementácie na sprostredkovateľský orgán pod riadiacim orgánom pre Operačný program Životné prostredie na Slovenskú agentúre životného prostredia. Vykonaným vládnym auditom neboli identifikované nedostatky a AS nenavrhla žiadne odporúčanie.</w:t>
      </w:r>
    </w:p>
    <w:p w14:paraId="025326A1" w14:textId="77777777" w:rsidR="00610DA6" w:rsidRPr="00524AE6" w:rsidRDefault="00610DA6" w:rsidP="00610DA6">
      <w:pPr>
        <w:spacing w:before="120" w:after="120"/>
        <w:jc w:val="both"/>
        <w:rPr>
          <w:rFonts w:ascii="Arial" w:hAnsi="Arial" w:cs="Arial"/>
          <w:color w:val="000000"/>
          <w:sz w:val="20"/>
          <w:szCs w:val="20"/>
          <w:u w:val="single"/>
        </w:rPr>
      </w:pPr>
      <w:r w:rsidRPr="00524AE6">
        <w:rPr>
          <w:rFonts w:ascii="Arial" w:hAnsi="Arial" w:cs="Arial"/>
          <w:color w:val="000000"/>
          <w:sz w:val="20"/>
          <w:szCs w:val="20"/>
          <w:u w:val="single"/>
        </w:rPr>
        <w:t>Audity operácií (čl. 62 ods. 1 písm. b) - vzťahujúce sa na výdavky deklarované na EK v referenčnom roku 2014:</w:t>
      </w:r>
    </w:p>
    <w:p w14:paraId="6566214E" w14:textId="4AFD93BA"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V súlade so stratégiou auditu pre rok 2015 orgán auditu zabezpečil výkon auditu operácií v roku 2015, pričom úroveň spoľahlivosti pre výber vzorky bola určená na základe výroku o účinnosti riadiaceho a kontrolného systému, ktorý bol poskytnutý na základe záverov systémového auditu ukončeného v II. polroku 2014 a korešpondujúcej úrovne spoľahlivosti riadiaceho a kontrolného systému Operačného Životné prostredie (70 %).</w:t>
      </w:r>
    </w:p>
    <w:p w14:paraId="4A9C7BAB" w14:textId="563A7ED8"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 xml:space="preserve">V období od februára do decembra 2015 vykonalo MF SR v spolupráci so Správou finančnej kontroly Bratislava, Správou finančnej kontroly Zvolen a Správou finančnej kontroly Košice audit operácií </w:t>
      </w:r>
      <w:r w:rsidR="00A0132C">
        <w:rPr>
          <w:rFonts w:ascii="Arial" w:hAnsi="Arial" w:cs="Arial"/>
          <w:color w:val="000000"/>
          <w:sz w:val="20"/>
          <w:szCs w:val="20"/>
        </w:rPr>
        <w:t xml:space="preserve">       </w:t>
      </w:r>
      <w:r w:rsidRPr="00524AE6">
        <w:rPr>
          <w:rFonts w:ascii="Arial" w:hAnsi="Arial" w:cs="Arial"/>
          <w:color w:val="000000"/>
          <w:sz w:val="20"/>
          <w:szCs w:val="20"/>
        </w:rPr>
        <w:t>č. A690, ktorého hlavným cieľom bolo získanie uistenia o oprávnenosti výdavkov na vybranej vzorke operácií v rámci Operačného programu Životné prostredie na úrovni RO, PJ a vybraných prijímateľov podľa čl. 62 ods. 1 písm. b) nariadenia Rady (ES) č. 1083/2006.</w:t>
      </w:r>
    </w:p>
    <w:p w14:paraId="70413C84" w14:textId="1D2116D0"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 xml:space="preserve">Celkovo bolo vládnym auditom A690 v rozsahu vybranej vzorky overených 29 935 795,09 EUR </w:t>
      </w:r>
      <w:r w:rsidR="00A0132C">
        <w:rPr>
          <w:rFonts w:ascii="Arial" w:hAnsi="Arial" w:cs="Arial"/>
          <w:color w:val="000000"/>
          <w:sz w:val="20"/>
          <w:szCs w:val="20"/>
        </w:rPr>
        <w:t xml:space="preserve">      </w:t>
      </w:r>
      <w:r w:rsidRPr="00524AE6">
        <w:rPr>
          <w:rFonts w:ascii="Arial" w:hAnsi="Arial" w:cs="Arial"/>
          <w:color w:val="000000"/>
          <w:sz w:val="20"/>
          <w:szCs w:val="20"/>
        </w:rPr>
        <w:t>(30 žiadostí o platbu). AS identifikovala nasledovné najzávažnejšie nedostatky:</w:t>
      </w:r>
    </w:p>
    <w:p w14:paraId="11BB754A"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lastRenderedPageBreak/>
        <w:t>s finančným dopadom (náhodné):</w:t>
      </w:r>
    </w:p>
    <w:p w14:paraId="5F8F498F" w14:textId="3FE3D5B6" w:rsidR="00610DA6" w:rsidRPr="00524AE6" w:rsidRDefault="00610DA6" w:rsidP="00610DA6">
      <w:pPr>
        <w:pStyle w:val="Odsekzoznamu"/>
        <w:numPr>
          <w:ilvl w:val="0"/>
          <w:numId w:val="143"/>
        </w:numPr>
        <w:spacing w:before="120" w:after="120"/>
        <w:jc w:val="both"/>
        <w:rPr>
          <w:rFonts w:ascii="Arial" w:hAnsi="Arial" w:cs="Arial"/>
          <w:color w:val="000000"/>
          <w:sz w:val="20"/>
          <w:szCs w:val="20"/>
        </w:rPr>
      </w:pPr>
      <w:r w:rsidRPr="00524AE6">
        <w:rPr>
          <w:rFonts w:ascii="Arial" w:hAnsi="Arial" w:cs="Arial"/>
          <w:color w:val="000000"/>
          <w:sz w:val="20"/>
          <w:szCs w:val="20"/>
        </w:rPr>
        <w:t>nehospodárnym vynaložením výdavkov došlo na strane prijímateľa k porušeniu finančnej disciplíny podľa zákona o rozpočtových pravidlách verejnej správy a vzniku neoprávnených výdavkov:</w:t>
      </w:r>
    </w:p>
    <w:p w14:paraId="1705DD33"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uznaním vyššej sumy fakturovaných výdavkov v porovnaní so znaleckým posudkom,</w:t>
      </w:r>
    </w:p>
    <w:p w14:paraId="5703B6BB" w14:textId="6E1B0926" w:rsidR="00610DA6" w:rsidRPr="00524AE6" w:rsidRDefault="00917609"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xml:space="preserve">- </w:t>
      </w:r>
      <w:r w:rsidR="00610DA6" w:rsidRPr="00524AE6">
        <w:rPr>
          <w:rFonts w:ascii="Arial" w:hAnsi="Arial" w:cs="Arial"/>
          <w:color w:val="000000"/>
          <w:sz w:val="20"/>
          <w:szCs w:val="20"/>
        </w:rPr>
        <w:t>uplatnením výdavkov, ktoré nebolo možné považovať za práce vynútené nepredvídateľnými okolnosťami,</w:t>
      </w:r>
    </w:p>
    <w:p w14:paraId="44860F88"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duplicitným uplatnením odpočtu DPH.</w:t>
      </w:r>
    </w:p>
    <w:p w14:paraId="660EA7F3"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s finančným dopadom (finančné opravy za porušenie pravidiel a postupov pri VO):</w:t>
      </w:r>
    </w:p>
    <w:p w14:paraId="5B4E036C" w14:textId="1C03526D" w:rsidR="00610DA6" w:rsidRPr="00524AE6" w:rsidRDefault="00610DA6" w:rsidP="00917609">
      <w:pPr>
        <w:pStyle w:val="Odsekzoznamu"/>
        <w:numPr>
          <w:ilvl w:val="0"/>
          <w:numId w:val="143"/>
        </w:numPr>
        <w:spacing w:before="120" w:after="120"/>
        <w:jc w:val="both"/>
        <w:rPr>
          <w:rFonts w:ascii="Arial" w:hAnsi="Arial" w:cs="Arial"/>
          <w:color w:val="000000"/>
          <w:sz w:val="20"/>
          <w:szCs w:val="20"/>
        </w:rPr>
      </w:pPr>
      <w:r w:rsidRPr="00524AE6">
        <w:rPr>
          <w:rFonts w:ascii="Arial" w:hAnsi="Arial" w:cs="Arial"/>
          <w:color w:val="000000"/>
          <w:sz w:val="20"/>
          <w:szCs w:val="20"/>
        </w:rPr>
        <w:t>na strane verejného obstarávateľa došlo k porušeniu princípu rovnakého zaobchádzania, princípu nediskriminácie a princípu transparentnosti v zmysle zákona o VO:</w:t>
      </w:r>
    </w:p>
    <w:p w14:paraId="5AE62086"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oznámenie o vyhlásení VO obsahovalo diskriminačnú podmienku (vyžadovaním preukázania obratu v stanovenej sume za každý rok zvlášť),</w:t>
      </w:r>
    </w:p>
    <w:p w14:paraId="497A89CC"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vyžadovaním preukázania odbornej a technickej spôsobilosti (predloženie referencie na kľúčových špecialistov),</w:t>
      </w:r>
    </w:p>
    <w:p w14:paraId="7D053E22"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vyžadovaním referencií na preukázanie splnenia podmienok účasti v rámci technickej a odbornej spôsobilosti.</w:t>
      </w:r>
    </w:p>
    <w:p w14:paraId="4D2D9530"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nesystémové:</w:t>
      </w:r>
    </w:p>
    <w:p w14:paraId="68C12F92" w14:textId="43FCD2E0" w:rsidR="00610DA6" w:rsidRPr="00524AE6" w:rsidRDefault="00610DA6" w:rsidP="00917609">
      <w:pPr>
        <w:pStyle w:val="Odsekzoznamu"/>
        <w:numPr>
          <w:ilvl w:val="0"/>
          <w:numId w:val="143"/>
        </w:numPr>
        <w:spacing w:before="120" w:after="120"/>
        <w:jc w:val="both"/>
        <w:rPr>
          <w:rFonts w:ascii="Arial" w:hAnsi="Arial" w:cs="Arial"/>
          <w:color w:val="000000"/>
          <w:sz w:val="20"/>
          <w:szCs w:val="20"/>
        </w:rPr>
      </w:pPr>
      <w:r w:rsidRPr="00524AE6">
        <w:rPr>
          <w:rFonts w:ascii="Arial" w:hAnsi="Arial" w:cs="Arial"/>
          <w:color w:val="000000"/>
          <w:sz w:val="20"/>
          <w:szCs w:val="20"/>
        </w:rPr>
        <w:t>nedostatočné vykonanie prvostupňovej kontroly VO zo strany RO:</w:t>
      </w:r>
    </w:p>
    <w:p w14:paraId="564AEBC6" w14:textId="74090EB2"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xml:space="preserve">- tým, že nezistil porušenie ustanovení zákona o VO na úrovni prijímateľa, </w:t>
      </w:r>
    </w:p>
    <w:p w14:paraId="1343EED0" w14:textId="7838B235" w:rsidR="00610DA6" w:rsidRPr="00524AE6" w:rsidRDefault="00610DA6" w:rsidP="00917609">
      <w:pPr>
        <w:pStyle w:val="Odsekzoznamu"/>
        <w:numPr>
          <w:ilvl w:val="0"/>
          <w:numId w:val="143"/>
        </w:numPr>
        <w:spacing w:before="120" w:after="120"/>
        <w:jc w:val="both"/>
        <w:rPr>
          <w:rFonts w:ascii="Arial" w:hAnsi="Arial" w:cs="Arial"/>
          <w:color w:val="000000"/>
          <w:sz w:val="20"/>
          <w:szCs w:val="20"/>
        </w:rPr>
      </w:pPr>
      <w:r w:rsidRPr="00524AE6">
        <w:rPr>
          <w:rFonts w:ascii="Arial" w:hAnsi="Arial" w:cs="Arial"/>
          <w:color w:val="000000"/>
          <w:sz w:val="20"/>
          <w:szCs w:val="20"/>
        </w:rPr>
        <w:t>nedostatočné vykonanie prvostupňovej kontroly ŽoP na úrovni prijímateľa zo strany RO:</w:t>
      </w:r>
    </w:p>
    <w:p w14:paraId="302D59E9"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tým, že nezistil, že výdavky ŽoP boli vynaložené nehospodárne a v rozpore so zmluvou o poskytnutí NFP.</w:t>
      </w:r>
    </w:p>
    <w:p w14:paraId="56DF09E6" w14:textId="1A85BEAC"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 xml:space="preserve">Overenie splnenia prijatých opatrení a zohľadnenia odporúčaní k všetkým nedostatkom zisteným auditmi operácií vykonanými v roku 2015 </w:t>
      </w:r>
      <w:r w:rsidR="00A0132C">
        <w:rPr>
          <w:rFonts w:ascii="Arial" w:hAnsi="Arial" w:cs="Arial"/>
          <w:color w:val="000000"/>
          <w:sz w:val="20"/>
          <w:szCs w:val="20"/>
        </w:rPr>
        <w:t>bol</w:t>
      </w:r>
      <w:r w:rsidRPr="00524AE6">
        <w:rPr>
          <w:rFonts w:ascii="Arial" w:hAnsi="Arial" w:cs="Arial"/>
          <w:color w:val="000000"/>
          <w:sz w:val="20"/>
          <w:szCs w:val="20"/>
        </w:rPr>
        <w:t xml:space="preserve"> predmetom auditov operácií vykonávaných v roku 2016. Informácie o overení splnenia prijatých opatrení a zohľadnenia odporúčaní uvedie orgán auditu v záverečnej kontrolnej správe, ktorú orgán auditu zašle Európskej komisii do 31. 03. 2017.</w:t>
      </w:r>
    </w:p>
    <w:p w14:paraId="458B969E" w14:textId="7F68CFDA"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 xml:space="preserve">Na základe výsledkov systémového auditu a auditov operácií, ktoré boli vykonávané v období </w:t>
      </w:r>
      <w:r w:rsidR="00A0132C">
        <w:rPr>
          <w:rFonts w:ascii="Arial" w:hAnsi="Arial" w:cs="Arial"/>
          <w:color w:val="000000"/>
          <w:sz w:val="20"/>
          <w:szCs w:val="20"/>
        </w:rPr>
        <w:t xml:space="preserve">           </w:t>
      </w:r>
      <w:r w:rsidRPr="00524AE6">
        <w:rPr>
          <w:rFonts w:ascii="Arial" w:hAnsi="Arial" w:cs="Arial"/>
          <w:color w:val="000000"/>
          <w:sz w:val="20"/>
          <w:szCs w:val="20"/>
        </w:rPr>
        <w:t xml:space="preserve">1. 7. 2014 - 30. 6. 2015 (resp. v II. polroku 2015), bolo orgánom auditu vo výročnej kontrolnej správe odoslanej na Európsku komisiu v decembri 2015, vydané </w:t>
      </w:r>
      <w:r w:rsidRPr="00524AE6">
        <w:rPr>
          <w:rFonts w:ascii="Arial" w:hAnsi="Arial" w:cs="Arial"/>
          <w:b/>
          <w:color w:val="000000"/>
          <w:sz w:val="20"/>
          <w:szCs w:val="20"/>
        </w:rPr>
        <w:t>stanovisko výhradou</w:t>
      </w:r>
      <w:r w:rsidRPr="00524AE6">
        <w:rPr>
          <w:rFonts w:ascii="Arial" w:hAnsi="Arial" w:cs="Arial"/>
          <w:color w:val="000000"/>
          <w:sz w:val="20"/>
          <w:szCs w:val="20"/>
        </w:rPr>
        <w:t>, t. j. že riadiaci a kontrolný systém zavedený pre Operačný program Životné prostredie bol v súlade s platnými požiadavkami článkov 58 až 62 nariadenia Rady (ES) č. 1083/2006 a oddielu 3 nariadenia Komisie (ES) č. 1828/2006 a fungoval efektívne, pokiaľ ide o poskytovanie primeranej istoty o tom, že výkazy výdavkov predložené Komisii sú správne, a teda aj primeranej miery istoty o tom, že príslušné transakcie sú zákonné a regulárne, s výnimkou tohto kľúčového prvku riadiaceho a kontrolného systému:</w:t>
      </w:r>
    </w:p>
    <w:p w14:paraId="7D192AF9" w14:textId="171E11FA"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Riadiaci orgán: Primerané overovania prvého stupňa (článok 60 písm. b), g) nariadenia 1083/2006 a článok 13 ods. 2 - 4 nariadenia 1828/2006 (KP 4)).</w:t>
      </w:r>
    </w:p>
    <w:p w14:paraId="656BDE84" w14:textId="77777777" w:rsidR="00610DA6" w:rsidRPr="00524AE6" w:rsidRDefault="00610DA6" w:rsidP="00610DA6">
      <w:pPr>
        <w:spacing w:before="120" w:after="120"/>
        <w:jc w:val="both"/>
        <w:rPr>
          <w:rFonts w:ascii="Arial" w:hAnsi="Arial" w:cs="Arial"/>
          <w:color w:val="000000"/>
          <w:sz w:val="20"/>
          <w:szCs w:val="20"/>
          <w:u w:val="single"/>
        </w:rPr>
      </w:pPr>
      <w:r w:rsidRPr="00524AE6">
        <w:rPr>
          <w:rFonts w:ascii="Arial" w:hAnsi="Arial" w:cs="Arial"/>
          <w:color w:val="000000"/>
          <w:sz w:val="20"/>
          <w:szCs w:val="20"/>
          <w:u w:val="single"/>
        </w:rPr>
        <w:t>Audity operácií (čl. 62 ods. 1 písm. b) - vzťahujúce sa na výdavky deklarované na EK v referenčnom roku 2015:</w:t>
      </w:r>
    </w:p>
    <w:p w14:paraId="76446828"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V súlade so stratégiou auditu pre rok 2016 orgán auditu zabezpečil výkon auditu operácií v roku 2016, pričom úroveň spoľahlivosti pre výber vzorky bola určená na základe výroku o účinnosti riadiaceho a kontrolného systému, ktorý bol poskytnutý na základe záverov systémového auditu vykonávaného v I. polroku 2015 so zohľadnením záverov auditu operácií vykonaného v roku 2015. Úroveň spoľahlivosti pre výber vzorky predstavovala 70 %.</w:t>
      </w:r>
    </w:p>
    <w:p w14:paraId="395CD08D" w14:textId="72FADE8B"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lastRenderedPageBreak/>
        <w:t xml:space="preserve">V období od februára do júla 2016 orgán auditu v spolupráci s Úradom vládneho auditu zabezpečil výkon auditu operácií </w:t>
      </w:r>
      <w:r w:rsidRPr="00524AE6">
        <w:rPr>
          <w:rFonts w:ascii="Arial" w:hAnsi="Arial" w:cs="Arial"/>
          <w:b/>
          <w:color w:val="000000"/>
          <w:sz w:val="20"/>
          <w:szCs w:val="20"/>
        </w:rPr>
        <w:t>č. A778 a č. A779</w:t>
      </w:r>
      <w:r w:rsidRPr="00524AE6">
        <w:rPr>
          <w:rFonts w:ascii="Arial" w:hAnsi="Arial" w:cs="Arial"/>
          <w:color w:val="000000"/>
          <w:sz w:val="20"/>
          <w:szCs w:val="20"/>
        </w:rPr>
        <w:t xml:space="preserve">, ktorých hlavným cieľom bolo získanie uistenia o oprávnenosti výdavkov na vybranej vzorke operácií v rámci Operačného programu Životné prostredie na úrovni RO, PJ a vybraných prijímateľov podľa čl. 62 ods. 1 písm. b) nariadenia Rady (ES) </w:t>
      </w:r>
      <w:r w:rsidR="00A0132C">
        <w:rPr>
          <w:rFonts w:ascii="Arial" w:hAnsi="Arial" w:cs="Arial"/>
          <w:color w:val="000000"/>
          <w:sz w:val="20"/>
          <w:szCs w:val="20"/>
        </w:rPr>
        <w:t xml:space="preserve">             </w:t>
      </w:r>
      <w:r w:rsidRPr="00524AE6">
        <w:rPr>
          <w:rFonts w:ascii="Arial" w:hAnsi="Arial" w:cs="Arial"/>
          <w:color w:val="000000"/>
          <w:sz w:val="20"/>
          <w:szCs w:val="20"/>
        </w:rPr>
        <w:t>č. 1083/2006.</w:t>
      </w:r>
    </w:p>
    <w:p w14:paraId="38B97B2D"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 xml:space="preserve">Vládnym auditom </w:t>
      </w:r>
      <w:r w:rsidRPr="00524AE6">
        <w:rPr>
          <w:rFonts w:ascii="Arial" w:hAnsi="Arial" w:cs="Arial"/>
          <w:b/>
          <w:color w:val="000000"/>
          <w:sz w:val="20"/>
          <w:szCs w:val="20"/>
        </w:rPr>
        <w:t>č. A778</w:t>
      </w:r>
      <w:r w:rsidRPr="00524AE6">
        <w:rPr>
          <w:rFonts w:ascii="Arial" w:hAnsi="Arial" w:cs="Arial"/>
          <w:color w:val="000000"/>
          <w:sz w:val="20"/>
          <w:szCs w:val="20"/>
        </w:rPr>
        <w:t xml:space="preserve"> bolo v rozsahu vybranej vzorky overených 62 436 298,63 EUR (25 žiadostí o platbu). V rámci uvedeného vládneho auditu AS identifikovala nasledovné najzávažnejšie nedostatky:</w:t>
      </w:r>
    </w:p>
    <w:p w14:paraId="3EB751E7"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s finančným dopadom (náhodné):</w:t>
      </w:r>
    </w:p>
    <w:p w14:paraId="19CDDB9E" w14:textId="28077228" w:rsidR="00610DA6" w:rsidRPr="00524AE6" w:rsidRDefault="00610DA6" w:rsidP="00917609">
      <w:pPr>
        <w:pStyle w:val="Odsekzoznamu"/>
        <w:numPr>
          <w:ilvl w:val="0"/>
          <w:numId w:val="143"/>
        </w:numPr>
        <w:spacing w:before="120" w:after="120"/>
        <w:jc w:val="both"/>
        <w:rPr>
          <w:rFonts w:ascii="Arial" w:hAnsi="Arial" w:cs="Arial"/>
          <w:color w:val="000000"/>
          <w:sz w:val="20"/>
          <w:szCs w:val="20"/>
        </w:rPr>
      </w:pPr>
      <w:r w:rsidRPr="00524AE6">
        <w:rPr>
          <w:rFonts w:ascii="Arial" w:hAnsi="Arial" w:cs="Arial"/>
          <w:color w:val="000000"/>
          <w:sz w:val="20"/>
          <w:szCs w:val="20"/>
        </w:rPr>
        <w:t>nedostatočné vykonanie prvostupňovej kontroly hospodárnosti a primeranosti výdavkov projektu:</w:t>
      </w:r>
    </w:p>
    <w:p w14:paraId="096F07EE"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poskytnutie verejných prostriedkov nad rámec oprávnenia,</w:t>
      </w:r>
    </w:p>
    <w:p w14:paraId="038FEC8A"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neidentifikovanie nadhodnotenia cien vo faktúrach.</w:t>
      </w:r>
    </w:p>
    <w:p w14:paraId="43720AA7"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s finančným dopadom (finančné opravy za porušenie pravidiel a postupov pri VO):</w:t>
      </w:r>
    </w:p>
    <w:p w14:paraId="090F7C11" w14:textId="1D38808C" w:rsidR="00610DA6" w:rsidRPr="00524AE6" w:rsidRDefault="00610DA6" w:rsidP="00917609">
      <w:pPr>
        <w:pStyle w:val="Odsekzoznamu"/>
        <w:numPr>
          <w:ilvl w:val="0"/>
          <w:numId w:val="143"/>
        </w:numPr>
        <w:spacing w:before="120" w:after="120"/>
        <w:jc w:val="both"/>
        <w:rPr>
          <w:rFonts w:ascii="Arial" w:hAnsi="Arial" w:cs="Arial"/>
          <w:color w:val="000000"/>
          <w:sz w:val="20"/>
          <w:szCs w:val="20"/>
        </w:rPr>
      </w:pPr>
      <w:r w:rsidRPr="00524AE6">
        <w:rPr>
          <w:rFonts w:ascii="Arial" w:hAnsi="Arial" w:cs="Arial"/>
          <w:color w:val="000000"/>
          <w:sz w:val="20"/>
          <w:szCs w:val="20"/>
        </w:rPr>
        <w:t xml:space="preserve">nedostatočné vykonanie prvostupňovej kontroly VO podľa čl. 60 nariadenia Rady (ES) </w:t>
      </w:r>
      <w:r w:rsidR="00A0132C">
        <w:rPr>
          <w:rFonts w:ascii="Arial" w:hAnsi="Arial" w:cs="Arial"/>
          <w:color w:val="000000"/>
          <w:sz w:val="20"/>
          <w:szCs w:val="20"/>
        </w:rPr>
        <w:t xml:space="preserve">            </w:t>
      </w:r>
      <w:r w:rsidRPr="00524AE6">
        <w:rPr>
          <w:rFonts w:ascii="Arial" w:hAnsi="Arial" w:cs="Arial"/>
          <w:color w:val="000000"/>
          <w:sz w:val="20"/>
          <w:szCs w:val="20"/>
        </w:rPr>
        <w:t>č. 1083/2006 a § 24c - administratívna kontrola, zákona č. 528/2008 Z. z. o pomoci a podpore poskytovanej z fondov ES:</w:t>
      </w:r>
    </w:p>
    <w:p w14:paraId="32175206"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stanovenie diskriminačnej podmienky účasti týkajúcej sa technickej a odbornej spôsobilosti:</w:t>
      </w:r>
    </w:p>
    <w:p w14:paraId="43B26C59" w14:textId="7085830A" w:rsidR="00610DA6" w:rsidRPr="00524AE6" w:rsidRDefault="00610DA6" w:rsidP="00917609">
      <w:pPr>
        <w:pStyle w:val="Odsekzoznamu"/>
        <w:numPr>
          <w:ilvl w:val="0"/>
          <w:numId w:val="150"/>
        </w:numPr>
        <w:spacing w:before="120" w:after="120"/>
        <w:ind w:left="1134"/>
        <w:jc w:val="both"/>
        <w:rPr>
          <w:rFonts w:ascii="Arial" w:hAnsi="Arial" w:cs="Arial"/>
          <w:color w:val="000000"/>
          <w:sz w:val="20"/>
          <w:szCs w:val="20"/>
        </w:rPr>
      </w:pPr>
      <w:r w:rsidRPr="00524AE6">
        <w:rPr>
          <w:rFonts w:ascii="Arial" w:hAnsi="Arial" w:cs="Arial"/>
          <w:color w:val="000000"/>
          <w:sz w:val="20"/>
          <w:szCs w:val="20"/>
        </w:rPr>
        <w:t>predloženie potvrdených referenčných listov na kľúčových špecialistov,</w:t>
      </w:r>
    </w:p>
    <w:p w14:paraId="2EF366B4" w14:textId="2CB16CBC" w:rsidR="00610DA6" w:rsidRPr="00524AE6" w:rsidRDefault="00610DA6" w:rsidP="00917609">
      <w:pPr>
        <w:pStyle w:val="Odsekzoznamu"/>
        <w:numPr>
          <w:ilvl w:val="0"/>
          <w:numId w:val="150"/>
        </w:numPr>
        <w:spacing w:before="120" w:after="120"/>
        <w:ind w:left="1134"/>
        <w:jc w:val="both"/>
        <w:rPr>
          <w:rFonts w:ascii="Arial" w:hAnsi="Arial" w:cs="Arial"/>
          <w:color w:val="000000"/>
          <w:sz w:val="20"/>
          <w:szCs w:val="20"/>
        </w:rPr>
      </w:pPr>
      <w:r w:rsidRPr="00524AE6">
        <w:rPr>
          <w:rFonts w:ascii="Arial" w:hAnsi="Arial" w:cs="Arial"/>
          <w:color w:val="000000"/>
          <w:sz w:val="20"/>
          <w:szCs w:val="20"/>
        </w:rPr>
        <w:t>predloženie zoznamu poskytnutých služieb s podmienkou potvrdenia o kvalite poskytnutej služby, lehotou dodania a odberateľa s potvrdením odberateľa, že príslušná osoba vykonávala funkciu stavbyvedúceho pre predmetnú stavbu počas celej doby realizácie stavby,</w:t>
      </w:r>
    </w:p>
    <w:p w14:paraId="4AB7CF19" w14:textId="53F46350" w:rsidR="00610DA6" w:rsidRPr="00524AE6" w:rsidRDefault="00610DA6" w:rsidP="00917609">
      <w:pPr>
        <w:pStyle w:val="Odsekzoznamu"/>
        <w:numPr>
          <w:ilvl w:val="0"/>
          <w:numId w:val="63"/>
        </w:numPr>
        <w:tabs>
          <w:tab w:val="clear" w:pos="360"/>
        </w:tabs>
        <w:spacing w:before="120" w:after="120"/>
        <w:ind w:left="709" w:hanging="142"/>
        <w:jc w:val="both"/>
        <w:rPr>
          <w:rFonts w:ascii="Arial" w:hAnsi="Arial" w:cs="Arial"/>
          <w:color w:val="000000"/>
          <w:sz w:val="20"/>
          <w:szCs w:val="20"/>
        </w:rPr>
      </w:pPr>
      <w:r w:rsidRPr="00524AE6">
        <w:rPr>
          <w:rFonts w:ascii="Arial" w:hAnsi="Arial" w:cs="Arial"/>
          <w:color w:val="000000"/>
          <w:sz w:val="20"/>
          <w:szCs w:val="20"/>
        </w:rPr>
        <w:t>stanovenie diskriminačnej podmienky účasti týkajúcej sa ekonomickej a finančnej spôsobilosti:</w:t>
      </w:r>
    </w:p>
    <w:p w14:paraId="0890C568" w14:textId="3FB20C1F" w:rsidR="00610DA6" w:rsidRPr="00524AE6" w:rsidRDefault="00610DA6" w:rsidP="00917609">
      <w:pPr>
        <w:pStyle w:val="Odsekzoznamu"/>
        <w:numPr>
          <w:ilvl w:val="0"/>
          <w:numId w:val="150"/>
        </w:numPr>
        <w:spacing w:before="120" w:after="120"/>
        <w:ind w:left="1134"/>
        <w:jc w:val="both"/>
        <w:rPr>
          <w:rFonts w:ascii="Arial" w:hAnsi="Arial" w:cs="Arial"/>
          <w:color w:val="000000"/>
          <w:sz w:val="20"/>
          <w:szCs w:val="20"/>
        </w:rPr>
      </w:pPr>
      <w:r w:rsidRPr="00524AE6">
        <w:rPr>
          <w:rFonts w:ascii="Arial" w:hAnsi="Arial" w:cs="Arial"/>
          <w:color w:val="000000"/>
          <w:sz w:val="20"/>
          <w:szCs w:val="20"/>
        </w:rPr>
        <w:t>požiadavka na preukázanie obratu v stanovenej sume za každý rok zvlášť,</w:t>
      </w:r>
    </w:p>
    <w:p w14:paraId="34F1D9A9"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nesprávne hodnotenie splnenia podmienok účasti (akceptovanie referencií bez vysvetlenia nesúladu, nejednoznačnosť súm či sú s/bez DPH – nevyžiadanie vysvetlenia, nesúlad pri uznaní/neuznaní predložených čestných vyhlásení o objeme prác),</w:t>
      </w:r>
    </w:p>
    <w:p w14:paraId="3D37E8AF"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vyhodnocovanie splnenia podmienok účasti v rozpore s oznámením o vyhlásení VO,</w:t>
      </w:r>
    </w:p>
    <w:p w14:paraId="24E65592"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nestanovenie kurzu na prepočet SKK na EUR a prepočet zahraničných mien na EUR,</w:t>
      </w:r>
    </w:p>
    <w:p w14:paraId="336D8D45"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uznanie celkovej sumy referencií v nesprávnej hodnote, resp. v nesprávnej mene,</w:t>
      </w:r>
    </w:p>
    <w:p w14:paraId="0CD151A2" w14:textId="77777777" w:rsidR="00610DA6" w:rsidRPr="00524AE6" w:rsidRDefault="00610DA6" w:rsidP="00917609">
      <w:pPr>
        <w:spacing w:before="120" w:after="120"/>
        <w:ind w:left="709"/>
        <w:jc w:val="both"/>
        <w:rPr>
          <w:rFonts w:ascii="Arial" w:hAnsi="Arial" w:cs="Arial"/>
          <w:color w:val="000000"/>
          <w:sz w:val="20"/>
          <w:szCs w:val="20"/>
        </w:rPr>
      </w:pPr>
      <w:r w:rsidRPr="00524AE6">
        <w:rPr>
          <w:rFonts w:ascii="Arial" w:hAnsi="Arial" w:cs="Arial"/>
          <w:color w:val="000000"/>
          <w:sz w:val="20"/>
          <w:szCs w:val="20"/>
        </w:rPr>
        <w:t>- nevypracovanie zápisnice z vyhodnotenia ponúk.</w:t>
      </w:r>
    </w:p>
    <w:p w14:paraId="553564DB"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 xml:space="preserve">Vládnym auditom </w:t>
      </w:r>
      <w:r w:rsidRPr="00524AE6">
        <w:rPr>
          <w:rFonts w:ascii="Arial" w:hAnsi="Arial" w:cs="Arial"/>
          <w:b/>
          <w:color w:val="000000"/>
          <w:sz w:val="20"/>
          <w:szCs w:val="20"/>
        </w:rPr>
        <w:t>č. A779</w:t>
      </w:r>
      <w:r w:rsidRPr="00524AE6">
        <w:rPr>
          <w:rFonts w:ascii="Arial" w:hAnsi="Arial" w:cs="Arial"/>
          <w:color w:val="000000"/>
          <w:sz w:val="20"/>
          <w:szCs w:val="20"/>
        </w:rPr>
        <w:t xml:space="preserve"> bolo v rozsahu vybranej vzorky overených 28 096 371,65 EUR (24 žiadostí o platbu). V rámci uvedeného vládneho auditu AS identifikovala nasledovné najzávažnejšie nedostatky:</w:t>
      </w:r>
    </w:p>
    <w:p w14:paraId="7C6AF774"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s finančným dopadom (náhodné):</w:t>
      </w:r>
    </w:p>
    <w:p w14:paraId="2EA40B70" w14:textId="2A306C08" w:rsidR="00610DA6" w:rsidRPr="00524AE6" w:rsidRDefault="00610DA6" w:rsidP="00524AE6">
      <w:pPr>
        <w:pStyle w:val="Odsekzoznamu"/>
        <w:numPr>
          <w:ilvl w:val="0"/>
          <w:numId w:val="143"/>
        </w:numPr>
        <w:spacing w:before="120" w:after="120"/>
        <w:jc w:val="both"/>
        <w:rPr>
          <w:rFonts w:ascii="Arial" w:hAnsi="Arial" w:cs="Arial"/>
          <w:color w:val="000000"/>
          <w:sz w:val="20"/>
          <w:szCs w:val="20"/>
        </w:rPr>
      </w:pPr>
      <w:r w:rsidRPr="00524AE6">
        <w:rPr>
          <w:rFonts w:ascii="Arial" w:hAnsi="Arial" w:cs="Arial"/>
          <w:color w:val="000000"/>
          <w:sz w:val="20"/>
          <w:szCs w:val="20"/>
        </w:rPr>
        <w:t>nedostatočné vykonanie prvostupňovej kontroly hospodárnosti a primeranosti výdavkov projektu:</w:t>
      </w:r>
    </w:p>
    <w:p w14:paraId="6657898C" w14:textId="77777777" w:rsidR="00610DA6" w:rsidRPr="00524AE6" w:rsidRDefault="00610DA6" w:rsidP="00524AE6">
      <w:pPr>
        <w:spacing w:before="120" w:after="120"/>
        <w:ind w:left="709"/>
        <w:jc w:val="both"/>
        <w:rPr>
          <w:rFonts w:ascii="Arial" w:hAnsi="Arial" w:cs="Arial"/>
          <w:color w:val="000000"/>
          <w:sz w:val="20"/>
          <w:szCs w:val="20"/>
        </w:rPr>
      </w:pPr>
      <w:r w:rsidRPr="00524AE6">
        <w:rPr>
          <w:rFonts w:ascii="Arial" w:hAnsi="Arial" w:cs="Arial"/>
          <w:color w:val="000000"/>
          <w:sz w:val="20"/>
          <w:szCs w:val="20"/>
        </w:rPr>
        <w:t>- poskytnutie verejných prostriedkov nad rámec oprávnenia.</w:t>
      </w:r>
    </w:p>
    <w:p w14:paraId="4744B319" w14:textId="77777777" w:rsidR="00610DA6" w:rsidRPr="00524AE6" w:rsidRDefault="00610DA6" w:rsidP="00610DA6">
      <w:pPr>
        <w:spacing w:before="120" w:after="120"/>
        <w:jc w:val="both"/>
        <w:rPr>
          <w:rFonts w:ascii="Arial" w:hAnsi="Arial" w:cs="Arial"/>
          <w:color w:val="000000"/>
          <w:sz w:val="20"/>
          <w:szCs w:val="20"/>
        </w:rPr>
      </w:pPr>
      <w:r w:rsidRPr="00524AE6">
        <w:rPr>
          <w:rFonts w:ascii="Arial" w:hAnsi="Arial" w:cs="Arial"/>
          <w:color w:val="000000"/>
          <w:sz w:val="20"/>
          <w:szCs w:val="20"/>
        </w:rPr>
        <w:t>s finančným dopadom (finančné opravy za porušenie pravidiel a postupov pri VO):</w:t>
      </w:r>
    </w:p>
    <w:p w14:paraId="38243814" w14:textId="6ADAF805" w:rsidR="00610DA6" w:rsidRPr="00524AE6" w:rsidRDefault="00610DA6" w:rsidP="00610DA6">
      <w:pPr>
        <w:pStyle w:val="Odsekzoznamu"/>
        <w:numPr>
          <w:ilvl w:val="0"/>
          <w:numId w:val="143"/>
        </w:numPr>
        <w:spacing w:before="120" w:after="120"/>
        <w:jc w:val="both"/>
        <w:rPr>
          <w:rFonts w:ascii="Arial" w:hAnsi="Arial" w:cs="Arial"/>
          <w:color w:val="000000"/>
          <w:sz w:val="20"/>
          <w:szCs w:val="20"/>
        </w:rPr>
      </w:pPr>
      <w:r w:rsidRPr="00524AE6">
        <w:rPr>
          <w:rFonts w:ascii="Arial" w:hAnsi="Arial" w:cs="Arial"/>
          <w:color w:val="000000"/>
          <w:sz w:val="20"/>
          <w:szCs w:val="20"/>
        </w:rPr>
        <w:t xml:space="preserve">nedostatočné vykonanie prvostupňovej kontroly VO podľa čl. 60 nariadenia Rady (ES) </w:t>
      </w:r>
      <w:r w:rsidR="00A0132C">
        <w:rPr>
          <w:rFonts w:ascii="Arial" w:hAnsi="Arial" w:cs="Arial"/>
          <w:color w:val="000000"/>
          <w:sz w:val="20"/>
          <w:szCs w:val="20"/>
        </w:rPr>
        <w:t xml:space="preserve">           </w:t>
      </w:r>
      <w:r w:rsidRPr="00524AE6">
        <w:rPr>
          <w:rFonts w:ascii="Arial" w:hAnsi="Arial" w:cs="Arial"/>
          <w:color w:val="000000"/>
          <w:sz w:val="20"/>
          <w:szCs w:val="20"/>
        </w:rPr>
        <w:t>č. 1083/2006 a § 24c - administratívna kontrola, zákona č. 528/2008 Z. z. o pomoci a podpore poskytovanej z fondov ES:</w:t>
      </w:r>
    </w:p>
    <w:p w14:paraId="61A023B2" w14:textId="77777777" w:rsidR="00610DA6" w:rsidRPr="00524AE6" w:rsidRDefault="00610DA6" w:rsidP="00524AE6">
      <w:pPr>
        <w:pStyle w:val="Default"/>
        <w:spacing w:after="14"/>
        <w:ind w:left="709"/>
        <w:rPr>
          <w:rFonts w:ascii="Arial" w:hAnsi="Arial" w:cs="Arial"/>
          <w:sz w:val="20"/>
          <w:szCs w:val="20"/>
        </w:rPr>
      </w:pPr>
      <w:r w:rsidRPr="00524AE6">
        <w:rPr>
          <w:rFonts w:ascii="Courier New" w:hAnsi="Courier New" w:cs="Courier New"/>
          <w:sz w:val="20"/>
          <w:szCs w:val="20"/>
        </w:rPr>
        <w:lastRenderedPageBreak/>
        <w:t xml:space="preserve">o </w:t>
      </w:r>
      <w:r w:rsidRPr="00524AE6">
        <w:rPr>
          <w:rFonts w:ascii="Arial" w:hAnsi="Arial" w:cs="Arial"/>
          <w:sz w:val="20"/>
          <w:szCs w:val="20"/>
        </w:rPr>
        <w:t xml:space="preserve">diskriminačný opis predmetu zákazky – spojenie zákazky, </w:t>
      </w:r>
    </w:p>
    <w:p w14:paraId="57866165" w14:textId="77777777" w:rsidR="00610DA6" w:rsidRPr="00524AE6" w:rsidRDefault="00610DA6" w:rsidP="00524AE6">
      <w:pPr>
        <w:pStyle w:val="Default"/>
        <w:spacing w:after="14"/>
        <w:ind w:left="709"/>
        <w:rPr>
          <w:rFonts w:ascii="Arial" w:hAnsi="Arial" w:cs="Arial"/>
          <w:sz w:val="20"/>
          <w:szCs w:val="20"/>
        </w:rPr>
      </w:pPr>
      <w:r w:rsidRPr="00524AE6">
        <w:rPr>
          <w:rFonts w:ascii="Courier New" w:hAnsi="Courier New" w:cs="Courier New"/>
          <w:sz w:val="20"/>
          <w:szCs w:val="20"/>
        </w:rPr>
        <w:t xml:space="preserve">o </w:t>
      </w:r>
      <w:r w:rsidRPr="00524AE6">
        <w:rPr>
          <w:rFonts w:ascii="Arial" w:hAnsi="Arial" w:cs="Arial"/>
          <w:sz w:val="20"/>
          <w:szCs w:val="20"/>
        </w:rPr>
        <w:t xml:space="preserve">vyhodnocovanie splnenia podmienok účasti v rozpore s oznámením o vyhlásení VO, </w:t>
      </w:r>
    </w:p>
    <w:p w14:paraId="59533196" w14:textId="77777777" w:rsidR="00610DA6" w:rsidRPr="00524AE6" w:rsidRDefault="00610DA6" w:rsidP="00524AE6">
      <w:pPr>
        <w:pStyle w:val="Default"/>
        <w:ind w:left="709"/>
        <w:rPr>
          <w:rFonts w:ascii="Arial" w:hAnsi="Arial" w:cs="Arial"/>
          <w:sz w:val="20"/>
          <w:szCs w:val="20"/>
        </w:rPr>
      </w:pPr>
      <w:r w:rsidRPr="00524AE6">
        <w:rPr>
          <w:rFonts w:ascii="Courier New" w:hAnsi="Courier New" w:cs="Courier New"/>
          <w:sz w:val="20"/>
          <w:szCs w:val="20"/>
        </w:rPr>
        <w:t xml:space="preserve">o </w:t>
      </w:r>
      <w:r w:rsidRPr="00524AE6">
        <w:rPr>
          <w:rFonts w:ascii="Arial" w:hAnsi="Arial" w:cs="Arial"/>
          <w:sz w:val="20"/>
          <w:szCs w:val="20"/>
        </w:rPr>
        <w:t xml:space="preserve">verejný obstarávateľ neumožnil rozdelenie zákazky na časti. </w:t>
      </w:r>
    </w:p>
    <w:p w14:paraId="39B76C50" w14:textId="77777777" w:rsidR="00524AE6" w:rsidRPr="00524AE6" w:rsidRDefault="00524AE6" w:rsidP="00524AE6">
      <w:pPr>
        <w:pStyle w:val="Default"/>
        <w:ind w:left="709"/>
        <w:rPr>
          <w:rFonts w:ascii="Arial" w:hAnsi="Arial" w:cs="Arial"/>
          <w:sz w:val="20"/>
          <w:szCs w:val="20"/>
        </w:rPr>
      </w:pPr>
    </w:p>
    <w:p w14:paraId="67A235C9" w14:textId="77777777" w:rsidR="00610DA6" w:rsidRPr="00524AE6" w:rsidRDefault="00610DA6" w:rsidP="00610DA6">
      <w:pPr>
        <w:pStyle w:val="Default"/>
        <w:rPr>
          <w:rFonts w:ascii="Arial" w:hAnsi="Arial" w:cs="Arial"/>
          <w:sz w:val="20"/>
          <w:szCs w:val="20"/>
        </w:rPr>
      </w:pPr>
      <w:r w:rsidRPr="00524AE6">
        <w:rPr>
          <w:rFonts w:ascii="Arial" w:hAnsi="Arial" w:cs="Arial"/>
          <w:sz w:val="20"/>
          <w:szCs w:val="20"/>
        </w:rPr>
        <w:t xml:space="preserve">Informácie o overení splnenia prijatých opatrení a zohľadnenia odporúčaní uvedie orgán auditu v záverečnej kontrolnej správe, ktorú orgán auditu zašle Európskej komisii do 31. 03. 2017. </w:t>
      </w:r>
    </w:p>
    <w:p w14:paraId="0FAEA332" w14:textId="77777777" w:rsidR="00524AE6" w:rsidRPr="00524AE6" w:rsidRDefault="00524AE6" w:rsidP="00610DA6">
      <w:pPr>
        <w:pStyle w:val="Default"/>
        <w:rPr>
          <w:rFonts w:ascii="Arial" w:hAnsi="Arial" w:cs="Arial"/>
          <w:sz w:val="20"/>
          <w:szCs w:val="20"/>
        </w:rPr>
      </w:pPr>
    </w:p>
    <w:p w14:paraId="54F6483E" w14:textId="77777777" w:rsidR="00610DA6" w:rsidRPr="00524AE6" w:rsidRDefault="00610DA6" w:rsidP="00610DA6">
      <w:pPr>
        <w:pStyle w:val="Default"/>
        <w:rPr>
          <w:rFonts w:ascii="Arial" w:hAnsi="Arial" w:cs="Arial"/>
          <w:sz w:val="20"/>
          <w:szCs w:val="20"/>
        </w:rPr>
      </w:pPr>
      <w:r w:rsidRPr="00524AE6">
        <w:rPr>
          <w:rFonts w:ascii="Arial" w:hAnsi="Arial" w:cs="Arial"/>
          <w:sz w:val="20"/>
          <w:szCs w:val="20"/>
        </w:rPr>
        <w:t xml:space="preserve">V sledovanom období OA vykonal nasledovné audity operácií na základe podnetov (doplnková vzorka) u prijímateľov: </w:t>
      </w:r>
    </w:p>
    <w:p w14:paraId="073E65C4" w14:textId="4CC306EA" w:rsidR="00610DA6" w:rsidRPr="00524AE6" w:rsidRDefault="00610DA6" w:rsidP="00524AE6">
      <w:pPr>
        <w:pStyle w:val="Default"/>
        <w:spacing w:after="30"/>
        <w:ind w:left="284"/>
        <w:rPr>
          <w:rFonts w:ascii="Arial" w:hAnsi="Arial" w:cs="Arial"/>
          <w:sz w:val="20"/>
          <w:szCs w:val="20"/>
        </w:rPr>
      </w:pPr>
      <w:r w:rsidRPr="00524AE6">
        <w:rPr>
          <w:rFonts w:ascii="Arial" w:hAnsi="Arial" w:cs="Arial"/>
          <w:b/>
          <w:bCs/>
          <w:sz w:val="20"/>
          <w:szCs w:val="20"/>
        </w:rPr>
        <w:t xml:space="preserve">A607 </w:t>
      </w:r>
      <w:r w:rsidRPr="00524AE6">
        <w:rPr>
          <w:rFonts w:ascii="Arial" w:hAnsi="Arial" w:cs="Arial"/>
          <w:sz w:val="20"/>
          <w:szCs w:val="20"/>
        </w:rPr>
        <w:t xml:space="preserve">– neboli identifikované žiadne finančné nedostatky s vysokou závažnosťou, </w:t>
      </w:r>
    </w:p>
    <w:p w14:paraId="7FD2D19D" w14:textId="70ED0E47" w:rsidR="00610DA6" w:rsidRPr="00524AE6" w:rsidRDefault="00610DA6" w:rsidP="00524AE6">
      <w:pPr>
        <w:pStyle w:val="Default"/>
        <w:spacing w:after="30"/>
        <w:ind w:left="284"/>
        <w:rPr>
          <w:rFonts w:ascii="Arial" w:hAnsi="Arial" w:cs="Arial"/>
          <w:sz w:val="20"/>
          <w:szCs w:val="20"/>
        </w:rPr>
      </w:pPr>
      <w:r w:rsidRPr="00524AE6">
        <w:rPr>
          <w:rFonts w:ascii="Arial" w:hAnsi="Arial" w:cs="Arial"/>
          <w:b/>
          <w:bCs/>
          <w:sz w:val="20"/>
          <w:szCs w:val="20"/>
        </w:rPr>
        <w:t xml:space="preserve">A608 </w:t>
      </w:r>
      <w:r w:rsidRPr="00524AE6">
        <w:rPr>
          <w:rFonts w:ascii="Arial" w:hAnsi="Arial" w:cs="Arial"/>
          <w:sz w:val="20"/>
          <w:szCs w:val="20"/>
        </w:rPr>
        <w:t xml:space="preserve">– neboli identifikované žiadne finančné nedostatky s vysokou závažnosťou, </w:t>
      </w:r>
    </w:p>
    <w:p w14:paraId="55C063D4" w14:textId="5149C0BD" w:rsidR="00610DA6" w:rsidRPr="00524AE6" w:rsidRDefault="00610DA6" w:rsidP="00524AE6">
      <w:pPr>
        <w:pStyle w:val="Default"/>
        <w:spacing w:after="30"/>
        <w:ind w:left="284"/>
        <w:rPr>
          <w:rFonts w:ascii="Arial" w:hAnsi="Arial" w:cs="Arial"/>
          <w:sz w:val="20"/>
          <w:szCs w:val="20"/>
        </w:rPr>
      </w:pPr>
      <w:r w:rsidRPr="00524AE6">
        <w:rPr>
          <w:rFonts w:ascii="Arial" w:hAnsi="Arial" w:cs="Arial"/>
          <w:b/>
          <w:bCs/>
          <w:sz w:val="20"/>
          <w:szCs w:val="20"/>
        </w:rPr>
        <w:t xml:space="preserve">A672 </w:t>
      </w:r>
      <w:r w:rsidRPr="00524AE6">
        <w:rPr>
          <w:rFonts w:ascii="Arial" w:hAnsi="Arial" w:cs="Arial"/>
          <w:sz w:val="20"/>
          <w:szCs w:val="20"/>
        </w:rPr>
        <w:t xml:space="preserve">– bolo identifikované porušenie finančnej disciplíny zákona č. 523/2004 Z. z. o rozpočtových pravidlách verejnej správy: </w:t>
      </w:r>
    </w:p>
    <w:p w14:paraId="50C29627" w14:textId="77777777" w:rsidR="00610DA6" w:rsidRPr="00524AE6" w:rsidRDefault="00610DA6" w:rsidP="00524AE6">
      <w:pPr>
        <w:pStyle w:val="Default"/>
        <w:spacing w:after="30"/>
        <w:ind w:left="284"/>
        <w:rPr>
          <w:rFonts w:ascii="Arial" w:hAnsi="Arial" w:cs="Arial"/>
          <w:sz w:val="20"/>
          <w:szCs w:val="20"/>
        </w:rPr>
      </w:pPr>
      <w:r w:rsidRPr="00524AE6">
        <w:rPr>
          <w:sz w:val="20"/>
          <w:szCs w:val="20"/>
        </w:rPr>
        <w:t xml:space="preserve">- </w:t>
      </w:r>
      <w:r w:rsidRPr="00524AE6">
        <w:rPr>
          <w:rFonts w:ascii="Arial" w:hAnsi="Arial" w:cs="Arial"/>
          <w:sz w:val="20"/>
          <w:szCs w:val="20"/>
        </w:rPr>
        <w:t xml:space="preserve">nedodržanie podmienok oprávnenosti – úhrada tovaru ktorý nebol dodaný, </w:t>
      </w:r>
    </w:p>
    <w:p w14:paraId="540743B6" w14:textId="1573F1BF" w:rsidR="00610DA6" w:rsidRPr="00524AE6" w:rsidRDefault="00610DA6" w:rsidP="00524AE6">
      <w:pPr>
        <w:pStyle w:val="Default"/>
        <w:spacing w:after="30"/>
        <w:ind w:left="284"/>
        <w:rPr>
          <w:rFonts w:ascii="Arial" w:hAnsi="Arial" w:cs="Arial"/>
          <w:sz w:val="20"/>
          <w:szCs w:val="20"/>
        </w:rPr>
      </w:pPr>
      <w:r w:rsidRPr="00524AE6">
        <w:rPr>
          <w:rFonts w:ascii="Arial" w:hAnsi="Arial" w:cs="Arial"/>
          <w:b/>
          <w:bCs/>
          <w:sz w:val="20"/>
          <w:szCs w:val="20"/>
        </w:rPr>
        <w:t xml:space="preserve">A673 </w:t>
      </w:r>
      <w:r w:rsidRPr="00524AE6">
        <w:rPr>
          <w:rFonts w:ascii="Arial" w:hAnsi="Arial" w:cs="Arial"/>
          <w:sz w:val="20"/>
          <w:szCs w:val="20"/>
        </w:rPr>
        <w:t xml:space="preserve">– bolo identifikované nedodržanie podmienok Zmluvy o poskytnutí NFP: </w:t>
      </w:r>
    </w:p>
    <w:p w14:paraId="35BD8C63" w14:textId="77777777" w:rsidR="00610DA6" w:rsidRPr="00524AE6" w:rsidRDefault="00610DA6" w:rsidP="00524AE6">
      <w:pPr>
        <w:pStyle w:val="Default"/>
        <w:spacing w:after="30"/>
        <w:ind w:left="284"/>
        <w:rPr>
          <w:rFonts w:ascii="Arial" w:hAnsi="Arial" w:cs="Arial"/>
          <w:sz w:val="20"/>
          <w:szCs w:val="20"/>
        </w:rPr>
      </w:pPr>
      <w:r w:rsidRPr="00524AE6">
        <w:rPr>
          <w:sz w:val="20"/>
          <w:szCs w:val="20"/>
        </w:rPr>
        <w:t xml:space="preserve">- </w:t>
      </w:r>
      <w:r w:rsidRPr="00524AE6">
        <w:rPr>
          <w:rFonts w:ascii="Arial" w:hAnsi="Arial" w:cs="Arial"/>
          <w:sz w:val="20"/>
          <w:szCs w:val="20"/>
        </w:rPr>
        <w:t xml:space="preserve">realizácia projektu bola v rozpore s projektovou dokumentáciou, </w:t>
      </w:r>
    </w:p>
    <w:p w14:paraId="43BF81B0" w14:textId="77777777" w:rsidR="00610DA6" w:rsidRPr="00524AE6" w:rsidRDefault="00610DA6" w:rsidP="00524AE6">
      <w:pPr>
        <w:pStyle w:val="Default"/>
        <w:spacing w:after="30"/>
        <w:ind w:left="284"/>
        <w:rPr>
          <w:rFonts w:ascii="Arial" w:hAnsi="Arial" w:cs="Arial"/>
          <w:sz w:val="20"/>
          <w:szCs w:val="20"/>
        </w:rPr>
      </w:pPr>
      <w:r w:rsidRPr="00524AE6">
        <w:rPr>
          <w:sz w:val="20"/>
          <w:szCs w:val="20"/>
        </w:rPr>
        <w:t xml:space="preserve">- </w:t>
      </w:r>
      <w:r w:rsidRPr="00524AE6">
        <w:rPr>
          <w:rFonts w:ascii="Arial" w:hAnsi="Arial" w:cs="Arial"/>
          <w:sz w:val="20"/>
          <w:szCs w:val="20"/>
        </w:rPr>
        <w:t xml:space="preserve">vecné prekrytie výdavkov za zrealizovaný projekt, </w:t>
      </w:r>
    </w:p>
    <w:p w14:paraId="24DF20F8" w14:textId="77777777" w:rsidR="00610DA6" w:rsidRPr="00524AE6" w:rsidRDefault="00610DA6" w:rsidP="00524AE6">
      <w:pPr>
        <w:pStyle w:val="Default"/>
        <w:spacing w:after="30"/>
        <w:ind w:left="284"/>
        <w:rPr>
          <w:rFonts w:ascii="Arial" w:hAnsi="Arial" w:cs="Arial"/>
          <w:sz w:val="20"/>
          <w:szCs w:val="20"/>
        </w:rPr>
      </w:pPr>
      <w:r w:rsidRPr="00524AE6">
        <w:rPr>
          <w:sz w:val="20"/>
          <w:szCs w:val="20"/>
        </w:rPr>
        <w:t xml:space="preserve">- </w:t>
      </w:r>
      <w:r w:rsidRPr="00524AE6">
        <w:rPr>
          <w:rFonts w:ascii="Arial" w:hAnsi="Arial" w:cs="Arial"/>
          <w:sz w:val="20"/>
          <w:szCs w:val="20"/>
        </w:rPr>
        <w:t xml:space="preserve">nevykonanie odpočtu nezrealizovaných prác, </w:t>
      </w:r>
    </w:p>
    <w:p w14:paraId="1F009061" w14:textId="5E34B1B8" w:rsidR="00610DA6" w:rsidRPr="00524AE6" w:rsidRDefault="00610DA6" w:rsidP="00524AE6">
      <w:pPr>
        <w:pStyle w:val="Default"/>
        <w:spacing w:after="30"/>
        <w:ind w:left="284"/>
        <w:rPr>
          <w:rFonts w:ascii="Arial" w:hAnsi="Arial" w:cs="Arial"/>
          <w:sz w:val="20"/>
          <w:szCs w:val="20"/>
        </w:rPr>
      </w:pPr>
      <w:r w:rsidRPr="00524AE6">
        <w:rPr>
          <w:rFonts w:ascii="Arial" w:hAnsi="Arial" w:cs="Arial"/>
          <w:b/>
          <w:bCs/>
          <w:sz w:val="20"/>
          <w:szCs w:val="20"/>
        </w:rPr>
        <w:t xml:space="preserve">A756 </w:t>
      </w:r>
      <w:r w:rsidRPr="00524AE6">
        <w:rPr>
          <w:rFonts w:ascii="Arial" w:hAnsi="Arial" w:cs="Arial"/>
          <w:sz w:val="20"/>
          <w:szCs w:val="20"/>
        </w:rPr>
        <w:t xml:space="preserve">– bolo identifikované porušenie finančnej disciplíny zákona č. 523/2004 Z. z. o rozpočtových pravidlách verejnej správy a zákona o VO: </w:t>
      </w:r>
    </w:p>
    <w:p w14:paraId="73AF9B3F" w14:textId="77777777" w:rsidR="00610DA6" w:rsidRPr="00524AE6" w:rsidRDefault="00610DA6" w:rsidP="00524AE6">
      <w:pPr>
        <w:pStyle w:val="Default"/>
        <w:spacing w:after="30"/>
        <w:ind w:left="284"/>
        <w:rPr>
          <w:rFonts w:ascii="Arial" w:hAnsi="Arial" w:cs="Arial"/>
          <w:sz w:val="20"/>
          <w:szCs w:val="20"/>
        </w:rPr>
      </w:pPr>
      <w:r w:rsidRPr="00524AE6">
        <w:rPr>
          <w:sz w:val="20"/>
          <w:szCs w:val="20"/>
        </w:rPr>
        <w:t xml:space="preserve">- </w:t>
      </w:r>
      <w:r w:rsidRPr="00524AE6">
        <w:rPr>
          <w:rFonts w:ascii="Arial" w:hAnsi="Arial" w:cs="Arial"/>
          <w:sz w:val="20"/>
          <w:szCs w:val="20"/>
        </w:rPr>
        <w:t xml:space="preserve">čerpanie verejných prostriedkov za nedodané tovary a nezrealizované služby, </w:t>
      </w:r>
    </w:p>
    <w:p w14:paraId="32E3C110" w14:textId="77777777" w:rsidR="00610DA6" w:rsidRPr="00524AE6" w:rsidRDefault="00610DA6" w:rsidP="00524AE6">
      <w:pPr>
        <w:pStyle w:val="Default"/>
        <w:spacing w:after="30"/>
        <w:ind w:left="284"/>
        <w:rPr>
          <w:rFonts w:ascii="Arial" w:hAnsi="Arial" w:cs="Arial"/>
          <w:sz w:val="20"/>
          <w:szCs w:val="20"/>
        </w:rPr>
      </w:pPr>
      <w:r w:rsidRPr="00524AE6">
        <w:rPr>
          <w:sz w:val="20"/>
          <w:szCs w:val="20"/>
        </w:rPr>
        <w:t xml:space="preserve">- </w:t>
      </w:r>
      <w:r w:rsidRPr="00524AE6">
        <w:rPr>
          <w:rFonts w:ascii="Arial" w:hAnsi="Arial" w:cs="Arial"/>
          <w:sz w:val="20"/>
          <w:szCs w:val="20"/>
        </w:rPr>
        <w:t xml:space="preserve">stanovenie diskriminačných kritérií výberu čím došlo k porušeniu zákona o VO, </w:t>
      </w:r>
    </w:p>
    <w:p w14:paraId="66726258" w14:textId="77777777" w:rsidR="00610DA6" w:rsidRPr="00524AE6" w:rsidRDefault="00610DA6" w:rsidP="00524AE6">
      <w:pPr>
        <w:pStyle w:val="Default"/>
        <w:spacing w:after="30"/>
        <w:ind w:left="284"/>
        <w:rPr>
          <w:rFonts w:ascii="Arial" w:hAnsi="Arial" w:cs="Arial"/>
          <w:sz w:val="20"/>
          <w:szCs w:val="20"/>
        </w:rPr>
      </w:pPr>
      <w:r w:rsidRPr="00524AE6">
        <w:rPr>
          <w:sz w:val="20"/>
          <w:szCs w:val="20"/>
        </w:rPr>
        <w:t xml:space="preserve">- </w:t>
      </w:r>
      <w:r w:rsidRPr="00524AE6">
        <w:rPr>
          <w:rFonts w:ascii="Arial" w:hAnsi="Arial" w:cs="Arial"/>
          <w:sz w:val="20"/>
          <w:szCs w:val="20"/>
        </w:rPr>
        <w:t xml:space="preserve">AS zistila nehospodárne vynaloženie výdavkov – navýšené fakturované ceny oproti znaleckému posudku, t.j. neoprávnené výdavky, </w:t>
      </w:r>
    </w:p>
    <w:p w14:paraId="4D33BA83" w14:textId="2692C84C" w:rsidR="00610DA6" w:rsidRPr="00524AE6" w:rsidRDefault="00610DA6" w:rsidP="00524AE6">
      <w:pPr>
        <w:pStyle w:val="Default"/>
        <w:spacing w:after="30"/>
        <w:ind w:left="284"/>
        <w:rPr>
          <w:rFonts w:ascii="Arial" w:hAnsi="Arial" w:cs="Arial"/>
          <w:sz w:val="20"/>
          <w:szCs w:val="20"/>
        </w:rPr>
      </w:pPr>
      <w:r w:rsidRPr="00524AE6">
        <w:rPr>
          <w:rFonts w:ascii="Arial" w:hAnsi="Arial" w:cs="Arial"/>
          <w:b/>
          <w:bCs/>
          <w:sz w:val="20"/>
          <w:szCs w:val="20"/>
        </w:rPr>
        <w:t xml:space="preserve">A758 </w:t>
      </w:r>
      <w:r w:rsidRPr="00524AE6">
        <w:rPr>
          <w:rFonts w:ascii="Arial" w:hAnsi="Arial" w:cs="Arial"/>
          <w:sz w:val="20"/>
          <w:szCs w:val="20"/>
        </w:rPr>
        <w:t xml:space="preserve">- bolo identifikované porušenie finančnej disciplíny zákona č. 523/2004 Z. z. o rozpočtových pravidlách verejnej správy a zákona o VO: </w:t>
      </w:r>
    </w:p>
    <w:p w14:paraId="548706AF" w14:textId="77777777" w:rsidR="00610DA6" w:rsidRPr="00524AE6" w:rsidRDefault="00610DA6" w:rsidP="00524AE6">
      <w:pPr>
        <w:pStyle w:val="Default"/>
        <w:spacing w:after="30"/>
        <w:ind w:left="284"/>
        <w:rPr>
          <w:rFonts w:ascii="Arial" w:hAnsi="Arial" w:cs="Arial"/>
          <w:sz w:val="20"/>
          <w:szCs w:val="20"/>
        </w:rPr>
      </w:pPr>
      <w:r w:rsidRPr="00524AE6">
        <w:rPr>
          <w:sz w:val="20"/>
          <w:szCs w:val="20"/>
        </w:rPr>
        <w:t xml:space="preserve">- </w:t>
      </w:r>
      <w:r w:rsidRPr="00524AE6">
        <w:rPr>
          <w:rFonts w:ascii="Arial" w:hAnsi="Arial" w:cs="Arial"/>
          <w:sz w:val="20"/>
          <w:szCs w:val="20"/>
        </w:rPr>
        <w:t xml:space="preserve">čerpanie verejných prostriedkov za nedodané stavebné práce a dodávky, </w:t>
      </w:r>
    </w:p>
    <w:p w14:paraId="5B185245" w14:textId="77777777" w:rsidR="00610DA6" w:rsidRPr="00524AE6" w:rsidRDefault="00610DA6" w:rsidP="00524AE6">
      <w:pPr>
        <w:pStyle w:val="Default"/>
        <w:spacing w:after="30"/>
        <w:ind w:left="284"/>
        <w:rPr>
          <w:rFonts w:ascii="Arial" w:hAnsi="Arial" w:cs="Arial"/>
          <w:sz w:val="20"/>
          <w:szCs w:val="20"/>
        </w:rPr>
      </w:pPr>
      <w:r w:rsidRPr="00524AE6">
        <w:rPr>
          <w:sz w:val="20"/>
          <w:szCs w:val="20"/>
        </w:rPr>
        <w:t xml:space="preserve">- </w:t>
      </w:r>
      <w:r w:rsidRPr="00524AE6">
        <w:rPr>
          <w:rFonts w:ascii="Arial" w:hAnsi="Arial" w:cs="Arial"/>
          <w:sz w:val="20"/>
          <w:szCs w:val="20"/>
        </w:rPr>
        <w:t xml:space="preserve">nehospodárne vynaloženie výdavkov – fakturované ceny boli navýšené oproti cenám v znaleckom posudku, </w:t>
      </w:r>
    </w:p>
    <w:p w14:paraId="4F191415" w14:textId="77777777" w:rsidR="00610DA6" w:rsidRPr="00524AE6" w:rsidRDefault="00610DA6" w:rsidP="00524AE6">
      <w:pPr>
        <w:pStyle w:val="Default"/>
        <w:ind w:left="284"/>
        <w:rPr>
          <w:rFonts w:ascii="Arial" w:hAnsi="Arial" w:cs="Arial"/>
          <w:sz w:val="20"/>
          <w:szCs w:val="20"/>
        </w:rPr>
      </w:pPr>
      <w:r w:rsidRPr="00524AE6">
        <w:rPr>
          <w:sz w:val="20"/>
          <w:szCs w:val="20"/>
        </w:rPr>
        <w:t xml:space="preserve">- </w:t>
      </w:r>
      <w:r w:rsidRPr="00524AE6">
        <w:rPr>
          <w:rFonts w:ascii="Arial" w:hAnsi="Arial" w:cs="Arial"/>
          <w:sz w:val="20"/>
          <w:szCs w:val="20"/>
        </w:rPr>
        <w:t xml:space="preserve">stanovenie diskriminačných kritérií výberu, čím došlo k porušeniu zákona o VO (princípu nediskriminácie záujemcov/uchádzačov). </w:t>
      </w:r>
    </w:p>
    <w:p w14:paraId="10243C81" w14:textId="77777777" w:rsidR="00610DA6" w:rsidRPr="00524AE6" w:rsidRDefault="00610DA6" w:rsidP="00610DA6">
      <w:pPr>
        <w:pStyle w:val="Default"/>
        <w:rPr>
          <w:rFonts w:ascii="Arial" w:hAnsi="Arial" w:cs="Arial"/>
          <w:sz w:val="20"/>
          <w:szCs w:val="20"/>
        </w:rPr>
      </w:pPr>
    </w:p>
    <w:p w14:paraId="5931D04B" w14:textId="77777777" w:rsidR="00610DA6" w:rsidRPr="00524AE6" w:rsidRDefault="00610DA6" w:rsidP="00610DA6">
      <w:pPr>
        <w:pStyle w:val="Default"/>
        <w:rPr>
          <w:rFonts w:ascii="Arial" w:hAnsi="Arial" w:cs="Arial"/>
          <w:sz w:val="20"/>
          <w:szCs w:val="20"/>
        </w:rPr>
      </w:pPr>
      <w:r w:rsidRPr="00524AE6">
        <w:rPr>
          <w:rFonts w:ascii="Arial" w:hAnsi="Arial" w:cs="Arial"/>
          <w:sz w:val="20"/>
          <w:szCs w:val="20"/>
        </w:rPr>
        <w:t xml:space="preserve">Vládne audity, ktorých výsledky nie sú ku dňu spracovania (31. 10. 2016) v týchto podkladoch zohľadnené: </w:t>
      </w:r>
    </w:p>
    <w:p w14:paraId="3D9580DB" w14:textId="77777777" w:rsidR="00524AE6" w:rsidRPr="00524AE6" w:rsidRDefault="00524AE6" w:rsidP="00610DA6">
      <w:pPr>
        <w:pStyle w:val="Default"/>
        <w:rPr>
          <w:rFonts w:ascii="Arial" w:hAnsi="Arial" w:cs="Arial"/>
          <w:sz w:val="20"/>
          <w:szCs w:val="20"/>
        </w:rPr>
      </w:pPr>
    </w:p>
    <w:p w14:paraId="6710A642" w14:textId="31673ABF" w:rsidR="00610DA6" w:rsidRPr="00524AE6" w:rsidRDefault="00610DA6" w:rsidP="00524AE6">
      <w:pPr>
        <w:pStyle w:val="Default"/>
        <w:numPr>
          <w:ilvl w:val="0"/>
          <w:numId w:val="143"/>
        </w:numPr>
        <w:spacing w:after="151"/>
        <w:rPr>
          <w:rFonts w:ascii="Arial" w:hAnsi="Arial" w:cs="Arial"/>
          <w:sz w:val="20"/>
          <w:szCs w:val="20"/>
        </w:rPr>
      </w:pPr>
      <w:r w:rsidRPr="00524AE6">
        <w:rPr>
          <w:rFonts w:ascii="Arial" w:hAnsi="Arial" w:cs="Arial"/>
          <w:sz w:val="20"/>
          <w:szCs w:val="20"/>
        </w:rPr>
        <w:t xml:space="preserve">audit ukončenia (vládny audit č. </w:t>
      </w:r>
      <w:r w:rsidRPr="00524AE6">
        <w:rPr>
          <w:rFonts w:ascii="Arial" w:hAnsi="Arial" w:cs="Arial"/>
          <w:b/>
          <w:bCs/>
          <w:sz w:val="20"/>
          <w:szCs w:val="20"/>
        </w:rPr>
        <w:t xml:space="preserve">A712 </w:t>
      </w:r>
      <w:r w:rsidRPr="00524AE6">
        <w:rPr>
          <w:rFonts w:ascii="Arial" w:hAnsi="Arial" w:cs="Arial"/>
          <w:sz w:val="20"/>
          <w:szCs w:val="20"/>
        </w:rPr>
        <w:t xml:space="preserve">- začatý v II. polroku 2015), ktorého hlavným účelom a cieľom je získanie uistenia o dostatočnej pripravenosti a zhodnotení činnosti orgánov zapojených do implementácie fondov EÚ a nastavení systému ukončovania pomoci vrátane overenia relevantných dokumentov pre účely vydania vyhlásenia o ukončení podľa čl. 62 nariadenia Rady (ES) č. 1083/2006, </w:t>
      </w:r>
    </w:p>
    <w:p w14:paraId="67A66E59" w14:textId="0A13B427" w:rsidR="00610DA6" w:rsidRPr="00524AE6" w:rsidRDefault="00610DA6" w:rsidP="00524AE6">
      <w:pPr>
        <w:pStyle w:val="Default"/>
        <w:numPr>
          <w:ilvl w:val="0"/>
          <w:numId w:val="143"/>
        </w:numPr>
        <w:rPr>
          <w:rFonts w:ascii="Arial" w:hAnsi="Arial" w:cs="Arial"/>
          <w:sz w:val="20"/>
          <w:szCs w:val="20"/>
        </w:rPr>
      </w:pPr>
      <w:r w:rsidRPr="00524AE6">
        <w:rPr>
          <w:rFonts w:ascii="Arial" w:hAnsi="Arial" w:cs="Arial"/>
          <w:sz w:val="20"/>
          <w:szCs w:val="20"/>
        </w:rPr>
        <w:t xml:space="preserve">audity operácií za výdavky deklarované na EK v roku 2016 (vládne audity č. </w:t>
      </w:r>
      <w:r w:rsidRPr="00524AE6">
        <w:rPr>
          <w:rFonts w:ascii="Arial" w:hAnsi="Arial" w:cs="Arial"/>
          <w:b/>
          <w:bCs/>
          <w:sz w:val="20"/>
          <w:szCs w:val="20"/>
        </w:rPr>
        <w:t>A831</w:t>
      </w:r>
      <w:r w:rsidRPr="00524AE6">
        <w:rPr>
          <w:rFonts w:ascii="Arial" w:hAnsi="Arial" w:cs="Arial"/>
          <w:sz w:val="20"/>
          <w:szCs w:val="20"/>
        </w:rPr>
        <w:t xml:space="preserve">, </w:t>
      </w:r>
      <w:r w:rsidRPr="00524AE6">
        <w:rPr>
          <w:rFonts w:ascii="Arial" w:hAnsi="Arial" w:cs="Arial"/>
          <w:b/>
          <w:bCs/>
          <w:sz w:val="20"/>
          <w:szCs w:val="20"/>
        </w:rPr>
        <w:t xml:space="preserve">A837 </w:t>
      </w:r>
      <w:r w:rsidRPr="00524AE6">
        <w:rPr>
          <w:rFonts w:ascii="Arial" w:hAnsi="Arial" w:cs="Arial"/>
          <w:sz w:val="20"/>
          <w:szCs w:val="20"/>
        </w:rPr>
        <w:t xml:space="preserve">a </w:t>
      </w:r>
      <w:r w:rsidRPr="00524AE6">
        <w:rPr>
          <w:rFonts w:ascii="Arial" w:hAnsi="Arial" w:cs="Arial"/>
          <w:b/>
          <w:bCs/>
          <w:sz w:val="20"/>
          <w:szCs w:val="20"/>
        </w:rPr>
        <w:t xml:space="preserve">A842 </w:t>
      </w:r>
      <w:r w:rsidR="00917609" w:rsidRPr="00524AE6">
        <w:rPr>
          <w:rFonts w:ascii="Arial" w:hAnsi="Arial" w:cs="Arial"/>
          <w:sz w:val="20"/>
          <w:szCs w:val="20"/>
        </w:rPr>
        <w:t xml:space="preserve">– začaté v II. polroku 2016). </w:t>
      </w:r>
    </w:p>
    <w:p w14:paraId="22F59A5B" w14:textId="76E43CCC" w:rsidR="00610DA6" w:rsidRPr="00524AE6" w:rsidRDefault="00610DA6" w:rsidP="00610DA6">
      <w:pPr>
        <w:spacing w:before="120" w:after="120"/>
        <w:jc w:val="both"/>
        <w:rPr>
          <w:rFonts w:ascii="Arial" w:hAnsi="Arial" w:cs="Arial"/>
          <w:color w:val="000000"/>
          <w:sz w:val="20"/>
          <w:szCs w:val="20"/>
          <w:highlight w:val="yellow"/>
        </w:rPr>
      </w:pPr>
      <w:r w:rsidRPr="00524AE6">
        <w:rPr>
          <w:rFonts w:ascii="Arial" w:hAnsi="Arial" w:cs="Arial"/>
          <w:sz w:val="20"/>
          <w:szCs w:val="20"/>
        </w:rPr>
        <w:t>Výsledky uvedených vládnych auditov budú zo strany orgánu auditu zohľadnené vo vyhlásení o ukončení a v záverečnej kontrolnej správe, ktorá bude zaslaná Európskej komisii do 31. 03. 2017.</w:t>
      </w:r>
    </w:p>
    <w:p w14:paraId="6A6FCCBF" w14:textId="1CA951F5" w:rsidR="00526EB4" w:rsidRPr="00912C87" w:rsidRDefault="00917609" w:rsidP="00912C87">
      <w:pPr>
        <w:spacing w:after="120"/>
        <w:jc w:val="both"/>
        <w:rPr>
          <w:rFonts w:cs="Arial"/>
          <w:sz w:val="20"/>
          <w:szCs w:val="20"/>
        </w:rPr>
      </w:pPr>
      <w:r>
        <w:rPr>
          <w:rFonts w:ascii="Arial" w:hAnsi="Arial" w:cs="Arial"/>
          <w:sz w:val="20"/>
          <w:szCs w:val="20"/>
        </w:rPr>
        <w:t>V rokoch</w:t>
      </w:r>
      <w:r w:rsidR="00526EB4">
        <w:rPr>
          <w:rFonts w:ascii="Arial" w:hAnsi="Arial" w:cs="Arial"/>
          <w:sz w:val="20"/>
          <w:szCs w:val="20"/>
        </w:rPr>
        <w:t xml:space="preserve"> 2015 a 2016 nebol </w:t>
      </w:r>
      <w:r>
        <w:rPr>
          <w:rFonts w:ascii="Arial" w:hAnsi="Arial" w:cs="Arial"/>
          <w:sz w:val="20"/>
          <w:szCs w:val="20"/>
        </w:rPr>
        <w:t>uskutočnený</w:t>
      </w:r>
      <w:r w:rsidR="00526EB4">
        <w:rPr>
          <w:rFonts w:ascii="Arial" w:hAnsi="Arial" w:cs="Arial"/>
          <w:sz w:val="20"/>
          <w:szCs w:val="20"/>
        </w:rPr>
        <w:t xml:space="preserve"> audit EK.</w:t>
      </w:r>
    </w:p>
    <w:p w14:paraId="3FF3A95C" w14:textId="77777777" w:rsidR="002416B1" w:rsidRPr="0020746A" w:rsidRDefault="002416B1" w:rsidP="00123376">
      <w:pPr>
        <w:pStyle w:val="Nadpis3"/>
        <w:spacing w:after="120"/>
        <w:rPr>
          <w:rFonts w:cs="Arial"/>
        </w:rPr>
      </w:pPr>
      <w:bookmarkStart w:id="25" w:name="_Toc466914512"/>
      <w:r w:rsidRPr="000B5164">
        <w:rPr>
          <w:rFonts w:cs="Arial"/>
        </w:rPr>
        <w:t>2.1.5 Využívanie fondov podľa kategórií</w:t>
      </w:r>
      <w:bookmarkEnd w:id="25"/>
    </w:p>
    <w:p w14:paraId="01B50E1C" w14:textId="0E3564BA"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 xml:space="preserve">Informácie o pridelenom príspevku Spoločenstva </w:t>
      </w:r>
      <w:r w:rsidRPr="00774CFB">
        <w:rPr>
          <w:rFonts w:ascii="Arial" w:hAnsi="Arial" w:cs="Arial"/>
          <w:sz w:val="20"/>
          <w:szCs w:val="20"/>
        </w:rPr>
        <w:t>k 31.</w:t>
      </w:r>
      <w:r w:rsidR="00A0132C">
        <w:rPr>
          <w:rFonts w:ascii="Arial" w:hAnsi="Arial" w:cs="Arial"/>
          <w:sz w:val="20"/>
          <w:szCs w:val="20"/>
        </w:rPr>
        <w:t xml:space="preserve"> </w:t>
      </w:r>
      <w:r w:rsidRPr="00774CFB">
        <w:rPr>
          <w:rFonts w:ascii="Arial" w:hAnsi="Arial" w:cs="Arial"/>
          <w:sz w:val="20"/>
          <w:szCs w:val="20"/>
        </w:rPr>
        <w:t>1</w:t>
      </w:r>
      <w:r w:rsidR="00774CFB" w:rsidRPr="00774CFB">
        <w:rPr>
          <w:rFonts w:ascii="Arial" w:hAnsi="Arial" w:cs="Arial"/>
          <w:sz w:val="20"/>
          <w:szCs w:val="20"/>
        </w:rPr>
        <w:t>0</w:t>
      </w:r>
      <w:r w:rsidRPr="00774CFB">
        <w:rPr>
          <w:rFonts w:ascii="Arial" w:hAnsi="Arial" w:cs="Arial"/>
          <w:sz w:val="20"/>
          <w:szCs w:val="20"/>
        </w:rPr>
        <w:t>.</w:t>
      </w:r>
      <w:r w:rsidR="00A0132C">
        <w:rPr>
          <w:rFonts w:ascii="Arial" w:hAnsi="Arial" w:cs="Arial"/>
          <w:sz w:val="20"/>
          <w:szCs w:val="20"/>
        </w:rPr>
        <w:t xml:space="preserve"> </w:t>
      </w:r>
      <w:r w:rsidR="00D82518" w:rsidRPr="00774CFB">
        <w:rPr>
          <w:rFonts w:ascii="Arial" w:hAnsi="Arial" w:cs="Arial"/>
          <w:sz w:val="20"/>
          <w:szCs w:val="20"/>
        </w:rPr>
        <w:t>201</w:t>
      </w:r>
      <w:r w:rsidR="00774CFB" w:rsidRPr="00774CFB">
        <w:rPr>
          <w:rFonts w:ascii="Arial" w:hAnsi="Arial" w:cs="Arial"/>
          <w:sz w:val="20"/>
          <w:szCs w:val="20"/>
        </w:rPr>
        <w:t>6</w:t>
      </w:r>
      <w:r w:rsidR="00D82518" w:rsidRPr="00E21C60">
        <w:rPr>
          <w:rFonts w:ascii="Arial" w:hAnsi="Arial" w:cs="Arial"/>
          <w:sz w:val="20"/>
          <w:szCs w:val="20"/>
        </w:rPr>
        <w:t xml:space="preserve"> </w:t>
      </w:r>
      <w:r w:rsidRPr="00E21C60">
        <w:rPr>
          <w:rFonts w:ascii="Arial" w:hAnsi="Arial" w:cs="Arial"/>
          <w:sz w:val="20"/>
          <w:szCs w:val="20"/>
        </w:rPr>
        <w:t>v súlade s časťou C prílohy II Nariadenia ES 1828/2006 z 8. decembra 2006 sú uvedené v Prílohe č. 7</w:t>
      </w:r>
      <w:r w:rsidR="00774CFB">
        <w:rPr>
          <w:rFonts w:ascii="Arial" w:hAnsi="Arial" w:cs="Arial"/>
          <w:sz w:val="20"/>
          <w:szCs w:val="20"/>
        </w:rPr>
        <w:t>a a v prílohe č. 7b</w:t>
      </w:r>
      <w:r w:rsidRPr="00E21C60">
        <w:rPr>
          <w:rFonts w:ascii="Arial" w:hAnsi="Arial" w:cs="Arial"/>
          <w:sz w:val="20"/>
          <w:szCs w:val="20"/>
        </w:rPr>
        <w:t xml:space="preserve"> správy.</w:t>
      </w:r>
      <w:r w:rsidR="00F3279E" w:rsidRPr="00E21C60">
        <w:rPr>
          <w:rFonts w:ascii="Arial" w:hAnsi="Arial" w:cs="Arial"/>
          <w:sz w:val="20"/>
          <w:szCs w:val="20"/>
        </w:rPr>
        <w:t xml:space="preserve"> Uveden</w:t>
      </w:r>
      <w:r w:rsidR="001C341A" w:rsidRPr="00E21C60">
        <w:rPr>
          <w:rFonts w:ascii="Arial" w:hAnsi="Arial" w:cs="Arial"/>
          <w:sz w:val="20"/>
          <w:szCs w:val="20"/>
        </w:rPr>
        <w:t>é</w:t>
      </w:r>
      <w:r w:rsidR="00F3279E" w:rsidRPr="00E21C60">
        <w:rPr>
          <w:rFonts w:ascii="Arial" w:hAnsi="Arial" w:cs="Arial"/>
          <w:sz w:val="20"/>
          <w:szCs w:val="20"/>
        </w:rPr>
        <w:t xml:space="preserve"> príloh</w:t>
      </w:r>
      <w:r w:rsidR="001C341A" w:rsidRPr="00E21C60">
        <w:rPr>
          <w:rFonts w:ascii="Arial" w:hAnsi="Arial" w:cs="Arial"/>
          <w:sz w:val="20"/>
          <w:szCs w:val="20"/>
        </w:rPr>
        <w:t>y obsahujú</w:t>
      </w:r>
      <w:r w:rsidR="00F3279E" w:rsidRPr="00E21C60">
        <w:rPr>
          <w:rFonts w:ascii="Arial" w:hAnsi="Arial" w:cs="Arial"/>
          <w:sz w:val="20"/>
          <w:szCs w:val="20"/>
        </w:rPr>
        <w:t xml:space="preserve"> súhrnné tabuľky o financovaní vybraných operácií pre všetkých päť dimenzií.</w:t>
      </w:r>
    </w:p>
    <w:p w14:paraId="19EAF9ED" w14:textId="04BD205D" w:rsidR="00A8640B" w:rsidRPr="00E21C60" w:rsidRDefault="00EB2720" w:rsidP="00123376">
      <w:pPr>
        <w:spacing w:before="120" w:after="120"/>
        <w:jc w:val="both"/>
        <w:rPr>
          <w:rFonts w:ascii="Arial" w:hAnsi="Arial" w:cs="Arial"/>
          <w:bCs/>
          <w:sz w:val="20"/>
          <w:szCs w:val="20"/>
        </w:rPr>
      </w:pPr>
      <w:r w:rsidRPr="00E21C60">
        <w:rPr>
          <w:rFonts w:ascii="Arial" w:hAnsi="Arial" w:cs="Arial"/>
          <w:bCs/>
          <w:sz w:val="20"/>
          <w:szCs w:val="20"/>
        </w:rPr>
        <w:lastRenderedPageBreak/>
        <w:t>Do Prílohy č. 7</w:t>
      </w:r>
      <w:r w:rsidR="00774CFB">
        <w:rPr>
          <w:rFonts w:ascii="Arial" w:hAnsi="Arial" w:cs="Arial"/>
          <w:bCs/>
          <w:sz w:val="20"/>
          <w:szCs w:val="20"/>
        </w:rPr>
        <w:t>b</w:t>
      </w:r>
      <w:r w:rsidRPr="00E21C60">
        <w:rPr>
          <w:rFonts w:ascii="Arial" w:hAnsi="Arial" w:cs="Arial"/>
          <w:bCs/>
          <w:sz w:val="20"/>
          <w:szCs w:val="20"/>
        </w:rPr>
        <w:t xml:space="preserve"> Súhrnné členenie prideleného </w:t>
      </w:r>
      <w:r w:rsidRPr="00F7290C">
        <w:rPr>
          <w:rFonts w:ascii="Arial" w:hAnsi="Arial" w:cs="Arial"/>
          <w:bCs/>
          <w:sz w:val="20"/>
          <w:szCs w:val="20"/>
        </w:rPr>
        <w:t xml:space="preserve">príspevku </w:t>
      </w:r>
      <w:r w:rsidR="00493171" w:rsidRPr="00D54BD2">
        <w:rPr>
          <w:rFonts w:ascii="Arial" w:hAnsi="Arial" w:cs="Arial"/>
          <w:bCs/>
          <w:sz w:val="20"/>
          <w:szCs w:val="20"/>
        </w:rPr>
        <w:t xml:space="preserve">EÚ </w:t>
      </w:r>
      <w:r w:rsidRPr="00D54BD2">
        <w:rPr>
          <w:rFonts w:ascii="Arial" w:hAnsi="Arial" w:cs="Arial"/>
          <w:bCs/>
          <w:sz w:val="20"/>
          <w:szCs w:val="20"/>
        </w:rPr>
        <w:t xml:space="preserve">podľa kategórie </w:t>
      </w:r>
      <w:r w:rsidR="005C3FC5" w:rsidRPr="00F7290C">
        <w:rPr>
          <w:rFonts w:ascii="Arial" w:hAnsi="Arial" w:cs="Arial"/>
          <w:bCs/>
          <w:sz w:val="20"/>
          <w:szCs w:val="20"/>
        </w:rPr>
        <w:t>sú</w:t>
      </w:r>
      <w:r w:rsidRPr="00F7290C">
        <w:rPr>
          <w:rFonts w:ascii="Arial" w:hAnsi="Arial" w:cs="Arial"/>
          <w:bCs/>
          <w:sz w:val="20"/>
          <w:szCs w:val="20"/>
        </w:rPr>
        <w:t xml:space="preserve"> zahrnuté údaje týkajúce sa veľkých projektov predložených </w:t>
      </w:r>
      <w:r w:rsidR="00774CFB" w:rsidRPr="00774CFB">
        <w:rPr>
          <w:rFonts w:ascii="Arial" w:hAnsi="Arial" w:cs="Arial"/>
          <w:bCs/>
          <w:sz w:val="20"/>
          <w:szCs w:val="20"/>
        </w:rPr>
        <w:t>EK k 31.10</w:t>
      </w:r>
      <w:r w:rsidRPr="00774CFB">
        <w:rPr>
          <w:rFonts w:ascii="Arial" w:hAnsi="Arial" w:cs="Arial"/>
          <w:bCs/>
          <w:sz w:val="20"/>
          <w:szCs w:val="20"/>
        </w:rPr>
        <w:t>.201</w:t>
      </w:r>
      <w:r w:rsidR="00774CFB" w:rsidRPr="00774CFB">
        <w:rPr>
          <w:rFonts w:ascii="Arial" w:hAnsi="Arial" w:cs="Arial"/>
          <w:bCs/>
          <w:sz w:val="20"/>
          <w:szCs w:val="20"/>
        </w:rPr>
        <w:t>6</w:t>
      </w:r>
      <w:r w:rsidRPr="00774CFB">
        <w:rPr>
          <w:rFonts w:ascii="Arial" w:hAnsi="Arial" w:cs="Arial"/>
          <w:bCs/>
          <w:sz w:val="20"/>
          <w:szCs w:val="20"/>
        </w:rPr>
        <w:t>.</w:t>
      </w:r>
    </w:p>
    <w:p w14:paraId="6C9944F0" w14:textId="77777777" w:rsidR="002416B1" w:rsidRPr="0020746A" w:rsidRDefault="002416B1" w:rsidP="00123376">
      <w:pPr>
        <w:pStyle w:val="Nadpis3"/>
        <w:spacing w:after="120"/>
        <w:rPr>
          <w:rFonts w:cs="Arial"/>
        </w:rPr>
      </w:pPr>
      <w:bookmarkStart w:id="26" w:name="_Toc239828534"/>
      <w:bookmarkStart w:id="27" w:name="_Toc466914513"/>
      <w:bookmarkStart w:id="28" w:name="OLE_LINK10"/>
      <w:bookmarkStart w:id="29" w:name="OLE_LINK17"/>
      <w:bookmarkEnd w:id="26"/>
      <w:r w:rsidRPr="000B5164">
        <w:rPr>
          <w:rFonts w:cs="Arial"/>
        </w:rPr>
        <w:t>2.1.6 Príspevok k Lisabonskému procesu / k stratégii Európa 2020</w:t>
      </w:r>
      <w:bookmarkEnd w:id="27"/>
    </w:p>
    <w:bookmarkEnd w:id="28"/>
    <w:bookmarkEnd w:id="29"/>
    <w:p w14:paraId="396D371D" w14:textId="77777777" w:rsidR="003C14CC" w:rsidRPr="00123376" w:rsidRDefault="003C14CC" w:rsidP="003C14CC">
      <w:pPr>
        <w:spacing w:before="120" w:after="120"/>
        <w:jc w:val="both"/>
        <w:rPr>
          <w:rFonts w:ascii="Arial" w:hAnsi="Arial" w:cs="Arial"/>
          <w:color w:val="000000"/>
          <w:sz w:val="20"/>
          <w:szCs w:val="20"/>
        </w:rPr>
      </w:pPr>
      <w:r>
        <w:rPr>
          <w:rFonts w:ascii="Arial" w:hAnsi="Arial" w:cs="Arial"/>
          <w:color w:val="000000"/>
          <w:sz w:val="20"/>
          <w:szCs w:val="20"/>
        </w:rPr>
        <w:t xml:space="preserve">Do roku 2010 boli ciele smerovania EÚ definované v Lisabonskej stratégii. </w:t>
      </w:r>
      <w:r w:rsidRPr="00123376">
        <w:rPr>
          <w:rFonts w:ascii="Arial" w:hAnsi="Arial" w:cs="Arial"/>
          <w:color w:val="000000"/>
          <w:sz w:val="20"/>
          <w:szCs w:val="20"/>
        </w:rPr>
        <w:t xml:space="preserve">Oblasť životného prostredia </w:t>
      </w:r>
      <w:r>
        <w:rPr>
          <w:rFonts w:ascii="Arial" w:hAnsi="Arial" w:cs="Arial"/>
          <w:color w:val="000000"/>
          <w:sz w:val="20"/>
          <w:szCs w:val="20"/>
        </w:rPr>
        <w:t>bola</w:t>
      </w:r>
      <w:r w:rsidRPr="00123376">
        <w:rPr>
          <w:rFonts w:ascii="Arial" w:hAnsi="Arial" w:cs="Arial"/>
          <w:color w:val="000000"/>
          <w:sz w:val="20"/>
          <w:szCs w:val="20"/>
        </w:rPr>
        <w:t xml:space="preserve"> jednou zo základných sektorových oblastí Lisabonskej stratégie. Kľúčovými prioritami </w:t>
      </w:r>
      <w:r>
        <w:rPr>
          <w:rFonts w:ascii="Arial" w:hAnsi="Arial" w:cs="Arial"/>
          <w:color w:val="000000"/>
          <w:sz w:val="20"/>
          <w:szCs w:val="20"/>
        </w:rPr>
        <w:t>SR</w:t>
      </w:r>
      <w:r w:rsidRPr="00123376">
        <w:rPr>
          <w:rFonts w:ascii="Arial" w:hAnsi="Arial" w:cs="Arial"/>
          <w:color w:val="000000"/>
          <w:sz w:val="20"/>
          <w:szCs w:val="20"/>
        </w:rPr>
        <w:t xml:space="preserve"> v oblasti životného prostredia v kontexte plnenia základných strategických cieľov Lisabonskej agendy </w:t>
      </w:r>
      <w:r>
        <w:rPr>
          <w:rFonts w:ascii="Arial" w:hAnsi="Arial" w:cs="Arial"/>
          <w:color w:val="000000"/>
          <w:sz w:val="20"/>
          <w:szCs w:val="20"/>
        </w:rPr>
        <w:t>boli</w:t>
      </w:r>
      <w:r w:rsidRPr="00123376">
        <w:rPr>
          <w:rFonts w:ascii="Arial" w:hAnsi="Arial" w:cs="Arial"/>
          <w:color w:val="000000"/>
          <w:sz w:val="20"/>
          <w:szCs w:val="20"/>
        </w:rPr>
        <w:t xml:space="preserve"> nasledovné priority: </w:t>
      </w:r>
    </w:p>
    <w:p w14:paraId="2DE814F3" w14:textId="77777777" w:rsidR="003C14CC" w:rsidRPr="00123376" w:rsidRDefault="003C14CC" w:rsidP="00761FCE">
      <w:pPr>
        <w:numPr>
          <w:ilvl w:val="0"/>
          <w:numId w:val="4"/>
        </w:numPr>
        <w:tabs>
          <w:tab w:val="clear" w:pos="720"/>
        </w:tabs>
        <w:ind w:left="284" w:hanging="284"/>
        <w:jc w:val="both"/>
        <w:rPr>
          <w:rFonts w:ascii="Arial" w:hAnsi="Arial" w:cs="Arial"/>
          <w:color w:val="000000"/>
          <w:sz w:val="20"/>
          <w:szCs w:val="20"/>
        </w:rPr>
      </w:pPr>
      <w:r w:rsidRPr="00123376">
        <w:rPr>
          <w:rFonts w:ascii="Arial" w:hAnsi="Arial" w:cs="Arial"/>
          <w:color w:val="000000"/>
          <w:sz w:val="20"/>
          <w:szCs w:val="20"/>
        </w:rPr>
        <w:t>dosiahnuť kontrolu nad vývojom emisií skleníkových plynov tak, aby trend rastu bol postupne zmierňovaný až po stabilizáciu v období po roku 2015;</w:t>
      </w:r>
    </w:p>
    <w:p w14:paraId="3B7877B5" w14:textId="77777777" w:rsidR="003C14CC" w:rsidRPr="00123376" w:rsidRDefault="003C14CC" w:rsidP="00761FCE">
      <w:pPr>
        <w:numPr>
          <w:ilvl w:val="0"/>
          <w:numId w:val="4"/>
        </w:numPr>
        <w:tabs>
          <w:tab w:val="clear" w:pos="720"/>
        </w:tabs>
        <w:ind w:left="284" w:hanging="284"/>
        <w:jc w:val="both"/>
        <w:rPr>
          <w:rFonts w:ascii="Arial" w:hAnsi="Arial" w:cs="Arial"/>
          <w:color w:val="000000"/>
          <w:sz w:val="20"/>
          <w:szCs w:val="20"/>
        </w:rPr>
      </w:pPr>
      <w:r w:rsidRPr="00123376">
        <w:rPr>
          <w:rFonts w:ascii="Arial" w:hAnsi="Arial" w:cs="Arial"/>
          <w:color w:val="000000"/>
          <w:sz w:val="20"/>
          <w:szCs w:val="20"/>
        </w:rPr>
        <w:t xml:space="preserve">podpora využívania zdrojov energií s priaznivým vplyvom na životné prostredie a využívania </w:t>
      </w:r>
      <w:r>
        <w:rPr>
          <w:rFonts w:ascii="Arial" w:hAnsi="Arial" w:cs="Arial"/>
          <w:iCs/>
          <w:sz w:val="20"/>
          <w:szCs w:val="20"/>
          <w:lang w:eastAsia="en-US"/>
        </w:rPr>
        <w:t>OZE</w:t>
      </w:r>
      <w:r w:rsidRPr="00123376">
        <w:rPr>
          <w:rFonts w:ascii="Arial" w:hAnsi="Arial" w:cs="Arial"/>
          <w:color w:val="000000"/>
          <w:sz w:val="20"/>
          <w:szCs w:val="20"/>
        </w:rPr>
        <w:t>;</w:t>
      </w:r>
    </w:p>
    <w:p w14:paraId="179534E5" w14:textId="77777777" w:rsidR="003C14CC" w:rsidRPr="00123376" w:rsidRDefault="003C14CC" w:rsidP="00761FCE">
      <w:pPr>
        <w:numPr>
          <w:ilvl w:val="0"/>
          <w:numId w:val="4"/>
        </w:numPr>
        <w:tabs>
          <w:tab w:val="clear" w:pos="720"/>
        </w:tabs>
        <w:ind w:left="284" w:hanging="284"/>
        <w:jc w:val="both"/>
        <w:rPr>
          <w:rFonts w:ascii="Arial" w:hAnsi="Arial" w:cs="Arial"/>
          <w:color w:val="000000"/>
          <w:sz w:val="20"/>
          <w:szCs w:val="20"/>
        </w:rPr>
      </w:pPr>
      <w:r w:rsidRPr="00123376">
        <w:rPr>
          <w:rFonts w:ascii="Arial" w:hAnsi="Arial" w:cs="Arial"/>
          <w:color w:val="000000"/>
          <w:sz w:val="20"/>
          <w:szCs w:val="20"/>
        </w:rPr>
        <w:t>limitovať hospodársky rozvoj v súlade s prírodnými podmienkami a potenciálom;</w:t>
      </w:r>
    </w:p>
    <w:p w14:paraId="521AFC5F" w14:textId="77777777" w:rsidR="003C14CC" w:rsidRPr="00A36A2E" w:rsidRDefault="003C14CC" w:rsidP="00761FCE">
      <w:pPr>
        <w:numPr>
          <w:ilvl w:val="0"/>
          <w:numId w:val="4"/>
        </w:numPr>
        <w:tabs>
          <w:tab w:val="clear" w:pos="720"/>
        </w:tabs>
        <w:ind w:left="284" w:hanging="284"/>
        <w:jc w:val="both"/>
        <w:rPr>
          <w:rFonts w:ascii="Arial" w:hAnsi="Arial" w:cs="Arial"/>
          <w:color w:val="000000"/>
          <w:sz w:val="20"/>
          <w:szCs w:val="20"/>
        </w:rPr>
      </w:pPr>
      <w:r w:rsidRPr="00123376">
        <w:rPr>
          <w:rFonts w:ascii="Arial" w:hAnsi="Arial" w:cs="Arial"/>
          <w:color w:val="000000"/>
          <w:sz w:val="20"/>
          <w:szCs w:val="20"/>
        </w:rPr>
        <w:t xml:space="preserve">racionálne využívať </w:t>
      </w:r>
      <w:r w:rsidRPr="00A36A2E">
        <w:rPr>
          <w:rFonts w:ascii="Arial" w:hAnsi="Arial" w:cs="Arial"/>
          <w:color w:val="000000"/>
          <w:sz w:val="20"/>
          <w:szCs w:val="20"/>
        </w:rPr>
        <w:t>prírodné zdroje.</w:t>
      </w:r>
    </w:p>
    <w:p w14:paraId="7050B7C7" w14:textId="1596587A" w:rsidR="003C14CC" w:rsidRPr="00A36A2E" w:rsidRDefault="003C14CC" w:rsidP="003C14CC">
      <w:pPr>
        <w:spacing w:before="120" w:after="120"/>
        <w:jc w:val="both"/>
        <w:rPr>
          <w:rFonts w:ascii="Arial" w:hAnsi="Arial" w:cs="Arial"/>
          <w:color w:val="000000"/>
          <w:sz w:val="20"/>
          <w:szCs w:val="20"/>
        </w:rPr>
      </w:pPr>
      <w:r w:rsidRPr="009F31E4">
        <w:rPr>
          <w:rFonts w:ascii="Arial" w:hAnsi="Arial" w:cs="Arial"/>
          <w:color w:val="000000"/>
          <w:sz w:val="20"/>
          <w:szCs w:val="20"/>
        </w:rPr>
        <w:t>V roku 2010 Európska rada schválila stratégiu Európa 2020</w:t>
      </w:r>
      <w:r w:rsidRPr="00C32A58">
        <w:rPr>
          <w:rFonts w:ascii="Arial" w:hAnsi="Arial" w:cs="Arial"/>
          <w:color w:val="000000"/>
          <w:sz w:val="20"/>
          <w:szCs w:val="20"/>
        </w:rPr>
        <w:t xml:space="preserve">, ktorá </w:t>
      </w:r>
      <w:r w:rsidRPr="00A10FC0">
        <w:rPr>
          <w:rFonts w:ascii="Arial" w:hAnsi="Arial" w:cs="Arial"/>
          <w:color w:val="000000"/>
          <w:sz w:val="20"/>
          <w:szCs w:val="20"/>
        </w:rPr>
        <w:t>stanov</w:t>
      </w:r>
      <w:r w:rsidR="00A0132C">
        <w:rPr>
          <w:rFonts w:ascii="Arial" w:hAnsi="Arial" w:cs="Arial"/>
          <w:color w:val="000000"/>
          <w:sz w:val="20"/>
          <w:szCs w:val="20"/>
        </w:rPr>
        <w:t>ila</w:t>
      </w:r>
      <w:r w:rsidRPr="00A10FC0">
        <w:rPr>
          <w:rFonts w:ascii="Arial" w:hAnsi="Arial" w:cs="Arial"/>
          <w:color w:val="000000"/>
          <w:sz w:val="20"/>
          <w:szCs w:val="20"/>
        </w:rPr>
        <w:t xml:space="preserve"> päť cieľov </w:t>
      </w:r>
      <w:r w:rsidRPr="00A36A2E">
        <w:rPr>
          <w:rFonts w:ascii="Arial" w:hAnsi="Arial" w:cs="Arial"/>
          <w:color w:val="000000"/>
          <w:sz w:val="20"/>
          <w:szCs w:val="20"/>
        </w:rPr>
        <w:t>týkajúcich sa zamestnanosti, výskumu a vývoja, zmeny klímy a energetickej udržateľnosti, vzdelávania a boja proti chudobe a sociálnemu vylúčeniu. OP ŽP prispieva</w:t>
      </w:r>
      <w:r w:rsidR="00A0132C">
        <w:rPr>
          <w:rFonts w:ascii="Arial" w:hAnsi="Arial" w:cs="Arial"/>
          <w:color w:val="000000"/>
          <w:sz w:val="20"/>
          <w:szCs w:val="20"/>
        </w:rPr>
        <w:t>l</w:t>
      </w:r>
      <w:r w:rsidRPr="00A36A2E">
        <w:rPr>
          <w:rFonts w:ascii="Arial" w:hAnsi="Arial" w:cs="Arial"/>
          <w:color w:val="000000"/>
          <w:sz w:val="20"/>
          <w:szCs w:val="20"/>
        </w:rPr>
        <w:t xml:space="preserve"> predovšetkým k napĺňaniu cieľov v oblasti ochrany životného prostredia a vo vzťahu k cieľom stratégie Európa 2020 najmä v oblasti zmeny klímy a energetickej udržateľnosti. Hlavné ciele v stratégie EÚ 2020, t.j. znížiť emisie skleníkových plynov o 20 % oproti roku 1990, získavať 20 % energie z obnoviteľných zdrojov a dosiahnuť 20 % nárast efektívnosti vo využívaní energie, boli transformované do vnútroštátnych cieľov.</w:t>
      </w:r>
      <w:r w:rsidRPr="006B3ADD">
        <w:rPr>
          <w:rFonts w:ascii="Arial" w:hAnsi="Arial" w:cs="Arial"/>
          <w:color w:val="000000"/>
          <w:sz w:val="20"/>
          <w:szCs w:val="20"/>
        </w:rPr>
        <w:t xml:space="preserve"> V</w:t>
      </w:r>
      <w:r w:rsidRPr="00A36A2E">
        <w:rPr>
          <w:rFonts w:ascii="Arial" w:hAnsi="Arial" w:cs="Arial"/>
          <w:color w:val="000000"/>
          <w:sz w:val="20"/>
          <w:szCs w:val="20"/>
        </w:rPr>
        <w:t xml:space="preserve"> zmysle NPR sa môžu emisie skleníkových plynov </w:t>
      </w:r>
      <w:r w:rsidRPr="009F31E4">
        <w:rPr>
          <w:rFonts w:ascii="Arial" w:hAnsi="Arial" w:cs="Arial"/>
          <w:color w:val="000000"/>
          <w:sz w:val="20"/>
          <w:szCs w:val="20"/>
        </w:rPr>
        <w:t>do roku 2020 zvýšiť maximálne o</w:t>
      </w:r>
      <w:r>
        <w:rPr>
          <w:rFonts w:ascii="Arial" w:hAnsi="Arial" w:cs="Arial"/>
          <w:color w:val="000000"/>
          <w:sz w:val="20"/>
          <w:szCs w:val="20"/>
        </w:rPr>
        <w:t> </w:t>
      </w:r>
      <w:r w:rsidRPr="009F31E4">
        <w:rPr>
          <w:rFonts w:ascii="Arial" w:hAnsi="Arial" w:cs="Arial"/>
          <w:color w:val="000000"/>
          <w:sz w:val="20"/>
          <w:szCs w:val="20"/>
        </w:rPr>
        <w:t>13</w:t>
      </w:r>
      <w:r>
        <w:rPr>
          <w:rFonts w:ascii="Arial" w:hAnsi="Arial" w:cs="Arial"/>
          <w:color w:val="000000"/>
          <w:sz w:val="20"/>
          <w:szCs w:val="20"/>
        </w:rPr>
        <w:t xml:space="preserve"> </w:t>
      </w:r>
      <w:r w:rsidRPr="009F31E4">
        <w:rPr>
          <w:rFonts w:ascii="Arial" w:hAnsi="Arial" w:cs="Arial"/>
          <w:color w:val="000000"/>
          <w:sz w:val="20"/>
          <w:szCs w:val="20"/>
        </w:rPr>
        <w:t xml:space="preserve">% v porovnaní s rokom 2005, </w:t>
      </w:r>
      <w:r w:rsidRPr="00C32A58">
        <w:rPr>
          <w:rFonts w:ascii="Arial" w:hAnsi="Arial" w:cs="Arial"/>
          <w:color w:val="000000"/>
          <w:sz w:val="20"/>
          <w:szCs w:val="20"/>
        </w:rPr>
        <w:t xml:space="preserve">podiel OZE na konečnej spotrebe energie </w:t>
      </w:r>
      <w:r w:rsidRPr="00A10FC0">
        <w:rPr>
          <w:rFonts w:ascii="Arial" w:hAnsi="Arial" w:cs="Arial"/>
          <w:color w:val="000000"/>
          <w:sz w:val="20"/>
          <w:szCs w:val="20"/>
        </w:rPr>
        <w:t>sa má zvýšiť na 14 % a úspory energie by mali dosiahnuť</w:t>
      </w:r>
      <w:r w:rsidRPr="001A5797">
        <w:rPr>
          <w:rFonts w:ascii="Arial" w:hAnsi="Arial" w:cs="Arial"/>
          <w:color w:val="000000"/>
          <w:sz w:val="20"/>
          <w:szCs w:val="20"/>
        </w:rPr>
        <w:t xml:space="preserve"> 11 % z priemernej konečnej energetickej spotreby v rokoch 2001 – 2005</w:t>
      </w:r>
      <w:r>
        <w:rPr>
          <w:rFonts w:ascii="Arial" w:hAnsi="Arial" w:cs="Arial"/>
          <w:color w:val="000000"/>
          <w:sz w:val="20"/>
          <w:szCs w:val="20"/>
        </w:rPr>
        <w:t>.</w:t>
      </w:r>
    </w:p>
    <w:p w14:paraId="63A74361" w14:textId="43CCEB7B" w:rsidR="003C14CC" w:rsidRDefault="003C14CC" w:rsidP="003C14CC">
      <w:pPr>
        <w:spacing w:after="120"/>
        <w:jc w:val="both"/>
        <w:rPr>
          <w:rFonts w:ascii="Arial" w:hAnsi="Arial" w:cs="Arial"/>
          <w:color w:val="000000"/>
          <w:sz w:val="20"/>
          <w:szCs w:val="20"/>
        </w:rPr>
      </w:pPr>
      <w:r w:rsidRPr="00A36A2E">
        <w:rPr>
          <w:rFonts w:ascii="Arial" w:hAnsi="Arial" w:cs="Arial"/>
          <w:color w:val="000000"/>
          <w:sz w:val="20"/>
          <w:szCs w:val="20"/>
        </w:rPr>
        <w:t>Z hľadiska príspevku</w:t>
      </w:r>
      <w:r>
        <w:rPr>
          <w:rFonts w:ascii="Arial" w:hAnsi="Arial" w:cs="Arial"/>
          <w:color w:val="000000"/>
          <w:sz w:val="20"/>
          <w:szCs w:val="20"/>
        </w:rPr>
        <w:t xml:space="preserve"> OP ŽP</w:t>
      </w:r>
      <w:r w:rsidRPr="00A36A2E">
        <w:rPr>
          <w:rFonts w:ascii="Arial" w:hAnsi="Arial" w:cs="Arial"/>
          <w:color w:val="000000"/>
          <w:sz w:val="20"/>
          <w:szCs w:val="20"/>
        </w:rPr>
        <w:t xml:space="preserve"> k dosahovaniu cieľov</w:t>
      </w:r>
      <w:r>
        <w:rPr>
          <w:rFonts w:ascii="Arial" w:hAnsi="Arial" w:cs="Arial"/>
          <w:color w:val="000000"/>
          <w:sz w:val="20"/>
          <w:szCs w:val="20"/>
        </w:rPr>
        <w:t xml:space="preserve"> uvedených v Lisabonskej stratégii</w:t>
      </w:r>
      <w:r w:rsidRPr="00A36A2E">
        <w:rPr>
          <w:rFonts w:ascii="Arial" w:hAnsi="Arial" w:cs="Arial"/>
          <w:color w:val="000000"/>
          <w:sz w:val="20"/>
          <w:szCs w:val="20"/>
        </w:rPr>
        <w:t xml:space="preserve"> je možné v oblasti znižovania emisií skleníkových plynov a podpory využívania obnoviteľných zdrojov energie</w:t>
      </w:r>
      <w:r>
        <w:rPr>
          <w:rFonts w:ascii="Arial" w:hAnsi="Arial" w:cs="Arial"/>
          <w:color w:val="000000"/>
          <w:sz w:val="20"/>
          <w:szCs w:val="20"/>
        </w:rPr>
        <w:t xml:space="preserve"> </w:t>
      </w:r>
      <w:r w:rsidRPr="00123376">
        <w:rPr>
          <w:rFonts w:ascii="Arial" w:hAnsi="Arial" w:cs="Arial"/>
          <w:color w:val="000000"/>
          <w:sz w:val="20"/>
          <w:szCs w:val="20"/>
        </w:rPr>
        <w:t xml:space="preserve">hodnotiť využívanie finančných prostriedkov a realizáciu projektov spadajúcich </w:t>
      </w:r>
      <w:r>
        <w:rPr>
          <w:rFonts w:ascii="Arial" w:hAnsi="Arial" w:cs="Arial"/>
          <w:color w:val="000000"/>
          <w:sz w:val="20"/>
          <w:szCs w:val="20"/>
        </w:rPr>
        <w:t xml:space="preserve">najmä </w:t>
      </w:r>
      <w:r w:rsidRPr="00123376">
        <w:rPr>
          <w:rFonts w:ascii="Arial" w:hAnsi="Arial" w:cs="Arial"/>
          <w:color w:val="000000"/>
          <w:sz w:val="20"/>
          <w:szCs w:val="20"/>
        </w:rPr>
        <w:t xml:space="preserve">pod prioritnú os 3 Ochrana ovzdušia </w:t>
      </w:r>
      <w:r w:rsidRPr="009F31E4">
        <w:rPr>
          <w:rFonts w:ascii="Arial" w:hAnsi="Arial" w:cs="Arial"/>
          <w:color w:val="000000"/>
          <w:sz w:val="20"/>
          <w:szCs w:val="20"/>
        </w:rPr>
        <w:t>a minimalizácia nepriaznivých vplyvov zmeny klímy (</w:t>
      </w:r>
      <w:r w:rsidRPr="001E124A">
        <w:rPr>
          <w:rFonts w:ascii="Arial" w:hAnsi="Arial" w:cs="Arial"/>
          <w:color w:val="000000"/>
          <w:sz w:val="20"/>
          <w:szCs w:val="20"/>
        </w:rPr>
        <w:t xml:space="preserve">primárne </w:t>
      </w:r>
      <w:r w:rsidRPr="00202AA1">
        <w:rPr>
          <w:rFonts w:ascii="Arial" w:hAnsi="Arial" w:cs="Arial"/>
          <w:color w:val="000000"/>
          <w:sz w:val="20"/>
          <w:szCs w:val="20"/>
        </w:rPr>
        <w:t>špecifický cieľ 3.2 Minimalizácia nepriaznivých vplyvov zmeny klímy vrátane podpory obnoviteľných zdrojov energie)</w:t>
      </w:r>
      <w:r w:rsidRPr="00C32A58">
        <w:rPr>
          <w:rFonts w:ascii="Arial" w:hAnsi="Arial" w:cs="Arial"/>
          <w:color w:val="000000"/>
          <w:sz w:val="20"/>
          <w:szCs w:val="20"/>
        </w:rPr>
        <w:t>.</w:t>
      </w:r>
      <w:r>
        <w:rPr>
          <w:rFonts w:ascii="Arial" w:hAnsi="Arial" w:cs="Arial"/>
          <w:color w:val="000000"/>
          <w:sz w:val="20"/>
          <w:szCs w:val="20"/>
        </w:rPr>
        <w:t xml:space="preserve"> V rámci OP ŽP bol</w:t>
      </w:r>
      <w:r w:rsidR="00A0132C">
        <w:rPr>
          <w:rFonts w:ascii="Arial" w:hAnsi="Arial" w:cs="Arial"/>
          <w:color w:val="000000"/>
          <w:sz w:val="20"/>
          <w:szCs w:val="20"/>
        </w:rPr>
        <w:t>a</w:t>
      </w:r>
      <w:r>
        <w:rPr>
          <w:rFonts w:ascii="Arial" w:hAnsi="Arial" w:cs="Arial"/>
          <w:color w:val="000000"/>
          <w:sz w:val="20"/>
          <w:szCs w:val="20"/>
        </w:rPr>
        <w:t xml:space="preserve"> identifikovaná prioritná téma s kódom 52 – Podpora čistej mestskej dopravy, s alokáciou 32,4 mil. </w:t>
      </w:r>
      <w:r w:rsidR="00366C2D">
        <w:rPr>
          <w:rFonts w:ascii="Arial" w:hAnsi="Arial" w:cs="Arial"/>
          <w:color w:val="000000"/>
          <w:sz w:val="20"/>
          <w:szCs w:val="20"/>
        </w:rPr>
        <w:t>€</w:t>
      </w:r>
      <w:r>
        <w:rPr>
          <w:rFonts w:ascii="Arial" w:hAnsi="Arial" w:cs="Arial"/>
          <w:color w:val="000000"/>
          <w:sz w:val="20"/>
          <w:szCs w:val="20"/>
        </w:rPr>
        <w:t xml:space="preserve">. </w:t>
      </w:r>
      <w:r w:rsidRPr="006805BB">
        <w:rPr>
          <w:rFonts w:ascii="Arial" w:hAnsi="Arial" w:cs="Arial"/>
          <w:color w:val="000000"/>
          <w:sz w:val="20"/>
          <w:szCs w:val="20"/>
        </w:rPr>
        <w:t>Skutočné če</w:t>
      </w:r>
      <w:r w:rsidR="0046726E" w:rsidRPr="00761FCE">
        <w:rPr>
          <w:rFonts w:ascii="Arial" w:hAnsi="Arial" w:cs="Arial"/>
          <w:color w:val="000000"/>
          <w:sz w:val="20"/>
          <w:szCs w:val="20"/>
        </w:rPr>
        <w:t>r</w:t>
      </w:r>
      <w:r w:rsidRPr="006805BB">
        <w:rPr>
          <w:rFonts w:ascii="Arial" w:hAnsi="Arial" w:cs="Arial"/>
          <w:color w:val="000000"/>
          <w:sz w:val="20"/>
          <w:szCs w:val="20"/>
        </w:rPr>
        <w:t xml:space="preserve">panie v rámci uvedenej </w:t>
      </w:r>
      <w:r w:rsidR="00A572D5" w:rsidRPr="006805BB">
        <w:rPr>
          <w:rFonts w:ascii="Arial" w:hAnsi="Arial" w:cs="Arial"/>
          <w:color w:val="000000"/>
          <w:sz w:val="20"/>
          <w:szCs w:val="20"/>
        </w:rPr>
        <w:t>prioritnej</w:t>
      </w:r>
      <w:r w:rsidRPr="006805BB">
        <w:rPr>
          <w:rFonts w:ascii="Arial" w:hAnsi="Arial" w:cs="Arial"/>
          <w:color w:val="000000"/>
          <w:sz w:val="20"/>
          <w:szCs w:val="20"/>
        </w:rPr>
        <w:t xml:space="preserve"> témy predstavuje 36,6 mil. </w:t>
      </w:r>
      <w:r w:rsidR="00366C2D">
        <w:rPr>
          <w:rFonts w:ascii="Arial" w:hAnsi="Arial" w:cs="Arial"/>
          <w:color w:val="000000"/>
          <w:sz w:val="20"/>
          <w:szCs w:val="20"/>
        </w:rPr>
        <w:t>€</w:t>
      </w:r>
      <w:r>
        <w:rPr>
          <w:rFonts w:ascii="Arial" w:hAnsi="Arial" w:cs="Arial"/>
          <w:color w:val="000000"/>
          <w:sz w:val="20"/>
          <w:szCs w:val="20"/>
        </w:rPr>
        <w:t>. Percentuálny podiel prioritnej témy na alokáciu OP ŽP ako aj percento čerpania alokácie na prioritnú tému 52 sú uvedené v nasledujúcich tabuľkách.</w:t>
      </w:r>
    </w:p>
    <w:p w14:paraId="22D0C445" w14:textId="0AE8BF61" w:rsidR="003C14CC" w:rsidRPr="00996DBE" w:rsidRDefault="003C14CC" w:rsidP="003C14CC">
      <w:pPr>
        <w:jc w:val="both"/>
        <w:rPr>
          <w:rFonts w:ascii="Arial" w:hAnsi="Arial" w:cs="Arial"/>
          <w:sz w:val="20"/>
          <w:szCs w:val="20"/>
        </w:rPr>
      </w:pPr>
      <w:r w:rsidRPr="00996DBE">
        <w:rPr>
          <w:rFonts w:ascii="Arial" w:hAnsi="Arial" w:cs="Arial"/>
          <w:sz w:val="20"/>
          <w:szCs w:val="20"/>
        </w:rPr>
        <w:t xml:space="preserve">Tabuľka č. </w:t>
      </w:r>
      <w:r w:rsidR="00682B07">
        <w:rPr>
          <w:rFonts w:ascii="Arial" w:hAnsi="Arial" w:cs="Arial"/>
          <w:sz w:val="20"/>
          <w:szCs w:val="20"/>
        </w:rPr>
        <w:t>2</w:t>
      </w:r>
      <w:r w:rsidR="007B1CB9">
        <w:rPr>
          <w:rFonts w:ascii="Arial" w:hAnsi="Arial" w:cs="Arial"/>
          <w:sz w:val="20"/>
          <w:szCs w:val="20"/>
        </w:rPr>
        <w:t>1</w:t>
      </w:r>
      <w:r w:rsidRPr="00996DBE">
        <w:rPr>
          <w:rFonts w:ascii="Arial" w:hAnsi="Arial" w:cs="Arial"/>
          <w:sz w:val="20"/>
          <w:szCs w:val="20"/>
        </w:rPr>
        <w:t>: Suma vyčlenená na Lisabonské aktivity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7"/>
        <w:gridCol w:w="2551"/>
        <w:gridCol w:w="1843"/>
        <w:gridCol w:w="2551"/>
      </w:tblGrid>
      <w:tr w:rsidR="003C14CC" w:rsidRPr="00996DBE" w14:paraId="652A74CB" w14:textId="77777777" w:rsidTr="007D7B08">
        <w:trPr>
          <w:trHeight w:val="273"/>
        </w:trPr>
        <w:tc>
          <w:tcPr>
            <w:tcW w:w="2127" w:type="dxa"/>
            <w:shd w:val="clear" w:color="auto" w:fill="C2D69B" w:themeFill="accent3" w:themeFillTint="99"/>
            <w:vAlign w:val="center"/>
          </w:tcPr>
          <w:p w14:paraId="3E065159" w14:textId="77777777" w:rsidR="003C14CC" w:rsidRPr="00996DBE" w:rsidRDefault="003C14CC" w:rsidP="00EC5EAF">
            <w:pPr>
              <w:rPr>
                <w:rFonts w:ascii="Arial" w:hAnsi="Arial" w:cs="Arial"/>
                <w:b/>
                <w:sz w:val="16"/>
                <w:szCs w:val="16"/>
              </w:rPr>
            </w:pPr>
            <w:r w:rsidRPr="00996DBE">
              <w:rPr>
                <w:rFonts w:ascii="Arial" w:hAnsi="Arial" w:cs="Arial"/>
                <w:b/>
                <w:sz w:val="16"/>
                <w:szCs w:val="16"/>
              </w:rPr>
              <w:t>Operačný program</w:t>
            </w:r>
          </w:p>
        </w:tc>
        <w:tc>
          <w:tcPr>
            <w:tcW w:w="2551" w:type="dxa"/>
            <w:shd w:val="clear" w:color="auto" w:fill="C2D69B" w:themeFill="accent3" w:themeFillTint="99"/>
            <w:vAlign w:val="center"/>
          </w:tcPr>
          <w:p w14:paraId="136BABB6" w14:textId="77777777" w:rsidR="003C14CC" w:rsidRPr="00996DBE" w:rsidRDefault="003C14CC" w:rsidP="00EC5EAF">
            <w:pPr>
              <w:jc w:val="center"/>
              <w:rPr>
                <w:rFonts w:ascii="Arial" w:hAnsi="Arial" w:cs="Arial"/>
                <w:b/>
                <w:sz w:val="16"/>
                <w:szCs w:val="16"/>
              </w:rPr>
            </w:pPr>
            <w:r w:rsidRPr="00996DBE">
              <w:rPr>
                <w:rFonts w:ascii="Arial" w:hAnsi="Arial" w:cs="Arial"/>
                <w:b/>
                <w:sz w:val="16"/>
                <w:szCs w:val="16"/>
              </w:rPr>
              <w:t>Lisabonské aktivity (L.A.) [</w:t>
            </w:r>
            <w:r w:rsidRPr="00996DBE">
              <w:rPr>
                <w:rFonts w:ascii="Arial" w:hAnsi="Arial" w:cs="Arial"/>
                <w:b/>
                <w:bCs/>
                <w:sz w:val="16"/>
                <w:szCs w:val="16"/>
              </w:rPr>
              <w:t>€</w:t>
            </w:r>
            <w:r w:rsidRPr="00996DBE">
              <w:rPr>
                <w:rFonts w:ascii="Arial" w:hAnsi="Arial" w:cs="Arial"/>
                <w:b/>
                <w:sz w:val="16"/>
                <w:szCs w:val="16"/>
              </w:rPr>
              <w:t>]</w:t>
            </w:r>
          </w:p>
        </w:tc>
        <w:tc>
          <w:tcPr>
            <w:tcW w:w="1843" w:type="dxa"/>
            <w:shd w:val="clear" w:color="auto" w:fill="C2D69B" w:themeFill="accent3" w:themeFillTint="99"/>
            <w:vAlign w:val="center"/>
          </w:tcPr>
          <w:p w14:paraId="24A71992" w14:textId="77777777" w:rsidR="003C14CC" w:rsidRPr="00996DBE" w:rsidRDefault="003C14CC" w:rsidP="00EC5EAF">
            <w:pPr>
              <w:jc w:val="center"/>
              <w:rPr>
                <w:rFonts w:ascii="Arial" w:hAnsi="Arial" w:cs="Arial"/>
                <w:b/>
                <w:sz w:val="16"/>
                <w:szCs w:val="16"/>
              </w:rPr>
            </w:pPr>
            <w:r w:rsidRPr="00996DBE">
              <w:rPr>
                <w:rFonts w:ascii="Arial" w:hAnsi="Arial" w:cs="Arial"/>
                <w:b/>
                <w:sz w:val="16"/>
                <w:szCs w:val="16"/>
              </w:rPr>
              <w:t>Celková alokácia [</w:t>
            </w:r>
            <w:r w:rsidRPr="00996DBE">
              <w:rPr>
                <w:rFonts w:ascii="Arial" w:hAnsi="Arial" w:cs="Arial"/>
                <w:b/>
                <w:bCs/>
                <w:sz w:val="16"/>
                <w:szCs w:val="16"/>
              </w:rPr>
              <w:t>€</w:t>
            </w:r>
            <w:r w:rsidRPr="00996DBE">
              <w:rPr>
                <w:rFonts w:ascii="Arial" w:hAnsi="Arial" w:cs="Arial"/>
                <w:b/>
                <w:sz w:val="16"/>
                <w:szCs w:val="16"/>
              </w:rPr>
              <w:t>]</w:t>
            </w:r>
          </w:p>
        </w:tc>
        <w:tc>
          <w:tcPr>
            <w:tcW w:w="2551" w:type="dxa"/>
            <w:shd w:val="clear" w:color="auto" w:fill="C2D69B" w:themeFill="accent3" w:themeFillTint="99"/>
            <w:vAlign w:val="center"/>
          </w:tcPr>
          <w:p w14:paraId="398CAF36" w14:textId="77777777" w:rsidR="003C14CC" w:rsidRPr="00996DBE" w:rsidRDefault="003C14CC" w:rsidP="00EC5EAF">
            <w:pPr>
              <w:jc w:val="center"/>
              <w:rPr>
                <w:rFonts w:ascii="Arial" w:hAnsi="Arial" w:cs="Arial"/>
                <w:b/>
                <w:sz w:val="16"/>
                <w:szCs w:val="16"/>
              </w:rPr>
            </w:pPr>
            <w:r w:rsidRPr="00996DBE">
              <w:rPr>
                <w:rFonts w:ascii="Arial" w:hAnsi="Arial" w:cs="Arial"/>
                <w:b/>
                <w:sz w:val="16"/>
                <w:szCs w:val="16"/>
              </w:rPr>
              <w:t>% L.A. z celkovej alokácie [%]</w:t>
            </w:r>
          </w:p>
        </w:tc>
      </w:tr>
      <w:tr w:rsidR="003C14CC" w:rsidRPr="00996DBE" w14:paraId="6007E1E0" w14:textId="77777777" w:rsidTr="00EC5EAF">
        <w:tc>
          <w:tcPr>
            <w:tcW w:w="2127" w:type="dxa"/>
            <w:shd w:val="clear" w:color="auto" w:fill="EAF1DD"/>
            <w:vAlign w:val="center"/>
          </w:tcPr>
          <w:p w14:paraId="28CF8935" w14:textId="77777777" w:rsidR="003C14CC" w:rsidRPr="00996DBE" w:rsidRDefault="003C14CC" w:rsidP="00EC5EAF">
            <w:pPr>
              <w:rPr>
                <w:rFonts w:ascii="Arial" w:hAnsi="Arial" w:cs="Arial"/>
                <w:sz w:val="16"/>
                <w:szCs w:val="16"/>
              </w:rPr>
            </w:pPr>
            <w:r w:rsidRPr="00996DBE">
              <w:rPr>
                <w:rFonts w:ascii="Arial" w:hAnsi="Arial" w:cs="Arial"/>
                <w:sz w:val="16"/>
                <w:szCs w:val="16"/>
              </w:rPr>
              <w:t>OP Životné prostredie</w:t>
            </w:r>
          </w:p>
        </w:tc>
        <w:tc>
          <w:tcPr>
            <w:tcW w:w="2551" w:type="dxa"/>
            <w:vAlign w:val="center"/>
          </w:tcPr>
          <w:p w14:paraId="3CCF7A97" w14:textId="77777777" w:rsidR="003C14CC" w:rsidRPr="00996DBE" w:rsidRDefault="003C14CC" w:rsidP="00EC5EAF">
            <w:pPr>
              <w:jc w:val="center"/>
              <w:rPr>
                <w:rFonts w:ascii="Arial" w:hAnsi="Arial" w:cs="Arial"/>
                <w:sz w:val="16"/>
                <w:szCs w:val="16"/>
              </w:rPr>
            </w:pPr>
            <w:r w:rsidRPr="00996DBE">
              <w:rPr>
                <w:rFonts w:ascii="Arial" w:hAnsi="Arial" w:cs="Arial"/>
                <w:sz w:val="16"/>
                <w:szCs w:val="16"/>
              </w:rPr>
              <w:t>32 400 000</w:t>
            </w:r>
          </w:p>
        </w:tc>
        <w:tc>
          <w:tcPr>
            <w:tcW w:w="1843" w:type="dxa"/>
            <w:vAlign w:val="center"/>
          </w:tcPr>
          <w:p w14:paraId="7E9EBF81" w14:textId="77777777" w:rsidR="003C14CC" w:rsidRPr="00996DBE" w:rsidRDefault="003C14CC" w:rsidP="00EC5EAF">
            <w:pPr>
              <w:jc w:val="center"/>
              <w:rPr>
                <w:rFonts w:ascii="Arial" w:hAnsi="Arial" w:cs="Arial"/>
                <w:sz w:val="16"/>
                <w:szCs w:val="16"/>
              </w:rPr>
            </w:pPr>
            <w:r w:rsidRPr="00996DBE">
              <w:rPr>
                <w:rFonts w:ascii="Arial" w:hAnsi="Arial" w:cs="Arial"/>
                <w:sz w:val="16"/>
                <w:szCs w:val="16"/>
              </w:rPr>
              <w:t>1 820 000 000</w:t>
            </w:r>
          </w:p>
        </w:tc>
        <w:tc>
          <w:tcPr>
            <w:tcW w:w="2551" w:type="dxa"/>
            <w:vAlign w:val="center"/>
          </w:tcPr>
          <w:p w14:paraId="2B25B119" w14:textId="77777777" w:rsidR="003C14CC" w:rsidRPr="00996DBE" w:rsidRDefault="003C14CC" w:rsidP="00EC5EAF">
            <w:pPr>
              <w:jc w:val="center"/>
              <w:rPr>
                <w:rFonts w:ascii="Arial" w:hAnsi="Arial" w:cs="Arial"/>
                <w:sz w:val="16"/>
                <w:szCs w:val="16"/>
              </w:rPr>
            </w:pPr>
            <w:r w:rsidRPr="00996DBE">
              <w:rPr>
                <w:rFonts w:ascii="Arial" w:hAnsi="Arial" w:cs="Arial"/>
                <w:sz w:val="16"/>
                <w:szCs w:val="16"/>
              </w:rPr>
              <w:t>1,78 %</w:t>
            </w:r>
          </w:p>
        </w:tc>
      </w:tr>
    </w:tbl>
    <w:p w14:paraId="29712764" w14:textId="77777777" w:rsidR="003C14CC" w:rsidRPr="00996DBE" w:rsidRDefault="003C14CC" w:rsidP="003C14CC">
      <w:pPr>
        <w:jc w:val="both"/>
        <w:rPr>
          <w:rFonts w:ascii="Arial" w:hAnsi="Arial" w:cs="Arial"/>
          <w:sz w:val="16"/>
          <w:szCs w:val="16"/>
        </w:rPr>
      </w:pPr>
      <w:r w:rsidRPr="00996DBE">
        <w:rPr>
          <w:rFonts w:ascii="Arial" w:hAnsi="Arial" w:cs="Arial"/>
          <w:sz w:val="16"/>
          <w:szCs w:val="16"/>
        </w:rPr>
        <w:t>Zdroj: RO, ITMS</w:t>
      </w:r>
    </w:p>
    <w:p w14:paraId="41602E43" w14:textId="6725F099" w:rsidR="003C14CC" w:rsidRPr="00996DBE" w:rsidRDefault="003C14CC" w:rsidP="003C14CC">
      <w:pPr>
        <w:spacing w:before="120"/>
        <w:jc w:val="both"/>
        <w:rPr>
          <w:rFonts w:ascii="Arial" w:hAnsi="Arial" w:cs="Arial"/>
          <w:sz w:val="20"/>
          <w:szCs w:val="20"/>
        </w:rPr>
      </w:pPr>
      <w:r w:rsidRPr="00996DBE">
        <w:rPr>
          <w:rFonts w:ascii="Arial" w:hAnsi="Arial" w:cs="Arial"/>
          <w:sz w:val="20"/>
          <w:szCs w:val="20"/>
        </w:rPr>
        <w:t xml:space="preserve">Tabuľka č. </w:t>
      </w:r>
      <w:r w:rsidR="00682B07">
        <w:rPr>
          <w:rFonts w:ascii="Arial" w:hAnsi="Arial" w:cs="Arial"/>
          <w:sz w:val="20"/>
          <w:szCs w:val="20"/>
        </w:rPr>
        <w:t>2</w:t>
      </w:r>
      <w:r w:rsidR="007B1CB9">
        <w:rPr>
          <w:rFonts w:ascii="Arial" w:hAnsi="Arial" w:cs="Arial"/>
          <w:sz w:val="20"/>
          <w:szCs w:val="20"/>
        </w:rPr>
        <w:t>2</w:t>
      </w:r>
      <w:r w:rsidRPr="00996DBE">
        <w:rPr>
          <w:rFonts w:ascii="Arial" w:hAnsi="Arial" w:cs="Arial"/>
          <w:sz w:val="20"/>
          <w:szCs w:val="20"/>
        </w:rPr>
        <w:t xml:space="preserve">: </w:t>
      </w:r>
      <w:r w:rsidR="0097131B">
        <w:rPr>
          <w:rFonts w:ascii="Arial" w:hAnsi="Arial" w:cs="Arial"/>
          <w:sz w:val="20"/>
          <w:szCs w:val="20"/>
        </w:rPr>
        <w:t>Čerpanie</w:t>
      </w:r>
      <w:r w:rsidRPr="00996DBE">
        <w:rPr>
          <w:rFonts w:ascii="Arial" w:hAnsi="Arial" w:cs="Arial"/>
          <w:sz w:val="20"/>
          <w:szCs w:val="20"/>
        </w:rPr>
        <w:t xml:space="preserve"> finančných prostriedkov na prioritné témy v </w:t>
      </w:r>
      <w:r w:rsidR="00366C2D">
        <w:rPr>
          <w:rFonts w:ascii="Arial" w:hAnsi="Arial" w:cs="Arial"/>
          <w:sz w:val="20"/>
          <w:szCs w:val="20"/>
        </w:rPr>
        <w:t>€</w:t>
      </w:r>
    </w:p>
    <w:tbl>
      <w:tblPr>
        <w:tblW w:w="90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5"/>
        <w:gridCol w:w="4320"/>
        <w:gridCol w:w="2316"/>
        <w:gridCol w:w="1736"/>
      </w:tblGrid>
      <w:tr w:rsidR="003C14CC" w:rsidRPr="00996DBE" w14:paraId="5C77E4A2" w14:textId="77777777" w:rsidTr="007D7B08">
        <w:trPr>
          <w:jc w:val="center"/>
        </w:trPr>
        <w:tc>
          <w:tcPr>
            <w:tcW w:w="665" w:type="dxa"/>
            <w:shd w:val="clear" w:color="auto" w:fill="C2D69B" w:themeFill="accent3" w:themeFillTint="99"/>
            <w:vAlign w:val="center"/>
          </w:tcPr>
          <w:p w14:paraId="21DB8A72" w14:textId="77777777" w:rsidR="003C14CC" w:rsidRPr="00996DBE" w:rsidRDefault="003C14CC" w:rsidP="00EC5EAF">
            <w:pPr>
              <w:jc w:val="center"/>
              <w:rPr>
                <w:rFonts w:ascii="Arial" w:hAnsi="Arial" w:cs="Arial"/>
                <w:b/>
                <w:sz w:val="16"/>
                <w:szCs w:val="16"/>
              </w:rPr>
            </w:pPr>
            <w:r w:rsidRPr="00996DBE">
              <w:rPr>
                <w:rFonts w:ascii="Arial" w:hAnsi="Arial" w:cs="Arial"/>
                <w:b/>
                <w:sz w:val="16"/>
                <w:szCs w:val="16"/>
              </w:rPr>
              <w:t>Kód</w:t>
            </w:r>
          </w:p>
        </w:tc>
        <w:tc>
          <w:tcPr>
            <w:tcW w:w="4320" w:type="dxa"/>
            <w:shd w:val="clear" w:color="auto" w:fill="C2D69B" w:themeFill="accent3" w:themeFillTint="99"/>
            <w:vAlign w:val="center"/>
          </w:tcPr>
          <w:p w14:paraId="7E5B038A" w14:textId="77777777" w:rsidR="003C14CC" w:rsidRPr="00996DBE" w:rsidRDefault="003C14CC" w:rsidP="00EC5EAF">
            <w:pPr>
              <w:jc w:val="center"/>
              <w:rPr>
                <w:rFonts w:ascii="Arial" w:hAnsi="Arial" w:cs="Arial"/>
                <w:b/>
                <w:sz w:val="16"/>
                <w:szCs w:val="16"/>
              </w:rPr>
            </w:pPr>
            <w:r w:rsidRPr="00996DBE">
              <w:rPr>
                <w:rFonts w:ascii="Arial" w:hAnsi="Arial" w:cs="Arial"/>
                <w:b/>
                <w:sz w:val="16"/>
                <w:szCs w:val="16"/>
              </w:rPr>
              <w:t>Prioritné témy (príloha IV, nariadenia 1083/2006)</w:t>
            </w:r>
          </w:p>
        </w:tc>
        <w:tc>
          <w:tcPr>
            <w:tcW w:w="2316" w:type="dxa"/>
            <w:shd w:val="clear" w:color="auto" w:fill="C2D69B" w:themeFill="accent3" w:themeFillTint="99"/>
            <w:vAlign w:val="center"/>
          </w:tcPr>
          <w:p w14:paraId="04A3B3F5" w14:textId="5FA6CD29" w:rsidR="003C14CC" w:rsidRPr="00996DBE" w:rsidRDefault="0097131B" w:rsidP="00EC5EAF">
            <w:pPr>
              <w:jc w:val="center"/>
              <w:rPr>
                <w:rFonts w:ascii="Arial" w:hAnsi="Arial" w:cs="Arial"/>
                <w:b/>
                <w:sz w:val="16"/>
                <w:szCs w:val="16"/>
              </w:rPr>
            </w:pPr>
            <w:r>
              <w:rPr>
                <w:rFonts w:ascii="Arial" w:hAnsi="Arial" w:cs="Arial"/>
                <w:b/>
                <w:sz w:val="16"/>
                <w:szCs w:val="16"/>
              </w:rPr>
              <w:t>Skutočne čerpané</w:t>
            </w:r>
            <w:r w:rsidR="003C14CC" w:rsidRPr="00996DBE">
              <w:rPr>
                <w:rFonts w:ascii="Arial" w:hAnsi="Arial" w:cs="Arial"/>
                <w:b/>
                <w:sz w:val="16"/>
                <w:szCs w:val="16"/>
              </w:rPr>
              <w:t xml:space="preserve"> fi</w:t>
            </w:r>
            <w:r>
              <w:rPr>
                <w:rFonts w:ascii="Arial" w:hAnsi="Arial" w:cs="Arial"/>
                <w:b/>
                <w:sz w:val="16"/>
                <w:szCs w:val="16"/>
              </w:rPr>
              <w:t>nančné prostriedky (EÚ zdroje</w:t>
            </w:r>
            <w:r w:rsidR="003C14CC" w:rsidRPr="00996DBE">
              <w:rPr>
                <w:rFonts w:ascii="Arial" w:hAnsi="Arial" w:cs="Arial"/>
                <w:b/>
                <w:bCs/>
                <w:sz w:val="16"/>
                <w:szCs w:val="16"/>
              </w:rPr>
              <w:t>)</w:t>
            </w:r>
            <w:r>
              <w:rPr>
                <w:rFonts w:ascii="Arial" w:hAnsi="Arial" w:cs="Arial"/>
                <w:b/>
                <w:bCs/>
                <w:sz w:val="16"/>
                <w:szCs w:val="16"/>
              </w:rPr>
              <w:t xml:space="preserve"> stav k 31.10.2016</w:t>
            </w:r>
          </w:p>
        </w:tc>
        <w:tc>
          <w:tcPr>
            <w:tcW w:w="1736" w:type="dxa"/>
            <w:shd w:val="clear" w:color="auto" w:fill="C2D69B" w:themeFill="accent3" w:themeFillTint="99"/>
            <w:vAlign w:val="center"/>
          </w:tcPr>
          <w:p w14:paraId="173B63FF" w14:textId="77777777" w:rsidR="003C14CC" w:rsidRPr="00996DBE" w:rsidRDefault="003C14CC" w:rsidP="00EC5EAF">
            <w:pPr>
              <w:jc w:val="center"/>
              <w:rPr>
                <w:rFonts w:ascii="Arial" w:hAnsi="Arial" w:cs="Arial"/>
                <w:b/>
                <w:sz w:val="16"/>
                <w:szCs w:val="16"/>
              </w:rPr>
            </w:pPr>
            <w:r w:rsidRPr="00996DBE">
              <w:rPr>
                <w:rFonts w:ascii="Arial" w:hAnsi="Arial" w:cs="Arial"/>
                <w:b/>
                <w:sz w:val="16"/>
                <w:szCs w:val="16"/>
              </w:rPr>
              <w:t>% z alokácie na L.A.</w:t>
            </w:r>
          </w:p>
        </w:tc>
      </w:tr>
      <w:tr w:rsidR="003C14CC" w:rsidRPr="00996DBE" w14:paraId="35B72681" w14:textId="77777777" w:rsidTr="00EC5EAF">
        <w:trPr>
          <w:jc w:val="center"/>
        </w:trPr>
        <w:tc>
          <w:tcPr>
            <w:tcW w:w="9037" w:type="dxa"/>
            <w:gridSpan w:val="4"/>
            <w:vAlign w:val="center"/>
          </w:tcPr>
          <w:p w14:paraId="7E8B0120" w14:textId="77777777" w:rsidR="003C14CC" w:rsidRPr="00996DBE" w:rsidRDefault="003C14CC" w:rsidP="00EC5EAF">
            <w:pPr>
              <w:jc w:val="center"/>
              <w:rPr>
                <w:rFonts w:ascii="Arial" w:hAnsi="Arial" w:cs="Arial"/>
                <w:sz w:val="16"/>
                <w:szCs w:val="16"/>
              </w:rPr>
            </w:pPr>
            <w:r w:rsidRPr="00996DBE">
              <w:rPr>
                <w:rFonts w:ascii="Arial" w:hAnsi="Arial" w:cs="Arial"/>
                <w:sz w:val="16"/>
                <w:szCs w:val="16"/>
              </w:rPr>
              <w:t>Ochrana životného prostredia a predchádzanie rizikám</w:t>
            </w:r>
          </w:p>
        </w:tc>
      </w:tr>
      <w:tr w:rsidR="003C14CC" w:rsidRPr="00996DBE" w14:paraId="69A1370A" w14:textId="77777777" w:rsidTr="00EC5EAF">
        <w:trPr>
          <w:jc w:val="center"/>
        </w:trPr>
        <w:tc>
          <w:tcPr>
            <w:tcW w:w="665" w:type="dxa"/>
            <w:shd w:val="clear" w:color="auto" w:fill="EAF1DD"/>
            <w:vAlign w:val="center"/>
          </w:tcPr>
          <w:p w14:paraId="4E4D02B2" w14:textId="77777777" w:rsidR="003C14CC" w:rsidRPr="00996DBE" w:rsidRDefault="003C14CC" w:rsidP="00EC5EAF">
            <w:pPr>
              <w:jc w:val="center"/>
              <w:rPr>
                <w:rFonts w:ascii="Arial" w:hAnsi="Arial" w:cs="Arial"/>
                <w:sz w:val="16"/>
                <w:szCs w:val="16"/>
              </w:rPr>
            </w:pPr>
            <w:r w:rsidRPr="00996DBE">
              <w:rPr>
                <w:rFonts w:ascii="Arial" w:hAnsi="Arial" w:cs="Arial"/>
                <w:sz w:val="16"/>
                <w:szCs w:val="16"/>
              </w:rPr>
              <w:t>52</w:t>
            </w:r>
          </w:p>
        </w:tc>
        <w:tc>
          <w:tcPr>
            <w:tcW w:w="4320" w:type="dxa"/>
            <w:shd w:val="clear" w:color="auto" w:fill="EAF1DD"/>
            <w:vAlign w:val="center"/>
          </w:tcPr>
          <w:p w14:paraId="7B6D4CB7" w14:textId="77777777" w:rsidR="003C14CC" w:rsidRPr="00996DBE" w:rsidRDefault="003C14CC" w:rsidP="00EC5EAF">
            <w:pPr>
              <w:jc w:val="center"/>
              <w:rPr>
                <w:rFonts w:ascii="Arial" w:hAnsi="Arial" w:cs="Arial"/>
                <w:sz w:val="16"/>
                <w:szCs w:val="16"/>
              </w:rPr>
            </w:pPr>
            <w:r w:rsidRPr="00996DBE">
              <w:rPr>
                <w:rFonts w:ascii="Arial" w:hAnsi="Arial" w:cs="Arial"/>
                <w:sz w:val="16"/>
                <w:szCs w:val="16"/>
              </w:rPr>
              <w:t>Podpora čistej mestskej dopravy</w:t>
            </w:r>
          </w:p>
        </w:tc>
        <w:tc>
          <w:tcPr>
            <w:tcW w:w="2316" w:type="dxa"/>
            <w:vAlign w:val="center"/>
          </w:tcPr>
          <w:p w14:paraId="2B24F175" w14:textId="5434A9FB" w:rsidR="003C14CC" w:rsidRPr="00C80C0B" w:rsidRDefault="00213B7D" w:rsidP="00EC5EAF">
            <w:pPr>
              <w:jc w:val="center"/>
              <w:rPr>
                <w:rFonts w:ascii="Arial" w:hAnsi="Arial" w:cs="Arial"/>
                <w:sz w:val="16"/>
                <w:szCs w:val="16"/>
              </w:rPr>
            </w:pPr>
            <w:r>
              <w:rPr>
                <w:rFonts w:ascii="Arial" w:hAnsi="Arial" w:cs="Arial"/>
                <w:sz w:val="16"/>
                <w:szCs w:val="16"/>
              </w:rPr>
              <w:t>36 616 277</w:t>
            </w:r>
          </w:p>
        </w:tc>
        <w:tc>
          <w:tcPr>
            <w:tcW w:w="1736" w:type="dxa"/>
            <w:vAlign w:val="center"/>
          </w:tcPr>
          <w:p w14:paraId="434FDB6A" w14:textId="77777777" w:rsidR="003C14CC" w:rsidRPr="00996DBE" w:rsidRDefault="003C14CC" w:rsidP="00EC5EAF">
            <w:pPr>
              <w:jc w:val="center"/>
              <w:rPr>
                <w:rFonts w:ascii="Arial" w:hAnsi="Arial" w:cs="Arial"/>
                <w:sz w:val="16"/>
                <w:szCs w:val="16"/>
              </w:rPr>
            </w:pPr>
            <w:r w:rsidRPr="00AB26CF">
              <w:rPr>
                <w:rFonts w:ascii="Arial" w:hAnsi="Arial" w:cs="Arial"/>
                <w:sz w:val="16"/>
                <w:szCs w:val="16"/>
              </w:rPr>
              <w:t>113,01%</w:t>
            </w:r>
          </w:p>
        </w:tc>
      </w:tr>
    </w:tbl>
    <w:p w14:paraId="68C96A0D" w14:textId="77777777" w:rsidR="003C14CC" w:rsidRPr="00996DBE" w:rsidRDefault="003C14CC" w:rsidP="003C14CC">
      <w:pPr>
        <w:jc w:val="both"/>
        <w:rPr>
          <w:rFonts w:ascii="Arial" w:hAnsi="Arial" w:cs="Arial"/>
          <w:sz w:val="16"/>
          <w:szCs w:val="16"/>
        </w:rPr>
      </w:pPr>
      <w:r w:rsidRPr="00996DBE">
        <w:rPr>
          <w:rFonts w:ascii="Arial" w:hAnsi="Arial" w:cs="Arial"/>
          <w:sz w:val="16"/>
          <w:szCs w:val="16"/>
        </w:rPr>
        <w:t>Zdroj: RO, ITMS</w:t>
      </w:r>
    </w:p>
    <w:p w14:paraId="31C35564" w14:textId="10810A5D" w:rsidR="003C14CC" w:rsidRDefault="003C14CC" w:rsidP="00F87D11">
      <w:pPr>
        <w:spacing w:before="120" w:after="120"/>
        <w:jc w:val="both"/>
        <w:rPr>
          <w:rFonts w:ascii="Arial" w:hAnsi="Arial" w:cs="Arial"/>
          <w:sz w:val="20"/>
          <w:szCs w:val="20"/>
        </w:rPr>
      </w:pPr>
      <w:r w:rsidRPr="009F31E4">
        <w:rPr>
          <w:rFonts w:ascii="Arial" w:hAnsi="Arial" w:cs="Arial"/>
          <w:sz w:val="20"/>
          <w:szCs w:val="20"/>
        </w:rPr>
        <w:t>V rámci širšieho kontextu realizácie cieľov vyplývajúcich z Lisabonskej stratégie a následne zo Stratégie Európa 2020 je zároveň potrebné uviesť, že vláda SR v nadväznosti na stanovené ciele na úrovni EÚ prijala návrh opatrení na realizáciu klimaticko-energetického balíčka, ktoré ma</w:t>
      </w:r>
      <w:r w:rsidR="00A0132C">
        <w:rPr>
          <w:rFonts w:ascii="Arial" w:hAnsi="Arial" w:cs="Arial"/>
          <w:sz w:val="20"/>
          <w:szCs w:val="20"/>
        </w:rPr>
        <w:t>li</w:t>
      </w:r>
      <w:r w:rsidRPr="009F31E4">
        <w:rPr>
          <w:rFonts w:ascii="Arial" w:hAnsi="Arial" w:cs="Arial"/>
          <w:sz w:val="20"/>
          <w:szCs w:val="20"/>
        </w:rPr>
        <w:t xml:space="preserve"> za cieľ zabezpečiť praktické napĺňanie záväzkov EÚ do roku 2020 v podmienkach SR. Opatrenia na plnenie týchto cieľov ma</w:t>
      </w:r>
      <w:r w:rsidR="00A0132C">
        <w:rPr>
          <w:rFonts w:ascii="Arial" w:hAnsi="Arial" w:cs="Arial"/>
          <w:sz w:val="20"/>
          <w:szCs w:val="20"/>
        </w:rPr>
        <w:t>li</w:t>
      </w:r>
      <w:r w:rsidRPr="009F31E4">
        <w:rPr>
          <w:rFonts w:ascii="Arial" w:hAnsi="Arial" w:cs="Arial"/>
          <w:sz w:val="20"/>
          <w:szCs w:val="20"/>
        </w:rPr>
        <w:t xml:space="preserve"> prierezový charakter, takže presah</w:t>
      </w:r>
      <w:r w:rsidR="00A0132C">
        <w:rPr>
          <w:rFonts w:ascii="Arial" w:hAnsi="Arial" w:cs="Arial"/>
          <w:sz w:val="20"/>
          <w:szCs w:val="20"/>
        </w:rPr>
        <w:t>ovali</w:t>
      </w:r>
      <w:r w:rsidRPr="009F31E4">
        <w:rPr>
          <w:rFonts w:ascii="Arial" w:hAnsi="Arial" w:cs="Arial"/>
          <w:sz w:val="20"/>
          <w:szCs w:val="20"/>
        </w:rPr>
        <w:t xml:space="preserve"> nielen rámec OP ŽP, ale tiež rámec pôsobnosti MŽP SR a pri ich plnení </w:t>
      </w:r>
      <w:r w:rsidR="00A0132C">
        <w:rPr>
          <w:rFonts w:ascii="Arial" w:hAnsi="Arial" w:cs="Arial"/>
          <w:sz w:val="20"/>
          <w:szCs w:val="20"/>
        </w:rPr>
        <w:t>bola</w:t>
      </w:r>
      <w:r w:rsidRPr="009F31E4">
        <w:rPr>
          <w:rFonts w:ascii="Arial" w:hAnsi="Arial" w:cs="Arial"/>
          <w:sz w:val="20"/>
          <w:szCs w:val="20"/>
        </w:rPr>
        <w:t xml:space="preserve"> nevyhnutná súčinnosť dotknutých rezortov (najmä Ministerstva hospodárstva SR).</w:t>
      </w:r>
    </w:p>
    <w:p w14:paraId="2DAFA45D" w14:textId="4177561F" w:rsidR="003C14CC" w:rsidRDefault="003C14CC" w:rsidP="003C14CC">
      <w:pPr>
        <w:spacing w:after="120"/>
        <w:jc w:val="both"/>
        <w:rPr>
          <w:rFonts w:ascii="Arial" w:hAnsi="Arial" w:cs="Arial"/>
          <w:color w:val="000000"/>
          <w:sz w:val="20"/>
          <w:szCs w:val="20"/>
        </w:rPr>
      </w:pPr>
      <w:r w:rsidRPr="00A10FC0">
        <w:rPr>
          <w:rFonts w:ascii="Arial" w:hAnsi="Arial" w:cs="Arial"/>
          <w:sz w:val="20"/>
          <w:szCs w:val="20"/>
        </w:rPr>
        <w:t>V súlade s článkom 9 ods. 3 nariadenia č. 1083/2006 boli pre jednotlivé prioritné osi OP ŽP schválené p</w:t>
      </w:r>
      <w:r w:rsidRPr="009F31E4">
        <w:rPr>
          <w:rFonts w:ascii="Arial" w:hAnsi="Arial" w:cs="Arial"/>
          <w:sz w:val="20"/>
          <w:szCs w:val="20"/>
        </w:rPr>
        <w:t>rioritné témy 44, 45, 46, 47, 49, 50, 51, 52, 53, 54, 85 a 86 s príslušnými indikatívnymi sumami (kap. 8.3 OP ŽP Rozdelenie príspevku z fondov do kategórií pomoci na úrovni OP ŽP).</w:t>
      </w:r>
      <w:r>
        <w:rPr>
          <w:rFonts w:ascii="Arial" w:hAnsi="Arial" w:cs="Arial"/>
          <w:sz w:val="20"/>
          <w:szCs w:val="20"/>
        </w:rPr>
        <w:t xml:space="preserve"> Z hľadiska príspevku k napĺňaniu cieľov stratégie Európa 2020, OP ŽP prispieva</w:t>
      </w:r>
      <w:r w:rsidR="00A0132C">
        <w:rPr>
          <w:rFonts w:ascii="Arial" w:hAnsi="Arial" w:cs="Arial"/>
          <w:sz w:val="20"/>
          <w:szCs w:val="20"/>
        </w:rPr>
        <w:t>l</w:t>
      </w:r>
      <w:r>
        <w:rPr>
          <w:rFonts w:ascii="Arial" w:hAnsi="Arial" w:cs="Arial"/>
          <w:sz w:val="20"/>
          <w:szCs w:val="20"/>
        </w:rPr>
        <w:t xml:space="preserve"> k na</w:t>
      </w:r>
      <w:r w:rsidR="00B24D7C">
        <w:rPr>
          <w:rFonts w:ascii="Arial" w:hAnsi="Arial" w:cs="Arial"/>
          <w:sz w:val="20"/>
          <w:szCs w:val="20"/>
        </w:rPr>
        <w:t>p</w:t>
      </w:r>
      <w:r>
        <w:rPr>
          <w:rFonts w:ascii="Arial" w:hAnsi="Arial" w:cs="Arial"/>
          <w:sz w:val="20"/>
          <w:szCs w:val="20"/>
        </w:rPr>
        <w:t xml:space="preserve">ĺňaniu tretieho cieľa </w:t>
      </w:r>
      <w:r>
        <w:rPr>
          <w:rFonts w:ascii="Arial" w:hAnsi="Arial" w:cs="Arial"/>
          <w:sz w:val="20"/>
          <w:szCs w:val="20"/>
        </w:rPr>
        <w:lastRenderedPageBreak/>
        <w:t>„Zmena klímy a</w:t>
      </w:r>
      <w:r w:rsidR="00B24D7C">
        <w:rPr>
          <w:rFonts w:ascii="Arial" w:hAnsi="Arial" w:cs="Arial"/>
          <w:sz w:val="20"/>
          <w:szCs w:val="20"/>
        </w:rPr>
        <w:t> energetická udržateľnosť“. Vše</w:t>
      </w:r>
      <w:r>
        <w:rPr>
          <w:rFonts w:ascii="Arial" w:hAnsi="Arial" w:cs="Arial"/>
          <w:sz w:val="20"/>
          <w:szCs w:val="20"/>
        </w:rPr>
        <w:t>t</w:t>
      </w:r>
      <w:r w:rsidR="00B24D7C">
        <w:rPr>
          <w:rFonts w:ascii="Arial" w:hAnsi="Arial" w:cs="Arial"/>
          <w:sz w:val="20"/>
          <w:szCs w:val="20"/>
        </w:rPr>
        <w:t>k</w:t>
      </w:r>
      <w:r>
        <w:rPr>
          <w:rFonts w:ascii="Arial" w:hAnsi="Arial" w:cs="Arial"/>
          <w:sz w:val="20"/>
          <w:szCs w:val="20"/>
        </w:rPr>
        <w:t>y projekty realizované v rámci OP, okrem projektov prioritnej osi 6 Technická pomoc, prispieva</w:t>
      </w:r>
      <w:r w:rsidR="001F09AB">
        <w:rPr>
          <w:rFonts w:ascii="Arial" w:hAnsi="Arial" w:cs="Arial"/>
          <w:sz w:val="20"/>
          <w:szCs w:val="20"/>
        </w:rPr>
        <w:t>li</w:t>
      </w:r>
      <w:r>
        <w:rPr>
          <w:rFonts w:ascii="Arial" w:hAnsi="Arial" w:cs="Arial"/>
          <w:sz w:val="20"/>
          <w:szCs w:val="20"/>
        </w:rPr>
        <w:t xml:space="preserve"> k napĺňaniu stratégie Európa 2020. V nižšie uvedených tabuľkách je uvedená alokácia OP ŽP vyčlenená na aktivity prispievajúce k plneniu cieľov stratégie Európa 2020, ako aj skutočné čerpanie realizovaných projektov v rámci OP ŽP prispievajúcich k plneniu cieľov stratégie Európa 2020 podľa prioritných tém.   </w:t>
      </w:r>
    </w:p>
    <w:tbl>
      <w:tblPr>
        <w:tblW w:w="9458" w:type="dxa"/>
        <w:tblInd w:w="55" w:type="dxa"/>
        <w:tblCellMar>
          <w:left w:w="70" w:type="dxa"/>
          <w:right w:w="70" w:type="dxa"/>
        </w:tblCellMar>
        <w:tblLook w:val="04A0" w:firstRow="1" w:lastRow="0" w:firstColumn="1" w:lastColumn="0" w:noHBand="0" w:noVBand="1"/>
      </w:tblPr>
      <w:tblGrid>
        <w:gridCol w:w="879"/>
        <w:gridCol w:w="5940"/>
        <w:gridCol w:w="1742"/>
        <w:gridCol w:w="897"/>
      </w:tblGrid>
      <w:tr w:rsidR="003C14CC" w14:paraId="50114A14" w14:textId="77777777" w:rsidTr="0097131B">
        <w:trPr>
          <w:trHeight w:val="315"/>
        </w:trPr>
        <w:tc>
          <w:tcPr>
            <w:tcW w:w="9458" w:type="dxa"/>
            <w:gridSpan w:val="4"/>
            <w:tcBorders>
              <w:top w:val="nil"/>
              <w:left w:val="nil"/>
              <w:bottom w:val="single" w:sz="8" w:space="0" w:color="auto"/>
              <w:right w:val="nil"/>
            </w:tcBorders>
            <w:shd w:val="clear" w:color="auto" w:fill="auto"/>
            <w:noWrap/>
            <w:vAlign w:val="center"/>
            <w:hideMark/>
          </w:tcPr>
          <w:p w14:paraId="46413EC1" w14:textId="56FE6C21" w:rsidR="003C14CC" w:rsidRDefault="003C14CC" w:rsidP="007B1CB9">
            <w:pPr>
              <w:rPr>
                <w:rFonts w:ascii="Arial" w:hAnsi="Arial" w:cs="Arial"/>
                <w:color w:val="000000"/>
                <w:sz w:val="20"/>
                <w:szCs w:val="20"/>
              </w:rPr>
            </w:pPr>
            <w:r w:rsidRPr="007831CE">
              <w:rPr>
                <w:rFonts w:ascii="Arial" w:hAnsi="Arial" w:cs="Arial"/>
                <w:sz w:val="20"/>
                <w:szCs w:val="20"/>
              </w:rPr>
              <w:t xml:space="preserve">Tabuľka č. </w:t>
            </w:r>
            <w:r w:rsidR="00682B07">
              <w:rPr>
                <w:rFonts w:ascii="Arial" w:hAnsi="Arial" w:cs="Arial"/>
                <w:sz w:val="20"/>
                <w:szCs w:val="20"/>
              </w:rPr>
              <w:t>2</w:t>
            </w:r>
            <w:r w:rsidR="007B1CB9">
              <w:rPr>
                <w:rFonts w:ascii="Arial" w:hAnsi="Arial" w:cs="Arial"/>
                <w:sz w:val="20"/>
                <w:szCs w:val="20"/>
              </w:rPr>
              <w:t>3</w:t>
            </w:r>
            <w:r w:rsidRPr="007831CE">
              <w:rPr>
                <w:rFonts w:ascii="Arial" w:hAnsi="Arial" w:cs="Arial"/>
                <w:sz w:val="20"/>
                <w:szCs w:val="20"/>
              </w:rPr>
              <w:t xml:space="preserve">: Suma vyčlenená na Lisabonské aktivity </w:t>
            </w:r>
            <w:r>
              <w:rPr>
                <w:rFonts w:ascii="Arial" w:hAnsi="Arial" w:cs="Arial"/>
                <w:sz w:val="20"/>
                <w:szCs w:val="20"/>
              </w:rPr>
              <w:t>- Európa 2020</w:t>
            </w:r>
          </w:p>
        </w:tc>
      </w:tr>
      <w:tr w:rsidR="003C14CC" w14:paraId="3301ED3C" w14:textId="77777777" w:rsidTr="007D7B08">
        <w:trPr>
          <w:trHeight w:val="525"/>
        </w:trPr>
        <w:tc>
          <w:tcPr>
            <w:tcW w:w="879"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hideMark/>
          </w:tcPr>
          <w:p w14:paraId="4253C48C" w14:textId="77777777" w:rsidR="003C14CC" w:rsidRPr="006662CE" w:rsidRDefault="003C14CC" w:rsidP="00EC5EAF">
            <w:pPr>
              <w:jc w:val="center"/>
              <w:rPr>
                <w:rFonts w:ascii="Arial" w:hAnsi="Arial" w:cs="Arial"/>
                <w:b/>
                <w:sz w:val="16"/>
                <w:szCs w:val="16"/>
              </w:rPr>
            </w:pPr>
            <w:r w:rsidRPr="006662CE">
              <w:rPr>
                <w:rFonts w:ascii="Arial" w:hAnsi="Arial" w:cs="Arial"/>
                <w:b/>
                <w:sz w:val="16"/>
                <w:szCs w:val="16"/>
              </w:rPr>
              <w:t>Operačný program</w:t>
            </w:r>
          </w:p>
        </w:tc>
        <w:tc>
          <w:tcPr>
            <w:tcW w:w="594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2A7FC30" w14:textId="6FF1F2C2" w:rsidR="003C14CC" w:rsidRPr="006662CE" w:rsidRDefault="003C14CC" w:rsidP="00EC5EAF">
            <w:pPr>
              <w:jc w:val="center"/>
              <w:rPr>
                <w:rFonts w:ascii="Arial" w:hAnsi="Arial" w:cs="Arial"/>
                <w:b/>
                <w:sz w:val="16"/>
                <w:szCs w:val="16"/>
              </w:rPr>
            </w:pPr>
            <w:r w:rsidRPr="006662CE">
              <w:rPr>
                <w:rFonts w:ascii="Arial" w:hAnsi="Arial" w:cs="Arial"/>
                <w:b/>
                <w:sz w:val="16"/>
                <w:szCs w:val="16"/>
              </w:rPr>
              <w:t>Lisabonské aktivity</w:t>
            </w:r>
            <w:r>
              <w:rPr>
                <w:rFonts w:ascii="Arial" w:hAnsi="Arial" w:cs="Arial"/>
                <w:b/>
                <w:sz w:val="16"/>
                <w:szCs w:val="16"/>
              </w:rPr>
              <w:t xml:space="preserve"> </w:t>
            </w:r>
            <w:r w:rsidRPr="006662CE">
              <w:rPr>
                <w:rFonts w:ascii="Arial" w:hAnsi="Arial" w:cs="Arial"/>
                <w:b/>
                <w:sz w:val="16"/>
                <w:szCs w:val="16"/>
              </w:rPr>
              <w:t xml:space="preserve"> (L.A.)</w:t>
            </w:r>
            <w:r w:rsidR="0097131B">
              <w:rPr>
                <w:rFonts w:ascii="Arial" w:hAnsi="Arial" w:cs="Arial"/>
                <w:b/>
                <w:sz w:val="16"/>
                <w:szCs w:val="16"/>
              </w:rPr>
              <w:t xml:space="preserve"> – Európa 2020</w:t>
            </w:r>
            <w:r w:rsidRPr="006662CE">
              <w:rPr>
                <w:rFonts w:ascii="Arial" w:hAnsi="Arial" w:cs="Arial"/>
                <w:b/>
                <w:sz w:val="16"/>
                <w:szCs w:val="16"/>
              </w:rPr>
              <w:t xml:space="preserve"> [€]</w:t>
            </w:r>
          </w:p>
        </w:tc>
        <w:tc>
          <w:tcPr>
            <w:tcW w:w="1742"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182824C" w14:textId="77777777" w:rsidR="003C14CC" w:rsidRPr="006662CE" w:rsidRDefault="003C14CC" w:rsidP="00EC5EAF">
            <w:pPr>
              <w:jc w:val="center"/>
              <w:rPr>
                <w:rFonts w:ascii="Arial" w:hAnsi="Arial" w:cs="Arial"/>
                <w:b/>
                <w:sz w:val="16"/>
                <w:szCs w:val="16"/>
              </w:rPr>
            </w:pPr>
            <w:r w:rsidRPr="006662CE">
              <w:rPr>
                <w:rFonts w:ascii="Arial" w:hAnsi="Arial" w:cs="Arial"/>
                <w:b/>
                <w:sz w:val="16"/>
                <w:szCs w:val="16"/>
              </w:rPr>
              <w:t>Celková alokácia [€]</w:t>
            </w:r>
          </w:p>
        </w:tc>
        <w:tc>
          <w:tcPr>
            <w:tcW w:w="897"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6CD74AE" w14:textId="77777777" w:rsidR="003C14CC" w:rsidRPr="006662CE" w:rsidRDefault="003C14CC" w:rsidP="00EC5EAF">
            <w:pPr>
              <w:jc w:val="center"/>
              <w:rPr>
                <w:rFonts w:ascii="Arial" w:hAnsi="Arial" w:cs="Arial"/>
                <w:b/>
                <w:sz w:val="16"/>
                <w:szCs w:val="16"/>
              </w:rPr>
            </w:pPr>
            <w:r w:rsidRPr="006662CE">
              <w:rPr>
                <w:rFonts w:ascii="Arial" w:hAnsi="Arial" w:cs="Arial"/>
                <w:b/>
                <w:sz w:val="16"/>
                <w:szCs w:val="16"/>
              </w:rPr>
              <w:t>% L.A. z celkovej alokácie [%]</w:t>
            </w:r>
          </w:p>
        </w:tc>
      </w:tr>
      <w:tr w:rsidR="003C14CC" w14:paraId="3DF9A699" w14:textId="77777777" w:rsidTr="0097131B">
        <w:trPr>
          <w:trHeight w:val="465"/>
        </w:trPr>
        <w:tc>
          <w:tcPr>
            <w:tcW w:w="879"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6BF6EF36" w14:textId="77777777" w:rsidR="003C14CC" w:rsidRDefault="003C14CC" w:rsidP="00EC5EAF">
            <w:pPr>
              <w:rPr>
                <w:rFonts w:ascii="Arial" w:hAnsi="Arial" w:cs="Arial"/>
                <w:color w:val="000000"/>
                <w:sz w:val="16"/>
                <w:szCs w:val="16"/>
              </w:rPr>
            </w:pPr>
            <w:r>
              <w:rPr>
                <w:rFonts w:ascii="Arial" w:hAnsi="Arial" w:cs="Arial"/>
                <w:color w:val="000000"/>
                <w:sz w:val="16"/>
                <w:szCs w:val="16"/>
              </w:rPr>
              <w:t>OP Životné prostredie</w:t>
            </w:r>
          </w:p>
        </w:tc>
        <w:tc>
          <w:tcPr>
            <w:tcW w:w="5940" w:type="dxa"/>
            <w:tcBorders>
              <w:top w:val="single" w:sz="8" w:space="0" w:color="auto"/>
              <w:left w:val="nil"/>
              <w:bottom w:val="single" w:sz="8" w:space="0" w:color="auto"/>
              <w:right w:val="single" w:sz="8" w:space="0" w:color="auto"/>
            </w:tcBorders>
            <w:shd w:val="clear" w:color="auto" w:fill="auto"/>
            <w:vAlign w:val="center"/>
            <w:hideMark/>
          </w:tcPr>
          <w:p w14:paraId="7B43D157" w14:textId="77777777" w:rsidR="003C14CC" w:rsidRDefault="003C14CC" w:rsidP="00AB3787">
            <w:pPr>
              <w:rPr>
                <w:rFonts w:ascii="Arial" w:hAnsi="Arial" w:cs="Arial"/>
                <w:color w:val="000000"/>
                <w:sz w:val="16"/>
                <w:szCs w:val="16"/>
              </w:rPr>
            </w:pPr>
            <w:r>
              <w:rPr>
                <w:rFonts w:ascii="Arial" w:hAnsi="Arial" w:cs="Arial"/>
                <w:color w:val="000000"/>
                <w:sz w:val="16"/>
                <w:szCs w:val="16"/>
              </w:rPr>
              <w:t xml:space="preserve">                                                       1 771 400 000   </w:t>
            </w:r>
          </w:p>
        </w:tc>
        <w:tc>
          <w:tcPr>
            <w:tcW w:w="1742" w:type="dxa"/>
            <w:tcBorders>
              <w:top w:val="single" w:sz="8" w:space="0" w:color="auto"/>
              <w:left w:val="nil"/>
              <w:bottom w:val="single" w:sz="8" w:space="0" w:color="auto"/>
              <w:right w:val="single" w:sz="8" w:space="0" w:color="auto"/>
            </w:tcBorders>
            <w:shd w:val="clear" w:color="auto" w:fill="auto"/>
            <w:vAlign w:val="center"/>
            <w:hideMark/>
          </w:tcPr>
          <w:p w14:paraId="73C2F801" w14:textId="1A2FAFEA" w:rsidR="003C14CC" w:rsidRDefault="003C14CC" w:rsidP="009C255E">
            <w:pPr>
              <w:rPr>
                <w:rFonts w:ascii="Arial" w:hAnsi="Arial" w:cs="Arial"/>
                <w:color w:val="000000"/>
                <w:sz w:val="16"/>
                <w:szCs w:val="16"/>
              </w:rPr>
            </w:pPr>
            <w:r>
              <w:rPr>
                <w:rFonts w:ascii="Arial" w:hAnsi="Arial" w:cs="Arial"/>
                <w:color w:val="000000"/>
                <w:sz w:val="16"/>
                <w:szCs w:val="16"/>
              </w:rPr>
              <w:t xml:space="preserve">   1 820 000 000   </w:t>
            </w:r>
          </w:p>
        </w:tc>
        <w:tc>
          <w:tcPr>
            <w:tcW w:w="897" w:type="dxa"/>
            <w:tcBorders>
              <w:top w:val="single" w:sz="8" w:space="0" w:color="auto"/>
              <w:left w:val="nil"/>
              <w:bottom w:val="single" w:sz="8" w:space="0" w:color="auto"/>
              <w:right w:val="single" w:sz="8" w:space="0" w:color="auto"/>
            </w:tcBorders>
            <w:shd w:val="clear" w:color="auto" w:fill="auto"/>
            <w:vAlign w:val="center"/>
            <w:hideMark/>
          </w:tcPr>
          <w:p w14:paraId="19B132E1" w14:textId="77777777" w:rsidR="003C14CC" w:rsidRDefault="003C14CC" w:rsidP="00AB3787">
            <w:pPr>
              <w:rPr>
                <w:rFonts w:ascii="Arial" w:hAnsi="Arial" w:cs="Arial"/>
                <w:color w:val="000000"/>
                <w:sz w:val="16"/>
                <w:szCs w:val="16"/>
              </w:rPr>
            </w:pPr>
            <w:r>
              <w:rPr>
                <w:rFonts w:ascii="Arial" w:hAnsi="Arial" w:cs="Arial"/>
                <w:color w:val="000000"/>
                <w:sz w:val="16"/>
                <w:szCs w:val="16"/>
              </w:rPr>
              <w:t>97,33%</w:t>
            </w:r>
          </w:p>
        </w:tc>
      </w:tr>
      <w:tr w:rsidR="003C14CC" w14:paraId="161DCCB8" w14:textId="77777777" w:rsidTr="0097131B">
        <w:trPr>
          <w:trHeight w:val="315"/>
        </w:trPr>
        <w:tc>
          <w:tcPr>
            <w:tcW w:w="9458" w:type="dxa"/>
            <w:gridSpan w:val="4"/>
            <w:tcBorders>
              <w:top w:val="nil"/>
              <w:left w:val="nil"/>
              <w:bottom w:val="single" w:sz="8" w:space="0" w:color="auto"/>
              <w:right w:val="nil"/>
            </w:tcBorders>
            <w:shd w:val="clear" w:color="auto" w:fill="auto"/>
            <w:noWrap/>
            <w:vAlign w:val="center"/>
            <w:hideMark/>
          </w:tcPr>
          <w:p w14:paraId="2D7912A6" w14:textId="77777777" w:rsidR="003C14CC" w:rsidRDefault="003C14CC" w:rsidP="00AB3787">
            <w:pPr>
              <w:rPr>
                <w:rFonts w:ascii="Arial" w:hAnsi="Arial" w:cs="Arial"/>
                <w:sz w:val="20"/>
                <w:szCs w:val="20"/>
              </w:rPr>
            </w:pPr>
          </w:p>
          <w:p w14:paraId="18CD46B2" w14:textId="4B97A972" w:rsidR="003C14CC" w:rsidRDefault="00682B07" w:rsidP="007B1CB9">
            <w:pPr>
              <w:rPr>
                <w:rFonts w:ascii="Arial" w:hAnsi="Arial" w:cs="Arial"/>
                <w:color w:val="000000"/>
                <w:sz w:val="20"/>
                <w:szCs w:val="20"/>
              </w:rPr>
            </w:pPr>
            <w:r>
              <w:rPr>
                <w:rFonts w:ascii="Arial" w:hAnsi="Arial" w:cs="Arial"/>
                <w:sz w:val="20"/>
                <w:szCs w:val="20"/>
              </w:rPr>
              <w:t>Tabuľka č. 2</w:t>
            </w:r>
            <w:r w:rsidR="007B1CB9">
              <w:rPr>
                <w:rFonts w:ascii="Arial" w:hAnsi="Arial" w:cs="Arial"/>
                <w:sz w:val="20"/>
                <w:szCs w:val="20"/>
              </w:rPr>
              <w:t>4</w:t>
            </w:r>
            <w:r w:rsidR="003C14CC" w:rsidRPr="00AB3787">
              <w:rPr>
                <w:rFonts w:ascii="Arial" w:hAnsi="Arial" w:cs="Arial"/>
                <w:sz w:val="20"/>
                <w:szCs w:val="20"/>
              </w:rPr>
              <w:t>: Čerpanie finančných prostriedkov na prioritné témy v € - sumár</w:t>
            </w:r>
          </w:p>
        </w:tc>
      </w:tr>
      <w:tr w:rsidR="003C14CC" w14:paraId="1B37451D" w14:textId="77777777" w:rsidTr="007D7B08">
        <w:trPr>
          <w:trHeight w:val="1545"/>
        </w:trPr>
        <w:tc>
          <w:tcPr>
            <w:tcW w:w="879" w:type="dxa"/>
            <w:tcBorders>
              <w:top w:val="nil"/>
              <w:left w:val="single" w:sz="8" w:space="0" w:color="auto"/>
              <w:bottom w:val="single" w:sz="8" w:space="0" w:color="auto"/>
              <w:right w:val="single" w:sz="8" w:space="0" w:color="auto"/>
            </w:tcBorders>
            <w:shd w:val="clear" w:color="auto" w:fill="C2D69B" w:themeFill="accent3" w:themeFillTint="99"/>
            <w:vAlign w:val="center"/>
            <w:hideMark/>
          </w:tcPr>
          <w:p w14:paraId="10436F36" w14:textId="77777777" w:rsidR="003C14CC" w:rsidRPr="007831CE" w:rsidRDefault="003C14CC" w:rsidP="00EC5EAF">
            <w:pPr>
              <w:jc w:val="center"/>
              <w:rPr>
                <w:rFonts w:ascii="Arial" w:hAnsi="Arial" w:cs="Arial"/>
                <w:b/>
                <w:sz w:val="16"/>
                <w:szCs w:val="16"/>
              </w:rPr>
            </w:pPr>
            <w:r w:rsidRPr="007831CE">
              <w:rPr>
                <w:rFonts w:ascii="Arial" w:hAnsi="Arial" w:cs="Arial"/>
                <w:b/>
                <w:sz w:val="16"/>
                <w:szCs w:val="16"/>
              </w:rPr>
              <w:t>Kód</w:t>
            </w:r>
          </w:p>
        </w:tc>
        <w:tc>
          <w:tcPr>
            <w:tcW w:w="5940" w:type="dxa"/>
            <w:tcBorders>
              <w:top w:val="nil"/>
              <w:left w:val="nil"/>
              <w:bottom w:val="single" w:sz="8" w:space="0" w:color="auto"/>
              <w:right w:val="single" w:sz="8" w:space="0" w:color="auto"/>
            </w:tcBorders>
            <w:shd w:val="clear" w:color="auto" w:fill="C2D69B" w:themeFill="accent3" w:themeFillTint="99"/>
            <w:vAlign w:val="center"/>
            <w:hideMark/>
          </w:tcPr>
          <w:p w14:paraId="060E1F39" w14:textId="77777777" w:rsidR="003C14CC" w:rsidRPr="007831CE" w:rsidRDefault="003C14CC" w:rsidP="00EC5EAF">
            <w:pPr>
              <w:jc w:val="both"/>
              <w:rPr>
                <w:rFonts w:ascii="Arial" w:hAnsi="Arial" w:cs="Arial"/>
                <w:b/>
                <w:sz w:val="16"/>
                <w:szCs w:val="16"/>
              </w:rPr>
            </w:pPr>
            <w:r w:rsidRPr="007831CE">
              <w:rPr>
                <w:rFonts w:ascii="Arial" w:hAnsi="Arial" w:cs="Arial"/>
                <w:b/>
                <w:sz w:val="16"/>
                <w:szCs w:val="16"/>
              </w:rPr>
              <w:t>Prioritné témy (</w:t>
            </w:r>
            <w:r>
              <w:rPr>
                <w:rFonts w:ascii="Arial" w:hAnsi="Arial" w:cs="Arial"/>
                <w:b/>
                <w:sz w:val="16"/>
                <w:szCs w:val="16"/>
              </w:rPr>
              <w:t xml:space="preserve">príloha II nariadenia 1828/2006, resp. </w:t>
            </w:r>
            <w:r w:rsidRPr="007831CE">
              <w:rPr>
                <w:rFonts w:ascii="Arial" w:hAnsi="Arial" w:cs="Arial"/>
                <w:b/>
                <w:sz w:val="16"/>
                <w:szCs w:val="16"/>
              </w:rPr>
              <w:t>príloha IV, nariadenia 1083/2006)</w:t>
            </w:r>
          </w:p>
        </w:tc>
        <w:tc>
          <w:tcPr>
            <w:tcW w:w="1742" w:type="dxa"/>
            <w:tcBorders>
              <w:top w:val="nil"/>
              <w:left w:val="nil"/>
              <w:bottom w:val="single" w:sz="8" w:space="0" w:color="auto"/>
              <w:right w:val="single" w:sz="8" w:space="0" w:color="auto"/>
            </w:tcBorders>
            <w:shd w:val="clear" w:color="auto" w:fill="C2D69B" w:themeFill="accent3" w:themeFillTint="99"/>
            <w:vAlign w:val="center"/>
            <w:hideMark/>
          </w:tcPr>
          <w:p w14:paraId="66D06E73" w14:textId="77777777" w:rsidR="003C14CC" w:rsidRPr="007831CE" w:rsidRDefault="003C14CC" w:rsidP="00EC5EAF">
            <w:pPr>
              <w:jc w:val="both"/>
              <w:rPr>
                <w:rFonts w:ascii="Arial" w:hAnsi="Arial" w:cs="Arial"/>
                <w:b/>
                <w:sz w:val="16"/>
                <w:szCs w:val="16"/>
              </w:rPr>
            </w:pPr>
            <w:r w:rsidRPr="007831CE">
              <w:rPr>
                <w:rFonts w:ascii="Arial" w:hAnsi="Arial" w:cs="Arial"/>
                <w:b/>
                <w:sz w:val="16"/>
                <w:szCs w:val="16"/>
              </w:rPr>
              <w:t>Skutočne čerpané finančné prostriedky (EÚ zdroje) stav k 31.10.2016</w:t>
            </w:r>
          </w:p>
        </w:tc>
        <w:tc>
          <w:tcPr>
            <w:tcW w:w="897" w:type="dxa"/>
            <w:tcBorders>
              <w:top w:val="nil"/>
              <w:left w:val="nil"/>
              <w:bottom w:val="single" w:sz="8" w:space="0" w:color="auto"/>
              <w:right w:val="single" w:sz="8" w:space="0" w:color="auto"/>
            </w:tcBorders>
            <w:shd w:val="clear" w:color="auto" w:fill="C2D69B" w:themeFill="accent3" w:themeFillTint="99"/>
            <w:vAlign w:val="center"/>
            <w:hideMark/>
          </w:tcPr>
          <w:p w14:paraId="652A1A13" w14:textId="77777777" w:rsidR="003C14CC" w:rsidRPr="007831CE" w:rsidRDefault="003C14CC" w:rsidP="00EC5EAF">
            <w:pPr>
              <w:jc w:val="both"/>
              <w:rPr>
                <w:rFonts w:ascii="Arial" w:hAnsi="Arial" w:cs="Arial"/>
                <w:b/>
                <w:sz w:val="16"/>
                <w:szCs w:val="16"/>
              </w:rPr>
            </w:pPr>
            <w:r w:rsidRPr="007831CE">
              <w:rPr>
                <w:rFonts w:ascii="Arial" w:hAnsi="Arial" w:cs="Arial"/>
                <w:b/>
                <w:sz w:val="16"/>
                <w:szCs w:val="16"/>
              </w:rPr>
              <w:t>% z alokácie na L.A.</w:t>
            </w:r>
          </w:p>
        </w:tc>
      </w:tr>
      <w:tr w:rsidR="003C14CC" w14:paraId="3456BAE8" w14:textId="77777777" w:rsidTr="0097131B">
        <w:trPr>
          <w:trHeight w:val="315"/>
        </w:trPr>
        <w:tc>
          <w:tcPr>
            <w:tcW w:w="879" w:type="dxa"/>
            <w:tcBorders>
              <w:top w:val="nil"/>
              <w:left w:val="single" w:sz="8" w:space="0" w:color="auto"/>
              <w:bottom w:val="nil"/>
              <w:right w:val="single" w:sz="8" w:space="0" w:color="auto"/>
            </w:tcBorders>
            <w:shd w:val="clear" w:color="auto" w:fill="auto"/>
            <w:vAlign w:val="center"/>
            <w:hideMark/>
          </w:tcPr>
          <w:p w14:paraId="326326D4" w14:textId="77777777" w:rsidR="003C14CC" w:rsidRDefault="003C14CC" w:rsidP="00EC5EAF">
            <w:pPr>
              <w:jc w:val="center"/>
              <w:rPr>
                <w:rFonts w:ascii="Arial" w:hAnsi="Arial" w:cs="Arial"/>
                <w:color w:val="000000"/>
                <w:sz w:val="20"/>
                <w:szCs w:val="20"/>
              </w:rPr>
            </w:pPr>
            <w:r>
              <w:rPr>
                <w:rFonts w:ascii="Arial" w:hAnsi="Arial" w:cs="Arial"/>
                <w:color w:val="000000"/>
                <w:sz w:val="20"/>
                <w:szCs w:val="20"/>
              </w:rPr>
              <w:t> </w:t>
            </w:r>
          </w:p>
        </w:tc>
        <w:tc>
          <w:tcPr>
            <w:tcW w:w="8579" w:type="dxa"/>
            <w:gridSpan w:val="3"/>
            <w:tcBorders>
              <w:top w:val="single" w:sz="8" w:space="0" w:color="auto"/>
              <w:left w:val="nil"/>
              <w:bottom w:val="nil"/>
              <w:right w:val="single" w:sz="8" w:space="0" w:color="000000"/>
            </w:tcBorders>
            <w:shd w:val="clear" w:color="auto" w:fill="auto"/>
            <w:vAlign w:val="center"/>
            <w:hideMark/>
          </w:tcPr>
          <w:p w14:paraId="20D55CD2" w14:textId="77777777" w:rsidR="003C14CC" w:rsidRPr="007831CE" w:rsidRDefault="003C14CC" w:rsidP="00EC5EAF">
            <w:pPr>
              <w:jc w:val="center"/>
              <w:rPr>
                <w:rFonts w:ascii="Arial" w:hAnsi="Arial" w:cs="Arial"/>
                <w:sz w:val="16"/>
                <w:szCs w:val="16"/>
              </w:rPr>
            </w:pPr>
            <w:r w:rsidRPr="007831CE">
              <w:rPr>
                <w:rFonts w:ascii="Arial" w:hAnsi="Arial" w:cs="Arial"/>
                <w:sz w:val="16"/>
                <w:szCs w:val="16"/>
              </w:rPr>
              <w:t>Ochrana životného prostredia a predchádzanie rizikám</w:t>
            </w:r>
          </w:p>
        </w:tc>
      </w:tr>
      <w:tr w:rsidR="006911C5" w14:paraId="778DD872" w14:textId="77777777" w:rsidTr="006911C5">
        <w:trPr>
          <w:trHeight w:val="315"/>
        </w:trPr>
        <w:tc>
          <w:tcPr>
            <w:tcW w:w="879" w:type="dxa"/>
            <w:tcBorders>
              <w:top w:val="single" w:sz="8" w:space="0" w:color="auto"/>
              <w:left w:val="single" w:sz="8" w:space="0" w:color="auto"/>
              <w:bottom w:val="single" w:sz="4" w:space="0" w:color="auto"/>
              <w:right w:val="single" w:sz="4" w:space="0" w:color="auto"/>
            </w:tcBorders>
            <w:shd w:val="clear" w:color="auto" w:fill="EAF1DD" w:themeFill="accent3" w:themeFillTint="33"/>
            <w:noWrap/>
            <w:vAlign w:val="center"/>
            <w:hideMark/>
          </w:tcPr>
          <w:p w14:paraId="7E4D2F38" w14:textId="6C426818" w:rsidR="006911C5" w:rsidRPr="007831CE" w:rsidRDefault="006911C5" w:rsidP="006911C5">
            <w:pPr>
              <w:jc w:val="center"/>
              <w:rPr>
                <w:rFonts w:ascii="Arial" w:hAnsi="Arial" w:cs="Arial"/>
                <w:sz w:val="16"/>
                <w:szCs w:val="16"/>
              </w:rPr>
            </w:pPr>
            <w:r w:rsidRPr="006911C5">
              <w:rPr>
                <w:rFonts w:ascii="Arial" w:hAnsi="Arial" w:cs="Arial"/>
                <w:sz w:val="16"/>
                <w:szCs w:val="16"/>
              </w:rPr>
              <w:t>44</w:t>
            </w:r>
          </w:p>
        </w:tc>
        <w:tc>
          <w:tcPr>
            <w:tcW w:w="5940" w:type="dxa"/>
            <w:tcBorders>
              <w:top w:val="single" w:sz="8" w:space="0" w:color="auto"/>
              <w:left w:val="nil"/>
              <w:bottom w:val="single" w:sz="4" w:space="0" w:color="auto"/>
              <w:right w:val="nil"/>
            </w:tcBorders>
            <w:shd w:val="clear" w:color="auto" w:fill="EAF1DD" w:themeFill="accent3" w:themeFillTint="33"/>
            <w:noWrap/>
            <w:vAlign w:val="center"/>
            <w:hideMark/>
          </w:tcPr>
          <w:p w14:paraId="7219687C" w14:textId="03154DB1" w:rsidR="006911C5" w:rsidRPr="007831CE" w:rsidRDefault="006911C5" w:rsidP="006911C5">
            <w:pPr>
              <w:rPr>
                <w:rFonts w:ascii="Arial" w:hAnsi="Arial" w:cs="Arial"/>
                <w:sz w:val="16"/>
                <w:szCs w:val="16"/>
              </w:rPr>
            </w:pPr>
            <w:r w:rsidRPr="006911C5">
              <w:rPr>
                <w:rFonts w:ascii="Arial" w:hAnsi="Arial" w:cs="Arial"/>
                <w:sz w:val="16"/>
                <w:szCs w:val="16"/>
              </w:rPr>
              <w:t>Hospodárenie s domácim a priemyselným odpadom</w:t>
            </w:r>
          </w:p>
        </w:tc>
        <w:tc>
          <w:tcPr>
            <w:tcW w:w="1742"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14:paraId="53CA4186" w14:textId="65A354BF" w:rsidR="006911C5" w:rsidRPr="007831CE" w:rsidRDefault="006911C5" w:rsidP="006911C5">
            <w:pPr>
              <w:jc w:val="center"/>
              <w:rPr>
                <w:rFonts w:ascii="Arial" w:hAnsi="Arial" w:cs="Arial"/>
                <w:sz w:val="16"/>
                <w:szCs w:val="16"/>
              </w:rPr>
            </w:pPr>
            <w:r w:rsidRPr="006911C5">
              <w:rPr>
                <w:rFonts w:ascii="Arial" w:hAnsi="Arial" w:cs="Arial"/>
                <w:sz w:val="16"/>
                <w:szCs w:val="16"/>
              </w:rPr>
              <w:t>290 349 256</w:t>
            </w:r>
          </w:p>
        </w:tc>
        <w:tc>
          <w:tcPr>
            <w:tcW w:w="897" w:type="dxa"/>
            <w:tcBorders>
              <w:top w:val="single" w:sz="8" w:space="0" w:color="auto"/>
              <w:left w:val="nil"/>
              <w:bottom w:val="single" w:sz="4" w:space="0" w:color="auto"/>
              <w:right w:val="single" w:sz="8" w:space="0" w:color="auto"/>
            </w:tcBorders>
            <w:shd w:val="clear" w:color="auto" w:fill="auto"/>
            <w:noWrap/>
            <w:vAlign w:val="center"/>
            <w:hideMark/>
          </w:tcPr>
          <w:p w14:paraId="1140A1DA" w14:textId="330C4153" w:rsidR="006911C5" w:rsidRPr="007831CE" w:rsidRDefault="006911C5" w:rsidP="006911C5">
            <w:pPr>
              <w:jc w:val="center"/>
              <w:rPr>
                <w:rFonts w:ascii="Arial" w:hAnsi="Arial" w:cs="Arial"/>
                <w:sz w:val="16"/>
                <w:szCs w:val="16"/>
              </w:rPr>
            </w:pPr>
            <w:r w:rsidRPr="006911C5">
              <w:rPr>
                <w:rFonts w:ascii="Arial" w:hAnsi="Arial" w:cs="Arial"/>
                <w:sz w:val="16"/>
                <w:szCs w:val="16"/>
              </w:rPr>
              <w:t>16,39%</w:t>
            </w:r>
          </w:p>
        </w:tc>
      </w:tr>
      <w:tr w:rsidR="006911C5" w14:paraId="0E09B678" w14:textId="77777777" w:rsidTr="006911C5">
        <w:trPr>
          <w:trHeight w:val="315"/>
        </w:trPr>
        <w:tc>
          <w:tcPr>
            <w:tcW w:w="879" w:type="dxa"/>
            <w:tcBorders>
              <w:top w:val="nil"/>
              <w:left w:val="single" w:sz="8" w:space="0" w:color="auto"/>
              <w:bottom w:val="single" w:sz="4" w:space="0" w:color="auto"/>
              <w:right w:val="single" w:sz="4" w:space="0" w:color="auto"/>
            </w:tcBorders>
            <w:shd w:val="clear" w:color="auto" w:fill="EAF1DD" w:themeFill="accent3" w:themeFillTint="33"/>
            <w:noWrap/>
            <w:vAlign w:val="center"/>
            <w:hideMark/>
          </w:tcPr>
          <w:p w14:paraId="17B58CB8" w14:textId="526A403D" w:rsidR="006911C5" w:rsidRPr="007831CE" w:rsidRDefault="006911C5" w:rsidP="006911C5">
            <w:pPr>
              <w:jc w:val="center"/>
              <w:rPr>
                <w:rFonts w:ascii="Arial" w:hAnsi="Arial" w:cs="Arial"/>
                <w:sz w:val="16"/>
                <w:szCs w:val="16"/>
              </w:rPr>
            </w:pPr>
            <w:r w:rsidRPr="006911C5">
              <w:rPr>
                <w:rFonts w:ascii="Arial" w:hAnsi="Arial" w:cs="Arial"/>
                <w:sz w:val="16"/>
                <w:szCs w:val="16"/>
              </w:rPr>
              <w:t>45</w:t>
            </w:r>
          </w:p>
        </w:tc>
        <w:tc>
          <w:tcPr>
            <w:tcW w:w="5940" w:type="dxa"/>
            <w:tcBorders>
              <w:top w:val="nil"/>
              <w:left w:val="nil"/>
              <w:bottom w:val="single" w:sz="4" w:space="0" w:color="auto"/>
              <w:right w:val="nil"/>
            </w:tcBorders>
            <w:shd w:val="clear" w:color="auto" w:fill="EAF1DD" w:themeFill="accent3" w:themeFillTint="33"/>
            <w:noWrap/>
            <w:vAlign w:val="center"/>
            <w:hideMark/>
          </w:tcPr>
          <w:p w14:paraId="2AE439B3" w14:textId="1F6CB504" w:rsidR="006911C5" w:rsidRPr="007831CE" w:rsidRDefault="006911C5" w:rsidP="006911C5">
            <w:pPr>
              <w:rPr>
                <w:rFonts w:ascii="Arial" w:hAnsi="Arial" w:cs="Arial"/>
                <w:sz w:val="16"/>
                <w:szCs w:val="16"/>
              </w:rPr>
            </w:pPr>
            <w:r w:rsidRPr="006911C5">
              <w:rPr>
                <w:rFonts w:ascii="Arial" w:hAnsi="Arial" w:cs="Arial"/>
                <w:sz w:val="16"/>
                <w:szCs w:val="16"/>
              </w:rPr>
              <w:t>Hospodárenie s vodou a jej distribúcia (pitná voda)</w:t>
            </w:r>
          </w:p>
        </w:tc>
        <w:tc>
          <w:tcPr>
            <w:tcW w:w="1742" w:type="dxa"/>
            <w:tcBorders>
              <w:top w:val="nil"/>
              <w:left w:val="single" w:sz="8" w:space="0" w:color="auto"/>
              <w:bottom w:val="single" w:sz="4" w:space="0" w:color="auto"/>
              <w:right w:val="single" w:sz="8" w:space="0" w:color="auto"/>
            </w:tcBorders>
            <w:shd w:val="clear" w:color="000000" w:fill="FFFFFF"/>
            <w:noWrap/>
            <w:vAlign w:val="center"/>
            <w:hideMark/>
          </w:tcPr>
          <w:p w14:paraId="10864D1D" w14:textId="626D67F1" w:rsidR="006911C5" w:rsidRPr="007831CE" w:rsidRDefault="006911C5" w:rsidP="006911C5">
            <w:pPr>
              <w:jc w:val="center"/>
              <w:rPr>
                <w:rFonts w:ascii="Arial" w:hAnsi="Arial" w:cs="Arial"/>
                <w:sz w:val="16"/>
                <w:szCs w:val="16"/>
              </w:rPr>
            </w:pPr>
            <w:r w:rsidRPr="006911C5">
              <w:rPr>
                <w:rFonts w:ascii="Arial" w:hAnsi="Arial" w:cs="Arial"/>
                <w:sz w:val="16"/>
                <w:szCs w:val="16"/>
              </w:rPr>
              <w:t>79 902 845</w:t>
            </w:r>
          </w:p>
        </w:tc>
        <w:tc>
          <w:tcPr>
            <w:tcW w:w="897" w:type="dxa"/>
            <w:tcBorders>
              <w:top w:val="single" w:sz="8" w:space="0" w:color="auto"/>
              <w:left w:val="nil"/>
              <w:bottom w:val="single" w:sz="4" w:space="0" w:color="auto"/>
              <w:right w:val="single" w:sz="8" w:space="0" w:color="auto"/>
            </w:tcBorders>
            <w:shd w:val="clear" w:color="auto" w:fill="auto"/>
            <w:noWrap/>
            <w:vAlign w:val="center"/>
            <w:hideMark/>
          </w:tcPr>
          <w:p w14:paraId="0B491726" w14:textId="26AE65EF" w:rsidR="006911C5" w:rsidRPr="007831CE" w:rsidRDefault="006911C5" w:rsidP="006911C5">
            <w:pPr>
              <w:jc w:val="center"/>
              <w:rPr>
                <w:rFonts w:ascii="Arial" w:hAnsi="Arial" w:cs="Arial"/>
                <w:sz w:val="16"/>
                <w:szCs w:val="16"/>
              </w:rPr>
            </w:pPr>
            <w:r w:rsidRPr="006911C5">
              <w:rPr>
                <w:rFonts w:ascii="Arial" w:hAnsi="Arial" w:cs="Arial"/>
                <w:sz w:val="16"/>
                <w:szCs w:val="16"/>
              </w:rPr>
              <w:t>4,51%</w:t>
            </w:r>
          </w:p>
        </w:tc>
      </w:tr>
      <w:tr w:rsidR="006911C5" w14:paraId="72367AC9" w14:textId="77777777" w:rsidTr="006911C5">
        <w:trPr>
          <w:trHeight w:val="315"/>
        </w:trPr>
        <w:tc>
          <w:tcPr>
            <w:tcW w:w="879" w:type="dxa"/>
            <w:tcBorders>
              <w:top w:val="nil"/>
              <w:left w:val="single" w:sz="8" w:space="0" w:color="auto"/>
              <w:bottom w:val="single" w:sz="4" w:space="0" w:color="auto"/>
              <w:right w:val="single" w:sz="4" w:space="0" w:color="auto"/>
            </w:tcBorders>
            <w:shd w:val="clear" w:color="auto" w:fill="EAF1DD" w:themeFill="accent3" w:themeFillTint="33"/>
            <w:noWrap/>
            <w:vAlign w:val="center"/>
            <w:hideMark/>
          </w:tcPr>
          <w:p w14:paraId="25A9CCC6" w14:textId="2B5B4ACD" w:rsidR="006911C5" w:rsidRPr="007831CE" w:rsidRDefault="006911C5" w:rsidP="006911C5">
            <w:pPr>
              <w:jc w:val="center"/>
              <w:rPr>
                <w:rFonts w:ascii="Arial" w:hAnsi="Arial" w:cs="Arial"/>
                <w:sz w:val="16"/>
                <w:szCs w:val="16"/>
              </w:rPr>
            </w:pPr>
            <w:r w:rsidRPr="006911C5">
              <w:rPr>
                <w:rFonts w:ascii="Arial" w:hAnsi="Arial" w:cs="Arial"/>
                <w:sz w:val="16"/>
                <w:szCs w:val="16"/>
              </w:rPr>
              <w:t>46</w:t>
            </w:r>
          </w:p>
        </w:tc>
        <w:tc>
          <w:tcPr>
            <w:tcW w:w="5940" w:type="dxa"/>
            <w:tcBorders>
              <w:top w:val="nil"/>
              <w:left w:val="nil"/>
              <w:bottom w:val="single" w:sz="4" w:space="0" w:color="auto"/>
              <w:right w:val="nil"/>
            </w:tcBorders>
            <w:shd w:val="clear" w:color="auto" w:fill="EAF1DD" w:themeFill="accent3" w:themeFillTint="33"/>
            <w:noWrap/>
            <w:vAlign w:val="center"/>
            <w:hideMark/>
          </w:tcPr>
          <w:p w14:paraId="7E217DBA" w14:textId="1319AA17" w:rsidR="006911C5" w:rsidRPr="007831CE" w:rsidRDefault="006911C5" w:rsidP="006911C5">
            <w:pPr>
              <w:rPr>
                <w:rFonts w:ascii="Arial" w:hAnsi="Arial" w:cs="Arial"/>
                <w:sz w:val="16"/>
                <w:szCs w:val="16"/>
              </w:rPr>
            </w:pPr>
            <w:r w:rsidRPr="006911C5">
              <w:rPr>
                <w:rFonts w:ascii="Arial" w:hAnsi="Arial" w:cs="Arial"/>
                <w:sz w:val="16"/>
                <w:szCs w:val="16"/>
              </w:rPr>
              <w:t>Spracovanie vody (odpadová voda)</w:t>
            </w:r>
          </w:p>
        </w:tc>
        <w:tc>
          <w:tcPr>
            <w:tcW w:w="1742" w:type="dxa"/>
            <w:tcBorders>
              <w:top w:val="nil"/>
              <w:left w:val="single" w:sz="8" w:space="0" w:color="auto"/>
              <w:bottom w:val="single" w:sz="4" w:space="0" w:color="auto"/>
              <w:right w:val="single" w:sz="8" w:space="0" w:color="auto"/>
            </w:tcBorders>
            <w:shd w:val="clear" w:color="000000" w:fill="FFFFFF"/>
            <w:noWrap/>
            <w:vAlign w:val="center"/>
            <w:hideMark/>
          </w:tcPr>
          <w:p w14:paraId="65E13271" w14:textId="1CFCEA62" w:rsidR="006911C5" w:rsidRPr="007831CE" w:rsidRDefault="006911C5" w:rsidP="006911C5">
            <w:pPr>
              <w:jc w:val="center"/>
              <w:rPr>
                <w:rFonts w:ascii="Arial" w:hAnsi="Arial" w:cs="Arial"/>
                <w:sz w:val="16"/>
                <w:szCs w:val="16"/>
              </w:rPr>
            </w:pPr>
            <w:r w:rsidRPr="006911C5">
              <w:rPr>
                <w:rFonts w:ascii="Arial" w:hAnsi="Arial" w:cs="Arial"/>
                <w:sz w:val="16"/>
                <w:szCs w:val="16"/>
              </w:rPr>
              <w:t>791 288 300</w:t>
            </w:r>
          </w:p>
        </w:tc>
        <w:tc>
          <w:tcPr>
            <w:tcW w:w="897" w:type="dxa"/>
            <w:tcBorders>
              <w:top w:val="single" w:sz="8" w:space="0" w:color="auto"/>
              <w:left w:val="nil"/>
              <w:bottom w:val="single" w:sz="4" w:space="0" w:color="auto"/>
              <w:right w:val="single" w:sz="8" w:space="0" w:color="auto"/>
            </w:tcBorders>
            <w:shd w:val="clear" w:color="auto" w:fill="auto"/>
            <w:noWrap/>
            <w:vAlign w:val="center"/>
            <w:hideMark/>
          </w:tcPr>
          <w:p w14:paraId="0B590C38" w14:textId="1597871D" w:rsidR="006911C5" w:rsidRPr="007831CE" w:rsidRDefault="006911C5" w:rsidP="006911C5">
            <w:pPr>
              <w:jc w:val="center"/>
              <w:rPr>
                <w:rFonts w:ascii="Arial" w:hAnsi="Arial" w:cs="Arial"/>
                <w:sz w:val="16"/>
                <w:szCs w:val="16"/>
              </w:rPr>
            </w:pPr>
            <w:r w:rsidRPr="006911C5">
              <w:rPr>
                <w:rFonts w:ascii="Arial" w:hAnsi="Arial" w:cs="Arial"/>
                <w:sz w:val="16"/>
                <w:szCs w:val="16"/>
              </w:rPr>
              <w:t>44,67%</w:t>
            </w:r>
          </w:p>
        </w:tc>
      </w:tr>
      <w:tr w:rsidR="006911C5" w14:paraId="720204EB" w14:textId="77777777" w:rsidTr="006911C5">
        <w:trPr>
          <w:trHeight w:val="315"/>
        </w:trPr>
        <w:tc>
          <w:tcPr>
            <w:tcW w:w="879" w:type="dxa"/>
            <w:tcBorders>
              <w:top w:val="nil"/>
              <w:left w:val="single" w:sz="8" w:space="0" w:color="auto"/>
              <w:bottom w:val="single" w:sz="4" w:space="0" w:color="auto"/>
              <w:right w:val="single" w:sz="4" w:space="0" w:color="auto"/>
            </w:tcBorders>
            <w:shd w:val="clear" w:color="auto" w:fill="EAF1DD" w:themeFill="accent3" w:themeFillTint="33"/>
            <w:noWrap/>
            <w:vAlign w:val="center"/>
            <w:hideMark/>
          </w:tcPr>
          <w:p w14:paraId="2F1164EF" w14:textId="054E4CE2" w:rsidR="006911C5" w:rsidRPr="007831CE" w:rsidRDefault="006911C5" w:rsidP="006911C5">
            <w:pPr>
              <w:jc w:val="center"/>
              <w:rPr>
                <w:rFonts w:ascii="Arial" w:hAnsi="Arial" w:cs="Arial"/>
                <w:sz w:val="16"/>
                <w:szCs w:val="16"/>
              </w:rPr>
            </w:pPr>
            <w:r w:rsidRPr="006911C5">
              <w:rPr>
                <w:rFonts w:ascii="Arial" w:hAnsi="Arial" w:cs="Arial"/>
                <w:sz w:val="16"/>
                <w:szCs w:val="16"/>
              </w:rPr>
              <w:t>47</w:t>
            </w:r>
          </w:p>
        </w:tc>
        <w:tc>
          <w:tcPr>
            <w:tcW w:w="5940" w:type="dxa"/>
            <w:tcBorders>
              <w:top w:val="nil"/>
              <w:left w:val="nil"/>
              <w:bottom w:val="single" w:sz="4" w:space="0" w:color="auto"/>
              <w:right w:val="nil"/>
            </w:tcBorders>
            <w:shd w:val="clear" w:color="auto" w:fill="EAF1DD" w:themeFill="accent3" w:themeFillTint="33"/>
            <w:noWrap/>
            <w:vAlign w:val="center"/>
            <w:hideMark/>
          </w:tcPr>
          <w:p w14:paraId="4959FEAA" w14:textId="12E9C444" w:rsidR="006911C5" w:rsidRPr="007831CE" w:rsidRDefault="006911C5" w:rsidP="006911C5">
            <w:pPr>
              <w:rPr>
                <w:rFonts w:ascii="Arial" w:hAnsi="Arial" w:cs="Arial"/>
                <w:sz w:val="16"/>
                <w:szCs w:val="16"/>
              </w:rPr>
            </w:pPr>
            <w:r w:rsidRPr="006911C5">
              <w:rPr>
                <w:rFonts w:ascii="Arial" w:hAnsi="Arial" w:cs="Arial"/>
                <w:sz w:val="16"/>
                <w:szCs w:val="16"/>
              </w:rPr>
              <w:t>Kvalita vzduchu</w:t>
            </w:r>
          </w:p>
        </w:tc>
        <w:tc>
          <w:tcPr>
            <w:tcW w:w="1742" w:type="dxa"/>
            <w:tcBorders>
              <w:top w:val="nil"/>
              <w:left w:val="single" w:sz="8" w:space="0" w:color="auto"/>
              <w:bottom w:val="single" w:sz="4" w:space="0" w:color="auto"/>
              <w:right w:val="single" w:sz="8" w:space="0" w:color="auto"/>
            </w:tcBorders>
            <w:shd w:val="clear" w:color="auto" w:fill="auto"/>
            <w:noWrap/>
            <w:vAlign w:val="center"/>
            <w:hideMark/>
          </w:tcPr>
          <w:p w14:paraId="1C8B916F" w14:textId="04CE9F20" w:rsidR="006911C5" w:rsidRPr="007831CE" w:rsidRDefault="006911C5" w:rsidP="006911C5">
            <w:pPr>
              <w:jc w:val="center"/>
              <w:rPr>
                <w:rFonts w:ascii="Arial" w:hAnsi="Arial" w:cs="Arial"/>
                <w:sz w:val="16"/>
                <w:szCs w:val="16"/>
              </w:rPr>
            </w:pPr>
            <w:r w:rsidRPr="006911C5">
              <w:rPr>
                <w:rFonts w:ascii="Arial" w:hAnsi="Arial" w:cs="Arial"/>
                <w:sz w:val="16"/>
                <w:szCs w:val="16"/>
              </w:rPr>
              <w:t>110 404 082</w:t>
            </w:r>
          </w:p>
        </w:tc>
        <w:tc>
          <w:tcPr>
            <w:tcW w:w="897" w:type="dxa"/>
            <w:tcBorders>
              <w:top w:val="single" w:sz="8" w:space="0" w:color="auto"/>
              <w:left w:val="nil"/>
              <w:bottom w:val="single" w:sz="4" w:space="0" w:color="auto"/>
              <w:right w:val="single" w:sz="8" w:space="0" w:color="auto"/>
            </w:tcBorders>
            <w:shd w:val="clear" w:color="auto" w:fill="auto"/>
            <w:noWrap/>
            <w:vAlign w:val="center"/>
            <w:hideMark/>
          </w:tcPr>
          <w:p w14:paraId="3157025A" w14:textId="7DAF9C6C" w:rsidR="006911C5" w:rsidRPr="007831CE" w:rsidRDefault="006911C5" w:rsidP="006911C5">
            <w:pPr>
              <w:jc w:val="center"/>
              <w:rPr>
                <w:rFonts w:ascii="Arial" w:hAnsi="Arial" w:cs="Arial"/>
                <w:sz w:val="16"/>
                <w:szCs w:val="16"/>
              </w:rPr>
            </w:pPr>
            <w:r w:rsidRPr="006911C5">
              <w:rPr>
                <w:rFonts w:ascii="Arial" w:hAnsi="Arial" w:cs="Arial"/>
                <w:sz w:val="16"/>
                <w:szCs w:val="16"/>
              </w:rPr>
              <w:t>6,23%</w:t>
            </w:r>
          </w:p>
        </w:tc>
      </w:tr>
      <w:tr w:rsidR="006911C5" w14:paraId="20E9AD8B" w14:textId="77777777" w:rsidTr="006911C5">
        <w:trPr>
          <w:trHeight w:val="315"/>
        </w:trPr>
        <w:tc>
          <w:tcPr>
            <w:tcW w:w="879" w:type="dxa"/>
            <w:tcBorders>
              <w:top w:val="nil"/>
              <w:left w:val="single" w:sz="8" w:space="0" w:color="auto"/>
              <w:bottom w:val="single" w:sz="4" w:space="0" w:color="auto"/>
              <w:right w:val="single" w:sz="4" w:space="0" w:color="auto"/>
            </w:tcBorders>
            <w:shd w:val="clear" w:color="auto" w:fill="EAF1DD" w:themeFill="accent3" w:themeFillTint="33"/>
            <w:noWrap/>
            <w:vAlign w:val="center"/>
            <w:hideMark/>
          </w:tcPr>
          <w:p w14:paraId="52839D7C" w14:textId="0199F6A1" w:rsidR="006911C5" w:rsidRPr="007831CE" w:rsidRDefault="006911C5" w:rsidP="006911C5">
            <w:pPr>
              <w:jc w:val="center"/>
              <w:rPr>
                <w:rFonts w:ascii="Arial" w:hAnsi="Arial" w:cs="Arial"/>
                <w:sz w:val="16"/>
                <w:szCs w:val="16"/>
              </w:rPr>
            </w:pPr>
            <w:r w:rsidRPr="006911C5">
              <w:rPr>
                <w:rFonts w:ascii="Arial" w:hAnsi="Arial" w:cs="Arial"/>
                <w:sz w:val="16"/>
                <w:szCs w:val="16"/>
              </w:rPr>
              <w:t>49</w:t>
            </w:r>
          </w:p>
        </w:tc>
        <w:tc>
          <w:tcPr>
            <w:tcW w:w="5940" w:type="dxa"/>
            <w:tcBorders>
              <w:top w:val="nil"/>
              <w:left w:val="nil"/>
              <w:bottom w:val="single" w:sz="4" w:space="0" w:color="auto"/>
              <w:right w:val="nil"/>
            </w:tcBorders>
            <w:shd w:val="clear" w:color="auto" w:fill="EAF1DD" w:themeFill="accent3" w:themeFillTint="33"/>
            <w:noWrap/>
            <w:vAlign w:val="center"/>
            <w:hideMark/>
          </w:tcPr>
          <w:p w14:paraId="1E3D9077" w14:textId="661F79FF" w:rsidR="006911C5" w:rsidRPr="007831CE" w:rsidRDefault="006911C5" w:rsidP="006911C5">
            <w:pPr>
              <w:rPr>
                <w:rFonts w:ascii="Arial" w:hAnsi="Arial" w:cs="Arial"/>
                <w:sz w:val="16"/>
                <w:szCs w:val="16"/>
              </w:rPr>
            </w:pPr>
            <w:r w:rsidRPr="006911C5">
              <w:rPr>
                <w:rFonts w:ascii="Arial" w:hAnsi="Arial" w:cs="Arial"/>
                <w:sz w:val="16"/>
                <w:szCs w:val="16"/>
              </w:rPr>
              <w:t>Zmierňovanie klimatickej zmeny a prispôsobovanie sa klimatickej zmene</w:t>
            </w:r>
          </w:p>
        </w:tc>
        <w:tc>
          <w:tcPr>
            <w:tcW w:w="1742" w:type="dxa"/>
            <w:tcBorders>
              <w:top w:val="nil"/>
              <w:left w:val="single" w:sz="8" w:space="0" w:color="auto"/>
              <w:bottom w:val="single" w:sz="4" w:space="0" w:color="auto"/>
              <w:right w:val="single" w:sz="8" w:space="0" w:color="auto"/>
            </w:tcBorders>
            <w:shd w:val="clear" w:color="auto" w:fill="auto"/>
            <w:noWrap/>
            <w:vAlign w:val="center"/>
            <w:hideMark/>
          </w:tcPr>
          <w:p w14:paraId="3ADBE6B8" w14:textId="44D8C6B7" w:rsidR="006911C5" w:rsidRPr="007831CE" w:rsidRDefault="006911C5" w:rsidP="006911C5">
            <w:pPr>
              <w:jc w:val="center"/>
              <w:rPr>
                <w:rFonts w:ascii="Arial" w:hAnsi="Arial" w:cs="Arial"/>
                <w:sz w:val="16"/>
                <w:szCs w:val="16"/>
              </w:rPr>
            </w:pPr>
            <w:r w:rsidRPr="006911C5">
              <w:rPr>
                <w:rFonts w:ascii="Arial" w:hAnsi="Arial" w:cs="Arial"/>
                <w:sz w:val="16"/>
                <w:szCs w:val="16"/>
              </w:rPr>
              <w:t>37 113 999</w:t>
            </w:r>
          </w:p>
        </w:tc>
        <w:tc>
          <w:tcPr>
            <w:tcW w:w="897" w:type="dxa"/>
            <w:tcBorders>
              <w:top w:val="single" w:sz="8" w:space="0" w:color="auto"/>
              <w:left w:val="nil"/>
              <w:bottom w:val="single" w:sz="4" w:space="0" w:color="auto"/>
              <w:right w:val="single" w:sz="8" w:space="0" w:color="auto"/>
            </w:tcBorders>
            <w:shd w:val="clear" w:color="auto" w:fill="auto"/>
            <w:noWrap/>
            <w:vAlign w:val="center"/>
            <w:hideMark/>
          </w:tcPr>
          <w:p w14:paraId="212EF13E" w14:textId="45FE79C5" w:rsidR="006911C5" w:rsidRPr="007831CE" w:rsidRDefault="006911C5" w:rsidP="006911C5">
            <w:pPr>
              <w:jc w:val="center"/>
              <w:rPr>
                <w:rFonts w:ascii="Arial" w:hAnsi="Arial" w:cs="Arial"/>
                <w:sz w:val="16"/>
                <w:szCs w:val="16"/>
              </w:rPr>
            </w:pPr>
            <w:r w:rsidRPr="006911C5">
              <w:rPr>
                <w:rFonts w:ascii="Arial" w:hAnsi="Arial" w:cs="Arial"/>
                <w:sz w:val="16"/>
                <w:szCs w:val="16"/>
              </w:rPr>
              <w:t>2,10%</w:t>
            </w:r>
          </w:p>
        </w:tc>
      </w:tr>
      <w:tr w:rsidR="006911C5" w14:paraId="31CC1FE0" w14:textId="77777777" w:rsidTr="006911C5">
        <w:trPr>
          <w:trHeight w:val="315"/>
        </w:trPr>
        <w:tc>
          <w:tcPr>
            <w:tcW w:w="879" w:type="dxa"/>
            <w:tcBorders>
              <w:top w:val="nil"/>
              <w:left w:val="single" w:sz="8" w:space="0" w:color="auto"/>
              <w:bottom w:val="single" w:sz="4" w:space="0" w:color="auto"/>
              <w:right w:val="single" w:sz="4" w:space="0" w:color="auto"/>
            </w:tcBorders>
            <w:shd w:val="clear" w:color="auto" w:fill="EAF1DD" w:themeFill="accent3" w:themeFillTint="33"/>
            <w:noWrap/>
            <w:vAlign w:val="center"/>
            <w:hideMark/>
          </w:tcPr>
          <w:p w14:paraId="3FB3750E" w14:textId="603E1A1F" w:rsidR="006911C5" w:rsidRPr="007831CE" w:rsidRDefault="006911C5" w:rsidP="006911C5">
            <w:pPr>
              <w:jc w:val="center"/>
              <w:rPr>
                <w:rFonts w:ascii="Arial" w:hAnsi="Arial" w:cs="Arial"/>
                <w:sz w:val="16"/>
                <w:szCs w:val="16"/>
              </w:rPr>
            </w:pPr>
            <w:r w:rsidRPr="006911C5">
              <w:rPr>
                <w:rFonts w:ascii="Arial" w:hAnsi="Arial" w:cs="Arial"/>
                <w:sz w:val="16"/>
                <w:szCs w:val="16"/>
              </w:rPr>
              <w:t>50</w:t>
            </w:r>
          </w:p>
        </w:tc>
        <w:tc>
          <w:tcPr>
            <w:tcW w:w="5940" w:type="dxa"/>
            <w:tcBorders>
              <w:top w:val="nil"/>
              <w:left w:val="nil"/>
              <w:bottom w:val="single" w:sz="4" w:space="0" w:color="auto"/>
              <w:right w:val="nil"/>
            </w:tcBorders>
            <w:shd w:val="clear" w:color="auto" w:fill="EAF1DD" w:themeFill="accent3" w:themeFillTint="33"/>
            <w:noWrap/>
            <w:vAlign w:val="center"/>
            <w:hideMark/>
          </w:tcPr>
          <w:p w14:paraId="629E5F78" w14:textId="5CA41CCD" w:rsidR="006911C5" w:rsidRPr="007831CE" w:rsidRDefault="006911C5" w:rsidP="006911C5">
            <w:pPr>
              <w:rPr>
                <w:rFonts w:ascii="Arial" w:hAnsi="Arial" w:cs="Arial"/>
                <w:sz w:val="16"/>
                <w:szCs w:val="16"/>
              </w:rPr>
            </w:pPr>
            <w:r w:rsidRPr="006911C5">
              <w:rPr>
                <w:rFonts w:ascii="Arial" w:hAnsi="Arial" w:cs="Arial"/>
                <w:sz w:val="16"/>
                <w:szCs w:val="16"/>
              </w:rPr>
              <w:t>Ozdravovanie priemyselných lokalít a kontaminovanej pôdy</w:t>
            </w:r>
          </w:p>
        </w:tc>
        <w:tc>
          <w:tcPr>
            <w:tcW w:w="1742" w:type="dxa"/>
            <w:tcBorders>
              <w:top w:val="nil"/>
              <w:left w:val="single" w:sz="8" w:space="0" w:color="auto"/>
              <w:bottom w:val="single" w:sz="4" w:space="0" w:color="auto"/>
              <w:right w:val="single" w:sz="8" w:space="0" w:color="auto"/>
            </w:tcBorders>
            <w:shd w:val="clear" w:color="auto" w:fill="auto"/>
            <w:noWrap/>
            <w:vAlign w:val="center"/>
            <w:hideMark/>
          </w:tcPr>
          <w:p w14:paraId="70C16013" w14:textId="3D077EC0" w:rsidR="006911C5" w:rsidRPr="007831CE" w:rsidRDefault="006911C5" w:rsidP="006911C5">
            <w:pPr>
              <w:jc w:val="center"/>
              <w:rPr>
                <w:rFonts w:ascii="Arial" w:hAnsi="Arial" w:cs="Arial"/>
                <w:sz w:val="16"/>
                <w:szCs w:val="16"/>
              </w:rPr>
            </w:pPr>
            <w:r w:rsidRPr="006911C5">
              <w:rPr>
                <w:rFonts w:ascii="Arial" w:hAnsi="Arial" w:cs="Arial"/>
                <w:sz w:val="16"/>
                <w:szCs w:val="16"/>
              </w:rPr>
              <w:t>60 623 506</w:t>
            </w:r>
          </w:p>
        </w:tc>
        <w:tc>
          <w:tcPr>
            <w:tcW w:w="897" w:type="dxa"/>
            <w:tcBorders>
              <w:top w:val="single" w:sz="8" w:space="0" w:color="auto"/>
              <w:left w:val="nil"/>
              <w:bottom w:val="single" w:sz="4" w:space="0" w:color="auto"/>
              <w:right w:val="single" w:sz="8" w:space="0" w:color="auto"/>
            </w:tcBorders>
            <w:shd w:val="clear" w:color="auto" w:fill="auto"/>
            <w:noWrap/>
            <w:vAlign w:val="center"/>
            <w:hideMark/>
          </w:tcPr>
          <w:p w14:paraId="458F9ECE" w14:textId="1A31B5A3" w:rsidR="006911C5" w:rsidRPr="007831CE" w:rsidRDefault="006911C5" w:rsidP="006911C5">
            <w:pPr>
              <w:jc w:val="center"/>
              <w:rPr>
                <w:rFonts w:ascii="Arial" w:hAnsi="Arial" w:cs="Arial"/>
                <w:sz w:val="16"/>
                <w:szCs w:val="16"/>
              </w:rPr>
            </w:pPr>
            <w:r w:rsidRPr="006911C5">
              <w:rPr>
                <w:rFonts w:ascii="Arial" w:hAnsi="Arial" w:cs="Arial"/>
                <w:sz w:val="16"/>
                <w:szCs w:val="16"/>
              </w:rPr>
              <w:t>3,42%</w:t>
            </w:r>
          </w:p>
        </w:tc>
      </w:tr>
      <w:tr w:rsidR="006911C5" w14:paraId="191BFF90" w14:textId="77777777" w:rsidTr="006911C5">
        <w:trPr>
          <w:trHeight w:val="315"/>
        </w:trPr>
        <w:tc>
          <w:tcPr>
            <w:tcW w:w="879" w:type="dxa"/>
            <w:tcBorders>
              <w:top w:val="nil"/>
              <w:left w:val="single" w:sz="8" w:space="0" w:color="auto"/>
              <w:bottom w:val="single" w:sz="4" w:space="0" w:color="auto"/>
              <w:right w:val="single" w:sz="4" w:space="0" w:color="auto"/>
            </w:tcBorders>
            <w:shd w:val="clear" w:color="auto" w:fill="EAF1DD" w:themeFill="accent3" w:themeFillTint="33"/>
            <w:noWrap/>
            <w:vAlign w:val="center"/>
            <w:hideMark/>
          </w:tcPr>
          <w:p w14:paraId="7EEFA272" w14:textId="49345329" w:rsidR="006911C5" w:rsidRPr="007831CE" w:rsidRDefault="006911C5" w:rsidP="006911C5">
            <w:pPr>
              <w:jc w:val="center"/>
              <w:rPr>
                <w:rFonts w:ascii="Arial" w:hAnsi="Arial" w:cs="Arial"/>
                <w:sz w:val="16"/>
                <w:szCs w:val="16"/>
              </w:rPr>
            </w:pPr>
            <w:r w:rsidRPr="006911C5">
              <w:rPr>
                <w:rFonts w:ascii="Arial" w:hAnsi="Arial" w:cs="Arial"/>
                <w:sz w:val="16"/>
                <w:szCs w:val="16"/>
              </w:rPr>
              <w:t>51</w:t>
            </w:r>
          </w:p>
        </w:tc>
        <w:tc>
          <w:tcPr>
            <w:tcW w:w="5940" w:type="dxa"/>
            <w:tcBorders>
              <w:top w:val="nil"/>
              <w:left w:val="nil"/>
              <w:bottom w:val="single" w:sz="4" w:space="0" w:color="auto"/>
              <w:right w:val="nil"/>
            </w:tcBorders>
            <w:shd w:val="clear" w:color="auto" w:fill="EAF1DD" w:themeFill="accent3" w:themeFillTint="33"/>
            <w:noWrap/>
            <w:vAlign w:val="center"/>
            <w:hideMark/>
          </w:tcPr>
          <w:p w14:paraId="4A37F9F5" w14:textId="4DE85C88" w:rsidR="006911C5" w:rsidRPr="007831CE" w:rsidRDefault="006911C5" w:rsidP="006911C5">
            <w:pPr>
              <w:rPr>
                <w:rFonts w:ascii="Arial" w:hAnsi="Arial" w:cs="Arial"/>
                <w:sz w:val="16"/>
                <w:szCs w:val="16"/>
              </w:rPr>
            </w:pPr>
            <w:r w:rsidRPr="006911C5">
              <w:rPr>
                <w:rFonts w:ascii="Arial" w:hAnsi="Arial" w:cs="Arial"/>
                <w:sz w:val="16"/>
                <w:szCs w:val="16"/>
              </w:rPr>
              <w:t>Podpora biodiverzity a ochrana prírody (vrátane Natura 2000)</w:t>
            </w:r>
          </w:p>
        </w:tc>
        <w:tc>
          <w:tcPr>
            <w:tcW w:w="1742" w:type="dxa"/>
            <w:tcBorders>
              <w:top w:val="nil"/>
              <w:left w:val="single" w:sz="8" w:space="0" w:color="auto"/>
              <w:bottom w:val="single" w:sz="4" w:space="0" w:color="auto"/>
              <w:right w:val="single" w:sz="8" w:space="0" w:color="auto"/>
            </w:tcBorders>
            <w:shd w:val="clear" w:color="000000" w:fill="FFFFFF"/>
            <w:noWrap/>
            <w:vAlign w:val="center"/>
            <w:hideMark/>
          </w:tcPr>
          <w:p w14:paraId="607D004C" w14:textId="429CD2A9" w:rsidR="006911C5" w:rsidRPr="007831CE" w:rsidRDefault="006911C5" w:rsidP="006911C5">
            <w:pPr>
              <w:jc w:val="center"/>
              <w:rPr>
                <w:rFonts w:ascii="Arial" w:hAnsi="Arial" w:cs="Arial"/>
                <w:sz w:val="16"/>
                <w:szCs w:val="16"/>
              </w:rPr>
            </w:pPr>
            <w:r w:rsidRPr="006911C5">
              <w:rPr>
                <w:rFonts w:ascii="Arial" w:hAnsi="Arial" w:cs="Arial"/>
                <w:sz w:val="16"/>
                <w:szCs w:val="16"/>
              </w:rPr>
              <w:t>33 788 006</w:t>
            </w:r>
          </w:p>
        </w:tc>
        <w:tc>
          <w:tcPr>
            <w:tcW w:w="897" w:type="dxa"/>
            <w:tcBorders>
              <w:top w:val="single" w:sz="8" w:space="0" w:color="auto"/>
              <w:left w:val="nil"/>
              <w:bottom w:val="single" w:sz="4" w:space="0" w:color="auto"/>
              <w:right w:val="single" w:sz="8" w:space="0" w:color="auto"/>
            </w:tcBorders>
            <w:shd w:val="clear" w:color="auto" w:fill="auto"/>
            <w:noWrap/>
            <w:vAlign w:val="center"/>
            <w:hideMark/>
          </w:tcPr>
          <w:p w14:paraId="36814AB6" w14:textId="62C1E201" w:rsidR="006911C5" w:rsidRPr="007831CE" w:rsidRDefault="006911C5" w:rsidP="006911C5">
            <w:pPr>
              <w:jc w:val="center"/>
              <w:rPr>
                <w:rFonts w:ascii="Arial" w:hAnsi="Arial" w:cs="Arial"/>
                <w:sz w:val="16"/>
                <w:szCs w:val="16"/>
              </w:rPr>
            </w:pPr>
            <w:r w:rsidRPr="006911C5">
              <w:rPr>
                <w:rFonts w:ascii="Arial" w:hAnsi="Arial" w:cs="Arial"/>
                <w:sz w:val="16"/>
                <w:szCs w:val="16"/>
              </w:rPr>
              <w:t>1,91%</w:t>
            </w:r>
          </w:p>
        </w:tc>
      </w:tr>
      <w:tr w:rsidR="006911C5" w14:paraId="2A7753D1" w14:textId="77777777" w:rsidTr="006911C5">
        <w:trPr>
          <w:trHeight w:val="315"/>
        </w:trPr>
        <w:tc>
          <w:tcPr>
            <w:tcW w:w="879" w:type="dxa"/>
            <w:tcBorders>
              <w:top w:val="nil"/>
              <w:left w:val="single" w:sz="8" w:space="0" w:color="auto"/>
              <w:bottom w:val="single" w:sz="4" w:space="0" w:color="auto"/>
              <w:right w:val="single" w:sz="4" w:space="0" w:color="auto"/>
            </w:tcBorders>
            <w:shd w:val="clear" w:color="auto" w:fill="EAF1DD" w:themeFill="accent3" w:themeFillTint="33"/>
            <w:noWrap/>
            <w:vAlign w:val="center"/>
            <w:hideMark/>
          </w:tcPr>
          <w:p w14:paraId="6227E9D0" w14:textId="2BFB6ADF" w:rsidR="006911C5" w:rsidRPr="007831CE" w:rsidRDefault="006911C5" w:rsidP="006911C5">
            <w:pPr>
              <w:jc w:val="center"/>
              <w:rPr>
                <w:rFonts w:ascii="Arial" w:hAnsi="Arial" w:cs="Arial"/>
                <w:sz w:val="16"/>
                <w:szCs w:val="16"/>
              </w:rPr>
            </w:pPr>
            <w:r w:rsidRPr="006911C5">
              <w:rPr>
                <w:rFonts w:ascii="Arial" w:hAnsi="Arial" w:cs="Arial"/>
                <w:sz w:val="16"/>
                <w:szCs w:val="16"/>
              </w:rPr>
              <w:t>53</w:t>
            </w:r>
          </w:p>
        </w:tc>
        <w:tc>
          <w:tcPr>
            <w:tcW w:w="5940" w:type="dxa"/>
            <w:tcBorders>
              <w:top w:val="nil"/>
              <w:left w:val="nil"/>
              <w:bottom w:val="single" w:sz="4" w:space="0" w:color="auto"/>
              <w:right w:val="nil"/>
            </w:tcBorders>
            <w:shd w:val="clear" w:color="auto" w:fill="EAF1DD" w:themeFill="accent3" w:themeFillTint="33"/>
            <w:noWrap/>
            <w:vAlign w:val="center"/>
            <w:hideMark/>
          </w:tcPr>
          <w:p w14:paraId="3041BABD" w14:textId="10F0D695" w:rsidR="006911C5" w:rsidRPr="007831CE" w:rsidRDefault="006911C5" w:rsidP="006911C5">
            <w:pPr>
              <w:rPr>
                <w:rFonts w:ascii="Arial" w:hAnsi="Arial" w:cs="Arial"/>
                <w:sz w:val="16"/>
                <w:szCs w:val="16"/>
              </w:rPr>
            </w:pPr>
            <w:r w:rsidRPr="006911C5">
              <w:rPr>
                <w:rFonts w:ascii="Arial" w:hAnsi="Arial" w:cs="Arial"/>
                <w:sz w:val="16"/>
                <w:szCs w:val="16"/>
              </w:rPr>
              <w:t>Predchádzanie rizikám</w:t>
            </w:r>
          </w:p>
        </w:tc>
        <w:tc>
          <w:tcPr>
            <w:tcW w:w="1742" w:type="dxa"/>
            <w:tcBorders>
              <w:top w:val="nil"/>
              <w:left w:val="single" w:sz="8" w:space="0" w:color="auto"/>
              <w:bottom w:val="single" w:sz="4" w:space="0" w:color="auto"/>
              <w:right w:val="single" w:sz="8" w:space="0" w:color="auto"/>
            </w:tcBorders>
            <w:shd w:val="clear" w:color="000000" w:fill="FFFFFF"/>
            <w:noWrap/>
            <w:vAlign w:val="center"/>
            <w:hideMark/>
          </w:tcPr>
          <w:p w14:paraId="64A5A6E5" w14:textId="70B28952" w:rsidR="006911C5" w:rsidRPr="007831CE" w:rsidRDefault="006911C5" w:rsidP="006911C5">
            <w:pPr>
              <w:jc w:val="center"/>
              <w:rPr>
                <w:rFonts w:ascii="Arial" w:hAnsi="Arial" w:cs="Arial"/>
                <w:sz w:val="16"/>
                <w:szCs w:val="16"/>
              </w:rPr>
            </w:pPr>
            <w:r w:rsidRPr="006911C5">
              <w:rPr>
                <w:rFonts w:ascii="Arial" w:hAnsi="Arial" w:cs="Arial"/>
                <w:sz w:val="16"/>
                <w:szCs w:val="16"/>
              </w:rPr>
              <w:t>275 300 989</w:t>
            </w:r>
          </w:p>
        </w:tc>
        <w:tc>
          <w:tcPr>
            <w:tcW w:w="897" w:type="dxa"/>
            <w:tcBorders>
              <w:top w:val="single" w:sz="8" w:space="0" w:color="auto"/>
              <w:left w:val="nil"/>
              <w:bottom w:val="single" w:sz="4" w:space="0" w:color="auto"/>
              <w:right w:val="single" w:sz="8" w:space="0" w:color="auto"/>
            </w:tcBorders>
            <w:shd w:val="clear" w:color="auto" w:fill="auto"/>
            <w:noWrap/>
            <w:vAlign w:val="center"/>
            <w:hideMark/>
          </w:tcPr>
          <w:p w14:paraId="42008EE9" w14:textId="3496E574" w:rsidR="006911C5" w:rsidRPr="007831CE" w:rsidRDefault="006911C5" w:rsidP="006911C5">
            <w:pPr>
              <w:jc w:val="center"/>
              <w:rPr>
                <w:rFonts w:ascii="Arial" w:hAnsi="Arial" w:cs="Arial"/>
                <w:sz w:val="16"/>
                <w:szCs w:val="16"/>
              </w:rPr>
            </w:pPr>
            <w:r w:rsidRPr="006911C5">
              <w:rPr>
                <w:rFonts w:ascii="Arial" w:hAnsi="Arial" w:cs="Arial"/>
                <w:sz w:val="16"/>
                <w:szCs w:val="16"/>
              </w:rPr>
              <w:t>15,54%</w:t>
            </w:r>
          </w:p>
        </w:tc>
      </w:tr>
      <w:tr w:rsidR="006911C5" w14:paraId="25088721" w14:textId="77777777" w:rsidTr="006911C5">
        <w:trPr>
          <w:trHeight w:val="315"/>
        </w:trPr>
        <w:tc>
          <w:tcPr>
            <w:tcW w:w="879" w:type="dxa"/>
            <w:tcBorders>
              <w:top w:val="nil"/>
              <w:left w:val="single" w:sz="8" w:space="0" w:color="auto"/>
              <w:bottom w:val="single" w:sz="8" w:space="0" w:color="auto"/>
              <w:right w:val="single" w:sz="4" w:space="0" w:color="auto"/>
            </w:tcBorders>
            <w:shd w:val="clear" w:color="auto" w:fill="EAF1DD" w:themeFill="accent3" w:themeFillTint="33"/>
            <w:noWrap/>
            <w:vAlign w:val="center"/>
            <w:hideMark/>
          </w:tcPr>
          <w:p w14:paraId="3ED7443B" w14:textId="7B476FB6" w:rsidR="006911C5" w:rsidRPr="007831CE" w:rsidRDefault="006911C5" w:rsidP="006911C5">
            <w:pPr>
              <w:jc w:val="center"/>
              <w:rPr>
                <w:rFonts w:ascii="Arial" w:hAnsi="Arial" w:cs="Arial"/>
                <w:sz w:val="16"/>
                <w:szCs w:val="16"/>
              </w:rPr>
            </w:pPr>
            <w:r w:rsidRPr="006911C5">
              <w:rPr>
                <w:rFonts w:ascii="Arial" w:hAnsi="Arial" w:cs="Arial"/>
                <w:sz w:val="16"/>
                <w:szCs w:val="16"/>
              </w:rPr>
              <w:t>54</w:t>
            </w:r>
          </w:p>
        </w:tc>
        <w:tc>
          <w:tcPr>
            <w:tcW w:w="5940" w:type="dxa"/>
            <w:tcBorders>
              <w:top w:val="nil"/>
              <w:left w:val="nil"/>
              <w:bottom w:val="single" w:sz="8" w:space="0" w:color="auto"/>
              <w:right w:val="nil"/>
            </w:tcBorders>
            <w:shd w:val="clear" w:color="auto" w:fill="EAF1DD" w:themeFill="accent3" w:themeFillTint="33"/>
            <w:noWrap/>
            <w:vAlign w:val="center"/>
            <w:hideMark/>
          </w:tcPr>
          <w:p w14:paraId="636153F6" w14:textId="49E02AB7" w:rsidR="006911C5" w:rsidRPr="007831CE" w:rsidRDefault="006911C5" w:rsidP="006911C5">
            <w:pPr>
              <w:rPr>
                <w:rFonts w:ascii="Arial" w:hAnsi="Arial" w:cs="Arial"/>
                <w:sz w:val="16"/>
                <w:szCs w:val="16"/>
              </w:rPr>
            </w:pPr>
            <w:r w:rsidRPr="006911C5">
              <w:rPr>
                <w:rFonts w:ascii="Arial" w:hAnsi="Arial" w:cs="Arial"/>
                <w:sz w:val="16"/>
                <w:szCs w:val="16"/>
              </w:rPr>
              <w:t>Iné opatrenia na zachovanie životného prostredia a predchádzanie rizikám</w:t>
            </w:r>
          </w:p>
        </w:tc>
        <w:tc>
          <w:tcPr>
            <w:tcW w:w="1742" w:type="dxa"/>
            <w:tcBorders>
              <w:top w:val="nil"/>
              <w:left w:val="single" w:sz="8" w:space="0" w:color="auto"/>
              <w:bottom w:val="single" w:sz="8" w:space="0" w:color="auto"/>
              <w:right w:val="single" w:sz="8" w:space="0" w:color="auto"/>
            </w:tcBorders>
            <w:shd w:val="clear" w:color="000000" w:fill="FFFFFF"/>
            <w:noWrap/>
            <w:vAlign w:val="center"/>
            <w:hideMark/>
          </w:tcPr>
          <w:p w14:paraId="27DEFDFA" w14:textId="47F690E9" w:rsidR="006911C5" w:rsidRPr="007831CE" w:rsidRDefault="006911C5" w:rsidP="006911C5">
            <w:pPr>
              <w:jc w:val="center"/>
              <w:rPr>
                <w:rFonts w:ascii="Arial" w:hAnsi="Arial" w:cs="Arial"/>
                <w:sz w:val="16"/>
                <w:szCs w:val="16"/>
              </w:rPr>
            </w:pPr>
            <w:r w:rsidRPr="006911C5">
              <w:rPr>
                <w:rFonts w:ascii="Arial" w:hAnsi="Arial" w:cs="Arial"/>
                <w:sz w:val="16"/>
                <w:szCs w:val="16"/>
              </w:rPr>
              <w:t>28 392 462</w:t>
            </w:r>
          </w:p>
        </w:tc>
        <w:tc>
          <w:tcPr>
            <w:tcW w:w="897" w:type="dxa"/>
            <w:tcBorders>
              <w:top w:val="single" w:sz="8" w:space="0" w:color="auto"/>
              <w:left w:val="nil"/>
              <w:bottom w:val="single" w:sz="4" w:space="0" w:color="auto"/>
              <w:right w:val="single" w:sz="8" w:space="0" w:color="auto"/>
            </w:tcBorders>
            <w:shd w:val="clear" w:color="auto" w:fill="auto"/>
            <w:noWrap/>
            <w:vAlign w:val="center"/>
            <w:hideMark/>
          </w:tcPr>
          <w:p w14:paraId="30C23218" w14:textId="0C64601E" w:rsidR="006911C5" w:rsidRPr="007831CE" w:rsidRDefault="006911C5" w:rsidP="006911C5">
            <w:pPr>
              <w:jc w:val="center"/>
              <w:rPr>
                <w:rFonts w:ascii="Arial" w:hAnsi="Arial" w:cs="Arial"/>
                <w:sz w:val="16"/>
                <w:szCs w:val="16"/>
              </w:rPr>
            </w:pPr>
            <w:r w:rsidRPr="006911C5">
              <w:rPr>
                <w:rFonts w:ascii="Arial" w:hAnsi="Arial" w:cs="Arial"/>
                <w:sz w:val="16"/>
                <w:szCs w:val="16"/>
              </w:rPr>
              <w:t>1,60%</w:t>
            </w:r>
          </w:p>
        </w:tc>
      </w:tr>
      <w:tr w:rsidR="006911C5" w14:paraId="4F412A26" w14:textId="77777777" w:rsidTr="006911C5">
        <w:trPr>
          <w:trHeight w:val="315"/>
        </w:trPr>
        <w:tc>
          <w:tcPr>
            <w:tcW w:w="879" w:type="dxa"/>
            <w:tcBorders>
              <w:top w:val="nil"/>
              <w:left w:val="single" w:sz="8" w:space="0" w:color="auto"/>
              <w:bottom w:val="single" w:sz="8" w:space="0" w:color="auto"/>
              <w:right w:val="single" w:sz="4" w:space="0" w:color="auto"/>
            </w:tcBorders>
            <w:shd w:val="clear" w:color="auto" w:fill="EAF1DD" w:themeFill="accent3" w:themeFillTint="33"/>
            <w:noWrap/>
            <w:vAlign w:val="center"/>
            <w:hideMark/>
          </w:tcPr>
          <w:p w14:paraId="5334D09B" w14:textId="5F0F13EB" w:rsidR="006911C5" w:rsidRPr="007831CE" w:rsidRDefault="006911C5" w:rsidP="006911C5">
            <w:pPr>
              <w:jc w:val="center"/>
              <w:rPr>
                <w:rFonts w:ascii="Arial" w:hAnsi="Arial" w:cs="Arial"/>
                <w:sz w:val="16"/>
                <w:szCs w:val="16"/>
              </w:rPr>
            </w:pPr>
            <w:r w:rsidRPr="006911C5">
              <w:rPr>
                <w:rFonts w:ascii="Arial" w:hAnsi="Arial" w:cs="Arial"/>
                <w:sz w:val="16"/>
                <w:szCs w:val="16"/>
              </w:rPr>
              <w:t>52</w:t>
            </w:r>
          </w:p>
        </w:tc>
        <w:tc>
          <w:tcPr>
            <w:tcW w:w="5940" w:type="dxa"/>
            <w:tcBorders>
              <w:top w:val="nil"/>
              <w:left w:val="nil"/>
              <w:bottom w:val="single" w:sz="8" w:space="0" w:color="auto"/>
              <w:right w:val="single" w:sz="4" w:space="0" w:color="auto"/>
            </w:tcBorders>
            <w:shd w:val="clear" w:color="auto" w:fill="EAF1DD" w:themeFill="accent3" w:themeFillTint="33"/>
            <w:noWrap/>
            <w:vAlign w:val="center"/>
            <w:hideMark/>
          </w:tcPr>
          <w:p w14:paraId="2C33BF6C" w14:textId="11F8FE3F" w:rsidR="006911C5" w:rsidRPr="007831CE" w:rsidRDefault="006911C5" w:rsidP="006911C5">
            <w:pPr>
              <w:rPr>
                <w:rFonts w:ascii="Arial" w:hAnsi="Arial" w:cs="Arial"/>
                <w:sz w:val="16"/>
                <w:szCs w:val="16"/>
              </w:rPr>
            </w:pPr>
            <w:r w:rsidRPr="006911C5">
              <w:rPr>
                <w:rFonts w:ascii="Arial" w:hAnsi="Arial" w:cs="Arial"/>
                <w:sz w:val="16"/>
                <w:szCs w:val="16"/>
              </w:rPr>
              <w:t>Podpora čistej mestskej dopravy</w:t>
            </w:r>
          </w:p>
        </w:tc>
        <w:tc>
          <w:tcPr>
            <w:tcW w:w="1742" w:type="dxa"/>
            <w:tcBorders>
              <w:top w:val="nil"/>
              <w:left w:val="nil"/>
              <w:bottom w:val="single" w:sz="8" w:space="0" w:color="auto"/>
              <w:right w:val="single" w:sz="4" w:space="0" w:color="auto"/>
            </w:tcBorders>
            <w:shd w:val="clear" w:color="000000" w:fill="FFFFFF"/>
            <w:noWrap/>
            <w:vAlign w:val="center"/>
            <w:hideMark/>
          </w:tcPr>
          <w:p w14:paraId="58436867" w14:textId="2CCE2B9B" w:rsidR="006911C5" w:rsidRPr="007831CE" w:rsidRDefault="006911C5" w:rsidP="006911C5">
            <w:pPr>
              <w:jc w:val="center"/>
              <w:rPr>
                <w:rFonts w:ascii="Arial" w:hAnsi="Arial" w:cs="Arial"/>
                <w:sz w:val="16"/>
                <w:szCs w:val="16"/>
              </w:rPr>
            </w:pPr>
            <w:r w:rsidRPr="006911C5">
              <w:rPr>
                <w:rFonts w:ascii="Arial" w:hAnsi="Arial" w:cs="Arial"/>
                <w:sz w:val="16"/>
                <w:szCs w:val="16"/>
              </w:rPr>
              <w:t>36 616 277</w:t>
            </w:r>
          </w:p>
        </w:tc>
        <w:tc>
          <w:tcPr>
            <w:tcW w:w="897" w:type="dxa"/>
            <w:tcBorders>
              <w:top w:val="single" w:sz="8" w:space="0" w:color="auto"/>
              <w:left w:val="nil"/>
              <w:bottom w:val="single" w:sz="4" w:space="0" w:color="auto"/>
              <w:right w:val="single" w:sz="8" w:space="0" w:color="auto"/>
            </w:tcBorders>
            <w:shd w:val="clear" w:color="auto" w:fill="auto"/>
            <w:noWrap/>
            <w:vAlign w:val="center"/>
            <w:hideMark/>
          </w:tcPr>
          <w:p w14:paraId="2D090CEA" w14:textId="495D3AA4" w:rsidR="006911C5" w:rsidRPr="007831CE" w:rsidRDefault="006911C5" w:rsidP="006911C5">
            <w:pPr>
              <w:jc w:val="center"/>
              <w:rPr>
                <w:rFonts w:ascii="Arial" w:hAnsi="Arial" w:cs="Arial"/>
                <w:sz w:val="16"/>
                <w:szCs w:val="16"/>
              </w:rPr>
            </w:pPr>
            <w:r w:rsidRPr="006911C5">
              <w:rPr>
                <w:rFonts w:ascii="Arial" w:hAnsi="Arial" w:cs="Arial"/>
                <w:sz w:val="16"/>
                <w:szCs w:val="16"/>
              </w:rPr>
              <w:t>2,07%</w:t>
            </w:r>
          </w:p>
        </w:tc>
      </w:tr>
      <w:tr w:rsidR="006911C5" w14:paraId="1C51CEBC" w14:textId="77777777" w:rsidTr="006911C5">
        <w:trPr>
          <w:trHeight w:val="315"/>
        </w:trPr>
        <w:tc>
          <w:tcPr>
            <w:tcW w:w="879" w:type="dxa"/>
            <w:tcBorders>
              <w:top w:val="nil"/>
              <w:left w:val="single" w:sz="8" w:space="0" w:color="auto"/>
              <w:bottom w:val="single" w:sz="8" w:space="0" w:color="auto"/>
              <w:right w:val="nil"/>
            </w:tcBorders>
            <w:shd w:val="clear" w:color="auto" w:fill="EAF1DD" w:themeFill="accent3" w:themeFillTint="33"/>
            <w:noWrap/>
            <w:vAlign w:val="center"/>
            <w:hideMark/>
          </w:tcPr>
          <w:p w14:paraId="11FAD60A" w14:textId="77777777" w:rsidR="006911C5" w:rsidRPr="007831CE" w:rsidRDefault="006911C5" w:rsidP="006911C5">
            <w:pPr>
              <w:jc w:val="center"/>
              <w:rPr>
                <w:rFonts w:ascii="Arial" w:hAnsi="Arial" w:cs="Arial"/>
                <w:sz w:val="16"/>
                <w:szCs w:val="16"/>
              </w:rPr>
            </w:pPr>
            <w:r w:rsidRPr="007831CE">
              <w:rPr>
                <w:rFonts w:ascii="Arial" w:hAnsi="Arial" w:cs="Arial"/>
                <w:sz w:val="16"/>
                <w:szCs w:val="16"/>
              </w:rPr>
              <w:t>Celkom</w:t>
            </w:r>
          </w:p>
        </w:tc>
        <w:tc>
          <w:tcPr>
            <w:tcW w:w="5940" w:type="dxa"/>
            <w:tcBorders>
              <w:top w:val="nil"/>
              <w:left w:val="nil"/>
              <w:bottom w:val="single" w:sz="8" w:space="0" w:color="auto"/>
              <w:right w:val="nil"/>
            </w:tcBorders>
            <w:shd w:val="clear" w:color="auto" w:fill="EAF1DD" w:themeFill="accent3" w:themeFillTint="33"/>
            <w:noWrap/>
            <w:vAlign w:val="center"/>
            <w:hideMark/>
          </w:tcPr>
          <w:p w14:paraId="5EF1F621" w14:textId="49B71145" w:rsidR="006911C5" w:rsidRPr="007831CE" w:rsidRDefault="006911C5" w:rsidP="006911C5">
            <w:pPr>
              <w:jc w:val="center"/>
              <w:rPr>
                <w:rFonts w:ascii="Arial" w:hAnsi="Arial" w:cs="Arial"/>
                <w:sz w:val="16"/>
                <w:szCs w:val="16"/>
              </w:rPr>
            </w:pPr>
          </w:p>
        </w:tc>
        <w:tc>
          <w:tcPr>
            <w:tcW w:w="1742" w:type="dxa"/>
            <w:tcBorders>
              <w:top w:val="nil"/>
              <w:left w:val="single" w:sz="8" w:space="0" w:color="auto"/>
              <w:bottom w:val="single" w:sz="8" w:space="0" w:color="auto"/>
              <w:right w:val="single" w:sz="8" w:space="0" w:color="auto"/>
            </w:tcBorders>
            <w:shd w:val="clear" w:color="auto" w:fill="auto"/>
            <w:noWrap/>
            <w:vAlign w:val="center"/>
            <w:hideMark/>
          </w:tcPr>
          <w:p w14:paraId="037C282F" w14:textId="0D712B31" w:rsidR="006911C5" w:rsidRPr="007831CE" w:rsidRDefault="006911C5" w:rsidP="006911C5">
            <w:pPr>
              <w:jc w:val="center"/>
              <w:rPr>
                <w:rFonts w:ascii="Arial" w:hAnsi="Arial" w:cs="Arial"/>
                <w:sz w:val="16"/>
                <w:szCs w:val="16"/>
              </w:rPr>
            </w:pPr>
            <w:r w:rsidRPr="006911C5">
              <w:rPr>
                <w:rFonts w:ascii="Arial" w:hAnsi="Arial" w:cs="Arial"/>
                <w:sz w:val="16"/>
                <w:szCs w:val="16"/>
              </w:rPr>
              <w:t>1 743 779 723</w:t>
            </w:r>
          </w:p>
        </w:tc>
        <w:tc>
          <w:tcPr>
            <w:tcW w:w="897" w:type="dxa"/>
            <w:tcBorders>
              <w:top w:val="single" w:sz="8" w:space="0" w:color="auto"/>
              <w:left w:val="nil"/>
              <w:bottom w:val="single" w:sz="8" w:space="0" w:color="auto"/>
              <w:right w:val="single" w:sz="8" w:space="0" w:color="auto"/>
            </w:tcBorders>
            <w:shd w:val="clear" w:color="auto" w:fill="auto"/>
            <w:noWrap/>
            <w:vAlign w:val="center"/>
            <w:hideMark/>
          </w:tcPr>
          <w:p w14:paraId="4D1E3E88" w14:textId="1D361977" w:rsidR="006911C5" w:rsidRPr="007831CE" w:rsidRDefault="006911C5" w:rsidP="006911C5">
            <w:pPr>
              <w:jc w:val="center"/>
              <w:rPr>
                <w:rFonts w:ascii="Arial" w:hAnsi="Arial" w:cs="Arial"/>
                <w:sz w:val="16"/>
                <w:szCs w:val="16"/>
              </w:rPr>
            </w:pPr>
            <w:r w:rsidRPr="006911C5">
              <w:rPr>
                <w:rFonts w:ascii="Arial" w:hAnsi="Arial" w:cs="Arial"/>
                <w:sz w:val="16"/>
                <w:szCs w:val="16"/>
              </w:rPr>
              <w:t>98,44%</w:t>
            </w:r>
          </w:p>
        </w:tc>
      </w:tr>
    </w:tbl>
    <w:p w14:paraId="01243334" w14:textId="3281F192" w:rsidR="003C14CC" w:rsidRPr="00A10FC0" w:rsidRDefault="003C14CC" w:rsidP="003C14CC">
      <w:pPr>
        <w:spacing w:after="120"/>
        <w:jc w:val="both"/>
        <w:rPr>
          <w:rFonts w:ascii="Arial" w:hAnsi="Arial" w:cs="Arial"/>
          <w:sz w:val="20"/>
          <w:szCs w:val="20"/>
        </w:rPr>
      </w:pPr>
    </w:p>
    <w:p w14:paraId="5A41623D" w14:textId="327C76E1" w:rsidR="003C14CC" w:rsidRDefault="003C14CC" w:rsidP="00F87D11">
      <w:pPr>
        <w:spacing w:after="240"/>
        <w:jc w:val="both"/>
        <w:rPr>
          <w:rFonts w:ascii="Arial" w:hAnsi="Arial" w:cs="Arial"/>
          <w:sz w:val="20"/>
          <w:szCs w:val="20"/>
        </w:rPr>
      </w:pPr>
      <w:r w:rsidRPr="00A10FC0">
        <w:rPr>
          <w:rFonts w:ascii="Arial" w:hAnsi="Arial" w:cs="Arial"/>
          <w:sz w:val="20"/>
          <w:szCs w:val="20"/>
        </w:rPr>
        <w:t xml:space="preserve">Súhrnne možno skonštatovať, že v rámci OP ŽP bolo schválených </w:t>
      </w:r>
      <w:r w:rsidR="008A425D">
        <w:rPr>
          <w:rFonts w:ascii="Arial" w:hAnsi="Arial" w:cs="Arial"/>
          <w:sz w:val="20"/>
          <w:szCs w:val="20"/>
        </w:rPr>
        <w:t>776</w:t>
      </w:r>
      <w:r w:rsidR="008A425D" w:rsidRPr="009F31E4">
        <w:rPr>
          <w:rFonts w:ascii="Arial" w:hAnsi="Arial" w:cs="Arial"/>
          <w:sz w:val="20"/>
          <w:szCs w:val="20"/>
        </w:rPr>
        <w:t xml:space="preserve"> </w:t>
      </w:r>
      <w:r w:rsidRPr="009F31E4">
        <w:rPr>
          <w:rFonts w:ascii="Arial" w:hAnsi="Arial" w:cs="Arial"/>
          <w:sz w:val="20"/>
          <w:szCs w:val="20"/>
        </w:rPr>
        <w:t>projektov, ktoré sa určitou mierou podieľa</w:t>
      </w:r>
      <w:r w:rsidR="001F09AB">
        <w:rPr>
          <w:rFonts w:ascii="Arial" w:hAnsi="Arial" w:cs="Arial"/>
          <w:sz w:val="20"/>
          <w:szCs w:val="20"/>
        </w:rPr>
        <w:t>li</w:t>
      </w:r>
      <w:r w:rsidRPr="009F31E4">
        <w:rPr>
          <w:rFonts w:ascii="Arial" w:hAnsi="Arial" w:cs="Arial"/>
          <w:sz w:val="20"/>
          <w:szCs w:val="20"/>
        </w:rPr>
        <w:t xml:space="preserve"> na plnení cieľov Lisabonskej stratégie</w:t>
      </w:r>
      <w:r>
        <w:rPr>
          <w:rFonts w:ascii="Arial" w:hAnsi="Arial" w:cs="Arial"/>
          <w:sz w:val="20"/>
          <w:szCs w:val="20"/>
        </w:rPr>
        <w:t xml:space="preserve"> – stratégie Európa 2020</w:t>
      </w:r>
      <w:r w:rsidRPr="009F31E4">
        <w:rPr>
          <w:rFonts w:ascii="Arial" w:hAnsi="Arial" w:cs="Arial"/>
          <w:sz w:val="20"/>
          <w:szCs w:val="20"/>
        </w:rPr>
        <w:t xml:space="preserve">, a to vo výške </w:t>
      </w:r>
      <w:r w:rsidR="00CA547F">
        <w:rPr>
          <w:rFonts w:ascii="Arial" w:hAnsi="Arial" w:cs="Arial"/>
          <w:sz w:val="20"/>
          <w:szCs w:val="20"/>
        </w:rPr>
        <w:br/>
      </w:r>
      <w:r w:rsidR="008A425D" w:rsidRPr="008A425D">
        <w:rPr>
          <w:rFonts w:ascii="Arial" w:hAnsi="Arial" w:cs="Arial"/>
          <w:sz w:val="20"/>
          <w:szCs w:val="20"/>
        </w:rPr>
        <w:t>1 7</w:t>
      </w:r>
      <w:r w:rsidR="00CA547F">
        <w:rPr>
          <w:rFonts w:ascii="Arial" w:hAnsi="Arial" w:cs="Arial"/>
          <w:sz w:val="20"/>
          <w:szCs w:val="20"/>
        </w:rPr>
        <w:t>43</w:t>
      </w:r>
      <w:r w:rsidR="008A425D" w:rsidRPr="008A425D">
        <w:rPr>
          <w:rFonts w:ascii="Arial" w:hAnsi="Arial" w:cs="Arial"/>
          <w:sz w:val="20"/>
          <w:szCs w:val="20"/>
        </w:rPr>
        <w:t xml:space="preserve"> </w:t>
      </w:r>
      <w:r w:rsidR="00CA547F">
        <w:rPr>
          <w:rFonts w:ascii="Arial" w:hAnsi="Arial" w:cs="Arial"/>
          <w:sz w:val="20"/>
          <w:szCs w:val="20"/>
        </w:rPr>
        <w:t>779</w:t>
      </w:r>
      <w:r w:rsidR="008A425D" w:rsidRPr="008A425D">
        <w:rPr>
          <w:rFonts w:ascii="Arial" w:hAnsi="Arial" w:cs="Arial"/>
          <w:sz w:val="20"/>
          <w:szCs w:val="20"/>
        </w:rPr>
        <w:t xml:space="preserve"> </w:t>
      </w:r>
      <w:r w:rsidR="00CA547F">
        <w:rPr>
          <w:rFonts w:ascii="Arial" w:hAnsi="Arial" w:cs="Arial"/>
          <w:sz w:val="20"/>
          <w:szCs w:val="20"/>
        </w:rPr>
        <w:t>723</w:t>
      </w:r>
      <w:r w:rsidRPr="009F31E4">
        <w:rPr>
          <w:rFonts w:ascii="Arial" w:hAnsi="Arial" w:cs="Arial"/>
          <w:sz w:val="20"/>
          <w:szCs w:val="20"/>
        </w:rPr>
        <w:t xml:space="preserve"> </w:t>
      </w:r>
      <w:r w:rsidR="00366C2D">
        <w:rPr>
          <w:rFonts w:ascii="Arial" w:hAnsi="Arial" w:cs="Arial"/>
          <w:sz w:val="20"/>
          <w:szCs w:val="20"/>
        </w:rPr>
        <w:t>€</w:t>
      </w:r>
      <w:r w:rsidRPr="009F31E4">
        <w:rPr>
          <w:rFonts w:ascii="Arial" w:hAnsi="Arial" w:cs="Arial"/>
          <w:sz w:val="20"/>
          <w:szCs w:val="20"/>
        </w:rPr>
        <w:t xml:space="preserve">. </w:t>
      </w:r>
      <w:r w:rsidR="008A425D">
        <w:rPr>
          <w:rFonts w:ascii="Arial" w:hAnsi="Arial" w:cs="Arial"/>
          <w:sz w:val="20"/>
          <w:szCs w:val="20"/>
        </w:rPr>
        <w:t xml:space="preserve">Zoznam projektov sa nachádza v prílohe č. </w:t>
      </w:r>
      <w:r w:rsidR="000E691E">
        <w:rPr>
          <w:rFonts w:ascii="Arial" w:hAnsi="Arial" w:cs="Arial"/>
          <w:sz w:val="20"/>
          <w:szCs w:val="20"/>
        </w:rPr>
        <w:t>9</w:t>
      </w:r>
      <w:r w:rsidR="008A425D">
        <w:rPr>
          <w:rFonts w:ascii="Arial" w:hAnsi="Arial" w:cs="Arial"/>
          <w:sz w:val="20"/>
          <w:szCs w:val="20"/>
        </w:rPr>
        <w:t xml:space="preserve"> tejto záverečnej správy.</w:t>
      </w:r>
      <w:r w:rsidR="00CA547F">
        <w:rPr>
          <w:rFonts w:ascii="Arial" w:hAnsi="Arial" w:cs="Arial"/>
          <w:sz w:val="20"/>
          <w:szCs w:val="20"/>
        </w:rPr>
        <w:t xml:space="preserve"> Príklady dobrej praxe sú uvedené v prílohe č. 10 záverečnej správy.</w:t>
      </w:r>
    </w:p>
    <w:p w14:paraId="7AA1194D" w14:textId="77777777" w:rsidR="003C14CC" w:rsidRPr="00123376" w:rsidRDefault="003C14CC" w:rsidP="003C14CC">
      <w:pPr>
        <w:spacing w:after="120"/>
        <w:jc w:val="both"/>
        <w:rPr>
          <w:rFonts w:ascii="Arial" w:hAnsi="Arial" w:cs="Arial"/>
          <w:b/>
          <w:noProof/>
          <w:sz w:val="20"/>
          <w:szCs w:val="20"/>
        </w:rPr>
      </w:pPr>
      <w:r w:rsidRPr="00123376">
        <w:rPr>
          <w:rFonts w:ascii="Arial" w:hAnsi="Arial" w:cs="Arial"/>
          <w:b/>
          <w:noProof/>
          <w:sz w:val="20"/>
          <w:szCs w:val="20"/>
        </w:rPr>
        <w:t>Vzájomná súvislosť realizácie OP ŽP s napĺňaním priorít stratégie Európa 2020 a Národného programu reforiem</w:t>
      </w:r>
    </w:p>
    <w:p w14:paraId="115497FC" w14:textId="74CF196B" w:rsidR="003C14CC" w:rsidRPr="009F31E4" w:rsidRDefault="003C14CC" w:rsidP="003C14CC">
      <w:pPr>
        <w:spacing w:after="120"/>
        <w:jc w:val="both"/>
        <w:rPr>
          <w:rFonts w:ascii="Arial" w:eastAsia="MS Mincho" w:hAnsi="Arial" w:cs="Arial"/>
          <w:iCs/>
          <w:sz w:val="20"/>
          <w:szCs w:val="20"/>
          <w:lang w:eastAsia="ja-JP"/>
        </w:rPr>
      </w:pPr>
      <w:r w:rsidRPr="00C32A58">
        <w:rPr>
          <w:rFonts w:ascii="Arial" w:eastAsia="MS Mincho" w:hAnsi="Arial" w:cs="Arial"/>
          <w:iCs/>
          <w:sz w:val="20"/>
          <w:szCs w:val="20"/>
          <w:lang w:eastAsia="ja-JP"/>
        </w:rPr>
        <w:t xml:space="preserve">Hoci </w:t>
      </w:r>
      <w:r w:rsidRPr="00A10FC0">
        <w:rPr>
          <w:rFonts w:ascii="Arial" w:eastAsia="MS Mincho" w:hAnsi="Arial" w:cs="Arial"/>
          <w:iCs/>
          <w:sz w:val="20"/>
          <w:szCs w:val="20"/>
          <w:lang w:eastAsia="ja-JP"/>
        </w:rPr>
        <w:t>p</w:t>
      </w:r>
      <w:r w:rsidRPr="00A10FC0">
        <w:rPr>
          <w:rFonts w:ascii="Arial" w:eastAsia="MS Mincho" w:hAnsi="Arial" w:cs="Arial"/>
          <w:noProof/>
          <w:sz w:val="20"/>
          <w:szCs w:val="20"/>
          <w:lang w:eastAsia="ja-JP"/>
        </w:rPr>
        <w:t xml:space="preserve">ríprava a schvaľovanie OP ŽP prebiehali v období, keď sa </w:t>
      </w:r>
      <w:r w:rsidRPr="009F31E4">
        <w:rPr>
          <w:rFonts w:ascii="Arial" w:eastAsia="MS Mincho" w:hAnsi="Arial" w:cs="Arial"/>
          <w:noProof/>
          <w:sz w:val="20"/>
          <w:szCs w:val="20"/>
          <w:lang w:eastAsia="ja-JP"/>
        </w:rPr>
        <w:t xml:space="preserve">implementovala Lisabonská stratégia, </w:t>
      </w:r>
      <w:r w:rsidRPr="009F31E4">
        <w:rPr>
          <w:rFonts w:ascii="Arial" w:eastAsia="MS Mincho" w:hAnsi="Arial" w:cs="Arial"/>
          <w:iCs/>
          <w:sz w:val="20"/>
          <w:szCs w:val="20"/>
          <w:lang w:eastAsia="ja-JP"/>
        </w:rPr>
        <w:t>OP ŽP svojím globálnym cieľom korel</w:t>
      </w:r>
      <w:r w:rsidR="001F09AB">
        <w:rPr>
          <w:rFonts w:ascii="Arial" w:eastAsia="MS Mincho" w:hAnsi="Arial" w:cs="Arial"/>
          <w:iCs/>
          <w:sz w:val="20"/>
          <w:szCs w:val="20"/>
          <w:lang w:eastAsia="ja-JP"/>
        </w:rPr>
        <w:t>oval</w:t>
      </w:r>
      <w:r w:rsidRPr="009F31E4">
        <w:rPr>
          <w:rFonts w:ascii="Arial" w:eastAsia="MS Mincho" w:hAnsi="Arial" w:cs="Arial"/>
          <w:iCs/>
          <w:sz w:val="20"/>
          <w:szCs w:val="20"/>
          <w:lang w:eastAsia="ja-JP"/>
        </w:rPr>
        <w:t xml:space="preserve"> aj so stratégiou Európa 2020 a  podpor</w:t>
      </w:r>
      <w:r w:rsidR="001F09AB">
        <w:rPr>
          <w:rFonts w:ascii="Arial" w:eastAsia="MS Mincho" w:hAnsi="Arial" w:cs="Arial"/>
          <w:iCs/>
          <w:sz w:val="20"/>
          <w:szCs w:val="20"/>
          <w:lang w:eastAsia="ja-JP"/>
        </w:rPr>
        <w:t>oval</w:t>
      </w:r>
      <w:r w:rsidRPr="009F31E4">
        <w:rPr>
          <w:rFonts w:ascii="Arial" w:eastAsia="MS Mincho" w:hAnsi="Arial" w:cs="Arial"/>
          <w:iCs/>
          <w:sz w:val="20"/>
          <w:szCs w:val="20"/>
          <w:lang w:eastAsia="ja-JP"/>
        </w:rPr>
        <w:t xml:space="preserve"> jej napĺňanie. </w:t>
      </w:r>
    </w:p>
    <w:p w14:paraId="75575F82" w14:textId="1B92E290" w:rsidR="003C14CC" w:rsidRPr="009F31E4" w:rsidRDefault="003C14CC" w:rsidP="003C14CC">
      <w:pPr>
        <w:autoSpaceDE w:val="0"/>
        <w:autoSpaceDN w:val="0"/>
        <w:adjustRightInd w:val="0"/>
        <w:spacing w:after="120"/>
        <w:jc w:val="both"/>
        <w:rPr>
          <w:rFonts w:ascii="Arial" w:eastAsia="MS Mincho" w:hAnsi="Arial" w:cs="Arial"/>
          <w:bCs/>
          <w:noProof/>
          <w:sz w:val="20"/>
          <w:szCs w:val="20"/>
          <w:lang w:eastAsia="ja-JP"/>
        </w:rPr>
      </w:pPr>
      <w:r w:rsidRPr="009F31E4">
        <w:rPr>
          <w:rFonts w:ascii="Arial" w:eastAsia="MS Mincho" w:hAnsi="Arial" w:cs="Arial"/>
          <w:sz w:val="20"/>
          <w:szCs w:val="20"/>
          <w:lang w:eastAsia="ja-JP"/>
        </w:rPr>
        <w:t>OP ŽP prispieva</w:t>
      </w:r>
      <w:r w:rsidR="001F09AB">
        <w:rPr>
          <w:rFonts w:ascii="Arial" w:eastAsia="MS Mincho" w:hAnsi="Arial" w:cs="Arial"/>
          <w:sz w:val="20"/>
          <w:szCs w:val="20"/>
          <w:lang w:eastAsia="ja-JP"/>
        </w:rPr>
        <w:t>l</w:t>
      </w:r>
      <w:r w:rsidRPr="009F31E4">
        <w:rPr>
          <w:rFonts w:ascii="Arial" w:eastAsia="MS Mincho" w:hAnsi="Arial" w:cs="Arial"/>
          <w:sz w:val="20"/>
          <w:szCs w:val="20"/>
          <w:lang w:eastAsia="ja-JP"/>
        </w:rPr>
        <w:t xml:space="preserve"> najmä k  udržateľnému rastu, k cieľu týkajúcemu sa znižovania emisií skleníkových plynov, zvyšovania podielu OZE a zvyšovania energetickej efektívnosti, k hlavnej iniciatíve Európa efektívne využívajúca zdroje a k integrovanému usmerneniu č. </w:t>
      </w:r>
      <w:r w:rsidRPr="009F31E4">
        <w:rPr>
          <w:rFonts w:ascii="Arial" w:eastAsia="MS Mincho" w:hAnsi="Arial" w:cs="Arial"/>
          <w:bCs/>
          <w:sz w:val="20"/>
          <w:szCs w:val="20"/>
          <w:lang w:eastAsia="ja-JP"/>
        </w:rPr>
        <w:t xml:space="preserve">5) Zlepšovanie efektívnosti využívania zdrojov a znižovanie emisií skleníkových plynov. </w:t>
      </w:r>
      <w:r w:rsidRPr="009F31E4">
        <w:rPr>
          <w:rFonts w:ascii="Arial" w:eastAsia="MS Mincho" w:hAnsi="Arial" w:cs="Arial"/>
          <w:noProof/>
          <w:sz w:val="20"/>
          <w:szCs w:val="20"/>
          <w:lang w:eastAsia="ja-JP"/>
        </w:rPr>
        <w:t xml:space="preserve">V súlade s  mechanizmom správy ekonomických záležitostí v EÚ a zavedeným európskym semestrom je základným národným dokumentom stratégie </w:t>
      </w:r>
      <w:r w:rsidRPr="009F31E4">
        <w:rPr>
          <w:rFonts w:ascii="Arial" w:eastAsia="MS Mincho" w:hAnsi="Arial" w:cs="Arial"/>
          <w:noProof/>
          <w:sz w:val="20"/>
          <w:szCs w:val="20"/>
          <w:lang w:eastAsia="ja-JP"/>
        </w:rPr>
        <w:lastRenderedPageBreak/>
        <w:t xml:space="preserve">Národný program reforiem SR (ďalej aj „NPR SR“), ktorý je úzko previazaný s Paktom stability SR. Oba dokumenty </w:t>
      </w:r>
      <w:r w:rsidRPr="009F31E4">
        <w:rPr>
          <w:rFonts w:ascii="Arial" w:eastAsia="MS Mincho" w:hAnsi="Arial" w:cs="Arial"/>
          <w:bCs/>
          <w:noProof/>
          <w:sz w:val="20"/>
          <w:szCs w:val="20"/>
          <w:lang w:eastAsia="ja-JP"/>
        </w:rPr>
        <w:t>sa každoročne vyhodnocujú a aktualizujú. NPR SR špecifikuje okrem spoločných európskych cieľov str</w:t>
      </w:r>
      <w:r w:rsidRPr="00C32A58">
        <w:rPr>
          <w:rFonts w:ascii="Arial" w:eastAsia="MS Mincho" w:hAnsi="Arial" w:cs="Arial"/>
          <w:bCs/>
          <w:noProof/>
          <w:sz w:val="20"/>
          <w:szCs w:val="20"/>
          <w:lang w:eastAsia="ja-JP"/>
        </w:rPr>
        <w:t>atégie Európa 2020 v podmienkach SR aj vlastné národné ciele</w:t>
      </w:r>
      <w:r w:rsidRPr="00A10FC0">
        <w:rPr>
          <w:rFonts w:ascii="Arial" w:eastAsia="MS Mincho" w:hAnsi="Arial" w:cs="Arial"/>
          <w:bCs/>
          <w:noProof/>
          <w:sz w:val="20"/>
          <w:szCs w:val="20"/>
          <w:lang w:eastAsia="ja-JP"/>
        </w:rPr>
        <w:t xml:space="preserve"> vyplývajúce </w:t>
      </w:r>
      <w:r w:rsidRPr="009F31E4">
        <w:rPr>
          <w:rFonts w:ascii="Arial" w:eastAsia="MS Mincho" w:hAnsi="Arial" w:cs="Arial"/>
          <w:bCs/>
          <w:noProof/>
          <w:sz w:val="20"/>
          <w:szCs w:val="20"/>
          <w:lang w:eastAsia="ja-JP"/>
        </w:rPr>
        <w:t xml:space="preserve">najmä z Programového vyhlásenia vlády SR, záverov summitov EÚ či špecifického odporúčania Rady pre Slovensko ap. </w:t>
      </w:r>
    </w:p>
    <w:p w14:paraId="33F7EA93" w14:textId="480F15FB" w:rsidR="003C14CC" w:rsidRPr="001A5797" w:rsidRDefault="003C14CC" w:rsidP="003C14CC">
      <w:pPr>
        <w:spacing w:after="120"/>
        <w:jc w:val="both"/>
        <w:rPr>
          <w:rFonts w:ascii="Arial" w:hAnsi="Arial" w:cs="Arial"/>
          <w:sz w:val="20"/>
          <w:szCs w:val="20"/>
        </w:rPr>
      </w:pPr>
      <w:r w:rsidRPr="009F31E4">
        <w:rPr>
          <w:rFonts w:ascii="Arial" w:eastAsia="MS Mincho" w:hAnsi="Arial" w:cs="Arial"/>
          <w:noProof/>
          <w:sz w:val="20"/>
          <w:szCs w:val="20"/>
          <w:lang w:eastAsia="ja-JP"/>
        </w:rPr>
        <w:t xml:space="preserve">Ako prvý v rámci stratégie Európa 2020 bol vypracovaný a následne </w:t>
      </w:r>
      <w:r w:rsidRPr="009F31E4">
        <w:rPr>
          <w:rFonts w:ascii="Arial" w:eastAsia="MS Mincho" w:hAnsi="Arial" w:cs="Arial"/>
          <w:iCs/>
          <w:noProof/>
          <w:sz w:val="20"/>
          <w:szCs w:val="20"/>
          <w:lang w:eastAsia="ja-JP"/>
        </w:rPr>
        <w:t xml:space="preserve">uznesením vlády SR </w:t>
      </w:r>
      <w:r w:rsidRPr="009F31E4">
        <w:rPr>
          <w:rFonts w:ascii="Arial" w:eastAsia="MS Mincho" w:hAnsi="Arial" w:cs="Arial"/>
          <w:bCs/>
          <w:noProof/>
          <w:sz w:val="20"/>
          <w:szCs w:val="20"/>
          <w:lang w:eastAsia="ja-JP"/>
        </w:rPr>
        <w:t>č. 256</w:t>
      </w:r>
      <w:r w:rsidRPr="009F31E4">
        <w:rPr>
          <w:rFonts w:ascii="Arial" w:eastAsia="MS Mincho" w:hAnsi="Arial" w:cs="Arial"/>
          <w:noProof/>
          <w:sz w:val="20"/>
          <w:szCs w:val="20"/>
          <w:lang w:eastAsia="ja-JP"/>
        </w:rPr>
        <w:t>/2011 schválený</w:t>
      </w:r>
      <w:r w:rsidRPr="009F31E4">
        <w:rPr>
          <w:rFonts w:ascii="Arial" w:eastAsia="MS Mincho" w:hAnsi="Arial" w:cs="Arial"/>
          <w:iCs/>
          <w:sz w:val="20"/>
          <w:szCs w:val="20"/>
          <w:lang w:eastAsia="ja-JP"/>
        </w:rPr>
        <w:t xml:space="preserve"> </w:t>
      </w:r>
      <w:r w:rsidRPr="009F31E4">
        <w:rPr>
          <w:rFonts w:ascii="Arial" w:eastAsia="MS Mincho" w:hAnsi="Arial" w:cs="Arial"/>
          <w:bCs/>
          <w:i/>
          <w:noProof/>
          <w:sz w:val="20"/>
          <w:szCs w:val="20"/>
          <w:u w:val="single"/>
          <w:lang w:eastAsia="ja-JP"/>
        </w:rPr>
        <w:t>Národný program reforiem Slovenskej republiky 2011 – 2014</w:t>
      </w:r>
      <w:r w:rsidRPr="009F31E4">
        <w:rPr>
          <w:rFonts w:ascii="Arial" w:eastAsia="MS Mincho" w:hAnsi="Arial" w:cs="Arial"/>
          <w:b/>
          <w:bCs/>
          <w:noProof/>
          <w:sz w:val="20"/>
          <w:szCs w:val="20"/>
          <w:lang w:eastAsia="ja-JP"/>
        </w:rPr>
        <w:t xml:space="preserve"> </w:t>
      </w:r>
      <w:r w:rsidRPr="009F31E4">
        <w:rPr>
          <w:rFonts w:ascii="Arial" w:eastAsia="MS Mincho" w:hAnsi="Arial" w:cs="Arial"/>
          <w:bCs/>
          <w:noProof/>
          <w:sz w:val="20"/>
          <w:szCs w:val="20"/>
          <w:lang w:eastAsia="ja-JP"/>
        </w:rPr>
        <w:t xml:space="preserve"> a Pakt stability SR na roky 2011 – 2014, </w:t>
      </w:r>
      <w:r w:rsidRPr="009F31E4">
        <w:rPr>
          <w:rFonts w:ascii="Arial" w:hAnsi="Arial" w:cs="Arial"/>
          <w:sz w:val="20"/>
          <w:szCs w:val="20"/>
        </w:rPr>
        <w:t xml:space="preserve">Národný program reforiem SR 2013 </w:t>
      </w:r>
      <w:r w:rsidRPr="00C32A58">
        <w:rPr>
          <w:rFonts w:ascii="Arial" w:hAnsi="Arial" w:cs="Arial"/>
          <w:sz w:val="20"/>
          <w:szCs w:val="20"/>
        </w:rPr>
        <w:t>v</w:t>
      </w:r>
      <w:r w:rsidRPr="00A10FC0">
        <w:rPr>
          <w:rFonts w:ascii="Arial" w:hAnsi="Arial" w:cs="Arial"/>
          <w:sz w:val="20"/>
          <w:szCs w:val="20"/>
        </w:rPr>
        <w:t> súvislosti so zameraním podpory z fondov EÚ v rámci politiky súdržnosti budúceho programov</w:t>
      </w:r>
      <w:r w:rsidR="001F09AB">
        <w:rPr>
          <w:rFonts w:ascii="Arial" w:hAnsi="Arial" w:cs="Arial"/>
          <w:sz w:val="20"/>
          <w:szCs w:val="20"/>
        </w:rPr>
        <w:t>ého</w:t>
      </w:r>
      <w:r w:rsidRPr="00A10FC0">
        <w:rPr>
          <w:rFonts w:ascii="Arial" w:hAnsi="Arial" w:cs="Arial"/>
          <w:sz w:val="20"/>
          <w:szCs w:val="20"/>
        </w:rPr>
        <w:t xml:space="preserve"> obdobia </w:t>
      </w:r>
      <w:r w:rsidRPr="001A5797">
        <w:rPr>
          <w:rFonts w:ascii="Arial" w:hAnsi="Arial" w:cs="Arial"/>
          <w:sz w:val="20"/>
          <w:szCs w:val="20"/>
        </w:rPr>
        <w:t>stanovil tri základné ciele, ktoré sú kľúčové pre rozvoj slovenskej ekonomiky a vyžadujú si značné finančné prostriedky, a to:</w:t>
      </w:r>
    </w:p>
    <w:p w14:paraId="48EED5E7" w14:textId="77777777" w:rsidR="003C14CC" w:rsidRDefault="003C14CC" w:rsidP="00761FCE">
      <w:pPr>
        <w:pStyle w:val="Odsekzoznamu"/>
        <w:numPr>
          <w:ilvl w:val="0"/>
          <w:numId w:val="61"/>
        </w:numPr>
        <w:autoSpaceDE w:val="0"/>
        <w:autoSpaceDN w:val="0"/>
        <w:adjustRightInd w:val="0"/>
        <w:spacing w:after="120"/>
        <w:jc w:val="both"/>
        <w:rPr>
          <w:rFonts w:ascii="Arial" w:hAnsi="Arial" w:cs="Arial"/>
          <w:sz w:val="20"/>
          <w:szCs w:val="20"/>
        </w:rPr>
      </w:pPr>
      <w:r w:rsidRPr="002611B9">
        <w:rPr>
          <w:rFonts w:ascii="Arial" w:hAnsi="Arial" w:cs="Arial"/>
          <w:sz w:val="20"/>
          <w:szCs w:val="20"/>
        </w:rPr>
        <w:t>základná infraštruktúra;</w:t>
      </w:r>
    </w:p>
    <w:p w14:paraId="0D90EA38" w14:textId="77777777" w:rsidR="003C14CC" w:rsidRPr="00EA4E3D" w:rsidRDefault="003C14CC" w:rsidP="00761FCE">
      <w:pPr>
        <w:pStyle w:val="Odsekzoznamu"/>
        <w:numPr>
          <w:ilvl w:val="0"/>
          <w:numId w:val="61"/>
        </w:numPr>
        <w:autoSpaceDE w:val="0"/>
        <w:autoSpaceDN w:val="0"/>
        <w:adjustRightInd w:val="0"/>
        <w:spacing w:after="120"/>
        <w:jc w:val="both"/>
        <w:rPr>
          <w:rFonts w:ascii="Arial" w:hAnsi="Arial" w:cs="Arial"/>
          <w:sz w:val="20"/>
          <w:szCs w:val="20"/>
        </w:rPr>
      </w:pPr>
      <w:r w:rsidRPr="00B641C2">
        <w:rPr>
          <w:rFonts w:ascii="Arial" w:hAnsi="Arial" w:cs="Arial"/>
          <w:sz w:val="20"/>
          <w:szCs w:val="20"/>
        </w:rPr>
        <w:t>ľudské zdroje, zamestnanosť a sociálna inklúzia;</w:t>
      </w:r>
    </w:p>
    <w:p w14:paraId="0B761E05" w14:textId="77777777" w:rsidR="003C14CC" w:rsidRPr="004F6A1C" w:rsidRDefault="003C14CC" w:rsidP="00761FCE">
      <w:pPr>
        <w:pStyle w:val="Odsekzoznamu"/>
        <w:numPr>
          <w:ilvl w:val="0"/>
          <w:numId w:val="61"/>
        </w:numPr>
        <w:autoSpaceDE w:val="0"/>
        <w:autoSpaceDN w:val="0"/>
        <w:adjustRightInd w:val="0"/>
        <w:spacing w:after="120"/>
        <w:jc w:val="both"/>
        <w:rPr>
          <w:rFonts w:ascii="Arial" w:hAnsi="Arial" w:cs="Arial"/>
          <w:sz w:val="20"/>
          <w:szCs w:val="20"/>
        </w:rPr>
      </w:pPr>
      <w:r w:rsidRPr="00C506B8">
        <w:rPr>
          <w:rFonts w:ascii="Arial" w:hAnsi="Arial" w:cs="Arial"/>
          <w:sz w:val="20"/>
          <w:szCs w:val="20"/>
        </w:rPr>
        <w:t xml:space="preserve">veda, výskum a inovácie s dôrazom na </w:t>
      </w:r>
      <w:r w:rsidRPr="00DA54A0">
        <w:rPr>
          <w:rFonts w:ascii="Arial" w:hAnsi="Arial" w:cs="Arial"/>
          <w:sz w:val="20"/>
          <w:szCs w:val="20"/>
        </w:rPr>
        <w:t xml:space="preserve"> podporu hospodárskeho rastu pri zabezpečení </w:t>
      </w:r>
      <w:r w:rsidRPr="008D2B4A">
        <w:rPr>
          <w:rFonts w:ascii="Arial" w:hAnsi="Arial" w:cs="Arial"/>
          <w:sz w:val="20"/>
          <w:szCs w:val="20"/>
        </w:rPr>
        <w:t xml:space="preserve">efektívneho </w:t>
      </w:r>
      <w:r w:rsidRPr="004F6A1C">
        <w:rPr>
          <w:rFonts w:ascii="Arial" w:hAnsi="Arial" w:cs="Arial"/>
          <w:sz w:val="20"/>
          <w:szCs w:val="20"/>
        </w:rPr>
        <w:t xml:space="preserve">využitia zdrojov.  </w:t>
      </w:r>
    </w:p>
    <w:p w14:paraId="5D5EBF0A" w14:textId="5C626478" w:rsidR="00A572D5" w:rsidRPr="00A572D5" w:rsidRDefault="00A572D5" w:rsidP="00A572D5">
      <w:pPr>
        <w:tabs>
          <w:tab w:val="left" w:pos="360"/>
        </w:tabs>
        <w:autoSpaceDE w:val="0"/>
        <w:autoSpaceDN w:val="0"/>
        <w:adjustRightInd w:val="0"/>
        <w:spacing w:after="120"/>
        <w:jc w:val="both"/>
        <w:rPr>
          <w:rFonts w:ascii="Arial" w:hAnsi="Arial" w:cs="Arial"/>
          <w:sz w:val="20"/>
          <w:szCs w:val="20"/>
        </w:rPr>
      </w:pPr>
      <w:r w:rsidRPr="00A572D5">
        <w:rPr>
          <w:rFonts w:ascii="Arial" w:hAnsi="Arial" w:cs="Arial"/>
          <w:sz w:val="20"/>
          <w:szCs w:val="20"/>
        </w:rPr>
        <w:t>Národný program reforiem SR 2015 sa v časti Environmentálna udržateľnosť a energetika venuje okrem spoločných európskych cieľov stratégie</w:t>
      </w:r>
      <w:r w:rsidR="00D61C85">
        <w:rPr>
          <w:rFonts w:ascii="Arial" w:hAnsi="Arial" w:cs="Arial"/>
          <w:sz w:val="20"/>
          <w:szCs w:val="20"/>
        </w:rPr>
        <w:t xml:space="preserve"> Európa 2020,</w:t>
      </w:r>
      <w:r w:rsidRPr="00A572D5">
        <w:rPr>
          <w:rFonts w:ascii="Arial" w:hAnsi="Arial" w:cs="Arial"/>
          <w:sz w:val="20"/>
          <w:szCs w:val="20"/>
        </w:rPr>
        <w:t xml:space="preserve"> osobitne aj energetik</w:t>
      </w:r>
      <w:r w:rsidR="00D61C85">
        <w:rPr>
          <w:rFonts w:ascii="Arial" w:hAnsi="Arial" w:cs="Arial"/>
          <w:sz w:val="20"/>
          <w:szCs w:val="20"/>
        </w:rPr>
        <w:t>e</w:t>
      </w:r>
      <w:r w:rsidRPr="00A572D5">
        <w:rPr>
          <w:rFonts w:ascii="Arial" w:hAnsi="Arial" w:cs="Arial"/>
          <w:sz w:val="20"/>
          <w:szCs w:val="20"/>
        </w:rPr>
        <w:t xml:space="preserve"> problematike odpadov</w:t>
      </w:r>
      <w:r w:rsidR="00D61C85">
        <w:rPr>
          <w:rFonts w:ascii="Arial" w:hAnsi="Arial" w:cs="Arial"/>
          <w:sz w:val="20"/>
          <w:szCs w:val="20"/>
        </w:rPr>
        <w:t>.</w:t>
      </w:r>
      <w:r w:rsidRPr="00A572D5">
        <w:rPr>
          <w:rFonts w:ascii="Arial" w:hAnsi="Arial" w:cs="Arial"/>
          <w:sz w:val="20"/>
          <w:szCs w:val="20"/>
        </w:rPr>
        <w:t xml:space="preserve"> </w:t>
      </w:r>
      <w:r w:rsidR="00D61C85">
        <w:rPr>
          <w:rFonts w:ascii="Arial" w:hAnsi="Arial" w:cs="Arial"/>
          <w:sz w:val="20"/>
          <w:szCs w:val="20"/>
        </w:rPr>
        <w:t>Od</w:t>
      </w:r>
      <w:r w:rsidRPr="00A572D5">
        <w:rPr>
          <w:rFonts w:ascii="Arial" w:hAnsi="Arial" w:cs="Arial"/>
          <w:sz w:val="20"/>
          <w:szCs w:val="20"/>
        </w:rPr>
        <w:t xml:space="preserve"> 01. 01. 2016 nadobudol účinnosť nový zákon č. 79/2015 Z. z. o odpadoch a o zmene a doplnení niektorých záko</w:t>
      </w:r>
      <w:r w:rsidR="00F72A1D">
        <w:rPr>
          <w:rFonts w:ascii="Arial" w:hAnsi="Arial" w:cs="Arial"/>
          <w:sz w:val="20"/>
          <w:szCs w:val="20"/>
        </w:rPr>
        <w:t>no</w:t>
      </w:r>
      <w:r w:rsidRPr="00A572D5">
        <w:rPr>
          <w:rFonts w:ascii="Arial" w:hAnsi="Arial" w:cs="Arial"/>
          <w:sz w:val="20"/>
          <w:szCs w:val="20"/>
        </w:rPr>
        <w:t xml:space="preserve">v, ktorý </w:t>
      </w:r>
      <w:r w:rsidR="00D61C85">
        <w:rPr>
          <w:rFonts w:ascii="Arial" w:hAnsi="Arial" w:cs="Arial"/>
          <w:sz w:val="20"/>
          <w:szCs w:val="20"/>
        </w:rPr>
        <w:t>okrem iného</w:t>
      </w:r>
      <w:r w:rsidRPr="00A572D5">
        <w:rPr>
          <w:rFonts w:ascii="Arial" w:hAnsi="Arial" w:cs="Arial"/>
          <w:sz w:val="20"/>
          <w:szCs w:val="20"/>
        </w:rPr>
        <w:t xml:space="preserve"> zahŕňa aj opatrenia na predchádzanie vzniku odpadu, práva a povinnosti právnických a fyzických osôb pri predchádzaní vzniku odpadov a pri </w:t>
      </w:r>
      <w:r w:rsidR="00F72A1D" w:rsidRPr="00A572D5">
        <w:rPr>
          <w:rFonts w:ascii="Arial" w:hAnsi="Arial" w:cs="Arial"/>
          <w:sz w:val="20"/>
          <w:szCs w:val="20"/>
        </w:rPr>
        <w:t>nakladan</w:t>
      </w:r>
      <w:r w:rsidR="001F09AB">
        <w:rPr>
          <w:rFonts w:ascii="Arial" w:hAnsi="Arial" w:cs="Arial"/>
          <w:sz w:val="20"/>
          <w:szCs w:val="20"/>
        </w:rPr>
        <w:t>í</w:t>
      </w:r>
      <w:r w:rsidRPr="00A572D5">
        <w:rPr>
          <w:rFonts w:ascii="Arial" w:hAnsi="Arial" w:cs="Arial"/>
          <w:sz w:val="20"/>
          <w:szCs w:val="20"/>
        </w:rPr>
        <w:t xml:space="preserve"> s odpadmi, nakladan</w:t>
      </w:r>
      <w:r w:rsidR="001F09AB">
        <w:rPr>
          <w:rFonts w:ascii="Arial" w:hAnsi="Arial" w:cs="Arial"/>
          <w:sz w:val="20"/>
          <w:szCs w:val="20"/>
        </w:rPr>
        <w:t>í</w:t>
      </w:r>
      <w:r w:rsidRPr="00A572D5">
        <w:rPr>
          <w:rFonts w:ascii="Arial" w:hAnsi="Arial" w:cs="Arial"/>
          <w:sz w:val="20"/>
          <w:szCs w:val="20"/>
        </w:rPr>
        <w:t xml:space="preserve"> s vyhradenými výrobkami a prúdmi odpadov, </w:t>
      </w:r>
      <w:r w:rsidR="00D61C85">
        <w:rPr>
          <w:rFonts w:ascii="Arial" w:hAnsi="Arial" w:cs="Arial"/>
          <w:sz w:val="20"/>
          <w:szCs w:val="20"/>
        </w:rPr>
        <w:t>zavádza</w:t>
      </w:r>
      <w:r w:rsidR="00D61C85" w:rsidRPr="00A572D5">
        <w:rPr>
          <w:rFonts w:ascii="Arial" w:hAnsi="Arial" w:cs="Arial"/>
          <w:sz w:val="20"/>
          <w:szCs w:val="20"/>
        </w:rPr>
        <w:t xml:space="preserve"> </w:t>
      </w:r>
      <w:r w:rsidRPr="00A572D5">
        <w:rPr>
          <w:rFonts w:ascii="Arial" w:hAnsi="Arial" w:cs="Arial"/>
          <w:sz w:val="20"/>
          <w:szCs w:val="20"/>
        </w:rPr>
        <w:t xml:space="preserve">princíp rozšírenej zodpovednosti výrobcov, upravuje nakladanie s komunálnym odpadom </w:t>
      </w:r>
      <w:r w:rsidR="00D61C85">
        <w:rPr>
          <w:rFonts w:ascii="Arial" w:hAnsi="Arial" w:cs="Arial"/>
          <w:sz w:val="20"/>
          <w:szCs w:val="20"/>
        </w:rPr>
        <w:t xml:space="preserve">a </w:t>
      </w:r>
      <w:r w:rsidRPr="00A572D5">
        <w:rPr>
          <w:rFonts w:ascii="Arial" w:hAnsi="Arial" w:cs="Arial"/>
          <w:sz w:val="20"/>
          <w:szCs w:val="20"/>
        </w:rPr>
        <w:t xml:space="preserve">cezhraničný pohyb odpadov. </w:t>
      </w:r>
    </w:p>
    <w:p w14:paraId="2C6F580F" w14:textId="7654E21D" w:rsidR="003C14CC" w:rsidRPr="009F31E4" w:rsidRDefault="00A572D5" w:rsidP="00A572D5">
      <w:pPr>
        <w:tabs>
          <w:tab w:val="left" w:pos="360"/>
        </w:tabs>
        <w:autoSpaceDE w:val="0"/>
        <w:autoSpaceDN w:val="0"/>
        <w:adjustRightInd w:val="0"/>
        <w:spacing w:after="120"/>
        <w:jc w:val="both"/>
        <w:rPr>
          <w:rFonts w:ascii="Arial" w:hAnsi="Arial" w:cs="Arial"/>
          <w:iCs/>
          <w:sz w:val="20"/>
          <w:szCs w:val="20"/>
        </w:rPr>
      </w:pPr>
      <w:r w:rsidRPr="00A572D5">
        <w:rPr>
          <w:rFonts w:ascii="Arial" w:hAnsi="Arial" w:cs="Arial"/>
          <w:sz w:val="20"/>
          <w:szCs w:val="20"/>
        </w:rPr>
        <w:t>Finančné prostriedky z fondov EÚ v rámci OP ŽP sú zamerané na podporu rozvoja environmentálnej infraštruktúry SR, a teda priamo smerujú do jednej z oblastí, ktoré sú v NPR SR identifikované ako finančne náročné a zároveň rozhodujúce z hľadiska ekonomického rozvoja SR.</w:t>
      </w:r>
      <w:r w:rsidR="00F72A1D">
        <w:rPr>
          <w:rFonts w:ascii="Arial" w:hAnsi="Arial" w:cs="Arial"/>
          <w:sz w:val="20"/>
          <w:szCs w:val="20"/>
        </w:rPr>
        <w:t xml:space="preserve"> </w:t>
      </w:r>
      <w:r w:rsidR="00D61C85" w:rsidRPr="00D61C85">
        <w:rPr>
          <w:rFonts w:ascii="Arial" w:hAnsi="Arial" w:cs="Arial"/>
          <w:iCs/>
          <w:sz w:val="20"/>
          <w:szCs w:val="20"/>
        </w:rPr>
        <w:t>Vzájomné prepojenia OP ŽP s prioritami stratégie Európa 2020, ako aj s cieľmi NPR SR sú vytvorené prostredníctvom napĺňania globálneho cieľa OP ŽP  - zabezpečovaním environmentálnej udržateľnosti hospodárskeho rozvoja a „zelenému“ ekonomickému rastu, čo zodpovedá prioritám stratégie Európa 2020 a cieľom NPR SR.</w:t>
      </w:r>
      <w:r w:rsidR="003C14CC" w:rsidRPr="009F31E4">
        <w:rPr>
          <w:rFonts w:ascii="Arial" w:hAnsi="Arial" w:cs="Arial"/>
          <w:iCs/>
          <w:sz w:val="20"/>
          <w:szCs w:val="20"/>
        </w:rPr>
        <w:t xml:space="preserve"> </w:t>
      </w:r>
    </w:p>
    <w:bookmarkStart w:id="30" w:name="_2.1.7_Opis_partnerských"/>
    <w:bookmarkEnd w:id="30"/>
    <w:p w14:paraId="410FF85C" w14:textId="77777777" w:rsidR="002416B1" w:rsidRPr="002D4D92" w:rsidRDefault="002416B1" w:rsidP="00123376">
      <w:pPr>
        <w:pStyle w:val="Nadpis3"/>
        <w:spacing w:after="120"/>
        <w:rPr>
          <w:rFonts w:cs="Arial"/>
        </w:rPr>
      </w:pPr>
      <w:r w:rsidRPr="002D4D92">
        <w:rPr>
          <w:rFonts w:cs="Arial"/>
        </w:rPr>
        <w:fldChar w:fldCharType="begin"/>
      </w:r>
      <w:r w:rsidRPr="002D4D92">
        <w:rPr>
          <w:rFonts w:cs="Arial"/>
        </w:rPr>
        <w:instrText xml:space="preserve"> HYPERLINK  \l "_2.1.7_Opis_partnerských" </w:instrText>
      </w:r>
      <w:r w:rsidRPr="002D4D92">
        <w:rPr>
          <w:rFonts w:cs="Arial"/>
        </w:rPr>
        <w:fldChar w:fldCharType="separate"/>
      </w:r>
      <w:bookmarkStart w:id="31" w:name="_Toc466914514"/>
      <w:r w:rsidRPr="002D4D92">
        <w:rPr>
          <w:rFonts w:cs="Arial"/>
        </w:rPr>
        <w:t>2.1.7 Opis partnerských dohôd</w:t>
      </w:r>
      <w:bookmarkEnd w:id="31"/>
      <w:r w:rsidRPr="002D4D92">
        <w:rPr>
          <w:rFonts w:cs="Arial"/>
        </w:rPr>
        <w:fldChar w:fldCharType="end"/>
      </w:r>
    </w:p>
    <w:p w14:paraId="1CB7C202" w14:textId="71851D5F" w:rsidR="002416B1" w:rsidRPr="002D4D92" w:rsidRDefault="002416B1" w:rsidP="00123376">
      <w:pPr>
        <w:spacing w:before="120" w:after="120"/>
        <w:jc w:val="both"/>
        <w:rPr>
          <w:rFonts w:ascii="Arial" w:hAnsi="Arial" w:cs="Arial"/>
          <w:sz w:val="20"/>
          <w:szCs w:val="20"/>
        </w:rPr>
      </w:pPr>
      <w:r w:rsidRPr="002D4D92">
        <w:rPr>
          <w:rFonts w:ascii="Arial" w:hAnsi="Arial" w:cs="Arial"/>
          <w:sz w:val="20"/>
          <w:szCs w:val="20"/>
        </w:rPr>
        <w:t xml:space="preserve">Princíp partnerstva </w:t>
      </w:r>
      <w:r w:rsidR="002D4D92" w:rsidRPr="002D4D92">
        <w:rPr>
          <w:rFonts w:ascii="Arial" w:hAnsi="Arial" w:cs="Arial"/>
          <w:sz w:val="20"/>
          <w:szCs w:val="20"/>
        </w:rPr>
        <w:t>bol</w:t>
      </w:r>
      <w:r w:rsidRPr="002D4D92">
        <w:rPr>
          <w:rFonts w:ascii="Arial" w:hAnsi="Arial" w:cs="Arial"/>
          <w:sz w:val="20"/>
          <w:szCs w:val="20"/>
        </w:rPr>
        <w:t xml:space="preserve"> uplatňovaný počas celého procesu implementácie OP ŽP, do ktorého </w:t>
      </w:r>
      <w:r w:rsidR="002D4D92" w:rsidRPr="002D4D92">
        <w:rPr>
          <w:rFonts w:ascii="Arial" w:hAnsi="Arial" w:cs="Arial"/>
          <w:sz w:val="20"/>
          <w:szCs w:val="20"/>
        </w:rPr>
        <w:t>boli</w:t>
      </w:r>
      <w:r w:rsidRPr="002D4D92">
        <w:rPr>
          <w:rFonts w:ascii="Arial" w:hAnsi="Arial" w:cs="Arial"/>
          <w:sz w:val="20"/>
          <w:szCs w:val="20"/>
        </w:rPr>
        <w:t xml:space="preserve"> zástupcovia samosprávnych krajov, socio-ekonomických partnerov a mimovládnych organizácií zapojení prostredníctvom ich členstva v Monitoro</w:t>
      </w:r>
      <w:r w:rsidR="002D4D92" w:rsidRPr="002D4D92">
        <w:rPr>
          <w:rFonts w:ascii="Arial" w:hAnsi="Arial" w:cs="Arial"/>
          <w:sz w:val="20"/>
          <w:szCs w:val="20"/>
        </w:rPr>
        <w:t>vacom výbore pre OP ŽP. Tým mali</w:t>
      </w:r>
      <w:r w:rsidRPr="002D4D92">
        <w:rPr>
          <w:rFonts w:ascii="Arial" w:hAnsi="Arial" w:cs="Arial"/>
          <w:sz w:val="20"/>
          <w:szCs w:val="20"/>
        </w:rPr>
        <w:t xml:space="preserve"> možnosť dohliadať na priebeh a efektívnosť implementácie operačného programu (</w:t>
      </w:r>
      <w:r w:rsidR="00A27F6B" w:rsidRPr="002D4D92">
        <w:rPr>
          <w:rFonts w:ascii="Arial" w:hAnsi="Arial" w:cs="Arial"/>
          <w:sz w:val="20"/>
          <w:szCs w:val="20"/>
        </w:rPr>
        <w:t>pozri</w:t>
      </w:r>
      <w:r w:rsidRPr="002D4D92">
        <w:rPr>
          <w:rFonts w:ascii="Arial" w:hAnsi="Arial" w:cs="Arial"/>
          <w:sz w:val="20"/>
          <w:szCs w:val="20"/>
        </w:rPr>
        <w:t xml:space="preserve"> kap. 2.7.1 a kap. 4).</w:t>
      </w:r>
    </w:p>
    <w:p w14:paraId="509A7F5F" w14:textId="7D3428F0" w:rsidR="002416B1" w:rsidRPr="002D4D92" w:rsidRDefault="002416B1" w:rsidP="00123376">
      <w:pPr>
        <w:spacing w:before="120" w:after="120"/>
        <w:jc w:val="both"/>
        <w:rPr>
          <w:rFonts w:ascii="Arial" w:hAnsi="Arial" w:cs="Arial"/>
          <w:sz w:val="20"/>
          <w:szCs w:val="20"/>
        </w:rPr>
      </w:pPr>
      <w:r w:rsidRPr="002D4D92">
        <w:rPr>
          <w:rFonts w:ascii="Arial" w:hAnsi="Arial" w:cs="Arial"/>
          <w:sz w:val="20"/>
          <w:szCs w:val="20"/>
        </w:rPr>
        <w:t xml:space="preserve">Orgány regionálnej a miestnej samosprávy </w:t>
      </w:r>
      <w:r w:rsidR="002D4D92" w:rsidRPr="002D4D92">
        <w:rPr>
          <w:rFonts w:ascii="Arial" w:hAnsi="Arial" w:cs="Arial"/>
          <w:sz w:val="20"/>
          <w:szCs w:val="20"/>
        </w:rPr>
        <w:t>boli</w:t>
      </w:r>
      <w:r w:rsidRPr="002D4D92">
        <w:rPr>
          <w:rFonts w:ascii="Arial" w:hAnsi="Arial" w:cs="Arial"/>
          <w:sz w:val="20"/>
          <w:szCs w:val="20"/>
        </w:rPr>
        <w:t xml:space="preserve"> taktiež jednou z cieľových skupín informačných aktivít v rámci Komunikačného plánu pre OP ŽP. V procese jeho realizácie </w:t>
      </w:r>
      <w:r w:rsidR="002D4D92" w:rsidRPr="002D4D92">
        <w:rPr>
          <w:rFonts w:ascii="Arial" w:hAnsi="Arial" w:cs="Arial"/>
          <w:sz w:val="20"/>
          <w:szCs w:val="20"/>
        </w:rPr>
        <w:t>bol</w:t>
      </w:r>
      <w:r w:rsidR="001F09AB">
        <w:rPr>
          <w:rFonts w:ascii="Arial" w:hAnsi="Arial" w:cs="Arial"/>
          <w:sz w:val="20"/>
          <w:szCs w:val="20"/>
        </w:rPr>
        <w:t>a</w:t>
      </w:r>
      <w:r w:rsidRPr="002D4D92">
        <w:rPr>
          <w:rFonts w:ascii="Arial" w:hAnsi="Arial" w:cs="Arial"/>
          <w:sz w:val="20"/>
          <w:szCs w:val="20"/>
        </w:rPr>
        <w:t xml:space="preserve"> nielen im, ale aj ďalším zainteresovaným subjektom, vrátane širokej verejnosti, poskytovaná možnosť oboznámiť sa s priebehom a výsledkami realizácie OP ŽP.</w:t>
      </w:r>
    </w:p>
    <w:p w14:paraId="151D6E29" w14:textId="77777777" w:rsidR="002416B1" w:rsidRPr="002526CC" w:rsidRDefault="002416B1" w:rsidP="00123376">
      <w:pPr>
        <w:pStyle w:val="Nadpis2"/>
        <w:spacing w:after="120"/>
        <w:jc w:val="both"/>
        <w:rPr>
          <w:rFonts w:cs="Arial"/>
        </w:rPr>
      </w:pPr>
      <w:bookmarkStart w:id="32" w:name="_3.2_Súlad_s"/>
      <w:bookmarkStart w:id="33" w:name="_Toc466914515"/>
      <w:bookmarkEnd w:id="32"/>
      <w:r w:rsidRPr="008E1ACB">
        <w:rPr>
          <w:rFonts w:cs="Arial"/>
        </w:rPr>
        <w:t xml:space="preserve">2.2 Informácie o súlade s právnymi predpismi </w:t>
      </w:r>
      <w:r w:rsidR="004C23C3">
        <w:rPr>
          <w:rFonts w:cs="Arial"/>
        </w:rPr>
        <w:t>Spoločenstva</w:t>
      </w:r>
      <w:bookmarkEnd w:id="33"/>
    </w:p>
    <w:p w14:paraId="27E95723" w14:textId="77777777" w:rsidR="000573C8" w:rsidRPr="00E21C60" w:rsidRDefault="000573C8" w:rsidP="000573C8">
      <w:pPr>
        <w:spacing w:before="120" w:after="120"/>
        <w:jc w:val="both"/>
        <w:rPr>
          <w:rFonts w:ascii="Arial" w:hAnsi="Arial" w:cs="Arial"/>
          <w:sz w:val="20"/>
          <w:szCs w:val="20"/>
        </w:rPr>
      </w:pPr>
      <w:r w:rsidRPr="00E21C60">
        <w:rPr>
          <w:rFonts w:ascii="Arial" w:hAnsi="Arial" w:cs="Arial"/>
          <w:sz w:val="20"/>
          <w:szCs w:val="20"/>
        </w:rPr>
        <w:t xml:space="preserve">Implementácia všetkých prioritných osí a operačných cieľov v rámci OP ŽP prebiehala v súlade  s legislatívou EÚ a SR, vrátane pravidiel hospodárskej súťaže, verejného obstarávania, ochrany a zlepšovania </w:t>
      </w:r>
      <w:r>
        <w:rPr>
          <w:rFonts w:ascii="Arial" w:hAnsi="Arial" w:cs="Arial"/>
          <w:sz w:val="20"/>
          <w:szCs w:val="20"/>
        </w:rPr>
        <w:t xml:space="preserve">stavu </w:t>
      </w:r>
      <w:r w:rsidRPr="00E21C60">
        <w:rPr>
          <w:rFonts w:ascii="Arial" w:hAnsi="Arial" w:cs="Arial"/>
          <w:sz w:val="20"/>
          <w:szCs w:val="20"/>
        </w:rPr>
        <w:t>životného prostredia, rovnosti príležitostí, rodovej rovnosti a nediskriminácie.</w:t>
      </w:r>
    </w:p>
    <w:p w14:paraId="447AB2C6" w14:textId="329F287E" w:rsidR="00A572D5" w:rsidRPr="00857BB4" w:rsidRDefault="00A572D5" w:rsidP="00A572D5">
      <w:pPr>
        <w:spacing w:before="120" w:after="120"/>
        <w:jc w:val="both"/>
        <w:rPr>
          <w:rFonts w:ascii="Arial" w:hAnsi="Arial" w:cs="Arial"/>
          <w:sz w:val="20"/>
          <w:szCs w:val="20"/>
        </w:rPr>
      </w:pPr>
      <w:bookmarkStart w:id="34" w:name="_3.3_Závažné_problémy"/>
      <w:bookmarkEnd w:id="34"/>
      <w:r>
        <w:rPr>
          <w:rFonts w:ascii="Arial" w:hAnsi="Arial" w:cs="Arial"/>
          <w:sz w:val="20"/>
          <w:szCs w:val="20"/>
        </w:rPr>
        <w:t>Čo sa týka ochrany životného prostredia, o</w:t>
      </w:r>
      <w:r w:rsidRPr="00B54FC9">
        <w:rPr>
          <w:rFonts w:ascii="Arial" w:hAnsi="Arial" w:cs="Arial"/>
          <w:sz w:val="20"/>
          <w:szCs w:val="20"/>
        </w:rPr>
        <w:t>d roku 2010 prebieha</w:t>
      </w:r>
      <w:r>
        <w:rPr>
          <w:rFonts w:ascii="Arial" w:hAnsi="Arial" w:cs="Arial"/>
          <w:sz w:val="20"/>
          <w:szCs w:val="20"/>
        </w:rPr>
        <w:t>la</w:t>
      </w:r>
      <w:r w:rsidRPr="00B54FC9">
        <w:rPr>
          <w:rFonts w:ascii="Arial" w:hAnsi="Arial" w:cs="Arial"/>
          <w:sz w:val="20"/>
          <w:szCs w:val="20"/>
        </w:rPr>
        <w:t xml:space="preserve"> medzi SR a EK komunikácia v oblasti uplatňovania smernice EIA</w:t>
      </w:r>
      <w:r>
        <w:rPr>
          <w:rFonts w:ascii="Arial" w:hAnsi="Arial" w:cs="Arial"/>
          <w:sz w:val="20"/>
          <w:szCs w:val="20"/>
        </w:rPr>
        <w:t>, vzhľadom na n</w:t>
      </w:r>
      <w:r w:rsidRPr="00562EE8">
        <w:rPr>
          <w:rFonts w:ascii="Arial" w:hAnsi="Arial" w:cs="Arial"/>
          <w:sz w:val="20"/>
          <w:szCs w:val="20"/>
        </w:rPr>
        <w:t>esprávn</w:t>
      </w:r>
      <w:r>
        <w:rPr>
          <w:rFonts w:ascii="Arial" w:hAnsi="Arial" w:cs="Arial"/>
          <w:sz w:val="20"/>
          <w:szCs w:val="20"/>
        </w:rPr>
        <w:t>u  transpozíciu</w:t>
      </w:r>
      <w:r w:rsidRPr="00562EE8">
        <w:rPr>
          <w:rFonts w:ascii="Arial" w:hAnsi="Arial" w:cs="Arial"/>
          <w:sz w:val="20"/>
          <w:szCs w:val="20"/>
        </w:rPr>
        <w:t xml:space="preserve"> smernice Európskeho parlamentu a Rady 2011/92/ES o posudzovaní vplyvov určitých verejných a súkromných projektov na životné prostredie</w:t>
      </w:r>
      <w:r>
        <w:rPr>
          <w:rFonts w:ascii="Arial" w:hAnsi="Arial" w:cs="Arial"/>
          <w:sz w:val="20"/>
          <w:szCs w:val="20"/>
        </w:rPr>
        <w:t xml:space="preserve"> (</w:t>
      </w:r>
      <w:r w:rsidRPr="002526CC">
        <w:rPr>
          <w:rFonts w:ascii="Arial" w:hAnsi="Arial" w:cs="Arial"/>
          <w:sz w:val="20"/>
          <w:szCs w:val="20"/>
        </w:rPr>
        <w:tab/>
      </w:r>
      <w:r w:rsidRPr="00E21C60">
        <w:rPr>
          <w:rFonts w:ascii="Arial" w:hAnsi="Arial" w:cs="Arial"/>
          <w:sz w:val="20"/>
          <w:szCs w:val="20"/>
        </w:rPr>
        <w:tab/>
      </w:r>
      <w:r>
        <w:rPr>
          <w:rFonts w:ascii="Arial" w:hAnsi="Arial" w:cs="Arial"/>
          <w:sz w:val="20"/>
          <w:szCs w:val="20"/>
        </w:rPr>
        <w:t xml:space="preserve">konanie č. 2013/2034).  </w:t>
      </w:r>
      <w:r w:rsidRPr="00B54FC9">
        <w:rPr>
          <w:rFonts w:ascii="Arial" w:hAnsi="Arial" w:cs="Arial"/>
          <w:sz w:val="20"/>
          <w:szCs w:val="20"/>
        </w:rPr>
        <w:t xml:space="preserve">Pokiaľ ide o relevantné opatrenia na národnej úrovni, došlo k viacerým novelizáciám zákona č. 24/2006 Z. z. o posudzovaní vplyvov na životné prostredie v znení neskorších predpisov (zákon o EIA). </w:t>
      </w:r>
      <w:r>
        <w:rPr>
          <w:rFonts w:ascii="Arial" w:hAnsi="Arial" w:cs="Arial"/>
          <w:sz w:val="20"/>
          <w:szCs w:val="20"/>
        </w:rPr>
        <w:t>Na úrovni</w:t>
      </w:r>
      <w:r w:rsidRPr="00B54FC9">
        <w:rPr>
          <w:rFonts w:ascii="Arial" w:hAnsi="Arial" w:cs="Arial"/>
          <w:sz w:val="20"/>
          <w:szCs w:val="20"/>
        </w:rPr>
        <w:t xml:space="preserve"> RO pre OP ŽP, vzhľadom na skutočnosť, že problematika EIA má v dôsledku svojho horizontálneho charakteru dopad aj na oblasť využívania fondov EÚ, bola problematika EIA z</w:t>
      </w:r>
      <w:r w:rsidR="001F09AB">
        <w:rPr>
          <w:rFonts w:ascii="Arial" w:hAnsi="Arial" w:cs="Arial"/>
          <w:sz w:val="20"/>
          <w:szCs w:val="20"/>
        </w:rPr>
        <w:t>a</w:t>
      </w:r>
      <w:r w:rsidRPr="00B54FC9">
        <w:rPr>
          <w:rFonts w:ascii="Arial" w:hAnsi="Arial" w:cs="Arial"/>
          <w:sz w:val="20"/>
          <w:szCs w:val="20"/>
        </w:rPr>
        <w:t>radená aj do opatrení prijatých v rámci Joint Road Map</w:t>
      </w:r>
      <w:r>
        <w:rPr>
          <w:rFonts w:ascii="Arial" w:hAnsi="Arial" w:cs="Arial"/>
          <w:sz w:val="20"/>
          <w:szCs w:val="20"/>
        </w:rPr>
        <w:t xml:space="preserve">. RO </w:t>
      </w:r>
      <w:r>
        <w:rPr>
          <w:rFonts w:ascii="Arial" w:hAnsi="Arial" w:cs="Arial"/>
          <w:sz w:val="20"/>
          <w:szCs w:val="20"/>
        </w:rPr>
        <w:lastRenderedPageBreak/>
        <w:t>prijal</w:t>
      </w:r>
      <w:r w:rsidRPr="00D17DFD">
        <w:rPr>
          <w:rFonts w:ascii="Arial" w:hAnsi="Arial" w:cs="Arial"/>
          <w:sz w:val="20"/>
          <w:szCs w:val="20"/>
        </w:rPr>
        <w:t> potrebné kroky k zabezpečeniu priameho uplatňovania smernice EIA v rámci postupov pri implementácii OP ŽP.</w:t>
      </w:r>
      <w:r>
        <w:rPr>
          <w:b/>
        </w:rPr>
        <w:t xml:space="preserve"> </w:t>
      </w:r>
      <w:r w:rsidRPr="00D17DFD">
        <w:rPr>
          <w:rFonts w:ascii="Arial" w:hAnsi="Arial" w:cs="Arial"/>
          <w:sz w:val="20"/>
          <w:szCs w:val="20"/>
        </w:rPr>
        <w:t xml:space="preserve">Išlo </w:t>
      </w:r>
      <w:r w:rsidRPr="00857BB4">
        <w:rPr>
          <w:rFonts w:ascii="Arial" w:hAnsi="Arial" w:cs="Arial"/>
          <w:sz w:val="20"/>
          <w:szCs w:val="20"/>
        </w:rPr>
        <w:t>napr.</w:t>
      </w:r>
      <w:r w:rsidRPr="00D17DFD">
        <w:rPr>
          <w:rFonts w:ascii="Arial" w:hAnsi="Arial" w:cs="Arial"/>
          <w:sz w:val="20"/>
          <w:szCs w:val="20"/>
        </w:rPr>
        <w:t xml:space="preserve"> o</w:t>
      </w:r>
      <w:r>
        <w:rPr>
          <w:rFonts w:ascii="Arial" w:hAnsi="Arial" w:cs="Arial"/>
          <w:sz w:val="20"/>
          <w:szCs w:val="20"/>
        </w:rPr>
        <w:t> povinné prílohy pri žiadostiach o NFP, ktoré preukazovali vykonanie EIA, overenie súladu projektu v povoľovacom konaní s rozsahom zámeru, ktorý bol posúdený v rámci EIA procesu. Zároveň je potrebné zdôrazniť, že p</w:t>
      </w:r>
      <w:r w:rsidRPr="00857BB4">
        <w:rPr>
          <w:rFonts w:ascii="Arial" w:hAnsi="Arial" w:cs="Arial"/>
          <w:sz w:val="20"/>
          <w:szCs w:val="20"/>
        </w:rPr>
        <w:t xml:space="preserve">rimárnym cieľom aktivít podporovaných v rámci </w:t>
      </w:r>
      <w:r w:rsidR="001F09AB">
        <w:rPr>
          <w:rFonts w:ascii="Arial" w:hAnsi="Arial" w:cs="Arial"/>
          <w:sz w:val="20"/>
          <w:szCs w:val="20"/>
        </w:rPr>
        <w:t xml:space="preserve">    </w:t>
      </w:r>
      <w:r w:rsidRPr="00857BB4">
        <w:rPr>
          <w:rFonts w:ascii="Arial" w:hAnsi="Arial" w:cs="Arial"/>
          <w:sz w:val="20"/>
          <w:szCs w:val="20"/>
        </w:rPr>
        <w:t>OP ŽP je skvalitňovanie environmentálnej infraštruktúry a ochrana prírody, a teda zlepšovanie stavu životného prostredia. Už zo samotného zamerania operačného programu teda vyplýv</w:t>
      </w:r>
      <w:r>
        <w:rPr>
          <w:rFonts w:ascii="Arial" w:hAnsi="Arial" w:cs="Arial"/>
          <w:sz w:val="20"/>
          <w:szCs w:val="20"/>
        </w:rPr>
        <w:t xml:space="preserve">a, že v rámci </w:t>
      </w:r>
      <w:r w:rsidR="001F09AB">
        <w:rPr>
          <w:rFonts w:ascii="Arial" w:hAnsi="Arial" w:cs="Arial"/>
          <w:sz w:val="20"/>
          <w:szCs w:val="20"/>
        </w:rPr>
        <w:t xml:space="preserve">  </w:t>
      </w:r>
      <w:r>
        <w:rPr>
          <w:rFonts w:ascii="Arial" w:hAnsi="Arial" w:cs="Arial"/>
          <w:sz w:val="20"/>
          <w:szCs w:val="20"/>
        </w:rPr>
        <w:t>OP ŽP sa neuvažovalo</w:t>
      </w:r>
      <w:r w:rsidRPr="00857BB4">
        <w:rPr>
          <w:rFonts w:ascii="Arial" w:hAnsi="Arial" w:cs="Arial"/>
          <w:sz w:val="20"/>
          <w:szCs w:val="20"/>
        </w:rPr>
        <w:t xml:space="preserve"> s podporou projektov, v prípade ktorých by výsledný celkový vplyv na životné prostredie bol negatívny. Realizácia takýchto projektov by bola v kontradikc</w:t>
      </w:r>
      <w:r>
        <w:rPr>
          <w:rFonts w:ascii="Arial" w:hAnsi="Arial" w:cs="Arial"/>
          <w:sz w:val="20"/>
          <w:szCs w:val="20"/>
        </w:rPr>
        <w:t xml:space="preserve">ii so zameraním a cieľmi OP ŽP, preto je </w:t>
      </w:r>
      <w:r w:rsidRPr="00857BB4">
        <w:rPr>
          <w:rFonts w:ascii="Arial" w:hAnsi="Arial" w:cs="Arial"/>
          <w:sz w:val="20"/>
          <w:szCs w:val="20"/>
        </w:rPr>
        <w:t xml:space="preserve">vysoko nepravdepodobné, že by v dôsledku realizácie projektov podporených z </w:t>
      </w:r>
      <w:r w:rsidR="001F09AB">
        <w:rPr>
          <w:rFonts w:ascii="Arial" w:hAnsi="Arial" w:cs="Arial"/>
          <w:sz w:val="20"/>
          <w:szCs w:val="20"/>
        </w:rPr>
        <w:t xml:space="preserve">     </w:t>
      </w:r>
      <w:r w:rsidRPr="00857BB4">
        <w:rPr>
          <w:rFonts w:ascii="Arial" w:hAnsi="Arial" w:cs="Arial"/>
          <w:sz w:val="20"/>
          <w:szCs w:val="20"/>
        </w:rPr>
        <w:t xml:space="preserve">OP ŽP mohlo dôjsť k negatívnemu vplyvu na životné prostredie.  </w:t>
      </w:r>
    </w:p>
    <w:p w14:paraId="15CD83AC" w14:textId="77777777" w:rsidR="002416B1" w:rsidRPr="0020746A" w:rsidRDefault="00133B9E" w:rsidP="00123376">
      <w:pPr>
        <w:pStyle w:val="Nadpis2"/>
        <w:spacing w:after="120"/>
        <w:jc w:val="both"/>
        <w:rPr>
          <w:rFonts w:cs="Arial"/>
        </w:rPr>
      </w:pPr>
      <w:bookmarkStart w:id="35" w:name="_Toc466914516"/>
      <w:r w:rsidRPr="008E1ACB">
        <w:rPr>
          <w:rFonts w:cs="Arial"/>
        </w:rPr>
        <w:t>2.3</w:t>
      </w:r>
      <w:r w:rsidR="002416B1" w:rsidRPr="0020746A">
        <w:rPr>
          <w:rFonts w:cs="Arial"/>
        </w:rPr>
        <w:t xml:space="preserve"> Závažné problémy, ktoré sa vyskytli a opatrenia prijaté na ich odstránenie</w:t>
      </w:r>
      <w:bookmarkEnd w:id="35"/>
    </w:p>
    <w:p w14:paraId="08410C3E" w14:textId="77777777" w:rsidR="000B40E0" w:rsidRPr="007D7B08" w:rsidRDefault="000B40E0" w:rsidP="000B40E0">
      <w:pPr>
        <w:tabs>
          <w:tab w:val="left" w:pos="360"/>
        </w:tabs>
        <w:autoSpaceDE w:val="0"/>
        <w:autoSpaceDN w:val="0"/>
        <w:adjustRightInd w:val="0"/>
        <w:spacing w:before="120" w:line="240" w:lineRule="atLeast"/>
        <w:jc w:val="both"/>
        <w:rPr>
          <w:rFonts w:ascii="Arial" w:hAnsi="Arial" w:cs="Arial"/>
          <w:b/>
          <w:sz w:val="20"/>
          <w:szCs w:val="20"/>
        </w:rPr>
      </w:pPr>
      <w:r w:rsidRPr="007D7B08">
        <w:rPr>
          <w:rFonts w:ascii="Arial" w:hAnsi="Arial" w:cs="Arial"/>
          <w:b/>
          <w:sz w:val="20"/>
          <w:szCs w:val="20"/>
        </w:rPr>
        <w:t>Nedostatky identifikované pri certifikačných overovaniach súhrnných žiadostí o platbu</w:t>
      </w:r>
    </w:p>
    <w:p w14:paraId="7CE5A873" w14:textId="77777777" w:rsidR="007901C8" w:rsidRPr="00796058" w:rsidRDefault="007901C8" w:rsidP="007901C8">
      <w:pPr>
        <w:spacing w:before="120"/>
        <w:jc w:val="both"/>
        <w:rPr>
          <w:rFonts w:ascii="Arial" w:hAnsi="Arial" w:cs="Arial"/>
          <w:sz w:val="20"/>
          <w:szCs w:val="20"/>
        </w:rPr>
      </w:pPr>
      <w:r w:rsidRPr="00796058">
        <w:rPr>
          <w:rFonts w:ascii="Arial" w:hAnsi="Arial" w:cs="Arial"/>
          <w:sz w:val="20"/>
          <w:szCs w:val="20"/>
        </w:rPr>
        <w:t>Za programové obdobie 2007 – 2013 boli v rámci OP ŽP identifikované predovšetkým nasledovné problémové oblasti:</w:t>
      </w:r>
    </w:p>
    <w:p w14:paraId="117C3080" w14:textId="541623C8" w:rsidR="007901C8" w:rsidRPr="00F87D11" w:rsidRDefault="007901C8" w:rsidP="00F87D11">
      <w:pPr>
        <w:pStyle w:val="Odsekzoznamu"/>
        <w:numPr>
          <w:ilvl w:val="0"/>
          <w:numId w:val="153"/>
        </w:numPr>
        <w:spacing w:before="120"/>
        <w:ind w:left="142" w:hanging="142"/>
        <w:jc w:val="both"/>
        <w:rPr>
          <w:rFonts w:ascii="Arial" w:hAnsi="Arial" w:cs="Arial"/>
          <w:sz w:val="20"/>
          <w:szCs w:val="20"/>
        </w:rPr>
      </w:pPr>
      <w:r w:rsidRPr="00F87D11">
        <w:rPr>
          <w:rFonts w:ascii="Arial" w:hAnsi="Arial" w:cs="Arial"/>
          <w:sz w:val="20"/>
          <w:szCs w:val="20"/>
        </w:rPr>
        <w:t>zistenia v oblasti hodnotiaceho procesu žiadosti o NFP týkajúce sa nedostatočnej transparentnosti posúdenia súladu ŽoNFP s hodnotiacimi kritériami, pričom bolo zistené nesprávne pridelenie počtu bodov, prípadne nedostatočné zdôvodnenie prideleného počtu bodov; nedostatočná kontrola formálnej správnosti RO nesprávnym zaradením určitej skupiny výdavkov pod „bežné služby“; absencia postupov posúdenia „podniku v ťažkostiach“;</w:t>
      </w:r>
    </w:p>
    <w:p w14:paraId="645D678E" w14:textId="70679F4C" w:rsidR="007901C8" w:rsidRPr="00F87D11" w:rsidRDefault="007901C8" w:rsidP="00F87D11">
      <w:pPr>
        <w:pStyle w:val="Odsekzoznamu"/>
        <w:numPr>
          <w:ilvl w:val="0"/>
          <w:numId w:val="153"/>
        </w:numPr>
        <w:spacing w:line="259" w:lineRule="auto"/>
        <w:ind w:left="142" w:hanging="142"/>
        <w:jc w:val="both"/>
        <w:rPr>
          <w:rFonts w:ascii="Arial" w:hAnsi="Arial" w:cs="Arial"/>
          <w:sz w:val="20"/>
          <w:szCs w:val="20"/>
        </w:rPr>
      </w:pPr>
      <w:r w:rsidRPr="00F87D11">
        <w:rPr>
          <w:rFonts w:ascii="Arial" w:hAnsi="Arial" w:cs="Arial"/>
          <w:sz w:val="20"/>
          <w:szCs w:val="20"/>
        </w:rPr>
        <w:t>zistenia v oblasti verejného obstarávania týkajúce sa najmä nedostatočného posúdenia splnenia podmienok účasti a overenia dodržiavania pravidiel a princípov verejného obstarávania; stanovenia diskriminačných a neprimeraných podmienok účasti; chýbajúcej dokumentácie k preukázaniu výpočtu predpokladanej hodnoty zákazky; stanovenia opisu predmetu zákazky obmedzujúco a nad rámec zákona o verejnom obstarávaní; rozdelenia predmetu zákazky s cieľom vyhnúť sa prísnejšiemu postupu; stanovenia požiadavky na výlučné osobné prevzatie súťažných podkladov;</w:t>
      </w:r>
    </w:p>
    <w:p w14:paraId="6E5A903E" w14:textId="5257192D" w:rsidR="007901C8" w:rsidRPr="00F87D11" w:rsidRDefault="007901C8" w:rsidP="00F87D11">
      <w:pPr>
        <w:pStyle w:val="Odsekzoznamu"/>
        <w:numPr>
          <w:ilvl w:val="0"/>
          <w:numId w:val="153"/>
        </w:numPr>
        <w:spacing w:line="259" w:lineRule="auto"/>
        <w:ind w:left="142" w:hanging="142"/>
        <w:jc w:val="both"/>
        <w:rPr>
          <w:rFonts w:ascii="Arial" w:hAnsi="Arial" w:cs="Arial"/>
          <w:sz w:val="20"/>
          <w:szCs w:val="20"/>
        </w:rPr>
      </w:pPr>
      <w:r w:rsidRPr="00F87D11">
        <w:rPr>
          <w:rFonts w:ascii="Arial" w:hAnsi="Arial" w:cs="Arial"/>
          <w:sz w:val="20"/>
          <w:szCs w:val="20"/>
        </w:rPr>
        <w:t>zistenia v oblasti platieb týkajúce sa identifikovania neoprávnených výdavkov, a tiež nevypracovania preukázateľného matematického overenia výpočtu oprávnenej sumy zo žiadosti o platbu;</w:t>
      </w:r>
    </w:p>
    <w:p w14:paraId="235C9CAD" w14:textId="726DA2D8" w:rsidR="007901C8" w:rsidRPr="00F87D11" w:rsidRDefault="007901C8" w:rsidP="00F87D11">
      <w:pPr>
        <w:pStyle w:val="Odsekzoznamu"/>
        <w:numPr>
          <w:ilvl w:val="0"/>
          <w:numId w:val="153"/>
        </w:numPr>
        <w:spacing w:line="259" w:lineRule="auto"/>
        <w:ind w:left="142" w:hanging="142"/>
        <w:jc w:val="both"/>
        <w:rPr>
          <w:rFonts w:ascii="Arial" w:hAnsi="Arial" w:cs="Arial"/>
          <w:sz w:val="20"/>
          <w:szCs w:val="20"/>
        </w:rPr>
      </w:pPr>
      <w:r w:rsidRPr="00F87D11">
        <w:rPr>
          <w:rFonts w:ascii="Arial" w:hAnsi="Arial" w:cs="Arial"/>
          <w:sz w:val="20"/>
          <w:szCs w:val="20"/>
        </w:rPr>
        <w:t>zistenia týkajúce sa nesprávnej aplikácie postupov, keď RO nezverejnil zmenu zmluvy o poskytnutí NFP v centrálnom registri zmlúv; absencie postupov na zabezpečenie monitorovania čistých príjmov generovaných projektom vo vzťahu k ich pôvodným odhadom stanoveným pri výpočte finančnej medzery;</w:t>
      </w:r>
    </w:p>
    <w:p w14:paraId="32F35FF5" w14:textId="730D2DF4" w:rsidR="007901C8" w:rsidRPr="00F87D11" w:rsidRDefault="007901C8" w:rsidP="00F87D11">
      <w:pPr>
        <w:pStyle w:val="Odsekzoznamu"/>
        <w:numPr>
          <w:ilvl w:val="0"/>
          <w:numId w:val="153"/>
        </w:numPr>
        <w:spacing w:line="259" w:lineRule="auto"/>
        <w:ind w:left="142" w:hanging="142"/>
        <w:jc w:val="both"/>
        <w:rPr>
          <w:rFonts w:ascii="Arial" w:hAnsi="Arial" w:cs="Arial"/>
          <w:sz w:val="20"/>
          <w:szCs w:val="20"/>
        </w:rPr>
      </w:pPr>
      <w:r w:rsidRPr="00F87D11">
        <w:rPr>
          <w:rFonts w:ascii="Arial" w:hAnsi="Arial" w:cs="Arial"/>
          <w:sz w:val="20"/>
          <w:szCs w:val="20"/>
        </w:rPr>
        <w:t>zistenie v oblasti realizácie projektu týkajúce sa nezabezpečenia predĺženia platnosti nájomných zmlúv predložených žiadateľom v ŽoNFP pre účely preukázania splnenia podmienok poskytnutia pomoci;</w:t>
      </w:r>
    </w:p>
    <w:p w14:paraId="3DB4FBF1" w14:textId="5BA8E2A6" w:rsidR="007901C8" w:rsidRPr="00F87D11" w:rsidRDefault="007901C8" w:rsidP="00F87D11">
      <w:pPr>
        <w:pStyle w:val="Odsekzoznamu"/>
        <w:numPr>
          <w:ilvl w:val="0"/>
          <w:numId w:val="153"/>
        </w:numPr>
        <w:spacing w:line="259" w:lineRule="auto"/>
        <w:ind w:left="142" w:hanging="142"/>
        <w:jc w:val="both"/>
        <w:rPr>
          <w:rFonts w:ascii="Arial" w:hAnsi="Arial" w:cs="Arial"/>
          <w:sz w:val="20"/>
          <w:szCs w:val="20"/>
        </w:rPr>
      </w:pPr>
      <w:r w:rsidRPr="00F87D11">
        <w:rPr>
          <w:rFonts w:ascii="Arial" w:hAnsi="Arial" w:cs="Arial"/>
          <w:sz w:val="20"/>
          <w:szCs w:val="20"/>
        </w:rPr>
        <w:t xml:space="preserve">zistenie v oblasti </w:t>
      </w:r>
      <w:r w:rsidR="00835B27" w:rsidRPr="00F87D11">
        <w:rPr>
          <w:rFonts w:ascii="Arial" w:hAnsi="Arial" w:cs="Arial"/>
          <w:sz w:val="20"/>
          <w:szCs w:val="20"/>
        </w:rPr>
        <w:t xml:space="preserve">výdavkov oprávnených v režime </w:t>
      </w:r>
      <w:r w:rsidRPr="00F87D11">
        <w:rPr>
          <w:rFonts w:ascii="Arial" w:hAnsi="Arial" w:cs="Arial"/>
          <w:sz w:val="20"/>
          <w:szCs w:val="20"/>
        </w:rPr>
        <w:t>štátnej pomoci</w:t>
      </w:r>
      <w:r w:rsidR="00835B27" w:rsidRPr="00F87D11">
        <w:rPr>
          <w:rFonts w:ascii="Arial" w:hAnsi="Arial" w:cs="Arial"/>
          <w:sz w:val="20"/>
          <w:szCs w:val="20"/>
        </w:rPr>
        <w:t>,</w:t>
      </w:r>
      <w:r w:rsidRPr="00F87D11">
        <w:rPr>
          <w:rFonts w:ascii="Arial" w:hAnsi="Arial" w:cs="Arial"/>
          <w:sz w:val="20"/>
          <w:szCs w:val="20"/>
        </w:rPr>
        <w:t xml:space="preserve"> týkajúce sa schválenia výdavkov, ktoré v zmysle schémy štátnej pomoci neboli oprávnené na financovanie</w:t>
      </w:r>
      <w:r w:rsidR="00835B27" w:rsidRPr="00F87D11">
        <w:rPr>
          <w:rFonts w:ascii="Arial" w:hAnsi="Arial" w:cs="Arial"/>
          <w:sz w:val="20"/>
          <w:szCs w:val="20"/>
        </w:rPr>
        <w:t>.</w:t>
      </w:r>
    </w:p>
    <w:p w14:paraId="1511A659" w14:textId="45B53DF7" w:rsidR="007901C8" w:rsidRPr="00796058" w:rsidRDefault="007901C8" w:rsidP="007901C8">
      <w:pPr>
        <w:jc w:val="both"/>
        <w:rPr>
          <w:rFonts w:ascii="Arial" w:hAnsi="Arial" w:cs="Arial"/>
          <w:sz w:val="20"/>
          <w:szCs w:val="20"/>
        </w:rPr>
      </w:pPr>
      <w:r w:rsidRPr="00796058">
        <w:rPr>
          <w:rFonts w:ascii="Arial" w:hAnsi="Arial" w:cs="Arial"/>
          <w:sz w:val="20"/>
          <w:szCs w:val="20"/>
        </w:rPr>
        <w:t>Ku všetkým identifikovaným problémovým oblastiam RO/SORO prijal nápravné opatrenia, najmä upozornil zamestnancov RO/SORO na nedostatky identifikované certifikačnými overovaniami vrátane prijatých opatrení na pracovných poradách; aktualizoval/ dopracoval postupy riadiacej dokumentácie RO/SORO k identifikovaným nedostatkom, predložil doplňujúce vysvetlenia a zdôvodnenia týkajúcich sa odborného hodnotenia, opätovne vykonal administratívne kontroly ŽoP a verejného obstarávania a v relevantných prípadoch uplatnil individuálne korekcie za nedostatky vo verejnom obstarávaní.</w:t>
      </w:r>
    </w:p>
    <w:p w14:paraId="443BF033" w14:textId="52EE1912" w:rsidR="002D29C0" w:rsidRPr="004C23C3" w:rsidRDefault="002D29C0">
      <w:pPr>
        <w:tabs>
          <w:tab w:val="left" w:pos="360"/>
        </w:tabs>
        <w:autoSpaceDE w:val="0"/>
        <w:autoSpaceDN w:val="0"/>
        <w:adjustRightInd w:val="0"/>
        <w:spacing w:before="240" w:after="120"/>
        <w:jc w:val="both"/>
        <w:rPr>
          <w:rFonts w:ascii="Arial" w:hAnsi="Arial" w:cs="Arial"/>
          <w:b/>
          <w:sz w:val="20"/>
          <w:szCs w:val="20"/>
        </w:rPr>
      </w:pPr>
      <w:r w:rsidRPr="00E23D2E">
        <w:rPr>
          <w:rFonts w:ascii="Arial" w:hAnsi="Arial" w:cs="Arial"/>
          <w:b/>
          <w:sz w:val="20"/>
          <w:szCs w:val="20"/>
        </w:rPr>
        <w:t xml:space="preserve">Nedostatky identifikované </w:t>
      </w:r>
      <w:r w:rsidR="00F35C73" w:rsidRPr="00E23D2E">
        <w:rPr>
          <w:rFonts w:ascii="Arial" w:hAnsi="Arial" w:cs="Arial"/>
          <w:b/>
          <w:sz w:val="20"/>
          <w:szCs w:val="20"/>
        </w:rPr>
        <w:t xml:space="preserve">RO </w:t>
      </w:r>
      <w:r w:rsidR="0095732C" w:rsidRPr="00E23D2E">
        <w:rPr>
          <w:rFonts w:ascii="Arial" w:hAnsi="Arial" w:cs="Arial"/>
          <w:b/>
          <w:sz w:val="20"/>
          <w:szCs w:val="20"/>
        </w:rPr>
        <w:t xml:space="preserve">v oblasti kontrahovania a čerpania </w:t>
      </w:r>
      <w:r w:rsidR="00F35C73" w:rsidRPr="00E23D2E">
        <w:rPr>
          <w:rFonts w:ascii="Arial" w:hAnsi="Arial" w:cs="Arial"/>
          <w:b/>
          <w:sz w:val="20"/>
          <w:szCs w:val="20"/>
        </w:rPr>
        <w:t xml:space="preserve">finančných </w:t>
      </w:r>
      <w:r w:rsidR="0095732C" w:rsidRPr="00E23D2E">
        <w:rPr>
          <w:rFonts w:ascii="Arial" w:hAnsi="Arial" w:cs="Arial"/>
          <w:b/>
          <w:sz w:val="20"/>
          <w:szCs w:val="20"/>
        </w:rPr>
        <w:t xml:space="preserve">prostriedkov OP ŽP </w:t>
      </w:r>
      <w:r w:rsidRPr="00E23D2E">
        <w:rPr>
          <w:rFonts w:ascii="Arial" w:hAnsi="Arial" w:cs="Arial"/>
          <w:b/>
          <w:sz w:val="20"/>
          <w:szCs w:val="20"/>
        </w:rPr>
        <w:t>a opatrenia prijaté na ich odstránenie</w:t>
      </w:r>
    </w:p>
    <w:p w14:paraId="78278CA3" w14:textId="77777777" w:rsidR="00E23D2E" w:rsidRDefault="00E23D2E" w:rsidP="00E23D2E">
      <w:pPr>
        <w:tabs>
          <w:tab w:val="left" w:pos="360"/>
        </w:tabs>
        <w:autoSpaceDE w:val="0"/>
        <w:autoSpaceDN w:val="0"/>
        <w:adjustRightInd w:val="0"/>
        <w:spacing w:before="240" w:after="120"/>
        <w:jc w:val="both"/>
        <w:rPr>
          <w:rFonts w:ascii="Arial" w:hAnsi="Arial" w:cs="Arial"/>
          <w:sz w:val="20"/>
          <w:szCs w:val="20"/>
        </w:rPr>
      </w:pPr>
      <w:r w:rsidRPr="003759A2">
        <w:rPr>
          <w:rFonts w:ascii="Arial" w:hAnsi="Arial" w:cs="Arial"/>
          <w:sz w:val="20"/>
          <w:szCs w:val="20"/>
        </w:rPr>
        <w:t xml:space="preserve">Medzi </w:t>
      </w:r>
      <w:r>
        <w:rPr>
          <w:rFonts w:ascii="Arial" w:hAnsi="Arial" w:cs="Arial"/>
          <w:sz w:val="20"/>
          <w:szCs w:val="20"/>
        </w:rPr>
        <w:t>základné nedostatky</w:t>
      </w:r>
      <w:r w:rsidRPr="003759A2">
        <w:rPr>
          <w:rFonts w:ascii="Arial" w:hAnsi="Arial" w:cs="Arial"/>
          <w:sz w:val="20"/>
          <w:szCs w:val="20"/>
        </w:rPr>
        <w:t>, ktoré vplýva</w:t>
      </w:r>
      <w:r>
        <w:rPr>
          <w:rFonts w:ascii="Arial" w:hAnsi="Arial" w:cs="Arial"/>
          <w:sz w:val="20"/>
          <w:szCs w:val="20"/>
        </w:rPr>
        <w:t>li</w:t>
      </w:r>
      <w:r w:rsidRPr="003759A2">
        <w:rPr>
          <w:rFonts w:ascii="Arial" w:hAnsi="Arial" w:cs="Arial"/>
          <w:sz w:val="20"/>
          <w:szCs w:val="20"/>
        </w:rPr>
        <w:t xml:space="preserve"> na </w:t>
      </w:r>
      <w:r w:rsidRPr="005F7A6E">
        <w:rPr>
          <w:rFonts w:ascii="Arial" w:hAnsi="Arial" w:cs="Arial"/>
          <w:i/>
          <w:sz w:val="20"/>
          <w:szCs w:val="20"/>
        </w:rPr>
        <w:t>implementáciu OP ŽP</w:t>
      </w:r>
      <w:r w:rsidRPr="003759A2">
        <w:rPr>
          <w:rFonts w:ascii="Arial" w:hAnsi="Arial" w:cs="Arial"/>
          <w:sz w:val="20"/>
          <w:szCs w:val="20"/>
        </w:rPr>
        <w:t xml:space="preserve"> patri</w:t>
      </w:r>
      <w:r>
        <w:rPr>
          <w:rFonts w:ascii="Arial" w:hAnsi="Arial" w:cs="Arial"/>
          <w:sz w:val="20"/>
          <w:szCs w:val="20"/>
        </w:rPr>
        <w:t>li</w:t>
      </w:r>
      <w:r w:rsidRPr="003759A2">
        <w:rPr>
          <w:rFonts w:ascii="Arial" w:hAnsi="Arial" w:cs="Arial"/>
          <w:sz w:val="20"/>
          <w:szCs w:val="20"/>
        </w:rPr>
        <w:t>:</w:t>
      </w:r>
    </w:p>
    <w:p w14:paraId="204B339E" w14:textId="5516F58F" w:rsidR="00E23D2E" w:rsidRPr="00E94D1F" w:rsidRDefault="00E23D2E" w:rsidP="00F87D11">
      <w:pPr>
        <w:tabs>
          <w:tab w:val="left" w:pos="360"/>
        </w:tabs>
        <w:autoSpaceDE w:val="0"/>
        <w:autoSpaceDN w:val="0"/>
        <w:adjustRightInd w:val="0"/>
        <w:spacing w:before="120" w:after="120"/>
        <w:jc w:val="both"/>
        <w:rPr>
          <w:rFonts w:ascii="Arial" w:hAnsi="Arial" w:cs="Arial"/>
          <w:sz w:val="20"/>
          <w:szCs w:val="20"/>
        </w:rPr>
      </w:pPr>
      <w:r>
        <w:rPr>
          <w:rFonts w:ascii="Arial" w:hAnsi="Arial" w:cs="Arial"/>
          <w:sz w:val="20"/>
          <w:szCs w:val="20"/>
        </w:rPr>
        <w:t>-</w:t>
      </w:r>
      <w:r w:rsidRPr="00E94D1F">
        <w:rPr>
          <w:rFonts w:ascii="Arial" w:hAnsi="Arial" w:cs="Arial"/>
          <w:sz w:val="20"/>
          <w:szCs w:val="20"/>
        </w:rPr>
        <w:tab/>
        <w:t xml:space="preserve">zdĺhavý a komplikovaný proces verejného obstarávania a s tým súvisiace nedodržiavanie postupov a pravidiel zákona č. 25/2006 Z. z. o verejnom obstarávaní v znení neskorších predpisov zo </w:t>
      </w:r>
      <w:r w:rsidRPr="00E94D1F">
        <w:rPr>
          <w:rFonts w:ascii="Arial" w:hAnsi="Arial" w:cs="Arial"/>
          <w:sz w:val="20"/>
          <w:szCs w:val="20"/>
        </w:rPr>
        <w:lastRenderedPageBreak/>
        <w:t>strany prijímateľov</w:t>
      </w:r>
      <w:r>
        <w:rPr>
          <w:rFonts w:ascii="Arial" w:hAnsi="Arial" w:cs="Arial"/>
          <w:sz w:val="20"/>
          <w:szCs w:val="20"/>
        </w:rPr>
        <w:t>.</w:t>
      </w:r>
      <w:r w:rsidRPr="00E94D1F">
        <w:rPr>
          <w:rFonts w:ascii="Arial" w:hAnsi="Arial" w:cs="Arial"/>
          <w:sz w:val="20"/>
          <w:szCs w:val="20"/>
        </w:rPr>
        <w:t xml:space="preserve"> </w:t>
      </w:r>
      <w:r>
        <w:rPr>
          <w:rFonts w:ascii="Arial" w:hAnsi="Arial" w:cs="Arial"/>
          <w:sz w:val="20"/>
          <w:szCs w:val="20"/>
        </w:rPr>
        <w:t>S</w:t>
      </w:r>
      <w:r w:rsidRPr="00E94D1F">
        <w:rPr>
          <w:rFonts w:ascii="Arial" w:hAnsi="Arial" w:cs="Arial"/>
          <w:sz w:val="20"/>
          <w:szCs w:val="20"/>
        </w:rPr>
        <w:t xml:space="preserve"> VO </w:t>
      </w:r>
      <w:r>
        <w:rPr>
          <w:rFonts w:ascii="Arial" w:hAnsi="Arial" w:cs="Arial"/>
          <w:sz w:val="20"/>
          <w:szCs w:val="20"/>
        </w:rPr>
        <w:t>bola</w:t>
      </w:r>
      <w:r w:rsidRPr="00E94D1F">
        <w:rPr>
          <w:rFonts w:ascii="Arial" w:hAnsi="Arial" w:cs="Arial"/>
          <w:sz w:val="20"/>
          <w:szCs w:val="20"/>
        </w:rPr>
        <w:t xml:space="preserve"> spojená značná administratívna náročnosť, ktorá sa líši</w:t>
      </w:r>
      <w:r>
        <w:rPr>
          <w:rFonts w:ascii="Arial" w:hAnsi="Arial" w:cs="Arial"/>
          <w:sz w:val="20"/>
          <w:szCs w:val="20"/>
        </w:rPr>
        <w:t>la</w:t>
      </w:r>
      <w:r w:rsidRPr="00E94D1F">
        <w:rPr>
          <w:rFonts w:ascii="Arial" w:hAnsi="Arial" w:cs="Arial"/>
          <w:sz w:val="20"/>
          <w:szCs w:val="20"/>
        </w:rPr>
        <w:t xml:space="preserve"> v závislosti od postupu, </w:t>
      </w:r>
      <w:r>
        <w:rPr>
          <w:rFonts w:ascii="Arial" w:hAnsi="Arial" w:cs="Arial"/>
          <w:sz w:val="20"/>
          <w:szCs w:val="20"/>
        </w:rPr>
        <w:t>ktorým sa obstarávalo, čo malo</w:t>
      </w:r>
      <w:r w:rsidRPr="00E94D1F">
        <w:rPr>
          <w:rFonts w:ascii="Arial" w:hAnsi="Arial" w:cs="Arial"/>
          <w:sz w:val="20"/>
          <w:szCs w:val="20"/>
        </w:rPr>
        <w:t xml:space="preserve"> vplyv na samotný časový harmonogram realizácie VO, pričom verejné obstarávania vykonávané prijímateľmi vykaz</w:t>
      </w:r>
      <w:r>
        <w:rPr>
          <w:rFonts w:ascii="Arial" w:hAnsi="Arial" w:cs="Arial"/>
          <w:sz w:val="20"/>
          <w:szCs w:val="20"/>
        </w:rPr>
        <w:t>ovali</w:t>
      </w:r>
      <w:r w:rsidRPr="00E94D1F">
        <w:rPr>
          <w:rFonts w:ascii="Arial" w:hAnsi="Arial" w:cs="Arial"/>
          <w:sz w:val="20"/>
          <w:szCs w:val="20"/>
        </w:rPr>
        <w:t xml:space="preserve"> následne vysokú chybovosť, čoho dôsledkom </w:t>
      </w:r>
      <w:r>
        <w:rPr>
          <w:rFonts w:ascii="Arial" w:hAnsi="Arial" w:cs="Arial"/>
          <w:sz w:val="20"/>
          <w:szCs w:val="20"/>
        </w:rPr>
        <w:t>bola</w:t>
      </w:r>
      <w:r w:rsidRPr="00E94D1F">
        <w:rPr>
          <w:rFonts w:ascii="Arial" w:hAnsi="Arial" w:cs="Arial"/>
          <w:sz w:val="20"/>
          <w:szCs w:val="20"/>
        </w:rPr>
        <w:t xml:space="preserve"> potreba opakovania súťaže a odďaľovanie </w:t>
      </w:r>
      <w:r>
        <w:rPr>
          <w:rFonts w:ascii="Arial" w:hAnsi="Arial" w:cs="Arial"/>
          <w:sz w:val="20"/>
          <w:szCs w:val="20"/>
        </w:rPr>
        <w:t xml:space="preserve">realizácie projektov a </w:t>
      </w:r>
      <w:r w:rsidRPr="00E94D1F">
        <w:rPr>
          <w:rFonts w:ascii="Arial" w:hAnsi="Arial" w:cs="Arial"/>
          <w:sz w:val="20"/>
          <w:szCs w:val="20"/>
        </w:rPr>
        <w:t>reálneho čerpania.</w:t>
      </w:r>
    </w:p>
    <w:p w14:paraId="0007E52E" w14:textId="6CD75E11" w:rsidR="00E23D2E" w:rsidRPr="00E94D1F" w:rsidRDefault="00E23D2E" w:rsidP="00F87D11">
      <w:pPr>
        <w:tabs>
          <w:tab w:val="left" w:pos="360"/>
        </w:tabs>
        <w:autoSpaceDE w:val="0"/>
        <w:autoSpaceDN w:val="0"/>
        <w:adjustRightInd w:val="0"/>
        <w:spacing w:before="120" w:after="120"/>
        <w:jc w:val="both"/>
        <w:rPr>
          <w:rFonts w:ascii="Arial" w:hAnsi="Arial" w:cs="Arial"/>
          <w:sz w:val="20"/>
          <w:szCs w:val="20"/>
        </w:rPr>
      </w:pPr>
      <w:r w:rsidRPr="00E94D1F">
        <w:rPr>
          <w:rFonts w:ascii="Arial" w:hAnsi="Arial" w:cs="Arial"/>
          <w:sz w:val="20"/>
          <w:szCs w:val="20"/>
        </w:rPr>
        <w:t>Výrazný vplyv na procesy VO na strane prijímateľov aj Riadiaceho orgánu mala tzv. „veľká“ novela zákona č. 25/2006 Z. z. o verejnom obstarávaní účinná od 1.7.2013, kt</w:t>
      </w:r>
      <w:r>
        <w:rPr>
          <w:rFonts w:ascii="Arial" w:hAnsi="Arial" w:cs="Arial"/>
          <w:sz w:val="20"/>
          <w:szCs w:val="20"/>
        </w:rPr>
        <w:t xml:space="preserve">orá spôsobila, že prijímatelia </w:t>
      </w:r>
      <w:r w:rsidRPr="00E94D1F">
        <w:rPr>
          <w:rFonts w:ascii="Arial" w:hAnsi="Arial" w:cs="Arial"/>
          <w:sz w:val="20"/>
          <w:szCs w:val="20"/>
        </w:rPr>
        <w:t>z dôvodu dodržania podstatne zmenených niektorých ustanovení predmetnej novely zákona potrebovali</w:t>
      </w:r>
      <w:r>
        <w:rPr>
          <w:rFonts w:ascii="Arial" w:hAnsi="Arial" w:cs="Arial"/>
          <w:sz w:val="20"/>
          <w:szCs w:val="20"/>
        </w:rPr>
        <w:t xml:space="preserve"> </w:t>
      </w:r>
      <w:r w:rsidRPr="00E94D1F">
        <w:rPr>
          <w:rFonts w:ascii="Arial" w:hAnsi="Arial" w:cs="Arial"/>
          <w:sz w:val="20"/>
          <w:szCs w:val="20"/>
        </w:rPr>
        <w:t xml:space="preserve">na prípravu podkladov pre vyhlásenie VO dlhší čas. Závažným spôsobom ovplyvnili v roku 2013 procesy VO aj predbežné zistenia z auditov Európskej komisie (ďalej len „EK“), podľa ktorých môže byť obmedzenie lehoty na vyžiadanie súťažných podkladov považované za postup, ktorý nie je v súlade so Smernicou 2004/18/ES z 31. marca 2004 o koordinácii postupov zadávania verejných zákaziek na práce, na dodávku tovarov a služieb a </w:t>
      </w:r>
      <w:r>
        <w:rPr>
          <w:rFonts w:ascii="Arial" w:hAnsi="Arial" w:cs="Arial"/>
          <w:sz w:val="20"/>
          <w:szCs w:val="20"/>
        </w:rPr>
        <w:t xml:space="preserve">mohli </w:t>
      </w:r>
      <w:r w:rsidRPr="00E94D1F">
        <w:rPr>
          <w:rFonts w:ascii="Arial" w:hAnsi="Arial" w:cs="Arial"/>
          <w:sz w:val="20"/>
          <w:szCs w:val="20"/>
        </w:rPr>
        <w:t>mať negatívny dopad na výdavky financované v rámci VO. Vzhľadom na uvedené boli v rámci všetkých OP NSRR SR pozastavené kontroly dokumentácií VO, v ktorých došlo k obmedzeniu lehoty na vyžiadanie súťažných podkladov</w:t>
      </w:r>
      <w:r>
        <w:rPr>
          <w:rFonts w:ascii="Arial" w:hAnsi="Arial" w:cs="Arial"/>
          <w:sz w:val="20"/>
          <w:szCs w:val="20"/>
        </w:rPr>
        <w:t>,</w:t>
      </w:r>
      <w:r w:rsidRPr="00E94D1F">
        <w:rPr>
          <w:rFonts w:ascii="Arial" w:hAnsi="Arial" w:cs="Arial"/>
          <w:sz w:val="20"/>
          <w:szCs w:val="20"/>
        </w:rPr>
        <w:t xml:space="preserve"> a to z hľadiska projektového cyklu na pomerne dlhý čas - od júna do decembra 2013;</w:t>
      </w:r>
    </w:p>
    <w:p w14:paraId="49EFD2B4" w14:textId="77777777" w:rsidR="00E23D2E" w:rsidRPr="00E94D1F" w:rsidRDefault="00E23D2E" w:rsidP="00F87D11">
      <w:pPr>
        <w:tabs>
          <w:tab w:val="left" w:pos="360"/>
        </w:tabs>
        <w:autoSpaceDE w:val="0"/>
        <w:autoSpaceDN w:val="0"/>
        <w:adjustRightInd w:val="0"/>
        <w:spacing w:before="120" w:after="120"/>
        <w:jc w:val="both"/>
        <w:rPr>
          <w:rFonts w:ascii="Arial" w:hAnsi="Arial" w:cs="Arial"/>
          <w:sz w:val="20"/>
          <w:szCs w:val="20"/>
        </w:rPr>
      </w:pPr>
      <w:r>
        <w:rPr>
          <w:rFonts w:ascii="Arial" w:hAnsi="Arial" w:cs="Arial"/>
          <w:sz w:val="20"/>
          <w:szCs w:val="20"/>
        </w:rPr>
        <w:t>-</w:t>
      </w:r>
      <w:r w:rsidRPr="00E94D1F">
        <w:rPr>
          <w:rFonts w:ascii="Arial" w:hAnsi="Arial" w:cs="Arial"/>
          <w:sz w:val="20"/>
          <w:szCs w:val="20"/>
        </w:rPr>
        <w:tab/>
        <w:t>investičný charakter projektov podporovaných v rámci OP ŽP - investičné projekty v oblasti environmentálnej infraštruktúry sa vyznač</w:t>
      </w:r>
      <w:r>
        <w:rPr>
          <w:rFonts w:ascii="Arial" w:hAnsi="Arial" w:cs="Arial"/>
          <w:sz w:val="20"/>
          <w:szCs w:val="20"/>
        </w:rPr>
        <w:t>ovali</w:t>
      </w:r>
      <w:r w:rsidRPr="00E94D1F">
        <w:rPr>
          <w:rFonts w:ascii="Arial" w:hAnsi="Arial" w:cs="Arial"/>
          <w:sz w:val="20"/>
          <w:szCs w:val="20"/>
        </w:rPr>
        <w:t xml:space="preserve"> časovo, administratívne, ako aj finančne náročnou prípravnou fázou, čo odď</w:t>
      </w:r>
      <w:r>
        <w:rPr>
          <w:rFonts w:ascii="Arial" w:hAnsi="Arial" w:cs="Arial"/>
          <w:sz w:val="20"/>
          <w:szCs w:val="20"/>
        </w:rPr>
        <w:t>aľovalo</w:t>
      </w:r>
      <w:r w:rsidRPr="00E94D1F">
        <w:rPr>
          <w:rFonts w:ascii="Arial" w:hAnsi="Arial" w:cs="Arial"/>
          <w:sz w:val="20"/>
          <w:szCs w:val="20"/>
        </w:rPr>
        <w:t xml:space="preserve"> nábeh čerpania výdavkov takýchto projektov. Taktiež priebeh implementačnej </w:t>
      </w:r>
      <w:r>
        <w:rPr>
          <w:rFonts w:ascii="Arial" w:hAnsi="Arial" w:cs="Arial"/>
          <w:sz w:val="20"/>
          <w:szCs w:val="20"/>
        </w:rPr>
        <w:t xml:space="preserve">fázy týchto projektov, zväčša </w:t>
      </w:r>
      <w:r w:rsidRPr="00E94D1F">
        <w:rPr>
          <w:rFonts w:ascii="Arial" w:hAnsi="Arial" w:cs="Arial"/>
          <w:sz w:val="20"/>
          <w:szCs w:val="20"/>
        </w:rPr>
        <w:t>s niekoľkoročnou dobou realizácie, svojimi parametrami neumožň</w:t>
      </w:r>
      <w:r>
        <w:rPr>
          <w:rFonts w:ascii="Arial" w:hAnsi="Arial" w:cs="Arial"/>
          <w:sz w:val="20"/>
          <w:szCs w:val="20"/>
        </w:rPr>
        <w:t>oval</w:t>
      </w:r>
      <w:r w:rsidRPr="00E94D1F">
        <w:rPr>
          <w:rFonts w:ascii="Arial" w:hAnsi="Arial" w:cs="Arial"/>
          <w:sz w:val="20"/>
          <w:szCs w:val="20"/>
        </w:rPr>
        <w:t xml:space="preserve"> rýchle čerpanie v prvých fázach realizácie, ale viac menej rovnomerné čerpanie prostriedkov počas celej doby realizácie projektov;</w:t>
      </w:r>
    </w:p>
    <w:p w14:paraId="107317B1" w14:textId="77777777" w:rsidR="00E23D2E" w:rsidRPr="00E94D1F" w:rsidRDefault="00E23D2E" w:rsidP="00F87D11">
      <w:pPr>
        <w:tabs>
          <w:tab w:val="left" w:pos="360"/>
        </w:tabs>
        <w:autoSpaceDE w:val="0"/>
        <w:autoSpaceDN w:val="0"/>
        <w:adjustRightInd w:val="0"/>
        <w:spacing w:before="120" w:after="120"/>
        <w:jc w:val="both"/>
        <w:rPr>
          <w:rFonts w:ascii="Arial" w:hAnsi="Arial" w:cs="Arial"/>
          <w:sz w:val="20"/>
          <w:szCs w:val="20"/>
        </w:rPr>
      </w:pPr>
      <w:r>
        <w:rPr>
          <w:rFonts w:ascii="Arial" w:hAnsi="Arial" w:cs="Arial"/>
          <w:sz w:val="20"/>
          <w:szCs w:val="20"/>
        </w:rPr>
        <w:t>-</w:t>
      </w:r>
      <w:r w:rsidRPr="00E94D1F">
        <w:rPr>
          <w:rFonts w:ascii="Arial" w:hAnsi="Arial" w:cs="Arial"/>
          <w:sz w:val="20"/>
          <w:szCs w:val="20"/>
        </w:rPr>
        <w:tab/>
        <w:t>nedostatočná úroveň kontrahovania finančných prostriedkov v dôsledku úspor na projektoch - zo skúseností RO s implementáciou OP ŽP vypl</w:t>
      </w:r>
      <w:r>
        <w:rPr>
          <w:rFonts w:ascii="Arial" w:hAnsi="Arial" w:cs="Arial"/>
          <w:sz w:val="20"/>
          <w:szCs w:val="20"/>
        </w:rPr>
        <w:t>ynulo</w:t>
      </w:r>
      <w:r w:rsidRPr="00E94D1F">
        <w:rPr>
          <w:rFonts w:ascii="Arial" w:hAnsi="Arial" w:cs="Arial"/>
          <w:sz w:val="20"/>
          <w:szCs w:val="20"/>
        </w:rPr>
        <w:t>, že v rámci implementovaných projektov v mnohých prípadoch dochádza</w:t>
      </w:r>
      <w:r>
        <w:rPr>
          <w:rFonts w:ascii="Arial" w:hAnsi="Arial" w:cs="Arial"/>
          <w:sz w:val="20"/>
          <w:szCs w:val="20"/>
        </w:rPr>
        <w:t>lo</w:t>
      </w:r>
      <w:r w:rsidRPr="00E94D1F">
        <w:rPr>
          <w:rFonts w:ascii="Arial" w:hAnsi="Arial" w:cs="Arial"/>
          <w:sz w:val="20"/>
          <w:szCs w:val="20"/>
        </w:rPr>
        <w:t xml:space="preserve"> k nedočerpaniu kontrahovaných finančných prostriedkov, čo v praxi znamen</w:t>
      </w:r>
      <w:r>
        <w:rPr>
          <w:rFonts w:ascii="Arial" w:hAnsi="Arial" w:cs="Arial"/>
          <w:sz w:val="20"/>
          <w:szCs w:val="20"/>
        </w:rPr>
        <w:t>alo</w:t>
      </w:r>
      <w:r w:rsidRPr="00E94D1F">
        <w:rPr>
          <w:rFonts w:ascii="Arial" w:hAnsi="Arial" w:cs="Arial"/>
          <w:sz w:val="20"/>
          <w:szCs w:val="20"/>
        </w:rPr>
        <w:t>, že ani po dosiahnutí kontrahovania v rámci OP ŽP vo výške 100 % sa nezabezpeč</w:t>
      </w:r>
      <w:r>
        <w:rPr>
          <w:rFonts w:ascii="Arial" w:hAnsi="Arial" w:cs="Arial"/>
          <w:sz w:val="20"/>
          <w:szCs w:val="20"/>
        </w:rPr>
        <w:t>ilo</w:t>
      </w:r>
      <w:r w:rsidRPr="00E94D1F">
        <w:rPr>
          <w:rFonts w:ascii="Arial" w:hAnsi="Arial" w:cs="Arial"/>
          <w:sz w:val="20"/>
          <w:szCs w:val="20"/>
        </w:rPr>
        <w:t xml:space="preserve"> 100</w:t>
      </w:r>
      <w:r>
        <w:rPr>
          <w:rFonts w:ascii="Arial" w:hAnsi="Arial" w:cs="Arial"/>
          <w:sz w:val="20"/>
          <w:szCs w:val="20"/>
        </w:rPr>
        <w:t> </w:t>
      </w:r>
      <w:r w:rsidRPr="00E94D1F">
        <w:rPr>
          <w:rFonts w:ascii="Arial" w:hAnsi="Arial" w:cs="Arial"/>
          <w:sz w:val="20"/>
          <w:szCs w:val="20"/>
        </w:rPr>
        <w:t>% čerpanie finančných prostriedkov. K úsporám na úrovni projektov dochádz</w:t>
      </w:r>
      <w:r>
        <w:rPr>
          <w:rFonts w:ascii="Arial" w:hAnsi="Arial" w:cs="Arial"/>
          <w:sz w:val="20"/>
          <w:szCs w:val="20"/>
        </w:rPr>
        <w:t>alo</w:t>
      </w:r>
      <w:r w:rsidRPr="00E94D1F">
        <w:rPr>
          <w:rFonts w:ascii="Arial" w:hAnsi="Arial" w:cs="Arial"/>
          <w:sz w:val="20"/>
          <w:szCs w:val="20"/>
        </w:rPr>
        <w:t xml:space="preserve"> predovšetkým v dôsledku: úspor zo zrealizovaných VO, mimoriadneho ukončenia projektov, nedočerpania celej výšky schváleného NFP zo strany prijímateľov, identifikácie nezrovnalostí a neoprávnených výdavkov, aplikovania finančných korekcií a pod.</w:t>
      </w:r>
    </w:p>
    <w:p w14:paraId="2A608950" w14:textId="77777777" w:rsidR="00E23D2E" w:rsidRPr="00E94D1F" w:rsidRDefault="00E23D2E" w:rsidP="00E23D2E">
      <w:pPr>
        <w:tabs>
          <w:tab w:val="left" w:pos="360"/>
        </w:tabs>
        <w:autoSpaceDE w:val="0"/>
        <w:autoSpaceDN w:val="0"/>
        <w:adjustRightInd w:val="0"/>
        <w:spacing w:before="240" w:after="120"/>
        <w:jc w:val="both"/>
        <w:rPr>
          <w:rFonts w:ascii="Arial" w:hAnsi="Arial" w:cs="Arial"/>
          <w:sz w:val="20"/>
          <w:szCs w:val="20"/>
        </w:rPr>
      </w:pPr>
      <w:r w:rsidRPr="00E94D1F">
        <w:rPr>
          <w:rFonts w:ascii="Arial" w:hAnsi="Arial" w:cs="Arial"/>
          <w:sz w:val="20"/>
          <w:szCs w:val="20"/>
        </w:rPr>
        <w:t xml:space="preserve">Na oneskorení v </w:t>
      </w:r>
      <w:r w:rsidRPr="005F7A6E">
        <w:rPr>
          <w:rFonts w:ascii="Arial" w:hAnsi="Arial" w:cs="Arial"/>
          <w:i/>
          <w:sz w:val="20"/>
          <w:szCs w:val="20"/>
        </w:rPr>
        <w:t>oblasti čerpania finančných</w:t>
      </w:r>
      <w:r w:rsidRPr="00E94D1F">
        <w:rPr>
          <w:rFonts w:ascii="Arial" w:hAnsi="Arial" w:cs="Arial"/>
          <w:sz w:val="20"/>
          <w:szCs w:val="20"/>
        </w:rPr>
        <w:t xml:space="preserve"> záväzkov sa podpísali aj nasledovné skutočnosti: </w:t>
      </w:r>
    </w:p>
    <w:p w14:paraId="54809BC0" w14:textId="77777777" w:rsidR="00E23D2E" w:rsidRPr="00E94D1F" w:rsidRDefault="00E23D2E" w:rsidP="00F87D11">
      <w:pPr>
        <w:tabs>
          <w:tab w:val="left" w:pos="360"/>
        </w:tabs>
        <w:autoSpaceDE w:val="0"/>
        <w:autoSpaceDN w:val="0"/>
        <w:adjustRightInd w:val="0"/>
        <w:spacing w:before="120" w:after="120"/>
        <w:jc w:val="both"/>
        <w:rPr>
          <w:rFonts w:ascii="Arial" w:hAnsi="Arial" w:cs="Arial"/>
          <w:sz w:val="20"/>
          <w:szCs w:val="20"/>
        </w:rPr>
      </w:pPr>
      <w:r w:rsidRPr="00E94D1F">
        <w:rPr>
          <w:rFonts w:ascii="Arial" w:hAnsi="Arial" w:cs="Arial"/>
          <w:sz w:val="20"/>
          <w:szCs w:val="20"/>
        </w:rPr>
        <w:t>a)</w:t>
      </w:r>
      <w:r w:rsidRPr="00E94D1F">
        <w:rPr>
          <w:rFonts w:ascii="Arial" w:hAnsi="Arial" w:cs="Arial"/>
          <w:sz w:val="20"/>
          <w:szCs w:val="20"/>
        </w:rPr>
        <w:tab/>
        <w:t>meškanie v rámci prípravy veľkých projektov (ďalej aj „VP“) zo strany p</w:t>
      </w:r>
      <w:r>
        <w:rPr>
          <w:rFonts w:ascii="Arial" w:hAnsi="Arial" w:cs="Arial"/>
          <w:sz w:val="20"/>
          <w:szCs w:val="20"/>
        </w:rPr>
        <w:t xml:space="preserve">rijímateľov a ich schvaľovania </w:t>
      </w:r>
      <w:r w:rsidRPr="00E94D1F">
        <w:rPr>
          <w:rFonts w:ascii="Arial" w:hAnsi="Arial" w:cs="Arial"/>
          <w:sz w:val="20"/>
          <w:szCs w:val="20"/>
        </w:rPr>
        <w:t>zo strany EK - vzhľadom k významnému finančnému objemu VP malo m</w:t>
      </w:r>
      <w:r>
        <w:rPr>
          <w:rFonts w:ascii="Arial" w:hAnsi="Arial" w:cs="Arial"/>
          <w:sz w:val="20"/>
          <w:szCs w:val="20"/>
        </w:rPr>
        <w:t xml:space="preserve">eškanie v procese ich prípravy </w:t>
      </w:r>
      <w:r w:rsidRPr="00E94D1F">
        <w:rPr>
          <w:rFonts w:ascii="Arial" w:hAnsi="Arial" w:cs="Arial"/>
          <w:sz w:val="20"/>
          <w:szCs w:val="20"/>
        </w:rPr>
        <w:t>a schvaľovania negatívny dopad aj na čerpanie prostriedkov v rámci OP ŽP. Meškanie bolo spôsobené najmä zdĺhavým procesom riešenia otázky finančnej udržateľnosti VP, ktorá úzko súvis</w:t>
      </w:r>
      <w:r>
        <w:rPr>
          <w:rFonts w:ascii="Arial" w:hAnsi="Arial" w:cs="Arial"/>
          <w:sz w:val="20"/>
          <w:szCs w:val="20"/>
        </w:rPr>
        <w:t>ela</w:t>
      </w:r>
      <w:r w:rsidRPr="00E94D1F">
        <w:rPr>
          <w:rFonts w:ascii="Arial" w:hAnsi="Arial" w:cs="Arial"/>
          <w:sz w:val="20"/>
          <w:szCs w:val="20"/>
        </w:rPr>
        <w:t xml:space="preserve"> s cenotvorbou v oblasti vodného hospodárstva. Otázka cenotvorby </w:t>
      </w:r>
      <w:r>
        <w:rPr>
          <w:rFonts w:ascii="Arial" w:hAnsi="Arial" w:cs="Arial"/>
          <w:sz w:val="20"/>
          <w:szCs w:val="20"/>
        </w:rPr>
        <w:t>nebola</w:t>
      </w:r>
      <w:r w:rsidRPr="00E94D1F">
        <w:rPr>
          <w:rFonts w:ascii="Arial" w:hAnsi="Arial" w:cs="Arial"/>
          <w:sz w:val="20"/>
          <w:szCs w:val="20"/>
        </w:rPr>
        <w:t xml:space="preserve"> v kompetencii RO pre OP ŽP, a preto jej riešenie </w:t>
      </w:r>
      <w:r>
        <w:rPr>
          <w:rFonts w:ascii="Arial" w:hAnsi="Arial" w:cs="Arial"/>
          <w:sz w:val="20"/>
          <w:szCs w:val="20"/>
        </w:rPr>
        <w:t>malo</w:t>
      </w:r>
      <w:r w:rsidRPr="00E94D1F">
        <w:rPr>
          <w:rFonts w:ascii="Arial" w:hAnsi="Arial" w:cs="Arial"/>
          <w:sz w:val="20"/>
          <w:szCs w:val="20"/>
        </w:rPr>
        <w:t xml:space="preserve"> nadrezortn</w:t>
      </w:r>
      <w:r>
        <w:rPr>
          <w:rFonts w:ascii="Arial" w:hAnsi="Arial" w:cs="Arial"/>
          <w:sz w:val="20"/>
          <w:szCs w:val="20"/>
        </w:rPr>
        <w:t>ý charakter,</w:t>
      </w:r>
      <w:r w:rsidRPr="00E94D1F">
        <w:rPr>
          <w:rFonts w:ascii="Arial" w:hAnsi="Arial" w:cs="Arial"/>
          <w:sz w:val="20"/>
          <w:szCs w:val="20"/>
        </w:rPr>
        <w:t xml:space="preserve"> a tým </w:t>
      </w:r>
      <w:r>
        <w:rPr>
          <w:rFonts w:ascii="Arial" w:hAnsi="Arial" w:cs="Arial"/>
          <w:sz w:val="20"/>
          <w:szCs w:val="20"/>
        </w:rPr>
        <w:t xml:space="preserve">bolo </w:t>
      </w:r>
      <w:r w:rsidRPr="00E94D1F">
        <w:rPr>
          <w:rFonts w:ascii="Arial" w:hAnsi="Arial" w:cs="Arial"/>
          <w:sz w:val="20"/>
          <w:szCs w:val="20"/>
        </w:rPr>
        <w:t>aj časovo zdĺhavé;</w:t>
      </w:r>
    </w:p>
    <w:p w14:paraId="64E3FED9" w14:textId="1D409A54" w:rsidR="00E23D2E" w:rsidRPr="00E94D1F" w:rsidRDefault="00E23D2E" w:rsidP="00F87D11">
      <w:pPr>
        <w:tabs>
          <w:tab w:val="left" w:pos="360"/>
        </w:tabs>
        <w:autoSpaceDE w:val="0"/>
        <w:autoSpaceDN w:val="0"/>
        <w:adjustRightInd w:val="0"/>
        <w:spacing w:before="120" w:after="120"/>
        <w:jc w:val="both"/>
        <w:rPr>
          <w:rFonts w:ascii="Arial" w:hAnsi="Arial" w:cs="Arial"/>
          <w:sz w:val="20"/>
          <w:szCs w:val="20"/>
        </w:rPr>
      </w:pPr>
      <w:r w:rsidRPr="00E94D1F">
        <w:rPr>
          <w:rFonts w:ascii="Arial" w:hAnsi="Arial" w:cs="Arial"/>
          <w:sz w:val="20"/>
          <w:szCs w:val="20"/>
        </w:rPr>
        <w:t>b)</w:t>
      </w:r>
      <w:r w:rsidRPr="00E94D1F">
        <w:rPr>
          <w:rFonts w:ascii="Arial" w:hAnsi="Arial" w:cs="Arial"/>
          <w:sz w:val="20"/>
          <w:szCs w:val="20"/>
        </w:rPr>
        <w:tab/>
        <w:t>prerušenie lehoty pre platby na OP ŽP v zmysle článku 91 nariadenia Rady (ES) č. 1083/2006 (ďalej len „všeobecné nariadenie“) a následné uplatnenie postupu na pozastavenia platieb pre OP ŽP v zmysle článku 92 všeobecného nariadenia</w:t>
      </w:r>
      <w:r>
        <w:rPr>
          <w:rFonts w:ascii="Arial" w:hAnsi="Arial" w:cs="Arial"/>
          <w:sz w:val="20"/>
          <w:szCs w:val="20"/>
        </w:rPr>
        <w:t>.</w:t>
      </w:r>
      <w:r w:rsidR="00796058">
        <w:rPr>
          <w:rFonts w:ascii="Arial" w:hAnsi="Arial" w:cs="Arial"/>
          <w:sz w:val="20"/>
          <w:szCs w:val="20"/>
        </w:rPr>
        <w:t xml:space="preserve"> </w:t>
      </w:r>
      <w:r>
        <w:rPr>
          <w:rFonts w:ascii="Arial" w:hAnsi="Arial" w:cs="Arial"/>
          <w:sz w:val="20"/>
          <w:szCs w:val="20"/>
        </w:rPr>
        <w:t>U</w:t>
      </w:r>
      <w:r w:rsidRPr="00E94D1F">
        <w:rPr>
          <w:rFonts w:ascii="Arial" w:hAnsi="Arial" w:cs="Arial"/>
          <w:sz w:val="20"/>
          <w:szCs w:val="20"/>
        </w:rPr>
        <w:t>vedené malo za následok, že od momentu prerušenia lehoty pre platby (oznámené listom EK z 15.</w:t>
      </w:r>
      <w:r w:rsidR="001F09AB">
        <w:rPr>
          <w:rFonts w:ascii="Arial" w:hAnsi="Arial" w:cs="Arial"/>
          <w:sz w:val="20"/>
          <w:szCs w:val="20"/>
        </w:rPr>
        <w:t xml:space="preserve"> </w:t>
      </w:r>
      <w:r w:rsidRPr="00E94D1F">
        <w:rPr>
          <w:rFonts w:ascii="Arial" w:hAnsi="Arial" w:cs="Arial"/>
          <w:sz w:val="20"/>
          <w:szCs w:val="20"/>
        </w:rPr>
        <w:t>07.</w:t>
      </w:r>
      <w:r w:rsidR="001F09AB">
        <w:rPr>
          <w:rFonts w:ascii="Arial" w:hAnsi="Arial" w:cs="Arial"/>
          <w:sz w:val="20"/>
          <w:szCs w:val="20"/>
        </w:rPr>
        <w:t xml:space="preserve"> </w:t>
      </w:r>
      <w:r w:rsidRPr="00E94D1F">
        <w:rPr>
          <w:rFonts w:ascii="Arial" w:hAnsi="Arial" w:cs="Arial"/>
          <w:sz w:val="20"/>
          <w:szCs w:val="20"/>
        </w:rPr>
        <w:t>2011) finančné toky na OP ŽP zo strany EK neprebiehali. Zároveň od tohto momentu neboli na EK predkladané žiadosti o platbu  na výdavky projektov implementovaných v rámci OP ŽP;</w:t>
      </w:r>
    </w:p>
    <w:p w14:paraId="19B4AC77" w14:textId="526D4E93" w:rsidR="00E23D2E" w:rsidRPr="00E94D1F" w:rsidRDefault="00E23D2E" w:rsidP="00F87D11">
      <w:pPr>
        <w:tabs>
          <w:tab w:val="left" w:pos="360"/>
        </w:tabs>
        <w:autoSpaceDE w:val="0"/>
        <w:autoSpaceDN w:val="0"/>
        <w:adjustRightInd w:val="0"/>
        <w:spacing w:before="120" w:after="120"/>
        <w:jc w:val="both"/>
        <w:rPr>
          <w:rFonts w:ascii="Arial" w:hAnsi="Arial" w:cs="Arial"/>
          <w:sz w:val="20"/>
          <w:szCs w:val="20"/>
        </w:rPr>
      </w:pPr>
      <w:r w:rsidRPr="00E94D1F">
        <w:rPr>
          <w:rFonts w:ascii="Arial" w:hAnsi="Arial" w:cs="Arial"/>
          <w:sz w:val="20"/>
          <w:szCs w:val="20"/>
        </w:rPr>
        <w:t>c)</w:t>
      </w:r>
      <w:r w:rsidRPr="00E94D1F">
        <w:rPr>
          <w:rFonts w:ascii="Arial" w:hAnsi="Arial" w:cs="Arial"/>
          <w:sz w:val="20"/>
          <w:szCs w:val="20"/>
        </w:rPr>
        <w:tab/>
        <w:t>proces (dvojnásobnej) delimitácie RO pre OP ŽP - organizačné zmeny vykonané v súvislosti so zrušením a opätovným vznikom MŽP SR</w:t>
      </w:r>
      <w:r>
        <w:rPr>
          <w:rFonts w:ascii="Arial" w:hAnsi="Arial" w:cs="Arial"/>
          <w:sz w:val="20"/>
          <w:szCs w:val="20"/>
        </w:rPr>
        <w:t xml:space="preserve"> </w:t>
      </w:r>
      <w:r w:rsidRPr="00E94D1F">
        <w:rPr>
          <w:rFonts w:ascii="Arial" w:hAnsi="Arial" w:cs="Arial"/>
          <w:sz w:val="20"/>
          <w:szCs w:val="20"/>
        </w:rPr>
        <w:t xml:space="preserve">v roku 2010 si vyžiadali prerušenie a dočasné pozastavenie všetkých finančných transakcií v rámci OP ŽP (dvakrát, a to vždy na obdobie cca 8 týždňov). V období od mája 2010 do februára 2011 teda nebolo možné v rámci OP ŽP vyplácať jednotlivé ŽoP približne štyri mesiace, čo malo negatívny vplyv na </w:t>
      </w:r>
      <w:r>
        <w:rPr>
          <w:rFonts w:ascii="Arial" w:hAnsi="Arial" w:cs="Arial"/>
          <w:sz w:val="20"/>
          <w:szCs w:val="20"/>
        </w:rPr>
        <w:t>vývoj</w:t>
      </w:r>
      <w:r w:rsidRPr="00E94D1F">
        <w:rPr>
          <w:rFonts w:ascii="Arial" w:hAnsi="Arial" w:cs="Arial"/>
          <w:sz w:val="20"/>
          <w:szCs w:val="20"/>
        </w:rPr>
        <w:t xml:space="preserve"> čerpania finančných prostriedkov;</w:t>
      </w:r>
    </w:p>
    <w:p w14:paraId="43491EB5" w14:textId="77777777" w:rsidR="00E23D2E" w:rsidRPr="003759A2" w:rsidRDefault="00E23D2E" w:rsidP="00E23D2E">
      <w:pPr>
        <w:tabs>
          <w:tab w:val="left" w:pos="360"/>
        </w:tabs>
        <w:autoSpaceDE w:val="0"/>
        <w:autoSpaceDN w:val="0"/>
        <w:adjustRightInd w:val="0"/>
        <w:spacing w:before="240" w:after="120"/>
        <w:jc w:val="both"/>
        <w:rPr>
          <w:rFonts w:ascii="Arial" w:hAnsi="Arial" w:cs="Arial"/>
          <w:sz w:val="20"/>
          <w:szCs w:val="20"/>
          <w:highlight w:val="yellow"/>
        </w:rPr>
      </w:pPr>
      <w:r w:rsidRPr="00E94D1F">
        <w:rPr>
          <w:rFonts w:ascii="Arial" w:hAnsi="Arial" w:cs="Arial"/>
          <w:sz w:val="20"/>
          <w:szCs w:val="20"/>
        </w:rPr>
        <w:t>d)</w:t>
      </w:r>
      <w:r w:rsidRPr="00E94D1F">
        <w:rPr>
          <w:rFonts w:ascii="Arial" w:hAnsi="Arial" w:cs="Arial"/>
          <w:sz w:val="20"/>
          <w:szCs w:val="20"/>
        </w:rPr>
        <w:tab/>
        <w:t xml:space="preserve">neúmerné predlžovanie dĺžky realizácie projektov v rámci RO pre OP ŽP - RO pre OP ŽP predlžoval realizáciu aktivít projektov bez prijímania náležitých opatrení zo strany prijímateľov, že vykonajú všetky potrebné opatrenia na realizáciu všetkých aktivít projektov aj v prípadoch niekoľkonásobného opakovania VO. Z uvedeného dôvodu bola predlžovaná doba oprávnenosti </w:t>
      </w:r>
      <w:r w:rsidRPr="00E94D1F">
        <w:rPr>
          <w:rFonts w:ascii="Arial" w:hAnsi="Arial" w:cs="Arial"/>
          <w:sz w:val="20"/>
          <w:szCs w:val="20"/>
        </w:rPr>
        <w:lastRenderedPageBreak/>
        <w:t>realizácie projektov, čo následne spôsobilo ohrozenie čerpania finančných záväzkov rokov 2011, resp. 2012</w:t>
      </w:r>
      <w:r>
        <w:rPr>
          <w:rFonts w:ascii="Arial" w:hAnsi="Arial" w:cs="Arial"/>
          <w:sz w:val="20"/>
          <w:szCs w:val="20"/>
        </w:rPr>
        <w:t xml:space="preserve"> už aj</w:t>
      </w:r>
      <w:r w:rsidRPr="00E94D1F">
        <w:rPr>
          <w:rFonts w:ascii="Arial" w:hAnsi="Arial" w:cs="Arial"/>
          <w:sz w:val="20"/>
          <w:szCs w:val="20"/>
        </w:rPr>
        <w:t xml:space="preserve"> v zmysle pravidla „n+3“.</w:t>
      </w:r>
    </w:p>
    <w:p w14:paraId="672BD88C" w14:textId="77777777" w:rsidR="00E23D2E" w:rsidRPr="00D75BFD" w:rsidRDefault="00E23D2E" w:rsidP="00E23D2E">
      <w:pPr>
        <w:tabs>
          <w:tab w:val="left" w:pos="360"/>
        </w:tabs>
        <w:autoSpaceDE w:val="0"/>
        <w:autoSpaceDN w:val="0"/>
        <w:adjustRightInd w:val="0"/>
        <w:spacing w:before="240" w:after="120"/>
        <w:jc w:val="both"/>
        <w:rPr>
          <w:rFonts w:ascii="Arial" w:hAnsi="Arial" w:cs="Arial"/>
          <w:sz w:val="20"/>
          <w:szCs w:val="20"/>
        </w:rPr>
      </w:pPr>
      <w:r w:rsidRPr="00E94D1F">
        <w:rPr>
          <w:rFonts w:ascii="Arial" w:hAnsi="Arial" w:cs="Arial"/>
          <w:sz w:val="20"/>
          <w:szCs w:val="20"/>
        </w:rPr>
        <w:t>Za účelom identifikácie hlavných problémov, ktoré vplývali na im</w:t>
      </w:r>
      <w:r>
        <w:rPr>
          <w:rFonts w:ascii="Arial" w:hAnsi="Arial" w:cs="Arial"/>
          <w:sz w:val="20"/>
          <w:szCs w:val="20"/>
        </w:rPr>
        <w:t>plementáciu OP ŽP, a uvedenie</w:t>
      </w:r>
      <w:r w:rsidRPr="00E94D1F">
        <w:rPr>
          <w:rFonts w:ascii="Arial" w:hAnsi="Arial" w:cs="Arial"/>
          <w:sz w:val="20"/>
          <w:szCs w:val="20"/>
        </w:rPr>
        <w:t xml:space="preserve"> prijatých konkrétnych opatrení na ich minimalizáciu, RO pre OP ŽP </w:t>
      </w:r>
      <w:r>
        <w:rPr>
          <w:rFonts w:ascii="Arial" w:hAnsi="Arial" w:cs="Arial"/>
          <w:sz w:val="20"/>
          <w:szCs w:val="20"/>
        </w:rPr>
        <w:t>vypracovával a pravidelne aktualizoval</w:t>
      </w:r>
      <w:r w:rsidRPr="00E94D1F">
        <w:rPr>
          <w:rFonts w:ascii="Arial" w:hAnsi="Arial" w:cs="Arial"/>
          <w:sz w:val="20"/>
          <w:szCs w:val="20"/>
        </w:rPr>
        <w:t xml:space="preserve"> </w:t>
      </w:r>
      <w:r>
        <w:rPr>
          <w:rFonts w:ascii="Arial" w:hAnsi="Arial" w:cs="Arial"/>
          <w:sz w:val="20"/>
          <w:szCs w:val="20"/>
        </w:rPr>
        <w:t>od roku 2012, „</w:t>
      </w:r>
      <w:r w:rsidRPr="00E94D1F">
        <w:rPr>
          <w:rFonts w:ascii="Arial" w:hAnsi="Arial" w:cs="Arial"/>
          <w:i/>
          <w:sz w:val="20"/>
          <w:szCs w:val="20"/>
        </w:rPr>
        <w:t>Akčn</w:t>
      </w:r>
      <w:r>
        <w:rPr>
          <w:rFonts w:ascii="Arial" w:hAnsi="Arial" w:cs="Arial"/>
          <w:i/>
          <w:sz w:val="20"/>
          <w:szCs w:val="20"/>
        </w:rPr>
        <w:t>é</w:t>
      </w:r>
      <w:r w:rsidRPr="00E94D1F">
        <w:rPr>
          <w:rFonts w:ascii="Arial" w:hAnsi="Arial" w:cs="Arial"/>
          <w:i/>
          <w:sz w:val="20"/>
          <w:szCs w:val="20"/>
        </w:rPr>
        <w:t xml:space="preserve"> plán</w:t>
      </w:r>
      <w:r>
        <w:rPr>
          <w:rFonts w:ascii="Arial" w:hAnsi="Arial" w:cs="Arial"/>
          <w:i/>
          <w:sz w:val="20"/>
          <w:szCs w:val="20"/>
        </w:rPr>
        <w:t>y</w:t>
      </w:r>
      <w:r w:rsidRPr="00E94D1F">
        <w:rPr>
          <w:rFonts w:ascii="Arial" w:hAnsi="Arial" w:cs="Arial"/>
          <w:i/>
          <w:sz w:val="20"/>
          <w:szCs w:val="20"/>
        </w:rPr>
        <w:t xml:space="preserve"> na zrý</w:t>
      </w:r>
      <w:r>
        <w:rPr>
          <w:rFonts w:ascii="Arial" w:hAnsi="Arial" w:cs="Arial"/>
          <w:i/>
          <w:sz w:val="20"/>
          <w:szCs w:val="20"/>
        </w:rPr>
        <w:t>chlenie čerpania a implementáciu</w:t>
      </w:r>
      <w:r w:rsidRPr="00E94D1F">
        <w:rPr>
          <w:rFonts w:ascii="Arial" w:hAnsi="Arial" w:cs="Arial"/>
          <w:i/>
          <w:sz w:val="20"/>
          <w:szCs w:val="20"/>
        </w:rPr>
        <w:t xml:space="preserve"> OP ŽP</w:t>
      </w:r>
      <w:r>
        <w:rPr>
          <w:rFonts w:ascii="Arial" w:hAnsi="Arial" w:cs="Arial"/>
          <w:i/>
          <w:sz w:val="20"/>
          <w:szCs w:val="20"/>
        </w:rPr>
        <w:t>“</w:t>
      </w:r>
      <w:r>
        <w:rPr>
          <w:rFonts w:ascii="Arial" w:hAnsi="Arial" w:cs="Arial"/>
          <w:sz w:val="20"/>
          <w:szCs w:val="20"/>
        </w:rPr>
        <w:t xml:space="preserve">. </w:t>
      </w:r>
      <w:r w:rsidRPr="00E94D1F">
        <w:rPr>
          <w:rFonts w:ascii="Arial" w:hAnsi="Arial" w:cs="Arial"/>
          <w:sz w:val="20"/>
          <w:szCs w:val="20"/>
        </w:rPr>
        <w:t>Účinnosť prijatých opatrení RO následne pravidelne v dvojmesačnom intervale vyhodnocoval a odpočtoval Úradu vlády SR ako CKO a Ministerstvu financií SR ako CO</w:t>
      </w:r>
      <w:r>
        <w:rPr>
          <w:rFonts w:ascii="Arial" w:hAnsi="Arial" w:cs="Arial"/>
          <w:sz w:val="20"/>
          <w:szCs w:val="20"/>
        </w:rPr>
        <w:t>, tak aj</w:t>
      </w:r>
      <w:r w:rsidRPr="00E94D1F">
        <w:rPr>
          <w:rFonts w:ascii="Arial" w:hAnsi="Arial" w:cs="Arial"/>
          <w:sz w:val="20"/>
          <w:szCs w:val="20"/>
        </w:rPr>
        <w:t xml:space="preserve"> OA.</w:t>
      </w:r>
    </w:p>
    <w:p w14:paraId="181F680D" w14:textId="77777777" w:rsidR="00E23D2E" w:rsidRDefault="00E23D2E" w:rsidP="00E23D2E">
      <w:pPr>
        <w:spacing w:before="120" w:after="120"/>
        <w:jc w:val="both"/>
        <w:rPr>
          <w:rFonts w:ascii="Arial" w:hAnsi="Arial" w:cs="Arial"/>
          <w:sz w:val="20"/>
          <w:szCs w:val="20"/>
        </w:rPr>
      </w:pPr>
      <w:r w:rsidRPr="00A05A25">
        <w:rPr>
          <w:rFonts w:ascii="Arial" w:hAnsi="Arial" w:cs="Arial"/>
          <w:sz w:val="20"/>
          <w:szCs w:val="20"/>
        </w:rPr>
        <w:t>V rámci</w:t>
      </w:r>
      <w:r w:rsidRPr="004C23C3">
        <w:rPr>
          <w:rFonts w:ascii="Arial" w:hAnsi="Arial" w:cs="Arial"/>
          <w:i/>
          <w:sz w:val="20"/>
          <w:szCs w:val="20"/>
        </w:rPr>
        <w:t xml:space="preserve"> systému ITMS</w:t>
      </w:r>
      <w:r>
        <w:rPr>
          <w:rFonts w:ascii="Arial" w:hAnsi="Arial" w:cs="Arial"/>
          <w:i/>
          <w:sz w:val="20"/>
          <w:szCs w:val="20"/>
        </w:rPr>
        <w:t xml:space="preserve"> </w:t>
      </w:r>
      <w:r>
        <w:rPr>
          <w:rFonts w:ascii="Arial" w:hAnsi="Arial" w:cs="Arial"/>
          <w:sz w:val="20"/>
          <w:szCs w:val="20"/>
        </w:rPr>
        <w:t>počas programového obdobia</w:t>
      </w:r>
      <w:r w:rsidRPr="004C23C3">
        <w:rPr>
          <w:rFonts w:ascii="Arial" w:hAnsi="Arial" w:cs="Arial"/>
          <w:i/>
          <w:sz w:val="20"/>
          <w:szCs w:val="20"/>
        </w:rPr>
        <w:t xml:space="preserve"> </w:t>
      </w:r>
      <w:r>
        <w:rPr>
          <w:rFonts w:ascii="Arial" w:hAnsi="Arial" w:cs="Arial"/>
          <w:sz w:val="20"/>
          <w:szCs w:val="20"/>
        </w:rPr>
        <w:t>boli identifikované tieto najzávažnejšie nedostatky:</w:t>
      </w:r>
    </w:p>
    <w:p w14:paraId="07E77180" w14:textId="442CC9EE" w:rsidR="00E23D2E" w:rsidRDefault="00E23D2E" w:rsidP="00E23D2E">
      <w:pPr>
        <w:spacing w:before="120" w:after="120"/>
        <w:jc w:val="both"/>
        <w:rPr>
          <w:rFonts w:ascii="Arial" w:hAnsi="Arial" w:cs="Arial"/>
          <w:sz w:val="20"/>
          <w:szCs w:val="20"/>
        </w:rPr>
      </w:pPr>
      <w:r>
        <w:rPr>
          <w:rFonts w:ascii="Arial" w:hAnsi="Arial" w:cs="Arial"/>
          <w:sz w:val="20"/>
          <w:szCs w:val="20"/>
        </w:rPr>
        <w:t xml:space="preserve">-    </w:t>
      </w:r>
      <w:r w:rsidRPr="00D75BFD">
        <w:rPr>
          <w:rFonts w:ascii="Arial" w:hAnsi="Arial" w:cs="Arial"/>
          <w:sz w:val="20"/>
          <w:szCs w:val="20"/>
        </w:rPr>
        <w:t>V priebehu mesiaca február 2010 boli zaznamenané technické problémy, dôsledkom ktorých bola skutočnosť, že verejný portál ITMS bol až do 8.</w:t>
      </w:r>
      <w:r w:rsidR="001F09AB">
        <w:rPr>
          <w:rFonts w:ascii="Arial" w:hAnsi="Arial" w:cs="Arial"/>
          <w:sz w:val="20"/>
          <w:szCs w:val="20"/>
        </w:rPr>
        <w:t xml:space="preserve"> </w:t>
      </w:r>
      <w:r w:rsidRPr="00D75BFD">
        <w:rPr>
          <w:rFonts w:ascii="Arial" w:hAnsi="Arial" w:cs="Arial"/>
          <w:sz w:val="20"/>
          <w:szCs w:val="20"/>
        </w:rPr>
        <w:t>3.</w:t>
      </w:r>
      <w:r w:rsidR="001F09AB">
        <w:rPr>
          <w:rFonts w:ascii="Arial" w:hAnsi="Arial" w:cs="Arial"/>
          <w:sz w:val="20"/>
          <w:szCs w:val="20"/>
        </w:rPr>
        <w:t xml:space="preserve"> </w:t>
      </w:r>
      <w:r w:rsidRPr="00D75BFD">
        <w:rPr>
          <w:rFonts w:ascii="Arial" w:hAnsi="Arial" w:cs="Arial"/>
          <w:sz w:val="20"/>
          <w:szCs w:val="20"/>
        </w:rPr>
        <w:t>2010 len v</w:t>
      </w:r>
      <w:r>
        <w:rPr>
          <w:rFonts w:ascii="Arial" w:hAnsi="Arial" w:cs="Arial"/>
          <w:sz w:val="20"/>
          <w:szCs w:val="20"/>
        </w:rPr>
        <w:t> tzv. „</w:t>
      </w:r>
      <w:r w:rsidRPr="00D75BFD">
        <w:rPr>
          <w:rFonts w:ascii="Arial" w:hAnsi="Arial" w:cs="Arial"/>
          <w:sz w:val="20"/>
          <w:szCs w:val="20"/>
        </w:rPr>
        <w:t>čítacom móde</w:t>
      </w:r>
      <w:r>
        <w:rPr>
          <w:rFonts w:ascii="Arial" w:hAnsi="Arial" w:cs="Arial"/>
          <w:sz w:val="20"/>
          <w:szCs w:val="20"/>
        </w:rPr>
        <w:t>“</w:t>
      </w:r>
      <w:r w:rsidRPr="00D75BFD">
        <w:rPr>
          <w:rFonts w:ascii="Arial" w:hAnsi="Arial" w:cs="Arial"/>
          <w:sz w:val="20"/>
          <w:szCs w:val="20"/>
        </w:rPr>
        <w:t>, t. j. nebolo možné na žiadostiach o NFP a ani na žiadostiach o platbu ukladať žiadne zmeny</w:t>
      </w:r>
      <w:r>
        <w:rPr>
          <w:rFonts w:ascii="Arial" w:hAnsi="Arial" w:cs="Arial"/>
          <w:sz w:val="20"/>
          <w:szCs w:val="20"/>
        </w:rPr>
        <w:t xml:space="preserve">. </w:t>
      </w:r>
      <w:r w:rsidRPr="00D75BFD">
        <w:rPr>
          <w:rFonts w:ascii="Arial" w:hAnsi="Arial" w:cs="Arial"/>
          <w:sz w:val="20"/>
          <w:szCs w:val="20"/>
        </w:rPr>
        <w:t>Žiadosti o NFP bolo opäť možné predkladať prostredníctvom ITMS Portálu až od 08.</w:t>
      </w:r>
      <w:r w:rsidR="001F09AB">
        <w:rPr>
          <w:rFonts w:ascii="Arial" w:hAnsi="Arial" w:cs="Arial"/>
          <w:sz w:val="20"/>
          <w:szCs w:val="20"/>
        </w:rPr>
        <w:t xml:space="preserve"> </w:t>
      </w:r>
      <w:r w:rsidRPr="00D75BFD">
        <w:rPr>
          <w:rFonts w:ascii="Arial" w:hAnsi="Arial" w:cs="Arial"/>
          <w:sz w:val="20"/>
          <w:szCs w:val="20"/>
        </w:rPr>
        <w:t>03.</w:t>
      </w:r>
      <w:r w:rsidR="001F09AB">
        <w:rPr>
          <w:rFonts w:ascii="Arial" w:hAnsi="Arial" w:cs="Arial"/>
          <w:sz w:val="20"/>
          <w:szCs w:val="20"/>
        </w:rPr>
        <w:t xml:space="preserve"> </w:t>
      </w:r>
      <w:r w:rsidRPr="00D75BFD">
        <w:rPr>
          <w:rFonts w:ascii="Arial" w:hAnsi="Arial" w:cs="Arial"/>
          <w:sz w:val="20"/>
          <w:szCs w:val="20"/>
        </w:rPr>
        <w:t>2010.</w:t>
      </w:r>
    </w:p>
    <w:p w14:paraId="54F9E682" w14:textId="4524AC9B" w:rsidR="00E23D2E" w:rsidRDefault="00E23D2E" w:rsidP="00E23D2E">
      <w:pPr>
        <w:spacing w:before="120" w:after="120"/>
        <w:jc w:val="both"/>
        <w:rPr>
          <w:rFonts w:ascii="Arial" w:hAnsi="Arial" w:cs="Arial"/>
          <w:sz w:val="20"/>
          <w:szCs w:val="20"/>
        </w:rPr>
      </w:pPr>
      <w:r>
        <w:rPr>
          <w:rFonts w:ascii="Arial" w:hAnsi="Arial" w:cs="Arial"/>
          <w:sz w:val="20"/>
          <w:szCs w:val="20"/>
        </w:rPr>
        <w:t xml:space="preserve">-    </w:t>
      </w:r>
      <w:r w:rsidRPr="00D75BFD">
        <w:rPr>
          <w:rFonts w:ascii="Arial" w:hAnsi="Arial" w:cs="Arial"/>
          <w:sz w:val="20"/>
          <w:szCs w:val="20"/>
        </w:rPr>
        <w:t xml:space="preserve">Systém ITMS bol počas prvého týždňa v roku 2009 z dôvodu eurokonverzie neprístupný pre bežných užívateľov, a to z dôvodu konsolidácie dát s účtovným systémom ISUF. Následne od </w:t>
      </w:r>
      <w:r w:rsidR="001F09AB">
        <w:rPr>
          <w:rFonts w:ascii="Arial" w:hAnsi="Arial" w:cs="Arial"/>
          <w:sz w:val="20"/>
          <w:szCs w:val="20"/>
        </w:rPr>
        <w:t xml:space="preserve">         </w:t>
      </w:r>
      <w:r w:rsidRPr="00D75BFD">
        <w:rPr>
          <w:rFonts w:ascii="Arial" w:hAnsi="Arial" w:cs="Arial"/>
          <w:sz w:val="20"/>
          <w:szCs w:val="20"/>
        </w:rPr>
        <w:t>07.</w:t>
      </w:r>
      <w:r w:rsidR="001F09AB">
        <w:rPr>
          <w:rFonts w:ascii="Arial" w:hAnsi="Arial" w:cs="Arial"/>
          <w:sz w:val="20"/>
          <w:szCs w:val="20"/>
        </w:rPr>
        <w:t xml:space="preserve"> </w:t>
      </w:r>
      <w:r w:rsidRPr="00D75BFD">
        <w:rPr>
          <w:rFonts w:ascii="Arial" w:hAnsi="Arial" w:cs="Arial"/>
          <w:sz w:val="20"/>
          <w:szCs w:val="20"/>
        </w:rPr>
        <w:t>01.</w:t>
      </w:r>
      <w:r w:rsidR="001F09AB">
        <w:rPr>
          <w:rFonts w:ascii="Arial" w:hAnsi="Arial" w:cs="Arial"/>
          <w:sz w:val="20"/>
          <w:szCs w:val="20"/>
        </w:rPr>
        <w:t xml:space="preserve"> </w:t>
      </w:r>
      <w:r w:rsidRPr="00D75BFD">
        <w:rPr>
          <w:rFonts w:ascii="Arial" w:hAnsi="Arial" w:cs="Arial"/>
          <w:sz w:val="20"/>
          <w:szCs w:val="20"/>
        </w:rPr>
        <w:t>2009 do 15.</w:t>
      </w:r>
      <w:r w:rsidR="001F09AB">
        <w:rPr>
          <w:rFonts w:ascii="Arial" w:hAnsi="Arial" w:cs="Arial"/>
          <w:sz w:val="20"/>
          <w:szCs w:val="20"/>
        </w:rPr>
        <w:t xml:space="preserve"> </w:t>
      </w:r>
      <w:r w:rsidRPr="00D75BFD">
        <w:rPr>
          <w:rFonts w:ascii="Arial" w:hAnsi="Arial" w:cs="Arial"/>
          <w:sz w:val="20"/>
          <w:szCs w:val="20"/>
        </w:rPr>
        <w:t>01.</w:t>
      </w:r>
      <w:r w:rsidR="001F09AB">
        <w:rPr>
          <w:rFonts w:ascii="Arial" w:hAnsi="Arial" w:cs="Arial"/>
          <w:sz w:val="20"/>
          <w:szCs w:val="20"/>
        </w:rPr>
        <w:t xml:space="preserve"> </w:t>
      </w:r>
      <w:r w:rsidRPr="00D75BFD">
        <w:rPr>
          <w:rFonts w:ascii="Arial" w:hAnsi="Arial" w:cs="Arial"/>
          <w:sz w:val="20"/>
          <w:szCs w:val="20"/>
        </w:rPr>
        <w:t xml:space="preserve">2009 bol systém nastavený v </w:t>
      </w:r>
      <w:r>
        <w:rPr>
          <w:rFonts w:ascii="Arial" w:hAnsi="Arial" w:cs="Arial"/>
          <w:sz w:val="20"/>
          <w:szCs w:val="20"/>
        </w:rPr>
        <w:t>čítacom móde</w:t>
      </w:r>
      <w:r w:rsidRPr="00D75BFD">
        <w:rPr>
          <w:rFonts w:ascii="Arial" w:hAnsi="Arial" w:cs="Arial"/>
          <w:sz w:val="20"/>
          <w:szCs w:val="20"/>
        </w:rPr>
        <w:t xml:space="preserve"> z dôvodu ďalších kontrol konvertovaných dát.</w:t>
      </w:r>
      <w:r>
        <w:rPr>
          <w:rFonts w:ascii="Arial" w:hAnsi="Arial" w:cs="Arial"/>
          <w:sz w:val="20"/>
          <w:szCs w:val="20"/>
        </w:rPr>
        <w:t xml:space="preserve"> </w:t>
      </w:r>
      <w:r w:rsidRPr="00D75BFD">
        <w:rPr>
          <w:rFonts w:ascii="Arial" w:hAnsi="Arial" w:cs="Arial"/>
          <w:sz w:val="20"/>
          <w:szCs w:val="20"/>
        </w:rPr>
        <w:t>Po 15.</w:t>
      </w:r>
      <w:r w:rsidR="001F09AB">
        <w:rPr>
          <w:rFonts w:ascii="Arial" w:hAnsi="Arial" w:cs="Arial"/>
          <w:sz w:val="20"/>
          <w:szCs w:val="20"/>
        </w:rPr>
        <w:t xml:space="preserve"> </w:t>
      </w:r>
      <w:r w:rsidRPr="00D75BFD">
        <w:rPr>
          <w:rFonts w:ascii="Arial" w:hAnsi="Arial" w:cs="Arial"/>
          <w:sz w:val="20"/>
          <w:szCs w:val="20"/>
        </w:rPr>
        <w:t>1.</w:t>
      </w:r>
      <w:r w:rsidR="001F09AB">
        <w:rPr>
          <w:rFonts w:ascii="Arial" w:hAnsi="Arial" w:cs="Arial"/>
          <w:sz w:val="20"/>
          <w:szCs w:val="20"/>
        </w:rPr>
        <w:t xml:space="preserve"> </w:t>
      </w:r>
      <w:r w:rsidRPr="00D75BFD">
        <w:rPr>
          <w:rFonts w:ascii="Arial" w:hAnsi="Arial" w:cs="Arial"/>
          <w:sz w:val="20"/>
          <w:szCs w:val="20"/>
        </w:rPr>
        <w:t>2009 bol systém ITMS plne prístupný aj pre bežných užívateľov.</w:t>
      </w:r>
    </w:p>
    <w:p w14:paraId="120CED1C" w14:textId="77777777" w:rsidR="00E23D2E" w:rsidRDefault="00E23D2E" w:rsidP="00E23D2E">
      <w:pPr>
        <w:spacing w:before="120" w:after="120"/>
        <w:jc w:val="both"/>
        <w:rPr>
          <w:rFonts w:ascii="Arial" w:hAnsi="Arial" w:cs="Arial"/>
          <w:sz w:val="20"/>
          <w:szCs w:val="20"/>
        </w:rPr>
      </w:pPr>
      <w:r>
        <w:rPr>
          <w:rFonts w:ascii="Arial" w:hAnsi="Arial" w:cs="Arial"/>
          <w:sz w:val="20"/>
          <w:szCs w:val="20"/>
        </w:rPr>
        <w:t xml:space="preserve">-   </w:t>
      </w:r>
      <w:r w:rsidRPr="00D75BFD">
        <w:rPr>
          <w:rFonts w:ascii="Arial" w:hAnsi="Arial" w:cs="Arial"/>
          <w:sz w:val="20"/>
          <w:szCs w:val="20"/>
        </w:rPr>
        <w:t>Systém v prvom polroku 2009 nesprávne počítal „Spolufinancovanie EÚ a ŠR schválené“</w:t>
      </w:r>
      <w:r>
        <w:rPr>
          <w:rFonts w:ascii="Arial" w:hAnsi="Arial" w:cs="Arial"/>
          <w:sz w:val="20"/>
          <w:szCs w:val="20"/>
        </w:rPr>
        <w:t>,</w:t>
      </w:r>
      <w:r w:rsidRPr="00D75BFD">
        <w:rPr>
          <w:rFonts w:ascii="Arial" w:hAnsi="Arial" w:cs="Arial"/>
          <w:sz w:val="20"/>
          <w:szCs w:val="20"/>
        </w:rPr>
        <w:t xml:space="preserve"> ako aj „Percento spolufinancovania schválené“ pri žiadostiach o NFP, u ktorých došlo ku zníženiu celkových oprávnených výdavkov na základe výsledkov z predbežnej finančnej kontroly. Tento nedostatok bol v priebehu roka odstránený tak, že v rámci základných údajov bol doplnený údaj: „Vlastné zdroje žiadateľa a partnerov schválené“.</w:t>
      </w:r>
    </w:p>
    <w:p w14:paraId="14F10385" w14:textId="77777777" w:rsidR="00E23D2E" w:rsidRDefault="00E23D2E" w:rsidP="00E23D2E">
      <w:pPr>
        <w:spacing w:before="120" w:after="120"/>
        <w:jc w:val="both"/>
        <w:rPr>
          <w:rFonts w:ascii="Arial" w:hAnsi="Arial" w:cs="Arial"/>
          <w:sz w:val="20"/>
          <w:szCs w:val="20"/>
        </w:rPr>
      </w:pPr>
      <w:r>
        <w:rPr>
          <w:rFonts w:ascii="Arial" w:hAnsi="Arial" w:cs="Arial"/>
          <w:sz w:val="20"/>
          <w:szCs w:val="20"/>
        </w:rPr>
        <w:t xml:space="preserve">-    </w:t>
      </w:r>
      <w:r w:rsidRPr="00D75BFD">
        <w:rPr>
          <w:rFonts w:ascii="Arial" w:hAnsi="Arial" w:cs="Arial"/>
          <w:sz w:val="20"/>
          <w:szCs w:val="20"/>
        </w:rPr>
        <w:t>Z dôvodu absencie workflowu pre verejné obstarávanie v roku 2009 nebolo možné zadávať údaje týkajúce sa verejného obstarávania do ITMS.</w:t>
      </w:r>
      <w:r>
        <w:rPr>
          <w:rFonts w:ascii="Arial" w:hAnsi="Arial" w:cs="Arial"/>
          <w:sz w:val="20"/>
          <w:szCs w:val="20"/>
        </w:rPr>
        <w:t xml:space="preserve"> </w:t>
      </w:r>
      <w:r w:rsidRPr="00D75BFD">
        <w:rPr>
          <w:rFonts w:ascii="Arial" w:hAnsi="Arial" w:cs="Arial"/>
          <w:sz w:val="20"/>
          <w:szCs w:val="20"/>
        </w:rPr>
        <w:t>Workflow pre verejné obstarávanie (OP ŽP) bol spustený v júni 2009.</w:t>
      </w:r>
    </w:p>
    <w:p w14:paraId="4A7AA048" w14:textId="03E6E83B" w:rsidR="00C620F4" w:rsidRPr="00123376" w:rsidRDefault="00E23D2E" w:rsidP="00E23D2E">
      <w:pPr>
        <w:tabs>
          <w:tab w:val="left" w:pos="284"/>
        </w:tabs>
        <w:spacing w:before="120" w:after="120"/>
        <w:jc w:val="both"/>
        <w:rPr>
          <w:rFonts w:ascii="Arial" w:hAnsi="Arial" w:cs="Arial"/>
          <w:sz w:val="20"/>
          <w:szCs w:val="20"/>
        </w:rPr>
      </w:pPr>
      <w:r>
        <w:rPr>
          <w:rFonts w:ascii="Arial" w:hAnsi="Arial" w:cs="Arial"/>
          <w:sz w:val="20"/>
          <w:szCs w:val="20"/>
        </w:rPr>
        <w:t xml:space="preserve">-  </w:t>
      </w:r>
      <w:r w:rsidRPr="00D75BFD">
        <w:rPr>
          <w:rFonts w:ascii="Arial" w:hAnsi="Arial" w:cs="Arial"/>
          <w:sz w:val="20"/>
          <w:szCs w:val="20"/>
        </w:rPr>
        <w:t>Systém počas celého roka 2009 nesprávne generoval dátumy, ku ktorým mali byť zasielané monitorovacie správy</w:t>
      </w:r>
      <w:r>
        <w:rPr>
          <w:rFonts w:ascii="Arial" w:hAnsi="Arial" w:cs="Arial"/>
          <w:sz w:val="20"/>
          <w:szCs w:val="20"/>
        </w:rPr>
        <w:t xml:space="preserve">. </w:t>
      </w:r>
      <w:r w:rsidRPr="00D75BFD">
        <w:rPr>
          <w:rFonts w:ascii="Arial" w:hAnsi="Arial" w:cs="Arial"/>
          <w:sz w:val="20"/>
          <w:szCs w:val="20"/>
        </w:rPr>
        <w:t>Táto funkcionalita bola implementovaná k 1.</w:t>
      </w:r>
      <w:r w:rsidR="001F09AB">
        <w:rPr>
          <w:rFonts w:ascii="Arial" w:hAnsi="Arial" w:cs="Arial"/>
          <w:sz w:val="20"/>
          <w:szCs w:val="20"/>
        </w:rPr>
        <w:t xml:space="preserve"> </w:t>
      </w:r>
      <w:r w:rsidRPr="00D75BFD">
        <w:rPr>
          <w:rFonts w:ascii="Arial" w:hAnsi="Arial" w:cs="Arial"/>
          <w:sz w:val="20"/>
          <w:szCs w:val="20"/>
        </w:rPr>
        <w:t>9.</w:t>
      </w:r>
      <w:r w:rsidR="001F09AB">
        <w:rPr>
          <w:rFonts w:ascii="Arial" w:hAnsi="Arial" w:cs="Arial"/>
          <w:sz w:val="20"/>
          <w:szCs w:val="20"/>
        </w:rPr>
        <w:t xml:space="preserve"> </w:t>
      </w:r>
      <w:r w:rsidRPr="00D75BFD">
        <w:rPr>
          <w:rFonts w:ascii="Arial" w:hAnsi="Arial" w:cs="Arial"/>
          <w:sz w:val="20"/>
          <w:szCs w:val="20"/>
        </w:rPr>
        <w:t>2010 spolu aj so spätnou opravou generovaných dátumov.</w:t>
      </w:r>
    </w:p>
    <w:p w14:paraId="0945C54C" w14:textId="319141F8" w:rsidR="002416B1" w:rsidRPr="0020746A" w:rsidRDefault="002416B1" w:rsidP="00123376">
      <w:pPr>
        <w:pStyle w:val="Nadpis2"/>
        <w:spacing w:after="120"/>
        <w:rPr>
          <w:rFonts w:cs="Arial"/>
        </w:rPr>
      </w:pPr>
      <w:bookmarkStart w:id="36" w:name="_Toc466914517"/>
      <w:r w:rsidRPr="00DF6D90">
        <w:rPr>
          <w:rFonts w:cs="Arial"/>
        </w:rPr>
        <w:t>2.4 Zmeny v kontexte realizácie OP ŽP</w:t>
      </w:r>
      <w:bookmarkEnd w:id="36"/>
    </w:p>
    <w:p w14:paraId="750B7DC8" w14:textId="07CEF985" w:rsidR="00383999" w:rsidRPr="007441AE" w:rsidRDefault="00383999" w:rsidP="00383999">
      <w:pPr>
        <w:spacing w:before="120" w:after="120"/>
        <w:jc w:val="both"/>
        <w:rPr>
          <w:rFonts w:ascii="Arial" w:hAnsi="Arial" w:cs="Arial"/>
          <w:sz w:val="20"/>
          <w:szCs w:val="20"/>
        </w:rPr>
      </w:pPr>
      <w:r w:rsidRPr="007441AE">
        <w:rPr>
          <w:rFonts w:ascii="Arial" w:hAnsi="Arial" w:cs="Arial"/>
          <w:sz w:val="20"/>
          <w:szCs w:val="20"/>
        </w:rPr>
        <w:t>Počas obdobia</w:t>
      </w:r>
      <w:r>
        <w:rPr>
          <w:rFonts w:ascii="Arial" w:hAnsi="Arial" w:cs="Arial"/>
          <w:sz w:val="20"/>
          <w:szCs w:val="20"/>
        </w:rPr>
        <w:t xml:space="preserve"> realizácie</w:t>
      </w:r>
      <w:r w:rsidRPr="007441AE">
        <w:rPr>
          <w:rFonts w:ascii="Arial" w:hAnsi="Arial" w:cs="Arial"/>
          <w:sz w:val="20"/>
          <w:szCs w:val="20"/>
        </w:rPr>
        <w:t xml:space="preserve"> </w:t>
      </w:r>
      <w:r>
        <w:rPr>
          <w:rFonts w:ascii="Arial" w:hAnsi="Arial" w:cs="Arial"/>
          <w:sz w:val="20"/>
          <w:szCs w:val="20"/>
        </w:rPr>
        <w:t xml:space="preserve">OP ŽP </w:t>
      </w:r>
      <w:r w:rsidRPr="007441AE">
        <w:rPr>
          <w:rFonts w:ascii="Arial" w:hAnsi="Arial" w:cs="Arial"/>
          <w:sz w:val="20"/>
          <w:szCs w:val="20"/>
        </w:rPr>
        <w:t xml:space="preserve">došlo k štyrom revíziám </w:t>
      </w:r>
      <w:r>
        <w:rPr>
          <w:rFonts w:ascii="Arial" w:hAnsi="Arial" w:cs="Arial"/>
          <w:sz w:val="20"/>
          <w:szCs w:val="20"/>
        </w:rPr>
        <w:t xml:space="preserve">predmetného programového dokumentu. </w:t>
      </w:r>
    </w:p>
    <w:p w14:paraId="61AFD28D" w14:textId="2E1B2644" w:rsidR="007441AE" w:rsidRPr="007441AE" w:rsidRDefault="007441AE" w:rsidP="007441AE">
      <w:pPr>
        <w:spacing w:before="120" w:after="120"/>
        <w:jc w:val="both"/>
        <w:rPr>
          <w:rFonts w:ascii="Arial" w:hAnsi="Arial" w:cs="Arial"/>
          <w:sz w:val="20"/>
          <w:szCs w:val="20"/>
          <w:u w:val="single"/>
        </w:rPr>
      </w:pPr>
      <w:r w:rsidRPr="007441AE">
        <w:rPr>
          <w:rFonts w:ascii="Arial" w:hAnsi="Arial" w:cs="Arial"/>
          <w:sz w:val="20"/>
          <w:szCs w:val="20"/>
          <w:u w:val="single"/>
        </w:rPr>
        <w:t xml:space="preserve">Prvá revízia OP ŽP na verziu 2.0 </w:t>
      </w:r>
    </w:p>
    <w:p w14:paraId="4E5C4D28" w14:textId="4404FDFC" w:rsidR="00383999" w:rsidRPr="007441AE" w:rsidRDefault="00383999" w:rsidP="00383999">
      <w:pPr>
        <w:spacing w:before="120" w:after="120"/>
        <w:jc w:val="both"/>
        <w:rPr>
          <w:rFonts w:ascii="Arial" w:hAnsi="Arial" w:cs="Arial"/>
          <w:sz w:val="20"/>
          <w:szCs w:val="20"/>
        </w:rPr>
      </w:pPr>
      <w:r>
        <w:rPr>
          <w:rFonts w:ascii="Arial" w:hAnsi="Arial" w:cs="Arial"/>
          <w:sz w:val="20"/>
          <w:szCs w:val="20"/>
        </w:rPr>
        <w:t xml:space="preserve">K </w:t>
      </w:r>
      <w:r w:rsidRPr="007441AE">
        <w:rPr>
          <w:rFonts w:ascii="Arial" w:hAnsi="Arial" w:cs="Arial"/>
          <w:sz w:val="20"/>
          <w:szCs w:val="20"/>
        </w:rPr>
        <w:t>zmene v kontexte realizácie OP ŽP došlo v súvislosti s uznesením vlády SR č. 752 z 21.</w:t>
      </w:r>
      <w:r w:rsidR="001F09AB">
        <w:rPr>
          <w:rFonts w:ascii="Arial" w:hAnsi="Arial" w:cs="Arial"/>
          <w:sz w:val="20"/>
          <w:szCs w:val="20"/>
        </w:rPr>
        <w:t xml:space="preserve"> </w:t>
      </w:r>
      <w:r w:rsidRPr="007441AE">
        <w:rPr>
          <w:rFonts w:ascii="Arial" w:hAnsi="Arial" w:cs="Arial"/>
          <w:sz w:val="20"/>
          <w:szCs w:val="20"/>
        </w:rPr>
        <w:t>10.</w:t>
      </w:r>
      <w:r w:rsidR="001F09AB">
        <w:rPr>
          <w:rFonts w:ascii="Arial" w:hAnsi="Arial" w:cs="Arial"/>
          <w:sz w:val="20"/>
          <w:szCs w:val="20"/>
        </w:rPr>
        <w:t xml:space="preserve"> </w:t>
      </w:r>
      <w:r w:rsidRPr="007441AE">
        <w:rPr>
          <w:rFonts w:ascii="Arial" w:hAnsi="Arial" w:cs="Arial"/>
          <w:sz w:val="20"/>
          <w:szCs w:val="20"/>
        </w:rPr>
        <w:t xml:space="preserve">2009 k návrhu realokácie finančných prostriedkov z Operačného programu Informatizácia spoločnosti do Operačného programu Konkurencieschopnosť a hospodársky rast a zmeny </w:t>
      </w:r>
      <w:r>
        <w:rPr>
          <w:rFonts w:ascii="Arial" w:hAnsi="Arial" w:cs="Arial"/>
          <w:sz w:val="20"/>
          <w:szCs w:val="20"/>
        </w:rPr>
        <w:t>OP ŽP</w:t>
      </w:r>
      <w:r w:rsidRPr="007441AE">
        <w:rPr>
          <w:rFonts w:ascii="Arial" w:hAnsi="Arial" w:cs="Arial"/>
          <w:sz w:val="20"/>
          <w:szCs w:val="20"/>
        </w:rPr>
        <w:t xml:space="preserve"> v nadväznosti na implementáciu Iniciatívy JEREMIE a návrhu Dodatku č.1 k Rámcovej zmluve o implementácii Iniciatívy JEREMIE v SR medzi Slovenskou republikou a Európskym investičným fondom, ktorým bolo Ministerstvu životného prostredia SR ako riadiacemu orgánu pre OP ŽP uložené vypracovať návrh na zmenu OP ŽP</w:t>
      </w:r>
      <w:r>
        <w:rPr>
          <w:rFonts w:ascii="Arial" w:hAnsi="Arial" w:cs="Arial"/>
          <w:sz w:val="20"/>
          <w:szCs w:val="20"/>
        </w:rPr>
        <w:t>. Zmena OP ŽP spočívala vo</w:t>
      </w:r>
      <w:r w:rsidRPr="007441AE">
        <w:rPr>
          <w:rFonts w:ascii="Arial" w:hAnsi="Arial" w:cs="Arial"/>
          <w:sz w:val="20"/>
          <w:szCs w:val="20"/>
        </w:rPr>
        <w:t xml:space="preserve"> vyčlenení alokácie na implementáciu Iniciatívy JEREMIE.</w:t>
      </w:r>
    </w:p>
    <w:p w14:paraId="1ECC4F59" w14:textId="3F9BC230" w:rsidR="007441AE" w:rsidRPr="007441AE" w:rsidRDefault="00383999" w:rsidP="007441AE">
      <w:pPr>
        <w:spacing w:before="120" w:after="120"/>
        <w:jc w:val="both"/>
        <w:rPr>
          <w:rFonts w:ascii="Arial" w:hAnsi="Arial" w:cs="Arial"/>
          <w:sz w:val="20"/>
          <w:szCs w:val="20"/>
        </w:rPr>
      </w:pPr>
      <w:r>
        <w:rPr>
          <w:rFonts w:ascii="Arial" w:hAnsi="Arial" w:cs="Arial"/>
          <w:sz w:val="20"/>
          <w:szCs w:val="20"/>
        </w:rPr>
        <w:t>V nadväznosti na uvedené z</w:t>
      </w:r>
      <w:r w:rsidRPr="007441AE">
        <w:rPr>
          <w:rFonts w:ascii="Arial" w:hAnsi="Arial" w:cs="Arial"/>
          <w:sz w:val="20"/>
          <w:szCs w:val="20"/>
        </w:rPr>
        <w:t>nenie OP ŽP na verziu 2.0 bolo vypracované koncom roka 2009 bol</w:t>
      </w:r>
      <w:r>
        <w:rPr>
          <w:rFonts w:ascii="Arial" w:hAnsi="Arial" w:cs="Arial"/>
          <w:sz w:val="20"/>
          <w:szCs w:val="20"/>
        </w:rPr>
        <w:t>o</w:t>
      </w:r>
      <w:r w:rsidRPr="007441AE">
        <w:rPr>
          <w:rFonts w:ascii="Arial" w:hAnsi="Arial" w:cs="Arial"/>
          <w:sz w:val="20"/>
          <w:szCs w:val="20"/>
        </w:rPr>
        <w:t xml:space="preserve"> schválen</w:t>
      </w:r>
      <w:r>
        <w:rPr>
          <w:rFonts w:ascii="Arial" w:hAnsi="Arial" w:cs="Arial"/>
          <w:sz w:val="20"/>
          <w:szCs w:val="20"/>
        </w:rPr>
        <w:t>é</w:t>
      </w:r>
      <w:r w:rsidRPr="007441AE">
        <w:rPr>
          <w:rFonts w:ascii="Arial" w:hAnsi="Arial" w:cs="Arial"/>
          <w:sz w:val="20"/>
          <w:szCs w:val="20"/>
        </w:rPr>
        <w:t xml:space="preserve"> Rozhodnutím Komisie – K(2010)2270 – z 15.</w:t>
      </w:r>
      <w:r w:rsidR="001F09AB">
        <w:rPr>
          <w:rFonts w:ascii="Arial" w:hAnsi="Arial" w:cs="Arial"/>
          <w:sz w:val="20"/>
          <w:szCs w:val="20"/>
        </w:rPr>
        <w:t xml:space="preserve"> </w:t>
      </w:r>
      <w:r w:rsidRPr="007441AE">
        <w:rPr>
          <w:rFonts w:ascii="Arial" w:hAnsi="Arial" w:cs="Arial"/>
          <w:sz w:val="20"/>
          <w:szCs w:val="20"/>
        </w:rPr>
        <w:t>04.</w:t>
      </w:r>
      <w:r w:rsidR="001F09AB">
        <w:rPr>
          <w:rFonts w:ascii="Arial" w:hAnsi="Arial" w:cs="Arial"/>
          <w:sz w:val="20"/>
          <w:szCs w:val="20"/>
        </w:rPr>
        <w:t xml:space="preserve"> </w:t>
      </w:r>
      <w:r w:rsidRPr="007441AE">
        <w:rPr>
          <w:rFonts w:ascii="Arial" w:hAnsi="Arial" w:cs="Arial"/>
          <w:sz w:val="20"/>
          <w:szCs w:val="20"/>
        </w:rPr>
        <w:t>2010, ktorým sa mení a dopĺňa rozhodnutie K(2007)5500, ktorým sa schválil Operačný program Životné prostredie pomoci Spoločenstva z Európskeho fondu regionálneho rozvoja a Kohézneho fondu v rámci cieľa konvergencie v regiónoch Slovenskej re</w:t>
      </w:r>
      <w:r>
        <w:rPr>
          <w:rFonts w:ascii="Arial" w:hAnsi="Arial" w:cs="Arial"/>
          <w:sz w:val="20"/>
          <w:szCs w:val="20"/>
        </w:rPr>
        <w:t>publiky – CCI 2007SK161PO002.</w:t>
      </w:r>
    </w:p>
    <w:p w14:paraId="472CDD70" w14:textId="373E7834" w:rsidR="007441AE" w:rsidRPr="007441AE" w:rsidRDefault="007441AE" w:rsidP="007441AE">
      <w:pPr>
        <w:spacing w:before="120" w:after="120"/>
        <w:jc w:val="both"/>
        <w:rPr>
          <w:rFonts w:ascii="Arial" w:hAnsi="Arial" w:cs="Arial"/>
          <w:sz w:val="20"/>
          <w:szCs w:val="20"/>
          <w:u w:val="single"/>
        </w:rPr>
      </w:pPr>
      <w:r w:rsidRPr="007441AE">
        <w:rPr>
          <w:rFonts w:ascii="Arial" w:hAnsi="Arial" w:cs="Arial"/>
          <w:sz w:val="20"/>
          <w:szCs w:val="20"/>
          <w:u w:val="single"/>
        </w:rPr>
        <w:t>Druhá revízia OP ŽP na verziu 3.0</w:t>
      </w:r>
    </w:p>
    <w:p w14:paraId="4210CC29" w14:textId="061FAA3D" w:rsidR="007441AE" w:rsidRPr="007441AE" w:rsidRDefault="007441AE" w:rsidP="007441AE">
      <w:pPr>
        <w:spacing w:before="120" w:after="120"/>
        <w:jc w:val="both"/>
        <w:rPr>
          <w:rFonts w:ascii="Arial" w:hAnsi="Arial" w:cs="Arial"/>
          <w:sz w:val="20"/>
          <w:szCs w:val="20"/>
        </w:rPr>
      </w:pPr>
      <w:r w:rsidRPr="007441AE">
        <w:rPr>
          <w:rFonts w:ascii="Arial" w:hAnsi="Arial" w:cs="Arial"/>
          <w:sz w:val="20"/>
          <w:szCs w:val="20"/>
        </w:rPr>
        <w:t xml:space="preserve">Riadiaci orgán pre OP ŽP pristúpil k revízii na verziu 3.0 v októbri 2010 v nadväznosti na uznesenie vlády SR č. 678 zo 6. októbra 2010 k návrhu Ministerstva pôdohospodárstva, životného prostredia a regionálneho rozvoja SR na čiastočné rozdelenie dodatočných finančných prostriedkov pre SR zo zdrojov EÚ v súvislosti s preventívnymi protipovodňovými opatreniami a podporou územia </w:t>
      </w:r>
      <w:r w:rsidRPr="007441AE">
        <w:rPr>
          <w:rFonts w:ascii="Arial" w:hAnsi="Arial" w:cs="Arial"/>
          <w:sz w:val="20"/>
          <w:szCs w:val="20"/>
        </w:rPr>
        <w:lastRenderedPageBreak/>
        <w:t xml:space="preserve">Bratislavského samosprávneho kraja, ktorým vláda SR v rámci dodatočného zvýšenia alokácie určitých operačných programov z finančných prostriedkov, pridelených SR v zmysle čl. 16 a 17 medziinštitucionálnej dohody medzi Európskym parlamentom, Európskou radou a EK o rozpočtovej disciplíne a riadnom finančnom hospodárení, schválila zvýšenie alokácie na zabezpečenie preventívnych opatrení na ochranu pred povodňami prostredníctvom OP ŽP v sume 20 000 000 </w:t>
      </w:r>
      <w:r w:rsidR="00366C2D">
        <w:rPr>
          <w:rFonts w:ascii="Arial" w:hAnsi="Arial" w:cs="Arial"/>
          <w:sz w:val="20"/>
          <w:szCs w:val="20"/>
        </w:rPr>
        <w:t>€</w:t>
      </w:r>
      <w:r w:rsidRPr="007441AE">
        <w:rPr>
          <w:rFonts w:ascii="Arial" w:hAnsi="Arial" w:cs="Arial"/>
          <w:sz w:val="20"/>
          <w:szCs w:val="20"/>
        </w:rPr>
        <w:t xml:space="preserve">. </w:t>
      </w:r>
      <w:r w:rsidR="001F09AB">
        <w:rPr>
          <w:rFonts w:ascii="Arial" w:hAnsi="Arial" w:cs="Arial"/>
          <w:sz w:val="20"/>
          <w:szCs w:val="20"/>
        </w:rPr>
        <w:t xml:space="preserve">    </w:t>
      </w:r>
      <w:r w:rsidRPr="007441AE">
        <w:rPr>
          <w:rFonts w:ascii="Arial" w:hAnsi="Arial" w:cs="Arial"/>
          <w:sz w:val="20"/>
          <w:szCs w:val="20"/>
        </w:rPr>
        <w:t xml:space="preserve">V súlade s rozhodnutím Komisie č. K(2010) 5817 ide o prostriedky určené regiónom oprávneným na financovanie zo štrukturálnych fondov, v prípade OP ŽP ide teda o pridelenie </w:t>
      </w:r>
      <w:r>
        <w:rPr>
          <w:rFonts w:ascii="Arial" w:hAnsi="Arial" w:cs="Arial"/>
          <w:sz w:val="20"/>
          <w:szCs w:val="20"/>
        </w:rPr>
        <w:t>finančných prostriedkov z ERDF.</w:t>
      </w:r>
    </w:p>
    <w:p w14:paraId="0202A572" w14:textId="557589D9" w:rsidR="00383999" w:rsidRPr="007441AE" w:rsidRDefault="00383999" w:rsidP="00383999">
      <w:pPr>
        <w:spacing w:before="120" w:after="120"/>
        <w:jc w:val="both"/>
        <w:rPr>
          <w:rFonts w:ascii="Arial" w:hAnsi="Arial" w:cs="Arial"/>
          <w:sz w:val="20"/>
          <w:szCs w:val="20"/>
        </w:rPr>
      </w:pPr>
      <w:r w:rsidRPr="007441AE">
        <w:rPr>
          <w:rFonts w:ascii="Arial" w:hAnsi="Arial" w:cs="Arial"/>
          <w:sz w:val="20"/>
          <w:szCs w:val="20"/>
        </w:rPr>
        <w:t>Rozhodnutím Komisie K(2011) 3978 z</w:t>
      </w:r>
      <w:r w:rsidR="001F09AB">
        <w:rPr>
          <w:rFonts w:ascii="Arial" w:hAnsi="Arial" w:cs="Arial"/>
          <w:sz w:val="20"/>
          <w:szCs w:val="20"/>
        </w:rPr>
        <w:t> </w:t>
      </w:r>
      <w:r w:rsidRPr="007441AE">
        <w:rPr>
          <w:rFonts w:ascii="Arial" w:hAnsi="Arial" w:cs="Arial"/>
          <w:sz w:val="20"/>
          <w:szCs w:val="20"/>
        </w:rPr>
        <w:t>09.</w:t>
      </w:r>
      <w:r w:rsidR="001F09AB">
        <w:rPr>
          <w:rFonts w:ascii="Arial" w:hAnsi="Arial" w:cs="Arial"/>
          <w:sz w:val="20"/>
          <w:szCs w:val="20"/>
        </w:rPr>
        <w:t xml:space="preserve"> </w:t>
      </w:r>
      <w:r w:rsidRPr="007441AE">
        <w:rPr>
          <w:rFonts w:ascii="Arial" w:hAnsi="Arial" w:cs="Arial"/>
          <w:sz w:val="20"/>
          <w:szCs w:val="20"/>
        </w:rPr>
        <w:t>06.</w:t>
      </w:r>
      <w:r w:rsidR="001F09AB">
        <w:rPr>
          <w:rFonts w:ascii="Arial" w:hAnsi="Arial" w:cs="Arial"/>
          <w:sz w:val="20"/>
          <w:szCs w:val="20"/>
        </w:rPr>
        <w:t xml:space="preserve"> </w:t>
      </w:r>
      <w:r w:rsidRPr="007441AE">
        <w:rPr>
          <w:rFonts w:ascii="Arial" w:hAnsi="Arial" w:cs="Arial"/>
          <w:sz w:val="20"/>
          <w:szCs w:val="20"/>
        </w:rPr>
        <w:t>2011 bola schválená revízia Operačného programu Životné prostredie</w:t>
      </w:r>
      <w:r>
        <w:rPr>
          <w:rFonts w:ascii="Arial" w:hAnsi="Arial" w:cs="Arial"/>
          <w:sz w:val="20"/>
          <w:szCs w:val="20"/>
        </w:rPr>
        <w:t xml:space="preserve"> na verziu 3.0.</w:t>
      </w:r>
    </w:p>
    <w:p w14:paraId="3351EA28" w14:textId="7975AED0" w:rsidR="007441AE" w:rsidRPr="007441AE" w:rsidRDefault="007441AE" w:rsidP="007441AE">
      <w:pPr>
        <w:spacing w:before="120" w:after="120"/>
        <w:jc w:val="both"/>
        <w:rPr>
          <w:rFonts w:ascii="Arial" w:hAnsi="Arial" w:cs="Arial"/>
          <w:sz w:val="20"/>
          <w:szCs w:val="20"/>
          <w:u w:val="single"/>
        </w:rPr>
      </w:pPr>
      <w:r w:rsidRPr="007441AE">
        <w:rPr>
          <w:rFonts w:ascii="Arial" w:hAnsi="Arial" w:cs="Arial"/>
          <w:sz w:val="20"/>
          <w:szCs w:val="20"/>
          <w:u w:val="single"/>
        </w:rPr>
        <w:t>Tretia revízia OP ŽP na verziu 4.0</w:t>
      </w:r>
    </w:p>
    <w:p w14:paraId="4D627615" w14:textId="07D292F9" w:rsidR="00383999" w:rsidRPr="007441AE" w:rsidRDefault="00383999" w:rsidP="00383999">
      <w:pPr>
        <w:spacing w:before="120" w:after="120"/>
        <w:jc w:val="both"/>
        <w:rPr>
          <w:rFonts w:ascii="Arial" w:hAnsi="Arial" w:cs="Arial"/>
          <w:sz w:val="20"/>
          <w:szCs w:val="20"/>
        </w:rPr>
      </w:pPr>
      <w:r w:rsidRPr="007441AE">
        <w:rPr>
          <w:rFonts w:ascii="Arial" w:hAnsi="Arial" w:cs="Arial"/>
          <w:sz w:val="20"/>
          <w:szCs w:val="20"/>
        </w:rPr>
        <w:t>Na základe záverov interného hodnotenia zameraného na posúdenie aktuálneho stavu implementácie OP ŽP (k 30. 9. 2012) bola navrhnutá revízia OP ŽP na verziu 4.0. Predmetom revízie bola realokácia finančných prostriedkov z prioritnej osi 4 do prioritnej osi 1, najmä s cieľom predísť možnému nedočerpaniu zdrojov v rámci operačného cieľa 4.4 Riešenie problematiky environmentálnych záťaží vrátane ich odstraňovania. Taktiež bola navrhnutá úprava indikatívneho rozdelenia príspevku z fondov do kategórií pomoci podľa prioritných tém v rámci prioritnej osi 1 v prospech aktivít na podporu odvádzania a čistenia komunálnych odpadových vôd v zmysle záväzkov SR voči EÚ. V súvislosti s uvedeným presunom a úpravami indikatívnych alokácií finančných prostriedkov boli pomerne upravené cieľové hodnoty merateľných ukazovateľov na úrovni prioritnej osi 1 a prioritnej osi 4. Do tejto revízie boli zároveň  zahrnuté zmeny OP ŽP, ktoré už boli schválené Monitorovacím výborom pre OP ŽP s tým, že s prihliadnutím na ich charakter (tzv. neurgentné zmeny) budú zapracované do revidovaného znenia OP ŽP pri najbližšom predložení návrhu revízie OP ŽP Európskej komisii. Tieto zmeny zahŕň</w:t>
      </w:r>
      <w:r>
        <w:rPr>
          <w:rFonts w:ascii="Arial" w:hAnsi="Arial" w:cs="Arial"/>
          <w:sz w:val="20"/>
          <w:szCs w:val="20"/>
        </w:rPr>
        <w:t>ali</w:t>
      </w:r>
      <w:r w:rsidRPr="007441AE">
        <w:rPr>
          <w:rFonts w:ascii="Arial" w:hAnsi="Arial" w:cs="Arial"/>
          <w:sz w:val="20"/>
          <w:szCs w:val="20"/>
        </w:rPr>
        <w:t xml:space="preserve"> úpravy indikatívneho rozdelenia príspevku z fondov do kategórií pomoci, a to presuny finančných prostriedkov z prioritnej témy 86 do prioritnej témy 85 a z prioritnej témy 54 do prioritnej témy 51, ako aj presun finančných prostriedkov z formy financovania 04 do formy financovania 01 </w:t>
      </w:r>
      <w:r w:rsidR="001F09AB">
        <w:rPr>
          <w:rFonts w:ascii="Arial" w:hAnsi="Arial" w:cs="Arial"/>
          <w:sz w:val="20"/>
          <w:szCs w:val="20"/>
        </w:rPr>
        <w:t xml:space="preserve">     </w:t>
      </w:r>
      <w:r w:rsidRPr="007441AE">
        <w:rPr>
          <w:rFonts w:ascii="Arial" w:hAnsi="Arial" w:cs="Arial"/>
          <w:sz w:val="20"/>
          <w:szCs w:val="20"/>
        </w:rPr>
        <w:t>v nadväznosti na vyňatie finančných prostriedkov OP ŽP z realizácie iniciatívy JEREMIE, ďalej aktualizáciu Orientačného zoznamu veľkých projektov</w:t>
      </w:r>
      <w:r>
        <w:rPr>
          <w:rFonts w:ascii="Arial" w:hAnsi="Arial" w:cs="Arial"/>
          <w:sz w:val="20"/>
          <w:szCs w:val="20"/>
        </w:rPr>
        <w:t>, ktorá</w:t>
      </w:r>
      <w:r w:rsidRPr="007441AE">
        <w:rPr>
          <w:rFonts w:ascii="Arial" w:hAnsi="Arial" w:cs="Arial"/>
          <w:sz w:val="20"/>
          <w:szCs w:val="20"/>
        </w:rPr>
        <w:t xml:space="preserve"> spočíva</w:t>
      </w:r>
      <w:r>
        <w:rPr>
          <w:rFonts w:ascii="Arial" w:hAnsi="Arial" w:cs="Arial"/>
          <w:sz w:val="20"/>
          <w:szCs w:val="20"/>
        </w:rPr>
        <w:t>la</w:t>
      </w:r>
      <w:r w:rsidRPr="007441AE">
        <w:rPr>
          <w:rFonts w:ascii="Arial" w:hAnsi="Arial" w:cs="Arial"/>
          <w:sz w:val="20"/>
          <w:szCs w:val="20"/>
        </w:rPr>
        <w:t xml:space="preserve"> vo vypustení veľkého projektu s názvom „Vodovody a kanalizácie v regióne Spiša a Tatier“, a to na základe požiadavky žiadateľa</w:t>
      </w:r>
      <w:r>
        <w:rPr>
          <w:rFonts w:ascii="Arial" w:hAnsi="Arial" w:cs="Arial"/>
          <w:sz w:val="20"/>
          <w:szCs w:val="20"/>
        </w:rPr>
        <w:t>.</w:t>
      </w:r>
      <w:r w:rsidRPr="007441AE">
        <w:rPr>
          <w:rFonts w:ascii="Arial" w:hAnsi="Arial" w:cs="Arial"/>
          <w:sz w:val="20"/>
          <w:szCs w:val="20"/>
        </w:rPr>
        <w:t xml:space="preserve"> </w:t>
      </w:r>
      <w:r>
        <w:rPr>
          <w:rFonts w:ascii="Arial" w:hAnsi="Arial" w:cs="Arial"/>
          <w:sz w:val="20"/>
          <w:szCs w:val="20"/>
        </w:rPr>
        <w:t>P</w:t>
      </w:r>
      <w:r w:rsidRPr="007441AE">
        <w:rPr>
          <w:rFonts w:ascii="Arial" w:hAnsi="Arial" w:cs="Arial"/>
          <w:sz w:val="20"/>
          <w:szCs w:val="20"/>
        </w:rPr>
        <w:t>osledná zmena sa týkala doplnenia hlavného (CORE) ukazovateľa OP ŽP s názvom „Vyvolané investície“ vo vzťahu k prioritnej osi 3 a 4.</w:t>
      </w:r>
    </w:p>
    <w:p w14:paraId="18A5F9B8" w14:textId="6EBEB495" w:rsidR="007441AE" w:rsidRPr="007441AE" w:rsidRDefault="007441AE" w:rsidP="007441AE">
      <w:pPr>
        <w:spacing w:before="120" w:after="120"/>
        <w:jc w:val="both"/>
        <w:rPr>
          <w:rFonts w:ascii="Arial" w:hAnsi="Arial" w:cs="Arial"/>
          <w:sz w:val="20"/>
          <w:szCs w:val="20"/>
        </w:rPr>
      </w:pPr>
      <w:r w:rsidRPr="007441AE">
        <w:rPr>
          <w:rFonts w:ascii="Arial" w:hAnsi="Arial" w:cs="Arial"/>
          <w:sz w:val="20"/>
          <w:szCs w:val="20"/>
        </w:rPr>
        <w:t>Predmetný návrh revízie OP ŽP na verziu 4.0 bol schválený Monitorovacím výborom pre OP ŽP dňa 18. 12. 2012 a dňa 20. 12. 2012 predložený EK, ktorá k nemu následne listom zo dňa 13.</w:t>
      </w:r>
      <w:r w:rsidR="001F09AB">
        <w:rPr>
          <w:rFonts w:ascii="Arial" w:hAnsi="Arial" w:cs="Arial"/>
          <w:sz w:val="20"/>
          <w:szCs w:val="20"/>
        </w:rPr>
        <w:t xml:space="preserve"> </w:t>
      </w:r>
      <w:r w:rsidRPr="007441AE">
        <w:rPr>
          <w:rFonts w:ascii="Arial" w:hAnsi="Arial" w:cs="Arial"/>
          <w:sz w:val="20"/>
          <w:szCs w:val="20"/>
        </w:rPr>
        <w:t>03.</w:t>
      </w:r>
      <w:r w:rsidR="001F09AB">
        <w:rPr>
          <w:rFonts w:ascii="Arial" w:hAnsi="Arial" w:cs="Arial"/>
          <w:sz w:val="20"/>
          <w:szCs w:val="20"/>
        </w:rPr>
        <w:t xml:space="preserve"> </w:t>
      </w:r>
      <w:r w:rsidRPr="007441AE">
        <w:rPr>
          <w:rFonts w:ascii="Arial" w:hAnsi="Arial" w:cs="Arial"/>
          <w:sz w:val="20"/>
          <w:szCs w:val="20"/>
        </w:rPr>
        <w:t xml:space="preserve">2013 zaslala pripomienky. </w:t>
      </w:r>
    </w:p>
    <w:p w14:paraId="1ADACA53" w14:textId="5D41FDAF" w:rsidR="00383999" w:rsidRPr="007441AE" w:rsidRDefault="007441AE" w:rsidP="00383999">
      <w:pPr>
        <w:spacing w:before="120" w:after="120"/>
        <w:jc w:val="both"/>
        <w:rPr>
          <w:rFonts w:ascii="Arial" w:hAnsi="Arial" w:cs="Arial"/>
          <w:sz w:val="20"/>
          <w:szCs w:val="20"/>
        </w:rPr>
      </w:pPr>
      <w:r w:rsidRPr="007441AE">
        <w:rPr>
          <w:rFonts w:ascii="Arial" w:hAnsi="Arial" w:cs="Arial"/>
          <w:sz w:val="20"/>
          <w:szCs w:val="20"/>
        </w:rPr>
        <w:t xml:space="preserve">V priebehu mája 2013 bola RO pre OP ŽP vypracovaná modifikácia revízie OP ŽP na verziu 4.0, a to  predovšetkým na základe záverov Analýzy možností úpravy návrhu revízie OP ŽP na verziu 4.0, ale aj s prihliadnutím na niektoré pripomienky EK vznesené k už predloženej verzii 4.0. Hlavným cieľom modifikovaného návrhu revízie OP ŽP bolo zohľadniť aktuálne potreby implementácie OP ŽP, najmä potrebu zníženia rizika automatického zrušenia časti záväzku OP ŽP („dekomitmentu“) a zabezpečenia účelného využitia všetkých disponibilných finančných prostriedkov v súlade so stratégiou OP ŽP. Podstata modifikácie revízie OP ŽP na verziu 4.0 spočívala v úprave pôvodne navrhovanej realokácie finančných prostriedkov z prioritnej osi 4 tak, že ich väčšia časť, pôvodne vyčlenená na prioritnú tému 50 Ozdravovanie priemyselných lokalít a kontaminovanej pôdy viažucu sa k operačnému cieľu 4.4 Riešenie problematiky environmentálnych záťaží, bola realokovaná na novo navrhnutú aktivitu „intervenčné prostriedky na aktívnu ochranu pred povodňami“ v rámci prioritnej osi 2 Ochrana pred povodňami. Doplnenie uvedenej aktivity je v súlade so špecifickým cieľom prioritnej osi 2, ktorým je zabezpečenie komplexnej ochrany územia SR pred povodňami. Vo vzťahu k zvyšnej sume finančných prostriedkov, pôvodne vyčlenenej v rámci prioritnej osi 4 na prioritnú tému 44 Hospodárenie s domácim a priemyselným odpadom, naďalej zostal zachovaný pôvodný návrh na ich realokáciu do  prioritnej osi 1 na aktivity čistenia a odvádzania komunálnych odpadových vôd v súlade so záväzkami SR voči EÚ. Tým zostala zachovaná obsahová kontinuita pôvodného a upraveného návrhu revízie OP ŽP ako jedného procesu. V nadväznosti na uvedenú úpravu pôvodne navrhovanej realokácie z prioritnej osi 4 do prioritnej osi 1 boli doplnené tri ukazovatele v rámci prioritnej osi 2, charakterizujúce novo navrhovanú aktivitu, a to „Počet EÚ modulov protipovodňovej ochrany“, „Počet </w:t>
      </w:r>
      <w:r w:rsidRPr="007441AE">
        <w:rPr>
          <w:rFonts w:ascii="Arial" w:hAnsi="Arial" w:cs="Arial"/>
          <w:sz w:val="20"/>
          <w:szCs w:val="20"/>
        </w:rPr>
        <w:lastRenderedPageBreak/>
        <w:t>národných protipovodňových modulov“ a „Zvýšenie kapacity intervenčných prostriedkov protipovodňovej ochrany“. Zároveň boli vykonané úpravy cieľových hodnôt ukazovateľov v rámci prioritnej osi 1 a s prihliadnutím na pripomienky EK aj zvýšenie cieľových hodnôt niektorých ukazovateľov v rámci prioritnej osi 4 v porovnaní s hodnotami, ktoré v rámci revízie OP ŽP na verziu 4.0 boli navrhnuté pôvodne. Taktiež došlo k úprave indikatívneho rozdelenia príspevku z fondov do kategórií pomoci podľa prioritných tém 45, 46, 53 a 54,  úprave indikatívneho rozdelenia príspevku z fondov do kategórií pom</w:t>
      </w:r>
      <w:r>
        <w:rPr>
          <w:rFonts w:ascii="Arial" w:hAnsi="Arial" w:cs="Arial"/>
          <w:sz w:val="20"/>
          <w:szCs w:val="20"/>
        </w:rPr>
        <w:t xml:space="preserve">oci podľa podporovaného územia </w:t>
      </w:r>
      <w:r w:rsidRPr="007441AE">
        <w:rPr>
          <w:rFonts w:ascii="Arial" w:hAnsi="Arial" w:cs="Arial"/>
          <w:sz w:val="20"/>
          <w:szCs w:val="20"/>
        </w:rPr>
        <w:t>a úprave indikatívneho rozdelenia alokácií z fondov EÚ na úrovni NUTS II.</w:t>
      </w:r>
      <w:r w:rsidR="00383999" w:rsidRPr="007441AE">
        <w:rPr>
          <w:rFonts w:ascii="Arial" w:hAnsi="Arial" w:cs="Arial"/>
          <w:sz w:val="20"/>
          <w:szCs w:val="20"/>
        </w:rPr>
        <w:t>Z</w:t>
      </w:r>
      <w:r w:rsidR="00383999">
        <w:rPr>
          <w:rFonts w:ascii="Arial" w:hAnsi="Arial" w:cs="Arial"/>
          <w:sz w:val="20"/>
          <w:szCs w:val="20"/>
        </w:rPr>
        <w:t>ároveň</w:t>
      </w:r>
      <w:r w:rsidR="00383999" w:rsidRPr="007441AE">
        <w:rPr>
          <w:rFonts w:ascii="Arial" w:hAnsi="Arial" w:cs="Arial"/>
          <w:sz w:val="20"/>
          <w:szCs w:val="20"/>
        </w:rPr>
        <w:t xml:space="preserve"> bola</w:t>
      </w:r>
      <w:r w:rsidR="00383999">
        <w:rPr>
          <w:rFonts w:ascii="Arial" w:hAnsi="Arial" w:cs="Arial"/>
          <w:sz w:val="20"/>
          <w:szCs w:val="20"/>
        </w:rPr>
        <w:t xml:space="preserve"> opäť</w:t>
      </w:r>
      <w:r w:rsidR="00383999" w:rsidRPr="007441AE">
        <w:rPr>
          <w:rFonts w:ascii="Arial" w:hAnsi="Arial" w:cs="Arial"/>
          <w:sz w:val="20"/>
          <w:szCs w:val="20"/>
        </w:rPr>
        <w:t xml:space="preserve"> vykonaná </w:t>
      </w:r>
      <w:r w:rsidR="00383999">
        <w:rPr>
          <w:rFonts w:ascii="Arial" w:hAnsi="Arial" w:cs="Arial"/>
          <w:sz w:val="20"/>
          <w:szCs w:val="20"/>
        </w:rPr>
        <w:t xml:space="preserve">aj </w:t>
      </w:r>
      <w:r w:rsidR="00383999" w:rsidRPr="007441AE">
        <w:rPr>
          <w:rFonts w:ascii="Arial" w:hAnsi="Arial" w:cs="Arial"/>
          <w:sz w:val="20"/>
          <w:szCs w:val="20"/>
        </w:rPr>
        <w:t>aktualizácia Orientačného zoznamu veľkých projektov spočívajúca vo vypustení veľkého projektu s názvom „Prievidza - sústava na odkanalizovanie a čistenie odpadových vôd“ na základe požiadavky žiadateľa.</w:t>
      </w:r>
    </w:p>
    <w:p w14:paraId="3B5EF447" w14:textId="7C1DAE82" w:rsidR="007441AE" w:rsidRPr="007441AE" w:rsidRDefault="007441AE" w:rsidP="007441AE">
      <w:pPr>
        <w:spacing w:before="120" w:after="120"/>
        <w:jc w:val="both"/>
        <w:rPr>
          <w:rFonts w:ascii="Arial" w:hAnsi="Arial" w:cs="Arial"/>
          <w:sz w:val="20"/>
          <w:szCs w:val="20"/>
        </w:rPr>
      </w:pPr>
      <w:r w:rsidRPr="007441AE">
        <w:rPr>
          <w:rFonts w:ascii="Arial" w:hAnsi="Arial" w:cs="Arial"/>
          <w:sz w:val="20"/>
          <w:szCs w:val="20"/>
        </w:rPr>
        <w:t>Výsledná verzia revidovaného OP ŽP bola dňa 22.10.2013 predlo</w:t>
      </w:r>
      <w:r>
        <w:rPr>
          <w:rFonts w:ascii="Arial" w:hAnsi="Arial" w:cs="Arial"/>
          <w:sz w:val="20"/>
          <w:szCs w:val="20"/>
        </w:rPr>
        <w:t xml:space="preserve">žená na schválenie EK. Revízia </w:t>
      </w:r>
      <w:r w:rsidRPr="007441AE">
        <w:rPr>
          <w:rFonts w:ascii="Arial" w:hAnsi="Arial" w:cs="Arial"/>
          <w:sz w:val="20"/>
          <w:szCs w:val="20"/>
        </w:rPr>
        <w:t>OP ŽP na verziu 4.0 bola schválená Rozhodnutím Komisie C(2013) 9355 zo dňa 17.12.2013.</w:t>
      </w:r>
    </w:p>
    <w:p w14:paraId="30C52E5B" w14:textId="2C0AC9D8" w:rsidR="007441AE" w:rsidRPr="007441AE" w:rsidRDefault="007441AE" w:rsidP="007441AE">
      <w:pPr>
        <w:spacing w:before="120" w:after="120"/>
        <w:jc w:val="both"/>
        <w:rPr>
          <w:rFonts w:ascii="Arial" w:hAnsi="Arial" w:cs="Arial"/>
          <w:sz w:val="20"/>
          <w:szCs w:val="20"/>
          <w:u w:val="single"/>
        </w:rPr>
      </w:pPr>
      <w:r w:rsidRPr="007441AE">
        <w:rPr>
          <w:rFonts w:ascii="Arial" w:hAnsi="Arial" w:cs="Arial"/>
          <w:sz w:val="20"/>
          <w:szCs w:val="20"/>
          <w:u w:val="single"/>
        </w:rPr>
        <w:t>Štvrtá revízia OP ŽP na verziu 5.0</w:t>
      </w:r>
    </w:p>
    <w:p w14:paraId="6DD40559" w14:textId="6867821A" w:rsidR="00383999" w:rsidRPr="007441AE" w:rsidRDefault="00383999" w:rsidP="00383999">
      <w:pPr>
        <w:spacing w:before="120" w:after="120"/>
        <w:jc w:val="both"/>
        <w:rPr>
          <w:rFonts w:ascii="Arial" w:hAnsi="Arial" w:cs="Arial"/>
          <w:sz w:val="20"/>
          <w:szCs w:val="20"/>
        </w:rPr>
      </w:pPr>
      <w:r w:rsidRPr="007441AE">
        <w:rPr>
          <w:rFonts w:ascii="Arial" w:hAnsi="Arial" w:cs="Arial"/>
          <w:sz w:val="20"/>
          <w:szCs w:val="20"/>
        </w:rPr>
        <w:t>Revízia OP ŽP na verziu 5.0 bola vypracovaná riadiacim orgánom pre OP ŽP v súlade so závermi externej analýzy</w:t>
      </w:r>
      <w:r w:rsidR="001F09AB">
        <w:rPr>
          <w:rFonts w:ascii="Arial" w:hAnsi="Arial" w:cs="Arial"/>
          <w:sz w:val="20"/>
          <w:szCs w:val="20"/>
        </w:rPr>
        <w:t xml:space="preserve"> </w:t>
      </w:r>
      <w:r>
        <w:rPr>
          <w:rFonts w:ascii="Arial" w:hAnsi="Arial" w:cs="Arial"/>
          <w:sz w:val="20"/>
          <w:szCs w:val="20"/>
        </w:rPr>
        <w:t>s názvom</w:t>
      </w:r>
      <w:r w:rsidRPr="007441AE">
        <w:rPr>
          <w:rFonts w:ascii="Arial" w:hAnsi="Arial" w:cs="Arial"/>
          <w:sz w:val="20"/>
          <w:szCs w:val="20"/>
        </w:rPr>
        <w:t xml:space="preserve"> „Analýza aktuálneho stavu implementácie Operačného programu Životné prostredie a návrh možných opatrení na zníženie rizika prípadného decommitmentu“ (k 31.</w:t>
      </w:r>
      <w:r w:rsidR="001F09AB">
        <w:rPr>
          <w:rFonts w:ascii="Arial" w:hAnsi="Arial" w:cs="Arial"/>
          <w:sz w:val="20"/>
          <w:szCs w:val="20"/>
        </w:rPr>
        <w:t xml:space="preserve"> </w:t>
      </w:r>
      <w:r w:rsidRPr="007441AE">
        <w:rPr>
          <w:rFonts w:ascii="Arial" w:hAnsi="Arial" w:cs="Arial"/>
          <w:sz w:val="20"/>
          <w:szCs w:val="20"/>
        </w:rPr>
        <w:t>07.</w:t>
      </w:r>
      <w:r w:rsidR="001F09AB">
        <w:rPr>
          <w:rFonts w:ascii="Arial" w:hAnsi="Arial" w:cs="Arial"/>
          <w:sz w:val="20"/>
          <w:szCs w:val="20"/>
        </w:rPr>
        <w:t xml:space="preserve"> </w:t>
      </w:r>
      <w:r w:rsidRPr="007441AE">
        <w:rPr>
          <w:rFonts w:ascii="Arial" w:hAnsi="Arial" w:cs="Arial"/>
          <w:sz w:val="20"/>
          <w:szCs w:val="20"/>
        </w:rPr>
        <w:t>2015). Z uvedenej analýzy jednoznačne vyplynulo, že jediným opatrením s výrazným vplyvom na zníženie rizika decommitmentu, ktoré je v aktuálnom čase možné v rámci OP ŽP uplatniť a uskutočniť,  je revízia OP ŽP.</w:t>
      </w:r>
    </w:p>
    <w:p w14:paraId="0FC44CD6" w14:textId="77777777" w:rsidR="007441AE" w:rsidRPr="007441AE" w:rsidRDefault="007441AE" w:rsidP="007441AE">
      <w:pPr>
        <w:spacing w:before="120" w:after="120"/>
        <w:jc w:val="both"/>
        <w:rPr>
          <w:rFonts w:ascii="Arial" w:hAnsi="Arial" w:cs="Arial"/>
          <w:sz w:val="20"/>
          <w:szCs w:val="20"/>
        </w:rPr>
      </w:pPr>
      <w:r w:rsidRPr="007441AE">
        <w:rPr>
          <w:rFonts w:ascii="Arial" w:hAnsi="Arial" w:cs="Arial"/>
          <w:sz w:val="20"/>
          <w:szCs w:val="20"/>
        </w:rPr>
        <w:t>Hlavným cieľom revízie OP ŽP na verziu 5.0 bolo vytvorenie možnosti využitia ohrozených finančných prostriedkov fondov EÚ v oblasti ochrany životného prostredia v čo najvyššej miere, a tým zabránenie ich prepadnutiu, resp. výrazné obmedzenie ich prepadnutia z dôvodu ich nevyčerpania do konca roku 2015.</w:t>
      </w:r>
    </w:p>
    <w:p w14:paraId="10D95229" w14:textId="19361E94" w:rsidR="00383999" w:rsidRPr="007441AE" w:rsidRDefault="00383999" w:rsidP="00383999">
      <w:pPr>
        <w:spacing w:before="120" w:after="120"/>
        <w:jc w:val="both"/>
        <w:rPr>
          <w:rFonts w:ascii="Arial" w:hAnsi="Arial" w:cs="Arial"/>
          <w:sz w:val="20"/>
          <w:szCs w:val="20"/>
        </w:rPr>
      </w:pPr>
      <w:r w:rsidRPr="007441AE">
        <w:rPr>
          <w:rFonts w:ascii="Arial" w:hAnsi="Arial" w:cs="Arial"/>
          <w:sz w:val="20"/>
          <w:szCs w:val="20"/>
        </w:rPr>
        <w:t>Predmetom revízie bola realokácia finančných prostriedkov KF a k tomu prislúchajúcemu národného spolufinancovania medzi prioritnými osami  a to ich presun z PO 1 Integrovaná ochrana a racionálne využívanie vôd a PO 4 Odpadové hospodárstvo do PO 2 Ochrana pre povodňami. V rámci revízie d</w:t>
      </w:r>
      <w:r>
        <w:rPr>
          <w:rFonts w:ascii="Arial" w:hAnsi="Arial" w:cs="Arial"/>
          <w:sz w:val="20"/>
          <w:szCs w:val="20"/>
        </w:rPr>
        <w:t>ošlo</w:t>
      </w:r>
      <w:r w:rsidRPr="007441AE">
        <w:rPr>
          <w:rFonts w:ascii="Arial" w:hAnsi="Arial" w:cs="Arial"/>
          <w:sz w:val="20"/>
          <w:szCs w:val="20"/>
        </w:rPr>
        <w:t xml:space="preserve"> k zníženiu alokácie PO 1 o 41 200 000 </w:t>
      </w:r>
      <w:r w:rsidR="00366C2D">
        <w:rPr>
          <w:rFonts w:ascii="Arial" w:hAnsi="Arial" w:cs="Arial"/>
          <w:sz w:val="20"/>
          <w:szCs w:val="20"/>
        </w:rPr>
        <w:t>€</w:t>
      </w:r>
      <w:r w:rsidRPr="007441AE">
        <w:rPr>
          <w:rFonts w:ascii="Arial" w:hAnsi="Arial" w:cs="Arial"/>
          <w:sz w:val="20"/>
          <w:szCs w:val="20"/>
        </w:rPr>
        <w:t xml:space="preserve"> (zdroj KF) a zníženiu alokácie PO 4 o</w:t>
      </w:r>
      <w:r>
        <w:rPr>
          <w:rFonts w:ascii="Arial" w:hAnsi="Arial" w:cs="Arial"/>
          <w:sz w:val="20"/>
          <w:szCs w:val="20"/>
        </w:rPr>
        <w:t> </w:t>
      </w:r>
      <w:r w:rsidRPr="007441AE">
        <w:rPr>
          <w:rFonts w:ascii="Arial" w:hAnsi="Arial" w:cs="Arial"/>
          <w:sz w:val="20"/>
          <w:szCs w:val="20"/>
        </w:rPr>
        <w:t>45</w:t>
      </w:r>
      <w:r>
        <w:rPr>
          <w:rFonts w:ascii="Arial" w:hAnsi="Arial" w:cs="Arial"/>
          <w:sz w:val="20"/>
          <w:szCs w:val="20"/>
        </w:rPr>
        <w:t> </w:t>
      </w:r>
      <w:r w:rsidRPr="007441AE">
        <w:rPr>
          <w:rFonts w:ascii="Arial" w:hAnsi="Arial" w:cs="Arial"/>
          <w:sz w:val="20"/>
          <w:szCs w:val="20"/>
        </w:rPr>
        <w:t>500</w:t>
      </w:r>
      <w:r>
        <w:rPr>
          <w:rFonts w:ascii="Arial" w:hAnsi="Arial" w:cs="Arial"/>
          <w:sz w:val="20"/>
          <w:szCs w:val="20"/>
        </w:rPr>
        <w:t> </w:t>
      </w:r>
      <w:r w:rsidRPr="007441AE">
        <w:rPr>
          <w:rFonts w:ascii="Arial" w:hAnsi="Arial" w:cs="Arial"/>
          <w:sz w:val="20"/>
          <w:szCs w:val="20"/>
        </w:rPr>
        <w:t xml:space="preserve">000 </w:t>
      </w:r>
      <w:r w:rsidR="00366C2D">
        <w:rPr>
          <w:rFonts w:ascii="Arial" w:hAnsi="Arial" w:cs="Arial"/>
          <w:sz w:val="20"/>
          <w:szCs w:val="20"/>
        </w:rPr>
        <w:t>€</w:t>
      </w:r>
      <w:r w:rsidRPr="007441AE">
        <w:rPr>
          <w:rFonts w:ascii="Arial" w:hAnsi="Arial" w:cs="Arial"/>
          <w:sz w:val="20"/>
          <w:szCs w:val="20"/>
        </w:rPr>
        <w:t xml:space="preserve"> (zdroj KF) a ich presunu do PO 2, čím </w:t>
      </w:r>
      <w:r>
        <w:rPr>
          <w:rFonts w:ascii="Arial" w:hAnsi="Arial" w:cs="Arial"/>
          <w:sz w:val="20"/>
          <w:szCs w:val="20"/>
        </w:rPr>
        <w:t>došlo</w:t>
      </w:r>
      <w:r w:rsidRPr="007441AE">
        <w:rPr>
          <w:rFonts w:ascii="Arial" w:hAnsi="Arial" w:cs="Arial"/>
          <w:sz w:val="20"/>
          <w:szCs w:val="20"/>
        </w:rPr>
        <w:t xml:space="preserve"> k navýšeniu alokácie PO 2 o</w:t>
      </w:r>
      <w:r>
        <w:rPr>
          <w:rFonts w:ascii="Arial" w:hAnsi="Arial" w:cs="Arial"/>
          <w:sz w:val="20"/>
          <w:szCs w:val="20"/>
        </w:rPr>
        <w:t> </w:t>
      </w:r>
      <w:r w:rsidRPr="007441AE">
        <w:rPr>
          <w:rFonts w:ascii="Arial" w:hAnsi="Arial" w:cs="Arial"/>
          <w:sz w:val="20"/>
          <w:szCs w:val="20"/>
        </w:rPr>
        <w:t>86</w:t>
      </w:r>
      <w:r>
        <w:rPr>
          <w:rFonts w:ascii="Arial" w:hAnsi="Arial" w:cs="Arial"/>
          <w:sz w:val="20"/>
          <w:szCs w:val="20"/>
        </w:rPr>
        <w:t> </w:t>
      </w:r>
      <w:r w:rsidRPr="007441AE">
        <w:rPr>
          <w:rFonts w:ascii="Arial" w:hAnsi="Arial" w:cs="Arial"/>
          <w:sz w:val="20"/>
          <w:szCs w:val="20"/>
        </w:rPr>
        <w:t>700</w:t>
      </w:r>
      <w:r>
        <w:rPr>
          <w:rFonts w:ascii="Arial" w:hAnsi="Arial" w:cs="Arial"/>
          <w:sz w:val="20"/>
          <w:szCs w:val="20"/>
        </w:rPr>
        <w:t> </w:t>
      </w:r>
      <w:r w:rsidRPr="007441AE">
        <w:rPr>
          <w:rFonts w:ascii="Arial" w:hAnsi="Arial" w:cs="Arial"/>
          <w:sz w:val="20"/>
          <w:szCs w:val="20"/>
        </w:rPr>
        <w:t xml:space="preserve">000 </w:t>
      </w:r>
      <w:r w:rsidR="00366C2D">
        <w:rPr>
          <w:rFonts w:ascii="Arial" w:hAnsi="Arial" w:cs="Arial"/>
          <w:sz w:val="20"/>
          <w:szCs w:val="20"/>
        </w:rPr>
        <w:t>€</w:t>
      </w:r>
      <w:r w:rsidRPr="007441AE">
        <w:rPr>
          <w:rFonts w:ascii="Arial" w:hAnsi="Arial" w:cs="Arial"/>
          <w:sz w:val="20"/>
          <w:szCs w:val="20"/>
        </w:rPr>
        <w:t>. Predmetom revízie bola taktiež úprava cieľovej hodnoty ukazovateľov: Počet ekvivalentných obyvateľov napojených na novovybudovanú kanalizačnú sieť a Počet technologických zariadení na elimináciu hrozieb a následkov bezpečnostných rizík a zapracovanie zmien už schválených MV OP ŽP v období od predošlej revízie OP ŽP.</w:t>
      </w:r>
    </w:p>
    <w:p w14:paraId="2FEB03CC" w14:textId="5A3AD33A" w:rsidR="00026674" w:rsidRDefault="007441AE" w:rsidP="007441AE">
      <w:pPr>
        <w:spacing w:before="120" w:after="120"/>
        <w:jc w:val="both"/>
        <w:rPr>
          <w:rFonts w:ascii="Arial" w:hAnsi="Arial" w:cs="Arial"/>
          <w:sz w:val="20"/>
          <w:szCs w:val="20"/>
        </w:rPr>
      </w:pPr>
      <w:r w:rsidRPr="007441AE">
        <w:rPr>
          <w:rFonts w:ascii="Arial" w:hAnsi="Arial" w:cs="Arial"/>
          <w:sz w:val="20"/>
          <w:szCs w:val="20"/>
        </w:rPr>
        <w:t>Predmetný návrh revízie OP ŽP na verziu 5.0 bol schválený Monitorovacím výborom pre OP ŽP dňa 21. 09. 2015 a následne schválený Rozhodnutím komisie K(2015) 7529 zo dňa 28.</w:t>
      </w:r>
      <w:r w:rsidR="001F09AB">
        <w:rPr>
          <w:rFonts w:ascii="Arial" w:hAnsi="Arial" w:cs="Arial"/>
          <w:sz w:val="20"/>
          <w:szCs w:val="20"/>
        </w:rPr>
        <w:t xml:space="preserve"> </w:t>
      </w:r>
      <w:r w:rsidRPr="007441AE">
        <w:rPr>
          <w:rFonts w:ascii="Arial" w:hAnsi="Arial" w:cs="Arial"/>
          <w:sz w:val="20"/>
          <w:szCs w:val="20"/>
        </w:rPr>
        <w:t>10.</w:t>
      </w:r>
      <w:r w:rsidR="001F09AB">
        <w:rPr>
          <w:rFonts w:ascii="Arial" w:hAnsi="Arial" w:cs="Arial"/>
          <w:sz w:val="20"/>
          <w:szCs w:val="20"/>
        </w:rPr>
        <w:t xml:space="preserve"> </w:t>
      </w:r>
      <w:r w:rsidRPr="007441AE">
        <w:rPr>
          <w:rFonts w:ascii="Arial" w:hAnsi="Arial" w:cs="Arial"/>
          <w:sz w:val="20"/>
          <w:szCs w:val="20"/>
        </w:rPr>
        <w:t>2015</w:t>
      </w:r>
      <w:r>
        <w:rPr>
          <w:rFonts w:ascii="Arial" w:hAnsi="Arial" w:cs="Arial"/>
          <w:sz w:val="20"/>
          <w:szCs w:val="20"/>
        </w:rPr>
        <w:t>.</w:t>
      </w:r>
    </w:p>
    <w:p w14:paraId="7CD7FF92" w14:textId="71DB7459" w:rsidR="002416B1" w:rsidRPr="0020746A" w:rsidRDefault="002416B1" w:rsidP="00123376">
      <w:pPr>
        <w:pStyle w:val="Nadpis2"/>
        <w:spacing w:after="120"/>
        <w:jc w:val="both"/>
        <w:rPr>
          <w:rFonts w:cs="Arial"/>
        </w:rPr>
      </w:pPr>
      <w:bookmarkStart w:id="37" w:name="_3.5_Doplnkovosť_s"/>
      <w:bookmarkStart w:id="38" w:name="_Toc466914518"/>
      <w:bookmarkEnd w:id="37"/>
      <w:r w:rsidRPr="00C97282">
        <w:rPr>
          <w:rFonts w:cs="Arial"/>
        </w:rPr>
        <w:t>2.5 Podstatné zmeny podľa článku 57 nariadenia (ES) č. 1083/2006</w:t>
      </w:r>
      <w:bookmarkEnd w:id="38"/>
    </w:p>
    <w:p w14:paraId="788E4F6A" w14:textId="77777777" w:rsidR="0010295C" w:rsidRDefault="0010295C" w:rsidP="0010295C">
      <w:pPr>
        <w:jc w:val="both"/>
      </w:pPr>
      <w:r w:rsidRPr="005D258E">
        <w:rPr>
          <w:rFonts w:ascii="Arial" w:hAnsi="Arial" w:cs="Arial"/>
          <w:sz w:val="20"/>
          <w:szCs w:val="20"/>
        </w:rPr>
        <w:t xml:space="preserve">K podstatnej zmene spadajúcej pod článok 57 Nariadenia (ES) č. 1083/2006 došlo </w:t>
      </w:r>
      <w:r>
        <w:rPr>
          <w:rFonts w:ascii="Arial" w:hAnsi="Arial" w:cs="Arial"/>
          <w:sz w:val="20"/>
          <w:szCs w:val="20"/>
        </w:rPr>
        <w:t>v </w:t>
      </w:r>
      <w:r w:rsidRPr="005D258E">
        <w:rPr>
          <w:rFonts w:ascii="Arial" w:hAnsi="Arial" w:cs="Arial"/>
          <w:sz w:val="20"/>
          <w:szCs w:val="20"/>
        </w:rPr>
        <w:t>prípad</w:t>
      </w:r>
      <w:r>
        <w:rPr>
          <w:rFonts w:ascii="Arial" w:hAnsi="Arial" w:cs="Arial"/>
          <w:sz w:val="20"/>
          <w:szCs w:val="20"/>
        </w:rPr>
        <w:t xml:space="preserve">e projektu </w:t>
      </w:r>
      <w:r w:rsidRPr="00E60C4A">
        <w:rPr>
          <w:rFonts w:ascii="Arial" w:hAnsi="Arial" w:cs="Arial"/>
          <w:sz w:val="20"/>
          <w:szCs w:val="20"/>
        </w:rPr>
        <w:t xml:space="preserve">„Recyklačné centrum – plasty“, kód projektu ITMS: 24140110114, ktorého prijímateľom bola </w:t>
      </w:r>
      <w:r>
        <w:rPr>
          <w:rFonts w:ascii="Arial" w:hAnsi="Arial" w:cs="Arial"/>
          <w:sz w:val="20"/>
          <w:szCs w:val="20"/>
        </w:rPr>
        <w:t xml:space="preserve">spoločnosť </w:t>
      </w:r>
      <w:r w:rsidRPr="00E60C4A">
        <w:rPr>
          <w:rFonts w:ascii="Arial" w:hAnsi="Arial" w:cs="Arial"/>
          <w:sz w:val="20"/>
          <w:szCs w:val="20"/>
        </w:rPr>
        <w:t>RECYCENTRUM, s.r.o. (pôvodne J&amp;M Consulting, s.r.o.).</w:t>
      </w:r>
    </w:p>
    <w:p w14:paraId="083F3D7D" w14:textId="4C3FD7F3" w:rsidR="006528DD" w:rsidRPr="002506D1" w:rsidRDefault="0010295C" w:rsidP="002506D1">
      <w:pPr>
        <w:spacing w:before="60"/>
        <w:jc w:val="both"/>
        <w:rPr>
          <w:rFonts w:ascii="Arial" w:hAnsi="Arial" w:cs="Arial"/>
          <w:color w:val="000000"/>
          <w:sz w:val="20"/>
          <w:szCs w:val="20"/>
        </w:rPr>
      </w:pPr>
      <w:r>
        <w:rPr>
          <w:rFonts w:ascii="Arial" w:hAnsi="Arial" w:cs="Arial"/>
          <w:sz w:val="20"/>
          <w:szCs w:val="20"/>
        </w:rPr>
        <w:t>Podľa s</w:t>
      </w:r>
      <w:r w:rsidRPr="005D258E">
        <w:rPr>
          <w:rFonts w:ascii="Arial" w:hAnsi="Arial" w:cs="Arial"/>
          <w:sz w:val="20"/>
          <w:szCs w:val="20"/>
        </w:rPr>
        <w:t>právy z kontroly na mieste č. 3</w:t>
      </w:r>
      <w:r>
        <w:rPr>
          <w:rFonts w:ascii="Arial" w:hAnsi="Arial" w:cs="Arial"/>
          <w:sz w:val="20"/>
          <w:szCs w:val="20"/>
        </w:rPr>
        <w:t xml:space="preserve"> vykonanej </w:t>
      </w:r>
      <w:r w:rsidRPr="00BD0875">
        <w:rPr>
          <w:rFonts w:ascii="Arial" w:hAnsi="Arial" w:cs="Arial"/>
          <w:sz w:val="20"/>
          <w:szCs w:val="20"/>
        </w:rPr>
        <w:t>v dňoch 23. – 25.</w:t>
      </w:r>
      <w:r w:rsidR="001F09AB">
        <w:rPr>
          <w:rFonts w:ascii="Arial" w:hAnsi="Arial" w:cs="Arial"/>
          <w:sz w:val="20"/>
          <w:szCs w:val="20"/>
        </w:rPr>
        <w:t xml:space="preserve"> </w:t>
      </w:r>
      <w:r w:rsidRPr="00BD0875">
        <w:rPr>
          <w:rFonts w:ascii="Arial" w:hAnsi="Arial" w:cs="Arial"/>
          <w:sz w:val="20"/>
          <w:szCs w:val="20"/>
        </w:rPr>
        <w:t>8.</w:t>
      </w:r>
      <w:r w:rsidR="001F09AB">
        <w:rPr>
          <w:rFonts w:ascii="Arial" w:hAnsi="Arial" w:cs="Arial"/>
          <w:sz w:val="20"/>
          <w:szCs w:val="20"/>
        </w:rPr>
        <w:t xml:space="preserve"> </w:t>
      </w:r>
      <w:r w:rsidRPr="00BD0875">
        <w:rPr>
          <w:rFonts w:ascii="Arial" w:hAnsi="Arial" w:cs="Arial"/>
          <w:sz w:val="20"/>
          <w:szCs w:val="20"/>
        </w:rPr>
        <w:t>2015</w:t>
      </w:r>
      <w:r w:rsidRPr="005D258E">
        <w:rPr>
          <w:rFonts w:ascii="Arial" w:hAnsi="Arial" w:cs="Arial"/>
          <w:sz w:val="20"/>
          <w:szCs w:val="20"/>
        </w:rPr>
        <w:t xml:space="preserve">, </w:t>
      </w:r>
      <w:r>
        <w:rPr>
          <w:rFonts w:ascii="Arial" w:hAnsi="Arial" w:cs="Arial"/>
          <w:sz w:val="20"/>
          <w:szCs w:val="20"/>
        </w:rPr>
        <w:t>t. j.</w:t>
      </w:r>
      <w:r w:rsidRPr="005D258E">
        <w:rPr>
          <w:rFonts w:ascii="Arial" w:hAnsi="Arial" w:cs="Arial"/>
          <w:sz w:val="20"/>
          <w:szCs w:val="20"/>
        </w:rPr>
        <w:t xml:space="preserve"> v druhom roku udržateľnosti projektu, bol kontrolnou skupinou identifikovaný nedostatok, v zmysle ktorého dodaná technológia v čase výkonu kontroly na mieste nebola kompletná tak</w:t>
      </w:r>
      <w:r w:rsidRPr="006775D5">
        <w:rPr>
          <w:rFonts w:ascii="Arial" w:hAnsi="Arial" w:cs="Arial"/>
          <w:sz w:val="20"/>
          <w:szCs w:val="20"/>
        </w:rPr>
        <w:t>, ako deklaroval prijímateľ v čase výkonu kontroly na mieste k záverečnej ŽoP.</w:t>
      </w:r>
      <w:r>
        <w:rPr>
          <w:rFonts w:ascii="Arial" w:hAnsi="Arial" w:cs="Arial"/>
          <w:sz w:val="20"/>
          <w:szCs w:val="20"/>
        </w:rPr>
        <w:t xml:space="preserve"> Kontrolou bolo ďalej zistené, že v</w:t>
      </w:r>
      <w:r w:rsidRPr="005D258E">
        <w:rPr>
          <w:rFonts w:ascii="Arial" w:hAnsi="Arial" w:cs="Arial"/>
          <w:sz w:val="20"/>
          <w:szCs w:val="20"/>
        </w:rPr>
        <w:t xml:space="preserve">ýstup projektu „Recyklačné centrum“ nebol v čase kontroly na mieste v prevádzke, v objektoch nebola funkčná elektrina ani voda a časť majetku, ktorá je buď súčasťou stavby alebo technológie bola počas výkonu kontroly na mieste označená nálepkami </w:t>
      </w:r>
      <w:r>
        <w:rPr>
          <w:rFonts w:ascii="Arial" w:hAnsi="Arial" w:cs="Arial"/>
          <w:sz w:val="20"/>
          <w:szCs w:val="20"/>
        </w:rPr>
        <w:t>e</w:t>
      </w:r>
      <w:r w:rsidRPr="005D258E">
        <w:rPr>
          <w:rFonts w:ascii="Arial" w:hAnsi="Arial" w:cs="Arial"/>
          <w:sz w:val="20"/>
          <w:szCs w:val="20"/>
        </w:rPr>
        <w:t>xekútora</w:t>
      </w:r>
      <w:r>
        <w:rPr>
          <w:rFonts w:ascii="Arial" w:hAnsi="Arial" w:cs="Arial"/>
          <w:sz w:val="20"/>
          <w:szCs w:val="20"/>
        </w:rPr>
        <w:t>.</w:t>
      </w:r>
      <w:r w:rsidRPr="005D258E">
        <w:rPr>
          <w:rFonts w:ascii="Arial" w:hAnsi="Arial" w:cs="Arial"/>
          <w:sz w:val="20"/>
          <w:szCs w:val="20"/>
        </w:rPr>
        <w:t xml:space="preserve"> Uvedený stav, t.j. chýbajúca technológia, označenie vybranej technológie v rámci výstupu projektu nálepkami exekútora, ako aj </w:t>
      </w:r>
      <w:r>
        <w:rPr>
          <w:rFonts w:ascii="Arial" w:hAnsi="Arial" w:cs="Arial"/>
          <w:sz w:val="20"/>
          <w:szCs w:val="20"/>
        </w:rPr>
        <w:t>nefungujúce r</w:t>
      </w:r>
      <w:r w:rsidRPr="005D258E">
        <w:rPr>
          <w:rFonts w:ascii="Arial" w:hAnsi="Arial" w:cs="Arial"/>
          <w:sz w:val="20"/>
          <w:szCs w:val="20"/>
        </w:rPr>
        <w:t>ecyklačné centrum pretrvával aj čase výkonu k</w:t>
      </w:r>
      <w:r>
        <w:rPr>
          <w:rFonts w:ascii="Arial" w:hAnsi="Arial" w:cs="Arial"/>
          <w:sz w:val="20"/>
          <w:szCs w:val="20"/>
        </w:rPr>
        <w:t>ontroly na mieste zo dňa 24.</w:t>
      </w:r>
      <w:r w:rsidR="001F09AB">
        <w:rPr>
          <w:rFonts w:ascii="Arial" w:hAnsi="Arial" w:cs="Arial"/>
          <w:sz w:val="20"/>
          <w:szCs w:val="20"/>
        </w:rPr>
        <w:t xml:space="preserve"> </w:t>
      </w:r>
      <w:r>
        <w:rPr>
          <w:rFonts w:ascii="Arial" w:hAnsi="Arial" w:cs="Arial"/>
          <w:sz w:val="20"/>
          <w:szCs w:val="20"/>
        </w:rPr>
        <w:t>10.</w:t>
      </w:r>
      <w:r w:rsidR="001F09AB">
        <w:rPr>
          <w:rFonts w:ascii="Arial" w:hAnsi="Arial" w:cs="Arial"/>
          <w:sz w:val="20"/>
          <w:szCs w:val="20"/>
        </w:rPr>
        <w:t xml:space="preserve"> </w:t>
      </w:r>
      <w:r>
        <w:rPr>
          <w:rFonts w:ascii="Arial" w:hAnsi="Arial" w:cs="Arial"/>
          <w:sz w:val="20"/>
          <w:szCs w:val="20"/>
        </w:rPr>
        <w:t>2016.</w:t>
      </w:r>
    </w:p>
    <w:p w14:paraId="6013A683" w14:textId="77777777" w:rsidR="002416B1" w:rsidRPr="0020746A" w:rsidRDefault="002416B1" w:rsidP="00123376">
      <w:pPr>
        <w:pStyle w:val="Nadpis2"/>
        <w:spacing w:after="120"/>
        <w:rPr>
          <w:rFonts w:cs="Arial"/>
        </w:rPr>
      </w:pPr>
      <w:bookmarkStart w:id="39" w:name="_Toc466914519"/>
      <w:r w:rsidRPr="00CE0728">
        <w:rPr>
          <w:rFonts w:cs="Arial"/>
        </w:rPr>
        <w:t>2.6 Doplnkovosť s inými nástrojmi</w:t>
      </w:r>
      <w:bookmarkEnd w:id="39"/>
    </w:p>
    <w:p w14:paraId="6CE7E23A" w14:textId="77777777" w:rsidR="002416B1" w:rsidRPr="00E21C60" w:rsidRDefault="002416B1" w:rsidP="00123376">
      <w:pPr>
        <w:spacing w:before="240" w:after="120"/>
        <w:jc w:val="both"/>
        <w:rPr>
          <w:rFonts w:ascii="Arial" w:hAnsi="Arial" w:cs="Arial"/>
          <w:b/>
          <w:sz w:val="20"/>
          <w:szCs w:val="20"/>
        </w:rPr>
      </w:pPr>
      <w:r w:rsidRPr="00DF6D90">
        <w:rPr>
          <w:rFonts w:ascii="Arial" w:hAnsi="Arial" w:cs="Arial"/>
          <w:b/>
          <w:sz w:val="20"/>
          <w:szCs w:val="20"/>
        </w:rPr>
        <w:t>Synergia, komplementarita OP ŽP s inými operačnými programami</w:t>
      </w:r>
      <w:r w:rsidRPr="00E21C60">
        <w:rPr>
          <w:rFonts w:ascii="Arial" w:hAnsi="Arial" w:cs="Arial"/>
          <w:b/>
          <w:sz w:val="20"/>
          <w:szCs w:val="20"/>
        </w:rPr>
        <w:t xml:space="preserve"> </w:t>
      </w:r>
    </w:p>
    <w:p w14:paraId="16DEC7D4" w14:textId="6AC2B3F4" w:rsidR="002416B1" w:rsidRPr="00E21C60" w:rsidRDefault="002416B1" w:rsidP="00123376">
      <w:pPr>
        <w:spacing w:before="120" w:after="120"/>
        <w:jc w:val="both"/>
        <w:rPr>
          <w:rFonts w:ascii="Arial" w:hAnsi="Arial" w:cs="Arial"/>
          <w:sz w:val="20"/>
          <w:szCs w:val="20"/>
          <w:highlight w:val="yellow"/>
        </w:rPr>
      </w:pPr>
      <w:r w:rsidRPr="00E21C60">
        <w:rPr>
          <w:rFonts w:ascii="Arial" w:hAnsi="Arial" w:cs="Arial"/>
          <w:sz w:val="20"/>
          <w:szCs w:val="20"/>
        </w:rPr>
        <w:lastRenderedPageBreak/>
        <w:t xml:space="preserve">V rámci synergie OP ŽP s operačnými programami Regionálny Operačný Program, </w:t>
      </w:r>
      <w:r w:rsidR="0043313B">
        <w:rPr>
          <w:rFonts w:ascii="Arial" w:hAnsi="Arial" w:cs="Arial"/>
          <w:sz w:val="20"/>
          <w:szCs w:val="20"/>
        </w:rPr>
        <w:br/>
      </w:r>
      <w:r w:rsidRPr="00E21C60">
        <w:rPr>
          <w:rFonts w:ascii="Arial" w:hAnsi="Arial" w:cs="Arial"/>
          <w:sz w:val="20"/>
          <w:szCs w:val="20"/>
        </w:rPr>
        <w:t xml:space="preserve">OP Konkurencieschopnosť a hospodársky rast, OP Doprava, OP Bratislavský kraj </w:t>
      </w:r>
      <w:r w:rsidR="001A0789">
        <w:rPr>
          <w:rFonts w:ascii="Arial" w:hAnsi="Arial" w:cs="Arial"/>
          <w:sz w:val="20"/>
          <w:szCs w:val="20"/>
        </w:rPr>
        <w:t>boli</w:t>
      </w:r>
      <w:r w:rsidR="001A0789" w:rsidRPr="00E21C60">
        <w:rPr>
          <w:rFonts w:ascii="Arial" w:hAnsi="Arial" w:cs="Arial"/>
          <w:sz w:val="20"/>
          <w:szCs w:val="20"/>
        </w:rPr>
        <w:t xml:space="preserve"> </w:t>
      </w:r>
      <w:r w:rsidRPr="00E21C60">
        <w:rPr>
          <w:rFonts w:ascii="Arial" w:hAnsi="Arial" w:cs="Arial"/>
          <w:sz w:val="20"/>
          <w:szCs w:val="20"/>
        </w:rPr>
        <w:t>vytvorené demarkačné línie pre tematicky podobné opatrenia.</w:t>
      </w:r>
    </w:p>
    <w:p w14:paraId="7BA4D41F" w14:textId="4A7E9419" w:rsidR="002416B1" w:rsidRPr="00E21C60" w:rsidRDefault="002416B1" w:rsidP="00123376">
      <w:pPr>
        <w:spacing w:before="120" w:after="120"/>
        <w:jc w:val="both"/>
        <w:rPr>
          <w:rFonts w:ascii="Arial" w:hAnsi="Arial" w:cs="Arial"/>
          <w:i/>
          <w:sz w:val="20"/>
          <w:szCs w:val="20"/>
          <w:u w:val="single"/>
        </w:rPr>
      </w:pPr>
      <w:r w:rsidRPr="00E21C60">
        <w:rPr>
          <w:rFonts w:ascii="Arial" w:hAnsi="Arial" w:cs="Arial"/>
          <w:i/>
          <w:sz w:val="20"/>
          <w:szCs w:val="20"/>
          <w:u w:val="single"/>
        </w:rPr>
        <w:t xml:space="preserve">Dodržiavanie deliacej línie na úrovni projektov medzi OP </w:t>
      </w:r>
      <w:r w:rsidR="00383999">
        <w:rPr>
          <w:rFonts w:ascii="Arial" w:hAnsi="Arial" w:cs="Arial"/>
          <w:i/>
          <w:sz w:val="20"/>
          <w:szCs w:val="20"/>
          <w:u w:val="single"/>
        </w:rPr>
        <w:t>K</w:t>
      </w:r>
      <w:r w:rsidRPr="00E21C60">
        <w:rPr>
          <w:rFonts w:ascii="Arial" w:hAnsi="Arial" w:cs="Arial"/>
          <w:i/>
          <w:sz w:val="20"/>
          <w:szCs w:val="20"/>
          <w:u w:val="single"/>
        </w:rPr>
        <w:t>onkurencieschopnosť a hospodársky rast (ďalej len „OP KaHR</w:t>
      </w:r>
      <w:r w:rsidRPr="00E21C60">
        <w:rPr>
          <w:rFonts w:ascii="Arial" w:hAnsi="Arial" w:cs="Arial"/>
          <w:i/>
          <w:caps/>
          <w:sz w:val="20"/>
          <w:szCs w:val="20"/>
          <w:u w:val="single"/>
        </w:rPr>
        <w:t>“</w:t>
      </w:r>
      <w:r w:rsidRPr="00E21C60">
        <w:rPr>
          <w:rFonts w:ascii="Arial" w:hAnsi="Arial" w:cs="Arial"/>
          <w:i/>
          <w:sz w:val="20"/>
          <w:szCs w:val="20"/>
          <w:u w:val="single"/>
        </w:rPr>
        <w:t>) a OP ŽP:</w:t>
      </w:r>
    </w:p>
    <w:p w14:paraId="7D6AADBB" w14:textId="36365CBB" w:rsidR="005732D2" w:rsidRPr="00E21C60" w:rsidRDefault="00BC2BD0" w:rsidP="00123376">
      <w:pPr>
        <w:spacing w:before="120" w:after="120"/>
        <w:jc w:val="both"/>
        <w:rPr>
          <w:rFonts w:ascii="Arial" w:hAnsi="Arial" w:cs="Arial"/>
          <w:sz w:val="20"/>
          <w:szCs w:val="20"/>
        </w:rPr>
      </w:pPr>
      <w:r w:rsidRPr="00E21C60">
        <w:rPr>
          <w:rFonts w:ascii="Arial" w:hAnsi="Arial" w:cs="Arial"/>
          <w:sz w:val="20"/>
          <w:szCs w:val="20"/>
        </w:rPr>
        <w:t xml:space="preserve">V rámci OP ŽP, prioritnej osi 3 Ochrana ovzdušia a minimalizácia nepriaznivých vplyvov zmeny klímy, operačný cieľ 3.1 Ochrana ovzdušia </w:t>
      </w:r>
      <w:r w:rsidR="00264EF7">
        <w:rPr>
          <w:rFonts w:ascii="Arial" w:hAnsi="Arial" w:cs="Arial"/>
          <w:sz w:val="20"/>
          <w:szCs w:val="20"/>
        </w:rPr>
        <w:t>bolo</w:t>
      </w:r>
      <w:r w:rsidR="00264EF7" w:rsidRPr="00E21C60">
        <w:rPr>
          <w:rFonts w:ascii="Arial" w:hAnsi="Arial" w:cs="Arial"/>
          <w:sz w:val="20"/>
          <w:szCs w:val="20"/>
        </w:rPr>
        <w:t xml:space="preserve"> </w:t>
      </w:r>
      <w:r w:rsidRPr="00E21C60">
        <w:rPr>
          <w:rFonts w:ascii="Arial" w:hAnsi="Arial" w:cs="Arial"/>
          <w:sz w:val="20"/>
          <w:szCs w:val="20"/>
        </w:rPr>
        <w:t>primárnym cieľom podpory z OP ŽP znižovanie emisií znečisťujúcich látok do ovzdušia, pričom podpo</w:t>
      </w:r>
      <w:r w:rsidR="00264EF7">
        <w:rPr>
          <w:rFonts w:ascii="Arial" w:hAnsi="Arial" w:cs="Arial"/>
          <w:sz w:val="20"/>
          <w:szCs w:val="20"/>
        </w:rPr>
        <w:t>rované boli</w:t>
      </w:r>
      <w:r w:rsidRPr="00E21C60">
        <w:rPr>
          <w:rFonts w:ascii="Arial" w:hAnsi="Arial" w:cs="Arial"/>
          <w:sz w:val="20"/>
          <w:szCs w:val="20"/>
        </w:rPr>
        <w:t xml:space="preserve"> technológie (napr. koncové technológie) na znižovanie emisií do ovzdušia (t.j. emisie základných a ostatných znečisťujúcich látok v ovzduší najmä tuhých znečisťujúcich látok (PM10, PM2,5), SO</w:t>
      </w:r>
      <w:r w:rsidRPr="00123376">
        <w:rPr>
          <w:rFonts w:ascii="Arial" w:hAnsi="Arial" w:cs="Arial"/>
          <w:sz w:val="20"/>
          <w:szCs w:val="20"/>
          <w:vertAlign w:val="subscript"/>
        </w:rPr>
        <w:t>2</w:t>
      </w:r>
      <w:r w:rsidRPr="002526CC">
        <w:rPr>
          <w:rFonts w:ascii="Arial" w:hAnsi="Arial" w:cs="Arial"/>
          <w:sz w:val="20"/>
          <w:szCs w:val="20"/>
        </w:rPr>
        <w:t xml:space="preserve">, NOX, benzén, NH3, ťažkých kovov a PAH). Naproti tomu </w:t>
      </w:r>
      <w:r w:rsidR="002416B1" w:rsidRPr="00E21C60">
        <w:rPr>
          <w:rFonts w:ascii="Arial" w:hAnsi="Arial" w:cs="Arial"/>
          <w:sz w:val="20"/>
          <w:szCs w:val="20"/>
        </w:rPr>
        <w:t xml:space="preserve">MH SR </w:t>
      </w:r>
      <w:r w:rsidRPr="00E21C60">
        <w:rPr>
          <w:rFonts w:ascii="Arial" w:hAnsi="Arial" w:cs="Arial"/>
          <w:sz w:val="20"/>
          <w:szCs w:val="20"/>
        </w:rPr>
        <w:t>v rámci OP KaHR, prioritná os 1 Inovácie a rast konkurencieschopnosti, opatrenie 1.1. Inovácie a technologické transfery, podopatrenie 1.1.1.</w:t>
      </w:r>
      <w:r w:rsidR="001F09AB">
        <w:rPr>
          <w:rFonts w:ascii="Arial" w:hAnsi="Arial" w:cs="Arial"/>
          <w:sz w:val="20"/>
          <w:szCs w:val="20"/>
        </w:rPr>
        <w:t xml:space="preserve"> </w:t>
      </w:r>
      <w:r w:rsidRPr="00E21C60">
        <w:rPr>
          <w:rFonts w:ascii="Arial" w:hAnsi="Arial" w:cs="Arial"/>
          <w:sz w:val="20"/>
          <w:szCs w:val="20"/>
        </w:rPr>
        <w:t xml:space="preserve">Podpora zavádzania inovácií </w:t>
      </w:r>
      <w:r w:rsidR="0043313B">
        <w:rPr>
          <w:rFonts w:ascii="Arial" w:hAnsi="Arial" w:cs="Arial"/>
          <w:sz w:val="20"/>
          <w:szCs w:val="20"/>
        </w:rPr>
        <w:br/>
      </w:r>
      <w:r w:rsidRPr="00E21C60">
        <w:rPr>
          <w:rFonts w:ascii="Arial" w:hAnsi="Arial" w:cs="Arial"/>
          <w:sz w:val="20"/>
          <w:szCs w:val="20"/>
        </w:rPr>
        <w:t xml:space="preserve">a technologických transferov </w:t>
      </w:r>
      <w:r w:rsidR="00264EF7" w:rsidRPr="00E21C60">
        <w:rPr>
          <w:rFonts w:ascii="Arial" w:hAnsi="Arial" w:cs="Arial"/>
          <w:sz w:val="20"/>
          <w:szCs w:val="20"/>
        </w:rPr>
        <w:t>podpor</w:t>
      </w:r>
      <w:r w:rsidR="00264EF7">
        <w:rPr>
          <w:rFonts w:ascii="Arial" w:hAnsi="Arial" w:cs="Arial"/>
          <w:sz w:val="20"/>
          <w:szCs w:val="20"/>
        </w:rPr>
        <w:t>ovalo</w:t>
      </w:r>
      <w:r w:rsidR="00264EF7" w:rsidRPr="00E21C60">
        <w:rPr>
          <w:rFonts w:ascii="Arial" w:hAnsi="Arial" w:cs="Arial"/>
          <w:sz w:val="20"/>
          <w:szCs w:val="20"/>
        </w:rPr>
        <w:t xml:space="preserve"> </w:t>
      </w:r>
      <w:r w:rsidR="002416B1" w:rsidRPr="00E21C60">
        <w:rPr>
          <w:rFonts w:ascii="Arial" w:hAnsi="Arial" w:cs="Arial"/>
          <w:sz w:val="20"/>
          <w:szCs w:val="20"/>
          <w:u w:val="single"/>
        </w:rPr>
        <w:t>inovatívne výrobné technológie</w:t>
      </w:r>
      <w:r w:rsidR="002416B1" w:rsidRPr="00E21C60">
        <w:rPr>
          <w:rFonts w:ascii="Arial" w:hAnsi="Arial" w:cs="Arial"/>
          <w:sz w:val="20"/>
          <w:szCs w:val="20"/>
        </w:rPr>
        <w:t xml:space="preserve">, ktoré zároveň aj znižujú emisie do ovzdušia a do všetkých zložiek životného prostredia. </w:t>
      </w:r>
    </w:p>
    <w:p w14:paraId="0097E489" w14:textId="77777777" w:rsidR="002416B1" w:rsidRPr="00E21C60" w:rsidRDefault="002416B1" w:rsidP="00123376">
      <w:pPr>
        <w:spacing w:before="120" w:after="120"/>
        <w:jc w:val="both"/>
        <w:rPr>
          <w:rFonts w:ascii="Arial" w:hAnsi="Arial" w:cs="Arial"/>
          <w:i/>
          <w:sz w:val="20"/>
          <w:szCs w:val="20"/>
          <w:u w:val="single"/>
        </w:rPr>
      </w:pPr>
      <w:r w:rsidRPr="00E21C60">
        <w:rPr>
          <w:rFonts w:ascii="Arial" w:hAnsi="Arial" w:cs="Arial"/>
          <w:i/>
          <w:sz w:val="20"/>
          <w:szCs w:val="20"/>
          <w:u w:val="single"/>
        </w:rPr>
        <w:t>Dodržiavanie deliacej línie na úrovni projektov medzi Regionálnym operačným programom (ďalej len „ROP</w:t>
      </w:r>
      <w:r w:rsidRPr="00E21C60">
        <w:rPr>
          <w:rFonts w:ascii="Arial" w:hAnsi="Arial" w:cs="Arial"/>
          <w:i/>
          <w:caps/>
          <w:sz w:val="20"/>
          <w:szCs w:val="20"/>
          <w:u w:val="single"/>
        </w:rPr>
        <w:t>“</w:t>
      </w:r>
      <w:r w:rsidRPr="00E21C60">
        <w:rPr>
          <w:rFonts w:ascii="Arial" w:hAnsi="Arial" w:cs="Arial"/>
          <w:i/>
          <w:sz w:val="20"/>
          <w:szCs w:val="20"/>
          <w:u w:val="single"/>
        </w:rPr>
        <w:t>) a OP ŽP:</w:t>
      </w:r>
    </w:p>
    <w:p w14:paraId="11DFF806" w14:textId="77777777" w:rsidR="00383999" w:rsidRPr="00E21C60" w:rsidRDefault="00383999" w:rsidP="00383999">
      <w:pPr>
        <w:spacing w:before="120" w:after="120"/>
        <w:jc w:val="both"/>
        <w:rPr>
          <w:rFonts w:ascii="Arial" w:hAnsi="Arial" w:cs="Arial"/>
          <w:sz w:val="20"/>
          <w:szCs w:val="20"/>
        </w:rPr>
      </w:pPr>
      <w:r w:rsidRPr="00E21C60">
        <w:rPr>
          <w:rFonts w:ascii="Arial" w:hAnsi="Arial" w:cs="Arial"/>
          <w:sz w:val="20"/>
          <w:szCs w:val="20"/>
        </w:rPr>
        <w:t>V rámci </w:t>
      </w:r>
      <w:r w:rsidRPr="00123376">
        <w:rPr>
          <w:rFonts w:ascii="Arial" w:hAnsi="Arial" w:cs="Arial"/>
          <w:i/>
          <w:sz w:val="20"/>
          <w:szCs w:val="20"/>
        </w:rPr>
        <w:t>prioritnej osi</w:t>
      </w:r>
      <w:r w:rsidRPr="002526CC">
        <w:rPr>
          <w:rFonts w:ascii="Arial" w:hAnsi="Arial" w:cs="Arial"/>
          <w:sz w:val="20"/>
          <w:szCs w:val="20"/>
        </w:rPr>
        <w:t xml:space="preserve"> </w:t>
      </w:r>
      <w:r w:rsidRPr="00E21C60">
        <w:rPr>
          <w:rFonts w:ascii="Arial" w:hAnsi="Arial" w:cs="Arial"/>
          <w:i/>
          <w:sz w:val="20"/>
          <w:szCs w:val="20"/>
        </w:rPr>
        <w:t>4 Regenerácia sídel</w:t>
      </w:r>
      <w:r w:rsidRPr="00E21C60">
        <w:rPr>
          <w:rFonts w:ascii="Arial" w:hAnsi="Arial" w:cs="Arial"/>
          <w:sz w:val="20"/>
          <w:szCs w:val="20"/>
        </w:rPr>
        <w:t xml:space="preserve"> </w:t>
      </w:r>
      <w:r>
        <w:rPr>
          <w:rFonts w:ascii="Arial" w:hAnsi="Arial" w:cs="Arial"/>
          <w:sz w:val="20"/>
          <w:szCs w:val="20"/>
        </w:rPr>
        <w:t>boli</w:t>
      </w:r>
      <w:r w:rsidRPr="00E21C60">
        <w:rPr>
          <w:rFonts w:ascii="Arial" w:hAnsi="Arial" w:cs="Arial"/>
          <w:sz w:val="20"/>
          <w:szCs w:val="20"/>
        </w:rPr>
        <w:t xml:space="preserve"> v rámci ROP podporované aktivity zamerané na rekonštrukciu a budovanie vodovodov, a to výlučne v súvislosti s inými aktivitami regenerácie sídiel (napr. rekonštrukcie miestnych komunikácií a verejných priestranstiev), ktoré sú realizované v obciach identifikovaných ako kohézne alebo inovačné póly rastu alebo </w:t>
      </w:r>
      <w:r w:rsidRPr="00E21C60">
        <w:rPr>
          <w:rFonts w:ascii="Arial" w:hAnsi="Arial" w:cs="Arial"/>
          <w:bCs/>
          <w:sz w:val="20"/>
          <w:szCs w:val="20"/>
        </w:rPr>
        <w:t>v obciach, ktoré nie sú pólmi rastu za podmienky, že ide o obce so separovanými alebo segregovanými rómskymi osadami, ktoré sú evidované v Atlase rómskych komunít.</w:t>
      </w:r>
      <w:r w:rsidRPr="00E21C60">
        <w:rPr>
          <w:rFonts w:ascii="Arial" w:hAnsi="Arial" w:cs="Arial"/>
          <w:bCs/>
          <w:i/>
          <w:sz w:val="20"/>
          <w:szCs w:val="20"/>
        </w:rPr>
        <w:t xml:space="preserve"> </w:t>
      </w:r>
      <w:r w:rsidRPr="00E21C60">
        <w:rPr>
          <w:rFonts w:ascii="Arial" w:hAnsi="Arial" w:cs="Arial"/>
          <w:sz w:val="20"/>
          <w:szCs w:val="20"/>
        </w:rPr>
        <w:t xml:space="preserve">V rámci ROP </w:t>
      </w:r>
      <w:r>
        <w:rPr>
          <w:rFonts w:ascii="Arial" w:hAnsi="Arial" w:cs="Arial"/>
          <w:sz w:val="20"/>
          <w:szCs w:val="20"/>
        </w:rPr>
        <w:t>nebola</w:t>
      </w:r>
      <w:r w:rsidRPr="00E21C60">
        <w:rPr>
          <w:rFonts w:ascii="Arial" w:hAnsi="Arial" w:cs="Arial"/>
          <w:sz w:val="20"/>
          <w:szCs w:val="20"/>
        </w:rPr>
        <w:t xml:space="preserve"> primárne riešená vybavenosť obce inžinierskymi sieťami. </w:t>
      </w:r>
      <w:r w:rsidRPr="00E21C60">
        <w:rPr>
          <w:rFonts w:ascii="Arial" w:hAnsi="Arial" w:cs="Arial"/>
          <w:bCs/>
          <w:i/>
          <w:sz w:val="20"/>
          <w:szCs w:val="20"/>
        </w:rPr>
        <w:t>V operačnom cieli 1.1 OP ŽP</w:t>
      </w:r>
      <w:r w:rsidRPr="00E21C60">
        <w:rPr>
          <w:rFonts w:ascii="Arial" w:hAnsi="Arial" w:cs="Arial"/>
          <w:bCs/>
          <w:sz w:val="20"/>
          <w:szCs w:val="20"/>
        </w:rPr>
        <w:t xml:space="preserve"> sú podporované samostatne realizované projekty </w:t>
      </w:r>
      <w:r w:rsidRPr="00E21C60">
        <w:rPr>
          <w:rFonts w:ascii="Arial" w:hAnsi="Arial" w:cs="Arial"/>
          <w:sz w:val="20"/>
          <w:szCs w:val="20"/>
        </w:rPr>
        <w:t xml:space="preserve">zamerané na rekonštrukciu a budovanie verejných vodovodov pre obce. </w:t>
      </w:r>
    </w:p>
    <w:p w14:paraId="1ABD3E5B" w14:textId="77777777" w:rsidR="002416B1" w:rsidRPr="00E21C60" w:rsidRDefault="002416B1" w:rsidP="00123376">
      <w:pPr>
        <w:spacing w:before="120" w:after="120"/>
        <w:jc w:val="both"/>
        <w:rPr>
          <w:rFonts w:ascii="Arial" w:hAnsi="Arial" w:cs="Arial"/>
          <w:bCs/>
          <w:sz w:val="20"/>
          <w:szCs w:val="20"/>
        </w:rPr>
      </w:pPr>
      <w:r w:rsidRPr="00E21C60">
        <w:rPr>
          <w:rFonts w:ascii="Arial" w:hAnsi="Arial" w:cs="Arial"/>
          <w:bCs/>
          <w:sz w:val="20"/>
          <w:szCs w:val="20"/>
        </w:rPr>
        <w:t>Vo výberovom procese sú riadiacimi orgánmi pre ROP a OP ŽP využívané informácie zo systému ITMS za účelom vylúčenia možnosti duplicitného financovania.</w:t>
      </w:r>
    </w:p>
    <w:p w14:paraId="3B8B3352" w14:textId="484C6A5B" w:rsidR="00383999" w:rsidRDefault="00383999" w:rsidP="00383999">
      <w:pPr>
        <w:spacing w:before="120" w:after="120"/>
        <w:jc w:val="both"/>
        <w:rPr>
          <w:rFonts w:ascii="Arial" w:hAnsi="Arial" w:cs="Arial"/>
          <w:bCs/>
          <w:sz w:val="20"/>
          <w:szCs w:val="20"/>
        </w:rPr>
      </w:pPr>
      <w:r w:rsidRPr="00E21C60">
        <w:rPr>
          <w:rFonts w:ascii="Arial" w:hAnsi="Arial" w:cs="Arial"/>
          <w:bCs/>
          <w:sz w:val="20"/>
          <w:szCs w:val="20"/>
        </w:rPr>
        <w:t>Uvedená podmienka plat</w:t>
      </w:r>
      <w:r>
        <w:rPr>
          <w:rFonts w:ascii="Arial" w:hAnsi="Arial" w:cs="Arial"/>
          <w:bCs/>
          <w:sz w:val="20"/>
          <w:szCs w:val="20"/>
        </w:rPr>
        <w:t>ila</w:t>
      </w:r>
      <w:r w:rsidRPr="00E21C60">
        <w:rPr>
          <w:rFonts w:ascii="Arial" w:hAnsi="Arial" w:cs="Arial"/>
          <w:bCs/>
          <w:sz w:val="20"/>
          <w:szCs w:val="20"/>
        </w:rPr>
        <w:t xml:space="preserve"> aj pri tematicky podobných opatreniach prioritnej osi 4 ROP a operačných cieľov 1.2 OP ŽP </w:t>
      </w:r>
      <w:r>
        <w:rPr>
          <w:rFonts w:ascii="Arial" w:hAnsi="Arial" w:cs="Arial"/>
          <w:bCs/>
          <w:sz w:val="20"/>
          <w:szCs w:val="20"/>
        </w:rPr>
        <w:t>-  odvádzanie a čisteni</w:t>
      </w:r>
      <w:r w:rsidR="000241F0">
        <w:rPr>
          <w:rFonts w:ascii="Arial" w:hAnsi="Arial" w:cs="Arial"/>
          <w:bCs/>
          <w:sz w:val="20"/>
          <w:szCs w:val="20"/>
        </w:rPr>
        <w:t>e</w:t>
      </w:r>
      <w:r>
        <w:rPr>
          <w:rFonts w:ascii="Arial" w:hAnsi="Arial" w:cs="Arial"/>
          <w:bCs/>
          <w:sz w:val="20"/>
          <w:szCs w:val="20"/>
        </w:rPr>
        <w:t xml:space="preserve"> komunálnych odpadových vôd </w:t>
      </w:r>
      <w:r w:rsidRPr="00E21C60">
        <w:rPr>
          <w:rFonts w:ascii="Arial" w:hAnsi="Arial" w:cs="Arial"/>
          <w:bCs/>
          <w:sz w:val="20"/>
          <w:szCs w:val="20"/>
        </w:rPr>
        <w:t>a 2.1 OP ŽP</w:t>
      </w:r>
      <w:r>
        <w:rPr>
          <w:rFonts w:ascii="Arial" w:hAnsi="Arial" w:cs="Arial"/>
          <w:bCs/>
          <w:sz w:val="20"/>
          <w:szCs w:val="20"/>
        </w:rPr>
        <w:t xml:space="preserve"> – ochrana pred povodňami</w:t>
      </w:r>
      <w:r w:rsidRPr="00E21C60">
        <w:rPr>
          <w:rFonts w:ascii="Arial" w:hAnsi="Arial" w:cs="Arial"/>
          <w:bCs/>
          <w:sz w:val="20"/>
          <w:szCs w:val="20"/>
        </w:rPr>
        <w:t>, na úrovni ktorých sú taktiež vytvorené deliace línie.</w:t>
      </w:r>
    </w:p>
    <w:p w14:paraId="57393E41" w14:textId="77777777" w:rsidR="002416B1" w:rsidRPr="00E21C60" w:rsidRDefault="002416B1" w:rsidP="00123376">
      <w:pPr>
        <w:spacing w:before="120" w:after="120"/>
        <w:jc w:val="both"/>
        <w:rPr>
          <w:rFonts w:ascii="Arial" w:hAnsi="Arial" w:cs="Arial"/>
          <w:i/>
          <w:sz w:val="20"/>
          <w:szCs w:val="20"/>
          <w:u w:val="single"/>
        </w:rPr>
      </w:pPr>
      <w:r w:rsidRPr="00E21C60">
        <w:rPr>
          <w:rFonts w:ascii="Arial" w:hAnsi="Arial" w:cs="Arial"/>
          <w:i/>
          <w:sz w:val="20"/>
          <w:szCs w:val="20"/>
          <w:u w:val="single"/>
        </w:rPr>
        <w:t>Dodržiavanie deliacej línie na úrovni projektov medzi OP Doprava a OP ŽP:</w:t>
      </w:r>
    </w:p>
    <w:p w14:paraId="4A162E50" w14:textId="1D1A7A41" w:rsidR="002416B1" w:rsidRPr="00E21C60" w:rsidRDefault="00E15600" w:rsidP="00123376">
      <w:pPr>
        <w:spacing w:before="120" w:after="120"/>
        <w:jc w:val="both"/>
        <w:rPr>
          <w:rFonts w:ascii="Arial" w:hAnsi="Arial" w:cs="Arial"/>
          <w:sz w:val="20"/>
          <w:szCs w:val="20"/>
        </w:rPr>
      </w:pPr>
      <w:r w:rsidRPr="00E21C60">
        <w:rPr>
          <w:rFonts w:ascii="Arial" w:hAnsi="Arial" w:cs="Arial"/>
          <w:sz w:val="20"/>
          <w:szCs w:val="20"/>
        </w:rPr>
        <w:t xml:space="preserve">V rámci prioritnej osi </w:t>
      </w:r>
      <w:r w:rsidRPr="00E21C60">
        <w:rPr>
          <w:rFonts w:ascii="Arial" w:hAnsi="Arial" w:cs="Arial"/>
          <w:i/>
          <w:sz w:val="20"/>
          <w:szCs w:val="20"/>
        </w:rPr>
        <w:t xml:space="preserve">4 Infraštruktúra </w:t>
      </w:r>
      <w:r>
        <w:rPr>
          <w:rFonts w:ascii="Arial" w:hAnsi="Arial" w:cs="Arial"/>
          <w:i/>
          <w:sz w:val="20"/>
          <w:szCs w:val="20"/>
        </w:rPr>
        <w:t xml:space="preserve">a dopravné prostriedky </w:t>
      </w:r>
      <w:r w:rsidRPr="00E21C60">
        <w:rPr>
          <w:rFonts w:ascii="Arial" w:hAnsi="Arial" w:cs="Arial"/>
          <w:i/>
          <w:sz w:val="20"/>
          <w:szCs w:val="20"/>
        </w:rPr>
        <w:t>integrovaných dopravných systémov</w:t>
      </w:r>
      <w:r w:rsidRPr="00E21C60">
        <w:rPr>
          <w:rFonts w:ascii="Arial" w:hAnsi="Arial" w:cs="Arial"/>
          <w:sz w:val="20"/>
          <w:szCs w:val="20"/>
        </w:rPr>
        <w:t xml:space="preserve"> </w:t>
      </w:r>
      <w:r w:rsidR="00D739FA">
        <w:rPr>
          <w:rFonts w:ascii="Arial" w:hAnsi="Arial" w:cs="Arial"/>
          <w:sz w:val="20"/>
          <w:szCs w:val="20"/>
        </w:rPr>
        <w:br/>
      </w:r>
      <w:r w:rsidRPr="00E21C60">
        <w:rPr>
          <w:rFonts w:ascii="Arial" w:hAnsi="Arial" w:cs="Arial"/>
          <w:i/>
          <w:sz w:val="20"/>
          <w:szCs w:val="20"/>
        </w:rPr>
        <w:t>OP Doprava</w:t>
      </w:r>
      <w:r w:rsidRPr="00E21C60">
        <w:rPr>
          <w:rFonts w:ascii="Arial" w:hAnsi="Arial" w:cs="Arial"/>
          <w:sz w:val="20"/>
          <w:szCs w:val="20"/>
        </w:rPr>
        <w:t xml:space="preserve"> </w:t>
      </w:r>
      <w:r w:rsidR="00264EF7">
        <w:rPr>
          <w:rFonts w:ascii="Arial" w:hAnsi="Arial" w:cs="Arial"/>
          <w:sz w:val="20"/>
          <w:szCs w:val="20"/>
        </w:rPr>
        <w:t>bola</w:t>
      </w:r>
      <w:r w:rsidR="00264EF7" w:rsidRPr="00E21C60">
        <w:rPr>
          <w:rFonts w:ascii="Arial" w:hAnsi="Arial" w:cs="Arial"/>
          <w:sz w:val="20"/>
          <w:szCs w:val="20"/>
        </w:rPr>
        <w:t xml:space="preserve"> </w:t>
      </w:r>
      <w:r w:rsidRPr="00E21C60">
        <w:rPr>
          <w:rFonts w:ascii="Arial" w:hAnsi="Arial" w:cs="Arial"/>
          <w:sz w:val="20"/>
          <w:szCs w:val="20"/>
        </w:rPr>
        <w:t>podporovaná výstavba</w:t>
      </w:r>
      <w:r>
        <w:rPr>
          <w:rFonts w:ascii="Arial" w:hAnsi="Arial" w:cs="Arial"/>
          <w:sz w:val="20"/>
          <w:szCs w:val="20"/>
        </w:rPr>
        <w:t xml:space="preserve"> a modernizácia mestských dráhových systémov (električkové a trolejbusové dráhy), ako aj obnova mobilného parku mestskej dráhovej dopravy</w:t>
      </w:r>
      <w:r w:rsidRPr="00E21C60">
        <w:rPr>
          <w:rFonts w:ascii="Arial" w:hAnsi="Arial" w:cs="Arial"/>
          <w:sz w:val="20"/>
          <w:szCs w:val="20"/>
        </w:rPr>
        <w:t xml:space="preserve"> v mestách Bratislava a</w:t>
      </w:r>
      <w:r>
        <w:rPr>
          <w:rFonts w:ascii="Arial" w:hAnsi="Arial" w:cs="Arial"/>
          <w:sz w:val="20"/>
          <w:szCs w:val="20"/>
        </w:rPr>
        <w:t> </w:t>
      </w:r>
      <w:r w:rsidRPr="00E21C60">
        <w:rPr>
          <w:rFonts w:ascii="Arial" w:hAnsi="Arial" w:cs="Arial"/>
          <w:sz w:val="20"/>
          <w:szCs w:val="20"/>
        </w:rPr>
        <w:t>Košice</w:t>
      </w:r>
      <w:r>
        <w:rPr>
          <w:rFonts w:ascii="Arial" w:hAnsi="Arial" w:cs="Arial"/>
          <w:sz w:val="20"/>
          <w:szCs w:val="20"/>
        </w:rPr>
        <w:t xml:space="preserve">. Zároveň prostredníctvom tejto prioritnej osi </w:t>
      </w:r>
      <w:r w:rsidR="00264EF7">
        <w:rPr>
          <w:rFonts w:ascii="Arial" w:hAnsi="Arial" w:cs="Arial"/>
          <w:sz w:val="20"/>
          <w:szCs w:val="20"/>
        </w:rPr>
        <w:t xml:space="preserve">bola </w:t>
      </w:r>
      <w:r>
        <w:rPr>
          <w:rFonts w:ascii="Arial" w:hAnsi="Arial" w:cs="Arial"/>
          <w:sz w:val="20"/>
          <w:szCs w:val="20"/>
        </w:rPr>
        <w:t>podporovaná aj obnova</w:t>
      </w:r>
      <w:r w:rsidRPr="00A658C8">
        <w:rPr>
          <w:rFonts w:ascii="Arial" w:hAnsi="Arial" w:cs="Arial"/>
          <w:sz w:val="20"/>
          <w:szCs w:val="20"/>
        </w:rPr>
        <w:t xml:space="preserve"> parku železničných koľajových vozidiel</w:t>
      </w:r>
      <w:r>
        <w:rPr>
          <w:rFonts w:ascii="Arial" w:hAnsi="Arial" w:cs="Arial"/>
          <w:sz w:val="20"/>
          <w:szCs w:val="20"/>
        </w:rPr>
        <w:t xml:space="preserve"> v procese budovania integrovaných dopravných systémov pri už spomínaných dvoch metropolách.</w:t>
      </w:r>
      <w:r w:rsidRPr="00E21C60">
        <w:rPr>
          <w:rFonts w:ascii="Arial" w:hAnsi="Arial" w:cs="Arial"/>
          <w:sz w:val="20"/>
          <w:szCs w:val="20"/>
        </w:rPr>
        <w:t xml:space="preserve"> </w:t>
      </w:r>
      <w:r>
        <w:rPr>
          <w:rFonts w:ascii="Arial" w:hAnsi="Arial" w:cs="Arial"/>
          <w:sz w:val="20"/>
          <w:szCs w:val="20"/>
        </w:rPr>
        <w:t>Synergicky cez</w:t>
      </w:r>
      <w:r w:rsidRPr="00E21C60">
        <w:rPr>
          <w:rFonts w:ascii="Arial" w:hAnsi="Arial" w:cs="Arial"/>
          <w:sz w:val="20"/>
          <w:szCs w:val="20"/>
        </w:rPr>
        <w:t xml:space="preserve"> prioritn</w:t>
      </w:r>
      <w:r>
        <w:rPr>
          <w:rFonts w:ascii="Arial" w:hAnsi="Arial" w:cs="Arial"/>
          <w:sz w:val="20"/>
          <w:szCs w:val="20"/>
        </w:rPr>
        <w:t>ú</w:t>
      </w:r>
      <w:r w:rsidRPr="00E21C60">
        <w:rPr>
          <w:rFonts w:ascii="Arial" w:hAnsi="Arial" w:cs="Arial"/>
          <w:sz w:val="20"/>
          <w:szCs w:val="20"/>
        </w:rPr>
        <w:t xml:space="preserve"> os 6 Železničná verejná osobná doprava do</w:t>
      </w:r>
      <w:r>
        <w:rPr>
          <w:rFonts w:ascii="Arial" w:hAnsi="Arial" w:cs="Arial"/>
          <w:sz w:val="20"/>
          <w:szCs w:val="20"/>
        </w:rPr>
        <w:t>šlo</w:t>
      </w:r>
      <w:r w:rsidRPr="00E21C60">
        <w:rPr>
          <w:rFonts w:ascii="Arial" w:hAnsi="Arial" w:cs="Arial"/>
          <w:sz w:val="20"/>
          <w:szCs w:val="20"/>
        </w:rPr>
        <w:t xml:space="preserve"> </w:t>
      </w:r>
      <w:r>
        <w:rPr>
          <w:rFonts w:ascii="Arial" w:hAnsi="Arial" w:cs="Arial"/>
          <w:sz w:val="20"/>
          <w:szCs w:val="20"/>
        </w:rPr>
        <w:t xml:space="preserve">tiež </w:t>
      </w:r>
      <w:r w:rsidRPr="00E21C60">
        <w:rPr>
          <w:rFonts w:ascii="Arial" w:hAnsi="Arial" w:cs="Arial"/>
          <w:sz w:val="20"/>
          <w:szCs w:val="20"/>
        </w:rPr>
        <w:t xml:space="preserve">k obnove železničných koľajových vozidiel pre </w:t>
      </w:r>
      <w:r>
        <w:rPr>
          <w:rFonts w:ascii="Arial" w:hAnsi="Arial" w:cs="Arial"/>
          <w:sz w:val="20"/>
          <w:szCs w:val="20"/>
        </w:rPr>
        <w:t xml:space="preserve">regionálnu železničnú </w:t>
      </w:r>
      <w:r w:rsidRPr="00E21C60">
        <w:rPr>
          <w:rFonts w:ascii="Arial" w:hAnsi="Arial" w:cs="Arial"/>
          <w:sz w:val="20"/>
          <w:szCs w:val="20"/>
        </w:rPr>
        <w:t xml:space="preserve">osobnú dopravu. </w:t>
      </w:r>
      <w:r w:rsidR="002416B1" w:rsidRPr="00E21C60">
        <w:rPr>
          <w:rFonts w:ascii="Arial" w:hAnsi="Arial" w:cs="Arial"/>
          <w:bCs/>
          <w:iCs/>
          <w:sz w:val="20"/>
          <w:szCs w:val="20"/>
        </w:rPr>
        <w:t>Realizáciou prioritnej osi 4 s nadväznosťou na prioritnú os 6 sa vytvori</w:t>
      </w:r>
      <w:r w:rsidR="006B6196">
        <w:rPr>
          <w:rFonts w:ascii="Arial" w:hAnsi="Arial" w:cs="Arial"/>
          <w:bCs/>
          <w:iCs/>
          <w:sz w:val="20"/>
          <w:szCs w:val="20"/>
        </w:rPr>
        <w:t>li</w:t>
      </w:r>
      <w:r w:rsidR="002416B1" w:rsidRPr="00E21C60">
        <w:rPr>
          <w:rFonts w:ascii="Arial" w:hAnsi="Arial" w:cs="Arial"/>
          <w:bCs/>
          <w:iCs/>
          <w:sz w:val="20"/>
          <w:szCs w:val="20"/>
        </w:rPr>
        <w:t xml:space="preserve"> podmienky pre zvýšenie podielu ekologickej verejnej železničnej osobnej dopravy, ako aj mestskej hromadnej dopravy. </w:t>
      </w:r>
      <w:r w:rsidR="002416B1" w:rsidRPr="00E21C60">
        <w:rPr>
          <w:rFonts w:ascii="Arial" w:hAnsi="Arial" w:cs="Arial"/>
          <w:i/>
          <w:sz w:val="20"/>
          <w:szCs w:val="20"/>
        </w:rPr>
        <w:t>V rámci operačného cieľa 3.1 Ochrana ovzdušia OP ŽP</w:t>
      </w:r>
      <w:r w:rsidR="002416B1" w:rsidRPr="00E21C60">
        <w:rPr>
          <w:rFonts w:ascii="Arial" w:hAnsi="Arial" w:cs="Arial"/>
          <w:sz w:val="20"/>
          <w:szCs w:val="20"/>
        </w:rPr>
        <w:t xml:space="preserve"> </w:t>
      </w:r>
      <w:r w:rsidR="009106C5">
        <w:rPr>
          <w:rFonts w:ascii="Arial" w:hAnsi="Arial" w:cs="Arial"/>
          <w:sz w:val="20"/>
          <w:szCs w:val="20"/>
        </w:rPr>
        <w:t>sa podpora</w:t>
      </w:r>
      <w:r w:rsidR="002416B1" w:rsidRPr="00E21C60">
        <w:rPr>
          <w:rFonts w:ascii="Arial" w:hAnsi="Arial" w:cs="Arial"/>
          <w:sz w:val="20"/>
          <w:szCs w:val="20"/>
        </w:rPr>
        <w:t>, prioritne v oblastiach vyžadujúcich osobitnú ochranu ovzdušia, zamer</w:t>
      </w:r>
      <w:r w:rsidR="009106C5">
        <w:rPr>
          <w:rFonts w:ascii="Arial" w:hAnsi="Arial" w:cs="Arial"/>
          <w:sz w:val="20"/>
          <w:szCs w:val="20"/>
        </w:rPr>
        <w:t>i</w:t>
      </w:r>
      <w:r w:rsidR="002416B1" w:rsidRPr="00E21C60">
        <w:rPr>
          <w:rFonts w:ascii="Arial" w:hAnsi="Arial" w:cs="Arial"/>
          <w:sz w:val="20"/>
          <w:szCs w:val="20"/>
        </w:rPr>
        <w:t>a</w:t>
      </w:r>
      <w:r w:rsidR="009106C5">
        <w:rPr>
          <w:rFonts w:ascii="Arial" w:hAnsi="Arial" w:cs="Arial"/>
          <w:sz w:val="20"/>
          <w:szCs w:val="20"/>
        </w:rPr>
        <w:t>va</w:t>
      </w:r>
      <w:r w:rsidR="006B6196">
        <w:rPr>
          <w:rFonts w:ascii="Arial" w:hAnsi="Arial" w:cs="Arial"/>
          <w:sz w:val="20"/>
          <w:szCs w:val="20"/>
        </w:rPr>
        <w:t>la</w:t>
      </w:r>
      <w:r w:rsidR="002416B1" w:rsidRPr="00E21C60">
        <w:rPr>
          <w:rFonts w:ascii="Arial" w:hAnsi="Arial" w:cs="Arial"/>
          <w:sz w:val="20"/>
          <w:szCs w:val="20"/>
        </w:rPr>
        <w:t xml:space="preserve"> </w:t>
      </w:r>
      <w:r w:rsidR="009106C5">
        <w:rPr>
          <w:rFonts w:ascii="Arial" w:hAnsi="Arial" w:cs="Arial"/>
          <w:sz w:val="20"/>
          <w:szCs w:val="20"/>
        </w:rPr>
        <w:t xml:space="preserve">na aktivity </w:t>
      </w:r>
      <w:r w:rsidR="002416B1" w:rsidRPr="00E21C60">
        <w:rPr>
          <w:rFonts w:ascii="Arial" w:hAnsi="Arial" w:cs="Arial"/>
          <w:sz w:val="20"/>
          <w:szCs w:val="20"/>
        </w:rPr>
        <w:t xml:space="preserve">na zníženie emisií znečisťujúcich látok z verejnej dopravy, ktorá patrí k mobilným zdrojom znečisťovania ovzdušia. </w:t>
      </w:r>
      <w:r w:rsidR="009106C5">
        <w:rPr>
          <w:rFonts w:ascii="Arial" w:hAnsi="Arial" w:cs="Arial"/>
          <w:sz w:val="20"/>
          <w:szCs w:val="20"/>
        </w:rPr>
        <w:t xml:space="preserve">Oprávnenou aktivitou </w:t>
      </w:r>
      <w:r w:rsidR="006B6196">
        <w:rPr>
          <w:rFonts w:ascii="Arial" w:hAnsi="Arial" w:cs="Arial"/>
          <w:sz w:val="20"/>
          <w:szCs w:val="20"/>
        </w:rPr>
        <w:t xml:space="preserve">bola </w:t>
      </w:r>
      <w:r w:rsidR="009106C5">
        <w:rPr>
          <w:rFonts w:ascii="Arial" w:hAnsi="Arial" w:cs="Arial"/>
          <w:sz w:val="20"/>
          <w:szCs w:val="20"/>
        </w:rPr>
        <w:t>tiež</w:t>
      </w:r>
      <w:r w:rsidR="002416B1" w:rsidRPr="00E21C60">
        <w:rPr>
          <w:rFonts w:ascii="Arial" w:hAnsi="Arial" w:cs="Arial"/>
          <w:sz w:val="20"/>
          <w:szCs w:val="20"/>
        </w:rPr>
        <w:t xml:space="preserve"> plynofikácia autobusov verejnej dopravy (mestskej aj medzimestskej) a budovanie CNG čerpacích staníc, ako aj nákup trolejbusov</w:t>
      </w:r>
      <w:r w:rsidR="006B6196">
        <w:rPr>
          <w:rFonts w:ascii="Arial" w:hAnsi="Arial" w:cs="Arial"/>
          <w:sz w:val="20"/>
          <w:szCs w:val="20"/>
        </w:rPr>
        <w:t>, elektrobusov</w:t>
      </w:r>
      <w:r w:rsidR="002416B1" w:rsidRPr="00E21C60">
        <w:rPr>
          <w:rFonts w:ascii="Arial" w:hAnsi="Arial" w:cs="Arial"/>
          <w:sz w:val="20"/>
          <w:szCs w:val="20"/>
        </w:rPr>
        <w:t xml:space="preserve"> a električiek ako náhrady za autobusovú dopravu.</w:t>
      </w:r>
    </w:p>
    <w:p w14:paraId="4FFB7FB7" w14:textId="77777777" w:rsidR="002416B1" w:rsidRPr="00E21C60" w:rsidRDefault="002416B1" w:rsidP="00123376">
      <w:pPr>
        <w:spacing w:before="120" w:after="120"/>
        <w:jc w:val="both"/>
        <w:rPr>
          <w:rFonts w:ascii="Arial" w:hAnsi="Arial" w:cs="Arial"/>
          <w:sz w:val="20"/>
          <w:szCs w:val="20"/>
        </w:rPr>
      </w:pPr>
      <w:r w:rsidRPr="00E21C60">
        <w:rPr>
          <w:rFonts w:ascii="Arial" w:hAnsi="Arial" w:cs="Arial"/>
          <w:i/>
          <w:sz w:val="20"/>
          <w:szCs w:val="20"/>
          <w:u w:val="single"/>
        </w:rPr>
        <w:t xml:space="preserve">Dodržiavanie deliacej línie na úrovni projektov medzi OP Bratislavský kraj (ďalej len „OP BK“) </w:t>
      </w:r>
      <w:r w:rsidR="00D739FA">
        <w:rPr>
          <w:rFonts w:ascii="Arial" w:hAnsi="Arial" w:cs="Arial"/>
          <w:i/>
          <w:sz w:val="20"/>
          <w:szCs w:val="20"/>
          <w:u w:val="single"/>
        </w:rPr>
        <w:br/>
      </w:r>
      <w:r w:rsidRPr="00E21C60">
        <w:rPr>
          <w:rFonts w:ascii="Arial" w:hAnsi="Arial" w:cs="Arial"/>
          <w:i/>
          <w:sz w:val="20"/>
          <w:szCs w:val="20"/>
          <w:u w:val="single"/>
        </w:rPr>
        <w:t>a OP ŽP:</w:t>
      </w:r>
    </w:p>
    <w:p w14:paraId="20AE7AEE" w14:textId="77777777" w:rsidR="00383999" w:rsidRPr="00E21C60" w:rsidRDefault="00383999" w:rsidP="00383999">
      <w:pPr>
        <w:spacing w:before="120" w:after="120"/>
        <w:jc w:val="both"/>
        <w:rPr>
          <w:rFonts w:ascii="Arial" w:hAnsi="Arial" w:cs="Arial"/>
          <w:b/>
          <w:bCs/>
          <w:sz w:val="20"/>
          <w:szCs w:val="20"/>
          <w:u w:val="single"/>
        </w:rPr>
      </w:pPr>
      <w:r w:rsidRPr="00E21C60">
        <w:rPr>
          <w:rFonts w:ascii="Arial" w:hAnsi="Arial" w:cs="Arial"/>
          <w:bCs/>
          <w:sz w:val="20"/>
          <w:szCs w:val="20"/>
        </w:rPr>
        <w:t xml:space="preserve">Deliaca línia s operačným cieľom 3.2 OP ŽP, financovaným z ERDF, je daná hranicami území oprávnenými pre cieľ Konvergencia a Regionálna konkurencieschopnosť a zamestnanosť. </w:t>
      </w:r>
      <w:r w:rsidRPr="00E21C60">
        <w:rPr>
          <w:rFonts w:ascii="Arial" w:hAnsi="Arial" w:cs="Arial"/>
          <w:bCs/>
          <w:i/>
          <w:sz w:val="20"/>
          <w:szCs w:val="20"/>
        </w:rPr>
        <w:t>V rámci opatrenia 2.1 Inovácie a technologické transfery OP BK</w:t>
      </w:r>
      <w:r w:rsidRPr="00E21C60">
        <w:rPr>
          <w:rFonts w:ascii="Arial" w:hAnsi="Arial" w:cs="Arial"/>
          <w:bCs/>
          <w:sz w:val="20"/>
          <w:szCs w:val="20"/>
        </w:rPr>
        <w:t xml:space="preserve"> </w:t>
      </w:r>
      <w:r>
        <w:rPr>
          <w:rFonts w:ascii="Arial" w:hAnsi="Arial" w:cs="Arial"/>
          <w:bCs/>
          <w:sz w:val="20"/>
          <w:szCs w:val="20"/>
        </w:rPr>
        <w:t>boli</w:t>
      </w:r>
      <w:r w:rsidRPr="00E21C60">
        <w:rPr>
          <w:rFonts w:ascii="Arial" w:hAnsi="Arial" w:cs="Arial"/>
          <w:bCs/>
          <w:sz w:val="20"/>
          <w:szCs w:val="20"/>
        </w:rPr>
        <w:t xml:space="preserve"> podporované aktivity na území Bratislavského kraja. V rámci prioritnej osi 3 OP ŽP </w:t>
      </w:r>
      <w:r>
        <w:rPr>
          <w:rFonts w:ascii="Arial" w:hAnsi="Arial" w:cs="Arial"/>
          <w:bCs/>
          <w:sz w:val="20"/>
          <w:szCs w:val="20"/>
        </w:rPr>
        <w:t>boli</w:t>
      </w:r>
      <w:r w:rsidRPr="00E21C60">
        <w:rPr>
          <w:rFonts w:ascii="Arial" w:hAnsi="Arial" w:cs="Arial"/>
          <w:bCs/>
          <w:sz w:val="20"/>
          <w:szCs w:val="20"/>
        </w:rPr>
        <w:t xml:space="preserve"> podporované aktivity na celom území SR s výnimkou Bratislavského kraja.</w:t>
      </w:r>
    </w:p>
    <w:p w14:paraId="60AEC4FD" w14:textId="77777777" w:rsidR="00383999" w:rsidRPr="00E21C60" w:rsidRDefault="00383999" w:rsidP="00F87D11">
      <w:pPr>
        <w:spacing w:before="120"/>
        <w:jc w:val="both"/>
        <w:rPr>
          <w:rFonts w:ascii="Arial" w:hAnsi="Arial" w:cs="Arial"/>
          <w:bCs/>
          <w:sz w:val="20"/>
          <w:szCs w:val="20"/>
        </w:rPr>
      </w:pPr>
      <w:r w:rsidRPr="00E21C60">
        <w:rPr>
          <w:rFonts w:ascii="Arial" w:hAnsi="Arial" w:cs="Arial"/>
          <w:bCs/>
          <w:sz w:val="20"/>
          <w:szCs w:val="20"/>
        </w:rPr>
        <w:lastRenderedPageBreak/>
        <w:t xml:space="preserve">Deliaca línia s operačným cieľom 5.1 (programy starostlivosti) OP ŽP, financovaným z ERDF, </w:t>
      </w:r>
      <w:r>
        <w:rPr>
          <w:rFonts w:ascii="Arial" w:hAnsi="Arial" w:cs="Arial"/>
          <w:bCs/>
          <w:sz w:val="20"/>
          <w:szCs w:val="20"/>
        </w:rPr>
        <w:t>bola</w:t>
      </w:r>
      <w:r w:rsidRPr="00E21C60">
        <w:rPr>
          <w:rFonts w:ascii="Arial" w:hAnsi="Arial" w:cs="Arial"/>
          <w:bCs/>
          <w:sz w:val="20"/>
          <w:szCs w:val="20"/>
        </w:rPr>
        <w:t xml:space="preserve"> daná hranicami území oprávnenými pre cieľ Konvergencia a Regionálna konkurencieschopnosť a zamestnanosť. </w:t>
      </w:r>
      <w:r w:rsidRPr="00E21C60">
        <w:rPr>
          <w:rFonts w:ascii="Arial" w:hAnsi="Arial" w:cs="Arial"/>
          <w:bCs/>
          <w:i/>
          <w:sz w:val="20"/>
          <w:szCs w:val="20"/>
        </w:rPr>
        <w:t>V rámci OP BK Opatrenie 1.1 Regenerácia sídiel</w:t>
      </w:r>
      <w:r w:rsidRPr="00E21C60">
        <w:rPr>
          <w:rFonts w:ascii="Arial" w:hAnsi="Arial" w:cs="Arial"/>
          <w:bCs/>
          <w:sz w:val="20"/>
          <w:szCs w:val="20"/>
        </w:rPr>
        <w:t xml:space="preserve"> </w:t>
      </w:r>
      <w:r>
        <w:rPr>
          <w:rFonts w:ascii="Arial" w:hAnsi="Arial" w:cs="Arial"/>
          <w:bCs/>
          <w:sz w:val="20"/>
          <w:szCs w:val="20"/>
        </w:rPr>
        <w:t>boli</w:t>
      </w:r>
      <w:r w:rsidRPr="00E21C60">
        <w:rPr>
          <w:rFonts w:ascii="Arial" w:hAnsi="Arial" w:cs="Arial"/>
          <w:bCs/>
          <w:sz w:val="20"/>
          <w:szCs w:val="20"/>
        </w:rPr>
        <w:t xml:space="preserve"> podporované aktivity na území Bratislavského kraja. </w:t>
      </w:r>
      <w:r w:rsidRPr="00E21C60">
        <w:rPr>
          <w:rFonts w:ascii="Arial" w:hAnsi="Arial" w:cs="Arial"/>
          <w:bCs/>
          <w:i/>
          <w:sz w:val="20"/>
          <w:szCs w:val="20"/>
        </w:rPr>
        <w:t>V rámci prioritnej osi 5 OP ŽP</w:t>
      </w:r>
      <w:r w:rsidRPr="00E21C60">
        <w:rPr>
          <w:rFonts w:ascii="Arial" w:hAnsi="Arial" w:cs="Arial"/>
          <w:bCs/>
          <w:sz w:val="20"/>
          <w:szCs w:val="20"/>
        </w:rPr>
        <w:t xml:space="preserve"> </w:t>
      </w:r>
      <w:r>
        <w:rPr>
          <w:rFonts w:ascii="Arial" w:hAnsi="Arial" w:cs="Arial"/>
          <w:bCs/>
          <w:sz w:val="20"/>
          <w:szCs w:val="20"/>
        </w:rPr>
        <w:t>boli</w:t>
      </w:r>
      <w:r w:rsidRPr="00E21C60">
        <w:rPr>
          <w:rFonts w:ascii="Arial" w:hAnsi="Arial" w:cs="Arial"/>
          <w:bCs/>
          <w:sz w:val="20"/>
          <w:szCs w:val="20"/>
        </w:rPr>
        <w:t xml:space="preserve"> podporované aktivity na celom území SR s výnimkou Bratislavského kraja.</w:t>
      </w:r>
    </w:p>
    <w:p w14:paraId="1C765E7D" w14:textId="77777777" w:rsidR="000F3DBC" w:rsidRDefault="000F3DBC" w:rsidP="00F57004">
      <w:pPr>
        <w:keepNext/>
        <w:shd w:val="clear" w:color="auto" w:fill="FFFFFF" w:themeFill="background1"/>
        <w:spacing w:before="120" w:after="120"/>
        <w:contextualSpacing/>
        <w:jc w:val="both"/>
        <w:rPr>
          <w:rFonts w:ascii="Arial" w:hAnsi="Arial" w:cs="Arial"/>
          <w:b/>
          <w:iCs/>
          <w:snapToGrid w:val="0"/>
          <w:color w:val="1E1E1E"/>
          <w:sz w:val="20"/>
          <w:szCs w:val="22"/>
          <w:lang w:eastAsia="en-US"/>
        </w:rPr>
      </w:pPr>
    </w:p>
    <w:p w14:paraId="74A534E2" w14:textId="77777777" w:rsidR="00F57004" w:rsidRPr="007441E0" w:rsidRDefault="00F57004" w:rsidP="00F57004">
      <w:pPr>
        <w:keepNext/>
        <w:shd w:val="clear" w:color="auto" w:fill="FFFFFF" w:themeFill="background1"/>
        <w:spacing w:before="120" w:after="120"/>
        <w:contextualSpacing/>
        <w:jc w:val="both"/>
        <w:rPr>
          <w:rFonts w:ascii="Arial" w:hAnsi="Arial" w:cs="Arial"/>
          <w:iCs/>
          <w:snapToGrid w:val="0"/>
          <w:color w:val="1E1E1E"/>
          <w:sz w:val="20"/>
          <w:szCs w:val="22"/>
          <w:lang w:eastAsia="en-US"/>
        </w:rPr>
      </w:pPr>
      <w:r w:rsidRPr="007441E0">
        <w:rPr>
          <w:rFonts w:ascii="Arial" w:hAnsi="Arial" w:cs="Arial"/>
          <w:b/>
          <w:iCs/>
          <w:snapToGrid w:val="0"/>
          <w:color w:val="1E1E1E"/>
          <w:sz w:val="20"/>
          <w:szCs w:val="22"/>
          <w:lang w:eastAsia="en-US"/>
        </w:rPr>
        <w:t>Programy nadnárodnej spolupráce</w:t>
      </w:r>
      <w:r w:rsidRPr="007441E0">
        <w:rPr>
          <w:rFonts w:ascii="Arial" w:hAnsi="Arial" w:cs="Arial"/>
          <w:iCs/>
          <w:snapToGrid w:val="0"/>
          <w:color w:val="1E1E1E"/>
          <w:sz w:val="20"/>
          <w:szCs w:val="22"/>
          <w:lang w:eastAsia="en-US"/>
        </w:rPr>
        <w:t xml:space="preserve"> </w:t>
      </w:r>
    </w:p>
    <w:p w14:paraId="00EAB81E" w14:textId="77777777" w:rsidR="00F57004" w:rsidRPr="00F57004" w:rsidRDefault="00F57004" w:rsidP="00F57004">
      <w:pPr>
        <w:keepNext/>
        <w:shd w:val="clear" w:color="auto" w:fill="FFFFFF" w:themeFill="background1"/>
        <w:spacing w:before="120" w:after="120"/>
        <w:contextualSpacing/>
        <w:jc w:val="both"/>
        <w:rPr>
          <w:b/>
          <w:iCs/>
          <w:snapToGrid w:val="0"/>
          <w:color w:val="1E1E1E"/>
          <w:sz w:val="22"/>
          <w:szCs w:val="22"/>
          <w:lang w:eastAsia="en-US"/>
        </w:rPr>
      </w:pPr>
    </w:p>
    <w:p w14:paraId="47A60DAC" w14:textId="3F766F6F" w:rsidR="00F57004" w:rsidRPr="007441E0" w:rsidRDefault="001A0789" w:rsidP="00F87D11">
      <w:pPr>
        <w:shd w:val="clear" w:color="auto" w:fill="FFFFFF"/>
        <w:spacing w:before="120"/>
        <w:jc w:val="both"/>
        <w:rPr>
          <w:rFonts w:ascii="Arial" w:hAnsi="Arial" w:cs="Arial"/>
          <w:sz w:val="20"/>
          <w:szCs w:val="20"/>
        </w:rPr>
      </w:pPr>
      <w:r w:rsidRPr="001A0789">
        <w:rPr>
          <w:rFonts w:ascii="Arial" w:hAnsi="Arial" w:cs="Arial"/>
          <w:sz w:val="20"/>
          <w:szCs w:val="20"/>
        </w:rPr>
        <w:t xml:space="preserve">Programy nadnárodnej spolupráce Juhovýchodná Európa a Stredná Európa patrili k programom cieľa 3 kohéznej politiky, ktorým bola Európska územná spolupráca. Cieľ 3 bol definovaný v súlade s nariadením rady (ES) č. 1083/2006 z 11. júla 2006, ktorým sa ustanovujú všeobecné ustanovenia o Európskom fonde regionálneho rozvoja, Európskom sociálnom fonde a Kohéznom fonde a ktorým sa zrušuje nariadenie (ES) č. 1260/1999 v znení neskorších predpisov. Ministerstvo životného prostredia Slovenskej republiky plnilo funkciu Národného orgánu pre oba programy. </w:t>
      </w:r>
    </w:p>
    <w:p w14:paraId="486750DC" w14:textId="77777777" w:rsidR="00F57004" w:rsidRPr="00F57004" w:rsidRDefault="00F57004" w:rsidP="00F57004">
      <w:pPr>
        <w:keepNext/>
        <w:shd w:val="clear" w:color="auto" w:fill="FFFFFF" w:themeFill="background1"/>
        <w:spacing w:before="120" w:after="120"/>
        <w:contextualSpacing/>
        <w:jc w:val="both"/>
        <w:rPr>
          <w:iCs/>
          <w:snapToGrid w:val="0"/>
          <w:color w:val="1E1E1E"/>
          <w:sz w:val="22"/>
          <w:szCs w:val="22"/>
          <w:lang w:eastAsia="en-US"/>
        </w:rPr>
      </w:pPr>
    </w:p>
    <w:p w14:paraId="147C049D" w14:textId="77777777" w:rsidR="00F57004" w:rsidRPr="007441E0" w:rsidRDefault="00F57004" w:rsidP="000F3DBC">
      <w:pPr>
        <w:keepNext/>
        <w:shd w:val="clear" w:color="auto" w:fill="FFFFFF" w:themeFill="background1"/>
        <w:spacing w:before="120" w:after="120"/>
        <w:contextualSpacing/>
        <w:rPr>
          <w:rFonts w:ascii="Arial" w:hAnsi="Arial" w:cs="Arial"/>
          <w:b/>
          <w:iCs/>
          <w:snapToGrid w:val="0"/>
          <w:color w:val="1E1E1E"/>
          <w:sz w:val="20"/>
          <w:szCs w:val="22"/>
          <w:lang w:eastAsia="en-US"/>
        </w:rPr>
      </w:pPr>
      <w:r w:rsidRPr="007441E0">
        <w:rPr>
          <w:rFonts w:ascii="Arial" w:hAnsi="Arial" w:cs="Arial"/>
          <w:b/>
          <w:iCs/>
          <w:snapToGrid w:val="0"/>
          <w:color w:val="1E1E1E"/>
          <w:sz w:val="20"/>
          <w:szCs w:val="22"/>
          <w:lang w:eastAsia="en-US"/>
        </w:rPr>
        <w:t xml:space="preserve">Program nadnárodnej spolupráce Juhovýchodná Európa </w:t>
      </w:r>
    </w:p>
    <w:p w14:paraId="6CD6D06A" w14:textId="77777777" w:rsidR="00F57004" w:rsidRPr="00F57004" w:rsidRDefault="00F57004" w:rsidP="00F57004">
      <w:pPr>
        <w:keepNext/>
        <w:shd w:val="clear" w:color="auto" w:fill="FFFFFF" w:themeFill="background1"/>
        <w:spacing w:before="120" w:after="120"/>
        <w:ind w:left="360" w:hanging="360"/>
        <w:contextualSpacing/>
        <w:rPr>
          <w:b/>
          <w:iCs/>
          <w:snapToGrid w:val="0"/>
          <w:color w:val="1E1E1E"/>
          <w:sz w:val="22"/>
          <w:szCs w:val="22"/>
          <w:lang w:eastAsia="en-US"/>
        </w:rPr>
      </w:pPr>
    </w:p>
    <w:p w14:paraId="28E0C8B4" w14:textId="77777777" w:rsidR="001A0789" w:rsidRPr="001A0789" w:rsidRDefault="001A0789" w:rsidP="001A0789">
      <w:pPr>
        <w:shd w:val="clear" w:color="auto" w:fill="FFFFFF"/>
        <w:spacing w:before="120" w:after="120"/>
        <w:jc w:val="both"/>
        <w:rPr>
          <w:rFonts w:ascii="Arial" w:hAnsi="Arial" w:cs="Arial"/>
          <w:sz w:val="20"/>
          <w:szCs w:val="20"/>
        </w:rPr>
      </w:pPr>
      <w:r w:rsidRPr="001A0789">
        <w:rPr>
          <w:rFonts w:ascii="Arial" w:hAnsi="Arial" w:cs="Arial"/>
          <w:sz w:val="20"/>
          <w:szCs w:val="20"/>
        </w:rPr>
        <w:t xml:space="preserve">Program Juhovýchodná Európa rozvíjal nadnárodné partnerstvá strategického významu a zahŕňal celkom 16 krajín: Albánsko, Bosna a Hercegovina, Bulharsko, bývalá juhoslovanská republika Macedónsko, Chorvátsko, Čierna Hora, Grécko, Maďarsko, Moldavsko, Rakúsko, Rumunsko, Slovensko, Slovinsko, Srbsko, Taliansko a Ukrajina. </w:t>
      </w:r>
    </w:p>
    <w:p w14:paraId="52805BE9" w14:textId="77777777" w:rsidR="001A0789" w:rsidRPr="001A0789" w:rsidRDefault="001A0789" w:rsidP="001A0789">
      <w:pPr>
        <w:shd w:val="clear" w:color="auto" w:fill="FFFFFF"/>
        <w:spacing w:before="120" w:after="120"/>
        <w:jc w:val="both"/>
        <w:rPr>
          <w:rFonts w:ascii="Arial" w:hAnsi="Arial" w:cs="Arial"/>
          <w:sz w:val="20"/>
          <w:szCs w:val="20"/>
        </w:rPr>
      </w:pPr>
      <w:r w:rsidRPr="001A0789">
        <w:rPr>
          <w:rFonts w:ascii="Arial" w:hAnsi="Arial" w:cs="Arial"/>
          <w:sz w:val="20"/>
          <w:szCs w:val="20"/>
        </w:rPr>
        <w:t xml:space="preserve">Hlavným programovým cieľom bolo prispieť k zlepšeniu procesu územnej, ekonomickej a sociálnej integrácie v juhovýchodnej Európe, a  tak prispieť ku kohézii, stabilite a konkurencieschopnosti územia cez vytvorenie nadnárodných partnerstiev. </w:t>
      </w:r>
    </w:p>
    <w:p w14:paraId="2152CE2A" w14:textId="77777777" w:rsidR="001A0789" w:rsidRPr="001A0789" w:rsidRDefault="001A0789" w:rsidP="001A0789">
      <w:pPr>
        <w:shd w:val="clear" w:color="auto" w:fill="FFFFFF"/>
        <w:spacing w:before="120" w:after="120"/>
        <w:jc w:val="both"/>
        <w:rPr>
          <w:rFonts w:ascii="Arial" w:hAnsi="Arial" w:cs="Arial"/>
          <w:sz w:val="20"/>
          <w:szCs w:val="20"/>
        </w:rPr>
      </w:pPr>
      <w:r w:rsidRPr="001A0789">
        <w:rPr>
          <w:rFonts w:ascii="Arial" w:hAnsi="Arial" w:cs="Arial"/>
          <w:sz w:val="20"/>
          <w:szCs w:val="20"/>
        </w:rPr>
        <w:t xml:space="preserve">Program podporoval lepšiu integráciu medzi členskými štátmi EÚ a potenciálne kandidátskymi, ako aj susediacimi krajinami, keďže regionálna spolupráca je nevyhnutná bez ohľadu na stupeň integrácie. Vychádzajúc z týchto predpokladov, program realizoval vysokokvalitné, výsledkovo orientované projekty rozhodujúceho charakteru, relevantné danému projektovému územiu v rámci 4 prioritných osí, v rámci ktorých mala prioritná os 2 </w:t>
      </w:r>
      <w:r w:rsidRPr="001A0789">
        <w:rPr>
          <w:rFonts w:ascii="Arial" w:hAnsi="Arial" w:cs="Arial"/>
          <w:i/>
          <w:sz w:val="20"/>
          <w:szCs w:val="20"/>
        </w:rPr>
        <w:t>Ochrana a zlepšovanie životného prostredia</w:t>
      </w:r>
      <w:r w:rsidRPr="001A0789">
        <w:rPr>
          <w:rFonts w:ascii="Arial" w:hAnsi="Arial" w:cs="Arial"/>
          <w:sz w:val="20"/>
          <w:szCs w:val="20"/>
        </w:rPr>
        <w:t xml:space="preserve"> najbližšie k synergii OP ŽP.</w:t>
      </w:r>
    </w:p>
    <w:p w14:paraId="00BBF6E8" w14:textId="77777777" w:rsidR="001A0789" w:rsidRPr="001A0789" w:rsidRDefault="001A0789" w:rsidP="001A0789">
      <w:pPr>
        <w:shd w:val="clear" w:color="auto" w:fill="FFFFFF"/>
        <w:spacing w:before="120" w:after="120"/>
        <w:jc w:val="both"/>
        <w:rPr>
          <w:rFonts w:ascii="Arial" w:hAnsi="Arial" w:cs="Arial"/>
          <w:sz w:val="20"/>
          <w:szCs w:val="20"/>
        </w:rPr>
      </w:pPr>
      <w:r w:rsidRPr="001A0789">
        <w:rPr>
          <w:rFonts w:ascii="Arial" w:hAnsi="Arial" w:cs="Arial"/>
          <w:sz w:val="20"/>
          <w:szCs w:val="20"/>
        </w:rPr>
        <w:t>V rámci uvedenej prioritnej osi 2 Ochrana a zlepšovanie životného prostredia boli podporené prevažne projekty neinvestičného charakteru, ale aj niektoré investičné aktivity zamerané na rozvoj environmentálnej infraštruktúry nadnárodného významu. Išlo o nasledovné oblasti intervencie:</w:t>
      </w:r>
    </w:p>
    <w:p w14:paraId="45FBC6FF" w14:textId="77777777" w:rsidR="001A0789" w:rsidRPr="001A0789" w:rsidRDefault="001A0789" w:rsidP="001A0789">
      <w:pPr>
        <w:shd w:val="clear" w:color="auto" w:fill="FFFFFF"/>
        <w:ind w:left="284"/>
        <w:jc w:val="both"/>
        <w:rPr>
          <w:rFonts w:ascii="Arial" w:hAnsi="Arial" w:cs="Arial"/>
          <w:sz w:val="20"/>
          <w:szCs w:val="20"/>
        </w:rPr>
      </w:pPr>
      <w:r w:rsidRPr="001A0789">
        <w:rPr>
          <w:rFonts w:ascii="Arial" w:hAnsi="Arial" w:cs="Arial"/>
          <w:sz w:val="20"/>
          <w:szCs w:val="20"/>
        </w:rPr>
        <w:t>2.1 Zlepšovanie integrovaného vodného hospodárstva a protipovodňová prevencia,</w:t>
      </w:r>
    </w:p>
    <w:p w14:paraId="670DFEA0" w14:textId="77777777" w:rsidR="001A0789" w:rsidRPr="001A0789" w:rsidRDefault="001A0789" w:rsidP="001A0789">
      <w:pPr>
        <w:shd w:val="clear" w:color="auto" w:fill="FFFFFF"/>
        <w:ind w:left="284"/>
        <w:jc w:val="both"/>
        <w:rPr>
          <w:rFonts w:ascii="Arial" w:hAnsi="Arial" w:cs="Arial"/>
          <w:sz w:val="20"/>
          <w:szCs w:val="20"/>
        </w:rPr>
      </w:pPr>
      <w:r w:rsidRPr="001A0789">
        <w:rPr>
          <w:rFonts w:ascii="Arial" w:hAnsi="Arial" w:cs="Arial"/>
          <w:sz w:val="20"/>
          <w:szCs w:val="20"/>
        </w:rPr>
        <w:t>2.2 Zlepšovanie prevencie environmentálnych rizík,</w:t>
      </w:r>
    </w:p>
    <w:p w14:paraId="1EEE2B33" w14:textId="77777777" w:rsidR="001A0789" w:rsidRPr="001A0789" w:rsidRDefault="001A0789" w:rsidP="001A0789">
      <w:pPr>
        <w:shd w:val="clear" w:color="auto" w:fill="FFFFFF"/>
        <w:ind w:left="284"/>
        <w:jc w:val="both"/>
        <w:rPr>
          <w:rFonts w:ascii="Arial" w:hAnsi="Arial" w:cs="Arial"/>
          <w:sz w:val="20"/>
          <w:szCs w:val="20"/>
        </w:rPr>
      </w:pPr>
      <w:r w:rsidRPr="001A0789">
        <w:rPr>
          <w:rFonts w:ascii="Arial" w:hAnsi="Arial" w:cs="Arial"/>
          <w:sz w:val="20"/>
          <w:szCs w:val="20"/>
        </w:rPr>
        <w:t>2.3 Podpora spolupráce pri riadení prírodných zdrojov a chránených oblastí,</w:t>
      </w:r>
    </w:p>
    <w:p w14:paraId="31FC0CA9" w14:textId="77777777" w:rsidR="001A0789" w:rsidRPr="001A0789" w:rsidRDefault="001A0789" w:rsidP="00F87D11">
      <w:pPr>
        <w:shd w:val="clear" w:color="auto" w:fill="FFFFFF"/>
        <w:spacing w:after="240"/>
        <w:ind w:left="284"/>
        <w:jc w:val="both"/>
        <w:rPr>
          <w:rFonts w:ascii="Arial" w:hAnsi="Arial" w:cs="Arial"/>
          <w:sz w:val="20"/>
          <w:szCs w:val="20"/>
        </w:rPr>
      </w:pPr>
      <w:r w:rsidRPr="001A0789">
        <w:rPr>
          <w:rFonts w:ascii="Arial" w:hAnsi="Arial" w:cs="Arial"/>
          <w:sz w:val="20"/>
          <w:szCs w:val="20"/>
        </w:rPr>
        <w:t>2.4 Podpora efektívneho využívania energie a zdrojov.</w:t>
      </w:r>
    </w:p>
    <w:p w14:paraId="0782C6EC" w14:textId="77777777" w:rsidR="00F57004" w:rsidRPr="007441E0" w:rsidRDefault="00F57004" w:rsidP="00F57004">
      <w:pPr>
        <w:keepNext/>
        <w:shd w:val="clear" w:color="auto" w:fill="FFFFFF" w:themeFill="background1"/>
        <w:spacing w:before="120" w:after="120"/>
        <w:ind w:left="360" w:hanging="360"/>
        <w:contextualSpacing/>
        <w:rPr>
          <w:rFonts w:ascii="Arial" w:hAnsi="Arial" w:cs="Arial"/>
          <w:b/>
          <w:iCs/>
          <w:snapToGrid w:val="0"/>
          <w:color w:val="1E1E1E"/>
          <w:sz w:val="20"/>
          <w:szCs w:val="22"/>
          <w:lang w:eastAsia="en-US"/>
        </w:rPr>
      </w:pPr>
      <w:bookmarkStart w:id="40" w:name="_Toc368490310"/>
      <w:bookmarkStart w:id="41" w:name="_Toc401925880"/>
      <w:r w:rsidRPr="007441E0">
        <w:rPr>
          <w:rFonts w:ascii="Arial" w:hAnsi="Arial" w:cs="Arial"/>
          <w:b/>
          <w:iCs/>
          <w:snapToGrid w:val="0"/>
          <w:color w:val="1E1E1E"/>
          <w:sz w:val="20"/>
          <w:szCs w:val="22"/>
          <w:lang w:eastAsia="en-US"/>
        </w:rPr>
        <w:t xml:space="preserve">Program nadnárodnej spolupráce Stredná </w:t>
      </w:r>
      <w:bookmarkEnd w:id="40"/>
      <w:r w:rsidRPr="007441E0">
        <w:rPr>
          <w:rFonts w:ascii="Arial" w:hAnsi="Arial" w:cs="Arial"/>
          <w:b/>
          <w:iCs/>
          <w:snapToGrid w:val="0"/>
          <w:color w:val="1E1E1E"/>
          <w:sz w:val="20"/>
          <w:szCs w:val="22"/>
          <w:lang w:eastAsia="en-US"/>
        </w:rPr>
        <w:t>Európa</w:t>
      </w:r>
      <w:bookmarkEnd w:id="41"/>
      <w:r w:rsidRPr="007441E0">
        <w:rPr>
          <w:rFonts w:ascii="Arial" w:hAnsi="Arial" w:cs="Arial"/>
          <w:b/>
          <w:iCs/>
          <w:snapToGrid w:val="0"/>
          <w:color w:val="1E1E1E"/>
          <w:sz w:val="20"/>
          <w:szCs w:val="22"/>
          <w:lang w:eastAsia="en-US"/>
        </w:rPr>
        <w:t xml:space="preserve"> </w:t>
      </w:r>
    </w:p>
    <w:p w14:paraId="39903890" w14:textId="77777777" w:rsidR="00F57004" w:rsidRPr="00F57004" w:rsidRDefault="00F57004" w:rsidP="00F57004">
      <w:pPr>
        <w:keepNext/>
        <w:shd w:val="clear" w:color="auto" w:fill="FFFFFF" w:themeFill="background1"/>
        <w:spacing w:before="120" w:after="120"/>
        <w:ind w:left="360" w:hanging="360"/>
        <w:contextualSpacing/>
        <w:rPr>
          <w:b/>
          <w:iCs/>
          <w:snapToGrid w:val="0"/>
          <w:color w:val="1E1E1E"/>
          <w:sz w:val="22"/>
          <w:szCs w:val="22"/>
          <w:lang w:eastAsia="en-US"/>
        </w:rPr>
      </w:pPr>
    </w:p>
    <w:p w14:paraId="168AE562" w14:textId="77777777" w:rsidR="001A0789" w:rsidRPr="001A0789" w:rsidRDefault="001A0789" w:rsidP="001A0789">
      <w:pPr>
        <w:shd w:val="clear" w:color="auto" w:fill="FFFFFF"/>
        <w:spacing w:before="120" w:after="120"/>
        <w:jc w:val="both"/>
        <w:rPr>
          <w:rFonts w:ascii="Arial" w:hAnsi="Arial" w:cs="Arial"/>
          <w:sz w:val="20"/>
          <w:szCs w:val="20"/>
        </w:rPr>
      </w:pPr>
      <w:r w:rsidRPr="001A0789">
        <w:rPr>
          <w:rFonts w:ascii="Arial" w:hAnsi="Arial" w:cs="Arial"/>
          <w:sz w:val="20"/>
          <w:szCs w:val="20"/>
        </w:rPr>
        <w:t xml:space="preserve">Program Stredná Európa zahŕňal celkom 8 krajín: Rakúsko, Českú republiku, časť Nemecka, Maďarsko, časť Talianska, Poľsko, Slovenskú republiku a Slovinsko, čo predstavuje približne pätinu územia EÚ. Ekonomika územia strednej Európy vykazovala vysoké disparity v príjmoch a životných štandardoch. </w:t>
      </w:r>
    </w:p>
    <w:p w14:paraId="698EA755" w14:textId="77777777" w:rsidR="001A0789" w:rsidRPr="001A0789" w:rsidRDefault="001A0789" w:rsidP="001A0789">
      <w:pPr>
        <w:shd w:val="clear" w:color="auto" w:fill="FFFFFF"/>
        <w:spacing w:before="120" w:after="120"/>
        <w:jc w:val="both"/>
        <w:rPr>
          <w:rFonts w:ascii="Arial" w:hAnsi="Arial" w:cs="Arial"/>
          <w:sz w:val="20"/>
          <w:szCs w:val="20"/>
        </w:rPr>
      </w:pPr>
      <w:r w:rsidRPr="001A0789">
        <w:rPr>
          <w:rFonts w:ascii="Arial" w:hAnsi="Arial" w:cs="Arial"/>
          <w:sz w:val="20"/>
          <w:szCs w:val="20"/>
        </w:rPr>
        <w:t xml:space="preserve">Cieľom programu bolo prispieť k znižovaniu týchto rozdielov prostredníctvom spolupráce medzi regiónmi, ako aj zlepšiť stav životného prostredia a posilniť celkovú konkurencieschopnosť podporou inovácií, dostupnosti dopravy a informačno-komunikačných technológií.  </w:t>
      </w:r>
    </w:p>
    <w:p w14:paraId="20B653B4" w14:textId="77777777" w:rsidR="001A0789" w:rsidRPr="001A0789" w:rsidRDefault="001A0789" w:rsidP="001A0789">
      <w:pPr>
        <w:shd w:val="clear" w:color="auto" w:fill="FFFFFF"/>
        <w:spacing w:before="120" w:after="120"/>
        <w:jc w:val="both"/>
        <w:rPr>
          <w:rFonts w:ascii="Arial" w:hAnsi="Arial" w:cs="Arial"/>
          <w:sz w:val="20"/>
          <w:szCs w:val="20"/>
        </w:rPr>
      </w:pPr>
      <w:r w:rsidRPr="001A0789">
        <w:rPr>
          <w:rFonts w:ascii="Arial" w:hAnsi="Arial" w:cs="Arial"/>
          <w:sz w:val="20"/>
          <w:szCs w:val="20"/>
        </w:rPr>
        <w:t xml:space="preserve">Program zabezpečoval financovanie projektov v rámci 4 tematických priorít: </w:t>
      </w:r>
    </w:p>
    <w:p w14:paraId="0DB5E27B" w14:textId="77777777" w:rsidR="001A0789" w:rsidRPr="001A0789" w:rsidRDefault="001A0789" w:rsidP="001A0789">
      <w:pPr>
        <w:numPr>
          <w:ilvl w:val="0"/>
          <w:numId w:val="65"/>
        </w:numPr>
        <w:shd w:val="clear" w:color="auto" w:fill="FFFFFF"/>
        <w:spacing w:before="120" w:after="120" w:line="276" w:lineRule="auto"/>
        <w:contextualSpacing/>
        <w:jc w:val="both"/>
        <w:rPr>
          <w:rFonts w:ascii="Arial" w:hAnsi="Arial" w:cs="Arial"/>
          <w:sz w:val="20"/>
          <w:szCs w:val="20"/>
        </w:rPr>
      </w:pPr>
      <w:r w:rsidRPr="001A0789">
        <w:rPr>
          <w:rFonts w:ascii="Arial" w:hAnsi="Arial" w:cs="Arial"/>
          <w:sz w:val="20"/>
          <w:szCs w:val="20"/>
        </w:rPr>
        <w:t>Podpora inovácií na území Strednej Európy,</w:t>
      </w:r>
    </w:p>
    <w:p w14:paraId="15BE441B" w14:textId="77777777" w:rsidR="001A0789" w:rsidRPr="001A0789" w:rsidRDefault="001A0789" w:rsidP="001A0789">
      <w:pPr>
        <w:numPr>
          <w:ilvl w:val="0"/>
          <w:numId w:val="65"/>
        </w:numPr>
        <w:shd w:val="clear" w:color="auto" w:fill="FFFFFF"/>
        <w:spacing w:before="120" w:after="120" w:line="276" w:lineRule="auto"/>
        <w:contextualSpacing/>
        <w:jc w:val="both"/>
        <w:rPr>
          <w:rFonts w:ascii="Arial" w:hAnsi="Arial" w:cs="Arial"/>
          <w:sz w:val="20"/>
          <w:szCs w:val="20"/>
        </w:rPr>
      </w:pPr>
      <w:r w:rsidRPr="001A0789">
        <w:rPr>
          <w:rFonts w:ascii="Arial" w:hAnsi="Arial" w:cs="Arial"/>
          <w:sz w:val="20"/>
          <w:szCs w:val="20"/>
        </w:rPr>
        <w:t>Zlepšovanie dostupnosti do a v rámci územia Strednej Európy,</w:t>
      </w:r>
    </w:p>
    <w:p w14:paraId="3F4774DC" w14:textId="77777777" w:rsidR="001A0789" w:rsidRPr="001A0789" w:rsidRDefault="001A0789" w:rsidP="001A0789">
      <w:pPr>
        <w:numPr>
          <w:ilvl w:val="0"/>
          <w:numId w:val="65"/>
        </w:numPr>
        <w:shd w:val="clear" w:color="auto" w:fill="FFFFFF"/>
        <w:spacing w:before="120" w:after="120" w:line="276" w:lineRule="auto"/>
        <w:contextualSpacing/>
        <w:jc w:val="both"/>
        <w:rPr>
          <w:rFonts w:ascii="Arial" w:hAnsi="Arial" w:cs="Arial"/>
          <w:sz w:val="20"/>
          <w:szCs w:val="20"/>
        </w:rPr>
      </w:pPr>
      <w:r w:rsidRPr="001A0789">
        <w:rPr>
          <w:rFonts w:ascii="Arial" w:hAnsi="Arial" w:cs="Arial"/>
          <w:sz w:val="20"/>
          <w:szCs w:val="20"/>
        </w:rPr>
        <w:t>Zodpovedné využívanie životného prostredia,</w:t>
      </w:r>
    </w:p>
    <w:p w14:paraId="335AE67A" w14:textId="77777777" w:rsidR="001A0789" w:rsidRPr="001A0789" w:rsidRDefault="001A0789" w:rsidP="00F87D11">
      <w:pPr>
        <w:numPr>
          <w:ilvl w:val="0"/>
          <w:numId w:val="65"/>
        </w:numPr>
        <w:shd w:val="clear" w:color="auto" w:fill="FFFFFF"/>
        <w:spacing w:before="120" w:after="120" w:line="276" w:lineRule="auto"/>
        <w:ind w:left="714" w:hanging="357"/>
        <w:jc w:val="both"/>
        <w:rPr>
          <w:rFonts w:ascii="Arial" w:hAnsi="Arial" w:cs="Arial"/>
          <w:sz w:val="20"/>
          <w:szCs w:val="20"/>
        </w:rPr>
      </w:pPr>
      <w:r w:rsidRPr="001A0789">
        <w:rPr>
          <w:rFonts w:ascii="Arial" w:hAnsi="Arial" w:cs="Arial"/>
          <w:sz w:val="20"/>
          <w:szCs w:val="20"/>
        </w:rPr>
        <w:t xml:space="preserve">Zvyšovanie konkurencieschopnosti a atraktivity miest a regiónov. </w:t>
      </w:r>
    </w:p>
    <w:p w14:paraId="1B111849" w14:textId="77777777" w:rsidR="001A0789" w:rsidRPr="001A0789" w:rsidRDefault="001A0789" w:rsidP="001A0789">
      <w:pPr>
        <w:shd w:val="clear" w:color="auto" w:fill="FFFFFF"/>
        <w:spacing w:before="120" w:after="120"/>
        <w:jc w:val="both"/>
        <w:rPr>
          <w:rFonts w:ascii="Arial" w:hAnsi="Arial" w:cs="Arial"/>
          <w:sz w:val="20"/>
          <w:szCs w:val="20"/>
        </w:rPr>
      </w:pPr>
      <w:r w:rsidRPr="001A0789">
        <w:rPr>
          <w:rFonts w:ascii="Arial" w:hAnsi="Arial" w:cs="Arial"/>
          <w:sz w:val="20"/>
          <w:szCs w:val="20"/>
        </w:rPr>
        <w:lastRenderedPageBreak/>
        <w:t>Program nadnárodnej spolupráce Stredná Európa vzhľadom na zameranie jeho jednotlivých prioritných osí prispieval aj k napĺňaniu cieľov Dunajskej stratégie v rámci viacerých jej pilierov. Projekty podporované v rámci programu nadnárodnej spolupráce boli najmä neinvestičného charakteru: spoločné nadnárodné stratégie a štúdie, vytváranie a uplatňovanie spoločných nástrojov rozvoja (spoločných riešení v oblasti inovácií, ochrany životného prostredia, predchádzania environmentálnym rizikám, využívania obnoviteľných zdrojov energie, rozvoja dopravy a informačno-komunikačných technológií, rozvoja regiónov), výmena skúseností, vytváranie sietí a uplatňovanie spoločných postupov riadenia, prípravné štúdie pre realizáciu investícií nadnárodného charakteru (napr. dopravných sietí) – štúdie uskutočniteľnosti, štúdie vplyvov na životné prostredie, pilotné činnosti, pilotné a demonštratívne projekty s nadnárodným rozmerom.</w:t>
      </w:r>
    </w:p>
    <w:p w14:paraId="79DD770B" w14:textId="77777777" w:rsidR="001A0789" w:rsidRPr="001A0789" w:rsidRDefault="001A0789" w:rsidP="00F87D11">
      <w:pPr>
        <w:shd w:val="clear" w:color="auto" w:fill="FFFFFF"/>
        <w:spacing w:before="120"/>
        <w:jc w:val="both"/>
        <w:rPr>
          <w:rFonts w:ascii="Arial" w:hAnsi="Arial" w:cs="Arial"/>
          <w:sz w:val="20"/>
          <w:szCs w:val="20"/>
        </w:rPr>
      </w:pPr>
      <w:r w:rsidRPr="001A0789">
        <w:rPr>
          <w:rFonts w:ascii="Arial" w:hAnsi="Arial" w:cs="Arial"/>
          <w:sz w:val="20"/>
          <w:szCs w:val="20"/>
        </w:rPr>
        <w:t>Nadnárodný charakter projektov predkladaných v rámci programu Stredná Európa, ako aj spoločná príprava, vykonávanie, spoločný personál a spoločné financovanie projektov vykonávané prijímateľmi združenými v projekte na princípe partnerstva zabezpečovali dostatočné deliace línie s Operačným programom Životné prostredie.</w:t>
      </w:r>
    </w:p>
    <w:p w14:paraId="7BA91AD0" w14:textId="026AB6EB" w:rsidR="00710615" w:rsidRPr="00112472" w:rsidRDefault="00710615" w:rsidP="00F87D11">
      <w:pPr>
        <w:jc w:val="both"/>
        <w:rPr>
          <w:rFonts w:ascii="Arial" w:hAnsi="Arial" w:cs="Arial"/>
          <w:sz w:val="20"/>
          <w:szCs w:val="20"/>
        </w:rPr>
      </w:pPr>
    </w:p>
    <w:p w14:paraId="2B47DB2F" w14:textId="7CAE9550" w:rsidR="00F57004" w:rsidRDefault="00141BD8" w:rsidP="00F57004">
      <w:pPr>
        <w:keepNext/>
        <w:shd w:val="clear" w:color="auto" w:fill="FFFFFF" w:themeFill="background1"/>
        <w:spacing w:before="120" w:after="120"/>
        <w:ind w:left="360" w:hanging="360"/>
        <w:contextualSpacing/>
        <w:rPr>
          <w:rFonts w:ascii="Arial" w:hAnsi="Arial" w:cs="Arial"/>
          <w:b/>
          <w:iCs/>
          <w:snapToGrid w:val="0"/>
          <w:color w:val="1E1E1E"/>
          <w:sz w:val="20"/>
          <w:szCs w:val="22"/>
          <w:lang w:eastAsia="en-US"/>
        </w:rPr>
      </w:pPr>
      <w:r w:rsidRPr="007441E0">
        <w:rPr>
          <w:rFonts w:ascii="Arial" w:hAnsi="Arial" w:cs="Arial"/>
          <w:b/>
          <w:iCs/>
          <w:snapToGrid w:val="0"/>
          <w:color w:val="1E1E1E"/>
          <w:sz w:val="20"/>
          <w:szCs w:val="22"/>
          <w:lang w:eastAsia="en-US"/>
        </w:rPr>
        <w:t xml:space="preserve">Program </w:t>
      </w:r>
      <w:r w:rsidR="00F57004" w:rsidRPr="007441E0">
        <w:rPr>
          <w:rFonts w:ascii="Arial" w:hAnsi="Arial" w:cs="Arial"/>
          <w:b/>
          <w:iCs/>
          <w:snapToGrid w:val="0"/>
          <w:color w:val="1E1E1E"/>
          <w:sz w:val="20"/>
          <w:szCs w:val="22"/>
          <w:lang w:eastAsia="en-US"/>
        </w:rPr>
        <w:t>LIFE +</w:t>
      </w:r>
    </w:p>
    <w:p w14:paraId="07C850BD" w14:textId="77777777" w:rsidR="00796058" w:rsidRDefault="00796058" w:rsidP="00F87D11">
      <w:pPr>
        <w:spacing w:before="120"/>
        <w:jc w:val="both"/>
        <w:rPr>
          <w:rFonts w:ascii="Arial" w:hAnsi="Arial" w:cs="Arial"/>
          <w:sz w:val="20"/>
          <w:szCs w:val="20"/>
        </w:rPr>
      </w:pPr>
    </w:p>
    <w:p w14:paraId="3C53CF77" w14:textId="77777777" w:rsidR="001A0789" w:rsidRPr="001A0789" w:rsidRDefault="001A0789" w:rsidP="00F87D11">
      <w:pPr>
        <w:spacing w:after="120"/>
        <w:jc w:val="both"/>
        <w:rPr>
          <w:rFonts w:ascii="Arial" w:hAnsi="Arial" w:cs="Arial"/>
          <w:sz w:val="20"/>
          <w:szCs w:val="20"/>
        </w:rPr>
      </w:pPr>
      <w:r w:rsidRPr="001A0789">
        <w:rPr>
          <w:rFonts w:ascii="Arial" w:hAnsi="Arial" w:cs="Arial"/>
          <w:sz w:val="20"/>
          <w:szCs w:val="20"/>
        </w:rPr>
        <w:t>Program LIFE + bol ustanovený ako komplementárny európsky finančný nástroj na podporu projektov v oblasti životného prostredia s osobitným dôrazom na ochranu prírody a sústavu NATURA 2000. Všeobecným cieľom programu LIFE+ bolo prispievať k vykonávaniu, aktualizácii a tvorbe environmentálnej politiky a právnych predpisov Európskej únie v oblasti životného prostredia vrátane integrácie životného prostredia do iných politík, a tým prispievať aj k trvalo udržateľnému rozvoju. Program LIFE+ podporoval vykonávanie 6. environmentálneho akčného plánu. Prostredníctvom LIFE+ boli poskytnuté finančné prostriedky štátnym, verejným, ako aj súkromným subjektom a inštitúciám.</w:t>
      </w:r>
    </w:p>
    <w:p w14:paraId="764ACFC9" w14:textId="77777777" w:rsidR="001A0789" w:rsidRPr="001A0789" w:rsidRDefault="001A0789" w:rsidP="001A0789">
      <w:pPr>
        <w:spacing w:before="120" w:after="120"/>
        <w:jc w:val="both"/>
        <w:rPr>
          <w:rFonts w:ascii="Arial" w:hAnsi="Arial" w:cs="Arial"/>
          <w:sz w:val="20"/>
          <w:szCs w:val="20"/>
        </w:rPr>
      </w:pPr>
      <w:r w:rsidRPr="001A0789">
        <w:rPr>
          <w:rFonts w:ascii="Arial" w:hAnsi="Arial" w:cs="Arial"/>
          <w:sz w:val="20"/>
          <w:szCs w:val="20"/>
        </w:rPr>
        <w:t>Program LIFE+ zahŕňal 3 oblasti, označované aj ako zložky programu:</w:t>
      </w:r>
    </w:p>
    <w:p w14:paraId="2F123DC5" w14:textId="77777777" w:rsidR="001A0789" w:rsidRPr="001A0789" w:rsidRDefault="001A0789" w:rsidP="001A0789">
      <w:pPr>
        <w:jc w:val="both"/>
        <w:rPr>
          <w:rFonts w:ascii="Arial" w:hAnsi="Arial" w:cs="Arial"/>
          <w:sz w:val="20"/>
          <w:szCs w:val="20"/>
        </w:rPr>
      </w:pPr>
      <w:r w:rsidRPr="001A0789">
        <w:rPr>
          <w:rFonts w:ascii="Arial" w:hAnsi="Arial" w:cs="Arial"/>
          <w:sz w:val="20"/>
          <w:szCs w:val="20"/>
        </w:rPr>
        <w:t>1. Príroda a biodiverzita,</w:t>
      </w:r>
    </w:p>
    <w:p w14:paraId="69D869D5" w14:textId="77777777" w:rsidR="001A0789" w:rsidRPr="001A0789" w:rsidRDefault="001A0789" w:rsidP="001A0789">
      <w:pPr>
        <w:jc w:val="both"/>
        <w:rPr>
          <w:rFonts w:ascii="Arial" w:hAnsi="Arial" w:cs="Arial"/>
          <w:sz w:val="20"/>
          <w:szCs w:val="20"/>
        </w:rPr>
      </w:pPr>
      <w:r w:rsidRPr="001A0789">
        <w:rPr>
          <w:rFonts w:ascii="Arial" w:hAnsi="Arial" w:cs="Arial"/>
          <w:sz w:val="20"/>
          <w:szCs w:val="20"/>
        </w:rPr>
        <w:t>2. Environmentálna politika a riadenie v oblasti životného prostredia,</w:t>
      </w:r>
    </w:p>
    <w:p w14:paraId="2E610438" w14:textId="77777777" w:rsidR="001A0789" w:rsidRPr="001A0789" w:rsidRDefault="001A0789" w:rsidP="001A0789">
      <w:pPr>
        <w:jc w:val="both"/>
        <w:rPr>
          <w:rFonts w:ascii="Arial" w:hAnsi="Arial" w:cs="Arial"/>
          <w:sz w:val="20"/>
          <w:szCs w:val="20"/>
        </w:rPr>
      </w:pPr>
      <w:r w:rsidRPr="001A0789">
        <w:rPr>
          <w:rFonts w:ascii="Arial" w:hAnsi="Arial" w:cs="Arial"/>
          <w:sz w:val="20"/>
          <w:szCs w:val="20"/>
        </w:rPr>
        <w:t>3. Informovanie a komunikácia.</w:t>
      </w:r>
    </w:p>
    <w:p w14:paraId="19A6450E" w14:textId="63E2A0E1" w:rsidR="001A0789" w:rsidRPr="00021D46" w:rsidRDefault="001A0789" w:rsidP="00021D46">
      <w:pPr>
        <w:spacing w:before="120" w:after="120"/>
        <w:jc w:val="both"/>
        <w:rPr>
          <w:rFonts w:ascii="Arial" w:hAnsi="Arial" w:cs="Arial"/>
          <w:sz w:val="20"/>
          <w:szCs w:val="20"/>
        </w:rPr>
      </w:pPr>
      <w:r w:rsidRPr="001A0789">
        <w:rPr>
          <w:rFonts w:ascii="Arial" w:hAnsi="Arial" w:cs="Arial"/>
          <w:sz w:val="20"/>
          <w:szCs w:val="20"/>
        </w:rPr>
        <w:t xml:space="preserve">Pri posudzovaní projektových zámerov sa prihliadalo na princíp doplnkovosti vzhľadom na iné možnosti financovania, čo preverovalo Ministerstvo životného prostredia Slovenskej republiky po podaní projektového zámeru. Program LIFE+ bol komplementárnym nástrojom k hlavným operačným programom v oblasti ochrany životného prostredia práve tam, kde nebolo možné plne využiť všetky prostriedky v rámci operačných programov. </w:t>
      </w:r>
    </w:p>
    <w:p w14:paraId="21769DEB" w14:textId="77777777" w:rsidR="002416B1" w:rsidRDefault="002416B1" w:rsidP="00123376">
      <w:pPr>
        <w:spacing w:before="240" w:after="120"/>
        <w:jc w:val="both"/>
        <w:rPr>
          <w:rFonts w:ascii="Arial" w:hAnsi="Arial" w:cs="Arial"/>
          <w:b/>
          <w:i/>
          <w:sz w:val="20"/>
          <w:szCs w:val="20"/>
          <w:u w:val="single"/>
        </w:rPr>
      </w:pPr>
      <w:r w:rsidRPr="00CE0728">
        <w:rPr>
          <w:rFonts w:ascii="Arial" w:hAnsi="Arial" w:cs="Arial"/>
          <w:b/>
          <w:i/>
          <w:sz w:val="20"/>
          <w:szCs w:val="20"/>
          <w:u w:val="single"/>
        </w:rPr>
        <w:t>Cezhraničná spolupráca</w:t>
      </w:r>
    </w:p>
    <w:p w14:paraId="4F52D472" w14:textId="77777777" w:rsidR="001A0789" w:rsidRPr="001A0789" w:rsidRDefault="001A0789" w:rsidP="001A0789">
      <w:pPr>
        <w:spacing w:before="120" w:after="120"/>
        <w:jc w:val="both"/>
        <w:rPr>
          <w:rFonts w:ascii="Arial" w:hAnsi="Arial" w:cs="Arial"/>
          <w:sz w:val="20"/>
          <w:szCs w:val="20"/>
        </w:rPr>
      </w:pPr>
      <w:r w:rsidRPr="001A0789">
        <w:rPr>
          <w:rFonts w:ascii="Arial" w:hAnsi="Arial" w:cs="Arial"/>
          <w:sz w:val="20"/>
          <w:szCs w:val="20"/>
        </w:rPr>
        <w:t xml:space="preserve">Programy cezhraničnej spolupráce implementované na území SR boli súčasťou cieľa 3 Európska územná spolupráca, ktorý nebol súčasťou Národného strategického referenčného rámca a dopĺňali programy realizované v rámci cieľov “Konvergencia” a “Regionálna konkurencieschopnosť </w:t>
      </w:r>
      <w:r w:rsidRPr="001A0789">
        <w:rPr>
          <w:rFonts w:ascii="Arial" w:hAnsi="Arial" w:cs="Arial"/>
          <w:sz w:val="20"/>
          <w:szCs w:val="20"/>
        </w:rPr>
        <w:br/>
        <w:t>a zamestnanosť”.</w:t>
      </w:r>
    </w:p>
    <w:p w14:paraId="37ACEEC2" w14:textId="77777777" w:rsidR="001A0789" w:rsidRPr="001A0789" w:rsidRDefault="001A0789" w:rsidP="001A0789">
      <w:pPr>
        <w:spacing w:before="120" w:after="120"/>
        <w:jc w:val="both"/>
        <w:rPr>
          <w:rFonts w:ascii="Arial" w:hAnsi="Arial" w:cs="Arial"/>
          <w:sz w:val="20"/>
          <w:szCs w:val="20"/>
        </w:rPr>
      </w:pPr>
      <w:r w:rsidRPr="001A0789">
        <w:rPr>
          <w:rFonts w:ascii="Arial" w:hAnsi="Arial" w:cs="Arial"/>
          <w:sz w:val="20"/>
          <w:szCs w:val="20"/>
        </w:rPr>
        <w:t>V rámci prioritných osí resp. oblastí intervencie programov cezhraničnej spolupráce boli identifikované tematické a obsahové synergie s aktivitami podporovanými v rámci Operačného programu Životné prostredie, konkrétne:</w:t>
      </w:r>
    </w:p>
    <w:p w14:paraId="00505E0D" w14:textId="77777777" w:rsidR="001A0789" w:rsidRPr="001A0789" w:rsidRDefault="001A0789" w:rsidP="001A0789">
      <w:pPr>
        <w:spacing w:before="120" w:after="120"/>
        <w:jc w:val="both"/>
        <w:rPr>
          <w:rFonts w:ascii="Arial" w:hAnsi="Arial" w:cs="Arial"/>
          <w:sz w:val="20"/>
          <w:szCs w:val="20"/>
        </w:rPr>
      </w:pPr>
      <w:r w:rsidRPr="001A0789">
        <w:rPr>
          <w:rFonts w:ascii="Arial" w:hAnsi="Arial" w:cs="Arial"/>
          <w:sz w:val="20"/>
          <w:szCs w:val="20"/>
        </w:rPr>
        <w:t xml:space="preserve">V rámci Operačného programu cezhraničnej spolupráce  </w:t>
      </w:r>
      <w:r w:rsidRPr="001A0789">
        <w:rPr>
          <w:rFonts w:ascii="Arial" w:hAnsi="Arial" w:cs="Arial"/>
          <w:i/>
          <w:sz w:val="20"/>
          <w:szCs w:val="20"/>
          <w:u w:val="single"/>
        </w:rPr>
        <w:t>Slovenská republika - Rakúsko 2007 – 2013</w:t>
      </w:r>
      <w:r w:rsidRPr="001A0789">
        <w:rPr>
          <w:rFonts w:ascii="Arial" w:hAnsi="Arial" w:cs="Arial"/>
          <w:sz w:val="20"/>
          <w:szCs w:val="20"/>
        </w:rPr>
        <w:t xml:space="preserve"> boli definované tematické priority v oblasti životného prostredia, ktoré sa mohli čiastočne prekrývať s aktivitami definovanými pre OP ŽP. Konkrétne v rámci Prioritnej osi 2 Dostupnosť a trvalo udržateľný rozvoj, napr. v rámci opatrenia 2.3 Spolupráca a spoločný manažment /spoločné riadenie chránených území, resp. v rámci opatrenia 2.4 Energetická</w:t>
      </w:r>
      <w:r w:rsidRPr="001A0789">
        <w:rPr>
          <w:rFonts w:ascii="Arial" w:hAnsi="Arial" w:cs="Arial"/>
          <w:bCs/>
          <w:sz w:val="20"/>
          <w:szCs w:val="20"/>
          <w:u w:val="single"/>
        </w:rPr>
        <w:t xml:space="preserve"> </w:t>
      </w:r>
      <w:r w:rsidRPr="001A0789">
        <w:rPr>
          <w:rFonts w:ascii="Arial" w:hAnsi="Arial" w:cs="Arial"/>
          <w:bCs/>
          <w:sz w:val="20"/>
          <w:szCs w:val="20"/>
        </w:rPr>
        <w:t>efektívnosť a obnoviteľné zdroje energie, ochrana životného prostredia, manažment rizík.</w:t>
      </w:r>
    </w:p>
    <w:p w14:paraId="2634B679" w14:textId="3699002C" w:rsidR="001A0789" w:rsidRPr="001A0789" w:rsidRDefault="001A0789" w:rsidP="001A0789">
      <w:pPr>
        <w:jc w:val="both"/>
        <w:rPr>
          <w:rFonts w:ascii="Arial" w:hAnsi="Arial" w:cs="Arial"/>
          <w:iCs/>
          <w:sz w:val="20"/>
          <w:szCs w:val="20"/>
        </w:rPr>
      </w:pPr>
      <w:r w:rsidRPr="001A0789">
        <w:rPr>
          <w:rFonts w:ascii="Arial" w:hAnsi="Arial" w:cs="Arial"/>
          <w:sz w:val="20"/>
          <w:szCs w:val="20"/>
        </w:rPr>
        <w:t xml:space="preserve">V rámci Operačného programu cezhraničnej spolupráce </w:t>
      </w:r>
      <w:r w:rsidRPr="001A0789">
        <w:rPr>
          <w:rFonts w:ascii="Arial" w:hAnsi="Arial" w:cs="Arial"/>
          <w:i/>
          <w:sz w:val="20"/>
          <w:szCs w:val="20"/>
          <w:u w:val="single"/>
        </w:rPr>
        <w:t>Poľsko - Slovenská republika 2007 - 2013</w:t>
      </w:r>
      <w:r w:rsidRPr="001A0789">
        <w:rPr>
          <w:rFonts w:ascii="Arial" w:hAnsi="Arial" w:cs="Arial"/>
          <w:sz w:val="20"/>
          <w:szCs w:val="20"/>
        </w:rPr>
        <w:t xml:space="preserve"> boli  podporované aj projekty na budovanie environmentálnej infraštruktúry v rámci prioritnej osi 1</w:t>
      </w:r>
      <w:r w:rsidRPr="001A0789">
        <w:rPr>
          <w:rFonts w:ascii="Arial" w:hAnsi="Arial" w:cs="Arial"/>
          <w:i/>
          <w:iCs/>
          <w:sz w:val="20"/>
          <w:szCs w:val="20"/>
        </w:rPr>
        <w:t xml:space="preserve"> Rozvoj cezhraničnej infraštruktúry,</w:t>
      </w:r>
      <w:r w:rsidRPr="001A0789">
        <w:rPr>
          <w:rFonts w:ascii="Arial" w:hAnsi="Arial" w:cs="Arial"/>
          <w:iCs/>
          <w:sz w:val="20"/>
          <w:szCs w:val="20"/>
        </w:rPr>
        <w:t xml:space="preserve"> opatrenia</w:t>
      </w:r>
      <w:r w:rsidRPr="001A0789">
        <w:rPr>
          <w:rFonts w:ascii="Arial" w:hAnsi="Arial" w:cs="Arial"/>
          <w:i/>
          <w:iCs/>
          <w:sz w:val="20"/>
          <w:szCs w:val="20"/>
        </w:rPr>
        <w:t xml:space="preserve"> </w:t>
      </w:r>
      <w:r w:rsidRPr="001A0789">
        <w:rPr>
          <w:rFonts w:ascii="Arial" w:hAnsi="Arial" w:cs="Arial"/>
          <w:iCs/>
          <w:sz w:val="20"/>
          <w:szCs w:val="20"/>
        </w:rPr>
        <w:t xml:space="preserve">1.2 Environmentálna infraštruktúra, </w:t>
      </w:r>
      <w:r w:rsidRPr="001A0789">
        <w:rPr>
          <w:rFonts w:ascii="Arial" w:hAnsi="Arial" w:cs="Arial"/>
          <w:sz w:val="20"/>
          <w:szCs w:val="20"/>
        </w:rPr>
        <w:t>ako aj v rámci prioritnej</w:t>
      </w:r>
      <w:r w:rsidR="000241F0">
        <w:rPr>
          <w:rFonts w:ascii="Arial" w:hAnsi="Arial" w:cs="Arial"/>
          <w:sz w:val="20"/>
          <w:szCs w:val="20"/>
        </w:rPr>
        <w:t xml:space="preserve"> </w:t>
      </w:r>
      <w:r w:rsidRPr="001A0789">
        <w:rPr>
          <w:rFonts w:ascii="Arial" w:hAnsi="Arial" w:cs="Arial"/>
          <w:sz w:val="20"/>
          <w:szCs w:val="20"/>
        </w:rPr>
        <w:t xml:space="preserve">osi </w:t>
      </w:r>
      <w:r w:rsidRPr="001A0789">
        <w:rPr>
          <w:rFonts w:ascii="Arial" w:hAnsi="Arial" w:cs="Arial"/>
          <w:sz w:val="20"/>
          <w:szCs w:val="20"/>
        </w:rPr>
        <w:br/>
      </w:r>
      <w:r w:rsidRPr="001A0789">
        <w:rPr>
          <w:rFonts w:ascii="Arial" w:hAnsi="Arial" w:cs="Arial"/>
          <w:sz w:val="20"/>
          <w:szCs w:val="20"/>
        </w:rPr>
        <w:lastRenderedPageBreak/>
        <w:t xml:space="preserve">2 </w:t>
      </w:r>
      <w:r w:rsidRPr="001A0789">
        <w:rPr>
          <w:rFonts w:ascii="Arial" w:hAnsi="Arial" w:cs="Arial"/>
          <w:i/>
          <w:iCs/>
          <w:sz w:val="20"/>
          <w:szCs w:val="20"/>
        </w:rPr>
        <w:t>Sociálny a ekonomický rozvoj,</w:t>
      </w:r>
      <w:r w:rsidRPr="001A0789">
        <w:rPr>
          <w:rFonts w:ascii="Arial" w:hAnsi="Arial" w:cs="Arial"/>
          <w:sz w:val="20"/>
          <w:szCs w:val="20"/>
        </w:rPr>
        <w:t xml:space="preserve"> bolo možné podporovať projekty na ochranu prírodného dedičstva. Konkrétne sa jednalo o aktivity v rámci opatrenia </w:t>
      </w:r>
      <w:r w:rsidRPr="001A0789">
        <w:rPr>
          <w:rFonts w:ascii="Arial" w:hAnsi="Arial" w:cs="Arial"/>
          <w:bCs/>
          <w:sz w:val="20"/>
          <w:szCs w:val="20"/>
        </w:rPr>
        <w:t>2.2 Ochrana kultúrneho a prírodného dedičstva.</w:t>
      </w:r>
    </w:p>
    <w:p w14:paraId="4F48F7B4" w14:textId="266B859A" w:rsidR="001A0789" w:rsidRPr="001A0789" w:rsidRDefault="001A0789" w:rsidP="001A0789">
      <w:pPr>
        <w:spacing w:before="120" w:after="120"/>
        <w:jc w:val="both"/>
        <w:rPr>
          <w:rFonts w:ascii="Arial" w:hAnsi="Arial" w:cs="Arial"/>
          <w:sz w:val="20"/>
          <w:szCs w:val="20"/>
        </w:rPr>
      </w:pPr>
      <w:r w:rsidRPr="001A0789">
        <w:rPr>
          <w:rFonts w:ascii="Arial" w:hAnsi="Arial" w:cs="Arial"/>
          <w:sz w:val="20"/>
          <w:szCs w:val="20"/>
        </w:rPr>
        <w:t xml:space="preserve">V rámci Operačného programu cezhraničnej spolupráce  </w:t>
      </w:r>
      <w:r w:rsidRPr="001A0789">
        <w:rPr>
          <w:rFonts w:ascii="Arial" w:hAnsi="Arial" w:cs="Arial"/>
          <w:i/>
          <w:sz w:val="20"/>
          <w:szCs w:val="20"/>
          <w:u w:val="single"/>
        </w:rPr>
        <w:t xml:space="preserve">Slovenská republika – Maďarsko </w:t>
      </w:r>
      <w:r w:rsidR="000241F0">
        <w:rPr>
          <w:rFonts w:ascii="Arial" w:hAnsi="Arial" w:cs="Arial"/>
          <w:i/>
          <w:sz w:val="20"/>
          <w:szCs w:val="20"/>
          <w:u w:val="single"/>
        </w:rPr>
        <w:t xml:space="preserve">            </w:t>
      </w:r>
      <w:r w:rsidRPr="001A0789">
        <w:rPr>
          <w:rFonts w:ascii="Arial" w:hAnsi="Arial" w:cs="Arial"/>
          <w:i/>
          <w:sz w:val="20"/>
          <w:szCs w:val="20"/>
          <w:u w:val="single"/>
        </w:rPr>
        <w:t xml:space="preserve">2007 – 2013 </w:t>
      </w:r>
      <w:r w:rsidRPr="001A0789">
        <w:rPr>
          <w:rFonts w:ascii="Arial" w:hAnsi="Arial" w:cs="Arial"/>
          <w:sz w:val="20"/>
          <w:szCs w:val="20"/>
        </w:rPr>
        <w:t>boli identifikované oblasti zamerané na ochranu životného prostredia napr. v rámci prioritnej</w:t>
      </w:r>
      <w:r w:rsidR="000241F0">
        <w:rPr>
          <w:rFonts w:ascii="Arial" w:hAnsi="Arial" w:cs="Arial"/>
          <w:sz w:val="20"/>
          <w:szCs w:val="20"/>
        </w:rPr>
        <w:t xml:space="preserve"> </w:t>
      </w:r>
      <w:r w:rsidRPr="001A0789">
        <w:rPr>
          <w:rFonts w:ascii="Arial" w:hAnsi="Arial" w:cs="Arial"/>
          <w:sz w:val="20"/>
          <w:szCs w:val="20"/>
        </w:rPr>
        <w:t xml:space="preserve">osi 2 Podpora a zlepšenia spoločnej ochrany a starostlivosti o prírodné prostredie a kultúrne dedičstvo, ako aj prevencia prírodných a technologických rizík, resp. v rámci opatrenia 2.1 Spoločné aktivity na podporu ochrany ŽP a opatrenia 2.2 Spoločná starostlivosť o prírodné prostredie. </w:t>
      </w:r>
    </w:p>
    <w:p w14:paraId="3D53A203" w14:textId="7B073EC1" w:rsidR="001A0789" w:rsidRPr="001A0789" w:rsidRDefault="001A0789" w:rsidP="001A0789">
      <w:pPr>
        <w:spacing w:before="120" w:after="120"/>
        <w:jc w:val="both"/>
        <w:rPr>
          <w:rFonts w:ascii="Arial" w:hAnsi="Arial" w:cs="Arial"/>
          <w:i/>
          <w:sz w:val="20"/>
          <w:szCs w:val="20"/>
          <w:u w:val="single"/>
        </w:rPr>
      </w:pPr>
      <w:r w:rsidRPr="001A0789">
        <w:rPr>
          <w:rFonts w:ascii="Arial" w:hAnsi="Arial" w:cs="Arial"/>
          <w:sz w:val="20"/>
          <w:szCs w:val="20"/>
        </w:rPr>
        <w:t>V rámci Operačného programu cezhraničnej spolupráce</w:t>
      </w:r>
      <w:r w:rsidRPr="001A0789">
        <w:rPr>
          <w:rFonts w:ascii="Arial" w:hAnsi="Arial" w:cs="Arial"/>
          <w:i/>
          <w:sz w:val="20"/>
          <w:szCs w:val="20"/>
        </w:rPr>
        <w:t xml:space="preserve"> </w:t>
      </w:r>
      <w:r w:rsidRPr="001A0789">
        <w:rPr>
          <w:rFonts w:ascii="Arial" w:hAnsi="Arial" w:cs="Arial"/>
          <w:i/>
          <w:sz w:val="20"/>
          <w:szCs w:val="20"/>
          <w:u w:val="single"/>
        </w:rPr>
        <w:t xml:space="preserve">Slovenská republika – Česká republika </w:t>
      </w:r>
      <w:r w:rsidR="000241F0">
        <w:rPr>
          <w:rFonts w:ascii="Arial" w:hAnsi="Arial" w:cs="Arial"/>
          <w:i/>
          <w:sz w:val="20"/>
          <w:szCs w:val="20"/>
          <w:u w:val="single"/>
        </w:rPr>
        <w:t xml:space="preserve">    </w:t>
      </w:r>
      <w:r w:rsidRPr="001A0789">
        <w:rPr>
          <w:rFonts w:ascii="Arial" w:hAnsi="Arial" w:cs="Arial"/>
          <w:i/>
          <w:sz w:val="20"/>
          <w:szCs w:val="20"/>
          <w:u w:val="single"/>
        </w:rPr>
        <w:t xml:space="preserve">2007 – 2013 </w:t>
      </w:r>
      <w:r w:rsidRPr="001A0789">
        <w:rPr>
          <w:rFonts w:ascii="Arial" w:hAnsi="Arial" w:cs="Arial"/>
          <w:bCs/>
          <w:sz w:val="20"/>
          <w:szCs w:val="20"/>
        </w:rPr>
        <w:t>boli podporované environmentálne projekty</w:t>
      </w:r>
      <w:r w:rsidRPr="001A0789">
        <w:rPr>
          <w:rFonts w:ascii="Arial" w:hAnsi="Arial" w:cs="Arial"/>
          <w:sz w:val="20"/>
          <w:szCs w:val="20"/>
        </w:rPr>
        <w:t xml:space="preserve"> v rámci prioritnej osi 2 </w:t>
      </w:r>
      <w:r w:rsidRPr="001A0789">
        <w:rPr>
          <w:rFonts w:ascii="Arial" w:hAnsi="Arial" w:cs="Arial"/>
          <w:bCs/>
          <w:sz w:val="20"/>
          <w:szCs w:val="20"/>
        </w:rPr>
        <w:t xml:space="preserve">„Rozvoj dostupnosti cezhraničného územia a životného prostredia“. </w:t>
      </w:r>
    </w:p>
    <w:p w14:paraId="4C7B1CF7" w14:textId="77777777" w:rsidR="001A0789" w:rsidRPr="001A0789" w:rsidRDefault="001A0789" w:rsidP="001A0789">
      <w:pPr>
        <w:spacing w:before="120" w:after="120"/>
        <w:jc w:val="both"/>
        <w:rPr>
          <w:rFonts w:ascii="Arial" w:hAnsi="Arial" w:cs="Arial"/>
          <w:sz w:val="20"/>
          <w:szCs w:val="20"/>
        </w:rPr>
      </w:pPr>
      <w:r w:rsidRPr="001A0789">
        <w:rPr>
          <w:rFonts w:ascii="Arial" w:hAnsi="Arial" w:cs="Arial"/>
          <w:sz w:val="20"/>
          <w:szCs w:val="20"/>
        </w:rPr>
        <w:t xml:space="preserve">Riadiace štruktúry programov cezhraničnej spolupráce venovali špeciálnu pozornosť tomu, aby sa zabránilo akejkoľvek možnosti dvojitého financovania intervencií zo štrukturálnych fondov. Deliacou líniou v tomto prípade bol v prvom rade charakter projektov cezhraničnej spolupráce, ktorých hlavným špecifikom bol spoločný manažment projektov s cezhraničným dopadom – pri hodnotení projektov sa dôrazne posudzoval práve cezhraničný dopad aktivít. </w:t>
      </w:r>
    </w:p>
    <w:p w14:paraId="412AC26E" w14:textId="3540D049" w:rsidR="001A0789" w:rsidRPr="003374BE" w:rsidRDefault="001A0789" w:rsidP="003374BE">
      <w:pPr>
        <w:spacing w:before="120" w:after="120"/>
        <w:jc w:val="both"/>
        <w:rPr>
          <w:rFonts w:ascii="Arial" w:hAnsi="Arial" w:cs="Arial"/>
          <w:sz w:val="20"/>
          <w:szCs w:val="20"/>
        </w:rPr>
      </w:pPr>
      <w:r w:rsidRPr="001A0789">
        <w:rPr>
          <w:rFonts w:ascii="Arial" w:hAnsi="Arial" w:cs="Arial"/>
          <w:sz w:val="20"/>
          <w:szCs w:val="20"/>
        </w:rPr>
        <w:t xml:space="preserve">Pre zabezpečenie vzájomnej informovanosti o podporovaných aktivitách/projektoch bol aj zástupca Riadiaceho orgánu pre OP ŽP členom Monitorovacieho výboru každého z programov cezhraničnej spolupráce. </w:t>
      </w:r>
    </w:p>
    <w:p w14:paraId="26226D0C" w14:textId="77777777" w:rsidR="002416B1" w:rsidRPr="00123376" w:rsidRDefault="002416B1" w:rsidP="00123376">
      <w:pPr>
        <w:spacing w:before="240" w:after="120"/>
        <w:jc w:val="both"/>
        <w:rPr>
          <w:rFonts w:ascii="Arial" w:hAnsi="Arial" w:cs="Arial"/>
          <w:b/>
          <w:i/>
          <w:sz w:val="20"/>
          <w:szCs w:val="20"/>
        </w:rPr>
      </w:pPr>
      <w:r w:rsidRPr="00123376">
        <w:rPr>
          <w:rFonts w:ascii="Arial" w:hAnsi="Arial" w:cs="Arial"/>
          <w:b/>
          <w:i/>
          <w:sz w:val="20"/>
          <w:szCs w:val="20"/>
        </w:rPr>
        <w:t>Synergia, komplementarita OP ŽP s programami financovanými z EAFRD</w:t>
      </w:r>
    </w:p>
    <w:p w14:paraId="11BE255A" w14:textId="13A6460D" w:rsidR="002416B1" w:rsidRPr="00E21C60" w:rsidRDefault="002416B1" w:rsidP="00123376">
      <w:pPr>
        <w:spacing w:before="120" w:after="120"/>
        <w:jc w:val="both"/>
        <w:rPr>
          <w:rFonts w:ascii="Arial" w:hAnsi="Arial" w:cs="Arial"/>
          <w:sz w:val="20"/>
          <w:szCs w:val="20"/>
        </w:rPr>
      </w:pPr>
      <w:r w:rsidRPr="002526CC">
        <w:rPr>
          <w:rFonts w:ascii="Arial" w:hAnsi="Arial" w:cs="Arial"/>
          <w:sz w:val="20"/>
          <w:szCs w:val="20"/>
        </w:rPr>
        <w:t xml:space="preserve">Niektoré aktivity OP ŽP </w:t>
      </w:r>
      <w:r w:rsidR="000F3DBC">
        <w:rPr>
          <w:rFonts w:ascii="Arial" w:hAnsi="Arial" w:cs="Arial"/>
          <w:sz w:val="20"/>
          <w:szCs w:val="20"/>
        </w:rPr>
        <w:t>sa dopĺňali</w:t>
      </w:r>
      <w:r w:rsidRPr="002526CC">
        <w:rPr>
          <w:rFonts w:ascii="Arial" w:hAnsi="Arial" w:cs="Arial"/>
          <w:sz w:val="20"/>
          <w:szCs w:val="20"/>
        </w:rPr>
        <w:t xml:space="preserve"> s aktivitami </w:t>
      </w:r>
      <w:r w:rsidRPr="00E21C60">
        <w:rPr>
          <w:rFonts w:ascii="Arial" w:hAnsi="Arial" w:cs="Arial"/>
          <w:i/>
          <w:sz w:val="20"/>
          <w:szCs w:val="20"/>
          <w:u w:val="single"/>
        </w:rPr>
        <w:t>Programu rozvoja vidieka (ďalej len „PRV“)</w:t>
      </w:r>
      <w:r w:rsidRPr="00E21C60">
        <w:rPr>
          <w:rFonts w:ascii="Arial" w:hAnsi="Arial" w:cs="Arial"/>
          <w:sz w:val="20"/>
          <w:szCs w:val="20"/>
        </w:rPr>
        <w:t xml:space="preserve">, ktorý </w:t>
      </w:r>
      <w:r w:rsidR="000F3DBC">
        <w:rPr>
          <w:rFonts w:ascii="Arial" w:hAnsi="Arial" w:cs="Arial"/>
          <w:sz w:val="20"/>
          <w:szCs w:val="20"/>
        </w:rPr>
        <w:t xml:space="preserve">bol </w:t>
      </w:r>
      <w:r w:rsidRPr="00E21C60">
        <w:rPr>
          <w:rFonts w:ascii="Arial" w:hAnsi="Arial" w:cs="Arial"/>
          <w:sz w:val="20"/>
          <w:szCs w:val="20"/>
        </w:rPr>
        <w:t xml:space="preserve">financovaný zo zdrojov </w:t>
      </w:r>
      <w:r w:rsidRPr="00E21C60">
        <w:rPr>
          <w:rFonts w:ascii="Arial" w:hAnsi="Arial" w:cs="Arial"/>
          <w:i/>
          <w:sz w:val="20"/>
          <w:szCs w:val="20"/>
          <w:u w:val="single"/>
        </w:rPr>
        <w:t>Európskeho poľnohospodárskeho fondu pre rozvoj vidieka (EAFRD)</w:t>
      </w:r>
      <w:r w:rsidRPr="00E21C60">
        <w:rPr>
          <w:rFonts w:ascii="Arial" w:hAnsi="Arial" w:cs="Arial"/>
          <w:sz w:val="20"/>
          <w:szCs w:val="20"/>
        </w:rPr>
        <w:t>.</w:t>
      </w:r>
    </w:p>
    <w:p w14:paraId="46ABA5D1" w14:textId="77777777"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Príkladom sú tematicky podobné opatrenia pre OP ŽP, PO 1 Integrovaná ochrana a racionálne využívanie vôd, Operačný cieľ 1.2 Odvádzanie a čistenie komunálnych odpadových vôd v zmysle záväzkov SR voči EÚ, a to v rámci PRV:</w:t>
      </w:r>
    </w:p>
    <w:p w14:paraId="42051EA3" w14:textId="77777777" w:rsidR="002416B1" w:rsidRPr="00E21C60" w:rsidRDefault="002416B1" w:rsidP="00DF6D90">
      <w:pPr>
        <w:numPr>
          <w:ilvl w:val="0"/>
          <w:numId w:val="39"/>
        </w:numPr>
        <w:tabs>
          <w:tab w:val="clear" w:pos="720"/>
        </w:tabs>
        <w:spacing w:before="120" w:after="120"/>
        <w:ind w:left="284" w:hanging="284"/>
        <w:jc w:val="both"/>
        <w:rPr>
          <w:rFonts w:ascii="Arial" w:hAnsi="Arial" w:cs="Arial"/>
          <w:iCs/>
          <w:sz w:val="20"/>
          <w:szCs w:val="20"/>
        </w:rPr>
      </w:pPr>
      <w:r w:rsidRPr="00E21C60">
        <w:rPr>
          <w:rFonts w:ascii="Arial" w:hAnsi="Arial" w:cs="Arial"/>
          <w:sz w:val="20"/>
          <w:szCs w:val="20"/>
        </w:rPr>
        <w:t xml:space="preserve">Os 1 Zvýšenie </w:t>
      </w:r>
      <w:r w:rsidRPr="00E21C60">
        <w:rPr>
          <w:rFonts w:ascii="Arial" w:hAnsi="Arial" w:cs="Arial"/>
          <w:bCs/>
          <w:sz w:val="20"/>
          <w:szCs w:val="20"/>
        </w:rPr>
        <w:t>konkurencieschopnosti sektoru poľnohospodárstva a lesného hospodárstva, Opatrenie: P</w:t>
      </w:r>
      <w:r w:rsidRPr="00E21C60">
        <w:rPr>
          <w:rFonts w:ascii="Arial" w:hAnsi="Arial" w:cs="Arial"/>
          <w:iCs/>
          <w:sz w:val="20"/>
          <w:szCs w:val="20"/>
        </w:rPr>
        <w:t xml:space="preserve">ridávanie hodnoty do poľnohospodárskych produktov a produktov lesného hospodárstva: </w:t>
      </w:r>
    </w:p>
    <w:p w14:paraId="597539A4" w14:textId="6CDA23B5" w:rsidR="002416B1" w:rsidRPr="00E21C60" w:rsidRDefault="002416B1" w:rsidP="00123376">
      <w:pPr>
        <w:tabs>
          <w:tab w:val="left" w:pos="567"/>
        </w:tabs>
        <w:spacing w:before="120" w:after="120"/>
        <w:ind w:left="567" w:hanging="283"/>
        <w:jc w:val="both"/>
        <w:rPr>
          <w:rFonts w:ascii="Arial" w:hAnsi="Arial" w:cs="Arial"/>
          <w:iCs/>
          <w:sz w:val="20"/>
          <w:szCs w:val="20"/>
        </w:rPr>
      </w:pPr>
      <w:r w:rsidRPr="00E21C60">
        <w:rPr>
          <w:rFonts w:ascii="Arial" w:hAnsi="Arial" w:cs="Arial"/>
          <w:iCs/>
          <w:sz w:val="20"/>
          <w:szCs w:val="20"/>
        </w:rPr>
        <w:t xml:space="preserve">- </w:t>
      </w:r>
      <w:r w:rsidR="00CD2BE9" w:rsidRPr="00E21C60">
        <w:rPr>
          <w:rFonts w:ascii="Arial" w:hAnsi="Arial" w:cs="Arial"/>
          <w:iCs/>
          <w:sz w:val="20"/>
          <w:szCs w:val="20"/>
        </w:rPr>
        <w:tab/>
      </w:r>
      <w:r w:rsidRPr="00E21C60">
        <w:rPr>
          <w:rFonts w:ascii="Arial" w:hAnsi="Arial" w:cs="Arial"/>
          <w:iCs/>
          <w:sz w:val="20"/>
          <w:szCs w:val="20"/>
          <w:u w:val="single"/>
        </w:rPr>
        <w:t>v prípade PRV</w:t>
      </w:r>
      <w:r w:rsidRPr="00E21C60">
        <w:rPr>
          <w:rFonts w:ascii="Arial" w:hAnsi="Arial" w:cs="Arial"/>
          <w:iCs/>
          <w:sz w:val="20"/>
          <w:szCs w:val="20"/>
        </w:rPr>
        <w:t xml:space="preserve"> </w:t>
      </w:r>
      <w:r w:rsidR="000F3DBC">
        <w:rPr>
          <w:rFonts w:ascii="Arial" w:hAnsi="Arial" w:cs="Arial"/>
          <w:iCs/>
          <w:sz w:val="20"/>
          <w:szCs w:val="20"/>
        </w:rPr>
        <w:t>mohli</w:t>
      </w:r>
      <w:r w:rsidR="000F3DBC" w:rsidRPr="00E21C60">
        <w:rPr>
          <w:rFonts w:ascii="Arial" w:hAnsi="Arial" w:cs="Arial"/>
          <w:iCs/>
          <w:sz w:val="20"/>
          <w:szCs w:val="20"/>
        </w:rPr>
        <w:t xml:space="preserve"> </w:t>
      </w:r>
      <w:r w:rsidRPr="00E21C60">
        <w:rPr>
          <w:rFonts w:ascii="Arial" w:hAnsi="Arial" w:cs="Arial"/>
          <w:iCs/>
          <w:sz w:val="20"/>
          <w:szCs w:val="20"/>
        </w:rPr>
        <w:t>byť podporené aktivity výstavby, rekonštrukcie a modernizácie v oblasti čistenia odpadových vôd (ČOV) za účelom zlepšenia celkovej výkonnosti podniku, t.j. pre fyzické a právnické osoby podnikajúce v oblasti spracovania produktov poľnohospodárskej prvovýroby a lesných produktov.</w:t>
      </w:r>
    </w:p>
    <w:p w14:paraId="01312E09" w14:textId="09F4AF5D" w:rsidR="002416B1" w:rsidRPr="00E21C60" w:rsidRDefault="002416B1" w:rsidP="00123376">
      <w:pPr>
        <w:tabs>
          <w:tab w:val="left" w:pos="567"/>
        </w:tabs>
        <w:spacing w:before="120" w:after="120"/>
        <w:ind w:left="567" w:hanging="283"/>
        <w:jc w:val="both"/>
        <w:rPr>
          <w:rFonts w:ascii="Arial" w:hAnsi="Arial" w:cs="Arial"/>
          <w:sz w:val="20"/>
          <w:szCs w:val="20"/>
          <w:u w:val="single"/>
        </w:rPr>
      </w:pPr>
      <w:r w:rsidRPr="00E21C60">
        <w:rPr>
          <w:rFonts w:ascii="Arial" w:hAnsi="Arial" w:cs="Arial"/>
          <w:iCs/>
          <w:sz w:val="20"/>
          <w:szCs w:val="20"/>
        </w:rPr>
        <w:t xml:space="preserve">- </w:t>
      </w:r>
      <w:r w:rsidR="00CD2BE9" w:rsidRPr="00E21C60">
        <w:rPr>
          <w:rFonts w:ascii="Arial" w:hAnsi="Arial" w:cs="Arial"/>
          <w:iCs/>
          <w:sz w:val="20"/>
          <w:szCs w:val="20"/>
        </w:rPr>
        <w:tab/>
      </w:r>
      <w:r w:rsidRPr="00E21C60">
        <w:rPr>
          <w:rFonts w:ascii="Arial" w:hAnsi="Arial" w:cs="Arial"/>
          <w:iCs/>
          <w:sz w:val="20"/>
          <w:szCs w:val="20"/>
          <w:u w:val="single"/>
        </w:rPr>
        <w:t>v prípade OP ŽP</w:t>
      </w:r>
      <w:r w:rsidRPr="00E21C60">
        <w:rPr>
          <w:rFonts w:ascii="Arial" w:hAnsi="Arial" w:cs="Arial"/>
          <w:iCs/>
          <w:sz w:val="20"/>
          <w:szCs w:val="20"/>
        </w:rPr>
        <w:t xml:space="preserve"> </w:t>
      </w:r>
      <w:r w:rsidR="000F3DBC">
        <w:rPr>
          <w:rFonts w:ascii="Arial" w:hAnsi="Arial" w:cs="Arial"/>
          <w:iCs/>
          <w:sz w:val="20"/>
          <w:szCs w:val="20"/>
        </w:rPr>
        <w:t>bola</w:t>
      </w:r>
      <w:r w:rsidR="000F3DBC" w:rsidRPr="00E21C60">
        <w:rPr>
          <w:rFonts w:ascii="Arial" w:hAnsi="Arial" w:cs="Arial"/>
          <w:iCs/>
          <w:sz w:val="20"/>
          <w:szCs w:val="20"/>
        </w:rPr>
        <w:t xml:space="preserve"> </w:t>
      </w:r>
      <w:r w:rsidRPr="00E21C60">
        <w:rPr>
          <w:rFonts w:ascii="Arial" w:hAnsi="Arial" w:cs="Arial"/>
          <w:iCs/>
          <w:sz w:val="20"/>
          <w:szCs w:val="20"/>
        </w:rPr>
        <w:t>podpora zameraná na odvádzanie a čistenie komunálnych</w:t>
      </w:r>
      <w:r w:rsidRPr="00E21C60">
        <w:rPr>
          <w:rFonts w:ascii="Arial" w:hAnsi="Arial" w:cs="Arial"/>
          <w:b/>
          <w:iCs/>
          <w:sz w:val="20"/>
          <w:szCs w:val="20"/>
        </w:rPr>
        <w:t xml:space="preserve"> </w:t>
      </w:r>
      <w:r w:rsidRPr="00E21C60">
        <w:rPr>
          <w:rFonts w:ascii="Arial" w:hAnsi="Arial" w:cs="Arial"/>
          <w:iCs/>
          <w:sz w:val="20"/>
          <w:szCs w:val="20"/>
        </w:rPr>
        <w:t xml:space="preserve">odpadových vôd v aglomeráciách požadovanej veľkosti, pričom fyzické a právnické osoby podnikajúce v poľnohospodárskej prvovýrobe a lesnom hospodárstve </w:t>
      </w:r>
      <w:r w:rsidR="000F3DBC">
        <w:rPr>
          <w:rFonts w:ascii="Arial" w:hAnsi="Arial" w:cs="Arial"/>
          <w:iCs/>
          <w:sz w:val="20"/>
          <w:szCs w:val="20"/>
        </w:rPr>
        <w:t>neboli</w:t>
      </w:r>
      <w:r w:rsidRPr="00E21C60">
        <w:rPr>
          <w:rFonts w:ascii="Arial" w:hAnsi="Arial" w:cs="Arial"/>
          <w:iCs/>
          <w:sz w:val="20"/>
          <w:szCs w:val="20"/>
        </w:rPr>
        <w:t xml:space="preserve"> oprávneným prijímateľom.</w:t>
      </w:r>
    </w:p>
    <w:p w14:paraId="56BFC07F" w14:textId="77777777" w:rsidR="002416B1" w:rsidRPr="00E21C60" w:rsidRDefault="002416B1" w:rsidP="00DF6D90">
      <w:pPr>
        <w:numPr>
          <w:ilvl w:val="0"/>
          <w:numId w:val="39"/>
        </w:numPr>
        <w:tabs>
          <w:tab w:val="clear" w:pos="720"/>
        </w:tabs>
        <w:spacing w:before="120" w:after="120"/>
        <w:ind w:left="284" w:hanging="284"/>
        <w:jc w:val="both"/>
        <w:rPr>
          <w:rFonts w:ascii="Arial" w:hAnsi="Arial" w:cs="Arial"/>
          <w:sz w:val="20"/>
          <w:szCs w:val="20"/>
        </w:rPr>
      </w:pPr>
      <w:r w:rsidRPr="00E21C60">
        <w:rPr>
          <w:rFonts w:ascii="Arial" w:hAnsi="Arial" w:cs="Arial"/>
          <w:sz w:val="20"/>
          <w:szCs w:val="20"/>
        </w:rPr>
        <w:t xml:space="preserve">Os 3 Kvalita života vo vidieckych oblastiach a diverzifikácia vidieckeho hospodárstva, </w:t>
      </w:r>
      <w:r w:rsidRPr="00E21C60">
        <w:rPr>
          <w:rFonts w:ascii="Arial" w:hAnsi="Arial" w:cs="Arial"/>
          <w:bCs/>
          <w:sz w:val="20"/>
          <w:szCs w:val="20"/>
        </w:rPr>
        <w:t xml:space="preserve">Opatrenie </w:t>
      </w:r>
      <w:r w:rsidRPr="00E21C60">
        <w:rPr>
          <w:rFonts w:ascii="Arial" w:hAnsi="Arial" w:cs="Arial"/>
          <w:sz w:val="20"/>
          <w:szCs w:val="20"/>
        </w:rPr>
        <w:t xml:space="preserve">Obnova a rozvoj obcí: </w:t>
      </w:r>
    </w:p>
    <w:p w14:paraId="1548AEF1" w14:textId="0AF83271" w:rsidR="002416B1" w:rsidRPr="00E21C60" w:rsidRDefault="002416B1" w:rsidP="00123376">
      <w:pPr>
        <w:spacing w:before="120" w:after="120"/>
        <w:ind w:left="567" w:hanging="283"/>
        <w:jc w:val="both"/>
        <w:rPr>
          <w:rFonts w:ascii="Arial" w:hAnsi="Arial" w:cs="Arial"/>
          <w:sz w:val="20"/>
          <w:szCs w:val="20"/>
        </w:rPr>
      </w:pPr>
      <w:r w:rsidRPr="00E21C60">
        <w:rPr>
          <w:rFonts w:ascii="Arial" w:hAnsi="Arial" w:cs="Arial"/>
          <w:sz w:val="20"/>
          <w:szCs w:val="20"/>
        </w:rPr>
        <w:t xml:space="preserve">- </w:t>
      </w:r>
      <w:r w:rsidR="00CD2BE9" w:rsidRPr="00E21C60">
        <w:rPr>
          <w:rFonts w:ascii="Arial" w:hAnsi="Arial" w:cs="Arial"/>
          <w:sz w:val="20"/>
          <w:szCs w:val="20"/>
        </w:rPr>
        <w:tab/>
      </w:r>
      <w:r w:rsidRPr="00E21C60">
        <w:rPr>
          <w:rFonts w:ascii="Arial" w:hAnsi="Arial" w:cs="Arial"/>
          <w:sz w:val="20"/>
          <w:szCs w:val="20"/>
          <w:u w:val="single"/>
        </w:rPr>
        <w:t>v prípade PRV</w:t>
      </w:r>
      <w:r w:rsidRPr="00E21C60">
        <w:rPr>
          <w:rFonts w:ascii="Arial" w:hAnsi="Arial" w:cs="Arial"/>
          <w:sz w:val="20"/>
          <w:szCs w:val="20"/>
        </w:rPr>
        <w:t xml:space="preserve"> </w:t>
      </w:r>
      <w:r w:rsidR="000F3DBC">
        <w:rPr>
          <w:rFonts w:ascii="Arial" w:hAnsi="Arial" w:cs="Arial"/>
          <w:sz w:val="20"/>
          <w:szCs w:val="20"/>
        </w:rPr>
        <w:t>boli</w:t>
      </w:r>
      <w:r w:rsidR="000F3DBC" w:rsidRPr="00E21C60">
        <w:rPr>
          <w:rFonts w:ascii="Arial" w:hAnsi="Arial" w:cs="Arial"/>
          <w:sz w:val="20"/>
          <w:szCs w:val="20"/>
        </w:rPr>
        <w:t xml:space="preserve"> </w:t>
      </w:r>
      <w:r w:rsidRPr="00E21C60">
        <w:rPr>
          <w:rFonts w:ascii="Arial" w:hAnsi="Arial" w:cs="Arial"/>
          <w:sz w:val="20"/>
          <w:szCs w:val="20"/>
        </w:rPr>
        <w:t>v rámci komplexného zlepšenia základných služieb a rozvoja investícií vidieckych oblastí podporené aktivity zlepšenia stavu vodovodných a kanalizačných systémov (rekonštrukcia a modernizácia) za účelom zabezpečenia vyššej atraktivity vidieckych oblastí.</w:t>
      </w:r>
    </w:p>
    <w:p w14:paraId="206C1A96" w14:textId="6EB3E09B" w:rsidR="004D6F10" w:rsidRPr="00E21C60" w:rsidRDefault="002416B1" w:rsidP="00123376">
      <w:pPr>
        <w:spacing w:before="120" w:after="120"/>
        <w:ind w:left="567" w:hanging="283"/>
        <w:jc w:val="both"/>
        <w:rPr>
          <w:rFonts w:ascii="Arial" w:hAnsi="Arial" w:cs="Arial"/>
          <w:sz w:val="20"/>
          <w:szCs w:val="20"/>
        </w:rPr>
      </w:pPr>
      <w:r w:rsidRPr="00E21C60">
        <w:rPr>
          <w:rFonts w:ascii="Arial" w:hAnsi="Arial" w:cs="Arial"/>
          <w:sz w:val="20"/>
          <w:szCs w:val="20"/>
        </w:rPr>
        <w:t xml:space="preserve">- </w:t>
      </w:r>
      <w:r w:rsidR="00CD2BE9" w:rsidRPr="00E21C60">
        <w:rPr>
          <w:rFonts w:ascii="Arial" w:hAnsi="Arial" w:cs="Arial"/>
          <w:sz w:val="20"/>
          <w:szCs w:val="20"/>
        </w:rPr>
        <w:tab/>
      </w:r>
      <w:r w:rsidRPr="00E21C60">
        <w:rPr>
          <w:rFonts w:ascii="Arial" w:hAnsi="Arial" w:cs="Arial"/>
          <w:sz w:val="20"/>
          <w:szCs w:val="20"/>
          <w:u w:val="single"/>
        </w:rPr>
        <w:t>v prípade OP ŽP</w:t>
      </w:r>
      <w:r w:rsidRPr="00E21C60">
        <w:rPr>
          <w:rFonts w:ascii="Arial" w:hAnsi="Arial" w:cs="Arial"/>
          <w:sz w:val="20"/>
          <w:szCs w:val="20"/>
        </w:rPr>
        <w:t xml:space="preserve"> </w:t>
      </w:r>
      <w:r w:rsidR="000F3DBC">
        <w:rPr>
          <w:rFonts w:ascii="Arial" w:hAnsi="Arial" w:cs="Arial"/>
          <w:sz w:val="20"/>
          <w:szCs w:val="20"/>
        </w:rPr>
        <w:t xml:space="preserve">bola </w:t>
      </w:r>
      <w:r w:rsidRPr="00E21C60">
        <w:rPr>
          <w:rFonts w:ascii="Arial" w:hAnsi="Arial" w:cs="Arial"/>
          <w:sz w:val="20"/>
          <w:szCs w:val="20"/>
        </w:rPr>
        <w:t xml:space="preserve"> podpora zameraná na odvádzanie a čistenie komunálnych</w:t>
      </w:r>
      <w:r w:rsidRPr="00E21C60">
        <w:rPr>
          <w:rFonts w:ascii="Arial" w:hAnsi="Arial" w:cs="Arial"/>
          <w:b/>
          <w:sz w:val="20"/>
          <w:szCs w:val="20"/>
        </w:rPr>
        <w:t xml:space="preserve"> </w:t>
      </w:r>
      <w:r w:rsidRPr="00E21C60">
        <w:rPr>
          <w:rFonts w:ascii="Arial" w:hAnsi="Arial" w:cs="Arial"/>
          <w:sz w:val="20"/>
          <w:szCs w:val="20"/>
        </w:rPr>
        <w:t>odpadových vôd v aglomeráciách požadovanej veľkosti v zmysle Národného programu SR pre vykonávanie smernice 91/271/EHS o čistení komunálnych odpadových vôd v znení smernice Komisie 98/15/ES a nariadenia Európskeho parlamentu a Rady 1882/2003/ES.</w:t>
      </w:r>
    </w:p>
    <w:p w14:paraId="6E44A775" w14:textId="77777777" w:rsidR="002416B1" w:rsidRPr="00330B23" w:rsidRDefault="002416B1" w:rsidP="00F87D11">
      <w:pPr>
        <w:spacing w:before="240" w:after="240"/>
        <w:jc w:val="both"/>
        <w:rPr>
          <w:rFonts w:ascii="Arial" w:hAnsi="Arial" w:cs="Arial"/>
          <w:b/>
          <w:i/>
          <w:sz w:val="20"/>
          <w:szCs w:val="20"/>
        </w:rPr>
      </w:pPr>
      <w:r w:rsidRPr="00330B23">
        <w:rPr>
          <w:rFonts w:ascii="Arial" w:hAnsi="Arial" w:cs="Arial"/>
          <w:b/>
          <w:i/>
          <w:sz w:val="20"/>
          <w:szCs w:val="20"/>
        </w:rPr>
        <w:t>Synergia, komplementarita OP ŽP s ostatnými finančnými nástrojmi</w:t>
      </w:r>
    </w:p>
    <w:p w14:paraId="5AD931D5" w14:textId="0F466A8E" w:rsidR="00433F61" w:rsidRDefault="00433F61" w:rsidP="00123376">
      <w:pPr>
        <w:spacing w:before="120" w:after="120"/>
        <w:jc w:val="both"/>
        <w:rPr>
          <w:rFonts w:ascii="Arial" w:hAnsi="Arial" w:cs="Arial"/>
          <w:i/>
          <w:sz w:val="20"/>
          <w:szCs w:val="20"/>
          <w:u w:val="single"/>
        </w:rPr>
      </w:pPr>
      <w:r w:rsidRPr="00330B23">
        <w:rPr>
          <w:rFonts w:ascii="Arial" w:hAnsi="Arial" w:cs="Arial"/>
          <w:i/>
          <w:sz w:val="20"/>
          <w:szCs w:val="20"/>
          <w:u w:val="single"/>
        </w:rPr>
        <w:t>Finančný mechanizmus EHP/Nórsky finančný mechanizmus (ďalej len „FM EHP/NFM“)</w:t>
      </w:r>
    </w:p>
    <w:p w14:paraId="3D504AF0" w14:textId="77777777" w:rsidR="00CB40E5" w:rsidRPr="00CB40E5" w:rsidRDefault="00CB40E5" w:rsidP="00CB40E5">
      <w:pPr>
        <w:spacing w:before="120" w:after="120"/>
        <w:jc w:val="both"/>
        <w:rPr>
          <w:rFonts w:ascii="Arial" w:hAnsi="Arial" w:cs="Arial"/>
          <w:bCs/>
          <w:iCs/>
          <w:sz w:val="20"/>
          <w:szCs w:val="20"/>
        </w:rPr>
      </w:pPr>
      <w:r w:rsidRPr="00CB40E5">
        <w:rPr>
          <w:rFonts w:ascii="Arial" w:hAnsi="Arial" w:cs="Arial"/>
          <w:bCs/>
          <w:iCs/>
          <w:sz w:val="20"/>
          <w:szCs w:val="20"/>
        </w:rPr>
        <w:t>Z hľadiska komplementarity OP ŽP s finančným mechanizmom EHP/Nórskeho finančného mechanizmu v rámci programového obdobia rokov 2009 – 2014 boli relevantné tieto oblasti:</w:t>
      </w:r>
    </w:p>
    <w:p w14:paraId="4C57AA09" w14:textId="5FFF5923" w:rsidR="00CB40E5" w:rsidRPr="00CB40E5" w:rsidRDefault="00CB40E5" w:rsidP="00CB40E5">
      <w:pPr>
        <w:numPr>
          <w:ilvl w:val="0"/>
          <w:numId w:val="43"/>
        </w:numPr>
        <w:spacing w:before="120" w:after="120" w:line="259" w:lineRule="auto"/>
        <w:ind w:left="425" w:hanging="357"/>
        <w:jc w:val="both"/>
        <w:rPr>
          <w:rFonts w:ascii="Arial" w:hAnsi="Arial" w:cs="Arial"/>
          <w:bCs/>
          <w:iCs/>
          <w:sz w:val="20"/>
          <w:szCs w:val="20"/>
          <w:lang w:eastAsia="en-US"/>
        </w:rPr>
      </w:pPr>
      <w:r w:rsidRPr="00CB40E5">
        <w:rPr>
          <w:rFonts w:ascii="Arial" w:hAnsi="Arial" w:cs="Arial"/>
          <w:bCs/>
          <w:i/>
          <w:iCs/>
          <w:sz w:val="20"/>
          <w:szCs w:val="20"/>
          <w:lang w:eastAsia="en-US"/>
        </w:rPr>
        <w:lastRenderedPageBreak/>
        <w:t>SK02 – Prispôsobenie sa zmene klímy</w:t>
      </w:r>
      <w:r w:rsidRPr="00CB40E5">
        <w:rPr>
          <w:rFonts w:ascii="Arial" w:hAnsi="Arial" w:cs="Arial"/>
          <w:bCs/>
          <w:iCs/>
          <w:sz w:val="20"/>
          <w:szCs w:val="20"/>
          <w:lang w:eastAsia="en-US"/>
        </w:rPr>
        <w:t xml:space="preserve"> </w:t>
      </w:r>
      <w:r w:rsidRPr="00CB40E5">
        <w:rPr>
          <w:rFonts w:ascii="Arial" w:hAnsi="Arial" w:cs="Arial"/>
          <w:bCs/>
          <w:i/>
          <w:iCs/>
          <w:sz w:val="20"/>
          <w:szCs w:val="20"/>
          <w:lang w:eastAsia="en-US"/>
        </w:rPr>
        <w:t>– prevencia povodní a sucha</w:t>
      </w:r>
      <w:r w:rsidRPr="00CB40E5">
        <w:rPr>
          <w:rFonts w:ascii="Arial" w:hAnsi="Arial" w:cs="Arial"/>
          <w:bCs/>
          <w:iCs/>
          <w:sz w:val="20"/>
          <w:szCs w:val="20"/>
          <w:lang w:eastAsia="en-US"/>
        </w:rPr>
        <w:t xml:space="preserve"> – kde boli podporované návrhy stratégie, realizácia opatrení na prispôsobenie sa zmene klímy, zvýšenie kapacity na posúdenie zraniteľnosti voči zmene klímy a rozšírenie vedomostí a poznatkov verejnosti o prispôsobení sa zmene klímy, a rozšírenie vedomostí a poznatkov verejnosti o prispôsobení sa zmene klímy. Cieľom programu bolo nájsť ekonomicky efektívne a environmentálne udržateľné adaptačné opatrenia založené na zmeny využitia krajiny a na riešenie rizík vyplývajúcich </w:t>
      </w:r>
      <w:r w:rsidR="000241F0">
        <w:rPr>
          <w:rFonts w:ascii="Arial" w:hAnsi="Arial" w:cs="Arial"/>
          <w:bCs/>
          <w:iCs/>
          <w:sz w:val="20"/>
          <w:szCs w:val="20"/>
          <w:lang w:eastAsia="en-US"/>
        </w:rPr>
        <w:t xml:space="preserve">              </w:t>
      </w:r>
      <w:r w:rsidRPr="00CB40E5">
        <w:rPr>
          <w:rFonts w:ascii="Arial" w:hAnsi="Arial" w:cs="Arial"/>
          <w:bCs/>
          <w:iCs/>
          <w:sz w:val="20"/>
          <w:szCs w:val="20"/>
          <w:lang w:eastAsia="en-US"/>
        </w:rPr>
        <w:t xml:space="preserve">z klimatickej zmeny. </w:t>
      </w:r>
    </w:p>
    <w:p w14:paraId="5A230BBC" w14:textId="77777777" w:rsidR="00CB40E5" w:rsidRPr="00CB40E5" w:rsidRDefault="00CB40E5" w:rsidP="00CB40E5">
      <w:pPr>
        <w:numPr>
          <w:ilvl w:val="0"/>
          <w:numId w:val="43"/>
        </w:numPr>
        <w:spacing w:before="120" w:after="120" w:line="259" w:lineRule="auto"/>
        <w:ind w:left="425" w:hanging="357"/>
        <w:jc w:val="both"/>
        <w:rPr>
          <w:rFonts w:ascii="Arial" w:hAnsi="Arial" w:cs="Arial"/>
          <w:bCs/>
          <w:iCs/>
          <w:sz w:val="20"/>
          <w:szCs w:val="20"/>
          <w:lang w:eastAsia="en-US"/>
        </w:rPr>
      </w:pPr>
      <w:r w:rsidRPr="00CB40E5">
        <w:rPr>
          <w:rFonts w:ascii="Arial" w:hAnsi="Arial" w:cs="Arial"/>
          <w:bCs/>
          <w:i/>
          <w:iCs/>
          <w:sz w:val="20"/>
          <w:szCs w:val="20"/>
          <w:lang w:eastAsia="en-US"/>
        </w:rPr>
        <w:t xml:space="preserve">SK07 – Zelené inovácie v priemysle </w:t>
      </w:r>
      <w:r w:rsidRPr="00CB40E5">
        <w:rPr>
          <w:rFonts w:ascii="Arial" w:hAnsi="Arial" w:cs="Arial"/>
          <w:bCs/>
          <w:iCs/>
          <w:sz w:val="20"/>
          <w:szCs w:val="20"/>
          <w:lang w:eastAsia="en-US"/>
        </w:rPr>
        <w:t xml:space="preserve">– kde bolo podporované zvýšenie konkurencieschopnosti zelených podnikov, ozelenenie existujúcich priemyselných odvetví, zelené inovácie a zelené podnikanie. Nosnou témou programu bolo environmentálne využitie organického odpadu a produkcie biomasy z poľnohospodársky nevyužívaných plôch pri výrobe zelenej energie. Program bol zároveň premostením medzi výskumom a trhovou aplikáciou jeho výsledkov. Hlavný dôraz programu bol kladený na zvýšenie zelených pracovných príležitostí a zeleného podnikania. </w:t>
      </w:r>
    </w:p>
    <w:p w14:paraId="0D861DCA" w14:textId="620B8AA0" w:rsidR="00CB40E5" w:rsidRPr="00CB40E5" w:rsidRDefault="00CB40E5" w:rsidP="00F87D11">
      <w:pPr>
        <w:spacing w:before="120" w:after="240"/>
        <w:jc w:val="both"/>
        <w:rPr>
          <w:rFonts w:ascii="Arial" w:hAnsi="Arial" w:cs="Arial"/>
          <w:bCs/>
          <w:iCs/>
          <w:sz w:val="20"/>
          <w:szCs w:val="20"/>
        </w:rPr>
      </w:pPr>
      <w:r w:rsidRPr="00CB40E5">
        <w:rPr>
          <w:rFonts w:ascii="Arial" w:hAnsi="Arial" w:cs="Arial"/>
          <w:bCs/>
          <w:iCs/>
          <w:sz w:val="20"/>
          <w:szCs w:val="20"/>
        </w:rPr>
        <w:t xml:space="preserve">Významnou časťou programu bola aj reálna činnosť v oblasti vzdelávania a zvyšovania povedomia </w:t>
      </w:r>
      <w:r w:rsidR="000241F0">
        <w:rPr>
          <w:rFonts w:ascii="Arial" w:hAnsi="Arial" w:cs="Arial"/>
          <w:bCs/>
          <w:iCs/>
          <w:sz w:val="20"/>
          <w:szCs w:val="20"/>
        </w:rPr>
        <w:t xml:space="preserve">     </w:t>
      </w:r>
      <w:r w:rsidRPr="00CB40E5">
        <w:rPr>
          <w:rFonts w:ascii="Arial" w:hAnsi="Arial" w:cs="Arial"/>
          <w:bCs/>
          <w:iCs/>
          <w:sz w:val="20"/>
          <w:szCs w:val="20"/>
        </w:rPr>
        <w:t>v oblasti zmien klímy a samotného prispôsobenia sa jej zmenám.</w:t>
      </w:r>
    </w:p>
    <w:p w14:paraId="4DD7E37C" w14:textId="04431333" w:rsidR="002416B1" w:rsidRDefault="002416B1" w:rsidP="00123376">
      <w:pPr>
        <w:spacing w:before="120" w:after="120"/>
        <w:jc w:val="both"/>
        <w:rPr>
          <w:rFonts w:ascii="Arial" w:hAnsi="Arial" w:cs="Arial"/>
          <w:bCs/>
          <w:i/>
          <w:sz w:val="20"/>
          <w:szCs w:val="20"/>
          <w:u w:val="single"/>
        </w:rPr>
      </w:pPr>
      <w:r w:rsidRPr="00330B23">
        <w:rPr>
          <w:rFonts w:ascii="Arial" w:hAnsi="Arial" w:cs="Arial"/>
          <w:bCs/>
          <w:i/>
          <w:sz w:val="20"/>
          <w:szCs w:val="20"/>
          <w:u w:val="single"/>
        </w:rPr>
        <w:t>Švajčiarsky finančný mechanizmus (ďalej len „ŠFM“)</w:t>
      </w:r>
    </w:p>
    <w:p w14:paraId="6A9CEC6A" w14:textId="77777777" w:rsidR="00ED589F" w:rsidRPr="00ED589F" w:rsidRDefault="00ED589F" w:rsidP="00ED589F">
      <w:pPr>
        <w:spacing w:before="120" w:after="120"/>
        <w:jc w:val="both"/>
        <w:rPr>
          <w:rFonts w:ascii="Arial" w:hAnsi="Arial" w:cs="Arial"/>
          <w:bCs/>
          <w:sz w:val="20"/>
          <w:szCs w:val="20"/>
          <w:u w:val="single"/>
        </w:rPr>
      </w:pPr>
      <w:r w:rsidRPr="00ED589F">
        <w:rPr>
          <w:rFonts w:ascii="Arial" w:hAnsi="Arial" w:cs="Arial"/>
          <w:bCs/>
          <w:iCs/>
          <w:sz w:val="20"/>
          <w:szCs w:val="20"/>
        </w:rPr>
        <w:t xml:space="preserve">Švajčiarska konfederácia (ŠK) sa zaviazala poskytnúť SR príspevok vo výške 66,866 miliónov CHF na päťročné obdobie záväzku a desaťročné obdobie vyplácania. Plynutie doby finančnej podpory nastalo 14. júna 2007 a trvá až do 13. júna 2017. </w:t>
      </w:r>
      <w:r w:rsidRPr="00ED589F">
        <w:rPr>
          <w:rFonts w:ascii="Arial" w:hAnsi="Arial" w:cs="Arial"/>
          <w:bCs/>
          <w:sz w:val="20"/>
          <w:szCs w:val="20"/>
        </w:rPr>
        <w:t>Komplementarita s OP ŽP bola v prípade ŠFM v rámci prioritnej oblasti 2</w:t>
      </w:r>
      <w:r w:rsidRPr="00ED589F">
        <w:rPr>
          <w:rFonts w:ascii="Arial" w:hAnsi="Arial" w:cs="Arial"/>
          <w:bCs/>
          <w:i/>
          <w:sz w:val="20"/>
          <w:szCs w:val="20"/>
        </w:rPr>
        <w:t xml:space="preserve"> Životné prostredie a infraštruktúra, </w:t>
      </w:r>
      <w:r w:rsidRPr="00ED589F">
        <w:rPr>
          <w:rFonts w:ascii="Arial" w:hAnsi="Arial" w:cs="Arial"/>
          <w:bCs/>
          <w:sz w:val="20"/>
          <w:szCs w:val="20"/>
        </w:rPr>
        <w:t>ktorá obsahovala 2 oblasti podpory:</w:t>
      </w:r>
    </w:p>
    <w:p w14:paraId="2126981E" w14:textId="77777777" w:rsidR="00ED589F" w:rsidRPr="00ED589F" w:rsidRDefault="00ED589F" w:rsidP="00ED589F">
      <w:pPr>
        <w:numPr>
          <w:ilvl w:val="0"/>
          <w:numId w:val="141"/>
        </w:numPr>
        <w:spacing w:before="120" w:after="120" w:line="259" w:lineRule="auto"/>
        <w:contextualSpacing/>
        <w:jc w:val="both"/>
        <w:rPr>
          <w:rFonts w:ascii="Arial" w:hAnsi="Arial" w:cs="Arial"/>
          <w:bCs/>
          <w:sz w:val="20"/>
          <w:szCs w:val="20"/>
        </w:rPr>
      </w:pPr>
      <w:r w:rsidRPr="00ED589F">
        <w:rPr>
          <w:rFonts w:ascii="Arial" w:hAnsi="Arial" w:cs="Arial"/>
          <w:bCs/>
          <w:i/>
          <w:sz w:val="20"/>
          <w:szCs w:val="20"/>
        </w:rPr>
        <w:t xml:space="preserve">Obnova a modernizácia základnej infraštruktúry a skvalitnenie životného prostredia, </w:t>
      </w:r>
      <w:r w:rsidRPr="00ED589F">
        <w:rPr>
          <w:rFonts w:ascii="Arial" w:hAnsi="Arial" w:cs="Arial"/>
          <w:bCs/>
          <w:sz w:val="20"/>
          <w:szCs w:val="20"/>
        </w:rPr>
        <w:t xml:space="preserve">v rámci ktorého boli podporené projekty na budovanie environmentálnej infraštruktúry a skvalitnenie životného prostredia. Projekty v oblasti zamerania Obnova a modernizácia základnej infraštruktúry a skvalitnenie životného prostredia boli zamerané na výstavbu/dobudovanie verejnej kanalizácie a čistiarní odpadových vôd (ČOV) v aglomeráciách s viac ako 2 000 ekvivalentnými obyvateľmi, ktoré neboli oprávnené na podporu zo štrukturálnych fondov EÚ; </w:t>
      </w:r>
    </w:p>
    <w:p w14:paraId="37704F3F" w14:textId="2D25E584" w:rsidR="00ED589F" w:rsidRDefault="00ED589F" w:rsidP="00123376">
      <w:pPr>
        <w:numPr>
          <w:ilvl w:val="0"/>
          <w:numId w:val="141"/>
        </w:numPr>
        <w:spacing w:before="120" w:after="120" w:line="259" w:lineRule="auto"/>
        <w:contextualSpacing/>
        <w:jc w:val="both"/>
        <w:rPr>
          <w:rFonts w:ascii="Arial" w:hAnsi="Arial" w:cs="Arial"/>
          <w:bCs/>
          <w:sz w:val="20"/>
          <w:szCs w:val="20"/>
        </w:rPr>
      </w:pPr>
      <w:r w:rsidRPr="00ED589F">
        <w:rPr>
          <w:rFonts w:ascii="Arial" w:hAnsi="Arial" w:cs="Arial"/>
          <w:bCs/>
          <w:i/>
          <w:sz w:val="20"/>
          <w:szCs w:val="20"/>
        </w:rPr>
        <w:t>Ochrana prírody</w:t>
      </w:r>
      <w:r w:rsidRPr="00ED589F">
        <w:rPr>
          <w:rFonts w:ascii="Arial" w:hAnsi="Arial" w:cs="Arial"/>
          <w:bCs/>
          <w:sz w:val="20"/>
          <w:szCs w:val="20"/>
        </w:rPr>
        <w:t xml:space="preserve">, v rámci ktorého boli podporené projekty zamerané na rozvoj ochrany prírody a chránených území v slovenských Karpatoch a na Monitoring a výskum lesných ekosystémov. </w:t>
      </w:r>
    </w:p>
    <w:p w14:paraId="21E2BBCB" w14:textId="77777777" w:rsidR="00021D46" w:rsidRPr="00021D46" w:rsidRDefault="00021D46" w:rsidP="00021D46">
      <w:pPr>
        <w:spacing w:before="120" w:after="120" w:line="259" w:lineRule="auto"/>
        <w:ind w:left="720"/>
        <w:contextualSpacing/>
        <w:jc w:val="both"/>
        <w:rPr>
          <w:rFonts w:ascii="Arial" w:hAnsi="Arial" w:cs="Arial"/>
          <w:bCs/>
          <w:sz w:val="20"/>
          <w:szCs w:val="20"/>
        </w:rPr>
      </w:pPr>
    </w:p>
    <w:p w14:paraId="2AB3EF2A" w14:textId="5A91A083" w:rsidR="002416B1" w:rsidRPr="00912C87" w:rsidRDefault="002416B1" w:rsidP="00123376">
      <w:pPr>
        <w:spacing w:before="120" w:after="120"/>
        <w:jc w:val="both"/>
        <w:rPr>
          <w:rFonts w:ascii="Arial" w:hAnsi="Arial" w:cs="Arial"/>
          <w:sz w:val="20"/>
          <w:szCs w:val="20"/>
        </w:rPr>
      </w:pPr>
      <w:r w:rsidRPr="00330B23">
        <w:rPr>
          <w:rFonts w:ascii="Arial" w:hAnsi="Arial" w:cs="Arial"/>
          <w:i/>
          <w:sz w:val="20"/>
          <w:szCs w:val="20"/>
          <w:u w:val="single"/>
        </w:rPr>
        <w:t xml:space="preserve">Na asistenciu pri príprave žiadostí o nenávratný finančný príspevok pre “veľké projekty“ (t.j. projekty, ktorých celkové náklady </w:t>
      </w:r>
      <w:r w:rsidR="000F3DBC">
        <w:rPr>
          <w:rFonts w:ascii="Arial" w:hAnsi="Arial" w:cs="Arial"/>
          <w:i/>
          <w:sz w:val="20"/>
          <w:szCs w:val="20"/>
          <w:u w:val="single"/>
        </w:rPr>
        <w:t>presahovali</w:t>
      </w:r>
      <w:r w:rsidR="000F3DBC" w:rsidRPr="00330B23">
        <w:rPr>
          <w:rFonts w:ascii="Arial" w:hAnsi="Arial" w:cs="Arial"/>
          <w:i/>
          <w:sz w:val="20"/>
          <w:szCs w:val="20"/>
          <w:u w:val="single"/>
        </w:rPr>
        <w:t xml:space="preserve"> </w:t>
      </w:r>
      <w:r w:rsidR="00735013" w:rsidRPr="00330B23">
        <w:rPr>
          <w:rFonts w:ascii="Arial" w:hAnsi="Arial" w:cs="Arial"/>
          <w:i/>
          <w:sz w:val="20"/>
          <w:szCs w:val="20"/>
          <w:u w:val="single"/>
        </w:rPr>
        <w:t xml:space="preserve">50 </w:t>
      </w:r>
      <w:r w:rsidRPr="00330B23">
        <w:rPr>
          <w:rFonts w:ascii="Arial" w:hAnsi="Arial" w:cs="Arial"/>
          <w:i/>
          <w:sz w:val="20"/>
          <w:szCs w:val="20"/>
          <w:u w:val="single"/>
        </w:rPr>
        <w:t xml:space="preserve">miliónov </w:t>
      </w:r>
      <w:r w:rsidR="00366C2D">
        <w:rPr>
          <w:rFonts w:ascii="Arial" w:hAnsi="Arial" w:cs="Arial"/>
          <w:i/>
          <w:sz w:val="20"/>
          <w:szCs w:val="20"/>
          <w:u w:val="single"/>
        </w:rPr>
        <w:t>€</w:t>
      </w:r>
      <w:r w:rsidRPr="00330B23">
        <w:rPr>
          <w:rFonts w:ascii="Arial" w:hAnsi="Arial" w:cs="Arial"/>
          <w:i/>
          <w:sz w:val="20"/>
          <w:szCs w:val="20"/>
          <w:u w:val="single"/>
        </w:rPr>
        <w:t xml:space="preserve"> pre oblasť životného prostredia) </w:t>
      </w:r>
      <w:r w:rsidR="00161F11">
        <w:rPr>
          <w:rFonts w:ascii="Arial" w:hAnsi="Arial" w:cs="Arial"/>
          <w:i/>
          <w:sz w:val="20"/>
          <w:szCs w:val="20"/>
          <w:u w:val="single"/>
        </w:rPr>
        <w:t>bola</w:t>
      </w:r>
      <w:r w:rsidRPr="00330B23">
        <w:rPr>
          <w:rFonts w:ascii="Arial" w:hAnsi="Arial" w:cs="Arial"/>
          <w:i/>
          <w:sz w:val="20"/>
          <w:szCs w:val="20"/>
          <w:u w:val="single"/>
        </w:rPr>
        <w:t xml:space="preserve"> využívaná iniciatíva JASPERS</w:t>
      </w:r>
      <w:r w:rsidRPr="00330B23">
        <w:rPr>
          <w:rFonts w:ascii="Arial" w:hAnsi="Arial" w:cs="Arial"/>
          <w:sz w:val="20"/>
          <w:szCs w:val="20"/>
        </w:rPr>
        <w:t xml:space="preserve"> (Joint Assistance to Support Projects in European Regions), ktorá </w:t>
      </w:r>
      <w:r w:rsidR="000F3DBC">
        <w:rPr>
          <w:rFonts w:ascii="Arial" w:hAnsi="Arial" w:cs="Arial"/>
          <w:sz w:val="20"/>
          <w:szCs w:val="20"/>
        </w:rPr>
        <w:t>bola</w:t>
      </w:r>
      <w:r w:rsidR="000F3DBC" w:rsidRPr="00330B23">
        <w:rPr>
          <w:rFonts w:ascii="Arial" w:hAnsi="Arial" w:cs="Arial"/>
          <w:sz w:val="20"/>
          <w:szCs w:val="20"/>
        </w:rPr>
        <w:t xml:space="preserve"> </w:t>
      </w:r>
      <w:r w:rsidRPr="00330B23">
        <w:rPr>
          <w:rFonts w:ascii="Arial" w:hAnsi="Arial" w:cs="Arial"/>
          <w:sz w:val="20"/>
          <w:szCs w:val="20"/>
        </w:rPr>
        <w:t>hlavnou spoločnou iniciatívou Európskej investičnej banky (EIB), Európskej komisie (DG REGIO) a Európskej banky pre obnovu a rozvoj (EBRD)</w:t>
      </w:r>
      <w:r w:rsidR="00F83418" w:rsidRPr="00330B23">
        <w:rPr>
          <w:rFonts w:ascii="Arial" w:hAnsi="Arial" w:cs="Arial"/>
          <w:sz w:val="20"/>
          <w:szCs w:val="20"/>
        </w:rPr>
        <w:t>.</w:t>
      </w:r>
      <w:r w:rsidRPr="00330B23">
        <w:rPr>
          <w:rFonts w:ascii="Arial" w:hAnsi="Arial" w:cs="Arial"/>
          <w:sz w:val="20"/>
          <w:szCs w:val="20"/>
        </w:rPr>
        <w:t xml:space="preserve"> </w:t>
      </w:r>
      <w:r w:rsidR="00F83418" w:rsidRPr="00330B23">
        <w:rPr>
          <w:rFonts w:ascii="Arial" w:hAnsi="Arial" w:cs="Arial"/>
          <w:sz w:val="20"/>
          <w:szCs w:val="20"/>
        </w:rPr>
        <w:tab/>
      </w:r>
      <w:r w:rsidR="00F83418" w:rsidRPr="00330B23">
        <w:rPr>
          <w:rFonts w:ascii="Arial" w:hAnsi="Arial" w:cs="Arial"/>
          <w:sz w:val="20"/>
          <w:szCs w:val="20"/>
        </w:rPr>
        <w:tab/>
        <w:t>J</w:t>
      </w:r>
      <w:r w:rsidRPr="00330B23">
        <w:rPr>
          <w:rFonts w:ascii="Arial" w:hAnsi="Arial" w:cs="Arial"/>
          <w:sz w:val="20"/>
          <w:szCs w:val="20"/>
        </w:rPr>
        <w:t>ej základným cieľom je podpora členských štátov EÚ, predovšetkým nových členských štátov v strednej a východnej Európe, pri čerpaní prostriedkov štrukturálnych fondov a Kohézneho fondu v programovom období 2007</w:t>
      </w:r>
      <w:r w:rsidR="00F83418" w:rsidRPr="00330B23">
        <w:rPr>
          <w:rFonts w:ascii="Arial" w:hAnsi="Arial" w:cs="Arial"/>
          <w:sz w:val="20"/>
          <w:szCs w:val="20"/>
        </w:rPr>
        <w:t xml:space="preserve"> </w:t>
      </w:r>
      <w:r w:rsidRPr="00330B23">
        <w:rPr>
          <w:rFonts w:ascii="Arial" w:hAnsi="Arial" w:cs="Arial"/>
          <w:sz w:val="20"/>
          <w:szCs w:val="20"/>
        </w:rPr>
        <w:t>-</w:t>
      </w:r>
      <w:r w:rsidR="00F83418" w:rsidRPr="00330B23">
        <w:rPr>
          <w:rFonts w:ascii="Arial" w:hAnsi="Arial" w:cs="Arial"/>
          <w:sz w:val="20"/>
          <w:szCs w:val="20"/>
        </w:rPr>
        <w:t xml:space="preserve"> </w:t>
      </w:r>
      <w:r w:rsidRPr="00330B23">
        <w:rPr>
          <w:rFonts w:ascii="Arial" w:hAnsi="Arial" w:cs="Arial"/>
          <w:sz w:val="20"/>
          <w:szCs w:val="20"/>
        </w:rPr>
        <w:t>2013.</w:t>
      </w:r>
    </w:p>
    <w:p w14:paraId="53EADA46" w14:textId="77777777" w:rsidR="002416B1" w:rsidRPr="00330B23" w:rsidRDefault="002416B1" w:rsidP="00123376">
      <w:pPr>
        <w:spacing w:before="120" w:after="120"/>
        <w:jc w:val="both"/>
        <w:rPr>
          <w:rFonts w:ascii="Arial" w:hAnsi="Arial" w:cs="Arial"/>
          <w:sz w:val="20"/>
          <w:szCs w:val="20"/>
        </w:rPr>
      </w:pPr>
      <w:r w:rsidRPr="00330B23">
        <w:rPr>
          <w:rFonts w:ascii="Arial" w:hAnsi="Arial" w:cs="Arial"/>
          <w:sz w:val="20"/>
          <w:szCs w:val="20"/>
        </w:rPr>
        <w:t xml:space="preserve">Ďalšie relevantné informácie o veľkých projektoch a iniciatíve JASPERS sú uvedené v kapitole </w:t>
      </w:r>
      <w:r w:rsidR="00B96E13" w:rsidRPr="00330B23">
        <w:rPr>
          <w:rFonts w:ascii="Arial" w:hAnsi="Arial" w:cs="Arial"/>
          <w:sz w:val="20"/>
          <w:szCs w:val="20"/>
        </w:rPr>
        <w:br/>
      </w:r>
      <w:r w:rsidRPr="00330B23">
        <w:rPr>
          <w:rFonts w:ascii="Arial" w:hAnsi="Arial" w:cs="Arial"/>
          <w:sz w:val="20"/>
          <w:szCs w:val="20"/>
        </w:rPr>
        <w:t>5. Veľké projekty.</w:t>
      </w:r>
    </w:p>
    <w:p w14:paraId="2AF8032F" w14:textId="60FDE33F" w:rsidR="00FD6D84" w:rsidRPr="00330B23" w:rsidRDefault="002416B1" w:rsidP="00123376">
      <w:pPr>
        <w:spacing w:before="120" w:after="120"/>
        <w:jc w:val="both"/>
        <w:rPr>
          <w:rFonts w:ascii="Arial" w:hAnsi="Arial" w:cs="Arial"/>
          <w:sz w:val="20"/>
          <w:szCs w:val="20"/>
        </w:rPr>
      </w:pPr>
      <w:r w:rsidRPr="00330B23">
        <w:rPr>
          <w:rFonts w:ascii="Arial" w:hAnsi="Arial" w:cs="Arial"/>
          <w:i/>
          <w:sz w:val="20"/>
          <w:szCs w:val="20"/>
          <w:u w:val="single"/>
        </w:rPr>
        <w:t>JEREMIE iniciatíva (</w:t>
      </w:r>
      <w:r w:rsidRPr="00330B23">
        <w:rPr>
          <w:rFonts w:ascii="Arial" w:hAnsi="Arial" w:cs="Arial"/>
          <w:bCs/>
          <w:i/>
          <w:sz w:val="20"/>
          <w:szCs w:val="20"/>
          <w:u w:val="single"/>
        </w:rPr>
        <w:t>J</w:t>
      </w:r>
      <w:r w:rsidRPr="00330B23">
        <w:rPr>
          <w:rFonts w:ascii="Arial" w:hAnsi="Arial" w:cs="Arial"/>
          <w:i/>
          <w:sz w:val="20"/>
          <w:szCs w:val="20"/>
          <w:u w:val="single"/>
        </w:rPr>
        <w:t xml:space="preserve">oint </w:t>
      </w:r>
      <w:r w:rsidRPr="00330B23">
        <w:rPr>
          <w:rFonts w:ascii="Arial" w:hAnsi="Arial" w:cs="Arial"/>
          <w:bCs/>
          <w:i/>
          <w:sz w:val="20"/>
          <w:szCs w:val="20"/>
          <w:u w:val="single"/>
        </w:rPr>
        <w:t>E</w:t>
      </w:r>
      <w:r w:rsidRPr="00330B23">
        <w:rPr>
          <w:rFonts w:ascii="Arial" w:hAnsi="Arial" w:cs="Arial"/>
          <w:i/>
          <w:sz w:val="20"/>
          <w:szCs w:val="20"/>
          <w:u w:val="single"/>
        </w:rPr>
        <w:t xml:space="preserve">uropean </w:t>
      </w:r>
      <w:r w:rsidRPr="00330B23">
        <w:rPr>
          <w:rFonts w:ascii="Arial" w:hAnsi="Arial" w:cs="Arial"/>
          <w:bCs/>
          <w:i/>
          <w:sz w:val="20"/>
          <w:szCs w:val="20"/>
          <w:u w:val="single"/>
        </w:rPr>
        <w:t>RE</w:t>
      </w:r>
      <w:r w:rsidRPr="00330B23">
        <w:rPr>
          <w:rFonts w:ascii="Arial" w:hAnsi="Arial" w:cs="Arial"/>
          <w:i/>
          <w:sz w:val="20"/>
          <w:szCs w:val="20"/>
          <w:u w:val="single"/>
        </w:rPr>
        <w:t xml:space="preserve">sources for </w:t>
      </w:r>
      <w:r w:rsidRPr="00330B23">
        <w:rPr>
          <w:rFonts w:ascii="Arial" w:hAnsi="Arial" w:cs="Arial"/>
          <w:bCs/>
          <w:i/>
          <w:sz w:val="20"/>
          <w:szCs w:val="20"/>
          <w:u w:val="single"/>
        </w:rPr>
        <w:t>MI</w:t>
      </w:r>
      <w:r w:rsidRPr="00330B23">
        <w:rPr>
          <w:rFonts w:ascii="Arial" w:hAnsi="Arial" w:cs="Arial"/>
          <w:i/>
          <w:sz w:val="20"/>
          <w:szCs w:val="20"/>
          <w:u w:val="single"/>
        </w:rPr>
        <w:t xml:space="preserve">cro and </w:t>
      </w:r>
      <w:r w:rsidRPr="00330B23">
        <w:rPr>
          <w:rFonts w:ascii="Arial" w:hAnsi="Arial" w:cs="Arial"/>
          <w:bCs/>
          <w:i/>
          <w:sz w:val="20"/>
          <w:szCs w:val="20"/>
          <w:u w:val="single"/>
        </w:rPr>
        <w:t>M</w:t>
      </w:r>
      <w:r w:rsidRPr="00330B23">
        <w:rPr>
          <w:rFonts w:ascii="Arial" w:hAnsi="Arial" w:cs="Arial"/>
          <w:i/>
          <w:sz w:val="20"/>
          <w:szCs w:val="20"/>
          <w:u w:val="single"/>
        </w:rPr>
        <w:t xml:space="preserve">edium </w:t>
      </w:r>
      <w:r w:rsidRPr="00330B23">
        <w:rPr>
          <w:rFonts w:ascii="Arial" w:hAnsi="Arial" w:cs="Arial"/>
          <w:bCs/>
          <w:i/>
          <w:sz w:val="20"/>
          <w:szCs w:val="20"/>
          <w:u w:val="single"/>
        </w:rPr>
        <w:t>E</w:t>
      </w:r>
      <w:r w:rsidRPr="00330B23">
        <w:rPr>
          <w:rFonts w:ascii="Arial" w:hAnsi="Arial" w:cs="Arial"/>
          <w:i/>
          <w:sz w:val="20"/>
          <w:szCs w:val="20"/>
          <w:u w:val="single"/>
        </w:rPr>
        <w:t>nterprises - Spoločné európske zdroje pre malé a stredné podniky</w:t>
      </w:r>
      <w:r w:rsidRPr="00330B23">
        <w:rPr>
          <w:rFonts w:ascii="Arial" w:hAnsi="Arial" w:cs="Arial"/>
          <w:sz w:val="20"/>
          <w:szCs w:val="20"/>
        </w:rPr>
        <w:t>)</w:t>
      </w:r>
      <w:r w:rsidR="00E320EB" w:rsidRPr="00330B23">
        <w:rPr>
          <w:rFonts w:ascii="Arial" w:hAnsi="Arial" w:cs="Arial"/>
          <w:sz w:val="20"/>
          <w:szCs w:val="20"/>
        </w:rPr>
        <w:t>.</w:t>
      </w:r>
      <w:r w:rsidRPr="00330B23">
        <w:rPr>
          <w:rFonts w:ascii="Arial" w:hAnsi="Arial" w:cs="Arial"/>
          <w:sz w:val="20"/>
          <w:szCs w:val="20"/>
        </w:rPr>
        <w:t xml:space="preserve"> Predmetná iniciatíva </w:t>
      </w:r>
      <w:r w:rsidR="000F3DBC">
        <w:rPr>
          <w:rFonts w:ascii="Arial" w:hAnsi="Arial" w:cs="Arial"/>
          <w:sz w:val="20"/>
          <w:szCs w:val="20"/>
        </w:rPr>
        <w:t>bola</w:t>
      </w:r>
      <w:r w:rsidR="000F3DBC" w:rsidRPr="00330B23">
        <w:rPr>
          <w:rFonts w:ascii="Arial" w:hAnsi="Arial" w:cs="Arial"/>
          <w:sz w:val="20"/>
          <w:szCs w:val="20"/>
        </w:rPr>
        <w:t xml:space="preserve"> </w:t>
      </w:r>
      <w:r w:rsidRPr="00330B23">
        <w:rPr>
          <w:rFonts w:ascii="Arial" w:hAnsi="Arial" w:cs="Arial"/>
          <w:sz w:val="20"/>
          <w:szCs w:val="20"/>
        </w:rPr>
        <w:t xml:space="preserve">v zmysle uznesenia vlády SR </w:t>
      </w:r>
      <w:r w:rsidR="00F83418" w:rsidRPr="00330B23">
        <w:rPr>
          <w:rFonts w:ascii="Arial" w:hAnsi="Arial" w:cs="Arial"/>
          <w:sz w:val="20"/>
          <w:szCs w:val="20"/>
        </w:rPr>
        <w:br/>
        <w:t xml:space="preserve">č. </w:t>
      </w:r>
      <w:r w:rsidRPr="00330B23">
        <w:rPr>
          <w:rFonts w:ascii="Arial" w:hAnsi="Arial" w:cs="Arial"/>
          <w:sz w:val="20"/>
          <w:szCs w:val="20"/>
        </w:rPr>
        <w:t xml:space="preserve">12/2011 v rámci OP ŽP </w:t>
      </w:r>
      <w:r w:rsidR="00C60C00" w:rsidRPr="00330B23">
        <w:rPr>
          <w:rFonts w:ascii="Arial" w:hAnsi="Arial" w:cs="Arial"/>
          <w:sz w:val="20"/>
          <w:szCs w:val="20"/>
        </w:rPr>
        <w:t>irelevantná</w:t>
      </w:r>
      <w:r w:rsidRPr="00330B23">
        <w:rPr>
          <w:rFonts w:ascii="Arial" w:hAnsi="Arial" w:cs="Arial"/>
          <w:sz w:val="20"/>
          <w:szCs w:val="20"/>
        </w:rPr>
        <w:t>.</w:t>
      </w:r>
    </w:p>
    <w:p w14:paraId="58AA2D05" w14:textId="77777777" w:rsidR="002416B1" w:rsidRPr="00123376" w:rsidRDefault="002416B1" w:rsidP="00123376">
      <w:pPr>
        <w:spacing w:before="240" w:after="120"/>
        <w:jc w:val="both"/>
        <w:rPr>
          <w:rFonts w:ascii="Arial" w:hAnsi="Arial" w:cs="Arial"/>
          <w:b/>
          <w:i/>
          <w:sz w:val="20"/>
          <w:szCs w:val="20"/>
        </w:rPr>
      </w:pPr>
      <w:r w:rsidRPr="00330B23">
        <w:rPr>
          <w:rFonts w:ascii="Arial" w:hAnsi="Arial" w:cs="Arial"/>
          <w:b/>
          <w:i/>
          <w:sz w:val="20"/>
          <w:szCs w:val="20"/>
        </w:rPr>
        <w:t>Vzájomná súvislosť napĺňania cieľov OP ŽP s piliermi Stratégie EÚ pre dunajský región a jej prioritnými oblasťami</w:t>
      </w:r>
    </w:p>
    <w:p w14:paraId="138DEB77" w14:textId="77777777" w:rsidR="00214ECF" w:rsidRPr="00E21C60" w:rsidRDefault="00214ECF" w:rsidP="00123376">
      <w:pPr>
        <w:spacing w:before="120" w:after="120"/>
        <w:jc w:val="both"/>
        <w:rPr>
          <w:rFonts w:ascii="Arial" w:hAnsi="Arial" w:cs="Arial"/>
          <w:sz w:val="20"/>
          <w:szCs w:val="20"/>
        </w:rPr>
      </w:pPr>
      <w:r w:rsidRPr="002526CC">
        <w:rPr>
          <w:rFonts w:ascii="Arial" w:hAnsi="Arial" w:cs="Arial"/>
          <w:sz w:val="20"/>
          <w:szCs w:val="20"/>
        </w:rPr>
        <w:t>OP ŽP je v súlade so sv</w:t>
      </w:r>
      <w:r w:rsidRPr="00112472">
        <w:rPr>
          <w:rFonts w:ascii="Arial" w:hAnsi="Arial" w:cs="Arial"/>
          <w:sz w:val="20"/>
          <w:szCs w:val="20"/>
        </w:rPr>
        <w:t>ojím globálnym cieľom prioritne zameraný na plnenie záväzkov SR v oblasti životného prostredia, najmä odvádzania a čistenia odpadových vôd</w:t>
      </w:r>
      <w:r w:rsidRPr="00E21C60">
        <w:rPr>
          <w:rFonts w:ascii="Arial" w:hAnsi="Arial" w:cs="Arial"/>
          <w:sz w:val="20"/>
          <w:szCs w:val="20"/>
        </w:rPr>
        <w:t>, vyplývajúcich zo Zmluvy o pristúpení k EÚ a legislatívy EÚ, a teda jeho zameranie nie je primárne územného charakteru. Tomu zodpovedá aj skutočnosť, že koncepčným východiskom OP ŽP sú strategické dokumenty EÚ a SR v oblasti environmentálnej politiky, od ktorých sa následne odvíjajú ciele OP ŽP.</w:t>
      </w:r>
    </w:p>
    <w:p w14:paraId="468EF51E" w14:textId="77777777" w:rsidR="00214ECF" w:rsidRPr="00E21C60" w:rsidRDefault="00214ECF" w:rsidP="00123376">
      <w:pPr>
        <w:spacing w:before="120" w:after="120"/>
        <w:jc w:val="both"/>
        <w:rPr>
          <w:rFonts w:ascii="Arial" w:hAnsi="Arial" w:cs="Arial"/>
          <w:sz w:val="20"/>
          <w:szCs w:val="20"/>
        </w:rPr>
      </w:pPr>
      <w:r w:rsidRPr="00E21C60">
        <w:rPr>
          <w:rFonts w:ascii="Arial" w:hAnsi="Arial" w:cs="Arial"/>
          <w:sz w:val="20"/>
          <w:szCs w:val="20"/>
        </w:rPr>
        <w:lastRenderedPageBreak/>
        <w:t>Stratégia EÚ pre dunajský región (ďalej len „Dunajská stratégia“) patrí k strategickým dokumentom územného charakteru, ktoré sú zamerané na charakteristiku situácie a identifikáciu potrieb konkrétneho územia.</w:t>
      </w:r>
    </w:p>
    <w:p w14:paraId="755E6546" w14:textId="77777777" w:rsidR="00214ECF"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Z toho vyplýva, že OP ŽP a jeho ciele nemožno vnímať ako podriadené prioritám Dunajskej stratégie (ktorá o. i. v čase prípravy a schvaľovania OP ŽP ešte neexistovala). Prvoradým zameraním jednotlivých projektov OP ŽP je teda napĺňanie cieľov OP ŽP. Realizácia projektov v rámci OP ŽP môže prispieť k podpore priorít Dunajskej stratégie v prípadoch, ak sa zameranie projektov, ktoré je primárne determinované cieľmi OP ŽP, zároveň prelína so zameraním priorít Dunajskej stratégie.</w:t>
      </w:r>
    </w:p>
    <w:p w14:paraId="4160256B" w14:textId="77777777" w:rsidR="00214ECF"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 xml:space="preserve">Z hľadiska korelácie s OP ŽP možno v rámci schválenej štruktúry Dunajskej stratégie identifikovať ako relevantný </w:t>
      </w:r>
      <w:r w:rsidRPr="00E21C60">
        <w:rPr>
          <w:rFonts w:ascii="Arial" w:hAnsi="Arial" w:cs="Arial"/>
          <w:i/>
          <w:sz w:val="20"/>
          <w:szCs w:val="20"/>
        </w:rPr>
        <w:t>pilier II. Ochrana životného prostredia v dunajskom regióne.</w:t>
      </w:r>
      <w:r w:rsidRPr="00E21C60">
        <w:rPr>
          <w:rFonts w:ascii="Arial" w:hAnsi="Arial" w:cs="Arial"/>
          <w:sz w:val="20"/>
          <w:szCs w:val="20"/>
        </w:rPr>
        <w:t xml:space="preserve"> Vzájomná súvislosť prioritných osí</w:t>
      </w:r>
      <w:r w:rsidR="00356509" w:rsidRPr="00E21C60">
        <w:rPr>
          <w:rFonts w:ascii="Arial" w:hAnsi="Arial" w:cs="Arial"/>
          <w:sz w:val="20"/>
          <w:szCs w:val="20"/>
        </w:rPr>
        <w:t xml:space="preserve"> </w:t>
      </w:r>
      <w:r w:rsidRPr="00E21C60">
        <w:rPr>
          <w:rFonts w:ascii="Arial" w:hAnsi="Arial" w:cs="Arial"/>
          <w:sz w:val="20"/>
          <w:szCs w:val="20"/>
        </w:rPr>
        <w:t>/ operačných cieľov OP ŽP a zodpovedajúcich prioritných oblastí Dunajskej stratégie, spadajúcich do uvedeného piliera, je podrobnejšie charakterizovaná nižšie.</w:t>
      </w:r>
    </w:p>
    <w:p w14:paraId="20883E6F" w14:textId="77777777" w:rsidR="00214ECF"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Pokiaľ ide o projekty, ktoré sú v rámci jednotlivých prioritných osí</w:t>
      </w:r>
      <w:r w:rsidR="00356509" w:rsidRPr="00E21C60">
        <w:rPr>
          <w:rFonts w:ascii="Arial" w:hAnsi="Arial" w:cs="Arial"/>
          <w:sz w:val="20"/>
          <w:szCs w:val="20"/>
        </w:rPr>
        <w:t xml:space="preserve"> </w:t>
      </w:r>
      <w:r w:rsidRPr="00E21C60">
        <w:rPr>
          <w:rFonts w:ascii="Arial" w:hAnsi="Arial" w:cs="Arial"/>
          <w:sz w:val="20"/>
          <w:szCs w:val="20"/>
        </w:rPr>
        <w:t>/ operačných cieľov OP ŽP vytypované ako príklady korelácie ich zamerania s prioritami Dunajskej stratégie, ich výber vychádza z toho, že vzhľadom na územný charakter Dunajskej stratégie by svojimi parametrami mali mať vplyv na dunajský makroregión alebo aspoň na jeho významnú časť. V prevažnej miere preto ide o projekty s dosahom na celé územie SR (keďže k povodiu Dunaja patrí 96 % územia SR).</w:t>
      </w:r>
    </w:p>
    <w:p w14:paraId="25CFE385" w14:textId="77777777" w:rsidR="00214ECF" w:rsidRPr="00123376" w:rsidRDefault="00214ECF" w:rsidP="00123376">
      <w:pPr>
        <w:spacing w:before="120" w:after="120"/>
        <w:jc w:val="both"/>
        <w:rPr>
          <w:rFonts w:ascii="Arial" w:hAnsi="Arial" w:cs="Arial"/>
          <w:sz w:val="20"/>
          <w:szCs w:val="20"/>
          <w:u w:val="single"/>
        </w:rPr>
      </w:pPr>
      <w:r w:rsidRPr="00123376">
        <w:rPr>
          <w:rFonts w:ascii="Arial" w:hAnsi="Arial" w:cs="Arial"/>
          <w:sz w:val="20"/>
          <w:szCs w:val="20"/>
          <w:u w:val="single"/>
        </w:rPr>
        <w:t>Korelácia OP ŽP s prioritnými oblasťami Dunajskej stratégie v rámci piliera II. Ochrana životného prostredia v podunajskej oblasti:</w:t>
      </w:r>
    </w:p>
    <w:p w14:paraId="33582BD3" w14:textId="77777777" w:rsidR="00214ECF" w:rsidRPr="002526CC" w:rsidRDefault="00214ECF" w:rsidP="00123376">
      <w:pPr>
        <w:spacing w:before="120" w:after="120"/>
        <w:ind w:left="284" w:hanging="284"/>
        <w:jc w:val="both"/>
        <w:rPr>
          <w:rFonts w:ascii="Arial" w:hAnsi="Arial" w:cs="Arial"/>
          <w:sz w:val="20"/>
          <w:szCs w:val="20"/>
          <w:u w:val="single"/>
        </w:rPr>
      </w:pPr>
      <w:r w:rsidRPr="002526CC">
        <w:rPr>
          <w:rFonts w:ascii="Arial" w:hAnsi="Arial" w:cs="Arial"/>
          <w:sz w:val="20"/>
          <w:szCs w:val="20"/>
          <w:u w:val="single"/>
        </w:rPr>
        <w:t>a</w:t>
      </w:r>
      <w:r w:rsidRPr="00123376">
        <w:rPr>
          <w:rFonts w:ascii="Arial" w:hAnsi="Arial" w:cs="Arial"/>
          <w:i/>
          <w:sz w:val="20"/>
          <w:szCs w:val="20"/>
          <w:u w:val="single"/>
        </w:rPr>
        <w:t>) Prioritná oblasť 4. Obnoviť a udržať kvalitu vôd</w:t>
      </w:r>
    </w:p>
    <w:p w14:paraId="58961491" w14:textId="77777777" w:rsidR="00214ECF"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S vyššie uvedenou prioritnou oblasťou Dunajskej stratégie súvisí v rámci OP ŽP svojím zameraním:</w:t>
      </w:r>
    </w:p>
    <w:p w14:paraId="109FF37E" w14:textId="77777777" w:rsidR="00214ECF" w:rsidRPr="00E21C60" w:rsidRDefault="00214ECF" w:rsidP="00DF6D90">
      <w:pPr>
        <w:numPr>
          <w:ilvl w:val="0"/>
          <w:numId w:val="19"/>
        </w:numPr>
        <w:tabs>
          <w:tab w:val="clear" w:pos="1440"/>
        </w:tabs>
        <w:spacing w:before="120" w:after="120"/>
        <w:ind w:left="426" w:hanging="284"/>
        <w:jc w:val="both"/>
        <w:rPr>
          <w:rFonts w:ascii="Arial" w:hAnsi="Arial" w:cs="Arial"/>
          <w:sz w:val="20"/>
          <w:szCs w:val="20"/>
        </w:rPr>
      </w:pPr>
      <w:r w:rsidRPr="00E21C60">
        <w:rPr>
          <w:rFonts w:ascii="Arial" w:hAnsi="Arial" w:cs="Arial"/>
          <w:i/>
          <w:sz w:val="20"/>
          <w:szCs w:val="20"/>
        </w:rPr>
        <w:t xml:space="preserve"> Prioritná os 1 </w:t>
      </w:r>
      <w:r w:rsidRPr="00E21C60">
        <w:rPr>
          <w:rFonts w:ascii="Arial" w:hAnsi="Arial" w:cs="Arial"/>
          <w:bCs/>
          <w:i/>
          <w:sz w:val="20"/>
          <w:szCs w:val="20"/>
        </w:rPr>
        <w:t>Integrovaná ochrana a racionálne využívanie vôd,</w:t>
      </w:r>
      <w:r w:rsidRPr="00E21C60">
        <w:rPr>
          <w:rFonts w:ascii="Arial" w:hAnsi="Arial" w:cs="Arial"/>
          <w:bCs/>
          <w:sz w:val="20"/>
          <w:szCs w:val="20"/>
        </w:rPr>
        <w:t xml:space="preserve"> a to:</w:t>
      </w:r>
    </w:p>
    <w:p w14:paraId="634CE311" w14:textId="77777777" w:rsidR="00214ECF" w:rsidRPr="00E21C60" w:rsidRDefault="00214ECF" w:rsidP="00123376">
      <w:pPr>
        <w:spacing w:before="120" w:after="120"/>
        <w:ind w:left="851" w:hanging="284"/>
        <w:jc w:val="both"/>
        <w:rPr>
          <w:rFonts w:ascii="Arial" w:hAnsi="Arial" w:cs="Arial"/>
          <w:i/>
          <w:sz w:val="20"/>
          <w:szCs w:val="20"/>
        </w:rPr>
      </w:pPr>
      <w:r w:rsidRPr="00E21C60">
        <w:rPr>
          <w:rFonts w:ascii="Arial" w:hAnsi="Arial" w:cs="Arial"/>
          <w:sz w:val="20"/>
          <w:szCs w:val="20"/>
        </w:rPr>
        <w:t xml:space="preserve">-   </w:t>
      </w:r>
      <w:r w:rsidRPr="00E21C60">
        <w:rPr>
          <w:rFonts w:ascii="Arial" w:hAnsi="Arial" w:cs="Arial"/>
          <w:i/>
          <w:sz w:val="20"/>
          <w:szCs w:val="20"/>
        </w:rPr>
        <w:t>operačný cieľ 1.2 Odvádzanie a čistenie komunálnych odpadových vôd v zmysle záväzkov SR voči EÚ</w:t>
      </w:r>
    </w:p>
    <w:p w14:paraId="17AFE928" w14:textId="208D810E" w:rsidR="00214ECF"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Uvedený operačný cieľ m</w:t>
      </w:r>
      <w:r w:rsidR="00AF4498">
        <w:rPr>
          <w:rFonts w:ascii="Arial" w:hAnsi="Arial" w:cs="Arial"/>
          <w:sz w:val="20"/>
          <w:szCs w:val="20"/>
        </w:rPr>
        <w:t>al</w:t>
      </w:r>
      <w:r w:rsidRPr="00E21C60">
        <w:rPr>
          <w:rFonts w:ascii="Arial" w:hAnsi="Arial" w:cs="Arial"/>
          <w:sz w:val="20"/>
          <w:szCs w:val="20"/>
        </w:rPr>
        <w:t xml:space="preserve"> v súvislosti </w:t>
      </w:r>
      <w:r w:rsidR="00356509" w:rsidRPr="00E21C60">
        <w:rPr>
          <w:rFonts w:ascii="Arial" w:hAnsi="Arial" w:cs="Arial"/>
          <w:sz w:val="20"/>
          <w:szCs w:val="20"/>
        </w:rPr>
        <w:t xml:space="preserve">s </w:t>
      </w:r>
      <w:r w:rsidRPr="00E21C60">
        <w:rPr>
          <w:rFonts w:ascii="Arial" w:hAnsi="Arial" w:cs="Arial"/>
          <w:sz w:val="20"/>
          <w:szCs w:val="20"/>
        </w:rPr>
        <w:t xml:space="preserve">prioritami Dunajskej stratégie prvoradý význam. </w:t>
      </w:r>
      <w:r w:rsidR="00AF4498">
        <w:rPr>
          <w:rFonts w:ascii="Arial" w:hAnsi="Arial" w:cs="Arial"/>
          <w:sz w:val="20"/>
          <w:szCs w:val="20"/>
        </w:rPr>
        <w:t>Bol</w:t>
      </w:r>
      <w:r w:rsidRPr="00E21C60">
        <w:rPr>
          <w:rFonts w:ascii="Arial" w:hAnsi="Arial" w:cs="Arial"/>
          <w:sz w:val="20"/>
          <w:szCs w:val="20"/>
        </w:rPr>
        <w:t xml:space="preserve"> zameraný na podporu aktivít v oblasti odvádzania a čistenia komunálnych odpadových vôd v súlade so záväzkami SR vyplývajúcimi zo Zmluvy o pristúpení SR k EÚ a podľa Národného programu Slovenskej republiky pre vykonávanie smernice Rady 91/271/EHS o čistení komunálnych odpadových vôd v znení smernice Komisie 98/15/ES a nariadenia Európskeho parlamentu a Rady 1882/2003/ES.</w:t>
      </w:r>
    </w:p>
    <w:p w14:paraId="07A00B4E" w14:textId="08FC5D41" w:rsidR="00214ECF" w:rsidRPr="00E21C60" w:rsidRDefault="00214ECF" w:rsidP="00123376">
      <w:pPr>
        <w:spacing w:before="120" w:after="120"/>
        <w:jc w:val="both"/>
        <w:rPr>
          <w:rFonts w:ascii="Arial" w:hAnsi="Arial" w:cs="Arial"/>
          <w:i/>
          <w:sz w:val="20"/>
          <w:szCs w:val="20"/>
        </w:rPr>
      </w:pPr>
      <w:r w:rsidRPr="00E21C60">
        <w:rPr>
          <w:rFonts w:ascii="Arial" w:hAnsi="Arial" w:cs="Arial"/>
          <w:sz w:val="20"/>
          <w:szCs w:val="20"/>
        </w:rPr>
        <w:t xml:space="preserve">Uvedený operačný cieľ </w:t>
      </w:r>
      <w:r w:rsidR="00AF4498">
        <w:rPr>
          <w:rFonts w:ascii="Arial" w:hAnsi="Arial" w:cs="Arial"/>
          <w:sz w:val="20"/>
          <w:szCs w:val="20"/>
        </w:rPr>
        <w:t>bol</w:t>
      </w:r>
      <w:r w:rsidRPr="00E21C60">
        <w:rPr>
          <w:rFonts w:ascii="Arial" w:hAnsi="Arial" w:cs="Arial"/>
          <w:sz w:val="20"/>
          <w:szCs w:val="20"/>
        </w:rPr>
        <w:t xml:space="preserve"> v priamom súlade so zameraním jednej z aktivít zahrnutých v rámci </w:t>
      </w:r>
      <w:r w:rsidRPr="00123376">
        <w:rPr>
          <w:rFonts w:ascii="Arial" w:hAnsi="Arial" w:cs="Arial"/>
          <w:i/>
          <w:sz w:val="20"/>
          <w:szCs w:val="20"/>
        </w:rPr>
        <w:t>prioritnej oblasti 4. Obnoviť a udržať kvalitu vôd</w:t>
      </w:r>
      <w:r w:rsidRPr="002526CC">
        <w:rPr>
          <w:rFonts w:ascii="Arial" w:hAnsi="Arial" w:cs="Arial"/>
          <w:sz w:val="20"/>
          <w:szCs w:val="20"/>
        </w:rPr>
        <w:t xml:space="preserve"> do Akčného plánu Dunajskej stratégie, schváleného na zasadnutí Európskej rady 24.06.2011 (ďalej len „Akčný plán“). Konkrétne </w:t>
      </w:r>
      <w:r w:rsidR="00AF4498">
        <w:rPr>
          <w:rFonts w:ascii="Arial" w:hAnsi="Arial" w:cs="Arial"/>
          <w:sz w:val="20"/>
          <w:szCs w:val="20"/>
        </w:rPr>
        <w:t>išlo</w:t>
      </w:r>
      <w:r w:rsidRPr="002526CC">
        <w:rPr>
          <w:rFonts w:ascii="Arial" w:hAnsi="Arial" w:cs="Arial"/>
          <w:sz w:val="20"/>
          <w:szCs w:val="20"/>
        </w:rPr>
        <w:t xml:space="preserve"> o aktivitu: </w:t>
      </w:r>
      <w:r w:rsidRPr="00E21C60">
        <w:rPr>
          <w:rFonts w:ascii="Arial" w:hAnsi="Arial" w:cs="Arial"/>
          <w:i/>
          <w:sz w:val="20"/>
          <w:szCs w:val="20"/>
        </w:rPr>
        <w:t>„Pokračovanie v podpore veľkých investícií do budovania a modernizácie mestských čistiarní odpadových vôd v celom povodí Dunaja, vrátane opatrení na budovanie kapacity na regionálnej a</w:t>
      </w:r>
      <w:r w:rsidR="003B4A44" w:rsidRPr="00E21C60">
        <w:rPr>
          <w:rFonts w:ascii="Arial" w:hAnsi="Arial" w:cs="Arial"/>
          <w:i/>
          <w:sz w:val="20"/>
          <w:szCs w:val="20"/>
        </w:rPr>
        <w:t> </w:t>
      </w:r>
      <w:r w:rsidRPr="00E21C60">
        <w:rPr>
          <w:rFonts w:ascii="Arial" w:hAnsi="Arial" w:cs="Arial"/>
          <w:i/>
          <w:sz w:val="20"/>
          <w:szCs w:val="20"/>
        </w:rPr>
        <w:t>miestnej</w:t>
      </w:r>
      <w:r w:rsidR="003B4A44" w:rsidRPr="00E21C60">
        <w:rPr>
          <w:rFonts w:ascii="Arial" w:hAnsi="Arial" w:cs="Arial"/>
          <w:i/>
          <w:sz w:val="20"/>
          <w:szCs w:val="20"/>
        </w:rPr>
        <w:t> </w:t>
      </w:r>
      <w:r w:rsidRPr="00E21C60">
        <w:rPr>
          <w:rFonts w:ascii="Arial" w:hAnsi="Arial" w:cs="Arial"/>
          <w:i/>
          <w:sz w:val="20"/>
          <w:szCs w:val="20"/>
        </w:rPr>
        <w:t>úrovni pre návrh takejto infraštruktúry“.</w:t>
      </w:r>
    </w:p>
    <w:p w14:paraId="7613F5A1" w14:textId="43B87D60" w:rsidR="00FD6D84"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V prípade projektov v oblasti odvádzania a čistenia odpadových vôd</w:t>
      </w:r>
      <w:r w:rsidR="00E46FEA" w:rsidRPr="00E21C60">
        <w:rPr>
          <w:rFonts w:ascii="Arial" w:hAnsi="Arial" w:cs="Arial"/>
          <w:sz w:val="20"/>
          <w:szCs w:val="20"/>
        </w:rPr>
        <w:t>,</w:t>
      </w:r>
      <w:r w:rsidRPr="00E21C60">
        <w:rPr>
          <w:rFonts w:ascii="Arial" w:hAnsi="Arial" w:cs="Arial"/>
          <w:sz w:val="20"/>
          <w:szCs w:val="20"/>
        </w:rPr>
        <w:t xml:space="preserve"> ich vplyv na obyvateľstvo, príp. aj územie závisí od veľkosti aglomerácie, ktorá je v rámci nich riešená. Z tohto hľadiska </w:t>
      </w:r>
      <w:r w:rsidR="00EB3AAB">
        <w:rPr>
          <w:rFonts w:ascii="Arial" w:hAnsi="Arial" w:cs="Arial"/>
          <w:sz w:val="20"/>
          <w:szCs w:val="20"/>
        </w:rPr>
        <w:t>boli</w:t>
      </w:r>
      <w:r w:rsidR="00EB3AAB" w:rsidRPr="00E21C60">
        <w:rPr>
          <w:rFonts w:ascii="Arial" w:hAnsi="Arial" w:cs="Arial"/>
          <w:sz w:val="20"/>
          <w:szCs w:val="20"/>
        </w:rPr>
        <w:t xml:space="preserve"> </w:t>
      </w:r>
      <w:r w:rsidRPr="00E21C60">
        <w:rPr>
          <w:rFonts w:ascii="Arial" w:hAnsi="Arial" w:cs="Arial"/>
          <w:sz w:val="20"/>
          <w:szCs w:val="20"/>
        </w:rPr>
        <w:t xml:space="preserve">významné najmä veľké projekty s celkovými nákladmi nad 50 miliónov </w:t>
      </w:r>
      <w:r w:rsidR="00366C2D">
        <w:rPr>
          <w:rFonts w:ascii="Arial" w:hAnsi="Arial" w:cs="Arial"/>
          <w:sz w:val="20"/>
          <w:szCs w:val="20"/>
        </w:rPr>
        <w:t>€</w:t>
      </w:r>
      <w:r w:rsidRPr="00E21C60">
        <w:rPr>
          <w:rFonts w:ascii="Arial" w:hAnsi="Arial" w:cs="Arial"/>
          <w:sz w:val="20"/>
          <w:szCs w:val="20"/>
        </w:rPr>
        <w:t xml:space="preserve">, spomedzi ktorých možno uviesť </w:t>
      </w:r>
      <w:r w:rsidR="002602B4" w:rsidRPr="00E21C60">
        <w:rPr>
          <w:rFonts w:ascii="Arial" w:hAnsi="Arial" w:cs="Arial"/>
          <w:sz w:val="20"/>
          <w:szCs w:val="20"/>
        </w:rPr>
        <w:t xml:space="preserve">dva </w:t>
      </w:r>
      <w:r w:rsidRPr="00E21C60">
        <w:rPr>
          <w:rFonts w:ascii="Arial" w:hAnsi="Arial" w:cs="Arial"/>
          <w:sz w:val="20"/>
          <w:szCs w:val="20"/>
        </w:rPr>
        <w:t>projekty zamerané na riešenie odvádzania a čistenia odpadových vôd v aglomeráciách 1. veľkostnej skupiny, t.j. nad 150 000 EO, a to:</w:t>
      </w:r>
    </w:p>
    <w:p w14:paraId="6D1CA4BD" w14:textId="51CCF651" w:rsidR="00214ECF" w:rsidRPr="00E21C60" w:rsidRDefault="00214ECF" w:rsidP="00123376">
      <w:pPr>
        <w:jc w:val="both"/>
        <w:rPr>
          <w:rFonts w:ascii="Arial" w:hAnsi="Arial" w:cs="Arial"/>
          <w:i/>
          <w:sz w:val="20"/>
          <w:szCs w:val="20"/>
        </w:rPr>
      </w:pPr>
      <w:r w:rsidRPr="00E21C60">
        <w:rPr>
          <w:rFonts w:ascii="Arial" w:hAnsi="Arial" w:cs="Arial"/>
          <w:sz w:val="20"/>
          <w:szCs w:val="20"/>
        </w:rPr>
        <w:t>Tab</w:t>
      </w:r>
      <w:r w:rsidR="002602B4" w:rsidRPr="00E21C60">
        <w:rPr>
          <w:rFonts w:ascii="Arial" w:hAnsi="Arial" w:cs="Arial"/>
          <w:sz w:val="20"/>
          <w:szCs w:val="20"/>
        </w:rPr>
        <w:t>uľka</w:t>
      </w:r>
      <w:r w:rsidRPr="00E21C60">
        <w:rPr>
          <w:rFonts w:ascii="Arial" w:hAnsi="Arial" w:cs="Arial"/>
          <w:sz w:val="20"/>
          <w:szCs w:val="20"/>
        </w:rPr>
        <w:t xml:space="preserve"> č. </w:t>
      </w:r>
      <w:r w:rsidR="00560E3D" w:rsidRPr="002526CC">
        <w:rPr>
          <w:rFonts w:ascii="Arial" w:hAnsi="Arial" w:cs="Arial"/>
          <w:sz w:val="20"/>
          <w:szCs w:val="20"/>
        </w:rPr>
        <w:t>2</w:t>
      </w:r>
      <w:r w:rsidR="007B1CB9">
        <w:rPr>
          <w:rFonts w:ascii="Arial" w:hAnsi="Arial" w:cs="Arial"/>
          <w:sz w:val="20"/>
          <w:szCs w:val="20"/>
        </w:rPr>
        <w:t>5</w:t>
      </w:r>
      <w:r w:rsidR="002602B4" w:rsidRPr="00E21C60">
        <w:rPr>
          <w:rFonts w:ascii="Arial" w:hAnsi="Arial" w:cs="Arial"/>
          <w:sz w:val="20"/>
          <w:szCs w:val="20"/>
        </w:rPr>
        <w:t>:</w:t>
      </w:r>
      <w:r w:rsidR="007B7519" w:rsidRPr="00E21C60">
        <w:rPr>
          <w:rFonts w:ascii="Arial" w:hAnsi="Arial" w:cs="Arial"/>
          <w:sz w:val="20"/>
          <w:szCs w:val="20"/>
        </w:rPr>
        <w:t xml:space="preserve"> </w:t>
      </w:r>
      <w:r w:rsidR="00570976" w:rsidRPr="00E21C60">
        <w:rPr>
          <w:rFonts w:ascii="Arial" w:hAnsi="Arial" w:cs="Arial"/>
          <w:sz w:val="20"/>
          <w:szCs w:val="20"/>
        </w:rPr>
        <w:t>Veľké projekty zamerané na odvádzanie a čistenie odpadových vôd</w:t>
      </w:r>
    </w:p>
    <w:tbl>
      <w:tblPr>
        <w:tblW w:w="8997"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35"/>
        <w:gridCol w:w="1843"/>
        <w:gridCol w:w="1276"/>
        <w:gridCol w:w="1417"/>
        <w:gridCol w:w="1154"/>
        <w:gridCol w:w="972"/>
      </w:tblGrid>
      <w:tr w:rsidR="00161F11" w:rsidRPr="00E21C60" w14:paraId="124BC1EA" w14:textId="77777777" w:rsidTr="008805AA">
        <w:trPr>
          <w:trHeight w:val="462"/>
        </w:trPr>
        <w:tc>
          <w:tcPr>
            <w:tcW w:w="2335" w:type="dxa"/>
            <w:shd w:val="clear" w:color="auto" w:fill="C2D69B" w:themeFill="accent3" w:themeFillTint="99"/>
            <w:vAlign w:val="center"/>
          </w:tcPr>
          <w:p w14:paraId="2F85272A" w14:textId="77777777" w:rsidR="00161F11" w:rsidRPr="009F428E" w:rsidRDefault="00161F11" w:rsidP="00172154">
            <w:pPr>
              <w:ind w:left="-70"/>
              <w:jc w:val="center"/>
              <w:rPr>
                <w:rFonts w:ascii="Arial" w:hAnsi="Arial" w:cs="Arial"/>
                <w:b/>
                <w:bCs/>
                <w:sz w:val="16"/>
                <w:szCs w:val="16"/>
              </w:rPr>
            </w:pPr>
            <w:r w:rsidRPr="009F428E">
              <w:rPr>
                <w:rFonts w:ascii="Arial" w:hAnsi="Arial" w:cs="Arial"/>
                <w:b/>
                <w:bCs/>
                <w:sz w:val="16"/>
                <w:szCs w:val="16"/>
              </w:rPr>
              <w:t>Názov projektu</w:t>
            </w:r>
          </w:p>
        </w:tc>
        <w:tc>
          <w:tcPr>
            <w:tcW w:w="1843" w:type="dxa"/>
            <w:shd w:val="clear" w:color="auto" w:fill="C2D69B" w:themeFill="accent3" w:themeFillTint="99"/>
            <w:vAlign w:val="center"/>
          </w:tcPr>
          <w:p w14:paraId="223C5019" w14:textId="77777777" w:rsidR="00161F11" w:rsidRPr="00D969CC" w:rsidRDefault="00161F11" w:rsidP="00172154">
            <w:pPr>
              <w:jc w:val="center"/>
              <w:rPr>
                <w:rFonts w:ascii="Arial" w:hAnsi="Arial" w:cs="Arial"/>
                <w:b/>
                <w:bCs/>
                <w:sz w:val="16"/>
                <w:szCs w:val="16"/>
              </w:rPr>
            </w:pPr>
            <w:r w:rsidRPr="00D969CC">
              <w:rPr>
                <w:rFonts w:ascii="Arial" w:hAnsi="Arial" w:cs="Arial"/>
                <w:b/>
                <w:bCs/>
                <w:sz w:val="16"/>
                <w:szCs w:val="16"/>
              </w:rPr>
              <w:t>Žiadateľ</w:t>
            </w:r>
          </w:p>
        </w:tc>
        <w:tc>
          <w:tcPr>
            <w:tcW w:w="1276" w:type="dxa"/>
            <w:shd w:val="clear" w:color="auto" w:fill="C2D69B" w:themeFill="accent3" w:themeFillTint="99"/>
            <w:vAlign w:val="center"/>
          </w:tcPr>
          <w:p w14:paraId="7ED9A0C0" w14:textId="2B6B0F31" w:rsidR="00161F11" w:rsidRPr="009F428E" w:rsidRDefault="00161F11" w:rsidP="006F0180">
            <w:pPr>
              <w:jc w:val="center"/>
              <w:rPr>
                <w:rFonts w:ascii="Arial" w:hAnsi="Arial" w:cs="Arial"/>
                <w:b/>
                <w:bCs/>
                <w:sz w:val="16"/>
                <w:szCs w:val="16"/>
              </w:rPr>
            </w:pPr>
            <w:r w:rsidRPr="00B446E1">
              <w:rPr>
                <w:rFonts w:ascii="Arial" w:hAnsi="Arial" w:cs="Arial"/>
                <w:b/>
                <w:bCs/>
                <w:sz w:val="16"/>
                <w:szCs w:val="16"/>
              </w:rPr>
              <w:t>Stav k 31.1</w:t>
            </w:r>
            <w:r w:rsidR="006F0180">
              <w:rPr>
                <w:rFonts w:ascii="Arial" w:hAnsi="Arial" w:cs="Arial"/>
                <w:b/>
                <w:bCs/>
                <w:sz w:val="16"/>
                <w:szCs w:val="16"/>
              </w:rPr>
              <w:t>0</w:t>
            </w:r>
            <w:r w:rsidRPr="00B446E1">
              <w:rPr>
                <w:rFonts w:ascii="Arial" w:hAnsi="Arial" w:cs="Arial"/>
                <w:b/>
                <w:bCs/>
                <w:sz w:val="16"/>
                <w:szCs w:val="16"/>
              </w:rPr>
              <w:t>.201</w:t>
            </w:r>
            <w:r w:rsidR="006F0180">
              <w:rPr>
                <w:rFonts w:ascii="Arial" w:hAnsi="Arial" w:cs="Arial"/>
                <w:b/>
                <w:bCs/>
                <w:sz w:val="16"/>
                <w:szCs w:val="16"/>
              </w:rPr>
              <w:t>6</w:t>
            </w:r>
          </w:p>
        </w:tc>
        <w:tc>
          <w:tcPr>
            <w:tcW w:w="1417" w:type="dxa"/>
            <w:shd w:val="clear" w:color="auto" w:fill="C2D69B" w:themeFill="accent3" w:themeFillTint="99"/>
            <w:vAlign w:val="center"/>
          </w:tcPr>
          <w:p w14:paraId="7DF8E580" w14:textId="77777777" w:rsidR="00161F11" w:rsidRPr="00FB7BEF" w:rsidDel="00D46C16" w:rsidRDefault="00161F11" w:rsidP="008805AA">
            <w:pPr>
              <w:jc w:val="center"/>
              <w:rPr>
                <w:rFonts w:ascii="Arial" w:hAnsi="Arial" w:cs="Arial"/>
                <w:b/>
                <w:bCs/>
                <w:sz w:val="16"/>
                <w:szCs w:val="16"/>
              </w:rPr>
            </w:pPr>
            <w:r w:rsidRPr="00FB7BEF">
              <w:rPr>
                <w:rFonts w:ascii="Arial" w:hAnsi="Arial" w:cs="Arial"/>
                <w:b/>
                <w:bCs/>
                <w:sz w:val="16"/>
                <w:szCs w:val="16"/>
              </w:rPr>
              <w:t>Zazmluvnené (zdroj EU) v €</w:t>
            </w:r>
          </w:p>
        </w:tc>
        <w:tc>
          <w:tcPr>
            <w:tcW w:w="1154" w:type="dxa"/>
            <w:shd w:val="clear" w:color="auto" w:fill="C2D69B" w:themeFill="accent3" w:themeFillTint="99"/>
            <w:vAlign w:val="center"/>
          </w:tcPr>
          <w:p w14:paraId="5089542A" w14:textId="77777777" w:rsidR="00161F11" w:rsidRPr="00FB7BEF" w:rsidDel="00D46C16" w:rsidRDefault="00161F11" w:rsidP="00172154">
            <w:pPr>
              <w:jc w:val="center"/>
              <w:rPr>
                <w:rFonts w:ascii="Arial" w:hAnsi="Arial" w:cs="Arial"/>
                <w:b/>
                <w:bCs/>
                <w:sz w:val="16"/>
                <w:szCs w:val="16"/>
              </w:rPr>
            </w:pPr>
            <w:r w:rsidRPr="00FB7BEF">
              <w:rPr>
                <w:rFonts w:ascii="Arial" w:hAnsi="Arial" w:cs="Arial"/>
                <w:b/>
                <w:bCs/>
                <w:sz w:val="16"/>
                <w:szCs w:val="16"/>
              </w:rPr>
              <w:t>Zazmluvnené</w:t>
            </w:r>
            <w:r w:rsidRPr="00FB7BEF">
              <w:rPr>
                <w:rFonts w:ascii="Arial" w:hAnsi="Arial" w:cs="Arial"/>
                <w:b/>
                <w:bCs/>
                <w:sz w:val="16"/>
                <w:szCs w:val="16"/>
              </w:rPr>
              <w:br/>
              <w:t>(zdroj ŠR) v €</w:t>
            </w:r>
          </w:p>
        </w:tc>
        <w:tc>
          <w:tcPr>
            <w:tcW w:w="972" w:type="dxa"/>
            <w:shd w:val="clear" w:color="auto" w:fill="C2D69B" w:themeFill="accent3" w:themeFillTint="99"/>
            <w:vAlign w:val="center"/>
          </w:tcPr>
          <w:p w14:paraId="3F6EA20E" w14:textId="77777777" w:rsidR="00161F11" w:rsidRPr="00B446E1" w:rsidRDefault="00161F11" w:rsidP="00172154">
            <w:pPr>
              <w:jc w:val="center"/>
              <w:rPr>
                <w:rFonts w:ascii="Arial" w:hAnsi="Arial" w:cs="Arial"/>
                <w:b/>
                <w:bCs/>
                <w:sz w:val="16"/>
                <w:szCs w:val="16"/>
              </w:rPr>
            </w:pPr>
            <w:r>
              <w:rPr>
                <w:rFonts w:ascii="Arial" w:hAnsi="Arial" w:cs="Arial"/>
                <w:b/>
                <w:bCs/>
                <w:color w:val="000000"/>
                <w:sz w:val="16"/>
                <w:szCs w:val="16"/>
              </w:rPr>
              <w:t xml:space="preserve">Súkromné zdroje </w:t>
            </w:r>
            <w:r w:rsidRPr="00E21C60">
              <w:rPr>
                <w:rFonts w:ascii="Arial" w:hAnsi="Arial" w:cs="Arial"/>
                <w:b/>
                <w:bCs/>
                <w:color w:val="000000"/>
                <w:sz w:val="16"/>
                <w:szCs w:val="16"/>
              </w:rPr>
              <w:t>v €</w:t>
            </w:r>
            <w:r>
              <w:rPr>
                <w:rFonts w:ascii="Arial" w:hAnsi="Arial" w:cs="Arial"/>
                <w:b/>
                <w:bCs/>
                <w:color w:val="000000"/>
                <w:sz w:val="16"/>
                <w:szCs w:val="16"/>
              </w:rPr>
              <w:t xml:space="preserve"> </w:t>
            </w:r>
          </w:p>
        </w:tc>
      </w:tr>
      <w:tr w:rsidR="00161F11" w:rsidRPr="00E21C60" w14:paraId="42B032D2" w14:textId="77777777" w:rsidTr="008805AA">
        <w:trPr>
          <w:trHeight w:val="20"/>
        </w:trPr>
        <w:tc>
          <w:tcPr>
            <w:tcW w:w="2335" w:type="dxa"/>
            <w:shd w:val="clear" w:color="auto" w:fill="EAF1DD"/>
            <w:noWrap/>
            <w:vAlign w:val="center"/>
          </w:tcPr>
          <w:p w14:paraId="7F5AE4C7" w14:textId="77777777" w:rsidR="00161F11" w:rsidRPr="009F428E" w:rsidRDefault="00161F11" w:rsidP="00172154">
            <w:pPr>
              <w:rPr>
                <w:rFonts w:ascii="Arial" w:hAnsi="Arial" w:cs="Arial"/>
                <w:sz w:val="16"/>
                <w:szCs w:val="16"/>
              </w:rPr>
            </w:pPr>
            <w:r w:rsidRPr="009F428E">
              <w:rPr>
                <w:rFonts w:ascii="Arial" w:hAnsi="Arial" w:cs="Arial"/>
                <w:sz w:val="16"/>
                <w:szCs w:val="16"/>
              </w:rPr>
              <w:t xml:space="preserve">SKK Ružomberok a ČOV </w:t>
            </w:r>
          </w:p>
          <w:p w14:paraId="5D079E07" w14:textId="77777777" w:rsidR="00161F11" w:rsidRPr="00B446E1" w:rsidRDefault="00161F11" w:rsidP="00172154">
            <w:pPr>
              <w:rPr>
                <w:rFonts w:ascii="Arial" w:hAnsi="Arial" w:cs="Arial"/>
                <w:sz w:val="16"/>
                <w:szCs w:val="16"/>
              </w:rPr>
            </w:pPr>
            <w:r w:rsidRPr="00D969CC">
              <w:rPr>
                <w:rFonts w:ascii="Arial" w:hAnsi="Arial" w:cs="Arial"/>
                <w:sz w:val="16"/>
                <w:szCs w:val="16"/>
              </w:rPr>
              <w:t xml:space="preserve">Liptovská </w:t>
            </w:r>
            <w:r w:rsidRPr="00B446E1">
              <w:rPr>
                <w:rFonts w:ascii="Arial" w:hAnsi="Arial" w:cs="Arial"/>
                <w:sz w:val="16"/>
                <w:szCs w:val="16"/>
              </w:rPr>
              <w:t>Teplá,  Liptovské Sliače</w:t>
            </w:r>
          </w:p>
        </w:tc>
        <w:tc>
          <w:tcPr>
            <w:tcW w:w="1843" w:type="dxa"/>
            <w:vAlign w:val="center"/>
          </w:tcPr>
          <w:p w14:paraId="08465693" w14:textId="77777777" w:rsidR="00161F11" w:rsidRPr="004874E8" w:rsidRDefault="00161F11" w:rsidP="00172154">
            <w:pPr>
              <w:rPr>
                <w:rFonts w:ascii="Arial" w:hAnsi="Arial" w:cs="Arial"/>
                <w:sz w:val="16"/>
                <w:szCs w:val="16"/>
              </w:rPr>
            </w:pPr>
            <w:r w:rsidRPr="004874E8">
              <w:rPr>
                <w:rFonts w:ascii="Arial" w:hAnsi="Arial" w:cs="Arial"/>
                <w:sz w:val="16"/>
                <w:szCs w:val="16"/>
              </w:rPr>
              <w:t>Vodárenská spoločnosť Ružomberok, a.s.</w:t>
            </w:r>
          </w:p>
        </w:tc>
        <w:tc>
          <w:tcPr>
            <w:tcW w:w="1276" w:type="dxa"/>
            <w:vAlign w:val="center"/>
          </w:tcPr>
          <w:p w14:paraId="0D740BB0" w14:textId="76BD1E70" w:rsidR="00161F11" w:rsidRPr="009F428E" w:rsidRDefault="006F0180" w:rsidP="00172154">
            <w:pPr>
              <w:jc w:val="center"/>
              <w:rPr>
                <w:rFonts w:ascii="Arial" w:hAnsi="Arial" w:cs="Arial"/>
                <w:sz w:val="16"/>
                <w:szCs w:val="16"/>
              </w:rPr>
            </w:pPr>
            <w:r w:rsidRPr="00B446E1">
              <w:rPr>
                <w:rFonts w:ascii="Arial" w:hAnsi="Arial" w:cs="Arial"/>
                <w:color w:val="000000"/>
                <w:sz w:val="16"/>
                <w:szCs w:val="16"/>
              </w:rPr>
              <w:t>Riadne ukončený</w:t>
            </w:r>
          </w:p>
        </w:tc>
        <w:tc>
          <w:tcPr>
            <w:tcW w:w="1417" w:type="dxa"/>
            <w:vAlign w:val="center"/>
          </w:tcPr>
          <w:p w14:paraId="37F120F3" w14:textId="05F1398B" w:rsidR="00161F11" w:rsidRDefault="00161F11" w:rsidP="009C255E">
            <w:pPr>
              <w:jc w:val="center"/>
              <w:rPr>
                <w:rFonts w:ascii="Arial" w:hAnsi="Arial" w:cs="Arial"/>
                <w:sz w:val="16"/>
                <w:szCs w:val="16"/>
              </w:rPr>
            </w:pPr>
            <w:r>
              <w:rPr>
                <w:rFonts w:ascii="Arial" w:hAnsi="Arial" w:cs="Arial"/>
                <w:sz w:val="16"/>
                <w:szCs w:val="16"/>
              </w:rPr>
              <w:t>6 693 617</w:t>
            </w:r>
          </w:p>
        </w:tc>
        <w:tc>
          <w:tcPr>
            <w:tcW w:w="1154" w:type="dxa"/>
            <w:vAlign w:val="center"/>
          </w:tcPr>
          <w:p w14:paraId="3889E517" w14:textId="12393FBF" w:rsidR="00161F11" w:rsidRDefault="00161F11" w:rsidP="009C255E">
            <w:pPr>
              <w:jc w:val="center"/>
              <w:rPr>
                <w:rFonts w:ascii="Arial" w:hAnsi="Arial" w:cs="Arial"/>
                <w:sz w:val="16"/>
                <w:szCs w:val="16"/>
              </w:rPr>
            </w:pPr>
            <w:r>
              <w:rPr>
                <w:rFonts w:ascii="Arial" w:hAnsi="Arial" w:cs="Arial"/>
                <w:sz w:val="16"/>
                <w:szCs w:val="16"/>
              </w:rPr>
              <w:t>1 181 22</w:t>
            </w:r>
            <w:r w:rsidR="009C255E">
              <w:rPr>
                <w:rFonts w:ascii="Arial" w:hAnsi="Arial" w:cs="Arial"/>
                <w:sz w:val="16"/>
                <w:szCs w:val="16"/>
              </w:rPr>
              <w:t>7</w:t>
            </w:r>
          </w:p>
        </w:tc>
        <w:tc>
          <w:tcPr>
            <w:tcW w:w="972" w:type="dxa"/>
            <w:vAlign w:val="center"/>
          </w:tcPr>
          <w:p w14:paraId="69782F01" w14:textId="31BD8F55" w:rsidR="00161F11" w:rsidRPr="00E72A8B" w:rsidRDefault="00161F11" w:rsidP="009C255E">
            <w:pPr>
              <w:jc w:val="center"/>
              <w:rPr>
                <w:rFonts w:ascii="Arial" w:hAnsi="Arial" w:cs="Arial"/>
                <w:sz w:val="16"/>
                <w:szCs w:val="16"/>
              </w:rPr>
            </w:pPr>
            <w:r>
              <w:rPr>
                <w:rFonts w:ascii="Arial" w:hAnsi="Arial" w:cs="Arial"/>
                <w:sz w:val="16"/>
                <w:szCs w:val="16"/>
              </w:rPr>
              <w:t>414 46</w:t>
            </w:r>
            <w:r w:rsidR="009C255E">
              <w:rPr>
                <w:rFonts w:ascii="Arial" w:hAnsi="Arial" w:cs="Arial"/>
                <w:sz w:val="16"/>
                <w:szCs w:val="16"/>
              </w:rPr>
              <w:t>6</w:t>
            </w:r>
          </w:p>
        </w:tc>
      </w:tr>
      <w:tr w:rsidR="00161F11" w:rsidRPr="00E21C60" w14:paraId="55A9ECAE" w14:textId="77777777" w:rsidTr="008805AA">
        <w:trPr>
          <w:trHeight w:val="20"/>
        </w:trPr>
        <w:tc>
          <w:tcPr>
            <w:tcW w:w="2335" w:type="dxa"/>
            <w:shd w:val="clear" w:color="auto" w:fill="EAF1DD"/>
            <w:noWrap/>
            <w:vAlign w:val="center"/>
          </w:tcPr>
          <w:p w14:paraId="7C9A8CFC" w14:textId="77777777" w:rsidR="00161F11" w:rsidRPr="009F428E" w:rsidRDefault="00161F11" w:rsidP="00172154">
            <w:pPr>
              <w:rPr>
                <w:rFonts w:ascii="Arial" w:hAnsi="Arial" w:cs="Arial"/>
                <w:sz w:val="16"/>
                <w:szCs w:val="16"/>
              </w:rPr>
            </w:pPr>
            <w:r w:rsidRPr="009F428E">
              <w:rPr>
                <w:rFonts w:ascii="Arial" w:hAnsi="Arial" w:cs="Arial"/>
                <w:sz w:val="16"/>
                <w:szCs w:val="16"/>
              </w:rPr>
              <w:t xml:space="preserve">Podunajsko – odkanalizovanie </w:t>
            </w:r>
          </w:p>
          <w:p w14:paraId="501F9290" w14:textId="77777777" w:rsidR="00161F11" w:rsidRPr="00D969CC" w:rsidRDefault="00161F11" w:rsidP="00172154">
            <w:pPr>
              <w:rPr>
                <w:rFonts w:ascii="Arial" w:hAnsi="Arial" w:cs="Arial"/>
                <w:sz w:val="16"/>
                <w:szCs w:val="16"/>
              </w:rPr>
            </w:pPr>
            <w:r w:rsidRPr="00D969CC">
              <w:rPr>
                <w:rFonts w:ascii="Arial" w:hAnsi="Arial" w:cs="Arial"/>
                <w:sz w:val="16"/>
                <w:szCs w:val="16"/>
              </w:rPr>
              <w:t xml:space="preserve">podunajskej </w:t>
            </w:r>
          </w:p>
          <w:p w14:paraId="66467142" w14:textId="77777777" w:rsidR="00161F11" w:rsidRPr="00B446E1" w:rsidRDefault="00161F11" w:rsidP="00172154">
            <w:pPr>
              <w:rPr>
                <w:rFonts w:ascii="Arial" w:hAnsi="Arial" w:cs="Arial"/>
                <w:sz w:val="16"/>
                <w:szCs w:val="16"/>
              </w:rPr>
            </w:pPr>
            <w:r w:rsidRPr="00D969CC">
              <w:rPr>
                <w:rFonts w:ascii="Arial" w:hAnsi="Arial" w:cs="Arial"/>
                <w:sz w:val="16"/>
                <w:szCs w:val="16"/>
              </w:rPr>
              <w:t>časti bratislavského regió</w:t>
            </w:r>
            <w:r w:rsidRPr="00B446E1">
              <w:rPr>
                <w:rFonts w:ascii="Arial" w:hAnsi="Arial" w:cs="Arial"/>
                <w:sz w:val="16"/>
                <w:szCs w:val="16"/>
              </w:rPr>
              <w:t>nu</w:t>
            </w:r>
          </w:p>
        </w:tc>
        <w:tc>
          <w:tcPr>
            <w:tcW w:w="1843" w:type="dxa"/>
            <w:vAlign w:val="center"/>
          </w:tcPr>
          <w:p w14:paraId="3773CDBD" w14:textId="77777777" w:rsidR="00161F11" w:rsidRPr="00B446E1" w:rsidRDefault="00161F11" w:rsidP="00172154">
            <w:pPr>
              <w:rPr>
                <w:rFonts w:ascii="Arial" w:hAnsi="Arial" w:cs="Arial"/>
                <w:sz w:val="16"/>
                <w:szCs w:val="16"/>
              </w:rPr>
            </w:pPr>
            <w:r w:rsidRPr="00B446E1">
              <w:rPr>
                <w:rFonts w:ascii="Arial" w:hAnsi="Arial" w:cs="Arial"/>
                <w:sz w:val="16"/>
                <w:szCs w:val="16"/>
              </w:rPr>
              <w:t>Bratislavská vodárenská spoločnosť, a.s.</w:t>
            </w:r>
          </w:p>
        </w:tc>
        <w:tc>
          <w:tcPr>
            <w:tcW w:w="1276" w:type="dxa"/>
            <w:vAlign w:val="center"/>
          </w:tcPr>
          <w:p w14:paraId="70A8A08D" w14:textId="1A825B78" w:rsidR="00161F11" w:rsidRPr="002D5037" w:rsidRDefault="006F0180" w:rsidP="00172154">
            <w:pPr>
              <w:jc w:val="center"/>
              <w:rPr>
                <w:rFonts w:ascii="Arial" w:hAnsi="Arial" w:cs="Arial"/>
                <w:sz w:val="16"/>
                <w:szCs w:val="16"/>
              </w:rPr>
            </w:pPr>
            <w:r w:rsidRPr="00B446E1">
              <w:rPr>
                <w:rFonts w:ascii="Arial" w:hAnsi="Arial" w:cs="Arial"/>
                <w:color w:val="000000"/>
                <w:sz w:val="16"/>
                <w:szCs w:val="16"/>
              </w:rPr>
              <w:t>Riadne ukončený</w:t>
            </w:r>
          </w:p>
        </w:tc>
        <w:tc>
          <w:tcPr>
            <w:tcW w:w="1417" w:type="dxa"/>
            <w:vAlign w:val="center"/>
          </w:tcPr>
          <w:p w14:paraId="102439B6" w14:textId="717665A2" w:rsidR="00161F11" w:rsidRDefault="00161F11" w:rsidP="009C255E">
            <w:pPr>
              <w:jc w:val="center"/>
              <w:rPr>
                <w:rFonts w:ascii="Arial" w:hAnsi="Arial" w:cs="Arial"/>
                <w:sz w:val="16"/>
                <w:szCs w:val="16"/>
              </w:rPr>
            </w:pPr>
            <w:r>
              <w:rPr>
                <w:rFonts w:ascii="Arial" w:hAnsi="Arial" w:cs="Arial"/>
                <w:sz w:val="16"/>
                <w:szCs w:val="16"/>
              </w:rPr>
              <w:t>12 649 </w:t>
            </w:r>
            <w:r w:rsidR="009C255E">
              <w:rPr>
                <w:rFonts w:ascii="Arial" w:hAnsi="Arial" w:cs="Arial"/>
                <w:sz w:val="16"/>
                <w:szCs w:val="16"/>
              </w:rPr>
              <w:t>030</w:t>
            </w:r>
          </w:p>
        </w:tc>
        <w:tc>
          <w:tcPr>
            <w:tcW w:w="1154" w:type="dxa"/>
            <w:vAlign w:val="center"/>
          </w:tcPr>
          <w:p w14:paraId="58C6B197" w14:textId="6625EF0F" w:rsidR="00161F11" w:rsidRDefault="00161F11" w:rsidP="009C255E">
            <w:pPr>
              <w:jc w:val="center"/>
              <w:rPr>
                <w:rFonts w:ascii="Arial" w:hAnsi="Arial" w:cs="Arial"/>
                <w:sz w:val="16"/>
                <w:szCs w:val="16"/>
              </w:rPr>
            </w:pPr>
            <w:r>
              <w:rPr>
                <w:rFonts w:ascii="Arial" w:hAnsi="Arial" w:cs="Arial"/>
                <w:sz w:val="16"/>
                <w:szCs w:val="16"/>
              </w:rPr>
              <w:t>2 232 18</w:t>
            </w:r>
            <w:r w:rsidR="009C255E">
              <w:rPr>
                <w:rFonts w:ascii="Arial" w:hAnsi="Arial" w:cs="Arial"/>
                <w:sz w:val="16"/>
                <w:szCs w:val="16"/>
              </w:rPr>
              <w:t>2</w:t>
            </w:r>
          </w:p>
        </w:tc>
        <w:tc>
          <w:tcPr>
            <w:tcW w:w="972" w:type="dxa"/>
            <w:vAlign w:val="center"/>
          </w:tcPr>
          <w:p w14:paraId="2F2265D8" w14:textId="3939E2DC" w:rsidR="00161F11" w:rsidRPr="00D969CC" w:rsidRDefault="00161F11" w:rsidP="009C255E">
            <w:pPr>
              <w:jc w:val="center"/>
              <w:rPr>
                <w:rFonts w:ascii="Arial" w:hAnsi="Arial" w:cs="Arial"/>
                <w:sz w:val="16"/>
                <w:szCs w:val="16"/>
              </w:rPr>
            </w:pPr>
            <w:r>
              <w:rPr>
                <w:rFonts w:ascii="Arial" w:hAnsi="Arial" w:cs="Arial"/>
                <w:sz w:val="16"/>
                <w:szCs w:val="16"/>
              </w:rPr>
              <w:t>783 22</w:t>
            </w:r>
            <w:r w:rsidR="009C255E">
              <w:rPr>
                <w:rFonts w:ascii="Arial" w:hAnsi="Arial" w:cs="Arial"/>
                <w:sz w:val="16"/>
                <w:szCs w:val="16"/>
              </w:rPr>
              <w:t>2</w:t>
            </w:r>
          </w:p>
        </w:tc>
      </w:tr>
    </w:tbl>
    <w:p w14:paraId="58B0CD49" w14:textId="77777777" w:rsidR="00214ECF" w:rsidRPr="00123376" w:rsidRDefault="00214ECF" w:rsidP="00123376">
      <w:pPr>
        <w:jc w:val="both"/>
        <w:rPr>
          <w:rFonts w:ascii="Arial" w:hAnsi="Arial" w:cs="Arial"/>
          <w:sz w:val="16"/>
          <w:szCs w:val="16"/>
        </w:rPr>
      </w:pPr>
      <w:r w:rsidRPr="00123376">
        <w:rPr>
          <w:rFonts w:ascii="Arial" w:hAnsi="Arial" w:cs="Arial"/>
          <w:sz w:val="16"/>
          <w:szCs w:val="16"/>
        </w:rPr>
        <w:t>Zdroj: RO</w:t>
      </w:r>
    </w:p>
    <w:p w14:paraId="11C04589" w14:textId="7B8E99EE" w:rsidR="00214ECF" w:rsidRPr="00E21C60" w:rsidRDefault="00214ECF" w:rsidP="00123376">
      <w:pPr>
        <w:spacing w:before="120" w:after="120"/>
        <w:jc w:val="both"/>
        <w:rPr>
          <w:rFonts w:ascii="Arial" w:hAnsi="Arial" w:cs="Arial"/>
          <w:sz w:val="20"/>
          <w:szCs w:val="20"/>
        </w:rPr>
      </w:pPr>
      <w:r w:rsidRPr="002526CC">
        <w:rPr>
          <w:rFonts w:ascii="Arial" w:hAnsi="Arial" w:cs="Arial"/>
          <w:sz w:val="20"/>
          <w:szCs w:val="20"/>
        </w:rPr>
        <w:lastRenderedPageBreak/>
        <w:t xml:space="preserve">V prípade tzv. malých projektov, t.j. projektov s celkovými nákladmi do 50 miliónov </w:t>
      </w:r>
      <w:r w:rsidR="00366C2D">
        <w:rPr>
          <w:rFonts w:ascii="Arial" w:hAnsi="Arial" w:cs="Arial"/>
          <w:sz w:val="20"/>
          <w:szCs w:val="20"/>
        </w:rPr>
        <w:t>€</w:t>
      </w:r>
      <w:r w:rsidRPr="002526CC">
        <w:rPr>
          <w:rFonts w:ascii="Arial" w:hAnsi="Arial" w:cs="Arial"/>
          <w:sz w:val="20"/>
          <w:szCs w:val="20"/>
        </w:rPr>
        <w:t xml:space="preserve">, </w:t>
      </w:r>
      <w:r w:rsidR="00EB3AAB">
        <w:rPr>
          <w:rFonts w:ascii="Arial" w:hAnsi="Arial" w:cs="Arial"/>
          <w:sz w:val="20"/>
          <w:szCs w:val="20"/>
        </w:rPr>
        <w:t>boli</w:t>
      </w:r>
      <w:r w:rsidR="00EB3AAB" w:rsidRPr="00E21C60">
        <w:rPr>
          <w:rFonts w:ascii="Arial" w:hAnsi="Arial" w:cs="Arial"/>
          <w:sz w:val="20"/>
          <w:szCs w:val="20"/>
        </w:rPr>
        <w:t xml:space="preserve"> </w:t>
      </w:r>
      <w:r w:rsidRPr="00E21C60">
        <w:rPr>
          <w:rFonts w:ascii="Arial" w:hAnsi="Arial" w:cs="Arial"/>
          <w:sz w:val="20"/>
          <w:szCs w:val="20"/>
        </w:rPr>
        <w:t xml:space="preserve">na riešenie odvádzania a čistenia odpadových vôd v aglomeráciách 1. veľkostnej skupiny, t.j. nad 150 000 EO, </w:t>
      </w:r>
      <w:r w:rsidR="00C60C00" w:rsidRPr="00E21C60">
        <w:rPr>
          <w:rFonts w:ascii="Arial" w:hAnsi="Arial" w:cs="Arial"/>
          <w:sz w:val="20"/>
          <w:szCs w:val="20"/>
        </w:rPr>
        <w:t>zameran</w:t>
      </w:r>
      <w:r w:rsidR="00C60C00">
        <w:rPr>
          <w:rFonts w:ascii="Arial" w:hAnsi="Arial" w:cs="Arial"/>
          <w:sz w:val="20"/>
          <w:szCs w:val="20"/>
        </w:rPr>
        <w:t>é</w:t>
      </w:r>
      <w:r w:rsidR="00C60C00" w:rsidRPr="00E21C60">
        <w:rPr>
          <w:rFonts w:ascii="Arial" w:hAnsi="Arial" w:cs="Arial"/>
          <w:sz w:val="20"/>
          <w:szCs w:val="20"/>
        </w:rPr>
        <w:t xml:space="preserve"> nasledujúc</w:t>
      </w:r>
      <w:r w:rsidR="00C60C00">
        <w:rPr>
          <w:rFonts w:ascii="Arial" w:hAnsi="Arial" w:cs="Arial"/>
          <w:sz w:val="20"/>
          <w:szCs w:val="20"/>
        </w:rPr>
        <w:t>e</w:t>
      </w:r>
      <w:r w:rsidR="00C60C00" w:rsidRPr="00E21C60">
        <w:rPr>
          <w:rFonts w:ascii="Arial" w:hAnsi="Arial" w:cs="Arial"/>
          <w:sz w:val="20"/>
          <w:szCs w:val="20"/>
        </w:rPr>
        <w:t xml:space="preserve"> projekt</w:t>
      </w:r>
      <w:r w:rsidR="00C60C00">
        <w:rPr>
          <w:rFonts w:ascii="Arial" w:hAnsi="Arial" w:cs="Arial"/>
          <w:sz w:val="20"/>
          <w:szCs w:val="20"/>
        </w:rPr>
        <w:t xml:space="preserve">y uvedené v tabuľke č. </w:t>
      </w:r>
      <w:r w:rsidR="006127E5">
        <w:rPr>
          <w:rFonts w:ascii="Arial" w:hAnsi="Arial" w:cs="Arial"/>
          <w:sz w:val="20"/>
          <w:szCs w:val="20"/>
        </w:rPr>
        <w:t>2</w:t>
      </w:r>
      <w:r w:rsidR="00D92FB1">
        <w:rPr>
          <w:rFonts w:ascii="Arial" w:hAnsi="Arial" w:cs="Arial"/>
          <w:sz w:val="20"/>
          <w:szCs w:val="20"/>
        </w:rPr>
        <w:t>6</w:t>
      </w:r>
      <w:r w:rsidR="00C60C00" w:rsidRPr="00E21C60">
        <w:rPr>
          <w:rFonts w:ascii="Arial" w:hAnsi="Arial" w:cs="Arial"/>
          <w:sz w:val="20"/>
          <w:szCs w:val="20"/>
        </w:rPr>
        <w:t>:</w:t>
      </w:r>
    </w:p>
    <w:p w14:paraId="18384E59" w14:textId="3DD6D64A" w:rsidR="00214ECF" w:rsidRPr="00E21C60" w:rsidRDefault="00214ECF" w:rsidP="00123376">
      <w:pPr>
        <w:jc w:val="both"/>
        <w:rPr>
          <w:rFonts w:ascii="Arial" w:hAnsi="Arial" w:cs="Arial"/>
          <w:sz w:val="20"/>
          <w:szCs w:val="20"/>
        </w:rPr>
      </w:pPr>
      <w:r w:rsidRPr="00E21C60">
        <w:rPr>
          <w:rFonts w:ascii="Arial" w:hAnsi="Arial" w:cs="Arial"/>
          <w:sz w:val="20"/>
          <w:szCs w:val="20"/>
        </w:rPr>
        <w:t>Tab</w:t>
      </w:r>
      <w:r w:rsidR="002602B4" w:rsidRPr="00E21C60">
        <w:rPr>
          <w:rFonts w:ascii="Arial" w:hAnsi="Arial" w:cs="Arial"/>
          <w:sz w:val="20"/>
          <w:szCs w:val="20"/>
        </w:rPr>
        <w:t>uľka</w:t>
      </w:r>
      <w:r w:rsidRPr="00E21C60">
        <w:rPr>
          <w:rFonts w:ascii="Arial" w:hAnsi="Arial" w:cs="Arial"/>
          <w:sz w:val="20"/>
          <w:szCs w:val="20"/>
        </w:rPr>
        <w:t xml:space="preserve"> č. </w:t>
      </w:r>
      <w:r w:rsidR="00560E3D" w:rsidRPr="002526CC">
        <w:rPr>
          <w:rFonts w:ascii="Arial" w:hAnsi="Arial" w:cs="Arial"/>
          <w:sz w:val="20"/>
          <w:szCs w:val="20"/>
        </w:rPr>
        <w:t>2</w:t>
      </w:r>
      <w:r w:rsidR="007B1CB9">
        <w:rPr>
          <w:rFonts w:ascii="Arial" w:hAnsi="Arial" w:cs="Arial"/>
          <w:sz w:val="20"/>
          <w:szCs w:val="20"/>
        </w:rPr>
        <w:t>6</w:t>
      </w:r>
      <w:r w:rsidR="001E3505" w:rsidRPr="00E21C60">
        <w:rPr>
          <w:rFonts w:ascii="Arial" w:hAnsi="Arial" w:cs="Arial"/>
          <w:sz w:val="20"/>
          <w:szCs w:val="20"/>
        </w:rPr>
        <w:t>:</w:t>
      </w:r>
      <w:r w:rsidR="007B7519" w:rsidRPr="00E21C60">
        <w:rPr>
          <w:rFonts w:ascii="Arial" w:hAnsi="Arial" w:cs="Arial"/>
          <w:sz w:val="20"/>
          <w:szCs w:val="20"/>
        </w:rPr>
        <w:t xml:space="preserve"> </w:t>
      </w:r>
      <w:r w:rsidR="001E3505" w:rsidRPr="00E21C60">
        <w:rPr>
          <w:rFonts w:ascii="Arial" w:hAnsi="Arial" w:cs="Arial"/>
          <w:sz w:val="20"/>
          <w:szCs w:val="20"/>
        </w:rPr>
        <w:t>Projekty</w:t>
      </w:r>
      <w:r w:rsidR="00570976" w:rsidRPr="00E21C60">
        <w:rPr>
          <w:rFonts w:ascii="Arial" w:hAnsi="Arial" w:cs="Arial"/>
          <w:sz w:val="20"/>
          <w:szCs w:val="20"/>
        </w:rPr>
        <w:t xml:space="preserve"> </w:t>
      </w:r>
      <w:r w:rsidR="001E3505" w:rsidRPr="00E21C60">
        <w:rPr>
          <w:rFonts w:ascii="Arial" w:hAnsi="Arial" w:cs="Arial"/>
          <w:sz w:val="20"/>
          <w:szCs w:val="20"/>
        </w:rPr>
        <w:t xml:space="preserve">zamerané </w:t>
      </w:r>
      <w:r w:rsidR="00570976" w:rsidRPr="00E21C60">
        <w:rPr>
          <w:rFonts w:ascii="Arial" w:hAnsi="Arial" w:cs="Arial"/>
          <w:sz w:val="20"/>
          <w:szCs w:val="20"/>
        </w:rPr>
        <w:t>na odvádzanie a čistenie odpadových vôd (nie veľké projekty)</w:t>
      </w:r>
    </w:p>
    <w:tbl>
      <w:tblPr>
        <w:tblW w:w="9080" w:type="dxa"/>
        <w:tblInd w:w="55" w:type="dxa"/>
        <w:tblCellMar>
          <w:left w:w="70" w:type="dxa"/>
          <w:right w:w="70" w:type="dxa"/>
        </w:tblCellMar>
        <w:tblLook w:val="04A0" w:firstRow="1" w:lastRow="0" w:firstColumn="1" w:lastColumn="0" w:noHBand="0" w:noVBand="1"/>
      </w:tblPr>
      <w:tblGrid>
        <w:gridCol w:w="2365"/>
        <w:gridCol w:w="2115"/>
        <w:gridCol w:w="1075"/>
        <w:gridCol w:w="1175"/>
        <w:gridCol w:w="1175"/>
        <w:gridCol w:w="1175"/>
      </w:tblGrid>
      <w:tr w:rsidR="00D368F6" w:rsidRPr="00E21C60" w14:paraId="10933351" w14:textId="77777777" w:rsidTr="007D7B08">
        <w:trPr>
          <w:trHeight w:val="225"/>
        </w:trPr>
        <w:tc>
          <w:tcPr>
            <w:tcW w:w="2365" w:type="dxa"/>
            <w:vMerge w:val="restart"/>
            <w:tcBorders>
              <w:top w:val="single" w:sz="4" w:space="0" w:color="auto"/>
              <w:left w:val="single" w:sz="4" w:space="0" w:color="auto"/>
              <w:bottom w:val="single" w:sz="4" w:space="0" w:color="000000"/>
              <w:right w:val="single" w:sz="4" w:space="0" w:color="auto"/>
            </w:tcBorders>
            <w:shd w:val="clear" w:color="auto" w:fill="C2D69B" w:themeFill="accent3" w:themeFillTint="99"/>
            <w:vAlign w:val="center"/>
            <w:hideMark/>
          </w:tcPr>
          <w:p w14:paraId="43225AF0"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Názov projektu</w:t>
            </w:r>
          </w:p>
        </w:tc>
        <w:tc>
          <w:tcPr>
            <w:tcW w:w="2115" w:type="dxa"/>
            <w:vMerge w:val="restart"/>
            <w:tcBorders>
              <w:top w:val="single" w:sz="4" w:space="0" w:color="auto"/>
              <w:left w:val="single" w:sz="4" w:space="0" w:color="auto"/>
              <w:bottom w:val="single" w:sz="4" w:space="0" w:color="000000"/>
              <w:right w:val="single" w:sz="4" w:space="0" w:color="auto"/>
            </w:tcBorders>
            <w:shd w:val="clear" w:color="auto" w:fill="C2D69B" w:themeFill="accent3" w:themeFillTint="99"/>
            <w:vAlign w:val="center"/>
            <w:hideMark/>
          </w:tcPr>
          <w:p w14:paraId="18078248"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Žiadateľ</w:t>
            </w:r>
          </w:p>
        </w:tc>
        <w:tc>
          <w:tcPr>
            <w:tcW w:w="10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31DB681" w14:textId="73A9623B" w:rsidR="00D368F6" w:rsidRPr="00E21C60" w:rsidRDefault="00D368F6" w:rsidP="006A57B8">
            <w:pPr>
              <w:jc w:val="center"/>
              <w:rPr>
                <w:rFonts w:ascii="Arial" w:hAnsi="Arial" w:cs="Arial"/>
                <w:b/>
                <w:bCs/>
                <w:color w:val="000000"/>
                <w:sz w:val="16"/>
                <w:szCs w:val="16"/>
              </w:rPr>
            </w:pPr>
            <w:r w:rsidRPr="00E21C60">
              <w:rPr>
                <w:rFonts w:ascii="Arial" w:hAnsi="Arial" w:cs="Arial"/>
                <w:b/>
                <w:bCs/>
                <w:color w:val="000000"/>
                <w:sz w:val="16"/>
                <w:szCs w:val="16"/>
              </w:rPr>
              <w:t>Stav</w:t>
            </w:r>
            <w:r w:rsidRPr="00E21C60">
              <w:rPr>
                <w:rFonts w:ascii="Arial" w:hAnsi="Arial" w:cs="Arial"/>
                <w:b/>
                <w:bCs/>
                <w:color w:val="000000"/>
                <w:sz w:val="16"/>
                <w:szCs w:val="16"/>
              </w:rPr>
              <w:br/>
              <w:t>k 31.1</w:t>
            </w:r>
            <w:r w:rsidR="006A57B8">
              <w:rPr>
                <w:rFonts w:ascii="Arial" w:hAnsi="Arial" w:cs="Arial"/>
                <w:b/>
                <w:bCs/>
                <w:color w:val="000000"/>
                <w:sz w:val="16"/>
                <w:szCs w:val="16"/>
              </w:rPr>
              <w:t>0</w:t>
            </w:r>
            <w:r w:rsidRPr="00E21C60">
              <w:rPr>
                <w:rFonts w:ascii="Arial" w:hAnsi="Arial" w:cs="Arial"/>
                <w:b/>
                <w:bCs/>
                <w:color w:val="000000"/>
                <w:sz w:val="16"/>
                <w:szCs w:val="16"/>
              </w:rPr>
              <w:t>.</w:t>
            </w:r>
            <w:r w:rsidR="00B446E1" w:rsidRPr="00E21C60">
              <w:rPr>
                <w:rFonts w:ascii="Arial" w:hAnsi="Arial" w:cs="Arial"/>
                <w:b/>
                <w:bCs/>
                <w:color w:val="000000"/>
                <w:sz w:val="16"/>
                <w:szCs w:val="16"/>
              </w:rPr>
              <w:t>201</w:t>
            </w:r>
            <w:r w:rsidR="006A57B8">
              <w:rPr>
                <w:rFonts w:ascii="Arial" w:hAnsi="Arial" w:cs="Arial"/>
                <w:b/>
                <w:bCs/>
                <w:color w:val="000000"/>
                <w:sz w:val="16"/>
                <w:szCs w:val="16"/>
              </w:rPr>
              <w:t>6</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5EF7576"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EÚ) v €</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E7A20C8"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ŠR) v €</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E488E99"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(EÚ + ŠR) v €</w:t>
            </w:r>
          </w:p>
        </w:tc>
      </w:tr>
      <w:tr w:rsidR="00D368F6" w:rsidRPr="00E21C60" w14:paraId="701263D9" w14:textId="77777777" w:rsidTr="007D7B08">
        <w:trPr>
          <w:trHeight w:val="225"/>
        </w:trPr>
        <w:tc>
          <w:tcPr>
            <w:tcW w:w="2365" w:type="dxa"/>
            <w:vMerge/>
            <w:tcBorders>
              <w:top w:val="single" w:sz="4" w:space="0" w:color="auto"/>
              <w:left w:val="single" w:sz="4" w:space="0" w:color="auto"/>
              <w:bottom w:val="single" w:sz="4" w:space="0" w:color="000000"/>
              <w:right w:val="single" w:sz="4" w:space="0" w:color="auto"/>
            </w:tcBorders>
            <w:shd w:val="clear" w:color="auto" w:fill="C2D69B" w:themeFill="accent3" w:themeFillTint="99"/>
            <w:vAlign w:val="center"/>
            <w:hideMark/>
          </w:tcPr>
          <w:p w14:paraId="7A245296" w14:textId="77777777" w:rsidR="00D368F6" w:rsidRPr="00E21C60" w:rsidRDefault="00D368F6">
            <w:pPr>
              <w:rPr>
                <w:rFonts w:ascii="Arial" w:hAnsi="Arial" w:cs="Arial"/>
                <w:b/>
                <w:bCs/>
                <w:color w:val="000000"/>
                <w:sz w:val="16"/>
                <w:szCs w:val="16"/>
              </w:rPr>
            </w:pPr>
          </w:p>
        </w:tc>
        <w:tc>
          <w:tcPr>
            <w:tcW w:w="2115" w:type="dxa"/>
            <w:vMerge/>
            <w:tcBorders>
              <w:top w:val="single" w:sz="4" w:space="0" w:color="auto"/>
              <w:left w:val="single" w:sz="4" w:space="0" w:color="auto"/>
              <w:bottom w:val="single" w:sz="4" w:space="0" w:color="000000"/>
              <w:right w:val="single" w:sz="4" w:space="0" w:color="auto"/>
            </w:tcBorders>
            <w:shd w:val="clear" w:color="auto" w:fill="C2D69B" w:themeFill="accent3" w:themeFillTint="99"/>
            <w:vAlign w:val="center"/>
            <w:hideMark/>
          </w:tcPr>
          <w:p w14:paraId="5E812C1E" w14:textId="77777777" w:rsidR="00D368F6" w:rsidRPr="00E21C60" w:rsidRDefault="00D368F6">
            <w:pPr>
              <w:rPr>
                <w:rFonts w:ascii="Arial" w:hAnsi="Arial" w:cs="Arial"/>
                <w:b/>
                <w:bCs/>
                <w:color w:val="000000"/>
                <w:sz w:val="16"/>
                <w:szCs w:val="16"/>
              </w:rPr>
            </w:pPr>
          </w:p>
        </w:tc>
        <w:tc>
          <w:tcPr>
            <w:tcW w:w="10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C865CD5" w14:textId="77777777" w:rsidR="00D368F6" w:rsidRPr="00E21C60" w:rsidRDefault="00D368F6">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9A41A5D" w14:textId="77777777" w:rsidR="00D368F6" w:rsidRPr="00E21C60" w:rsidRDefault="00D368F6">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7944A75" w14:textId="77777777" w:rsidR="00D368F6" w:rsidRPr="00E21C60" w:rsidRDefault="00D368F6">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EF96130" w14:textId="77777777" w:rsidR="00D368F6" w:rsidRPr="00E21C60" w:rsidRDefault="00D368F6">
            <w:pPr>
              <w:rPr>
                <w:rFonts w:ascii="Arial" w:hAnsi="Arial" w:cs="Arial"/>
                <w:b/>
                <w:bCs/>
                <w:color w:val="000000"/>
                <w:sz w:val="16"/>
                <w:szCs w:val="16"/>
              </w:rPr>
            </w:pPr>
          </w:p>
        </w:tc>
      </w:tr>
      <w:tr w:rsidR="00D368F6" w:rsidRPr="00E21C60" w14:paraId="5C419AFE" w14:textId="77777777" w:rsidTr="00123376">
        <w:trPr>
          <w:trHeight w:val="287"/>
        </w:trPr>
        <w:tc>
          <w:tcPr>
            <w:tcW w:w="2365" w:type="dxa"/>
            <w:tcBorders>
              <w:top w:val="nil"/>
              <w:left w:val="single" w:sz="4" w:space="0" w:color="auto"/>
              <w:bottom w:val="single" w:sz="4" w:space="0" w:color="auto"/>
              <w:right w:val="single" w:sz="4" w:space="0" w:color="auto"/>
            </w:tcBorders>
            <w:shd w:val="clear" w:color="000000" w:fill="EAF1DD"/>
            <w:vAlign w:val="center"/>
            <w:hideMark/>
          </w:tcPr>
          <w:p w14:paraId="0C8D6DF4" w14:textId="77777777" w:rsidR="00D368F6" w:rsidRPr="00B446E1" w:rsidRDefault="00D368F6">
            <w:pPr>
              <w:rPr>
                <w:rFonts w:ascii="Arial" w:hAnsi="Arial" w:cs="Arial"/>
                <w:color w:val="000000"/>
                <w:sz w:val="16"/>
                <w:szCs w:val="16"/>
              </w:rPr>
            </w:pPr>
            <w:r w:rsidRPr="00B446E1">
              <w:rPr>
                <w:rFonts w:ascii="Arial" w:hAnsi="Arial" w:cs="Arial"/>
                <w:color w:val="000000"/>
                <w:sz w:val="16"/>
                <w:szCs w:val="16"/>
              </w:rPr>
              <w:t>Kanalizácia Podunajské Biskupice, 1. Etapa</w:t>
            </w:r>
          </w:p>
        </w:tc>
        <w:tc>
          <w:tcPr>
            <w:tcW w:w="2115" w:type="dxa"/>
            <w:tcBorders>
              <w:top w:val="nil"/>
              <w:left w:val="nil"/>
              <w:bottom w:val="single" w:sz="4" w:space="0" w:color="auto"/>
              <w:right w:val="single" w:sz="4" w:space="0" w:color="auto"/>
            </w:tcBorders>
            <w:shd w:val="clear" w:color="auto" w:fill="auto"/>
            <w:vAlign w:val="center"/>
            <w:hideMark/>
          </w:tcPr>
          <w:p w14:paraId="28BFCF55" w14:textId="77777777" w:rsidR="00D368F6" w:rsidRPr="00B446E1" w:rsidRDefault="00D368F6">
            <w:pPr>
              <w:rPr>
                <w:rFonts w:ascii="Arial" w:hAnsi="Arial" w:cs="Arial"/>
                <w:color w:val="000000"/>
                <w:sz w:val="16"/>
                <w:szCs w:val="16"/>
              </w:rPr>
            </w:pPr>
            <w:r w:rsidRPr="00B446E1">
              <w:rPr>
                <w:rFonts w:ascii="Arial" w:hAnsi="Arial" w:cs="Arial"/>
                <w:color w:val="000000"/>
                <w:sz w:val="16"/>
                <w:szCs w:val="16"/>
              </w:rPr>
              <w:t>Mestská časť Bratislava – Podunajské Biskupice</w:t>
            </w:r>
          </w:p>
        </w:tc>
        <w:tc>
          <w:tcPr>
            <w:tcW w:w="1075" w:type="dxa"/>
            <w:tcBorders>
              <w:top w:val="nil"/>
              <w:left w:val="nil"/>
              <w:bottom w:val="single" w:sz="4" w:space="0" w:color="auto"/>
              <w:right w:val="single" w:sz="4" w:space="0" w:color="auto"/>
            </w:tcBorders>
            <w:shd w:val="clear" w:color="auto" w:fill="auto"/>
            <w:vAlign w:val="center"/>
            <w:hideMark/>
          </w:tcPr>
          <w:p w14:paraId="6181B15D" w14:textId="77777777" w:rsidR="00D368F6" w:rsidRPr="00B446E1" w:rsidRDefault="00D368F6">
            <w:pPr>
              <w:rPr>
                <w:rFonts w:ascii="Arial" w:hAnsi="Arial" w:cs="Arial"/>
                <w:color w:val="000000"/>
                <w:sz w:val="16"/>
                <w:szCs w:val="16"/>
              </w:rPr>
            </w:pPr>
            <w:r w:rsidRPr="00B446E1">
              <w:rPr>
                <w:rFonts w:ascii="Arial" w:hAnsi="Arial" w:cs="Arial"/>
                <w:color w:val="000000"/>
                <w:sz w:val="16"/>
                <w:szCs w:val="16"/>
              </w:rPr>
              <w:t>Riadne ukončený</w:t>
            </w:r>
          </w:p>
        </w:tc>
        <w:tc>
          <w:tcPr>
            <w:tcW w:w="1175" w:type="dxa"/>
            <w:tcBorders>
              <w:top w:val="nil"/>
              <w:left w:val="nil"/>
              <w:bottom w:val="single" w:sz="4" w:space="0" w:color="auto"/>
              <w:right w:val="single" w:sz="4" w:space="0" w:color="auto"/>
            </w:tcBorders>
            <w:shd w:val="clear" w:color="auto" w:fill="auto"/>
            <w:vAlign w:val="center"/>
            <w:hideMark/>
          </w:tcPr>
          <w:p w14:paraId="477E338C" w14:textId="7CC0D56E" w:rsidR="00D368F6" w:rsidRPr="004874E8" w:rsidRDefault="00D368F6" w:rsidP="009C255E">
            <w:pPr>
              <w:jc w:val="center"/>
              <w:rPr>
                <w:rFonts w:ascii="Arial" w:hAnsi="Arial" w:cs="Arial"/>
                <w:color w:val="000000"/>
                <w:sz w:val="16"/>
                <w:szCs w:val="16"/>
              </w:rPr>
            </w:pPr>
            <w:r w:rsidRPr="004874E8">
              <w:rPr>
                <w:rFonts w:ascii="Arial" w:hAnsi="Arial" w:cs="Arial"/>
                <w:color w:val="000000"/>
                <w:sz w:val="16"/>
                <w:szCs w:val="16"/>
              </w:rPr>
              <w:t>2 983 017</w:t>
            </w:r>
          </w:p>
        </w:tc>
        <w:tc>
          <w:tcPr>
            <w:tcW w:w="1175" w:type="dxa"/>
            <w:tcBorders>
              <w:top w:val="nil"/>
              <w:left w:val="nil"/>
              <w:bottom w:val="single" w:sz="4" w:space="0" w:color="auto"/>
              <w:right w:val="single" w:sz="4" w:space="0" w:color="auto"/>
            </w:tcBorders>
            <w:shd w:val="clear" w:color="auto" w:fill="auto"/>
            <w:vAlign w:val="center"/>
            <w:hideMark/>
          </w:tcPr>
          <w:p w14:paraId="4F8C57E0" w14:textId="0CC8D00E" w:rsidR="00D368F6" w:rsidRPr="00B446E1" w:rsidRDefault="00D368F6" w:rsidP="009C255E">
            <w:pPr>
              <w:jc w:val="center"/>
              <w:rPr>
                <w:rFonts w:ascii="Arial" w:hAnsi="Arial" w:cs="Arial"/>
                <w:color w:val="000000"/>
                <w:sz w:val="16"/>
                <w:szCs w:val="16"/>
              </w:rPr>
            </w:pPr>
            <w:r w:rsidRPr="00B446E1">
              <w:rPr>
                <w:rFonts w:ascii="Arial" w:hAnsi="Arial" w:cs="Arial"/>
                <w:color w:val="000000"/>
                <w:sz w:val="16"/>
                <w:szCs w:val="16"/>
              </w:rPr>
              <w:t>350 943</w:t>
            </w:r>
          </w:p>
        </w:tc>
        <w:tc>
          <w:tcPr>
            <w:tcW w:w="1175" w:type="dxa"/>
            <w:tcBorders>
              <w:top w:val="nil"/>
              <w:left w:val="nil"/>
              <w:bottom w:val="single" w:sz="4" w:space="0" w:color="auto"/>
              <w:right w:val="single" w:sz="4" w:space="0" w:color="auto"/>
            </w:tcBorders>
            <w:shd w:val="clear" w:color="auto" w:fill="auto"/>
            <w:vAlign w:val="center"/>
            <w:hideMark/>
          </w:tcPr>
          <w:p w14:paraId="56141A4B" w14:textId="0EE25C91" w:rsidR="00D368F6" w:rsidRPr="00B446E1" w:rsidRDefault="00D368F6" w:rsidP="009C255E">
            <w:pPr>
              <w:jc w:val="center"/>
              <w:rPr>
                <w:rFonts w:ascii="Arial" w:hAnsi="Arial" w:cs="Arial"/>
                <w:color w:val="000000"/>
                <w:sz w:val="16"/>
                <w:szCs w:val="16"/>
              </w:rPr>
            </w:pPr>
            <w:r w:rsidRPr="00B446E1">
              <w:rPr>
                <w:rFonts w:ascii="Arial" w:hAnsi="Arial" w:cs="Arial"/>
                <w:color w:val="000000"/>
                <w:sz w:val="16"/>
                <w:szCs w:val="16"/>
              </w:rPr>
              <w:t>3 333 96</w:t>
            </w:r>
            <w:r w:rsidR="009C255E">
              <w:rPr>
                <w:rFonts w:ascii="Arial" w:hAnsi="Arial" w:cs="Arial"/>
                <w:color w:val="000000"/>
                <w:sz w:val="16"/>
                <w:szCs w:val="16"/>
              </w:rPr>
              <w:t>1</w:t>
            </w:r>
          </w:p>
        </w:tc>
      </w:tr>
      <w:tr w:rsidR="00D368F6" w:rsidRPr="00E21C60" w14:paraId="25CD7A9E" w14:textId="77777777" w:rsidTr="00123376">
        <w:trPr>
          <w:trHeight w:val="320"/>
        </w:trPr>
        <w:tc>
          <w:tcPr>
            <w:tcW w:w="2365" w:type="dxa"/>
            <w:tcBorders>
              <w:top w:val="nil"/>
              <w:left w:val="single" w:sz="4" w:space="0" w:color="auto"/>
              <w:bottom w:val="single" w:sz="4" w:space="0" w:color="auto"/>
              <w:right w:val="single" w:sz="4" w:space="0" w:color="auto"/>
            </w:tcBorders>
            <w:shd w:val="clear" w:color="000000" w:fill="EAF1DD"/>
            <w:vAlign w:val="center"/>
            <w:hideMark/>
          </w:tcPr>
          <w:p w14:paraId="5BE3E3C1" w14:textId="77777777" w:rsidR="00D368F6" w:rsidRPr="004874E8" w:rsidRDefault="00D368F6">
            <w:pPr>
              <w:rPr>
                <w:rFonts w:ascii="Arial" w:hAnsi="Arial" w:cs="Arial"/>
                <w:color w:val="000000"/>
                <w:sz w:val="16"/>
                <w:szCs w:val="16"/>
              </w:rPr>
            </w:pPr>
            <w:r w:rsidRPr="004874E8">
              <w:rPr>
                <w:rFonts w:ascii="Arial" w:hAnsi="Arial" w:cs="Arial"/>
                <w:color w:val="000000"/>
                <w:sz w:val="16"/>
                <w:szCs w:val="16"/>
              </w:rPr>
              <w:t>Nitra – dobudovanie kanalizačnej siete</w:t>
            </w:r>
          </w:p>
        </w:tc>
        <w:tc>
          <w:tcPr>
            <w:tcW w:w="2115" w:type="dxa"/>
            <w:tcBorders>
              <w:top w:val="nil"/>
              <w:left w:val="nil"/>
              <w:bottom w:val="single" w:sz="4" w:space="0" w:color="auto"/>
              <w:right w:val="single" w:sz="4" w:space="0" w:color="auto"/>
            </w:tcBorders>
            <w:shd w:val="clear" w:color="auto" w:fill="auto"/>
            <w:vAlign w:val="center"/>
            <w:hideMark/>
          </w:tcPr>
          <w:p w14:paraId="50A54904" w14:textId="77777777" w:rsidR="00D368F6" w:rsidRPr="004874E8" w:rsidRDefault="00D368F6">
            <w:pPr>
              <w:rPr>
                <w:rFonts w:ascii="Arial" w:hAnsi="Arial" w:cs="Arial"/>
                <w:color w:val="000000"/>
                <w:sz w:val="16"/>
                <w:szCs w:val="16"/>
              </w:rPr>
            </w:pPr>
            <w:r w:rsidRPr="004874E8">
              <w:rPr>
                <w:rFonts w:ascii="Arial" w:hAnsi="Arial" w:cs="Arial"/>
                <w:color w:val="000000"/>
                <w:sz w:val="16"/>
                <w:szCs w:val="16"/>
              </w:rPr>
              <w:t>Západoslovenská vodárenská spoločnosť, a.s.</w:t>
            </w:r>
          </w:p>
        </w:tc>
        <w:tc>
          <w:tcPr>
            <w:tcW w:w="1075" w:type="dxa"/>
            <w:tcBorders>
              <w:top w:val="nil"/>
              <w:left w:val="nil"/>
              <w:bottom w:val="single" w:sz="4" w:space="0" w:color="auto"/>
              <w:right w:val="single" w:sz="4" w:space="0" w:color="auto"/>
            </w:tcBorders>
            <w:shd w:val="clear" w:color="auto" w:fill="auto"/>
            <w:vAlign w:val="center"/>
            <w:hideMark/>
          </w:tcPr>
          <w:p w14:paraId="6FEEF97D" w14:textId="77777777" w:rsidR="00D368F6" w:rsidRPr="004874E8" w:rsidRDefault="00D368F6">
            <w:pPr>
              <w:rPr>
                <w:rFonts w:ascii="Arial" w:hAnsi="Arial" w:cs="Arial"/>
                <w:color w:val="000000"/>
                <w:sz w:val="16"/>
                <w:szCs w:val="16"/>
              </w:rPr>
            </w:pPr>
            <w:r w:rsidRPr="004874E8">
              <w:rPr>
                <w:rFonts w:ascii="Arial" w:hAnsi="Arial" w:cs="Arial"/>
                <w:color w:val="000000"/>
                <w:sz w:val="16"/>
                <w:szCs w:val="16"/>
              </w:rPr>
              <w:t>Riadne ukončený</w:t>
            </w:r>
          </w:p>
        </w:tc>
        <w:tc>
          <w:tcPr>
            <w:tcW w:w="1175" w:type="dxa"/>
            <w:tcBorders>
              <w:top w:val="nil"/>
              <w:left w:val="nil"/>
              <w:bottom w:val="single" w:sz="4" w:space="0" w:color="auto"/>
              <w:right w:val="single" w:sz="4" w:space="0" w:color="auto"/>
            </w:tcBorders>
            <w:shd w:val="clear" w:color="auto" w:fill="auto"/>
            <w:vAlign w:val="center"/>
            <w:hideMark/>
          </w:tcPr>
          <w:p w14:paraId="3DE624D9" w14:textId="1D05D1FD" w:rsidR="00D368F6" w:rsidRPr="004874E8" w:rsidRDefault="00D368F6" w:rsidP="009C255E">
            <w:pPr>
              <w:jc w:val="center"/>
              <w:rPr>
                <w:rFonts w:ascii="Arial" w:hAnsi="Arial" w:cs="Arial"/>
                <w:color w:val="000000"/>
                <w:sz w:val="16"/>
                <w:szCs w:val="16"/>
              </w:rPr>
            </w:pPr>
            <w:r w:rsidRPr="004874E8">
              <w:rPr>
                <w:rFonts w:ascii="Arial" w:hAnsi="Arial" w:cs="Arial"/>
                <w:color w:val="000000"/>
                <w:sz w:val="16"/>
                <w:szCs w:val="16"/>
              </w:rPr>
              <w:t xml:space="preserve">8 732 </w:t>
            </w:r>
            <w:r w:rsidR="009C255E">
              <w:rPr>
                <w:rFonts w:ascii="Arial" w:hAnsi="Arial" w:cs="Arial"/>
                <w:color w:val="000000"/>
                <w:sz w:val="16"/>
                <w:szCs w:val="16"/>
              </w:rPr>
              <w:t>050</w:t>
            </w:r>
          </w:p>
        </w:tc>
        <w:tc>
          <w:tcPr>
            <w:tcW w:w="1175" w:type="dxa"/>
            <w:tcBorders>
              <w:top w:val="nil"/>
              <w:left w:val="nil"/>
              <w:bottom w:val="single" w:sz="4" w:space="0" w:color="auto"/>
              <w:right w:val="single" w:sz="4" w:space="0" w:color="auto"/>
            </w:tcBorders>
            <w:shd w:val="clear" w:color="auto" w:fill="auto"/>
            <w:vAlign w:val="center"/>
            <w:hideMark/>
          </w:tcPr>
          <w:p w14:paraId="41207D29" w14:textId="035589F1" w:rsidR="00D368F6" w:rsidRPr="004874E8" w:rsidRDefault="00D368F6" w:rsidP="009C255E">
            <w:pPr>
              <w:jc w:val="center"/>
              <w:rPr>
                <w:rFonts w:ascii="Arial" w:hAnsi="Arial" w:cs="Arial"/>
                <w:color w:val="000000"/>
                <w:sz w:val="16"/>
                <w:szCs w:val="16"/>
              </w:rPr>
            </w:pPr>
            <w:r w:rsidRPr="004874E8">
              <w:rPr>
                <w:rFonts w:ascii="Arial" w:hAnsi="Arial" w:cs="Arial"/>
                <w:color w:val="000000"/>
                <w:sz w:val="16"/>
                <w:szCs w:val="16"/>
              </w:rPr>
              <w:t>1 540 950</w:t>
            </w:r>
          </w:p>
        </w:tc>
        <w:tc>
          <w:tcPr>
            <w:tcW w:w="1175" w:type="dxa"/>
            <w:tcBorders>
              <w:top w:val="nil"/>
              <w:left w:val="nil"/>
              <w:bottom w:val="single" w:sz="4" w:space="0" w:color="auto"/>
              <w:right w:val="single" w:sz="4" w:space="0" w:color="auto"/>
            </w:tcBorders>
            <w:shd w:val="clear" w:color="auto" w:fill="auto"/>
            <w:vAlign w:val="center"/>
            <w:hideMark/>
          </w:tcPr>
          <w:p w14:paraId="166E700E" w14:textId="03998A6B" w:rsidR="00D368F6" w:rsidRPr="004874E8" w:rsidRDefault="00D368F6" w:rsidP="009C255E">
            <w:pPr>
              <w:jc w:val="center"/>
              <w:rPr>
                <w:rFonts w:ascii="Arial" w:hAnsi="Arial" w:cs="Arial"/>
                <w:color w:val="000000"/>
                <w:sz w:val="16"/>
                <w:szCs w:val="16"/>
              </w:rPr>
            </w:pPr>
            <w:r w:rsidRPr="004874E8">
              <w:rPr>
                <w:rFonts w:ascii="Arial" w:hAnsi="Arial" w:cs="Arial"/>
                <w:color w:val="000000"/>
                <w:sz w:val="16"/>
                <w:szCs w:val="16"/>
              </w:rPr>
              <w:t>10 27</w:t>
            </w:r>
            <w:r w:rsidR="009C255E">
              <w:rPr>
                <w:rFonts w:ascii="Arial" w:hAnsi="Arial" w:cs="Arial"/>
                <w:color w:val="000000"/>
                <w:sz w:val="16"/>
                <w:szCs w:val="16"/>
              </w:rPr>
              <w:t>3 000</w:t>
            </w:r>
          </w:p>
        </w:tc>
      </w:tr>
      <w:tr w:rsidR="00D368F6" w:rsidRPr="00E21C60" w14:paraId="15A44538" w14:textId="77777777" w:rsidTr="00123376">
        <w:trPr>
          <w:trHeight w:val="200"/>
        </w:trPr>
        <w:tc>
          <w:tcPr>
            <w:tcW w:w="2365" w:type="dxa"/>
            <w:tcBorders>
              <w:top w:val="nil"/>
              <w:left w:val="single" w:sz="4" w:space="0" w:color="auto"/>
              <w:bottom w:val="single" w:sz="4" w:space="0" w:color="auto"/>
              <w:right w:val="single" w:sz="4" w:space="0" w:color="auto"/>
            </w:tcBorders>
            <w:shd w:val="clear" w:color="000000" w:fill="EAF1DD"/>
            <w:vAlign w:val="center"/>
            <w:hideMark/>
          </w:tcPr>
          <w:p w14:paraId="56E5B559" w14:textId="77777777" w:rsidR="00D368F6" w:rsidRPr="002D5037" w:rsidRDefault="00D368F6">
            <w:pPr>
              <w:rPr>
                <w:rFonts w:ascii="Arial" w:hAnsi="Arial" w:cs="Arial"/>
                <w:color w:val="000000"/>
                <w:sz w:val="16"/>
                <w:szCs w:val="16"/>
              </w:rPr>
            </w:pPr>
            <w:r w:rsidRPr="002D5037">
              <w:rPr>
                <w:rFonts w:ascii="Arial" w:hAnsi="Arial" w:cs="Arial"/>
                <w:color w:val="000000"/>
                <w:sz w:val="16"/>
                <w:szCs w:val="16"/>
              </w:rPr>
              <w:t>Kanalizácia Mestskej časti Košice – Krásna, II. etapa</w:t>
            </w:r>
          </w:p>
        </w:tc>
        <w:tc>
          <w:tcPr>
            <w:tcW w:w="2115" w:type="dxa"/>
            <w:tcBorders>
              <w:top w:val="nil"/>
              <w:left w:val="nil"/>
              <w:bottom w:val="single" w:sz="4" w:space="0" w:color="auto"/>
              <w:right w:val="single" w:sz="4" w:space="0" w:color="auto"/>
            </w:tcBorders>
            <w:shd w:val="clear" w:color="auto" w:fill="auto"/>
            <w:vAlign w:val="center"/>
            <w:hideMark/>
          </w:tcPr>
          <w:p w14:paraId="456AE8C7" w14:textId="77777777" w:rsidR="00D368F6" w:rsidRPr="002D5037" w:rsidRDefault="00D368F6">
            <w:pPr>
              <w:rPr>
                <w:rFonts w:ascii="Arial" w:hAnsi="Arial" w:cs="Arial"/>
                <w:color w:val="000000"/>
                <w:sz w:val="16"/>
                <w:szCs w:val="16"/>
              </w:rPr>
            </w:pPr>
            <w:r w:rsidRPr="002D5037">
              <w:rPr>
                <w:rFonts w:ascii="Arial" w:hAnsi="Arial" w:cs="Arial"/>
                <w:color w:val="000000"/>
                <w:sz w:val="16"/>
                <w:szCs w:val="16"/>
              </w:rPr>
              <w:t>Mestská časť Košice - Krásna</w:t>
            </w:r>
          </w:p>
        </w:tc>
        <w:tc>
          <w:tcPr>
            <w:tcW w:w="1075" w:type="dxa"/>
            <w:tcBorders>
              <w:top w:val="nil"/>
              <w:left w:val="nil"/>
              <w:bottom w:val="single" w:sz="4" w:space="0" w:color="auto"/>
              <w:right w:val="single" w:sz="4" w:space="0" w:color="auto"/>
            </w:tcBorders>
            <w:shd w:val="clear" w:color="auto" w:fill="auto"/>
            <w:vAlign w:val="center"/>
            <w:hideMark/>
          </w:tcPr>
          <w:p w14:paraId="31710524" w14:textId="77777777" w:rsidR="00D368F6" w:rsidRPr="002D5037" w:rsidRDefault="00D368F6">
            <w:pPr>
              <w:rPr>
                <w:rFonts w:ascii="Arial" w:hAnsi="Arial" w:cs="Arial"/>
                <w:color w:val="000000"/>
                <w:sz w:val="16"/>
                <w:szCs w:val="16"/>
              </w:rPr>
            </w:pPr>
            <w:r w:rsidRPr="002D5037">
              <w:rPr>
                <w:rFonts w:ascii="Arial" w:hAnsi="Arial" w:cs="Arial"/>
                <w:color w:val="000000"/>
                <w:sz w:val="16"/>
                <w:szCs w:val="16"/>
              </w:rPr>
              <w:t>Riadne ukončený</w:t>
            </w:r>
          </w:p>
        </w:tc>
        <w:tc>
          <w:tcPr>
            <w:tcW w:w="1175" w:type="dxa"/>
            <w:tcBorders>
              <w:top w:val="nil"/>
              <w:left w:val="nil"/>
              <w:bottom w:val="single" w:sz="4" w:space="0" w:color="auto"/>
              <w:right w:val="single" w:sz="4" w:space="0" w:color="auto"/>
            </w:tcBorders>
            <w:shd w:val="clear" w:color="auto" w:fill="auto"/>
            <w:vAlign w:val="center"/>
            <w:hideMark/>
          </w:tcPr>
          <w:p w14:paraId="57DF10AA" w14:textId="345FD043" w:rsidR="00D368F6" w:rsidRPr="002D5037" w:rsidRDefault="00D368F6" w:rsidP="009C255E">
            <w:pPr>
              <w:jc w:val="center"/>
              <w:rPr>
                <w:rFonts w:ascii="Arial" w:hAnsi="Arial" w:cs="Arial"/>
                <w:color w:val="000000"/>
                <w:sz w:val="16"/>
                <w:szCs w:val="16"/>
              </w:rPr>
            </w:pPr>
            <w:r w:rsidRPr="002D5037">
              <w:rPr>
                <w:rFonts w:ascii="Arial" w:hAnsi="Arial" w:cs="Arial"/>
                <w:color w:val="000000"/>
                <w:sz w:val="16"/>
                <w:szCs w:val="16"/>
              </w:rPr>
              <w:t>916 48</w:t>
            </w:r>
            <w:r w:rsidR="009C255E">
              <w:rPr>
                <w:rFonts w:ascii="Arial" w:hAnsi="Arial" w:cs="Arial"/>
                <w:color w:val="000000"/>
                <w:sz w:val="16"/>
                <w:szCs w:val="16"/>
              </w:rPr>
              <w:t>3</w:t>
            </w:r>
          </w:p>
        </w:tc>
        <w:tc>
          <w:tcPr>
            <w:tcW w:w="1175" w:type="dxa"/>
            <w:tcBorders>
              <w:top w:val="nil"/>
              <w:left w:val="nil"/>
              <w:bottom w:val="single" w:sz="4" w:space="0" w:color="auto"/>
              <w:right w:val="single" w:sz="4" w:space="0" w:color="auto"/>
            </w:tcBorders>
            <w:shd w:val="clear" w:color="auto" w:fill="auto"/>
            <w:vAlign w:val="center"/>
            <w:hideMark/>
          </w:tcPr>
          <w:p w14:paraId="238F3AC0" w14:textId="5AC56651" w:rsidR="00D368F6" w:rsidRPr="002D5037" w:rsidRDefault="00D368F6" w:rsidP="009C255E">
            <w:pPr>
              <w:jc w:val="center"/>
              <w:rPr>
                <w:rFonts w:ascii="Arial" w:hAnsi="Arial" w:cs="Arial"/>
                <w:color w:val="000000"/>
                <w:sz w:val="16"/>
                <w:szCs w:val="16"/>
              </w:rPr>
            </w:pPr>
            <w:r w:rsidRPr="002D5037">
              <w:rPr>
                <w:rFonts w:ascii="Arial" w:hAnsi="Arial" w:cs="Arial"/>
                <w:color w:val="000000"/>
                <w:sz w:val="16"/>
                <w:szCs w:val="16"/>
              </w:rPr>
              <w:t>107 821</w:t>
            </w:r>
          </w:p>
        </w:tc>
        <w:tc>
          <w:tcPr>
            <w:tcW w:w="1175" w:type="dxa"/>
            <w:tcBorders>
              <w:top w:val="nil"/>
              <w:left w:val="nil"/>
              <w:bottom w:val="single" w:sz="4" w:space="0" w:color="auto"/>
              <w:right w:val="single" w:sz="4" w:space="0" w:color="auto"/>
            </w:tcBorders>
            <w:shd w:val="clear" w:color="auto" w:fill="auto"/>
            <w:vAlign w:val="center"/>
            <w:hideMark/>
          </w:tcPr>
          <w:p w14:paraId="48CDAE4B" w14:textId="61F3124E" w:rsidR="00D368F6" w:rsidRPr="002D5037" w:rsidRDefault="00D368F6" w:rsidP="009C255E">
            <w:pPr>
              <w:jc w:val="center"/>
              <w:rPr>
                <w:rFonts w:ascii="Arial" w:hAnsi="Arial" w:cs="Arial"/>
                <w:color w:val="000000"/>
                <w:sz w:val="16"/>
                <w:szCs w:val="16"/>
              </w:rPr>
            </w:pPr>
            <w:r w:rsidRPr="002D5037">
              <w:rPr>
                <w:rFonts w:ascii="Arial" w:hAnsi="Arial" w:cs="Arial"/>
                <w:color w:val="000000"/>
                <w:sz w:val="16"/>
                <w:szCs w:val="16"/>
              </w:rPr>
              <w:t>1 024 304</w:t>
            </w:r>
          </w:p>
        </w:tc>
      </w:tr>
      <w:tr w:rsidR="00D368F6" w:rsidRPr="00E21C60" w14:paraId="1BC93D28" w14:textId="77777777" w:rsidTr="00123376">
        <w:trPr>
          <w:trHeight w:val="249"/>
        </w:trPr>
        <w:tc>
          <w:tcPr>
            <w:tcW w:w="2365" w:type="dxa"/>
            <w:tcBorders>
              <w:top w:val="nil"/>
              <w:left w:val="single" w:sz="4" w:space="0" w:color="auto"/>
              <w:bottom w:val="single" w:sz="4" w:space="0" w:color="auto"/>
              <w:right w:val="single" w:sz="4" w:space="0" w:color="auto"/>
            </w:tcBorders>
            <w:shd w:val="clear" w:color="000000" w:fill="EAF1DD"/>
            <w:vAlign w:val="center"/>
            <w:hideMark/>
          </w:tcPr>
          <w:p w14:paraId="5A00443E" w14:textId="77777777" w:rsidR="00D368F6" w:rsidRPr="00FC3892" w:rsidRDefault="00D368F6">
            <w:pPr>
              <w:rPr>
                <w:rFonts w:ascii="Arial" w:hAnsi="Arial" w:cs="Arial"/>
                <w:color w:val="000000"/>
                <w:sz w:val="16"/>
                <w:szCs w:val="16"/>
              </w:rPr>
            </w:pPr>
            <w:r w:rsidRPr="00FC3892">
              <w:rPr>
                <w:rFonts w:ascii="Arial" w:hAnsi="Arial" w:cs="Arial"/>
                <w:color w:val="000000"/>
                <w:sz w:val="16"/>
                <w:szCs w:val="16"/>
              </w:rPr>
              <w:t>SČOV Žilina - intenzifikácia</w:t>
            </w:r>
          </w:p>
        </w:tc>
        <w:tc>
          <w:tcPr>
            <w:tcW w:w="2115" w:type="dxa"/>
            <w:tcBorders>
              <w:top w:val="nil"/>
              <w:left w:val="nil"/>
              <w:bottom w:val="single" w:sz="4" w:space="0" w:color="auto"/>
              <w:right w:val="single" w:sz="4" w:space="0" w:color="auto"/>
            </w:tcBorders>
            <w:shd w:val="clear" w:color="auto" w:fill="auto"/>
            <w:vAlign w:val="center"/>
            <w:hideMark/>
          </w:tcPr>
          <w:p w14:paraId="5746E2A0" w14:textId="77777777" w:rsidR="00D368F6" w:rsidRPr="00FC3892" w:rsidRDefault="00D368F6">
            <w:pPr>
              <w:rPr>
                <w:rFonts w:ascii="Arial" w:hAnsi="Arial" w:cs="Arial"/>
                <w:color w:val="000000"/>
                <w:sz w:val="16"/>
                <w:szCs w:val="16"/>
              </w:rPr>
            </w:pPr>
            <w:r w:rsidRPr="00FC3892">
              <w:rPr>
                <w:rFonts w:ascii="Arial" w:hAnsi="Arial" w:cs="Arial"/>
                <w:color w:val="000000"/>
                <w:sz w:val="16"/>
                <w:szCs w:val="16"/>
              </w:rPr>
              <w:t>Severoslovenské vodárne a kanalizácie, a.s.</w:t>
            </w:r>
          </w:p>
        </w:tc>
        <w:tc>
          <w:tcPr>
            <w:tcW w:w="1075" w:type="dxa"/>
            <w:tcBorders>
              <w:top w:val="nil"/>
              <w:left w:val="nil"/>
              <w:bottom w:val="single" w:sz="4" w:space="0" w:color="auto"/>
              <w:right w:val="single" w:sz="4" w:space="0" w:color="auto"/>
            </w:tcBorders>
            <w:shd w:val="clear" w:color="auto" w:fill="auto"/>
            <w:vAlign w:val="center"/>
            <w:hideMark/>
          </w:tcPr>
          <w:p w14:paraId="557107BD" w14:textId="29B57ECA" w:rsidR="00D368F6" w:rsidRPr="00FC3892" w:rsidRDefault="006A57B8">
            <w:pPr>
              <w:rPr>
                <w:rFonts w:ascii="Arial" w:hAnsi="Arial" w:cs="Arial"/>
                <w:color w:val="000000"/>
                <w:sz w:val="16"/>
                <w:szCs w:val="16"/>
              </w:rPr>
            </w:pPr>
            <w:r w:rsidRPr="002D5037">
              <w:rPr>
                <w:rFonts w:ascii="Arial" w:hAnsi="Arial" w:cs="Arial"/>
                <w:color w:val="000000"/>
                <w:sz w:val="16"/>
                <w:szCs w:val="16"/>
              </w:rPr>
              <w:t>Riadne ukončený</w:t>
            </w:r>
          </w:p>
        </w:tc>
        <w:tc>
          <w:tcPr>
            <w:tcW w:w="1175" w:type="dxa"/>
            <w:tcBorders>
              <w:top w:val="nil"/>
              <w:left w:val="nil"/>
              <w:bottom w:val="single" w:sz="4" w:space="0" w:color="auto"/>
              <w:right w:val="single" w:sz="4" w:space="0" w:color="auto"/>
            </w:tcBorders>
            <w:shd w:val="clear" w:color="auto" w:fill="auto"/>
            <w:vAlign w:val="center"/>
            <w:hideMark/>
          </w:tcPr>
          <w:p w14:paraId="6C42C1E9" w14:textId="45123538" w:rsidR="00D368F6" w:rsidRPr="00FC3892" w:rsidRDefault="00D368F6" w:rsidP="009C255E">
            <w:pPr>
              <w:jc w:val="center"/>
              <w:rPr>
                <w:rFonts w:ascii="Arial" w:hAnsi="Arial" w:cs="Arial"/>
                <w:color w:val="000000"/>
                <w:sz w:val="16"/>
                <w:szCs w:val="16"/>
              </w:rPr>
            </w:pPr>
            <w:r w:rsidRPr="00FC3892">
              <w:rPr>
                <w:rFonts w:ascii="Arial" w:hAnsi="Arial" w:cs="Arial"/>
                <w:color w:val="000000"/>
                <w:sz w:val="16"/>
                <w:szCs w:val="16"/>
              </w:rPr>
              <w:t>8 514 65</w:t>
            </w:r>
            <w:r w:rsidR="009C255E">
              <w:rPr>
                <w:rFonts w:ascii="Arial" w:hAnsi="Arial" w:cs="Arial"/>
                <w:color w:val="000000"/>
                <w:sz w:val="16"/>
                <w:szCs w:val="16"/>
              </w:rPr>
              <w:t>2</w:t>
            </w:r>
          </w:p>
        </w:tc>
        <w:tc>
          <w:tcPr>
            <w:tcW w:w="1175" w:type="dxa"/>
            <w:tcBorders>
              <w:top w:val="nil"/>
              <w:left w:val="nil"/>
              <w:bottom w:val="single" w:sz="4" w:space="0" w:color="auto"/>
              <w:right w:val="single" w:sz="4" w:space="0" w:color="auto"/>
            </w:tcBorders>
            <w:shd w:val="clear" w:color="auto" w:fill="auto"/>
            <w:vAlign w:val="center"/>
            <w:hideMark/>
          </w:tcPr>
          <w:p w14:paraId="58160932" w14:textId="66907AFC" w:rsidR="00D368F6" w:rsidRPr="00FC3892" w:rsidRDefault="00D368F6" w:rsidP="009C255E">
            <w:pPr>
              <w:jc w:val="center"/>
              <w:rPr>
                <w:rFonts w:ascii="Arial" w:hAnsi="Arial" w:cs="Arial"/>
                <w:color w:val="000000"/>
                <w:sz w:val="16"/>
                <w:szCs w:val="16"/>
              </w:rPr>
            </w:pPr>
            <w:r w:rsidRPr="00FC3892">
              <w:rPr>
                <w:rFonts w:ascii="Arial" w:hAnsi="Arial" w:cs="Arial"/>
                <w:color w:val="000000"/>
                <w:sz w:val="16"/>
                <w:szCs w:val="16"/>
              </w:rPr>
              <w:t>1 502 586</w:t>
            </w:r>
          </w:p>
        </w:tc>
        <w:tc>
          <w:tcPr>
            <w:tcW w:w="1175" w:type="dxa"/>
            <w:tcBorders>
              <w:top w:val="nil"/>
              <w:left w:val="nil"/>
              <w:bottom w:val="single" w:sz="4" w:space="0" w:color="auto"/>
              <w:right w:val="single" w:sz="4" w:space="0" w:color="auto"/>
            </w:tcBorders>
            <w:shd w:val="clear" w:color="auto" w:fill="auto"/>
            <w:vAlign w:val="center"/>
            <w:hideMark/>
          </w:tcPr>
          <w:p w14:paraId="606B9F40" w14:textId="4FCB06FD" w:rsidR="00D368F6" w:rsidRPr="00FC3892" w:rsidRDefault="00D368F6" w:rsidP="009C255E">
            <w:pPr>
              <w:jc w:val="center"/>
              <w:rPr>
                <w:rFonts w:ascii="Arial" w:hAnsi="Arial" w:cs="Arial"/>
                <w:color w:val="000000"/>
                <w:sz w:val="16"/>
                <w:szCs w:val="16"/>
              </w:rPr>
            </w:pPr>
            <w:r w:rsidRPr="00FC3892">
              <w:rPr>
                <w:rFonts w:ascii="Arial" w:hAnsi="Arial" w:cs="Arial"/>
                <w:color w:val="000000"/>
                <w:sz w:val="16"/>
                <w:szCs w:val="16"/>
              </w:rPr>
              <w:t>10 017 237</w:t>
            </w:r>
          </w:p>
        </w:tc>
      </w:tr>
      <w:tr w:rsidR="00D368F6" w:rsidRPr="00E21C60" w14:paraId="6D6D47FC" w14:textId="77777777" w:rsidTr="003D484D">
        <w:trPr>
          <w:trHeight w:val="141"/>
        </w:trPr>
        <w:tc>
          <w:tcPr>
            <w:tcW w:w="2365" w:type="dxa"/>
            <w:tcBorders>
              <w:top w:val="nil"/>
              <w:left w:val="single" w:sz="4" w:space="0" w:color="auto"/>
              <w:bottom w:val="single" w:sz="4" w:space="0" w:color="auto"/>
              <w:right w:val="single" w:sz="4" w:space="0" w:color="auto"/>
            </w:tcBorders>
            <w:shd w:val="clear" w:color="000000" w:fill="EAF1DD"/>
            <w:vAlign w:val="center"/>
            <w:hideMark/>
          </w:tcPr>
          <w:p w14:paraId="123BF862" w14:textId="77777777" w:rsidR="00D368F6" w:rsidRPr="00D711E5" w:rsidRDefault="00D368F6">
            <w:pPr>
              <w:rPr>
                <w:rFonts w:ascii="Arial" w:hAnsi="Arial" w:cs="Arial"/>
                <w:color w:val="000000"/>
                <w:sz w:val="16"/>
                <w:szCs w:val="16"/>
              </w:rPr>
            </w:pPr>
            <w:r w:rsidRPr="00D711E5">
              <w:rPr>
                <w:rFonts w:ascii="Arial" w:hAnsi="Arial" w:cs="Arial"/>
                <w:color w:val="000000"/>
                <w:sz w:val="16"/>
                <w:szCs w:val="16"/>
              </w:rPr>
              <w:t>Výstavba kanalizácie Beňadiková, Liptovský Mikuláš</w:t>
            </w:r>
          </w:p>
        </w:tc>
        <w:tc>
          <w:tcPr>
            <w:tcW w:w="2115" w:type="dxa"/>
            <w:tcBorders>
              <w:top w:val="nil"/>
              <w:left w:val="nil"/>
              <w:bottom w:val="single" w:sz="4" w:space="0" w:color="auto"/>
              <w:right w:val="single" w:sz="4" w:space="0" w:color="auto"/>
            </w:tcBorders>
            <w:shd w:val="clear" w:color="auto" w:fill="auto"/>
            <w:vAlign w:val="center"/>
            <w:hideMark/>
          </w:tcPr>
          <w:p w14:paraId="21B47AB4" w14:textId="77777777" w:rsidR="00D368F6" w:rsidRPr="003D484D" w:rsidRDefault="00D368F6">
            <w:pPr>
              <w:rPr>
                <w:rFonts w:ascii="Arial" w:hAnsi="Arial" w:cs="Arial"/>
                <w:color w:val="000000"/>
                <w:sz w:val="16"/>
                <w:szCs w:val="16"/>
              </w:rPr>
            </w:pPr>
            <w:r w:rsidRPr="003D484D">
              <w:rPr>
                <w:rFonts w:ascii="Arial" w:hAnsi="Arial" w:cs="Arial"/>
                <w:color w:val="000000"/>
                <w:sz w:val="16"/>
                <w:szCs w:val="16"/>
              </w:rPr>
              <w:t>Liptovská vodárenská spoločnosť</w:t>
            </w:r>
          </w:p>
        </w:tc>
        <w:tc>
          <w:tcPr>
            <w:tcW w:w="1075" w:type="dxa"/>
            <w:tcBorders>
              <w:top w:val="nil"/>
              <w:left w:val="nil"/>
              <w:bottom w:val="single" w:sz="4" w:space="0" w:color="auto"/>
              <w:right w:val="single" w:sz="4" w:space="0" w:color="auto"/>
            </w:tcBorders>
            <w:shd w:val="clear" w:color="auto" w:fill="auto"/>
            <w:vAlign w:val="center"/>
            <w:hideMark/>
          </w:tcPr>
          <w:p w14:paraId="23D42096" w14:textId="77777777" w:rsidR="00D368F6" w:rsidRPr="003D484D" w:rsidRDefault="00D368F6">
            <w:pPr>
              <w:rPr>
                <w:rFonts w:ascii="Arial" w:hAnsi="Arial" w:cs="Arial"/>
                <w:color w:val="000000"/>
                <w:sz w:val="16"/>
                <w:szCs w:val="16"/>
              </w:rPr>
            </w:pPr>
            <w:r w:rsidRPr="003D484D">
              <w:rPr>
                <w:rFonts w:ascii="Arial" w:hAnsi="Arial" w:cs="Arial"/>
                <w:color w:val="000000"/>
                <w:sz w:val="16"/>
                <w:szCs w:val="16"/>
              </w:rPr>
              <w:t>Riadne ukončený</w:t>
            </w:r>
          </w:p>
        </w:tc>
        <w:tc>
          <w:tcPr>
            <w:tcW w:w="1175" w:type="dxa"/>
            <w:tcBorders>
              <w:top w:val="nil"/>
              <w:left w:val="nil"/>
              <w:bottom w:val="single" w:sz="4" w:space="0" w:color="auto"/>
              <w:right w:val="single" w:sz="4" w:space="0" w:color="auto"/>
            </w:tcBorders>
            <w:shd w:val="clear" w:color="auto" w:fill="auto"/>
            <w:vAlign w:val="center"/>
            <w:hideMark/>
          </w:tcPr>
          <w:p w14:paraId="1BF2E220" w14:textId="3AD7F1E6" w:rsidR="00D368F6" w:rsidRPr="003D484D" w:rsidRDefault="00D368F6" w:rsidP="009C255E">
            <w:pPr>
              <w:jc w:val="center"/>
              <w:rPr>
                <w:rFonts w:ascii="Arial" w:hAnsi="Arial" w:cs="Arial"/>
                <w:color w:val="000000"/>
                <w:sz w:val="16"/>
                <w:szCs w:val="16"/>
              </w:rPr>
            </w:pPr>
            <w:r w:rsidRPr="003D484D">
              <w:rPr>
                <w:rFonts w:ascii="Arial" w:hAnsi="Arial" w:cs="Arial"/>
                <w:color w:val="000000"/>
                <w:sz w:val="16"/>
                <w:szCs w:val="16"/>
              </w:rPr>
              <w:t>3 893 004</w:t>
            </w:r>
          </w:p>
        </w:tc>
        <w:tc>
          <w:tcPr>
            <w:tcW w:w="1175" w:type="dxa"/>
            <w:tcBorders>
              <w:top w:val="nil"/>
              <w:left w:val="nil"/>
              <w:bottom w:val="single" w:sz="4" w:space="0" w:color="auto"/>
              <w:right w:val="single" w:sz="4" w:space="0" w:color="auto"/>
            </w:tcBorders>
            <w:shd w:val="clear" w:color="auto" w:fill="auto"/>
            <w:vAlign w:val="center"/>
            <w:hideMark/>
          </w:tcPr>
          <w:p w14:paraId="4FD9B1FA" w14:textId="0967E42B" w:rsidR="00D368F6" w:rsidRPr="003D484D" w:rsidRDefault="00D368F6">
            <w:pPr>
              <w:jc w:val="center"/>
              <w:rPr>
                <w:rFonts w:ascii="Arial" w:hAnsi="Arial" w:cs="Arial"/>
                <w:color w:val="000000"/>
                <w:sz w:val="16"/>
                <w:szCs w:val="16"/>
              </w:rPr>
            </w:pPr>
            <w:r w:rsidRPr="003D484D">
              <w:rPr>
                <w:rFonts w:ascii="Arial" w:hAnsi="Arial" w:cs="Arial"/>
                <w:color w:val="000000"/>
                <w:sz w:val="16"/>
                <w:szCs w:val="16"/>
              </w:rPr>
              <w:t>687 00</w:t>
            </w:r>
            <w:r w:rsidR="009C255E">
              <w:rPr>
                <w:rFonts w:ascii="Arial" w:hAnsi="Arial" w:cs="Arial"/>
                <w:color w:val="000000"/>
                <w:sz w:val="16"/>
                <w:szCs w:val="16"/>
              </w:rPr>
              <w:t>1</w:t>
            </w:r>
          </w:p>
        </w:tc>
        <w:tc>
          <w:tcPr>
            <w:tcW w:w="1175" w:type="dxa"/>
            <w:tcBorders>
              <w:top w:val="nil"/>
              <w:left w:val="nil"/>
              <w:bottom w:val="single" w:sz="4" w:space="0" w:color="auto"/>
              <w:right w:val="single" w:sz="4" w:space="0" w:color="auto"/>
            </w:tcBorders>
            <w:shd w:val="clear" w:color="auto" w:fill="auto"/>
            <w:vAlign w:val="center"/>
            <w:hideMark/>
          </w:tcPr>
          <w:p w14:paraId="6D8DA12E" w14:textId="71A8F067" w:rsidR="00D368F6" w:rsidRPr="003D484D" w:rsidRDefault="00D368F6" w:rsidP="009C255E">
            <w:pPr>
              <w:jc w:val="center"/>
              <w:rPr>
                <w:rFonts w:ascii="Arial" w:hAnsi="Arial" w:cs="Arial"/>
                <w:color w:val="000000"/>
                <w:sz w:val="16"/>
                <w:szCs w:val="16"/>
              </w:rPr>
            </w:pPr>
            <w:r w:rsidRPr="003D484D">
              <w:rPr>
                <w:rFonts w:ascii="Arial" w:hAnsi="Arial" w:cs="Arial"/>
                <w:color w:val="000000"/>
                <w:sz w:val="16"/>
                <w:szCs w:val="16"/>
              </w:rPr>
              <w:t>4 580 00</w:t>
            </w:r>
            <w:r w:rsidR="009C255E">
              <w:rPr>
                <w:rFonts w:ascii="Arial" w:hAnsi="Arial" w:cs="Arial"/>
                <w:color w:val="000000"/>
                <w:sz w:val="16"/>
                <w:szCs w:val="16"/>
              </w:rPr>
              <w:t>5</w:t>
            </w:r>
          </w:p>
        </w:tc>
      </w:tr>
    </w:tbl>
    <w:p w14:paraId="146F8C81" w14:textId="77777777" w:rsidR="00214ECF" w:rsidRPr="00123376" w:rsidRDefault="00214ECF" w:rsidP="00123376">
      <w:pPr>
        <w:jc w:val="both"/>
        <w:rPr>
          <w:rFonts w:ascii="Arial" w:hAnsi="Arial" w:cs="Arial"/>
          <w:sz w:val="16"/>
          <w:szCs w:val="16"/>
        </w:rPr>
      </w:pPr>
      <w:r w:rsidRPr="00123376">
        <w:rPr>
          <w:rFonts w:ascii="Arial" w:hAnsi="Arial" w:cs="Arial"/>
          <w:sz w:val="16"/>
          <w:szCs w:val="16"/>
        </w:rPr>
        <w:t>Zdroj: RO</w:t>
      </w:r>
    </w:p>
    <w:p w14:paraId="166DF161" w14:textId="77777777" w:rsidR="00D95870" w:rsidRPr="00E21C60" w:rsidRDefault="00214ECF" w:rsidP="00123376">
      <w:pPr>
        <w:spacing w:before="120" w:after="120"/>
        <w:ind w:left="851" w:hanging="284"/>
        <w:jc w:val="both"/>
        <w:rPr>
          <w:rFonts w:ascii="Arial" w:hAnsi="Arial" w:cs="Arial"/>
          <w:sz w:val="20"/>
          <w:szCs w:val="20"/>
        </w:rPr>
      </w:pPr>
      <w:r w:rsidRPr="002526CC">
        <w:rPr>
          <w:rFonts w:ascii="Arial" w:hAnsi="Arial" w:cs="Arial"/>
          <w:i/>
          <w:sz w:val="20"/>
          <w:szCs w:val="20"/>
        </w:rPr>
        <w:t xml:space="preserve">-  </w:t>
      </w:r>
      <w:r w:rsidR="001B0384" w:rsidRPr="00E21C60">
        <w:rPr>
          <w:rFonts w:ascii="Arial" w:hAnsi="Arial" w:cs="Arial"/>
          <w:i/>
          <w:sz w:val="20"/>
          <w:szCs w:val="20"/>
        </w:rPr>
        <w:t xml:space="preserve">  </w:t>
      </w:r>
      <w:r w:rsidRPr="00E21C60">
        <w:rPr>
          <w:rFonts w:ascii="Arial" w:hAnsi="Arial" w:cs="Arial"/>
          <w:i/>
          <w:sz w:val="20"/>
          <w:szCs w:val="20"/>
        </w:rPr>
        <w:t>operačný cieľ 1.1 Zásobovanie obyvateľstva pitnou vodou z verejných vodovodov</w:t>
      </w:r>
      <w:r w:rsidRPr="00E21C60">
        <w:rPr>
          <w:rFonts w:ascii="Arial" w:hAnsi="Arial" w:cs="Arial"/>
          <w:sz w:val="20"/>
          <w:szCs w:val="20"/>
        </w:rPr>
        <w:t xml:space="preserve"> </w:t>
      </w:r>
    </w:p>
    <w:p w14:paraId="12D1D8C7" w14:textId="5D16B9A4" w:rsidR="00214ECF" w:rsidRPr="00E21C60" w:rsidRDefault="00D95870" w:rsidP="00123376">
      <w:pPr>
        <w:spacing w:before="120" w:after="120"/>
        <w:jc w:val="both"/>
        <w:rPr>
          <w:rFonts w:ascii="Arial" w:hAnsi="Arial" w:cs="Arial"/>
          <w:sz w:val="20"/>
          <w:szCs w:val="20"/>
        </w:rPr>
      </w:pPr>
      <w:r w:rsidRPr="00E21C60">
        <w:rPr>
          <w:rFonts w:ascii="Arial" w:hAnsi="Arial" w:cs="Arial"/>
          <w:sz w:val="20"/>
          <w:szCs w:val="20"/>
        </w:rPr>
        <w:t xml:space="preserve">Vo </w:t>
      </w:r>
      <w:r w:rsidR="00214ECF" w:rsidRPr="00E21C60">
        <w:rPr>
          <w:rFonts w:ascii="Arial" w:hAnsi="Arial" w:cs="Arial"/>
          <w:sz w:val="20"/>
          <w:szCs w:val="20"/>
        </w:rPr>
        <w:t xml:space="preserve">vzťahu k prioritám Dunajskej stratégie </w:t>
      </w:r>
      <w:r w:rsidR="006D100F">
        <w:rPr>
          <w:rFonts w:ascii="Arial" w:hAnsi="Arial" w:cs="Arial"/>
          <w:sz w:val="20"/>
          <w:szCs w:val="20"/>
        </w:rPr>
        <w:t>mal</w:t>
      </w:r>
      <w:r w:rsidR="006D100F" w:rsidRPr="00E21C60">
        <w:rPr>
          <w:rFonts w:ascii="Arial" w:hAnsi="Arial" w:cs="Arial"/>
          <w:sz w:val="20"/>
          <w:szCs w:val="20"/>
        </w:rPr>
        <w:t xml:space="preserve"> </w:t>
      </w:r>
      <w:r w:rsidRPr="00E21C60">
        <w:rPr>
          <w:rFonts w:ascii="Arial" w:hAnsi="Arial" w:cs="Arial"/>
          <w:sz w:val="20"/>
          <w:szCs w:val="20"/>
        </w:rPr>
        <w:t xml:space="preserve">operačný cieľ 1.1 </w:t>
      </w:r>
      <w:r w:rsidR="00214ECF" w:rsidRPr="00E21C60">
        <w:rPr>
          <w:rFonts w:ascii="Arial" w:hAnsi="Arial" w:cs="Arial"/>
          <w:sz w:val="20"/>
          <w:szCs w:val="20"/>
        </w:rPr>
        <w:t xml:space="preserve">iba doplnkový význam, keďže vo viacerých prípadoch súbežne s výstavbou verejnej kanalizácie prebieha aj výstavba verejného vodovodu; </w:t>
      </w:r>
    </w:p>
    <w:p w14:paraId="17760929" w14:textId="77777777" w:rsidR="00214ECF" w:rsidRPr="00E21C60" w:rsidRDefault="00214ECF" w:rsidP="00123376">
      <w:pPr>
        <w:spacing w:before="120" w:after="120"/>
        <w:ind w:left="851" w:hanging="284"/>
        <w:jc w:val="both"/>
        <w:rPr>
          <w:rFonts w:ascii="Arial" w:hAnsi="Arial" w:cs="Arial"/>
          <w:i/>
          <w:sz w:val="20"/>
          <w:szCs w:val="20"/>
        </w:rPr>
      </w:pPr>
      <w:r w:rsidRPr="00E21C60">
        <w:rPr>
          <w:rFonts w:ascii="Arial" w:hAnsi="Arial" w:cs="Arial"/>
          <w:i/>
          <w:sz w:val="20"/>
          <w:szCs w:val="20"/>
        </w:rPr>
        <w:t>-  operačný cieľ 1.3</w:t>
      </w:r>
      <w:r w:rsidRPr="00E21C60">
        <w:rPr>
          <w:rFonts w:ascii="Arial" w:hAnsi="Arial" w:cs="Arial"/>
          <w:sz w:val="20"/>
          <w:szCs w:val="20"/>
        </w:rPr>
        <w:t xml:space="preserve"> </w:t>
      </w:r>
      <w:r w:rsidRPr="00E21C60">
        <w:rPr>
          <w:rFonts w:ascii="Arial" w:hAnsi="Arial" w:cs="Arial"/>
          <w:i/>
          <w:sz w:val="20"/>
          <w:szCs w:val="20"/>
        </w:rPr>
        <w:t>Zabezpečenie primeraného sledovania a hodnotenia stavu povrchových vôd a podzemných vôd</w:t>
      </w:r>
    </w:p>
    <w:p w14:paraId="19BCBB90" w14:textId="124B0F20" w:rsidR="00DE15CF" w:rsidRDefault="00214ECF" w:rsidP="00021D46">
      <w:pPr>
        <w:spacing w:before="120" w:after="120"/>
        <w:jc w:val="both"/>
        <w:rPr>
          <w:rFonts w:ascii="Arial" w:hAnsi="Arial" w:cs="Arial"/>
          <w:sz w:val="20"/>
          <w:szCs w:val="20"/>
        </w:rPr>
      </w:pPr>
      <w:r w:rsidRPr="00E21C60">
        <w:rPr>
          <w:rFonts w:ascii="Arial" w:hAnsi="Arial" w:cs="Arial"/>
          <w:sz w:val="20"/>
          <w:szCs w:val="20"/>
        </w:rPr>
        <w:t>V súvislosti s prioritami Dunajskej stratégie m</w:t>
      </w:r>
      <w:r w:rsidR="006D100F">
        <w:rPr>
          <w:rFonts w:ascii="Arial" w:hAnsi="Arial" w:cs="Arial"/>
          <w:sz w:val="20"/>
          <w:szCs w:val="20"/>
        </w:rPr>
        <w:t>al</w:t>
      </w:r>
      <w:r w:rsidRPr="00E21C60">
        <w:rPr>
          <w:rFonts w:ascii="Arial" w:hAnsi="Arial" w:cs="Arial"/>
          <w:sz w:val="20"/>
          <w:szCs w:val="20"/>
        </w:rPr>
        <w:t xml:space="preserve"> uvedený operačný cieľ dôležitý význam. Jeho hlavným zameraním </w:t>
      </w:r>
      <w:r w:rsidR="006D100F">
        <w:rPr>
          <w:rFonts w:ascii="Arial" w:hAnsi="Arial" w:cs="Arial"/>
          <w:sz w:val="20"/>
          <w:szCs w:val="20"/>
        </w:rPr>
        <w:t>bolo</w:t>
      </w:r>
      <w:r w:rsidRPr="00E21C60">
        <w:rPr>
          <w:rFonts w:ascii="Arial" w:hAnsi="Arial" w:cs="Arial"/>
          <w:sz w:val="20"/>
          <w:szCs w:val="20"/>
        </w:rPr>
        <w:t xml:space="preserve"> zabezpečenie plnenia povinností vyplývajúcich pre SR zo smernice 2000/60/ES </w:t>
      </w:r>
      <w:r w:rsidR="00604928">
        <w:rPr>
          <w:rFonts w:ascii="Arial" w:hAnsi="Arial" w:cs="Arial"/>
          <w:sz w:val="20"/>
          <w:szCs w:val="20"/>
        </w:rPr>
        <w:t>EP</w:t>
      </w:r>
      <w:r w:rsidRPr="00E21C60">
        <w:rPr>
          <w:rFonts w:ascii="Arial" w:hAnsi="Arial" w:cs="Arial"/>
          <w:sz w:val="20"/>
          <w:szCs w:val="20"/>
        </w:rPr>
        <w:t xml:space="preserve"> a Rady z 23.</w:t>
      </w:r>
      <w:r w:rsidR="00FC267B" w:rsidRPr="00E21C60">
        <w:rPr>
          <w:rFonts w:ascii="Arial" w:hAnsi="Arial" w:cs="Arial"/>
          <w:sz w:val="20"/>
          <w:szCs w:val="20"/>
        </w:rPr>
        <w:t>10.</w:t>
      </w:r>
      <w:r w:rsidRPr="00E21C60">
        <w:rPr>
          <w:rFonts w:ascii="Arial" w:hAnsi="Arial" w:cs="Arial"/>
          <w:sz w:val="20"/>
          <w:szCs w:val="20"/>
        </w:rPr>
        <w:t>2000, ktorou sa stanovuje rámec pôsobnosti pre opatrenia spoločenstva v oblasti vodného hospodárstva (rámcová smernica o vodách) v oblasti monitorovania. Monitorovanie stavu povrchovej vody a podzemnej vody sa realiz</w:t>
      </w:r>
      <w:r w:rsidR="006D100F">
        <w:rPr>
          <w:rFonts w:ascii="Arial" w:hAnsi="Arial" w:cs="Arial"/>
          <w:sz w:val="20"/>
          <w:szCs w:val="20"/>
        </w:rPr>
        <w:t>ovalo</w:t>
      </w:r>
      <w:r w:rsidRPr="00E21C60">
        <w:rPr>
          <w:rFonts w:ascii="Arial" w:hAnsi="Arial" w:cs="Arial"/>
          <w:sz w:val="20"/>
          <w:szCs w:val="20"/>
        </w:rPr>
        <w:t xml:space="preserve"> na základe ročných programov monitorovania, </w:t>
      </w:r>
      <w:r w:rsidR="00B96E13">
        <w:rPr>
          <w:rFonts w:ascii="Arial" w:hAnsi="Arial" w:cs="Arial"/>
          <w:sz w:val="20"/>
          <w:szCs w:val="20"/>
        </w:rPr>
        <w:br/>
      </w:r>
      <w:r w:rsidRPr="00E21C60">
        <w:rPr>
          <w:rFonts w:ascii="Arial" w:hAnsi="Arial" w:cs="Arial"/>
          <w:sz w:val="20"/>
          <w:szCs w:val="20"/>
        </w:rPr>
        <w:t xml:space="preserve">v ktorých sa upresňujú monitorovacie miesta, rozsah a frekvencia sledovania ukazovateľov. </w:t>
      </w:r>
    </w:p>
    <w:p w14:paraId="069D1CEF" w14:textId="548E3C39" w:rsidR="00214ECF" w:rsidRPr="00E21C60" w:rsidRDefault="00214ECF" w:rsidP="00123376">
      <w:pPr>
        <w:jc w:val="both"/>
        <w:rPr>
          <w:rFonts w:ascii="Arial" w:hAnsi="Arial" w:cs="Arial"/>
          <w:sz w:val="20"/>
          <w:szCs w:val="20"/>
        </w:rPr>
      </w:pPr>
      <w:r w:rsidRPr="00E21C60">
        <w:rPr>
          <w:rFonts w:ascii="Arial" w:hAnsi="Arial" w:cs="Arial"/>
          <w:sz w:val="20"/>
          <w:szCs w:val="20"/>
        </w:rPr>
        <w:t>Tab</w:t>
      </w:r>
      <w:r w:rsidR="00D95870" w:rsidRPr="00E21C60">
        <w:rPr>
          <w:rFonts w:ascii="Arial" w:hAnsi="Arial" w:cs="Arial"/>
          <w:sz w:val="20"/>
          <w:szCs w:val="20"/>
        </w:rPr>
        <w:t>uľka</w:t>
      </w:r>
      <w:r w:rsidRPr="00E21C60">
        <w:rPr>
          <w:rFonts w:ascii="Arial" w:hAnsi="Arial" w:cs="Arial"/>
          <w:sz w:val="20"/>
          <w:szCs w:val="20"/>
        </w:rPr>
        <w:t xml:space="preserve"> č. </w:t>
      </w:r>
      <w:r w:rsidR="00A75220" w:rsidRPr="002526CC">
        <w:rPr>
          <w:rFonts w:ascii="Arial" w:hAnsi="Arial" w:cs="Arial"/>
          <w:sz w:val="20"/>
          <w:szCs w:val="20"/>
        </w:rPr>
        <w:t>2</w:t>
      </w:r>
      <w:r w:rsidR="007B1CB9">
        <w:rPr>
          <w:rFonts w:ascii="Arial" w:hAnsi="Arial" w:cs="Arial"/>
          <w:sz w:val="20"/>
          <w:szCs w:val="20"/>
        </w:rPr>
        <w:t>7</w:t>
      </w:r>
      <w:r w:rsidRPr="00E21C60">
        <w:rPr>
          <w:rFonts w:ascii="Arial" w:hAnsi="Arial" w:cs="Arial"/>
          <w:sz w:val="20"/>
          <w:szCs w:val="20"/>
        </w:rPr>
        <w:t>: Príklady projektov</w:t>
      </w:r>
    </w:p>
    <w:tbl>
      <w:tblPr>
        <w:tblW w:w="9080" w:type="dxa"/>
        <w:tblInd w:w="55" w:type="dxa"/>
        <w:tblCellMar>
          <w:left w:w="70" w:type="dxa"/>
          <w:right w:w="70" w:type="dxa"/>
        </w:tblCellMar>
        <w:tblLook w:val="04A0" w:firstRow="1" w:lastRow="0" w:firstColumn="1" w:lastColumn="0" w:noHBand="0" w:noVBand="1"/>
      </w:tblPr>
      <w:tblGrid>
        <w:gridCol w:w="2367"/>
        <w:gridCol w:w="2113"/>
        <w:gridCol w:w="1075"/>
        <w:gridCol w:w="1175"/>
        <w:gridCol w:w="1175"/>
        <w:gridCol w:w="1175"/>
      </w:tblGrid>
      <w:tr w:rsidR="00D368F6" w:rsidRPr="00E21C60" w14:paraId="14209E22" w14:textId="77777777" w:rsidTr="007D7B08">
        <w:trPr>
          <w:trHeight w:val="225"/>
        </w:trPr>
        <w:tc>
          <w:tcPr>
            <w:tcW w:w="2367"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46BB744"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Názov projektu</w:t>
            </w:r>
          </w:p>
        </w:tc>
        <w:tc>
          <w:tcPr>
            <w:tcW w:w="2113" w:type="dxa"/>
            <w:vMerge w:val="restart"/>
            <w:tcBorders>
              <w:top w:val="single" w:sz="4" w:space="0" w:color="auto"/>
              <w:left w:val="single" w:sz="4" w:space="0" w:color="auto"/>
              <w:bottom w:val="single" w:sz="4" w:space="0" w:color="000000"/>
              <w:right w:val="single" w:sz="4" w:space="0" w:color="auto"/>
            </w:tcBorders>
            <w:shd w:val="clear" w:color="auto" w:fill="C2D69B" w:themeFill="accent3" w:themeFillTint="99"/>
            <w:vAlign w:val="center"/>
            <w:hideMark/>
          </w:tcPr>
          <w:p w14:paraId="43629F9E"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Žiadateľ</w:t>
            </w:r>
          </w:p>
        </w:tc>
        <w:tc>
          <w:tcPr>
            <w:tcW w:w="10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9924A2A" w14:textId="1F75322B" w:rsidR="00D368F6" w:rsidRPr="00E21C60" w:rsidRDefault="00D368F6" w:rsidP="006A57B8">
            <w:pPr>
              <w:jc w:val="center"/>
              <w:rPr>
                <w:rFonts w:ascii="Arial" w:hAnsi="Arial" w:cs="Arial"/>
                <w:b/>
                <w:bCs/>
                <w:color w:val="000000"/>
                <w:sz w:val="16"/>
                <w:szCs w:val="16"/>
              </w:rPr>
            </w:pPr>
            <w:r w:rsidRPr="00E21C60">
              <w:rPr>
                <w:rFonts w:ascii="Arial" w:hAnsi="Arial" w:cs="Arial"/>
                <w:b/>
                <w:bCs/>
                <w:color w:val="000000"/>
                <w:sz w:val="16"/>
                <w:szCs w:val="16"/>
              </w:rPr>
              <w:t>Stav</w:t>
            </w:r>
            <w:r w:rsidRPr="00E21C60">
              <w:rPr>
                <w:rFonts w:ascii="Arial" w:hAnsi="Arial" w:cs="Arial"/>
                <w:b/>
                <w:bCs/>
                <w:color w:val="000000"/>
                <w:sz w:val="16"/>
                <w:szCs w:val="16"/>
              </w:rPr>
              <w:br/>
              <w:t>k 31.1</w:t>
            </w:r>
            <w:r w:rsidR="006A57B8">
              <w:rPr>
                <w:rFonts w:ascii="Arial" w:hAnsi="Arial" w:cs="Arial"/>
                <w:b/>
                <w:bCs/>
                <w:color w:val="000000"/>
                <w:sz w:val="16"/>
                <w:szCs w:val="16"/>
              </w:rPr>
              <w:t>0</w:t>
            </w:r>
            <w:r w:rsidRPr="00E21C60">
              <w:rPr>
                <w:rFonts w:ascii="Arial" w:hAnsi="Arial" w:cs="Arial"/>
                <w:b/>
                <w:bCs/>
                <w:color w:val="000000"/>
                <w:sz w:val="16"/>
                <w:szCs w:val="16"/>
              </w:rPr>
              <w:t>.201</w:t>
            </w:r>
            <w:r w:rsidR="006A57B8">
              <w:rPr>
                <w:rFonts w:ascii="Arial" w:hAnsi="Arial" w:cs="Arial"/>
                <w:b/>
                <w:bCs/>
                <w:color w:val="000000"/>
                <w:sz w:val="16"/>
                <w:szCs w:val="16"/>
              </w:rPr>
              <w:t>6</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C33F7F6"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EÚ) v €</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0BC75E1"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ŠR) v €</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9030697"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(EÚ + ŠR) v €</w:t>
            </w:r>
          </w:p>
        </w:tc>
      </w:tr>
      <w:tr w:rsidR="00D368F6" w:rsidRPr="00E21C60" w14:paraId="180AB3DA" w14:textId="77777777" w:rsidTr="007D7B08">
        <w:trPr>
          <w:trHeight w:val="225"/>
        </w:trPr>
        <w:tc>
          <w:tcPr>
            <w:tcW w:w="2367"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25F3892" w14:textId="77777777" w:rsidR="00D368F6" w:rsidRPr="00E21C60" w:rsidRDefault="00D368F6">
            <w:pPr>
              <w:rPr>
                <w:rFonts w:ascii="Arial" w:hAnsi="Arial" w:cs="Arial"/>
                <w:b/>
                <w:bCs/>
                <w:color w:val="000000"/>
                <w:sz w:val="16"/>
                <w:szCs w:val="16"/>
              </w:rPr>
            </w:pPr>
          </w:p>
        </w:tc>
        <w:tc>
          <w:tcPr>
            <w:tcW w:w="2113" w:type="dxa"/>
            <w:vMerge/>
            <w:tcBorders>
              <w:top w:val="single" w:sz="4" w:space="0" w:color="auto"/>
              <w:left w:val="single" w:sz="4" w:space="0" w:color="auto"/>
              <w:bottom w:val="single" w:sz="4" w:space="0" w:color="000000"/>
              <w:right w:val="single" w:sz="4" w:space="0" w:color="auto"/>
            </w:tcBorders>
            <w:shd w:val="clear" w:color="auto" w:fill="C2D69B" w:themeFill="accent3" w:themeFillTint="99"/>
            <w:vAlign w:val="center"/>
            <w:hideMark/>
          </w:tcPr>
          <w:p w14:paraId="5A0A180C" w14:textId="77777777" w:rsidR="00D368F6" w:rsidRPr="00E21C60" w:rsidRDefault="00D368F6">
            <w:pPr>
              <w:rPr>
                <w:rFonts w:ascii="Arial" w:hAnsi="Arial" w:cs="Arial"/>
                <w:b/>
                <w:bCs/>
                <w:color w:val="000000"/>
                <w:sz w:val="16"/>
                <w:szCs w:val="16"/>
              </w:rPr>
            </w:pPr>
          </w:p>
        </w:tc>
        <w:tc>
          <w:tcPr>
            <w:tcW w:w="10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0496A7C" w14:textId="77777777" w:rsidR="00D368F6" w:rsidRPr="00E21C60" w:rsidRDefault="00D368F6">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B8706FE" w14:textId="77777777" w:rsidR="00D368F6" w:rsidRPr="00E21C60" w:rsidRDefault="00D368F6">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623FFFC" w14:textId="77777777" w:rsidR="00D368F6" w:rsidRPr="00E21C60" w:rsidRDefault="00D368F6">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E204BD9" w14:textId="77777777" w:rsidR="00D368F6" w:rsidRPr="00E21C60" w:rsidRDefault="00D368F6">
            <w:pPr>
              <w:rPr>
                <w:rFonts w:ascii="Arial" w:hAnsi="Arial" w:cs="Arial"/>
                <w:b/>
                <w:bCs/>
                <w:color w:val="000000"/>
                <w:sz w:val="16"/>
                <w:szCs w:val="16"/>
              </w:rPr>
            </w:pPr>
          </w:p>
        </w:tc>
      </w:tr>
      <w:tr w:rsidR="00D368F6" w:rsidRPr="00E21C60" w14:paraId="63169A2B" w14:textId="77777777" w:rsidTr="006B3ADD">
        <w:trPr>
          <w:trHeight w:val="688"/>
        </w:trPr>
        <w:tc>
          <w:tcPr>
            <w:tcW w:w="2367" w:type="dxa"/>
            <w:tcBorders>
              <w:top w:val="nil"/>
              <w:left w:val="single" w:sz="4" w:space="0" w:color="auto"/>
              <w:bottom w:val="single" w:sz="4" w:space="0" w:color="auto"/>
              <w:right w:val="single" w:sz="4" w:space="0" w:color="auto"/>
            </w:tcBorders>
            <w:shd w:val="clear" w:color="000000" w:fill="EAF1DD"/>
            <w:vAlign w:val="center"/>
            <w:hideMark/>
          </w:tcPr>
          <w:p w14:paraId="7D8B7E67" w14:textId="77777777" w:rsidR="00D368F6" w:rsidRPr="004E1EC7" w:rsidRDefault="00D368F6">
            <w:pPr>
              <w:rPr>
                <w:rFonts w:ascii="Arial" w:hAnsi="Arial" w:cs="Arial"/>
                <w:color w:val="000000"/>
                <w:sz w:val="16"/>
                <w:szCs w:val="16"/>
              </w:rPr>
            </w:pPr>
            <w:r w:rsidRPr="0050049B">
              <w:rPr>
                <w:rFonts w:ascii="Arial" w:hAnsi="Arial" w:cs="Arial"/>
                <w:color w:val="000000"/>
                <w:sz w:val="16"/>
                <w:szCs w:val="16"/>
              </w:rPr>
              <w:t>Monitorovanie fyzikálno-chemických a biologických prvkov kvality povrch vôd – 2009, 2010</w:t>
            </w:r>
          </w:p>
        </w:tc>
        <w:tc>
          <w:tcPr>
            <w:tcW w:w="2113" w:type="dxa"/>
            <w:tcBorders>
              <w:top w:val="nil"/>
              <w:left w:val="nil"/>
              <w:bottom w:val="single" w:sz="4" w:space="0" w:color="auto"/>
              <w:right w:val="single" w:sz="4" w:space="0" w:color="auto"/>
            </w:tcBorders>
            <w:shd w:val="clear" w:color="auto" w:fill="auto"/>
            <w:vAlign w:val="center"/>
            <w:hideMark/>
          </w:tcPr>
          <w:p w14:paraId="6B7D3B03" w14:textId="77777777" w:rsidR="00DA58CC" w:rsidRPr="004903DF" w:rsidRDefault="00DA58CC">
            <w:pPr>
              <w:rPr>
                <w:rFonts w:ascii="Arial" w:hAnsi="Arial" w:cs="Arial"/>
                <w:color w:val="000000"/>
                <w:sz w:val="16"/>
                <w:szCs w:val="16"/>
              </w:rPr>
            </w:pPr>
            <w:r w:rsidRPr="004903DF">
              <w:rPr>
                <w:rFonts w:ascii="Arial" w:hAnsi="Arial" w:cs="Arial"/>
                <w:color w:val="000000"/>
                <w:sz w:val="16"/>
                <w:szCs w:val="16"/>
              </w:rPr>
              <w:t>Slovenský vodohospodársky</w:t>
            </w:r>
          </w:p>
          <w:p w14:paraId="3E4DDD33" w14:textId="77777777" w:rsidR="00D368F6" w:rsidRPr="0050049B" w:rsidRDefault="00D368F6">
            <w:pPr>
              <w:rPr>
                <w:rFonts w:ascii="Arial" w:hAnsi="Arial" w:cs="Arial"/>
                <w:color w:val="000000"/>
                <w:sz w:val="16"/>
                <w:szCs w:val="16"/>
              </w:rPr>
            </w:pPr>
            <w:r w:rsidRPr="0050049B">
              <w:rPr>
                <w:rFonts w:ascii="Arial" w:hAnsi="Arial" w:cs="Arial"/>
                <w:color w:val="000000"/>
                <w:sz w:val="16"/>
                <w:szCs w:val="16"/>
              </w:rPr>
              <w:t>podnik, š.p.</w:t>
            </w:r>
          </w:p>
        </w:tc>
        <w:tc>
          <w:tcPr>
            <w:tcW w:w="1075" w:type="dxa"/>
            <w:tcBorders>
              <w:top w:val="nil"/>
              <w:left w:val="nil"/>
              <w:bottom w:val="single" w:sz="4" w:space="0" w:color="auto"/>
              <w:right w:val="single" w:sz="4" w:space="0" w:color="auto"/>
            </w:tcBorders>
            <w:shd w:val="clear" w:color="auto" w:fill="auto"/>
            <w:vAlign w:val="center"/>
            <w:hideMark/>
          </w:tcPr>
          <w:p w14:paraId="4C2BB1C9" w14:textId="77777777" w:rsidR="00D368F6" w:rsidRPr="0050049B" w:rsidRDefault="00D368F6">
            <w:pPr>
              <w:rPr>
                <w:rFonts w:ascii="Arial" w:hAnsi="Arial" w:cs="Arial"/>
                <w:color w:val="000000"/>
                <w:sz w:val="16"/>
                <w:szCs w:val="16"/>
              </w:rPr>
            </w:pPr>
            <w:r w:rsidRPr="0050049B">
              <w:rPr>
                <w:rFonts w:ascii="Arial" w:hAnsi="Arial" w:cs="Arial"/>
                <w:color w:val="000000"/>
                <w:sz w:val="16"/>
                <w:szCs w:val="16"/>
              </w:rPr>
              <w:t>Riadne ukončený</w:t>
            </w:r>
          </w:p>
        </w:tc>
        <w:tc>
          <w:tcPr>
            <w:tcW w:w="1175" w:type="dxa"/>
            <w:tcBorders>
              <w:top w:val="nil"/>
              <w:left w:val="nil"/>
              <w:bottom w:val="single" w:sz="4" w:space="0" w:color="auto"/>
              <w:right w:val="single" w:sz="4" w:space="0" w:color="auto"/>
            </w:tcBorders>
            <w:shd w:val="clear" w:color="auto" w:fill="auto"/>
            <w:vAlign w:val="center"/>
            <w:hideMark/>
          </w:tcPr>
          <w:p w14:paraId="43505811" w14:textId="791B94C1" w:rsidR="00D368F6" w:rsidRPr="0050049B" w:rsidRDefault="00D368F6" w:rsidP="009C255E">
            <w:pPr>
              <w:jc w:val="center"/>
              <w:rPr>
                <w:rFonts w:ascii="Arial" w:hAnsi="Arial" w:cs="Arial"/>
                <w:color w:val="000000"/>
                <w:sz w:val="16"/>
                <w:szCs w:val="16"/>
              </w:rPr>
            </w:pPr>
            <w:r w:rsidRPr="0050049B">
              <w:rPr>
                <w:rFonts w:ascii="Arial" w:hAnsi="Arial" w:cs="Arial"/>
                <w:color w:val="000000"/>
                <w:sz w:val="16"/>
                <w:szCs w:val="16"/>
              </w:rPr>
              <w:t xml:space="preserve">2 763 </w:t>
            </w:r>
            <w:r w:rsidR="009C255E">
              <w:rPr>
                <w:rFonts w:ascii="Arial" w:hAnsi="Arial" w:cs="Arial"/>
                <w:color w:val="000000"/>
                <w:sz w:val="16"/>
                <w:szCs w:val="16"/>
              </w:rPr>
              <w:t>650</w:t>
            </w:r>
          </w:p>
        </w:tc>
        <w:tc>
          <w:tcPr>
            <w:tcW w:w="1175" w:type="dxa"/>
            <w:tcBorders>
              <w:top w:val="nil"/>
              <w:left w:val="nil"/>
              <w:bottom w:val="single" w:sz="4" w:space="0" w:color="auto"/>
              <w:right w:val="single" w:sz="4" w:space="0" w:color="auto"/>
            </w:tcBorders>
            <w:shd w:val="clear" w:color="auto" w:fill="auto"/>
            <w:vAlign w:val="center"/>
            <w:hideMark/>
          </w:tcPr>
          <w:p w14:paraId="7C4F5B2A" w14:textId="32269B56" w:rsidR="00D368F6" w:rsidRPr="0050049B" w:rsidRDefault="00D368F6" w:rsidP="00E91CEC">
            <w:pPr>
              <w:jc w:val="center"/>
              <w:rPr>
                <w:rFonts w:ascii="Arial" w:hAnsi="Arial" w:cs="Arial"/>
                <w:color w:val="000000"/>
                <w:sz w:val="16"/>
                <w:szCs w:val="16"/>
              </w:rPr>
            </w:pPr>
            <w:r w:rsidRPr="0050049B">
              <w:rPr>
                <w:rFonts w:ascii="Arial" w:hAnsi="Arial" w:cs="Arial"/>
                <w:color w:val="000000"/>
                <w:sz w:val="16"/>
                <w:szCs w:val="16"/>
              </w:rPr>
              <w:t>487 703</w:t>
            </w:r>
          </w:p>
        </w:tc>
        <w:tc>
          <w:tcPr>
            <w:tcW w:w="1175" w:type="dxa"/>
            <w:tcBorders>
              <w:top w:val="nil"/>
              <w:left w:val="nil"/>
              <w:bottom w:val="single" w:sz="4" w:space="0" w:color="auto"/>
              <w:right w:val="single" w:sz="4" w:space="0" w:color="auto"/>
            </w:tcBorders>
            <w:shd w:val="clear" w:color="auto" w:fill="auto"/>
            <w:vAlign w:val="center"/>
            <w:hideMark/>
          </w:tcPr>
          <w:p w14:paraId="0B69560B" w14:textId="0E220963" w:rsidR="00D368F6" w:rsidRPr="0050049B" w:rsidRDefault="00D368F6" w:rsidP="00E91CEC">
            <w:pPr>
              <w:jc w:val="center"/>
              <w:rPr>
                <w:rFonts w:ascii="Arial" w:hAnsi="Arial" w:cs="Arial"/>
                <w:color w:val="000000"/>
                <w:sz w:val="16"/>
                <w:szCs w:val="16"/>
              </w:rPr>
            </w:pPr>
            <w:r w:rsidRPr="0050049B">
              <w:rPr>
                <w:rFonts w:ascii="Arial" w:hAnsi="Arial" w:cs="Arial"/>
                <w:color w:val="000000"/>
                <w:sz w:val="16"/>
                <w:szCs w:val="16"/>
              </w:rPr>
              <w:t>3 251 35</w:t>
            </w:r>
            <w:r w:rsidR="00E91CEC">
              <w:rPr>
                <w:rFonts w:ascii="Arial" w:hAnsi="Arial" w:cs="Arial"/>
                <w:color w:val="000000"/>
                <w:sz w:val="16"/>
                <w:szCs w:val="16"/>
              </w:rPr>
              <w:t>3</w:t>
            </w:r>
          </w:p>
        </w:tc>
      </w:tr>
      <w:tr w:rsidR="00D368F6" w:rsidRPr="00E21C60" w14:paraId="25DE1A16" w14:textId="77777777" w:rsidTr="006B3ADD">
        <w:trPr>
          <w:trHeight w:val="452"/>
        </w:trPr>
        <w:tc>
          <w:tcPr>
            <w:tcW w:w="2367" w:type="dxa"/>
            <w:tcBorders>
              <w:top w:val="single" w:sz="4" w:space="0" w:color="auto"/>
              <w:left w:val="single" w:sz="4" w:space="0" w:color="auto"/>
              <w:bottom w:val="single" w:sz="4" w:space="0" w:color="auto"/>
              <w:right w:val="single" w:sz="4" w:space="0" w:color="auto"/>
            </w:tcBorders>
            <w:shd w:val="clear" w:color="000000" w:fill="EAF1DD"/>
            <w:vAlign w:val="center"/>
            <w:hideMark/>
          </w:tcPr>
          <w:p w14:paraId="752549F8" w14:textId="77777777" w:rsidR="00D368F6" w:rsidRPr="0050049B" w:rsidRDefault="00D368F6">
            <w:pPr>
              <w:rPr>
                <w:rFonts w:ascii="Arial" w:hAnsi="Arial" w:cs="Arial"/>
                <w:color w:val="000000"/>
                <w:sz w:val="16"/>
                <w:szCs w:val="16"/>
              </w:rPr>
            </w:pPr>
            <w:r w:rsidRPr="0050049B">
              <w:rPr>
                <w:rFonts w:ascii="Arial" w:hAnsi="Arial" w:cs="Arial"/>
                <w:color w:val="000000"/>
                <w:sz w:val="16"/>
                <w:szCs w:val="16"/>
              </w:rPr>
              <w:t>Monitorovanie kvality podzemných vôd SR</w:t>
            </w:r>
          </w:p>
        </w:tc>
        <w:tc>
          <w:tcPr>
            <w:tcW w:w="2113" w:type="dxa"/>
            <w:tcBorders>
              <w:top w:val="single" w:sz="4" w:space="0" w:color="auto"/>
              <w:left w:val="nil"/>
              <w:bottom w:val="single" w:sz="4" w:space="0" w:color="auto"/>
              <w:right w:val="single" w:sz="4" w:space="0" w:color="auto"/>
            </w:tcBorders>
            <w:shd w:val="clear" w:color="auto" w:fill="auto"/>
            <w:vAlign w:val="center"/>
            <w:hideMark/>
          </w:tcPr>
          <w:p w14:paraId="3293B3F1" w14:textId="77777777" w:rsidR="00D368F6" w:rsidRPr="004903DF" w:rsidRDefault="00D368F6">
            <w:pPr>
              <w:rPr>
                <w:rFonts w:ascii="Arial" w:hAnsi="Arial" w:cs="Arial"/>
                <w:color w:val="000000"/>
                <w:sz w:val="16"/>
                <w:szCs w:val="16"/>
              </w:rPr>
            </w:pPr>
            <w:r w:rsidRPr="004E1EC7">
              <w:rPr>
                <w:rFonts w:ascii="Arial" w:hAnsi="Arial" w:cs="Arial"/>
                <w:color w:val="000000"/>
                <w:sz w:val="16"/>
                <w:szCs w:val="16"/>
              </w:rPr>
              <w:t>Štátny geologický ústav Dionýza Štúra</w:t>
            </w:r>
          </w:p>
        </w:tc>
        <w:tc>
          <w:tcPr>
            <w:tcW w:w="1075" w:type="dxa"/>
            <w:tcBorders>
              <w:top w:val="single" w:sz="4" w:space="0" w:color="auto"/>
              <w:left w:val="nil"/>
              <w:bottom w:val="single" w:sz="4" w:space="0" w:color="auto"/>
              <w:right w:val="single" w:sz="4" w:space="0" w:color="auto"/>
            </w:tcBorders>
            <w:shd w:val="clear" w:color="auto" w:fill="auto"/>
            <w:vAlign w:val="center"/>
            <w:hideMark/>
          </w:tcPr>
          <w:p w14:paraId="676B0056" w14:textId="77777777" w:rsidR="00D368F6" w:rsidRPr="0050049B" w:rsidRDefault="00D368F6">
            <w:pPr>
              <w:rPr>
                <w:rFonts w:ascii="Arial" w:hAnsi="Arial" w:cs="Arial"/>
                <w:color w:val="000000"/>
                <w:sz w:val="16"/>
                <w:szCs w:val="16"/>
              </w:rPr>
            </w:pPr>
            <w:r w:rsidRPr="0050049B">
              <w:rPr>
                <w:rFonts w:ascii="Arial" w:hAnsi="Arial" w:cs="Arial"/>
                <w:color w:val="000000"/>
                <w:sz w:val="16"/>
                <w:szCs w:val="16"/>
              </w:rPr>
              <w:t>Riadne ukončený</w:t>
            </w:r>
          </w:p>
        </w:tc>
        <w:tc>
          <w:tcPr>
            <w:tcW w:w="1175" w:type="dxa"/>
            <w:tcBorders>
              <w:top w:val="single" w:sz="4" w:space="0" w:color="auto"/>
              <w:left w:val="nil"/>
              <w:bottom w:val="single" w:sz="4" w:space="0" w:color="auto"/>
              <w:right w:val="single" w:sz="4" w:space="0" w:color="auto"/>
            </w:tcBorders>
            <w:shd w:val="clear" w:color="auto" w:fill="auto"/>
            <w:vAlign w:val="center"/>
            <w:hideMark/>
          </w:tcPr>
          <w:p w14:paraId="0EF8D0A4" w14:textId="4ACED7F5" w:rsidR="00D368F6" w:rsidRPr="0050049B" w:rsidRDefault="00D368F6" w:rsidP="009C255E">
            <w:pPr>
              <w:jc w:val="center"/>
              <w:rPr>
                <w:rFonts w:ascii="Arial" w:hAnsi="Arial" w:cs="Arial"/>
                <w:color w:val="000000"/>
                <w:sz w:val="16"/>
                <w:szCs w:val="16"/>
              </w:rPr>
            </w:pPr>
            <w:r w:rsidRPr="0050049B">
              <w:rPr>
                <w:rFonts w:ascii="Arial" w:hAnsi="Arial" w:cs="Arial"/>
                <w:color w:val="000000"/>
                <w:sz w:val="16"/>
                <w:szCs w:val="16"/>
              </w:rPr>
              <w:t>1 105 80</w:t>
            </w:r>
            <w:r w:rsidR="009C255E">
              <w:rPr>
                <w:rFonts w:ascii="Arial" w:hAnsi="Arial" w:cs="Arial"/>
                <w:color w:val="000000"/>
                <w:sz w:val="16"/>
                <w:szCs w:val="16"/>
              </w:rPr>
              <w:t>8</w:t>
            </w:r>
          </w:p>
        </w:tc>
        <w:tc>
          <w:tcPr>
            <w:tcW w:w="1175" w:type="dxa"/>
            <w:tcBorders>
              <w:top w:val="single" w:sz="4" w:space="0" w:color="auto"/>
              <w:left w:val="nil"/>
              <w:bottom w:val="single" w:sz="4" w:space="0" w:color="auto"/>
              <w:right w:val="single" w:sz="4" w:space="0" w:color="auto"/>
            </w:tcBorders>
            <w:shd w:val="clear" w:color="auto" w:fill="auto"/>
            <w:vAlign w:val="center"/>
            <w:hideMark/>
          </w:tcPr>
          <w:p w14:paraId="7A68DE8B" w14:textId="7C3FA64B" w:rsidR="00D368F6" w:rsidRPr="0050049B" w:rsidRDefault="00D368F6" w:rsidP="009C255E">
            <w:pPr>
              <w:jc w:val="center"/>
              <w:rPr>
                <w:rFonts w:ascii="Arial" w:hAnsi="Arial" w:cs="Arial"/>
                <w:color w:val="000000"/>
                <w:sz w:val="16"/>
                <w:szCs w:val="16"/>
              </w:rPr>
            </w:pPr>
            <w:r w:rsidRPr="0050049B">
              <w:rPr>
                <w:rFonts w:ascii="Arial" w:hAnsi="Arial" w:cs="Arial"/>
                <w:color w:val="000000"/>
                <w:sz w:val="16"/>
                <w:szCs w:val="16"/>
              </w:rPr>
              <w:t>195 14</w:t>
            </w:r>
            <w:r w:rsidR="009C255E">
              <w:rPr>
                <w:rFonts w:ascii="Arial" w:hAnsi="Arial" w:cs="Arial"/>
                <w:color w:val="000000"/>
                <w:sz w:val="16"/>
                <w:szCs w:val="16"/>
              </w:rPr>
              <w:t>3</w:t>
            </w:r>
          </w:p>
        </w:tc>
        <w:tc>
          <w:tcPr>
            <w:tcW w:w="1175" w:type="dxa"/>
            <w:tcBorders>
              <w:top w:val="single" w:sz="4" w:space="0" w:color="auto"/>
              <w:left w:val="nil"/>
              <w:bottom w:val="single" w:sz="4" w:space="0" w:color="auto"/>
              <w:right w:val="single" w:sz="4" w:space="0" w:color="auto"/>
            </w:tcBorders>
            <w:shd w:val="clear" w:color="auto" w:fill="auto"/>
            <w:vAlign w:val="center"/>
            <w:hideMark/>
          </w:tcPr>
          <w:p w14:paraId="242E78D4" w14:textId="30DB98B6" w:rsidR="00D368F6" w:rsidRPr="0050049B" w:rsidRDefault="00D368F6" w:rsidP="00E91CEC">
            <w:pPr>
              <w:jc w:val="center"/>
              <w:rPr>
                <w:rFonts w:ascii="Arial" w:hAnsi="Arial" w:cs="Arial"/>
                <w:color w:val="000000"/>
                <w:sz w:val="16"/>
                <w:szCs w:val="16"/>
              </w:rPr>
            </w:pPr>
            <w:r w:rsidRPr="0050049B">
              <w:rPr>
                <w:rFonts w:ascii="Arial" w:hAnsi="Arial" w:cs="Arial"/>
                <w:color w:val="000000"/>
                <w:sz w:val="16"/>
                <w:szCs w:val="16"/>
              </w:rPr>
              <w:t>1 300 950</w:t>
            </w:r>
          </w:p>
        </w:tc>
      </w:tr>
      <w:tr w:rsidR="00577FB3" w:rsidRPr="00E21C60" w14:paraId="7E6E36A6" w14:textId="77777777" w:rsidTr="006B3ADD">
        <w:trPr>
          <w:trHeight w:val="486"/>
        </w:trPr>
        <w:tc>
          <w:tcPr>
            <w:tcW w:w="2367" w:type="dxa"/>
            <w:tcBorders>
              <w:top w:val="single" w:sz="4" w:space="0" w:color="auto"/>
              <w:left w:val="single" w:sz="4" w:space="0" w:color="auto"/>
              <w:bottom w:val="single" w:sz="4" w:space="0" w:color="auto"/>
              <w:right w:val="single" w:sz="4" w:space="0" w:color="auto"/>
            </w:tcBorders>
            <w:shd w:val="clear" w:color="000000" w:fill="EAF1DD"/>
            <w:vAlign w:val="center"/>
          </w:tcPr>
          <w:p w14:paraId="583203E2" w14:textId="1A7B08E7" w:rsidR="00577FB3" w:rsidRPr="0050049B" w:rsidRDefault="00577FB3">
            <w:pPr>
              <w:rPr>
                <w:rFonts w:ascii="Arial" w:hAnsi="Arial" w:cs="Arial"/>
                <w:color w:val="000000"/>
                <w:sz w:val="16"/>
                <w:szCs w:val="16"/>
              </w:rPr>
            </w:pPr>
            <w:r>
              <w:rPr>
                <w:rFonts w:ascii="Arial" w:hAnsi="Arial" w:cs="Arial"/>
                <w:color w:val="000000"/>
                <w:sz w:val="16"/>
                <w:szCs w:val="16"/>
              </w:rPr>
              <w:t>Monitorovanie a hodnotenie stavu vôd</w:t>
            </w:r>
          </w:p>
        </w:tc>
        <w:tc>
          <w:tcPr>
            <w:tcW w:w="2113" w:type="dxa"/>
            <w:tcBorders>
              <w:top w:val="single" w:sz="4" w:space="0" w:color="auto"/>
              <w:left w:val="nil"/>
              <w:bottom w:val="single" w:sz="4" w:space="0" w:color="auto"/>
              <w:right w:val="single" w:sz="4" w:space="0" w:color="auto"/>
            </w:tcBorders>
            <w:shd w:val="clear" w:color="auto" w:fill="auto"/>
            <w:vAlign w:val="center"/>
          </w:tcPr>
          <w:p w14:paraId="11CBE8F2" w14:textId="7D114BF9" w:rsidR="00577FB3" w:rsidRPr="004E1EC7" w:rsidRDefault="00577FB3">
            <w:pPr>
              <w:rPr>
                <w:rFonts w:ascii="Arial" w:hAnsi="Arial" w:cs="Arial"/>
                <w:color w:val="000000"/>
                <w:sz w:val="16"/>
                <w:szCs w:val="16"/>
              </w:rPr>
            </w:pPr>
            <w:r>
              <w:rPr>
                <w:rFonts w:ascii="Arial" w:hAnsi="Arial" w:cs="Arial"/>
                <w:color w:val="000000"/>
                <w:sz w:val="16"/>
                <w:szCs w:val="16"/>
              </w:rPr>
              <w:t>Výskumný ústav vodného hospodárstva</w:t>
            </w:r>
          </w:p>
        </w:tc>
        <w:tc>
          <w:tcPr>
            <w:tcW w:w="1075" w:type="dxa"/>
            <w:tcBorders>
              <w:top w:val="single" w:sz="4" w:space="0" w:color="auto"/>
              <w:left w:val="nil"/>
              <w:bottom w:val="single" w:sz="4" w:space="0" w:color="auto"/>
              <w:right w:val="single" w:sz="4" w:space="0" w:color="auto"/>
            </w:tcBorders>
            <w:shd w:val="clear" w:color="auto" w:fill="auto"/>
            <w:vAlign w:val="center"/>
          </w:tcPr>
          <w:p w14:paraId="56B43858" w14:textId="1B9C894B" w:rsidR="00577FB3" w:rsidRPr="0050049B" w:rsidRDefault="00577FB3">
            <w:pPr>
              <w:rPr>
                <w:rFonts w:ascii="Arial" w:hAnsi="Arial" w:cs="Arial"/>
                <w:color w:val="000000"/>
                <w:sz w:val="16"/>
                <w:szCs w:val="16"/>
              </w:rPr>
            </w:pPr>
            <w:r>
              <w:rPr>
                <w:rFonts w:ascii="Arial" w:hAnsi="Arial" w:cs="Arial"/>
                <w:color w:val="000000"/>
                <w:sz w:val="16"/>
                <w:szCs w:val="16"/>
              </w:rPr>
              <w:t>Riadne ukončený</w:t>
            </w:r>
          </w:p>
        </w:tc>
        <w:tc>
          <w:tcPr>
            <w:tcW w:w="1175" w:type="dxa"/>
            <w:tcBorders>
              <w:top w:val="single" w:sz="4" w:space="0" w:color="auto"/>
              <w:left w:val="nil"/>
              <w:bottom w:val="single" w:sz="4" w:space="0" w:color="auto"/>
              <w:right w:val="single" w:sz="4" w:space="0" w:color="auto"/>
            </w:tcBorders>
            <w:shd w:val="clear" w:color="auto" w:fill="auto"/>
            <w:vAlign w:val="center"/>
          </w:tcPr>
          <w:p w14:paraId="5AE27D28" w14:textId="737E558E" w:rsidR="00577FB3" w:rsidRPr="0050049B" w:rsidRDefault="00577FB3" w:rsidP="009C255E">
            <w:pPr>
              <w:jc w:val="center"/>
              <w:rPr>
                <w:rFonts w:ascii="Arial" w:hAnsi="Arial" w:cs="Arial"/>
                <w:color w:val="000000"/>
                <w:sz w:val="16"/>
                <w:szCs w:val="16"/>
              </w:rPr>
            </w:pPr>
            <w:r>
              <w:rPr>
                <w:rFonts w:ascii="Arial" w:hAnsi="Arial" w:cs="Arial"/>
                <w:color w:val="000000"/>
                <w:sz w:val="16"/>
                <w:szCs w:val="16"/>
              </w:rPr>
              <w:t>4 432 70</w:t>
            </w:r>
            <w:r w:rsidR="009C255E">
              <w:rPr>
                <w:rFonts w:ascii="Arial" w:hAnsi="Arial" w:cs="Arial"/>
                <w:color w:val="000000"/>
                <w:sz w:val="16"/>
                <w:szCs w:val="16"/>
              </w:rPr>
              <w:t>9</w:t>
            </w:r>
          </w:p>
        </w:tc>
        <w:tc>
          <w:tcPr>
            <w:tcW w:w="1175" w:type="dxa"/>
            <w:tcBorders>
              <w:top w:val="single" w:sz="4" w:space="0" w:color="auto"/>
              <w:left w:val="nil"/>
              <w:bottom w:val="single" w:sz="4" w:space="0" w:color="auto"/>
              <w:right w:val="single" w:sz="4" w:space="0" w:color="auto"/>
            </w:tcBorders>
            <w:shd w:val="clear" w:color="auto" w:fill="auto"/>
            <w:vAlign w:val="center"/>
          </w:tcPr>
          <w:p w14:paraId="3DE844AB" w14:textId="50A527D0" w:rsidR="00577FB3" w:rsidRPr="0050049B" w:rsidRDefault="00577FB3" w:rsidP="009C255E">
            <w:pPr>
              <w:jc w:val="center"/>
              <w:rPr>
                <w:rFonts w:ascii="Arial" w:hAnsi="Arial" w:cs="Arial"/>
                <w:color w:val="000000"/>
                <w:sz w:val="16"/>
                <w:szCs w:val="16"/>
              </w:rPr>
            </w:pPr>
            <w:r>
              <w:rPr>
                <w:rFonts w:ascii="Arial" w:hAnsi="Arial" w:cs="Arial"/>
                <w:color w:val="000000"/>
                <w:sz w:val="16"/>
                <w:szCs w:val="16"/>
              </w:rPr>
              <w:t>782 24</w:t>
            </w:r>
            <w:r w:rsidR="009C255E">
              <w:rPr>
                <w:rFonts w:ascii="Arial" w:hAnsi="Arial" w:cs="Arial"/>
                <w:color w:val="000000"/>
                <w:sz w:val="16"/>
                <w:szCs w:val="16"/>
              </w:rPr>
              <w:t>3</w:t>
            </w:r>
          </w:p>
        </w:tc>
        <w:tc>
          <w:tcPr>
            <w:tcW w:w="1175" w:type="dxa"/>
            <w:tcBorders>
              <w:top w:val="single" w:sz="4" w:space="0" w:color="auto"/>
              <w:left w:val="nil"/>
              <w:bottom w:val="single" w:sz="4" w:space="0" w:color="auto"/>
              <w:right w:val="single" w:sz="4" w:space="0" w:color="auto"/>
            </w:tcBorders>
            <w:shd w:val="clear" w:color="auto" w:fill="auto"/>
            <w:vAlign w:val="center"/>
          </w:tcPr>
          <w:p w14:paraId="129F257F" w14:textId="6AF540E2" w:rsidR="00577FB3" w:rsidRPr="0050049B" w:rsidRDefault="00577FB3" w:rsidP="00E91CEC">
            <w:pPr>
              <w:jc w:val="center"/>
              <w:rPr>
                <w:rFonts w:ascii="Arial" w:hAnsi="Arial" w:cs="Arial"/>
                <w:color w:val="000000"/>
                <w:sz w:val="16"/>
                <w:szCs w:val="16"/>
              </w:rPr>
            </w:pPr>
            <w:r>
              <w:rPr>
                <w:rFonts w:ascii="Arial" w:hAnsi="Arial" w:cs="Arial"/>
                <w:color w:val="000000"/>
                <w:sz w:val="16"/>
                <w:szCs w:val="16"/>
              </w:rPr>
              <w:t>5 214 951</w:t>
            </w:r>
          </w:p>
        </w:tc>
      </w:tr>
    </w:tbl>
    <w:p w14:paraId="549B72E4" w14:textId="77777777" w:rsidR="00214ECF" w:rsidRPr="00123376" w:rsidRDefault="00214ECF" w:rsidP="00123376">
      <w:pPr>
        <w:jc w:val="both"/>
        <w:rPr>
          <w:rFonts w:ascii="Arial" w:hAnsi="Arial" w:cs="Arial"/>
          <w:sz w:val="16"/>
          <w:szCs w:val="16"/>
        </w:rPr>
      </w:pPr>
      <w:r w:rsidRPr="00123376">
        <w:rPr>
          <w:rFonts w:ascii="Arial" w:hAnsi="Arial" w:cs="Arial"/>
          <w:sz w:val="16"/>
          <w:szCs w:val="16"/>
        </w:rPr>
        <w:t>Zdroj: RO</w:t>
      </w:r>
    </w:p>
    <w:p w14:paraId="6A9377CE" w14:textId="2290DEFC" w:rsidR="00214ECF" w:rsidRPr="002526CC" w:rsidRDefault="00214ECF" w:rsidP="00123376">
      <w:pPr>
        <w:spacing w:before="120" w:after="120"/>
        <w:jc w:val="both"/>
        <w:rPr>
          <w:rFonts w:ascii="Arial" w:hAnsi="Arial" w:cs="Arial"/>
          <w:sz w:val="20"/>
          <w:szCs w:val="20"/>
        </w:rPr>
      </w:pPr>
      <w:r w:rsidRPr="002526CC">
        <w:rPr>
          <w:rFonts w:ascii="Arial" w:hAnsi="Arial" w:cs="Arial"/>
          <w:sz w:val="20"/>
          <w:szCs w:val="20"/>
        </w:rPr>
        <w:t>Z v</w:t>
      </w:r>
      <w:r w:rsidRPr="00E21C60">
        <w:rPr>
          <w:rFonts w:ascii="Arial" w:hAnsi="Arial" w:cs="Arial"/>
          <w:sz w:val="20"/>
          <w:szCs w:val="20"/>
        </w:rPr>
        <w:t xml:space="preserve">yššie uvedeného vyplýva, že </w:t>
      </w:r>
      <w:r w:rsidRPr="00123376">
        <w:rPr>
          <w:rFonts w:ascii="Arial" w:hAnsi="Arial" w:cs="Arial"/>
          <w:i/>
          <w:sz w:val="20"/>
          <w:szCs w:val="20"/>
        </w:rPr>
        <w:t xml:space="preserve">prioritná os 1 </w:t>
      </w:r>
      <w:r w:rsidRPr="00123376">
        <w:rPr>
          <w:rFonts w:ascii="Arial" w:hAnsi="Arial" w:cs="Arial"/>
          <w:bCs/>
          <w:i/>
          <w:sz w:val="20"/>
          <w:szCs w:val="20"/>
        </w:rPr>
        <w:t>Integrovaná ochrana a racionálne využívanie vôd</w:t>
      </w:r>
      <w:r w:rsidRPr="002526CC">
        <w:rPr>
          <w:rFonts w:ascii="Arial" w:hAnsi="Arial" w:cs="Arial"/>
          <w:bCs/>
          <w:sz w:val="20"/>
          <w:szCs w:val="20"/>
        </w:rPr>
        <w:t xml:space="preserve">, a to predovšetkým </w:t>
      </w:r>
      <w:r w:rsidRPr="00123376">
        <w:rPr>
          <w:rFonts w:ascii="Arial" w:hAnsi="Arial" w:cs="Arial"/>
          <w:i/>
          <w:sz w:val="20"/>
          <w:szCs w:val="20"/>
        </w:rPr>
        <w:t>operačný</w:t>
      </w:r>
      <w:r w:rsidRPr="002526CC">
        <w:rPr>
          <w:rFonts w:ascii="Arial" w:hAnsi="Arial" w:cs="Arial"/>
          <w:sz w:val="20"/>
          <w:szCs w:val="20"/>
        </w:rPr>
        <w:t xml:space="preserve"> </w:t>
      </w:r>
      <w:r w:rsidRPr="00123376">
        <w:rPr>
          <w:rFonts w:ascii="Arial" w:hAnsi="Arial" w:cs="Arial"/>
          <w:i/>
          <w:sz w:val="20"/>
          <w:szCs w:val="20"/>
        </w:rPr>
        <w:t>cieľ 1.2 Odvádzanie a čistenie komunálnych odpadových vôd v zmysle záväzkov SR voči EÚ</w:t>
      </w:r>
      <w:r w:rsidRPr="002526CC">
        <w:rPr>
          <w:rFonts w:ascii="Arial" w:hAnsi="Arial" w:cs="Arial"/>
          <w:sz w:val="20"/>
          <w:szCs w:val="20"/>
        </w:rPr>
        <w:t xml:space="preserve">, </w:t>
      </w:r>
      <w:r w:rsidR="00A91C30" w:rsidRPr="002526CC">
        <w:rPr>
          <w:rFonts w:ascii="Arial" w:hAnsi="Arial" w:cs="Arial"/>
          <w:sz w:val="20"/>
          <w:szCs w:val="20"/>
        </w:rPr>
        <w:t>m</w:t>
      </w:r>
      <w:r w:rsidR="00A91C30">
        <w:rPr>
          <w:rFonts w:ascii="Arial" w:hAnsi="Arial" w:cs="Arial"/>
          <w:sz w:val="20"/>
          <w:szCs w:val="20"/>
        </w:rPr>
        <w:t>ala</w:t>
      </w:r>
      <w:r w:rsidR="00A91C30" w:rsidRPr="002526CC">
        <w:rPr>
          <w:rFonts w:ascii="Arial" w:hAnsi="Arial" w:cs="Arial"/>
          <w:sz w:val="20"/>
          <w:szCs w:val="20"/>
        </w:rPr>
        <w:t xml:space="preserve"> </w:t>
      </w:r>
      <w:r w:rsidRPr="002526CC">
        <w:rPr>
          <w:rFonts w:ascii="Arial" w:hAnsi="Arial" w:cs="Arial"/>
          <w:sz w:val="20"/>
          <w:szCs w:val="20"/>
        </w:rPr>
        <w:t>podstatný význam z hľadiska prepojenia OP ŽP s</w:t>
      </w:r>
      <w:r w:rsidRPr="00E21C60">
        <w:rPr>
          <w:rFonts w:ascii="Arial" w:hAnsi="Arial" w:cs="Arial"/>
          <w:sz w:val="20"/>
          <w:szCs w:val="20"/>
        </w:rPr>
        <w:t> prioritami Dunajskej stratégie v</w:t>
      </w:r>
      <w:r w:rsidR="003B4A44" w:rsidRPr="00E21C60">
        <w:rPr>
          <w:rFonts w:ascii="Arial" w:hAnsi="Arial" w:cs="Arial"/>
          <w:sz w:val="20"/>
          <w:szCs w:val="20"/>
        </w:rPr>
        <w:t xml:space="preserve"> rámci </w:t>
      </w:r>
      <w:r w:rsidRPr="00123376">
        <w:rPr>
          <w:rFonts w:ascii="Arial" w:hAnsi="Arial" w:cs="Arial"/>
          <w:i/>
          <w:sz w:val="20"/>
          <w:szCs w:val="20"/>
        </w:rPr>
        <w:t>prioritnej oblasti</w:t>
      </w:r>
      <w:r w:rsidR="000A6354" w:rsidRPr="002526CC">
        <w:rPr>
          <w:rFonts w:ascii="Arial" w:hAnsi="Arial" w:cs="Arial"/>
          <w:i/>
          <w:sz w:val="20"/>
          <w:szCs w:val="20"/>
        </w:rPr>
        <w:t xml:space="preserve"> 4.</w:t>
      </w:r>
      <w:r w:rsidRPr="00123376">
        <w:rPr>
          <w:rFonts w:ascii="Arial" w:hAnsi="Arial" w:cs="Arial"/>
          <w:i/>
          <w:sz w:val="20"/>
          <w:szCs w:val="20"/>
        </w:rPr>
        <w:t>Obnoviť a zachovať kvalitu vôd.</w:t>
      </w:r>
    </w:p>
    <w:p w14:paraId="36681804" w14:textId="6659E4F1" w:rsidR="00214ECF"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V súvislosti s uvedenou prioritnou oblasťou Dunajskej stratégie je taktiež potrebné poznamenať, že Ministerstvu životného prostredia SR bolo uznesením vlády SR č. 229 z 30.</w:t>
      </w:r>
      <w:r w:rsidR="000241F0">
        <w:rPr>
          <w:rFonts w:ascii="Arial" w:hAnsi="Arial" w:cs="Arial"/>
          <w:sz w:val="20"/>
          <w:szCs w:val="20"/>
        </w:rPr>
        <w:t xml:space="preserve"> </w:t>
      </w:r>
      <w:r w:rsidR="003B4A44" w:rsidRPr="00E21C60">
        <w:rPr>
          <w:rFonts w:ascii="Arial" w:hAnsi="Arial" w:cs="Arial"/>
          <w:sz w:val="20"/>
          <w:szCs w:val="20"/>
        </w:rPr>
        <w:t>03.</w:t>
      </w:r>
      <w:r w:rsidR="000241F0">
        <w:rPr>
          <w:rFonts w:ascii="Arial" w:hAnsi="Arial" w:cs="Arial"/>
          <w:sz w:val="20"/>
          <w:szCs w:val="20"/>
        </w:rPr>
        <w:t xml:space="preserve"> </w:t>
      </w:r>
      <w:r w:rsidRPr="00E21C60">
        <w:rPr>
          <w:rFonts w:ascii="Arial" w:hAnsi="Arial" w:cs="Arial"/>
          <w:sz w:val="20"/>
          <w:szCs w:val="20"/>
        </w:rPr>
        <w:t xml:space="preserve">2011 k aktualizovanej národnej pozícii SR k Stratégii EÚ pre dunajský región a návrhu jej koordinácie uložené vykonávať funkciu koordinátora prioritnej oblasti Obnoviť a zachovať kvalitu vôd. Výkon uvedenej funkcie však nepatrí do pôsobnosti </w:t>
      </w:r>
      <w:r w:rsidR="003B4A44" w:rsidRPr="00E21C60">
        <w:rPr>
          <w:rFonts w:ascii="Arial" w:hAnsi="Arial" w:cs="Arial"/>
          <w:sz w:val="20"/>
          <w:szCs w:val="20"/>
        </w:rPr>
        <w:t>RO</w:t>
      </w:r>
      <w:r w:rsidRPr="00E21C60">
        <w:rPr>
          <w:rFonts w:ascii="Arial" w:hAnsi="Arial" w:cs="Arial"/>
          <w:sz w:val="20"/>
          <w:szCs w:val="20"/>
        </w:rPr>
        <w:t xml:space="preserve"> pre OP ŽP, ale spadá do kompetencie sekcie vôd MŽP SR ako vecne príslušnej sekcie, ktorá zaň zodpovedá.</w:t>
      </w:r>
    </w:p>
    <w:p w14:paraId="526E26CC" w14:textId="77777777" w:rsidR="00214ECF" w:rsidRPr="00123376" w:rsidRDefault="00214ECF" w:rsidP="00123376">
      <w:pPr>
        <w:spacing w:before="120" w:after="120"/>
        <w:ind w:left="284" w:hanging="284"/>
        <w:jc w:val="both"/>
        <w:rPr>
          <w:rFonts w:ascii="Arial" w:hAnsi="Arial" w:cs="Arial"/>
          <w:i/>
          <w:sz w:val="20"/>
          <w:szCs w:val="20"/>
          <w:u w:val="single"/>
        </w:rPr>
      </w:pPr>
      <w:r w:rsidRPr="00123376">
        <w:rPr>
          <w:rFonts w:ascii="Arial" w:hAnsi="Arial" w:cs="Arial"/>
          <w:i/>
          <w:sz w:val="20"/>
          <w:szCs w:val="20"/>
          <w:u w:val="single"/>
        </w:rPr>
        <w:t>b) Prioritná oblasť 5. Riadiť riziká v oblasti životného prostredia</w:t>
      </w:r>
    </w:p>
    <w:p w14:paraId="66D335AD" w14:textId="2AC72185" w:rsidR="00214ECF" w:rsidRPr="00E21C60" w:rsidRDefault="00214ECF" w:rsidP="00123376">
      <w:pPr>
        <w:spacing w:before="120" w:after="120"/>
        <w:jc w:val="both"/>
        <w:rPr>
          <w:rFonts w:ascii="Arial" w:hAnsi="Arial" w:cs="Arial"/>
          <w:sz w:val="20"/>
          <w:szCs w:val="20"/>
        </w:rPr>
      </w:pPr>
      <w:r w:rsidRPr="002526CC">
        <w:rPr>
          <w:rFonts w:ascii="Arial" w:hAnsi="Arial" w:cs="Arial"/>
          <w:sz w:val="20"/>
          <w:szCs w:val="20"/>
        </w:rPr>
        <w:t>S vyššie uvedenou prioritnou oblasťou Dunajskej stratégi</w:t>
      </w:r>
      <w:r w:rsidRPr="00E21C60">
        <w:rPr>
          <w:rFonts w:ascii="Arial" w:hAnsi="Arial" w:cs="Arial"/>
          <w:sz w:val="20"/>
          <w:szCs w:val="20"/>
        </w:rPr>
        <w:t xml:space="preserve">e </w:t>
      </w:r>
      <w:r w:rsidR="00CF44B2" w:rsidRPr="00E21C60">
        <w:rPr>
          <w:rFonts w:ascii="Arial" w:hAnsi="Arial" w:cs="Arial"/>
          <w:sz w:val="20"/>
          <w:szCs w:val="20"/>
        </w:rPr>
        <w:t>súvis</w:t>
      </w:r>
      <w:r w:rsidR="00CF44B2">
        <w:rPr>
          <w:rFonts w:ascii="Arial" w:hAnsi="Arial" w:cs="Arial"/>
          <w:sz w:val="20"/>
          <w:szCs w:val="20"/>
        </w:rPr>
        <w:t>eli</w:t>
      </w:r>
      <w:r w:rsidR="00CF44B2" w:rsidRPr="00E21C60">
        <w:rPr>
          <w:rFonts w:ascii="Arial" w:hAnsi="Arial" w:cs="Arial"/>
          <w:sz w:val="20"/>
          <w:szCs w:val="20"/>
        </w:rPr>
        <w:t xml:space="preserve"> </w:t>
      </w:r>
      <w:r w:rsidRPr="00E21C60">
        <w:rPr>
          <w:rFonts w:ascii="Arial" w:hAnsi="Arial" w:cs="Arial"/>
          <w:sz w:val="20"/>
          <w:szCs w:val="20"/>
        </w:rPr>
        <w:t>v rámci OP ŽP svojím zameraním:</w:t>
      </w:r>
    </w:p>
    <w:p w14:paraId="4FBF1852" w14:textId="77777777" w:rsidR="00214ECF" w:rsidRPr="00123376" w:rsidRDefault="00214ECF" w:rsidP="00DF6D90">
      <w:pPr>
        <w:numPr>
          <w:ilvl w:val="0"/>
          <w:numId w:val="19"/>
        </w:numPr>
        <w:tabs>
          <w:tab w:val="clear" w:pos="1440"/>
        </w:tabs>
        <w:spacing w:before="120" w:after="120"/>
        <w:ind w:left="426" w:hanging="283"/>
        <w:jc w:val="both"/>
        <w:rPr>
          <w:rFonts w:ascii="Arial" w:hAnsi="Arial" w:cs="Arial"/>
          <w:i/>
          <w:sz w:val="20"/>
          <w:szCs w:val="20"/>
        </w:rPr>
      </w:pPr>
      <w:r w:rsidRPr="00E21C60">
        <w:rPr>
          <w:rFonts w:ascii="Arial" w:hAnsi="Arial" w:cs="Arial"/>
          <w:sz w:val="20"/>
          <w:szCs w:val="20"/>
        </w:rPr>
        <w:lastRenderedPageBreak/>
        <w:t xml:space="preserve"> </w:t>
      </w:r>
      <w:r w:rsidRPr="00123376">
        <w:rPr>
          <w:rFonts w:ascii="Arial" w:hAnsi="Arial" w:cs="Arial"/>
          <w:i/>
          <w:sz w:val="20"/>
          <w:szCs w:val="20"/>
        </w:rPr>
        <w:t>Prioritná os 2 Ochrana pred povodňami</w:t>
      </w:r>
      <w:r w:rsidRPr="00123376">
        <w:rPr>
          <w:rFonts w:ascii="Arial" w:hAnsi="Arial" w:cs="Arial"/>
          <w:bCs/>
          <w:i/>
          <w:sz w:val="20"/>
          <w:szCs w:val="20"/>
        </w:rPr>
        <w:t>, a to:</w:t>
      </w:r>
    </w:p>
    <w:p w14:paraId="7114DFE5" w14:textId="77777777" w:rsidR="00214ECF" w:rsidRPr="00E21C60" w:rsidRDefault="00214ECF" w:rsidP="00DF6D90">
      <w:pPr>
        <w:numPr>
          <w:ilvl w:val="0"/>
          <w:numId w:val="20"/>
        </w:numPr>
        <w:tabs>
          <w:tab w:val="clear" w:pos="1602"/>
        </w:tabs>
        <w:spacing w:before="120" w:after="120"/>
        <w:ind w:left="851" w:hanging="284"/>
        <w:jc w:val="both"/>
        <w:rPr>
          <w:rFonts w:ascii="Arial" w:hAnsi="Arial" w:cs="Arial"/>
          <w:i/>
          <w:sz w:val="20"/>
          <w:szCs w:val="20"/>
        </w:rPr>
      </w:pPr>
      <w:r w:rsidRPr="002526CC">
        <w:rPr>
          <w:rFonts w:ascii="Arial" w:hAnsi="Arial" w:cs="Arial"/>
          <w:i/>
          <w:sz w:val="20"/>
          <w:szCs w:val="20"/>
        </w:rPr>
        <w:t xml:space="preserve">III. skupina aktivít: Opatrenia vyplývajúce zo smernice </w:t>
      </w:r>
      <w:r w:rsidR="00604928">
        <w:rPr>
          <w:rFonts w:ascii="Arial" w:hAnsi="Arial" w:cs="Arial"/>
          <w:i/>
          <w:sz w:val="20"/>
          <w:szCs w:val="20"/>
        </w:rPr>
        <w:t>EP</w:t>
      </w:r>
      <w:r w:rsidR="00F426D3">
        <w:rPr>
          <w:rFonts w:ascii="Arial" w:hAnsi="Arial" w:cs="Arial"/>
          <w:i/>
          <w:sz w:val="20"/>
          <w:szCs w:val="20"/>
        </w:rPr>
        <w:t xml:space="preserve"> </w:t>
      </w:r>
      <w:r w:rsidRPr="002526CC">
        <w:rPr>
          <w:rFonts w:ascii="Arial" w:hAnsi="Arial" w:cs="Arial"/>
          <w:i/>
          <w:sz w:val="20"/>
          <w:szCs w:val="20"/>
        </w:rPr>
        <w:t>a Rady 2007/60/ES z 23. októbra 2007</w:t>
      </w:r>
      <w:r w:rsidRPr="00E21C60">
        <w:rPr>
          <w:rFonts w:ascii="Arial" w:hAnsi="Arial" w:cs="Arial"/>
          <w:sz w:val="20"/>
          <w:szCs w:val="20"/>
        </w:rPr>
        <w:t xml:space="preserve"> </w:t>
      </w:r>
      <w:r w:rsidRPr="00E21C60">
        <w:rPr>
          <w:rFonts w:ascii="Arial" w:hAnsi="Arial" w:cs="Arial"/>
          <w:i/>
          <w:sz w:val="20"/>
          <w:szCs w:val="20"/>
        </w:rPr>
        <w:t>o hodnotení a manažmente povodňových rizík</w:t>
      </w:r>
    </w:p>
    <w:p w14:paraId="48DE59CA" w14:textId="0A929607" w:rsidR="00186105"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V súvislosti s prioritami Dunajskej stratégie m</w:t>
      </w:r>
      <w:r w:rsidR="00CF44B2">
        <w:rPr>
          <w:rFonts w:ascii="Arial" w:hAnsi="Arial" w:cs="Arial"/>
          <w:sz w:val="20"/>
          <w:szCs w:val="20"/>
        </w:rPr>
        <w:t>ala</w:t>
      </w:r>
      <w:r w:rsidRPr="00E21C60">
        <w:rPr>
          <w:rFonts w:ascii="Arial" w:hAnsi="Arial" w:cs="Arial"/>
          <w:sz w:val="20"/>
          <w:szCs w:val="20"/>
        </w:rPr>
        <w:t xml:space="preserve"> vyššie uvedená skupina aktivít dôležitý význam. </w:t>
      </w:r>
      <w:r w:rsidR="00CF44B2">
        <w:rPr>
          <w:rFonts w:ascii="Arial" w:hAnsi="Arial" w:cs="Arial"/>
          <w:sz w:val="20"/>
          <w:szCs w:val="20"/>
        </w:rPr>
        <w:t>Bola</w:t>
      </w:r>
      <w:r w:rsidRPr="00E21C60">
        <w:rPr>
          <w:rFonts w:ascii="Arial" w:hAnsi="Arial" w:cs="Arial"/>
          <w:sz w:val="20"/>
          <w:szCs w:val="20"/>
        </w:rPr>
        <w:t xml:space="preserve"> zameraná na realizáciu opatrení vyplývajúcich zo smernice </w:t>
      </w:r>
      <w:r w:rsidR="00604928">
        <w:rPr>
          <w:rFonts w:ascii="Arial" w:hAnsi="Arial" w:cs="Arial"/>
          <w:sz w:val="20"/>
          <w:szCs w:val="20"/>
        </w:rPr>
        <w:t>EP</w:t>
      </w:r>
      <w:r w:rsidRPr="00E21C60">
        <w:rPr>
          <w:rFonts w:ascii="Arial" w:hAnsi="Arial" w:cs="Arial"/>
          <w:sz w:val="20"/>
          <w:szCs w:val="20"/>
        </w:rPr>
        <w:t xml:space="preserve"> a Rady 2007/60/ES, ktorá je do právneho poriadku SR transponovaná zákonom č. 7/2010 Z. z. o ochrane pred povodňami </w:t>
      </w:r>
      <w:r w:rsidR="00B96E13">
        <w:rPr>
          <w:rFonts w:ascii="Arial" w:hAnsi="Arial" w:cs="Arial"/>
          <w:sz w:val="20"/>
          <w:szCs w:val="20"/>
        </w:rPr>
        <w:br/>
      </w:r>
      <w:r w:rsidRPr="00E21C60">
        <w:rPr>
          <w:rFonts w:ascii="Arial" w:hAnsi="Arial" w:cs="Arial"/>
          <w:sz w:val="20"/>
          <w:szCs w:val="20"/>
        </w:rPr>
        <w:t>a ustanovuje povinnosť plánovať manažment povodňových rizík a podľa plánov realizovať preventívne opatrenia na ochranu pred povodňami v oblastiach, v ktorých existuje alebo možno očakávať výskyt povodňového rizika.</w:t>
      </w:r>
    </w:p>
    <w:p w14:paraId="15276F21" w14:textId="349248E2" w:rsidR="00214ECF"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 xml:space="preserve">V rámci uvedenej skupiny aktivít </w:t>
      </w:r>
      <w:r w:rsidR="00CF44B2">
        <w:rPr>
          <w:rFonts w:ascii="Arial" w:hAnsi="Arial" w:cs="Arial"/>
          <w:sz w:val="20"/>
          <w:szCs w:val="20"/>
        </w:rPr>
        <w:t>bolo</w:t>
      </w:r>
      <w:r w:rsidR="00CF44B2" w:rsidRPr="00E21C60">
        <w:rPr>
          <w:rFonts w:ascii="Arial" w:hAnsi="Arial" w:cs="Arial"/>
          <w:sz w:val="20"/>
          <w:szCs w:val="20"/>
        </w:rPr>
        <w:t xml:space="preserve"> </w:t>
      </w:r>
      <w:r w:rsidRPr="00E21C60">
        <w:rPr>
          <w:rFonts w:ascii="Arial" w:hAnsi="Arial" w:cs="Arial"/>
          <w:sz w:val="20"/>
          <w:szCs w:val="20"/>
        </w:rPr>
        <w:t>predmetom podpory:</w:t>
      </w:r>
    </w:p>
    <w:p w14:paraId="24DF092D" w14:textId="77777777" w:rsidR="00214ECF" w:rsidRPr="00123376" w:rsidRDefault="00214ECF" w:rsidP="00DF6D90">
      <w:pPr>
        <w:pStyle w:val="Odsekzoznamu"/>
        <w:numPr>
          <w:ilvl w:val="0"/>
          <w:numId w:val="46"/>
        </w:numPr>
        <w:spacing w:before="120" w:after="120" w:line="240" w:lineRule="auto"/>
        <w:ind w:left="284" w:hanging="284"/>
        <w:jc w:val="both"/>
        <w:rPr>
          <w:rFonts w:ascii="Arial" w:hAnsi="Arial" w:cs="Arial"/>
          <w:sz w:val="20"/>
          <w:szCs w:val="20"/>
        </w:rPr>
      </w:pPr>
      <w:r w:rsidRPr="00123376">
        <w:rPr>
          <w:rFonts w:ascii="Arial" w:hAnsi="Arial" w:cs="Arial"/>
          <w:sz w:val="20"/>
          <w:szCs w:val="20"/>
        </w:rPr>
        <w:t xml:space="preserve">vyhotovenie máp povodňového ohrozenia a máp povodňového rizika; </w:t>
      </w:r>
    </w:p>
    <w:p w14:paraId="41C3DE2C" w14:textId="070389E2" w:rsidR="008E01A5" w:rsidRPr="00021D46" w:rsidRDefault="00214ECF" w:rsidP="00123376">
      <w:pPr>
        <w:pStyle w:val="Odsekzoznamu"/>
        <w:numPr>
          <w:ilvl w:val="0"/>
          <w:numId w:val="46"/>
        </w:numPr>
        <w:spacing w:before="120" w:after="120" w:line="240" w:lineRule="auto"/>
        <w:ind w:left="284" w:hanging="284"/>
        <w:jc w:val="both"/>
        <w:rPr>
          <w:rFonts w:ascii="Arial" w:hAnsi="Arial" w:cs="Arial"/>
          <w:sz w:val="20"/>
          <w:szCs w:val="20"/>
        </w:rPr>
      </w:pPr>
      <w:r w:rsidRPr="00123376">
        <w:rPr>
          <w:rFonts w:ascii="Arial" w:hAnsi="Arial" w:cs="Arial"/>
          <w:sz w:val="20"/>
          <w:szCs w:val="20"/>
        </w:rPr>
        <w:t>vypracovanie plánov manažmentu povodňových rizík alebo ich častí</w:t>
      </w:r>
      <w:r w:rsidR="00C60C00">
        <w:rPr>
          <w:rFonts w:ascii="Arial" w:hAnsi="Arial" w:cs="Arial"/>
          <w:sz w:val="20"/>
          <w:szCs w:val="20"/>
        </w:rPr>
        <w:t>,</w:t>
      </w:r>
      <w:r w:rsidRPr="00123376">
        <w:rPr>
          <w:rFonts w:ascii="Arial" w:hAnsi="Arial" w:cs="Arial"/>
          <w:sz w:val="20"/>
          <w:szCs w:val="20"/>
        </w:rPr>
        <w:t xml:space="preserve"> vrátane návrhov opatrení na dosiahnutie ich cieľov.</w:t>
      </w:r>
    </w:p>
    <w:p w14:paraId="2974BAED" w14:textId="49703441" w:rsidR="00214ECF" w:rsidRPr="00E21C60" w:rsidRDefault="00214ECF" w:rsidP="00123376">
      <w:pPr>
        <w:jc w:val="both"/>
        <w:rPr>
          <w:rFonts w:ascii="Arial" w:hAnsi="Arial" w:cs="Arial"/>
          <w:sz w:val="20"/>
          <w:szCs w:val="20"/>
        </w:rPr>
      </w:pPr>
      <w:r w:rsidRPr="002526CC">
        <w:rPr>
          <w:rFonts w:ascii="Arial" w:hAnsi="Arial" w:cs="Arial"/>
          <w:sz w:val="20"/>
          <w:szCs w:val="20"/>
        </w:rPr>
        <w:t>Tab</w:t>
      </w:r>
      <w:r w:rsidR="00C04F46" w:rsidRPr="00E21C60">
        <w:rPr>
          <w:rFonts w:ascii="Arial" w:hAnsi="Arial" w:cs="Arial"/>
          <w:sz w:val="20"/>
          <w:szCs w:val="20"/>
        </w:rPr>
        <w:t xml:space="preserve">uľka </w:t>
      </w:r>
      <w:r w:rsidRPr="00E21C60">
        <w:rPr>
          <w:rFonts w:ascii="Arial" w:hAnsi="Arial" w:cs="Arial"/>
          <w:sz w:val="20"/>
          <w:szCs w:val="20"/>
        </w:rPr>
        <w:t xml:space="preserve">č. </w:t>
      </w:r>
      <w:r w:rsidR="00A75220" w:rsidRPr="00E21C60">
        <w:rPr>
          <w:rFonts w:ascii="Arial" w:hAnsi="Arial" w:cs="Arial"/>
          <w:sz w:val="20"/>
          <w:szCs w:val="20"/>
        </w:rPr>
        <w:t>2</w:t>
      </w:r>
      <w:r w:rsidR="007B1CB9">
        <w:rPr>
          <w:rFonts w:ascii="Arial" w:hAnsi="Arial" w:cs="Arial"/>
          <w:sz w:val="20"/>
          <w:szCs w:val="20"/>
        </w:rPr>
        <w:t>8</w:t>
      </w:r>
      <w:r w:rsidR="00C04F46" w:rsidRPr="00E21C60">
        <w:rPr>
          <w:rFonts w:ascii="Arial" w:hAnsi="Arial" w:cs="Arial"/>
          <w:sz w:val="20"/>
          <w:szCs w:val="20"/>
        </w:rPr>
        <w:t>:</w:t>
      </w:r>
      <w:r w:rsidR="007B7519" w:rsidRPr="00E21C60">
        <w:rPr>
          <w:rFonts w:ascii="Arial" w:hAnsi="Arial" w:cs="Arial"/>
          <w:sz w:val="20"/>
          <w:szCs w:val="20"/>
        </w:rPr>
        <w:t xml:space="preserve"> </w:t>
      </w:r>
      <w:r w:rsidRPr="00E21C60">
        <w:rPr>
          <w:rFonts w:ascii="Arial" w:hAnsi="Arial" w:cs="Arial"/>
          <w:sz w:val="20"/>
          <w:szCs w:val="20"/>
        </w:rPr>
        <w:t>Príklad projektu</w:t>
      </w:r>
    </w:p>
    <w:tbl>
      <w:tblPr>
        <w:tblW w:w="9080" w:type="dxa"/>
        <w:tblInd w:w="55" w:type="dxa"/>
        <w:tblCellMar>
          <w:left w:w="70" w:type="dxa"/>
          <w:right w:w="70" w:type="dxa"/>
        </w:tblCellMar>
        <w:tblLook w:val="04A0" w:firstRow="1" w:lastRow="0" w:firstColumn="1" w:lastColumn="0" w:noHBand="0" w:noVBand="1"/>
      </w:tblPr>
      <w:tblGrid>
        <w:gridCol w:w="2366"/>
        <w:gridCol w:w="2114"/>
        <w:gridCol w:w="1075"/>
        <w:gridCol w:w="1175"/>
        <w:gridCol w:w="1175"/>
        <w:gridCol w:w="1175"/>
      </w:tblGrid>
      <w:tr w:rsidR="00D368F6" w:rsidRPr="00E21C60" w14:paraId="619A1B89" w14:textId="77777777" w:rsidTr="007D7B08">
        <w:trPr>
          <w:trHeight w:val="225"/>
        </w:trPr>
        <w:tc>
          <w:tcPr>
            <w:tcW w:w="2366"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E33EB23"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Názov projektu</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8D0A423"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Žiadateľ</w:t>
            </w:r>
          </w:p>
        </w:tc>
        <w:tc>
          <w:tcPr>
            <w:tcW w:w="10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735A775" w14:textId="4F3AA636" w:rsidR="00D368F6" w:rsidRPr="00E21C60" w:rsidRDefault="00D368F6" w:rsidP="006A57B8">
            <w:pPr>
              <w:jc w:val="center"/>
              <w:rPr>
                <w:rFonts w:ascii="Arial" w:hAnsi="Arial" w:cs="Arial"/>
                <w:b/>
                <w:bCs/>
                <w:color w:val="000000"/>
                <w:sz w:val="16"/>
                <w:szCs w:val="16"/>
              </w:rPr>
            </w:pPr>
            <w:r w:rsidRPr="00E21C60">
              <w:rPr>
                <w:rFonts w:ascii="Arial" w:hAnsi="Arial" w:cs="Arial"/>
                <w:b/>
                <w:bCs/>
                <w:color w:val="000000"/>
                <w:sz w:val="16"/>
                <w:szCs w:val="16"/>
              </w:rPr>
              <w:t>Stav</w:t>
            </w:r>
            <w:r w:rsidRPr="00E21C60">
              <w:rPr>
                <w:rFonts w:ascii="Arial" w:hAnsi="Arial" w:cs="Arial"/>
                <w:b/>
                <w:bCs/>
                <w:color w:val="000000"/>
                <w:sz w:val="16"/>
                <w:szCs w:val="16"/>
              </w:rPr>
              <w:br/>
              <w:t>k 31.1</w:t>
            </w:r>
            <w:r w:rsidR="006A57B8">
              <w:rPr>
                <w:rFonts w:ascii="Arial" w:hAnsi="Arial" w:cs="Arial"/>
                <w:b/>
                <w:bCs/>
                <w:color w:val="000000"/>
                <w:sz w:val="16"/>
                <w:szCs w:val="16"/>
              </w:rPr>
              <w:t>0</w:t>
            </w:r>
            <w:r w:rsidRPr="00E21C60">
              <w:rPr>
                <w:rFonts w:ascii="Arial" w:hAnsi="Arial" w:cs="Arial"/>
                <w:b/>
                <w:bCs/>
                <w:color w:val="000000"/>
                <w:sz w:val="16"/>
                <w:szCs w:val="16"/>
              </w:rPr>
              <w:t>.201</w:t>
            </w:r>
            <w:r w:rsidR="006A57B8">
              <w:rPr>
                <w:rFonts w:ascii="Arial" w:hAnsi="Arial" w:cs="Arial"/>
                <w:b/>
                <w:bCs/>
                <w:color w:val="000000"/>
                <w:sz w:val="16"/>
                <w:szCs w:val="16"/>
              </w:rPr>
              <w:t>6</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0661E0E"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EÚ) v €</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89BBDCD"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ŠR) v €</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9CD3C96" w14:textId="77777777" w:rsidR="00D368F6" w:rsidRPr="00E21C60" w:rsidRDefault="00D368F6">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(EÚ + ŠR) v €</w:t>
            </w:r>
          </w:p>
        </w:tc>
      </w:tr>
      <w:tr w:rsidR="00D368F6" w:rsidRPr="00E21C60" w14:paraId="675765C3" w14:textId="77777777" w:rsidTr="007D7B08">
        <w:trPr>
          <w:trHeight w:val="225"/>
        </w:trPr>
        <w:tc>
          <w:tcPr>
            <w:tcW w:w="2366"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01F36D3" w14:textId="77777777" w:rsidR="00D368F6" w:rsidRPr="00E21C60" w:rsidRDefault="00D368F6">
            <w:pPr>
              <w:rPr>
                <w:rFonts w:ascii="Arial" w:hAnsi="Arial" w:cs="Arial"/>
                <w:b/>
                <w:bCs/>
                <w:color w:val="000000"/>
                <w:sz w:val="16"/>
                <w:szCs w:val="16"/>
              </w:rPr>
            </w:pPr>
          </w:p>
        </w:tc>
        <w:tc>
          <w:tcPr>
            <w:tcW w:w="2114"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887379B" w14:textId="77777777" w:rsidR="00D368F6" w:rsidRPr="00E21C60" w:rsidRDefault="00D368F6">
            <w:pPr>
              <w:rPr>
                <w:rFonts w:ascii="Arial" w:hAnsi="Arial" w:cs="Arial"/>
                <w:b/>
                <w:bCs/>
                <w:color w:val="000000"/>
                <w:sz w:val="16"/>
                <w:szCs w:val="16"/>
              </w:rPr>
            </w:pPr>
          </w:p>
        </w:tc>
        <w:tc>
          <w:tcPr>
            <w:tcW w:w="10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66D385B" w14:textId="77777777" w:rsidR="00D368F6" w:rsidRPr="00E21C60" w:rsidRDefault="00D368F6">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717EF6C" w14:textId="77777777" w:rsidR="00D368F6" w:rsidRPr="00E21C60" w:rsidRDefault="00D368F6">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C48DF85" w14:textId="77777777" w:rsidR="00D368F6" w:rsidRPr="00E21C60" w:rsidRDefault="00D368F6">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2B3D0A1" w14:textId="77777777" w:rsidR="00D368F6" w:rsidRPr="00E21C60" w:rsidRDefault="00D368F6">
            <w:pPr>
              <w:rPr>
                <w:rFonts w:ascii="Arial" w:hAnsi="Arial" w:cs="Arial"/>
                <w:b/>
                <w:bCs/>
                <w:color w:val="000000"/>
                <w:sz w:val="16"/>
                <w:szCs w:val="16"/>
              </w:rPr>
            </w:pPr>
          </w:p>
        </w:tc>
      </w:tr>
      <w:tr w:rsidR="00D368F6" w:rsidRPr="00E21C60" w14:paraId="1AED95EA" w14:textId="77777777" w:rsidTr="00123376">
        <w:trPr>
          <w:trHeight w:val="450"/>
        </w:trPr>
        <w:tc>
          <w:tcPr>
            <w:tcW w:w="2366" w:type="dxa"/>
            <w:tcBorders>
              <w:top w:val="nil"/>
              <w:left w:val="single" w:sz="4" w:space="0" w:color="auto"/>
              <w:bottom w:val="single" w:sz="4" w:space="0" w:color="auto"/>
              <w:right w:val="single" w:sz="4" w:space="0" w:color="auto"/>
            </w:tcBorders>
            <w:shd w:val="clear" w:color="000000" w:fill="EAF1DD"/>
            <w:vAlign w:val="center"/>
            <w:hideMark/>
          </w:tcPr>
          <w:p w14:paraId="1EE7C94D" w14:textId="77777777" w:rsidR="00D368F6" w:rsidRPr="00367825" w:rsidRDefault="00D368F6">
            <w:pPr>
              <w:rPr>
                <w:rFonts w:ascii="Arial" w:hAnsi="Arial" w:cs="Arial"/>
                <w:color w:val="000000"/>
                <w:sz w:val="16"/>
                <w:szCs w:val="16"/>
              </w:rPr>
            </w:pPr>
            <w:r w:rsidRPr="00367825">
              <w:rPr>
                <w:rFonts w:ascii="Arial" w:hAnsi="Arial" w:cs="Arial"/>
                <w:color w:val="000000"/>
                <w:sz w:val="16"/>
                <w:szCs w:val="16"/>
              </w:rPr>
              <w:t>Mapy povodňového ohrozenia a rizika vodných tokov SR</w:t>
            </w:r>
          </w:p>
        </w:tc>
        <w:tc>
          <w:tcPr>
            <w:tcW w:w="2114" w:type="dxa"/>
            <w:tcBorders>
              <w:top w:val="nil"/>
              <w:left w:val="nil"/>
              <w:bottom w:val="single" w:sz="4" w:space="0" w:color="auto"/>
              <w:right w:val="single" w:sz="4" w:space="0" w:color="auto"/>
            </w:tcBorders>
            <w:shd w:val="clear" w:color="auto" w:fill="auto"/>
            <w:vAlign w:val="center"/>
            <w:hideMark/>
          </w:tcPr>
          <w:p w14:paraId="3D22522F" w14:textId="77777777" w:rsidR="00DA58CC" w:rsidRPr="00367825" w:rsidRDefault="00D368F6">
            <w:pPr>
              <w:rPr>
                <w:rFonts w:ascii="Arial" w:hAnsi="Arial" w:cs="Arial"/>
                <w:color w:val="000000"/>
                <w:sz w:val="16"/>
                <w:szCs w:val="16"/>
              </w:rPr>
            </w:pPr>
            <w:r w:rsidRPr="00367825">
              <w:rPr>
                <w:rFonts w:ascii="Arial" w:hAnsi="Arial" w:cs="Arial"/>
                <w:color w:val="000000"/>
                <w:sz w:val="16"/>
                <w:szCs w:val="16"/>
              </w:rPr>
              <w:t xml:space="preserve">Slovenský vodohospodársky </w:t>
            </w:r>
          </w:p>
          <w:p w14:paraId="68B7AC4A" w14:textId="77777777" w:rsidR="00D368F6" w:rsidRPr="00367825" w:rsidRDefault="00D368F6">
            <w:pPr>
              <w:rPr>
                <w:rFonts w:ascii="Arial" w:hAnsi="Arial" w:cs="Arial"/>
                <w:color w:val="000000"/>
                <w:sz w:val="16"/>
                <w:szCs w:val="16"/>
              </w:rPr>
            </w:pPr>
            <w:r w:rsidRPr="00367825">
              <w:rPr>
                <w:rFonts w:ascii="Arial" w:hAnsi="Arial" w:cs="Arial"/>
                <w:color w:val="000000"/>
                <w:sz w:val="16"/>
                <w:szCs w:val="16"/>
              </w:rPr>
              <w:t>podnik, š.p.</w:t>
            </w:r>
          </w:p>
        </w:tc>
        <w:tc>
          <w:tcPr>
            <w:tcW w:w="1075" w:type="dxa"/>
            <w:tcBorders>
              <w:top w:val="nil"/>
              <w:left w:val="nil"/>
              <w:bottom w:val="single" w:sz="4" w:space="0" w:color="auto"/>
              <w:right w:val="single" w:sz="4" w:space="0" w:color="auto"/>
            </w:tcBorders>
            <w:shd w:val="clear" w:color="auto" w:fill="auto"/>
            <w:vAlign w:val="center"/>
            <w:hideMark/>
          </w:tcPr>
          <w:p w14:paraId="69597D34" w14:textId="180740A8" w:rsidR="00D368F6" w:rsidRPr="00367825" w:rsidRDefault="006A57B8">
            <w:pPr>
              <w:rPr>
                <w:rFonts w:ascii="Arial" w:hAnsi="Arial" w:cs="Arial"/>
                <w:color w:val="000000"/>
                <w:sz w:val="16"/>
                <w:szCs w:val="16"/>
              </w:rPr>
            </w:pPr>
            <w:r w:rsidRPr="002D5037">
              <w:rPr>
                <w:rFonts w:ascii="Arial" w:hAnsi="Arial" w:cs="Arial"/>
                <w:color w:val="000000"/>
                <w:sz w:val="16"/>
                <w:szCs w:val="16"/>
              </w:rPr>
              <w:t>Riadne ukončený</w:t>
            </w:r>
          </w:p>
        </w:tc>
        <w:tc>
          <w:tcPr>
            <w:tcW w:w="1175" w:type="dxa"/>
            <w:tcBorders>
              <w:top w:val="nil"/>
              <w:left w:val="nil"/>
              <w:bottom w:val="single" w:sz="4" w:space="0" w:color="auto"/>
              <w:right w:val="single" w:sz="4" w:space="0" w:color="auto"/>
            </w:tcBorders>
            <w:shd w:val="clear" w:color="auto" w:fill="auto"/>
            <w:vAlign w:val="center"/>
            <w:hideMark/>
          </w:tcPr>
          <w:p w14:paraId="29252A6E" w14:textId="5DC714A3" w:rsidR="00D368F6" w:rsidRPr="00367825" w:rsidRDefault="00D368F6" w:rsidP="00E91CEC">
            <w:pPr>
              <w:jc w:val="center"/>
              <w:rPr>
                <w:rFonts w:ascii="Arial" w:hAnsi="Arial" w:cs="Arial"/>
                <w:color w:val="000000"/>
                <w:sz w:val="16"/>
                <w:szCs w:val="16"/>
              </w:rPr>
            </w:pPr>
            <w:r w:rsidRPr="00367825">
              <w:rPr>
                <w:rFonts w:ascii="Arial" w:hAnsi="Arial" w:cs="Arial"/>
                <w:color w:val="000000"/>
                <w:sz w:val="16"/>
                <w:szCs w:val="16"/>
              </w:rPr>
              <w:t>10 191 41</w:t>
            </w:r>
            <w:r w:rsidR="00E91CEC">
              <w:rPr>
                <w:rFonts w:ascii="Arial" w:hAnsi="Arial" w:cs="Arial"/>
                <w:color w:val="000000"/>
                <w:sz w:val="16"/>
                <w:szCs w:val="16"/>
              </w:rPr>
              <w:t>2</w:t>
            </w:r>
          </w:p>
        </w:tc>
        <w:tc>
          <w:tcPr>
            <w:tcW w:w="1175" w:type="dxa"/>
            <w:tcBorders>
              <w:top w:val="nil"/>
              <w:left w:val="nil"/>
              <w:bottom w:val="single" w:sz="4" w:space="0" w:color="auto"/>
              <w:right w:val="single" w:sz="4" w:space="0" w:color="auto"/>
            </w:tcBorders>
            <w:shd w:val="clear" w:color="auto" w:fill="auto"/>
            <w:vAlign w:val="center"/>
            <w:hideMark/>
          </w:tcPr>
          <w:p w14:paraId="11D97F14" w14:textId="396F98D7" w:rsidR="00D368F6" w:rsidRPr="00367825" w:rsidRDefault="00D368F6" w:rsidP="00E91CEC">
            <w:pPr>
              <w:jc w:val="center"/>
              <w:rPr>
                <w:rFonts w:ascii="Arial" w:hAnsi="Arial" w:cs="Arial"/>
                <w:color w:val="000000"/>
                <w:sz w:val="16"/>
                <w:szCs w:val="16"/>
              </w:rPr>
            </w:pPr>
            <w:r w:rsidRPr="00367825">
              <w:rPr>
                <w:rFonts w:ascii="Arial" w:hAnsi="Arial" w:cs="Arial"/>
                <w:color w:val="000000"/>
                <w:sz w:val="16"/>
                <w:szCs w:val="16"/>
              </w:rPr>
              <w:t>1 798 484</w:t>
            </w:r>
          </w:p>
        </w:tc>
        <w:tc>
          <w:tcPr>
            <w:tcW w:w="1175" w:type="dxa"/>
            <w:tcBorders>
              <w:top w:val="nil"/>
              <w:left w:val="nil"/>
              <w:bottom w:val="single" w:sz="4" w:space="0" w:color="auto"/>
              <w:right w:val="single" w:sz="4" w:space="0" w:color="auto"/>
            </w:tcBorders>
            <w:shd w:val="clear" w:color="auto" w:fill="auto"/>
            <w:vAlign w:val="center"/>
            <w:hideMark/>
          </w:tcPr>
          <w:p w14:paraId="5FECCFD2" w14:textId="094751F7" w:rsidR="00D368F6" w:rsidRPr="00367825" w:rsidRDefault="00D368F6" w:rsidP="00E91CEC">
            <w:pPr>
              <w:jc w:val="center"/>
              <w:rPr>
                <w:rFonts w:ascii="Arial" w:hAnsi="Arial" w:cs="Arial"/>
                <w:color w:val="000000"/>
                <w:sz w:val="16"/>
                <w:szCs w:val="16"/>
              </w:rPr>
            </w:pPr>
            <w:r w:rsidRPr="00367825">
              <w:rPr>
                <w:rFonts w:ascii="Arial" w:hAnsi="Arial" w:cs="Arial"/>
                <w:color w:val="000000"/>
                <w:sz w:val="16"/>
                <w:szCs w:val="16"/>
              </w:rPr>
              <w:t>11 989 896</w:t>
            </w:r>
          </w:p>
        </w:tc>
      </w:tr>
    </w:tbl>
    <w:p w14:paraId="279CF7B1" w14:textId="77777777" w:rsidR="00214ECF" w:rsidRPr="00123376" w:rsidRDefault="00214ECF" w:rsidP="00123376">
      <w:pPr>
        <w:jc w:val="both"/>
        <w:rPr>
          <w:rFonts w:ascii="Arial" w:hAnsi="Arial" w:cs="Arial"/>
          <w:sz w:val="16"/>
          <w:szCs w:val="16"/>
        </w:rPr>
      </w:pPr>
      <w:r w:rsidRPr="00123376">
        <w:rPr>
          <w:rFonts w:ascii="Arial" w:hAnsi="Arial" w:cs="Arial"/>
          <w:sz w:val="16"/>
          <w:szCs w:val="16"/>
        </w:rPr>
        <w:t>Zdroj: RO</w:t>
      </w:r>
    </w:p>
    <w:p w14:paraId="4BD7184B" w14:textId="77777777" w:rsidR="00214ECF" w:rsidRPr="002526CC" w:rsidRDefault="00214ECF" w:rsidP="00DF6D90">
      <w:pPr>
        <w:numPr>
          <w:ilvl w:val="0"/>
          <w:numId w:val="21"/>
        </w:numPr>
        <w:tabs>
          <w:tab w:val="clear" w:pos="1438"/>
        </w:tabs>
        <w:spacing w:before="120" w:after="120"/>
        <w:ind w:left="426" w:hanging="283"/>
        <w:jc w:val="both"/>
        <w:rPr>
          <w:rFonts w:ascii="Arial" w:hAnsi="Arial" w:cs="Arial"/>
          <w:i/>
          <w:sz w:val="20"/>
          <w:szCs w:val="20"/>
        </w:rPr>
      </w:pPr>
      <w:r w:rsidRPr="00123376">
        <w:rPr>
          <w:rFonts w:ascii="Arial" w:hAnsi="Arial" w:cs="Arial"/>
          <w:i/>
          <w:sz w:val="20"/>
          <w:szCs w:val="20"/>
        </w:rPr>
        <w:t>Prioritná os 7 Budovanie povodňového varovného a predpovedného systému</w:t>
      </w:r>
    </w:p>
    <w:p w14:paraId="15CBCAAB" w14:textId="6B02E4BC" w:rsidR="00214ECF"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 xml:space="preserve">V súvislosti s prioritami Dunajskej stratégie </w:t>
      </w:r>
      <w:r w:rsidR="0005748A" w:rsidRPr="00E21C60">
        <w:rPr>
          <w:rFonts w:ascii="Arial" w:hAnsi="Arial" w:cs="Arial"/>
          <w:sz w:val="20"/>
          <w:szCs w:val="20"/>
        </w:rPr>
        <w:t>m</w:t>
      </w:r>
      <w:r w:rsidR="0005748A">
        <w:rPr>
          <w:rFonts w:ascii="Arial" w:hAnsi="Arial" w:cs="Arial"/>
          <w:sz w:val="20"/>
          <w:szCs w:val="20"/>
        </w:rPr>
        <w:t>ala</w:t>
      </w:r>
      <w:r w:rsidR="0005748A" w:rsidRPr="00E21C60">
        <w:rPr>
          <w:rFonts w:ascii="Arial" w:hAnsi="Arial" w:cs="Arial"/>
          <w:sz w:val="20"/>
          <w:szCs w:val="20"/>
        </w:rPr>
        <w:t xml:space="preserve"> </w:t>
      </w:r>
      <w:r w:rsidRPr="00E21C60">
        <w:rPr>
          <w:rFonts w:ascii="Arial" w:hAnsi="Arial" w:cs="Arial"/>
          <w:sz w:val="20"/>
          <w:szCs w:val="20"/>
        </w:rPr>
        <w:t xml:space="preserve">vyššie uvedená prioritná os podstatný význam. </w:t>
      </w:r>
    </w:p>
    <w:p w14:paraId="462AB84B" w14:textId="690DE9F2" w:rsidR="00214ECF" w:rsidRPr="00E21C60" w:rsidRDefault="0005748A" w:rsidP="00123376">
      <w:pPr>
        <w:spacing w:before="120" w:after="120"/>
        <w:jc w:val="both"/>
        <w:rPr>
          <w:rFonts w:ascii="Arial" w:hAnsi="Arial" w:cs="Arial"/>
          <w:sz w:val="20"/>
          <w:szCs w:val="20"/>
        </w:rPr>
      </w:pPr>
      <w:r>
        <w:rPr>
          <w:rFonts w:ascii="Arial" w:hAnsi="Arial" w:cs="Arial"/>
          <w:sz w:val="20"/>
          <w:szCs w:val="20"/>
        </w:rPr>
        <w:t>Bola</w:t>
      </w:r>
      <w:r w:rsidRPr="00E21C60">
        <w:rPr>
          <w:rFonts w:ascii="Arial" w:hAnsi="Arial" w:cs="Arial"/>
          <w:sz w:val="20"/>
          <w:szCs w:val="20"/>
        </w:rPr>
        <w:t xml:space="preserve"> </w:t>
      </w:r>
      <w:r w:rsidR="00214ECF" w:rsidRPr="00E21C60">
        <w:rPr>
          <w:rFonts w:ascii="Arial" w:hAnsi="Arial" w:cs="Arial"/>
          <w:sz w:val="20"/>
          <w:szCs w:val="20"/>
        </w:rPr>
        <w:t xml:space="preserve">zameraná na vybudovanie povodňového varovného a predpovedného systému (POVAPSYS) ako nástroja, umožňujúceho prostredníctvom hydrologických predpovedí, varovaní a výstrah výraznejšie znížiť škody spôsobené povodňami, predovšetkým straty na životoch, ujmy na zdraví ľudí a majetku občanov, miest a obcí. </w:t>
      </w:r>
    </w:p>
    <w:p w14:paraId="717CFB10" w14:textId="2ABDB3CF" w:rsidR="00214ECF" w:rsidRPr="00E21C60" w:rsidRDefault="00214ECF" w:rsidP="00123376">
      <w:pPr>
        <w:spacing w:before="120" w:after="120"/>
        <w:jc w:val="both"/>
        <w:rPr>
          <w:rFonts w:ascii="Arial" w:hAnsi="Arial" w:cs="Arial"/>
          <w:sz w:val="20"/>
          <w:szCs w:val="20"/>
        </w:rPr>
      </w:pPr>
      <w:r w:rsidRPr="00E21C60">
        <w:rPr>
          <w:rFonts w:ascii="Arial" w:hAnsi="Arial" w:cs="Arial"/>
          <w:i/>
          <w:sz w:val="20"/>
          <w:szCs w:val="20"/>
        </w:rPr>
        <w:t xml:space="preserve">Príklad projektu: </w:t>
      </w:r>
      <w:r w:rsidRPr="00E21C60">
        <w:rPr>
          <w:rFonts w:ascii="Arial" w:hAnsi="Arial" w:cs="Arial"/>
          <w:sz w:val="20"/>
          <w:szCs w:val="20"/>
        </w:rPr>
        <w:t xml:space="preserve">V rámci prioritnej osi 7 Budovanie povodňového varovného a predpovedného systému, ktorá bola do OP ŽP doplnená na základe revízie schválenej </w:t>
      </w:r>
      <w:r w:rsidR="00C60C00">
        <w:rPr>
          <w:rFonts w:ascii="Arial" w:hAnsi="Arial" w:cs="Arial"/>
          <w:sz w:val="20"/>
          <w:szCs w:val="20"/>
        </w:rPr>
        <w:t>9. júna</w:t>
      </w:r>
      <w:r w:rsidRPr="00E21C60">
        <w:rPr>
          <w:rFonts w:ascii="Arial" w:hAnsi="Arial" w:cs="Arial"/>
          <w:sz w:val="20"/>
          <w:szCs w:val="20"/>
        </w:rPr>
        <w:t xml:space="preserve"> 2011, prebeh</w:t>
      </w:r>
      <w:r w:rsidR="00900157" w:rsidRPr="00E21C60">
        <w:rPr>
          <w:rFonts w:ascii="Arial" w:hAnsi="Arial" w:cs="Arial"/>
          <w:sz w:val="20"/>
          <w:szCs w:val="20"/>
        </w:rPr>
        <w:t xml:space="preserve">la </w:t>
      </w:r>
      <w:r w:rsidRPr="00E21C60">
        <w:rPr>
          <w:rFonts w:ascii="Arial" w:hAnsi="Arial" w:cs="Arial"/>
          <w:sz w:val="20"/>
          <w:szCs w:val="20"/>
        </w:rPr>
        <w:t xml:space="preserve"> príprava rovnomenného projektu zameraného na dobudovanie POVAPSYS. </w:t>
      </w:r>
    </w:p>
    <w:p w14:paraId="62B896F6" w14:textId="77777777" w:rsidR="00214ECF" w:rsidRPr="00123376" w:rsidRDefault="00214ECF" w:rsidP="00123376">
      <w:pPr>
        <w:spacing w:before="120" w:after="120"/>
        <w:ind w:left="284" w:hanging="284"/>
        <w:jc w:val="both"/>
        <w:rPr>
          <w:rFonts w:ascii="Arial" w:hAnsi="Arial" w:cs="Arial"/>
          <w:i/>
          <w:sz w:val="20"/>
          <w:szCs w:val="20"/>
          <w:u w:val="single"/>
        </w:rPr>
      </w:pPr>
      <w:r w:rsidRPr="00123376">
        <w:rPr>
          <w:rFonts w:ascii="Arial" w:hAnsi="Arial" w:cs="Arial"/>
          <w:i/>
          <w:sz w:val="20"/>
          <w:szCs w:val="20"/>
          <w:u w:val="single"/>
        </w:rPr>
        <w:t>c) Prioritná oblasť 6. Chrániť biodiverzitu, krajinu a kvalitu ovzdušia a pôd</w:t>
      </w:r>
    </w:p>
    <w:p w14:paraId="5E8448D6" w14:textId="77777777" w:rsidR="00214ECF" w:rsidRPr="00E21C60" w:rsidRDefault="00214ECF" w:rsidP="00123376">
      <w:pPr>
        <w:spacing w:before="120" w:after="120"/>
        <w:jc w:val="both"/>
        <w:rPr>
          <w:rFonts w:ascii="Arial" w:hAnsi="Arial" w:cs="Arial"/>
          <w:sz w:val="20"/>
          <w:szCs w:val="20"/>
        </w:rPr>
      </w:pPr>
      <w:r w:rsidRPr="002526CC">
        <w:rPr>
          <w:rFonts w:ascii="Arial" w:hAnsi="Arial" w:cs="Arial"/>
          <w:sz w:val="20"/>
          <w:szCs w:val="20"/>
        </w:rPr>
        <w:t>Uvedená prioritná oblasť Dunajskej stratégie zahŕňa v súlade s jej Akčným plánom široké spektrum aktivít,</w:t>
      </w:r>
      <w:r w:rsidRPr="00E21C60">
        <w:rPr>
          <w:rFonts w:ascii="Arial" w:hAnsi="Arial" w:cs="Arial"/>
          <w:sz w:val="20"/>
          <w:szCs w:val="20"/>
        </w:rPr>
        <w:t xml:space="preserve"> s ktorými v rámci OP ŽP svojím zameraním súvisia:</w:t>
      </w:r>
    </w:p>
    <w:p w14:paraId="13EB220C" w14:textId="77777777" w:rsidR="00214ECF" w:rsidRPr="00123376" w:rsidRDefault="00214ECF" w:rsidP="00DF6D90">
      <w:pPr>
        <w:numPr>
          <w:ilvl w:val="0"/>
          <w:numId w:val="19"/>
        </w:numPr>
        <w:tabs>
          <w:tab w:val="clear" w:pos="1440"/>
        </w:tabs>
        <w:spacing w:before="120" w:after="120"/>
        <w:ind w:left="426" w:hanging="284"/>
        <w:jc w:val="both"/>
        <w:rPr>
          <w:rFonts w:ascii="Arial" w:hAnsi="Arial" w:cs="Arial"/>
          <w:i/>
          <w:sz w:val="20"/>
          <w:szCs w:val="20"/>
        </w:rPr>
      </w:pPr>
      <w:r w:rsidRPr="00123376">
        <w:rPr>
          <w:rFonts w:ascii="Arial" w:hAnsi="Arial" w:cs="Arial"/>
          <w:i/>
          <w:sz w:val="20"/>
          <w:szCs w:val="20"/>
        </w:rPr>
        <w:t>Prioritná os 3 Ochrana ovzdušia a minimalizácia nepriaznivých vplyvov zmeny klímy pred povodňami</w:t>
      </w:r>
      <w:r w:rsidRPr="00123376">
        <w:rPr>
          <w:rFonts w:ascii="Arial" w:hAnsi="Arial" w:cs="Arial"/>
          <w:bCs/>
          <w:i/>
          <w:sz w:val="20"/>
          <w:szCs w:val="20"/>
        </w:rPr>
        <w:t>, a to:</w:t>
      </w:r>
    </w:p>
    <w:p w14:paraId="3E85D3D7" w14:textId="77777777" w:rsidR="00214ECF" w:rsidRPr="00E21C60" w:rsidRDefault="00214ECF" w:rsidP="00DF6D90">
      <w:pPr>
        <w:numPr>
          <w:ilvl w:val="0"/>
          <w:numId w:val="47"/>
        </w:numPr>
        <w:spacing w:before="120" w:after="120"/>
        <w:ind w:left="851" w:hanging="284"/>
        <w:jc w:val="both"/>
        <w:rPr>
          <w:rFonts w:ascii="Arial" w:hAnsi="Arial" w:cs="Arial"/>
          <w:b/>
          <w:i/>
          <w:sz w:val="20"/>
          <w:szCs w:val="20"/>
        </w:rPr>
      </w:pPr>
      <w:r w:rsidRPr="002526CC">
        <w:rPr>
          <w:rFonts w:ascii="Arial" w:hAnsi="Arial" w:cs="Arial"/>
          <w:i/>
          <w:sz w:val="20"/>
          <w:szCs w:val="20"/>
        </w:rPr>
        <w:t xml:space="preserve"> operačný cieľ 3.1 Ochrana ovzdušia,</w:t>
      </w:r>
      <w:r w:rsidRPr="00E21C60">
        <w:rPr>
          <w:rFonts w:ascii="Arial" w:hAnsi="Arial" w:cs="Arial"/>
          <w:b/>
          <w:i/>
          <w:sz w:val="20"/>
          <w:szCs w:val="20"/>
        </w:rPr>
        <w:t xml:space="preserve"> </w:t>
      </w:r>
      <w:r w:rsidRPr="00E21C60">
        <w:rPr>
          <w:rFonts w:ascii="Arial" w:hAnsi="Arial" w:cs="Arial"/>
          <w:sz w:val="20"/>
          <w:szCs w:val="20"/>
        </w:rPr>
        <w:t xml:space="preserve">konkrétne nasledujúce aktivity: </w:t>
      </w:r>
    </w:p>
    <w:p w14:paraId="2F1CC2C3" w14:textId="77777777" w:rsidR="00214ECF" w:rsidRPr="00123376" w:rsidRDefault="00214ECF" w:rsidP="00DF6D90">
      <w:pPr>
        <w:pStyle w:val="Odsekzoznamu"/>
        <w:numPr>
          <w:ilvl w:val="0"/>
          <w:numId w:val="47"/>
        </w:numPr>
        <w:spacing w:before="120" w:after="120" w:line="240" w:lineRule="auto"/>
        <w:ind w:left="851" w:hanging="284"/>
        <w:jc w:val="both"/>
        <w:rPr>
          <w:rFonts w:ascii="Arial" w:hAnsi="Arial" w:cs="Arial"/>
          <w:i/>
          <w:sz w:val="20"/>
          <w:szCs w:val="20"/>
        </w:rPr>
      </w:pPr>
      <w:r w:rsidRPr="00123376">
        <w:rPr>
          <w:rFonts w:ascii="Arial" w:hAnsi="Arial" w:cs="Arial"/>
          <w:i/>
          <w:sz w:val="20"/>
          <w:szCs w:val="20"/>
        </w:rPr>
        <w:t>III. skupina: Riešenie kvality ovzdušia a skvalitňovanie a odborná podpora monitorovania emisií a kvality ovzdušia podľa požiadaviek EÚ ako aj skvalitnenie Národného emisného informačného systému (NEIS).</w:t>
      </w:r>
    </w:p>
    <w:p w14:paraId="7D687CA4" w14:textId="46920AEE" w:rsidR="00214ECF" w:rsidRPr="00E21C60" w:rsidRDefault="00214ECF" w:rsidP="00123376">
      <w:pPr>
        <w:spacing w:before="120" w:after="120"/>
        <w:jc w:val="both"/>
        <w:rPr>
          <w:rFonts w:ascii="Arial" w:hAnsi="Arial" w:cs="Arial"/>
          <w:sz w:val="20"/>
          <w:szCs w:val="20"/>
        </w:rPr>
      </w:pPr>
      <w:r w:rsidRPr="002526CC">
        <w:rPr>
          <w:rFonts w:ascii="Arial" w:hAnsi="Arial" w:cs="Arial"/>
          <w:sz w:val="20"/>
          <w:szCs w:val="20"/>
        </w:rPr>
        <w:t xml:space="preserve">Význam vyššie uvedenej skupiny aktivít OP ŽP z hľadiska ich súvislosti s cieľmi </w:t>
      </w:r>
      <w:r w:rsidRPr="00E21C60">
        <w:rPr>
          <w:rFonts w:ascii="Arial" w:hAnsi="Arial" w:cs="Arial"/>
          <w:sz w:val="20"/>
          <w:szCs w:val="20"/>
        </w:rPr>
        <w:t xml:space="preserve">Dunajskej stratégie </w:t>
      </w:r>
      <w:r w:rsidR="0005748A">
        <w:rPr>
          <w:rFonts w:ascii="Arial" w:hAnsi="Arial" w:cs="Arial"/>
          <w:sz w:val="20"/>
          <w:szCs w:val="20"/>
        </w:rPr>
        <w:t>bol</w:t>
      </w:r>
      <w:r w:rsidRPr="00E21C60">
        <w:rPr>
          <w:rFonts w:ascii="Arial" w:hAnsi="Arial" w:cs="Arial"/>
          <w:sz w:val="20"/>
          <w:szCs w:val="20"/>
        </w:rPr>
        <w:t xml:space="preserve"> skôr okrajový. Ich korelácia s prioritami Dunajskej stratégie súvisí najmä s ich potenciálom pôsobiť svojimi výsledkami na dunajský makroregión alebo aspoň na jeho významnú časť, keďže aktivity tohto typu </w:t>
      </w:r>
      <w:r w:rsidR="00D16369">
        <w:rPr>
          <w:rFonts w:ascii="Arial" w:hAnsi="Arial" w:cs="Arial"/>
          <w:sz w:val="20"/>
          <w:szCs w:val="20"/>
        </w:rPr>
        <w:t>boli</w:t>
      </w:r>
      <w:r w:rsidR="00D16369" w:rsidRPr="00E21C60">
        <w:rPr>
          <w:rFonts w:ascii="Arial" w:hAnsi="Arial" w:cs="Arial"/>
          <w:sz w:val="20"/>
          <w:szCs w:val="20"/>
        </w:rPr>
        <w:t xml:space="preserve"> </w:t>
      </w:r>
      <w:r w:rsidRPr="00E21C60">
        <w:rPr>
          <w:rFonts w:ascii="Arial" w:hAnsi="Arial" w:cs="Arial"/>
          <w:sz w:val="20"/>
          <w:szCs w:val="20"/>
        </w:rPr>
        <w:t>zamerané na skvalitňovanie monitorovacieho systému kvality ovzdušia SR v zmysle požiadaviek smerníc EÚ a dovybavenie meracích staníc Národnej monitorovacej siete kvality ovzdušia s cieľom zjednotenia systémov monitorovania a prenosu dát o kvalite ovzdušie, čo prispe</w:t>
      </w:r>
      <w:r w:rsidR="00F55468">
        <w:rPr>
          <w:rFonts w:ascii="Arial" w:hAnsi="Arial" w:cs="Arial"/>
          <w:sz w:val="20"/>
          <w:szCs w:val="20"/>
        </w:rPr>
        <w:t>lo</w:t>
      </w:r>
      <w:r w:rsidRPr="00E21C60">
        <w:rPr>
          <w:rFonts w:ascii="Arial" w:hAnsi="Arial" w:cs="Arial"/>
          <w:sz w:val="20"/>
          <w:szCs w:val="20"/>
        </w:rPr>
        <w:t xml:space="preserve"> ku kompatibilite a porovnateľnosti týchto dát v rámci jednotlivých krajín v povodí Dunaja.</w:t>
      </w:r>
    </w:p>
    <w:p w14:paraId="0703D822" w14:textId="77777777" w:rsidR="001A699D" w:rsidRDefault="001A699D" w:rsidP="00123376">
      <w:pPr>
        <w:jc w:val="both"/>
        <w:rPr>
          <w:rFonts w:ascii="Arial" w:hAnsi="Arial" w:cs="Arial"/>
          <w:sz w:val="20"/>
          <w:szCs w:val="20"/>
        </w:rPr>
      </w:pPr>
    </w:p>
    <w:p w14:paraId="39874793" w14:textId="77777777" w:rsidR="001A699D" w:rsidRDefault="001A699D" w:rsidP="00123376">
      <w:pPr>
        <w:jc w:val="both"/>
        <w:rPr>
          <w:rFonts w:ascii="Arial" w:hAnsi="Arial" w:cs="Arial"/>
          <w:sz w:val="20"/>
          <w:szCs w:val="20"/>
        </w:rPr>
      </w:pPr>
    </w:p>
    <w:p w14:paraId="15D1A739" w14:textId="77777777" w:rsidR="001A699D" w:rsidRDefault="001A699D" w:rsidP="00123376">
      <w:pPr>
        <w:jc w:val="both"/>
        <w:rPr>
          <w:rFonts w:ascii="Arial" w:hAnsi="Arial" w:cs="Arial"/>
          <w:sz w:val="20"/>
          <w:szCs w:val="20"/>
        </w:rPr>
      </w:pPr>
    </w:p>
    <w:p w14:paraId="270900DD" w14:textId="77777777" w:rsidR="001A699D" w:rsidRDefault="001A699D" w:rsidP="00123376">
      <w:pPr>
        <w:jc w:val="both"/>
        <w:rPr>
          <w:rFonts w:ascii="Arial" w:hAnsi="Arial" w:cs="Arial"/>
          <w:sz w:val="20"/>
          <w:szCs w:val="20"/>
        </w:rPr>
      </w:pPr>
    </w:p>
    <w:p w14:paraId="2C829C8F" w14:textId="18E65B0E" w:rsidR="00214ECF" w:rsidRPr="00E21C60" w:rsidRDefault="00214ECF" w:rsidP="00123376">
      <w:pPr>
        <w:jc w:val="both"/>
        <w:rPr>
          <w:rFonts w:ascii="Arial" w:hAnsi="Arial" w:cs="Arial"/>
          <w:sz w:val="20"/>
          <w:szCs w:val="20"/>
        </w:rPr>
      </w:pPr>
      <w:r w:rsidRPr="00E21C60">
        <w:rPr>
          <w:rFonts w:ascii="Arial" w:hAnsi="Arial" w:cs="Arial"/>
          <w:sz w:val="20"/>
          <w:szCs w:val="20"/>
        </w:rPr>
        <w:lastRenderedPageBreak/>
        <w:t>Tab</w:t>
      </w:r>
      <w:r w:rsidR="00175163" w:rsidRPr="00E21C60">
        <w:rPr>
          <w:rFonts w:ascii="Arial" w:hAnsi="Arial" w:cs="Arial"/>
          <w:sz w:val="20"/>
          <w:szCs w:val="20"/>
        </w:rPr>
        <w:t>uľka</w:t>
      </w:r>
      <w:r w:rsidRPr="00E21C60">
        <w:rPr>
          <w:rFonts w:ascii="Arial" w:hAnsi="Arial" w:cs="Arial"/>
          <w:sz w:val="20"/>
          <w:szCs w:val="20"/>
        </w:rPr>
        <w:t xml:space="preserve"> č. </w:t>
      </w:r>
      <w:r w:rsidR="00A75220" w:rsidRPr="00E21C60">
        <w:rPr>
          <w:rFonts w:ascii="Arial" w:hAnsi="Arial" w:cs="Arial"/>
          <w:sz w:val="20"/>
          <w:szCs w:val="20"/>
        </w:rPr>
        <w:t>2</w:t>
      </w:r>
      <w:r w:rsidR="007B1CB9">
        <w:rPr>
          <w:rFonts w:ascii="Arial" w:hAnsi="Arial" w:cs="Arial"/>
          <w:sz w:val="20"/>
          <w:szCs w:val="20"/>
        </w:rPr>
        <w:t>9</w:t>
      </w:r>
      <w:r w:rsidRPr="00E21C60">
        <w:rPr>
          <w:rFonts w:ascii="Arial" w:hAnsi="Arial" w:cs="Arial"/>
          <w:sz w:val="20"/>
          <w:szCs w:val="20"/>
        </w:rPr>
        <w:t>: Príklad projektu</w:t>
      </w:r>
    </w:p>
    <w:tbl>
      <w:tblPr>
        <w:tblW w:w="9080" w:type="dxa"/>
        <w:tblInd w:w="55" w:type="dxa"/>
        <w:tblCellMar>
          <w:left w:w="70" w:type="dxa"/>
          <w:right w:w="70" w:type="dxa"/>
        </w:tblCellMar>
        <w:tblLook w:val="04A0" w:firstRow="1" w:lastRow="0" w:firstColumn="1" w:lastColumn="0" w:noHBand="0" w:noVBand="1"/>
      </w:tblPr>
      <w:tblGrid>
        <w:gridCol w:w="2356"/>
        <w:gridCol w:w="2127"/>
        <w:gridCol w:w="1075"/>
        <w:gridCol w:w="1174"/>
        <w:gridCol w:w="1174"/>
        <w:gridCol w:w="1174"/>
      </w:tblGrid>
      <w:tr w:rsidR="00F03EB4" w:rsidRPr="00E21C60" w14:paraId="2053F51F" w14:textId="77777777" w:rsidTr="007D7B08">
        <w:trPr>
          <w:trHeight w:val="225"/>
        </w:trPr>
        <w:tc>
          <w:tcPr>
            <w:tcW w:w="2356"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9BCF2E4"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Názov projektu</w:t>
            </w:r>
          </w:p>
        </w:tc>
        <w:tc>
          <w:tcPr>
            <w:tcW w:w="2127"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0BEDF9B"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Žiadateľ</w:t>
            </w:r>
          </w:p>
        </w:tc>
        <w:tc>
          <w:tcPr>
            <w:tcW w:w="10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59521CA" w14:textId="3EF8E65C" w:rsidR="00F03EB4" w:rsidRPr="00E21C60" w:rsidRDefault="00F03EB4" w:rsidP="00FF000F">
            <w:pPr>
              <w:jc w:val="center"/>
              <w:rPr>
                <w:rFonts w:ascii="Arial" w:hAnsi="Arial" w:cs="Arial"/>
                <w:b/>
                <w:bCs/>
                <w:color w:val="000000"/>
                <w:sz w:val="16"/>
                <w:szCs w:val="16"/>
              </w:rPr>
            </w:pPr>
            <w:r w:rsidRPr="00E21C60">
              <w:rPr>
                <w:rFonts w:ascii="Arial" w:hAnsi="Arial" w:cs="Arial"/>
                <w:b/>
                <w:bCs/>
                <w:color w:val="000000"/>
                <w:sz w:val="16"/>
                <w:szCs w:val="16"/>
              </w:rPr>
              <w:t>Stav</w:t>
            </w:r>
            <w:r w:rsidRPr="00E21C60">
              <w:rPr>
                <w:rFonts w:ascii="Arial" w:hAnsi="Arial" w:cs="Arial"/>
                <w:b/>
                <w:bCs/>
                <w:color w:val="000000"/>
                <w:sz w:val="16"/>
                <w:szCs w:val="16"/>
              </w:rPr>
              <w:br/>
              <w:t>k 31.1</w:t>
            </w:r>
            <w:r w:rsidR="00FF000F">
              <w:rPr>
                <w:rFonts w:ascii="Arial" w:hAnsi="Arial" w:cs="Arial"/>
                <w:b/>
                <w:bCs/>
                <w:color w:val="000000"/>
                <w:sz w:val="16"/>
                <w:szCs w:val="16"/>
              </w:rPr>
              <w:t>0.2016</w:t>
            </w:r>
          </w:p>
        </w:tc>
        <w:tc>
          <w:tcPr>
            <w:tcW w:w="1174"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53E0C1E"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EÚ) v €</w:t>
            </w:r>
          </w:p>
        </w:tc>
        <w:tc>
          <w:tcPr>
            <w:tcW w:w="1174"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863842F"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ŠR) v €</w:t>
            </w:r>
          </w:p>
        </w:tc>
        <w:tc>
          <w:tcPr>
            <w:tcW w:w="1174"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CD2DC22"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(EÚ + ŠR) v €</w:t>
            </w:r>
          </w:p>
        </w:tc>
      </w:tr>
      <w:tr w:rsidR="00F03EB4" w:rsidRPr="00E21C60" w14:paraId="0C9F38E6" w14:textId="77777777" w:rsidTr="007D7B08">
        <w:trPr>
          <w:trHeight w:val="225"/>
        </w:trPr>
        <w:tc>
          <w:tcPr>
            <w:tcW w:w="2356"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FEF67E6" w14:textId="77777777" w:rsidR="00F03EB4" w:rsidRPr="00E21C60" w:rsidRDefault="00F03EB4">
            <w:pPr>
              <w:rPr>
                <w:rFonts w:ascii="Arial" w:hAnsi="Arial" w:cs="Arial"/>
                <w:b/>
                <w:bCs/>
                <w:color w:val="000000"/>
                <w:sz w:val="16"/>
                <w:szCs w:val="16"/>
              </w:rPr>
            </w:pPr>
          </w:p>
        </w:tc>
        <w:tc>
          <w:tcPr>
            <w:tcW w:w="2127"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E71C0E4" w14:textId="77777777" w:rsidR="00F03EB4" w:rsidRPr="00E21C60" w:rsidRDefault="00F03EB4">
            <w:pPr>
              <w:rPr>
                <w:rFonts w:ascii="Arial" w:hAnsi="Arial" w:cs="Arial"/>
                <w:b/>
                <w:bCs/>
                <w:color w:val="000000"/>
                <w:sz w:val="16"/>
                <w:szCs w:val="16"/>
              </w:rPr>
            </w:pPr>
          </w:p>
        </w:tc>
        <w:tc>
          <w:tcPr>
            <w:tcW w:w="10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D01B89A" w14:textId="77777777" w:rsidR="00F03EB4" w:rsidRPr="00E21C60" w:rsidRDefault="00F03EB4">
            <w:pPr>
              <w:rPr>
                <w:rFonts w:ascii="Arial" w:hAnsi="Arial" w:cs="Arial"/>
                <w:b/>
                <w:bCs/>
                <w:color w:val="000000"/>
                <w:sz w:val="16"/>
                <w:szCs w:val="16"/>
              </w:rPr>
            </w:pPr>
          </w:p>
        </w:tc>
        <w:tc>
          <w:tcPr>
            <w:tcW w:w="1174"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613DA9E" w14:textId="77777777" w:rsidR="00F03EB4" w:rsidRPr="00E21C60" w:rsidRDefault="00F03EB4">
            <w:pPr>
              <w:rPr>
                <w:rFonts w:ascii="Arial" w:hAnsi="Arial" w:cs="Arial"/>
                <w:b/>
                <w:bCs/>
                <w:color w:val="000000"/>
                <w:sz w:val="16"/>
                <w:szCs w:val="16"/>
              </w:rPr>
            </w:pPr>
          </w:p>
        </w:tc>
        <w:tc>
          <w:tcPr>
            <w:tcW w:w="1174"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2B69DBD" w14:textId="77777777" w:rsidR="00F03EB4" w:rsidRPr="00E21C60" w:rsidRDefault="00F03EB4">
            <w:pPr>
              <w:rPr>
                <w:rFonts w:ascii="Arial" w:hAnsi="Arial" w:cs="Arial"/>
                <w:b/>
                <w:bCs/>
                <w:color w:val="000000"/>
                <w:sz w:val="16"/>
                <w:szCs w:val="16"/>
              </w:rPr>
            </w:pPr>
          </w:p>
        </w:tc>
        <w:tc>
          <w:tcPr>
            <w:tcW w:w="1174"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2CE3A4C" w14:textId="77777777" w:rsidR="00F03EB4" w:rsidRPr="00E21C60" w:rsidRDefault="00F03EB4">
            <w:pPr>
              <w:rPr>
                <w:rFonts w:ascii="Arial" w:hAnsi="Arial" w:cs="Arial"/>
                <w:b/>
                <w:bCs/>
                <w:color w:val="000000"/>
                <w:sz w:val="16"/>
                <w:szCs w:val="16"/>
              </w:rPr>
            </w:pPr>
          </w:p>
        </w:tc>
      </w:tr>
      <w:tr w:rsidR="00F03EB4" w:rsidRPr="006D3E58" w14:paraId="3005929A" w14:textId="77777777" w:rsidTr="00123376">
        <w:trPr>
          <w:trHeight w:val="675"/>
        </w:trPr>
        <w:tc>
          <w:tcPr>
            <w:tcW w:w="2356" w:type="dxa"/>
            <w:tcBorders>
              <w:top w:val="nil"/>
              <w:left w:val="single" w:sz="4" w:space="0" w:color="auto"/>
              <w:bottom w:val="single" w:sz="4" w:space="0" w:color="auto"/>
              <w:right w:val="single" w:sz="4" w:space="0" w:color="auto"/>
            </w:tcBorders>
            <w:shd w:val="clear" w:color="000000" w:fill="EAF1DD"/>
            <w:vAlign w:val="center"/>
            <w:hideMark/>
          </w:tcPr>
          <w:p w14:paraId="53568760" w14:textId="77777777" w:rsidR="00F03EB4" w:rsidRPr="00CE0728" w:rsidRDefault="00F03EB4">
            <w:pPr>
              <w:rPr>
                <w:rFonts w:ascii="Arial" w:hAnsi="Arial" w:cs="Arial"/>
                <w:color w:val="000000"/>
                <w:sz w:val="16"/>
                <w:szCs w:val="16"/>
              </w:rPr>
            </w:pPr>
            <w:r w:rsidRPr="00CE0728">
              <w:rPr>
                <w:rFonts w:ascii="Arial" w:hAnsi="Arial" w:cs="Arial"/>
                <w:color w:val="000000"/>
                <w:sz w:val="16"/>
                <w:szCs w:val="16"/>
              </w:rPr>
              <w:t>Systémové a technologické zabezpečenie IS ovzdušia na SHMÚ</w:t>
            </w:r>
          </w:p>
        </w:tc>
        <w:tc>
          <w:tcPr>
            <w:tcW w:w="2127" w:type="dxa"/>
            <w:tcBorders>
              <w:top w:val="nil"/>
              <w:left w:val="nil"/>
              <w:bottom w:val="single" w:sz="4" w:space="0" w:color="auto"/>
              <w:right w:val="single" w:sz="4" w:space="0" w:color="auto"/>
            </w:tcBorders>
            <w:shd w:val="clear" w:color="auto" w:fill="auto"/>
            <w:vAlign w:val="center"/>
            <w:hideMark/>
          </w:tcPr>
          <w:p w14:paraId="39945414" w14:textId="77777777" w:rsidR="00F03EB4" w:rsidRPr="00CE0728" w:rsidRDefault="00F03EB4">
            <w:pPr>
              <w:rPr>
                <w:rFonts w:ascii="Arial" w:hAnsi="Arial" w:cs="Arial"/>
                <w:color w:val="000000"/>
                <w:sz w:val="16"/>
                <w:szCs w:val="16"/>
              </w:rPr>
            </w:pPr>
            <w:r w:rsidRPr="00CE0728">
              <w:rPr>
                <w:rFonts w:ascii="Arial" w:hAnsi="Arial" w:cs="Arial"/>
                <w:color w:val="000000"/>
                <w:sz w:val="16"/>
                <w:szCs w:val="16"/>
              </w:rPr>
              <w:t xml:space="preserve">Slovenský hydrometeorologický </w:t>
            </w:r>
          </w:p>
          <w:p w14:paraId="0A6A53D1" w14:textId="77777777" w:rsidR="00F03EB4" w:rsidRPr="00CE0728" w:rsidRDefault="00F03EB4">
            <w:pPr>
              <w:rPr>
                <w:rFonts w:ascii="Arial" w:hAnsi="Arial" w:cs="Arial"/>
                <w:color w:val="000000"/>
                <w:sz w:val="16"/>
                <w:szCs w:val="16"/>
              </w:rPr>
            </w:pPr>
            <w:r w:rsidRPr="00CE0728">
              <w:rPr>
                <w:rFonts w:ascii="Arial" w:hAnsi="Arial" w:cs="Arial"/>
                <w:color w:val="000000"/>
                <w:sz w:val="16"/>
                <w:szCs w:val="16"/>
              </w:rPr>
              <w:t>ústav</w:t>
            </w:r>
          </w:p>
        </w:tc>
        <w:tc>
          <w:tcPr>
            <w:tcW w:w="1075" w:type="dxa"/>
            <w:tcBorders>
              <w:top w:val="nil"/>
              <w:left w:val="nil"/>
              <w:bottom w:val="single" w:sz="4" w:space="0" w:color="auto"/>
              <w:right w:val="single" w:sz="4" w:space="0" w:color="auto"/>
            </w:tcBorders>
            <w:shd w:val="clear" w:color="auto" w:fill="auto"/>
            <w:vAlign w:val="center"/>
            <w:hideMark/>
          </w:tcPr>
          <w:p w14:paraId="2C1E3685" w14:textId="77777777" w:rsidR="00F03EB4" w:rsidRPr="00CE0728" w:rsidRDefault="00F03EB4">
            <w:pPr>
              <w:rPr>
                <w:rFonts w:ascii="Arial" w:hAnsi="Arial" w:cs="Arial"/>
                <w:color w:val="000000"/>
                <w:sz w:val="16"/>
                <w:szCs w:val="16"/>
              </w:rPr>
            </w:pPr>
            <w:r w:rsidRPr="00CE0728">
              <w:rPr>
                <w:rFonts w:ascii="Arial" w:hAnsi="Arial" w:cs="Arial"/>
                <w:color w:val="000000"/>
                <w:sz w:val="16"/>
                <w:szCs w:val="16"/>
              </w:rPr>
              <w:t>Riadne ukončený</w:t>
            </w:r>
          </w:p>
        </w:tc>
        <w:tc>
          <w:tcPr>
            <w:tcW w:w="1174" w:type="dxa"/>
            <w:tcBorders>
              <w:top w:val="nil"/>
              <w:left w:val="nil"/>
              <w:bottom w:val="single" w:sz="4" w:space="0" w:color="auto"/>
              <w:right w:val="single" w:sz="4" w:space="0" w:color="auto"/>
            </w:tcBorders>
            <w:shd w:val="clear" w:color="auto" w:fill="auto"/>
            <w:vAlign w:val="center"/>
            <w:hideMark/>
          </w:tcPr>
          <w:p w14:paraId="1E1E4BA2" w14:textId="10202CC0" w:rsidR="00F03EB4" w:rsidRPr="00CE0728" w:rsidRDefault="00F03EB4" w:rsidP="00E91CEC">
            <w:pPr>
              <w:jc w:val="center"/>
              <w:rPr>
                <w:rFonts w:ascii="Arial" w:hAnsi="Arial" w:cs="Arial"/>
                <w:color w:val="000000"/>
                <w:sz w:val="16"/>
                <w:szCs w:val="16"/>
              </w:rPr>
            </w:pPr>
            <w:r w:rsidRPr="00CE0728">
              <w:rPr>
                <w:rFonts w:ascii="Arial" w:hAnsi="Arial" w:cs="Arial"/>
                <w:color w:val="000000"/>
                <w:sz w:val="16"/>
                <w:szCs w:val="16"/>
              </w:rPr>
              <w:t>1 783 142</w:t>
            </w:r>
          </w:p>
        </w:tc>
        <w:tc>
          <w:tcPr>
            <w:tcW w:w="1174" w:type="dxa"/>
            <w:tcBorders>
              <w:top w:val="nil"/>
              <w:left w:val="nil"/>
              <w:bottom w:val="single" w:sz="4" w:space="0" w:color="auto"/>
              <w:right w:val="single" w:sz="4" w:space="0" w:color="auto"/>
            </w:tcBorders>
            <w:shd w:val="clear" w:color="auto" w:fill="auto"/>
            <w:vAlign w:val="center"/>
            <w:hideMark/>
          </w:tcPr>
          <w:p w14:paraId="0B484BFD" w14:textId="3D61882F" w:rsidR="00F03EB4" w:rsidRPr="00CE0728" w:rsidRDefault="00F03EB4" w:rsidP="00E91CEC">
            <w:pPr>
              <w:jc w:val="center"/>
              <w:rPr>
                <w:rFonts w:ascii="Arial" w:hAnsi="Arial" w:cs="Arial"/>
                <w:color w:val="000000"/>
                <w:sz w:val="16"/>
                <w:szCs w:val="16"/>
              </w:rPr>
            </w:pPr>
            <w:r w:rsidRPr="00CE0728">
              <w:rPr>
                <w:rFonts w:ascii="Arial" w:hAnsi="Arial" w:cs="Arial"/>
                <w:color w:val="000000"/>
                <w:sz w:val="16"/>
                <w:szCs w:val="16"/>
              </w:rPr>
              <w:t>314 672</w:t>
            </w:r>
          </w:p>
        </w:tc>
        <w:tc>
          <w:tcPr>
            <w:tcW w:w="1174" w:type="dxa"/>
            <w:tcBorders>
              <w:top w:val="nil"/>
              <w:left w:val="nil"/>
              <w:bottom w:val="single" w:sz="4" w:space="0" w:color="auto"/>
              <w:right w:val="single" w:sz="4" w:space="0" w:color="auto"/>
            </w:tcBorders>
            <w:shd w:val="clear" w:color="auto" w:fill="auto"/>
            <w:vAlign w:val="center"/>
            <w:hideMark/>
          </w:tcPr>
          <w:p w14:paraId="6F97DCFC" w14:textId="61B24305" w:rsidR="00F03EB4" w:rsidRPr="00CE0728" w:rsidRDefault="00F03EB4" w:rsidP="00E91CEC">
            <w:pPr>
              <w:jc w:val="center"/>
              <w:rPr>
                <w:rFonts w:ascii="Arial" w:hAnsi="Arial" w:cs="Arial"/>
                <w:color w:val="000000"/>
                <w:sz w:val="16"/>
                <w:szCs w:val="16"/>
              </w:rPr>
            </w:pPr>
            <w:r w:rsidRPr="00CE0728">
              <w:rPr>
                <w:rFonts w:ascii="Arial" w:hAnsi="Arial" w:cs="Arial"/>
                <w:color w:val="000000"/>
                <w:sz w:val="16"/>
                <w:szCs w:val="16"/>
              </w:rPr>
              <w:t>2 097 814</w:t>
            </w:r>
          </w:p>
        </w:tc>
      </w:tr>
    </w:tbl>
    <w:p w14:paraId="60D5FCE1" w14:textId="77777777" w:rsidR="00214ECF" w:rsidRPr="00123376" w:rsidRDefault="00214ECF" w:rsidP="00123376">
      <w:pPr>
        <w:jc w:val="both"/>
        <w:rPr>
          <w:rFonts w:ascii="Arial" w:hAnsi="Arial" w:cs="Arial"/>
          <w:sz w:val="16"/>
          <w:szCs w:val="16"/>
        </w:rPr>
      </w:pPr>
      <w:r w:rsidRPr="00123376">
        <w:rPr>
          <w:rFonts w:ascii="Arial" w:hAnsi="Arial" w:cs="Arial"/>
          <w:sz w:val="16"/>
          <w:szCs w:val="16"/>
        </w:rPr>
        <w:t>Zdroj: RO</w:t>
      </w:r>
    </w:p>
    <w:p w14:paraId="0C5322E7" w14:textId="77777777" w:rsidR="00214ECF" w:rsidRPr="00E21C60" w:rsidRDefault="00214ECF" w:rsidP="00DF6D90">
      <w:pPr>
        <w:numPr>
          <w:ilvl w:val="0"/>
          <w:numId w:val="48"/>
        </w:numPr>
        <w:spacing w:before="120" w:after="120"/>
        <w:ind w:left="851" w:hanging="284"/>
        <w:jc w:val="both"/>
        <w:rPr>
          <w:rFonts w:ascii="Arial" w:hAnsi="Arial" w:cs="Arial"/>
          <w:sz w:val="20"/>
          <w:szCs w:val="20"/>
        </w:rPr>
      </w:pPr>
      <w:r w:rsidRPr="002526CC">
        <w:rPr>
          <w:rFonts w:ascii="Arial" w:hAnsi="Arial" w:cs="Arial"/>
          <w:i/>
          <w:sz w:val="20"/>
          <w:szCs w:val="20"/>
        </w:rPr>
        <w:t>operačný cieľ 3.2 Minimalizácia nepriaznivých vplyvov zmeny klímy vrátane podpory obnovite</w:t>
      </w:r>
      <w:r w:rsidRPr="00E21C60">
        <w:rPr>
          <w:rFonts w:ascii="Arial" w:hAnsi="Arial" w:cs="Arial"/>
          <w:i/>
          <w:sz w:val="20"/>
          <w:szCs w:val="20"/>
        </w:rPr>
        <w:t>ľných zdrojov energie,</w:t>
      </w:r>
      <w:r w:rsidRPr="00E21C60">
        <w:rPr>
          <w:rFonts w:ascii="Arial" w:hAnsi="Arial" w:cs="Arial"/>
          <w:b/>
          <w:i/>
          <w:sz w:val="20"/>
          <w:szCs w:val="20"/>
        </w:rPr>
        <w:t xml:space="preserve"> </w:t>
      </w:r>
      <w:r w:rsidRPr="00E21C60">
        <w:rPr>
          <w:rFonts w:ascii="Arial" w:hAnsi="Arial" w:cs="Arial"/>
          <w:sz w:val="20"/>
          <w:szCs w:val="20"/>
        </w:rPr>
        <w:t xml:space="preserve">konkrétne nasledujúce aktivity: </w:t>
      </w:r>
    </w:p>
    <w:p w14:paraId="6C6E9F41" w14:textId="77777777" w:rsidR="00214ECF" w:rsidRPr="00123376" w:rsidRDefault="00214ECF" w:rsidP="00DF6D90">
      <w:pPr>
        <w:pStyle w:val="Odsekzoznamu"/>
        <w:numPr>
          <w:ilvl w:val="0"/>
          <w:numId w:val="48"/>
        </w:numPr>
        <w:spacing w:before="120" w:after="120" w:line="240" w:lineRule="auto"/>
        <w:ind w:left="851" w:hanging="284"/>
        <w:jc w:val="both"/>
        <w:rPr>
          <w:rFonts w:ascii="Arial" w:hAnsi="Arial" w:cs="Arial"/>
          <w:i/>
          <w:sz w:val="20"/>
          <w:szCs w:val="20"/>
        </w:rPr>
      </w:pPr>
      <w:r w:rsidRPr="00123376">
        <w:rPr>
          <w:rFonts w:ascii="Arial" w:hAnsi="Arial" w:cs="Arial"/>
          <w:i/>
          <w:sz w:val="20"/>
          <w:szCs w:val="20"/>
        </w:rPr>
        <w:t xml:space="preserve">II. skupina: Štúdie dopadov klimatických zmien na zložky životného prostredia, vrátane hodnotenia sociálno-ekonomických dôsledkov a návrhu opatrení </w:t>
      </w:r>
    </w:p>
    <w:p w14:paraId="6AE06850" w14:textId="3929C4D9" w:rsidR="00214ECF" w:rsidRPr="002526CC" w:rsidRDefault="00214ECF" w:rsidP="00123376">
      <w:pPr>
        <w:spacing w:before="120" w:after="120"/>
        <w:jc w:val="both"/>
        <w:rPr>
          <w:rFonts w:ascii="Arial" w:hAnsi="Arial" w:cs="Arial"/>
          <w:sz w:val="20"/>
          <w:szCs w:val="20"/>
        </w:rPr>
      </w:pPr>
      <w:r w:rsidRPr="002526CC">
        <w:rPr>
          <w:rFonts w:ascii="Arial" w:hAnsi="Arial" w:cs="Arial"/>
          <w:sz w:val="20"/>
          <w:szCs w:val="20"/>
        </w:rPr>
        <w:t>Aktivity v rámci vyššie uvedenej skupiny možno z </w:t>
      </w:r>
      <w:r w:rsidRPr="00E21C60">
        <w:rPr>
          <w:rFonts w:ascii="Arial" w:hAnsi="Arial" w:cs="Arial"/>
          <w:sz w:val="20"/>
          <w:szCs w:val="20"/>
        </w:rPr>
        <w:t xml:space="preserve">hľadiska ich korelácie s prioritami Dunajskej stratégie považovať za významné nielen v rámci </w:t>
      </w:r>
      <w:r w:rsidRPr="00123376">
        <w:rPr>
          <w:rFonts w:ascii="Arial" w:hAnsi="Arial" w:cs="Arial"/>
          <w:i/>
          <w:sz w:val="20"/>
          <w:szCs w:val="20"/>
        </w:rPr>
        <w:t>prioritnej oblasti 6. Chrániť biodiverzitu, krajinu a kvalitu ovzdušia a pôd</w:t>
      </w:r>
      <w:r w:rsidRPr="002526CC">
        <w:rPr>
          <w:rFonts w:ascii="Arial" w:hAnsi="Arial" w:cs="Arial"/>
          <w:sz w:val="20"/>
          <w:szCs w:val="20"/>
        </w:rPr>
        <w:t>, ale tiež vo vzťahu k predtým zmienenej </w:t>
      </w:r>
      <w:r w:rsidRPr="00123376">
        <w:rPr>
          <w:rFonts w:ascii="Arial" w:hAnsi="Arial" w:cs="Arial"/>
          <w:i/>
          <w:sz w:val="20"/>
          <w:szCs w:val="20"/>
        </w:rPr>
        <w:t>prioritnej oblasti 5. Riadiť riziká v oblasti životného prostredia</w:t>
      </w:r>
      <w:r w:rsidRPr="002526CC">
        <w:rPr>
          <w:rFonts w:ascii="Arial" w:hAnsi="Arial" w:cs="Arial"/>
          <w:sz w:val="20"/>
          <w:szCs w:val="20"/>
        </w:rPr>
        <w:t xml:space="preserve">. Ich hlavným zameraním </w:t>
      </w:r>
      <w:r w:rsidR="00F55468">
        <w:rPr>
          <w:rFonts w:ascii="Arial" w:hAnsi="Arial" w:cs="Arial"/>
          <w:sz w:val="20"/>
          <w:szCs w:val="20"/>
        </w:rPr>
        <w:t>bolo</w:t>
      </w:r>
      <w:r w:rsidRPr="002526CC">
        <w:rPr>
          <w:rFonts w:ascii="Arial" w:hAnsi="Arial" w:cs="Arial"/>
          <w:sz w:val="20"/>
          <w:szCs w:val="20"/>
        </w:rPr>
        <w:t xml:space="preserve"> vypracovanie štúdií dopadov klimatických zmien na zložky životného prostredia a ekonomické sektory s cieľom navrhnúť systém adaptačných opatrení vo vzťahu k prebiehajúcim klimatickým zmenám. </w:t>
      </w:r>
    </w:p>
    <w:p w14:paraId="1BB35154" w14:textId="77777777" w:rsidR="008E01A5" w:rsidRDefault="008E01A5" w:rsidP="00123376">
      <w:pPr>
        <w:jc w:val="both"/>
        <w:rPr>
          <w:rFonts w:ascii="Arial" w:hAnsi="Arial" w:cs="Arial"/>
          <w:sz w:val="20"/>
          <w:szCs w:val="20"/>
        </w:rPr>
      </w:pPr>
    </w:p>
    <w:p w14:paraId="3E0EADE3" w14:textId="02851253" w:rsidR="00214ECF" w:rsidRPr="00E21C60" w:rsidRDefault="00214ECF" w:rsidP="00123376">
      <w:pPr>
        <w:jc w:val="both"/>
        <w:rPr>
          <w:rFonts w:ascii="Arial" w:hAnsi="Arial" w:cs="Arial"/>
          <w:sz w:val="20"/>
          <w:szCs w:val="20"/>
        </w:rPr>
      </w:pPr>
      <w:r w:rsidRPr="002526CC">
        <w:rPr>
          <w:rFonts w:ascii="Arial" w:hAnsi="Arial" w:cs="Arial"/>
          <w:sz w:val="20"/>
          <w:szCs w:val="20"/>
        </w:rPr>
        <w:t>Tab</w:t>
      </w:r>
      <w:r w:rsidR="00175163" w:rsidRPr="00E21C60">
        <w:rPr>
          <w:rFonts w:ascii="Arial" w:hAnsi="Arial" w:cs="Arial"/>
          <w:sz w:val="20"/>
          <w:szCs w:val="20"/>
        </w:rPr>
        <w:t>uľka</w:t>
      </w:r>
      <w:r w:rsidRPr="00E21C60">
        <w:rPr>
          <w:rFonts w:ascii="Arial" w:hAnsi="Arial" w:cs="Arial"/>
          <w:sz w:val="20"/>
          <w:szCs w:val="20"/>
        </w:rPr>
        <w:t xml:space="preserve"> č. </w:t>
      </w:r>
      <w:r w:rsidR="007B1CB9">
        <w:rPr>
          <w:rFonts w:ascii="Arial" w:hAnsi="Arial" w:cs="Arial"/>
          <w:sz w:val="20"/>
          <w:szCs w:val="20"/>
        </w:rPr>
        <w:t>30</w:t>
      </w:r>
      <w:r w:rsidRPr="00E21C60">
        <w:rPr>
          <w:rFonts w:ascii="Arial" w:hAnsi="Arial" w:cs="Arial"/>
          <w:sz w:val="20"/>
          <w:szCs w:val="20"/>
        </w:rPr>
        <w:t>: Príklad projektu</w:t>
      </w:r>
    </w:p>
    <w:tbl>
      <w:tblPr>
        <w:tblW w:w="9080" w:type="dxa"/>
        <w:tblInd w:w="55" w:type="dxa"/>
        <w:tblCellMar>
          <w:left w:w="70" w:type="dxa"/>
          <w:right w:w="70" w:type="dxa"/>
        </w:tblCellMar>
        <w:tblLook w:val="04A0" w:firstRow="1" w:lastRow="0" w:firstColumn="1" w:lastColumn="0" w:noHBand="0" w:noVBand="1"/>
      </w:tblPr>
      <w:tblGrid>
        <w:gridCol w:w="2354"/>
        <w:gridCol w:w="2126"/>
        <w:gridCol w:w="1075"/>
        <w:gridCol w:w="1175"/>
        <w:gridCol w:w="1175"/>
        <w:gridCol w:w="1175"/>
      </w:tblGrid>
      <w:tr w:rsidR="00F03EB4" w:rsidRPr="00E21C60" w14:paraId="06005822" w14:textId="77777777" w:rsidTr="007D7B08">
        <w:trPr>
          <w:trHeight w:val="225"/>
        </w:trPr>
        <w:tc>
          <w:tcPr>
            <w:tcW w:w="2354"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431BBCC"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Názov projektu</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2FE7540"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Žiadateľ</w:t>
            </w:r>
          </w:p>
        </w:tc>
        <w:tc>
          <w:tcPr>
            <w:tcW w:w="10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6E4E08E" w14:textId="4F681B3C" w:rsidR="00F03EB4" w:rsidRPr="00E21C60" w:rsidRDefault="00F03EB4" w:rsidP="00FF000F">
            <w:pPr>
              <w:jc w:val="center"/>
              <w:rPr>
                <w:rFonts w:ascii="Arial" w:hAnsi="Arial" w:cs="Arial"/>
                <w:b/>
                <w:bCs/>
                <w:color w:val="000000"/>
                <w:sz w:val="16"/>
                <w:szCs w:val="16"/>
              </w:rPr>
            </w:pPr>
            <w:r w:rsidRPr="00E21C60">
              <w:rPr>
                <w:rFonts w:ascii="Arial" w:hAnsi="Arial" w:cs="Arial"/>
                <w:b/>
                <w:bCs/>
                <w:color w:val="000000"/>
                <w:sz w:val="16"/>
                <w:szCs w:val="16"/>
              </w:rPr>
              <w:t>Stav</w:t>
            </w:r>
            <w:r w:rsidRPr="00E21C60">
              <w:rPr>
                <w:rFonts w:ascii="Arial" w:hAnsi="Arial" w:cs="Arial"/>
                <w:b/>
                <w:bCs/>
                <w:color w:val="000000"/>
                <w:sz w:val="16"/>
                <w:szCs w:val="16"/>
              </w:rPr>
              <w:br/>
              <w:t>k 31.1</w:t>
            </w:r>
            <w:r w:rsidR="00FF000F">
              <w:rPr>
                <w:rFonts w:ascii="Arial" w:hAnsi="Arial" w:cs="Arial"/>
                <w:b/>
                <w:bCs/>
                <w:color w:val="000000"/>
                <w:sz w:val="16"/>
                <w:szCs w:val="16"/>
              </w:rPr>
              <w:t>0.2016</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5878C4A"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EÚ) v €</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C1DD184"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ŠR) v €</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EFB9E9A"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(EÚ + ŠR) v €</w:t>
            </w:r>
          </w:p>
        </w:tc>
      </w:tr>
      <w:tr w:rsidR="00F03EB4" w:rsidRPr="00E21C60" w14:paraId="7725AB52" w14:textId="77777777" w:rsidTr="007D7B08">
        <w:trPr>
          <w:trHeight w:val="225"/>
        </w:trPr>
        <w:tc>
          <w:tcPr>
            <w:tcW w:w="2354"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641D030" w14:textId="77777777" w:rsidR="00F03EB4" w:rsidRPr="00E21C60" w:rsidRDefault="00F03EB4">
            <w:pPr>
              <w:rPr>
                <w:rFonts w:ascii="Arial" w:hAnsi="Arial" w:cs="Arial"/>
                <w:b/>
                <w:bCs/>
                <w:color w:val="000000"/>
                <w:sz w:val="16"/>
                <w:szCs w:val="16"/>
              </w:rPr>
            </w:pPr>
          </w:p>
        </w:tc>
        <w:tc>
          <w:tcPr>
            <w:tcW w:w="2126"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5DCB85A" w14:textId="77777777" w:rsidR="00F03EB4" w:rsidRPr="00E21C60" w:rsidRDefault="00F03EB4">
            <w:pPr>
              <w:rPr>
                <w:rFonts w:ascii="Arial" w:hAnsi="Arial" w:cs="Arial"/>
                <w:b/>
                <w:bCs/>
                <w:color w:val="000000"/>
                <w:sz w:val="16"/>
                <w:szCs w:val="16"/>
              </w:rPr>
            </w:pPr>
          </w:p>
        </w:tc>
        <w:tc>
          <w:tcPr>
            <w:tcW w:w="10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F991249" w14:textId="77777777" w:rsidR="00F03EB4" w:rsidRPr="00E21C60" w:rsidRDefault="00F03EB4">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E5F6032" w14:textId="77777777" w:rsidR="00F03EB4" w:rsidRPr="00E21C60" w:rsidRDefault="00F03EB4">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BFA4ABD" w14:textId="77777777" w:rsidR="00F03EB4" w:rsidRPr="00E21C60" w:rsidRDefault="00F03EB4">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C11EFB5" w14:textId="77777777" w:rsidR="00F03EB4" w:rsidRPr="00E21C60" w:rsidRDefault="00F03EB4">
            <w:pPr>
              <w:rPr>
                <w:rFonts w:ascii="Arial" w:hAnsi="Arial" w:cs="Arial"/>
                <w:b/>
                <w:bCs/>
                <w:color w:val="000000"/>
                <w:sz w:val="16"/>
                <w:szCs w:val="16"/>
              </w:rPr>
            </w:pPr>
          </w:p>
        </w:tc>
      </w:tr>
      <w:tr w:rsidR="00F03EB4" w:rsidRPr="006D3E58" w14:paraId="47B9E4FF" w14:textId="77777777" w:rsidTr="00123376">
        <w:trPr>
          <w:trHeight w:val="628"/>
        </w:trPr>
        <w:tc>
          <w:tcPr>
            <w:tcW w:w="2354" w:type="dxa"/>
            <w:tcBorders>
              <w:top w:val="nil"/>
              <w:left w:val="single" w:sz="4" w:space="0" w:color="auto"/>
              <w:bottom w:val="single" w:sz="4" w:space="0" w:color="auto"/>
              <w:right w:val="single" w:sz="4" w:space="0" w:color="auto"/>
            </w:tcBorders>
            <w:shd w:val="clear" w:color="000000" w:fill="EAF1DD"/>
            <w:vAlign w:val="center"/>
            <w:hideMark/>
          </w:tcPr>
          <w:p w14:paraId="7B2A6E4F" w14:textId="77777777" w:rsidR="00F03EB4" w:rsidRPr="00CE0728" w:rsidRDefault="00F03EB4">
            <w:pPr>
              <w:rPr>
                <w:rFonts w:ascii="Arial" w:hAnsi="Arial" w:cs="Arial"/>
                <w:color w:val="000000"/>
                <w:sz w:val="16"/>
                <w:szCs w:val="16"/>
              </w:rPr>
            </w:pPr>
            <w:r w:rsidRPr="00CE0728">
              <w:rPr>
                <w:rFonts w:ascii="Arial" w:hAnsi="Arial" w:cs="Arial"/>
                <w:color w:val="000000"/>
                <w:sz w:val="16"/>
                <w:szCs w:val="16"/>
              </w:rPr>
              <w:t xml:space="preserve">Dôsledky klimatickej zmeny a možné adaptačné opatrenia v jednotlivých sektoroch na Slovensku </w:t>
            </w:r>
          </w:p>
        </w:tc>
        <w:tc>
          <w:tcPr>
            <w:tcW w:w="2126" w:type="dxa"/>
            <w:tcBorders>
              <w:top w:val="nil"/>
              <w:left w:val="nil"/>
              <w:bottom w:val="single" w:sz="4" w:space="0" w:color="auto"/>
              <w:right w:val="single" w:sz="4" w:space="0" w:color="auto"/>
            </w:tcBorders>
            <w:shd w:val="clear" w:color="auto" w:fill="auto"/>
            <w:vAlign w:val="center"/>
            <w:hideMark/>
          </w:tcPr>
          <w:p w14:paraId="25D6C0EA" w14:textId="77777777" w:rsidR="00F03EB4" w:rsidRPr="00CE0728" w:rsidRDefault="00F03EB4">
            <w:pPr>
              <w:rPr>
                <w:rFonts w:ascii="Arial" w:hAnsi="Arial" w:cs="Arial"/>
                <w:color w:val="000000"/>
                <w:sz w:val="16"/>
                <w:szCs w:val="16"/>
              </w:rPr>
            </w:pPr>
            <w:r w:rsidRPr="00CE0728">
              <w:rPr>
                <w:rFonts w:ascii="Arial" w:hAnsi="Arial" w:cs="Arial"/>
                <w:color w:val="000000"/>
                <w:sz w:val="16"/>
                <w:szCs w:val="16"/>
              </w:rPr>
              <w:t>Slovenský hydrometeorologický</w:t>
            </w:r>
          </w:p>
          <w:p w14:paraId="3AB3A05C" w14:textId="77777777" w:rsidR="00F03EB4" w:rsidRPr="00CE0728" w:rsidRDefault="00F03EB4">
            <w:pPr>
              <w:rPr>
                <w:rFonts w:ascii="Arial" w:hAnsi="Arial" w:cs="Arial"/>
                <w:color w:val="000000"/>
                <w:sz w:val="16"/>
                <w:szCs w:val="16"/>
              </w:rPr>
            </w:pPr>
            <w:r w:rsidRPr="00CE0728">
              <w:rPr>
                <w:rFonts w:ascii="Arial" w:hAnsi="Arial" w:cs="Arial"/>
                <w:color w:val="000000"/>
                <w:sz w:val="16"/>
                <w:szCs w:val="16"/>
              </w:rPr>
              <w:t>ústav</w:t>
            </w:r>
          </w:p>
        </w:tc>
        <w:tc>
          <w:tcPr>
            <w:tcW w:w="1075" w:type="dxa"/>
            <w:tcBorders>
              <w:top w:val="nil"/>
              <w:left w:val="nil"/>
              <w:bottom w:val="single" w:sz="4" w:space="0" w:color="auto"/>
              <w:right w:val="single" w:sz="4" w:space="0" w:color="auto"/>
            </w:tcBorders>
            <w:shd w:val="clear" w:color="auto" w:fill="auto"/>
            <w:vAlign w:val="center"/>
            <w:hideMark/>
          </w:tcPr>
          <w:p w14:paraId="181BAA9D" w14:textId="77777777" w:rsidR="00F03EB4" w:rsidRPr="00CE0728" w:rsidRDefault="00F03EB4">
            <w:pPr>
              <w:rPr>
                <w:rFonts w:ascii="Arial" w:hAnsi="Arial" w:cs="Arial"/>
                <w:color w:val="000000"/>
                <w:sz w:val="16"/>
                <w:szCs w:val="16"/>
              </w:rPr>
            </w:pPr>
            <w:r w:rsidRPr="00CE0728">
              <w:rPr>
                <w:rFonts w:ascii="Arial" w:hAnsi="Arial" w:cs="Arial"/>
                <w:color w:val="000000"/>
                <w:sz w:val="16"/>
                <w:szCs w:val="16"/>
              </w:rPr>
              <w:t>Riadne ukončený</w:t>
            </w:r>
          </w:p>
        </w:tc>
        <w:tc>
          <w:tcPr>
            <w:tcW w:w="1175" w:type="dxa"/>
            <w:tcBorders>
              <w:top w:val="nil"/>
              <w:left w:val="nil"/>
              <w:bottom w:val="single" w:sz="4" w:space="0" w:color="auto"/>
              <w:right w:val="single" w:sz="4" w:space="0" w:color="auto"/>
            </w:tcBorders>
            <w:shd w:val="clear" w:color="auto" w:fill="auto"/>
            <w:vAlign w:val="center"/>
            <w:hideMark/>
          </w:tcPr>
          <w:p w14:paraId="786CFD8F" w14:textId="0EC20FC1" w:rsidR="00F03EB4" w:rsidRPr="00CE0728" w:rsidRDefault="00F03EB4" w:rsidP="00E91CEC">
            <w:pPr>
              <w:jc w:val="center"/>
              <w:rPr>
                <w:rFonts w:ascii="Arial" w:hAnsi="Arial" w:cs="Arial"/>
                <w:color w:val="000000"/>
                <w:sz w:val="16"/>
                <w:szCs w:val="16"/>
              </w:rPr>
            </w:pPr>
            <w:r w:rsidRPr="00CE0728">
              <w:rPr>
                <w:rFonts w:ascii="Arial" w:hAnsi="Arial" w:cs="Arial"/>
                <w:color w:val="000000"/>
                <w:sz w:val="16"/>
                <w:szCs w:val="16"/>
              </w:rPr>
              <w:t>125 080</w:t>
            </w:r>
          </w:p>
        </w:tc>
        <w:tc>
          <w:tcPr>
            <w:tcW w:w="1175" w:type="dxa"/>
            <w:tcBorders>
              <w:top w:val="nil"/>
              <w:left w:val="nil"/>
              <w:bottom w:val="single" w:sz="4" w:space="0" w:color="auto"/>
              <w:right w:val="single" w:sz="4" w:space="0" w:color="auto"/>
            </w:tcBorders>
            <w:shd w:val="clear" w:color="auto" w:fill="auto"/>
            <w:vAlign w:val="center"/>
            <w:hideMark/>
          </w:tcPr>
          <w:p w14:paraId="08483D74" w14:textId="45E31908" w:rsidR="00F03EB4" w:rsidRPr="00CE0728" w:rsidRDefault="00F03EB4" w:rsidP="00E91CEC">
            <w:pPr>
              <w:jc w:val="center"/>
              <w:rPr>
                <w:rFonts w:ascii="Arial" w:hAnsi="Arial" w:cs="Arial"/>
                <w:color w:val="000000"/>
                <w:sz w:val="16"/>
                <w:szCs w:val="16"/>
              </w:rPr>
            </w:pPr>
            <w:r w:rsidRPr="00CE0728">
              <w:rPr>
                <w:rFonts w:ascii="Arial" w:hAnsi="Arial" w:cs="Arial"/>
                <w:color w:val="000000"/>
                <w:sz w:val="16"/>
                <w:szCs w:val="16"/>
              </w:rPr>
              <w:t>22 07</w:t>
            </w:r>
            <w:r w:rsidR="00E91CEC">
              <w:rPr>
                <w:rFonts w:ascii="Arial" w:hAnsi="Arial" w:cs="Arial"/>
                <w:color w:val="000000"/>
                <w:sz w:val="16"/>
                <w:szCs w:val="16"/>
              </w:rPr>
              <w:t>3</w:t>
            </w:r>
          </w:p>
        </w:tc>
        <w:tc>
          <w:tcPr>
            <w:tcW w:w="1175" w:type="dxa"/>
            <w:tcBorders>
              <w:top w:val="nil"/>
              <w:left w:val="nil"/>
              <w:bottom w:val="single" w:sz="4" w:space="0" w:color="auto"/>
              <w:right w:val="single" w:sz="4" w:space="0" w:color="auto"/>
            </w:tcBorders>
            <w:shd w:val="clear" w:color="auto" w:fill="auto"/>
            <w:vAlign w:val="center"/>
            <w:hideMark/>
          </w:tcPr>
          <w:p w14:paraId="566A5133" w14:textId="34443168" w:rsidR="00F03EB4" w:rsidRPr="00CE0728" w:rsidRDefault="00F03EB4" w:rsidP="00E91CEC">
            <w:pPr>
              <w:jc w:val="center"/>
              <w:rPr>
                <w:rFonts w:ascii="Arial" w:hAnsi="Arial" w:cs="Arial"/>
                <w:color w:val="000000"/>
                <w:sz w:val="16"/>
                <w:szCs w:val="16"/>
              </w:rPr>
            </w:pPr>
            <w:r w:rsidRPr="00CE0728">
              <w:rPr>
                <w:rFonts w:ascii="Arial" w:hAnsi="Arial" w:cs="Arial"/>
                <w:color w:val="000000"/>
                <w:sz w:val="16"/>
                <w:szCs w:val="16"/>
              </w:rPr>
              <w:t>147 153</w:t>
            </w:r>
          </w:p>
        </w:tc>
      </w:tr>
    </w:tbl>
    <w:p w14:paraId="4192F1D0" w14:textId="77777777" w:rsidR="00214ECF" w:rsidRPr="00123376" w:rsidRDefault="00214ECF" w:rsidP="00123376">
      <w:pPr>
        <w:jc w:val="both"/>
        <w:rPr>
          <w:rFonts w:ascii="Arial" w:hAnsi="Arial" w:cs="Arial"/>
          <w:sz w:val="16"/>
          <w:szCs w:val="16"/>
        </w:rPr>
      </w:pPr>
      <w:r w:rsidRPr="00123376">
        <w:rPr>
          <w:rFonts w:ascii="Arial" w:hAnsi="Arial" w:cs="Arial"/>
          <w:sz w:val="16"/>
          <w:szCs w:val="16"/>
        </w:rPr>
        <w:t>Zdroj: RO</w:t>
      </w:r>
    </w:p>
    <w:p w14:paraId="3D5396F9" w14:textId="6BE4245B" w:rsidR="00214ECF" w:rsidRPr="00123376" w:rsidRDefault="00214ECF" w:rsidP="00DF6D90">
      <w:pPr>
        <w:numPr>
          <w:ilvl w:val="0"/>
          <w:numId w:val="19"/>
        </w:numPr>
        <w:tabs>
          <w:tab w:val="clear" w:pos="1440"/>
        </w:tabs>
        <w:spacing w:before="120" w:after="120"/>
        <w:ind w:left="426" w:hanging="284"/>
        <w:jc w:val="both"/>
        <w:rPr>
          <w:rFonts w:ascii="Arial" w:hAnsi="Arial" w:cs="Arial"/>
          <w:i/>
          <w:sz w:val="20"/>
          <w:szCs w:val="20"/>
        </w:rPr>
      </w:pPr>
      <w:r w:rsidRPr="00123376">
        <w:rPr>
          <w:rFonts w:ascii="Arial" w:hAnsi="Arial" w:cs="Arial"/>
          <w:i/>
          <w:sz w:val="20"/>
          <w:szCs w:val="20"/>
        </w:rPr>
        <w:t>Prioritná os 4 Odpadové hospodárstvo</w:t>
      </w:r>
      <w:r w:rsidRPr="00123376">
        <w:rPr>
          <w:rFonts w:ascii="Arial" w:hAnsi="Arial" w:cs="Arial"/>
          <w:b/>
          <w:i/>
          <w:sz w:val="20"/>
          <w:szCs w:val="20"/>
        </w:rPr>
        <w:t xml:space="preserve">, </w:t>
      </w:r>
      <w:r w:rsidRPr="00123376">
        <w:rPr>
          <w:rFonts w:ascii="Arial" w:hAnsi="Arial" w:cs="Arial"/>
          <w:i/>
          <w:sz w:val="20"/>
          <w:szCs w:val="20"/>
        </w:rPr>
        <w:t>v rámci ktore</w:t>
      </w:r>
      <w:r w:rsidR="00C60C00">
        <w:rPr>
          <w:rFonts w:ascii="Arial" w:hAnsi="Arial" w:cs="Arial"/>
          <w:i/>
          <w:sz w:val="20"/>
          <w:szCs w:val="20"/>
        </w:rPr>
        <w:t xml:space="preserve">j </w:t>
      </w:r>
      <w:r w:rsidR="00EB4D1D">
        <w:rPr>
          <w:rFonts w:ascii="Arial" w:hAnsi="Arial" w:cs="Arial"/>
          <w:i/>
          <w:sz w:val="20"/>
          <w:szCs w:val="20"/>
        </w:rPr>
        <w:t xml:space="preserve">boli </w:t>
      </w:r>
      <w:r w:rsidR="00C60C00">
        <w:rPr>
          <w:rFonts w:ascii="Arial" w:hAnsi="Arial" w:cs="Arial"/>
          <w:i/>
          <w:sz w:val="20"/>
          <w:szCs w:val="20"/>
        </w:rPr>
        <w:t>nasledovné ciele</w:t>
      </w:r>
      <w:r w:rsidRPr="00123376">
        <w:rPr>
          <w:rFonts w:ascii="Arial" w:hAnsi="Arial" w:cs="Arial"/>
          <w:i/>
          <w:sz w:val="20"/>
          <w:szCs w:val="20"/>
        </w:rPr>
        <w:t>:</w:t>
      </w:r>
      <w:r w:rsidRPr="00123376">
        <w:rPr>
          <w:rFonts w:ascii="Arial" w:hAnsi="Arial" w:cs="Arial"/>
          <w:b/>
          <w:i/>
          <w:sz w:val="20"/>
          <w:szCs w:val="20"/>
        </w:rPr>
        <w:t xml:space="preserve"> </w:t>
      </w:r>
    </w:p>
    <w:p w14:paraId="0E29974D" w14:textId="77777777" w:rsidR="00CC77CD" w:rsidRPr="00123376" w:rsidRDefault="00214ECF" w:rsidP="00DF6D90">
      <w:pPr>
        <w:pStyle w:val="Odsekzoznamu"/>
        <w:numPr>
          <w:ilvl w:val="0"/>
          <w:numId w:val="49"/>
        </w:numPr>
        <w:spacing w:before="120" w:after="120" w:line="240" w:lineRule="auto"/>
        <w:ind w:left="851" w:hanging="284"/>
        <w:jc w:val="both"/>
        <w:rPr>
          <w:rFonts w:ascii="Arial" w:hAnsi="Arial" w:cs="Arial"/>
          <w:sz w:val="20"/>
          <w:szCs w:val="20"/>
        </w:rPr>
      </w:pPr>
      <w:r w:rsidRPr="00123376">
        <w:rPr>
          <w:rFonts w:ascii="Arial" w:hAnsi="Arial" w:cs="Arial"/>
          <w:bCs/>
          <w:i/>
          <w:sz w:val="20"/>
          <w:szCs w:val="20"/>
        </w:rPr>
        <w:t>operačný cieľ 4.3</w:t>
      </w:r>
      <w:r w:rsidRPr="00123376">
        <w:rPr>
          <w:rFonts w:ascii="Arial" w:hAnsi="Arial" w:cs="Arial"/>
          <w:i/>
          <w:sz w:val="20"/>
          <w:szCs w:val="20"/>
        </w:rPr>
        <w:t xml:space="preserve"> Nakladanie s nebezpečnými odpadmi spôsobom priaznivým pre životné prostredie</w:t>
      </w:r>
    </w:p>
    <w:p w14:paraId="6C9E13A7" w14:textId="0D0025A5" w:rsidR="007B7519" w:rsidRPr="00E21C60" w:rsidRDefault="00411F7E" w:rsidP="00123376">
      <w:pPr>
        <w:spacing w:before="120" w:after="120"/>
        <w:jc w:val="both"/>
        <w:rPr>
          <w:rFonts w:ascii="Arial" w:hAnsi="Arial" w:cs="Arial"/>
          <w:sz w:val="20"/>
          <w:szCs w:val="20"/>
        </w:rPr>
      </w:pPr>
      <w:r w:rsidRPr="00E21C60">
        <w:rPr>
          <w:rFonts w:ascii="Arial" w:hAnsi="Arial" w:cs="Arial"/>
          <w:sz w:val="20"/>
          <w:szCs w:val="20"/>
        </w:rPr>
        <w:t>Vo vzťahu k cieľom Dunajskej stratégie</w:t>
      </w:r>
      <w:r>
        <w:rPr>
          <w:rFonts w:ascii="Arial" w:hAnsi="Arial" w:cs="Arial"/>
          <w:sz w:val="20"/>
          <w:szCs w:val="20"/>
        </w:rPr>
        <w:t xml:space="preserve"> operačný cieľ 4.3</w:t>
      </w:r>
      <w:r w:rsidRPr="00E21C60">
        <w:rPr>
          <w:rFonts w:ascii="Arial" w:hAnsi="Arial" w:cs="Arial"/>
          <w:sz w:val="20"/>
          <w:szCs w:val="20"/>
        </w:rPr>
        <w:t xml:space="preserve"> </w:t>
      </w:r>
      <w:r>
        <w:rPr>
          <w:rFonts w:ascii="Arial" w:hAnsi="Arial" w:cs="Arial"/>
          <w:sz w:val="20"/>
          <w:szCs w:val="20"/>
        </w:rPr>
        <w:t>bol zam</w:t>
      </w:r>
      <w:r w:rsidRPr="00E21C60">
        <w:rPr>
          <w:rFonts w:ascii="Arial" w:hAnsi="Arial" w:cs="Arial"/>
          <w:sz w:val="20"/>
          <w:szCs w:val="20"/>
        </w:rPr>
        <w:t>eran</w:t>
      </w:r>
      <w:r>
        <w:rPr>
          <w:rFonts w:ascii="Arial" w:hAnsi="Arial" w:cs="Arial"/>
          <w:sz w:val="20"/>
          <w:szCs w:val="20"/>
        </w:rPr>
        <w:t>ý</w:t>
      </w:r>
      <w:r w:rsidRPr="00E21C60">
        <w:rPr>
          <w:rFonts w:ascii="Arial" w:hAnsi="Arial" w:cs="Arial"/>
          <w:sz w:val="20"/>
          <w:szCs w:val="20"/>
        </w:rPr>
        <w:t xml:space="preserve"> na</w:t>
      </w:r>
      <w:r>
        <w:rPr>
          <w:rFonts w:ascii="Arial" w:hAnsi="Arial" w:cs="Arial"/>
          <w:sz w:val="20"/>
          <w:szCs w:val="20"/>
        </w:rPr>
        <w:t xml:space="preserve"> riešenie problematiky</w:t>
      </w:r>
      <w:r w:rsidRPr="00E21C60">
        <w:rPr>
          <w:rFonts w:ascii="Arial" w:hAnsi="Arial" w:cs="Arial"/>
          <w:sz w:val="20"/>
          <w:szCs w:val="20"/>
        </w:rPr>
        <w:t xml:space="preserve"> nebezpečn</w:t>
      </w:r>
      <w:r>
        <w:rPr>
          <w:rFonts w:ascii="Arial" w:hAnsi="Arial" w:cs="Arial"/>
          <w:sz w:val="20"/>
          <w:szCs w:val="20"/>
        </w:rPr>
        <w:t>ých</w:t>
      </w:r>
      <w:r w:rsidRPr="00E21C60">
        <w:rPr>
          <w:rFonts w:ascii="Arial" w:hAnsi="Arial" w:cs="Arial"/>
          <w:sz w:val="20"/>
          <w:szCs w:val="20"/>
        </w:rPr>
        <w:t xml:space="preserve"> odpad</w:t>
      </w:r>
      <w:r>
        <w:rPr>
          <w:rFonts w:ascii="Arial" w:hAnsi="Arial" w:cs="Arial"/>
          <w:sz w:val="20"/>
          <w:szCs w:val="20"/>
        </w:rPr>
        <w:t>ov</w:t>
      </w:r>
      <w:r w:rsidR="00214ECF" w:rsidRPr="00E21C60">
        <w:rPr>
          <w:rFonts w:ascii="Arial" w:hAnsi="Arial" w:cs="Arial"/>
          <w:sz w:val="20"/>
          <w:szCs w:val="20"/>
        </w:rPr>
        <w:t>, ktoré vzhľadom na ich vlastnosti predstavujú vyššie riziko pre dotknuté územie a môžu ho ovplyvniť vo väčšom rozsahu</w:t>
      </w:r>
      <w:r w:rsidR="00B27DF6" w:rsidRPr="00E21C60">
        <w:rPr>
          <w:rFonts w:ascii="Arial" w:hAnsi="Arial" w:cs="Arial"/>
          <w:sz w:val="20"/>
          <w:szCs w:val="20"/>
        </w:rPr>
        <w:t>. U</w:t>
      </w:r>
      <w:r w:rsidR="00214ECF" w:rsidRPr="00E21C60">
        <w:rPr>
          <w:rFonts w:ascii="Arial" w:hAnsi="Arial" w:cs="Arial"/>
          <w:sz w:val="20"/>
          <w:szCs w:val="20"/>
        </w:rPr>
        <w:t>vedený operačný cieľ</w:t>
      </w:r>
      <w:r w:rsidR="00B27DF6" w:rsidRPr="00E21C60">
        <w:rPr>
          <w:rFonts w:ascii="Arial" w:hAnsi="Arial" w:cs="Arial"/>
          <w:sz w:val="20"/>
          <w:szCs w:val="20"/>
        </w:rPr>
        <w:t xml:space="preserve"> m</w:t>
      </w:r>
      <w:r w:rsidR="00663AB6">
        <w:rPr>
          <w:rFonts w:ascii="Arial" w:hAnsi="Arial" w:cs="Arial"/>
          <w:sz w:val="20"/>
          <w:szCs w:val="20"/>
        </w:rPr>
        <w:t>al</w:t>
      </w:r>
      <w:r w:rsidR="00214ECF" w:rsidRPr="00E21C60">
        <w:rPr>
          <w:rFonts w:ascii="Arial" w:hAnsi="Arial" w:cs="Arial"/>
          <w:sz w:val="20"/>
          <w:szCs w:val="20"/>
        </w:rPr>
        <w:t xml:space="preserve"> vyšší potenciál z hľadiska jeho významu pre realizáciu cieľov Dunajskej stratégie.</w:t>
      </w:r>
    </w:p>
    <w:p w14:paraId="0764CDBB" w14:textId="57B90E95" w:rsidR="00214ECF" w:rsidRPr="00E21C60" w:rsidRDefault="00214ECF" w:rsidP="00123376">
      <w:pPr>
        <w:jc w:val="both"/>
        <w:rPr>
          <w:rFonts w:ascii="Arial" w:hAnsi="Arial" w:cs="Arial"/>
          <w:sz w:val="20"/>
          <w:szCs w:val="20"/>
        </w:rPr>
      </w:pPr>
      <w:r w:rsidRPr="00E21C60">
        <w:rPr>
          <w:rFonts w:ascii="Arial" w:hAnsi="Arial" w:cs="Arial"/>
          <w:sz w:val="20"/>
          <w:szCs w:val="20"/>
        </w:rPr>
        <w:t>Tab</w:t>
      </w:r>
      <w:r w:rsidR="00771235" w:rsidRPr="00E21C60">
        <w:rPr>
          <w:rFonts w:ascii="Arial" w:hAnsi="Arial" w:cs="Arial"/>
          <w:sz w:val="20"/>
          <w:szCs w:val="20"/>
        </w:rPr>
        <w:t>uľka</w:t>
      </w:r>
      <w:r w:rsidRPr="00E21C60">
        <w:rPr>
          <w:rFonts w:ascii="Arial" w:hAnsi="Arial" w:cs="Arial"/>
          <w:sz w:val="20"/>
          <w:szCs w:val="20"/>
        </w:rPr>
        <w:t xml:space="preserve"> č. </w:t>
      </w:r>
      <w:r w:rsidR="00682B07">
        <w:rPr>
          <w:rFonts w:ascii="Arial" w:hAnsi="Arial" w:cs="Arial"/>
          <w:sz w:val="20"/>
          <w:szCs w:val="20"/>
        </w:rPr>
        <w:t>3</w:t>
      </w:r>
      <w:r w:rsidR="007B1CB9">
        <w:rPr>
          <w:rFonts w:ascii="Arial" w:hAnsi="Arial" w:cs="Arial"/>
          <w:sz w:val="20"/>
          <w:szCs w:val="20"/>
        </w:rPr>
        <w:t>1</w:t>
      </w:r>
      <w:r w:rsidRPr="00E21C60">
        <w:rPr>
          <w:rFonts w:ascii="Arial" w:hAnsi="Arial" w:cs="Arial"/>
          <w:sz w:val="20"/>
          <w:szCs w:val="20"/>
        </w:rPr>
        <w:t>: Príklad projektu</w:t>
      </w:r>
    </w:p>
    <w:tbl>
      <w:tblPr>
        <w:tblW w:w="9080" w:type="dxa"/>
        <w:tblInd w:w="55" w:type="dxa"/>
        <w:tblCellMar>
          <w:left w:w="70" w:type="dxa"/>
          <w:right w:w="70" w:type="dxa"/>
        </w:tblCellMar>
        <w:tblLook w:val="04A0" w:firstRow="1" w:lastRow="0" w:firstColumn="1" w:lastColumn="0" w:noHBand="0" w:noVBand="1"/>
      </w:tblPr>
      <w:tblGrid>
        <w:gridCol w:w="2395"/>
        <w:gridCol w:w="2085"/>
        <w:gridCol w:w="1075"/>
        <w:gridCol w:w="1175"/>
        <w:gridCol w:w="1175"/>
        <w:gridCol w:w="1175"/>
      </w:tblGrid>
      <w:tr w:rsidR="00F03EB4" w:rsidRPr="00E21C60" w14:paraId="6E0439FE" w14:textId="77777777" w:rsidTr="007D7B08">
        <w:trPr>
          <w:trHeight w:val="225"/>
        </w:trPr>
        <w:tc>
          <w:tcPr>
            <w:tcW w:w="239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1352D51"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Názov projektu</w:t>
            </w:r>
          </w:p>
        </w:tc>
        <w:tc>
          <w:tcPr>
            <w:tcW w:w="208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018409D"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Žiadateľ</w:t>
            </w:r>
          </w:p>
        </w:tc>
        <w:tc>
          <w:tcPr>
            <w:tcW w:w="10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D7385C0" w14:textId="641A9C1E" w:rsidR="00F03EB4" w:rsidRPr="00E21C60" w:rsidRDefault="00FF000F" w:rsidP="00FF000F">
            <w:pPr>
              <w:jc w:val="center"/>
              <w:rPr>
                <w:rFonts w:ascii="Arial" w:hAnsi="Arial" w:cs="Arial"/>
                <w:b/>
                <w:bCs/>
                <w:color w:val="000000"/>
                <w:sz w:val="16"/>
                <w:szCs w:val="16"/>
              </w:rPr>
            </w:pPr>
            <w:r>
              <w:rPr>
                <w:rFonts w:ascii="Arial" w:hAnsi="Arial" w:cs="Arial"/>
                <w:b/>
                <w:bCs/>
                <w:color w:val="000000"/>
                <w:sz w:val="16"/>
                <w:szCs w:val="16"/>
              </w:rPr>
              <w:t>Stav</w:t>
            </w:r>
            <w:r>
              <w:rPr>
                <w:rFonts w:ascii="Arial" w:hAnsi="Arial" w:cs="Arial"/>
                <w:b/>
                <w:bCs/>
                <w:color w:val="000000"/>
                <w:sz w:val="16"/>
                <w:szCs w:val="16"/>
              </w:rPr>
              <w:br/>
              <w:t>k 31.10</w:t>
            </w:r>
            <w:r w:rsidR="00F03EB4" w:rsidRPr="00E21C60">
              <w:rPr>
                <w:rFonts w:ascii="Arial" w:hAnsi="Arial" w:cs="Arial"/>
                <w:b/>
                <w:bCs/>
                <w:color w:val="000000"/>
                <w:sz w:val="16"/>
                <w:szCs w:val="16"/>
              </w:rPr>
              <w:t>.201</w:t>
            </w:r>
            <w:r>
              <w:rPr>
                <w:rFonts w:ascii="Arial" w:hAnsi="Arial" w:cs="Arial"/>
                <w:b/>
                <w:bCs/>
                <w:color w:val="000000"/>
                <w:sz w:val="16"/>
                <w:szCs w:val="16"/>
              </w:rPr>
              <w:t>6</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3DEF1DD"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EÚ) v €</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AF18054"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ŠR) v €</w:t>
            </w:r>
          </w:p>
        </w:tc>
        <w:tc>
          <w:tcPr>
            <w:tcW w:w="11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DD4F692"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(EÚ + ŠR) v €</w:t>
            </w:r>
          </w:p>
        </w:tc>
      </w:tr>
      <w:tr w:rsidR="00F03EB4" w:rsidRPr="00E21C60" w14:paraId="79FF39EF" w14:textId="77777777" w:rsidTr="007D7B08">
        <w:trPr>
          <w:trHeight w:val="225"/>
        </w:trPr>
        <w:tc>
          <w:tcPr>
            <w:tcW w:w="239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331C853" w14:textId="77777777" w:rsidR="00F03EB4" w:rsidRPr="00E21C60" w:rsidRDefault="00F03EB4">
            <w:pPr>
              <w:rPr>
                <w:rFonts w:ascii="Arial" w:hAnsi="Arial" w:cs="Arial"/>
                <w:b/>
                <w:bCs/>
                <w:color w:val="000000"/>
                <w:sz w:val="16"/>
                <w:szCs w:val="16"/>
              </w:rPr>
            </w:pPr>
          </w:p>
        </w:tc>
        <w:tc>
          <w:tcPr>
            <w:tcW w:w="208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7DEE628" w14:textId="77777777" w:rsidR="00F03EB4" w:rsidRPr="00E21C60" w:rsidRDefault="00F03EB4">
            <w:pPr>
              <w:rPr>
                <w:rFonts w:ascii="Arial" w:hAnsi="Arial" w:cs="Arial"/>
                <w:b/>
                <w:bCs/>
                <w:color w:val="000000"/>
                <w:sz w:val="16"/>
                <w:szCs w:val="16"/>
              </w:rPr>
            </w:pPr>
          </w:p>
        </w:tc>
        <w:tc>
          <w:tcPr>
            <w:tcW w:w="10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D304361" w14:textId="77777777" w:rsidR="00F03EB4" w:rsidRPr="00E21C60" w:rsidRDefault="00F03EB4">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F95B895" w14:textId="77777777" w:rsidR="00F03EB4" w:rsidRPr="00E21C60" w:rsidRDefault="00F03EB4">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DD6E586" w14:textId="77777777" w:rsidR="00F03EB4" w:rsidRPr="00E21C60" w:rsidRDefault="00F03EB4">
            <w:pPr>
              <w:rPr>
                <w:rFonts w:ascii="Arial" w:hAnsi="Arial" w:cs="Arial"/>
                <w:b/>
                <w:bCs/>
                <w:color w:val="000000"/>
                <w:sz w:val="16"/>
                <w:szCs w:val="16"/>
              </w:rPr>
            </w:pPr>
          </w:p>
        </w:tc>
        <w:tc>
          <w:tcPr>
            <w:tcW w:w="11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83024C3" w14:textId="77777777" w:rsidR="00F03EB4" w:rsidRPr="00E21C60" w:rsidRDefault="00F03EB4">
            <w:pPr>
              <w:rPr>
                <w:rFonts w:ascii="Arial" w:hAnsi="Arial" w:cs="Arial"/>
                <w:b/>
                <w:bCs/>
                <w:color w:val="000000"/>
                <w:sz w:val="16"/>
                <w:szCs w:val="16"/>
              </w:rPr>
            </w:pPr>
          </w:p>
        </w:tc>
      </w:tr>
      <w:tr w:rsidR="00F03EB4" w:rsidRPr="00E21C60" w14:paraId="778F47F8" w14:textId="77777777" w:rsidTr="00123376">
        <w:trPr>
          <w:trHeight w:val="279"/>
        </w:trPr>
        <w:tc>
          <w:tcPr>
            <w:tcW w:w="2395" w:type="dxa"/>
            <w:tcBorders>
              <w:top w:val="nil"/>
              <w:left w:val="single" w:sz="4" w:space="0" w:color="auto"/>
              <w:bottom w:val="single" w:sz="4" w:space="0" w:color="auto"/>
              <w:right w:val="single" w:sz="4" w:space="0" w:color="auto"/>
            </w:tcBorders>
            <w:shd w:val="clear" w:color="000000" w:fill="EAF1DD"/>
            <w:vAlign w:val="center"/>
            <w:hideMark/>
          </w:tcPr>
          <w:p w14:paraId="4F5E71A5" w14:textId="77777777" w:rsidR="00F03EB4" w:rsidRPr="007A7D6B" w:rsidRDefault="00F03EB4">
            <w:pPr>
              <w:rPr>
                <w:rFonts w:ascii="Arial" w:hAnsi="Arial" w:cs="Arial"/>
                <w:color w:val="000000"/>
                <w:sz w:val="16"/>
                <w:szCs w:val="16"/>
              </w:rPr>
            </w:pPr>
            <w:r w:rsidRPr="007A7D6B">
              <w:rPr>
                <w:rFonts w:ascii="Arial" w:hAnsi="Arial" w:cs="Arial"/>
                <w:color w:val="000000"/>
                <w:sz w:val="16"/>
                <w:szCs w:val="16"/>
              </w:rPr>
              <w:t xml:space="preserve">Stratégia nakladania s nebezpečnými odpadmi </w:t>
            </w:r>
          </w:p>
        </w:tc>
        <w:tc>
          <w:tcPr>
            <w:tcW w:w="2085" w:type="dxa"/>
            <w:tcBorders>
              <w:top w:val="nil"/>
              <w:left w:val="nil"/>
              <w:bottom w:val="single" w:sz="4" w:space="0" w:color="auto"/>
              <w:right w:val="single" w:sz="4" w:space="0" w:color="auto"/>
            </w:tcBorders>
            <w:shd w:val="clear" w:color="auto" w:fill="auto"/>
            <w:vAlign w:val="center"/>
            <w:hideMark/>
          </w:tcPr>
          <w:p w14:paraId="753AAF77" w14:textId="77777777" w:rsidR="00F03EB4" w:rsidRPr="00BC43A7" w:rsidRDefault="00F03EB4">
            <w:pPr>
              <w:rPr>
                <w:rFonts w:ascii="Arial" w:hAnsi="Arial" w:cs="Arial"/>
                <w:color w:val="000000"/>
                <w:sz w:val="16"/>
                <w:szCs w:val="16"/>
              </w:rPr>
            </w:pPr>
            <w:r w:rsidRPr="00BC43A7">
              <w:rPr>
                <w:rFonts w:ascii="Arial" w:hAnsi="Arial" w:cs="Arial"/>
                <w:color w:val="000000"/>
                <w:sz w:val="16"/>
                <w:szCs w:val="16"/>
              </w:rPr>
              <w:t>Slovenská agentúra životného prostredia</w:t>
            </w:r>
          </w:p>
        </w:tc>
        <w:tc>
          <w:tcPr>
            <w:tcW w:w="1075" w:type="dxa"/>
            <w:tcBorders>
              <w:top w:val="nil"/>
              <w:left w:val="nil"/>
              <w:bottom w:val="single" w:sz="4" w:space="0" w:color="auto"/>
              <w:right w:val="single" w:sz="4" w:space="0" w:color="auto"/>
            </w:tcBorders>
            <w:shd w:val="clear" w:color="auto" w:fill="auto"/>
            <w:vAlign w:val="center"/>
            <w:hideMark/>
          </w:tcPr>
          <w:p w14:paraId="676A50FA" w14:textId="280F1669" w:rsidR="00F03EB4" w:rsidRPr="006E0A6D" w:rsidRDefault="004364ED">
            <w:pPr>
              <w:rPr>
                <w:rFonts w:ascii="Arial" w:hAnsi="Arial" w:cs="Arial"/>
                <w:color w:val="000000"/>
                <w:sz w:val="16"/>
                <w:szCs w:val="16"/>
              </w:rPr>
            </w:pPr>
            <w:r>
              <w:rPr>
                <w:rFonts w:ascii="Arial" w:hAnsi="Arial" w:cs="Arial"/>
                <w:color w:val="000000"/>
                <w:sz w:val="16"/>
                <w:szCs w:val="16"/>
              </w:rPr>
              <w:t>Riadne ukončený</w:t>
            </w:r>
          </w:p>
        </w:tc>
        <w:tc>
          <w:tcPr>
            <w:tcW w:w="1175" w:type="dxa"/>
            <w:tcBorders>
              <w:top w:val="nil"/>
              <w:left w:val="nil"/>
              <w:bottom w:val="single" w:sz="4" w:space="0" w:color="auto"/>
              <w:right w:val="single" w:sz="4" w:space="0" w:color="auto"/>
            </w:tcBorders>
            <w:shd w:val="clear" w:color="auto" w:fill="auto"/>
            <w:vAlign w:val="center"/>
            <w:hideMark/>
          </w:tcPr>
          <w:p w14:paraId="74B1849F" w14:textId="37283308" w:rsidR="00F03EB4" w:rsidRPr="007A7D6B" w:rsidRDefault="00F03EB4" w:rsidP="00E91CEC">
            <w:pPr>
              <w:jc w:val="center"/>
              <w:rPr>
                <w:rFonts w:ascii="Arial" w:hAnsi="Arial" w:cs="Arial"/>
                <w:color w:val="000000"/>
                <w:sz w:val="16"/>
                <w:szCs w:val="16"/>
              </w:rPr>
            </w:pPr>
            <w:r w:rsidRPr="007A7D6B">
              <w:rPr>
                <w:rFonts w:ascii="Arial" w:hAnsi="Arial" w:cs="Arial"/>
                <w:color w:val="000000"/>
                <w:sz w:val="16"/>
                <w:szCs w:val="16"/>
              </w:rPr>
              <w:t>1 357 377</w:t>
            </w:r>
          </w:p>
        </w:tc>
        <w:tc>
          <w:tcPr>
            <w:tcW w:w="1175" w:type="dxa"/>
            <w:tcBorders>
              <w:top w:val="nil"/>
              <w:left w:val="nil"/>
              <w:bottom w:val="single" w:sz="4" w:space="0" w:color="auto"/>
              <w:right w:val="single" w:sz="4" w:space="0" w:color="auto"/>
            </w:tcBorders>
            <w:shd w:val="clear" w:color="auto" w:fill="auto"/>
            <w:vAlign w:val="center"/>
            <w:hideMark/>
          </w:tcPr>
          <w:p w14:paraId="5939C6FD" w14:textId="1C3A81FD" w:rsidR="00F03EB4" w:rsidRPr="007A7D6B" w:rsidRDefault="00F03EB4" w:rsidP="00E91CEC">
            <w:pPr>
              <w:jc w:val="center"/>
              <w:rPr>
                <w:rFonts w:ascii="Arial" w:hAnsi="Arial" w:cs="Arial"/>
                <w:color w:val="000000"/>
                <w:sz w:val="16"/>
                <w:szCs w:val="16"/>
              </w:rPr>
            </w:pPr>
            <w:r w:rsidRPr="007A7D6B">
              <w:rPr>
                <w:rFonts w:ascii="Arial" w:hAnsi="Arial" w:cs="Arial"/>
                <w:color w:val="000000"/>
                <w:sz w:val="16"/>
                <w:szCs w:val="16"/>
              </w:rPr>
              <w:t>239 537</w:t>
            </w:r>
          </w:p>
        </w:tc>
        <w:tc>
          <w:tcPr>
            <w:tcW w:w="1175" w:type="dxa"/>
            <w:tcBorders>
              <w:top w:val="nil"/>
              <w:left w:val="nil"/>
              <w:bottom w:val="single" w:sz="4" w:space="0" w:color="auto"/>
              <w:right w:val="single" w:sz="4" w:space="0" w:color="auto"/>
            </w:tcBorders>
            <w:shd w:val="clear" w:color="auto" w:fill="auto"/>
            <w:vAlign w:val="center"/>
            <w:hideMark/>
          </w:tcPr>
          <w:p w14:paraId="1893C23C" w14:textId="0B9996B6" w:rsidR="00F03EB4" w:rsidRPr="007A7D6B" w:rsidRDefault="00F03EB4" w:rsidP="00E91CEC">
            <w:pPr>
              <w:jc w:val="center"/>
              <w:rPr>
                <w:rFonts w:ascii="Arial" w:hAnsi="Arial" w:cs="Arial"/>
                <w:color w:val="000000"/>
                <w:sz w:val="16"/>
                <w:szCs w:val="16"/>
              </w:rPr>
            </w:pPr>
            <w:r w:rsidRPr="007A7D6B">
              <w:rPr>
                <w:rFonts w:ascii="Arial" w:hAnsi="Arial" w:cs="Arial"/>
                <w:color w:val="000000"/>
                <w:sz w:val="16"/>
                <w:szCs w:val="16"/>
              </w:rPr>
              <w:t>1 596 91</w:t>
            </w:r>
            <w:r w:rsidR="00E91CEC">
              <w:rPr>
                <w:rFonts w:ascii="Arial" w:hAnsi="Arial" w:cs="Arial"/>
                <w:color w:val="000000"/>
                <w:sz w:val="16"/>
                <w:szCs w:val="16"/>
              </w:rPr>
              <w:t>5</w:t>
            </w:r>
          </w:p>
        </w:tc>
      </w:tr>
    </w:tbl>
    <w:p w14:paraId="4EC8DC92" w14:textId="77777777" w:rsidR="00214ECF" w:rsidRPr="00123376" w:rsidRDefault="00214ECF" w:rsidP="00123376">
      <w:pPr>
        <w:jc w:val="both"/>
        <w:rPr>
          <w:rFonts w:ascii="Arial" w:hAnsi="Arial" w:cs="Arial"/>
          <w:sz w:val="16"/>
          <w:szCs w:val="16"/>
        </w:rPr>
      </w:pPr>
      <w:r w:rsidRPr="00123376">
        <w:rPr>
          <w:rFonts w:ascii="Arial" w:hAnsi="Arial" w:cs="Arial"/>
          <w:sz w:val="16"/>
          <w:szCs w:val="16"/>
        </w:rPr>
        <w:t>Zdroj: RO</w:t>
      </w:r>
    </w:p>
    <w:p w14:paraId="0AC2A10A" w14:textId="77777777" w:rsidR="00214ECF" w:rsidRPr="00123376" w:rsidRDefault="00214ECF" w:rsidP="00DF6D90">
      <w:pPr>
        <w:pStyle w:val="Odsekzoznamu"/>
        <w:numPr>
          <w:ilvl w:val="0"/>
          <w:numId w:val="19"/>
        </w:numPr>
        <w:tabs>
          <w:tab w:val="clear" w:pos="1440"/>
        </w:tabs>
        <w:spacing w:before="120" w:after="120" w:line="240" w:lineRule="auto"/>
        <w:ind w:left="426" w:hanging="284"/>
        <w:jc w:val="both"/>
        <w:rPr>
          <w:rFonts w:ascii="Arial" w:hAnsi="Arial" w:cs="Arial"/>
          <w:i/>
          <w:sz w:val="20"/>
          <w:szCs w:val="20"/>
        </w:rPr>
      </w:pPr>
      <w:r w:rsidRPr="00123376">
        <w:rPr>
          <w:rFonts w:ascii="Arial" w:hAnsi="Arial" w:cs="Arial"/>
          <w:i/>
          <w:sz w:val="20"/>
          <w:szCs w:val="20"/>
        </w:rPr>
        <w:t>Prioritná os 5 Ochrana a regenerácia prírodného prostredia a krajiny</w:t>
      </w:r>
      <w:r w:rsidRPr="00123376">
        <w:rPr>
          <w:rFonts w:ascii="Arial" w:hAnsi="Arial" w:cs="Arial"/>
          <w:bCs/>
          <w:i/>
          <w:sz w:val="20"/>
          <w:szCs w:val="20"/>
        </w:rPr>
        <w:t>, a to:</w:t>
      </w:r>
    </w:p>
    <w:p w14:paraId="67A8A17F" w14:textId="77777777" w:rsidR="00214ECF" w:rsidRPr="00E21C60" w:rsidRDefault="00214ECF" w:rsidP="00DF6D90">
      <w:pPr>
        <w:numPr>
          <w:ilvl w:val="0"/>
          <w:numId w:val="22"/>
        </w:numPr>
        <w:tabs>
          <w:tab w:val="clear" w:pos="1080"/>
          <w:tab w:val="num" w:pos="0"/>
        </w:tabs>
        <w:spacing w:before="120" w:after="120"/>
        <w:ind w:left="851" w:hanging="284"/>
        <w:jc w:val="both"/>
        <w:rPr>
          <w:rFonts w:ascii="Arial" w:hAnsi="Arial" w:cs="Arial"/>
          <w:i/>
          <w:sz w:val="20"/>
          <w:szCs w:val="20"/>
        </w:rPr>
      </w:pPr>
      <w:r w:rsidRPr="002526CC">
        <w:rPr>
          <w:rFonts w:ascii="Arial" w:hAnsi="Arial" w:cs="Arial"/>
          <w:b/>
          <w:i/>
          <w:sz w:val="20"/>
          <w:szCs w:val="20"/>
        </w:rPr>
        <w:t xml:space="preserve"> </w:t>
      </w:r>
      <w:r w:rsidRPr="00E21C60">
        <w:rPr>
          <w:rFonts w:ascii="Arial" w:hAnsi="Arial" w:cs="Arial"/>
          <w:i/>
          <w:sz w:val="20"/>
          <w:szCs w:val="20"/>
        </w:rPr>
        <w:t>operačný cieľ 5.1 Zabezpečenie priaznivého stavu biotopov a druhov prostredníctvom vypracovania a realizácie programov starostlivosti o chránené územia vrátane území NATURA 2000 a programov záchrany pre kriticky ohrozené druhy rastlín, živočíchov a</w:t>
      </w:r>
      <w:r w:rsidR="00B27DF6" w:rsidRPr="00E21C60">
        <w:rPr>
          <w:rFonts w:ascii="Arial" w:hAnsi="Arial" w:cs="Arial"/>
          <w:i/>
          <w:sz w:val="20"/>
          <w:szCs w:val="20"/>
        </w:rPr>
        <w:t> </w:t>
      </w:r>
      <w:r w:rsidRPr="00E21C60">
        <w:rPr>
          <w:rFonts w:ascii="Arial" w:hAnsi="Arial" w:cs="Arial"/>
          <w:i/>
          <w:sz w:val="20"/>
          <w:szCs w:val="20"/>
        </w:rPr>
        <w:t>území</w:t>
      </w:r>
      <w:r w:rsidR="00B27DF6" w:rsidRPr="00E21C60">
        <w:rPr>
          <w:rFonts w:ascii="Arial" w:hAnsi="Arial" w:cs="Arial"/>
          <w:i/>
          <w:sz w:val="20"/>
          <w:szCs w:val="20"/>
        </w:rPr>
        <w:t> </w:t>
      </w:r>
      <w:r w:rsidRPr="00E21C60">
        <w:rPr>
          <w:rFonts w:ascii="Arial" w:hAnsi="Arial" w:cs="Arial"/>
          <w:i/>
          <w:sz w:val="20"/>
          <w:szCs w:val="20"/>
        </w:rPr>
        <w:t xml:space="preserve">vrátane realizácie monitoringu druhov a biotopov </w:t>
      </w:r>
    </w:p>
    <w:p w14:paraId="4B486D10" w14:textId="2E487902" w:rsidR="00214ECF" w:rsidRPr="00123376" w:rsidRDefault="00B27DF6" w:rsidP="00123376">
      <w:pPr>
        <w:spacing w:before="120" w:after="120"/>
        <w:jc w:val="both"/>
        <w:rPr>
          <w:rFonts w:ascii="Arial" w:hAnsi="Arial" w:cs="Arial"/>
          <w:sz w:val="20"/>
          <w:szCs w:val="20"/>
        </w:rPr>
      </w:pPr>
      <w:r w:rsidRPr="00E21C60">
        <w:rPr>
          <w:rFonts w:ascii="Arial" w:hAnsi="Arial" w:cs="Arial"/>
          <w:sz w:val="20"/>
          <w:szCs w:val="20"/>
        </w:rPr>
        <w:t>U</w:t>
      </w:r>
      <w:r w:rsidR="00214ECF" w:rsidRPr="00E21C60">
        <w:rPr>
          <w:rFonts w:ascii="Arial" w:hAnsi="Arial" w:cs="Arial"/>
          <w:sz w:val="20"/>
          <w:szCs w:val="20"/>
        </w:rPr>
        <w:t xml:space="preserve">vedený operačný cieľ možno vo vzťahu k prioritám Dunajskej stratégie považovať za dôležitý. Projekty OP ŽP v jeho rámci </w:t>
      </w:r>
      <w:r w:rsidR="00DB640B">
        <w:rPr>
          <w:rFonts w:ascii="Arial" w:hAnsi="Arial" w:cs="Arial"/>
          <w:sz w:val="20"/>
          <w:szCs w:val="20"/>
        </w:rPr>
        <w:t>boli</w:t>
      </w:r>
      <w:r w:rsidR="00DB640B" w:rsidRPr="00E21C60">
        <w:rPr>
          <w:rFonts w:ascii="Arial" w:hAnsi="Arial" w:cs="Arial"/>
          <w:sz w:val="20"/>
          <w:szCs w:val="20"/>
        </w:rPr>
        <w:t xml:space="preserve"> </w:t>
      </w:r>
      <w:r w:rsidR="00214ECF" w:rsidRPr="00E21C60">
        <w:rPr>
          <w:rFonts w:ascii="Arial" w:hAnsi="Arial" w:cs="Arial"/>
          <w:sz w:val="20"/>
          <w:szCs w:val="20"/>
        </w:rPr>
        <w:t xml:space="preserve">zamerané na zabezpečenie priebežnej starostlivosti o chránené územia, vrátane území NATURA, ako aj na vytváranie programových východísk v oblasti starostlivosti o kriticky ohrozené druhy a ekosystémy. </w:t>
      </w:r>
    </w:p>
    <w:p w14:paraId="1F72D8E2" w14:textId="77777777" w:rsidR="001A699D" w:rsidRDefault="001A699D" w:rsidP="00123376">
      <w:pPr>
        <w:jc w:val="both"/>
        <w:rPr>
          <w:rFonts w:ascii="Arial" w:hAnsi="Arial" w:cs="Arial"/>
          <w:sz w:val="20"/>
          <w:szCs w:val="20"/>
        </w:rPr>
      </w:pPr>
    </w:p>
    <w:p w14:paraId="13F70B3B" w14:textId="77777777" w:rsidR="001A699D" w:rsidRDefault="001A699D" w:rsidP="00123376">
      <w:pPr>
        <w:jc w:val="both"/>
        <w:rPr>
          <w:rFonts w:ascii="Arial" w:hAnsi="Arial" w:cs="Arial"/>
          <w:sz w:val="20"/>
          <w:szCs w:val="20"/>
        </w:rPr>
      </w:pPr>
    </w:p>
    <w:p w14:paraId="07768199" w14:textId="77777777" w:rsidR="001A699D" w:rsidRDefault="001A699D" w:rsidP="00123376">
      <w:pPr>
        <w:jc w:val="both"/>
        <w:rPr>
          <w:rFonts w:ascii="Arial" w:hAnsi="Arial" w:cs="Arial"/>
          <w:sz w:val="20"/>
          <w:szCs w:val="20"/>
        </w:rPr>
      </w:pPr>
    </w:p>
    <w:p w14:paraId="68566FAB" w14:textId="77777777" w:rsidR="001A699D" w:rsidRDefault="001A699D" w:rsidP="00123376">
      <w:pPr>
        <w:jc w:val="both"/>
        <w:rPr>
          <w:rFonts w:ascii="Arial" w:hAnsi="Arial" w:cs="Arial"/>
          <w:sz w:val="20"/>
          <w:szCs w:val="20"/>
        </w:rPr>
      </w:pPr>
    </w:p>
    <w:p w14:paraId="348CD62E" w14:textId="20691CDB" w:rsidR="00F03EB4" w:rsidRPr="00E21C60" w:rsidRDefault="00214ECF" w:rsidP="00123376">
      <w:pPr>
        <w:jc w:val="both"/>
        <w:rPr>
          <w:rFonts w:ascii="Arial" w:hAnsi="Arial" w:cs="Arial"/>
          <w:sz w:val="20"/>
          <w:szCs w:val="20"/>
        </w:rPr>
      </w:pPr>
      <w:r w:rsidRPr="002526CC">
        <w:rPr>
          <w:rFonts w:ascii="Arial" w:hAnsi="Arial" w:cs="Arial"/>
          <w:sz w:val="20"/>
          <w:szCs w:val="20"/>
        </w:rPr>
        <w:lastRenderedPageBreak/>
        <w:t>Tab</w:t>
      </w:r>
      <w:r w:rsidR="00771235" w:rsidRPr="00E21C60">
        <w:rPr>
          <w:rFonts w:ascii="Arial" w:hAnsi="Arial" w:cs="Arial"/>
          <w:sz w:val="20"/>
          <w:szCs w:val="20"/>
        </w:rPr>
        <w:t>uľka</w:t>
      </w:r>
      <w:r w:rsidRPr="00E21C60">
        <w:rPr>
          <w:rFonts w:ascii="Arial" w:hAnsi="Arial" w:cs="Arial"/>
          <w:sz w:val="20"/>
          <w:szCs w:val="20"/>
        </w:rPr>
        <w:t xml:space="preserve"> č. </w:t>
      </w:r>
      <w:r w:rsidR="00682B07">
        <w:rPr>
          <w:rFonts w:ascii="Arial" w:hAnsi="Arial" w:cs="Arial"/>
          <w:sz w:val="20"/>
          <w:szCs w:val="20"/>
        </w:rPr>
        <w:t>3</w:t>
      </w:r>
      <w:r w:rsidR="007B1CB9">
        <w:rPr>
          <w:rFonts w:ascii="Arial" w:hAnsi="Arial" w:cs="Arial"/>
          <w:sz w:val="20"/>
          <w:szCs w:val="20"/>
        </w:rPr>
        <w:t>2</w:t>
      </w:r>
      <w:r w:rsidRPr="00E21C60">
        <w:rPr>
          <w:rFonts w:ascii="Arial" w:hAnsi="Arial" w:cs="Arial"/>
          <w:sz w:val="20"/>
          <w:szCs w:val="20"/>
        </w:rPr>
        <w:t>: Príklad projektu</w:t>
      </w:r>
    </w:p>
    <w:tbl>
      <w:tblPr>
        <w:tblW w:w="9080" w:type="dxa"/>
        <w:tblInd w:w="55" w:type="dxa"/>
        <w:tblCellMar>
          <w:left w:w="70" w:type="dxa"/>
          <w:right w:w="70" w:type="dxa"/>
        </w:tblCellMar>
        <w:tblLook w:val="04A0" w:firstRow="1" w:lastRow="0" w:firstColumn="1" w:lastColumn="0" w:noHBand="0" w:noVBand="1"/>
      </w:tblPr>
      <w:tblGrid>
        <w:gridCol w:w="2394"/>
        <w:gridCol w:w="2083"/>
        <w:gridCol w:w="1075"/>
        <w:gridCol w:w="1176"/>
        <w:gridCol w:w="1176"/>
        <w:gridCol w:w="1176"/>
      </w:tblGrid>
      <w:tr w:rsidR="00F03EB4" w:rsidRPr="00E21C60" w14:paraId="05D431A6" w14:textId="77777777" w:rsidTr="007D7B08">
        <w:trPr>
          <w:trHeight w:val="225"/>
        </w:trPr>
        <w:tc>
          <w:tcPr>
            <w:tcW w:w="2444"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A01749C"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Názov projektu</w:t>
            </w:r>
          </w:p>
        </w:tc>
        <w:tc>
          <w:tcPr>
            <w:tcW w:w="2140"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4E34C9A"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Žiadateľ</w:t>
            </w:r>
          </w:p>
        </w:tc>
        <w:tc>
          <w:tcPr>
            <w:tcW w:w="96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EFE982B" w14:textId="53BCC6E3" w:rsidR="00F03EB4" w:rsidRPr="00E21C60" w:rsidRDefault="00FF000F" w:rsidP="00FF000F">
            <w:pPr>
              <w:jc w:val="center"/>
              <w:rPr>
                <w:rFonts w:ascii="Arial" w:hAnsi="Arial" w:cs="Arial"/>
                <w:b/>
                <w:bCs/>
                <w:color w:val="000000"/>
                <w:sz w:val="16"/>
                <w:szCs w:val="16"/>
              </w:rPr>
            </w:pPr>
            <w:r>
              <w:rPr>
                <w:rFonts w:ascii="Arial" w:hAnsi="Arial" w:cs="Arial"/>
                <w:b/>
                <w:bCs/>
                <w:color w:val="000000"/>
                <w:sz w:val="16"/>
                <w:szCs w:val="16"/>
              </w:rPr>
              <w:t>Stav</w:t>
            </w:r>
            <w:r>
              <w:rPr>
                <w:rFonts w:ascii="Arial" w:hAnsi="Arial" w:cs="Arial"/>
                <w:b/>
                <w:bCs/>
                <w:color w:val="000000"/>
                <w:sz w:val="16"/>
                <w:szCs w:val="16"/>
              </w:rPr>
              <w:br/>
              <w:t>k 31.10</w:t>
            </w:r>
            <w:r w:rsidR="00F03EB4" w:rsidRPr="00E21C60">
              <w:rPr>
                <w:rFonts w:ascii="Arial" w:hAnsi="Arial" w:cs="Arial"/>
                <w:b/>
                <w:bCs/>
                <w:color w:val="000000"/>
                <w:sz w:val="16"/>
                <w:szCs w:val="16"/>
              </w:rPr>
              <w:t>.201</w:t>
            </w:r>
            <w:r>
              <w:rPr>
                <w:rFonts w:ascii="Arial" w:hAnsi="Arial" w:cs="Arial"/>
                <w:b/>
                <w:bCs/>
                <w:color w:val="000000"/>
                <w:sz w:val="16"/>
                <w:szCs w:val="16"/>
              </w:rPr>
              <w:t>6</w:t>
            </w:r>
          </w:p>
        </w:tc>
        <w:tc>
          <w:tcPr>
            <w:tcW w:w="1177"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8209CDC"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EÚ) v €</w:t>
            </w:r>
          </w:p>
        </w:tc>
        <w:tc>
          <w:tcPr>
            <w:tcW w:w="1177"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62E8BB3"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ŠR) v €</w:t>
            </w:r>
          </w:p>
        </w:tc>
        <w:tc>
          <w:tcPr>
            <w:tcW w:w="1177"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2B21B76" w14:textId="77777777" w:rsidR="00F03EB4" w:rsidRPr="00E21C60" w:rsidRDefault="00F03EB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(EÚ + ŠR) v €</w:t>
            </w:r>
          </w:p>
        </w:tc>
      </w:tr>
      <w:tr w:rsidR="00F03EB4" w:rsidRPr="00E21C60" w14:paraId="46EA3878" w14:textId="77777777" w:rsidTr="007D7B08">
        <w:trPr>
          <w:trHeight w:val="225"/>
        </w:trPr>
        <w:tc>
          <w:tcPr>
            <w:tcW w:w="2444"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8814E20" w14:textId="77777777" w:rsidR="00F03EB4" w:rsidRPr="00E21C60" w:rsidRDefault="00F03EB4">
            <w:pPr>
              <w:rPr>
                <w:rFonts w:ascii="Arial" w:hAnsi="Arial" w:cs="Arial"/>
                <w:b/>
                <w:bCs/>
                <w:color w:val="000000"/>
                <w:sz w:val="16"/>
                <w:szCs w:val="16"/>
              </w:rPr>
            </w:pPr>
          </w:p>
        </w:tc>
        <w:tc>
          <w:tcPr>
            <w:tcW w:w="2140"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39F0186" w14:textId="77777777" w:rsidR="00F03EB4" w:rsidRPr="00E21C60" w:rsidRDefault="00F03EB4">
            <w:pPr>
              <w:rPr>
                <w:rFonts w:ascii="Arial" w:hAnsi="Arial" w:cs="Arial"/>
                <w:b/>
                <w:bCs/>
                <w:color w:val="000000"/>
                <w:sz w:val="16"/>
                <w:szCs w:val="16"/>
              </w:rPr>
            </w:pPr>
          </w:p>
        </w:tc>
        <w:tc>
          <w:tcPr>
            <w:tcW w:w="96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60A4F6B" w14:textId="77777777" w:rsidR="00F03EB4" w:rsidRPr="00E21C60" w:rsidRDefault="00F03EB4">
            <w:pPr>
              <w:rPr>
                <w:rFonts w:ascii="Arial" w:hAnsi="Arial" w:cs="Arial"/>
                <w:b/>
                <w:bCs/>
                <w:color w:val="000000"/>
                <w:sz w:val="16"/>
                <w:szCs w:val="16"/>
              </w:rPr>
            </w:pPr>
          </w:p>
        </w:tc>
        <w:tc>
          <w:tcPr>
            <w:tcW w:w="1177"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4957844" w14:textId="77777777" w:rsidR="00F03EB4" w:rsidRPr="00E21C60" w:rsidRDefault="00F03EB4">
            <w:pPr>
              <w:rPr>
                <w:rFonts w:ascii="Arial" w:hAnsi="Arial" w:cs="Arial"/>
                <w:b/>
                <w:bCs/>
                <w:color w:val="000000"/>
                <w:sz w:val="16"/>
                <w:szCs w:val="16"/>
              </w:rPr>
            </w:pPr>
          </w:p>
        </w:tc>
        <w:tc>
          <w:tcPr>
            <w:tcW w:w="1177"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5338B9E" w14:textId="77777777" w:rsidR="00F03EB4" w:rsidRPr="00E21C60" w:rsidRDefault="00F03EB4">
            <w:pPr>
              <w:rPr>
                <w:rFonts w:ascii="Arial" w:hAnsi="Arial" w:cs="Arial"/>
                <w:b/>
                <w:bCs/>
                <w:color w:val="000000"/>
                <w:sz w:val="16"/>
                <w:szCs w:val="16"/>
              </w:rPr>
            </w:pPr>
          </w:p>
        </w:tc>
        <w:tc>
          <w:tcPr>
            <w:tcW w:w="1177"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57FE7BD" w14:textId="77777777" w:rsidR="00F03EB4" w:rsidRPr="00E21C60" w:rsidRDefault="00F03EB4">
            <w:pPr>
              <w:rPr>
                <w:rFonts w:ascii="Arial" w:hAnsi="Arial" w:cs="Arial"/>
                <w:b/>
                <w:bCs/>
                <w:color w:val="000000"/>
                <w:sz w:val="16"/>
                <w:szCs w:val="16"/>
              </w:rPr>
            </w:pPr>
          </w:p>
        </w:tc>
      </w:tr>
      <w:tr w:rsidR="00F03EB4" w:rsidRPr="00E21C60" w14:paraId="266A913A" w14:textId="77777777" w:rsidTr="00F03EB4">
        <w:trPr>
          <w:trHeight w:val="450"/>
        </w:trPr>
        <w:tc>
          <w:tcPr>
            <w:tcW w:w="2444" w:type="dxa"/>
            <w:tcBorders>
              <w:top w:val="nil"/>
              <w:left w:val="single" w:sz="4" w:space="0" w:color="auto"/>
              <w:bottom w:val="single" w:sz="4" w:space="0" w:color="auto"/>
              <w:right w:val="single" w:sz="4" w:space="0" w:color="auto"/>
            </w:tcBorders>
            <w:shd w:val="clear" w:color="000000" w:fill="EAF1DD"/>
            <w:vAlign w:val="center"/>
            <w:hideMark/>
          </w:tcPr>
          <w:p w14:paraId="22852258" w14:textId="77777777" w:rsidR="00F03EB4" w:rsidRPr="002526CC" w:rsidRDefault="00F03EB4">
            <w:pPr>
              <w:rPr>
                <w:rFonts w:ascii="Arial" w:hAnsi="Arial" w:cs="Arial"/>
                <w:color w:val="000000"/>
                <w:sz w:val="16"/>
                <w:szCs w:val="16"/>
              </w:rPr>
            </w:pPr>
            <w:r w:rsidRPr="002526CC">
              <w:rPr>
                <w:rFonts w:ascii="Arial" w:hAnsi="Arial" w:cs="Arial"/>
                <w:color w:val="000000"/>
                <w:sz w:val="16"/>
                <w:szCs w:val="16"/>
              </w:rPr>
              <w:t>Monitoring a manažment kormorána veľkého (Phalacrocorax carbo)</w:t>
            </w:r>
          </w:p>
        </w:tc>
        <w:tc>
          <w:tcPr>
            <w:tcW w:w="2140" w:type="dxa"/>
            <w:tcBorders>
              <w:top w:val="nil"/>
              <w:left w:val="nil"/>
              <w:bottom w:val="single" w:sz="4" w:space="0" w:color="auto"/>
              <w:right w:val="single" w:sz="4" w:space="0" w:color="auto"/>
            </w:tcBorders>
            <w:shd w:val="clear" w:color="auto" w:fill="auto"/>
            <w:vAlign w:val="center"/>
            <w:hideMark/>
          </w:tcPr>
          <w:p w14:paraId="68836022" w14:textId="77777777" w:rsidR="00F03EB4" w:rsidRPr="00E21C60" w:rsidRDefault="00F03EB4">
            <w:pPr>
              <w:rPr>
                <w:rFonts w:ascii="Arial" w:hAnsi="Arial" w:cs="Arial"/>
                <w:color w:val="000000"/>
                <w:sz w:val="16"/>
                <w:szCs w:val="16"/>
              </w:rPr>
            </w:pPr>
            <w:r w:rsidRPr="00E21C60">
              <w:rPr>
                <w:rFonts w:ascii="Arial" w:hAnsi="Arial" w:cs="Arial"/>
                <w:color w:val="000000"/>
                <w:sz w:val="16"/>
                <w:szCs w:val="16"/>
              </w:rPr>
              <w:t>Štátna ochrana prírody SR</w:t>
            </w:r>
          </w:p>
        </w:tc>
        <w:tc>
          <w:tcPr>
            <w:tcW w:w="965" w:type="dxa"/>
            <w:tcBorders>
              <w:top w:val="nil"/>
              <w:left w:val="nil"/>
              <w:bottom w:val="single" w:sz="4" w:space="0" w:color="auto"/>
              <w:right w:val="single" w:sz="4" w:space="0" w:color="auto"/>
            </w:tcBorders>
            <w:shd w:val="clear" w:color="auto" w:fill="auto"/>
            <w:vAlign w:val="center"/>
            <w:hideMark/>
          </w:tcPr>
          <w:p w14:paraId="130BF436" w14:textId="77777777" w:rsidR="00F03EB4" w:rsidRPr="00E21C60" w:rsidRDefault="00F03EB4">
            <w:pPr>
              <w:rPr>
                <w:rFonts w:ascii="Arial" w:hAnsi="Arial" w:cs="Arial"/>
                <w:color w:val="000000"/>
                <w:sz w:val="16"/>
                <w:szCs w:val="16"/>
              </w:rPr>
            </w:pPr>
            <w:r w:rsidRPr="00E21C60">
              <w:rPr>
                <w:rFonts w:ascii="Arial" w:hAnsi="Arial" w:cs="Arial"/>
                <w:color w:val="000000"/>
                <w:sz w:val="16"/>
                <w:szCs w:val="16"/>
              </w:rPr>
              <w:t xml:space="preserve">V realizácii </w:t>
            </w:r>
          </w:p>
        </w:tc>
        <w:tc>
          <w:tcPr>
            <w:tcW w:w="1177" w:type="dxa"/>
            <w:tcBorders>
              <w:top w:val="nil"/>
              <w:left w:val="nil"/>
              <w:bottom w:val="single" w:sz="4" w:space="0" w:color="auto"/>
              <w:right w:val="single" w:sz="4" w:space="0" w:color="auto"/>
            </w:tcBorders>
            <w:shd w:val="clear" w:color="auto" w:fill="auto"/>
            <w:vAlign w:val="center"/>
            <w:hideMark/>
          </w:tcPr>
          <w:p w14:paraId="4CA478C2" w14:textId="1E3788C1" w:rsidR="00F03EB4" w:rsidRPr="00E21C60" w:rsidRDefault="00F03EB4" w:rsidP="00E91CEC">
            <w:pPr>
              <w:jc w:val="center"/>
              <w:rPr>
                <w:rFonts w:ascii="Arial" w:hAnsi="Arial" w:cs="Arial"/>
                <w:color w:val="000000"/>
                <w:sz w:val="16"/>
                <w:szCs w:val="16"/>
              </w:rPr>
            </w:pPr>
            <w:r w:rsidRPr="00E21C60">
              <w:rPr>
                <w:rFonts w:ascii="Arial" w:hAnsi="Arial" w:cs="Arial"/>
                <w:color w:val="000000"/>
                <w:sz w:val="16"/>
                <w:szCs w:val="16"/>
              </w:rPr>
              <w:t>1 163 674</w:t>
            </w:r>
          </w:p>
        </w:tc>
        <w:tc>
          <w:tcPr>
            <w:tcW w:w="1177" w:type="dxa"/>
            <w:tcBorders>
              <w:top w:val="nil"/>
              <w:left w:val="nil"/>
              <w:bottom w:val="single" w:sz="4" w:space="0" w:color="auto"/>
              <w:right w:val="single" w:sz="4" w:space="0" w:color="auto"/>
            </w:tcBorders>
            <w:shd w:val="clear" w:color="auto" w:fill="auto"/>
            <w:vAlign w:val="center"/>
            <w:hideMark/>
          </w:tcPr>
          <w:p w14:paraId="5CB98CB5" w14:textId="53861646" w:rsidR="00F03EB4" w:rsidRPr="00E21C60" w:rsidRDefault="00F03EB4" w:rsidP="00E91CEC">
            <w:pPr>
              <w:jc w:val="center"/>
              <w:rPr>
                <w:rFonts w:ascii="Arial" w:hAnsi="Arial" w:cs="Arial"/>
                <w:color w:val="000000"/>
                <w:sz w:val="16"/>
                <w:szCs w:val="16"/>
              </w:rPr>
            </w:pPr>
            <w:r w:rsidRPr="00E21C60">
              <w:rPr>
                <w:rFonts w:ascii="Arial" w:hAnsi="Arial" w:cs="Arial"/>
                <w:color w:val="000000"/>
                <w:sz w:val="16"/>
                <w:szCs w:val="16"/>
              </w:rPr>
              <w:t>205 354</w:t>
            </w:r>
          </w:p>
        </w:tc>
        <w:tc>
          <w:tcPr>
            <w:tcW w:w="1177" w:type="dxa"/>
            <w:tcBorders>
              <w:top w:val="nil"/>
              <w:left w:val="nil"/>
              <w:bottom w:val="single" w:sz="4" w:space="0" w:color="auto"/>
              <w:right w:val="single" w:sz="4" w:space="0" w:color="auto"/>
            </w:tcBorders>
            <w:shd w:val="clear" w:color="auto" w:fill="auto"/>
            <w:vAlign w:val="center"/>
            <w:hideMark/>
          </w:tcPr>
          <w:p w14:paraId="5557DA9D" w14:textId="5A11642E" w:rsidR="00F03EB4" w:rsidRPr="00E21C60" w:rsidRDefault="00F03EB4" w:rsidP="00E91CEC">
            <w:pPr>
              <w:jc w:val="center"/>
              <w:rPr>
                <w:rFonts w:ascii="Arial" w:hAnsi="Arial" w:cs="Arial"/>
                <w:color w:val="000000"/>
                <w:sz w:val="16"/>
                <w:szCs w:val="16"/>
              </w:rPr>
            </w:pPr>
            <w:r w:rsidRPr="00E21C60">
              <w:rPr>
                <w:rFonts w:ascii="Arial" w:hAnsi="Arial" w:cs="Arial"/>
                <w:color w:val="000000"/>
                <w:sz w:val="16"/>
                <w:szCs w:val="16"/>
              </w:rPr>
              <w:t>1 369 028</w:t>
            </w:r>
          </w:p>
        </w:tc>
      </w:tr>
    </w:tbl>
    <w:p w14:paraId="61522FE4" w14:textId="77777777" w:rsidR="00214ECF" w:rsidRPr="00123376" w:rsidRDefault="00F03EB4" w:rsidP="00123376">
      <w:pPr>
        <w:jc w:val="both"/>
        <w:rPr>
          <w:rFonts w:ascii="Arial" w:hAnsi="Arial" w:cs="Arial"/>
          <w:sz w:val="16"/>
          <w:szCs w:val="16"/>
        </w:rPr>
      </w:pPr>
      <w:r w:rsidRPr="00123376">
        <w:rPr>
          <w:rFonts w:ascii="Arial" w:hAnsi="Arial" w:cs="Arial"/>
          <w:sz w:val="16"/>
          <w:szCs w:val="16"/>
        </w:rPr>
        <w:t>Z</w:t>
      </w:r>
      <w:r w:rsidR="00214ECF" w:rsidRPr="00123376">
        <w:rPr>
          <w:rFonts w:ascii="Arial" w:hAnsi="Arial" w:cs="Arial"/>
          <w:sz w:val="16"/>
          <w:szCs w:val="16"/>
        </w:rPr>
        <w:t xml:space="preserve">droj: RO  </w:t>
      </w:r>
    </w:p>
    <w:p w14:paraId="29042528" w14:textId="77777777" w:rsidR="00214ECF" w:rsidRPr="00E21C60" w:rsidRDefault="00214ECF" w:rsidP="00DF6D90">
      <w:pPr>
        <w:numPr>
          <w:ilvl w:val="0"/>
          <w:numId w:val="22"/>
        </w:numPr>
        <w:tabs>
          <w:tab w:val="clear" w:pos="1080"/>
          <w:tab w:val="num" w:pos="0"/>
        </w:tabs>
        <w:spacing w:before="120" w:after="120"/>
        <w:ind w:left="851" w:hanging="284"/>
        <w:jc w:val="both"/>
        <w:rPr>
          <w:rFonts w:ascii="Arial" w:hAnsi="Arial" w:cs="Arial"/>
          <w:sz w:val="20"/>
          <w:szCs w:val="20"/>
          <w:u w:val="single"/>
        </w:rPr>
      </w:pPr>
      <w:r w:rsidRPr="002526CC">
        <w:rPr>
          <w:rFonts w:ascii="Arial" w:hAnsi="Arial" w:cs="Arial"/>
          <w:i/>
          <w:sz w:val="20"/>
          <w:szCs w:val="20"/>
        </w:rPr>
        <w:t>operačný cieľ 5.3</w:t>
      </w:r>
      <w:r w:rsidRPr="00E21C60">
        <w:rPr>
          <w:rFonts w:ascii="Arial" w:hAnsi="Arial" w:cs="Arial"/>
          <w:sz w:val="20"/>
          <w:szCs w:val="20"/>
        </w:rPr>
        <w:t xml:space="preserve"> </w:t>
      </w:r>
      <w:r w:rsidRPr="00E21C60">
        <w:rPr>
          <w:rFonts w:ascii="Arial" w:hAnsi="Arial" w:cs="Arial"/>
          <w:i/>
          <w:sz w:val="20"/>
          <w:szCs w:val="20"/>
        </w:rPr>
        <w:t xml:space="preserve">Zlepšenie informovanosti a environmentálneho povedomia verejnosti, vrátane posilnenia spolupráce a komunikácie so zainteresovanými skupinami </w:t>
      </w:r>
    </w:p>
    <w:p w14:paraId="1F123584" w14:textId="010A0698" w:rsidR="005D18B1" w:rsidRPr="00E21C60" w:rsidRDefault="00214ECF" w:rsidP="00123376">
      <w:pPr>
        <w:spacing w:before="120" w:after="120"/>
        <w:jc w:val="both"/>
        <w:rPr>
          <w:rFonts w:ascii="Arial" w:hAnsi="Arial" w:cs="Arial"/>
          <w:sz w:val="20"/>
          <w:szCs w:val="20"/>
        </w:rPr>
      </w:pPr>
      <w:r w:rsidRPr="00E21C60">
        <w:rPr>
          <w:rFonts w:ascii="Arial" w:hAnsi="Arial" w:cs="Arial"/>
          <w:sz w:val="20"/>
          <w:szCs w:val="20"/>
        </w:rPr>
        <w:t xml:space="preserve">Zameranie vyššie uvedeného operačného cieľa OP ŽP možno z hľadiska jeho korelácie s prioritami Dunajskej stratégie považovať za významné nielen vo vzťahu k </w:t>
      </w:r>
      <w:r w:rsidRPr="00123376">
        <w:rPr>
          <w:rFonts w:ascii="Arial" w:hAnsi="Arial" w:cs="Arial"/>
          <w:i/>
          <w:sz w:val="20"/>
          <w:szCs w:val="20"/>
        </w:rPr>
        <w:t>prioritnej oblasti 6. Chrániť biodiverzitu, krajinu a kvalitu ovzdušia a pôd</w:t>
      </w:r>
      <w:r w:rsidRPr="002526CC">
        <w:rPr>
          <w:rFonts w:ascii="Arial" w:hAnsi="Arial" w:cs="Arial"/>
          <w:sz w:val="20"/>
          <w:szCs w:val="20"/>
        </w:rPr>
        <w:t xml:space="preserve">, ale tiež vo vzťahu k predtým zmienenej </w:t>
      </w:r>
      <w:r w:rsidRPr="00123376">
        <w:rPr>
          <w:rFonts w:ascii="Arial" w:hAnsi="Arial" w:cs="Arial"/>
          <w:i/>
          <w:sz w:val="20"/>
          <w:szCs w:val="20"/>
        </w:rPr>
        <w:t>prioritnej oblasti 5. Riadiť riziká v oblasti životného prostredia</w:t>
      </w:r>
      <w:r w:rsidRPr="002526CC">
        <w:rPr>
          <w:rFonts w:ascii="Arial" w:hAnsi="Arial" w:cs="Arial"/>
          <w:sz w:val="20"/>
          <w:szCs w:val="20"/>
        </w:rPr>
        <w:t>.</w:t>
      </w:r>
      <w:r w:rsidR="00B27DF6" w:rsidRPr="00E21C60">
        <w:rPr>
          <w:rFonts w:ascii="Arial" w:hAnsi="Arial" w:cs="Arial"/>
          <w:sz w:val="20"/>
          <w:szCs w:val="20"/>
        </w:rPr>
        <w:t xml:space="preserve"> O</w:t>
      </w:r>
      <w:r w:rsidRPr="00E21C60">
        <w:rPr>
          <w:rFonts w:ascii="Arial" w:hAnsi="Arial" w:cs="Arial"/>
          <w:sz w:val="20"/>
          <w:szCs w:val="20"/>
        </w:rPr>
        <w:t xml:space="preserve">peračný cieľ </w:t>
      </w:r>
      <w:r w:rsidR="003E4201">
        <w:rPr>
          <w:rFonts w:ascii="Arial" w:hAnsi="Arial" w:cs="Arial"/>
          <w:sz w:val="20"/>
          <w:szCs w:val="20"/>
        </w:rPr>
        <w:t>bol</w:t>
      </w:r>
      <w:r w:rsidR="003E4201" w:rsidRPr="00E21C60">
        <w:rPr>
          <w:rFonts w:ascii="Arial" w:hAnsi="Arial" w:cs="Arial"/>
          <w:sz w:val="20"/>
          <w:szCs w:val="20"/>
        </w:rPr>
        <w:t xml:space="preserve"> </w:t>
      </w:r>
      <w:r w:rsidRPr="00E21C60">
        <w:rPr>
          <w:rFonts w:ascii="Arial" w:hAnsi="Arial" w:cs="Arial"/>
          <w:sz w:val="20"/>
          <w:szCs w:val="20"/>
        </w:rPr>
        <w:t xml:space="preserve">zameraný na podporu environmentálneho povedomia verejnosti, ktoré </w:t>
      </w:r>
      <w:r w:rsidR="003E4201">
        <w:rPr>
          <w:rFonts w:ascii="Arial" w:hAnsi="Arial" w:cs="Arial"/>
          <w:sz w:val="20"/>
          <w:szCs w:val="20"/>
        </w:rPr>
        <w:t>boli</w:t>
      </w:r>
      <w:r w:rsidR="003E4201" w:rsidRPr="00E21C60">
        <w:rPr>
          <w:rFonts w:ascii="Arial" w:hAnsi="Arial" w:cs="Arial"/>
          <w:sz w:val="20"/>
          <w:szCs w:val="20"/>
        </w:rPr>
        <w:t xml:space="preserve"> </w:t>
      </w:r>
      <w:r w:rsidRPr="00E21C60">
        <w:rPr>
          <w:rFonts w:ascii="Arial" w:hAnsi="Arial" w:cs="Arial"/>
          <w:sz w:val="20"/>
          <w:szCs w:val="20"/>
        </w:rPr>
        <w:t>jednou zo základných podmienok realizácie opatrení v oblasti ochrany prírody a krajiny, a to predovšetkým prostredníctvom prípravy a vydávania kvalitných publikácií s informáciami o prírodných hodnotách, cieľoch v oblasti zachovania a</w:t>
      </w:r>
      <w:r w:rsidR="00B27DF6" w:rsidRPr="00E21C60">
        <w:rPr>
          <w:rFonts w:ascii="Arial" w:hAnsi="Arial" w:cs="Arial"/>
          <w:sz w:val="20"/>
          <w:szCs w:val="20"/>
        </w:rPr>
        <w:t> </w:t>
      </w:r>
      <w:r w:rsidRPr="00E21C60">
        <w:rPr>
          <w:rFonts w:ascii="Arial" w:hAnsi="Arial" w:cs="Arial"/>
          <w:sz w:val="20"/>
          <w:szCs w:val="20"/>
        </w:rPr>
        <w:t>zlepšovania</w:t>
      </w:r>
      <w:r w:rsidR="00B27DF6" w:rsidRPr="00E21C60">
        <w:rPr>
          <w:rFonts w:ascii="Arial" w:hAnsi="Arial" w:cs="Arial"/>
          <w:sz w:val="20"/>
          <w:szCs w:val="20"/>
        </w:rPr>
        <w:t> </w:t>
      </w:r>
      <w:r w:rsidRPr="00E21C60">
        <w:rPr>
          <w:rFonts w:ascii="Arial" w:hAnsi="Arial" w:cs="Arial"/>
          <w:sz w:val="20"/>
          <w:szCs w:val="20"/>
        </w:rPr>
        <w:t>kvality životného prostredia a úlohách ostatných subjektov pri jeho spoločnej ochrane.</w:t>
      </w:r>
    </w:p>
    <w:p w14:paraId="189BD575" w14:textId="2EA4DFA1" w:rsidR="00A35B64" w:rsidRPr="00E21C60" w:rsidRDefault="00214ECF" w:rsidP="00123376">
      <w:pPr>
        <w:jc w:val="both"/>
        <w:rPr>
          <w:rFonts w:ascii="Arial" w:hAnsi="Arial" w:cs="Arial"/>
          <w:sz w:val="20"/>
          <w:szCs w:val="20"/>
        </w:rPr>
      </w:pPr>
      <w:r w:rsidRPr="00E21C60">
        <w:rPr>
          <w:rFonts w:ascii="Arial" w:hAnsi="Arial" w:cs="Arial"/>
          <w:sz w:val="20"/>
          <w:szCs w:val="20"/>
        </w:rPr>
        <w:t>Tab</w:t>
      </w:r>
      <w:r w:rsidR="00175163" w:rsidRPr="00E21C60">
        <w:rPr>
          <w:rFonts w:ascii="Arial" w:hAnsi="Arial" w:cs="Arial"/>
          <w:sz w:val="20"/>
          <w:szCs w:val="20"/>
        </w:rPr>
        <w:t>uľka</w:t>
      </w:r>
      <w:r w:rsidRPr="00E21C60">
        <w:rPr>
          <w:rFonts w:ascii="Arial" w:hAnsi="Arial" w:cs="Arial"/>
          <w:sz w:val="20"/>
          <w:szCs w:val="20"/>
        </w:rPr>
        <w:t xml:space="preserve"> č. </w:t>
      </w:r>
      <w:r w:rsidR="00682B07">
        <w:rPr>
          <w:rFonts w:ascii="Arial" w:hAnsi="Arial" w:cs="Arial"/>
          <w:sz w:val="20"/>
          <w:szCs w:val="20"/>
        </w:rPr>
        <w:t>3</w:t>
      </w:r>
      <w:r w:rsidR="007B1CB9">
        <w:rPr>
          <w:rFonts w:ascii="Arial" w:hAnsi="Arial" w:cs="Arial"/>
          <w:sz w:val="20"/>
          <w:szCs w:val="20"/>
        </w:rPr>
        <w:t>3</w:t>
      </w:r>
      <w:r w:rsidRPr="00E21C60">
        <w:rPr>
          <w:rFonts w:ascii="Arial" w:hAnsi="Arial" w:cs="Arial"/>
          <w:sz w:val="20"/>
          <w:szCs w:val="20"/>
        </w:rPr>
        <w:t>: Príklad projektu</w:t>
      </w:r>
    </w:p>
    <w:tbl>
      <w:tblPr>
        <w:tblW w:w="9080" w:type="dxa"/>
        <w:tblInd w:w="55" w:type="dxa"/>
        <w:tblCellMar>
          <w:left w:w="70" w:type="dxa"/>
          <w:right w:w="70" w:type="dxa"/>
        </w:tblCellMar>
        <w:tblLook w:val="04A0" w:firstRow="1" w:lastRow="0" w:firstColumn="1" w:lastColumn="0" w:noHBand="0" w:noVBand="1"/>
      </w:tblPr>
      <w:tblGrid>
        <w:gridCol w:w="2382"/>
        <w:gridCol w:w="2095"/>
        <w:gridCol w:w="1075"/>
        <w:gridCol w:w="1176"/>
        <w:gridCol w:w="1176"/>
        <w:gridCol w:w="1176"/>
      </w:tblGrid>
      <w:tr w:rsidR="00A35B64" w:rsidRPr="00E21C60" w14:paraId="315030D2" w14:textId="77777777" w:rsidTr="007D7B08">
        <w:trPr>
          <w:trHeight w:val="225"/>
        </w:trPr>
        <w:tc>
          <w:tcPr>
            <w:tcW w:w="2382"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D58AE70" w14:textId="77777777" w:rsidR="00A35B64" w:rsidRPr="00E21C60" w:rsidRDefault="00A35B64">
            <w:pPr>
              <w:jc w:val="center"/>
              <w:rPr>
                <w:rFonts w:ascii="Arial" w:hAnsi="Arial" w:cs="Arial"/>
                <w:b/>
                <w:bCs/>
                <w:color w:val="000000"/>
                <w:sz w:val="16"/>
                <w:szCs w:val="16"/>
              </w:rPr>
            </w:pPr>
            <w:r w:rsidRPr="00E21C60">
              <w:rPr>
                <w:rFonts w:ascii="Arial" w:hAnsi="Arial" w:cs="Arial"/>
                <w:b/>
                <w:bCs/>
                <w:color w:val="000000"/>
                <w:sz w:val="16"/>
                <w:szCs w:val="16"/>
              </w:rPr>
              <w:t>Názov projektu</w:t>
            </w:r>
          </w:p>
        </w:tc>
        <w:tc>
          <w:tcPr>
            <w:tcW w:w="209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E28DCB9" w14:textId="77777777" w:rsidR="00A35B64" w:rsidRPr="00E21C60" w:rsidRDefault="00A35B64">
            <w:pPr>
              <w:jc w:val="center"/>
              <w:rPr>
                <w:rFonts w:ascii="Arial" w:hAnsi="Arial" w:cs="Arial"/>
                <w:b/>
                <w:bCs/>
                <w:color w:val="000000"/>
                <w:sz w:val="16"/>
                <w:szCs w:val="16"/>
              </w:rPr>
            </w:pPr>
            <w:r w:rsidRPr="00E21C60">
              <w:rPr>
                <w:rFonts w:ascii="Arial" w:hAnsi="Arial" w:cs="Arial"/>
                <w:b/>
                <w:bCs/>
                <w:color w:val="000000"/>
                <w:sz w:val="16"/>
                <w:szCs w:val="16"/>
              </w:rPr>
              <w:t>Žiadateľ</w:t>
            </w:r>
          </w:p>
        </w:tc>
        <w:tc>
          <w:tcPr>
            <w:tcW w:w="1075"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0A87D79" w14:textId="159E7AFD" w:rsidR="00A35B64" w:rsidRPr="00E21C60" w:rsidRDefault="00A35B64" w:rsidP="00FF000F">
            <w:pPr>
              <w:jc w:val="center"/>
              <w:rPr>
                <w:rFonts w:ascii="Arial" w:hAnsi="Arial" w:cs="Arial"/>
                <w:b/>
                <w:bCs/>
                <w:color w:val="000000"/>
                <w:sz w:val="16"/>
                <w:szCs w:val="16"/>
              </w:rPr>
            </w:pPr>
            <w:r w:rsidRPr="00E21C60">
              <w:rPr>
                <w:rFonts w:ascii="Arial" w:hAnsi="Arial" w:cs="Arial"/>
                <w:b/>
                <w:bCs/>
                <w:color w:val="000000"/>
                <w:sz w:val="16"/>
                <w:szCs w:val="16"/>
              </w:rPr>
              <w:t>Stav</w:t>
            </w:r>
            <w:r w:rsidRPr="00E21C60">
              <w:rPr>
                <w:rFonts w:ascii="Arial" w:hAnsi="Arial" w:cs="Arial"/>
                <w:b/>
                <w:bCs/>
                <w:color w:val="000000"/>
                <w:sz w:val="16"/>
                <w:szCs w:val="16"/>
              </w:rPr>
              <w:br/>
              <w:t>k 31.1</w:t>
            </w:r>
            <w:r w:rsidR="00FF000F">
              <w:rPr>
                <w:rFonts w:ascii="Arial" w:hAnsi="Arial" w:cs="Arial"/>
                <w:b/>
                <w:bCs/>
                <w:color w:val="000000"/>
                <w:sz w:val="16"/>
                <w:szCs w:val="16"/>
              </w:rPr>
              <w:t>0</w:t>
            </w:r>
            <w:r w:rsidRPr="00E21C60">
              <w:rPr>
                <w:rFonts w:ascii="Arial" w:hAnsi="Arial" w:cs="Arial"/>
                <w:b/>
                <w:bCs/>
                <w:color w:val="000000"/>
                <w:sz w:val="16"/>
                <w:szCs w:val="16"/>
              </w:rPr>
              <w:t>.201</w:t>
            </w:r>
            <w:r w:rsidR="00FF000F">
              <w:rPr>
                <w:rFonts w:ascii="Arial" w:hAnsi="Arial" w:cs="Arial"/>
                <w:b/>
                <w:bCs/>
                <w:color w:val="000000"/>
                <w:sz w:val="16"/>
                <w:szCs w:val="16"/>
              </w:rPr>
              <w:t>6</w:t>
            </w:r>
          </w:p>
        </w:tc>
        <w:tc>
          <w:tcPr>
            <w:tcW w:w="1176"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AE263C0" w14:textId="77777777" w:rsidR="00A35B64" w:rsidRPr="00E21C60" w:rsidRDefault="00A35B6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EÚ) v €</w:t>
            </w:r>
          </w:p>
        </w:tc>
        <w:tc>
          <w:tcPr>
            <w:tcW w:w="1176"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A197997" w14:textId="77777777" w:rsidR="00A35B64" w:rsidRPr="00E21C60" w:rsidRDefault="00A35B6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(zdroj ŠR) v €</w:t>
            </w:r>
          </w:p>
        </w:tc>
        <w:tc>
          <w:tcPr>
            <w:tcW w:w="1176" w:type="dxa"/>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E5A8294" w14:textId="77777777" w:rsidR="00A35B64" w:rsidRPr="00E21C60" w:rsidRDefault="00A35B64">
            <w:pPr>
              <w:jc w:val="center"/>
              <w:rPr>
                <w:rFonts w:ascii="Arial" w:hAnsi="Arial" w:cs="Arial"/>
                <w:b/>
                <w:bCs/>
                <w:color w:val="000000"/>
                <w:sz w:val="16"/>
                <w:szCs w:val="16"/>
              </w:rPr>
            </w:pPr>
            <w:r w:rsidRPr="00E21C60">
              <w:rPr>
                <w:rFonts w:ascii="Arial" w:hAnsi="Arial" w:cs="Arial"/>
                <w:b/>
                <w:bCs/>
                <w:color w:val="000000"/>
                <w:sz w:val="16"/>
                <w:szCs w:val="16"/>
              </w:rPr>
              <w:t>Zazmluvnené</w:t>
            </w:r>
            <w:r w:rsidRPr="00E21C60">
              <w:rPr>
                <w:rFonts w:ascii="Arial" w:hAnsi="Arial" w:cs="Arial"/>
                <w:b/>
                <w:bCs/>
                <w:color w:val="000000"/>
                <w:sz w:val="16"/>
                <w:szCs w:val="16"/>
              </w:rPr>
              <w:br/>
              <w:t>(EÚ + ŠR) v €</w:t>
            </w:r>
          </w:p>
        </w:tc>
      </w:tr>
      <w:tr w:rsidR="00A35B64" w:rsidRPr="00E21C60" w14:paraId="232DECDE" w14:textId="77777777" w:rsidTr="007D7B08">
        <w:trPr>
          <w:trHeight w:val="225"/>
        </w:trPr>
        <w:tc>
          <w:tcPr>
            <w:tcW w:w="2382"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C6DC5F2" w14:textId="77777777" w:rsidR="00A35B64" w:rsidRPr="00E21C60" w:rsidRDefault="00A35B64">
            <w:pPr>
              <w:rPr>
                <w:rFonts w:ascii="Arial" w:hAnsi="Arial" w:cs="Arial"/>
                <w:b/>
                <w:bCs/>
                <w:color w:val="000000"/>
                <w:sz w:val="16"/>
                <w:szCs w:val="16"/>
              </w:rPr>
            </w:pPr>
          </w:p>
        </w:tc>
        <w:tc>
          <w:tcPr>
            <w:tcW w:w="209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A4FD710" w14:textId="77777777" w:rsidR="00A35B64" w:rsidRPr="00E21C60" w:rsidRDefault="00A35B64">
            <w:pPr>
              <w:rPr>
                <w:rFonts w:ascii="Arial" w:hAnsi="Arial" w:cs="Arial"/>
                <w:b/>
                <w:bCs/>
                <w:color w:val="000000"/>
                <w:sz w:val="16"/>
                <w:szCs w:val="16"/>
              </w:rPr>
            </w:pPr>
          </w:p>
        </w:tc>
        <w:tc>
          <w:tcPr>
            <w:tcW w:w="1075"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3FA6E48" w14:textId="77777777" w:rsidR="00A35B64" w:rsidRPr="00E21C60" w:rsidRDefault="00A35B64">
            <w:pPr>
              <w:rPr>
                <w:rFonts w:ascii="Arial" w:hAnsi="Arial" w:cs="Arial"/>
                <w:b/>
                <w:bCs/>
                <w:color w:val="000000"/>
                <w:sz w:val="16"/>
                <w:szCs w:val="16"/>
              </w:rPr>
            </w:pPr>
          </w:p>
        </w:tc>
        <w:tc>
          <w:tcPr>
            <w:tcW w:w="1176"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965A874" w14:textId="77777777" w:rsidR="00A35B64" w:rsidRPr="00E21C60" w:rsidRDefault="00A35B64">
            <w:pPr>
              <w:rPr>
                <w:rFonts w:ascii="Arial" w:hAnsi="Arial" w:cs="Arial"/>
                <w:b/>
                <w:bCs/>
                <w:color w:val="000000"/>
                <w:sz w:val="16"/>
                <w:szCs w:val="16"/>
              </w:rPr>
            </w:pPr>
          </w:p>
        </w:tc>
        <w:tc>
          <w:tcPr>
            <w:tcW w:w="1176"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BFC6458" w14:textId="77777777" w:rsidR="00A35B64" w:rsidRPr="00E21C60" w:rsidRDefault="00A35B64">
            <w:pPr>
              <w:rPr>
                <w:rFonts w:ascii="Arial" w:hAnsi="Arial" w:cs="Arial"/>
                <w:b/>
                <w:bCs/>
                <w:color w:val="000000"/>
                <w:sz w:val="16"/>
                <w:szCs w:val="16"/>
              </w:rPr>
            </w:pPr>
          </w:p>
        </w:tc>
        <w:tc>
          <w:tcPr>
            <w:tcW w:w="1176" w:type="dxa"/>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CA28DFD" w14:textId="77777777" w:rsidR="00A35B64" w:rsidRPr="00E21C60" w:rsidRDefault="00A35B64">
            <w:pPr>
              <w:rPr>
                <w:rFonts w:ascii="Arial" w:hAnsi="Arial" w:cs="Arial"/>
                <w:b/>
                <w:bCs/>
                <w:color w:val="000000"/>
                <w:sz w:val="16"/>
                <w:szCs w:val="16"/>
              </w:rPr>
            </w:pPr>
          </w:p>
        </w:tc>
      </w:tr>
      <w:tr w:rsidR="00A35B64" w:rsidRPr="00E21C60" w14:paraId="64B9F575" w14:textId="77777777" w:rsidTr="00123376">
        <w:trPr>
          <w:trHeight w:val="716"/>
        </w:trPr>
        <w:tc>
          <w:tcPr>
            <w:tcW w:w="2382" w:type="dxa"/>
            <w:tcBorders>
              <w:top w:val="nil"/>
              <w:left w:val="single" w:sz="4" w:space="0" w:color="auto"/>
              <w:bottom w:val="single" w:sz="4" w:space="0" w:color="auto"/>
              <w:right w:val="single" w:sz="4" w:space="0" w:color="auto"/>
            </w:tcBorders>
            <w:shd w:val="clear" w:color="000000" w:fill="EAF1DD"/>
            <w:vAlign w:val="center"/>
            <w:hideMark/>
          </w:tcPr>
          <w:p w14:paraId="33E4BED7" w14:textId="77777777" w:rsidR="00A35B64" w:rsidRPr="002526CC" w:rsidRDefault="00A35B64">
            <w:pPr>
              <w:rPr>
                <w:rFonts w:ascii="Arial" w:hAnsi="Arial" w:cs="Arial"/>
                <w:color w:val="000000"/>
                <w:sz w:val="16"/>
                <w:szCs w:val="16"/>
              </w:rPr>
            </w:pPr>
            <w:r w:rsidRPr="002526CC">
              <w:rPr>
                <w:rFonts w:ascii="Arial" w:hAnsi="Arial" w:cs="Arial"/>
                <w:color w:val="000000"/>
                <w:sz w:val="16"/>
                <w:szCs w:val="16"/>
              </w:rPr>
              <w:t xml:space="preserve">Informačná a vzdelávacia kampaň o vodnom plánovaní v zmysle smernice 2000/60/ES vo vzťahu k ochrane prírody a krajiny </w:t>
            </w:r>
          </w:p>
        </w:tc>
        <w:tc>
          <w:tcPr>
            <w:tcW w:w="2095" w:type="dxa"/>
            <w:tcBorders>
              <w:top w:val="nil"/>
              <w:left w:val="nil"/>
              <w:bottom w:val="single" w:sz="4" w:space="0" w:color="auto"/>
              <w:right w:val="single" w:sz="4" w:space="0" w:color="auto"/>
            </w:tcBorders>
            <w:shd w:val="clear" w:color="auto" w:fill="auto"/>
            <w:vAlign w:val="center"/>
            <w:hideMark/>
          </w:tcPr>
          <w:p w14:paraId="697A0ECD" w14:textId="77777777" w:rsidR="00A35B64" w:rsidRPr="00E21C60" w:rsidRDefault="00A35B64">
            <w:pPr>
              <w:rPr>
                <w:rFonts w:ascii="Arial" w:hAnsi="Arial" w:cs="Arial"/>
                <w:color w:val="000000"/>
                <w:sz w:val="16"/>
                <w:szCs w:val="16"/>
              </w:rPr>
            </w:pPr>
            <w:r w:rsidRPr="00E21C60">
              <w:rPr>
                <w:rFonts w:ascii="Arial" w:hAnsi="Arial" w:cs="Arial"/>
                <w:color w:val="000000"/>
                <w:sz w:val="16"/>
                <w:szCs w:val="16"/>
              </w:rPr>
              <w:t>Slovenská agentúra životného prostredia</w:t>
            </w:r>
          </w:p>
        </w:tc>
        <w:tc>
          <w:tcPr>
            <w:tcW w:w="1075" w:type="dxa"/>
            <w:tcBorders>
              <w:top w:val="nil"/>
              <w:left w:val="nil"/>
              <w:bottom w:val="single" w:sz="4" w:space="0" w:color="auto"/>
              <w:right w:val="single" w:sz="4" w:space="0" w:color="auto"/>
            </w:tcBorders>
            <w:shd w:val="clear" w:color="auto" w:fill="auto"/>
            <w:vAlign w:val="center"/>
            <w:hideMark/>
          </w:tcPr>
          <w:p w14:paraId="0A96C05E" w14:textId="77777777" w:rsidR="00A35B64" w:rsidRPr="00E21C60" w:rsidRDefault="00A35B64">
            <w:pPr>
              <w:rPr>
                <w:rFonts w:ascii="Arial" w:hAnsi="Arial" w:cs="Arial"/>
                <w:color w:val="000000"/>
                <w:sz w:val="16"/>
                <w:szCs w:val="16"/>
              </w:rPr>
            </w:pPr>
            <w:r w:rsidRPr="00E21C60">
              <w:rPr>
                <w:rFonts w:ascii="Arial" w:hAnsi="Arial" w:cs="Arial"/>
                <w:color w:val="000000"/>
                <w:sz w:val="16"/>
                <w:szCs w:val="16"/>
              </w:rPr>
              <w:t>Riadne ukončený</w:t>
            </w:r>
          </w:p>
        </w:tc>
        <w:tc>
          <w:tcPr>
            <w:tcW w:w="1176" w:type="dxa"/>
            <w:tcBorders>
              <w:top w:val="nil"/>
              <w:left w:val="nil"/>
              <w:bottom w:val="single" w:sz="4" w:space="0" w:color="auto"/>
              <w:right w:val="single" w:sz="4" w:space="0" w:color="auto"/>
            </w:tcBorders>
            <w:shd w:val="clear" w:color="auto" w:fill="auto"/>
            <w:vAlign w:val="center"/>
            <w:hideMark/>
          </w:tcPr>
          <w:p w14:paraId="545E8D38" w14:textId="683D1000" w:rsidR="00A35B64" w:rsidRPr="00E21C60" w:rsidRDefault="00A35B64" w:rsidP="00E91CEC">
            <w:pPr>
              <w:jc w:val="right"/>
              <w:rPr>
                <w:rFonts w:ascii="Arial" w:hAnsi="Arial" w:cs="Arial"/>
                <w:color w:val="000000"/>
                <w:sz w:val="16"/>
                <w:szCs w:val="16"/>
              </w:rPr>
            </w:pPr>
            <w:r w:rsidRPr="00E21C60">
              <w:rPr>
                <w:rFonts w:ascii="Arial" w:hAnsi="Arial" w:cs="Arial"/>
                <w:color w:val="000000"/>
                <w:sz w:val="16"/>
                <w:szCs w:val="16"/>
              </w:rPr>
              <w:t>165 12</w:t>
            </w:r>
            <w:r w:rsidR="00E91CEC">
              <w:rPr>
                <w:rFonts w:ascii="Arial" w:hAnsi="Arial" w:cs="Arial"/>
                <w:color w:val="000000"/>
                <w:sz w:val="16"/>
                <w:szCs w:val="16"/>
              </w:rPr>
              <w:t>9</w:t>
            </w:r>
          </w:p>
        </w:tc>
        <w:tc>
          <w:tcPr>
            <w:tcW w:w="1176" w:type="dxa"/>
            <w:tcBorders>
              <w:top w:val="nil"/>
              <w:left w:val="nil"/>
              <w:bottom w:val="single" w:sz="4" w:space="0" w:color="auto"/>
              <w:right w:val="single" w:sz="4" w:space="0" w:color="auto"/>
            </w:tcBorders>
            <w:shd w:val="clear" w:color="auto" w:fill="auto"/>
            <w:vAlign w:val="center"/>
            <w:hideMark/>
          </w:tcPr>
          <w:p w14:paraId="4A5C8A97" w14:textId="099BC14C" w:rsidR="00A35B64" w:rsidRPr="00E21C60" w:rsidRDefault="00A35B64" w:rsidP="00E91CEC">
            <w:pPr>
              <w:jc w:val="right"/>
              <w:rPr>
                <w:rFonts w:ascii="Arial" w:hAnsi="Arial" w:cs="Arial"/>
                <w:color w:val="000000"/>
                <w:sz w:val="16"/>
                <w:szCs w:val="16"/>
              </w:rPr>
            </w:pPr>
            <w:r w:rsidRPr="00E21C60">
              <w:rPr>
                <w:rFonts w:ascii="Arial" w:hAnsi="Arial" w:cs="Arial"/>
                <w:color w:val="000000"/>
                <w:sz w:val="16"/>
                <w:szCs w:val="16"/>
              </w:rPr>
              <w:t>29 140</w:t>
            </w:r>
          </w:p>
        </w:tc>
        <w:tc>
          <w:tcPr>
            <w:tcW w:w="1176" w:type="dxa"/>
            <w:tcBorders>
              <w:top w:val="nil"/>
              <w:left w:val="nil"/>
              <w:bottom w:val="single" w:sz="4" w:space="0" w:color="auto"/>
              <w:right w:val="single" w:sz="4" w:space="0" w:color="auto"/>
            </w:tcBorders>
            <w:shd w:val="clear" w:color="auto" w:fill="auto"/>
            <w:vAlign w:val="center"/>
            <w:hideMark/>
          </w:tcPr>
          <w:p w14:paraId="5B3D9640" w14:textId="3753264D" w:rsidR="00A35B64" w:rsidRPr="00E21C60" w:rsidRDefault="00A35B64" w:rsidP="00E91CEC">
            <w:pPr>
              <w:jc w:val="right"/>
              <w:rPr>
                <w:rFonts w:ascii="Arial" w:hAnsi="Arial" w:cs="Arial"/>
                <w:color w:val="000000"/>
                <w:sz w:val="16"/>
                <w:szCs w:val="16"/>
              </w:rPr>
            </w:pPr>
            <w:r w:rsidRPr="00E21C60">
              <w:rPr>
                <w:rFonts w:ascii="Arial" w:hAnsi="Arial" w:cs="Arial"/>
                <w:color w:val="000000"/>
                <w:sz w:val="16"/>
                <w:szCs w:val="16"/>
              </w:rPr>
              <w:t>194 269</w:t>
            </w:r>
          </w:p>
        </w:tc>
      </w:tr>
    </w:tbl>
    <w:p w14:paraId="0BA96859" w14:textId="17AE965B" w:rsidR="00054B56" w:rsidRPr="0008447E" w:rsidRDefault="00214ECF" w:rsidP="0008447E">
      <w:pPr>
        <w:jc w:val="both"/>
        <w:rPr>
          <w:rFonts w:ascii="Arial" w:hAnsi="Arial" w:cs="Arial"/>
          <w:sz w:val="16"/>
          <w:szCs w:val="16"/>
        </w:rPr>
      </w:pPr>
      <w:r w:rsidRPr="00123376">
        <w:rPr>
          <w:rFonts w:ascii="Arial" w:hAnsi="Arial" w:cs="Arial"/>
          <w:sz w:val="16"/>
          <w:szCs w:val="16"/>
        </w:rPr>
        <w:t>Zdroj: RO</w:t>
      </w:r>
    </w:p>
    <w:p w14:paraId="24B02DA1" w14:textId="77777777" w:rsidR="002416B1" w:rsidRPr="0020746A" w:rsidRDefault="002416B1" w:rsidP="00123376">
      <w:pPr>
        <w:pStyle w:val="Nadpis2"/>
        <w:spacing w:after="120"/>
        <w:rPr>
          <w:rFonts w:cs="Arial"/>
        </w:rPr>
      </w:pPr>
      <w:bookmarkStart w:id="42" w:name="_3.6_Monitorovacie_mechanizmy"/>
      <w:bookmarkStart w:id="43" w:name="_Toc466914520"/>
      <w:bookmarkEnd w:id="42"/>
      <w:r w:rsidRPr="00BC43A7">
        <w:rPr>
          <w:rFonts w:cs="Arial"/>
        </w:rPr>
        <w:t>2.7 Monitorovanie a hodnotenie</w:t>
      </w:r>
      <w:bookmarkEnd w:id="43"/>
    </w:p>
    <w:p w14:paraId="15D340BF" w14:textId="77777777" w:rsidR="002416B1" w:rsidRPr="00D641FF" w:rsidRDefault="002416B1" w:rsidP="00123376">
      <w:pPr>
        <w:pStyle w:val="Nadpis3"/>
        <w:spacing w:after="120"/>
        <w:rPr>
          <w:rFonts w:cs="Arial"/>
        </w:rPr>
      </w:pPr>
      <w:bookmarkStart w:id="44" w:name="_3.6.1_Monitorovací_výbor"/>
      <w:bookmarkStart w:id="45" w:name="_Toc466914521"/>
      <w:bookmarkEnd w:id="44"/>
      <w:r w:rsidRPr="002A684B">
        <w:rPr>
          <w:rFonts w:cs="Arial"/>
        </w:rPr>
        <w:t>2.7.1 Monitorovanie</w:t>
      </w:r>
      <w:bookmarkEnd w:id="45"/>
    </w:p>
    <w:p w14:paraId="6467AF42" w14:textId="0BF11977" w:rsidR="002416B1"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Monitorovanie kvality vykonávania operačného programu v súlade s čl. 63 - 68 všeobecného nariadenia zabezpeč</w:t>
      </w:r>
      <w:r w:rsidR="000241F0">
        <w:rPr>
          <w:rFonts w:ascii="Arial" w:hAnsi="Arial" w:cs="Arial"/>
          <w:sz w:val="20"/>
          <w:szCs w:val="20"/>
        </w:rPr>
        <w:t>oval</w:t>
      </w:r>
      <w:r w:rsidRPr="00E21C60">
        <w:rPr>
          <w:rFonts w:ascii="Arial" w:hAnsi="Arial" w:cs="Arial"/>
          <w:sz w:val="20"/>
          <w:szCs w:val="20"/>
        </w:rPr>
        <w:t xml:space="preserve"> riadiaci orgán a príslušný monitorovací výbor.</w:t>
      </w:r>
    </w:p>
    <w:p w14:paraId="1624EB09" w14:textId="3B6A9444" w:rsidR="002D4D92" w:rsidRPr="00E21C60" w:rsidRDefault="002D4D92" w:rsidP="002D4D92">
      <w:pPr>
        <w:spacing w:before="120" w:after="120"/>
        <w:jc w:val="both"/>
        <w:rPr>
          <w:rFonts w:ascii="Arial" w:hAnsi="Arial" w:cs="Arial"/>
          <w:sz w:val="20"/>
          <w:szCs w:val="20"/>
        </w:rPr>
      </w:pPr>
      <w:r w:rsidRPr="00E21C60">
        <w:rPr>
          <w:rFonts w:ascii="Arial" w:hAnsi="Arial" w:cs="Arial"/>
          <w:sz w:val="20"/>
          <w:szCs w:val="20"/>
          <w:u w:val="single"/>
        </w:rPr>
        <w:t>Predmetom monitorovania na úrovni programu</w:t>
      </w:r>
      <w:r w:rsidRPr="00E21C60">
        <w:rPr>
          <w:rFonts w:ascii="Arial" w:hAnsi="Arial" w:cs="Arial"/>
          <w:sz w:val="20"/>
          <w:szCs w:val="20"/>
        </w:rPr>
        <w:t xml:space="preserve"> </w:t>
      </w:r>
      <w:r w:rsidR="000241F0">
        <w:rPr>
          <w:rFonts w:ascii="Arial" w:hAnsi="Arial" w:cs="Arial"/>
          <w:sz w:val="20"/>
          <w:szCs w:val="20"/>
        </w:rPr>
        <w:t>bolo</w:t>
      </w:r>
      <w:r w:rsidRPr="00E21C60">
        <w:rPr>
          <w:rFonts w:ascii="Arial" w:hAnsi="Arial" w:cs="Arial"/>
          <w:sz w:val="20"/>
          <w:szCs w:val="20"/>
        </w:rPr>
        <w:t xml:space="preserve"> dôsledné a pravidelné sledovanie realizácie cieľov operačného programu s využitím fyzických a finančných ukazovateľov </w:t>
      </w:r>
      <w:r>
        <w:rPr>
          <w:rFonts w:ascii="Arial" w:hAnsi="Arial" w:cs="Arial"/>
          <w:sz w:val="20"/>
          <w:szCs w:val="20"/>
        </w:rPr>
        <w:t xml:space="preserve">výsledku a dopadu </w:t>
      </w:r>
      <w:r w:rsidRPr="00E21C60">
        <w:rPr>
          <w:rFonts w:ascii="Arial" w:hAnsi="Arial" w:cs="Arial"/>
          <w:sz w:val="20"/>
          <w:szCs w:val="20"/>
        </w:rPr>
        <w:t>OP, s cieľom poskytnúť príslušným zodpovedným subjektom okamžitý prístup k spoľahlivým, konzistentným a aktuálnym informáciám dôležitým pre vykonávanie a hodnoten</w:t>
      </w:r>
      <w:r>
        <w:rPr>
          <w:rFonts w:ascii="Arial" w:hAnsi="Arial" w:cs="Arial"/>
          <w:sz w:val="20"/>
          <w:szCs w:val="20"/>
        </w:rPr>
        <w:t>ie OP. Výstupmi monitorovania boli</w:t>
      </w:r>
      <w:r w:rsidRPr="00E21C60">
        <w:rPr>
          <w:rFonts w:ascii="Arial" w:hAnsi="Arial" w:cs="Arial"/>
          <w:sz w:val="20"/>
          <w:szCs w:val="20"/>
        </w:rPr>
        <w:t xml:space="preserve"> výročné správy a</w:t>
      </w:r>
      <w:r>
        <w:rPr>
          <w:rFonts w:ascii="Arial" w:hAnsi="Arial" w:cs="Arial"/>
          <w:sz w:val="20"/>
          <w:szCs w:val="20"/>
        </w:rPr>
        <w:t xml:space="preserve"> táto</w:t>
      </w:r>
      <w:r w:rsidRPr="00E21C60">
        <w:rPr>
          <w:rFonts w:ascii="Arial" w:hAnsi="Arial" w:cs="Arial"/>
          <w:sz w:val="20"/>
          <w:szCs w:val="20"/>
        </w:rPr>
        <w:t> zá</w:t>
      </w:r>
      <w:r>
        <w:rPr>
          <w:rFonts w:ascii="Arial" w:hAnsi="Arial" w:cs="Arial"/>
          <w:sz w:val="20"/>
          <w:szCs w:val="20"/>
        </w:rPr>
        <w:t>verečná správa o vykonávaní OP.</w:t>
      </w:r>
    </w:p>
    <w:p w14:paraId="5D725655" w14:textId="23173E97" w:rsidR="002D4D92" w:rsidRPr="00D641FF" w:rsidRDefault="002D4D92" w:rsidP="002D4D92">
      <w:pPr>
        <w:spacing w:before="120" w:after="120"/>
        <w:jc w:val="both"/>
        <w:rPr>
          <w:rFonts w:ascii="Arial" w:hAnsi="Arial" w:cs="Arial"/>
          <w:sz w:val="20"/>
        </w:rPr>
      </w:pPr>
      <w:r w:rsidRPr="00D641FF">
        <w:rPr>
          <w:rFonts w:ascii="Arial" w:hAnsi="Arial" w:cs="Arial"/>
          <w:sz w:val="20"/>
          <w:u w:val="single"/>
        </w:rPr>
        <w:t>Monitorovanie projektov prebieha na základe merateľných ukazovateľov</w:t>
      </w:r>
      <w:r w:rsidRPr="00D641FF">
        <w:rPr>
          <w:rFonts w:ascii="Arial" w:hAnsi="Arial" w:cs="Arial"/>
          <w:sz w:val="20"/>
        </w:rPr>
        <w:t xml:space="preserve">, t.j. projektových ukazovateľov výsledku a dopadu, ktoré </w:t>
      </w:r>
      <w:r w:rsidR="000241F0">
        <w:rPr>
          <w:rFonts w:ascii="Arial" w:hAnsi="Arial" w:cs="Arial"/>
          <w:sz w:val="20"/>
        </w:rPr>
        <w:t>boli</w:t>
      </w:r>
      <w:r w:rsidRPr="00D641FF">
        <w:rPr>
          <w:rFonts w:ascii="Arial" w:hAnsi="Arial" w:cs="Arial"/>
          <w:sz w:val="20"/>
        </w:rPr>
        <w:t xml:space="preserve"> súčasťou Príručky pre žiadateľa o NFP v rámci OP ŽP. Projektové ukazovatele </w:t>
      </w:r>
      <w:r w:rsidR="000241F0">
        <w:rPr>
          <w:rFonts w:ascii="Arial" w:hAnsi="Arial" w:cs="Arial"/>
          <w:sz w:val="20"/>
        </w:rPr>
        <w:t>bolo</w:t>
      </w:r>
      <w:r w:rsidRPr="00D641FF">
        <w:rPr>
          <w:rFonts w:ascii="Arial" w:hAnsi="Arial" w:cs="Arial"/>
          <w:sz w:val="20"/>
        </w:rPr>
        <w:t xml:space="preserve"> zaradené v číselníku projektových ukazovateľov podľa prioritných tém </w:t>
      </w:r>
      <w:r>
        <w:rPr>
          <w:rFonts w:ascii="Arial" w:hAnsi="Arial" w:cs="Arial"/>
          <w:sz w:val="20"/>
        </w:rPr>
        <w:br/>
      </w:r>
      <w:r w:rsidRPr="00D641FF">
        <w:rPr>
          <w:rFonts w:ascii="Arial" w:hAnsi="Arial" w:cs="Arial"/>
          <w:sz w:val="20"/>
        </w:rPr>
        <w:t>v zmysle prílohy č. II vykonávacieho nariaden</w:t>
      </w:r>
      <w:r>
        <w:rPr>
          <w:rFonts w:ascii="Arial" w:hAnsi="Arial" w:cs="Arial"/>
          <w:sz w:val="20"/>
        </w:rPr>
        <w:t>ia. Základné postupy, ktorými bol</w:t>
      </w:r>
      <w:r w:rsidRPr="00D641FF">
        <w:rPr>
          <w:rFonts w:ascii="Arial" w:hAnsi="Arial" w:cs="Arial"/>
          <w:sz w:val="20"/>
        </w:rPr>
        <w:t xml:space="preserve"> RO a koordinátori horizontálnych priorít povinn</w:t>
      </w:r>
      <w:r>
        <w:rPr>
          <w:rFonts w:ascii="Arial" w:hAnsi="Arial" w:cs="Arial"/>
          <w:sz w:val="20"/>
        </w:rPr>
        <w:t>í</w:t>
      </w:r>
      <w:r w:rsidRPr="00D641FF">
        <w:rPr>
          <w:rFonts w:ascii="Arial" w:hAnsi="Arial" w:cs="Arial"/>
          <w:sz w:val="20"/>
        </w:rPr>
        <w:t xml:space="preserve"> sa riadiť pri formulácii, používaní a aktualizácii projektových ukazovateľov, </w:t>
      </w:r>
      <w:r w:rsidR="000241F0">
        <w:rPr>
          <w:rFonts w:ascii="Arial" w:hAnsi="Arial" w:cs="Arial"/>
          <w:sz w:val="20"/>
        </w:rPr>
        <w:t>boli</w:t>
      </w:r>
      <w:r w:rsidRPr="00D641FF">
        <w:rPr>
          <w:rFonts w:ascii="Arial" w:hAnsi="Arial" w:cs="Arial"/>
          <w:sz w:val="20"/>
        </w:rPr>
        <w:t xml:space="preserve"> definované v Metodickom pokyne CKO k tvorbe a používaniu projektových ukazovateľov a ich zaraďovaniu do ITMS. Vybrané projektové ukazovatele v číselníku projektových ukazovateľov, identifikované ako relevantné k prísl</w:t>
      </w:r>
      <w:r>
        <w:rPr>
          <w:rFonts w:ascii="Arial" w:hAnsi="Arial" w:cs="Arial"/>
          <w:sz w:val="20"/>
        </w:rPr>
        <w:t>ušnej horizontálnej priorite, boli</w:t>
      </w:r>
      <w:r w:rsidRPr="00D641FF">
        <w:rPr>
          <w:rFonts w:ascii="Arial" w:hAnsi="Arial" w:cs="Arial"/>
          <w:sz w:val="20"/>
        </w:rPr>
        <w:t xml:space="preserve"> využívané koordinátormi horizontálnych priorít za účelom agregácie údajov z úrovne projektov a monitorovania </w:t>
      </w:r>
      <w:r>
        <w:rPr>
          <w:rFonts w:ascii="Arial" w:hAnsi="Arial" w:cs="Arial"/>
          <w:sz w:val="20"/>
        </w:rPr>
        <w:br/>
      </w:r>
      <w:r w:rsidRPr="00D641FF">
        <w:rPr>
          <w:rFonts w:ascii="Arial" w:hAnsi="Arial" w:cs="Arial"/>
          <w:sz w:val="20"/>
        </w:rPr>
        <w:t>a hodnotenia príspevku OP k plneniu cieľov horizontálnych priorít NSRR.</w:t>
      </w:r>
    </w:p>
    <w:p w14:paraId="0666F0F8" w14:textId="4D24DF54" w:rsidR="002D4D92" w:rsidRDefault="002D4D92" w:rsidP="002D4D92">
      <w:pPr>
        <w:spacing w:before="120" w:after="120"/>
        <w:ind w:right="40"/>
        <w:jc w:val="both"/>
        <w:rPr>
          <w:rFonts w:ascii="Arial" w:hAnsi="Arial" w:cs="Arial"/>
          <w:sz w:val="20"/>
        </w:rPr>
      </w:pPr>
      <w:r w:rsidRPr="00D641FF">
        <w:rPr>
          <w:rFonts w:ascii="Arial" w:hAnsi="Arial" w:cs="Arial"/>
          <w:sz w:val="20"/>
        </w:rPr>
        <w:t>Pri monitorovaní jednotlivých ukazo</w:t>
      </w:r>
      <w:r>
        <w:rPr>
          <w:rFonts w:ascii="Arial" w:hAnsi="Arial" w:cs="Arial"/>
          <w:sz w:val="20"/>
        </w:rPr>
        <w:t>vateľov RO každomesačne agregoval</w:t>
      </w:r>
      <w:r w:rsidRPr="00D641FF">
        <w:rPr>
          <w:rFonts w:ascii="Arial" w:hAnsi="Arial" w:cs="Arial"/>
          <w:sz w:val="20"/>
        </w:rPr>
        <w:t xml:space="preserve"> dostupné výstupy z ITMS resp. monitorovacích s</w:t>
      </w:r>
      <w:r>
        <w:rPr>
          <w:rFonts w:ascii="Arial" w:hAnsi="Arial" w:cs="Arial"/>
          <w:sz w:val="20"/>
        </w:rPr>
        <w:t>práv projektu, čo umožňovalo</w:t>
      </w:r>
      <w:r w:rsidRPr="00D641FF">
        <w:rPr>
          <w:rFonts w:ascii="Arial" w:hAnsi="Arial" w:cs="Arial"/>
          <w:sz w:val="20"/>
        </w:rPr>
        <w:t xml:space="preserve"> sledovať nielen dosiahnuté hodnoty jednotlivých merateľných ukazovateľov, ale aj východiskové a cieľové hodnoty jednotlivých ukazovateľov na úrovni projektov, ako aj plánovaných hodnôt na úrovni celého OP</w:t>
      </w:r>
      <w:r w:rsidR="000241F0">
        <w:rPr>
          <w:rFonts w:ascii="Arial" w:hAnsi="Arial" w:cs="Arial"/>
          <w:sz w:val="20"/>
        </w:rPr>
        <w:t>.</w:t>
      </w:r>
    </w:p>
    <w:p w14:paraId="363717C3" w14:textId="77777777" w:rsidR="002D4D92" w:rsidRDefault="002D4D92" w:rsidP="002D4D92">
      <w:pPr>
        <w:spacing w:before="120" w:after="120"/>
        <w:jc w:val="both"/>
        <w:rPr>
          <w:rFonts w:ascii="Arial" w:hAnsi="Arial" w:cs="Arial"/>
          <w:sz w:val="20"/>
          <w:szCs w:val="20"/>
        </w:rPr>
      </w:pPr>
      <w:r>
        <w:rPr>
          <w:rFonts w:ascii="Arial" w:hAnsi="Arial" w:cs="Arial"/>
          <w:sz w:val="20"/>
          <w:szCs w:val="20"/>
        </w:rPr>
        <w:t>Prijímateľ bol</w:t>
      </w:r>
      <w:r w:rsidRPr="006F27DB">
        <w:rPr>
          <w:rFonts w:ascii="Arial" w:hAnsi="Arial" w:cs="Arial"/>
          <w:sz w:val="20"/>
          <w:szCs w:val="20"/>
        </w:rPr>
        <w:t xml:space="preserve"> povinný počas platnosti a účinnosti zmluvy o poskytnutí NFP pravidelne predkladať poskytovateľov</w:t>
      </w:r>
      <w:r>
        <w:rPr>
          <w:rFonts w:ascii="Arial" w:hAnsi="Arial" w:cs="Arial"/>
          <w:sz w:val="20"/>
          <w:szCs w:val="20"/>
        </w:rPr>
        <w:t>i monitorovacie správy, ktoré boli</w:t>
      </w:r>
      <w:r w:rsidRPr="006F27DB">
        <w:rPr>
          <w:rFonts w:ascii="Arial" w:hAnsi="Arial" w:cs="Arial"/>
          <w:sz w:val="20"/>
          <w:szCs w:val="20"/>
        </w:rPr>
        <w:t xml:space="preserve"> výstupom v písomnej forme generovanej ITMS na základe údajov od prijímateľa a údajov uložených v ITMS. </w:t>
      </w:r>
    </w:p>
    <w:p w14:paraId="7A975A1F" w14:textId="4DC8F8FA" w:rsidR="002D4D92" w:rsidRPr="006F27DB" w:rsidRDefault="002D4D92" w:rsidP="002D4D92">
      <w:pPr>
        <w:spacing w:before="120" w:after="120"/>
        <w:jc w:val="both"/>
        <w:rPr>
          <w:rFonts w:ascii="Arial" w:hAnsi="Arial" w:cs="Arial"/>
          <w:sz w:val="20"/>
          <w:szCs w:val="20"/>
        </w:rPr>
      </w:pPr>
      <w:r w:rsidRPr="006F27DB">
        <w:rPr>
          <w:rFonts w:ascii="Arial" w:hAnsi="Arial" w:cs="Arial"/>
          <w:sz w:val="20"/>
          <w:szCs w:val="20"/>
        </w:rPr>
        <w:lastRenderedPageBreak/>
        <w:t>Monitorovacia správa (ďalej aj „MS“) projektu obsah</w:t>
      </w:r>
      <w:r w:rsidR="000241F0">
        <w:rPr>
          <w:rFonts w:ascii="Arial" w:hAnsi="Arial" w:cs="Arial"/>
          <w:sz w:val="20"/>
          <w:szCs w:val="20"/>
        </w:rPr>
        <w:t>ovala</w:t>
      </w:r>
      <w:r w:rsidRPr="006F27DB">
        <w:rPr>
          <w:rFonts w:ascii="Arial" w:hAnsi="Arial" w:cs="Arial"/>
          <w:sz w:val="20"/>
          <w:szCs w:val="20"/>
        </w:rPr>
        <w:t xml:space="preserve"> stav realizácie aktivít projektu, plnenie povinností stanovených RO v zmluve o poskytnutí NFP a taktiež plnenie stanovených ukazovateľov </w:t>
      </w:r>
      <w:r>
        <w:rPr>
          <w:rFonts w:ascii="Arial" w:hAnsi="Arial" w:cs="Arial"/>
          <w:sz w:val="20"/>
          <w:szCs w:val="20"/>
        </w:rPr>
        <w:t xml:space="preserve">projektu za sledované obdobie. </w:t>
      </w:r>
    </w:p>
    <w:p w14:paraId="1B693FA4" w14:textId="6EA2E7E4" w:rsidR="002D4D92" w:rsidRPr="006F27DB" w:rsidRDefault="002D4D92" w:rsidP="002D4D92">
      <w:pPr>
        <w:spacing w:before="120" w:after="120"/>
        <w:jc w:val="both"/>
        <w:rPr>
          <w:rFonts w:ascii="Arial" w:hAnsi="Arial" w:cs="Arial"/>
          <w:sz w:val="20"/>
          <w:szCs w:val="20"/>
        </w:rPr>
      </w:pPr>
      <w:r w:rsidRPr="006F27DB">
        <w:rPr>
          <w:rFonts w:ascii="Arial" w:hAnsi="Arial" w:cs="Arial"/>
          <w:sz w:val="20"/>
          <w:szCs w:val="20"/>
        </w:rPr>
        <w:t>Prijímateľ v súlade so zm</w:t>
      </w:r>
      <w:r>
        <w:rPr>
          <w:rFonts w:ascii="Arial" w:hAnsi="Arial" w:cs="Arial"/>
          <w:sz w:val="20"/>
          <w:szCs w:val="20"/>
        </w:rPr>
        <w:t>luvou o poskytnutí NFP bol povinný predkladať</w:t>
      </w:r>
      <w:r w:rsidRPr="006F27DB">
        <w:rPr>
          <w:rFonts w:ascii="Arial" w:hAnsi="Arial" w:cs="Arial"/>
          <w:sz w:val="20"/>
          <w:szCs w:val="20"/>
        </w:rPr>
        <w:t xml:space="preserve"> priebežné monitorovacie správy počas realizácie aktivít projektu minimálne raz za 6 mesiacov, a to do 15. dňa mesiaca nasledujúceho po sledovanom období, pričom prvým mesiacom, ktorý je predmetom priebežnej monitorovacej správy </w:t>
      </w:r>
      <w:r w:rsidR="000241F0">
        <w:rPr>
          <w:rFonts w:ascii="Arial" w:hAnsi="Arial" w:cs="Arial"/>
          <w:sz w:val="20"/>
          <w:szCs w:val="20"/>
        </w:rPr>
        <w:t>bol</w:t>
      </w:r>
      <w:r w:rsidRPr="006F27DB">
        <w:rPr>
          <w:rFonts w:ascii="Arial" w:hAnsi="Arial" w:cs="Arial"/>
          <w:sz w:val="20"/>
          <w:szCs w:val="20"/>
        </w:rPr>
        <w:t xml:space="preserve"> mesiac podpisu zmluvy o poskytnutí NFP. Do 15 dní od ukončenia realizácie aktiv</w:t>
      </w:r>
      <w:r>
        <w:rPr>
          <w:rFonts w:ascii="Arial" w:hAnsi="Arial" w:cs="Arial"/>
          <w:sz w:val="20"/>
          <w:szCs w:val="20"/>
        </w:rPr>
        <w:t>ít projektu prijímateľ predkladal</w:t>
      </w:r>
      <w:r w:rsidRPr="006F27DB">
        <w:rPr>
          <w:rFonts w:ascii="Arial" w:hAnsi="Arial" w:cs="Arial"/>
          <w:sz w:val="20"/>
          <w:szCs w:val="20"/>
        </w:rPr>
        <w:t xml:space="preserve"> záverečnú mon</w:t>
      </w:r>
      <w:r>
        <w:rPr>
          <w:rFonts w:ascii="Arial" w:hAnsi="Arial" w:cs="Arial"/>
          <w:sz w:val="20"/>
          <w:szCs w:val="20"/>
        </w:rPr>
        <w:t>itorovaciu správu, t.j. poslednú</w:t>
      </w:r>
      <w:r w:rsidRPr="006F27DB">
        <w:rPr>
          <w:rFonts w:ascii="Arial" w:hAnsi="Arial" w:cs="Arial"/>
          <w:sz w:val="20"/>
          <w:szCs w:val="20"/>
        </w:rPr>
        <w:t xml:space="preserve"> priebežn</w:t>
      </w:r>
      <w:r w:rsidR="000241F0">
        <w:rPr>
          <w:rFonts w:ascii="Arial" w:hAnsi="Arial" w:cs="Arial"/>
          <w:sz w:val="20"/>
          <w:szCs w:val="20"/>
        </w:rPr>
        <w:t>ú</w:t>
      </w:r>
      <w:r>
        <w:rPr>
          <w:rFonts w:ascii="Arial" w:hAnsi="Arial" w:cs="Arial"/>
          <w:sz w:val="20"/>
          <w:szCs w:val="20"/>
        </w:rPr>
        <w:t xml:space="preserve"> monitorovaciu správu.</w:t>
      </w:r>
    </w:p>
    <w:p w14:paraId="2FBB2B1B" w14:textId="3A716AF3" w:rsidR="002D4D92" w:rsidRDefault="002D4D92" w:rsidP="002D4D92">
      <w:pPr>
        <w:spacing w:before="120" w:after="120"/>
        <w:jc w:val="both"/>
        <w:rPr>
          <w:rFonts w:ascii="Arial" w:hAnsi="Arial" w:cs="Arial"/>
          <w:sz w:val="20"/>
          <w:szCs w:val="20"/>
        </w:rPr>
      </w:pPr>
      <w:r w:rsidRPr="006F27DB">
        <w:rPr>
          <w:rFonts w:ascii="Arial" w:hAnsi="Arial" w:cs="Arial"/>
          <w:sz w:val="20"/>
          <w:szCs w:val="20"/>
        </w:rPr>
        <w:t>Zároveň v zmysle bodu 5, čl. 3 VZP je prijímateľ povinný predkladať poskytovateľovi Následné monitorovacie správy (NMS) počas 5 rokov od ukončenia realizácie projektu. NMS sú podávané počas 5 rokov odo dňa ukončenia realizácie projektu, najmenej každých 12 mesiacov odo dňa ukončenia realizácie projektu a to do 15. dňa mesiaca nasledujúceho po sledovanom období, pričom prvým mesiacom, ktorý je predmetom NMS, je mesiac ukončenia realizácie projektu</w:t>
      </w:r>
      <w:r>
        <w:rPr>
          <w:rFonts w:ascii="Arial" w:hAnsi="Arial" w:cs="Arial"/>
          <w:sz w:val="20"/>
          <w:szCs w:val="20"/>
        </w:rPr>
        <w:t>.</w:t>
      </w:r>
    </w:p>
    <w:p w14:paraId="4CDED4E7" w14:textId="26E6E3E7" w:rsidR="00673BA1" w:rsidRDefault="00673BA1" w:rsidP="00670DB7">
      <w:pPr>
        <w:jc w:val="both"/>
        <w:rPr>
          <w:rFonts w:ascii="Arial" w:hAnsi="Arial" w:cs="Arial"/>
          <w:sz w:val="20"/>
          <w:szCs w:val="20"/>
        </w:rPr>
      </w:pPr>
      <w:r>
        <w:rPr>
          <w:rFonts w:ascii="Arial" w:hAnsi="Arial" w:cs="Arial"/>
          <w:sz w:val="20"/>
          <w:szCs w:val="20"/>
        </w:rPr>
        <w:t>K </w:t>
      </w:r>
      <w:r w:rsidRPr="00FF7D42">
        <w:rPr>
          <w:rFonts w:ascii="Arial" w:hAnsi="Arial" w:cs="Arial"/>
          <w:sz w:val="20"/>
          <w:szCs w:val="20"/>
        </w:rPr>
        <w:t>31.</w:t>
      </w:r>
      <w:r w:rsidR="000241F0">
        <w:rPr>
          <w:rFonts w:ascii="Arial" w:hAnsi="Arial" w:cs="Arial"/>
          <w:sz w:val="20"/>
          <w:szCs w:val="20"/>
        </w:rPr>
        <w:t xml:space="preserve"> </w:t>
      </w:r>
      <w:r w:rsidRPr="00FF7D42">
        <w:rPr>
          <w:rFonts w:ascii="Arial" w:hAnsi="Arial" w:cs="Arial"/>
          <w:sz w:val="20"/>
          <w:szCs w:val="20"/>
        </w:rPr>
        <w:t>10.</w:t>
      </w:r>
      <w:r w:rsidR="000241F0">
        <w:rPr>
          <w:rFonts w:ascii="Arial" w:hAnsi="Arial" w:cs="Arial"/>
          <w:sz w:val="20"/>
          <w:szCs w:val="20"/>
        </w:rPr>
        <w:t xml:space="preserve"> </w:t>
      </w:r>
      <w:r w:rsidRPr="00FF7D42">
        <w:rPr>
          <w:rFonts w:ascii="Arial" w:hAnsi="Arial" w:cs="Arial"/>
          <w:sz w:val="20"/>
          <w:szCs w:val="20"/>
        </w:rPr>
        <w:t>2016</w:t>
      </w:r>
      <w:r w:rsidRPr="00B75885">
        <w:rPr>
          <w:rFonts w:ascii="Arial" w:hAnsi="Arial" w:cs="Arial"/>
          <w:sz w:val="20"/>
          <w:szCs w:val="20"/>
        </w:rPr>
        <w:t xml:space="preserve"> bolo na RO prijatých </w:t>
      </w:r>
      <w:r w:rsidR="009A42E0">
        <w:rPr>
          <w:rFonts w:ascii="Arial" w:hAnsi="Arial" w:cs="Arial"/>
          <w:sz w:val="20"/>
          <w:szCs w:val="20"/>
        </w:rPr>
        <w:t>5</w:t>
      </w:r>
      <w:r w:rsidR="00FF7D42">
        <w:rPr>
          <w:rFonts w:ascii="Arial" w:hAnsi="Arial" w:cs="Arial"/>
          <w:sz w:val="20"/>
          <w:szCs w:val="20"/>
        </w:rPr>
        <w:t xml:space="preserve"> 338</w:t>
      </w:r>
      <w:r w:rsidRPr="00B75885">
        <w:rPr>
          <w:rFonts w:ascii="Arial" w:hAnsi="Arial" w:cs="Arial"/>
          <w:sz w:val="20"/>
          <w:szCs w:val="20"/>
        </w:rPr>
        <w:t xml:space="preserve"> </w:t>
      </w:r>
      <w:r w:rsidR="00DB4AEC">
        <w:rPr>
          <w:rFonts w:ascii="Arial" w:hAnsi="Arial" w:cs="Arial"/>
          <w:sz w:val="20"/>
          <w:szCs w:val="20"/>
        </w:rPr>
        <w:t>monitorovacích správ</w:t>
      </w:r>
      <w:r w:rsidRPr="00B75885">
        <w:rPr>
          <w:rFonts w:ascii="Arial" w:hAnsi="Arial" w:cs="Arial"/>
          <w:sz w:val="20"/>
          <w:szCs w:val="20"/>
        </w:rPr>
        <w:t xml:space="preserve">. Z tohto počtu bolo </w:t>
      </w:r>
      <w:r w:rsidR="009A42E0">
        <w:rPr>
          <w:rFonts w:ascii="Arial" w:hAnsi="Arial" w:cs="Arial"/>
          <w:sz w:val="20"/>
          <w:szCs w:val="20"/>
        </w:rPr>
        <w:t>2</w:t>
      </w:r>
      <w:r w:rsidR="000241F0">
        <w:rPr>
          <w:rFonts w:ascii="Arial" w:hAnsi="Arial" w:cs="Arial"/>
          <w:sz w:val="20"/>
          <w:szCs w:val="20"/>
        </w:rPr>
        <w:t xml:space="preserve"> </w:t>
      </w:r>
      <w:r w:rsidR="009A42E0">
        <w:rPr>
          <w:rFonts w:ascii="Arial" w:hAnsi="Arial" w:cs="Arial"/>
          <w:sz w:val="20"/>
          <w:szCs w:val="20"/>
        </w:rPr>
        <w:t>930</w:t>
      </w:r>
      <w:r w:rsidR="00DB4AEC">
        <w:rPr>
          <w:rFonts w:ascii="Arial" w:hAnsi="Arial" w:cs="Arial"/>
          <w:sz w:val="20"/>
          <w:szCs w:val="20"/>
        </w:rPr>
        <w:t xml:space="preserve"> priebežných, </w:t>
      </w:r>
      <w:r w:rsidR="00FF7D42">
        <w:rPr>
          <w:rFonts w:ascii="Arial" w:hAnsi="Arial" w:cs="Arial"/>
          <w:sz w:val="20"/>
          <w:szCs w:val="20"/>
        </w:rPr>
        <w:t>805</w:t>
      </w:r>
      <w:r w:rsidR="009A42E0">
        <w:rPr>
          <w:rFonts w:ascii="Arial" w:hAnsi="Arial" w:cs="Arial"/>
          <w:sz w:val="20"/>
          <w:szCs w:val="20"/>
        </w:rPr>
        <w:t xml:space="preserve"> </w:t>
      </w:r>
      <w:r w:rsidR="00DB4AEC">
        <w:rPr>
          <w:rFonts w:ascii="Arial" w:hAnsi="Arial" w:cs="Arial"/>
          <w:sz w:val="20"/>
          <w:szCs w:val="20"/>
        </w:rPr>
        <w:t>záverečných a </w:t>
      </w:r>
      <w:r w:rsidR="009A42E0">
        <w:rPr>
          <w:rFonts w:ascii="Arial" w:hAnsi="Arial" w:cs="Arial"/>
          <w:sz w:val="20"/>
          <w:szCs w:val="20"/>
        </w:rPr>
        <w:t>1</w:t>
      </w:r>
      <w:r w:rsidR="00FF7D42">
        <w:rPr>
          <w:rFonts w:ascii="Arial" w:hAnsi="Arial" w:cs="Arial"/>
          <w:sz w:val="20"/>
          <w:szCs w:val="20"/>
        </w:rPr>
        <w:t>603</w:t>
      </w:r>
      <w:r w:rsidR="00DB4AEC">
        <w:rPr>
          <w:rFonts w:ascii="Arial" w:hAnsi="Arial" w:cs="Arial"/>
          <w:sz w:val="20"/>
          <w:szCs w:val="20"/>
        </w:rPr>
        <w:t xml:space="preserve"> následných v rozdelení na prioritné osi </w:t>
      </w:r>
      <w:r w:rsidR="006D1198">
        <w:rPr>
          <w:rFonts w:ascii="Arial" w:hAnsi="Arial" w:cs="Arial"/>
          <w:sz w:val="20"/>
          <w:szCs w:val="20"/>
        </w:rPr>
        <w:t xml:space="preserve">sú </w:t>
      </w:r>
      <w:r w:rsidR="00DB4AEC">
        <w:rPr>
          <w:rFonts w:ascii="Arial" w:hAnsi="Arial" w:cs="Arial"/>
          <w:sz w:val="20"/>
          <w:szCs w:val="20"/>
        </w:rPr>
        <w:t>uvedené</w:t>
      </w:r>
      <w:r>
        <w:rPr>
          <w:rFonts w:ascii="Arial" w:hAnsi="Arial" w:cs="Arial"/>
          <w:sz w:val="20"/>
          <w:szCs w:val="20"/>
        </w:rPr>
        <w:t xml:space="preserve"> v </w:t>
      </w:r>
      <w:r w:rsidRPr="00682B07">
        <w:rPr>
          <w:rFonts w:ascii="Arial" w:hAnsi="Arial" w:cs="Arial"/>
          <w:sz w:val="20"/>
          <w:szCs w:val="20"/>
        </w:rPr>
        <w:t>tabuľke č.</w:t>
      </w:r>
      <w:r w:rsidR="00682B07" w:rsidRPr="00682B07">
        <w:rPr>
          <w:rFonts w:ascii="Arial" w:hAnsi="Arial" w:cs="Arial"/>
          <w:sz w:val="20"/>
          <w:szCs w:val="20"/>
        </w:rPr>
        <w:t>3</w:t>
      </w:r>
      <w:r w:rsidR="00D92FB1">
        <w:rPr>
          <w:rFonts w:ascii="Arial" w:hAnsi="Arial" w:cs="Arial"/>
          <w:sz w:val="20"/>
          <w:szCs w:val="20"/>
        </w:rPr>
        <w:t>4</w:t>
      </w:r>
      <w:r w:rsidRPr="00682B07">
        <w:rPr>
          <w:rFonts w:ascii="Arial" w:hAnsi="Arial" w:cs="Arial"/>
          <w:sz w:val="20"/>
          <w:szCs w:val="20"/>
        </w:rPr>
        <w:t>.</w:t>
      </w:r>
    </w:p>
    <w:p w14:paraId="76BF79FF" w14:textId="77777777" w:rsidR="0062229F" w:rsidRDefault="0062229F" w:rsidP="00670DB7">
      <w:pPr>
        <w:jc w:val="both"/>
        <w:rPr>
          <w:rFonts w:eastAsia="Calibri"/>
        </w:rPr>
      </w:pPr>
    </w:p>
    <w:p w14:paraId="5EDE5390" w14:textId="2C8F5EA4" w:rsidR="0062229F" w:rsidRPr="00E21C60" w:rsidRDefault="0062229F" w:rsidP="0062229F">
      <w:pPr>
        <w:jc w:val="both"/>
        <w:rPr>
          <w:rFonts w:ascii="Arial" w:hAnsi="Arial" w:cs="Arial"/>
          <w:sz w:val="20"/>
          <w:szCs w:val="20"/>
        </w:rPr>
      </w:pPr>
      <w:r w:rsidRPr="00E21C60">
        <w:rPr>
          <w:rFonts w:ascii="Arial" w:hAnsi="Arial" w:cs="Arial"/>
          <w:sz w:val="20"/>
          <w:szCs w:val="20"/>
        </w:rPr>
        <w:t xml:space="preserve">Tabuľka č. </w:t>
      </w:r>
      <w:r w:rsidR="00682B07">
        <w:rPr>
          <w:rFonts w:ascii="Arial" w:hAnsi="Arial" w:cs="Arial"/>
          <w:sz w:val="20"/>
          <w:szCs w:val="20"/>
        </w:rPr>
        <w:t>3</w:t>
      </w:r>
      <w:r w:rsidR="007B1CB9">
        <w:rPr>
          <w:rFonts w:ascii="Arial" w:hAnsi="Arial" w:cs="Arial"/>
          <w:sz w:val="20"/>
          <w:szCs w:val="20"/>
        </w:rPr>
        <w:t>4</w:t>
      </w:r>
      <w:r w:rsidRPr="00E21C60">
        <w:rPr>
          <w:rFonts w:ascii="Arial" w:hAnsi="Arial" w:cs="Arial"/>
          <w:sz w:val="20"/>
          <w:szCs w:val="20"/>
        </w:rPr>
        <w:t xml:space="preserve">: </w:t>
      </w:r>
      <w:r>
        <w:rPr>
          <w:rFonts w:ascii="Arial" w:hAnsi="Arial" w:cs="Arial"/>
          <w:sz w:val="20"/>
          <w:szCs w:val="20"/>
        </w:rPr>
        <w:t>Informácia o celkovom sumáre prijatých Monitorovacích správ</w:t>
      </w:r>
      <w:r w:rsidR="009A42E0">
        <w:rPr>
          <w:rFonts w:ascii="Arial" w:hAnsi="Arial" w:cs="Arial"/>
          <w:sz w:val="20"/>
          <w:szCs w:val="20"/>
        </w:rPr>
        <w:t>*</w:t>
      </w:r>
    </w:p>
    <w:tbl>
      <w:tblPr>
        <w:tblW w:w="9072" w:type="dxa"/>
        <w:tblInd w:w="70" w:type="dxa"/>
        <w:tblCellMar>
          <w:left w:w="70" w:type="dxa"/>
          <w:right w:w="70" w:type="dxa"/>
        </w:tblCellMar>
        <w:tblLook w:val="04A0" w:firstRow="1" w:lastRow="0" w:firstColumn="1" w:lastColumn="0" w:noHBand="0" w:noVBand="1"/>
      </w:tblPr>
      <w:tblGrid>
        <w:gridCol w:w="2127"/>
        <w:gridCol w:w="1701"/>
        <w:gridCol w:w="1842"/>
        <w:gridCol w:w="1701"/>
        <w:gridCol w:w="1701"/>
      </w:tblGrid>
      <w:tr w:rsidR="00673BA1" w14:paraId="341C7AC8" w14:textId="77777777" w:rsidTr="007D7B08">
        <w:trPr>
          <w:trHeight w:val="356"/>
        </w:trPr>
        <w:tc>
          <w:tcPr>
            <w:tcW w:w="2127"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3461B77" w14:textId="77777777" w:rsidR="00673BA1" w:rsidRPr="00AB3787" w:rsidRDefault="00673BA1" w:rsidP="007D7B08">
            <w:pPr>
              <w:jc w:val="center"/>
              <w:rPr>
                <w:rFonts w:ascii="Arial" w:hAnsi="Arial" w:cs="Arial"/>
                <w:b/>
                <w:bCs/>
                <w:color w:val="000000"/>
                <w:sz w:val="16"/>
                <w:szCs w:val="16"/>
              </w:rPr>
            </w:pPr>
            <w:r w:rsidRPr="00AB3787">
              <w:rPr>
                <w:rFonts w:ascii="Arial" w:hAnsi="Arial" w:cs="Arial"/>
                <w:b/>
                <w:bCs/>
                <w:color w:val="000000"/>
                <w:sz w:val="16"/>
                <w:szCs w:val="16"/>
              </w:rPr>
              <w:t>Prioritná os</w:t>
            </w:r>
          </w:p>
        </w:tc>
        <w:tc>
          <w:tcPr>
            <w:tcW w:w="1701"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3988F73" w14:textId="77777777" w:rsidR="00673BA1" w:rsidRPr="00AB3787" w:rsidRDefault="00673BA1" w:rsidP="007D7B08">
            <w:pPr>
              <w:jc w:val="center"/>
              <w:rPr>
                <w:rFonts w:ascii="Arial" w:hAnsi="Arial" w:cs="Arial"/>
                <w:b/>
                <w:bCs/>
                <w:color w:val="000000"/>
                <w:sz w:val="16"/>
                <w:szCs w:val="16"/>
              </w:rPr>
            </w:pPr>
            <w:r w:rsidRPr="00AB3787">
              <w:rPr>
                <w:rFonts w:ascii="Arial" w:hAnsi="Arial" w:cs="Arial"/>
                <w:b/>
                <w:bCs/>
                <w:color w:val="000000"/>
                <w:sz w:val="16"/>
                <w:szCs w:val="16"/>
              </w:rPr>
              <w:t>celkový počet MS</w:t>
            </w:r>
          </w:p>
        </w:tc>
        <w:tc>
          <w:tcPr>
            <w:tcW w:w="1842"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EC42C35" w14:textId="77777777" w:rsidR="00673BA1" w:rsidRPr="00AB3787" w:rsidRDefault="00673BA1" w:rsidP="007D7B08">
            <w:pPr>
              <w:jc w:val="center"/>
              <w:rPr>
                <w:rFonts w:ascii="Arial" w:hAnsi="Arial" w:cs="Arial"/>
                <w:b/>
                <w:bCs/>
                <w:color w:val="000000"/>
                <w:sz w:val="16"/>
                <w:szCs w:val="16"/>
              </w:rPr>
            </w:pPr>
            <w:r w:rsidRPr="00AB3787">
              <w:rPr>
                <w:rFonts w:ascii="Arial" w:hAnsi="Arial" w:cs="Arial"/>
                <w:b/>
                <w:bCs/>
                <w:color w:val="000000"/>
                <w:sz w:val="16"/>
                <w:szCs w:val="16"/>
              </w:rPr>
              <w:t>priebežné MS</w:t>
            </w:r>
          </w:p>
        </w:tc>
        <w:tc>
          <w:tcPr>
            <w:tcW w:w="1701"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6E0C9CB" w14:textId="77777777" w:rsidR="00673BA1" w:rsidRPr="00AB3787" w:rsidRDefault="00673BA1" w:rsidP="007D7B08">
            <w:pPr>
              <w:jc w:val="center"/>
              <w:rPr>
                <w:rFonts w:ascii="Arial" w:hAnsi="Arial" w:cs="Arial"/>
                <w:b/>
                <w:bCs/>
                <w:color w:val="000000"/>
                <w:sz w:val="16"/>
                <w:szCs w:val="16"/>
              </w:rPr>
            </w:pPr>
            <w:r w:rsidRPr="00AB3787">
              <w:rPr>
                <w:rFonts w:ascii="Arial" w:hAnsi="Arial" w:cs="Arial"/>
                <w:b/>
                <w:bCs/>
                <w:color w:val="000000"/>
                <w:sz w:val="16"/>
                <w:szCs w:val="16"/>
              </w:rPr>
              <w:t>záverečné MS</w:t>
            </w:r>
          </w:p>
        </w:tc>
        <w:tc>
          <w:tcPr>
            <w:tcW w:w="1701"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8AA30BB" w14:textId="77777777" w:rsidR="00673BA1" w:rsidRPr="00AB3787" w:rsidRDefault="00673BA1" w:rsidP="007D7B08">
            <w:pPr>
              <w:jc w:val="center"/>
              <w:rPr>
                <w:rFonts w:ascii="Arial" w:hAnsi="Arial" w:cs="Arial"/>
                <w:b/>
                <w:bCs/>
                <w:color w:val="000000"/>
                <w:sz w:val="16"/>
                <w:szCs w:val="16"/>
              </w:rPr>
            </w:pPr>
            <w:r w:rsidRPr="00AB3787">
              <w:rPr>
                <w:rFonts w:ascii="Arial" w:hAnsi="Arial" w:cs="Arial"/>
                <w:b/>
                <w:bCs/>
                <w:color w:val="000000"/>
                <w:sz w:val="16"/>
                <w:szCs w:val="16"/>
              </w:rPr>
              <w:t>následné MS</w:t>
            </w:r>
          </w:p>
        </w:tc>
      </w:tr>
      <w:tr w:rsidR="00FF7D42" w14:paraId="3E32CE26" w14:textId="77777777" w:rsidTr="00FF7D42">
        <w:trPr>
          <w:trHeight w:val="255"/>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439F2672" w14:textId="77777777" w:rsidR="00FF7D42" w:rsidRPr="00AB3787" w:rsidRDefault="00FF7D42" w:rsidP="00FF7D42">
            <w:pPr>
              <w:jc w:val="center"/>
              <w:rPr>
                <w:rFonts w:ascii="Arial" w:hAnsi="Arial" w:cs="Arial"/>
                <w:color w:val="000000"/>
                <w:sz w:val="16"/>
                <w:szCs w:val="16"/>
              </w:rPr>
            </w:pPr>
            <w:r w:rsidRPr="00AB3787">
              <w:rPr>
                <w:rFonts w:ascii="Arial" w:hAnsi="Arial" w:cs="Arial"/>
                <w:color w:val="000000"/>
                <w:sz w:val="16"/>
                <w:szCs w:val="16"/>
              </w:rPr>
              <w:t>PO 1</w:t>
            </w:r>
          </w:p>
        </w:tc>
        <w:tc>
          <w:tcPr>
            <w:tcW w:w="1701" w:type="dxa"/>
            <w:tcBorders>
              <w:top w:val="nil"/>
              <w:left w:val="nil"/>
              <w:bottom w:val="single" w:sz="4" w:space="0" w:color="auto"/>
              <w:right w:val="single" w:sz="4" w:space="0" w:color="auto"/>
            </w:tcBorders>
            <w:shd w:val="clear" w:color="auto" w:fill="auto"/>
            <w:vAlign w:val="center"/>
            <w:hideMark/>
          </w:tcPr>
          <w:p w14:paraId="4B92AA72" w14:textId="24C670BF"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1 429</w:t>
            </w:r>
          </w:p>
        </w:tc>
        <w:tc>
          <w:tcPr>
            <w:tcW w:w="1842" w:type="dxa"/>
            <w:tcBorders>
              <w:top w:val="nil"/>
              <w:left w:val="nil"/>
              <w:bottom w:val="single" w:sz="4" w:space="0" w:color="auto"/>
              <w:right w:val="single" w:sz="4" w:space="0" w:color="auto"/>
            </w:tcBorders>
            <w:shd w:val="clear" w:color="auto" w:fill="auto"/>
            <w:vAlign w:val="center"/>
            <w:hideMark/>
          </w:tcPr>
          <w:p w14:paraId="54A1B8BF" w14:textId="0E502DA3"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968</w:t>
            </w:r>
          </w:p>
        </w:tc>
        <w:tc>
          <w:tcPr>
            <w:tcW w:w="1701" w:type="dxa"/>
            <w:tcBorders>
              <w:top w:val="nil"/>
              <w:left w:val="nil"/>
              <w:bottom w:val="single" w:sz="4" w:space="0" w:color="auto"/>
              <w:right w:val="single" w:sz="4" w:space="0" w:color="auto"/>
            </w:tcBorders>
            <w:shd w:val="clear" w:color="auto" w:fill="auto"/>
            <w:vAlign w:val="center"/>
            <w:hideMark/>
          </w:tcPr>
          <w:p w14:paraId="5B394F5A" w14:textId="7E3C6E31"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191</w:t>
            </w:r>
          </w:p>
        </w:tc>
        <w:tc>
          <w:tcPr>
            <w:tcW w:w="1701" w:type="dxa"/>
            <w:tcBorders>
              <w:top w:val="nil"/>
              <w:left w:val="nil"/>
              <w:bottom w:val="single" w:sz="4" w:space="0" w:color="auto"/>
              <w:right w:val="single" w:sz="4" w:space="0" w:color="auto"/>
            </w:tcBorders>
            <w:shd w:val="clear" w:color="auto" w:fill="auto"/>
            <w:vAlign w:val="center"/>
            <w:hideMark/>
          </w:tcPr>
          <w:p w14:paraId="40A612FA" w14:textId="3FD67464"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270</w:t>
            </w:r>
          </w:p>
        </w:tc>
      </w:tr>
      <w:tr w:rsidR="00FF7D42" w14:paraId="0BB758F5" w14:textId="77777777" w:rsidTr="00FF7D42">
        <w:trPr>
          <w:trHeight w:val="255"/>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3E1B4CAA" w14:textId="77777777" w:rsidR="00FF7D42" w:rsidRPr="00AB3787" w:rsidRDefault="00FF7D42" w:rsidP="00FF7D42">
            <w:pPr>
              <w:jc w:val="center"/>
              <w:rPr>
                <w:rFonts w:ascii="Arial" w:hAnsi="Arial" w:cs="Arial"/>
                <w:color w:val="000000"/>
                <w:sz w:val="16"/>
                <w:szCs w:val="16"/>
              </w:rPr>
            </w:pPr>
            <w:r w:rsidRPr="00AB3787">
              <w:rPr>
                <w:rFonts w:ascii="Arial" w:hAnsi="Arial" w:cs="Arial"/>
                <w:color w:val="000000"/>
                <w:sz w:val="16"/>
                <w:szCs w:val="16"/>
              </w:rPr>
              <w:t>PO 2</w:t>
            </w:r>
          </w:p>
        </w:tc>
        <w:tc>
          <w:tcPr>
            <w:tcW w:w="1701" w:type="dxa"/>
            <w:tcBorders>
              <w:top w:val="nil"/>
              <w:left w:val="nil"/>
              <w:bottom w:val="single" w:sz="4" w:space="0" w:color="auto"/>
              <w:right w:val="single" w:sz="4" w:space="0" w:color="auto"/>
            </w:tcBorders>
            <w:shd w:val="clear" w:color="auto" w:fill="auto"/>
            <w:vAlign w:val="center"/>
            <w:hideMark/>
          </w:tcPr>
          <w:p w14:paraId="3858ECD3" w14:textId="14CB175D"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706</w:t>
            </w:r>
          </w:p>
        </w:tc>
        <w:tc>
          <w:tcPr>
            <w:tcW w:w="1842" w:type="dxa"/>
            <w:tcBorders>
              <w:top w:val="nil"/>
              <w:left w:val="nil"/>
              <w:bottom w:val="single" w:sz="4" w:space="0" w:color="auto"/>
              <w:right w:val="single" w:sz="4" w:space="0" w:color="auto"/>
            </w:tcBorders>
            <w:shd w:val="clear" w:color="auto" w:fill="auto"/>
            <w:vAlign w:val="center"/>
            <w:hideMark/>
          </w:tcPr>
          <w:p w14:paraId="4682370A" w14:textId="5876B332"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386</w:t>
            </w:r>
          </w:p>
        </w:tc>
        <w:tc>
          <w:tcPr>
            <w:tcW w:w="1701" w:type="dxa"/>
            <w:tcBorders>
              <w:top w:val="nil"/>
              <w:left w:val="nil"/>
              <w:bottom w:val="single" w:sz="4" w:space="0" w:color="auto"/>
              <w:right w:val="single" w:sz="4" w:space="0" w:color="auto"/>
            </w:tcBorders>
            <w:shd w:val="clear" w:color="auto" w:fill="auto"/>
            <w:vAlign w:val="center"/>
            <w:hideMark/>
          </w:tcPr>
          <w:p w14:paraId="0C86530D" w14:textId="1B6FF450"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126</w:t>
            </w:r>
          </w:p>
        </w:tc>
        <w:tc>
          <w:tcPr>
            <w:tcW w:w="1701" w:type="dxa"/>
            <w:tcBorders>
              <w:top w:val="nil"/>
              <w:left w:val="nil"/>
              <w:bottom w:val="single" w:sz="4" w:space="0" w:color="auto"/>
              <w:right w:val="single" w:sz="4" w:space="0" w:color="auto"/>
            </w:tcBorders>
            <w:shd w:val="clear" w:color="auto" w:fill="auto"/>
            <w:vAlign w:val="center"/>
            <w:hideMark/>
          </w:tcPr>
          <w:p w14:paraId="182CDA17" w14:textId="5D942929"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194</w:t>
            </w:r>
          </w:p>
        </w:tc>
      </w:tr>
      <w:tr w:rsidR="00FF7D42" w14:paraId="5BF7EE5D" w14:textId="77777777" w:rsidTr="00FF7D42">
        <w:trPr>
          <w:trHeight w:val="255"/>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13DC761D" w14:textId="77777777" w:rsidR="00FF7D42" w:rsidRPr="00AB3787" w:rsidRDefault="00FF7D42" w:rsidP="00FF7D42">
            <w:pPr>
              <w:jc w:val="center"/>
              <w:rPr>
                <w:rFonts w:ascii="Arial" w:hAnsi="Arial" w:cs="Arial"/>
                <w:color w:val="000000"/>
                <w:sz w:val="16"/>
                <w:szCs w:val="16"/>
              </w:rPr>
            </w:pPr>
            <w:r w:rsidRPr="00AB3787">
              <w:rPr>
                <w:rFonts w:ascii="Arial" w:hAnsi="Arial" w:cs="Arial"/>
                <w:color w:val="000000"/>
                <w:sz w:val="16"/>
                <w:szCs w:val="16"/>
              </w:rPr>
              <w:t>PO 3</w:t>
            </w:r>
          </w:p>
        </w:tc>
        <w:tc>
          <w:tcPr>
            <w:tcW w:w="1701" w:type="dxa"/>
            <w:tcBorders>
              <w:top w:val="nil"/>
              <w:left w:val="nil"/>
              <w:bottom w:val="single" w:sz="4" w:space="0" w:color="auto"/>
              <w:right w:val="single" w:sz="4" w:space="0" w:color="auto"/>
            </w:tcBorders>
            <w:shd w:val="clear" w:color="auto" w:fill="auto"/>
            <w:vAlign w:val="center"/>
            <w:hideMark/>
          </w:tcPr>
          <w:p w14:paraId="0BABF87A" w14:textId="3A4D3C11"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801</w:t>
            </w:r>
          </w:p>
        </w:tc>
        <w:tc>
          <w:tcPr>
            <w:tcW w:w="1842" w:type="dxa"/>
            <w:tcBorders>
              <w:top w:val="nil"/>
              <w:left w:val="nil"/>
              <w:bottom w:val="single" w:sz="4" w:space="0" w:color="auto"/>
              <w:right w:val="single" w:sz="4" w:space="0" w:color="auto"/>
            </w:tcBorders>
            <w:shd w:val="clear" w:color="auto" w:fill="auto"/>
            <w:vAlign w:val="center"/>
            <w:hideMark/>
          </w:tcPr>
          <w:p w14:paraId="5F680DCD" w14:textId="4721677D"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305</w:t>
            </w:r>
          </w:p>
        </w:tc>
        <w:tc>
          <w:tcPr>
            <w:tcW w:w="1701" w:type="dxa"/>
            <w:tcBorders>
              <w:top w:val="nil"/>
              <w:left w:val="nil"/>
              <w:bottom w:val="single" w:sz="4" w:space="0" w:color="auto"/>
              <w:right w:val="single" w:sz="4" w:space="0" w:color="auto"/>
            </w:tcBorders>
            <w:shd w:val="clear" w:color="auto" w:fill="auto"/>
            <w:vAlign w:val="center"/>
            <w:hideMark/>
          </w:tcPr>
          <w:p w14:paraId="35E65521" w14:textId="0256D8E4"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128</w:t>
            </w:r>
          </w:p>
        </w:tc>
        <w:tc>
          <w:tcPr>
            <w:tcW w:w="1701" w:type="dxa"/>
            <w:tcBorders>
              <w:top w:val="nil"/>
              <w:left w:val="nil"/>
              <w:bottom w:val="single" w:sz="4" w:space="0" w:color="auto"/>
              <w:right w:val="single" w:sz="4" w:space="0" w:color="auto"/>
            </w:tcBorders>
            <w:shd w:val="clear" w:color="auto" w:fill="auto"/>
            <w:vAlign w:val="center"/>
            <w:hideMark/>
          </w:tcPr>
          <w:p w14:paraId="605C9CCA" w14:textId="09D21600"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368</w:t>
            </w:r>
          </w:p>
        </w:tc>
      </w:tr>
      <w:tr w:rsidR="00FF7D42" w14:paraId="79C53940" w14:textId="77777777" w:rsidTr="00FF7D42">
        <w:trPr>
          <w:trHeight w:val="255"/>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51803EB9" w14:textId="77777777" w:rsidR="00FF7D42" w:rsidRPr="00AB3787" w:rsidRDefault="00FF7D42" w:rsidP="00FF7D42">
            <w:pPr>
              <w:jc w:val="center"/>
              <w:rPr>
                <w:rFonts w:ascii="Arial" w:hAnsi="Arial" w:cs="Arial"/>
                <w:color w:val="000000"/>
                <w:sz w:val="16"/>
                <w:szCs w:val="16"/>
              </w:rPr>
            </w:pPr>
            <w:r w:rsidRPr="00AB3787">
              <w:rPr>
                <w:rFonts w:ascii="Arial" w:hAnsi="Arial" w:cs="Arial"/>
                <w:color w:val="000000"/>
                <w:sz w:val="16"/>
                <w:szCs w:val="16"/>
              </w:rPr>
              <w:t>PO 4</w:t>
            </w:r>
          </w:p>
        </w:tc>
        <w:tc>
          <w:tcPr>
            <w:tcW w:w="1701" w:type="dxa"/>
            <w:tcBorders>
              <w:top w:val="nil"/>
              <w:left w:val="nil"/>
              <w:bottom w:val="single" w:sz="4" w:space="0" w:color="auto"/>
              <w:right w:val="single" w:sz="4" w:space="0" w:color="auto"/>
            </w:tcBorders>
            <w:shd w:val="clear" w:color="auto" w:fill="auto"/>
            <w:vAlign w:val="center"/>
            <w:hideMark/>
          </w:tcPr>
          <w:p w14:paraId="3FF33059" w14:textId="0AA210F4"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1 935</w:t>
            </w:r>
          </w:p>
        </w:tc>
        <w:tc>
          <w:tcPr>
            <w:tcW w:w="1842" w:type="dxa"/>
            <w:tcBorders>
              <w:top w:val="nil"/>
              <w:left w:val="nil"/>
              <w:bottom w:val="single" w:sz="4" w:space="0" w:color="auto"/>
              <w:right w:val="single" w:sz="4" w:space="0" w:color="auto"/>
            </w:tcBorders>
            <w:shd w:val="clear" w:color="auto" w:fill="auto"/>
            <w:vAlign w:val="center"/>
            <w:hideMark/>
          </w:tcPr>
          <w:p w14:paraId="6F92AACF" w14:textId="3C9BE35F"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940</w:t>
            </w:r>
          </w:p>
        </w:tc>
        <w:tc>
          <w:tcPr>
            <w:tcW w:w="1701" w:type="dxa"/>
            <w:tcBorders>
              <w:top w:val="nil"/>
              <w:left w:val="nil"/>
              <w:bottom w:val="single" w:sz="4" w:space="0" w:color="auto"/>
              <w:right w:val="single" w:sz="4" w:space="0" w:color="auto"/>
            </w:tcBorders>
            <w:shd w:val="clear" w:color="auto" w:fill="auto"/>
            <w:vAlign w:val="center"/>
            <w:hideMark/>
          </w:tcPr>
          <w:p w14:paraId="68AFB74A" w14:textId="0179BB28"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288</w:t>
            </w:r>
          </w:p>
        </w:tc>
        <w:tc>
          <w:tcPr>
            <w:tcW w:w="1701" w:type="dxa"/>
            <w:tcBorders>
              <w:top w:val="nil"/>
              <w:left w:val="nil"/>
              <w:bottom w:val="single" w:sz="4" w:space="0" w:color="auto"/>
              <w:right w:val="single" w:sz="4" w:space="0" w:color="auto"/>
            </w:tcBorders>
            <w:shd w:val="clear" w:color="auto" w:fill="auto"/>
            <w:vAlign w:val="center"/>
            <w:hideMark/>
          </w:tcPr>
          <w:p w14:paraId="381787E5" w14:textId="46565F56"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707</w:t>
            </w:r>
          </w:p>
        </w:tc>
      </w:tr>
      <w:tr w:rsidR="00FF7D42" w14:paraId="7140ED2F" w14:textId="77777777" w:rsidTr="00FF7D42">
        <w:trPr>
          <w:trHeight w:val="255"/>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1E323D05" w14:textId="77777777" w:rsidR="00FF7D42" w:rsidRPr="00AB3787" w:rsidRDefault="00FF7D42" w:rsidP="00FF7D42">
            <w:pPr>
              <w:jc w:val="center"/>
              <w:rPr>
                <w:rFonts w:ascii="Arial" w:hAnsi="Arial" w:cs="Arial"/>
                <w:color w:val="000000"/>
                <w:sz w:val="16"/>
                <w:szCs w:val="16"/>
              </w:rPr>
            </w:pPr>
            <w:r w:rsidRPr="00AB3787">
              <w:rPr>
                <w:rFonts w:ascii="Arial" w:hAnsi="Arial" w:cs="Arial"/>
                <w:color w:val="000000"/>
                <w:sz w:val="16"/>
                <w:szCs w:val="16"/>
              </w:rPr>
              <w:t>PO 5</w:t>
            </w:r>
          </w:p>
        </w:tc>
        <w:tc>
          <w:tcPr>
            <w:tcW w:w="1701" w:type="dxa"/>
            <w:tcBorders>
              <w:top w:val="nil"/>
              <w:left w:val="nil"/>
              <w:bottom w:val="single" w:sz="4" w:space="0" w:color="auto"/>
              <w:right w:val="single" w:sz="4" w:space="0" w:color="auto"/>
            </w:tcBorders>
            <w:shd w:val="clear" w:color="auto" w:fill="auto"/>
            <w:vAlign w:val="center"/>
            <w:hideMark/>
          </w:tcPr>
          <w:p w14:paraId="085BAA88" w14:textId="2448B8DB"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408</w:t>
            </w:r>
          </w:p>
        </w:tc>
        <w:tc>
          <w:tcPr>
            <w:tcW w:w="1842" w:type="dxa"/>
            <w:tcBorders>
              <w:top w:val="nil"/>
              <w:left w:val="nil"/>
              <w:bottom w:val="single" w:sz="4" w:space="0" w:color="auto"/>
              <w:right w:val="single" w:sz="4" w:space="0" w:color="auto"/>
            </w:tcBorders>
            <w:shd w:val="clear" w:color="auto" w:fill="auto"/>
            <w:vAlign w:val="center"/>
            <w:hideMark/>
          </w:tcPr>
          <w:p w14:paraId="3FA9E259" w14:textId="32E3E152"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302</w:t>
            </w:r>
          </w:p>
        </w:tc>
        <w:tc>
          <w:tcPr>
            <w:tcW w:w="1701" w:type="dxa"/>
            <w:tcBorders>
              <w:top w:val="nil"/>
              <w:left w:val="nil"/>
              <w:bottom w:val="single" w:sz="4" w:space="0" w:color="auto"/>
              <w:right w:val="single" w:sz="4" w:space="0" w:color="auto"/>
            </w:tcBorders>
            <w:shd w:val="clear" w:color="auto" w:fill="auto"/>
            <w:vAlign w:val="center"/>
            <w:hideMark/>
          </w:tcPr>
          <w:p w14:paraId="735D39FC" w14:textId="3CBE31FA"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42</w:t>
            </w:r>
          </w:p>
        </w:tc>
        <w:tc>
          <w:tcPr>
            <w:tcW w:w="1701" w:type="dxa"/>
            <w:tcBorders>
              <w:top w:val="nil"/>
              <w:left w:val="nil"/>
              <w:bottom w:val="single" w:sz="4" w:space="0" w:color="auto"/>
              <w:right w:val="single" w:sz="4" w:space="0" w:color="auto"/>
            </w:tcBorders>
            <w:shd w:val="clear" w:color="auto" w:fill="auto"/>
            <w:vAlign w:val="center"/>
            <w:hideMark/>
          </w:tcPr>
          <w:p w14:paraId="5A866797" w14:textId="1B7054DE"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64</w:t>
            </w:r>
          </w:p>
        </w:tc>
      </w:tr>
      <w:tr w:rsidR="00FF7D42" w14:paraId="44A0D4D0" w14:textId="77777777" w:rsidTr="00FF7D42">
        <w:trPr>
          <w:trHeight w:val="255"/>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62D82267" w14:textId="77777777" w:rsidR="00FF7D42" w:rsidRPr="00AB3787" w:rsidRDefault="00FF7D42" w:rsidP="00FF7D42">
            <w:pPr>
              <w:jc w:val="center"/>
              <w:rPr>
                <w:rFonts w:ascii="Arial" w:hAnsi="Arial" w:cs="Arial"/>
                <w:color w:val="000000"/>
                <w:sz w:val="16"/>
                <w:szCs w:val="16"/>
              </w:rPr>
            </w:pPr>
            <w:r w:rsidRPr="00AB3787">
              <w:rPr>
                <w:rFonts w:ascii="Arial" w:hAnsi="Arial" w:cs="Arial"/>
                <w:color w:val="000000"/>
                <w:sz w:val="16"/>
                <w:szCs w:val="16"/>
              </w:rPr>
              <w:t>PO 6</w:t>
            </w:r>
          </w:p>
        </w:tc>
        <w:tc>
          <w:tcPr>
            <w:tcW w:w="1701" w:type="dxa"/>
            <w:tcBorders>
              <w:top w:val="nil"/>
              <w:left w:val="nil"/>
              <w:bottom w:val="single" w:sz="4" w:space="0" w:color="auto"/>
              <w:right w:val="single" w:sz="4" w:space="0" w:color="auto"/>
            </w:tcBorders>
            <w:shd w:val="clear" w:color="auto" w:fill="auto"/>
            <w:vAlign w:val="center"/>
            <w:hideMark/>
          </w:tcPr>
          <w:p w14:paraId="18ACACDA" w14:textId="7406DB11"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53</w:t>
            </w:r>
          </w:p>
        </w:tc>
        <w:tc>
          <w:tcPr>
            <w:tcW w:w="1842" w:type="dxa"/>
            <w:tcBorders>
              <w:top w:val="nil"/>
              <w:left w:val="nil"/>
              <w:bottom w:val="single" w:sz="4" w:space="0" w:color="auto"/>
              <w:right w:val="single" w:sz="4" w:space="0" w:color="auto"/>
            </w:tcBorders>
            <w:shd w:val="clear" w:color="auto" w:fill="auto"/>
            <w:vAlign w:val="center"/>
            <w:hideMark/>
          </w:tcPr>
          <w:p w14:paraId="336FDC19" w14:textId="4D971E9B"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24</w:t>
            </w:r>
          </w:p>
        </w:tc>
        <w:tc>
          <w:tcPr>
            <w:tcW w:w="1701" w:type="dxa"/>
            <w:tcBorders>
              <w:top w:val="nil"/>
              <w:left w:val="nil"/>
              <w:bottom w:val="single" w:sz="4" w:space="0" w:color="auto"/>
              <w:right w:val="single" w:sz="4" w:space="0" w:color="auto"/>
            </w:tcBorders>
            <w:shd w:val="clear" w:color="auto" w:fill="auto"/>
            <w:vAlign w:val="center"/>
            <w:hideMark/>
          </w:tcPr>
          <w:p w14:paraId="655B67B2" w14:textId="2F51883B"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29</w:t>
            </w:r>
          </w:p>
        </w:tc>
        <w:tc>
          <w:tcPr>
            <w:tcW w:w="1701" w:type="dxa"/>
            <w:tcBorders>
              <w:top w:val="nil"/>
              <w:left w:val="nil"/>
              <w:bottom w:val="single" w:sz="4" w:space="0" w:color="auto"/>
              <w:right w:val="single" w:sz="4" w:space="0" w:color="auto"/>
            </w:tcBorders>
            <w:shd w:val="clear" w:color="auto" w:fill="auto"/>
            <w:vAlign w:val="center"/>
            <w:hideMark/>
          </w:tcPr>
          <w:p w14:paraId="7EA615D7" w14:textId="782960F0"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0</w:t>
            </w:r>
          </w:p>
        </w:tc>
      </w:tr>
      <w:tr w:rsidR="00FF7D42" w14:paraId="59ACAA99" w14:textId="77777777" w:rsidTr="00FF7D42">
        <w:trPr>
          <w:trHeight w:val="255"/>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69110534" w14:textId="77777777" w:rsidR="00FF7D42" w:rsidRPr="00AB3787" w:rsidRDefault="00FF7D42" w:rsidP="00FF7D42">
            <w:pPr>
              <w:jc w:val="center"/>
              <w:rPr>
                <w:rFonts w:ascii="Arial" w:hAnsi="Arial" w:cs="Arial"/>
                <w:color w:val="000000"/>
                <w:sz w:val="16"/>
                <w:szCs w:val="16"/>
              </w:rPr>
            </w:pPr>
            <w:r w:rsidRPr="00AB3787">
              <w:rPr>
                <w:rFonts w:ascii="Arial" w:hAnsi="Arial" w:cs="Arial"/>
                <w:color w:val="000000"/>
                <w:sz w:val="16"/>
                <w:szCs w:val="16"/>
              </w:rPr>
              <w:t>PO 7</w:t>
            </w:r>
          </w:p>
        </w:tc>
        <w:tc>
          <w:tcPr>
            <w:tcW w:w="1701" w:type="dxa"/>
            <w:tcBorders>
              <w:top w:val="nil"/>
              <w:left w:val="nil"/>
              <w:bottom w:val="single" w:sz="4" w:space="0" w:color="auto"/>
              <w:right w:val="single" w:sz="4" w:space="0" w:color="auto"/>
            </w:tcBorders>
            <w:shd w:val="clear" w:color="auto" w:fill="auto"/>
            <w:vAlign w:val="center"/>
            <w:hideMark/>
          </w:tcPr>
          <w:p w14:paraId="4D018D55" w14:textId="44988CE6"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6</w:t>
            </w:r>
          </w:p>
        </w:tc>
        <w:tc>
          <w:tcPr>
            <w:tcW w:w="1842" w:type="dxa"/>
            <w:tcBorders>
              <w:top w:val="nil"/>
              <w:left w:val="nil"/>
              <w:bottom w:val="single" w:sz="4" w:space="0" w:color="auto"/>
              <w:right w:val="single" w:sz="4" w:space="0" w:color="auto"/>
            </w:tcBorders>
            <w:shd w:val="clear" w:color="auto" w:fill="auto"/>
            <w:vAlign w:val="center"/>
            <w:hideMark/>
          </w:tcPr>
          <w:p w14:paraId="4F97CFDE" w14:textId="73234E74"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5</w:t>
            </w:r>
          </w:p>
        </w:tc>
        <w:tc>
          <w:tcPr>
            <w:tcW w:w="1701" w:type="dxa"/>
            <w:tcBorders>
              <w:top w:val="nil"/>
              <w:left w:val="nil"/>
              <w:bottom w:val="single" w:sz="4" w:space="0" w:color="auto"/>
              <w:right w:val="single" w:sz="4" w:space="0" w:color="auto"/>
            </w:tcBorders>
            <w:shd w:val="clear" w:color="auto" w:fill="auto"/>
            <w:vAlign w:val="center"/>
            <w:hideMark/>
          </w:tcPr>
          <w:p w14:paraId="0E0E5743" w14:textId="1D0CE709"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1</w:t>
            </w:r>
          </w:p>
        </w:tc>
        <w:tc>
          <w:tcPr>
            <w:tcW w:w="1701" w:type="dxa"/>
            <w:tcBorders>
              <w:top w:val="nil"/>
              <w:left w:val="nil"/>
              <w:bottom w:val="single" w:sz="4" w:space="0" w:color="auto"/>
              <w:right w:val="single" w:sz="4" w:space="0" w:color="auto"/>
            </w:tcBorders>
            <w:shd w:val="clear" w:color="auto" w:fill="auto"/>
            <w:vAlign w:val="center"/>
            <w:hideMark/>
          </w:tcPr>
          <w:p w14:paraId="5736501F" w14:textId="37B49E26" w:rsidR="00FF7D42" w:rsidRPr="00AB3787" w:rsidRDefault="00FF7D42" w:rsidP="00FF7D42">
            <w:pPr>
              <w:jc w:val="center"/>
              <w:rPr>
                <w:rFonts w:ascii="Arial" w:hAnsi="Arial" w:cs="Arial"/>
                <w:color w:val="000000"/>
                <w:sz w:val="16"/>
                <w:szCs w:val="16"/>
              </w:rPr>
            </w:pPr>
            <w:r w:rsidRPr="00FF7D42">
              <w:rPr>
                <w:rFonts w:ascii="Arial" w:hAnsi="Arial" w:cs="Arial"/>
                <w:color w:val="000000"/>
                <w:sz w:val="16"/>
                <w:szCs w:val="16"/>
              </w:rPr>
              <w:t>0</w:t>
            </w:r>
          </w:p>
        </w:tc>
      </w:tr>
      <w:tr w:rsidR="00FF7D42" w14:paraId="26EB66AF" w14:textId="77777777" w:rsidTr="00FF7D42">
        <w:trPr>
          <w:trHeight w:val="510"/>
        </w:trPr>
        <w:tc>
          <w:tcPr>
            <w:tcW w:w="212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0199AA7" w14:textId="77777777" w:rsidR="00FF7D42" w:rsidRPr="00AB3787" w:rsidRDefault="00FF7D42" w:rsidP="00FF7D42">
            <w:pPr>
              <w:jc w:val="center"/>
              <w:rPr>
                <w:rFonts w:ascii="Arial" w:hAnsi="Arial" w:cs="Arial"/>
                <w:b/>
                <w:color w:val="000000"/>
                <w:sz w:val="16"/>
                <w:szCs w:val="16"/>
              </w:rPr>
            </w:pPr>
            <w:r w:rsidRPr="00AB3787">
              <w:rPr>
                <w:rFonts w:ascii="Arial" w:hAnsi="Arial" w:cs="Arial"/>
                <w:b/>
                <w:color w:val="000000"/>
                <w:sz w:val="16"/>
                <w:szCs w:val="16"/>
              </w:rPr>
              <w:t>Celkový sumár prijatých Monitorovacích správ:</w:t>
            </w:r>
          </w:p>
        </w:tc>
        <w:tc>
          <w:tcPr>
            <w:tcW w:w="1701" w:type="dxa"/>
            <w:tcBorders>
              <w:top w:val="nil"/>
              <w:left w:val="nil"/>
              <w:bottom w:val="single" w:sz="4" w:space="0" w:color="auto"/>
              <w:right w:val="single" w:sz="4" w:space="0" w:color="auto"/>
            </w:tcBorders>
            <w:shd w:val="clear" w:color="auto" w:fill="D9D9D9" w:themeFill="background1" w:themeFillShade="D9"/>
            <w:vAlign w:val="center"/>
            <w:hideMark/>
          </w:tcPr>
          <w:p w14:paraId="014EE82A" w14:textId="28228251" w:rsidR="00FF7D42" w:rsidRPr="00FF7D42" w:rsidRDefault="00FF7D42" w:rsidP="00FF7D42">
            <w:pPr>
              <w:jc w:val="center"/>
              <w:rPr>
                <w:rFonts w:ascii="Arial" w:hAnsi="Arial" w:cs="Arial"/>
                <w:b/>
                <w:color w:val="000000"/>
                <w:sz w:val="16"/>
                <w:szCs w:val="16"/>
              </w:rPr>
            </w:pPr>
            <w:r w:rsidRPr="00FF7D42">
              <w:rPr>
                <w:rFonts w:ascii="Arial" w:hAnsi="Arial" w:cs="Arial"/>
                <w:b/>
                <w:color w:val="000000"/>
                <w:sz w:val="16"/>
                <w:szCs w:val="16"/>
              </w:rPr>
              <w:t>5 338</w:t>
            </w:r>
          </w:p>
        </w:tc>
        <w:tc>
          <w:tcPr>
            <w:tcW w:w="1842" w:type="dxa"/>
            <w:tcBorders>
              <w:top w:val="nil"/>
              <w:left w:val="nil"/>
              <w:bottom w:val="single" w:sz="4" w:space="0" w:color="auto"/>
              <w:right w:val="single" w:sz="4" w:space="0" w:color="auto"/>
            </w:tcBorders>
            <w:shd w:val="clear" w:color="auto" w:fill="D9D9D9" w:themeFill="background1" w:themeFillShade="D9"/>
            <w:vAlign w:val="center"/>
            <w:hideMark/>
          </w:tcPr>
          <w:p w14:paraId="4B2D5186" w14:textId="1E4D5C9E" w:rsidR="00FF7D42" w:rsidRPr="00FF7D42" w:rsidRDefault="00FF7D42" w:rsidP="00FF7D42">
            <w:pPr>
              <w:jc w:val="center"/>
              <w:rPr>
                <w:rFonts w:ascii="Arial" w:hAnsi="Arial" w:cs="Arial"/>
                <w:b/>
                <w:color w:val="000000"/>
                <w:sz w:val="16"/>
                <w:szCs w:val="16"/>
              </w:rPr>
            </w:pPr>
            <w:r w:rsidRPr="00FF7D42">
              <w:rPr>
                <w:rFonts w:ascii="Arial" w:hAnsi="Arial" w:cs="Arial"/>
                <w:b/>
                <w:color w:val="000000"/>
                <w:sz w:val="16"/>
                <w:szCs w:val="16"/>
              </w:rPr>
              <w:t>2 930</w:t>
            </w:r>
          </w:p>
        </w:tc>
        <w:tc>
          <w:tcPr>
            <w:tcW w:w="1701" w:type="dxa"/>
            <w:tcBorders>
              <w:top w:val="nil"/>
              <w:left w:val="nil"/>
              <w:bottom w:val="single" w:sz="4" w:space="0" w:color="auto"/>
              <w:right w:val="single" w:sz="4" w:space="0" w:color="auto"/>
            </w:tcBorders>
            <w:shd w:val="clear" w:color="auto" w:fill="D9D9D9" w:themeFill="background1" w:themeFillShade="D9"/>
            <w:vAlign w:val="center"/>
            <w:hideMark/>
          </w:tcPr>
          <w:p w14:paraId="249D5959" w14:textId="6C483CC6" w:rsidR="00FF7D42" w:rsidRPr="00FF7D42" w:rsidRDefault="00FF7D42" w:rsidP="00FF7D42">
            <w:pPr>
              <w:jc w:val="center"/>
              <w:rPr>
                <w:rFonts w:ascii="Arial" w:hAnsi="Arial" w:cs="Arial"/>
                <w:b/>
                <w:color w:val="000000"/>
                <w:sz w:val="16"/>
                <w:szCs w:val="16"/>
              </w:rPr>
            </w:pPr>
            <w:r w:rsidRPr="00FF7D42">
              <w:rPr>
                <w:rFonts w:ascii="Arial" w:hAnsi="Arial" w:cs="Arial"/>
                <w:b/>
                <w:color w:val="000000"/>
                <w:sz w:val="16"/>
                <w:szCs w:val="16"/>
              </w:rPr>
              <w:t>805</w:t>
            </w:r>
          </w:p>
        </w:tc>
        <w:tc>
          <w:tcPr>
            <w:tcW w:w="1701" w:type="dxa"/>
            <w:tcBorders>
              <w:top w:val="nil"/>
              <w:left w:val="nil"/>
              <w:bottom w:val="single" w:sz="4" w:space="0" w:color="auto"/>
              <w:right w:val="single" w:sz="4" w:space="0" w:color="auto"/>
            </w:tcBorders>
            <w:shd w:val="clear" w:color="auto" w:fill="D9D9D9" w:themeFill="background1" w:themeFillShade="D9"/>
            <w:vAlign w:val="center"/>
            <w:hideMark/>
          </w:tcPr>
          <w:p w14:paraId="43797E34" w14:textId="695D41DB" w:rsidR="00FF7D42" w:rsidRPr="00FF7D42" w:rsidRDefault="00FF7D42" w:rsidP="00FF7D42">
            <w:pPr>
              <w:jc w:val="center"/>
              <w:rPr>
                <w:rFonts w:ascii="Arial" w:hAnsi="Arial" w:cs="Arial"/>
                <w:b/>
                <w:color w:val="000000"/>
                <w:sz w:val="16"/>
                <w:szCs w:val="16"/>
              </w:rPr>
            </w:pPr>
            <w:r w:rsidRPr="00FF7D42">
              <w:rPr>
                <w:rFonts w:ascii="Arial" w:hAnsi="Arial" w:cs="Arial"/>
                <w:b/>
                <w:color w:val="000000"/>
                <w:sz w:val="16"/>
                <w:szCs w:val="16"/>
              </w:rPr>
              <w:t>1 603</w:t>
            </w:r>
          </w:p>
        </w:tc>
      </w:tr>
    </w:tbl>
    <w:p w14:paraId="323932B1" w14:textId="787430CA" w:rsidR="009A42E0" w:rsidRPr="00DF6D90" w:rsidRDefault="009A42E0" w:rsidP="00123376">
      <w:pPr>
        <w:spacing w:before="120" w:after="120"/>
        <w:ind w:right="40"/>
        <w:jc w:val="both"/>
        <w:rPr>
          <w:rFonts w:ascii="Arial" w:hAnsi="Arial" w:cs="Arial"/>
          <w:sz w:val="18"/>
        </w:rPr>
      </w:pPr>
      <w:r w:rsidRPr="00DF6D90">
        <w:rPr>
          <w:rFonts w:ascii="Arial" w:hAnsi="Arial" w:cs="Arial"/>
          <w:sz w:val="18"/>
        </w:rPr>
        <w:t>Zdroj:</w:t>
      </w:r>
      <w:r w:rsidR="00DE15CF">
        <w:rPr>
          <w:rFonts w:ascii="Arial" w:hAnsi="Arial" w:cs="Arial"/>
          <w:sz w:val="18"/>
        </w:rPr>
        <w:t xml:space="preserve"> </w:t>
      </w:r>
      <w:r w:rsidRPr="00DF6D90">
        <w:rPr>
          <w:rFonts w:ascii="Arial" w:hAnsi="Arial" w:cs="Arial"/>
          <w:sz w:val="18"/>
        </w:rPr>
        <w:t>RO (ITMS)</w:t>
      </w:r>
      <w:r>
        <w:rPr>
          <w:rFonts w:ascii="Arial" w:hAnsi="Arial" w:cs="Arial"/>
          <w:sz w:val="18"/>
        </w:rPr>
        <w:t>, *</w:t>
      </w:r>
      <w:r w:rsidRPr="009A42E0">
        <w:t xml:space="preserve"> </w:t>
      </w:r>
      <w:r w:rsidRPr="009A42E0">
        <w:rPr>
          <w:rFonts w:ascii="Arial" w:hAnsi="Arial" w:cs="Arial"/>
          <w:sz w:val="18"/>
        </w:rPr>
        <w:t xml:space="preserve">V uvedenej </w:t>
      </w:r>
      <w:r>
        <w:rPr>
          <w:rFonts w:ascii="Arial" w:hAnsi="Arial" w:cs="Arial"/>
          <w:sz w:val="18"/>
        </w:rPr>
        <w:t>informácií</w:t>
      </w:r>
      <w:r w:rsidRPr="009A42E0">
        <w:rPr>
          <w:rFonts w:ascii="Arial" w:hAnsi="Arial" w:cs="Arial"/>
          <w:sz w:val="18"/>
        </w:rPr>
        <w:t xml:space="preserve"> nie sú zapracované údaje o prijatých MS, ktoré boli predložené výlučne v listinnej podobe</w:t>
      </w:r>
    </w:p>
    <w:p w14:paraId="41CD75DE" w14:textId="638F0266" w:rsidR="005642FB" w:rsidRPr="008E1ACB" w:rsidRDefault="005642FB" w:rsidP="00123376">
      <w:pPr>
        <w:spacing w:before="120" w:after="120"/>
        <w:ind w:right="40"/>
        <w:jc w:val="both"/>
        <w:rPr>
          <w:rFonts w:ascii="Arial" w:hAnsi="Arial" w:cs="Arial"/>
          <w:sz w:val="20"/>
        </w:rPr>
      </w:pPr>
      <w:r w:rsidRPr="00E21C60">
        <w:rPr>
          <w:rFonts w:ascii="Arial" w:hAnsi="Arial" w:cs="Arial"/>
          <w:sz w:val="20"/>
          <w:szCs w:val="20"/>
        </w:rPr>
        <w:t xml:space="preserve">V roku </w:t>
      </w:r>
      <w:r w:rsidR="00673BA1">
        <w:rPr>
          <w:rFonts w:ascii="Arial" w:hAnsi="Arial" w:cs="Arial"/>
          <w:sz w:val="20"/>
          <w:szCs w:val="20"/>
        </w:rPr>
        <w:t>2015</w:t>
      </w:r>
      <w:r w:rsidR="00673BA1" w:rsidRPr="00E21C60">
        <w:rPr>
          <w:rFonts w:ascii="Arial" w:hAnsi="Arial" w:cs="Arial"/>
          <w:sz w:val="20"/>
          <w:szCs w:val="20"/>
        </w:rPr>
        <w:t xml:space="preserve"> </w:t>
      </w:r>
      <w:r w:rsidRPr="00E21C60">
        <w:rPr>
          <w:rFonts w:ascii="Arial" w:hAnsi="Arial" w:cs="Arial"/>
          <w:sz w:val="20"/>
          <w:szCs w:val="20"/>
        </w:rPr>
        <w:t xml:space="preserve">RO obdržal celkovo </w:t>
      </w:r>
      <w:r w:rsidR="00673BA1">
        <w:rPr>
          <w:rFonts w:ascii="Arial" w:hAnsi="Arial" w:cs="Arial"/>
          <w:sz w:val="20"/>
          <w:szCs w:val="20"/>
        </w:rPr>
        <w:t>1052</w:t>
      </w:r>
      <w:r w:rsidR="00673BA1" w:rsidRPr="00E21C60">
        <w:rPr>
          <w:rFonts w:ascii="Arial" w:hAnsi="Arial" w:cs="Arial"/>
          <w:sz w:val="20"/>
          <w:szCs w:val="20"/>
        </w:rPr>
        <w:t xml:space="preserve"> </w:t>
      </w:r>
      <w:r w:rsidR="00283C6B">
        <w:rPr>
          <w:rFonts w:ascii="Arial" w:hAnsi="Arial" w:cs="Arial"/>
          <w:sz w:val="20"/>
          <w:szCs w:val="20"/>
        </w:rPr>
        <w:t xml:space="preserve">MS </w:t>
      </w:r>
      <w:r w:rsidRPr="00E21C60">
        <w:rPr>
          <w:rFonts w:ascii="Arial" w:hAnsi="Arial" w:cs="Arial"/>
          <w:sz w:val="20"/>
          <w:szCs w:val="20"/>
        </w:rPr>
        <w:t xml:space="preserve">projektov, z toho </w:t>
      </w:r>
      <w:r w:rsidR="00673BA1">
        <w:rPr>
          <w:rFonts w:ascii="Arial" w:hAnsi="Arial" w:cs="Arial"/>
          <w:sz w:val="20"/>
          <w:szCs w:val="20"/>
        </w:rPr>
        <w:t>411</w:t>
      </w:r>
      <w:r w:rsidR="00673BA1" w:rsidRPr="00E21C60">
        <w:rPr>
          <w:rFonts w:ascii="Arial" w:hAnsi="Arial" w:cs="Arial"/>
          <w:sz w:val="20"/>
          <w:szCs w:val="20"/>
        </w:rPr>
        <w:t xml:space="preserve"> </w:t>
      </w:r>
      <w:r w:rsidRPr="00E21C60">
        <w:rPr>
          <w:rFonts w:ascii="Arial" w:hAnsi="Arial" w:cs="Arial"/>
          <w:sz w:val="20"/>
          <w:szCs w:val="20"/>
        </w:rPr>
        <w:t xml:space="preserve">priebežných, </w:t>
      </w:r>
      <w:r w:rsidR="00054B56">
        <w:rPr>
          <w:rFonts w:ascii="Arial" w:hAnsi="Arial" w:cs="Arial"/>
          <w:sz w:val="20"/>
          <w:szCs w:val="20"/>
        </w:rPr>
        <w:br/>
      </w:r>
      <w:r w:rsidR="00673BA1">
        <w:rPr>
          <w:rFonts w:ascii="Arial" w:hAnsi="Arial" w:cs="Arial"/>
          <w:sz w:val="20"/>
          <w:szCs w:val="20"/>
        </w:rPr>
        <w:t>162</w:t>
      </w:r>
      <w:r w:rsidR="00673BA1" w:rsidRPr="00E21C60">
        <w:rPr>
          <w:rFonts w:ascii="Arial" w:hAnsi="Arial" w:cs="Arial"/>
          <w:sz w:val="20"/>
          <w:szCs w:val="20"/>
        </w:rPr>
        <w:t xml:space="preserve"> </w:t>
      </w:r>
      <w:r w:rsidRPr="00E21C60">
        <w:rPr>
          <w:rFonts w:ascii="Arial" w:hAnsi="Arial" w:cs="Arial"/>
          <w:sz w:val="20"/>
          <w:szCs w:val="20"/>
        </w:rPr>
        <w:t>záverečných a </w:t>
      </w:r>
      <w:r w:rsidR="00673BA1">
        <w:rPr>
          <w:rFonts w:ascii="Arial" w:hAnsi="Arial" w:cs="Arial"/>
          <w:sz w:val="20"/>
          <w:szCs w:val="20"/>
        </w:rPr>
        <w:t>479</w:t>
      </w:r>
      <w:r w:rsidR="00673BA1" w:rsidRPr="00E21C60">
        <w:rPr>
          <w:rFonts w:ascii="Arial" w:hAnsi="Arial" w:cs="Arial"/>
          <w:sz w:val="20"/>
          <w:szCs w:val="20"/>
        </w:rPr>
        <w:t xml:space="preserve"> </w:t>
      </w:r>
      <w:r w:rsidRPr="00E21C60">
        <w:rPr>
          <w:rFonts w:ascii="Arial" w:hAnsi="Arial" w:cs="Arial"/>
          <w:sz w:val="20"/>
          <w:szCs w:val="20"/>
        </w:rPr>
        <w:t>následných.</w:t>
      </w:r>
    </w:p>
    <w:p w14:paraId="2070F534" w14:textId="77777777" w:rsidR="006F27DB" w:rsidRPr="005B63DE" w:rsidRDefault="006F27DB" w:rsidP="006F27DB">
      <w:pPr>
        <w:spacing w:before="240" w:after="120"/>
        <w:jc w:val="both"/>
        <w:rPr>
          <w:rFonts w:ascii="Arial" w:hAnsi="Arial" w:cs="Arial"/>
          <w:b/>
          <w:sz w:val="20"/>
          <w:szCs w:val="20"/>
        </w:rPr>
      </w:pPr>
      <w:r w:rsidRPr="006F27DB">
        <w:rPr>
          <w:rFonts w:ascii="Arial" w:hAnsi="Arial" w:cs="Arial"/>
          <w:b/>
          <w:sz w:val="20"/>
          <w:szCs w:val="20"/>
        </w:rPr>
        <w:t>V rámci MS boli zistené tieto najčastejšie nedostatky:</w:t>
      </w:r>
    </w:p>
    <w:p w14:paraId="287B9399" w14:textId="2C63AF86" w:rsidR="006F27DB" w:rsidRPr="005B63DE" w:rsidRDefault="006F27DB" w:rsidP="00DF6D90">
      <w:pPr>
        <w:pStyle w:val="Odsekzoznamu"/>
        <w:numPr>
          <w:ilvl w:val="0"/>
          <w:numId w:val="31"/>
        </w:numPr>
        <w:spacing w:before="120" w:after="120" w:line="240" w:lineRule="auto"/>
        <w:ind w:left="284" w:hanging="284"/>
        <w:jc w:val="both"/>
        <w:rPr>
          <w:rFonts w:ascii="Arial" w:hAnsi="Arial" w:cs="Arial"/>
          <w:sz w:val="20"/>
          <w:szCs w:val="20"/>
        </w:rPr>
      </w:pPr>
      <w:r w:rsidRPr="005B63DE">
        <w:rPr>
          <w:rFonts w:ascii="Arial" w:hAnsi="Arial" w:cs="Arial"/>
          <w:sz w:val="20"/>
          <w:szCs w:val="20"/>
        </w:rPr>
        <w:t>pri predložení priebežných MS i</w:t>
      </w:r>
      <w:r w:rsidR="00431387">
        <w:rPr>
          <w:rFonts w:ascii="Arial" w:hAnsi="Arial" w:cs="Arial"/>
          <w:sz w:val="20"/>
          <w:szCs w:val="20"/>
        </w:rPr>
        <w:t>šlo</w:t>
      </w:r>
      <w:r w:rsidRPr="005B63DE">
        <w:rPr>
          <w:rFonts w:ascii="Arial" w:hAnsi="Arial" w:cs="Arial"/>
          <w:sz w:val="20"/>
          <w:szCs w:val="20"/>
        </w:rPr>
        <w:t xml:space="preserve"> prevažne o formálne chyby vo formulároch MS;</w:t>
      </w:r>
    </w:p>
    <w:p w14:paraId="27DA27E7" w14:textId="5C0826D1" w:rsidR="006F27DB" w:rsidRPr="00123376" w:rsidRDefault="006F27DB" w:rsidP="00DF6D90">
      <w:pPr>
        <w:pStyle w:val="Odsekzoznamu"/>
        <w:numPr>
          <w:ilvl w:val="0"/>
          <w:numId w:val="31"/>
        </w:numPr>
        <w:spacing w:before="120" w:after="120" w:line="240" w:lineRule="auto"/>
        <w:ind w:left="284" w:hanging="284"/>
        <w:jc w:val="both"/>
        <w:rPr>
          <w:rFonts w:ascii="Arial" w:hAnsi="Arial" w:cs="Arial"/>
          <w:sz w:val="20"/>
          <w:szCs w:val="20"/>
        </w:rPr>
      </w:pPr>
      <w:r w:rsidRPr="005B63DE">
        <w:rPr>
          <w:rFonts w:ascii="Arial" w:hAnsi="Arial" w:cs="Arial"/>
          <w:sz w:val="20"/>
          <w:szCs w:val="20"/>
        </w:rPr>
        <w:t>pri predložení záverečných MS chýba</w:t>
      </w:r>
      <w:r w:rsidR="00431387">
        <w:rPr>
          <w:rFonts w:ascii="Arial" w:hAnsi="Arial" w:cs="Arial"/>
          <w:sz w:val="20"/>
          <w:szCs w:val="20"/>
        </w:rPr>
        <w:t>li</w:t>
      </w:r>
      <w:r w:rsidRPr="005B63DE">
        <w:rPr>
          <w:rFonts w:ascii="Arial" w:hAnsi="Arial" w:cs="Arial"/>
          <w:sz w:val="20"/>
          <w:szCs w:val="20"/>
        </w:rPr>
        <w:t xml:space="preserve"> kolaudačné</w:t>
      </w:r>
      <w:r w:rsidRPr="00123376">
        <w:rPr>
          <w:rFonts w:ascii="Arial" w:hAnsi="Arial" w:cs="Arial"/>
          <w:sz w:val="20"/>
          <w:szCs w:val="20"/>
        </w:rPr>
        <w:t xml:space="preserve"> rozhodnutia, súhlasy a pod.; </w:t>
      </w:r>
    </w:p>
    <w:p w14:paraId="7739A228" w14:textId="29EBDBCA" w:rsidR="006F27DB" w:rsidRPr="00123376" w:rsidRDefault="006F27DB" w:rsidP="00DF6D90">
      <w:pPr>
        <w:pStyle w:val="Odsekzoznamu"/>
        <w:numPr>
          <w:ilvl w:val="0"/>
          <w:numId w:val="31"/>
        </w:numPr>
        <w:spacing w:before="120" w:after="120" w:line="240" w:lineRule="auto"/>
        <w:ind w:left="284" w:hanging="284"/>
        <w:jc w:val="both"/>
        <w:rPr>
          <w:rFonts w:ascii="Arial" w:hAnsi="Arial" w:cs="Arial"/>
          <w:sz w:val="20"/>
          <w:szCs w:val="20"/>
        </w:rPr>
      </w:pPr>
      <w:r w:rsidRPr="00123376">
        <w:rPr>
          <w:rFonts w:ascii="Arial" w:hAnsi="Arial" w:cs="Arial"/>
          <w:sz w:val="20"/>
          <w:szCs w:val="20"/>
        </w:rPr>
        <w:t>pri predložení následných MS chýba</w:t>
      </w:r>
      <w:r w:rsidR="00431387">
        <w:rPr>
          <w:rFonts w:ascii="Arial" w:hAnsi="Arial" w:cs="Arial"/>
          <w:sz w:val="20"/>
          <w:szCs w:val="20"/>
        </w:rPr>
        <w:t>li</w:t>
      </w:r>
      <w:r w:rsidRPr="00123376">
        <w:rPr>
          <w:rFonts w:ascii="Arial" w:hAnsi="Arial" w:cs="Arial"/>
          <w:sz w:val="20"/>
          <w:szCs w:val="20"/>
        </w:rPr>
        <w:t xml:space="preserve"> informácie o stave poistenia majetku zhodnoteného z</w:t>
      </w:r>
      <w:r w:rsidRPr="002526CC">
        <w:rPr>
          <w:rFonts w:ascii="Arial" w:hAnsi="Arial" w:cs="Arial"/>
          <w:sz w:val="20"/>
          <w:szCs w:val="20"/>
        </w:rPr>
        <w:t> </w:t>
      </w:r>
      <w:r w:rsidRPr="00123376" w:rsidDel="004326BB">
        <w:rPr>
          <w:rFonts w:ascii="Arial" w:hAnsi="Arial" w:cs="Arial"/>
          <w:sz w:val="20"/>
          <w:szCs w:val="20"/>
        </w:rPr>
        <w:t xml:space="preserve"> </w:t>
      </w:r>
      <w:r w:rsidRPr="00123376">
        <w:rPr>
          <w:rFonts w:ascii="Arial" w:hAnsi="Arial" w:cs="Arial"/>
          <w:sz w:val="20"/>
          <w:szCs w:val="20"/>
        </w:rPr>
        <w:t>NFP alebo jeho časti;</w:t>
      </w:r>
    </w:p>
    <w:p w14:paraId="790EBF2E" w14:textId="77777777" w:rsidR="006F27DB" w:rsidRPr="00123376" w:rsidRDefault="006F27DB" w:rsidP="00DF6D90">
      <w:pPr>
        <w:pStyle w:val="Odsekzoznamu"/>
        <w:numPr>
          <w:ilvl w:val="0"/>
          <w:numId w:val="31"/>
        </w:numPr>
        <w:spacing w:before="120" w:after="120" w:line="240" w:lineRule="auto"/>
        <w:ind w:left="284" w:hanging="284"/>
        <w:jc w:val="both"/>
        <w:rPr>
          <w:rFonts w:ascii="Arial" w:hAnsi="Arial" w:cs="Arial"/>
          <w:sz w:val="20"/>
          <w:szCs w:val="20"/>
        </w:rPr>
      </w:pPr>
      <w:r w:rsidRPr="00123376">
        <w:rPr>
          <w:rFonts w:ascii="Arial" w:hAnsi="Arial" w:cs="Arial"/>
          <w:sz w:val="20"/>
          <w:szCs w:val="20"/>
        </w:rPr>
        <w:t>nesprávne sumy v plánoch predkladania žiadostí o platbu („ďalej len „ŽoP“), vo väčšine prípadov nezapočítanie predložených a nespracovaných ŽOP, matematické chyby;</w:t>
      </w:r>
    </w:p>
    <w:p w14:paraId="45C94238" w14:textId="77777777" w:rsidR="006F27DB" w:rsidRPr="00123376" w:rsidRDefault="006F27DB" w:rsidP="00DF6D90">
      <w:pPr>
        <w:pStyle w:val="Odsekzoznamu"/>
        <w:numPr>
          <w:ilvl w:val="0"/>
          <w:numId w:val="31"/>
        </w:numPr>
        <w:spacing w:before="120" w:after="120" w:line="240" w:lineRule="auto"/>
        <w:ind w:left="284" w:hanging="284"/>
        <w:jc w:val="both"/>
        <w:rPr>
          <w:rFonts w:ascii="Arial" w:hAnsi="Arial" w:cs="Arial"/>
          <w:sz w:val="20"/>
          <w:szCs w:val="20"/>
        </w:rPr>
      </w:pPr>
      <w:r w:rsidRPr="00123376">
        <w:rPr>
          <w:rFonts w:ascii="Arial" w:hAnsi="Arial" w:cs="Arial"/>
          <w:sz w:val="20"/>
          <w:szCs w:val="20"/>
        </w:rPr>
        <w:t>nesúlad údajov uvedených v MS so skutočnosťou vyplývajúcou z iných dokumentov;</w:t>
      </w:r>
    </w:p>
    <w:p w14:paraId="54FE3795" w14:textId="77777777" w:rsidR="006F27DB" w:rsidRPr="00123376" w:rsidRDefault="006F27DB" w:rsidP="00DF6D90">
      <w:pPr>
        <w:pStyle w:val="Odsekzoznamu"/>
        <w:numPr>
          <w:ilvl w:val="0"/>
          <w:numId w:val="31"/>
        </w:numPr>
        <w:spacing w:before="120" w:after="120" w:line="240" w:lineRule="auto"/>
        <w:ind w:left="284" w:hanging="284"/>
        <w:jc w:val="both"/>
        <w:rPr>
          <w:rFonts w:ascii="Arial" w:hAnsi="Arial" w:cs="Arial"/>
          <w:sz w:val="20"/>
          <w:szCs w:val="20"/>
        </w:rPr>
      </w:pPr>
      <w:r w:rsidRPr="00123376">
        <w:rPr>
          <w:rFonts w:ascii="Arial" w:hAnsi="Arial" w:cs="Arial"/>
          <w:sz w:val="20"/>
          <w:szCs w:val="20"/>
        </w:rPr>
        <w:t>nedostatočná identifikácia problémov, resp. nesúladu skutočného a plánovaného stavu časovej, vecnej a finančnej realizácie aktivít projektu;</w:t>
      </w:r>
    </w:p>
    <w:p w14:paraId="37A735C8" w14:textId="77777777" w:rsidR="006F27DB" w:rsidRDefault="006F27DB" w:rsidP="00DF6D90">
      <w:pPr>
        <w:pStyle w:val="Odsekzoznamu"/>
        <w:numPr>
          <w:ilvl w:val="0"/>
          <w:numId w:val="31"/>
        </w:numPr>
        <w:spacing w:before="120" w:after="120" w:line="240" w:lineRule="auto"/>
        <w:ind w:left="284" w:hanging="284"/>
        <w:jc w:val="both"/>
        <w:rPr>
          <w:rFonts w:ascii="Arial" w:hAnsi="Arial" w:cs="Arial"/>
          <w:sz w:val="20"/>
          <w:szCs w:val="20"/>
        </w:rPr>
      </w:pPr>
      <w:r w:rsidRPr="00123376">
        <w:rPr>
          <w:rFonts w:ascii="Arial" w:hAnsi="Arial" w:cs="Arial"/>
          <w:sz w:val="20"/>
          <w:szCs w:val="20"/>
        </w:rPr>
        <w:t>nesprávne vyplnená povinná príloha č.1, Plán predkladania ŽoP, resp. jej nepredloženie vôbec</w:t>
      </w:r>
      <w:r>
        <w:rPr>
          <w:rFonts w:ascii="Arial" w:hAnsi="Arial" w:cs="Arial"/>
          <w:sz w:val="20"/>
          <w:szCs w:val="20"/>
        </w:rPr>
        <w:t>,</w:t>
      </w:r>
    </w:p>
    <w:p w14:paraId="24C70DA7" w14:textId="4DF8AC3E" w:rsidR="006F27DB" w:rsidRPr="005430B5" w:rsidRDefault="00431387" w:rsidP="00DF6D90">
      <w:pPr>
        <w:pStyle w:val="Odsekzoznamu"/>
        <w:numPr>
          <w:ilvl w:val="0"/>
          <w:numId w:val="31"/>
        </w:numPr>
        <w:spacing w:before="120" w:after="120" w:line="240" w:lineRule="auto"/>
        <w:ind w:left="284" w:hanging="284"/>
        <w:jc w:val="both"/>
        <w:rPr>
          <w:rFonts w:ascii="Arial" w:hAnsi="Arial" w:cs="Arial"/>
          <w:sz w:val="20"/>
          <w:szCs w:val="20"/>
        </w:rPr>
      </w:pPr>
      <w:r>
        <w:rPr>
          <w:rFonts w:ascii="Arial" w:hAnsi="Arial" w:cs="Arial"/>
          <w:bCs/>
          <w:sz w:val="20"/>
          <w:szCs w:val="20"/>
        </w:rPr>
        <w:t>f</w:t>
      </w:r>
      <w:r w:rsidR="006F27DB" w:rsidRPr="005430B5">
        <w:rPr>
          <w:rFonts w:ascii="Arial" w:hAnsi="Arial" w:cs="Arial"/>
          <w:bCs/>
          <w:sz w:val="20"/>
          <w:szCs w:val="20"/>
        </w:rPr>
        <w:t>ormálne uvedené informácie týkajúce sa hodnôt merateľných ukazovateľov dopadu bez uvedenia zdroja vykazovaných hodnôt,</w:t>
      </w:r>
    </w:p>
    <w:p w14:paraId="03638AE6" w14:textId="61708229" w:rsidR="006F27DB" w:rsidRPr="00431387" w:rsidRDefault="00431387" w:rsidP="00DF6D90">
      <w:pPr>
        <w:pStyle w:val="Odsekzoznamu"/>
        <w:numPr>
          <w:ilvl w:val="0"/>
          <w:numId w:val="31"/>
        </w:numPr>
        <w:spacing w:before="120" w:after="120" w:line="240" w:lineRule="auto"/>
        <w:ind w:left="284" w:hanging="284"/>
        <w:jc w:val="both"/>
        <w:rPr>
          <w:rFonts w:ascii="Arial" w:hAnsi="Arial" w:cs="Arial"/>
          <w:sz w:val="20"/>
          <w:szCs w:val="20"/>
        </w:rPr>
      </w:pPr>
      <w:r>
        <w:rPr>
          <w:rFonts w:ascii="Arial" w:hAnsi="Arial" w:cs="Arial"/>
          <w:bCs/>
          <w:sz w:val="20"/>
          <w:szCs w:val="20"/>
        </w:rPr>
        <w:t>n</w:t>
      </w:r>
      <w:r w:rsidR="006F27DB" w:rsidRPr="005430B5">
        <w:rPr>
          <w:rFonts w:ascii="Arial" w:hAnsi="Arial" w:cs="Arial"/>
          <w:bCs/>
          <w:sz w:val="20"/>
          <w:szCs w:val="20"/>
        </w:rPr>
        <w:t>epreukázané informácie týkajúce sa projektov generujúcich príjmy, t. j. informácie o príjmoch a výdavkov v súvislosti s realizáciou projektu,</w:t>
      </w:r>
    </w:p>
    <w:p w14:paraId="11BC3CEC" w14:textId="51C074CB" w:rsidR="00431387" w:rsidRPr="005430B5" w:rsidRDefault="00431387" w:rsidP="00DF6D90">
      <w:pPr>
        <w:pStyle w:val="Odsekzoznamu"/>
        <w:numPr>
          <w:ilvl w:val="0"/>
          <w:numId w:val="31"/>
        </w:numPr>
        <w:spacing w:before="120" w:after="120" w:line="240" w:lineRule="auto"/>
        <w:ind w:left="284" w:hanging="284"/>
        <w:jc w:val="both"/>
        <w:rPr>
          <w:rFonts w:ascii="Arial" w:hAnsi="Arial" w:cs="Arial"/>
          <w:sz w:val="20"/>
          <w:szCs w:val="20"/>
        </w:rPr>
      </w:pPr>
      <w:r>
        <w:rPr>
          <w:rFonts w:ascii="Arial" w:hAnsi="Arial" w:cs="Arial"/>
          <w:bCs/>
          <w:sz w:val="20"/>
          <w:szCs w:val="20"/>
        </w:rPr>
        <w:t>zaslanie monitorovacej správy po monitorovacom termíne</w:t>
      </w:r>
      <w:r w:rsidR="000241F0">
        <w:rPr>
          <w:rFonts w:ascii="Arial" w:hAnsi="Arial" w:cs="Arial"/>
          <w:bCs/>
          <w:sz w:val="20"/>
          <w:szCs w:val="20"/>
        </w:rPr>
        <w:t>,</w:t>
      </w:r>
    </w:p>
    <w:p w14:paraId="1CD45B1F" w14:textId="5207D67C" w:rsidR="006F27DB" w:rsidRPr="005430B5" w:rsidRDefault="00431387" w:rsidP="00DF6D90">
      <w:pPr>
        <w:pStyle w:val="Odsekzoznamu"/>
        <w:numPr>
          <w:ilvl w:val="0"/>
          <w:numId w:val="31"/>
        </w:numPr>
        <w:spacing w:before="120" w:after="120" w:line="240" w:lineRule="auto"/>
        <w:ind w:left="284" w:hanging="284"/>
        <w:jc w:val="both"/>
        <w:rPr>
          <w:rFonts w:ascii="Arial" w:hAnsi="Arial" w:cs="Arial"/>
          <w:sz w:val="20"/>
          <w:szCs w:val="20"/>
        </w:rPr>
      </w:pPr>
      <w:r>
        <w:rPr>
          <w:rFonts w:ascii="Arial" w:hAnsi="Arial" w:cs="Arial"/>
          <w:bCs/>
          <w:sz w:val="20"/>
          <w:szCs w:val="20"/>
        </w:rPr>
        <w:t>n</w:t>
      </w:r>
      <w:r w:rsidR="006F27DB" w:rsidRPr="005430B5">
        <w:rPr>
          <w:rFonts w:ascii="Arial" w:hAnsi="Arial" w:cs="Arial"/>
          <w:bCs/>
          <w:sz w:val="20"/>
          <w:szCs w:val="20"/>
        </w:rPr>
        <w:t>ezaslaná fotodokumentácia potvrdzujúca d</w:t>
      </w:r>
      <w:r w:rsidR="006F27DB">
        <w:rPr>
          <w:rFonts w:ascii="Arial" w:hAnsi="Arial" w:cs="Arial"/>
          <w:bCs/>
          <w:sz w:val="20"/>
          <w:szCs w:val="20"/>
        </w:rPr>
        <w:t>održiavanie pravidiel publicity.</w:t>
      </w:r>
    </w:p>
    <w:p w14:paraId="19B86544" w14:textId="77777777" w:rsidR="006F27DB" w:rsidRPr="00123376" w:rsidRDefault="006F27DB" w:rsidP="006F27DB">
      <w:pPr>
        <w:spacing w:before="120" w:after="120"/>
        <w:jc w:val="both"/>
        <w:rPr>
          <w:rFonts w:ascii="Arial" w:hAnsi="Arial" w:cs="Arial"/>
          <w:b/>
          <w:sz w:val="20"/>
          <w:szCs w:val="20"/>
        </w:rPr>
      </w:pPr>
      <w:r w:rsidRPr="006F27DB">
        <w:rPr>
          <w:rFonts w:ascii="Arial" w:hAnsi="Arial" w:cs="Arial"/>
          <w:b/>
          <w:sz w:val="20"/>
          <w:szCs w:val="20"/>
        </w:rPr>
        <w:lastRenderedPageBreak/>
        <w:t>Na elimináciu zistených nedostatkov v MS boli prijaté nápravné opatrenia:</w:t>
      </w:r>
      <w:r w:rsidRPr="00123376">
        <w:rPr>
          <w:rFonts w:ascii="Arial" w:hAnsi="Arial" w:cs="Arial"/>
          <w:b/>
          <w:sz w:val="20"/>
          <w:szCs w:val="20"/>
        </w:rPr>
        <w:t xml:space="preserve"> </w:t>
      </w:r>
    </w:p>
    <w:p w14:paraId="50EFC9A8" w14:textId="548EB872" w:rsidR="002416B1" w:rsidRPr="006F27DB" w:rsidRDefault="006F27DB" w:rsidP="00DF6D90">
      <w:pPr>
        <w:pStyle w:val="Odsekzoznamu"/>
        <w:numPr>
          <w:ilvl w:val="0"/>
          <w:numId w:val="50"/>
        </w:numPr>
        <w:spacing w:before="120" w:after="120" w:line="240" w:lineRule="auto"/>
        <w:ind w:left="284" w:hanging="284"/>
        <w:jc w:val="both"/>
        <w:rPr>
          <w:rFonts w:ascii="Arial" w:hAnsi="Arial" w:cs="Arial"/>
          <w:sz w:val="20"/>
          <w:szCs w:val="20"/>
        </w:rPr>
      </w:pPr>
      <w:r w:rsidRPr="00123376">
        <w:rPr>
          <w:rFonts w:ascii="Arial" w:hAnsi="Arial" w:cs="Arial"/>
          <w:sz w:val="20"/>
          <w:szCs w:val="20"/>
        </w:rPr>
        <w:t>MS boli zaslané prijímateľovi na opravu, resp. doplnenie údajov/prílohy.</w:t>
      </w:r>
    </w:p>
    <w:p w14:paraId="3B931C56" w14:textId="77777777" w:rsidR="00283C6B" w:rsidRDefault="00283C6B" w:rsidP="00283C6B">
      <w:pPr>
        <w:spacing w:before="240" w:after="120"/>
        <w:ind w:right="40"/>
        <w:jc w:val="both"/>
        <w:rPr>
          <w:rFonts w:ascii="Arial" w:hAnsi="Arial" w:cs="Arial"/>
          <w:b/>
          <w:sz w:val="20"/>
        </w:rPr>
      </w:pPr>
      <w:r w:rsidRPr="00954693">
        <w:rPr>
          <w:rFonts w:ascii="Arial" w:hAnsi="Arial" w:cs="Arial"/>
          <w:b/>
          <w:sz w:val="20"/>
        </w:rPr>
        <w:t>Monitorovací výbor</w:t>
      </w:r>
    </w:p>
    <w:p w14:paraId="15B2D6CD" w14:textId="77777777" w:rsidR="00283C6B" w:rsidRPr="00424DDD" w:rsidRDefault="00283C6B" w:rsidP="00283C6B">
      <w:pPr>
        <w:spacing w:before="120" w:after="120"/>
        <w:ind w:right="42"/>
        <w:jc w:val="both"/>
        <w:rPr>
          <w:rFonts w:ascii="Arial" w:hAnsi="Arial" w:cs="Arial"/>
          <w:sz w:val="20"/>
          <w:szCs w:val="20"/>
        </w:rPr>
      </w:pPr>
      <w:r w:rsidRPr="002F7ED1">
        <w:rPr>
          <w:rFonts w:ascii="Arial" w:hAnsi="Arial" w:cs="Arial"/>
          <w:sz w:val="20"/>
          <w:szCs w:val="20"/>
        </w:rPr>
        <w:t>V</w:t>
      </w:r>
      <w:r>
        <w:rPr>
          <w:rFonts w:ascii="Arial" w:hAnsi="Arial" w:cs="Arial"/>
          <w:sz w:val="20"/>
          <w:szCs w:val="20"/>
        </w:rPr>
        <w:t> </w:t>
      </w:r>
      <w:r w:rsidRPr="002F7ED1">
        <w:rPr>
          <w:rFonts w:ascii="Arial" w:hAnsi="Arial" w:cs="Arial"/>
          <w:sz w:val="20"/>
          <w:szCs w:val="20"/>
        </w:rPr>
        <w:t xml:space="preserve">sledovanom </w:t>
      </w:r>
      <w:r>
        <w:rPr>
          <w:rFonts w:ascii="Arial" w:hAnsi="Arial" w:cs="Arial"/>
          <w:sz w:val="20"/>
          <w:szCs w:val="20"/>
        </w:rPr>
        <w:t xml:space="preserve">období sa uskutočnilo celkovo 16 zasadnutí monitorovacieho výboru a 16 písomných procedúr per rollam. </w:t>
      </w:r>
    </w:p>
    <w:p w14:paraId="08E73BDC" w14:textId="78063926" w:rsidR="00283C6B" w:rsidRDefault="00283C6B" w:rsidP="00283C6B">
      <w:pPr>
        <w:jc w:val="both"/>
        <w:rPr>
          <w:rFonts w:ascii="Arial" w:hAnsi="Arial" w:cs="Arial"/>
          <w:sz w:val="20"/>
          <w:szCs w:val="20"/>
        </w:rPr>
      </w:pPr>
      <w:r w:rsidRPr="00E21C60">
        <w:rPr>
          <w:rFonts w:ascii="Arial" w:hAnsi="Arial" w:cs="Arial"/>
          <w:sz w:val="20"/>
          <w:szCs w:val="20"/>
        </w:rPr>
        <w:t xml:space="preserve">Tabuľka č. </w:t>
      </w:r>
      <w:r w:rsidR="00682B07" w:rsidRPr="00682B07">
        <w:rPr>
          <w:rFonts w:ascii="Arial" w:hAnsi="Arial" w:cs="Arial"/>
          <w:sz w:val="20"/>
          <w:szCs w:val="20"/>
        </w:rPr>
        <w:t>3</w:t>
      </w:r>
      <w:r w:rsidR="007B1CB9">
        <w:rPr>
          <w:rFonts w:ascii="Arial" w:hAnsi="Arial" w:cs="Arial"/>
          <w:sz w:val="20"/>
          <w:szCs w:val="20"/>
        </w:rPr>
        <w:t>5</w:t>
      </w:r>
      <w:r w:rsidRPr="00682B07">
        <w:rPr>
          <w:rFonts w:ascii="Arial" w:hAnsi="Arial" w:cs="Arial"/>
          <w:sz w:val="20"/>
          <w:szCs w:val="20"/>
        </w:rPr>
        <w:t>:</w:t>
      </w:r>
      <w:r w:rsidRPr="00E21C60">
        <w:rPr>
          <w:rFonts w:ascii="Arial" w:hAnsi="Arial" w:cs="Arial"/>
          <w:sz w:val="20"/>
          <w:szCs w:val="20"/>
        </w:rPr>
        <w:t xml:space="preserve"> </w:t>
      </w:r>
      <w:r>
        <w:rPr>
          <w:rFonts w:ascii="Arial" w:hAnsi="Arial" w:cs="Arial"/>
          <w:sz w:val="20"/>
          <w:szCs w:val="20"/>
        </w:rPr>
        <w:t>Súhrnný prehľad zasadnutí monitorovacieho výboru a písomný postupov pre prijaté rozhodnutia</w:t>
      </w:r>
    </w:p>
    <w:tbl>
      <w:tblPr>
        <w:tblW w:w="8992" w:type="dxa"/>
        <w:jc w:val="center"/>
        <w:tblCellMar>
          <w:left w:w="70" w:type="dxa"/>
          <w:right w:w="70" w:type="dxa"/>
        </w:tblCellMar>
        <w:tblLook w:val="04A0" w:firstRow="1" w:lastRow="0" w:firstColumn="1" w:lastColumn="0" w:noHBand="0" w:noVBand="1"/>
      </w:tblPr>
      <w:tblGrid>
        <w:gridCol w:w="2157"/>
        <w:gridCol w:w="587"/>
        <w:gridCol w:w="587"/>
        <w:gridCol w:w="587"/>
        <w:gridCol w:w="587"/>
        <w:gridCol w:w="587"/>
        <w:gridCol w:w="587"/>
        <w:gridCol w:w="587"/>
        <w:gridCol w:w="587"/>
        <w:gridCol w:w="587"/>
        <w:gridCol w:w="702"/>
        <w:gridCol w:w="850"/>
      </w:tblGrid>
      <w:tr w:rsidR="00283C6B" w14:paraId="07735F79" w14:textId="77777777" w:rsidTr="007D7B08">
        <w:trPr>
          <w:trHeight w:val="300"/>
          <w:jc w:val="center"/>
        </w:trPr>
        <w:tc>
          <w:tcPr>
            <w:tcW w:w="2157"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9F0220B"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Monitorovací výbor</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7C56BF88"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2007</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26FEC5CF"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2008</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16F7645A"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2009</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2BD1957B"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2010</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22605FC9"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2011</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66475C29"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2012</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5AA78F4C"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2013</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693140DB"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2014</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21920121"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2015</w:t>
            </w:r>
          </w:p>
        </w:tc>
        <w:tc>
          <w:tcPr>
            <w:tcW w:w="702" w:type="dxa"/>
            <w:tcBorders>
              <w:top w:val="single" w:sz="4" w:space="0" w:color="auto"/>
              <w:left w:val="nil"/>
              <w:bottom w:val="single" w:sz="4" w:space="0" w:color="auto"/>
              <w:right w:val="single" w:sz="4" w:space="0" w:color="auto"/>
            </w:tcBorders>
            <w:shd w:val="clear" w:color="auto" w:fill="C2D69B" w:themeFill="accent3" w:themeFillTint="99"/>
            <w:vAlign w:val="center"/>
          </w:tcPr>
          <w:p w14:paraId="79421438" w14:textId="77777777" w:rsidR="00283C6B" w:rsidRPr="00ED1358" w:rsidRDefault="00283C6B" w:rsidP="00CC3074">
            <w:pPr>
              <w:jc w:val="center"/>
              <w:rPr>
                <w:rFonts w:ascii="Arial" w:hAnsi="Arial" w:cs="Arial"/>
                <w:b/>
                <w:bCs/>
                <w:color w:val="000000"/>
                <w:sz w:val="16"/>
                <w:szCs w:val="16"/>
              </w:rPr>
            </w:pPr>
            <w:r>
              <w:rPr>
                <w:rFonts w:ascii="Arial" w:hAnsi="Arial" w:cs="Arial"/>
                <w:b/>
                <w:bCs/>
                <w:color w:val="000000"/>
                <w:sz w:val="16"/>
                <w:szCs w:val="16"/>
              </w:rPr>
              <w:t>2016</w:t>
            </w:r>
          </w:p>
        </w:tc>
        <w:tc>
          <w:tcPr>
            <w:tcW w:w="850" w:type="dxa"/>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14:paraId="770EA240" w14:textId="77777777" w:rsidR="00283C6B" w:rsidRPr="00424DDD" w:rsidRDefault="00283C6B" w:rsidP="00CC3074">
            <w:pPr>
              <w:jc w:val="center"/>
              <w:rPr>
                <w:rFonts w:ascii="Arial" w:hAnsi="Arial" w:cs="Arial"/>
                <w:b/>
                <w:bCs/>
                <w:color w:val="000000"/>
                <w:sz w:val="16"/>
                <w:szCs w:val="16"/>
              </w:rPr>
            </w:pPr>
            <w:r w:rsidRPr="00424DDD">
              <w:rPr>
                <w:rFonts w:ascii="Arial" w:hAnsi="Arial" w:cs="Arial"/>
                <w:b/>
                <w:bCs/>
                <w:color w:val="000000"/>
                <w:sz w:val="16"/>
                <w:szCs w:val="16"/>
              </w:rPr>
              <w:t>Celkom</w:t>
            </w:r>
          </w:p>
        </w:tc>
      </w:tr>
      <w:tr w:rsidR="00283C6B" w14:paraId="14C2538B" w14:textId="77777777" w:rsidTr="00CC3074">
        <w:trPr>
          <w:trHeight w:val="300"/>
          <w:jc w:val="center"/>
        </w:trPr>
        <w:tc>
          <w:tcPr>
            <w:tcW w:w="2157" w:type="dxa"/>
            <w:tcBorders>
              <w:top w:val="nil"/>
              <w:left w:val="single" w:sz="4" w:space="0" w:color="auto"/>
              <w:bottom w:val="single" w:sz="4" w:space="0" w:color="auto"/>
              <w:right w:val="single" w:sz="4" w:space="0" w:color="auto"/>
            </w:tcBorders>
            <w:shd w:val="clear" w:color="auto" w:fill="auto"/>
            <w:vAlign w:val="center"/>
            <w:hideMark/>
          </w:tcPr>
          <w:p w14:paraId="70225FEC"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Zasadnutia MV</w:t>
            </w:r>
          </w:p>
        </w:tc>
        <w:tc>
          <w:tcPr>
            <w:tcW w:w="587" w:type="dxa"/>
            <w:tcBorders>
              <w:top w:val="nil"/>
              <w:left w:val="nil"/>
              <w:bottom w:val="single" w:sz="4" w:space="0" w:color="auto"/>
              <w:right w:val="single" w:sz="4" w:space="0" w:color="auto"/>
            </w:tcBorders>
            <w:shd w:val="clear" w:color="auto" w:fill="auto"/>
            <w:noWrap/>
            <w:vAlign w:val="center"/>
            <w:hideMark/>
          </w:tcPr>
          <w:p w14:paraId="71C6DF10"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75684C3D"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2</w:t>
            </w:r>
          </w:p>
        </w:tc>
        <w:tc>
          <w:tcPr>
            <w:tcW w:w="587" w:type="dxa"/>
            <w:tcBorders>
              <w:top w:val="nil"/>
              <w:left w:val="nil"/>
              <w:bottom w:val="single" w:sz="4" w:space="0" w:color="auto"/>
              <w:right w:val="single" w:sz="4" w:space="0" w:color="auto"/>
            </w:tcBorders>
            <w:shd w:val="clear" w:color="auto" w:fill="auto"/>
            <w:noWrap/>
            <w:vAlign w:val="center"/>
            <w:hideMark/>
          </w:tcPr>
          <w:p w14:paraId="3D41C1DD"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2</w:t>
            </w:r>
          </w:p>
        </w:tc>
        <w:tc>
          <w:tcPr>
            <w:tcW w:w="587" w:type="dxa"/>
            <w:tcBorders>
              <w:top w:val="nil"/>
              <w:left w:val="nil"/>
              <w:bottom w:val="single" w:sz="4" w:space="0" w:color="auto"/>
              <w:right w:val="single" w:sz="4" w:space="0" w:color="auto"/>
            </w:tcBorders>
            <w:shd w:val="clear" w:color="auto" w:fill="auto"/>
            <w:noWrap/>
            <w:vAlign w:val="center"/>
            <w:hideMark/>
          </w:tcPr>
          <w:p w14:paraId="1EB6FEF3"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2</w:t>
            </w:r>
          </w:p>
        </w:tc>
        <w:tc>
          <w:tcPr>
            <w:tcW w:w="587" w:type="dxa"/>
            <w:tcBorders>
              <w:top w:val="nil"/>
              <w:left w:val="nil"/>
              <w:bottom w:val="single" w:sz="4" w:space="0" w:color="auto"/>
              <w:right w:val="single" w:sz="4" w:space="0" w:color="auto"/>
            </w:tcBorders>
            <w:shd w:val="clear" w:color="auto" w:fill="auto"/>
            <w:noWrap/>
            <w:vAlign w:val="center"/>
            <w:hideMark/>
          </w:tcPr>
          <w:p w14:paraId="6D5F6493"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7FA2535C"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2</w:t>
            </w:r>
          </w:p>
        </w:tc>
        <w:tc>
          <w:tcPr>
            <w:tcW w:w="587" w:type="dxa"/>
            <w:tcBorders>
              <w:top w:val="nil"/>
              <w:left w:val="nil"/>
              <w:bottom w:val="single" w:sz="4" w:space="0" w:color="auto"/>
              <w:right w:val="single" w:sz="4" w:space="0" w:color="auto"/>
            </w:tcBorders>
            <w:shd w:val="clear" w:color="auto" w:fill="auto"/>
            <w:noWrap/>
            <w:vAlign w:val="center"/>
            <w:hideMark/>
          </w:tcPr>
          <w:p w14:paraId="1164E949"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6756488B"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2</w:t>
            </w:r>
          </w:p>
        </w:tc>
        <w:tc>
          <w:tcPr>
            <w:tcW w:w="587" w:type="dxa"/>
            <w:tcBorders>
              <w:top w:val="nil"/>
              <w:left w:val="nil"/>
              <w:bottom w:val="single" w:sz="4" w:space="0" w:color="auto"/>
              <w:right w:val="single" w:sz="4" w:space="0" w:color="auto"/>
            </w:tcBorders>
            <w:shd w:val="clear" w:color="auto" w:fill="auto"/>
            <w:noWrap/>
            <w:vAlign w:val="center"/>
            <w:hideMark/>
          </w:tcPr>
          <w:p w14:paraId="7429F115"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2</w:t>
            </w:r>
          </w:p>
        </w:tc>
        <w:tc>
          <w:tcPr>
            <w:tcW w:w="702" w:type="dxa"/>
            <w:tcBorders>
              <w:top w:val="single" w:sz="4" w:space="0" w:color="auto"/>
              <w:left w:val="nil"/>
              <w:bottom w:val="single" w:sz="4" w:space="0" w:color="auto"/>
              <w:right w:val="single" w:sz="4" w:space="0" w:color="auto"/>
            </w:tcBorders>
            <w:vAlign w:val="center"/>
          </w:tcPr>
          <w:p w14:paraId="0812A4C0" w14:textId="77777777" w:rsidR="00283C6B" w:rsidRPr="00C61840" w:rsidRDefault="00283C6B" w:rsidP="00CC3074">
            <w:pPr>
              <w:jc w:val="center"/>
              <w:rPr>
                <w:rFonts w:ascii="Arial" w:hAnsi="Arial" w:cs="Arial"/>
                <w:color w:val="000000"/>
                <w:sz w:val="16"/>
                <w:szCs w:val="16"/>
              </w:rPr>
            </w:pPr>
            <w:r w:rsidRPr="00424DDD">
              <w:rPr>
                <w:rFonts w:ascii="Arial" w:hAnsi="Arial" w:cs="Arial"/>
                <w:color w:val="000000"/>
                <w:sz w:val="16"/>
                <w:szCs w:val="16"/>
              </w:rPr>
              <w:t>1</w:t>
            </w:r>
          </w:p>
        </w:tc>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4E46FF70"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1</w:t>
            </w:r>
            <w:r>
              <w:rPr>
                <w:rFonts w:ascii="Arial" w:hAnsi="Arial" w:cs="Arial"/>
                <w:color w:val="000000"/>
                <w:sz w:val="16"/>
                <w:szCs w:val="16"/>
              </w:rPr>
              <w:t>6</w:t>
            </w:r>
          </w:p>
        </w:tc>
      </w:tr>
      <w:tr w:rsidR="00283C6B" w14:paraId="478E2520" w14:textId="77777777" w:rsidTr="00CC3074">
        <w:trPr>
          <w:trHeight w:val="840"/>
          <w:jc w:val="center"/>
        </w:trPr>
        <w:tc>
          <w:tcPr>
            <w:tcW w:w="2157" w:type="dxa"/>
            <w:tcBorders>
              <w:top w:val="nil"/>
              <w:left w:val="single" w:sz="4" w:space="0" w:color="auto"/>
              <w:bottom w:val="single" w:sz="4" w:space="0" w:color="auto"/>
              <w:right w:val="single" w:sz="4" w:space="0" w:color="auto"/>
            </w:tcBorders>
            <w:shd w:val="clear" w:color="auto" w:fill="auto"/>
            <w:vAlign w:val="center"/>
            <w:hideMark/>
          </w:tcPr>
          <w:p w14:paraId="7E0BA587" w14:textId="77777777" w:rsidR="00283C6B" w:rsidRDefault="00283C6B" w:rsidP="00CC3074">
            <w:pPr>
              <w:jc w:val="center"/>
              <w:rPr>
                <w:rFonts w:ascii="Arial" w:hAnsi="Arial" w:cs="Arial"/>
                <w:color w:val="000000"/>
                <w:sz w:val="16"/>
                <w:szCs w:val="16"/>
              </w:rPr>
            </w:pPr>
            <w:r w:rsidRPr="00424DDD">
              <w:rPr>
                <w:rFonts w:ascii="Arial" w:hAnsi="Arial" w:cs="Arial"/>
                <w:color w:val="000000"/>
                <w:sz w:val="16"/>
                <w:szCs w:val="16"/>
              </w:rPr>
              <w:t xml:space="preserve">Písomné postupy pre prijatie rozhodnutia </w:t>
            </w:r>
          </w:p>
          <w:p w14:paraId="1FDA286D"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(PER ROLLAM)</w:t>
            </w:r>
          </w:p>
        </w:tc>
        <w:tc>
          <w:tcPr>
            <w:tcW w:w="587" w:type="dxa"/>
            <w:tcBorders>
              <w:top w:val="nil"/>
              <w:left w:val="nil"/>
              <w:bottom w:val="single" w:sz="4" w:space="0" w:color="auto"/>
              <w:right w:val="single" w:sz="4" w:space="0" w:color="auto"/>
            </w:tcBorders>
            <w:shd w:val="clear" w:color="auto" w:fill="auto"/>
            <w:noWrap/>
            <w:vAlign w:val="center"/>
            <w:hideMark/>
          </w:tcPr>
          <w:p w14:paraId="0F4DA528"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0</w:t>
            </w:r>
          </w:p>
        </w:tc>
        <w:tc>
          <w:tcPr>
            <w:tcW w:w="587" w:type="dxa"/>
            <w:tcBorders>
              <w:top w:val="nil"/>
              <w:left w:val="nil"/>
              <w:bottom w:val="single" w:sz="4" w:space="0" w:color="auto"/>
              <w:right w:val="single" w:sz="4" w:space="0" w:color="auto"/>
            </w:tcBorders>
            <w:shd w:val="clear" w:color="auto" w:fill="auto"/>
            <w:noWrap/>
            <w:vAlign w:val="center"/>
            <w:hideMark/>
          </w:tcPr>
          <w:p w14:paraId="30C5B4EB"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2</w:t>
            </w:r>
          </w:p>
        </w:tc>
        <w:tc>
          <w:tcPr>
            <w:tcW w:w="587" w:type="dxa"/>
            <w:tcBorders>
              <w:top w:val="nil"/>
              <w:left w:val="nil"/>
              <w:bottom w:val="single" w:sz="4" w:space="0" w:color="auto"/>
              <w:right w:val="single" w:sz="4" w:space="0" w:color="auto"/>
            </w:tcBorders>
            <w:shd w:val="clear" w:color="auto" w:fill="auto"/>
            <w:noWrap/>
            <w:vAlign w:val="center"/>
            <w:hideMark/>
          </w:tcPr>
          <w:p w14:paraId="2BBA567E"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2694DF51"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3847DB1A"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3</w:t>
            </w:r>
          </w:p>
        </w:tc>
        <w:tc>
          <w:tcPr>
            <w:tcW w:w="587" w:type="dxa"/>
            <w:tcBorders>
              <w:top w:val="nil"/>
              <w:left w:val="nil"/>
              <w:bottom w:val="single" w:sz="4" w:space="0" w:color="auto"/>
              <w:right w:val="single" w:sz="4" w:space="0" w:color="auto"/>
            </w:tcBorders>
            <w:shd w:val="clear" w:color="auto" w:fill="auto"/>
            <w:noWrap/>
            <w:vAlign w:val="center"/>
            <w:hideMark/>
          </w:tcPr>
          <w:p w14:paraId="37AD4285"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4</w:t>
            </w:r>
          </w:p>
        </w:tc>
        <w:tc>
          <w:tcPr>
            <w:tcW w:w="587" w:type="dxa"/>
            <w:tcBorders>
              <w:top w:val="nil"/>
              <w:left w:val="nil"/>
              <w:bottom w:val="single" w:sz="4" w:space="0" w:color="auto"/>
              <w:right w:val="single" w:sz="4" w:space="0" w:color="auto"/>
            </w:tcBorders>
            <w:shd w:val="clear" w:color="auto" w:fill="auto"/>
            <w:noWrap/>
            <w:vAlign w:val="center"/>
            <w:hideMark/>
          </w:tcPr>
          <w:p w14:paraId="0CDDCC80"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33FAF85B"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3</w:t>
            </w:r>
          </w:p>
        </w:tc>
        <w:tc>
          <w:tcPr>
            <w:tcW w:w="587" w:type="dxa"/>
            <w:tcBorders>
              <w:top w:val="nil"/>
              <w:left w:val="nil"/>
              <w:bottom w:val="single" w:sz="4" w:space="0" w:color="auto"/>
              <w:right w:val="single" w:sz="4" w:space="0" w:color="auto"/>
            </w:tcBorders>
            <w:shd w:val="clear" w:color="auto" w:fill="auto"/>
            <w:noWrap/>
            <w:vAlign w:val="center"/>
            <w:hideMark/>
          </w:tcPr>
          <w:p w14:paraId="3E169B31"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0</w:t>
            </w:r>
          </w:p>
        </w:tc>
        <w:tc>
          <w:tcPr>
            <w:tcW w:w="702" w:type="dxa"/>
            <w:tcBorders>
              <w:top w:val="single" w:sz="4" w:space="0" w:color="auto"/>
              <w:left w:val="nil"/>
              <w:bottom w:val="single" w:sz="4" w:space="0" w:color="auto"/>
              <w:right w:val="single" w:sz="4" w:space="0" w:color="auto"/>
            </w:tcBorders>
            <w:vAlign w:val="center"/>
          </w:tcPr>
          <w:p w14:paraId="044C825E" w14:textId="77777777" w:rsidR="00283C6B" w:rsidRPr="00C61840" w:rsidRDefault="00283C6B" w:rsidP="00CC3074">
            <w:pPr>
              <w:jc w:val="center"/>
              <w:rPr>
                <w:rFonts w:ascii="Arial" w:hAnsi="Arial" w:cs="Arial"/>
                <w:color w:val="000000"/>
                <w:sz w:val="16"/>
                <w:szCs w:val="16"/>
              </w:rPr>
            </w:pPr>
            <w:r w:rsidRPr="00424DDD">
              <w:rPr>
                <w:rFonts w:ascii="Arial" w:hAnsi="Arial" w:cs="Arial"/>
                <w:color w:val="000000"/>
                <w:sz w:val="16"/>
                <w:szCs w:val="16"/>
              </w:rPr>
              <w:t>1</w:t>
            </w:r>
          </w:p>
        </w:tc>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06320248" w14:textId="77777777" w:rsidR="00283C6B" w:rsidRPr="00424DDD" w:rsidRDefault="00283C6B" w:rsidP="00CC3074">
            <w:pPr>
              <w:jc w:val="center"/>
              <w:rPr>
                <w:rFonts w:ascii="Arial" w:hAnsi="Arial" w:cs="Arial"/>
                <w:color w:val="000000"/>
                <w:sz w:val="16"/>
                <w:szCs w:val="16"/>
              </w:rPr>
            </w:pPr>
            <w:r w:rsidRPr="00424DDD">
              <w:rPr>
                <w:rFonts w:ascii="Arial" w:hAnsi="Arial" w:cs="Arial"/>
                <w:color w:val="000000"/>
                <w:sz w:val="16"/>
                <w:szCs w:val="16"/>
              </w:rPr>
              <w:t>1</w:t>
            </w:r>
            <w:r>
              <w:rPr>
                <w:rFonts w:ascii="Arial" w:hAnsi="Arial" w:cs="Arial"/>
                <w:color w:val="000000"/>
                <w:sz w:val="16"/>
                <w:szCs w:val="16"/>
              </w:rPr>
              <w:t>6</w:t>
            </w:r>
          </w:p>
        </w:tc>
      </w:tr>
    </w:tbl>
    <w:p w14:paraId="270F414D" w14:textId="77777777" w:rsidR="009C09A5" w:rsidRDefault="00283C6B" w:rsidP="00283C6B">
      <w:pPr>
        <w:spacing w:before="120" w:after="120"/>
        <w:ind w:right="42"/>
        <w:jc w:val="both"/>
        <w:rPr>
          <w:rFonts w:ascii="Arial" w:hAnsi="Arial" w:cs="Arial"/>
          <w:sz w:val="20"/>
          <w:szCs w:val="20"/>
        </w:rPr>
      </w:pPr>
      <w:r w:rsidRPr="002F7ED1">
        <w:rPr>
          <w:rFonts w:ascii="Arial" w:hAnsi="Arial" w:cs="Arial"/>
          <w:sz w:val="20"/>
          <w:szCs w:val="20"/>
        </w:rPr>
        <w:t>V </w:t>
      </w:r>
      <w:r>
        <w:rPr>
          <w:rFonts w:ascii="Arial" w:hAnsi="Arial" w:cs="Arial"/>
          <w:sz w:val="20"/>
          <w:szCs w:val="20"/>
        </w:rPr>
        <w:t>roku 2015</w:t>
      </w:r>
      <w:r w:rsidRPr="002F7ED1">
        <w:rPr>
          <w:rFonts w:ascii="Arial" w:hAnsi="Arial" w:cs="Arial"/>
          <w:sz w:val="20"/>
          <w:szCs w:val="20"/>
        </w:rPr>
        <w:t xml:space="preserve"> sa uskutočnili dve zasadnutia monitorovacieho výboru</w:t>
      </w:r>
      <w:r w:rsidR="009C09A5">
        <w:rPr>
          <w:rFonts w:ascii="Arial" w:hAnsi="Arial" w:cs="Arial"/>
          <w:sz w:val="20"/>
          <w:szCs w:val="20"/>
        </w:rPr>
        <w:t>:</w:t>
      </w:r>
    </w:p>
    <w:p w14:paraId="33331378" w14:textId="753ED715" w:rsidR="00283C6B" w:rsidRDefault="00283C6B" w:rsidP="00283C6B">
      <w:pPr>
        <w:spacing w:before="120" w:after="120"/>
        <w:ind w:right="42"/>
        <w:jc w:val="both"/>
        <w:rPr>
          <w:rFonts w:ascii="Arial" w:hAnsi="Arial" w:cs="Arial"/>
          <w:sz w:val="20"/>
          <w:szCs w:val="20"/>
        </w:rPr>
      </w:pPr>
      <w:r w:rsidRPr="003835A0">
        <w:rPr>
          <w:rFonts w:ascii="Arial" w:hAnsi="Arial" w:cs="Arial"/>
          <w:sz w:val="20"/>
          <w:szCs w:val="20"/>
        </w:rPr>
        <w:t xml:space="preserve">Na 14. zasadnutí monitorovacieho výboru, ktoré sa konalo 25.- 26. </w:t>
      </w:r>
      <w:r w:rsidR="000241F0">
        <w:rPr>
          <w:rFonts w:ascii="Arial" w:hAnsi="Arial" w:cs="Arial"/>
          <w:sz w:val="20"/>
          <w:szCs w:val="20"/>
        </w:rPr>
        <w:t>6.</w:t>
      </w:r>
      <w:r w:rsidRPr="003835A0">
        <w:rPr>
          <w:rFonts w:ascii="Arial" w:hAnsi="Arial" w:cs="Arial"/>
          <w:sz w:val="20"/>
          <w:szCs w:val="20"/>
        </w:rPr>
        <w:t xml:space="preserve"> 2015 boli členmi monitorovacieho výboru schválené nasledovné body uzn</w:t>
      </w:r>
      <w:r w:rsidR="009C09A5">
        <w:rPr>
          <w:rFonts w:ascii="Arial" w:hAnsi="Arial" w:cs="Arial"/>
          <w:sz w:val="20"/>
          <w:szCs w:val="20"/>
        </w:rPr>
        <w:t>esenia č. 14 zo dňa 25. 06. 2015</w:t>
      </w:r>
      <w:r w:rsidRPr="003835A0">
        <w:rPr>
          <w:rFonts w:ascii="Arial" w:hAnsi="Arial" w:cs="Arial"/>
          <w:sz w:val="20"/>
          <w:szCs w:val="20"/>
        </w:rPr>
        <w:t>.</w:t>
      </w:r>
      <w:r w:rsidRPr="00DC1775">
        <w:rPr>
          <w:rFonts w:ascii="Arial" w:hAnsi="Arial" w:cs="Arial"/>
          <w:sz w:val="20"/>
          <w:szCs w:val="20"/>
        </w:rPr>
        <w:t xml:space="preserve">  </w:t>
      </w:r>
    </w:p>
    <w:p w14:paraId="497EAA13" w14:textId="77777777" w:rsidR="00283C6B" w:rsidRPr="002F7ED1" w:rsidRDefault="00283C6B" w:rsidP="00283C6B">
      <w:pPr>
        <w:spacing w:before="120" w:after="120"/>
        <w:ind w:right="42"/>
        <w:jc w:val="both"/>
        <w:rPr>
          <w:rFonts w:ascii="Arial" w:hAnsi="Arial" w:cs="Arial"/>
          <w:sz w:val="20"/>
          <w:szCs w:val="20"/>
        </w:rPr>
      </w:pPr>
      <w:r w:rsidRPr="002F7ED1">
        <w:rPr>
          <w:rFonts w:ascii="Arial" w:hAnsi="Arial" w:cs="Arial"/>
          <w:sz w:val="20"/>
          <w:szCs w:val="20"/>
        </w:rPr>
        <w:t>A</w:t>
      </w:r>
      <w:r>
        <w:rPr>
          <w:rFonts w:ascii="Arial" w:hAnsi="Arial" w:cs="Arial"/>
          <w:sz w:val="20"/>
          <w:szCs w:val="20"/>
        </w:rPr>
        <w:t>.</w:t>
      </w:r>
      <w:r w:rsidRPr="002F7ED1">
        <w:rPr>
          <w:rFonts w:ascii="Arial" w:hAnsi="Arial" w:cs="Arial"/>
          <w:sz w:val="20"/>
          <w:szCs w:val="20"/>
        </w:rPr>
        <w:t>1 Návrh Výročnej správy o vykonávaní OP ŽP za rok 2014</w:t>
      </w:r>
    </w:p>
    <w:p w14:paraId="1B4F7FAF" w14:textId="77777777" w:rsidR="00283C6B" w:rsidRPr="002F7ED1" w:rsidRDefault="00283C6B" w:rsidP="00283C6B">
      <w:pPr>
        <w:spacing w:before="120" w:after="120"/>
        <w:ind w:right="42"/>
        <w:jc w:val="both"/>
        <w:rPr>
          <w:rFonts w:ascii="Arial" w:hAnsi="Arial" w:cs="Arial"/>
          <w:sz w:val="20"/>
          <w:szCs w:val="20"/>
        </w:rPr>
      </w:pPr>
      <w:r w:rsidRPr="002F7ED1">
        <w:rPr>
          <w:rFonts w:ascii="Arial" w:hAnsi="Arial" w:cs="Arial"/>
          <w:sz w:val="20"/>
          <w:szCs w:val="20"/>
        </w:rPr>
        <w:t xml:space="preserve">A.2 Návrh na úpravu Programového manuálu OP ŽP v rámci operačného cieľa 3.1 a 4.1 na verziu 9.3 </w:t>
      </w:r>
    </w:p>
    <w:p w14:paraId="53E21BD0" w14:textId="06CE4661" w:rsidR="00283C6B" w:rsidRPr="002F7ED1" w:rsidRDefault="00283C6B" w:rsidP="00283C6B">
      <w:pPr>
        <w:spacing w:before="120" w:after="120"/>
        <w:ind w:right="42"/>
        <w:jc w:val="both"/>
        <w:rPr>
          <w:rFonts w:ascii="Arial" w:hAnsi="Arial" w:cs="Arial"/>
          <w:sz w:val="20"/>
          <w:szCs w:val="20"/>
        </w:rPr>
      </w:pPr>
      <w:r w:rsidRPr="002F7ED1">
        <w:rPr>
          <w:rFonts w:ascii="Arial" w:hAnsi="Arial" w:cs="Arial"/>
          <w:sz w:val="20"/>
          <w:szCs w:val="20"/>
        </w:rPr>
        <w:t>A.3.Návrh úpravy dokumentu Hodnotiace kritéri</w:t>
      </w:r>
      <w:r w:rsidR="000241F0">
        <w:rPr>
          <w:rFonts w:ascii="Arial" w:hAnsi="Arial" w:cs="Arial"/>
          <w:sz w:val="20"/>
          <w:szCs w:val="20"/>
        </w:rPr>
        <w:t>á</w:t>
      </w:r>
      <w:r w:rsidRPr="002F7ED1">
        <w:rPr>
          <w:rFonts w:ascii="Arial" w:hAnsi="Arial" w:cs="Arial"/>
          <w:sz w:val="20"/>
          <w:szCs w:val="20"/>
        </w:rPr>
        <w:t xml:space="preserve"> žiadostí o nenávratný finančný príspevok z Európskeho fondu regionálneho rozvoja a Kohézneho fondu, ktorých celkové náklady nepresahujú 50 mil. eur v rámci operačného cieľa 3.1</w:t>
      </w:r>
    </w:p>
    <w:p w14:paraId="2451E018" w14:textId="77777777" w:rsidR="00283C6B" w:rsidRPr="002F7ED1" w:rsidRDefault="00283C6B" w:rsidP="00283C6B">
      <w:pPr>
        <w:spacing w:before="120" w:after="120"/>
        <w:ind w:right="42"/>
        <w:jc w:val="both"/>
        <w:rPr>
          <w:rFonts w:ascii="Arial" w:hAnsi="Arial" w:cs="Arial"/>
          <w:sz w:val="20"/>
          <w:szCs w:val="20"/>
        </w:rPr>
      </w:pPr>
      <w:r w:rsidRPr="002F7ED1">
        <w:rPr>
          <w:rFonts w:ascii="Arial" w:hAnsi="Arial" w:cs="Arial"/>
          <w:sz w:val="20"/>
          <w:szCs w:val="20"/>
        </w:rPr>
        <w:t>A.4. Návrh úpravy OP ŽP v súvislosti so zmenami v rámci orgánov zapojených do riadenia a implementácie Operačného programu Životné prostredie a v súvislosti s úpravami ukazovateľov programu</w:t>
      </w:r>
    </w:p>
    <w:p w14:paraId="740EB0EA" w14:textId="4B638614" w:rsidR="00283C6B" w:rsidRPr="002F7ED1" w:rsidRDefault="00283C6B" w:rsidP="00283C6B">
      <w:pPr>
        <w:spacing w:before="120" w:after="120"/>
        <w:ind w:right="42"/>
        <w:jc w:val="both"/>
        <w:rPr>
          <w:rFonts w:ascii="Arial" w:hAnsi="Arial" w:cs="Arial"/>
          <w:sz w:val="20"/>
          <w:szCs w:val="20"/>
        </w:rPr>
      </w:pPr>
      <w:r w:rsidRPr="002F7ED1">
        <w:rPr>
          <w:rFonts w:ascii="Arial" w:hAnsi="Arial" w:cs="Arial"/>
          <w:sz w:val="20"/>
          <w:szCs w:val="20"/>
        </w:rPr>
        <w:t>Zároveň boli uzn</w:t>
      </w:r>
      <w:r w:rsidR="009C09A5">
        <w:rPr>
          <w:rFonts w:ascii="Arial" w:hAnsi="Arial" w:cs="Arial"/>
          <w:sz w:val="20"/>
          <w:szCs w:val="20"/>
        </w:rPr>
        <w:t>esením č. 14 zo dňa 25. 06. 2015</w:t>
      </w:r>
      <w:r w:rsidRPr="002F7ED1">
        <w:rPr>
          <w:rFonts w:ascii="Arial" w:hAnsi="Arial" w:cs="Arial"/>
          <w:sz w:val="20"/>
          <w:szCs w:val="20"/>
        </w:rPr>
        <w:t xml:space="preserve"> brané členmi monitorovacieho výboru na vedomie: </w:t>
      </w:r>
    </w:p>
    <w:p w14:paraId="72A5E3B0" w14:textId="77777777" w:rsidR="00283C6B" w:rsidRPr="002F7ED1" w:rsidRDefault="00283C6B" w:rsidP="00283C6B">
      <w:pPr>
        <w:spacing w:before="120" w:after="120"/>
        <w:ind w:right="42"/>
        <w:jc w:val="both"/>
        <w:rPr>
          <w:rFonts w:ascii="Arial" w:hAnsi="Arial" w:cs="Arial"/>
          <w:sz w:val="20"/>
          <w:szCs w:val="20"/>
        </w:rPr>
      </w:pPr>
      <w:r w:rsidRPr="002F7ED1">
        <w:rPr>
          <w:rFonts w:ascii="Arial" w:hAnsi="Arial" w:cs="Arial"/>
          <w:sz w:val="20"/>
          <w:szCs w:val="20"/>
        </w:rPr>
        <w:t xml:space="preserve">B.1. Informácia o aktuálnom stave implementácie OP ŽP a činnosti TASK FORCE </w:t>
      </w:r>
    </w:p>
    <w:p w14:paraId="611CB951" w14:textId="77777777" w:rsidR="00283C6B" w:rsidRPr="002F7ED1" w:rsidRDefault="00283C6B" w:rsidP="00283C6B">
      <w:pPr>
        <w:spacing w:before="120" w:after="120"/>
        <w:ind w:right="42"/>
        <w:jc w:val="both"/>
        <w:rPr>
          <w:rFonts w:ascii="Arial" w:hAnsi="Arial" w:cs="Arial"/>
          <w:sz w:val="20"/>
          <w:szCs w:val="20"/>
        </w:rPr>
      </w:pPr>
      <w:r w:rsidRPr="002F7ED1">
        <w:rPr>
          <w:rFonts w:ascii="Arial" w:hAnsi="Arial" w:cs="Arial"/>
          <w:sz w:val="20"/>
          <w:szCs w:val="20"/>
        </w:rPr>
        <w:t xml:space="preserve">B.2. Správy o vyhodnotení výziev na predkladanie žiadostí o nenávratný finančný príspevok – informácia </w:t>
      </w:r>
    </w:p>
    <w:p w14:paraId="25FE454C" w14:textId="77777777" w:rsidR="00283C6B" w:rsidRPr="002F7ED1" w:rsidRDefault="00283C6B" w:rsidP="00283C6B">
      <w:pPr>
        <w:spacing w:before="120" w:after="120"/>
        <w:ind w:right="42"/>
        <w:jc w:val="both"/>
        <w:rPr>
          <w:rFonts w:ascii="Arial" w:hAnsi="Arial" w:cs="Arial"/>
          <w:sz w:val="20"/>
          <w:szCs w:val="20"/>
        </w:rPr>
      </w:pPr>
      <w:r w:rsidRPr="002F7ED1">
        <w:rPr>
          <w:rFonts w:ascii="Arial" w:hAnsi="Arial" w:cs="Arial"/>
          <w:sz w:val="20"/>
          <w:szCs w:val="20"/>
        </w:rPr>
        <w:t xml:space="preserve">B.3. Informácia o aktuálnom stave implementácie veľkých projektov </w:t>
      </w:r>
    </w:p>
    <w:p w14:paraId="26B54B87" w14:textId="7C8159AF" w:rsidR="00283C6B" w:rsidRPr="002F7ED1" w:rsidRDefault="00283C6B" w:rsidP="00283C6B">
      <w:pPr>
        <w:spacing w:after="160" w:line="259" w:lineRule="auto"/>
        <w:jc w:val="both"/>
        <w:rPr>
          <w:rFonts w:ascii="Arial" w:hAnsi="Arial" w:cs="Arial"/>
          <w:sz w:val="20"/>
          <w:szCs w:val="20"/>
        </w:rPr>
      </w:pPr>
      <w:r w:rsidRPr="002F7ED1">
        <w:rPr>
          <w:rFonts w:ascii="Arial" w:hAnsi="Arial" w:cs="Arial"/>
          <w:sz w:val="20"/>
          <w:szCs w:val="20"/>
        </w:rPr>
        <w:t xml:space="preserve">Na 15. zasadnutí monitorovacieho výboru, </w:t>
      </w:r>
      <w:r w:rsidR="009C09A5">
        <w:rPr>
          <w:rFonts w:ascii="Arial" w:hAnsi="Arial" w:cs="Arial"/>
          <w:sz w:val="20"/>
          <w:szCs w:val="20"/>
        </w:rPr>
        <w:t>ktoré sa konalo dňa 21. 09. 2015</w:t>
      </w:r>
      <w:r w:rsidRPr="002F7ED1">
        <w:rPr>
          <w:rFonts w:ascii="Arial" w:hAnsi="Arial" w:cs="Arial"/>
          <w:sz w:val="20"/>
          <w:szCs w:val="20"/>
        </w:rPr>
        <w:t xml:space="preserve"> boli členmi monitorovacieho výboru schválené nasledovné body uznesenia č. 15 zo dňa 21. 09. 201</w:t>
      </w:r>
      <w:r w:rsidR="009C09A5">
        <w:rPr>
          <w:rFonts w:ascii="Arial" w:hAnsi="Arial" w:cs="Arial"/>
          <w:sz w:val="20"/>
          <w:szCs w:val="20"/>
        </w:rPr>
        <w:t>5</w:t>
      </w:r>
      <w:r>
        <w:rPr>
          <w:rFonts w:ascii="Arial" w:hAnsi="Arial" w:cs="Arial"/>
          <w:sz w:val="20"/>
          <w:szCs w:val="20"/>
        </w:rPr>
        <w:t>:</w:t>
      </w:r>
    </w:p>
    <w:p w14:paraId="141F487F" w14:textId="77777777" w:rsidR="00283C6B" w:rsidRPr="002F7ED1" w:rsidRDefault="00283C6B" w:rsidP="00283C6B">
      <w:pPr>
        <w:spacing w:after="160" w:line="259" w:lineRule="auto"/>
        <w:jc w:val="both"/>
        <w:rPr>
          <w:rFonts w:ascii="Arial" w:hAnsi="Arial" w:cs="Arial"/>
          <w:sz w:val="20"/>
          <w:szCs w:val="20"/>
        </w:rPr>
      </w:pPr>
      <w:r w:rsidRPr="002F7ED1">
        <w:rPr>
          <w:rFonts w:ascii="Arial" w:hAnsi="Arial" w:cs="Arial"/>
          <w:sz w:val="20"/>
          <w:szCs w:val="20"/>
        </w:rPr>
        <w:t>A.1. Návrh revízie OP ŽP na verziu 5.0 s cieľom dočerpania jeho zdrojov</w:t>
      </w:r>
      <w:r>
        <w:rPr>
          <w:rFonts w:ascii="Arial" w:hAnsi="Arial" w:cs="Arial"/>
          <w:sz w:val="20"/>
          <w:szCs w:val="20"/>
        </w:rPr>
        <w:t xml:space="preserve"> a </w:t>
      </w:r>
      <w:r w:rsidRPr="002F7ED1">
        <w:rPr>
          <w:rFonts w:ascii="Arial" w:hAnsi="Arial" w:cs="Arial"/>
          <w:sz w:val="20"/>
          <w:szCs w:val="20"/>
        </w:rPr>
        <w:t xml:space="preserve"> </w:t>
      </w:r>
    </w:p>
    <w:p w14:paraId="0F2CEA6F" w14:textId="77777777" w:rsidR="00283C6B" w:rsidRDefault="00283C6B" w:rsidP="00283C6B">
      <w:pPr>
        <w:spacing w:after="160" w:line="259" w:lineRule="auto"/>
        <w:jc w:val="both"/>
        <w:rPr>
          <w:rFonts w:ascii="Arial" w:hAnsi="Arial" w:cs="Arial"/>
          <w:sz w:val="20"/>
          <w:szCs w:val="20"/>
        </w:rPr>
      </w:pPr>
      <w:r w:rsidRPr="002F7ED1">
        <w:rPr>
          <w:rFonts w:ascii="Arial" w:hAnsi="Arial" w:cs="Arial"/>
          <w:sz w:val="20"/>
          <w:szCs w:val="20"/>
        </w:rPr>
        <w:t>B.1. Informácia o aktuálnom stave implementácie veľkých projektov OP ŽP</w:t>
      </w:r>
    </w:p>
    <w:p w14:paraId="492A63F0" w14:textId="5BEB30E4" w:rsidR="00283C6B" w:rsidRDefault="00283C6B" w:rsidP="00283C6B">
      <w:pPr>
        <w:spacing w:after="160" w:line="259" w:lineRule="auto"/>
        <w:jc w:val="both"/>
        <w:rPr>
          <w:rFonts w:ascii="Arial" w:hAnsi="Arial" w:cs="Arial"/>
          <w:sz w:val="20"/>
          <w:szCs w:val="20"/>
        </w:rPr>
      </w:pPr>
      <w:r>
        <w:rPr>
          <w:rFonts w:ascii="Arial" w:hAnsi="Arial" w:cs="Arial"/>
          <w:sz w:val="20"/>
          <w:szCs w:val="20"/>
        </w:rPr>
        <w:t xml:space="preserve">V roku 2016 prebiehalo rokovanie MV pre OP ŽP prostredníctvom písomnej procedúry per rollam č. 16, a to v dňoch </w:t>
      </w:r>
      <w:r w:rsidR="000241F0">
        <w:rPr>
          <w:rFonts w:ascii="Arial" w:hAnsi="Arial" w:cs="Arial"/>
          <w:sz w:val="20"/>
          <w:szCs w:val="20"/>
        </w:rPr>
        <w:t xml:space="preserve"> 14. – 21. 10. 2016</w:t>
      </w:r>
      <w:r>
        <w:rPr>
          <w:rFonts w:ascii="Arial" w:hAnsi="Arial" w:cs="Arial"/>
          <w:sz w:val="20"/>
          <w:szCs w:val="20"/>
        </w:rPr>
        <w:t>. Predmetom písomnej procedúry bola úprava štatútu MV pre OP ŽP v súvislosti s</w:t>
      </w:r>
      <w:r w:rsidRPr="008D7C56">
        <w:rPr>
          <w:rFonts w:ascii="Arial" w:hAnsi="Arial" w:cs="Arial"/>
          <w:sz w:val="20"/>
          <w:szCs w:val="20"/>
        </w:rPr>
        <w:t xml:space="preserve"> delimitáci</w:t>
      </w:r>
      <w:r>
        <w:rPr>
          <w:rFonts w:ascii="Arial" w:hAnsi="Arial" w:cs="Arial"/>
          <w:sz w:val="20"/>
          <w:szCs w:val="20"/>
        </w:rPr>
        <w:t>o</w:t>
      </w:r>
      <w:r w:rsidRPr="008D7C56">
        <w:rPr>
          <w:rFonts w:ascii="Arial" w:hAnsi="Arial" w:cs="Arial"/>
          <w:sz w:val="20"/>
          <w:szCs w:val="20"/>
        </w:rPr>
        <w:t>u Centrálneho koordinačného orgánu na Úrad podpredsedu vlády Slovenskej republiky pre investície a informatizáciu, ktorý vznikol s účinnosťou 01.06.2016 na základe zákona č. 171/2016 Z. z., ktorým sa mení a dopĺňa zákon č. 575/2001 Z. z. o organizácii činnosti vlády a organizácii ústrednej štátnej správy v znení neskorších predpisov a ktorým sa menia a dopĺňajú niektoré zákony.</w:t>
      </w:r>
    </w:p>
    <w:p w14:paraId="7A48D031" w14:textId="77777777" w:rsidR="00283C6B" w:rsidRDefault="00283C6B" w:rsidP="00283C6B">
      <w:pPr>
        <w:spacing w:after="160" w:line="259" w:lineRule="auto"/>
        <w:jc w:val="both"/>
        <w:rPr>
          <w:rFonts w:ascii="Arial" w:hAnsi="Arial" w:cs="Arial"/>
          <w:sz w:val="20"/>
          <w:szCs w:val="20"/>
        </w:rPr>
      </w:pPr>
      <w:r>
        <w:rPr>
          <w:rFonts w:ascii="Arial" w:hAnsi="Arial" w:cs="Arial"/>
          <w:sz w:val="20"/>
          <w:szCs w:val="20"/>
        </w:rPr>
        <w:t>Na 16. zasadnutí MV pre OP ŽP, ktoré sa bude konať dňa 29.11.2016 sa bude schvaľovať Záverečná správa o vykonávaní Operačného programu Životné prostredie.</w:t>
      </w:r>
    </w:p>
    <w:p w14:paraId="68DADB86" w14:textId="402DCDEB" w:rsidR="00283C6B" w:rsidRPr="008E1ACB" w:rsidRDefault="00283C6B" w:rsidP="00283C6B">
      <w:pPr>
        <w:spacing w:before="120" w:after="120"/>
        <w:ind w:right="40"/>
        <w:jc w:val="both"/>
        <w:rPr>
          <w:rFonts w:ascii="Arial" w:hAnsi="Arial" w:cs="Arial"/>
          <w:b/>
          <w:sz w:val="20"/>
        </w:rPr>
      </w:pPr>
      <w:r w:rsidRPr="00F4541F">
        <w:rPr>
          <w:rFonts w:ascii="Arial" w:hAnsi="Arial" w:cs="Arial"/>
          <w:sz w:val="20"/>
          <w:szCs w:val="20"/>
        </w:rPr>
        <w:lastRenderedPageBreak/>
        <w:t xml:space="preserve">Podrobnejšie informácie ohľadne MV pre OP ŽP sú zverejnené na webovom sídle </w:t>
      </w:r>
      <w:hyperlink r:id="rId19" w:history="1">
        <w:r w:rsidRPr="00C90FF0">
          <w:rPr>
            <w:rStyle w:val="Hypertextovprepojenie"/>
            <w:rFonts w:ascii="Arial" w:hAnsi="Arial" w:cs="Arial"/>
            <w:sz w:val="20"/>
            <w:szCs w:val="20"/>
          </w:rPr>
          <w:t>www.opzp.sk</w:t>
        </w:r>
      </w:hyperlink>
      <w:r w:rsidRPr="00954693">
        <w:rPr>
          <w:rFonts w:ascii="Arial" w:hAnsi="Arial" w:cs="Arial"/>
          <w:sz w:val="20"/>
          <w:szCs w:val="20"/>
        </w:rPr>
        <w:t xml:space="preserve"> v časti </w:t>
      </w:r>
      <w:r w:rsidR="00C90FF0" w:rsidRPr="00C90FF0">
        <w:rPr>
          <w:rFonts w:ascii="Arial" w:hAnsi="Arial" w:cs="Arial"/>
          <w:sz w:val="20"/>
          <w:szCs w:val="20"/>
        </w:rPr>
        <w:t>Hlavná stránka &gt; Implementácia programu &gt; Monitorovanie programu &gt; Monitorovací výbor OPŽP</w:t>
      </w:r>
      <w:r w:rsidRPr="00954693">
        <w:rPr>
          <w:rFonts w:ascii="Arial" w:hAnsi="Arial" w:cs="Arial"/>
          <w:sz w:val="20"/>
          <w:szCs w:val="20"/>
        </w:rPr>
        <w:t>.</w:t>
      </w:r>
    </w:p>
    <w:p w14:paraId="2F24A1B6" w14:textId="77777777" w:rsidR="00283C6B" w:rsidRPr="002526CC" w:rsidRDefault="00283C6B" w:rsidP="00283C6B">
      <w:pPr>
        <w:jc w:val="both"/>
        <w:rPr>
          <w:rFonts w:ascii="Arial" w:hAnsi="Arial" w:cs="Arial"/>
          <w:b/>
          <w:sz w:val="20"/>
          <w:szCs w:val="20"/>
        </w:rPr>
      </w:pPr>
      <w:r w:rsidRPr="00D00E7C">
        <w:rPr>
          <w:rFonts w:ascii="Arial" w:hAnsi="Arial" w:cs="Arial"/>
          <w:b/>
          <w:sz w:val="20"/>
          <w:szCs w:val="20"/>
        </w:rPr>
        <w:t>Výročné stretnuti</w:t>
      </w:r>
      <w:r>
        <w:rPr>
          <w:rFonts w:ascii="Arial" w:hAnsi="Arial" w:cs="Arial"/>
          <w:b/>
          <w:sz w:val="20"/>
          <w:szCs w:val="20"/>
        </w:rPr>
        <w:t>a</w:t>
      </w:r>
      <w:r w:rsidRPr="00D00E7C">
        <w:rPr>
          <w:rFonts w:ascii="Arial" w:hAnsi="Arial" w:cs="Arial"/>
          <w:b/>
          <w:sz w:val="20"/>
          <w:szCs w:val="20"/>
        </w:rPr>
        <w:t xml:space="preserve"> s</w:t>
      </w:r>
      <w:r>
        <w:rPr>
          <w:rFonts w:ascii="Arial" w:hAnsi="Arial" w:cs="Arial"/>
          <w:b/>
          <w:sz w:val="20"/>
          <w:szCs w:val="20"/>
        </w:rPr>
        <w:t> </w:t>
      </w:r>
      <w:r w:rsidRPr="00EC6B78">
        <w:rPr>
          <w:rFonts w:ascii="Arial" w:hAnsi="Arial" w:cs="Arial"/>
          <w:b/>
          <w:sz w:val="20"/>
          <w:szCs w:val="20"/>
        </w:rPr>
        <w:t>EK</w:t>
      </w:r>
      <w:r>
        <w:rPr>
          <w:rFonts w:ascii="Arial" w:hAnsi="Arial" w:cs="Arial"/>
          <w:b/>
          <w:sz w:val="20"/>
          <w:szCs w:val="20"/>
        </w:rPr>
        <w:t xml:space="preserve"> a stretnutia TASK FORCE</w:t>
      </w:r>
    </w:p>
    <w:p w14:paraId="2B5C8A87" w14:textId="46EB7FA6" w:rsidR="00283C6B" w:rsidRDefault="00283C6B" w:rsidP="00283C6B">
      <w:pPr>
        <w:spacing w:before="120"/>
        <w:jc w:val="both"/>
        <w:rPr>
          <w:rFonts w:ascii="Arial" w:hAnsi="Arial"/>
          <w:sz w:val="20"/>
        </w:rPr>
      </w:pPr>
      <w:r>
        <w:rPr>
          <w:rFonts w:ascii="Arial" w:hAnsi="Arial" w:cs="Arial"/>
          <w:sz w:val="20"/>
          <w:szCs w:val="20"/>
        </w:rPr>
        <w:t xml:space="preserve">V priebehu implementácie operačného programu sa </w:t>
      </w:r>
      <w:r>
        <w:rPr>
          <w:rFonts w:ascii="Arial" w:hAnsi="Arial"/>
          <w:sz w:val="20"/>
        </w:rPr>
        <w:t>v</w:t>
      </w:r>
      <w:r w:rsidRPr="00B91D11">
        <w:rPr>
          <w:rFonts w:ascii="Arial" w:hAnsi="Arial"/>
          <w:sz w:val="20"/>
        </w:rPr>
        <w:t xml:space="preserve"> súlade s článkom 68 nariadenia </w:t>
      </w:r>
      <w:r>
        <w:rPr>
          <w:rFonts w:ascii="Arial" w:hAnsi="Arial"/>
          <w:sz w:val="20"/>
        </w:rPr>
        <w:t xml:space="preserve">Rady (ES) </w:t>
      </w:r>
      <w:r w:rsidR="0008428C">
        <w:rPr>
          <w:rFonts w:ascii="Arial" w:hAnsi="Arial"/>
          <w:sz w:val="20"/>
        </w:rPr>
        <w:t xml:space="preserve">      </w:t>
      </w:r>
      <w:r>
        <w:rPr>
          <w:rFonts w:ascii="Arial" w:hAnsi="Arial"/>
          <w:sz w:val="20"/>
        </w:rPr>
        <w:t>č. 1083/2006 uskutočnilo 7 výročných stretnutí s EK, ktoré boli organizované buď po vzájomnej dohode riadiaceho orgánu s EK, alebo koordinovane z centrálnej úrovne CKO po dohode s EK, v tomto prípade ako výročné stretnutie k Národnému strategickému referenčnému rámcu za účasti všetkých riadiacich orgánov.</w:t>
      </w:r>
    </w:p>
    <w:p w14:paraId="183B147E" w14:textId="77777777" w:rsidR="00283C6B" w:rsidRDefault="00283C6B" w:rsidP="00283C6B">
      <w:pPr>
        <w:spacing w:before="120"/>
        <w:jc w:val="both"/>
        <w:rPr>
          <w:rFonts w:ascii="Arial" w:hAnsi="Arial" w:cs="Arial"/>
          <w:sz w:val="20"/>
          <w:szCs w:val="20"/>
        </w:rPr>
      </w:pPr>
      <w:r>
        <w:rPr>
          <w:rFonts w:ascii="Arial" w:hAnsi="Arial"/>
          <w:sz w:val="20"/>
        </w:rPr>
        <w:t xml:space="preserve">Cieľom výročných stretnutí bolo prerokovať stav implementácie operačného programu, identifikácia kritických, resp. kľúčových problémov spôsobujúcich omeškanie v realizácii programu a prijatie takých krokov, ktoré eliminujú tieto problémy. </w:t>
      </w:r>
      <w:r>
        <w:rPr>
          <w:rFonts w:ascii="Arial" w:hAnsi="Arial" w:cs="Arial"/>
          <w:sz w:val="20"/>
          <w:szCs w:val="20"/>
        </w:rPr>
        <w:t xml:space="preserve">Na výročných stretnutiach bol preto prerokovávaný detailnejšie </w:t>
      </w:r>
      <w:r w:rsidRPr="00112472">
        <w:rPr>
          <w:rFonts w:ascii="Arial" w:hAnsi="Arial" w:cs="Arial"/>
          <w:sz w:val="20"/>
          <w:szCs w:val="20"/>
        </w:rPr>
        <w:t>stav kontrahovania, čerpania, plnenie záväzkov N+</w:t>
      </w:r>
      <w:r>
        <w:rPr>
          <w:rFonts w:ascii="Arial" w:hAnsi="Arial" w:cs="Arial"/>
          <w:sz w:val="20"/>
          <w:szCs w:val="20"/>
        </w:rPr>
        <w:t>3</w:t>
      </w:r>
      <w:r w:rsidRPr="00112472">
        <w:rPr>
          <w:rFonts w:ascii="Arial" w:hAnsi="Arial" w:cs="Arial"/>
          <w:sz w:val="20"/>
          <w:szCs w:val="20"/>
        </w:rPr>
        <w:t>/N+</w:t>
      </w:r>
      <w:r>
        <w:rPr>
          <w:rFonts w:ascii="Arial" w:hAnsi="Arial" w:cs="Arial"/>
          <w:sz w:val="20"/>
          <w:szCs w:val="20"/>
        </w:rPr>
        <w:t>2</w:t>
      </w:r>
      <w:r w:rsidRPr="00112472">
        <w:rPr>
          <w:rFonts w:ascii="Arial" w:hAnsi="Arial" w:cs="Arial"/>
          <w:sz w:val="20"/>
          <w:szCs w:val="20"/>
        </w:rPr>
        <w:t>, stav výziev</w:t>
      </w:r>
      <w:r>
        <w:rPr>
          <w:rFonts w:ascii="Arial" w:hAnsi="Arial" w:cs="Arial"/>
          <w:sz w:val="20"/>
          <w:szCs w:val="20"/>
        </w:rPr>
        <w:t>,</w:t>
      </w:r>
      <w:r w:rsidRPr="00112472">
        <w:rPr>
          <w:rFonts w:ascii="Arial" w:hAnsi="Arial" w:cs="Arial"/>
          <w:sz w:val="20"/>
          <w:szCs w:val="20"/>
        </w:rPr>
        <w:t xml:space="preserve"> </w:t>
      </w:r>
      <w:r>
        <w:rPr>
          <w:rFonts w:ascii="Arial" w:hAnsi="Arial" w:cs="Arial"/>
          <w:sz w:val="20"/>
          <w:szCs w:val="20"/>
        </w:rPr>
        <w:t>napĺňanie</w:t>
      </w:r>
      <w:r w:rsidRPr="00112472">
        <w:rPr>
          <w:rFonts w:ascii="Arial" w:hAnsi="Arial" w:cs="Arial"/>
          <w:sz w:val="20"/>
          <w:szCs w:val="20"/>
        </w:rPr>
        <w:t xml:space="preserve"> jednotlivých indikátorov</w:t>
      </w:r>
      <w:r>
        <w:rPr>
          <w:rFonts w:ascii="Arial" w:hAnsi="Arial" w:cs="Arial"/>
          <w:sz w:val="20"/>
          <w:szCs w:val="20"/>
        </w:rPr>
        <w:t xml:space="preserve">, stav realizácie veľkých projektov, ale aj výsledky kontrol a auditov alebo oblasť informovania a publicity. Ich predmetom bolo aj informovanie o prijatých </w:t>
      </w:r>
      <w:r w:rsidRPr="002526CC">
        <w:rPr>
          <w:rFonts w:ascii="Arial" w:hAnsi="Arial" w:cs="Arial"/>
          <w:sz w:val="20"/>
          <w:szCs w:val="20"/>
        </w:rPr>
        <w:t>opatren</w:t>
      </w:r>
      <w:r>
        <w:rPr>
          <w:rFonts w:ascii="Arial" w:hAnsi="Arial" w:cs="Arial"/>
          <w:sz w:val="20"/>
          <w:szCs w:val="20"/>
        </w:rPr>
        <w:t>iach</w:t>
      </w:r>
      <w:r w:rsidRPr="002526CC">
        <w:rPr>
          <w:rFonts w:ascii="Arial" w:hAnsi="Arial" w:cs="Arial"/>
          <w:sz w:val="20"/>
          <w:szCs w:val="20"/>
        </w:rPr>
        <w:t xml:space="preserve"> na odstránenie </w:t>
      </w:r>
      <w:r>
        <w:rPr>
          <w:rFonts w:ascii="Arial" w:hAnsi="Arial" w:cs="Arial"/>
          <w:sz w:val="20"/>
          <w:szCs w:val="20"/>
        </w:rPr>
        <w:t xml:space="preserve">problémov </w:t>
      </w:r>
      <w:r w:rsidRPr="002526CC">
        <w:rPr>
          <w:rFonts w:ascii="Arial" w:hAnsi="Arial" w:cs="Arial"/>
          <w:sz w:val="20"/>
          <w:szCs w:val="20"/>
        </w:rPr>
        <w:t>a o</w:t>
      </w:r>
      <w:r>
        <w:rPr>
          <w:rFonts w:ascii="Arial" w:hAnsi="Arial" w:cs="Arial"/>
          <w:sz w:val="20"/>
          <w:szCs w:val="20"/>
        </w:rPr>
        <w:t xml:space="preserve"> vyhodnotení účinnosti týchto</w:t>
      </w:r>
      <w:r w:rsidRPr="002526CC">
        <w:rPr>
          <w:rFonts w:ascii="Arial" w:hAnsi="Arial" w:cs="Arial"/>
          <w:sz w:val="20"/>
          <w:szCs w:val="20"/>
        </w:rPr>
        <w:t xml:space="preserve"> opatrení</w:t>
      </w:r>
      <w:r>
        <w:rPr>
          <w:rFonts w:ascii="Arial" w:hAnsi="Arial" w:cs="Arial"/>
          <w:sz w:val="20"/>
          <w:szCs w:val="20"/>
        </w:rPr>
        <w:t>.</w:t>
      </w:r>
    </w:p>
    <w:p w14:paraId="2D8DE923" w14:textId="790BE1A1" w:rsidR="00283C6B" w:rsidRDefault="00283C6B" w:rsidP="00283C6B">
      <w:pPr>
        <w:spacing w:before="120"/>
        <w:jc w:val="both"/>
        <w:rPr>
          <w:rFonts w:ascii="Arial" w:hAnsi="Arial" w:cs="Arial"/>
          <w:sz w:val="20"/>
          <w:szCs w:val="20"/>
        </w:rPr>
      </w:pPr>
      <w:r>
        <w:rPr>
          <w:rFonts w:ascii="Arial" w:hAnsi="Arial" w:cs="Arial"/>
          <w:sz w:val="20"/>
          <w:szCs w:val="20"/>
        </w:rPr>
        <w:t xml:space="preserve">S blížiacim sa hraničným termínom konca oprávnenosti výdavkov v rámci programového obdobia 2007 – 2013 a s cieľom minimalizácie prepadnutia alokovaných finančných prostriedkov z fondov EÚ, tzv. dekomitmentu, vytvorila EK koncom roka 2014 </w:t>
      </w:r>
      <w:r w:rsidRPr="00D94F92">
        <w:rPr>
          <w:rFonts w:ascii="Arial" w:hAnsi="Arial" w:cs="Arial"/>
          <w:sz w:val="20"/>
          <w:szCs w:val="20"/>
        </w:rPr>
        <w:t>Akčn</w:t>
      </w:r>
      <w:r>
        <w:rPr>
          <w:rFonts w:ascii="Arial" w:hAnsi="Arial" w:cs="Arial"/>
          <w:sz w:val="20"/>
          <w:szCs w:val="20"/>
        </w:rPr>
        <w:t>ú skupinu</w:t>
      </w:r>
      <w:r w:rsidRPr="00D94F92">
        <w:rPr>
          <w:rFonts w:ascii="Arial" w:hAnsi="Arial" w:cs="Arial"/>
          <w:sz w:val="20"/>
          <w:szCs w:val="20"/>
        </w:rPr>
        <w:t xml:space="preserve"> pre lepšiu implementáciu</w:t>
      </w:r>
      <w:r>
        <w:rPr>
          <w:rFonts w:ascii="Arial" w:hAnsi="Arial" w:cs="Arial"/>
          <w:sz w:val="20"/>
          <w:szCs w:val="20"/>
        </w:rPr>
        <w:t>,</w:t>
      </w:r>
      <w:r w:rsidRPr="00D94F92">
        <w:rPr>
          <w:rFonts w:ascii="Arial" w:hAnsi="Arial" w:cs="Arial"/>
          <w:sz w:val="20"/>
          <w:szCs w:val="20"/>
        </w:rPr>
        <w:t xml:space="preserve"> </w:t>
      </w:r>
      <w:r>
        <w:rPr>
          <w:rFonts w:ascii="Arial" w:hAnsi="Arial" w:cs="Arial"/>
          <w:sz w:val="20"/>
          <w:szCs w:val="20"/>
        </w:rPr>
        <w:t xml:space="preserve">tzv. Task Force. Úlohou Task Force bolo v spolupráci s riadiacim orgánom analyzovať stav implementácie a identifikovať a prijať účinné a na mieru šité opatrenia, ktoré prinesú maximálny možný efekt vedúci k zníženiu dekomitmentu. Výsledkom rokovaní </w:t>
      </w:r>
      <w:r w:rsidRPr="00D94F92">
        <w:rPr>
          <w:rFonts w:ascii="Arial" w:hAnsi="Arial" w:cs="Arial"/>
          <w:sz w:val="20"/>
          <w:szCs w:val="20"/>
        </w:rPr>
        <w:t xml:space="preserve">týchto rokovaní </w:t>
      </w:r>
      <w:r>
        <w:rPr>
          <w:rFonts w:ascii="Arial" w:hAnsi="Arial" w:cs="Arial"/>
          <w:sz w:val="20"/>
          <w:szCs w:val="20"/>
        </w:rPr>
        <w:t>bol stanovený</w:t>
      </w:r>
      <w:r w:rsidRPr="00D94F92">
        <w:rPr>
          <w:rFonts w:ascii="Arial" w:hAnsi="Arial" w:cs="Arial"/>
          <w:sz w:val="20"/>
          <w:szCs w:val="20"/>
        </w:rPr>
        <w:t xml:space="preserve"> </w:t>
      </w:r>
      <w:r>
        <w:rPr>
          <w:rFonts w:ascii="Arial" w:hAnsi="Arial" w:cs="Arial"/>
          <w:sz w:val="20"/>
          <w:szCs w:val="20"/>
        </w:rPr>
        <w:t>akčný</w:t>
      </w:r>
      <w:r w:rsidRPr="00D94F92">
        <w:rPr>
          <w:rFonts w:ascii="Arial" w:hAnsi="Arial" w:cs="Arial"/>
          <w:sz w:val="20"/>
          <w:szCs w:val="20"/>
        </w:rPr>
        <w:t xml:space="preserve"> plán, ktor</w:t>
      </w:r>
      <w:r>
        <w:rPr>
          <w:rFonts w:ascii="Arial" w:hAnsi="Arial" w:cs="Arial"/>
          <w:sz w:val="20"/>
          <w:szCs w:val="20"/>
        </w:rPr>
        <w:t>ý</w:t>
      </w:r>
      <w:r w:rsidRPr="00D94F92">
        <w:rPr>
          <w:rFonts w:ascii="Arial" w:hAnsi="Arial" w:cs="Arial"/>
          <w:sz w:val="20"/>
          <w:szCs w:val="20"/>
        </w:rPr>
        <w:t xml:space="preserve"> obsah</w:t>
      </w:r>
      <w:r>
        <w:rPr>
          <w:rFonts w:ascii="Arial" w:hAnsi="Arial" w:cs="Arial"/>
          <w:sz w:val="20"/>
          <w:szCs w:val="20"/>
        </w:rPr>
        <w:t>oval</w:t>
      </w:r>
      <w:r w:rsidRPr="00D94F92">
        <w:rPr>
          <w:rFonts w:ascii="Arial" w:hAnsi="Arial" w:cs="Arial"/>
          <w:sz w:val="20"/>
          <w:szCs w:val="20"/>
        </w:rPr>
        <w:t xml:space="preserve"> celý rad nástrojov flexibility umožňujúcich zrýchlenie procesu čerpania zdrojov.</w:t>
      </w:r>
      <w:r>
        <w:rPr>
          <w:rFonts w:ascii="Arial" w:hAnsi="Arial" w:cs="Arial"/>
          <w:sz w:val="20"/>
          <w:szCs w:val="20"/>
        </w:rPr>
        <w:t xml:space="preserve"> Čo sa týka OP ŽP</w:t>
      </w:r>
      <w:r w:rsidR="00416ACC">
        <w:rPr>
          <w:rFonts w:ascii="Arial" w:hAnsi="Arial" w:cs="Arial"/>
          <w:sz w:val="20"/>
          <w:szCs w:val="20"/>
        </w:rPr>
        <w:t>,</w:t>
      </w:r>
      <w:r>
        <w:rPr>
          <w:rFonts w:ascii="Arial" w:hAnsi="Arial" w:cs="Arial"/>
          <w:sz w:val="20"/>
          <w:szCs w:val="20"/>
        </w:rPr>
        <w:t xml:space="preserve"> bol</w:t>
      </w:r>
      <w:r w:rsidR="00416ACC">
        <w:rPr>
          <w:rFonts w:ascii="Arial" w:hAnsi="Arial" w:cs="Arial"/>
          <w:sz w:val="20"/>
          <w:szCs w:val="20"/>
        </w:rPr>
        <w:t>i</w:t>
      </w:r>
      <w:r>
        <w:rPr>
          <w:rFonts w:ascii="Arial" w:hAnsi="Arial" w:cs="Arial"/>
          <w:sz w:val="20"/>
          <w:szCs w:val="20"/>
        </w:rPr>
        <w:t xml:space="preserve"> navrhnuté a postupne realizované nasledovné opatrenia:</w:t>
      </w:r>
    </w:p>
    <w:p w14:paraId="3835A281" w14:textId="68BF80A7" w:rsidR="00283C6B" w:rsidRDefault="00283C6B" w:rsidP="00283C6B">
      <w:pPr>
        <w:spacing w:before="120"/>
        <w:jc w:val="both"/>
        <w:rPr>
          <w:rFonts w:ascii="Arial" w:hAnsi="Arial" w:cs="Arial"/>
          <w:sz w:val="20"/>
          <w:szCs w:val="20"/>
        </w:rPr>
      </w:pPr>
      <w:r>
        <w:rPr>
          <w:rFonts w:ascii="Arial" w:hAnsi="Arial" w:cs="Arial"/>
          <w:sz w:val="20"/>
          <w:szCs w:val="20"/>
        </w:rPr>
        <w:t xml:space="preserve">- fázovanie veľkých projektov znamenajúce rozdelenie projektov, ktoré sa nestihnú ukončiť do konca programového obdobia 2007 – 2013 na dve fázy, pričom druhá fáza bude financované </w:t>
      </w:r>
      <w:r w:rsidR="0008428C">
        <w:rPr>
          <w:rFonts w:ascii="Arial" w:hAnsi="Arial" w:cs="Arial"/>
          <w:sz w:val="20"/>
          <w:szCs w:val="20"/>
        </w:rPr>
        <w:t>z</w:t>
      </w:r>
      <w:r>
        <w:rPr>
          <w:rFonts w:ascii="Arial" w:hAnsi="Arial" w:cs="Arial"/>
          <w:sz w:val="20"/>
          <w:szCs w:val="20"/>
        </w:rPr>
        <w:t> nového programového obdobia 2014 - 2020 (projekt ČOV Sever),</w:t>
      </w:r>
    </w:p>
    <w:p w14:paraId="7CA810F1" w14:textId="77777777" w:rsidR="00283C6B" w:rsidRDefault="00283C6B" w:rsidP="00283C6B">
      <w:pPr>
        <w:jc w:val="both"/>
        <w:rPr>
          <w:rFonts w:ascii="Arial" w:hAnsi="Arial" w:cs="Arial"/>
          <w:sz w:val="20"/>
          <w:szCs w:val="20"/>
        </w:rPr>
      </w:pPr>
      <w:r>
        <w:rPr>
          <w:rFonts w:ascii="Arial" w:hAnsi="Arial" w:cs="Arial"/>
          <w:sz w:val="20"/>
          <w:szCs w:val="20"/>
        </w:rPr>
        <w:t>- revízia OP ŽP,</w:t>
      </w:r>
    </w:p>
    <w:p w14:paraId="569EE4D6" w14:textId="77777777" w:rsidR="00283C6B" w:rsidRDefault="00283C6B" w:rsidP="00283C6B">
      <w:pPr>
        <w:jc w:val="both"/>
        <w:rPr>
          <w:rFonts w:ascii="Arial" w:hAnsi="Arial" w:cs="Arial"/>
          <w:sz w:val="20"/>
          <w:szCs w:val="20"/>
        </w:rPr>
      </w:pPr>
      <w:r>
        <w:rPr>
          <w:rFonts w:ascii="Arial" w:hAnsi="Arial" w:cs="Arial"/>
          <w:sz w:val="20"/>
          <w:szCs w:val="20"/>
        </w:rPr>
        <w:t>- f</w:t>
      </w:r>
      <w:r w:rsidRPr="00424DDD">
        <w:rPr>
          <w:rFonts w:ascii="Arial" w:hAnsi="Arial" w:cs="Arial"/>
          <w:sz w:val="20"/>
          <w:szCs w:val="20"/>
        </w:rPr>
        <w:t xml:space="preserve">lexibilita vo výške </w:t>
      </w:r>
      <w:r>
        <w:rPr>
          <w:rFonts w:ascii="Arial" w:hAnsi="Arial" w:cs="Arial"/>
          <w:sz w:val="20"/>
          <w:szCs w:val="20"/>
        </w:rPr>
        <w:t xml:space="preserve">+/- </w:t>
      </w:r>
      <w:r w:rsidRPr="00424DDD">
        <w:rPr>
          <w:rFonts w:ascii="Arial" w:hAnsi="Arial" w:cs="Arial"/>
          <w:sz w:val="20"/>
          <w:szCs w:val="20"/>
        </w:rPr>
        <w:t>10</w:t>
      </w:r>
      <w:r>
        <w:rPr>
          <w:rFonts w:ascii="Arial" w:hAnsi="Arial" w:cs="Arial"/>
          <w:sz w:val="20"/>
          <w:szCs w:val="20"/>
        </w:rPr>
        <w:t xml:space="preserve"> </w:t>
      </w:r>
      <w:r w:rsidRPr="00424DDD">
        <w:rPr>
          <w:rFonts w:ascii="Arial" w:hAnsi="Arial" w:cs="Arial"/>
          <w:sz w:val="20"/>
          <w:szCs w:val="20"/>
        </w:rPr>
        <w:t>%</w:t>
      </w:r>
      <w:r>
        <w:rPr>
          <w:rFonts w:ascii="Arial" w:hAnsi="Arial" w:cs="Arial"/>
          <w:sz w:val="20"/>
          <w:szCs w:val="20"/>
        </w:rPr>
        <w:t xml:space="preserve"> v súvislosti s využitím finančných prostriedkov alokovaných na úrovni prioritných osí bez potreby revízie programu,</w:t>
      </w:r>
    </w:p>
    <w:p w14:paraId="28BDC62D" w14:textId="77777777" w:rsidR="00283C6B" w:rsidRDefault="00283C6B" w:rsidP="00283C6B">
      <w:pPr>
        <w:jc w:val="both"/>
        <w:rPr>
          <w:rFonts w:ascii="Arial" w:hAnsi="Arial" w:cs="Arial"/>
          <w:sz w:val="20"/>
          <w:szCs w:val="20"/>
        </w:rPr>
      </w:pPr>
      <w:r>
        <w:rPr>
          <w:rFonts w:ascii="Arial" w:hAnsi="Arial" w:cs="Arial"/>
          <w:sz w:val="20"/>
          <w:szCs w:val="20"/>
        </w:rPr>
        <w:t>- v</w:t>
      </w:r>
      <w:r w:rsidRPr="00996B35">
        <w:rPr>
          <w:rFonts w:ascii="Arial" w:hAnsi="Arial" w:cs="Arial"/>
          <w:sz w:val="20"/>
          <w:szCs w:val="20"/>
        </w:rPr>
        <w:t>yužitie preplatenia výdavkov neoprávnených na financovanie nad rámec finančnej medzery</w:t>
      </w:r>
      <w:r>
        <w:rPr>
          <w:rFonts w:ascii="Arial" w:hAnsi="Arial" w:cs="Arial"/>
          <w:sz w:val="20"/>
          <w:szCs w:val="20"/>
        </w:rPr>
        <w:t>, tzv. front loading,</w:t>
      </w:r>
    </w:p>
    <w:p w14:paraId="13687D6C" w14:textId="77777777" w:rsidR="00283C6B" w:rsidRDefault="00283C6B" w:rsidP="00283C6B">
      <w:pPr>
        <w:jc w:val="both"/>
        <w:rPr>
          <w:rFonts w:ascii="Arial" w:hAnsi="Arial" w:cs="Arial"/>
          <w:sz w:val="20"/>
          <w:szCs w:val="20"/>
        </w:rPr>
      </w:pPr>
      <w:r>
        <w:rPr>
          <w:rFonts w:ascii="Arial" w:hAnsi="Arial" w:cs="Arial"/>
          <w:sz w:val="20"/>
          <w:szCs w:val="20"/>
        </w:rPr>
        <w:t>- nové projekty – vyhlásenie výzvy a modifikácia veľkého projektu MV SR – Aktívne protipovodňové opatrenia.</w:t>
      </w:r>
    </w:p>
    <w:p w14:paraId="2AA0603E" w14:textId="77777777" w:rsidR="00283C6B" w:rsidRDefault="00283C6B" w:rsidP="00283C6B">
      <w:pPr>
        <w:jc w:val="both"/>
        <w:rPr>
          <w:rFonts w:ascii="Arial" w:hAnsi="Arial" w:cs="Arial"/>
          <w:sz w:val="20"/>
          <w:szCs w:val="20"/>
        </w:rPr>
      </w:pPr>
    </w:p>
    <w:p w14:paraId="6598F35A" w14:textId="1443FD94" w:rsidR="00283C6B" w:rsidRDefault="00283C6B" w:rsidP="00283C6B">
      <w:pPr>
        <w:jc w:val="both"/>
        <w:rPr>
          <w:rFonts w:ascii="Arial" w:hAnsi="Arial" w:cs="Arial"/>
          <w:sz w:val="20"/>
          <w:szCs w:val="20"/>
        </w:rPr>
      </w:pPr>
      <w:r w:rsidRPr="00E21C60">
        <w:rPr>
          <w:rFonts w:ascii="Arial" w:hAnsi="Arial" w:cs="Arial"/>
          <w:sz w:val="20"/>
          <w:szCs w:val="20"/>
        </w:rPr>
        <w:t xml:space="preserve">Tabuľka č. </w:t>
      </w:r>
      <w:r w:rsidR="00682B07">
        <w:rPr>
          <w:rFonts w:ascii="Arial" w:hAnsi="Arial" w:cs="Arial"/>
          <w:sz w:val="20"/>
          <w:szCs w:val="20"/>
        </w:rPr>
        <w:t>3</w:t>
      </w:r>
      <w:r w:rsidR="007B1CB9">
        <w:rPr>
          <w:rFonts w:ascii="Arial" w:hAnsi="Arial" w:cs="Arial"/>
          <w:sz w:val="20"/>
          <w:szCs w:val="20"/>
        </w:rPr>
        <w:t>6</w:t>
      </w:r>
      <w:r w:rsidRPr="00E21C60">
        <w:rPr>
          <w:rFonts w:ascii="Arial" w:hAnsi="Arial" w:cs="Arial"/>
          <w:sz w:val="20"/>
          <w:szCs w:val="20"/>
        </w:rPr>
        <w:t xml:space="preserve">: </w:t>
      </w:r>
      <w:r>
        <w:rPr>
          <w:rFonts w:ascii="Arial" w:hAnsi="Arial" w:cs="Arial"/>
          <w:sz w:val="20"/>
          <w:szCs w:val="20"/>
        </w:rPr>
        <w:t>Súhrnný prehľad výročných stretnutí s EK a uskutočnených tzv. Task Force stretnutí</w:t>
      </w:r>
    </w:p>
    <w:tbl>
      <w:tblPr>
        <w:tblW w:w="9067" w:type="dxa"/>
        <w:tblInd w:w="75" w:type="dxa"/>
        <w:tblCellMar>
          <w:left w:w="70" w:type="dxa"/>
          <w:right w:w="70" w:type="dxa"/>
        </w:tblCellMar>
        <w:tblLook w:val="04A0" w:firstRow="1" w:lastRow="0" w:firstColumn="1" w:lastColumn="0" w:noHBand="0" w:noVBand="1"/>
      </w:tblPr>
      <w:tblGrid>
        <w:gridCol w:w="2157"/>
        <w:gridCol w:w="587"/>
        <w:gridCol w:w="587"/>
        <w:gridCol w:w="587"/>
        <w:gridCol w:w="587"/>
        <w:gridCol w:w="587"/>
        <w:gridCol w:w="587"/>
        <w:gridCol w:w="587"/>
        <w:gridCol w:w="587"/>
        <w:gridCol w:w="587"/>
        <w:gridCol w:w="1627"/>
      </w:tblGrid>
      <w:tr w:rsidR="00283C6B" w14:paraId="68A58042" w14:textId="77777777" w:rsidTr="007D7B08">
        <w:trPr>
          <w:trHeight w:val="300"/>
        </w:trPr>
        <w:tc>
          <w:tcPr>
            <w:tcW w:w="2157"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7BCB2D1" w14:textId="77777777" w:rsidR="00283C6B" w:rsidRPr="001C77D7" w:rsidRDefault="00283C6B" w:rsidP="00CC3074">
            <w:pPr>
              <w:jc w:val="center"/>
              <w:rPr>
                <w:rFonts w:ascii="Arial" w:hAnsi="Arial" w:cs="Arial"/>
                <w:b/>
                <w:bCs/>
                <w:color w:val="000000"/>
                <w:sz w:val="16"/>
                <w:szCs w:val="16"/>
              </w:rPr>
            </w:pPr>
            <w:r>
              <w:rPr>
                <w:rFonts w:ascii="Arial" w:hAnsi="Arial" w:cs="Arial"/>
                <w:b/>
                <w:bCs/>
                <w:color w:val="000000"/>
                <w:sz w:val="16"/>
                <w:szCs w:val="16"/>
              </w:rPr>
              <w:t>Charakter stretnutia</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5D24BDB6" w14:textId="77777777" w:rsidR="00283C6B" w:rsidRPr="001C77D7" w:rsidRDefault="00283C6B" w:rsidP="00CC3074">
            <w:pPr>
              <w:jc w:val="center"/>
              <w:rPr>
                <w:rFonts w:ascii="Arial" w:hAnsi="Arial" w:cs="Arial"/>
                <w:b/>
                <w:bCs/>
                <w:color w:val="000000"/>
                <w:sz w:val="16"/>
                <w:szCs w:val="16"/>
              </w:rPr>
            </w:pPr>
            <w:r w:rsidRPr="001C77D7">
              <w:rPr>
                <w:rFonts w:ascii="Arial" w:hAnsi="Arial" w:cs="Arial"/>
                <w:b/>
                <w:bCs/>
                <w:color w:val="000000"/>
                <w:sz w:val="16"/>
                <w:szCs w:val="16"/>
              </w:rPr>
              <w:t>2007</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658EDB63" w14:textId="77777777" w:rsidR="00283C6B" w:rsidRPr="001C77D7" w:rsidRDefault="00283C6B" w:rsidP="00CC3074">
            <w:pPr>
              <w:jc w:val="center"/>
              <w:rPr>
                <w:rFonts w:ascii="Arial" w:hAnsi="Arial" w:cs="Arial"/>
                <w:b/>
                <w:bCs/>
                <w:color w:val="000000"/>
                <w:sz w:val="16"/>
                <w:szCs w:val="16"/>
              </w:rPr>
            </w:pPr>
            <w:r w:rsidRPr="001C77D7">
              <w:rPr>
                <w:rFonts w:ascii="Arial" w:hAnsi="Arial" w:cs="Arial"/>
                <w:b/>
                <w:bCs/>
                <w:color w:val="000000"/>
                <w:sz w:val="16"/>
                <w:szCs w:val="16"/>
              </w:rPr>
              <w:t>2008</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348350DD" w14:textId="77777777" w:rsidR="00283C6B" w:rsidRPr="001C77D7" w:rsidRDefault="00283C6B" w:rsidP="00CC3074">
            <w:pPr>
              <w:jc w:val="center"/>
              <w:rPr>
                <w:rFonts w:ascii="Arial" w:hAnsi="Arial" w:cs="Arial"/>
                <w:b/>
                <w:bCs/>
                <w:color w:val="000000"/>
                <w:sz w:val="16"/>
                <w:szCs w:val="16"/>
              </w:rPr>
            </w:pPr>
            <w:r w:rsidRPr="001C77D7">
              <w:rPr>
                <w:rFonts w:ascii="Arial" w:hAnsi="Arial" w:cs="Arial"/>
                <w:b/>
                <w:bCs/>
                <w:color w:val="000000"/>
                <w:sz w:val="16"/>
                <w:szCs w:val="16"/>
              </w:rPr>
              <w:t>2009</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2CC1F757" w14:textId="77777777" w:rsidR="00283C6B" w:rsidRPr="001C77D7" w:rsidRDefault="00283C6B" w:rsidP="00CC3074">
            <w:pPr>
              <w:jc w:val="center"/>
              <w:rPr>
                <w:rFonts w:ascii="Arial" w:hAnsi="Arial" w:cs="Arial"/>
                <w:b/>
                <w:bCs/>
                <w:color w:val="000000"/>
                <w:sz w:val="16"/>
                <w:szCs w:val="16"/>
              </w:rPr>
            </w:pPr>
            <w:r w:rsidRPr="001C77D7">
              <w:rPr>
                <w:rFonts w:ascii="Arial" w:hAnsi="Arial" w:cs="Arial"/>
                <w:b/>
                <w:bCs/>
                <w:color w:val="000000"/>
                <w:sz w:val="16"/>
                <w:szCs w:val="16"/>
              </w:rPr>
              <w:t>2010</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283AA245" w14:textId="77777777" w:rsidR="00283C6B" w:rsidRPr="001C77D7" w:rsidRDefault="00283C6B" w:rsidP="00CC3074">
            <w:pPr>
              <w:jc w:val="center"/>
              <w:rPr>
                <w:rFonts w:ascii="Arial" w:hAnsi="Arial" w:cs="Arial"/>
                <w:b/>
                <w:bCs/>
                <w:color w:val="000000"/>
                <w:sz w:val="16"/>
                <w:szCs w:val="16"/>
              </w:rPr>
            </w:pPr>
            <w:r w:rsidRPr="001C77D7">
              <w:rPr>
                <w:rFonts w:ascii="Arial" w:hAnsi="Arial" w:cs="Arial"/>
                <w:b/>
                <w:bCs/>
                <w:color w:val="000000"/>
                <w:sz w:val="16"/>
                <w:szCs w:val="16"/>
              </w:rPr>
              <w:t>2011</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6C6FE67D" w14:textId="77777777" w:rsidR="00283C6B" w:rsidRPr="001C77D7" w:rsidRDefault="00283C6B" w:rsidP="00CC3074">
            <w:pPr>
              <w:jc w:val="center"/>
              <w:rPr>
                <w:rFonts w:ascii="Arial" w:hAnsi="Arial" w:cs="Arial"/>
                <w:b/>
                <w:bCs/>
                <w:color w:val="000000"/>
                <w:sz w:val="16"/>
                <w:szCs w:val="16"/>
              </w:rPr>
            </w:pPr>
            <w:r w:rsidRPr="001C77D7">
              <w:rPr>
                <w:rFonts w:ascii="Arial" w:hAnsi="Arial" w:cs="Arial"/>
                <w:b/>
                <w:bCs/>
                <w:color w:val="000000"/>
                <w:sz w:val="16"/>
                <w:szCs w:val="16"/>
              </w:rPr>
              <w:t>2012</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1BEA36CF" w14:textId="77777777" w:rsidR="00283C6B" w:rsidRPr="001C77D7" w:rsidRDefault="00283C6B" w:rsidP="00CC3074">
            <w:pPr>
              <w:jc w:val="center"/>
              <w:rPr>
                <w:rFonts w:ascii="Arial" w:hAnsi="Arial" w:cs="Arial"/>
                <w:b/>
                <w:bCs/>
                <w:color w:val="000000"/>
                <w:sz w:val="16"/>
                <w:szCs w:val="16"/>
              </w:rPr>
            </w:pPr>
            <w:r w:rsidRPr="001C77D7">
              <w:rPr>
                <w:rFonts w:ascii="Arial" w:hAnsi="Arial" w:cs="Arial"/>
                <w:b/>
                <w:bCs/>
                <w:color w:val="000000"/>
                <w:sz w:val="16"/>
                <w:szCs w:val="16"/>
              </w:rPr>
              <w:t>2013</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03455E2C" w14:textId="77777777" w:rsidR="00283C6B" w:rsidRPr="001C77D7" w:rsidRDefault="00283C6B" w:rsidP="00CC3074">
            <w:pPr>
              <w:jc w:val="center"/>
              <w:rPr>
                <w:rFonts w:ascii="Arial" w:hAnsi="Arial" w:cs="Arial"/>
                <w:b/>
                <w:bCs/>
                <w:color w:val="000000"/>
                <w:sz w:val="16"/>
                <w:szCs w:val="16"/>
              </w:rPr>
            </w:pPr>
            <w:r w:rsidRPr="001C77D7">
              <w:rPr>
                <w:rFonts w:ascii="Arial" w:hAnsi="Arial" w:cs="Arial"/>
                <w:b/>
                <w:bCs/>
                <w:color w:val="000000"/>
                <w:sz w:val="16"/>
                <w:szCs w:val="16"/>
              </w:rPr>
              <w:t>2014</w:t>
            </w:r>
          </w:p>
        </w:tc>
        <w:tc>
          <w:tcPr>
            <w:tcW w:w="58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173A6F97" w14:textId="77777777" w:rsidR="00283C6B" w:rsidRPr="001C77D7" w:rsidRDefault="00283C6B" w:rsidP="00CC3074">
            <w:pPr>
              <w:jc w:val="center"/>
              <w:rPr>
                <w:rFonts w:ascii="Arial" w:hAnsi="Arial" w:cs="Arial"/>
                <w:b/>
                <w:bCs/>
                <w:color w:val="000000"/>
                <w:sz w:val="16"/>
                <w:szCs w:val="16"/>
              </w:rPr>
            </w:pPr>
            <w:r w:rsidRPr="001C77D7">
              <w:rPr>
                <w:rFonts w:ascii="Arial" w:hAnsi="Arial" w:cs="Arial"/>
                <w:b/>
                <w:bCs/>
                <w:color w:val="000000"/>
                <w:sz w:val="16"/>
                <w:szCs w:val="16"/>
              </w:rPr>
              <w:t>2015</w:t>
            </w:r>
          </w:p>
        </w:tc>
        <w:tc>
          <w:tcPr>
            <w:tcW w:w="1627" w:type="dxa"/>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14:paraId="37D7B0C6" w14:textId="77777777" w:rsidR="00283C6B" w:rsidRPr="001C77D7" w:rsidRDefault="00283C6B" w:rsidP="00CC3074">
            <w:pPr>
              <w:jc w:val="center"/>
              <w:rPr>
                <w:rFonts w:ascii="Arial" w:hAnsi="Arial" w:cs="Arial"/>
                <w:b/>
                <w:bCs/>
                <w:color w:val="000000"/>
                <w:sz w:val="16"/>
                <w:szCs w:val="16"/>
              </w:rPr>
            </w:pPr>
            <w:r w:rsidRPr="001C77D7">
              <w:rPr>
                <w:rFonts w:ascii="Arial" w:hAnsi="Arial" w:cs="Arial"/>
                <w:b/>
                <w:bCs/>
                <w:color w:val="000000"/>
                <w:sz w:val="16"/>
                <w:szCs w:val="16"/>
              </w:rPr>
              <w:t>Celkom</w:t>
            </w:r>
          </w:p>
        </w:tc>
      </w:tr>
      <w:tr w:rsidR="00283C6B" w14:paraId="1101F1DF" w14:textId="77777777" w:rsidTr="00CC3074">
        <w:trPr>
          <w:trHeight w:val="300"/>
        </w:trPr>
        <w:tc>
          <w:tcPr>
            <w:tcW w:w="2157" w:type="dxa"/>
            <w:tcBorders>
              <w:top w:val="nil"/>
              <w:left w:val="single" w:sz="4" w:space="0" w:color="auto"/>
              <w:bottom w:val="single" w:sz="4" w:space="0" w:color="auto"/>
              <w:right w:val="single" w:sz="4" w:space="0" w:color="auto"/>
            </w:tcBorders>
            <w:shd w:val="clear" w:color="auto" w:fill="auto"/>
            <w:vAlign w:val="center"/>
            <w:hideMark/>
          </w:tcPr>
          <w:p w14:paraId="30364622"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Výročné stretnutie s EK</w:t>
            </w:r>
          </w:p>
        </w:tc>
        <w:tc>
          <w:tcPr>
            <w:tcW w:w="587" w:type="dxa"/>
            <w:tcBorders>
              <w:top w:val="nil"/>
              <w:left w:val="nil"/>
              <w:bottom w:val="single" w:sz="4" w:space="0" w:color="auto"/>
              <w:right w:val="single" w:sz="4" w:space="0" w:color="auto"/>
            </w:tcBorders>
            <w:shd w:val="clear" w:color="auto" w:fill="auto"/>
            <w:noWrap/>
            <w:vAlign w:val="center"/>
            <w:hideMark/>
          </w:tcPr>
          <w:p w14:paraId="2D2D5E3E"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0</w:t>
            </w:r>
          </w:p>
        </w:tc>
        <w:tc>
          <w:tcPr>
            <w:tcW w:w="587" w:type="dxa"/>
            <w:tcBorders>
              <w:top w:val="nil"/>
              <w:left w:val="nil"/>
              <w:bottom w:val="single" w:sz="4" w:space="0" w:color="auto"/>
              <w:right w:val="single" w:sz="4" w:space="0" w:color="auto"/>
            </w:tcBorders>
            <w:shd w:val="clear" w:color="auto" w:fill="auto"/>
            <w:noWrap/>
            <w:vAlign w:val="center"/>
            <w:hideMark/>
          </w:tcPr>
          <w:p w14:paraId="40854CD6"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54E17F30"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69D93F48"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4E5DAE1B" w14:textId="77777777" w:rsidR="00283C6B" w:rsidRPr="001C77D7" w:rsidRDefault="00283C6B" w:rsidP="00CC3074">
            <w:pPr>
              <w:jc w:val="center"/>
              <w:rPr>
                <w:rFonts w:ascii="Arial" w:hAnsi="Arial" w:cs="Arial"/>
                <w:color w:val="000000"/>
                <w:sz w:val="16"/>
                <w:szCs w:val="16"/>
              </w:rPr>
            </w:pPr>
            <w:r w:rsidRPr="001C77D7">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7AED32CC"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78C2B903"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6140A07F"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1</w:t>
            </w:r>
          </w:p>
        </w:tc>
        <w:tc>
          <w:tcPr>
            <w:tcW w:w="587" w:type="dxa"/>
            <w:tcBorders>
              <w:top w:val="nil"/>
              <w:left w:val="nil"/>
              <w:bottom w:val="single" w:sz="4" w:space="0" w:color="auto"/>
              <w:right w:val="single" w:sz="4" w:space="0" w:color="auto"/>
            </w:tcBorders>
            <w:shd w:val="clear" w:color="auto" w:fill="auto"/>
            <w:noWrap/>
            <w:vAlign w:val="center"/>
            <w:hideMark/>
          </w:tcPr>
          <w:p w14:paraId="075A2472"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0</w:t>
            </w:r>
          </w:p>
        </w:tc>
        <w:tc>
          <w:tcPr>
            <w:tcW w:w="1627" w:type="dxa"/>
            <w:tcBorders>
              <w:top w:val="nil"/>
              <w:left w:val="nil"/>
              <w:bottom w:val="single" w:sz="4" w:space="0" w:color="auto"/>
              <w:right w:val="single" w:sz="4" w:space="0" w:color="auto"/>
            </w:tcBorders>
            <w:shd w:val="clear" w:color="auto" w:fill="auto"/>
            <w:noWrap/>
            <w:vAlign w:val="center"/>
            <w:hideMark/>
          </w:tcPr>
          <w:p w14:paraId="2834EA01"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7</w:t>
            </w:r>
          </w:p>
        </w:tc>
      </w:tr>
      <w:tr w:rsidR="00283C6B" w14:paraId="0D9F6F1A" w14:textId="77777777" w:rsidTr="00F87D11">
        <w:trPr>
          <w:trHeight w:val="381"/>
        </w:trPr>
        <w:tc>
          <w:tcPr>
            <w:tcW w:w="2157" w:type="dxa"/>
            <w:tcBorders>
              <w:top w:val="nil"/>
              <w:left w:val="single" w:sz="4" w:space="0" w:color="auto"/>
              <w:bottom w:val="single" w:sz="4" w:space="0" w:color="auto"/>
              <w:right w:val="single" w:sz="4" w:space="0" w:color="auto"/>
            </w:tcBorders>
            <w:shd w:val="clear" w:color="auto" w:fill="auto"/>
            <w:vAlign w:val="center"/>
            <w:hideMark/>
          </w:tcPr>
          <w:p w14:paraId="12A8B2C2"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Stretnutie Task Force</w:t>
            </w:r>
          </w:p>
        </w:tc>
        <w:tc>
          <w:tcPr>
            <w:tcW w:w="587" w:type="dxa"/>
            <w:tcBorders>
              <w:top w:val="nil"/>
              <w:left w:val="nil"/>
              <w:bottom w:val="single" w:sz="4" w:space="0" w:color="auto"/>
              <w:right w:val="single" w:sz="4" w:space="0" w:color="auto"/>
            </w:tcBorders>
            <w:shd w:val="clear" w:color="auto" w:fill="auto"/>
            <w:noWrap/>
            <w:vAlign w:val="center"/>
          </w:tcPr>
          <w:p w14:paraId="6CDE7F89"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w:t>
            </w:r>
          </w:p>
        </w:tc>
        <w:tc>
          <w:tcPr>
            <w:tcW w:w="587" w:type="dxa"/>
            <w:tcBorders>
              <w:top w:val="nil"/>
              <w:left w:val="nil"/>
              <w:bottom w:val="single" w:sz="4" w:space="0" w:color="auto"/>
              <w:right w:val="single" w:sz="4" w:space="0" w:color="auto"/>
            </w:tcBorders>
            <w:shd w:val="clear" w:color="auto" w:fill="auto"/>
            <w:noWrap/>
            <w:vAlign w:val="center"/>
          </w:tcPr>
          <w:p w14:paraId="2ECF9A6A"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w:t>
            </w:r>
          </w:p>
        </w:tc>
        <w:tc>
          <w:tcPr>
            <w:tcW w:w="587" w:type="dxa"/>
            <w:tcBorders>
              <w:top w:val="nil"/>
              <w:left w:val="nil"/>
              <w:bottom w:val="single" w:sz="4" w:space="0" w:color="auto"/>
              <w:right w:val="single" w:sz="4" w:space="0" w:color="auto"/>
            </w:tcBorders>
            <w:shd w:val="clear" w:color="auto" w:fill="auto"/>
            <w:noWrap/>
            <w:vAlign w:val="center"/>
          </w:tcPr>
          <w:p w14:paraId="6D63A0DB"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w:t>
            </w:r>
          </w:p>
        </w:tc>
        <w:tc>
          <w:tcPr>
            <w:tcW w:w="587" w:type="dxa"/>
            <w:tcBorders>
              <w:top w:val="nil"/>
              <w:left w:val="nil"/>
              <w:bottom w:val="single" w:sz="4" w:space="0" w:color="auto"/>
              <w:right w:val="single" w:sz="4" w:space="0" w:color="auto"/>
            </w:tcBorders>
            <w:shd w:val="clear" w:color="auto" w:fill="auto"/>
            <w:noWrap/>
            <w:vAlign w:val="center"/>
          </w:tcPr>
          <w:p w14:paraId="221EF549"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w:t>
            </w:r>
          </w:p>
        </w:tc>
        <w:tc>
          <w:tcPr>
            <w:tcW w:w="587" w:type="dxa"/>
            <w:tcBorders>
              <w:top w:val="nil"/>
              <w:left w:val="nil"/>
              <w:bottom w:val="single" w:sz="4" w:space="0" w:color="auto"/>
              <w:right w:val="single" w:sz="4" w:space="0" w:color="auto"/>
            </w:tcBorders>
            <w:shd w:val="clear" w:color="auto" w:fill="auto"/>
            <w:noWrap/>
            <w:vAlign w:val="center"/>
          </w:tcPr>
          <w:p w14:paraId="18B4B196"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w:t>
            </w:r>
          </w:p>
        </w:tc>
        <w:tc>
          <w:tcPr>
            <w:tcW w:w="587" w:type="dxa"/>
            <w:tcBorders>
              <w:top w:val="nil"/>
              <w:left w:val="nil"/>
              <w:bottom w:val="single" w:sz="4" w:space="0" w:color="auto"/>
              <w:right w:val="single" w:sz="4" w:space="0" w:color="auto"/>
            </w:tcBorders>
            <w:shd w:val="clear" w:color="auto" w:fill="auto"/>
            <w:noWrap/>
            <w:vAlign w:val="center"/>
          </w:tcPr>
          <w:p w14:paraId="670D8694"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w:t>
            </w:r>
          </w:p>
        </w:tc>
        <w:tc>
          <w:tcPr>
            <w:tcW w:w="587" w:type="dxa"/>
            <w:tcBorders>
              <w:top w:val="nil"/>
              <w:left w:val="nil"/>
              <w:bottom w:val="single" w:sz="4" w:space="0" w:color="auto"/>
              <w:right w:val="single" w:sz="4" w:space="0" w:color="auto"/>
            </w:tcBorders>
            <w:shd w:val="clear" w:color="auto" w:fill="auto"/>
            <w:noWrap/>
            <w:vAlign w:val="center"/>
            <w:hideMark/>
          </w:tcPr>
          <w:p w14:paraId="0CF0D9B9"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w:t>
            </w:r>
          </w:p>
        </w:tc>
        <w:tc>
          <w:tcPr>
            <w:tcW w:w="587" w:type="dxa"/>
            <w:tcBorders>
              <w:top w:val="nil"/>
              <w:left w:val="nil"/>
              <w:bottom w:val="single" w:sz="4" w:space="0" w:color="auto"/>
              <w:right w:val="single" w:sz="4" w:space="0" w:color="auto"/>
            </w:tcBorders>
            <w:shd w:val="clear" w:color="auto" w:fill="auto"/>
            <w:noWrap/>
            <w:vAlign w:val="center"/>
            <w:hideMark/>
          </w:tcPr>
          <w:p w14:paraId="0EDD4EA6"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w:t>
            </w:r>
          </w:p>
        </w:tc>
        <w:tc>
          <w:tcPr>
            <w:tcW w:w="587" w:type="dxa"/>
            <w:tcBorders>
              <w:top w:val="nil"/>
              <w:left w:val="nil"/>
              <w:bottom w:val="single" w:sz="4" w:space="0" w:color="auto"/>
              <w:right w:val="single" w:sz="4" w:space="0" w:color="auto"/>
            </w:tcBorders>
            <w:shd w:val="clear" w:color="auto" w:fill="auto"/>
            <w:noWrap/>
            <w:vAlign w:val="center"/>
            <w:hideMark/>
          </w:tcPr>
          <w:p w14:paraId="5B1EF1DF"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3</w:t>
            </w:r>
          </w:p>
        </w:tc>
        <w:tc>
          <w:tcPr>
            <w:tcW w:w="1627" w:type="dxa"/>
            <w:tcBorders>
              <w:top w:val="nil"/>
              <w:left w:val="nil"/>
              <w:bottom w:val="single" w:sz="4" w:space="0" w:color="auto"/>
              <w:right w:val="single" w:sz="4" w:space="0" w:color="auto"/>
            </w:tcBorders>
            <w:shd w:val="clear" w:color="auto" w:fill="auto"/>
            <w:noWrap/>
            <w:vAlign w:val="center"/>
            <w:hideMark/>
          </w:tcPr>
          <w:p w14:paraId="4D31E15C" w14:textId="77777777" w:rsidR="00283C6B" w:rsidRPr="001C77D7" w:rsidRDefault="00283C6B" w:rsidP="00CC3074">
            <w:pPr>
              <w:jc w:val="center"/>
              <w:rPr>
                <w:rFonts w:ascii="Arial" w:hAnsi="Arial" w:cs="Arial"/>
                <w:color w:val="000000"/>
                <w:sz w:val="16"/>
                <w:szCs w:val="16"/>
              </w:rPr>
            </w:pPr>
            <w:r>
              <w:rPr>
                <w:rFonts w:ascii="Arial" w:hAnsi="Arial" w:cs="Arial"/>
                <w:color w:val="000000"/>
                <w:sz w:val="16"/>
                <w:szCs w:val="16"/>
              </w:rPr>
              <w:t>3</w:t>
            </w:r>
          </w:p>
        </w:tc>
      </w:tr>
    </w:tbl>
    <w:p w14:paraId="5706EFF3" w14:textId="77777777" w:rsidR="001A699D" w:rsidRPr="001A699D" w:rsidRDefault="001A699D" w:rsidP="000308DA">
      <w:pPr>
        <w:spacing w:before="120"/>
        <w:jc w:val="both"/>
        <w:rPr>
          <w:rFonts w:ascii="Arial" w:hAnsi="Arial" w:cs="Arial"/>
          <w:sz w:val="8"/>
          <w:szCs w:val="20"/>
        </w:rPr>
      </w:pPr>
    </w:p>
    <w:p w14:paraId="5A06F1F4" w14:textId="77777777" w:rsidR="002416B1" w:rsidRPr="00E21C60" w:rsidRDefault="002416B1" w:rsidP="000308DA">
      <w:pPr>
        <w:spacing w:before="120"/>
        <w:jc w:val="both"/>
        <w:rPr>
          <w:rFonts w:ascii="Arial" w:hAnsi="Arial" w:cs="Arial"/>
          <w:b/>
          <w:sz w:val="20"/>
          <w:szCs w:val="20"/>
        </w:rPr>
      </w:pPr>
      <w:r w:rsidRPr="009C09A5">
        <w:rPr>
          <w:rFonts w:ascii="Arial" w:hAnsi="Arial" w:cs="Arial"/>
          <w:b/>
          <w:sz w:val="20"/>
          <w:szCs w:val="20"/>
        </w:rPr>
        <w:t>Spoločná cestovná mapa (Joint Road Map)</w:t>
      </w:r>
    </w:p>
    <w:p w14:paraId="317F4525" w14:textId="682A1DA9" w:rsidR="00383999" w:rsidRDefault="00383999" w:rsidP="00383999">
      <w:pPr>
        <w:spacing w:before="120" w:after="120"/>
        <w:jc w:val="both"/>
        <w:rPr>
          <w:rFonts w:ascii="Arial" w:hAnsi="Arial" w:cs="Arial"/>
          <w:sz w:val="20"/>
          <w:szCs w:val="20"/>
        </w:rPr>
      </w:pPr>
      <w:r>
        <w:rPr>
          <w:rFonts w:ascii="Arial" w:hAnsi="Arial" w:cs="Arial"/>
          <w:sz w:val="20"/>
          <w:szCs w:val="20"/>
        </w:rPr>
        <w:t>Aj v nadväznosti na zriadenie Task Force sa p</w:t>
      </w:r>
      <w:r w:rsidRPr="00E21C60">
        <w:rPr>
          <w:rFonts w:ascii="Arial" w:hAnsi="Arial" w:cs="Arial"/>
          <w:sz w:val="20"/>
          <w:szCs w:val="20"/>
        </w:rPr>
        <w:t>rehľad plnenia úloh vyplývajúcich z Joint Road Map 201</w:t>
      </w:r>
      <w:r>
        <w:rPr>
          <w:rFonts w:ascii="Arial" w:hAnsi="Arial" w:cs="Arial"/>
          <w:sz w:val="20"/>
          <w:szCs w:val="20"/>
        </w:rPr>
        <w:t>4</w:t>
      </w:r>
      <w:r w:rsidRPr="00E21C60">
        <w:rPr>
          <w:rFonts w:ascii="Arial" w:hAnsi="Arial" w:cs="Arial"/>
          <w:sz w:val="20"/>
          <w:szCs w:val="20"/>
        </w:rPr>
        <w:t xml:space="preserve"> (ďalej </w:t>
      </w:r>
      <w:r>
        <w:rPr>
          <w:rFonts w:ascii="Arial" w:hAnsi="Arial" w:cs="Arial"/>
          <w:sz w:val="20"/>
          <w:szCs w:val="20"/>
        </w:rPr>
        <w:t>aj</w:t>
      </w:r>
      <w:r w:rsidRPr="00E21C60">
        <w:rPr>
          <w:rFonts w:ascii="Arial" w:hAnsi="Arial" w:cs="Arial"/>
          <w:sz w:val="20"/>
          <w:szCs w:val="20"/>
        </w:rPr>
        <w:t xml:space="preserve"> „JRM 201</w:t>
      </w:r>
      <w:r>
        <w:rPr>
          <w:rFonts w:ascii="Arial" w:hAnsi="Arial" w:cs="Arial"/>
          <w:sz w:val="20"/>
          <w:szCs w:val="20"/>
        </w:rPr>
        <w:t>4</w:t>
      </w:r>
      <w:r w:rsidRPr="00E21C60">
        <w:rPr>
          <w:rFonts w:ascii="Arial" w:hAnsi="Arial" w:cs="Arial"/>
          <w:sz w:val="20"/>
          <w:szCs w:val="20"/>
        </w:rPr>
        <w:t>“) relevantných</w:t>
      </w:r>
      <w:r>
        <w:rPr>
          <w:rFonts w:ascii="Arial" w:hAnsi="Arial" w:cs="Arial"/>
          <w:sz w:val="20"/>
          <w:szCs w:val="20"/>
        </w:rPr>
        <w:t xml:space="preserve"> </w:t>
      </w:r>
      <w:r w:rsidRPr="00E21C60">
        <w:rPr>
          <w:rFonts w:ascii="Arial" w:hAnsi="Arial" w:cs="Arial"/>
          <w:sz w:val="20"/>
          <w:szCs w:val="20"/>
        </w:rPr>
        <w:t xml:space="preserve">vo vzťahu k </w:t>
      </w:r>
      <w:r>
        <w:rPr>
          <w:rFonts w:ascii="Arial" w:hAnsi="Arial" w:cs="Arial"/>
          <w:sz w:val="20"/>
          <w:szCs w:val="20"/>
        </w:rPr>
        <w:t>MŽP</w:t>
      </w:r>
      <w:r w:rsidRPr="00E21C60">
        <w:rPr>
          <w:rFonts w:ascii="Arial" w:hAnsi="Arial" w:cs="Arial"/>
          <w:sz w:val="20"/>
          <w:szCs w:val="20"/>
        </w:rPr>
        <w:t xml:space="preserve"> SR v rámci jeho funkcie ako </w:t>
      </w:r>
      <w:r>
        <w:rPr>
          <w:rFonts w:ascii="Arial" w:hAnsi="Arial" w:cs="Arial"/>
          <w:sz w:val="20"/>
          <w:szCs w:val="20"/>
        </w:rPr>
        <w:t>RO</w:t>
      </w:r>
      <w:r w:rsidRPr="00E21C60">
        <w:rPr>
          <w:rFonts w:ascii="Arial" w:hAnsi="Arial" w:cs="Arial"/>
          <w:sz w:val="20"/>
          <w:szCs w:val="20"/>
        </w:rPr>
        <w:t xml:space="preserve"> pre OP ŽP, ako aj jeho ďalších pôsobností (v oblasti posudzovania vplyvov na životné prostredie) </w:t>
      </w:r>
      <w:r>
        <w:rPr>
          <w:rFonts w:ascii="Arial" w:hAnsi="Arial" w:cs="Arial"/>
          <w:sz w:val="20"/>
          <w:szCs w:val="20"/>
        </w:rPr>
        <w:t xml:space="preserve">vykazoval na CKO posledný krát k dátumu </w:t>
      </w:r>
      <w:r w:rsidRPr="00E21C60">
        <w:rPr>
          <w:rFonts w:ascii="Arial" w:hAnsi="Arial" w:cs="Arial"/>
          <w:sz w:val="20"/>
          <w:szCs w:val="20"/>
        </w:rPr>
        <w:t>31.</w:t>
      </w:r>
      <w:r w:rsidR="0008428C">
        <w:rPr>
          <w:rFonts w:ascii="Arial" w:hAnsi="Arial" w:cs="Arial"/>
          <w:sz w:val="20"/>
          <w:szCs w:val="20"/>
        </w:rPr>
        <w:t xml:space="preserve"> </w:t>
      </w:r>
      <w:r w:rsidRPr="00E21C60">
        <w:rPr>
          <w:rFonts w:ascii="Arial" w:hAnsi="Arial" w:cs="Arial"/>
          <w:sz w:val="20"/>
          <w:szCs w:val="20"/>
        </w:rPr>
        <w:t>12.</w:t>
      </w:r>
      <w:r w:rsidR="0008428C">
        <w:rPr>
          <w:rFonts w:ascii="Arial" w:hAnsi="Arial" w:cs="Arial"/>
          <w:sz w:val="20"/>
          <w:szCs w:val="20"/>
        </w:rPr>
        <w:t xml:space="preserve"> </w:t>
      </w:r>
      <w:r w:rsidRPr="00E21C60">
        <w:rPr>
          <w:rFonts w:ascii="Arial" w:hAnsi="Arial" w:cs="Arial"/>
          <w:sz w:val="20"/>
          <w:szCs w:val="20"/>
        </w:rPr>
        <w:t>201</w:t>
      </w:r>
      <w:r>
        <w:rPr>
          <w:rFonts w:ascii="Arial" w:hAnsi="Arial" w:cs="Arial"/>
          <w:sz w:val="20"/>
          <w:szCs w:val="20"/>
        </w:rPr>
        <w:t>4.</w:t>
      </w:r>
    </w:p>
    <w:p w14:paraId="7A8C7BAC" w14:textId="77777777" w:rsidR="00383999" w:rsidRDefault="00383999" w:rsidP="00383999">
      <w:pPr>
        <w:spacing w:before="120" w:after="120"/>
        <w:jc w:val="both"/>
        <w:rPr>
          <w:rFonts w:ascii="Arial" w:hAnsi="Arial" w:cs="Arial"/>
          <w:sz w:val="20"/>
          <w:szCs w:val="20"/>
        </w:rPr>
      </w:pPr>
      <w:r>
        <w:rPr>
          <w:rFonts w:ascii="Arial" w:hAnsi="Arial" w:cs="Arial"/>
          <w:sz w:val="20"/>
          <w:szCs w:val="20"/>
        </w:rPr>
        <w:t>Detailnejšie informácie o plnení úloh zo spoločnej cestovnej mapy sú uvedené v príslušných výročných správach, naposledy vo Výročnej správe o vykonávaní OP ŽP za rok 2014.</w:t>
      </w:r>
    </w:p>
    <w:p w14:paraId="7A717083" w14:textId="00D8A03E" w:rsidR="00383999" w:rsidRDefault="00383999" w:rsidP="00383999">
      <w:pPr>
        <w:spacing w:before="120" w:after="120"/>
        <w:jc w:val="both"/>
        <w:rPr>
          <w:rFonts w:ascii="Arial" w:hAnsi="Arial" w:cs="Arial"/>
          <w:sz w:val="20"/>
          <w:szCs w:val="20"/>
        </w:rPr>
      </w:pPr>
      <w:r>
        <w:rPr>
          <w:rFonts w:ascii="Arial" w:hAnsi="Arial" w:cs="Arial"/>
          <w:sz w:val="20"/>
          <w:szCs w:val="20"/>
        </w:rPr>
        <w:t>Úlohy sa t</w:t>
      </w:r>
      <w:r w:rsidR="0008428C">
        <w:rPr>
          <w:rFonts w:ascii="Arial" w:hAnsi="Arial" w:cs="Arial"/>
          <w:sz w:val="20"/>
          <w:szCs w:val="20"/>
        </w:rPr>
        <w:t>ý</w:t>
      </w:r>
      <w:r>
        <w:rPr>
          <w:rFonts w:ascii="Arial" w:hAnsi="Arial" w:cs="Arial"/>
          <w:sz w:val="20"/>
          <w:szCs w:val="20"/>
        </w:rPr>
        <w:t>kali najmä pravidelného monitoringu veľkých projektov, zlepšeni</w:t>
      </w:r>
      <w:r w:rsidR="0008428C">
        <w:rPr>
          <w:rFonts w:ascii="Arial" w:hAnsi="Arial" w:cs="Arial"/>
          <w:sz w:val="20"/>
          <w:szCs w:val="20"/>
        </w:rPr>
        <w:t>a</w:t>
      </w:r>
      <w:r w:rsidR="00D60F44">
        <w:rPr>
          <w:rFonts w:ascii="Arial" w:hAnsi="Arial" w:cs="Arial"/>
          <w:sz w:val="20"/>
          <w:szCs w:val="20"/>
        </w:rPr>
        <w:t xml:space="preserve"> </w:t>
      </w:r>
      <w:r>
        <w:rPr>
          <w:rFonts w:ascii="Arial" w:hAnsi="Arial" w:cs="Arial"/>
          <w:sz w:val="20"/>
          <w:szCs w:val="20"/>
        </w:rPr>
        <w:t>kontroly VO a účinnejšej aplikáci</w:t>
      </w:r>
      <w:r w:rsidR="0008428C">
        <w:rPr>
          <w:rFonts w:ascii="Arial" w:hAnsi="Arial" w:cs="Arial"/>
          <w:sz w:val="20"/>
          <w:szCs w:val="20"/>
        </w:rPr>
        <w:t>e</w:t>
      </w:r>
      <w:r>
        <w:rPr>
          <w:rFonts w:ascii="Arial" w:hAnsi="Arial" w:cs="Arial"/>
          <w:sz w:val="20"/>
          <w:szCs w:val="20"/>
        </w:rPr>
        <w:t xml:space="preserve"> zákona o VO, podáva</w:t>
      </w:r>
      <w:r w:rsidR="0008428C">
        <w:rPr>
          <w:rFonts w:ascii="Arial" w:hAnsi="Arial" w:cs="Arial"/>
          <w:sz w:val="20"/>
          <w:szCs w:val="20"/>
        </w:rPr>
        <w:t>nia</w:t>
      </w:r>
      <w:r>
        <w:rPr>
          <w:rFonts w:ascii="Arial" w:hAnsi="Arial" w:cs="Arial"/>
          <w:sz w:val="20"/>
          <w:szCs w:val="20"/>
        </w:rPr>
        <w:t xml:space="preserve"> správ</w:t>
      </w:r>
      <w:r w:rsidR="0008428C">
        <w:rPr>
          <w:rFonts w:ascii="Arial" w:hAnsi="Arial" w:cs="Arial"/>
          <w:sz w:val="20"/>
          <w:szCs w:val="20"/>
        </w:rPr>
        <w:t>y</w:t>
      </w:r>
      <w:r>
        <w:rPr>
          <w:rFonts w:ascii="Arial" w:hAnsi="Arial" w:cs="Arial"/>
          <w:sz w:val="20"/>
          <w:szCs w:val="20"/>
        </w:rPr>
        <w:t xml:space="preserve"> o prebiehajúcich infringementoch a zabezpečenia hodnotení. Úlohy sa zároveň vzťahovali aj k príprave nového programového obdobia 2014 – 2020 ako </w:t>
      </w:r>
      <w:r>
        <w:rPr>
          <w:rFonts w:ascii="Arial" w:hAnsi="Arial" w:cs="Arial"/>
          <w:sz w:val="20"/>
          <w:szCs w:val="20"/>
        </w:rPr>
        <w:lastRenderedPageBreak/>
        <w:t>príprav</w:t>
      </w:r>
      <w:r w:rsidR="0008428C">
        <w:rPr>
          <w:rFonts w:ascii="Arial" w:hAnsi="Arial" w:cs="Arial"/>
          <w:sz w:val="20"/>
          <w:szCs w:val="20"/>
        </w:rPr>
        <w:t>y</w:t>
      </w:r>
      <w:r>
        <w:rPr>
          <w:rFonts w:ascii="Arial" w:hAnsi="Arial" w:cs="Arial"/>
          <w:sz w:val="20"/>
          <w:szCs w:val="20"/>
        </w:rPr>
        <w:t xml:space="preserve"> Partnerskej dohody, operačného programu, ale aj plnení akčného plánu pre ex ante kondicionality.</w:t>
      </w:r>
    </w:p>
    <w:p w14:paraId="3858609D" w14:textId="390C429C" w:rsidR="00383999" w:rsidRDefault="00383999" w:rsidP="002D6D78">
      <w:pPr>
        <w:spacing w:before="120" w:after="120"/>
        <w:jc w:val="both"/>
        <w:rPr>
          <w:rFonts w:ascii="Arial" w:hAnsi="Arial" w:cs="Arial"/>
          <w:sz w:val="20"/>
          <w:szCs w:val="20"/>
        </w:rPr>
      </w:pPr>
      <w:r>
        <w:rPr>
          <w:rFonts w:ascii="Arial" w:hAnsi="Arial" w:cs="Arial"/>
          <w:sz w:val="20"/>
          <w:szCs w:val="20"/>
        </w:rPr>
        <w:t>Je možné skonštatovať, že všetky úlohy zo spoločnej cestovnej mapy boli RO vykonané.</w:t>
      </w:r>
    </w:p>
    <w:p w14:paraId="0236D85C" w14:textId="77777777" w:rsidR="002416B1" w:rsidRPr="00E21C60" w:rsidRDefault="002416B1" w:rsidP="00123376">
      <w:pPr>
        <w:spacing w:before="240" w:after="120"/>
        <w:jc w:val="both"/>
        <w:rPr>
          <w:rFonts w:ascii="Arial" w:hAnsi="Arial" w:cs="Arial"/>
          <w:b/>
          <w:sz w:val="20"/>
          <w:szCs w:val="20"/>
        </w:rPr>
      </w:pPr>
      <w:r w:rsidRPr="00BC43A7">
        <w:rPr>
          <w:rFonts w:ascii="Arial" w:hAnsi="Arial" w:cs="Arial"/>
          <w:b/>
          <w:sz w:val="20"/>
          <w:szCs w:val="20"/>
        </w:rPr>
        <w:t>Monitorovanie opatrení v rámci SEA</w:t>
      </w:r>
    </w:p>
    <w:p w14:paraId="0D16E16B" w14:textId="6524B330" w:rsidR="00633059" w:rsidRPr="00E21C60" w:rsidRDefault="00633059" w:rsidP="00123376">
      <w:pPr>
        <w:spacing w:before="120" w:after="120"/>
        <w:jc w:val="both"/>
        <w:rPr>
          <w:rFonts w:ascii="Arial" w:hAnsi="Arial" w:cs="Arial"/>
          <w:sz w:val="20"/>
          <w:szCs w:val="20"/>
        </w:rPr>
      </w:pPr>
      <w:r w:rsidRPr="00E21C60">
        <w:rPr>
          <w:rFonts w:ascii="Arial" w:hAnsi="Arial" w:cs="Arial"/>
          <w:sz w:val="20"/>
          <w:szCs w:val="20"/>
        </w:rPr>
        <w:t xml:space="preserve">S prihliadnutím na charakter OP ŽP, ktorý </w:t>
      </w:r>
      <w:r w:rsidR="00C244AB">
        <w:rPr>
          <w:rFonts w:ascii="Arial" w:hAnsi="Arial" w:cs="Arial"/>
          <w:sz w:val="20"/>
          <w:szCs w:val="20"/>
        </w:rPr>
        <w:t>bol</w:t>
      </w:r>
      <w:r w:rsidRPr="00E21C60">
        <w:rPr>
          <w:rFonts w:ascii="Arial" w:hAnsi="Arial" w:cs="Arial"/>
          <w:sz w:val="20"/>
          <w:szCs w:val="20"/>
        </w:rPr>
        <w:t xml:space="preserve"> svojím cieľom a zameraním projektov podporovaných v rámci jeho jednotlivých prioritných osí, orientovaný na zlepšenie stavu životného prostredia prostredníctvom dobudovania a skvalitnenia environmentálnej infraštruktúry SR v zmysle predpisov EÚ a SR,  nebolo v záverečnom stanovisku z procesu posudzovania OP ŽP z hľadiska jeho predpokladaných vplyvov na životné prostredie (SEA) požadované vytvorenie osobitného súboru merateľných ukazovateľov na monitorovanie jeho vplyvov na životné prostredie.  </w:t>
      </w:r>
    </w:p>
    <w:p w14:paraId="41D28EDB" w14:textId="7DA4F52C" w:rsidR="00633059" w:rsidRDefault="00633059" w:rsidP="00F87D11">
      <w:pPr>
        <w:jc w:val="both"/>
        <w:rPr>
          <w:rFonts w:ascii="Arial" w:hAnsi="Arial" w:cs="Arial"/>
          <w:sz w:val="20"/>
          <w:szCs w:val="20"/>
        </w:rPr>
      </w:pPr>
      <w:r w:rsidRPr="00E21C60">
        <w:rPr>
          <w:rFonts w:ascii="Arial" w:hAnsi="Arial" w:cs="Arial"/>
          <w:sz w:val="20"/>
          <w:szCs w:val="20"/>
        </w:rPr>
        <w:t xml:space="preserve">Vzhľadom na obsahové zameranie a globálny cieľ OP ŽP </w:t>
      </w:r>
      <w:r w:rsidR="00C244AB">
        <w:rPr>
          <w:rFonts w:ascii="Arial" w:hAnsi="Arial" w:cs="Arial"/>
          <w:sz w:val="20"/>
          <w:szCs w:val="20"/>
        </w:rPr>
        <w:t>boli</w:t>
      </w:r>
      <w:r w:rsidRPr="00E21C60">
        <w:rPr>
          <w:rFonts w:ascii="Arial" w:hAnsi="Arial" w:cs="Arial"/>
          <w:sz w:val="20"/>
          <w:szCs w:val="20"/>
        </w:rPr>
        <w:t xml:space="preserve"> na monitorovanie jeho vplyvov na životné prostredie využívané ukazovatele samotného programu, zahrnuté v príslušných programových dokumentoch (operačný program, programový manuál). Hodnoty uvedených ukazovateľov sa na základe výsledkov implementácie projektov v rámci OP ŽP pravidelne vykaz</w:t>
      </w:r>
      <w:r w:rsidR="00C244AB">
        <w:rPr>
          <w:rFonts w:ascii="Arial" w:hAnsi="Arial" w:cs="Arial"/>
          <w:sz w:val="20"/>
          <w:szCs w:val="20"/>
        </w:rPr>
        <w:t>ovali</w:t>
      </w:r>
      <w:r w:rsidRPr="00E21C60">
        <w:rPr>
          <w:rFonts w:ascii="Arial" w:hAnsi="Arial" w:cs="Arial"/>
          <w:sz w:val="20"/>
          <w:szCs w:val="20"/>
        </w:rPr>
        <w:t xml:space="preserve"> v jednotlivých výročných správach. </w:t>
      </w:r>
    </w:p>
    <w:p w14:paraId="26643F74" w14:textId="77777777" w:rsidR="00021D46" w:rsidRDefault="00021D46" w:rsidP="00F87D11">
      <w:pPr>
        <w:jc w:val="both"/>
        <w:rPr>
          <w:rFonts w:ascii="Arial" w:hAnsi="Arial" w:cs="Arial"/>
          <w:b/>
          <w:sz w:val="20"/>
          <w:szCs w:val="20"/>
        </w:rPr>
      </w:pPr>
    </w:p>
    <w:p w14:paraId="29909D31" w14:textId="6BABF93D" w:rsidR="00670DB7" w:rsidRDefault="00670DB7" w:rsidP="00F87D11">
      <w:pPr>
        <w:spacing w:after="120"/>
        <w:jc w:val="both"/>
        <w:rPr>
          <w:rFonts w:ascii="Arial" w:hAnsi="Arial" w:cs="Arial"/>
          <w:b/>
          <w:sz w:val="20"/>
          <w:szCs w:val="20"/>
        </w:rPr>
      </w:pPr>
      <w:r w:rsidRPr="009C09A5">
        <w:rPr>
          <w:rFonts w:ascii="Arial" w:hAnsi="Arial" w:cs="Arial"/>
          <w:b/>
          <w:sz w:val="20"/>
          <w:szCs w:val="20"/>
        </w:rPr>
        <w:t>Súhrn využitia platforiem monitorovania implementácie programu a odporúčania pre nové programové obdobie</w:t>
      </w:r>
    </w:p>
    <w:p w14:paraId="644826F3" w14:textId="5EAAD9FE" w:rsidR="009C09A5" w:rsidRDefault="009C09A5" w:rsidP="009C09A5">
      <w:pPr>
        <w:spacing w:before="120"/>
        <w:jc w:val="both"/>
        <w:rPr>
          <w:rFonts w:ascii="Arial" w:hAnsi="Arial" w:cs="Arial"/>
          <w:sz w:val="20"/>
          <w:szCs w:val="20"/>
        </w:rPr>
      </w:pPr>
      <w:r>
        <w:rPr>
          <w:rFonts w:ascii="Arial" w:hAnsi="Arial" w:cs="Arial"/>
          <w:sz w:val="20"/>
          <w:szCs w:val="20"/>
        </w:rPr>
        <w:t>Čo sa týka odporúčaní pre nové programové obdobie 2014 – 2020 najmä so zasadnutiami monitorovacích výborov by štruktúra členov monitorovacieho výboru mala naďalej odzrkadľovať princíp partnerstva a umožniť tak vyvážené zapojenie všetkých relevantných partnerov do procesu monitorovania realizácie operačného programu. Platforma monitorovacieho výboru by mala poskytovať priestor pre výmenu informácií medzi riadiacim orgánom, partnermi a EK,  ako aj vytvárať priestor pre aktívnu diskusiu k otázkam implementácie. Súčasťou monitorovacích výborov by mala byť aj prezentácia realizovaných projektov a podľa možností aj ich fyzický monitoring priamo na mieste jeho realizácie. Monitorovacie výbory, v rámci ktorých sa bude konať prehliadka projektu zároveň predstavujú výbornú príležitosť pre odprezentovanie prínosu fondov EÚ a preto je vhodné takéto podujatie spropagovať aj prostredníctvo</w:t>
      </w:r>
      <w:r w:rsidR="0008428C">
        <w:rPr>
          <w:rFonts w:ascii="Arial" w:hAnsi="Arial" w:cs="Arial"/>
          <w:sz w:val="20"/>
          <w:szCs w:val="20"/>
        </w:rPr>
        <w:t>m</w:t>
      </w:r>
      <w:r>
        <w:rPr>
          <w:rFonts w:ascii="Arial" w:hAnsi="Arial" w:cs="Arial"/>
          <w:sz w:val="20"/>
          <w:szCs w:val="20"/>
        </w:rPr>
        <w:t xml:space="preserve"> médií.</w:t>
      </w:r>
    </w:p>
    <w:p w14:paraId="2FC4C86C" w14:textId="77777777" w:rsidR="009C09A5" w:rsidRDefault="009C09A5" w:rsidP="009C09A5">
      <w:pPr>
        <w:spacing w:before="120"/>
        <w:jc w:val="both"/>
        <w:rPr>
          <w:rFonts w:ascii="Arial" w:hAnsi="Arial" w:cs="Arial"/>
          <w:sz w:val="20"/>
          <w:szCs w:val="20"/>
        </w:rPr>
      </w:pPr>
      <w:r>
        <w:rPr>
          <w:rFonts w:ascii="Arial" w:hAnsi="Arial" w:cs="Arial"/>
          <w:sz w:val="20"/>
          <w:szCs w:val="20"/>
        </w:rPr>
        <w:t>Odporúča sa tiež, aby členom monitorovacích výborov bolo umožnené preplatenie cestovných nákladov súvisiacich s ich účasťou na zasadnutí monitorovacieho výboru.</w:t>
      </w:r>
    </w:p>
    <w:p w14:paraId="7A6CA37C" w14:textId="21E47157" w:rsidR="009C09A5" w:rsidRPr="009C09A5" w:rsidRDefault="009C09A5" w:rsidP="009C09A5">
      <w:pPr>
        <w:spacing w:before="120"/>
        <w:jc w:val="both"/>
        <w:rPr>
          <w:rFonts w:ascii="Arial" w:hAnsi="Arial" w:cs="Arial"/>
          <w:sz w:val="20"/>
          <w:szCs w:val="20"/>
        </w:rPr>
      </w:pPr>
      <w:r>
        <w:rPr>
          <w:rFonts w:ascii="Arial" w:hAnsi="Arial" w:cs="Arial"/>
          <w:sz w:val="20"/>
          <w:szCs w:val="20"/>
        </w:rPr>
        <w:t xml:space="preserve">Pokiaľ ide o informovanie širokej verejnosti je potrebné zabezpečiť, aby informácie o zasadnutiach a záveroch z monitorovacích výborov boli dostupné napr. prostredníctvom webovej stránky. </w:t>
      </w:r>
    </w:p>
    <w:p w14:paraId="45BF2EE2" w14:textId="77777777" w:rsidR="002416B1" w:rsidRPr="0020746A" w:rsidRDefault="002416B1" w:rsidP="00123376">
      <w:pPr>
        <w:pStyle w:val="Nadpis3"/>
        <w:spacing w:after="120"/>
        <w:rPr>
          <w:rFonts w:cs="Arial"/>
        </w:rPr>
      </w:pPr>
      <w:bookmarkStart w:id="46" w:name="_Toc135540043"/>
      <w:bookmarkStart w:id="47" w:name="_Toc466914522"/>
      <w:bookmarkEnd w:id="46"/>
      <w:r w:rsidRPr="00944164">
        <w:rPr>
          <w:rFonts w:cs="Arial"/>
        </w:rPr>
        <w:t>2.7.2 Hodnotenie</w:t>
      </w:r>
      <w:bookmarkEnd w:id="47"/>
    </w:p>
    <w:p w14:paraId="322A889C" w14:textId="3F492DA6" w:rsidR="000D2C78" w:rsidRPr="000D2C78" w:rsidRDefault="000D2C78" w:rsidP="000D2C78">
      <w:pPr>
        <w:spacing w:before="120" w:after="120"/>
        <w:jc w:val="both"/>
        <w:rPr>
          <w:rFonts w:ascii="Arial" w:hAnsi="Arial" w:cs="Arial"/>
          <w:b/>
          <w:sz w:val="20"/>
          <w:szCs w:val="20"/>
          <w:highlight w:val="yellow"/>
        </w:rPr>
      </w:pPr>
      <w:bookmarkStart w:id="48" w:name="_3.6.3_Výkon_auditu"/>
      <w:bookmarkStart w:id="49" w:name="_Toc135540049"/>
      <w:bookmarkEnd w:id="48"/>
      <w:r w:rsidRPr="00F8588F">
        <w:rPr>
          <w:rFonts w:ascii="Arial" w:hAnsi="Arial" w:cs="Arial"/>
          <w:b/>
          <w:sz w:val="20"/>
          <w:szCs w:val="20"/>
        </w:rPr>
        <w:t>Zrealizované aktivit</w:t>
      </w:r>
      <w:r>
        <w:rPr>
          <w:rFonts w:ascii="Arial" w:hAnsi="Arial" w:cs="Arial"/>
          <w:b/>
          <w:sz w:val="20"/>
          <w:szCs w:val="20"/>
        </w:rPr>
        <w:t>y</w:t>
      </w:r>
    </w:p>
    <w:p w14:paraId="24C78883" w14:textId="2CE583D5" w:rsidR="000D2C78" w:rsidRPr="00F8588F" w:rsidRDefault="000D2C78" w:rsidP="000D2C78">
      <w:pPr>
        <w:spacing w:before="120" w:after="120"/>
        <w:jc w:val="both"/>
        <w:rPr>
          <w:rFonts w:ascii="Arial" w:hAnsi="Arial" w:cs="Arial"/>
          <w:sz w:val="20"/>
          <w:szCs w:val="20"/>
        </w:rPr>
      </w:pPr>
      <w:r w:rsidRPr="00F8588F">
        <w:rPr>
          <w:rFonts w:ascii="Arial" w:hAnsi="Arial" w:cs="Arial"/>
          <w:sz w:val="20"/>
          <w:szCs w:val="20"/>
        </w:rPr>
        <w:t>RO pre OP ŽP v rámci svojich činností v oblasti hodnotenia vykonal v súlade s Plánom hodnotení OP ŽP v priebehu roka 2015 tri externé strategické hodnotenia:</w:t>
      </w:r>
    </w:p>
    <w:p w14:paraId="15CCDA24" w14:textId="77777777" w:rsidR="000D2C78" w:rsidRPr="00F8588F" w:rsidRDefault="000D2C78" w:rsidP="000D2C78">
      <w:pPr>
        <w:pStyle w:val="Odsekzoznamu"/>
        <w:numPr>
          <w:ilvl w:val="0"/>
          <w:numId w:val="55"/>
        </w:numPr>
        <w:spacing w:before="120" w:after="120"/>
        <w:ind w:left="567" w:hanging="284"/>
        <w:jc w:val="both"/>
        <w:rPr>
          <w:rFonts w:ascii="Arial" w:hAnsi="Arial" w:cs="Arial"/>
          <w:sz w:val="20"/>
          <w:szCs w:val="20"/>
        </w:rPr>
      </w:pPr>
      <w:r w:rsidRPr="00F8588F">
        <w:rPr>
          <w:rFonts w:ascii="Arial" w:hAnsi="Arial" w:cs="Arial"/>
          <w:sz w:val="20"/>
          <w:szCs w:val="20"/>
        </w:rPr>
        <w:t>Ucelené tematické hodnotenie na úrovni jednotlivých prioritných osí OP ŽP a ich prínosu k rozvoju regiónov na území cieľa Konvergencia,</w:t>
      </w:r>
    </w:p>
    <w:p w14:paraId="6ED954AB" w14:textId="77777777" w:rsidR="000D2C78" w:rsidRPr="00F8588F" w:rsidRDefault="000D2C78" w:rsidP="000D2C78">
      <w:pPr>
        <w:pStyle w:val="Odsekzoznamu"/>
        <w:numPr>
          <w:ilvl w:val="0"/>
          <w:numId w:val="55"/>
        </w:numPr>
        <w:spacing w:before="120" w:after="120"/>
        <w:ind w:left="567" w:hanging="284"/>
        <w:jc w:val="both"/>
        <w:rPr>
          <w:rFonts w:ascii="Arial" w:hAnsi="Arial" w:cs="Arial"/>
          <w:sz w:val="20"/>
          <w:szCs w:val="20"/>
        </w:rPr>
      </w:pPr>
      <w:r w:rsidRPr="00F8588F">
        <w:rPr>
          <w:rFonts w:ascii="Arial" w:hAnsi="Arial" w:cs="Arial"/>
          <w:sz w:val="20"/>
          <w:szCs w:val="20"/>
        </w:rPr>
        <w:tab/>
        <w:t>Ucelené tematické hodnotenie ekonomických a sociálnych dopadov OP ŽP na podporované územie cieľa Konvergencia,</w:t>
      </w:r>
    </w:p>
    <w:p w14:paraId="229209CD" w14:textId="77777777" w:rsidR="000D2C78" w:rsidRPr="00F8588F" w:rsidRDefault="000D2C78" w:rsidP="000D2C78">
      <w:pPr>
        <w:pStyle w:val="Odsekzoznamu"/>
        <w:numPr>
          <w:ilvl w:val="0"/>
          <w:numId w:val="55"/>
        </w:numPr>
        <w:spacing w:before="120" w:after="120"/>
        <w:ind w:left="567" w:hanging="284"/>
        <w:jc w:val="both"/>
        <w:rPr>
          <w:rFonts w:ascii="Arial" w:hAnsi="Arial" w:cs="Arial"/>
          <w:sz w:val="20"/>
          <w:szCs w:val="20"/>
        </w:rPr>
      </w:pPr>
      <w:r w:rsidRPr="00F8588F">
        <w:rPr>
          <w:rFonts w:ascii="Arial" w:hAnsi="Arial" w:cs="Arial"/>
          <w:sz w:val="20"/>
          <w:szCs w:val="20"/>
        </w:rPr>
        <w:tab/>
        <w:t>Ucelené tematické hodnotenie OP ŽP z hľadiska jeho prínosu k plneniu požiadaviek vyplývajúcich z environmentálneho acquis a dopadov na životné prostredie a verejné zdravie,</w:t>
      </w:r>
    </w:p>
    <w:p w14:paraId="578EC3AE" w14:textId="77777777" w:rsidR="000D2C78" w:rsidRPr="00F8588F" w:rsidRDefault="000D2C78" w:rsidP="000D2C78">
      <w:pPr>
        <w:spacing w:before="120" w:after="120"/>
        <w:jc w:val="both"/>
        <w:rPr>
          <w:rFonts w:ascii="Arial" w:hAnsi="Arial" w:cs="Arial"/>
          <w:sz w:val="20"/>
          <w:szCs w:val="20"/>
        </w:rPr>
      </w:pPr>
      <w:r w:rsidRPr="00F8588F">
        <w:rPr>
          <w:rFonts w:ascii="Arial" w:hAnsi="Arial" w:cs="Arial"/>
          <w:sz w:val="20"/>
          <w:szCs w:val="20"/>
        </w:rPr>
        <w:t>Okrem zrealizovaných hodnot</w:t>
      </w:r>
      <w:r>
        <w:rPr>
          <w:rFonts w:ascii="Arial" w:hAnsi="Arial" w:cs="Arial"/>
          <w:sz w:val="20"/>
          <w:szCs w:val="20"/>
        </w:rPr>
        <w:t>ení</w:t>
      </w:r>
      <w:r w:rsidRPr="00F8588F">
        <w:rPr>
          <w:rFonts w:ascii="Arial" w:hAnsi="Arial" w:cs="Arial"/>
          <w:sz w:val="20"/>
          <w:szCs w:val="20"/>
        </w:rPr>
        <w:t xml:space="preserve"> RO pre OP ŽP vypracoval v priebehu roka 2015 taktiež jednu internú analýzu:</w:t>
      </w:r>
    </w:p>
    <w:p w14:paraId="1AF5CB9F" w14:textId="77777777" w:rsidR="000D2C78" w:rsidRPr="00F8588F" w:rsidRDefault="000D2C78" w:rsidP="00FD6D84">
      <w:pPr>
        <w:pStyle w:val="Odsekzoznamu"/>
        <w:numPr>
          <w:ilvl w:val="0"/>
          <w:numId w:val="55"/>
        </w:numPr>
        <w:spacing w:after="0" w:line="240" w:lineRule="auto"/>
        <w:ind w:left="567" w:hanging="284"/>
        <w:jc w:val="both"/>
        <w:rPr>
          <w:rFonts w:ascii="Arial" w:hAnsi="Arial" w:cs="Arial"/>
          <w:sz w:val="20"/>
          <w:szCs w:val="20"/>
        </w:rPr>
      </w:pPr>
      <w:r w:rsidRPr="00F8588F">
        <w:rPr>
          <w:rFonts w:ascii="Arial" w:hAnsi="Arial" w:cs="Arial"/>
          <w:sz w:val="20"/>
          <w:szCs w:val="20"/>
        </w:rPr>
        <w:t>Analýza aktuálneho stavu implementácie Operačného programu Životné prostredie a návrh možných opatrení na zníženie rizika prípadného decommitmentu</w:t>
      </w:r>
    </w:p>
    <w:p w14:paraId="62914B55" w14:textId="77777777" w:rsidR="000D2C78" w:rsidRPr="00F8588F" w:rsidRDefault="000D2C78">
      <w:pPr>
        <w:jc w:val="both"/>
        <w:rPr>
          <w:rFonts w:ascii="Arial" w:hAnsi="Arial" w:cs="Arial"/>
          <w:b/>
          <w:sz w:val="20"/>
          <w:szCs w:val="20"/>
        </w:rPr>
      </w:pPr>
    </w:p>
    <w:p w14:paraId="7B03DB09" w14:textId="77777777" w:rsidR="000D2C78" w:rsidRPr="00F8588F" w:rsidRDefault="000D2C78" w:rsidP="00F87D11">
      <w:pPr>
        <w:pStyle w:val="Odsekzoznamu"/>
        <w:spacing w:line="240" w:lineRule="auto"/>
        <w:ind w:left="0"/>
        <w:jc w:val="both"/>
        <w:rPr>
          <w:rFonts w:ascii="Arial" w:hAnsi="Arial" w:cs="Arial"/>
          <w:sz w:val="20"/>
          <w:szCs w:val="20"/>
        </w:rPr>
      </w:pPr>
      <w:r w:rsidRPr="00F8588F">
        <w:rPr>
          <w:rFonts w:ascii="Arial" w:hAnsi="Arial" w:cs="Arial"/>
          <w:sz w:val="20"/>
          <w:szCs w:val="20"/>
        </w:rPr>
        <w:lastRenderedPageBreak/>
        <w:t>Vo vzťahu k operatívnym hodnoteniam, ktoré sa vykonávajú iba v prípade potreby, t.j. iba ak vznikne situácia identifikovaná ako podnet na vykonanie operatívneho hodnotenia určitého typu, nebola v roku 2015 a 2016 identifikovaná potreba vykonania operatívneho hodnotenia OP ŽP.</w:t>
      </w:r>
    </w:p>
    <w:p w14:paraId="5DF6DC55" w14:textId="77777777" w:rsidR="000D2C78" w:rsidRPr="00F8588F" w:rsidRDefault="000D2C78" w:rsidP="000D2C78">
      <w:pPr>
        <w:spacing w:after="120"/>
        <w:jc w:val="both"/>
        <w:rPr>
          <w:rFonts w:ascii="Arial" w:hAnsi="Arial" w:cs="Arial"/>
          <w:b/>
          <w:sz w:val="20"/>
          <w:szCs w:val="20"/>
        </w:rPr>
      </w:pPr>
      <w:r w:rsidRPr="00F8588F">
        <w:rPr>
          <w:rFonts w:ascii="Arial" w:hAnsi="Arial" w:cs="Arial"/>
          <w:b/>
          <w:sz w:val="20"/>
          <w:szCs w:val="20"/>
        </w:rPr>
        <w:t>Zrealizované aktivity s vplyvom na nastavenie nového programového obdobia</w:t>
      </w:r>
    </w:p>
    <w:p w14:paraId="626F90A7" w14:textId="1C784877" w:rsidR="000D2C78" w:rsidRPr="00F8588F" w:rsidRDefault="000D2C78" w:rsidP="000D2C78">
      <w:pPr>
        <w:spacing w:before="120" w:after="120"/>
        <w:jc w:val="both"/>
        <w:rPr>
          <w:rFonts w:ascii="Arial" w:hAnsi="Arial" w:cs="Arial"/>
          <w:sz w:val="20"/>
          <w:szCs w:val="20"/>
        </w:rPr>
      </w:pPr>
      <w:r w:rsidRPr="00F8588F">
        <w:rPr>
          <w:rFonts w:ascii="Arial" w:hAnsi="Arial" w:cs="Arial"/>
          <w:sz w:val="20"/>
          <w:szCs w:val="20"/>
        </w:rPr>
        <w:t xml:space="preserve">S cieľom zlepšiť kvalitu prípravy Operačného programu Kvalita životného prostredia (ďalej aj </w:t>
      </w:r>
      <w:r w:rsidR="0008428C">
        <w:rPr>
          <w:rFonts w:ascii="Arial" w:hAnsi="Arial" w:cs="Arial"/>
          <w:sz w:val="20"/>
          <w:szCs w:val="20"/>
        </w:rPr>
        <w:t xml:space="preserve">         </w:t>
      </w:r>
      <w:r w:rsidRPr="00F8588F">
        <w:rPr>
          <w:rFonts w:ascii="Arial" w:hAnsi="Arial" w:cs="Arial"/>
          <w:sz w:val="20"/>
          <w:szCs w:val="20"/>
        </w:rPr>
        <w:t>„OP KŽP“) Ministerstvo životného prostredia SR v roku 2014 zabezpečilo realizáciu Ex ante hodnotenia OP KŽP na programové obdobie 2014 – 2020 v súlade s čl. 55 nariadenia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(ES)č. 1083/2006. Ex ante hodnotenie OP KŽP bolo následne predložené Európskej komisii spolu s návrhom OP KŽP.</w:t>
      </w:r>
    </w:p>
    <w:p w14:paraId="6D0D4675" w14:textId="77777777" w:rsidR="000D2C78" w:rsidRPr="00F8588F" w:rsidRDefault="000D2C78" w:rsidP="000D2C78">
      <w:pPr>
        <w:spacing w:before="120" w:after="120"/>
        <w:jc w:val="both"/>
        <w:rPr>
          <w:rFonts w:ascii="Arial" w:hAnsi="Arial" w:cs="Arial"/>
          <w:sz w:val="20"/>
          <w:szCs w:val="20"/>
        </w:rPr>
      </w:pPr>
      <w:r w:rsidRPr="00F8588F">
        <w:rPr>
          <w:rFonts w:ascii="Arial" w:hAnsi="Arial" w:cs="Arial"/>
          <w:sz w:val="20"/>
          <w:szCs w:val="20"/>
        </w:rPr>
        <w:t>V súvislosti s prípravou OP KŽP boli zanalyzované hlavné nedostatky a poučenia (lessons learnt) z implementácie OP ŽP.</w:t>
      </w:r>
    </w:p>
    <w:p w14:paraId="3154F702" w14:textId="7BFF44A6" w:rsidR="000D2C78" w:rsidRPr="00F8588F" w:rsidRDefault="000D2C78" w:rsidP="000D2C78">
      <w:pPr>
        <w:spacing w:before="120" w:after="120"/>
        <w:jc w:val="both"/>
        <w:rPr>
          <w:rFonts w:ascii="Arial" w:hAnsi="Arial" w:cs="Arial"/>
          <w:sz w:val="20"/>
          <w:szCs w:val="20"/>
        </w:rPr>
      </w:pPr>
      <w:r w:rsidRPr="00F8588F">
        <w:rPr>
          <w:rFonts w:ascii="Arial" w:hAnsi="Arial" w:cs="Arial"/>
          <w:sz w:val="20"/>
          <w:szCs w:val="20"/>
        </w:rPr>
        <w:t>Za účelom vytvorenia predpokladov pre včasné a spoľahlivé vyhodnocovanie úspešnosti dosahovania cieľov OP KŽP a s cieľom, aby bol výkon procesu hodnotenia čo najjednoduchší a najefektívnejší, bola vytvorená a následne aktualizovaná (priebežne podľa potreby) funkčná sústava merateľných ukazovateľov</w:t>
      </w:r>
      <w:r w:rsidR="00FD6D84">
        <w:rPr>
          <w:rFonts w:ascii="Arial" w:hAnsi="Arial" w:cs="Arial"/>
          <w:sz w:val="20"/>
          <w:szCs w:val="20"/>
        </w:rPr>
        <w:t>,</w:t>
      </w:r>
      <w:r w:rsidRPr="00F8588F">
        <w:rPr>
          <w:rFonts w:ascii="Arial" w:hAnsi="Arial" w:cs="Arial"/>
          <w:sz w:val="20"/>
          <w:szCs w:val="20"/>
        </w:rPr>
        <w:t xml:space="preserve"> tvorená tak ukazovateľmi na programovej úrovni</w:t>
      </w:r>
      <w:r w:rsidR="00FD6D84">
        <w:rPr>
          <w:rFonts w:ascii="Arial" w:hAnsi="Arial" w:cs="Arial"/>
          <w:sz w:val="20"/>
          <w:szCs w:val="20"/>
        </w:rPr>
        <w:t>,</w:t>
      </w:r>
      <w:r w:rsidRPr="00F8588F">
        <w:rPr>
          <w:rFonts w:ascii="Arial" w:hAnsi="Arial" w:cs="Arial"/>
          <w:sz w:val="20"/>
          <w:szCs w:val="20"/>
        </w:rPr>
        <w:t xml:space="preserve">ako aj ukazovateľmi na projektovej úrovni. Sústava merateľných ukazovateľov predstavuje hlavný zdroj údajov pre potreby hodnotenia. Kľúčovou úlohou pre vytvorenie funkčnej sústavy merateľných ukazovateľov bola identifikácia údajov a dát potrebných pre realizáciu hodnotení. Na správne definovanie údajov a dát potrebných pre hodnotenia boli zanalyzované spôsoby, akými budú vyhodnocované stanovené ciele programu. </w:t>
      </w:r>
      <w:r w:rsidR="00FD6D84">
        <w:rPr>
          <w:rFonts w:ascii="Arial" w:hAnsi="Arial" w:cs="Arial"/>
          <w:sz w:val="20"/>
          <w:szCs w:val="20"/>
        </w:rPr>
        <w:br/>
      </w:r>
      <w:r w:rsidRPr="00F8588F">
        <w:rPr>
          <w:rFonts w:ascii="Arial" w:hAnsi="Arial" w:cs="Arial"/>
          <w:sz w:val="20"/>
          <w:szCs w:val="20"/>
        </w:rPr>
        <w:t>V zmysle uvedených východísk bol v rámci OP KŽP navrhnutý súbor merateľných ukazovateľov s čo najvyššou výpovednou hodnotou, logicky prepojený na podporované typy intervencií merateľných ukazovateľov a zároveň reflektujúci na snahu, aby bol počet ukazovateľov čo najnižší. Týmto boli vytvorené predpoklady, aby mal RO možnosť sledovať a záväzne stanoviť ciele, ktoré majú byť realizáciou projektu dosiahnuté a ktorými sa zabezpečí dosahovanie cieľov na úrovni OP.</w:t>
      </w:r>
    </w:p>
    <w:p w14:paraId="799A3E04" w14:textId="1FCAE9AB" w:rsidR="002A4363" w:rsidRPr="00021D46" w:rsidRDefault="000D2C78" w:rsidP="00021D46">
      <w:pPr>
        <w:spacing w:before="120" w:after="120"/>
        <w:jc w:val="both"/>
        <w:rPr>
          <w:rFonts w:ascii="Arial" w:hAnsi="Arial" w:cs="Arial"/>
          <w:sz w:val="20"/>
          <w:szCs w:val="20"/>
        </w:rPr>
      </w:pPr>
      <w:r w:rsidRPr="00F8588F">
        <w:rPr>
          <w:rFonts w:ascii="Arial" w:hAnsi="Arial" w:cs="Arial"/>
          <w:sz w:val="20"/>
          <w:szCs w:val="20"/>
        </w:rPr>
        <w:t>Okrem vyššie uvedeného došlo k schváleniu Plánu hodnotenia pre OP KŽP na programové obdobie 2014</w:t>
      </w:r>
      <w:r w:rsidR="0008428C">
        <w:rPr>
          <w:rFonts w:ascii="Arial" w:hAnsi="Arial" w:cs="Arial"/>
          <w:sz w:val="20"/>
          <w:szCs w:val="20"/>
        </w:rPr>
        <w:t xml:space="preserve"> </w:t>
      </w:r>
      <w:r w:rsidRPr="00F8588F">
        <w:rPr>
          <w:rFonts w:ascii="Arial" w:hAnsi="Arial" w:cs="Arial"/>
          <w:sz w:val="20"/>
          <w:szCs w:val="20"/>
        </w:rPr>
        <w:t>-</w:t>
      </w:r>
      <w:r w:rsidR="0008428C">
        <w:rPr>
          <w:rFonts w:ascii="Arial" w:hAnsi="Arial" w:cs="Arial"/>
          <w:sz w:val="20"/>
          <w:szCs w:val="20"/>
        </w:rPr>
        <w:t xml:space="preserve"> </w:t>
      </w:r>
      <w:r w:rsidRPr="00F8588F">
        <w:rPr>
          <w:rFonts w:ascii="Arial" w:hAnsi="Arial" w:cs="Arial"/>
          <w:sz w:val="20"/>
          <w:szCs w:val="20"/>
        </w:rPr>
        <w:t>2020, verzia 1.0 dňa 28.</w:t>
      </w:r>
      <w:r w:rsidR="0008428C">
        <w:rPr>
          <w:rFonts w:ascii="Arial" w:hAnsi="Arial" w:cs="Arial"/>
          <w:sz w:val="20"/>
          <w:szCs w:val="20"/>
        </w:rPr>
        <w:t xml:space="preserve"> </w:t>
      </w:r>
      <w:r w:rsidRPr="00F8588F">
        <w:rPr>
          <w:rFonts w:ascii="Arial" w:hAnsi="Arial" w:cs="Arial"/>
          <w:sz w:val="20"/>
          <w:szCs w:val="20"/>
        </w:rPr>
        <w:t>4.</w:t>
      </w:r>
      <w:r w:rsidR="0008428C">
        <w:rPr>
          <w:rFonts w:ascii="Arial" w:hAnsi="Arial" w:cs="Arial"/>
          <w:sz w:val="20"/>
          <w:szCs w:val="20"/>
        </w:rPr>
        <w:t xml:space="preserve"> </w:t>
      </w:r>
      <w:r w:rsidRPr="00F8588F">
        <w:rPr>
          <w:rFonts w:ascii="Arial" w:hAnsi="Arial" w:cs="Arial"/>
          <w:sz w:val="20"/>
          <w:szCs w:val="20"/>
        </w:rPr>
        <w:t>2015. Plán hodnotenia pre OP KŽP bol schválený na 2 zasadnutí Monitorovacieho výboru pre OP KŽP.</w:t>
      </w:r>
    </w:p>
    <w:p w14:paraId="5CE43925" w14:textId="03F90B30" w:rsidR="000D2C78" w:rsidRDefault="000D2C78" w:rsidP="000D2C78">
      <w:pPr>
        <w:spacing w:before="120"/>
        <w:jc w:val="both"/>
        <w:rPr>
          <w:rFonts w:ascii="Arial" w:hAnsi="Arial" w:cs="Arial"/>
          <w:sz w:val="20"/>
          <w:szCs w:val="20"/>
        </w:rPr>
      </w:pPr>
      <w:r w:rsidRPr="00F8588F">
        <w:rPr>
          <w:rFonts w:ascii="Arial" w:hAnsi="Arial" w:cs="Arial"/>
          <w:sz w:val="20"/>
          <w:szCs w:val="20"/>
        </w:rPr>
        <w:t>Tabuľka č. 3</w:t>
      </w:r>
      <w:r w:rsidR="007B1CB9">
        <w:rPr>
          <w:rFonts w:ascii="Arial" w:hAnsi="Arial" w:cs="Arial"/>
          <w:sz w:val="20"/>
          <w:szCs w:val="20"/>
        </w:rPr>
        <w:t>7</w:t>
      </w:r>
      <w:r w:rsidRPr="00F8588F">
        <w:rPr>
          <w:rFonts w:ascii="Arial" w:hAnsi="Arial" w:cs="Arial"/>
          <w:sz w:val="20"/>
          <w:szCs w:val="20"/>
        </w:rPr>
        <w:t>: Realizované hodnotenia za obdobie od 01.</w:t>
      </w:r>
      <w:r w:rsidR="0008428C">
        <w:rPr>
          <w:rFonts w:ascii="Arial" w:hAnsi="Arial" w:cs="Arial"/>
          <w:sz w:val="20"/>
          <w:szCs w:val="20"/>
        </w:rPr>
        <w:t xml:space="preserve"> </w:t>
      </w:r>
      <w:r w:rsidRPr="00F8588F">
        <w:rPr>
          <w:rFonts w:ascii="Arial" w:hAnsi="Arial" w:cs="Arial"/>
          <w:sz w:val="20"/>
          <w:szCs w:val="20"/>
        </w:rPr>
        <w:t>01.</w:t>
      </w:r>
      <w:r w:rsidR="0008428C">
        <w:rPr>
          <w:rFonts w:ascii="Arial" w:hAnsi="Arial" w:cs="Arial"/>
          <w:sz w:val="20"/>
          <w:szCs w:val="20"/>
        </w:rPr>
        <w:t xml:space="preserve"> </w:t>
      </w:r>
      <w:r w:rsidRPr="00F8588F">
        <w:rPr>
          <w:rFonts w:ascii="Arial" w:hAnsi="Arial" w:cs="Arial"/>
          <w:sz w:val="20"/>
          <w:szCs w:val="20"/>
        </w:rPr>
        <w:t>2015 do 31.</w:t>
      </w:r>
      <w:r w:rsidR="0008428C">
        <w:rPr>
          <w:rFonts w:ascii="Arial" w:hAnsi="Arial" w:cs="Arial"/>
          <w:sz w:val="20"/>
          <w:szCs w:val="20"/>
        </w:rPr>
        <w:t xml:space="preserve"> </w:t>
      </w:r>
      <w:r w:rsidRPr="00F8588F">
        <w:rPr>
          <w:rFonts w:ascii="Arial" w:hAnsi="Arial" w:cs="Arial"/>
          <w:sz w:val="20"/>
          <w:szCs w:val="20"/>
        </w:rPr>
        <w:t>10.</w:t>
      </w:r>
      <w:r w:rsidR="0008428C">
        <w:rPr>
          <w:rFonts w:ascii="Arial" w:hAnsi="Arial" w:cs="Arial"/>
          <w:sz w:val="20"/>
          <w:szCs w:val="20"/>
        </w:rPr>
        <w:t xml:space="preserve"> </w:t>
      </w:r>
      <w:r w:rsidRPr="00F8588F">
        <w:rPr>
          <w:rFonts w:ascii="Arial" w:hAnsi="Arial" w:cs="Arial"/>
          <w:sz w:val="20"/>
          <w:szCs w:val="20"/>
        </w:rPr>
        <w:t>2016</w:t>
      </w:r>
    </w:p>
    <w:tbl>
      <w:tblPr>
        <w:tblStyle w:val="Mriekatabuky"/>
        <w:tblW w:w="0" w:type="auto"/>
        <w:tblLook w:val="04A0" w:firstRow="1" w:lastRow="0" w:firstColumn="1" w:lastColumn="0" w:noHBand="0" w:noVBand="1"/>
      </w:tblPr>
      <w:tblGrid>
        <w:gridCol w:w="2302"/>
        <w:gridCol w:w="2302"/>
        <w:gridCol w:w="2303"/>
        <w:gridCol w:w="2303"/>
      </w:tblGrid>
      <w:tr w:rsidR="000D2C78" w:rsidRPr="00C368C2" w14:paraId="5DCB7A93" w14:textId="77777777" w:rsidTr="00F410CF">
        <w:trPr>
          <w:trHeight w:val="264"/>
        </w:trPr>
        <w:tc>
          <w:tcPr>
            <w:tcW w:w="2302" w:type="dxa"/>
            <w:shd w:val="clear" w:color="auto" w:fill="C2D69B" w:themeFill="accent3" w:themeFillTint="99"/>
            <w:vAlign w:val="center"/>
          </w:tcPr>
          <w:p w14:paraId="3A712991"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Názov hodnotenia</w:t>
            </w:r>
          </w:p>
        </w:tc>
        <w:tc>
          <w:tcPr>
            <w:tcW w:w="2302" w:type="dxa"/>
            <w:shd w:val="clear" w:color="auto" w:fill="C2D69B" w:themeFill="accent3" w:themeFillTint="99"/>
            <w:vAlign w:val="center"/>
          </w:tcPr>
          <w:p w14:paraId="22547373" w14:textId="77777777" w:rsidR="000D2C78" w:rsidRDefault="000D2C78" w:rsidP="00F410CF">
            <w:pPr>
              <w:jc w:val="center"/>
              <w:rPr>
                <w:rFonts w:eastAsia="EUAlbertina-Regular-Identity-H" w:cs="Arial"/>
                <w:b/>
                <w:sz w:val="18"/>
                <w:szCs w:val="18"/>
              </w:rPr>
            </w:pPr>
            <w:r>
              <w:rPr>
                <w:rFonts w:eastAsia="EUAlbertina-Regular-Identity-H" w:cs="Arial"/>
                <w:b/>
                <w:sz w:val="18"/>
                <w:szCs w:val="18"/>
              </w:rPr>
              <w:t>Uhradená s</w:t>
            </w:r>
            <w:r w:rsidRPr="001563F8">
              <w:rPr>
                <w:rFonts w:eastAsia="EUAlbertina-Regular-Identity-H" w:cs="Arial"/>
                <w:b/>
                <w:sz w:val="18"/>
                <w:szCs w:val="18"/>
              </w:rPr>
              <w:t xml:space="preserve">uma </w:t>
            </w:r>
          </w:p>
          <w:p w14:paraId="1CDDB91A" w14:textId="77777777" w:rsidR="000D2C78" w:rsidRPr="00C368C2" w:rsidRDefault="000D2C78" w:rsidP="00F410CF">
            <w:pPr>
              <w:jc w:val="center"/>
              <w:rPr>
                <w:rFonts w:ascii="Arial" w:hAnsi="Arial" w:cs="Arial"/>
                <w:sz w:val="16"/>
                <w:szCs w:val="16"/>
              </w:rPr>
            </w:pPr>
            <w:r w:rsidRPr="001563F8">
              <w:rPr>
                <w:rFonts w:eastAsia="EUAlbertina-Regular-Identity-H" w:cs="Arial"/>
                <w:b/>
                <w:sz w:val="18"/>
                <w:szCs w:val="18"/>
              </w:rPr>
              <w:t>(</w:t>
            </w:r>
            <w:r>
              <w:rPr>
                <w:rFonts w:eastAsia="EUAlbertina-Regular-Identity-H" w:cs="Arial"/>
                <w:b/>
                <w:sz w:val="18"/>
                <w:szCs w:val="18"/>
              </w:rPr>
              <w:t xml:space="preserve">bez a s </w:t>
            </w:r>
            <w:r w:rsidRPr="001563F8">
              <w:rPr>
                <w:rFonts w:eastAsia="EUAlbertina-Regular-Identity-H" w:cs="Arial"/>
                <w:b/>
                <w:sz w:val="18"/>
                <w:szCs w:val="18"/>
              </w:rPr>
              <w:t>DPH) v €</w:t>
            </w:r>
          </w:p>
        </w:tc>
        <w:tc>
          <w:tcPr>
            <w:tcW w:w="2303" w:type="dxa"/>
            <w:shd w:val="clear" w:color="auto" w:fill="C2D69B" w:themeFill="accent3" w:themeFillTint="99"/>
            <w:vAlign w:val="center"/>
          </w:tcPr>
          <w:p w14:paraId="0112E860" w14:textId="77777777" w:rsidR="000D2C78" w:rsidRPr="00C368C2" w:rsidRDefault="000D2C78" w:rsidP="00F410CF">
            <w:pPr>
              <w:jc w:val="center"/>
              <w:rPr>
                <w:rFonts w:ascii="Arial" w:hAnsi="Arial" w:cs="Arial"/>
                <w:sz w:val="16"/>
                <w:szCs w:val="16"/>
              </w:rPr>
            </w:pPr>
            <w:r>
              <w:rPr>
                <w:rFonts w:eastAsia="EUAlbertina-Regular-Identity-H" w:cs="Arial"/>
                <w:b/>
                <w:sz w:val="18"/>
                <w:szCs w:val="18"/>
              </w:rPr>
              <w:t>Obdobie</w:t>
            </w:r>
            <w:r w:rsidRPr="001563F8">
              <w:rPr>
                <w:rFonts w:eastAsia="EUAlbertina-Regular-Identity-H" w:cs="Arial"/>
                <w:b/>
                <w:sz w:val="18"/>
                <w:szCs w:val="18"/>
              </w:rPr>
              <w:t xml:space="preserve"> realizácie hodnotenia</w:t>
            </w:r>
          </w:p>
        </w:tc>
        <w:tc>
          <w:tcPr>
            <w:tcW w:w="2303" w:type="dxa"/>
            <w:shd w:val="clear" w:color="auto" w:fill="C2D69B" w:themeFill="accent3" w:themeFillTint="99"/>
            <w:vAlign w:val="center"/>
          </w:tcPr>
          <w:p w14:paraId="4D695AC1"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Typ hodnotenia</w:t>
            </w:r>
          </w:p>
        </w:tc>
      </w:tr>
      <w:tr w:rsidR="000D2C78" w:rsidRPr="00C368C2" w14:paraId="00E0412B" w14:textId="77777777" w:rsidTr="00F410CF">
        <w:tc>
          <w:tcPr>
            <w:tcW w:w="2302" w:type="dxa"/>
            <w:shd w:val="clear" w:color="auto" w:fill="auto"/>
          </w:tcPr>
          <w:p w14:paraId="622A4440" w14:textId="77777777" w:rsidR="000D2C78" w:rsidRPr="00926AC8" w:rsidRDefault="000D2C78" w:rsidP="00F410CF">
            <w:pPr>
              <w:rPr>
                <w:rFonts w:ascii="Arial" w:hAnsi="Arial" w:cs="Arial"/>
                <w:sz w:val="16"/>
                <w:szCs w:val="16"/>
              </w:rPr>
            </w:pPr>
            <w:r w:rsidRPr="00F8588F">
              <w:rPr>
                <w:rFonts w:ascii="Arial" w:hAnsi="Arial" w:cs="Arial"/>
                <w:sz w:val="16"/>
                <w:szCs w:val="16"/>
                <w:shd w:val="clear" w:color="auto" w:fill="FFFFFF" w:themeFill="background1"/>
              </w:rPr>
              <w:t>Ucelené tematické hodnotenie OP ŽP z hľadiska jeho prínosu k plneniu požiadaviek vyplývajúcich z environmentálneho acquis a dopadov na životné prostredie a verejné zdravie</w:t>
            </w:r>
          </w:p>
        </w:tc>
        <w:tc>
          <w:tcPr>
            <w:tcW w:w="2302" w:type="dxa"/>
            <w:vAlign w:val="center"/>
          </w:tcPr>
          <w:p w14:paraId="0A8925D8" w14:textId="0AF99AB1" w:rsidR="000D2C78" w:rsidRDefault="000D2C78" w:rsidP="00F410CF">
            <w:pPr>
              <w:jc w:val="center"/>
              <w:rPr>
                <w:rFonts w:ascii="Arial" w:hAnsi="Arial" w:cs="Arial"/>
                <w:sz w:val="16"/>
                <w:szCs w:val="16"/>
              </w:rPr>
            </w:pPr>
            <w:r>
              <w:rPr>
                <w:rFonts w:ascii="Arial" w:hAnsi="Arial" w:cs="Arial"/>
                <w:sz w:val="16"/>
                <w:szCs w:val="16"/>
              </w:rPr>
              <w:t>135 600 s DPH</w:t>
            </w:r>
          </w:p>
          <w:p w14:paraId="4A7D73BC" w14:textId="24B03645" w:rsidR="000D2C78" w:rsidRPr="00C368C2" w:rsidRDefault="000D2C78" w:rsidP="00E91CEC">
            <w:pPr>
              <w:jc w:val="center"/>
              <w:rPr>
                <w:rFonts w:ascii="Arial" w:hAnsi="Arial" w:cs="Arial"/>
                <w:sz w:val="16"/>
                <w:szCs w:val="16"/>
              </w:rPr>
            </w:pPr>
            <w:r>
              <w:rPr>
                <w:rFonts w:ascii="Arial" w:hAnsi="Arial" w:cs="Arial"/>
                <w:sz w:val="16"/>
                <w:szCs w:val="16"/>
              </w:rPr>
              <w:t>(113 000 bez DPH)</w:t>
            </w:r>
          </w:p>
        </w:tc>
        <w:tc>
          <w:tcPr>
            <w:tcW w:w="2303" w:type="dxa"/>
            <w:vAlign w:val="center"/>
          </w:tcPr>
          <w:p w14:paraId="49CDC9D7" w14:textId="77777777" w:rsidR="000D2C78" w:rsidRPr="00C368C2" w:rsidRDefault="000D2C78" w:rsidP="00F410CF">
            <w:pPr>
              <w:jc w:val="center"/>
              <w:rPr>
                <w:rFonts w:ascii="Arial" w:hAnsi="Arial" w:cs="Arial"/>
                <w:sz w:val="16"/>
                <w:szCs w:val="16"/>
              </w:rPr>
            </w:pPr>
            <w:r>
              <w:rPr>
                <w:rFonts w:ascii="Arial" w:hAnsi="Arial" w:cs="Arial"/>
                <w:sz w:val="16"/>
                <w:szCs w:val="16"/>
              </w:rPr>
              <w:t>september 2015</w:t>
            </w:r>
          </w:p>
        </w:tc>
        <w:tc>
          <w:tcPr>
            <w:tcW w:w="2303" w:type="dxa"/>
            <w:vAlign w:val="center"/>
          </w:tcPr>
          <w:p w14:paraId="76C50F13" w14:textId="77777777" w:rsidR="000D2C78" w:rsidRPr="00C368C2" w:rsidRDefault="000D2C78" w:rsidP="00F410CF">
            <w:pPr>
              <w:jc w:val="center"/>
              <w:rPr>
                <w:rFonts w:ascii="Arial" w:hAnsi="Arial" w:cs="Arial"/>
                <w:sz w:val="16"/>
                <w:szCs w:val="16"/>
              </w:rPr>
            </w:pPr>
            <w:r w:rsidRPr="0037469C">
              <w:rPr>
                <w:rFonts w:ascii="Arial" w:hAnsi="Arial" w:cs="Arial"/>
                <w:sz w:val="16"/>
                <w:szCs w:val="16"/>
              </w:rPr>
              <w:t>strategické a externé</w:t>
            </w:r>
          </w:p>
        </w:tc>
      </w:tr>
      <w:tr w:rsidR="000D2C78" w:rsidRPr="00C368C2" w14:paraId="540698FC" w14:textId="77777777" w:rsidTr="00F410CF">
        <w:tc>
          <w:tcPr>
            <w:tcW w:w="9210" w:type="dxa"/>
            <w:gridSpan w:val="4"/>
          </w:tcPr>
          <w:p w14:paraId="3630CC70" w14:textId="77777777" w:rsidR="000D2C78" w:rsidRPr="00E96E9E" w:rsidRDefault="000D2C78" w:rsidP="00F410CF">
            <w:pPr>
              <w:shd w:val="clear" w:color="auto" w:fill="F0E882"/>
              <w:jc w:val="both"/>
              <w:rPr>
                <w:rFonts w:ascii="Arial" w:hAnsi="Arial" w:cs="Arial"/>
                <w:sz w:val="16"/>
                <w:szCs w:val="16"/>
              </w:rPr>
            </w:pPr>
            <w:r w:rsidRPr="00E96E9E">
              <w:rPr>
                <w:rFonts w:ascii="Arial" w:hAnsi="Arial" w:cs="Arial"/>
                <w:sz w:val="16"/>
                <w:szCs w:val="16"/>
              </w:rPr>
              <w:t>Stručný popis zistení z</w:t>
            </w:r>
            <w:r>
              <w:rPr>
                <w:rFonts w:ascii="Arial" w:hAnsi="Arial" w:cs="Arial"/>
                <w:sz w:val="16"/>
                <w:szCs w:val="16"/>
              </w:rPr>
              <w:t> </w:t>
            </w:r>
            <w:r w:rsidRPr="00E96E9E">
              <w:rPr>
                <w:rFonts w:ascii="Arial" w:hAnsi="Arial" w:cs="Arial"/>
                <w:sz w:val="16"/>
                <w:szCs w:val="16"/>
              </w:rPr>
              <w:t>hodnotenia</w:t>
            </w:r>
            <w:r>
              <w:rPr>
                <w:rFonts w:ascii="Arial" w:hAnsi="Arial" w:cs="Arial"/>
                <w:sz w:val="16"/>
                <w:szCs w:val="16"/>
              </w:rPr>
              <w:t xml:space="preserve"> a závery z hodnotenia</w:t>
            </w:r>
            <w:r w:rsidRPr="00E96E9E">
              <w:rPr>
                <w:rFonts w:ascii="Arial" w:hAnsi="Arial" w:cs="Arial"/>
                <w:sz w:val="16"/>
                <w:szCs w:val="16"/>
              </w:rPr>
              <w:t>:</w:t>
            </w:r>
          </w:p>
          <w:p w14:paraId="091FB8E9" w14:textId="77777777" w:rsidR="000D2C78" w:rsidRDefault="000D2C78" w:rsidP="00F410CF">
            <w:pPr>
              <w:jc w:val="both"/>
              <w:rPr>
                <w:rFonts w:ascii="Arial" w:hAnsi="Arial" w:cs="Arial"/>
                <w:sz w:val="16"/>
                <w:szCs w:val="16"/>
              </w:rPr>
            </w:pPr>
          </w:p>
          <w:p w14:paraId="210587E1" w14:textId="77777777" w:rsidR="000D2C78" w:rsidRDefault="000D2C78" w:rsidP="00F410CF">
            <w:pPr>
              <w:jc w:val="both"/>
              <w:rPr>
                <w:rFonts w:ascii="Arial" w:hAnsi="Arial" w:cs="Arial"/>
                <w:sz w:val="16"/>
                <w:szCs w:val="16"/>
              </w:rPr>
            </w:pPr>
            <w:r w:rsidRPr="00F8588F">
              <w:rPr>
                <w:rFonts w:ascii="Arial" w:hAnsi="Arial" w:cs="Arial"/>
                <w:sz w:val="16"/>
                <w:szCs w:val="16"/>
              </w:rPr>
              <w:t>Environmentálne acquis je súborom približne 70 nariadení doplnených dcérskymi nariadeniami a smernicami a patrí medzi finančne najnáročnejšie oblasti európskeho práva. Prioritou Operačného programu Životné prostredie bolo zabezpečiť plnenie časti opatrení environmentálneho acquis.</w:t>
            </w:r>
          </w:p>
          <w:p w14:paraId="6C3A9648" w14:textId="77777777" w:rsidR="000D2C78" w:rsidRPr="00F8588F" w:rsidRDefault="000D2C78" w:rsidP="00F410CF">
            <w:pPr>
              <w:jc w:val="both"/>
              <w:rPr>
                <w:rFonts w:ascii="Arial" w:hAnsi="Arial" w:cs="Arial"/>
                <w:sz w:val="16"/>
                <w:szCs w:val="16"/>
              </w:rPr>
            </w:pPr>
          </w:p>
          <w:p w14:paraId="1EA4364E"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Cieľom tohto hodnotenia je predovšetkým posúdiť aktuálny stav plnenia požiadaviek vyplývajúcich z právnych predpisov EÚ v oblasti environmentálneho acquis a príspevok intervencií Operačného programu k splneniu týchto požiadaviek</w:t>
            </w:r>
            <w:r>
              <w:rPr>
                <w:rFonts w:ascii="Arial" w:hAnsi="Arial" w:cs="Arial"/>
                <w:sz w:val="16"/>
                <w:szCs w:val="16"/>
              </w:rPr>
              <w:t>.</w:t>
            </w:r>
          </w:p>
          <w:p w14:paraId="1CC4026A" w14:textId="77777777" w:rsidR="000D2C78" w:rsidRDefault="000D2C78" w:rsidP="00F410CF">
            <w:pPr>
              <w:jc w:val="both"/>
              <w:rPr>
                <w:rFonts w:ascii="Arial" w:hAnsi="Arial" w:cs="Arial"/>
                <w:sz w:val="16"/>
                <w:szCs w:val="16"/>
              </w:rPr>
            </w:pPr>
          </w:p>
          <w:p w14:paraId="269D5934"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Možnosť realizácie experimentálnych hodnotení dopadov je v Operačnom programe životné prostredie minimálna. Rigorózne odhady dopadov zrejme v environmentálnych projektoch a programoch, s výnimkou vopred plánovaných experimentov menšieho rozsahu, nie sú možné. Prístupy ako „counterfactual impact evaluation“ nie sú vhodné na hodnotenie komplexných intervencií akými sú operačné programy, hodnotia sa nimi homogénne intervencie väčšieho rozsahu a množstvom údajov</w:t>
            </w:r>
            <w:r>
              <w:rPr>
                <w:rFonts w:ascii="Arial" w:hAnsi="Arial" w:cs="Arial"/>
                <w:sz w:val="16"/>
                <w:szCs w:val="16"/>
              </w:rPr>
              <w:t>.</w:t>
            </w:r>
          </w:p>
          <w:p w14:paraId="7D73D84F" w14:textId="77777777" w:rsidR="000D2C78" w:rsidRPr="00F8588F" w:rsidRDefault="000D2C78" w:rsidP="00F410CF">
            <w:pPr>
              <w:jc w:val="both"/>
              <w:rPr>
                <w:rFonts w:ascii="Arial" w:hAnsi="Arial" w:cs="Arial"/>
                <w:sz w:val="16"/>
                <w:szCs w:val="16"/>
              </w:rPr>
            </w:pPr>
          </w:p>
          <w:p w14:paraId="603E4648"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Operačný program Životné prostredie je hlavným zdrojom financovania intervencií, ktorých cieľom je dosiahnutie súladu s požiadavkami acquis v oblasti ochrany ovzdušia, ozónovej vrstvy a klimatických zmien. Je to približne 95% z celkového </w:t>
            </w:r>
            <w:r w:rsidRPr="00F8588F">
              <w:rPr>
                <w:rFonts w:ascii="Arial" w:hAnsi="Arial" w:cs="Arial"/>
                <w:sz w:val="16"/>
                <w:szCs w:val="16"/>
              </w:rPr>
              <w:lastRenderedPageBreak/>
              <w:t>objemu investovaných finančných prostriedkov</w:t>
            </w:r>
            <w:r>
              <w:rPr>
                <w:rFonts w:ascii="Arial" w:hAnsi="Arial" w:cs="Arial"/>
                <w:sz w:val="16"/>
                <w:szCs w:val="16"/>
              </w:rPr>
              <w:t>.</w:t>
            </w:r>
          </w:p>
          <w:p w14:paraId="501B3476" w14:textId="77777777" w:rsidR="000D2C78" w:rsidRDefault="000D2C78" w:rsidP="00F410CF">
            <w:pPr>
              <w:jc w:val="both"/>
              <w:rPr>
                <w:rFonts w:ascii="Arial" w:hAnsi="Arial" w:cs="Arial"/>
                <w:sz w:val="16"/>
                <w:szCs w:val="16"/>
              </w:rPr>
            </w:pPr>
          </w:p>
          <w:p w14:paraId="3EB879D2" w14:textId="77777777" w:rsidR="000D2C78" w:rsidRDefault="000D2C78" w:rsidP="00F410CF">
            <w:pPr>
              <w:jc w:val="both"/>
              <w:rPr>
                <w:rFonts w:ascii="Arial" w:hAnsi="Arial" w:cs="Arial"/>
                <w:sz w:val="16"/>
                <w:szCs w:val="16"/>
              </w:rPr>
            </w:pPr>
            <w:r>
              <w:rPr>
                <w:rFonts w:ascii="Arial" w:hAnsi="Arial" w:cs="Arial"/>
                <w:sz w:val="16"/>
                <w:szCs w:val="16"/>
              </w:rPr>
              <w:t>V</w:t>
            </w:r>
            <w:r w:rsidRPr="00F8588F">
              <w:rPr>
                <w:rFonts w:ascii="Arial" w:hAnsi="Arial" w:cs="Arial"/>
                <w:sz w:val="16"/>
                <w:szCs w:val="16"/>
              </w:rPr>
              <w:t xml:space="preserve">äčšina projektov, ktoré môžu prispieť k zníženiu emisií </w:t>
            </w:r>
            <w:r>
              <w:rPr>
                <w:rFonts w:ascii="Arial" w:hAnsi="Arial" w:cs="Arial"/>
                <w:sz w:val="16"/>
                <w:szCs w:val="16"/>
              </w:rPr>
              <w:t>bola</w:t>
            </w:r>
            <w:r w:rsidRPr="00F8588F">
              <w:rPr>
                <w:rFonts w:ascii="Arial" w:hAnsi="Arial" w:cs="Arial"/>
                <w:sz w:val="16"/>
                <w:szCs w:val="16"/>
              </w:rPr>
              <w:t xml:space="preserve"> </w:t>
            </w:r>
            <w:r>
              <w:rPr>
                <w:rFonts w:ascii="Arial" w:hAnsi="Arial" w:cs="Arial"/>
                <w:sz w:val="16"/>
                <w:szCs w:val="16"/>
              </w:rPr>
              <w:t xml:space="preserve">v čase vykonávaného hodnotenia </w:t>
            </w:r>
            <w:r w:rsidRPr="00F8588F">
              <w:rPr>
                <w:rFonts w:ascii="Arial" w:hAnsi="Arial" w:cs="Arial"/>
                <w:sz w:val="16"/>
                <w:szCs w:val="16"/>
              </w:rPr>
              <w:t xml:space="preserve">ešte </w:t>
            </w:r>
            <w:r>
              <w:rPr>
                <w:rFonts w:ascii="Arial" w:hAnsi="Arial" w:cs="Arial"/>
                <w:sz w:val="16"/>
                <w:szCs w:val="16"/>
              </w:rPr>
              <w:t xml:space="preserve">v </w:t>
            </w:r>
            <w:r w:rsidRPr="00F8588F">
              <w:rPr>
                <w:rFonts w:ascii="Arial" w:hAnsi="Arial" w:cs="Arial"/>
                <w:sz w:val="16"/>
                <w:szCs w:val="16"/>
              </w:rPr>
              <w:t>realiz</w:t>
            </w:r>
            <w:r>
              <w:rPr>
                <w:rFonts w:ascii="Arial" w:hAnsi="Arial" w:cs="Arial"/>
                <w:sz w:val="16"/>
                <w:szCs w:val="16"/>
              </w:rPr>
              <w:t>ácii</w:t>
            </w:r>
            <w:r w:rsidRPr="00F8588F">
              <w:rPr>
                <w:rFonts w:ascii="Arial" w:hAnsi="Arial" w:cs="Arial"/>
                <w:sz w:val="16"/>
                <w:szCs w:val="16"/>
              </w:rPr>
              <w:t>.</w:t>
            </w:r>
          </w:p>
          <w:p w14:paraId="462636CB" w14:textId="77777777" w:rsidR="000D2C78" w:rsidRPr="00F8588F" w:rsidRDefault="000D2C78" w:rsidP="00F410CF">
            <w:pPr>
              <w:jc w:val="both"/>
              <w:rPr>
                <w:rFonts w:ascii="Arial" w:hAnsi="Arial" w:cs="Arial"/>
                <w:sz w:val="16"/>
                <w:szCs w:val="16"/>
              </w:rPr>
            </w:pPr>
          </w:p>
          <w:p w14:paraId="4310EADA"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V odpadovom hospodárstve momentálne Slovenská republika nevykazuje žiadne formálne nedostatky v transpozícii, ale 50% recyklácie komunálnych odpadov (papier, plasty, sklo a kovy) do roku 2020 sa zrejme nepodarí naplniť.</w:t>
            </w:r>
          </w:p>
          <w:p w14:paraId="7B0E969E" w14:textId="77777777" w:rsidR="000D2C78" w:rsidRPr="00F8588F" w:rsidRDefault="000D2C78" w:rsidP="00F410CF">
            <w:pPr>
              <w:jc w:val="both"/>
              <w:rPr>
                <w:rFonts w:ascii="Arial" w:hAnsi="Arial" w:cs="Arial"/>
                <w:sz w:val="16"/>
                <w:szCs w:val="16"/>
              </w:rPr>
            </w:pPr>
          </w:p>
          <w:p w14:paraId="79B51B0A" w14:textId="77777777" w:rsidR="000D2C78" w:rsidRDefault="000D2C78" w:rsidP="00F410CF">
            <w:pPr>
              <w:jc w:val="both"/>
              <w:rPr>
                <w:rFonts w:ascii="Arial" w:hAnsi="Arial" w:cs="Arial"/>
                <w:sz w:val="16"/>
                <w:szCs w:val="16"/>
              </w:rPr>
            </w:pPr>
            <w:r w:rsidRPr="00F8588F">
              <w:rPr>
                <w:rFonts w:ascii="Arial" w:hAnsi="Arial" w:cs="Arial"/>
                <w:sz w:val="16"/>
                <w:szCs w:val="16"/>
              </w:rPr>
              <w:t>V oblasti ochrany prírody a krajiny sú požiadavky acquis formálne splnené.</w:t>
            </w:r>
          </w:p>
          <w:p w14:paraId="33DB4159" w14:textId="77777777" w:rsidR="000D2C78" w:rsidRPr="00F8588F" w:rsidRDefault="000D2C78" w:rsidP="00F410CF">
            <w:pPr>
              <w:jc w:val="both"/>
              <w:rPr>
                <w:rFonts w:ascii="Arial" w:hAnsi="Arial" w:cs="Arial"/>
                <w:sz w:val="16"/>
                <w:szCs w:val="16"/>
              </w:rPr>
            </w:pPr>
          </w:p>
          <w:p w14:paraId="7D66D0C4" w14:textId="77777777" w:rsidR="000D2C78" w:rsidRDefault="000D2C78" w:rsidP="00F410CF">
            <w:pPr>
              <w:jc w:val="both"/>
              <w:rPr>
                <w:rFonts w:ascii="Arial" w:hAnsi="Arial" w:cs="Arial"/>
                <w:sz w:val="16"/>
                <w:szCs w:val="16"/>
              </w:rPr>
            </w:pPr>
            <w:r w:rsidRPr="00F8588F">
              <w:rPr>
                <w:rFonts w:ascii="Arial" w:hAnsi="Arial" w:cs="Arial"/>
                <w:sz w:val="16"/>
                <w:szCs w:val="16"/>
              </w:rPr>
              <w:t>Realizáciu intervencií Operačného Programu Životné prostredie, ktoré znamenajú zlepšenie zásobovania obyvateľstva pitnou vodou z verejných vodovodov, ako aj odvádzanie a čistenie komunálnych odpadových vôd v zmysle záväzkov SR voči EÚ a zabezpečenie primeraného sledovania a hodnotenia stavu povrchových vôd a podzemných vôd je možné hodnotiť ako pozitívny vplyvy na životné prostredie aj na verené zdravie.</w:t>
            </w:r>
          </w:p>
          <w:p w14:paraId="6C63DC72" w14:textId="77777777" w:rsidR="000D2C78" w:rsidRPr="00F8588F" w:rsidRDefault="000D2C78" w:rsidP="00F410CF">
            <w:pPr>
              <w:jc w:val="both"/>
              <w:rPr>
                <w:rFonts w:ascii="Arial" w:hAnsi="Arial" w:cs="Arial"/>
                <w:sz w:val="16"/>
                <w:szCs w:val="16"/>
              </w:rPr>
            </w:pPr>
          </w:p>
          <w:p w14:paraId="4E0CFB52"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Napriek tomu, že príprava Operačného programu životné prostredie prebiehala niekoľko rokov pred prijatím stratégie Európa 2020, časť cieľov programu je v zmysle stratégie naďalej aktuálna.</w:t>
            </w:r>
          </w:p>
          <w:p w14:paraId="63126702" w14:textId="77777777" w:rsidR="000D2C78" w:rsidRPr="00C368C2" w:rsidRDefault="000D2C78" w:rsidP="00F410CF">
            <w:pPr>
              <w:jc w:val="both"/>
              <w:rPr>
                <w:rFonts w:ascii="Arial" w:hAnsi="Arial" w:cs="Arial"/>
                <w:sz w:val="16"/>
                <w:szCs w:val="16"/>
              </w:rPr>
            </w:pPr>
          </w:p>
        </w:tc>
      </w:tr>
      <w:tr w:rsidR="000D2C78" w:rsidRPr="00C368C2" w14:paraId="38E7A9D7" w14:textId="77777777" w:rsidTr="00F87D11">
        <w:trPr>
          <w:trHeight w:val="3445"/>
        </w:trPr>
        <w:tc>
          <w:tcPr>
            <w:tcW w:w="9210" w:type="dxa"/>
            <w:gridSpan w:val="4"/>
          </w:tcPr>
          <w:p w14:paraId="1C27CC8C" w14:textId="77777777" w:rsidR="000D2C78" w:rsidRPr="00E96E9E" w:rsidRDefault="000D2C78" w:rsidP="00F410CF">
            <w:pPr>
              <w:shd w:val="clear" w:color="auto" w:fill="F0E882"/>
              <w:jc w:val="both"/>
              <w:rPr>
                <w:rFonts w:ascii="Arial" w:hAnsi="Arial" w:cs="Arial"/>
                <w:sz w:val="16"/>
                <w:szCs w:val="16"/>
              </w:rPr>
            </w:pPr>
            <w:r w:rsidRPr="00E96E9E">
              <w:rPr>
                <w:rFonts w:ascii="Arial" w:hAnsi="Arial" w:cs="Arial"/>
                <w:sz w:val="16"/>
                <w:szCs w:val="16"/>
              </w:rPr>
              <w:lastRenderedPageBreak/>
              <w:t>Navrhnuté odporúčania:</w:t>
            </w:r>
          </w:p>
          <w:p w14:paraId="3DDED7E6" w14:textId="77777777" w:rsidR="000D2C78" w:rsidRDefault="000D2C78" w:rsidP="00F410CF">
            <w:pPr>
              <w:jc w:val="both"/>
              <w:rPr>
                <w:rFonts w:ascii="Arial" w:hAnsi="Arial" w:cs="Arial"/>
                <w:sz w:val="16"/>
                <w:szCs w:val="16"/>
              </w:rPr>
            </w:pPr>
          </w:p>
          <w:p w14:paraId="290D5F82"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Na základe zistení </w:t>
            </w:r>
            <w:r>
              <w:rPr>
                <w:rFonts w:ascii="Arial" w:hAnsi="Arial" w:cs="Arial"/>
                <w:sz w:val="16"/>
                <w:szCs w:val="16"/>
              </w:rPr>
              <w:t xml:space="preserve">sa </w:t>
            </w:r>
            <w:r w:rsidRPr="00F8588F">
              <w:rPr>
                <w:rFonts w:ascii="Arial" w:hAnsi="Arial" w:cs="Arial"/>
                <w:sz w:val="16"/>
                <w:szCs w:val="16"/>
              </w:rPr>
              <w:t>odporúča</w:t>
            </w:r>
            <w:r>
              <w:rPr>
                <w:rFonts w:ascii="Arial" w:hAnsi="Arial" w:cs="Arial"/>
                <w:sz w:val="16"/>
                <w:szCs w:val="16"/>
              </w:rPr>
              <w:t xml:space="preserve"> najmä:</w:t>
            </w:r>
          </w:p>
          <w:p w14:paraId="0115C69D" w14:textId="77777777" w:rsidR="000D2C78" w:rsidRPr="00F8588F" w:rsidRDefault="000D2C78" w:rsidP="00F410CF">
            <w:pPr>
              <w:jc w:val="both"/>
              <w:rPr>
                <w:rFonts w:ascii="Arial" w:hAnsi="Arial" w:cs="Arial"/>
                <w:sz w:val="16"/>
                <w:szCs w:val="16"/>
              </w:rPr>
            </w:pPr>
          </w:p>
          <w:p w14:paraId="3B7113FB" w14:textId="77777777" w:rsidR="000D2C78" w:rsidRPr="00F8588F" w:rsidRDefault="000D2C78" w:rsidP="000D2C78">
            <w:pPr>
              <w:pStyle w:val="Odsekzoznamu"/>
              <w:numPr>
                <w:ilvl w:val="0"/>
                <w:numId w:val="148"/>
              </w:numPr>
              <w:ind w:left="738"/>
              <w:jc w:val="both"/>
              <w:rPr>
                <w:rFonts w:ascii="Arial" w:hAnsi="Arial" w:cs="Arial"/>
                <w:sz w:val="16"/>
                <w:szCs w:val="16"/>
              </w:rPr>
            </w:pPr>
            <w:r w:rsidRPr="00F8588F">
              <w:rPr>
                <w:rFonts w:ascii="Arial" w:hAnsi="Arial" w:cs="Arial"/>
                <w:sz w:val="16"/>
                <w:szCs w:val="16"/>
                <w:lang w:eastAsia="sk-SK"/>
              </w:rPr>
              <w:t>tam, kde je to efektívne a v súlade s právnymi predpismi realizovať verejné obstarávania špeciálne zriadeným útvarom v rámci Riadiaceho alebo Sprostredkovateľského orgánu,</w:t>
            </w:r>
          </w:p>
          <w:p w14:paraId="7C185EB2" w14:textId="77777777" w:rsidR="000D2C78" w:rsidRPr="00F8588F" w:rsidRDefault="000D2C78" w:rsidP="000D2C78">
            <w:pPr>
              <w:pStyle w:val="Odsekzoznamu"/>
              <w:numPr>
                <w:ilvl w:val="0"/>
                <w:numId w:val="148"/>
              </w:numPr>
              <w:ind w:left="738"/>
              <w:jc w:val="both"/>
              <w:rPr>
                <w:rFonts w:ascii="Arial" w:hAnsi="Arial" w:cs="Arial"/>
                <w:sz w:val="16"/>
                <w:szCs w:val="16"/>
              </w:rPr>
            </w:pPr>
            <w:r w:rsidRPr="00F8588F">
              <w:rPr>
                <w:rFonts w:ascii="Arial" w:hAnsi="Arial" w:cs="Arial"/>
                <w:sz w:val="16"/>
                <w:szCs w:val="16"/>
                <w:lang w:eastAsia="sk-SK"/>
              </w:rPr>
              <w:t xml:space="preserve">pokúsiť sa na úrovni ministerstva o štandardné vykazovanie finančných údajov (zazmluvnených, čerpaných) a nastavenie monitorovania a reportovania identických ukazovateľov pre tematicky rovnaké schémy podpory, </w:t>
            </w:r>
          </w:p>
          <w:p w14:paraId="4DF5C827" w14:textId="77777777" w:rsidR="000D2C78" w:rsidRDefault="000D2C78" w:rsidP="000D2C78">
            <w:pPr>
              <w:pStyle w:val="Odsekzoznamu"/>
              <w:numPr>
                <w:ilvl w:val="0"/>
                <w:numId w:val="148"/>
              </w:numPr>
              <w:ind w:left="738"/>
              <w:jc w:val="both"/>
              <w:rPr>
                <w:rFonts w:ascii="Arial" w:hAnsi="Arial" w:cs="Arial"/>
                <w:sz w:val="16"/>
                <w:szCs w:val="16"/>
              </w:rPr>
            </w:pPr>
            <w:r w:rsidRPr="00F8588F">
              <w:rPr>
                <w:rFonts w:ascii="Arial" w:hAnsi="Arial" w:cs="Arial"/>
                <w:sz w:val="16"/>
                <w:szCs w:val="16"/>
                <w:lang w:eastAsia="sk-SK"/>
              </w:rPr>
              <w:t>identifikovať hodnotiace kritériá, ktoré umožnia vyselektovať projekty prioritné z pohľadu medzinárodných záväzkov,</w:t>
            </w:r>
          </w:p>
          <w:p w14:paraId="690C52D0" w14:textId="77777777" w:rsidR="000D2C78" w:rsidRDefault="000D2C78" w:rsidP="000D2C78">
            <w:pPr>
              <w:pStyle w:val="Odsekzoznamu"/>
              <w:numPr>
                <w:ilvl w:val="0"/>
                <w:numId w:val="148"/>
              </w:numPr>
              <w:ind w:left="738"/>
              <w:jc w:val="both"/>
              <w:rPr>
                <w:rFonts w:ascii="Arial" w:hAnsi="Arial" w:cs="Arial"/>
                <w:sz w:val="16"/>
                <w:szCs w:val="16"/>
              </w:rPr>
            </w:pPr>
            <w:r w:rsidRPr="009F0A6B">
              <w:rPr>
                <w:rFonts w:ascii="Arial" w:hAnsi="Arial" w:cs="Arial"/>
                <w:sz w:val="16"/>
                <w:szCs w:val="16"/>
                <w:lang w:eastAsia="sk-SK"/>
              </w:rPr>
              <w:t>podporiť len tie intervencie v oblasti ochrany pred povodňami, ktoré vychádzajú z Plánu manažmentu povodňového rizika</w:t>
            </w:r>
            <w:r>
              <w:rPr>
                <w:rFonts w:ascii="Arial" w:hAnsi="Arial" w:cs="Arial"/>
                <w:sz w:val="16"/>
                <w:szCs w:val="16"/>
                <w:lang w:eastAsia="sk-SK"/>
              </w:rPr>
              <w:t>,</w:t>
            </w:r>
          </w:p>
          <w:p w14:paraId="18D1DCD1" w14:textId="77777777" w:rsidR="000D2C78" w:rsidRDefault="000D2C78" w:rsidP="000D2C78">
            <w:pPr>
              <w:pStyle w:val="Odsekzoznamu"/>
              <w:numPr>
                <w:ilvl w:val="0"/>
                <w:numId w:val="148"/>
              </w:numPr>
              <w:ind w:left="738"/>
              <w:jc w:val="both"/>
              <w:rPr>
                <w:rFonts w:ascii="Arial" w:hAnsi="Arial" w:cs="Arial"/>
                <w:sz w:val="16"/>
                <w:szCs w:val="16"/>
              </w:rPr>
            </w:pPr>
            <w:r w:rsidRPr="009F0A6B">
              <w:rPr>
                <w:rFonts w:ascii="Arial" w:hAnsi="Arial" w:cs="Arial"/>
                <w:sz w:val="16"/>
                <w:szCs w:val="16"/>
                <w:lang w:eastAsia="sk-SK"/>
              </w:rPr>
              <w:t>v prípade zdrojov tepla zohľadniť nie len aspekty energetickej efektívnosti ale aj požiadavky kvality ovzdušia, ďalšie skvalitňovanie systému monitorovania ovzdušia</w:t>
            </w:r>
            <w:r>
              <w:rPr>
                <w:rFonts w:ascii="Arial" w:hAnsi="Arial" w:cs="Arial"/>
                <w:sz w:val="16"/>
                <w:szCs w:val="16"/>
                <w:lang w:eastAsia="sk-SK"/>
              </w:rPr>
              <w:t>,</w:t>
            </w:r>
          </w:p>
          <w:p w14:paraId="4610FCF1" w14:textId="77777777" w:rsidR="000D2C78" w:rsidRDefault="000D2C78" w:rsidP="000D2C78">
            <w:pPr>
              <w:pStyle w:val="Odsekzoznamu"/>
              <w:numPr>
                <w:ilvl w:val="0"/>
                <w:numId w:val="148"/>
              </w:numPr>
              <w:ind w:left="738"/>
              <w:jc w:val="both"/>
              <w:rPr>
                <w:rFonts w:ascii="Arial" w:hAnsi="Arial" w:cs="Arial"/>
                <w:sz w:val="16"/>
                <w:szCs w:val="16"/>
              </w:rPr>
            </w:pPr>
            <w:r w:rsidRPr="00926AC8">
              <w:rPr>
                <w:rFonts w:ascii="Arial" w:hAnsi="Arial" w:cs="Arial"/>
                <w:sz w:val="16"/>
                <w:szCs w:val="16"/>
                <w:lang w:eastAsia="sk-SK"/>
              </w:rPr>
              <w:t>zabezpečenie výkupu pozemkov a pozemkovej reformy v územiach Natura 2000, a</w:t>
            </w:r>
          </w:p>
          <w:p w14:paraId="14C47A2D" w14:textId="77777777" w:rsidR="000D2C78" w:rsidRDefault="000D2C78" w:rsidP="000D2C78">
            <w:pPr>
              <w:pStyle w:val="Odsekzoznamu"/>
              <w:numPr>
                <w:ilvl w:val="0"/>
                <w:numId w:val="148"/>
              </w:numPr>
              <w:ind w:left="738"/>
              <w:jc w:val="both"/>
              <w:rPr>
                <w:rFonts w:ascii="Arial" w:hAnsi="Arial" w:cs="Arial"/>
                <w:sz w:val="16"/>
                <w:szCs w:val="16"/>
              </w:rPr>
            </w:pPr>
            <w:r w:rsidRPr="00926AC8">
              <w:rPr>
                <w:rFonts w:ascii="Arial" w:hAnsi="Arial" w:cs="Arial"/>
                <w:sz w:val="16"/>
                <w:szCs w:val="16"/>
              </w:rPr>
              <w:t>sústrediť pozornosť na osvetu, informovanie, presviedčanie a zainteresovanie verejnosti na kľúčové témy ochrany životného prostredia</w:t>
            </w:r>
          </w:p>
          <w:p w14:paraId="508FD4E8" w14:textId="77777777" w:rsidR="000D2C78" w:rsidRPr="00C368C2" w:rsidRDefault="000D2C78" w:rsidP="00F410CF">
            <w:pPr>
              <w:pStyle w:val="Odsekzoznamu"/>
              <w:rPr>
                <w:rFonts w:ascii="Arial" w:hAnsi="Arial" w:cs="Arial"/>
                <w:sz w:val="16"/>
                <w:szCs w:val="16"/>
              </w:rPr>
            </w:pPr>
          </w:p>
        </w:tc>
      </w:tr>
      <w:tr w:rsidR="000D2C78" w:rsidRPr="00C368C2" w14:paraId="509CE317" w14:textId="77777777" w:rsidTr="00F410CF">
        <w:tc>
          <w:tcPr>
            <w:tcW w:w="9210" w:type="dxa"/>
            <w:gridSpan w:val="4"/>
          </w:tcPr>
          <w:p w14:paraId="2A6B639D" w14:textId="77777777" w:rsidR="000D2C78" w:rsidRPr="00E96E9E" w:rsidRDefault="000D2C78" w:rsidP="00F410CF">
            <w:pPr>
              <w:shd w:val="clear" w:color="auto" w:fill="FABF8F" w:themeFill="accent6" w:themeFillTint="99"/>
              <w:jc w:val="both"/>
              <w:rPr>
                <w:rFonts w:ascii="Arial" w:hAnsi="Arial" w:cs="Arial"/>
                <w:sz w:val="16"/>
                <w:szCs w:val="16"/>
              </w:rPr>
            </w:pPr>
            <w:r w:rsidRPr="00E96E9E">
              <w:rPr>
                <w:rFonts w:ascii="Arial" w:hAnsi="Arial" w:cs="Arial"/>
                <w:sz w:val="16"/>
                <w:szCs w:val="16"/>
              </w:rPr>
              <w:t>Prijaté opatrenia zo strany RO</w:t>
            </w:r>
            <w:r>
              <w:rPr>
                <w:rFonts w:ascii="Arial" w:hAnsi="Arial" w:cs="Arial"/>
                <w:sz w:val="16"/>
                <w:szCs w:val="16"/>
              </w:rPr>
              <w:t xml:space="preserve"> a realizácia záverov z hodnotenia</w:t>
            </w:r>
            <w:r w:rsidRPr="00E96E9E">
              <w:rPr>
                <w:rFonts w:ascii="Arial" w:hAnsi="Arial" w:cs="Arial"/>
                <w:sz w:val="16"/>
                <w:szCs w:val="16"/>
              </w:rPr>
              <w:t>:</w:t>
            </w:r>
          </w:p>
          <w:p w14:paraId="74D954F3" w14:textId="77777777" w:rsidR="000D2C78" w:rsidRPr="00C368C2" w:rsidRDefault="000D2C78" w:rsidP="00F410CF">
            <w:pPr>
              <w:jc w:val="both"/>
              <w:rPr>
                <w:rFonts w:ascii="Arial" w:hAnsi="Arial" w:cs="Arial"/>
                <w:sz w:val="16"/>
                <w:szCs w:val="16"/>
              </w:rPr>
            </w:pPr>
            <w:r w:rsidRPr="007442DF">
              <w:rPr>
                <w:rFonts w:ascii="Arial" w:hAnsi="Arial" w:cs="Arial"/>
                <w:sz w:val="16"/>
                <w:szCs w:val="16"/>
              </w:rPr>
              <w:t xml:space="preserve">Závery hodnotenia boli zohľadnené aj v rámci prípravy </w:t>
            </w:r>
            <w:r>
              <w:rPr>
                <w:rFonts w:ascii="Arial" w:hAnsi="Arial" w:cs="Arial"/>
                <w:sz w:val="16"/>
                <w:szCs w:val="16"/>
              </w:rPr>
              <w:t xml:space="preserve">OP KŽP, </w:t>
            </w:r>
            <w:r w:rsidRPr="007442DF">
              <w:rPr>
                <w:rFonts w:ascii="Arial" w:hAnsi="Arial" w:cs="Arial"/>
                <w:sz w:val="16"/>
                <w:szCs w:val="16"/>
              </w:rPr>
              <w:t>plánu hodnotenia OP KŽP na programové obdobie 2014 – 2020 a pri definovaní projektových ukazovateľov OP ŽP, ako dát, ktoré je potrebné systémovo zbierať aby bolo hodnotenie dopadov čo najefektívnejšie (bez finančne nákladného a časovo náročného zberu údajov).</w:t>
            </w:r>
          </w:p>
        </w:tc>
      </w:tr>
    </w:tbl>
    <w:p w14:paraId="2D4A2653" w14:textId="77777777" w:rsidR="002A4363" w:rsidRDefault="002A4363" w:rsidP="000D2C78">
      <w:pPr>
        <w:spacing w:before="120"/>
        <w:jc w:val="both"/>
        <w:rPr>
          <w:rFonts w:ascii="Arial" w:hAnsi="Arial" w:cs="Arial"/>
          <w:sz w:val="20"/>
          <w:szCs w:val="20"/>
        </w:rPr>
      </w:pPr>
    </w:p>
    <w:tbl>
      <w:tblPr>
        <w:tblStyle w:val="Mriekatabuky"/>
        <w:tblW w:w="0" w:type="auto"/>
        <w:tblLook w:val="04A0" w:firstRow="1" w:lastRow="0" w:firstColumn="1" w:lastColumn="0" w:noHBand="0" w:noVBand="1"/>
      </w:tblPr>
      <w:tblGrid>
        <w:gridCol w:w="2302"/>
        <w:gridCol w:w="2302"/>
        <w:gridCol w:w="2303"/>
        <w:gridCol w:w="2303"/>
      </w:tblGrid>
      <w:tr w:rsidR="000D2C78" w:rsidRPr="00C368C2" w14:paraId="2AE56DB0" w14:textId="77777777" w:rsidTr="00F410CF">
        <w:trPr>
          <w:trHeight w:val="292"/>
        </w:trPr>
        <w:tc>
          <w:tcPr>
            <w:tcW w:w="2302" w:type="dxa"/>
            <w:shd w:val="clear" w:color="auto" w:fill="C2D69B" w:themeFill="accent3" w:themeFillTint="99"/>
            <w:vAlign w:val="center"/>
          </w:tcPr>
          <w:p w14:paraId="58159AF0"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Názov hodnotenia</w:t>
            </w:r>
          </w:p>
        </w:tc>
        <w:tc>
          <w:tcPr>
            <w:tcW w:w="2302" w:type="dxa"/>
            <w:shd w:val="clear" w:color="auto" w:fill="C2D69B" w:themeFill="accent3" w:themeFillTint="99"/>
            <w:vAlign w:val="center"/>
          </w:tcPr>
          <w:p w14:paraId="4FE5C712"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Suma (vrátane DPH) v €</w:t>
            </w:r>
          </w:p>
        </w:tc>
        <w:tc>
          <w:tcPr>
            <w:tcW w:w="2303" w:type="dxa"/>
            <w:shd w:val="clear" w:color="auto" w:fill="C2D69B" w:themeFill="accent3" w:themeFillTint="99"/>
            <w:vAlign w:val="center"/>
          </w:tcPr>
          <w:p w14:paraId="3D12EE3B"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Doba realizácie hodnotenia</w:t>
            </w:r>
          </w:p>
        </w:tc>
        <w:tc>
          <w:tcPr>
            <w:tcW w:w="2303" w:type="dxa"/>
            <w:shd w:val="clear" w:color="auto" w:fill="C2D69B" w:themeFill="accent3" w:themeFillTint="99"/>
            <w:vAlign w:val="center"/>
          </w:tcPr>
          <w:p w14:paraId="1A4A2E78"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Typ hodnotenia</w:t>
            </w:r>
          </w:p>
        </w:tc>
      </w:tr>
      <w:tr w:rsidR="000D2C78" w:rsidRPr="00C368C2" w14:paraId="6304D8C4" w14:textId="77777777" w:rsidTr="00F410CF">
        <w:tc>
          <w:tcPr>
            <w:tcW w:w="2302" w:type="dxa"/>
            <w:vAlign w:val="center"/>
          </w:tcPr>
          <w:p w14:paraId="3EADC657" w14:textId="77777777" w:rsidR="000D2C78" w:rsidRPr="0065456D" w:rsidRDefault="000D2C78" w:rsidP="00F410CF">
            <w:pPr>
              <w:rPr>
                <w:rFonts w:ascii="Arial" w:hAnsi="Arial" w:cs="Arial"/>
                <w:sz w:val="16"/>
                <w:szCs w:val="16"/>
              </w:rPr>
            </w:pPr>
            <w:r w:rsidRPr="00F8588F">
              <w:rPr>
                <w:rFonts w:ascii="Arial" w:hAnsi="Arial" w:cs="Arial"/>
                <w:sz w:val="16"/>
                <w:szCs w:val="16"/>
              </w:rPr>
              <w:t>Ucelené tematické hodnotenie ekonomických a sociálnych dopadov OP ŽP na podporované územie cieľa Konvergencia</w:t>
            </w:r>
          </w:p>
        </w:tc>
        <w:tc>
          <w:tcPr>
            <w:tcW w:w="2302" w:type="dxa"/>
            <w:vAlign w:val="center"/>
          </w:tcPr>
          <w:p w14:paraId="2B9EC36F" w14:textId="171EB0DD" w:rsidR="000D2C78" w:rsidRDefault="000D2C78" w:rsidP="00F410CF">
            <w:pPr>
              <w:jc w:val="center"/>
              <w:rPr>
                <w:rFonts w:ascii="Arial" w:hAnsi="Arial" w:cs="Arial"/>
                <w:sz w:val="16"/>
                <w:szCs w:val="16"/>
              </w:rPr>
            </w:pPr>
            <w:r>
              <w:rPr>
                <w:rFonts w:ascii="Arial" w:hAnsi="Arial" w:cs="Arial"/>
                <w:sz w:val="16"/>
                <w:szCs w:val="16"/>
              </w:rPr>
              <w:t>135 600 s DPH</w:t>
            </w:r>
          </w:p>
          <w:p w14:paraId="04BC4C46" w14:textId="0F73BFD1" w:rsidR="000D2C78" w:rsidRPr="000956E4" w:rsidRDefault="000D2C78" w:rsidP="00E91CEC">
            <w:pPr>
              <w:jc w:val="center"/>
              <w:rPr>
                <w:rFonts w:ascii="Arial" w:hAnsi="Arial" w:cs="Arial"/>
                <w:sz w:val="16"/>
                <w:szCs w:val="16"/>
              </w:rPr>
            </w:pPr>
            <w:r>
              <w:rPr>
                <w:rFonts w:ascii="Arial" w:hAnsi="Arial" w:cs="Arial"/>
                <w:sz w:val="16"/>
                <w:szCs w:val="16"/>
              </w:rPr>
              <w:t>(113 000 bez DPH)</w:t>
            </w:r>
          </w:p>
        </w:tc>
        <w:tc>
          <w:tcPr>
            <w:tcW w:w="2303" w:type="dxa"/>
            <w:vAlign w:val="center"/>
          </w:tcPr>
          <w:p w14:paraId="46C6CFD4" w14:textId="77777777" w:rsidR="000D2C78" w:rsidRPr="000E2D7B" w:rsidRDefault="000D2C78" w:rsidP="00F410CF">
            <w:pPr>
              <w:jc w:val="center"/>
              <w:rPr>
                <w:rFonts w:ascii="Arial" w:hAnsi="Arial" w:cs="Arial"/>
                <w:sz w:val="16"/>
                <w:szCs w:val="16"/>
              </w:rPr>
            </w:pPr>
            <w:r>
              <w:rPr>
                <w:rFonts w:ascii="Arial" w:hAnsi="Arial" w:cs="Arial"/>
                <w:sz w:val="16"/>
                <w:szCs w:val="16"/>
              </w:rPr>
              <w:t>október 2015</w:t>
            </w:r>
          </w:p>
        </w:tc>
        <w:tc>
          <w:tcPr>
            <w:tcW w:w="2303" w:type="dxa"/>
            <w:vAlign w:val="center"/>
          </w:tcPr>
          <w:p w14:paraId="541FCCE9" w14:textId="77777777" w:rsidR="000D2C78" w:rsidRPr="00C368C2" w:rsidRDefault="000D2C78" w:rsidP="00F410CF">
            <w:pPr>
              <w:jc w:val="center"/>
              <w:rPr>
                <w:rFonts w:ascii="Arial" w:hAnsi="Arial" w:cs="Arial"/>
                <w:sz w:val="16"/>
                <w:szCs w:val="16"/>
              </w:rPr>
            </w:pPr>
            <w:r w:rsidRPr="000E2D7B">
              <w:rPr>
                <w:rFonts w:ascii="Arial" w:hAnsi="Arial" w:cs="Arial"/>
                <w:sz w:val="16"/>
                <w:szCs w:val="16"/>
              </w:rPr>
              <w:t>strategické a externé</w:t>
            </w:r>
          </w:p>
        </w:tc>
      </w:tr>
      <w:tr w:rsidR="000D2C78" w:rsidRPr="00C368C2" w14:paraId="3A09FCE8" w14:textId="77777777" w:rsidTr="00F410CF">
        <w:tc>
          <w:tcPr>
            <w:tcW w:w="9210" w:type="dxa"/>
            <w:gridSpan w:val="4"/>
          </w:tcPr>
          <w:p w14:paraId="4BFCB40A" w14:textId="77777777" w:rsidR="000D2C78" w:rsidRPr="00E96E9E" w:rsidRDefault="000D2C78" w:rsidP="00F410CF">
            <w:pPr>
              <w:shd w:val="clear" w:color="auto" w:fill="F0E882"/>
              <w:jc w:val="both"/>
              <w:rPr>
                <w:rFonts w:ascii="Arial" w:hAnsi="Arial" w:cs="Arial"/>
                <w:sz w:val="16"/>
                <w:szCs w:val="16"/>
              </w:rPr>
            </w:pPr>
            <w:r w:rsidRPr="00E96E9E">
              <w:rPr>
                <w:rFonts w:ascii="Arial" w:hAnsi="Arial" w:cs="Arial"/>
                <w:sz w:val="16"/>
                <w:szCs w:val="16"/>
              </w:rPr>
              <w:t>Stručný popis zistení z</w:t>
            </w:r>
            <w:r>
              <w:rPr>
                <w:rFonts w:ascii="Arial" w:hAnsi="Arial" w:cs="Arial"/>
                <w:sz w:val="16"/>
                <w:szCs w:val="16"/>
              </w:rPr>
              <w:t> </w:t>
            </w:r>
            <w:r w:rsidRPr="00E96E9E">
              <w:rPr>
                <w:rFonts w:ascii="Arial" w:hAnsi="Arial" w:cs="Arial"/>
                <w:sz w:val="16"/>
                <w:szCs w:val="16"/>
              </w:rPr>
              <w:t>hodnotenia</w:t>
            </w:r>
            <w:r>
              <w:rPr>
                <w:rFonts w:ascii="Arial" w:hAnsi="Arial" w:cs="Arial"/>
                <w:sz w:val="16"/>
                <w:szCs w:val="16"/>
              </w:rPr>
              <w:t xml:space="preserve"> a závery z hodnotenia</w:t>
            </w:r>
            <w:r w:rsidRPr="00E96E9E">
              <w:rPr>
                <w:rFonts w:ascii="Arial" w:hAnsi="Arial" w:cs="Arial"/>
                <w:sz w:val="16"/>
                <w:szCs w:val="16"/>
              </w:rPr>
              <w:t>:</w:t>
            </w:r>
          </w:p>
          <w:p w14:paraId="3893BF7F" w14:textId="77777777" w:rsidR="000D2C78" w:rsidRDefault="000D2C78" w:rsidP="00F410CF">
            <w:pPr>
              <w:jc w:val="both"/>
              <w:rPr>
                <w:rFonts w:ascii="Arial" w:hAnsi="Arial" w:cs="Arial"/>
                <w:sz w:val="16"/>
                <w:szCs w:val="16"/>
              </w:rPr>
            </w:pPr>
          </w:p>
          <w:p w14:paraId="17263924"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Cieľom hodnotenia je posúdiť prínos OP ŽP z pohľadu jeho sociálnych a ekonomických dopadov.</w:t>
            </w:r>
          </w:p>
          <w:p w14:paraId="306AD0ED"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Na posúdenie dopadov bola využitá analýza časových radov ako aj regresná a korelačná analýza. Analýza časových radov umožnila posúdiť hrubý príspevok intervencií, zatiaľ čo regresná a korelačná analýza naznačila, aký je pravdepodobný čistý príspevok Operačného programu Životné prostredie.</w:t>
            </w:r>
          </w:p>
          <w:p w14:paraId="0CDDEC71" w14:textId="77777777" w:rsidR="000D2C78" w:rsidRPr="00F8588F" w:rsidRDefault="000D2C78" w:rsidP="00F410CF">
            <w:pPr>
              <w:jc w:val="both"/>
              <w:rPr>
                <w:rFonts w:ascii="Arial" w:hAnsi="Arial" w:cs="Arial"/>
                <w:sz w:val="16"/>
                <w:szCs w:val="16"/>
              </w:rPr>
            </w:pPr>
          </w:p>
          <w:p w14:paraId="38C46472"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 xml:space="preserve">Použitie metódy counterfactual impact evaluation nie je vhodným prístupom na hodnotenie komplexných intervencií, t.j. operačných programov, ani na hodnotenie environmentálnych intervencií infraštruktúrneho charakteru a veľkého rozsahu. </w:t>
            </w:r>
          </w:p>
          <w:p w14:paraId="614E487F" w14:textId="77777777" w:rsidR="000D2C78" w:rsidRPr="00F8588F" w:rsidRDefault="000D2C78" w:rsidP="00F410CF">
            <w:pPr>
              <w:jc w:val="both"/>
              <w:rPr>
                <w:rFonts w:ascii="Arial" w:hAnsi="Arial" w:cs="Arial"/>
                <w:sz w:val="16"/>
                <w:szCs w:val="16"/>
              </w:rPr>
            </w:pPr>
          </w:p>
          <w:p w14:paraId="13401D3C"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Napriek množstvu obmedzení a pomerne predčasnej snahe merať dopady je evidentné, že už v súčasnosti má OP ŽP pozitívne dopady. Z analýzy časových radov je zrejmé, že v čase implementácie operačného programu výrazne rástla dĺžka kanalizačných sietí aj pripojenosť obyvateľstva ku kanalizačným sieťam, mierne narástol počet ČOV, kým dĺžka vodovodných sietí rástla približne rovnakým tempom ako v čase pred realizáciou OP ŽP.</w:t>
            </w:r>
          </w:p>
          <w:p w14:paraId="1DAE4C42" w14:textId="77777777" w:rsidR="000D2C78" w:rsidRDefault="000D2C78" w:rsidP="00F410CF">
            <w:pPr>
              <w:jc w:val="both"/>
              <w:rPr>
                <w:rFonts w:ascii="Arial" w:hAnsi="Arial" w:cs="Arial"/>
                <w:sz w:val="16"/>
                <w:szCs w:val="16"/>
              </w:rPr>
            </w:pPr>
          </w:p>
          <w:p w14:paraId="42B04210" w14:textId="77777777" w:rsidR="000D2C78" w:rsidRPr="00F8588F" w:rsidRDefault="000D2C78" w:rsidP="00F410CF">
            <w:pPr>
              <w:jc w:val="both"/>
              <w:rPr>
                <w:rFonts w:ascii="Arial" w:hAnsi="Arial" w:cs="Arial"/>
                <w:sz w:val="16"/>
                <w:szCs w:val="16"/>
              </w:rPr>
            </w:pPr>
            <w:r>
              <w:rPr>
                <w:rFonts w:ascii="Arial" w:hAnsi="Arial" w:cs="Arial"/>
                <w:sz w:val="16"/>
                <w:szCs w:val="16"/>
              </w:rPr>
              <w:t>P</w:t>
            </w:r>
            <w:r w:rsidRPr="00F8588F">
              <w:rPr>
                <w:rFonts w:ascii="Arial" w:hAnsi="Arial" w:cs="Arial"/>
                <w:sz w:val="16"/>
                <w:szCs w:val="16"/>
              </w:rPr>
              <w:t>ríspevok intervencií Operačného programu životné prostredie je približne 20, resp. 25% z celkového prírastku ČOV a stokových sietí</w:t>
            </w:r>
          </w:p>
          <w:p w14:paraId="7EE34197" w14:textId="77777777" w:rsidR="000D2C78" w:rsidRPr="00F8588F" w:rsidRDefault="000D2C78" w:rsidP="00F410CF">
            <w:pPr>
              <w:jc w:val="both"/>
              <w:rPr>
                <w:rFonts w:ascii="Arial" w:hAnsi="Arial" w:cs="Arial"/>
                <w:sz w:val="16"/>
                <w:szCs w:val="16"/>
              </w:rPr>
            </w:pPr>
          </w:p>
          <w:p w14:paraId="6F583FA1"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V</w:t>
            </w:r>
            <w:r>
              <w:rPr>
                <w:rFonts w:ascii="Arial" w:hAnsi="Arial" w:cs="Arial"/>
                <w:sz w:val="16"/>
                <w:szCs w:val="16"/>
              </w:rPr>
              <w:t> čase výkonu hodnotenia</w:t>
            </w:r>
            <w:r w:rsidRPr="00F8588F">
              <w:rPr>
                <w:rFonts w:ascii="Arial" w:hAnsi="Arial" w:cs="Arial"/>
                <w:sz w:val="16"/>
                <w:szCs w:val="16"/>
              </w:rPr>
              <w:t xml:space="preserve"> </w:t>
            </w:r>
            <w:r>
              <w:rPr>
                <w:rFonts w:ascii="Arial" w:hAnsi="Arial" w:cs="Arial"/>
                <w:sz w:val="16"/>
                <w:szCs w:val="16"/>
              </w:rPr>
              <w:t>nebola</w:t>
            </w:r>
            <w:r w:rsidRPr="00F8588F">
              <w:rPr>
                <w:rFonts w:ascii="Arial" w:hAnsi="Arial" w:cs="Arial"/>
                <w:sz w:val="16"/>
                <w:szCs w:val="16"/>
              </w:rPr>
              <w:t xml:space="preserve"> identifikova</w:t>
            </w:r>
            <w:r>
              <w:rPr>
                <w:rFonts w:ascii="Arial" w:hAnsi="Arial" w:cs="Arial"/>
                <w:sz w:val="16"/>
                <w:szCs w:val="16"/>
              </w:rPr>
              <w:t>ná</w:t>
            </w:r>
            <w:r w:rsidRPr="00F8588F">
              <w:rPr>
                <w:rFonts w:ascii="Arial" w:hAnsi="Arial" w:cs="Arial"/>
                <w:sz w:val="16"/>
                <w:szCs w:val="16"/>
              </w:rPr>
              <w:t xml:space="preserve"> žiadn</w:t>
            </w:r>
            <w:r>
              <w:rPr>
                <w:rFonts w:ascii="Arial" w:hAnsi="Arial" w:cs="Arial"/>
                <w:sz w:val="16"/>
                <w:szCs w:val="16"/>
              </w:rPr>
              <w:t>a</w:t>
            </w:r>
            <w:r w:rsidRPr="00F8588F">
              <w:rPr>
                <w:rFonts w:ascii="Arial" w:hAnsi="Arial" w:cs="Arial"/>
                <w:sz w:val="16"/>
                <w:szCs w:val="16"/>
              </w:rPr>
              <w:t xml:space="preserve"> súvislosť medzi ukazovateľmi sledovanými v rámci programu a štatistickými údajmi týkajúcimi sa množstva komunálneho odpadu, jeho zhodnotenia či separácie.</w:t>
            </w:r>
          </w:p>
          <w:p w14:paraId="278DF468" w14:textId="77777777" w:rsidR="000D2C78" w:rsidRPr="00F8588F" w:rsidRDefault="000D2C78" w:rsidP="00F410CF">
            <w:pPr>
              <w:jc w:val="both"/>
              <w:rPr>
                <w:rFonts w:ascii="Arial" w:hAnsi="Arial" w:cs="Arial"/>
                <w:sz w:val="16"/>
                <w:szCs w:val="16"/>
              </w:rPr>
            </w:pPr>
          </w:p>
          <w:p w14:paraId="0BE6096F" w14:textId="77777777" w:rsidR="000D2C78" w:rsidRPr="00F8588F" w:rsidRDefault="000D2C78" w:rsidP="00F410CF">
            <w:pPr>
              <w:jc w:val="both"/>
              <w:rPr>
                <w:rFonts w:ascii="Arial" w:hAnsi="Arial" w:cs="Arial"/>
                <w:sz w:val="16"/>
                <w:szCs w:val="16"/>
              </w:rPr>
            </w:pPr>
            <w:r>
              <w:rPr>
                <w:rFonts w:ascii="Arial" w:hAnsi="Arial" w:cs="Arial"/>
                <w:sz w:val="16"/>
                <w:szCs w:val="16"/>
              </w:rPr>
              <w:t>Pri</w:t>
            </w:r>
            <w:r w:rsidRPr="00F8588F">
              <w:rPr>
                <w:rFonts w:ascii="Arial" w:hAnsi="Arial" w:cs="Arial"/>
                <w:sz w:val="16"/>
                <w:szCs w:val="16"/>
              </w:rPr>
              <w:t xml:space="preserve"> posúden</w:t>
            </w:r>
            <w:r>
              <w:rPr>
                <w:rFonts w:ascii="Arial" w:hAnsi="Arial" w:cs="Arial"/>
                <w:sz w:val="16"/>
                <w:szCs w:val="16"/>
              </w:rPr>
              <w:t>í</w:t>
            </w:r>
            <w:r w:rsidRPr="00F8588F">
              <w:rPr>
                <w:rFonts w:ascii="Arial" w:hAnsi="Arial" w:cs="Arial"/>
                <w:sz w:val="16"/>
                <w:szCs w:val="16"/>
              </w:rPr>
              <w:t xml:space="preserve"> dopadov programu na životnú úroveň sa </w:t>
            </w:r>
            <w:r>
              <w:rPr>
                <w:rFonts w:ascii="Arial" w:hAnsi="Arial" w:cs="Arial"/>
                <w:sz w:val="16"/>
                <w:szCs w:val="16"/>
              </w:rPr>
              <w:t xml:space="preserve">hodnotenie </w:t>
            </w:r>
            <w:r w:rsidRPr="00F8588F">
              <w:rPr>
                <w:rFonts w:ascii="Arial" w:hAnsi="Arial" w:cs="Arial"/>
                <w:sz w:val="16"/>
                <w:szCs w:val="16"/>
              </w:rPr>
              <w:t>sústredil</w:t>
            </w:r>
            <w:r>
              <w:rPr>
                <w:rFonts w:ascii="Arial" w:hAnsi="Arial" w:cs="Arial"/>
                <w:sz w:val="16"/>
                <w:szCs w:val="16"/>
              </w:rPr>
              <w:t>o</w:t>
            </w:r>
            <w:r w:rsidRPr="00F8588F">
              <w:rPr>
                <w:rFonts w:ascii="Arial" w:hAnsi="Arial" w:cs="Arial"/>
                <w:sz w:val="16"/>
                <w:szCs w:val="16"/>
              </w:rPr>
              <w:t xml:space="preserve"> na rast hrubého domáceho produktu, priemerný </w:t>
            </w:r>
            <w:r w:rsidRPr="00F8588F">
              <w:rPr>
                <w:rFonts w:ascii="Arial" w:hAnsi="Arial" w:cs="Arial"/>
                <w:sz w:val="16"/>
                <w:szCs w:val="16"/>
              </w:rPr>
              <w:lastRenderedPageBreak/>
              <w:t>príjem domácnosti a mieru rizika chudoby. Lineárny regresný model štatisticky nepotvrdil žiadnu významnú závislosť.</w:t>
            </w:r>
          </w:p>
          <w:p w14:paraId="13049E06" w14:textId="77777777" w:rsidR="000D2C78" w:rsidRPr="00F8588F" w:rsidRDefault="000D2C78" w:rsidP="00F410CF">
            <w:pPr>
              <w:jc w:val="both"/>
              <w:rPr>
                <w:rFonts w:ascii="Arial" w:hAnsi="Arial" w:cs="Arial"/>
                <w:sz w:val="16"/>
                <w:szCs w:val="16"/>
              </w:rPr>
            </w:pPr>
          </w:p>
          <w:p w14:paraId="332F1696"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Podobne boli analyzované aj možné dopady operačného programu na atraktivitu prostredia. </w:t>
            </w:r>
            <w:r>
              <w:rPr>
                <w:rFonts w:ascii="Arial" w:hAnsi="Arial" w:cs="Arial"/>
                <w:sz w:val="16"/>
                <w:szCs w:val="16"/>
              </w:rPr>
              <w:t xml:space="preserve">Hodnotenie vychádzalo </w:t>
            </w:r>
            <w:r w:rsidRPr="00F8588F">
              <w:rPr>
                <w:rFonts w:ascii="Arial" w:hAnsi="Arial" w:cs="Arial"/>
                <w:sz w:val="16"/>
                <w:szCs w:val="16"/>
              </w:rPr>
              <w:t>z predpokladu, že atraktívnosť prostredia rastie s dostupnosťou environmentálnej infraštruktúry a čistotou prostredia, resp.</w:t>
            </w:r>
            <w:r>
              <w:rPr>
                <w:rFonts w:ascii="Arial" w:hAnsi="Arial" w:cs="Arial"/>
                <w:sz w:val="16"/>
                <w:szCs w:val="16"/>
              </w:rPr>
              <w:t> </w:t>
            </w:r>
            <w:r w:rsidRPr="00F8588F">
              <w:rPr>
                <w:rFonts w:ascii="Arial" w:hAnsi="Arial" w:cs="Arial"/>
                <w:sz w:val="16"/>
                <w:szCs w:val="16"/>
              </w:rPr>
              <w:t>ovzdušia. Atraktívnosť prostredia by sa teda mala prejaviť v migračnom salde, čo znamená, že prisťahovaných obyvateľov by malo byť viac ako odsťahovaných.</w:t>
            </w:r>
            <w:r>
              <w:rPr>
                <w:rFonts w:ascii="Arial" w:hAnsi="Arial" w:cs="Arial"/>
                <w:sz w:val="16"/>
                <w:szCs w:val="16"/>
              </w:rPr>
              <w:t xml:space="preserve"> </w:t>
            </w:r>
            <w:r w:rsidRPr="00F8588F">
              <w:rPr>
                <w:rFonts w:ascii="Arial" w:hAnsi="Arial" w:cs="Arial"/>
                <w:sz w:val="16"/>
                <w:szCs w:val="16"/>
              </w:rPr>
              <w:t>Testovanie potvrdilo súvislosť medzi znížením emisií skleníkových plynov CO2 a migračným saldom. Toto však klesalo, čiže pravdepodobne skôr indikovalo pokles emisií vďaka úbytku priemyslu a tým aj zvýšený odchod obyvateľov súvisiaci so stratou pracovných príležitostí.</w:t>
            </w:r>
          </w:p>
          <w:p w14:paraId="30823A21" w14:textId="77777777" w:rsidR="000D2C78" w:rsidRPr="00F8588F" w:rsidRDefault="000D2C78" w:rsidP="00F410CF">
            <w:pPr>
              <w:jc w:val="both"/>
              <w:rPr>
                <w:rFonts w:ascii="Arial" w:hAnsi="Arial" w:cs="Arial"/>
                <w:sz w:val="16"/>
                <w:szCs w:val="16"/>
              </w:rPr>
            </w:pPr>
          </w:p>
          <w:p w14:paraId="0EFCE254"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Vplyv operačného programu na rozvoj podnikateľských aktivít</w:t>
            </w:r>
            <w:r>
              <w:rPr>
                <w:rFonts w:ascii="Arial" w:hAnsi="Arial" w:cs="Arial"/>
                <w:sz w:val="16"/>
                <w:szCs w:val="16"/>
              </w:rPr>
              <w:t xml:space="preserve"> bol</w:t>
            </w:r>
            <w:r w:rsidRPr="00F8588F">
              <w:rPr>
                <w:rFonts w:ascii="Arial" w:hAnsi="Arial" w:cs="Arial"/>
                <w:sz w:val="16"/>
                <w:szCs w:val="16"/>
              </w:rPr>
              <w:t xml:space="preserve"> testova</w:t>
            </w:r>
            <w:r>
              <w:rPr>
                <w:rFonts w:ascii="Arial" w:hAnsi="Arial" w:cs="Arial"/>
                <w:sz w:val="16"/>
                <w:szCs w:val="16"/>
              </w:rPr>
              <w:t>ný</w:t>
            </w:r>
            <w:r w:rsidRPr="00F8588F">
              <w:rPr>
                <w:rFonts w:ascii="Arial" w:hAnsi="Arial" w:cs="Arial"/>
                <w:sz w:val="16"/>
                <w:szCs w:val="16"/>
              </w:rPr>
              <w:t xml:space="preserve"> vo vzťahu k počtu živnostníkov a právnických osôb vo všeobecnosti, ale aj tých, ktorí podľa klasifikácie odvetvových činností podnikajú v oblastiach súvisiacich s vodným a odpadovým hospodárstvom.</w:t>
            </w:r>
          </w:p>
          <w:p w14:paraId="168357EE" w14:textId="77777777" w:rsidR="000D2C78" w:rsidRPr="00F8588F" w:rsidRDefault="000D2C78" w:rsidP="00F410CF">
            <w:pPr>
              <w:jc w:val="both"/>
              <w:rPr>
                <w:rFonts w:ascii="Arial" w:hAnsi="Arial" w:cs="Arial"/>
                <w:sz w:val="16"/>
                <w:szCs w:val="16"/>
              </w:rPr>
            </w:pPr>
          </w:p>
          <w:p w14:paraId="47D10DC4" w14:textId="77777777" w:rsidR="000D2C78" w:rsidRPr="00AC6F1C" w:rsidRDefault="000D2C78" w:rsidP="00F410CF">
            <w:pPr>
              <w:jc w:val="both"/>
              <w:rPr>
                <w:rFonts w:ascii="Arial" w:hAnsi="Arial" w:cs="Arial"/>
                <w:sz w:val="16"/>
                <w:szCs w:val="16"/>
              </w:rPr>
            </w:pPr>
            <w:r w:rsidRPr="00F8588F">
              <w:rPr>
                <w:rFonts w:ascii="Arial" w:hAnsi="Arial" w:cs="Arial"/>
                <w:sz w:val="16"/>
                <w:szCs w:val="16"/>
              </w:rPr>
              <w:t>Z pohľadu ekonomických a sociálnych dopadov Operačného programu Životné prostredie vo vzťahu k aktuálnym cieľom stratégie Európa 2020 možno konštatovať, že environmentálna infraštruktúra (zásobovanie pitnou vodou z verejných vodovodov, odkanalizovanie a čistenie odpadových vôd, zber a spracovanie odpadov) je považovaná za dôležitý faktor ovplyvňujúci životnú úroveň obyvateľstva. Tento faktor zohráva dôležitú úlohu v sociálnej inklúzii a prispieva k inkluzívnemu rastu, čo je tiež jedným z hlavných cieľov stratégie Európa 2020.</w:t>
            </w:r>
          </w:p>
        </w:tc>
      </w:tr>
      <w:tr w:rsidR="000D2C78" w:rsidRPr="00C368C2" w14:paraId="6AD5FA87" w14:textId="77777777" w:rsidTr="00F410CF">
        <w:tc>
          <w:tcPr>
            <w:tcW w:w="9210" w:type="dxa"/>
            <w:gridSpan w:val="4"/>
          </w:tcPr>
          <w:p w14:paraId="2C382EEB" w14:textId="77777777" w:rsidR="000D2C78" w:rsidRPr="00E96E9E" w:rsidRDefault="000D2C78" w:rsidP="00F410CF">
            <w:pPr>
              <w:shd w:val="clear" w:color="auto" w:fill="F0E882"/>
              <w:jc w:val="both"/>
              <w:rPr>
                <w:rFonts w:ascii="Arial" w:hAnsi="Arial" w:cs="Arial"/>
                <w:sz w:val="16"/>
                <w:szCs w:val="16"/>
              </w:rPr>
            </w:pPr>
            <w:r w:rsidRPr="00E96E9E">
              <w:rPr>
                <w:rFonts w:ascii="Arial" w:hAnsi="Arial" w:cs="Arial"/>
                <w:sz w:val="16"/>
                <w:szCs w:val="16"/>
              </w:rPr>
              <w:lastRenderedPageBreak/>
              <w:t>Navrhnuté odporúčania:</w:t>
            </w:r>
          </w:p>
          <w:p w14:paraId="026CB0A9" w14:textId="77777777" w:rsidR="000D2C78" w:rsidRDefault="000D2C78" w:rsidP="00F410CF">
            <w:pPr>
              <w:jc w:val="both"/>
              <w:rPr>
                <w:rFonts w:ascii="Arial" w:hAnsi="Arial" w:cs="Arial"/>
                <w:sz w:val="16"/>
                <w:szCs w:val="16"/>
              </w:rPr>
            </w:pPr>
          </w:p>
          <w:p w14:paraId="1EC1FB38" w14:textId="77777777" w:rsidR="000D2C78" w:rsidRPr="00FE35F7" w:rsidRDefault="000D2C78" w:rsidP="00F410CF">
            <w:pPr>
              <w:jc w:val="both"/>
              <w:rPr>
                <w:rFonts w:ascii="Arial" w:hAnsi="Arial" w:cs="Arial"/>
                <w:sz w:val="16"/>
                <w:szCs w:val="16"/>
              </w:rPr>
            </w:pPr>
            <w:r w:rsidRPr="00F8588F">
              <w:rPr>
                <w:rFonts w:ascii="Arial" w:hAnsi="Arial" w:cs="Arial"/>
                <w:sz w:val="16"/>
                <w:szCs w:val="16"/>
              </w:rPr>
              <w:t xml:space="preserve">Na základe zistení a skúseností z tohto hodnotenia dopadov </w:t>
            </w:r>
            <w:r>
              <w:rPr>
                <w:rFonts w:ascii="Arial" w:hAnsi="Arial" w:cs="Arial"/>
                <w:sz w:val="16"/>
                <w:szCs w:val="16"/>
              </w:rPr>
              <w:t>sa odporúča</w:t>
            </w:r>
            <w:r w:rsidRPr="00F8588F">
              <w:rPr>
                <w:rFonts w:ascii="Arial" w:hAnsi="Arial" w:cs="Arial"/>
                <w:sz w:val="16"/>
                <w:szCs w:val="16"/>
              </w:rPr>
              <w:t xml:space="preserve"> Riadiacemu orgánu Operačného programu Životné prostredie zvážiť rea</w:t>
            </w:r>
            <w:r w:rsidRPr="00FE35F7">
              <w:rPr>
                <w:rFonts w:ascii="Arial" w:hAnsi="Arial" w:cs="Arial"/>
                <w:sz w:val="16"/>
                <w:szCs w:val="16"/>
              </w:rPr>
              <w:t>lizáciu nasledovných opatrení:</w:t>
            </w:r>
          </w:p>
          <w:p w14:paraId="12CF5330" w14:textId="77777777" w:rsidR="000D2C78" w:rsidRPr="00F8588F" w:rsidRDefault="000D2C78" w:rsidP="00F410CF">
            <w:pPr>
              <w:jc w:val="both"/>
              <w:rPr>
                <w:rFonts w:ascii="Arial" w:hAnsi="Arial" w:cs="Arial"/>
                <w:sz w:val="16"/>
                <w:szCs w:val="16"/>
              </w:rPr>
            </w:pPr>
          </w:p>
          <w:p w14:paraId="36B719A0" w14:textId="77777777" w:rsidR="000D2C78" w:rsidRPr="00F8588F" w:rsidRDefault="000D2C78" w:rsidP="000D2C78">
            <w:pPr>
              <w:pStyle w:val="Odsekzoznamu"/>
              <w:numPr>
                <w:ilvl w:val="0"/>
                <w:numId w:val="22"/>
              </w:numPr>
              <w:tabs>
                <w:tab w:val="clear" w:pos="1080"/>
              </w:tabs>
              <w:spacing w:after="0"/>
              <w:ind w:left="142" w:hanging="142"/>
              <w:jc w:val="both"/>
              <w:rPr>
                <w:rFonts w:ascii="Arial" w:hAnsi="Arial" w:cs="Arial"/>
                <w:sz w:val="16"/>
                <w:szCs w:val="16"/>
                <w:lang w:eastAsia="sk-SK"/>
              </w:rPr>
            </w:pPr>
            <w:r w:rsidRPr="00F8588F">
              <w:rPr>
                <w:rFonts w:ascii="Arial" w:hAnsi="Arial" w:cs="Arial"/>
                <w:sz w:val="16"/>
                <w:szCs w:val="16"/>
                <w:lang w:eastAsia="sk-SK"/>
              </w:rPr>
              <w:t xml:space="preserve">hodnotenie dopadov realizovať s dostatočným časovým odstupom od ukončenia realizácie hodnotených intervencií, </w:t>
            </w:r>
          </w:p>
          <w:p w14:paraId="295EEA04" w14:textId="77777777" w:rsidR="000D2C78" w:rsidRPr="00F8588F" w:rsidRDefault="000D2C78" w:rsidP="000D2C78">
            <w:pPr>
              <w:pStyle w:val="Odsekzoznamu"/>
              <w:numPr>
                <w:ilvl w:val="0"/>
                <w:numId w:val="22"/>
              </w:numPr>
              <w:tabs>
                <w:tab w:val="clear" w:pos="1080"/>
              </w:tabs>
              <w:spacing w:after="0"/>
              <w:ind w:left="142" w:hanging="142"/>
              <w:jc w:val="both"/>
              <w:rPr>
                <w:rFonts w:ascii="Arial" w:hAnsi="Arial" w:cs="Arial"/>
                <w:sz w:val="16"/>
                <w:szCs w:val="16"/>
                <w:lang w:eastAsia="sk-SK"/>
              </w:rPr>
            </w:pPr>
            <w:r w:rsidRPr="00F8588F">
              <w:rPr>
                <w:rFonts w:ascii="Arial" w:hAnsi="Arial" w:cs="Arial"/>
                <w:sz w:val="16"/>
                <w:szCs w:val="16"/>
                <w:lang w:eastAsia="sk-SK"/>
              </w:rPr>
              <w:t>v štádiu prípravy a programovania nového programu využívať odporúčania z priebežných hodnotení,</w:t>
            </w:r>
          </w:p>
          <w:p w14:paraId="39445B98" w14:textId="77777777" w:rsidR="000D2C78" w:rsidRPr="00F8588F" w:rsidRDefault="000D2C78" w:rsidP="000D2C78">
            <w:pPr>
              <w:pStyle w:val="Odsekzoznamu"/>
              <w:numPr>
                <w:ilvl w:val="0"/>
                <w:numId w:val="22"/>
              </w:numPr>
              <w:tabs>
                <w:tab w:val="clear" w:pos="1080"/>
              </w:tabs>
              <w:spacing w:after="0"/>
              <w:ind w:left="142" w:hanging="142"/>
              <w:jc w:val="both"/>
              <w:rPr>
                <w:rFonts w:ascii="Arial" w:hAnsi="Arial" w:cs="Arial"/>
                <w:sz w:val="16"/>
                <w:szCs w:val="16"/>
                <w:lang w:eastAsia="sk-SK"/>
              </w:rPr>
            </w:pPr>
            <w:r w:rsidRPr="00F8588F">
              <w:rPr>
                <w:rFonts w:ascii="Arial" w:hAnsi="Arial" w:cs="Arial"/>
                <w:sz w:val="16"/>
                <w:szCs w:val="16"/>
                <w:lang w:eastAsia="sk-SK"/>
              </w:rPr>
              <w:t xml:space="preserve">stanoviť ukazovatele, ktoré obsahujú len jeden parameter, </w:t>
            </w:r>
          </w:p>
          <w:p w14:paraId="0E7A9C48" w14:textId="77777777" w:rsidR="000D2C78" w:rsidRPr="00F8588F" w:rsidRDefault="000D2C78" w:rsidP="000D2C78">
            <w:pPr>
              <w:pStyle w:val="Odsekzoznamu"/>
              <w:numPr>
                <w:ilvl w:val="0"/>
                <w:numId w:val="22"/>
              </w:numPr>
              <w:tabs>
                <w:tab w:val="clear" w:pos="1080"/>
              </w:tabs>
              <w:spacing w:after="0"/>
              <w:ind w:left="142" w:hanging="142"/>
              <w:jc w:val="both"/>
              <w:rPr>
                <w:rFonts w:ascii="Arial" w:hAnsi="Arial" w:cs="Arial"/>
                <w:sz w:val="16"/>
                <w:szCs w:val="16"/>
                <w:lang w:eastAsia="sk-SK"/>
              </w:rPr>
            </w:pPr>
            <w:r w:rsidRPr="00F8588F">
              <w:rPr>
                <w:rFonts w:ascii="Arial" w:hAnsi="Arial" w:cs="Arial"/>
                <w:sz w:val="16"/>
                <w:szCs w:val="16"/>
                <w:lang w:eastAsia="sk-SK"/>
              </w:rPr>
              <w:t xml:space="preserve">definovať relevantné ukazovatele pre každý špecifický cieľ, </w:t>
            </w:r>
          </w:p>
          <w:p w14:paraId="10CA2344" w14:textId="77777777" w:rsidR="000D2C78" w:rsidRPr="00F8588F" w:rsidRDefault="000D2C78" w:rsidP="000D2C78">
            <w:pPr>
              <w:pStyle w:val="Odsekzoznamu"/>
              <w:numPr>
                <w:ilvl w:val="0"/>
                <w:numId w:val="22"/>
              </w:numPr>
              <w:tabs>
                <w:tab w:val="clear" w:pos="1080"/>
              </w:tabs>
              <w:spacing w:after="0"/>
              <w:ind w:left="142" w:hanging="142"/>
              <w:jc w:val="both"/>
              <w:rPr>
                <w:rFonts w:ascii="Arial" w:hAnsi="Arial" w:cs="Arial"/>
                <w:sz w:val="16"/>
                <w:szCs w:val="16"/>
                <w:lang w:eastAsia="sk-SK"/>
              </w:rPr>
            </w:pPr>
            <w:r w:rsidRPr="00F8588F">
              <w:rPr>
                <w:rFonts w:ascii="Arial" w:hAnsi="Arial" w:cs="Arial"/>
                <w:sz w:val="16"/>
                <w:szCs w:val="16"/>
                <w:lang w:eastAsia="sk-SK"/>
              </w:rPr>
              <w:t xml:space="preserve">venovať špeciálnu pozornosť údajom potrebným na hodnotenie, a </w:t>
            </w:r>
          </w:p>
          <w:p w14:paraId="35B7A884" w14:textId="77777777" w:rsidR="000D2C78" w:rsidRDefault="000D2C78" w:rsidP="000D2C78">
            <w:pPr>
              <w:pStyle w:val="Odsekzoznamu"/>
              <w:numPr>
                <w:ilvl w:val="0"/>
                <w:numId w:val="22"/>
              </w:numPr>
              <w:tabs>
                <w:tab w:val="clear" w:pos="1080"/>
              </w:tabs>
              <w:spacing w:after="0"/>
              <w:ind w:left="142" w:hanging="142"/>
              <w:jc w:val="both"/>
              <w:rPr>
                <w:rFonts w:ascii="Arial" w:hAnsi="Arial" w:cs="Arial"/>
                <w:sz w:val="16"/>
                <w:szCs w:val="16"/>
              </w:rPr>
            </w:pPr>
            <w:r w:rsidRPr="00F8588F">
              <w:rPr>
                <w:rFonts w:ascii="Arial" w:hAnsi="Arial" w:cs="Arial"/>
                <w:sz w:val="16"/>
                <w:szCs w:val="16"/>
              </w:rPr>
              <w:t>uvažovať o použití experimentálnych hodnotení len v prípadoch, kde je takýto prístup možný</w:t>
            </w:r>
          </w:p>
          <w:p w14:paraId="61C8AE5C" w14:textId="77777777" w:rsidR="000D2C78" w:rsidRPr="00C368C2" w:rsidRDefault="000D2C78" w:rsidP="00F410CF">
            <w:pPr>
              <w:pStyle w:val="Odsekzoznamu"/>
              <w:ind w:left="142"/>
              <w:jc w:val="both"/>
              <w:rPr>
                <w:rFonts w:ascii="Arial" w:hAnsi="Arial" w:cs="Arial"/>
                <w:sz w:val="16"/>
                <w:szCs w:val="16"/>
              </w:rPr>
            </w:pPr>
          </w:p>
        </w:tc>
      </w:tr>
      <w:tr w:rsidR="000D2C78" w:rsidRPr="00C368C2" w14:paraId="6CB0ABAD" w14:textId="77777777" w:rsidTr="00F410CF">
        <w:tc>
          <w:tcPr>
            <w:tcW w:w="9210" w:type="dxa"/>
            <w:gridSpan w:val="4"/>
          </w:tcPr>
          <w:p w14:paraId="2DF8F798" w14:textId="77777777" w:rsidR="000D2C78" w:rsidRPr="00E96E9E" w:rsidRDefault="000D2C78" w:rsidP="00F410CF">
            <w:pPr>
              <w:shd w:val="clear" w:color="auto" w:fill="FABF8F" w:themeFill="accent6" w:themeFillTint="99"/>
              <w:jc w:val="both"/>
              <w:rPr>
                <w:rFonts w:ascii="Arial" w:hAnsi="Arial" w:cs="Arial"/>
                <w:sz w:val="16"/>
                <w:szCs w:val="16"/>
              </w:rPr>
            </w:pPr>
            <w:r w:rsidRPr="00E96E9E">
              <w:rPr>
                <w:rFonts w:ascii="Arial" w:hAnsi="Arial" w:cs="Arial"/>
                <w:sz w:val="16"/>
                <w:szCs w:val="16"/>
              </w:rPr>
              <w:t>Prijaté opatrenia zo strany RO</w:t>
            </w:r>
            <w:r>
              <w:rPr>
                <w:rFonts w:ascii="Arial" w:hAnsi="Arial" w:cs="Arial"/>
                <w:sz w:val="16"/>
                <w:szCs w:val="16"/>
              </w:rPr>
              <w:t xml:space="preserve"> a realizácia záverov z hodnotenia</w:t>
            </w:r>
            <w:r w:rsidRPr="00E96E9E">
              <w:rPr>
                <w:rFonts w:ascii="Arial" w:hAnsi="Arial" w:cs="Arial"/>
                <w:sz w:val="16"/>
                <w:szCs w:val="16"/>
              </w:rPr>
              <w:t>:</w:t>
            </w:r>
          </w:p>
          <w:p w14:paraId="433F4115" w14:textId="77777777" w:rsidR="000D2C78" w:rsidRPr="00C368C2" w:rsidRDefault="000D2C78" w:rsidP="00F410CF">
            <w:pPr>
              <w:rPr>
                <w:rFonts w:ascii="Arial" w:hAnsi="Arial" w:cs="Arial"/>
                <w:sz w:val="16"/>
                <w:szCs w:val="16"/>
              </w:rPr>
            </w:pPr>
            <w:r w:rsidRPr="00D26F1A">
              <w:rPr>
                <w:rFonts w:ascii="Arial" w:hAnsi="Arial" w:cs="Arial"/>
                <w:sz w:val="16"/>
                <w:szCs w:val="16"/>
              </w:rPr>
              <w:t>V rámci prípravy OP KŽP boli zohľadnené všetky odporúčania formálneho charakteru a takmer všetky kľúčové odporúčania</w:t>
            </w:r>
            <w:r>
              <w:rPr>
                <w:rFonts w:ascii="Arial" w:hAnsi="Arial" w:cs="Arial"/>
                <w:sz w:val="16"/>
                <w:szCs w:val="16"/>
              </w:rPr>
              <w:t>.</w:t>
            </w:r>
          </w:p>
        </w:tc>
      </w:tr>
    </w:tbl>
    <w:p w14:paraId="437F9EB2" w14:textId="77777777" w:rsidR="002A4363" w:rsidRDefault="002A4363" w:rsidP="000D2C78">
      <w:pPr>
        <w:spacing w:before="120"/>
        <w:jc w:val="both"/>
        <w:rPr>
          <w:rFonts w:ascii="Arial" w:hAnsi="Arial" w:cs="Arial"/>
          <w:sz w:val="20"/>
          <w:szCs w:val="20"/>
        </w:rPr>
      </w:pPr>
    </w:p>
    <w:tbl>
      <w:tblPr>
        <w:tblStyle w:val="Mriekatabuky"/>
        <w:tblW w:w="0" w:type="auto"/>
        <w:tblLook w:val="04A0" w:firstRow="1" w:lastRow="0" w:firstColumn="1" w:lastColumn="0" w:noHBand="0" w:noVBand="1"/>
      </w:tblPr>
      <w:tblGrid>
        <w:gridCol w:w="2269"/>
        <w:gridCol w:w="2255"/>
        <w:gridCol w:w="2270"/>
        <w:gridCol w:w="2266"/>
      </w:tblGrid>
      <w:tr w:rsidR="000D2C78" w:rsidRPr="00C368C2" w14:paraId="52A106B0" w14:textId="77777777" w:rsidTr="00F410CF">
        <w:trPr>
          <w:trHeight w:val="333"/>
        </w:trPr>
        <w:tc>
          <w:tcPr>
            <w:tcW w:w="2269" w:type="dxa"/>
            <w:shd w:val="clear" w:color="auto" w:fill="C2D69B" w:themeFill="accent3" w:themeFillTint="99"/>
            <w:vAlign w:val="center"/>
          </w:tcPr>
          <w:p w14:paraId="1761F6FA"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Názov hodnotenia</w:t>
            </w:r>
          </w:p>
        </w:tc>
        <w:tc>
          <w:tcPr>
            <w:tcW w:w="2255" w:type="dxa"/>
            <w:shd w:val="clear" w:color="auto" w:fill="C2D69B" w:themeFill="accent3" w:themeFillTint="99"/>
            <w:vAlign w:val="center"/>
          </w:tcPr>
          <w:p w14:paraId="244C82FA"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Suma (vrátane DPH) v €</w:t>
            </w:r>
          </w:p>
        </w:tc>
        <w:tc>
          <w:tcPr>
            <w:tcW w:w="2270" w:type="dxa"/>
            <w:shd w:val="clear" w:color="auto" w:fill="C2D69B" w:themeFill="accent3" w:themeFillTint="99"/>
            <w:vAlign w:val="center"/>
          </w:tcPr>
          <w:p w14:paraId="26498677"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Doba realizácie hodnotenia</w:t>
            </w:r>
          </w:p>
        </w:tc>
        <w:tc>
          <w:tcPr>
            <w:tcW w:w="2266" w:type="dxa"/>
            <w:shd w:val="clear" w:color="auto" w:fill="C2D69B" w:themeFill="accent3" w:themeFillTint="99"/>
            <w:vAlign w:val="center"/>
          </w:tcPr>
          <w:p w14:paraId="6DB84E4E"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Typ hodnotenia</w:t>
            </w:r>
          </w:p>
        </w:tc>
      </w:tr>
      <w:tr w:rsidR="000D2C78" w:rsidRPr="00C368C2" w14:paraId="2F1E8F04" w14:textId="77777777" w:rsidTr="00F410CF">
        <w:tc>
          <w:tcPr>
            <w:tcW w:w="2269" w:type="dxa"/>
          </w:tcPr>
          <w:p w14:paraId="068A6DA0" w14:textId="77777777" w:rsidR="000D2C78" w:rsidRPr="00C368C2" w:rsidRDefault="000D2C78" w:rsidP="00F410CF">
            <w:pPr>
              <w:rPr>
                <w:rFonts w:ascii="Arial" w:hAnsi="Arial" w:cs="Arial"/>
                <w:sz w:val="16"/>
                <w:szCs w:val="16"/>
              </w:rPr>
            </w:pPr>
            <w:r w:rsidRPr="00F8588F">
              <w:rPr>
                <w:rFonts w:ascii="Arial" w:hAnsi="Arial" w:cs="Arial"/>
                <w:sz w:val="16"/>
                <w:szCs w:val="16"/>
              </w:rPr>
              <w:t>Ucelené tematické hodnotenie na úrovni jednotlivých prioritných osí OP ŽP a ich prínosu k rozvoju regiónov na území cieľa Konvergencia</w:t>
            </w:r>
          </w:p>
        </w:tc>
        <w:tc>
          <w:tcPr>
            <w:tcW w:w="2255" w:type="dxa"/>
            <w:vAlign w:val="center"/>
          </w:tcPr>
          <w:p w14:paraId="079C44E2" w14:textId="66926ADF" w:rsidR="000D2C78" w:rsidRDefault="000D2C78" w:rsidP="00F410CF">
            <w:pPr>
              <w:jc w:val="center"/>
              <w:rPr>
                <w:rFonts w:ascii="Arial" w:hAnsi="Arial" w:cs="Arial"/>
                <w:sz w:val="16"/>
                <w:szCs w:val="16"/>
              </w:rPr>
            </w:pPr>
            <w:r>
              <w:rPr>
                <w:rFonts w:ascii="Arial" w:hAnsi="Arial" w:cs="Arial"/>
                <w:sz w:val="16"/>
                <w:szCs w:val="16"/>
              </w:rPr>
              <w:t>135 600 s DPH</w:t>
            </w:r>
          </w:p>
          <w:p w14:paraId="110B3698" w14:textId="1A1AE4D3" w:rsidR="000D2C78" w:rsidRPr="00C368C2" w:rsidRDefault="000D2C78" w:rsidP="00E91CEC">
            <w:pPr>
              <w:jc w:val="center"/>
              <w:rPr>
                <w:rFonts w:ascii="Arial" w:hAnsi="Arial" w:cs="Arial"/>
                <w:sz w:val="16"/>
                <w:szCs w:val="16"/>
              </w:rPr>
            </w:pPr>
            <w:r>
              <w:rPr>
                <w:rFonts w:ascii="Arial" w:hAnsi="Arial" w:cs="Arial"/>
                <w:sz w:val="16"/>
                <w:szCs w:val="16"/>
              </w:rPr>
              <w:t>(113 000 bez DPH)</w:t>
            </w:r>
          </w:p>
        </w:tc>
        <w:tc>
          <w:tcPr>
            <w:tcW w:w="2270" w:type="dxa"/>
            <w:vAlign w:val="center"/>
          </w:tcPr>
          <w:p w14:paraId="763A2A4D" w14:textId="77777777" w:rsidR="000D2C78" w:rsidRPr="00D26F1A" w:rsidRDefault="000D2C78" w:rsidP="00F410CF">
            <w:pPr>
              <w:jc w:val="center"/>
              <w:rPr>
                <w:rFonts w:ascii="Arial" w:hAnsi="Arial" w:cs="Arial"/>
                <w:sz w:val="16"/>
                <w:szCs w:val="16"/>
              </w:rPr>
            </w:pPr>
            <w:r>
              <w:rPr>
                <w:rFonts w:ascii="Arial" w:hAnsi="Arial" w:cs="Arial"/>
                <w:sz w:val="16"/>
                <w:szCs w:val="16"/>
              </w:rPr>
              <w:t>november 2015</w:t>
            </w:r>
          </w:p>
        </w:tc>
        <w:tc>
          <w:tcPr>
            <w:tcW w:w="2266" w:type="dxa"/>
            <w:vAlign w:val="center"/>
          </w:tcPr>
          <w:p w14:paraId="3075B7F2" w14:textId="77777777" w:rsidR="000D2C78" w:rsidRPr="00C368C2" w:rsidRDefault="000D2C78" w:rsidP="00F410CF">
            <w:pPr>
              <w:jc w:val="center"/>
              <w:rPr>
                <w:rFonts w:ascii="Arial" w:hAnsi="Arial" w:cs="Arial"/>
                <w:sz w:val="16"/>
                <w:szCs w:val="16"/>
              </w:rPr>
            </w:pPr>
            <w:r w:rsidRPr="000E2D7B">
              <w:rPr>
                <w:rFonts w:ascii="Arial" w:hAnsi="Arial" w:cs="Arial"/>
                <w:sz w:val="16"/>
                <w:szCs w:val="16"/>
              </w:rPr>
              <w:t>strategické a externé</w:t>
            </w:r>
          </w:p>
        </w:tc>
      </w:tr>
      <w:tr w:rsidR="000D2C78" w:rsidRPr="00C368C2" w14:paraId="043E8A57" w14:textId="77777777" w:rsidTr="00F410CF">
        <w:tc>
          <w:tcPr>
            <w:tcW w:w="9060" w:type="dxa"/>
            <w:gridSpan w:val="4"/>
          </w:tcPr>
          <w:p w14:paraId="42614699" w14:textId="77777777" w:rsidR="000D2C78" w:rsidRPr="00E96E9E" w:rsidRDefault="000D2C78" w:rsidP="00F410CF">
            <w:pPr>
              <w:shd w:val="clear" w:color="auto" w:fill="F0E882"/>
              <w:jc w:val="both"/>
              <w:rPr>
                <w:rFonts w:ascii="Arial" w:hAnsi="Arial" w:cs="Arial"/>
                <w:sz w:val="16"/>
                <w:szCs w:val="16"/>
              </w:rPr>
            </w:pPr>
            <w:r w:rsidRPr="00E96E9E">
              <w:rPr>
                <w:rFonts w:ascii="Arial" w:hAnsi="Arial" w:cs="Arial"/>
                <w:sz w:val="16"/>
                <w:szCs w:val="16"/>
              </w:rPr>
              <w:t>Stručný popis zistení z</w:t>
            </w:r>
            <w:r>
              <w:rPr>
                <w:rFonts w:ascii="Arial" w:hAnsi="Arial" w:cs="Arial"/>
                <w:sz w:val="16"/>
                <w:szCs w:val="16"/>
              </w:rPr>
              <w:t> </w:t>
            </w:r>
            <w:r w:rsidRPr="00E96E9E">
              <w:rPr>
                <w:rFonts w:ascii="Arial" w:hAnsi="Arial" w:cs="Arial"/>
                <w:sz w:val="16"/>
                <w:szCs w:val="16"/>
              </w:rPr>
              <w:t>hodnotenia</w:t>
            </w:r>
            <w:r>
              <w:rPr>
                <w:rFonts w:ascii="Arial" w:hAnsi="Arial" w:cs="Arial"/>
                <w:sz w:val="16"/>
                <w:szCs w:val="16"/>
              </w:rPr>
              <w:t xml:space="preserve"> a závery z hodnotenia</w:t>
            </w:r>
            <w:r w:rsidRPr="00E96E9E">
              <w:rPr>
                <w:rFonts w:ascii="Arial" w:hAnsi="Arial" w:cs="Arial"/>
                <w:sz w:val="16"/>
                <w:szCs w:val="16"/>
              </w:rPr>
              <w:t>:</w:t>
            </w:r>
          </w:p>
          <w:p w14:paraId="28DE33A0" w14:textId="77777777" w:rsidR="000D2C78" w:rsidRDefault="000D2C78" w:rsidP="00F410CF">
            <w:pPr>
              <w:jc w:val="both"/>
              <w:rPr>
                <w:rFonts w:ascii="Arial" w:hAnsi="Arial" w:cs="Arial"/>
                <w:sz w:val="16"/>
                <w:szCs w:val="16"/>
              </w:rPr>
            </w:pPr>
          </w:p>
          <w:p w14:paraId="6F6F4502" w14:textId="77777777" w:rsidR="000D2C78" w:rsidRDefault="000D2C78" w:rsidP="00F410CF">
            <w:pPr>
              <w:jc w:val="both"/>
            </w:pPr>
            <w:r w:rsidRPr="00F8588F">
              <w:rPr>
                <w:rFonts w:ascii="Arial" w:hAnsi="Arial" w:cs="Arial"/>
                <w:sz w:val="16"/>
                <w:szCs w:val="16"/>
              </w:rPr>
              <w:t>Ucelené tematické hodnotenie na úrovni jednotlivých prioritných osí Operačného programu Životné prostredie a ich prínosu k rozvoju regiónov na území cieľa Konvergencia malo za cieľ posúdiť výstupy, výsledky a dopady programu. Súčasne malo zodpovedať aký prínos predstavovali podporené intervencie pre cieľové skupiny a do akej miery a akým spôsobom ovplyvnila implementácia Operačného programu Životné prostredie rozvoj regiónov na území cieľa Konvergencia.</w:t>
            </w:r>
          </w:p>
          <w:p w14:paraId="1AB74D4C" w14:textId="77777777" w:rsidR="000D2C78" w:rsidRDefault="000D2C78" w:rsidP="00F410CF"/>
          <w:p w14:paraId="051D21EC"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Na zodpovedanie otázok boli použité rôzne metodické prístupy a hodnotenie bolo založené výlučne na sekundárnych údajoch. Prístup založený na teórii zmeny, resp. intervenčnej logike bol použitý na vyhodnotenie výstupov, výsledkov a dopadov. </w:t>
            </w:r>
          </w:p>
          <w:p w14:paraId="49AB0EE2" w14:textId="77777777" w:rsidR="000D2C78" w:rsidRDefault="000D2C78" w:rsidP="00F410CF">
            <w:pPr>
              <w:jc w:val="both"/>
              <w:rPr>
                <w:rFonts w:ascii="Arial" w:hAnsi="Arial" w:cs="Arial"/>
                <w:sz w:val="16"/>
                <w:szCs w:val="16"/>
              </w:rPr>
            </w:pPr>
          </w:p>
          <w:p w14:paraId="4266DE20"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Hodnotenie vplyvu programu na rozvoj regiónov bolo spracované regresnou a korelačnou analýzou na úrovni vyšších územných celkov Slovenska.</w:t>
            </w:r>
          </w:p>
          <w:p w14:paraId="7F644C49" w14:textId="77777777" w:rsidR="000D2C78" w:rsidRDefault="000D2C78" w:rsidP="00F410CF">
            <w:pPr>
              <w:jc w:val="both"/>
              <w:rPr>
                <w:rFonts w:ascii="Arial" w:hAnsi="Arial" w:cs="Arial"/>
                <w:sz w:val="16"/>
                <w:szCs w:val="16"/>
              </w:rPr>
            </w:pPr>
          </w:p>
          <w:p w14:paraId="45CF847B"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Pri hodnotení bola zohľadnená výška plnenia ukazovateľov proporcionálne čerpaným zdrojom.</w:t>
            </w:r>
          </w:p>
          <w:p w14:paraId="451A352E" w14:textId="77777777" w:rsidR="000D2C78" w:rsidRPr="00F8588F" w:rsidRDefault="000D2C78" w:rsidP="00F410CF">
            <w:pPr>
              <w:jc w:val="both"/>
              <w:rPr>
                <w:rFonts w:ascii="Arial" w:hAnsi="Arial" w:cs="Arial"/>
                <w:sz w:val="16"/>
                <w:szCs w:val="16"/>
              </w:rPr>
            </w:pPr>
          </w:p>
          <w:p w14:paraId="1976FF07"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Hodnotenie dopadov operačného programu obsahuje dopady, ktoré sú z väčšej časti uvedené ako kontextové ukazovatele. Tieto ukazovatele vychádzajú zo sledovaných štatistických údajov a využívajú sa na hodnotenie hrubých dopadov programu. Cieľové hodnoty sú stanovené pre rok 2015, oficiálne štatistické údaje sú dostupné za rok 2013 a preto nie je možné plnenie dopadov hodnotiť. Na vyhodnotenie reálnych dopadov je potrebné počkať, kým sa dopady prejavia. </w:t>
            </w:r>
          </w:p>
          <w:p w14:paraId="052276CE" w14:textId="77777777" w:rsidR="000D2C78" w:rsidRDefault="000D2C78" w:rsidP="00F410CF">
            <w:pPr>
              <w:jc w:val="both"/>
              <w:rPr>
                <w:rFonts w:ascii="Arial" w:hAnsi="Arial" w:cs="Arial"/>
                <w:sz w:val="16"/>
                <w:szCs w:val="16"/>
              </w:rPr>
            </w:pPr>
          </w:p>
          <w:p w14:paraId="16346659"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Najvýraznejším prínosom programu bola výstavba stokových sietí a čistenie odpadových vôd v mestách a obciach, a vybudovanie verejných vodovodov. V dôsledku realizovaných protipovodňových opatrení sa očakáva minimalizácia škôd spôsobených povodňami. Lokálne je možné očakávať výrazné zlepšenie kvality ovzdušia vďaka technologickým zariadeniam nainštalovaným v priemyselných podnikoch, ale aj množstvo menších opatrení; a mali by sme tiež splniť formálne vyhlásenie území Natura 2000. </w:t>
            </w:r>
          </w:p>
          <w:p w14:paraId="73472FEF" w14:textId="77777777" w:rsidR="000D2C78" w:rsidRDefault="000D2C78" w:rsidP="00F410CF">
            <w:pPr>
              <w:jc w:val="both"/>
              <w:rPr>
                <w:rFonts w:ascii="Arial" w:hAnsi="Arial" w:cs="Arial"/>
                <w:sz w:val="16"/>
                <w:szCs w:val="16"/>
              </w:rPr>
            </w:pPr>
          </w:p>
          <w:p w14:paraId="0D06C83B" w14:textId="77777777" w:rsidR="000D2C78" w:rsidRDefault="000D2C78" w:rsidP="00F410CF">
            <w:pPr>
              <w:jc w:val="both"/>
              <w:rPr>
                <w:rFonts w:ascii="Arial" w:hAnsi="Arial" w:cs="Arial"/>
                <w:sz w:val="16"/>
                <w:szCs w:val="16"/>
              </w:rPr>
            </w:pPr>
            <w:r w:rsidRPr="00F8588F">
              <w:rPr>
                <w:rFonts w:ascii="Arial" w:hAnsi="Arial" w:cs="Arial"/>
                <w:sz w:val="16"/>
                <w:szCs w:val="16"/>
              </w:rPr>
              <w:lastRenderedPageBreak/>
              <w:t xml:space="preserve">Je predpoklad, že sa zvýši podiel separovaných a energeticky zhodnotených odpadov. </w:t>
            </w:r>
          </w:p>
          <w:p w14:paraId="583C4232" w14:textId="77777777" w:rsidR="000D2C78" w:rsidRDefault="000D2C78" w:rsidP="00F410CF">
            <w:pPr>
              <w:jc w:val="both"/>
              <w:rPr>
                <w:rFonts w:ascii="Arial" w:hAnsi="Arial" w:cs="Arial"/>
                <w:sz w:val="16"/>
                <w:szCs w:val="16"/>
              </w:rPr>
            </w:pPr>
          </w:p>
          <w:p w14:paraId="1AC44BF0"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Vplyv programu na rozvoj regiónov </w:t>
            </w:r>
            <w:r>
              <w:rPr>
                <w:rFonts w:ascii="Arial" w:hAnsi="Arial" w:cs="Arial"/>
                <w:sz w:val="16"/>
                <w:szCs w:val="16"/>
              </w:rPr>
              <w:t>sa</w:t>
            </w:r>
            <w:r w:rsidRPr="00F8588F">
              <w:rPr>
                <w:rFonts w:ascii="Arial" w:hAnsi="Arial" w:cs="Arial"/>
                <w:sz w:val="16"/>
                <w:szCs w:val="16"/>
              </w:rPr>
              <w:t xml:space="preserve"> posudzoval na základe skutočného čerpania finančných prostriedkov. Súčasne </w:t>
            </w:r>
            <w:r>
              <w:rPr>
                <w:rFonts w:ascii="Arial" w:hAnsi="Arial" w:cs="Arial"/>
                <w:sz w:val="16"/>
                <w:szCs w:val="16"/>
              </w:rPr>
              <w:t>sa</w:t>
            </w:r>
            <w:r w:rsidRPr="00F8588F">
              <w:rPr>
                <w:rFonts w:ascii="Arial" w:hAnsi="Arial" w:cs="Arial"/>
                <w:sz w:val="16"/>
                <w:szCs w:val="16"/>
              </w:rPr>
              <w:t xml:space="preserve"> vyhodnotili štatistické údaje aj ukazovatele programu vo vyšších územných celkoch. Čistý príspevok programu k nárastu dĺžky environmentálnej infraštruktúry v jednotlivých regiónoch sa rovnako ako pri čerpaní prostriedkov výrazne líši. </w:t>
            </w:r>
          </w:p>
          <w:p w14:paraId="77A1EC82" w14:textId="77777777" w:rsidR="000D2C78" w:rsidRDefault="000D2C78" w:rsidP="00F410CF">
            <w:pPr>
              <w:jc w:val="both"/>
              <w:rPr>
                <w:rFonts w:ascii="Arial" w:hAnsi="Arial" w:cs="Arial"/>
                <w:sz w:val="16"/>
                <w:szCs w:val="16"/>
              </w:rPr>
            </w:pPr>
          </w:p>
          <w:p w14:paraId="19FB2B85"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Najviac vodovodných aj kanalizačných sietí v rámci programu sa vybudovalo v Žilinskom kraji, kým v Prešovskom bol podiel týchto sietí z vybudovaných prostredníctvom operačného programu najvyšší. </w:t>
            </w:r>
          </w:p>
          <w:p w14:paraId="53C13D32" w14:textId="77777777" w:rsidR="000D2C78" w:rsidRDefault="000D2C78" w:rsidP="00F410CF">
            <w:pPr>
              <w:jc w:val="both"/>
              <w:rPr>
                <w:rFonts w:ascii="Arial" w:hAnsi="Arial" w:cs="Arial"/>
                <w:sz w:val="16"/>
                <w:szCs w:val="16"/>
              </w:rPr>
            </w:pPr>
          </w:p>
          <w:p w14:paraId="375583A0"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Percento obyvateľov pripojených k vodovodným sieťam však najviac vzrástlo v Trnavskom kraji. </w:t>
            </w:r>
          </w:p>
          <w:p w14:paraId="66A77082" w14:textId="77777777" w:rsidR="000D2C78" w:rsidRDefault="000D2C78" w:rsidP="00F410CF">
            <w:pPr>
              <w:jc w:val="both"/>
              <w:rPr>
                <w:rFonts w:ascii="Arial" w:hAnsi="Arial" w:cs="Arial"/>
                <w:sz w:val="16"/>
                <w:szCs w:val="16"/>
              </w:rPr>
            </w:pPr>
          </w:p>
          <w:p w14:paraId="40940DD5"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Počet čistiarní odpadových vôd najviac narástol v najmenej rozvinutých regiónoch. </w:t>
            </w:r>
          </w:p>
          <w:p w14:paraId="0AE37FB8" w14:textId="77777777" w:rsidR="000D2C78" w:rsidRDefault="000D2C78" w:rsidP="00F410CF">
            <w:pPr>
              <w:jc w:val="both"/>
              <w:rPr>
                <w:rFonts w:ascii="Arial" w:hAnsi="Arial" w:cs="Arial"/>
                <w:sz w:val="16"/>
                <w:szCs w:val="16"/>
              </w:rPr>
            </w:pPr>
          </w:p>
          <w:p w14:paraId="54A7796E"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Ďalšie vplyvy programu na regióny </w:t>
            </w:r>
            <w:r>
              <w:rPr>
                <w:rFonts w:ascii="Arial" w:hAnsi="Arial" w:cs="Arial"/>
                <w:sz w:val="16"/>
                <w:szCs w:val="16"/>
              </w:rPr>
              <w:t xml:space="preserve">boli </w:t>
            </w:r>
            <w:r w:rsidRPr="00F8588F">
              <w:rPr>
                <w:rFonts w:ascii="Arial" w:hAnsi="Arial" w:cs="Arial"/>
                <w:sz w:val="16"/>
                <w:szCs w:val="16"/>
              </w:rPr>
              <w:t>testova</w:t>
            </w:r>
            <w:r>
              <w:rPr>
                <w:rFonts w:ascii="Arial" w:hAnsi="Arial" w:cs="Arial"/>
                <w:sz w:val="16"/>
                <w:szCs w:val="16"/>
              </w:rPr>
              <w:t>né</w:t>
            </w:r>
            <w:r w:rsidRPr="00F8588F">
              <w:rPr>
                <w:rFonts w:ascii="Arial" w:hAnsi="Arial" w:cs="Arial"/>
                <w:sz w:val="16"/>
                <w:szCs w:val="16"/>
              </w:rPr>
              <w:t xml:space="preserve"> prostredníctvom modelu lineárnej regresie. </w:t>
            </w:r>
          </w:p>
          <w:p w14:paraId="37EA44A8" w14:textId="77777777" w:rsidR="000D2C78" w:rsidRDefault="000D2C78" w:rsidP="00F410CF">
            <w:pPr>
              <w:jc w:val="both"/>
              <w:rPr>
                <w:rFonts w:ascii="Arial" w:hAnsi="Arial" w:cs="Arial"/>
                <w:sz w:val="16"/>
                <w:szCs w:val="16"/>
              </w:rPr>
            </w:pPr>
          </w:p>
          <w:p w14:paraId="3158B6C0" w14:textId="77777777" w:rsidR="000D2C78" w:rsidRDefault="000D2C78" w:rsidP="00F410CF">
            <w:pPr>
              <w:jc w:val="both"/>
              <w:rPr>
                <w:rFonts w:ascii="Arial" w:hAnsi="Arial" w:cs="Arial"/>
                <w:sz w:val="16"/>
                <w:szCs w:val="16"/>
              </w:rPr>
            </w:pPr>
            <w:r w:rsidRPr="00F8588F">
              <w:rPr>
                <w:rFonts w:ascii="Arial" w:hAnsi="Arial" w:cs="Arial"/>
                <w:sz w:val="16"/>
                <w:szCs w:val="16"/>
              </w:rPr>
              <w:t>Štatisticky významný vplyv (rôznej veľkosti) bol potvrdený vo vzťahu k rastu:</w:t>
            </w:r>
          </w:p>
          <w:p w14:paraId="3367B5CC" w14:textId="77777777" w:rsidR="000D2C78" w:rsidRDefault="000D2C78" w:rsidP="00F410CF">
            <w:pPr>
              <w:jc w:val="both"/>
              <w:rPr>
                <w:rFonts w:ascii="Arial" w:hAnsi="Arial" w:cs="Arial"/>
                <w:sz w:val="16"/>
                <w:szCs w:val="16"/>
              </w:rPr>
            </w:pPr>
          </w:p>
          <w:p w14:paraId="2CB628FB" w14:textId="77777777" w:rsidR="000D2C78" w:rsidRDefault="000D2C78" w:rsidP="000D2C78">
            <w:pPr>
              <w:pStyle w:val="Odsekzoznamu"/>
              <w:numPr>
                <w:ilvl w:val="0"/>
                <w:numId w:val="149"/>
              </w:numPr>
              <w:spacing w:after="0" w:line="240" w:lineRule="auto"/>
              <w:jc w:val="both"/>
              <w:rPr>
                <w:rFonts w:ascii="Arial" w:hAnsi="Arial" w:cs="Arial"/>
                <w:sz w:val="16"/>
                <w:szCs w:val="16"/>
              </w:rPr>
            </w:pPr>
            <w:r w:rsidRPr="00F8588F">
              <w:rPr>
                <w:rFonts w:ascii="Arial" w:hAnsi="Arial" w:cs="Arial"/>
                <w:sz w:val="16"/>
                <w:szCs w:val="16"/>
              </w:rPr>
              <w:t xml:space="preserve">priemerného príjmu domácností vo všetkých krajoch, </w:t>
            </w:r>
          </w:p>
          <w:p w14:paraId="634EDECD" w14:textId="77777777" w:rsidR="000D2C78" w:rsidRDefault="000D2C78" w:rsidP="000D2C78">
            <w:pPr>
              <w:pStyle w:val="Odsekzoznamu"/>
              <w:numPr>
                <w:ilvl w:val="0"/>
                <w:numId w:val="149"/>
              </w:numPr>
              <w:spacing w:after="0" w:line="240" w:lineRule="auto"/>
              <w:jc w:val="both"/>
              <w:rPr>
                <w:rFonts w:ascii="Arial" w:hAnsi="Arial" w:cs="Arial"/>
                <w:sz w:val="16"/>
                <w:szCs w:val="16"/>
              </w:rPr>
            </w:pPr>
            <w:r w:rsidRPr="00F8588F">
              <w:rPr>
                <w:rFonts w:ascii="Arial" w:hAnsi="Arial" w:cs="Arial"/>
                <w:sz w:val="16"/>
                <w:szCs w:val="16"/>
              </w:rPr>
              <w:t xml:space="preserve">počtu právnických osôb podnikajúcich v súvisiacich sektoroch hlavne v Bratislavskom a Košickom kraji, </w:t>
            </w:r>
          </w:p>
          <w:p w14:paraId="63C65276" w14:textId="77777777" w:rsidR="000D2C78" w:rsidRDefault="000D2C78" w:rsidP="000D2C78">
            <w:pPr>
              <w:pStyle w:val="Odsekzoznamu"/>
              <w:numPr>
                <w:ilvl w:val="0"/>
                <w:numId w:val="149"/>
              </w:numPr>
              <w:spacing w:after="0" w:line="240" w:lineRule="auto"/>
              <w:jc w:val="both"/>
              <w:rPr>
                <w:rFonts w:ascii="Arial" w:hAnsi="Arial" w:cs="Arial"/>
                <w:sz w:val="16"/>
                <w:szCs w:val="16"/>
              </w:rPr>
            </w:pPr>
            <w:r w:rsidRPr="00F8588F">
              <w:rPr>
                <w:rFonts w:ascii="Arial" w:hAnsi="Arial" w:cs="Arial"/>
                <w:sz w:val="16"/>
                <w:szCs w:val="16"/>
              </w:rPr>
              <w:t xml:space="preserve">hrubého domáceho produktu, </w:t>
            </w:r>
          </w:p>
          <w:p w14:paraId="4A565999" w14:textId="77777777" w:rsidR="000D2C78" w:rsidRDefault="000D2C78" w:rsidP="000D2C78">
            <w:pPr>
              <w:pStyle w:val="Odsekzoznamu"/>
              <w:numPr>
                <w:ilvl w:val="0"/>
                <w:numId w:val="149"/>
              </w:numPr>
              <w:spacing w:after="0" w:line="240" w:lineRule="auto"/>
              <w:jc w:val="both"/>
              <w:rPr>
                <w:rFonts w:ascii="Arial" w:hAnsi="Arial" w:cs="Arial"/>
                <w:sz w:val="16"/>
                <w:szCs w:val="16"/>
              </w:rPr>
            </w:pPr>
            <w:r w:rsidRPr="00F8588F">
              <w:rPr>
                <w:rFonts w:ascii="Arial" w:hAnsi="Arial" w:cs="Arial"/>
                <w:sz w:val="16"/>
                <w:szCs w:val="16"/>
              </w:rPr>
              <w:t xml:space="preserve">priamych zahraničných investícií a miery nezamestnanosti v Bratislavskom kraji; </w:t>
            </w:r>
          </w:p>
          <w:p w14:paraId="6DB82F86" w14:textId="77777777" w:rsidR="000D2C78" w:rsidRDefault="000D2C78" w:rsidP="00F410CF">
            <w:pPr>
              <w:jc w:val="both"/>
              <w:rPr>
                <w:rFonts w:ascii="Arial" w:hAnsi="Arial" w:cs="Arial"/>
                <w:sz w:val="16"/>
                <w:szCs w:val="16"/>
              </w:rPr>
            </w:pPr>
          </w:p>
          <w:p w14:paraId="4E042BED" w14:textId="77777777" w:rsidR="000D2C78" w:rsidRDefault="000D2C78" w:rsidP="00F410CF">
            <w:pPr>
              <w:jc w:val="both"/>
              <w:rPr>
                <w:rFonts w:ascii="Arial" w:hAnsi="Arial" w:cs="Arial"/>
                <w:sz w:val="16"/>
                <w:szCs w:val="16"/>
              </w:rPr>
            </w:pPr>
            <w:r w:rsidRPr="00F8588F">
              <w:rPr>
                <w:rFonts w:ascii="Arial" w:hAnsi="Arial" w:cs="Arial"/>
                <w:sz w:val="16"/>
                <w:szCs w:val="16"/>
              </w:rPr>
              <w:t xml:space="preserve">Štatisticky významný vplyv (rôznej veľkosti) bol potvrdený vo </w:t>
            </w:r>
            <w:r>
              <w:rPr>
                <w:rFonts w:ascii="Arial" w:hAnsi="Arial" w:cs="Arial"/>
                <w:sz w:val="16"/>
                <w:szCs w:val="16"/>
              </w:rPr>
              <w:t xml:space="preserve">vzťahu </w:t>
            </w:r>
            <w:r w:rsidRPr="00F8588F">
              <w:rPr>
                <w:rFonts w:ascii="Arial" w:hAnsi="Arial" w:cs="Arial"/>
                <w:sz w:val="16"/>
                <w:szCs w:val="16"/>
              </w:rPr>
              <w:t>k poklesu:</w:t>
            </w:r>
          </w:p>
          <w:p w14:paraId="111613DE" w14:textId="77777777" w:rsidR="000D2C78" w:rsidRDefault="000D2C78" w:rsidP="00F410CF">
            <w:pPr>
              <w:jc w:val="both"/>
              <w:rPr>
                <w:rFonts w:ascii="Arial" w:hAnsi="Arial" w:cs="Arial"/>
                <w:sz w:val="16"/>
                <w:szCs w:val="16"/>
              </w:rPr>
            </w:pPr>
          </w:p>
          <w:p w14:paraId="1704ED4A" w14:textId="77777777" w:rsidR="000D2C78" w:rsidRPr="00F8588F" w:rsidRDefault="000D2C78" w:rsidP="000D2C78">
            <w:pPr>
              <w:pStyle w:val="Odsekzoznamu"/>
              <w:numPr>
                <w:ilvl w:val="0"/>
                <w:numId w:val="149"/>
              </w:numPr>
              <w:spacing w:after="0" w:line="240" w:lineRule="auto"/>
              <w:jc w:val="both"/>
              <w:rPr>
                <w:rFonts w:ascii="Arial" w:hAnsi="Arial" w:cs="Arial"/>
                <w:sz w:val="16"/>
                <w:szCs w:val="16"/>
              </w:rPr>
            </w:pPr>
            <w:r w:rsidRPr="00F8588F">
              <w:rPr>
                <w:rFonts w:ascii="Arial" w:hAnsi="Arial" w:cs="Arial"/>
                <w:sz w:val="16"/>
                <w:szCs w:val="16"/>
              </w:rPr>
              <w:t xml:space="preserve">počtu živnostníkov podnikajúcich v súvisiacich sektoroch, </w:t>
            </w:r>
          </w:p>
          <w:p w14:paraId="330FE7DB" w14:textId="77777777" w:rsidR="000D2C78" w:rsidRPr="00F8588F" w:rsidRDefault="000D2C78" w:rsidP="000D2C78">
            <w:pPr>
              <w:pStyle w:val="Odsekzoznamu"/>
              <w:numPr>
                <w:ilvl w:val="0"/>
                <w:numId w:val="149"/>
              </w:numPr>
              <w:spacing w:after="0" w:line="240" w:lineRule="auto"/>
              <w:jc w:val="both"/>
              <w:rPr>
                <w:rFonts w:ascii="Arial" w:hAnsi="Arial" w:cs="Arial"/>
                <w:sz w:val="16"/>
                <w:szCs w:val="16"/>
              </w:rPr>
            </w:pPr>
            <w:r w:rsidRPr="00F8588F">
              <w:rPr>
                <w:rFonts w:ascii="Arial" w:hAnsi="Arial" w:cs="Arial"/>
                <w:sz w:val="16"/>
                <w:szCs w:val="16"/>
              </w:rPr>
              <w:t>salda sťahovania v štyroch krajoch.</w:t>
            </w:r>
          </w:p>
        </w:tc>
      </w:tr>
      <w:tr w:rsidR="000D2C78" w:rsidRPr="00C368C2" w14:paraId="6207B965" w14:textId="77777777" w:rsidTr="00F410CF">
        <w:tc>
          <w:tcPr>
            <w:tcW w:w="9060" w:type="dxa"/>
            <w:gridSpan w:val="4"/>
          </w:tcPr>
          <w:p w14:paraId="6E4DCD8C" w14:textId="77777777" w:rsidR="000D2C78" w:rsidRDefault="000D2C78" w:rsidP="00F410CF">
            <w:pPr>
              <w:shd w:val="clear" w:color="auto" w:fill="F0E882"/>
              <w:jc w:val="both"/>
              <w:rPr>
                <w:rFonts w:ascii="Arial" w:hAnsi="Arial" w:cs="Arial"/>
                <w:sz w:val="16"/>
                <w:szCs w:val="16"/>
              </w:rPr>
            </w:pPr>
            <w:r w:rsidRPr="00E96E9E">
              <w:rPr>
                <w:rFonts w:ascii="Arial" w:hAnsi="Arial" w:cs="Arial"/>
                <w:sz w:val="16"/>
                <w:szCs w:val="16"/>
              </w:rPr>
              <w:lastRenderedPageBreak/>
              <w:t>Navrhnuté odporúčania:</w:t>
            </w:r>
          </w:p>
          <w:p w14:paraId="39D35890" w14:textId="77777777" w:rsidR="000D2C78" w:rsidRDefault="000D2C78" w:rsidP="00F410CF">
            <w:pPr>
              <w:jc w:val="both"/>
              <w:rPr>
                <w:rFonts w:ascii="Arial" w:hAnsi="Arial" w:cs="Arial"/>
                <w:sz w:val="16"/>
                <w:szCs w:val="16"/>
              </w:rPr>
            </w:pPr>
          </w:p>
          <w:p w14:paraId="7BF96AF2" w14:textId="77777777" w:rsidR="000D2C78" w:rsidRDefault="000D2C78" w:rsidP="00F410CF">
            <w:pPr>
              <w:jc w:val="both"/>
              <w:rPr>
                <w:rFonts w:ascii="Arial" w:hAnsi="Arial" w:cs="Arial"/>
                <w:sz w:val="16"/>
                <w:szCs w:val="16"/>
              </w:rPr>
            </w:pPr>
            <w:r w:rsidRPr="00D26F1A">
              <w:rPr>
                <w:rFonts w:ascii="Arial" w:hAnsi="Arial" w:cs="Arial"/>
                <w:sz w:val="16"/>
                <w:szCs w:val="16"/>
              </w:rPr>
              <w:t>Vo vzťahu k zisteniam boli identifikované nasledovné poučenia a odporúčania, ktoré je potrebné zohľadniť pri podpore ochrany životného prostredia z EŠIF v programovom období 2014 – 2020.</w:t>
            </w:r>
          </w:p>
          <w:p w14:paraId="2A88AF91" w14:textId="77777777" w:rsidR="000D2C78" w:rsidRPr="00D26F1A" w:rsidRDefault="000D2C78" w:rsidP="00F410CF">
            <w:pPr>
              <w:jc w:val="both"/>
              <w:rPr>
                <w:rFonts w:ascii="Arial" w:hAnsi="Arial" w:cs="Arial"/>
                <w:sz w:val="16"/>
                <w:szCs w:val="16"/>
              </w:rPr>
            </w:pPr>
          </w:p>
          <w:p w14:paraId="58C405A5" w14:textId="77777777" w:rsidR="000D2C78" w:rsidRPr="007B1472" w:rsidRDefault="000D2C78" w:rsidP="00F410CF">
            <w:pPr>
              <w:rPr>
                <w:rFonts w:ascii="Arial" w:hAnsi="Arial" w:cs="Arial"/>
                <w:sz w:val="16"/>
                <w:szCs w:val="16"/>
              </w:rPr>
            </w:pPr>
            <w:r w:rsidRPr="00F8588F">
              <w:rPr>
                <w:rFonts w:ascii="Arial" w:hAnsi="Arial" w:cs="Arial"/>
                <w:sz w:val="16"/>
                <w:szCs w:val="16"/>
              </w:rPr>
              <w:t xml:space="preserve">Na základe zistení a záverov </w:t>
            </w:r>
            <w:r>
              <w:rPr>
                <w:rFonts w:ascii="Arial" w:hAnsi="Arial" w:cs="Arial"/>
                <w:sz w:val="16"/>
                <w:szCs w:val="16"/>
              </w:rPr>
              <w:t xml:space="preserve">sa </w:t>
            </w:r>
            <w:r w:rsidRPr="00F8588F">
              <w:rPr>
                <w:rFonts w:ascii="Arial" w:hAnsi="Arial" w:cs="Arial"/>
                <w:sz w:val="16"/>
                <w:szCs w:val="16"/>
              </w:rPr>
              <w:t>odporúča</w:t>
            </w:r>
            <w:r>
              <w:rPr>
                <w:rFonts w:ascii="Arial" w:hAnsi="Arial" w:cs="Arial"/>
                <w:sz w:val="16"/>
                <w:szCs w:val="16"/>
              </w:rPr>
              <w:t>lo</w:t>
            </w:r>
            <w:r w:rsidRPr="00F8588F">
              <w:rPr>
                <w:rFonts w:ascii="Arial" w:hAnsi="Arial" w:cs="Arial"/>
                <w:sz w:val="16"/>
                <w:szCs w:val="16"/>
              </w:rPr>
              <w:t xml:space="preserve"> Riadiacemu orgánu v novom Operačnom programe Kvalita životného prostredia </w:t>
            </w:r>
            <w:r>
              <w:rPr>
                <w:rFonts w:ascii="Arial" w:hAnsi="Arial" w:cs="Arial"/>
                <w:sz w:val="16"/>
                <w:szCs w:val="16"/>
              </w:rPr>
              <w:t xml:space="preserve">a </w:t>
            </w:r>
            <w:r w:rsidRPr="00F8588F">
              <w:rPr>
                <w:rFonts w:ascii="Arial" w:hAnsi="Arial" w:cs="Arial"/>
                <w:sz w:val="16"/>
                <w:szCs w:val="16"/>
              </w:rPr>
              <w:t>pri revízii programu venovať pozornosť:</w:t>
            </w:r>
          </w:p>
          <w:p w14:paraId="73197F14" w14:textId="77777777" w:rsidR="000D2C78" w:rsidRPr="00F8588F" w:rsidRDefault="000D2C78" w:rsidP="000D2C78">
            <w:pPr>
              <w:pStyle w:val="Odsekzoznamu"/>
              <w:numPr>
                <w:ilvl w:val="0"/>
                <w:numId w:val="146"/>
              </w:numPr>
              <w:rPr>
                <w:rFonts w:ascii="Arial" w:hAnsi="Arial" w:cs="Arial"/>
                <w:sz w:val="16"/>
                <w:szCs w:val="16"/>
              </w:rPr>
            </w:pPr>
            <w:r w:rsidRPr="00F8588F">
              <w:rPr>
                <w:rFonts w:ascii="Arial" w:hAnsi="Arial" w:cs="Arial"/>
                <w:sz w:val="16"/>
                <w:szCs w:val="16"/>
              </w:rPr>
              <w:t>prehodnoteniu cieľových hodnôt ukazovateľov,</w:t>
            </w:r>
          </w:p>
          <w:p w14:paraId="342D10F0" w14:textId="77777777" w:rsidR="000D2C78" w:rsidRPr="00F8588F" w:rsidRDefault="000D2C78" w:rsidP="000D2C78">
            <w:pPr>
              <w:pStyle w:val="Odsekzoznamu"/>
              <w:numPr>
                <w:ilvl w:val="0"/>
                <w:numId w:val="146"/>
              </w:numPr>
              <w:rPr>
                <w:rFonts w:ascii="Arial" w:hAnsi="Arial" w:cs="Arial"/>
                <w:sz w:val="16"/>
                <w:szCs w:val="16"/>
              </w:rPr>
            </w:pPr>
            <w:r w:rsidRPr="00F8588F">
              <w:rPr>
                <w:rFonts w:ascii="Arial" w:hAnsi="Arial" w:cs="Arial"/>
                <w:sz w:val="16"/>
                <w:szCs w:val="16"/>
              </w:rPr>
              <w:t>v prípade potreby, odôvodneniu a revízii ukazovateľov vo výkonnostnom rámci,</w:t>
            </w:r>
          </w:p>
          <w:p w14:paraId="3FEF859A" w14:textId="77777777" w:rsidR="000D2C78" w:rsidRPr="00F8588F" w:rsidRDefault="000D2C78" w:rsidP="000D2C78">
            <w:pPr>
              <w:pStyle w:val="Odsekzoznamu"/>
              <w:numPr>
                <w:ilvl w:val="0"/>
                <w:numId w:val="146"/>
              </w:numPr>
              <w:rPr>
                <w:rFonts w:ascii="Arial" w:hAnsi="Arial" w:cs="Arial"/>
                <w:sz w:val="16"/>
                <w:szCs w:val="16"/>
              </w:rPr>
            </w:pPr>
            <w:r w:rsidRPr="00F8588F">
              <w:rPr>
                <w:rFonts w:ascii="Arial" w:hAnsi="Arial" w:cs="Arial"/>
                <w:sz w:val="16"/>
                <w:szCs w:val="16"/>
              </w:rPr>
              <w:t>nastaveniu hodnôt na úrovni špecifických cieľov aj regiónov,</w:t>
            </w:r>
          </w:p>
          <w:p w14:paraId="62E54A8C" w14:textId="77777777" w:rsidR="000D2C78" w:rsidRPr="00F8588F" w:rsidRDefault="000D2C78" w:rsidP="000D2C78">
            <w:pPr>
              <w:pStyle w:val="Odsekzoznamu"/>
              <w:numPr>
                <w:ilvl w:val="0"/>
                <w:numId w:val="146"/>
              </w:numPr>
              <w:rPr>
                <w:rFonts w:ascii="Arial" w:hAnsi="Arial" w:cs="Arial"/>
                <w:sz w:val="16"/>
                <w:szCs w:val="16"/>
              </w:rPr>
            </w:pPr>
            <w:r w:rsidRPr="00F8588F">
              <w:rPr>
                <w:rFonts w:ascii="Arial" w:hAnsi="Arial" w:cs="Arial"/>
                <w:sz w:val="16"/>
                <w:szCs w:val="16"/>
              </w:rPr>
              <w:t>overovaniu spoľahlivosti a validity ukazovateľov,</w:t>
            </w:r>
          </w:p>
          <w:p w14:paraId="1169C264" w14:textId="77777777" w:rsidR="000D2C78" w:rsidRPr="00F8588F" w:rsidRDefault="000D2C78" w:rsidP="000D2C78">
            <w:pPr>
              <w:pStyle w:val="Odsekzoznamu"/>
              <w:numPr>
                <w:ilvl w:val="0"/>
                <w:numId w:val="146"/>
              </w:numPr>
              <w:rPr>
                <w:rFonts w:ascii="Arial" w:hAnsi="Arial" w:cs="Arial"/>
                <w:sz w:val="16"/>
                <w:szCs w:val="16"/>
              </w:rPr>
            </w:pPr>
            <w:r w:rsidRPr="00F8588F">
              <w:rPr>
                <w:rFonts w:ascii="Arial" w:hAnsi="Arial" w:cs="Arial"/>
                <w:sz w:val="16"/>
                <w:szCs w:val="16"/>
              </w:rPr>
              <w:t>vylúčeniu nepotrebných a doplneniu chýbajúcich ukazovateľov,</w:t>
            </w:r>
          </w:p>
          <w:p w14:paraId="21532E87" w14:textId="77777777" w:rsidR="000D2C78" w:rsidRPr="00F8588F" w:rsidRDefault="000D2C78" w:rsidP="000D2C78">
            <w:pPr>
              <w:pStyle w:val="Odsekzoznamu"/>
              <w:numPr>
                <w:ilvl w:val="0"/>
                <w:numId w:val="146"/>
              </w:numPr>
              <w:rPr>
                <w:rFonts w:ascii="Arial" w:hAnsi="Arial" w:cs="Arial"/>
                <w:sz w:val="16"/>
                <w:szCs w:val="16"/>
              </w:rPr>
            </w:pPr>
            <w:r w:rsidRPr="00F8588F">
              <w:rPr>
                <w:rFonts w:ascii="Arial" w:hAnsi="Arial" w:cs="Arial"/>
                <w:sz w:val="16"/>
                <w:szCs w:val="16"/>
              </w:rPr>
              <w:t>uplatneniu rovnakých ukazovateľov v rovnakých typoch projektov financovaných z rôznych zdrojov,</w:t>
            </w:r>
          </w:p>
          <w:p w14:paraId="0F2CAD5D" w14:textId="77777777" w:rsidR="000D2C78" w:rsidRDefault="000D2C78" w:rsidP="000D2C78">
            <w:pPr>
              <w:pStyle w:val="Odsekzoznamu"/>
              <w:numPr>
                <w:ilvl w:val="0"/>
                <w:numId w:val="146"/>
              </w:numPr>
              <w:spacing w:after="0" w:line="240" w:lineRule="auto"/>
              <w:rPr>
                <w:rFonts w:ascii="Arial" w:hAnsi="Arial" w:cs="Arial"/>
                <w:sz w:val="16"/>
                <w:szCs w:val="16"/>
              </w:rPr>
            </w:pPr>
            <w:r w:rsidRPr="00F8588F">
              <w:rPr>
                <w:rFonts w:ascii="Arial" w:hAnsi="Arial" w:cs="Arial"/>
                <w:sz w:val="16"/>
                <w:szCs w:val="16"/>
              </w:rPr>
              <w:t>vykazovaniu ukazovateľov v rovnakých jednotkách, a</w:t>
            </w:r>
          </w:p>
          <w:p w14:paraId="400384BA" w14:textId="77777777" w:rsidR="000D2C78" w:rsidRPr="00C368C2" w:rsidRDefault="000D2C78" w:rsidP="000D2C78">
            <w:pPr>
              <w:pStyle w:val="Odsekzoznamu"/>
              <w:numPr>
                <w:ilvl w:val="0"/>
                <w:numId w:val="146"/>
              </w:numPr>
              <w:spacing w:after="0" w:line="240" w:lineRule="auto"/>
            </w:pPr>
            <w:r w:rsidRPr="000E5E1B">
              <w:rPr>
                <w:rFonts w:ascii="Arial" w:hAnsi="Arial" w:cs="Arial"/>
                <w:sz w:val="16"/>
                <w:szCs w:val="16"/>
              </w:rPr>
              <w:t>vhodnému načasovaniu hodnotení dopadov.</w:t>
            </w:r>
          </w:p>
        </w:tc>
      </w:tr>
      <w:tr w:rsidR="000D2C78" w:rsidRPr="00C368C2" w14:paraId="290AC718" w14:textId="77777777" w:rsidTr="00F410CF">
        <w:tc>
          <w:tcPr>
            <w:tcW w:w="9060" w:type="dxa"/>
            <w:gridSpan w:val="4"/>
          </w:tcPr>
          <w:p w14:paraId="5D60521F" w14:textId="77777777" w:rsidR="000D2C78" w:rsidRPr="00E96E9E" w:rsidRDefault="000D2C78" w:rsidP="00F410CF">
            <w:pPr>
              <w:shd w:val="clear" w:color="auto" w:fill="FABF8F" w:themeFill="accent6" w:themeFillTint="99"/>
              <w:jc w:val="both"/>
              <w:rPr>
                <w:rFonts w:ascii="Arial" w:hAnsi="Arial" w:cs="Arial"/>
                <w:sz w:val="16"/>
                <w:szCs w:val="16"/>
              </w:rPr>
            </w:pPr>
            <w:r w:rsidRPr="00E96E9E">
              <w:rPr>
                <w:rFonts w:ascii="Arial" w:hAnsi="Arial" w:cs="Arial"/>
                <w:sz w:val="16"/>
                <w:szCs w:val="16"/>
              </w:rPr>
              <w:t>Prijaté opatrenia zo strany RO</w:t>
            </w:r>
            <w:r>
              <w:rPr>
                <w:rFonts w:ascii="Arial" w:hAnsi="Arial" w:cs="Arial"/>
                <w:sz w:val="16"/>
                <w:szCs w:val="16"/>
              </w:rPr>
              <w:t xml:space="preserve"> a realizácia záverov z hodnotenia</w:t>
            </w:r>
            <w:r w:rsidRPr="00E96E9E">
              <w:rPr>
                <w:rFonts w:ascii="Arial" w:hAnsi="Arial" w:cs="Arial"/>
                <w:sz w:val="16"/>
                <w:szCs w:val="16"/>
              </w:rPr>
              <w:t>:</w:t>
            </w:r>
          </w:p>
          <w:p w14:paraId="533B67D2" w14:textId="77777777" w:rsidR="000D2C78" w:rsidRPr="00C368C2" w:rsidRDefault="000D2C78" w:rsidP="00F410CF">
            <w:pPr>
              <w:jc w:val="both"/>
              <w:rPr>
                <w:rFonts w:ascii="Arial" w:hAnsi="Arial" w:cs="Arial"/>
                <w:sz w:val="16"/>
                <w:szCs w:val="16"/>
              </w:rPr>
            </w:pPr>
            <w:r w:rsidRPr="00D26F1A">
              <w:rPr>
                <w:rFonts w:ascii="Arial" w:hAnsi="Arial" w:cs="Arial"/>
                <w:sz w:val="16"/>
                <w:szCs w:val="16"/>
              </w:rPr>
              <w:t>Výsledky analýzy boli formulované ako odporúčania vo vzťahu k programovému obdobiu 2014 – 2020 a boli zohľadnené v rámci prípravy návrhu Operačného programu Kvalita životného prostredia na programové obdobie 2014 – 2020</w:t>
            </w:r>
            <w:r>
              <w:rPr>
                <w:rFonts w:ascii="Arial" w:hAnsi="Arial" w:cs="Arial"/>
                <w:sz w:val="16"/>
                <w:szCs w:val="16"/>
              </w:rPr>
              <w:t>, resp. budú brané do úvahy pri identifikácii potreby revízie OP KŽP.</w:t>
            </w:r>
          </w:p>
        </w:tc>
      </w:tr>
    </w:tbl>
    <w:p w14:paraId="1D84BB76" w14:textId="77777777" w:rsidR="000D2C78" w:rsidRPr="00E21C60" w:rsidRDefault="000D2C78" w:rsidP="000D2C78">
      <w:pPr>
        <w:shd w:val="clear" w:color="auto" w:fill="FFFFFF"/>
        <w:tabs>
          <w:tab w:val="left" w:pos="2730"/>
        </w:tabs>
        <w:autoSpaceDE w:val="0"/>
        <w:autoSpaceDN w:val="0"/>
        <w:adjustRightInd w:val="0"/>
        <w:spacing w:line="120" w:lineRule="auto"/>
        <w:ind w:left="958"/>
        <w:rPr>
          <w:rFonts w:ascii="Arial" w:hAnsi="Arial" w:cs="Arial"/>
          <w:sz w:val="16"/>
          <w:szCs w:val="16"/>
        </w:rPr>
      </w:pPr>
    </w:p>
    <w:p w14:paraId="08186C3F" w14:textId="77777777" w:rsidR="000D2C78" w:rsidRDefault="000D2C78" w:rsidP="000D2C78">
      <w:pPr>
        <w:rPr>
          <w:rFonts w:ascii="Arial" w:hAnsi="Arial" w:cs="Arial"/>
          <w:sz w:val="16"/>
          <w:szCs w:val="16"/>
        </w:rPr>
      </w:pPr>
      <w:r w:rsidRPr="00123376">
        <w:rPr>
          <w:rFonts w:ascii="Arial" w:hAnsi="Arial" w:cs="Arial"/>
          <w:sz w:val="16"/>
          <w:szCs w:val="16"/>
        </w:rPr>
        <w:t>Zdroj: RO</w:t>
      </w:r>
    </w:p>
    <w:p w14:paraId="2BFD6037" w14:textId="77777777" w:rsidR="000D2C78" w:rsidRDefault="000D2C78" w:rsidP="000D2C78">
      <w:pPr>
        <w:rPr>
          <w:rFonts w:ascii="Arial" w:hAnsi="Arial" w:cs="Arial"/>
          <w:sz w:val="16"/>
          <w:szCs w:val="16"/>
        </w:rPr>
      </w:pPr>
    </w:p>
    <w:tbl>
      <w:tblPr>
        <w:tblStyle w:val="Mriekatabuky"/>
        <w:tblW w:w="0" w:type="auto"/>
        <w:tblLook w:val="04A0" w:firstRow="1" w:lastRow="0" w:firstColumn="1" w:lastColumn="0" w:noHBand="0" w:noVBand="1"/>
      </w:tblPr>
      <w:tblGrid>
        <w:gridCol w:w="2269"/>
        <w:gridCol w:w="2255"/>
        <w:gridCol w:w="2270"/>
        <w:gridCol w:w="2266"/>
      </w:tblGrid>
      <w:tr w:rsidR="000D2C78" w:rsidRPr="00C368C2" w14:paraId="351BF14A" w14:textId="77777777" w:rsidTr="00F410CF">
        <w:trPr>
          <w:trHeight w:val="333"/>
        </w:trPr>
        <w:tc>
          <w:tcPr>
            <w:tcW w:w="2269" w:type="dxa"/>
            <w:shd w:val="clear" w:color="auto" w:fill="C2D69B" w:themeFill="accent3" w:themeFillTint="99"/>
            <w:vAlign w:val="center"/>
          </w:tcPr>
          <w:p w14:paraId="3260E1B8"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Názov hodnotenia</w:t>
            </w:r>
          </w:p>
        </w:tc>
        <w:tc>
          <w:tcPr>
            <w:tcW w:w="2255" w:type="dxa"/>
            <w:shd w:val="clear" w:color="auto" w:fill="C2D69B" w:themeFill="accent3" w:themeFillTint="99"/>
            <w:vAlign w:val="center"/>
          </w:tcPr>
          <w:p w14:paraId="49C00B1D"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Suma (vrátane DPH) v €</w:t>
            </w:r>
          </w:p>
        </w:tc>
        <w:tc>
          <w:tcPr>
            <w:tcW w:w="2270" w:type="dxa"/>
            <w:shd w:val="clear" w:color="auto" w:fill="C2D69B" w:themeFill="accent3" w:themeFillTint="99"/>
            <w:vAlign w:val="center"/>
          </w:tcPr>
          <w:p w14:paraId="67772502"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Doba realizácie hodnotenia</w:t>
            </w:r>
          </w:p>
        </w:tc>
        <w:tc>
          <w:tcPr>
            <w:tcW w:w="2266" w:type="dxa"/>
            <w:shd w:val="clear" w:color="auto" w:fill="C2D69B" w:themeFill="accent3" w:themeFillTint="99"/>
            <w:vAlign w:val="center"/>
          </w:tcPr>
          <w:p w14:paraId="60D3B6E2" w14:textId="77777777" w:rsidR="000D2C78" w:rsidRPr="00C368C2" w:rsidRDefault="000D2C78" w:rsidP="00F410CF">
            <w:pPr>
              <w:jc w:val="center"/>
              <w:rPr>
                <w:rFonts w:ascii="Arial" w:hAnsi="Arial" w:cs="Arial"/>
                <w:sz w:val="16"/>
                <w:szCs w:val="16"/>
              </w:rPr>
            </w:pPr>
            <w:r w:rsidRPr="00C368C2">
              <w:rPr>
                <w:rFonts w:ascii="Arial" w:hAnsi="Arial" w:cs="Arial"/>
                <w:sz w:val="16"/>
                <w:szCs w:val="16"/>
              </w:rPr>
              <w:t>Typ hodnotenia</w:t>
            </w:r>
          </w:p>
        </w:tc>
      </w:tr>
      <w:tr w:rsidR="000D2C78" w:rsidRPr="00C368C2" w14:paraId="4DD965F8" w14:textId="77777777" w:rsidTr="00F410CF">
        <w:tc>
          <w:tcPr>
            <w:tcW w:w="2269" w:type="dxa"/>
          </w:tcPr>
          <w:p w14:paraId="0C048106" w14:textId="77777777" w:rsidR="000D2C78" w:rsidRPr="00C368C2" w:rsidRDefault="000D2C78" w:rsidP="00F410CF">
            <w:pPr>
              <w:rPr>
                <w:rFonts w:ascii="Arial" w:hAnsi="Arial" w:cs="Arial"/>
                <w:sz w:val="16"/>
                <w:szCs w:val="16"/>
              </w:rPr>
            </w:pPr>
            <w:r w:rsidRPr="00F8588F">
              <w:rPr>
                <w:rFonts w:ascii="Arial" w:hAnsi="Arial" w:cs="Arial"/>
                <w:sz w:val="16"/>
                <w:szCs w:val="16"/>
                <w:lang w:eastAsia="en-US"/>
              </w:rPr>
              <w:t>Analýza aktuálneho stavu implementácie Operačného programu Životné prostredie a návrh možných opatrení na zníženie rizika prípadného decommitmentu</w:t>
            </w:r>
          </w:p>
        </w:tc>
        <w:tc>
          <w:tcPr>
            <w:tcW w:w="2255" w:type="dxa"/>
            <w:vAlign w:val="center"/>
          </w:tcPr>
          <w:p w14:paraId="23D66E31" w14:textId="77777777" w:rsidR="000D2C78" w:rsidRPr="00C368C2" w:rsidRDefault="000D2C78" w:rsidP="00F410CF">
            <w:pPr>
              <w:jc w:val="center"/>
              <w:rPr>
                <w:rFonts w:ascii="Arial" w:hAnsi="Arial" w:cs="Arial"/>
                <w:sz w:val="16"/>
                <w:szCs w:val="16"/>
              </w:rPr>
            </w:pPr>
            <w:r w:rsidRPr="00D26F1A">
              <w:rPr>
                <w:rFonts w:ascii="Arial" w:hAnsi="Arial" w:cs="Arial"/>
                <w:sz w:val="16"/>
                <w:szCs w:val="16"/>
              </w:rPr>
              <w:t>N/A</w:t>
            </w:r>
          </w:p>
        </w:tc>
        <w:tc>
          <w:tcPr>
            <w:tcW w:w="2270" w:type="dxa"/>
            <w:vAlign w:val="center"/>
          </w:tcPr>
          <w:p w14:paraId="744E0B50" w14:textId="77777777" w:rsidR="000D2C78" w:rsidRPr="00D26F1A" w:rsidRDefault="000D2C78" w:rsidP="00F410CF">
            <w:pPr>
              <w:jc w:val="center"/>
              <w:rPr>
                <w:rFonts w:ascii="Arial" w:hAnsi="Arial" w:cs="Arial"/>
                <w:sz w:val="16"/>
                <w:szCs w:val="16"/>
              </w:rPr>
            </w:pPr>
            <w:r>
              <w:rPr>
                <w:rFonts w:ascii="Arial" w:hAnsi="Arial" w:cs="Arial"/>
                <w:sz w:val="16"/>
                <w:szCs w:val="16"/>
              </w:rPr>
              <w:t>júl 2015</w:t>
            </w:r>
          </w:p>
        </w:tc>
        <w:tc>
          <w:tcPr>
            <w:tcW w:w="2266" w:type="dxa"/>
            <w:vAlign w:val="center"/>
          </w:tcPr>
          <w:p w14:paraId="71150122" w14:textId="77777777" w:rsidR="000D2C78" w:rsidRPr="00C368C2" w:rsidRDefault="000D2C78" w:rsidP="00F410CF">
            <w:pPr>
              <w:jc w:val="center"/>
              <w:rPr>
                <w:rFonts w:ascii="Arial" w:hAnsi="Arial" w:cs="Arial"/>
                <w:sz w:val="16"/>
                <w:szCs w:val="16"/>
              </w:rPr>
            </w:pPr>
            <w:r>
              <w:rPr>
                <w:rFonts w:ascii="Arial" w:hAnsi="Arial" w:cs="Arial"/>
                <w:sz w:val="16"/>
                <w:szCs w:val="16"/>
              </w:rPr>
              <w:t>kvantitatívna a kvalitatívna analýza</w:t>
            </w:r>
          </w:p>
        </w:tc>
      </w:tr>
      <w:tr w:rsidR="000D2C78" w:rsidRPr="00C368C2" w14:paraId="0C3C0B34" w14:textId="77777777" w:rsidTr="00F410CF">
        <w:tc>
          <w:tcPr>
            <w:tcW w:w="9060" w:type="dxa"/>
            <w:gridSpan w:val="4"/>
          </w:tcPr>
          <w:p w14:paraId="2829B53C" w14:textId="77777777" w:rsidR="000D2C78" w:rsidRPr="00E96E9E" w:rsidRDefault="000D2C78" w:rsidP="00F410CF">
            <w:pPr>
              <w:shd w:val="clear" w:color="auto" w:fill="F0E882"/>
              <w:jc w:val="both"/>
              <w:rPr>
                <w:rFonts w:ascii="Arial" w:hAnsi="Arial" w:cs="Arial"/>
                <w:sz w:val="16"/>
                <w:szCs w:val="16"/>
              </w:rPr>
            </w:pPr>
            <w:r w:rsidRPr="00E96E9E">
              <w:rPr>
                <w:rFonts w:ascii="Arial" w:hAnsi="Arial" w:cs="Arial"/>
                <w:sz w:val="16"/>
                <w:szCs w:val="16"/>
              </w:rPr>
              <w:t>Stručný popis zistení z</w:t>
            </w:r>
            <w:r>
              <w:rPr>
                <w:rFonts w:ascii="Arial" w:hAnsi="Arial" w:cs="Arial"/>
                <w:sz w:val="16"/>
                <w:szCs w:val="16"/>
              </w:rPr>
              <w:t> </w:t>
            </w:r>
            <w:r w:rsidRPr="00E96E9E">
              <w:rPr>
                <w:rFonts w:ascii="Arial" w:hAnsi="Arial" w:cs="Arial"/>
                <w:sz w:val="16"/>
                <w:szCs w:val="16"/>
              </w:rPr>
              <w:t>hodnotenia</w:t>
            </w:r>
            <w:r>
              <w:rPr>
                <w:rFonts w:ascii="Arial" w:hAnsi="Arial" w:cs="Arial"/>
                <w:sz w:val="16"/>
                <w:szCs w:val="16"/>
              </w:rPr>
              <w:t xml:space="preserve"> a závery z hodnotenia</w:t>
            </w:r>
            <w:r w:rsidRPr="00E96E9E">
              <w:rPr>
                <w:rFonts w:ascii="Arial" w:hAnsi="Arial" w:cs="Arial"/>
                <w:sz w:val="16"/>
                <w:szCs w:val="16"/>
              </w:rPr>
              <w:t>:</w:t>
            </w:r>
          </w:p>
          <w:p w14:paraId="631A85FA" w14:textId="77777777" w:rsidR="000D2C78" w:rsidRDefault="000D2C78" w:rsidP="00F410CF">
            <w:pPr>
              <w:rPr>
                <w:rFonts w:ascii="Arial" w:hAnsi="Arial" w:cs="Arial"/>
                <w:sz w:val="16"/>
                <w:szCs w:val="16"/>
              </w:rPr>
            </w:pPr>
            <w:r>
              <w:rPr>
                <w:rFonts w:ascii="Arial" w:hAnsi="Arial" w:cs="Arial"/>
                <w:sz w:val="16"/>
                <w:szCs w:val="16"/>
              </w:rPr>
              <w:t xml:space="preserve">Predmetom analýzy bolo posúdiť riziko decommitmentu a navrhnúť opatrenia, ktoré by mohli prispieť k zníženiu rizika jeho vzniku. </w:t>
            </w:r>
          </w:p>
          <w:p w14:paraId="0B92B718" w14:textId="77777777" w:rsidR="000D2C78" w:rsidRDefault="000D2C78" w:rsidP="00F410CF">
            <w:pPr>
              <w:rPr>
                <w:rFonts w:ascii="Arial" w:hAnsi="Arial" w:cs="Arial"/>
                <w:sz w:val="16"/>
                <w:szCs w:val="16"/>
              </w:rPr>
            </w:pPr>
            <w:r w:rsidRPr="00F8588F">
              <w:rPr>
                <w:rFonts w:ascii="Arial" w:hAnsi="Arial" w:cs="Arial"/>
                <w:sz w:val="16"/>
                <w:szCs w:val="16"/>
              </w:rPr>
              <w:t>Z predloženej analýzy, ako aj z predchádzajúcich analýz na úrovni RO alebo celkovo analýz na národnej úrovni vyplýva, že</w:t>
            </w:r>
            <w:r>
              <w:rPr>
                <w:rFonts w:ascii="Arial" w:hAnsi="Arial" w:cs="Arial"/>
                <w:sz w:val="16"/>
                <w:szCs w:val="16"/>
              </w:rPr>
              <w:t> </w:t>
            </w:r>
            <w:r w:rsidRPr="00F8588F">
              <w:rPr>
                <w:rFonts w:ascii="Arial" w:hAnsi="Arial" w:cs="Arial"/>
                <w:sz w:val="16"/>
                <w:szCs w:val="16"/>
              </w:rPr>
              <w:t>nízke čerpanie naviazané na nízke kontrahovanie bolo dlhodobým problémom OP ŽP.</w:t>
            </w:r>
          </w:p>
          <w:p w14:paraId="1686BD15" w14:textId="77777777" w:rsidR="000D2C78" w:rsidRDefault="000D2C78" w:rsidP="00F410CF">
            <w:pPr>
              <w:jc w:val="both"/>
              <w:rPr>
                <w:rFonts w:ascii="Arial" w:hAnsi="Arial" w:cs="Arial"/>
                <w:sz w:val="16"/>
                <w:szCs w:val="16"/>
              </w:rPr>
            </w:pPr>
          </w:p>
          <w:p w14:paraId="4A108C4B"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Z priebehu čerpania bolo zrejmé, že úplné vyčerpanie celej disponibilnej alokácie OP ŽP je značne ohrozené. Zabezpečenie vyčerpania čo najväčšieho objemu finančných prostriedkov si vyžiadalo mimoriadne opatrenia za účelom zníženia rizika decommitmentu.</w:t>
            </w:r>
          </w:p>
          <w:p w14:paraId="77E305E4" w14:textId="77777777" w:rsidR="000D2C78" w:rsidRPr="00F8588F" w:rsidRDefault="000D2C78" w:rsidP="00F410CF">
            <w:pPr>
              <w:jc w:val="both"/>
              <w:rPr>
                <w:rFonts w:ascii="Arial" w:hAnsi="Arial" w:cs="Arial"/>
                <w:sz w:val="16"/>
                <w:szCs w:val="16"/>
              </w:rPr>
            </w:pPr>
          </w:p>
          <w:p w14:paraId="5B65E434" w14:textId="77777777" w:rsidR="000D2C78" w:rsidRDefault="000D2C78" w:rsidP="00F410CF">
            <w:pPr>
              <w:jc w:val="both"/>
              <w:rPr>
                <w:rFonts w:ascii="Arial" w:hAnsi="Arial" w:cs="Arial"/>
                <w:sz w:val="16"/>
                <w:szCs w:val="16"/>
              </w:rPr>
            </w:pPr>
            <w:r w:rsidRPr="00F8588F">
              <w:rPr>
                <w:rFonts w:ascii="Arial" w:hAnsi="Arial" w:cs="Arial"/>
                <w:sz w:val="16"/>
                <w:szCs w:val="16"/>
              </w:rPr>
              <w:t>K vzniknutej situácii sa podpísal rad faktorov a príčin. Tieto systematicky alebo jednorazovo ovplyvňovali implementáciu OP ŽP. Za príčiny, ktorých konečným dôsledkom je nízke čerpanie, možno označiť nasledujúce faktory.</w:t>
            </w:r>
          </w:p>
          <w:p w14:paraId="6EF079C7" w14:textId="77777777" w:rsidR="000D2C78" w:rsidRPr="00F8588F" w:rsidRDefault="000D2C78" w:rsidP="00F410CF">
            <w:pPr>
              <w:jc w:val="both"/>
              <w:rPr>
                <w:rFonts w:ascii="Arial" w:hAnsi="Arial" w:cs="Arial"/>
                <w:sz w:val="16"/>
                <w:szCs w:val="16"/>
              </w:rPr>
            </w:pPr>
          </w:p>
          <w:p w14:paraId="1A7CADCC" w14:textId="77777777" w:rsidR="000D2C78" w:rsidRPr="00F8588F" w:rsidRDefault="000D2C78" w:rsidP="000D2C78">
            <w:pPr>
              <w:pStyle w:val="Odsekzoznamu"/>
              <w:numPr>
                <w:ilvl w:val="3"/>
                <w:numId w:val="14"/>
              </w:numPr>
              <w:tabs>
                <w:tab w:val="clear" w:pos="2880"/>
              </w:tabs>
              <w:ind w:left="596"/>
              <w:jc w:val="both"/>
              <w:rPr>
                <w:rFonts w:ascii="Arial" w:hAnsi="Arial" w:cs="Arial"/>
                <w:sz w:val="16"/>
                <w:szCs w:val="16"/>
                <w:lang w:eastAsia="sk-SK"/>
              </w:rPr>
            </w:pPr>
            <w:r w:rsidRPr="00F8588F">
              <w:rPr>
                <w:rFonts w:ascii="Arial" w:hAnsi="Arial" w:cs="Arial"/>
                <w:sz w:val="16"/>
                <w:szCs w:val="16"/>
                <w:lang w:eastAsia="sk-SK"/>
              </w:rPr>
              <w:t>verejné obstarávanie,</w:t>
            </w:r>
          </w:p>
          <w:p w14:paraId="3C24312B" w14:textId="77777777" w:rsidR="000D2C78" w:rsidRPr="00F8588F" w:rsidRDefault="000D2C78" w:rsidP="000D2C78">
            <w:pPr>
              <w:pStyle w:val="Odsekzoznamu"/>
              <w:numPr>
                <w:ilvl w:val="3"/>
                <w:numId w:val="14"/>
              </w:numPr>
              <w:tabs>
                <w:tab w:val="clear" w:pos="2880"/>
              </w:tabs>
              <w:ind w:left="596"/>
              <w:jc w:val="both"/>
              <w:rPr>
                <w:rFonts w:ascii="Arial" w:hAnsi="Arial" w:cs="Arial"/>
                <w:sz w:val="16"/>
                <w:szCs w:val="16"/>
                <w:lang w:eastAsia="sk-SK"/>
              </w:rPr>
            </w:pPr>
            <w:r w:rsidRPr="00F8588F">
              <w:rPr>
                <w:rFonts w:ascii="Arial" w:hAnsi="Arial" w:cs="Arial"/>
                <w:sz w:val="16"/>
                <w:szCs w:val="16"/>
                <w:lang w:eastAsia="sk-SK"/>
              </w:rPr>
              <w:lastRenderedPageBreak/>
              <w:t>dôsledky finančnej krízy a následne ekonomickej a hospodárskej krízy</w:t>
            </w:r>
            <w:r>
              <w:rPr>
                <w:rFonts w:ascii="Arial" w:hAnsi="Arial" w:cs="Arial"/>
                <w:sz w:val="16"/>
                <w:szCs w:val="16"/>
                <w:lang w:eastAsia="sk-SK"/>
              </w:rPr>
              <w:t>,</w:t>
            </w:r>
          </w:p>
          <w:p w14:paraId="537F1217" w14:textId="77777777" w:rsidR="000D2C78" w:rsidRPr="00F8588F" w:rsidRDefault="000D2C78" w:rsidP="000D2C78">
            <w:pPr>
              <w:pStyle w:val="Odsekzoznamu"/>
              <w:numPr>
                <w:ilvl w:val="3"/>
                <w:numId w:val="14"/>
              </w:numPr>
              <w:tabs>
                <w:tab w:val="clear" w:pos="2880"/>
              </w:tabs>
              <w:ind w:left="596"/>
              <w:jc w:val="both"/>
              <w:rPr>
                <w:rFonts w:ascii="Arial" w:hAnsi="Arial" w:cs="Arial"/>
                <w:sz w:val="16"/>
                <w:szCs w:val="16"/>
                <w:lang w:eastAsia="sk-SK"/>
              </w:rPr>
            </w:pPr>
            <w:r>
              <w:rPr>
                <w:rFonts w:ascii="Arial" w:hAnsi="Arial" w:cs="Arial"/>
                <w:sz w:val="16"/>
                <w:szCs w:val="16"/>
                <w:lang w:eastAsia="sk-SK"/>
              </w:rPr>
              <w:t>v i</w:t>
            </w:r>
            <w:r w:rsidRPr="00F8588F">
              <w:rPr>
                <w:rFonts w:ascii="Arial" w:hAnsi="Arial" w:cs="Arial"/>
                <w:sz w:val="16"/>
                <w:szCs w:val="16"/>
                <w:lang w:eastAsia="sk-SK"/>
              </w:rPr>
              <w:t xml:space="preserve">mplementačnej fáze projektov </w:t>
            </w:r>
            <w:r>
              <w:rPr>
                <w:rFonts w:ascii="Arial" w:hAnsi="Arial" w:cs="Arial"/>
                <w:sz w:val="16"/>
                <w:szCs w:val="16"/>
                <w:lang w:eastAsia="sk-SK"/>
              </w:rPr>
              <w:t xml:space="preserve">sa </w:t>
            </w:r>
            <w:r w:rsidRPr="00F8588F">
              <w:rPr>
                <w:rFonts w:ascii="Arial" w:hAnsi="Arial" w:cs="Arial"/>
                <w:sz w:val="16"/>
                <w:szCs w:val="16"/>
                <w:lang w:eastAsia="sk-SK"/>
              </w:rPr>
              <w:t>vyskytovali problémy spojené najmä so žiadosťami prijímateľov o zmenu projektov a nedostatkami v žiadostiach o</w:t>
            </w:r>
            <w:r>
              <w:rPr>
                <w:rFonts w:ascii="Arial" w:hAnsi="Arial" w:cs="Arial"/>
                <w:sz w:val="16"/>
                <w:szCs w:val="16"/>
                <w:lang w:eastAsia="sk-SK"/>
              </w:rPr>
              <w:t> </w:t>
            </w:r>
            <w:r w:rsidRPr="00F8588F">
              <w:rPr>
                <w:rFonts w:ascii="Arial" w:hAnsi="Arial" w:cs="Arial"/>
                <w:sz w:val="16"/>
                <w:szCs w:val="16"/>
                <w:lang w:eastAsia="sk-SK"/>
              </w:rPr>
              <w:t>platbu</w:t>
            </w:r>
            <w:r>
              <w:rPr>
                <w:rFonts w:ascii="Arial" w:hAnsi="Arial" w:cs="Arial"/>
                <w:sz w:val="16"/>
                <w:szCs w:val="16"/>
                <w:lang w:eastAsia="sk-SK"/>
              </w:rPr>
              <w:t>,</w:t>
            </w:r>
          </w:p>
          <w:p w14:paraId="4CE5E388" w14:textId="77777777" w:rsidR="000D2C78" w:rsidRPr="00F8588F" w:rsidRDefault="000D2C78" w:rsidP="000D2C78">
            <w:pPr>
              <w:pStyle w:val="Odsekzoznamu"/>
              <w:numPr>
                <w:ilvl w:val="3"/>
                <w:numId w:val="14"/>
              </w:numPr>
              <w:tabs>
                <w:tab w:val="clear" w:pos="2880"/>
              </w:tabs>
              <w:ind w:left="596"/>
              <w:jc w:val="both"/>
              <w:rPr>
                <w:rFonts w:ascii="Arial" w:hAnsi="Arial" w:cs="Arial"/>
                <w:sz w:val="16"/>
                <w:szCs w:val="16"/>
                <w:lang w:eastAsia="sk-SK"/>
              </w:rPr>
            </w:pPr>
            <w:r w:rsidRPr="00F8588F">
              <w:rPr>
                <w:rFonts w:ascii="Arial" w:hAnsi="Arial" w:cs="Arial"/>
                <w:sz w:val="16"/>
                <w:szCs w:val="16"/>
                <w:lang w:eastAsia="sk-SK"/>
              </w:rPr>
              <w:t>charakter prevažnej väčšiny projektov OP ŽP. Ide o investičné projekty, ktoré sa vyznačujú časovo, administratívne, ako aj finančne náročnou prípravnou fázou, čo odďaľuje nábeh čerpania výdavkov projektov.</w:t>
            </w:r>
          </w:p>
          <w:p w14:paraId="2A56B6D1" w14:textId="77777777" w:rsidR="000D2C78" w:rsidRPr="00F8588F" w:rsidRDefault="000D2C78" w:rsidP="000D2C78">
            <w:pPr>
              <w:pStyle w:val="Odsekzoznamu"/>
              <w:numPr>
                <w:ilvl w:val="3"/>
                <w:numId w:val="14"/>
              </w:numPr>
              <w:tabs>
                <w:tab w:val="clear" w:pos="2880"/>
              </w:tabs>
              <w:spacing w:after="0" w:line="240" w:lineRule="auto"/>
              <w:ind w:left="596"/>
              <w:jc w:val="both"/>
              <w:rPr>
                <w:rFonts w:ascii="Arial" w:hAnsi="Arial" w:cs="Arial"/>
                <w:sz w:val="16"/>
                <w:szCs w:val="16"/>
                <w:lang w:eastAsia="sk-SK"/>
              </w:rPr>
            </w:pPr>
            <w:r w:rsidRPr="00F8588F">
              <w:rPr>
                <w:rFonts w:ascii="Arial" w:hAnsi="Arial" w:cs="Arial"/>
                <w:sz w:val="16"/>
                <w:szCs w:val="16"/>
                <w:lang w:eastAsia="sk-SK"/>
              </w:rPr>
              <w:t>príčiny, ktorých riešenie malo nadrezortný charakter a nebolo v priamej kompetencii RO pre OP ŽP, patrí prijímanie zásadných legislatívnych úprav, podmieňujúcich implementáciu dôležitých opatrení</w:t>
            </w:r>
          </w:p>
          <w:p w14:paraId="5BB044AB" w14:textId="77777777" w:rsidR="000D2C78" w:rsidRDefault="000D2C78" w:rsidP="00F410CF">
            <w:pPr>
              <w:jc w:val="both"/>
              <w:rPr>
                <w:rFonts w:ascii="Arial" w:hAnsi="Arial" w:cs="Arial"/>
                <w:sz w:val="16"/>
                <w:szCs w:val="16"/>
              </w:rPr>
            </w:pPr>
          </w:p>
          <w:p w14:paraId="14473EAC" w14:textId="77777777" w:rsidR="000D2C78" w:rsidRPr="00C368C2" w:rsidRDefault="000D2C78" w:rsidP="00F410CF">
            <w:pPr>
              <w:jc w:val="both"/>
              <w:rPr>
                <w:rFonts w:ascii="Arial" w:hAnsi="Arial" w:cs="Arial"/>
                <w:sz w:val="16"/>
                <w:szCs w:val="16"/>
              </w:rPr>
            </w:pPr>
            <w:r w:rsidRPr="00F8588F">
              <w:rPr>
                <w:rFonts w:ascii="Arial" w:hAnsi="Arial" w:cs="Arial"/>
                <w:sz w:val="16"/>
                <w:szCs w:val="16"/>
              </w:rPr>
              <w:t>Mnohé z uvedených faktorov možno považovať za objektívne faktory, ktoré mali svoje príčiny mimo postupy a procesy na strane RO pre OP ŽP</w:t>
            </w:r>
            <w:r>
              <w:rPr>
                <w:rFonts w:ascii="Arial" w:hAnsi="Arial" w:cs="Arial"/>
                <w:sz w:val="16"/>
                <w:szCs w:val="16"/>
              </w:rPr>
              <w:t>.</w:t>
            </w:r>
          </w:p>
        </w:tc>
      </w:tr>
      <w:tr w:rsidR="000D2C78" w:rsidRPr="00C368C2" w14:paraId="03DA22F3" w14:textId="77777777" w:rsidTr="00F410CF">
        <w:tc>
          <w:tcPr>
            <w:tcW w:w="9060" w:type="dxa"/>
            <w:gridSpan w:val="4"/>
          </w:tcPr>
          <w:p w14:paraId="76867EA3" w14:textId="77777777" w:rsidR="000D2C78" w:rsidRDefault="000D2C78" w:rsidP="00F410CF">
            <w:pPr>
              <w:shd w:val="clear" w:color="auto" w:fill="F0E882"/>
              <w:jc w:val="both"/>
              <w:rPr>
                <w:rFonts w:ascii="Arial" w:hAnsi="Arial" w:cs="Arial"/>
                <w:sz w:val="16"/>
                <w:szCs w:val="16"/>
              </w:rPr>
            </w:pPr>
            <w:r w:rsidRPr="00E96E9E">
              <w:rPr>
                <w:rFonts w:ascii="Arial" w:hAnsi="Arial" w:cs="Arial"/>
                <w:sz w:val="16"/>
                <w:szCs w:val="16"/>
              </w:rPr>
              <w:lastRenderedPageBreak/>
              <w:t>Navrhnuté odporúčania:</w:t>
            </w:r>
          </w:p>
          <w:p w14:paraId="20B52EA0" w14:textId="77777777" w:rsidR="000D2C78" w:rsidRDefault="000D2C78" w:rsidP="00F410CF">
            <w:pPr>
              <w:jc w:val="both"/>
              <w:rPr>
                <w:rFonts w:ascii="Arial" w:hAnsi="Arial" w:cs="Arial"/>
                <w:sz w:val="16"/>
                <w:szCs w:val="16"/>
              </w:rPr>
            </w:pPr>
          </w:p>
          <w:p w14:paraId="61CA69E5"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 xml:space="preserve">V rámci eliminácie decommitmentu </w:t>
            </w:r>
            <w:r>
              <w:rPr>
                <w:rFonts w:ascii="Arial" w:hAnsi="Arial" w:cs="Arial"/>
                <w:sz w:val="16"/>
                <w:szCs w:val="16"/>
              </w:rPr>
              <w:t>bolo</w:t>
            </w:r>
            <w:r w:rsidRPr="00F8588F">
              <w:rPr>
                <w:rFonts w:ascii="Arial" w:hAnsi="Arial" w:cs="Arial"/>
                <w:sz w:val="16"/>
                <w:szCs w:val="16"/>
              </w:rPr>
              <w:t xml:space="preserve"> možné uvažovať s 10 konkrétnymi opatreniami s možným pozitívnym dopadom na znižovanie decommitmentu.</w:t>
            </w:r>
          </w:p>
          <w:p w14:paraId="2D4D51C1" w14:textId="77777777" w:rsidR="000D2C78" w:rsidRPr="00F8588F" w:rsidRDefault="000D2C78" w:rsidP="00F410CF">
            <w:pPr>
              <w:jc w:val="both"/>
              <w:rPr>
                <w:rFonts w:ascii="Arial" w:hAnsi="Arial" w:cs="Arial"/>
                <w:sz w:val="16"/>
                <w:szCs w:val="16"/>
              </w:rPr>
            </w:pPr>
          </w:p>
          <w:p w14:paraId="0A46319B"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 xml:space="preserve">Polovica z možných opatrení - fázovanie menších projektov do programového obdobia 2014 - 2020, reverzné </w:t>
            </w:r>
            <w:r w:rsidRPr="00C23644">
              <w:rPr>
                <w:rFonts w:ascii="Arial" w:hAnsi="Arial" w:cs="Arial"/>
                <w:sz w:val="16"/>
                <w:szCs w:val="16"/>
              </w:rPr>
              <w:t>frázovanie</w:t>
            </w:r>
            <w:r w:rsidRPr="00F8588F">
              <w:rPr>
                <w:rFonts w:ascii="Arial" w:hAnsi="Arial" w:cs="Arial"/>
                <w:sz w:val="16"/>
                <w:szCs w:val="16"/>
              </w:rPr>
              <w:t xml:space="preserve"> z</w:t>
            </w:r>
            <w:r>
              <w:rPr>
                <w:rFonts w:ascii="Arial" w:hAnsi="Arial" w:cs="Arial"/>
                <w:sz w:val="16"/>
                <w:szCs w:val="16"/>
              </w:rPr>
              <w:t> </w:t>
            </w:r>
            <w:r w:rsidRPr="00F8588F">
              <w:rPr>
                <w:rFonts w:ascii="Arial" w:hAnsi="Arial" w:cs="Arial"/>
                <w:sz w:val="16"/>
                <w:szCs w:val="16"/>
              </w:rPr>
              <w:t>programového obdobia 2014 - 2020, flexibilita vo vzťahu finančným nástrojom, preddavkové platby a ex ante korekcie pred podpisom zmluvy o poskytnutí NFP – je neaplikovateľných alebo majú okrajový finančný dopad na zníženie decommitmentu.</w:t>
            </w:r>
          </w:p>
          <w:p w14:paraId="41E9CEA4" w14:textId="77777777" w:rsidR="000D2C78" w:rsidRPr="00F8588F" w:rsidRDefault="000D2C78" w:rsidP="00F410CF">
            <w:pPr>
              <w:jc w:val="both"/>
              <w:rPr>
                <w:rFonts w:ascii="Arial" w:hAnsi="Arial" w:cs="Arial"/>
                <w:sz w:val="16"/>
                <w:szCs w:val="16"/>
              </w:rPr>
            </w:pPr>
          </w:p>
          <w:p w14:paraId="41A9406C" w14:textId="77777777" w:rsidR="000D2C78" w:rsidRPr="00F8588F" w:rsidRDefault="000D2C78" w:rsidP="00F410CF">
            <w:pPr>
              <w:jc w:val="both"/>
              <w:rPr>
                <w:rFonts w:ascii="Arial" w:hAnsi="Arial" w:cs="Arial"/>
                <w:sz w:val="16"/>
                <w:szCs w:val="16"/>
              </w:rPr>
            </w:pPr>
            <w:r w:rsidRPr="00F8588F">
              <w:rPr>
                <w:rFonts w:ascii="Arial" w:hAnsi="Arial" w:cs="Arial"/>
                <w:sz w:val="16"/>
                <w:szCs w:val="16"/>
              </w:rPr>
              <w:t>Ďalších 5 flexibilít generuje v podmienkach OP ŽP pozitívny dopad na eliminovanie decommitmentu a vytvára predpoklady pre maximalizáciu konečného čerpania OP ŽP.</w:t>
            </w:r>
            <w:r>
              <w:rPr>
                <w:rFonts w:ascii="Arial" w:hAnsi="Arial" w:cs="Arial"/>
                <w:sz w:val="16"/>
                <w:szCs w:val="16"/>
              </w:rPr>
              <w:t xml:space="preserve"> Navrhované opatrenia:</w:t>
            </w:r>
          </w:p>
          <w:p w14:paraId="151936B8" w14:textId="77777777" w:rsidR="000D2C78" w:rsidRPr="00F8588F" w:rsidRDefault="000D2C78" w:rsidP="00F410CF">
            <w:pPr>
              <w:rPr>
                <w:rFonts w:ascii="Arial" w:hAnsi="Arial" w:cs="Arial"/>
                <w:sz w:val="16"/>
                <w:szCs w:val="16"/>
              </w:rPr>
            </w:pPr>
          </w:p>
          <w:p w14:paraId="0354EF43" w14:textId="77777777" w:rsidR="000D2C78" w:rsidRPr="00F8588F" w:rsidRDefault="000D2C78" w:rsidP="000D2C78">
            <w:pPr>
              <w:pStyle w:val="Odsekzoznamu"/>
              <w:numPr>
                <w:ilvl w:val="0"/>
                <w:numId w:val="147"/>
              </w:numPr>
              <w:spacing w:after="0" w:line="240" w:lineRule="auto"/>
              <w:rPr>
                <w:rFonts w:ascii="Arial" w:hAnsi="Arial" w:cs="Arial"/>
                <w:sz w:val="16"/>
                <w:szCs w:val="16"/>
              </w:rPr>
            </w:pPr>
            <w:r w:rsidRPr="00F8588F">
              <w:rPr>
                <w:rFonts w:ascii="Arial" w:hAnsi="Arial" w:cs="Arial"/>
                <w:sz w:val="16"/>
                <w:szCs w:val="16"/>
              </w:rPr>
              <w:t>Nadkontrahovanie</w:t>
            </w:r>
          </w:p>
          <w:p w14:paraId="6C6B9C94" w14:textId="77777777" w:rsidR="000D2C78" w:rsidRPr="00F8588F" w:rsidRDefault="000D2C78" w:rsidP="000D2C78">
            <w:pPr>
              <w:pStyle w:val="Odsekzoznamu"/>
              <w:numPr>
                <w:ilvl w:val="0"/>
                <w:numId w:val="147"/>
              </w:numPr>
              <w:spacing w:after="0" w:line="240" w:lineRule="auto"/>
              <w:rPr>
                <w:rFonts w:ascii="Arial" w:hAnsi="Arial" w:cs="Arial"/>
                <w:sz w:val="16"/>
                <w:szCs w:val="16"/>
              </w:rPr>
            </w:pPr>
            <w:r w:rsidRPr="00F8588F">
              <w:rPr>
                <w:rFonts w:ascii="Arial" w:hAnsi="Arial" w:cs="Arial"/>
                <w:sz w:val="16"/>
                <w:szCs w:val="16"/>
              </w:rPr>
              <w:t>10 % flexibilita na úrovni prioritnej osi</w:t>
            </w:r>
          </w:p>
          <w:p w14:paraId="7762BF4B" w14:textId="77777777" w:rsidR="000D2C78" w:rsidRPr="00F8588F" w:rsidRDefault="000D2C78" w:rsidP="000D2C78">
            <w:pPr>
              <w:pStyle w:val="Odsekzoznamu"/>
              <w:numPr>
                <w:ilvl w:val="0"/>
                <w:numId w:val="147"/>
              </w:numPr>
              <w:spacing w:after="0" w:line="240" w:lineRule="auto"/>
              <w:rPr>
                <w:rFonts w:ascii="Arial" w:hAnsi="Arial" w:cs="Arial"/>
                <w:sz w:val="16"/>
                <w:szCs w:val="16"/>
              </w:rPr>
            </w:pPr>
            <w:r w:rsidRPr="00F8588F">
              <w:rPr>
                <w:rFonts w:ascii="Arial" w:hAnsi="Arial" w:cs="Arial"/>
                <w:sz w:val="16"/>
                <w:szCs w:val="16"/>
              </w:rPr>
              <w:t>Ukončovanie projektov po roku 2015</w:t>
            </w:r>
          </w:p>
          <w:p w14:paraId="225195D0" w14:textId="77777777" w:rsidR="000D2C78" w:rsidRPr="00F8588F" w:rsidRDefault="000D2C78" w:rsidP="000D2C78">
            <w:pPr>
              <w:pStyle w:val="Odsekzoznamu"/>
              <w:numPr>
                <w:ilvl w:val="0"/>
                <w:numId w:val="147"/>
              </w:numPr>
              <w:spacing w:after="0" w:line="240" w:lineRule="auto"/>
              <w:rPr>
                <w:rFonts w:ascii="Arial" w:hAnsi="Arial" w:cs="Arial"/>
                <w:sz w:val="16"/>
                <w:szCs w:val="16"/>
              </w:rPr>
            </w:pPr>
            <w:r w:rsidRPr="00F8588F">
              <w:rPr>
                <w:rFonts w:ascii="Arial" w:hAnsi="Arial" w:cs="Arial"/>
                <w:sz w:val="16"/>
                <w:szCs w:val="16"/>
              </w:rPr>
              <w:t>Fázovanie veľkých projektov</w:t>
            </w:r>
          </w:p>
          <w:p w14:paraId="2EECFFE4" w14:textId="77777777" w:rsidR="000D2C78" w:rsidRPr="00F8588F" w:rsidRDefault="000D2C78" w:rsidP="000D2C78">
            <w:pPr>
              <w:pStyle w:val="Odsekzoznamu"/>
              <w:numPr>
                <w:ilvl w:val="0"/>
                <w:numId w:val="147"/>
              </w:numPr>
              <w:spacing w:after="0" w:line="240" w:lineRule="auto"/>
              <w:rPr>
                <w:rFonts w:ascii="Arial" w:hAnsi="Arial" w:cs="Arial"/>
                <w:sz w:val="16"/>
                <w:szCs w:val="16"/>
              </w:rPr>
            </w:pPr>
            <w:r w:rsidRPr="00F8588F">
              <w:rPr>
                <w:rFonts w:ascii="Arial" w:hAnsi="Arial" w:cs="Arial"/>
                <w:sz w:val="16"/>
                <w:szCs w:val="16"/>
              </w:rPr>
              <w:t>Revízia OP</w:t>
            </w:r>
          </w:p>
          <w:p w14:paraId="55219190" w14:textId="77777777" w:rsidR="000D2C78" w:rsidRPr="00C368C2" w:rsidRDefault="000D2C78" w:rsidP="00F410CF">
            <w:pPr>
              <w:rPr>
                <w:rFonts w:ascii="Arial" w:hAnsi="Arial" w:cs="Arial"/>
                <w:sz w:val="16"/>
                <w:szCs w:val="16"/>
              </w:rPr>
            </w:pPr>
          </w:p>
        </w:tc>
      </w:tr>
      <w:tr w:rsidR="000D2C78" w:rsidRPr="00C368C2" w14:paraId="5ACBD073" w14:textId="77777777" w:rsidTr="00F410CF">
        <w:tc>
          <w:tcPr>
            <w:tcW w:w="9060" w:type="dxa"/>
            <w:gridSpan w:val="4"/>
          </w:tcPr>
          <w:p w14:paraId="627B6B63" w14:textId="77777777" w:rsidR="000D2C78" w:rsidRPr="00E96E9E" w:rsidRDefault="000D2C78" w:rsidP="00F410CF">
            <w:pPr>
              <w:shd w:val="clear" w:color="auto" w:fill="FABF8F" w:themeFill="accent6" w:themeFillTint="99"/>
              <w:jc w:val="both"/>
              <w:rPr>
                <w:rFonts w:ascii="Arial" w:hAnsi="Arial" w:cs="Arial"/>
                <w:sz w:val="16"/>
                <w:szCs w:val="16"/>
              </w:rPr>
            </w:pPr>
            <w:r w:rsidRPr="00E96E9E">
              <w:rPr>
                <w:rFonts w:ascii="Arial" w:hAnsi="Arial" w:cs="Arial"/>
                <w:sz w:val="16"/>
                <w:szCs w:val="16"/>
              </w:rPr>
              <w:t>Prijaté opatrenia zo strany RO</w:t>
            </w:r>
            <w:r>
              <w:rPr>
                <w:rFonts w:ascii="Arial" w:hAnsi="Arial" w:cs="Arial"/>
                <w:sz w:val="16"/>
                <w:szCs w:val="16"/>
              </w:rPr>
              <w:t xml:space="preserve"> a realizácia záverov z hodnotenia</w:t>
            </w:r>
            <w:r w:rsidRPr="00E96E9E">
              <w:rPr>
                <w:rFonts w:ascii="Arial" w:hAnsi="Arial" w:cs="Arial"/>
                <w:sz w:val="16"/>
                <w:szCs w:val="16"/>
              </w:rPr>
              <w:t>:</w:t>
            </w:r>
          </w:p>
          <w:p w14:paraId="33D3AE20" w14:textId="77777777" w:rsidR="000D2C78" w:rsidRPr="00C368C2" w:rsidRDefault="000D2C78" w:rsidP="00F410CF">
            <w:pPr>
              <w:jc w:val="both"/>
              <w:rPr>
                <w:rFonts w:ascii="Arial" w:hAnsi="Arial" w:cs="Arial"/>
                <w:sz w:val="16"/>
                <w:szCs w:val="16"/>
              </w:rPr>
            </w:pPr>
            <w:r>
              <w:rPr>
                <w:rFonts w:ascii="Arial" w:hAnsi="Arial" w:cs="Arial"/>
                <w:sz w:val="16"/>
                <w:szCs w:val="16"/>
              </w:rPr>
              <w:t>Výsledky analýzy boli použité na realizáciu opatrení, ktoré prispeli k zníženiu decommitmentu a zvýšenia stavu čerpania OP ŽP.</w:t>
            </w:r>
          </w:p>
        </w:tc>
      </w:tr>
    </w:tbl>
    <w:p w14:paraId="790E7F0F" w14:textId="4A13B09C" w:rsidR="00730B59" w:rsidRPr="000D2C78" w:rsidRDefault="00730B59" w:rsidP="000D2C78">
      <w:pPr>
        <w:spacing w:before="120" w:after="120"/>
        <w:jc w:val="both"/>
        <w:rPr>
          <w:rFonts w:ascii="Arial" w:hAnsi="Arial" w:cs="Arial"/>
          <w:b/>
          <w:sz w:val="20"/>
          <w:szCs w:val="20"/>
          <w:highlight w:val="yellow"/>
        </w:rPr>
      </w:pPr>
      <w:r w:rsidRPr="00123376">
        <w:rPr>
          <w:rFonts w:ascii="Arial" w:hAnsi="Arial" w:cs="Arial"/>
          <w:sz w:val="16"/>
          <w:szCs w:val="16"/>
        </w:rPr>
        <w:t>Zdroj: RO</w:t>
      </w:r>
    </w:p>
    <w:p w14:paraId="0ADC8EA7" w14:textId="77777777" w:rsidR="002416B1" w:rsidRPr="005D3DD6" w:rsidRDefault="002416B1" w:rsidP="00123376">
      <w:pPr>
        <w:pStyle w:val="Nadpis2"/>
        <w:spacing w:after="120"/>
        <w:rPr>
          <w:rFonts w:cs="Arial"/>
        </w:rPr>
      </w:pPr>
      <w:bookmarkStart w:id="50" w:name="_Toc466914523"/>
      <w:r w:rsidRPr="005D3DD6">
        <w:rPr>
          <w:rFonts w:cs="Arial"/>
        </w:rPr>
        <w:t>2.8 Národná výkonnostná rezerva</w:t>
      </w:r>
      <w:bookmarkEnd w:id="50"/>
    </w:p>
    <w:p w14:paraId="4A595670" w14:textId="58B6E3B3" w:rsidR="00992100" w:rsidRPr="00E21C60" w:rsidRDefault="005D3DD6">
      <w:pPr>
        <w:spacing w:before="120" w:after="120"/>
        <w:jc w:val="both"/>
        <w:rPr>
          <w:rFonts w:ascii="Arial" w:hAnsi="Arial" w:cs="Arial"/>
          <w:sz w:val="20"/>
          <w:szCs w:val="20"/>
        </w:rPr>
      </w:pPr>
      <w:r>
        <w:rPr>
          <w:rFonts w:ascii="Arial" w:hAnsi="Arial" w:cs="Arial"/>
          <w:sz w:val="20"/>
          <w:szCs w:val="20"/>
        </w:rPr>
        <w:t>Nevzťahuje sa.</w:t>
      </w:r>
    </w:p>
    <w:bookmarkStart w:id="51" w:name="_2.8_Administratívne_kapacity2.9"/>
    <w:bookmarkEnd w:id="51"/>
    <w:p w14:paraId="6055E240" w14:textId="7159AE06" w:rsidR="002416B1" w:rsidRPr="002526CC" w:rsidRDefault="002416B1" w:rsidP="00123376">
      <w:pPr>
        <w:pStyle w:val="Nadpis2"/>
        <w:spacing w:after="120"/>
        <w:rPr>
          <w:rFonts w:cs="Arial"/>
        </w:rPr>
      </w:pPr>
      <w:r w:rsidRPr="008E1ACB">
        <w:rPr>
          <w:rFonts w:cs="Arial"/>
        </w:rPr>
        <w:fldChar w:fldCharType="begin"/>
      </w:r>
      <w:r w:rsidRPr="00D641FF">
        <w:rPr>
          <w:rFonts w:cs="Arial"/>
        </w:rPr>
        <w:instrText xml:space="preserve"> HYPERLINK  \l "_2.8_Administratívne_kapacity2.9" </w:instrText>
      </w:r>
      <w:r w:rsidRPr="008E1ACB">
        <w:rPr>
          <w:rFonts w:cs="Arial"/>
        </w:rPr>
        <w:fldChar w:fldCharType="separate"/>
      </w:r>
      <w:bookmarkStart w:id="52" w:name="_Toc466914524"/>
      <w:r w:rsidRPr="008E1ACB">
        <w:rPr>
          <w:rFonts w:cs="Arial"/>
        </w:rPr>
        <w:t>2.9 Administratívne kapacity</w:t>
      </w:r>
      <w:bookmarkEnd w:id="52"/>
      <w:r w:rsidRPr="008E1ACB">
        <w:rPr>
          <w:rFonts w:cs="Arial"/>
        </w:rPr>
        <w:fldChar w:fldCharType="end"/>
      </w:r>
    </w:p>
    <w:p w14:paraId="165922A1" w14:textId="77777777" w:rsidR="00903D61" w:rsidRP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V zmysle čl. 46 všeobecného nariadenia, s cieľom zabezpečenia vysokej kvality realizácie operačného programu a jeho prioritných osí, mohol RO OP ŽP na všetkých úrovniach riadiacich štruktúr využívať finančné prostriedky v rámci technickej pomoci na podporu vykonávaných činností a funkcií týkajúcich sa riadenia a kontroly pomoci zo ŠF a KF, súvisiacich s prípravou, riadením, monitorovaním, hodnotením, informovaním, kontrolou a auditom spolu s činnosťami na posilnenie administratívnych kapacít v súvislosti so získaním a udržaním potrebných dostatočne erudovaných ľudských zdrojov, zabezpečením ich profesionálneho rastu a nevyhnutných odborných podkladov a adekvátnych podmienok pre ich kvalitné rozhodovanie. Ročná miera fluktuácie administratívnych kapacít rezortu MŽP SR sa pohybovala na priemernej úrovni.</w:t>
      </w:r>
    </w:p>
    <w:p w14:paraId="749235AE" w14:textId="77777777" w:rsidR="00903D61" w:rsidRPr="00903D61" w:rsidRDefault="00903D61" w:rsidP="00903D61">
      <w:pPr>
        <w:jc w:val="both"/>
        <w:rPr>
          <w:rFonts w:ascii="Arial" w:hAnsi="Arial" w:cs="Arial"/>
          <w:sz w:val="20"/>
          <w:szCs w:val="20"/>
          <w:lang w:eastAsia="cs-CZ"/>
        </w:rPr>
      </w:pPr>
    </w:p>
    <w:p w14:paraId="28224115" w14:textId="77777777" w:rsidR="00903D61" w:rsidRP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 xml:space="preserve">Nastavenie počtu administratívnych kapacít na programové obdobie 2007 – 2013 v rámci MŽP SR vychádzalo zo stavu a skúseností z implementácie OP Základná infraštruktúra v programovom období 2004 – 2006. </w:t>
      </w:r>
    </w:p>
    <w:p w14:paraId="4527999F" w14:textId="14C93724" w:rsidR="00903D61" w:rsidRP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Uznesením vlády SR č. 396 z 02. 05. 2007 k analýze administratívnych kapacít pre programové obdobie 2007 –  2013 bolo schválených pre MŽP SR zvýšenie počtu administratívnych kapacít týkajúcich sa riadenia a implementácie štrukturálnych fondov a Kohézneho fondu v programovom období</w:t>
      </w:r>
      <w:r w:rsidR="00E91CEC">
        <w:rPr>
          <w:rFonts w:ascii="Arial" w:hAnsi="Arial" w:cs="Arial"/>
          <w:sz w:val="20"/>
          <w:szCs w:val="20"/>
          <w:lang w:eastAsia="cs-CZ"/>
        </w:rPr>
        <w:t xml:space="preserve"> </w:t>
      </w:r>
      <w:r w:rsidRPr="00903D61">
        <w:rPr>
          <w:rFonts w:ascii="Arial" w:hAnsi="Arial" w:cs="Arial"/>
          <w:sz w:val="20"/>
          <w:szCs w:val="20"/>
          <w:lang w:eastAsia="cs-CZ"/>
        </w:rPr>
        <w:t>2007 – 2013 o 56 pracovných miest na celkový počet 160  pracovných miest. MŽP SR zabezpečilo zvýšenie počtu pracovných miest s využitím neobsadených miest v rezorte, ako aj vytvorením nových pracovných pozícií.</w:t>
      </w:r>
    </w:p>
    <w:p w14:paraId="1B3D3E2F" w14:textId="77777777" w:rsidR="00903D61" w:rsidRP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 xml:space="preserve">Na základe zákona č. 37/2010 Z. z., ktorým sa mení a dopĺňa zákon č. 575/2001 Z. z. o organizácii činnosti vlády a organizácii ústrednej štátnej správy v znení neskorších predpisov prešli kompetencie v oblasti riadenia OP ŽP na obdobie od 01. 07. 2010 do 31. 10. 2010 z MŽP SR na Ministerstvo </w:t>
      </w:r>
      <w:r w:rsidRPr="00903D61">
        <w:rPr>
          <w:rFonts w:ascii="Arial" w:hAnsi="Arial" w:cs="Arial"/>
          <w:sz w:val="20"/>
          <w:szCs w:val="20"/>
          <w:lang w:eastAsia="cs-CZ"/>
        </w:rPr>
        <w:lastRenderedPageBreak/>
        <w:t>pôdohospodárstva, životného prostredia a regionálneho rozvoja SR. Zákonom č. 372/2010 Z. z. v znení neskorších predpisov bolo opätovne zriadené MŽP SR.</w:t>
      </w:r>
    </w:p>
    <w:p w14:paraId="17874740" w14:textId="77777777" w:rsidR="00903D61" w:rsidRP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Na zabezpečenie efektívnej a plynulej implementácie OP ŽP a prípravy nového programového obdobia 2014 – 2020 bol od 01. 04. 2013 rozpočtovým opatrením MF SR č. 6/2013 zvýšený počet systematizovaných miest RO OP ŽP o 25 administratívnych kapacít, t. j. na 185.</w:t>
      </w:r>
    </w:p>
    <w:p w14:paraId="3BC5223D" w14:textId="77777777" w:rsidR="00903D61" w:rsidRP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 xml:space="preserve">Uznesením vlády SR č. 663 z 13. 11. 2013 od 01. 01. 2014 prevzala SAŽP od RO OP ŽP kompetencie SORO pre OP ŽP. Pre zabezpečenie činnosti SORO pre OP ŽP boli využité kapacity vytvorené v rámci siete Regionálnych environmentálnych poradenských a informačných stredísk v plánovanom počte 25 administratívnych kapacít. Ďalšie administratívne kapacity pre SORO boli uvoľňované z pozície RO pre OP ŽP v nadväznosti na presun agendy na SORO v súlade s delegovanými právomocami v zmysle Dodatku č. 2 k splnomocneniu SORO pod RO pre OP ŽP na plnenie úloh RO a rozhodnutia ministra životného prostredia SR č. 12/2015-1.6 z 21. 04. 2015 v celkovom počte 95. </w:t>
      </w:r>
    </w:p>
    <w:p w14:paraId="14BF5CA6" w14:textId="77777777" w:rsidR="00903D61" w:rsidRP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 xml:space="preserve">Uznesením vlády Slovenskej republiky č. 175 z 16. 04. 2014 bolo MŽP SR určené v súlade s § 4         písm. a) zákona č. 292/2014 Z. z. o príspevku poskytovanom z európskych štrukturálnych a investičných fondov a o zmene a doplnení niektorých zákonov ako RO pre Operačný program Kvalita životného prostredia a ako sprostredkovateľské orgány boli  určené Ministerstvo vnútra Slovenskej republiky, SAŽP a Slovenská inovačná a energetická agentúra. </w:t>
      </w:r>
    </w:p>
    <w:p w14:paraId="0C5201A8" w14:textId="77777777" w:rsidR="00903D61" w:rsidRP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V nadväznosti na uznesenie vlády SR č. 519 z 15. 10. 2014 a listu  č. MF/012221/2015-413 došlo k navýšeniu administratívnych kapacít o 48 osôb s účinnosťou od 01. 04. 2015 do  31. 12. 2015. Navýšenie súviselo s implementáciou programového obdobia 2014 – 2020.</w:t>
      </w:r>
    </w:p>
    <w:p w14:paraId="41164A18" w14:textId="77777777" w:rsidR="00903D61" w:rsidRPr="00903D61" w:rsidRDefault="00903D61" w:rsidP="00903D61">
      <w:pPr>
        <w:jc w:val="both"/>
        <w:rPr>
          <w:rFonts w:ascii="Arial" w:hAnsi="Arial" w:cs="Arial"/>
          <w:sz w:val="20"/>
          <w:szCs w:val="20"/>
          <w:lang w:eastAsia="cs-CZ"/>
        </w:rPr>
      </w:pPr>
    </w:p>
    <w:p w14:paraId="0F25602D" w14:textId="62053909" w:rsidR="00903D61" w:rsidRP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 xml:space="preserve">MŽP SR plnilo </w:t>
      </w:r>
      <w:r w:rsidR="00383999">
        <w:rPr>
          <w:rFonts w:ascii="Arial" w:hAnsi="Arial" w:cs="Arial"/>
          <w:sz w:val="20"/>
          <w:szCs w:val="20"/>
          <w:lang w:eastAsia="cs-CZ"/>
        </w:rPr>
        <w:t>vo vzťahu k OP ŽP</w:t>
      </w:r>
      <w:r w:rsidRPr="00903D61">
        <w:rPr>
          <w:rFonts w:ascii="Arial" w:hAnsi="Arial" w:cs="Arial"/>
          <w:sz w:val="20"/>
          <w:szCs w:val="20"/>
          <w:lang w:eastAsia="cs-CZ"/>
        </w:rPr>
        <w:t xml:space="preserve"> úlohu Riadiaceho orgánu a Platobnej jednotky. Úlohu SORO pre OP ŽP plnila od 01. 01. 2014 Slovenská agentúra životného prostredia (ďalej len „SAŽP“). </w:t>
      </w:r>
    </w:p>
    <w:p w14:paraId="27E74F94" w14:textId="77777777" w:rsidR="00903D61" w:rsidRPr="00903D61" w:rsidRDefault="00903D61" w:rsidP="00903D61">
      <w:pPr>
        <w:tabs>
          <w:tab w:val="left" w:pos="1134"/>
        </w:tabs>
        <w:jc w:val="both"/>
        <w:rPr>
          <w:rFonts w:ascii="Arial" w:hAnsi="Arial" w:cs="Arial"/>
          <w:sz w:val="20"/>
          <w:szCs w:val="20"/>
        </w:rPr>
      </w:pPr>
    </w:p>
    <w:p w14:paraId="6FE4A134" w14:textId="77777777" w:rsidR="00903D61" w:rsidRPr="00903D61" w:rsidRDefault="00903D61" w:rsidP="00F87D11">
      <w:pPr>
        <w:spacing w:after="120"/>
        <w:jc w:val="both"/>
        <w:rPr>
          <w:rFonts w:ascii="Arial" w:hAnsi="Arial" w:cs="Arial"/>
          <w:b/>
          <w:sz w:val="20"/>
          <w:szCs w:val="20"/>
          <w:lang w:eastAsia="cs-CZ"/>
        </w:rPr>
      </w:pPr>
      <w:r w:rsidRPr="00903D61">
        <w:rPr>
          <w:rFonts w:ascii="Arial" w:hAnsi="Arial" w:cs="Arial"/>
          <w:b/>
          <w:sz w:val="20"/>
          <w:szCs w:val="20"/>
          <w:lang w:eastAsia="cs-CZ"/>
        </w:rPr>
        <w:t>Riadiaci orgán pre OP ŽP</w:t>
      </w:r>
    </w:p>
    <w:p w14:paraId="310929D3" w14:textId="77777777" w:rsidR="00903D61" w:rsidRPr="00903D61" w:rsidRDefault="00903D61" w:rsidP="00903D61">
      <w:pPr>
        <w:tabs>
          <w:tab w:val="left" w:pos="1134"/>
        </w:tabs>
        <w:jc w:val="both"/>
        <w:rPr>
          <w:rFonts w:ascii="Arial" w:hAnsi="Arial" w:cs="Arial"/>
          <w:sz w:val="20"/>
          <w:szCs w:val="20"/>
        </w:rPr>
      </w:pPr>
      <w:r w:rsidRPr="00903D61">
        <w:rPr>
          <w:rFonts w:ascii="Arial" w:hAnsi="Arial" w:cs="Arial"/>
          <w:sz w:val="20"/>
          <w:szCs w:val="20"/>
        </w:rPr>
        <w:t>Výkon funkcie RO v rámci MŽP SR k 31. 10. 2016 zabezpečovala Sekcia environmentálnych programov a projektov   prostredníctvom jej nasledovných organizačných zložiek:</w:t>
      </w:r>
    </w:p>
    <w:p w14:paraId="479646B7" w14:textId="77777777" w:rsidR="00903D61" w:rsidRPr="00903D61" w:rsidRDefault="00903D61" w:rsidP="00903D61">
      <w:pPr>
        <w:numPr>
          <w:ilvl w:val="0"/>
          <w:numId w:val="40"/>
        </w:numPr>
        <w:spacing w:after="160" w:line="259" w:lineRule="auto"/>
        <w:ind w:left="284" w:hanging="284"/>
        <w:contextualSpacing/>
        <w:jc w:val="both"/>
        <w:rPr>
          <w:rFonts w:ascii="Arial" w:hAnsi="Arial" w:cs="Arial"/>
          <w:sz w:val="20"/>
          <w:szCs w:val="20"/>
        </w:rPr>
      </w:pPr>
      <w:r w:rsidRPr="00903D61">
        <w:rPr>
          <w:rFonts w:ascii="Arial" w:hAnsi="Arial" w:cs="Arial"/>
          <w:sz w:val="20"/>
          <w:szCs w:val="20"/>
        </w:rPr>
        <w:t>odbor riadenia programov,</w:t>
      </w:r>
    </w:p>
    <w:p w14:paraId="6B23A3C2" w14:textId="77777777" w:rsidR="00903D61" w:rsidRPr="00903D61" w:rsidRDefault="00903D61" w:rsidP="00903D61">
      <w:pPr>
        <w:numPr>
          <w:ilvl w:val="0"/>
          <w:numId w:val="40"/>
        </w:numPr>
        <w:spacing w:after="160" w:line="259" w:lineRule="auto"/>
        <w:ind w:left="284" w:hanging="284"/>
        <w:contextualSpacing/>
        <w:jc w:val="both"/>
        <w:rPr>
          <w:rFonts w:ascii="Arial" w:hAnsi="Arial" w:cs="Arial"/>
          <w:sz w:val="20"/>
          <w:szCs w:val="20"/>
        </w:rPr>
      </w:pPr>
      <w:r w:rsidRPr="00903D61">
        <w:rPr>
          <w:rFonts w:ascii="Arial" w:hAnsi="Arial" w:cs="Arial"/>
          <w:sz w:val="20"/>
          <w:szCs w:val="20"/>
        </w:rPr>
        <w:t>odbor technickej pomoci a programov nadnárodnej spolupráce,</w:t>
      </w:r>
    </w:p>
    <w:p w14:paraId="514E3C0B" w14:textId="77777777" w:rsidR="00903D61" w:rsidRPr="00903D61" w:rsidRDefault="00903D61" w:rsidP="00F87D11">
      <w:pPr>
        <w:numPr>
          <w:ilvl w:val="0"/>
          <w:numId w:val="40"/>
        </w:numPr>
        <w:spacing w:after="120"/>
        <w:ind w:left="284" w:hanging="284"/>
        <w:jc w:val="both"/>
        <w:rPr>
          <w:rFonts w:ascii="Arial" w:hAnsi="Arial" w:cs="Arial"/>
          <w:sz w:val="20"/>
          <w:szCs w:val="20"/>
        </w:rPr>
      </w:pPr>
      <w:r w:rsidRPr="00903D61">
        <w:rPr>
          <w:rFonts w:ascii="Arial" w:hAnsi="Arial" w:cs="Arial"/>
          <w:sz w:val="20"/>
          <w:szCs w:val="20"/>
        </w:rPr>
        <w:t>odbor kontroly fondov EÚ</w:t>
      </w:r>
    </w:p>
    <w:p w14:paraId="4162417F" w14:textId="77777777" w:rsidR="00903D61" w:rsidRPr="00903D61" w:rsidRDefault="00903D61" w:rsidP="00903D61">
      <w:pPr>
        <w:widowControl w:val="0"/>
        <w:jc w:val="both"/>
        <w:rPr>
          <w:rFonts w:ascii="Arial" w:hAnsi="Arial" w:cs="Arial"/>
          <w:sz w:val="20"/>
          <w:szCs w:val="20"/>
        </w:rPr>
      </w:pPr>
      <w:r w:rsidRPr="00903D61">
        <w:rPr>
          <w:rFonts w:ascii="Arial" w:hAnsi="Arial" w:cs="Arial"/>
          <w:sz w:val="20"/>
          <w:szCs w:val="20"/>
        </w:rPr>
        <w:t xml:space="preserve">Pre zabezpečenie plnenia úloh RO pre OP ŽP bolo v roku 2015 vyčlenených </w:t>
      </w:r>
      <w:r w:rsidRPr="00021D46">
        <w:rPr>
          <w:rFonts w:ascii="Arial" w:hAnsi="Arial" w:cs="Arial"/>
          <w:sz w:val="20"/>
          <w:szCs w:val="20"/>
        </w:rPr>
        <w:t>77 administratívnych</w:t>
      </w:r>
      <w:r w:rsidRPr="00903D61">
        <w:rPr>
          <w:rFonts w:ascii="Arial" w:hAnsi="Arial" w:cs="Arial"/>
          <w:sz w:val="20"/>
          <w:szCs w:val="20"/>
        </w:rPr>
        <w:t xml:space="preserve"> kapacít. Uvedené administratívne kapacity boli v plnej miere financované z TP OP ŽP a zároveň sa podieľali na príprave, riadení a implementácií OP KŽP v nadväznosti na jednotlivé procesy.</w:t>
      </w:r>
    </w:p>
    <w:p w14:paraId="71777442" w14:textId="77777777" w:rsidR="00903D61" w:rsidRPr="00903D61" w:rsidRDefault="00903D61" w:rsidP="00903D61">
      <w:pPr>
        <w:jc w:val="both"/>
        <w:rPr>
          <w:rFonts w:ascii="Arial" w:hAnsi="Arial" w:cs="Arial"/>
          <w:b/>
          <w:sz w:val="20"/>
          <w:szCs w:val="20"/>
          <w:lang w:eastAsia="cs-CZ"/>
        </w:rPr>
      </w:pPr>
    </w:p>
    <w:p w14:paraId="0EB400FD" w14:textId="77777777" w:rsidR="00903D61" w:rsidRPr="00903D61" w:rsidRDefault="00903D61" w:rsidP="00F87D11">
      <w:pPr>
        <w:spacing w:after="120"/>
        <w:jc w:val="both"/>
        <w:rPr>
          <w:rFonts w:ascii="Arial" w:hAnsi="Arial" w:cs="Arial"/>
          <w:b/>
          <w:sz w:val="20"/>
          <w:szCs w:val="20"/>
          <w:lang w:eastAsia="cs-CZ"/>
        </w:rPr>
      </w:pPr>
      <w:r w:rsidRPr="00903D61">
        <w:rPr>
          <w:rFonts w:ascii="Arial" w:hAnsi="Arial" w:cs="Arial"/>
          <w:b/>
          <w:sz w:val="20"/>
          <w:szCs w:val="20"/>
          <w:lang w:eastAsia="cs-CZ"/>
        </w:rPr>
        <w:t>Platobná jednotka pre OP ŽP</w:t>
      </w:r>
    </w:p>
    <w:p w14:paraId="2A96AAE0" w14:textId="77777777" w:rsidR="00903D61" w:rsidRPr="00903D61" w:rsidRDefault="00903D61" w:rsidP="00903D61">
      <w:pPr>
        <w:widowControl w:val="0"/>
        <w:jc w:val="both"/>
        <w:rPr>
          <w:rFonts w:ascii="Arial" w:hAnsi="Arial" w:cs="Arial"/>
          <w:sz w:val="20"/>
          <w:szCs w:val="20"/>
        </w:rPr>
      </w:pPr>
      <w:r w:rsidRPr="00903D61">
        <w:rPr>
          <w:rFonts w:ascii="Arial" w:hAnsi="Arial" w:cs="Arial"/>
          <w:sz w:val="20"/>
          <w:szCs w:val="20"/>
        </w:rPr>
        <w:t>Funkciu platobnej jednotky  pre OP ŽP k 31. 10. 2016 zabezpečovala Sekcia environmentálnych programov a projektov</w:t>
      </w:r>
    </w:p>
    <w:p w14:paraId="7126195B" w14:textId="77777777" w:rsidR="00903D61" w:rsidRPr="00903D61" w:rsidRDefault="00903D61" w:rsidP="00903D61">
      <w:pPr>
        <w:numPr>
          <w:ilvl w:val="0"/>
          <w:numId w:val="38"/>
        </w:numPr>
        <w:spacing w:after="160" w:line="259" w:lineRule="auto"/>
        <w:ind w:left="284" w:hanging="284"/>
        <w:contextualSpacing/>
        <w:jc w:val="both"/>
        <w:rPr>
          <w:rFonts w:ascii="Arial" w:hAnsi="Arial" w:cs="Arial"/>
          <w:sz w:val="20"/>
          <w:szCs w:val="20"/>
        </w:rPr>
      </w:pPr>
      <w:r w:rsidRPr="00903D61">
        <w:rPr>
          <w:rFonts w:ascii="Arial" w:hAnsi="Arial" w:cs="Arial"/>
          <w:sz w:val="20"/>
          <w:szCs w:val="20"/>
        </w:rPr>
        <w:t>odbor platieb a koordinácie auditov .</w:t>
      </w:r>
    </w:p>
    <w:p w14:paraId="5DA7AAEC" w14:textId="77777777" w:rsidR="00903D61" w:rsidRP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Pre zabezpečenie plnenia úloh PJ pre OP ŽP bolo v roku 2015 vyčlenených 15 administratívnych kapacít. Nárast oproti roku 2014 vyplynul z požiadavky ukončovania programového obdobia                 2007 – 2013.</w:t>
      </w:r>
    </w:p>
    <w:p w14:paraId="04550B1C" w14:textId="77777777" w:rsidR="00903D61" w:rsidRPr="00903D61" w:rsidRDefault="00903D61" w:rsidP="00903D61">
      <w:pPr>
        <w:jc w:val="both"/>
        <w:rPr>
          <w:rFonts w:ascii="Arial" w:hAnsi="Arial" w:cs="Arial"/>
          <w:b/>
          <w:sz w:val="20"/>
          <w:szCs w:val="20"/>
          <w:lang w:eastAsia="cs-CZ"/>
        </w:rPr>
      </w:pPr>
    </w:p>
    <w:p w14:paraId="4D97EFD0" w14:textId="77777777" w:rsidR="00903D61" w:rsidRPr="00903D61" w:rsidRDefault="00903D61" w:rsidP="00F87D11">
      <w:pPr>
        <w:spacing w:after="120"/>
        <w:jc w:val="both"/>
        <w:rPr>
          <w:rFonts w:ascii="Arial" w:hAnsi="Arial" w:cs="Arial"/>
          <w:b/>
          <w:sz w:val="20"/>
          <w:szCs w:val="20"/>
          <w:lang w:eastAsia="cs-CZ"/>
        </w:rPr>
      </w:pPr>
      <w:r w:rsidRPr="00903D61">
        <w:rPr>
          <w:rFonts w:ascii="Arial" w:hAnsi="Arial" w:cs="Arial"/>
          <w:b/>
          <w:sz w:val="20"/>
          <w:szCs w:val="20"/>
          <w:lang w:eastAsia="cs-CZ"/>
        </w:rPr>
        <w:t>SORO pre OP ŽP</w:t>
      </w:r>
    </w:p>
    <w:p w14:paraId="58D7D2B5" w14:textId="77777777" w:rsidR="00903D61" w:rsidRPr="00903D61" w:rsidRDefault="00903D61" w:rsidP="00F87D11">
      <w:pPr>
        <w:spacing w:after="120"/>
        <w:jc w:val="both"/>
        <w:rPr>
          <w:rFonts w:ascii="Arial" w:hAnsi="Arial" w:cs="Arial"/>
          <w:sz w:val="20"/>
          <w:szCs w:val="20"/>
        </w:rPr>
      </w:pPr>
      <w:r w:rsidRPr="00903D61">
        <w:rPr>
          <w:rFonts w:ascii="Arial" w:hAnsi="Arial" w:cs="Arial"/>
          <w:sz w:val="20"/>
          <w:szCs w:val="20"/>
        </w:rPr>
        <w:t>Funkciu SORO pre OP ŽP k 31. 10. 2016 zabezpečovala Slovenská agentúra životného prostredia prostredníctvom Sekcie fondov EÚ. SORO vzniklo 1. 1. 2014 a počas roka 2014 došlo k 24 nástupom.</w:t>
      </w:r>
    </w:p>
    <w:p w14:paraId="2D03110E" w14:textId="0EF98048" w:rsidR="00903D61" w:rsidRPr="00903D61" w:rsidRDefault="00903D61" w:rsidP="00F87D11">
      <w:pPr>
        <w:spacing w:after="120"/>
        <w:jc w:val="both"/>
        <w:rPr>
          <w:rFonts w:ascii="Arial" w:hAnsi="Arial" w:cs="Arial"/>
          <w:sz w:val="20"/>
          <w:szCs w:val="20"/>
          <w:lang w:eastAsia="cs-CZ"/>
        </w:rPr>
      </w:pPr>
      <w:r w:rsidRPr="00903D61">
        <w:rPr>
          <w:rFonts w:ascii="Arial" w:hAnsi="Arial" w:cs="Arial"/>
          <w:sz w:val="20"/>
          <w:szCs w:val="20"/>
          <w:lang w:eastAsia="cs-CZ"/>
        </w:rPr>
        <w:t>Pre zabezpečenie plnenia úloh SORO pre OP ŽP bolo v roku 2015 vyčlenených 118 administratívnych kapacít.</w:t>
      </w:r>
    </w:p>
    <w:p w14:paraId="713D7BBE" w14:textId="77777777" w:rsidR="00903D61" w:rsidRDefault="00903D61" w:rsidP="00F87D11">
      <w:pPr>
        <w:spacing w:after="120"/>
        <w:jc w:val="both"/>
        <w:rPr>
          <w:rFonts w:ascii="Arial" w:hAnsi="Arial" w:cs="Arial"/>
          <w:sz w:val="20"/>
          <w:szCs w:val="20"/>
        </w:rPr>
      </w:pPr>
      <w:r w:rsidRPr="00903D61">
        <w:rPr>
          <w:rFonts w:ascii="Arial" w:hAnsi="Arial" w:cs="Arial"/>
          <w:sz w:val="20"/>
          <w:szCs w:val="20"/>
        </w:rPr>
        <w:t>Zmeny v počte administratívnych kapacít RO, SORO a platobnej jednotky v oblasti ŠF a KF znázorňuje tabuľka nižšie.</w:t>
      </w:r>
    </w:p>
    <w:p w14:paraId="40302EA5" w14:textId="77777777" w:rsidR="001A699D" w:rsidRDefault="001A699D" w:rsidP="00F87D11">
      <w:pPr>
        <w:spacing w:after="120"/>
        <w:jc w:val="both"/>
        <w:rPr>
          <w:rFonts w:ascii="Arial" w:eastAsia="EUAlbertina-Regular-Identity-H" w:hAnsi="Arial" w:cs="Arial"/>
          <w:sz w:val="20"/>
          <w:szCs w:val="20"/>
        </w:rPr>
      </w:pPr>
    </w:p>
    <w:p w14:paraId="137A42F7" w14:textId="77777777" w:rsidR="001A699D" w:rsidRDefault="001A699D" w:rsidP="00F87D11">
      <w:pPr>
        <w:spacing w:after="120"/>
        <w:jc w:val="both"/>
        <w:rPr>
          <w:rFonts w:ascii="Arial" w:eastAsia="EUAlbertina-Regular-Identity-H" w:hAnsi="Arial" w:cs="Arial"/>
          <w:sz w:val="20"/>
          <w:szCs w:val="20"/>
        </w:rPr>
      </w:pPr>
    </w:p>
    <w:p w14:paraId="5EC11378" w14:textId="170CAC9F" w:rsidR="00903D61" w:rsidRPr="00903D61" w:rsidRDefault="00903D61" w:rsidP="00F87D11">
      <w:pPr>
        <w:spacing w:after="120"/>
        <w:jc w:val="both"/>
        <w:rPr>
          <w:rFonts w:ascii="Arial" w:eastAsia="EUAlbertina-Regular-Identity-H" w:hAnsi="Arial" w:cs="Arial"/>
          <w:sz w:val="20"/>
          <w:szCs w:val="20"/>
        </w:rPr>
      </w:pPr>
      <w:r w:rsidRPr="00903D61">
        <w:rPr>
          <w:rFonts w:ascii="Arial" w:eastAsia="EUAlbertina-Regular-Identity-H" w:hAnsi="Arial" w:cs="Arial"/>
          <w:sz w:val="20"/>
          <w:szCs w:val="20"/>
        </w:rPr>
        <w:lastRenderedPageBreak/>
        <w:t xml:space="preserve">Tabuľka č. </w:t>
      </w:r>
      <w:r w:rsidR="00682B07">
        <w:rPr>
          <w:rFonts w:ascii="Arial" w:eastAsia="EUAlbertina-Regular-Identity-H" w:hAnsi="Arial" w:cs="Arial"/>
          <w:sz w:val="20"/>
          <w:szCs w:val="20"/>
        </w:rPr>
        <w:t>3</w:t>
      </w:r>
      <w:r w:rsidR="007B1CB9">
        <w:rPr>
          <w:rFonts w:ascii="Arial" w:eastAsia="EUAlbertina-Regular-Identity-H" w:hAnsi="Arial" w:cs="Arial"/>
          <w:sz w:val="20"/>
          <w:szCs w:val="20"/>
        </w:rPr>
        <w:t>8</w:t>
      </w:r>
      <w:r w:rsidRPr="00903D61">
        <w:rPr>
          <w:rFonts w:ascii="Arial" w:eastAsia="EUAlbertina-Regular-Identity-H" w:hAnsi="Arial" w:cs="Arial"/>
          <w:sz w:val="20"/>
          <w:szCs w:val="20"/>
        </w:rPr>
        <w:t>: Porovnanie stavov administratívnych kapacít na konci jednotlivých rokov</w:t>
      </w:r>
    </w:p>
    <w:tbl>
      <w:tblPr>
        <w:tblW w:w="863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276"/>
        <w:gridCol w:w="806"/>
        <w:gridCol w:w="819"/>
        <w:gridCol w:w="819"/>
        <w:gridCol w:w="819"/>
        <w:gridCol w:w="819"/>
        <w:gridCol w:w="819"/>
        <w:gridCol w:w="819"/>
        <w:gridCol w:w="819"/>
        <w:gridCol w:w="819"/>
      </w:tblGrid>
      <w:tr w:rsidR="00903D61" w:rsidRPr="00903D61" w14:paraId="5BDAC6DC" w14:textId="77777777" w:rsidTr="007D7B08">
        <w:trPr>
          <w:trHeight w:val="483"/>
        </w:trPr>
        <w:tc>
          <w:tcPr>
            <w:tcW w:w="1276" w:type="dxa"/>
            <w:shd w:val="clear" w:color="auto" w:fill="C2D69B" w:themeFill="accent3" w:themeFillTint="99"/>
            <w:noWrap/>
            <w:tcMar>
              <w:top w:w="15" w:type="dxa"/>
              <w:left w:w="15" w:type="dxa"/>
              <w:bottom w:w="0" w:type="dxa"/>
              <w:right w:w="15" w:type="dxa"/>
            </w:tcMar>
            <w:vAlign w:val="center"/>
          </w:tcPr>
          <w:p w14:paraId="3014CEB7" w14:textId="77777777" w:rsidR="00903D61" w:rsidRPr="007D7B08" w:rsidRDefault="00903D61" w:rsidP="00F87D11">
            <w:pPr>
              <w:spacing w:before="20" w:after="120"/>
              <w:jc w:val="center"/>
              <w:rPr>
                <w:rFonts w:ascii="Arial" w:hAnsi="Arial" w:cs="Arial"/>
                <w:b/>
                <w:sz w:val="16"/>
                <w:szCs w:val="16"/>
              </w:rPr>
            </w:pPr>
          </w:p>
        </w:tc>
        <w:tc>
          <w:tcPr>
            <w:tcW w:w="806" w:type="dxa"/>
            <w:shd w:val="clear" w:color="auto" w:fill="C2D69B" w:themeFill="accent3" w:themeFillTint="99"/>
            <w:vAlign w:val="center"/>
          </w:tcPr>
          <w:p w14:paraId="294B2071" w14:textId="77777777" w:rsidR="00903D61" w:rsidRPr="007D7B08" w:rsidRDefault="00903D61" w:rsidP="00F87D11">
            <w:pPr>
              <w:spacing w:before="20" w:after="120"/>
              <w:jc w:val="center"/>
              <w:rPr>
                <w:rFonts w:ascii="Arial" w:hAnsi="Arial" w:cs="Arial"/>
                <w:b/>
                <w:sz w:val="16"/>
                <w:szCs w:val="16"/>
              </w:rPr>
            </w:pPr>
            <w:r w:rsidRPr="007D7B08">
              <w:rPr>
                <w:rFonts w:ascii="Arial" w:hAnsi="Arial" w:cs="Arial"/>
                <w:b/>
                <w:sz w:val="16"/>
                <w:szCs w:val="16"/>
              </w:rPr>
              <w:t>2007</w:t>
            </w:r>
          </w:p>
        </w:tc>
        <w:tc>
          <w:tcPr>
            <w:tcW w:w="819" w:type="dxa"/>
            <w:shd w:val="clear" w:color="auto" w:fill="C2D69B" w:themeFill="accent3" w:themeFillTint="99"/>
            <w:tcMar>
              <w:top w:w="15" w:type="dxa"/>
              <w:left w:w="15" w:type="dxa"/>
              <w:bottom w:w="0" w:type="dxa"/>
              <w:right w:w="15" w:type="dxa"/>
            </w:tcMar>
            <w:vAlign w:val="center"/>
          </w:tcPr>
          <w:p w14:paraId="42286059" w14:textId="77777777" w:rsidR="00903D61" w:rsidRPr="007D7B08" w:rsidRDefault="00903D61" w:rsidP="00F87D11">
            <w:pPr>
              <w:spacing w:before="20" w:after="120"/>
              <w:jc w:val="center"/>
              <w:rPr>
                <w:rFonts w:ascii="Arial" w:hAnsi="Arial" w:cs="Arial"/>
                <w:b/>
                <w:sz w:val="16"/>
                <w:szCs w:val="16"/>
              </w:rPr>
            </w:pPr>
            <w:r w:rsidRPr="007D7B08">
              <w:rPr>
                <w:rFonts w:ascii="Arial" w:hAnsi="Arial" w:cs="Arial"/>
                <w:b/>
                <w:sz w:val="16"/>
                <w:szCs w:val="16"/>
              </w:rPr>
              <w:t>2008</w:t>
            </w:r>
          </w:p>
        </w:tc>
        <w:tc>
          <w:tcPr>
            <w:tcW w:w="819" w:type="dxa"/>
            <w:shd w:val="clear" w:color="auto" w:fill="C2D69B" w:themeFill="accent3" w:themeFillTint="99"/>
            <w:vAlign w:val="center"/>
          </w:tcPr>
          <w:p w14:paraId="2205133F" w14:textId="77777777" w:rsidR="00903D61" w:rsidRPr="007D7B08" w:rsidRDefault="00903D61" w:rsidP="00F87D11">
            <w:pPr>
              <w:spacing w:before="20" w:after="120"/>
              <w:jc w:val="center"/>
              <w:rPr>
                <w:rFonts w:ascii="Arial" w:hAnsi="Arial" w:cs="Arial"/>
                <w:b/>
                <w:sz w:val="16"/>
                <w:szCs w:val="16"/>
              </w:rPr>
            </w:pPr>
            <w:r w:rsidRPr="007D7B08">
              <w:rPr>
                <w:rFonts w:ascii="Arial" w:hAnsi="Arial" w:cs="Arial"/>
                <w:b/>
                <w:sz w:val="16"/>
                <w:szCs w:val="16"/>
              </w:rPr>
              <w:t>2009</w:t>
            </w:r>
          </w:p>
        </w:tc>
        <w:tc>
          <w:tcPr>
            <w:tcW w:w="819" w:type="dxa"/>
            <w:shd w:val="clear" w:color="auto" w:fill="C2D69B" w:themeFill="accent3" w:themeFillTint="99"/>
            <w:vAlign w:val="center"/>
          </w:tcPr>
          <w:p w14:paraId="37C0145B" w14:textId="77777777" w:rsidR="00903D61" w:rsidRPr="007D7B08" w:rsidRDefault="00903D61" w:rsidP="00F87D11">
            <w:pPr>
              <w:spacing w:before="20" w:after="120"/>
              <w:jc w:val="center"/>
              <w:rPr>
                <w:rFonts w:ascii="Arial" w:hAnsi="Arial" w:cs="Arial"/>
                <w:b/>
                <w:sz w:val="16"/>
                <w:szCs w:val="16"/>
              </w:rPr>
            </w:pPr>
            <w:r w:rsidRPr="007D7B08">
              <w:rPr>
                <w:rFonts w:ascii="Arial" w:hAnsi="Arial" w:cs="Arial"/>
                <w:b/>
                <w:sz w:val="16"/>
                <w:szCs w:val="16"/>
              </w:rPr>
              <w:t>2010</w:t>
            </w:r>
          </w:p>
        </w:tc>
        <w:tc>
          <w:tcPr>
            <w:tcW w:w="819" w:type="dxa"/>
            <w:shd w:val="clear" w:color="auto" w:fill="C2D69B" w:themeFill="accent3" w:themeFillTint="99"/>
            <w:vAlign w:val="center"/>
          </w:tcPr>
          <w:p w14:paraId="5ED9B0F0" w14:textId="77777777" w:rsidR="00903D61" w:rsidRPr="007D7B08" w:rsidRDefault="00903D61" w:rsidP="00F87D11">
            <w:pPr>
              <w:spacing w:before="20" w:after="120"/>
              <w:jc w:val="center"/>
              <w:rPr>
                <w:rFonts w:ascii="Arial" w:hAnsi="Arial" w:cs="Arial"/>
                <w:b/>
                <w:sz w:val="16"/>
                <w:szCs w:val="16"/>
              </w:rPr>
            </w:pPr>
            <w:r w:rsidRPr="007D7B08">
              <w:rPr>
                <w:rFonts w:ascii="Arial" w:hAnsi="Arial" w:cs="Arial"/>
                <w:b/>
                <w:sz w:val="16"/>
                <w:szCs w:val="16"/>
              </w:rPr>
              <w:t>2011</w:t>
            </w:r>
          </w:p>
        </w:tc>
        <w:tc>
          <w:tcPr>
            <w:tcW w:w="819" w:type="dxa"/>
            <w:shd w:val="clear" w:color="auto" w:fill="C2D69B" w:themeFill="accent3" w:themeFillTint="99"/>
            <w:noWrap/>
            <w:tcMar>
              <w:top w:w="15" w:type="dxa"/>
              <w:left w:w="15" w:type="dxa"/>
              <w:bottom w:w="0" w:type="dxa"/>
              <w:right w:w="15" w:type="dxa"/>
            </w:tcMar>
            <w:vAlign w:val="center"/>
          </w:tcPr>
          <w:p w14:paraId="6065C4C5" w14:textId="77777777" w:rsidR="00903D61" w:rsidRPr="007D7B08" w:rsidRDefault="00903D61" w:rsidP="00F87D11">
            <w:pPr>
              <w:spacing w:before="20" w:after="120"/>
              <w:jc w:val="center"/>
              <w:rPr>
                <w:rFonts w:ascii="Arial" w:hAnsi="Arial" w:cs="Arial"/>
                <w:b/>
                <w:sz w:val="16"/>
                <w:szCs w:val="16"/>
              </w:rPr>
            </w:pPr>
            <w:r w:rsidRPr="007D7B08">
              <w:rPr>
                <w:rFonts w:ascii="Arial" w:hAnsi="Arial" w:cs="Arial"/>
                <w:b/>
                <w:sz w:val="16"/>
                <w:szCs w:val="16"/>
              </w:rPr>
              <w:t>2012</w:t>
            </w:r>
          </w:p>
        </w:tc>
        <w:tc>
          <w:tcPr>
            <w:tcW w:w="819" w:type="dxa"/>
            <w:shd w:val="clear" w:color="auto" w:fill="C2D69B" w:themeFill="accent3" w:themeFillTint="99"/>
            <w:vAlign w:val="center"/>
          </w:tcPr>
          <w:p w14:paraId="3B3AB4C0" w14:textId="77777777" w:rsidR="00903D61" w:rsidRPr="007D7B08" w:rsidRDefault="00903D61" w:rsidP="00F87D11">
            <w:pPr>
              <w:spacing w:before="20" w:after="120"/>
              <w:jc w:val="center"/>
              <w:rPr>
                <w:rFonts w:ascii="Arial" w:hAnsi="Arial" w:cs="Arial"/>
                <w:b/>
                <w:sz w:val="16"/>
                <w:szCs w:val="16"/>
              </w:rPr>
            </w:pPr>
            <w:r w:rsidRPr="007D7B08">
              <w:rPr>
                <w:rFonts w:ascii="Arial" w:hAnsi="Arial" w:cs="Arial"/>
                <w:b/>
                <w:sz w:val="16"/>
                <w:szCs w:val="16"/>
              </w:rPr>
              <w:t>2013</w:t>
            </w:r>
          </w:p>
        </w:tc>
        <w:tc>
          <w:tcPr>
            <w:tcW w:w="819" w:type="dxa"/>
            <w:shd w:val="clear" w:color="auto" w:fill="C2D69B" w:themeFill="accent3" w:themeFillTint="99"/>
            <w:vAlign w:val="center"/>
          </w:tcPr>
          <w:p w14:paraId="5634F4E7" w14:textId="77777777" w:rsidR="00903D61" w:rsidRPr="007D7B08" w:rsidRDefault="00903D61" w:rsidP="00F87D11">
            <w:pPr>
              <w:spacing w:before="20" w:after="120"/>
              <w:jc w:val="center"/>
              <w:rPr>
                <w:rFonts w:ascii="Arial" w:hAnsi="Arial" w:cs="Arial"/>
                <w:b/>
                <w:sz w:val="16"/>
                <w:szCs w:val="16"/>
              </w:rPr>
            </w:pPr>
            <w:r w:rsidRPr="007D7B08">
              <w:rPr>
                <w:rFonts w:ascii="Arial" w:hAnsi="Arial" w:cs="Arial"/>
                <w:b/>
                <w:sz w:val="16"/>
                <w:szCs w:val="16"/>
              </w:rPr>
              <w:t>2014</w:t>
            </w:r>
          </w:p>
        </w:tc>
        <w:tc>
          <w:tcPr>
            <w:tcW w:w="819" w:type="dxa"/>
            <w:shd w:val="clear" w:color="auto" w:fill="C2D69B" w:themeFill="accent3" w:themeFillTint="99"/>
            <w:vAlign w:val="center"/>
          </w:tcPr>
          <w:p w14:paraId="48A422E0" w14:textId="77777777" w:rsidR="00903D61" w:rsidRPr="007D7B08" w:rsidRDefault="00903D61" w:rsidP="00F87D11">
            <w:pPr>
              <w:spacing w:before="20" w:after="120"/>
              <w:jc w:val="center"/>
              <w:rPr>
                <w:rFonts w:ascii="Arial" w:hAnsi="Arial" w:cs="Arial"/>
                <w:b/>
                <w:sz w:val="16"/>
                <w:szCs w:val="16"/>
              </w:rPr>
            </w:pPr>
            <w:r w:rsidRPr="007D7B08">
              <w:rPr>
                <w:rFonts w:ascii="Arial" w:hAnsi="Arial" w:cs="Arial"/>
                <w:b/>
                <w:sz w:val="16"/>
                <w:szCs w:val="16"/>
              </w:rPr>
              <w:t>2015</w:t>
            </w:r>
          </w:p>
        </w:tc>
      </w:tr>
      <w:tr w:rsidR="00903D61" w:rsidRPr="00903D61" w14:paraId="6A37DC62" w14:textId="77777777" w:rsidTr="007D7B08">
        <w:tblPrEx>
          <w:tblCellMar>
            <w:left w:w="70" w:type="dxa"/>
            <w:right w:w="70" w:type="dxa"/>
          </w:tblCellMar>
        </w:tblPrEx>
        <w:trPr>
          <w:trHeight w:val="255"/>
        </w:trPr>
        <w:tc>
          <w:tcPr>
            <w:tcW w:w="1276" w:type="dxa"/>
            <w:shd w:val="clear" w:color="auto" w:fill="D6E3BC" w:themeFill="accent3" w:themeFillTint="66"/>
            <w:vAlign w:val="center"/>
          </w:tcPr>
          <w:p w14:paraId="730BDDCE"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rPr>
              <w:t>RO</w:t>
            </w:r>
          </w:p>
        </w:tc>
        <w:tc>
          <w:tcPr>
            <w:tcW w:w="806" w:type="dxa"/>
            <w:shd w:val="clear" w:color="auto" w:fill="auto"/>
            <w:vAlign w:val="center"/>
          </w:tcPr>
          <w:p w14:paraId="294919A7"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lang w:eastAsia="cs-CZ"/>
              </w:rPr>
              <w:t>86</w:t>
            </w:r>
          </w:p>
        </w:tc>
        <w:tc>
          <w:tcPr>
            <w:tcW w:w="819" w:type="dxa"/>
            <w:shd w:val="clear" w:color="auto" w:fill="auto"/>
            <w:vAlign w:val="center"/>
          </w:tcPr>
          <w:p w14:paraId="7469F235"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lang w:eastAsia="cs-CZ"/>
              </w:rPr>
              <w:t>113</w:t>
            </w:r>
          </w:p>
        </w:tc>
        <w:tc>
          <w:tcPr>
            <w:tcW w:w="819" w:type="dxa"/>
            <w:shd w:val="clear" w:color="auto" w:fill="auto"/>
            <w:vAlign w:val="center"/>
          </w:tcPr>
          <w:p w14:paraId="1F7DD397"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lang w:eastAsia="cs-CZ"/>
              </w:rPr>
              <w:t>128</w:t>
            </w:r>
          </w:p>
        </w:tc>
        <w:tc>
          <w:tcPr>
            <w:tcW w:w="819" w:type="dxa"/>
            <w:vAlign w:val="center"/>
          </w:tcPr>
          <w:p w14:paraId="392B16E8"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lang w:eastAsia="cs-CZ"/>
              </w:rPr>
              <w:t>134</w:t>
            </w:r>
          </w:p>
        </w:tc>
        <w:tc>
          <w:tcPr>
            <w:tcW w:w="819" w:type="dxa"/>
            <w:vAlign w:val="center"/>
          </w:tcPr>
          <w:p w14:paraId="451A8DF5"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lang w:eastAsia="cs-CZ"/>
              </w:rPr>
              <w:t>134</w:t>
            </w:r>
          </w:p>
        </w:tc>
        <w:tc>
          <w:tcPr>
            <w:tcW w:w="819" w:type="dxa"/>
            <w:vAlign w:val="center"/>
          </w:tcPr>
          <w:p w14:paraId="26C4DB61"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lang w:eastAsia="cs-CZ"/>
              </w:rPr>
              <w:t>138</w:t>
            </w:r>
          </w:p>
        </w:tc>
        <w:tc>
          <w:tcPr>
            <w:tcW w:w="819" w:type="dxa"/>
            <w:vAlign w:val="center"/>
          </w:tcPr>
          <w:p w14:paraId="6920D6E0"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lang w:eastAsia="cs-CZ"/>
              </w:rPr>
              <w:t>149</w:t>
            </w:r>
          </w:p>
        </w:tc>
        <w:tc>
          <w:tcPr>
            <w:tcW w:w="819" w:type="dxa"/>
            <w:vAlign w:val="center"/>
          </w:tcPr>
          <w:p w14:paraId="2BE049E2"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lang w:eastAsia="cs-CZ"/>
              </w:rPr>
              <w:t>156</w:t>
            </w:r>
          </w:p>
        </w:tc>
        <w:tc>
          <w:tcPr>
            <w:tcW w:w="819" w:type="dxa"/>
            <w:vAlign w:val="center"/>
          </w:tcPr>
          <w:p w14:paraId="567F3C44"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lang w:eastAsia="cs-CZ"/>
              </w:rPr>
              <w:t>95</w:t>
            </w:r>
          </w:p>
        </w:tc>
      </w:tr>
      <w:tr w:rsidR="00903D61" w:rsidRPr="00903D61" w14:paraId="3BFBE5E4" w14:textId="77777777" w:rsidTr="007D7B08">
        <w:tblPrEx>
          <w:tblCellMar>
            <w:left w:w="70" w:type="dxa"/>
            <w:right w:w="70" w:type="dxa"/>
          </w:tblCellMar>
        </w:tblPrEx>
        <w:trPr>
          <w:trHeight w:val="255"/>
        </w:trPr>
        <w:tc>
          <w:tcPr>
            <w:tcW w:w="1276" w:type="dxa"/>
            <w:shd w:val="clear" w:color="auto" w:fill="D6E3BC" w:themeFill="accent3" w:themeFillTint="66"/>
            <w:vAlign w:val="center"/>
          </w:tcPr>
          <w:p w14:paraId="7C0E9A14"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rPr>
              <w:t>SORO</w:t>
            </w:r>
          </w:p>
        </w:tc>
        <w:tc>
          <w:tcPr>
            <w:tcW w:w="806" w:type="dxa"/>
            <w:shd w:val="clear" w:color="auto" w:fill="auto"/>
            <w:noWrap/>
            <w:vAlign w:val="center"/>
          </w:tcPr>
          <w:p w14:paraId="5739E27B" w14:textId="69171DCC"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rPr>
              <w:t>-</w:t>
            </w:r>
          </w:p>
        </w:tc>
        <w:tc>
          <w:tcPr>
            <w:tcW w:w="819" w:type="dxa"/>
            <w:shd w:val="clear" w:color="auto" w:fill="auto"/>
            <w:noWrap/>
            <w:vAlign w:val="center"/>
          </w:tcPr>
          <w:p w14:paraId="62B27434" w14:textId="36DF0E6D"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rPr>
              <w:t>-</w:t>
            </w:r>
          </w:p>
        </w:tc>
        <w:tc>
          <w:tcPr>
            <w:tcW w:w="819" w:type="dxa"/>
            <w:shd w:val="clear" w:color="auto" w:fill="auto"/>
            <w:vAlign w:val="center"/>
          </w:tcPr>
          <w:p w14:paraId="7320E1D4" w14:textId="263933FB"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rPr>
              <w:t>-</w:t>
            </w:r>
          </w:p>
        </w:tc>
        <w:tc>
          <w:tcPr>
            <w:tcW w:w="819" w:type="dxa"/>
            <w:vAlign w:val="center"/>
          </w:tcPr>
          <w:p w14:paraId="4F847448" w14:textId="7B8BE97D"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rPr>
              <w:t>-</w:t>
            </w:r>
          </w:p>
        </w:tc>
        <w:tc>
          <w:tcPr>
            <w:tcW w:w="819" w:type="dxa"/>
            <w:vAlign w:val="center"/>
          </w:tcPr>
          <w:p w14:paraId="276DC826" w14:textId="41896149"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rPr>
              <w:t>-</w:t>
            </w:r>
          </w:p>
        </w:tc>
        <w:tc>
          <w:tcPr>
            <w:tcW w:w="819" w:type="dxa"/>
            <w:vAlign w:val="center"/>
          </w:tcPr>
          <w:p w14:paraId="39A4130D" w14:textId="4E66178B"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rPr>
              <w:t>-</w:t>
            </w:r>
          </w:p>
        </w:tc>
        <w:tc>
          <w:tcPr>
            <w:tcW w:w="819" w:type="dxa"/>
            <w:vAlign w:val="center"/>
          </w:tcPr>
          <w:p w14:paraId="667BAADE" w14:textId="77777777" w:rsidR="00903D61" w:rsidRPr="007D7B08" w:rsidRDefault="00903D61" w:rsidP="00F87D11">
            <w:pPr>
              <w:spacing w:after="120"/>
              <w:jc w:val="center"/>
              <w:rPr>
                <w:rFonts w:ascii="Arial" w:hAnsi="Arial" w:cs="Arial"/>
                <w:sz w:val="16"/>
                <w:szCs w:val="16"/>
              </w:rPr>
            </w:pPr>
          </w:p>
        </w:tc>
        <w:tc>
          <w:tcPr>
            <w:tcW w:w="819" w:type="dxa"/>
            <w:vAlign w:val="center"/>
          </w:tcPr>
          <w:p w14:paraId="3156FBFD"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rPr>
              <w:t>24</w:t>
            </w:r>
          </w:p>
        </w:tc>
        <w:tc>
          <w:tcPr>
            <w:tcW w:w="819" w:type="dxa"/>
            <w:vAlign w:val="center"/>
          </w:tcPr>
          <w:p w14:paraId="710DDD9E" w14:textId="77777777" w:rsidR="00903D61" w:rsidRPr="007D7B08" w:rsidRDefault="00903D61" w:rsidP="00F87D11">
            <w:pPr>
              <w:spacing w:after="120"/>
              <w:jc w:val="center"/>
              <w:rPr>
                <w:rFonts w:ascii="Arial" w:hAnsi="Arial" w:cs="Arial"/>
                <w:sz w:val="16"/>
                <w:szCs w:val="16"/>
              </w:rPr>
            </w:pPr>
            <w:r w:rsidRPr="007D7B08">
              <w:rPr>
                <w:rFonts w:ascii="Arial" w:hAnsi="Arial" w:cs="Arial"/>
                <w:sz w:val="16"/>
                <w:szCs w:val="16"/>
              </w:rPr>
              <w:t>118</w:t>
            </w:r>
          </w:p>
        </w:tc>
      </w:tr>
      <w:tr w:rsidR="00903D61" w:rsidRPr="00903D61" w14:paraId="0CDBAFDC" w14:textId="77777777" w:rsidTr="007D7B08">
        <w:tblPrEx>
          <w:tblCellMar>
            <w:left w:w="70" w:type="dxa"/>
            <w:right w:w="70" w:type="dxa"/>
          </w:tblCellMar>
        </w:tblPrEx>
        <w:trPr>
          <w:trHeight w:val="255"/>
        </w:trPr>
        <w:tc>
          <w:tcPr>
            <w:tcW w:w="1276" w:type="dxa"/>
            <w:shd w:val="clear" w:color="auto" w:fill="D6E3BC" w:themeFill="accent3" w:themeFillTint="66"/>
            <w:vAlign w:val="center"/>
          </w:tcPr>
          <w:p w14:paraId="49AF4075" w14:textId="77777777" w:rsidR="00903D61" w:rsidRPr="007D7B08" w:rsidRDefault="00903D61" w:rsidP="00F87D11">
            <w:pPr>
              <w:spacing w:after="120"/>
              <w:jc w:val="center"/>
              <w:rPr>
                <w:rFonts w:ascii="Arial" w:hAnsi="Arial" w:cs="Arial"/>
                <w:bCs/>
                <w:sz w:val="16"/>
                <w:szCs w:val="16"/>
              </w:rPr>
            </w:pPr>
            <w:r w:rsidRPr="007D7B08">
              <w:rPr>
                <w:rFonts w:ascii="Arial" w:hAnsi="Arial" w:cs="Arial"/>
                <w:bCs/>
                <w:sz w:val="16"/>
                <w:szCs w:val="16"/>
              </w:rPr>
              <w:t>PJ</w:t>
            </w:r>
          </w:p>
        </w:tc>
        <w:tc>
          <w:tcPr>
            <w:tcW w:w="806" w:type="dxa"/>
            <w:shd w:val="clear" w:color="auto" w:fill="auto"/>
            <w:noWrap/>
            <w:vAlign w:val="center"/>
          </w:tcPr>
          <w:p w14:paraId="6348A02B"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sz w:val="16"/>
                <w:szCs w:val="16"/>
                <w:lang w:eastAsia="cs-CZ"/>
              </w:rPr>
              <w:t>17</w:t>
            </w:r>
          </w:p>
        </w:tc>
        <w:tc>
          <w:tcPr>
            <w:tcW w:w="819" w:type="dxa"/>
            <w:shd w:val="clear" w:color="auto" w:fill="auto"/>
            <w:noWrap/>
            <w:vAlign w:val="center"/>
          </w:tcPr>
          <w:p w14:paraId="74357F63"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sz w:val="16"/>
                <w:szCs w:val="16"/>
                <w:lang w:eastAsia="cs-CZ"/>
              </w:rPr>
              <w:t>20</w:t>
            </w:r>
          </w:p>
        </w:tc>
        <w:tc>
          <w:tcPr>
            <w:tcW w:w="819" w:type="dxa"/>
            <w:shd w:val="clear" w:color="auto" w:fill="auto"/>
            <w:vAlign w:val="center"/>
          </w:tcPr>
          <w:p w14:paraId="4364FD23"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sz w:val="16"/>
                <w:szCs w:val="16"/>
                <w:lang w:eastAsia="cs-CZ"/>
              </w:rPr>
              <w:t>21</w:t>
            </w:r>
          </w:p>
        </w:tc>
        <w:tc>
          <w:tcPr>
            <w:tcW w:w="819" w:type="dxa"/>
            <w:vAlign w:val="center"/>
          </w:tcPr>
          <w:p w14:paraId="14501171"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sz w:val="16"/>
                <w:szCs w:val="16"/>
                <w:lang w:eastAsia="cs-CZ"/>
              </w:rPr>
              <w:t>21</w:t>
            </w:r>
          </w:p>
        </w:tc>
        <w:tc>
          <w:tcPr>
            <w:tcW w:w="819" w:type="dxa"/>
            <w:vAlign w:val="center"/>
          </w:tcPr>
          <w:p w14:paraId="5EB9DAD7"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sz w:val="16"/>
                <w:szCs w:val="16"/>
                <w:lang w:eastAsia="cs-CZ"/>
              </w:rPr>
              <w:t>21</w:t>
            </w:r>
          </w:p>
        </w:tc>
        <w:tc>
          <w:tcPr>
            <w:tcW w:w="819" w:type="dxa"/>
            <w:vAlign w:val="center"/>
          </w:tcPr>
          <w:p w14:paraId="1B0D4C30"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sz w:val="16"/>
                <w:szCs w:val="16"/>
                <w:lang w:eastAsia="cs-CZ"/>
              </w:rPr>
              <w:t>11</w:t>
            </w:r>
          </w:p>
        </w:tc>
        <w:tc>
          <w:tcPr>
            <w:tcW w:w="819" w:type="dxa"/>
            <w:vAlign w:val="center"/>
          </w:tcPr>
          <w:p w14:paraId="68309E5C"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sz w:val="16"/>
                <w:szCs w:val="16"/>
                <w:lang w:eastAsia="cs-CZ"/>
              </w:rPr>
              <w:t>11</w:t>
            </w:r>
          </w:p>
        </w:tc>
        <w:tc>
          <w:tcPr>
            <w:tcW w:w="819" w:type="dxa"/>
            <w:vAlign w:val="center"/>
          </w:tcPr>
          <w:p w14:paraId="2C380FDB"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sz w:val="16"/>
                <w:szCs w:val="16"/>
                <w:lang w:eastAsia="cs-CZ"/>
              </w:rPr>
              <w:t>11</w:t>
            </w:r>
          </w:p>
        </w:tc>
        <w:tc>
          <w:tcPr>
            <w:tcW w:w="819" w:type="dxa"/>
            <w:vAlign w:val="center"/>
          </w:tcPr>
          <w:p w14:paraId="7DC515A1"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sz w:val="16"/>
                <w:szCs w:val="16"/>
                <w:lang w:eastAsia="cs-CZ"/>
              </w:rPr>
              <w:t>15</w:t>
            </w:r>
          </w:p>
        </w:tc>
      </w:tr>
      <w:tr w:rsidR="00903D61" w:rsidRPr="00903D61" w14:paraId="313C20DD" w14:textId="77777777" w:rsidTr="007D7B08">
        <w:tblPrEx>
          <w:tblCellMar>
            <w:left w:w="70" w:type="dxa"/>
            <w:right w:w="70" w:type="dxa"/>
          </w:tblCellMar>
        </w:tblPrEx>
        <w:trPr>
          <w:trHeight w:val="270"/>
        </w:trPr>
        <w:tc>
          <w:tcPr>
            <w:tcW w:w="1276" w:type="dxa"/>
            <w:shd w:val="clear" w:color="auto" w:fill="D6E3BC" w:themeFill="accent3" w:themeFillTint="66"/>
            <w:vAlign w:val="center"/>
          </w:tcPr>
          <w:p w14:paraId="62F653D3" w14:textId="77777777" w:rsidR="00903D61" w:rsidRPr="007D7B08" w:rsidRDefault="00903D61" w:rsidP="00F87D11">
            <w:pPr>
              <w:spacing w:after="120"/>
              <w:jc w:val="center"/>
              <w:rPr>
                <w:rFonts w:ascii="Arial" w:hAnsi="Arial" w:cs="Arial"/>
                <w:bCs/>
                <w:sz w:val="16"/>
                <w:szCs w:val="16"/>
              </w:rPr>
            </w:pPr>
            <w:r w:rsidRPr="007D7B08">
              <w:rPr>
                <w:rFonts w:ascii="Arial" w:hAnsi="Arial" w:cs="Arial"/>
                <w:bCs/>
                <w:sz w:val="16"/>
                <w:szCs w:val="16"/>
              </w:rPr>
              <w:t>spolu</w:t>
            </w:r>
          </w:p>
        </w:tc>
        <w:tc>
          <w:tcPr>
            <w:tcW w:w="806" w:type="dxa"/>
            <w:shd w:val="clear" w:color="auto" w:fill="auto"/>
            <w:noWrap/>
            <w:vAlign w:val="center"/>
          </w:tcPr>
          <w:p w14:paraId="1EFABBBE"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b/>
                <w:bCs/>
                <w:sz w:val="16"/>
                <w:szCs w:val="16"/>
              </w:rPr>
              <w:t>103</w:t>
            </w:r>
          </w:p>
        </w:tc>
        <w:tc>
          <w:tcPr>
            <w:tcW w:w="819" w:type="dxa"/>
            <w:shd w:val="clear" w:color="auto" w:fill="auto"/>
            <w:noWrap/>
            <w:vAlign w:val="center"/>
          </w:tcPr>
          <w:p w14:paraId="140125B1"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b/>
                <w:bCs/>
                <w:sz w:val="16"/>
                <w:szCs w:val="16"/>
              </w:rPr>
              <w:t>133</w:t>
            </w:r>
          </w:p>
        </w:tc>
        <w:tc>
          <w:tcPr>
            <w:tcW w:w="819" w:type="dxa"/>
            <w:shd w:val="clear" w:color="auto" w:fill="auto"/>
            <w:vAlign w:val="center"/>
          </w:tcPr>
          <w:p w14:paraId="0B0FBD96"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b/>
                <w:bCs/>
                <w:sz w:val="16"/>
                <w:szCs w:val="16"/>
              </w:rPr>
              <w:t>149</w:t>
            </w:r>
          </w:p>
        </w:tc>
        <w:tc>
          <w:tcPr>
            <w:tcW w:w="819" w:type="dxa"/>
            <w:vAlign w:val="center"/>
          </w:tcPr>
          <w:p w14:paraId="75E8E580"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b/>
                <w:bCs/>
                <w:sz w:val="16"/>
                <w:szCs w:val="16"/>
              </w:rPr>
              <w:t>155</w:t>
            </w:r>
          </w:p>
        </w:tc>
        <w:tc>
          <w:tcPr>
            <w:tcW w:w="819" w:type="dxa"/>
            <w:vAlign w:val="center"/>
          </w:tcPr>
          <w:p w14:paraId="02B960AE"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b/>
                <w:bCs/>
                <w:sz w:val="16"/>
                <w:szCs w:val="16"/>
              </w:rPr>
              <w:t>155</w:t>
            </w:r>
          </w:p>
        </w:tc>
        <w:tc>
          <w:tcPr>
            <w:tcW w:w="819" w:type="dxa"/>
            <w:vAlign w:val="center"/>
          </w:tcPr>
          <w:p w14:paraId="1CBEAC62"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b/>
                <w:bCs/>
                <w:sz w:val="16"/>
                <w:szCs w:val="16"/>
              </w:rPr>
              <w:t>149</w:t>
            </w:r>
          </w:p>
        </w:tc>
        <w:tc>
          <w:tcPr>
            <w:tcW w:w="819" w:type="dxa"/>
            <w:vAlign w:val="center"/>
          </w:tcPr>
          <w:p w14:paraId="59E7F5C8"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b/>
                <w:bCs/>
                <w:sz w:val="16"/>
                <w:szCs w:val="16"/>
              </w:rPr>
              <w:t>160</w:t>
            </w:r>
          </w:p>
        </w:tc>
        <w:tc>
          <w:tcPr>
            <w:tcW w:w="819" w:type="dxa"/>
            <w:vAlign w:val="center"/>
          </w:tcPr>
          <w:p w14:paraId="32CCE3C1"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b/>
                <w:bCs/>
                <w:sz w:val="16"/>
                <w:szCs w:val="16"/>
              </w:rPr>
              <w:t>191</w:t>
            </w:r>
          </w:p>
        </w:tc>
        <w:tc>
          <w:tcPr>
            <w:tcW w:w="819" w:type="dxa"/>
            <w:vAlign w:val="center"/>
          </w:tcPr>
          <w:p w14:paraId="794A44BE" w14:textId="77777777" w:rsidR="00903D61" w:rsidRPr="007D7B08" w:rsidRDefault="00903D61" w:rsidP="00F87D11">
            <w:pPr>
              <w:spacing w:after="120"/>
              <w:jc w:val="center"/>
              <w:rPr>
                <w:rFonts w:ascii="Arial" w:hAnsi="Arial" w:cs="Arial"/>
                <w:b/>
                <w:bCs/>
                <w:sz w:val="16"/>
                <w:szCs w:val="16"/>
              </w:rPr>
            </w:pPr>
            <w:r w:rsidRPr="007D7B08">
              <w:rPr>
                <w:rFonts w:ascii="Arial" w:hAnsi="Arial" w:cs="Arial"/>
                <w:b/>
                <w:bCs/>
                <w:sz w:val="16"/>
                <w:szCs w:val="16"/>
              </w:rPr>
              <w:t>228</w:t>
            </w:r>
          </w:p>
        </w:tc>
      </w:tr>
    </w:tbl>
    <w:p w14:paraId="6AC5913A" w14:textId="77777777" w:rsidR="00903D61" w:rsidRPr="00903D61" w:rsidRDefault="00903D61" w:rsidP="00F87D11">
      <w:pPr>
        <w:spacing w:after="120"/>
        <w:rPr>
          <w:rFonts w:ascii="Arial" w:hAnsi="Arial" w:cs="Arial"/>
          <w:sz w:val="20"/>
          <w:szCs w:val="20"/>
        </w:rPr>
      </w:pPr>
      <w:r w:rsidRPr="00903D61">
        <w:rPr>
          <w:rFonts w:ascii="Arial" w:hAnsi="Arial" w:cs="Arial"/>
          <w:sz w:val="20"/>
          <w:szCs w:val="20"/>
        </w:rPr>
        <w:t>Zdroj: RO, SORO, PJ</w:t>
      </w:r>
    </w:p>
    <w:p w14:paraId="7DDB214F" w14:textId="121C65D6" w:rsidR="00903D61" w:rsidRPr="00903D61" w:rsidRDefault="00903D61" w:rsidP="00F87D11">
      <w:pPr>
        <w:spacing w:after="120"/>
        <w:jc w:val="both"/>
        <w:rPr>
          <w:rFonts w:ascii="Arial" w:hAnsi="Arial" w:cs="Arial"/>
          <w:sz w:val="20"/>
          <w:szCs w:val="20"/>
          <w:lang w:eastAsia="cs-CZ"/>
        </w:rPr>
      </w:pPr>
      <w:bookmarkStart w:id="53" w:name="_3.1.2_Ciele_a"/>
      <w:bookmarkStart w:id="54" w:name="_3.1.3_Horizontálne_priority"/>
      <w:bookmarkStart w:id="55" w:name="_3.1.4_Finančná_implementácia"/>
      <w:bookmarkEnd w:id="53"/>
      <w:bookmarkEnd w:id="54"/>
      <w:bookmarkEnd w:id="55"/>
      <w:r w:rsidRPr="00903D61">
        <w:rPr>
          <w:rFonts w:ascii="Arial" w:hAnsi="Arial" w:cs="Arial"/>
          <w:sz w:val="20"/>
          <w:szCs w:val="20"/>
          <w:lang w:eastAsia="cs-CZ"/>
        </w:rPr>
        <w:t>Medzi faktory, ktoré sa podieľali na ovplyvňovaní fluktuácie zamestnancov, ktorá zahŕňala tak nástup ako aj výstup zamestnancov z pracovných pozícií, patrí pracovné prostredie, finančné ohodnotenie a systém vzdelávania.</w:t>
      </w:r>
      <w:r w:rsidR="004E26CE">
        <w:rPr>
          <w:rFonts w:ascii="Arial" w:hAnsi="Arial" w:cs="Arial"/>
          <w:sz w:val="20"/>
          <w:szCs w:val="20"/>
          <w:lang w:eastAsia="cs-CZ"/>
        </w:rPr>
        <w:t xml:space="preserve"> V roku 2015 </w:t>
      </w:r>
      <w:r w:rsidR="004E26CE" w:rsidRPr="004E26CE">
        <w:rPr>
          <w:rFonts w:ascii="Arial" w:hAnsi="Arial" w:cs="Arial"/>
          <w:sz w:val="20"/>
          <w:szCs w:val="20"/>
          <w:lang w:eastAsia="cs-CZ"/>
        </w:rPr>
        <w:t>na Sekciu environmentálnych programov a projektov nastúpilo 41 zamestnancov a vystúpilo 21 zamestnancov.</w:t>
      </w:r>
    </w:p>
    <w:p w14:paraId="5999DFB7" w14:textId="77777777" w:rsidR="00903D61" w:rsidRPr="00903D61" w:rsidRDefault="00903D61" w:rsidP="00F87D11">
      <w:pPr>
        <w:spacing w:after="120"/>
        <w:jc w:val="both"/>
        <w:rPr>
          <w:rFonts w:ascii="Arial" w:hAnsi="Arial" w:cs="Arial"/>
          <w:sz w:val="20"/>
          <w:szCs w:val="20"/>
          <w:lang w:eastAsia="cs-CZ"/>
        </w:rPr>
      </w:pPr>
      <w:r w:rsidRPr="00903D61">
        <w:rPr>
          <w:rFonts w:ascii="Arial" w:hAnsi="Arial" w:cs="Arial"/>
          <w:sz w:val="20"/>
          <w:szCs w:val="20"/>
          <w:lang w:eastAsia="cs-CZ"/>
        </w:rPr>
        <w:t xml:space="preserve">Na zvýšenej miere fluktuácie sa podieľal hlavne presun zamestnancov. V tejto súvislosti je potrebné zdôrazniť, že vo väčšine prípadov bola fluktuácia administratívnych kapacít subjektov zapojených do implementácie fondov EÚ spôsobená ich presunom medzi týmito subjektami.                                                       </w:t>
      </w:r>
    </w:p>
    <w:p w14:paraId="7F2863C4" w14:textId="77777777" w:rsidR="00903D61" w:rsidRPr="00903D61" w:rsidRDefault="00903D61" w:rsidP="00F87D11">
      <w:pPr>
        <w:autoSpaceDE w:val="0"/>
        <w:autoSpaceDN w:val="0"/>
        <w:adjustRightInd w:val="0"/>
        <w:spacing w:after="120"/>
        <w:jc w:val="both"/>
        <w:rPr>
          <w:rFonts w:ascii="Arial" w:hAnsi="Arial" w:cs="Arial"/>
          <w:sz w:val="20"/>
          <w:szCs w:val="20"/>
          <w:lang w:eastAsia="cs-CZ"/>
        </w:rPr>
      </w:pPr>
      <w:r w:rsidRPr="00903D61">
        <w:rPr>
          <w:rFonts w:ascii="Arial" w:hAnsi="Arial" w:cs="Arial"/>
          <w:sz w:val="20"/>
          <w:szCs w:val="20"/>
          <w:lang w:eastAsia="cs-CZ"/>
        </w:rPr>
        <w:t xml:space="preserve">Pri zvýšenej fluktuácii zamestnancov je potrebné prehodnotiť základné motivačné prvky, ako sú finančné ohodnotenie naviazané na systém hodnotenia a odmeňovania zamestnancov, systém vzdelávania, ktorým sa prehlbuje a zvyšuje kvalifikácia zamestnancov a pomáha ich profesionálnemu a osobnému rastu a tiež technické podmienky zabezpečované zamestnávateľom. </w:t>
      </w:r>
    </w:p>
    <w:p w14:paraId="47DDABBC" w14:textId="77777777" w:rsidR="00903D61" w:rsidRPr="00903D61" w:rsidRDefault="00903D61" w:rsidP="00F87D11">
      <w:pPr>
        <w:autoSpaceDE w:val="0"/>
        <w:autoSpaceDN w:val="0"/>
        <w:adjustRightInd w:val="0"/>
        <w:spacing w:after="120"/>
        <w:jc w:val="both"/>
        <w:rPr>
          <w:rFonts w:ascii="Arial" w:eastAsia="Calibri" w:hAnsi="Arial" w:cs="Arial"/>
          <w:sz w:val="20"/>
          <w:szCs w:val="20"/>
          <w:lang w:eastAsia="en-US"/>
        </w:rPr>
      </w:pPr>
      <w:r w:rsidRPr="00903D61">
        <w:rPr>
          <w:rFonts w:ascii="Arial" w:eastAsia="Calibri" w:hAnsi="Arial" w:cs="Arial"/>
          <w:sz w:val="20"/>
          <w:szCs w:val="20"/>
          <w:lang w:eastAsia="en-US"/>
        </w:rPr>
        <w:t xml:space="preserve">Implementáciou  projektov prioritnej osi 6 bolo dosiahnuté zabezpečenie materiálno-technického vybavenia a prevádzkového zabezpečenia riadenia a implementácie OP ŽP, vrátane zabezpečenia financovania nájomného, režijných nákladov za administratívne priestory a skladové priestory, či potrebné technické vybavenie. </w:t>
      </w:r>
    </w:p>
    <w:p w14:paraId="1E1231A7" w14:textId="77777777" w:rsidR="00903D61" w:rsidRDefault="00903D61" w:rsidP="00903D61">
      <w:pPr>
        <w:jc w:val="both"/>
        <w:rPr>
          <w:rFonts w:ascii="Arial" w:hAnsi="Arial" w:cs="Arial"/>
          <w:sz w:val="20"/>
          <w:szCs w:val="20"/>
          <w:lang w:eastAsia="cs-CZ"/>
        </w:rPr>
      </w:pPr>
      <w:r w:rsidRPr="00903D61">
        <w:rPr>
          <w:rFonts w:ascii="Arial" w:hAnsi="Arial" w:cs="Arial"/>
          <w:sz w:val="20"/>
          <w:szCs w:val="20"/>
          <w:lang w:eastAsia="cs-CZ"/>
        </w:rPr>
        <w:t>Na minimalizovanie fluktuácie administratívnych kapacít  a stabilizovanie administratívnych kapacít  RO zabezpečujúcich implementáciu OP ŽP mal slúžiť ako motivačný prvok systém vzdelávania a odmeňovania  zamestnancov.</w:t>
      </w:r>
    </w:p>
    <w:p w14:paraId="11F7E636" w14:textId="77777777" w:rsidR="002A4363" w:rsidRDefault="002A4363" w:rsidP="00903D61">
      <w:pPr>
        <w:jc w:val="both"/>
        <w:rPr>
          <w:rFonts w:ascii="Arial" w:hAnsi="Arial" w:cs="Arial"/>
          <w:sz w:val="20"/>
          <w:szCs w:val="20"/>
          <w:lang w:eastAsia="cs-CZ"/>
        </w:rPr>
      </w:pPr>
    </w:p>
    <w:p w14:paraId="2B8AA019" w14:textId="77777777" w:rsidR="00903D61" w:rsidRPr="00903D61" w:rsidRDefault="00903D61" w:rsidP="00903D61">
      <w:pPr>
        <w:jc w:val="both"/>
        <w:rPr>
          <w:rFonts w:ascii="Arial" w:hAnsi="Arial" w:cs="Arial"/>
          <w:b/>
          <w:sz w:val="20"/>
          <w:szCs w:val="20"/>
          <w:lang w:eastAsia="cs-CZ"/>
        </w:rPr>
      </w:pPr>
      <w:r w:rsidRPr="00903D61">
        <w:rPr>
          <w:rFonts w:ascii="Arial" w:hAnsi="Arial" w:cs="Arial"/>
          <w:b/>
          <w:sz w:val="20"/>
          <w:szCs w:val="20"/>
          <w:lang w:eastAsia="cs-CZ"/>
        </w:rPr>
        <w:t xml:space="preserve">Opatrenia prijaté s cieľom prehlbovať a zvyšovať kvalifikáciu zamestnancov: </w:t>
      </w:r>
    </w:p>
    <w:p w14:paraId="56FD96C4" w14:textId="77777777" w:rsidR="00551A9F" w:rsidRDefault="00551A9F" w:rsidP="00903D61">
      <w:pPr>
        <w:jc w:val="both"/>
        <w:rPr>
          <w:rFonts w:ascii="Arial" w:hAnsi="Arial" w:cs="Arial"/>
          <w:sz w:val="20"/>
          <w:szCs w:val="20"/>
          <w:lang w:eastAsia="cs-CZ"/>
        </w:rPr>
      </w:pPr>
    </w:p>
    <w:p w14:paraId="6B4686E4" w14:textId="77777777" w:rsidR="00551A9F" w:rsidRPr="00682B07" w:rsidRDefault="00551A9F" w:rsidP="00F87D11">
      <w:pPr>
        <w:autoSpaceDE w:val="0"/>
        <w:autoSpaceDN w:val="0"/>
        <w:adjustRightInd w:val="0"/>
        <w:spacing w:after="120"/>
        <w:jc w:val="both"/>
        <w:rPr>
          <w:rFonts w:ascii="Arial" w:hAnsi="Arial" w:cs="Arial"/>
          <w:sz w:val="20"/>
          <w:szCs w:val="20"/>
          <w:lang w:eastAsia="cs-CZ"/>
        </w:rPr>
      </w:pPr>
      <w:r w:rsidRPr="00682B07">
        <w:rPr>
          <w:rFonts w:ascii="Arial" w:hAnsi="Arial" w:cs="Arial"/>
          <w:sz w:val="20"/>
          <w:szCs w:val="20"/>
          <w:lang w:eastAsia="cs-CZ"/>
        </w:rPr>
        <w:t xml:space="preserve">Vzhľadom k stavu týkajúceho sa fluktuácie zamestnancov vykonal RO viaceré opatrenia, ako   vypracovanie Koncepcie vzdelávania a hodnotenia zamestnancov RO OP ŽP, ktorej cieľom bolo  vytvoriť komplexný systém vzdelávania, hodnotenia a odmeňovania zamestnancov tak, aby bol motivačný pre zamestnanca aj zamestnávateľa a vytvoril výstupy zabezpečujúce efektívne vynakladanie finančných prostriedkov na rozvoj ľudských zdrojov a stabilizáciu na RO. </w:t>
      </w:r>
    </w:p>
    <w:p w14:paraId="755B49AE" w14:textId="7E6E5F4A" w:rsidR="00551A9F" w:rsidRDefault="00551A9F" w:rsidP="00F87D11">
      <w:pPr>
        <w:spacing w:after="120"/>
        <w:jc w:val="both"/>
        <w:rPr>
          <w:rFonts w:ascii="Arial" w:hAnsi="Arial" w:cs="Arial"/>
          <w:sz w:val="20"/>
          <w:szCs w:val="20"/>
          <w:lang w:eastAsia="cs-CZ"/>
        </w:rPr>
      </w:pPr>
      <w:r w:rsidRPr="00682B07">
        <w:rPr>
          <w:rFonts w:ascii="Arial" w:hAnsi="Arial" w:cs="Arial"/>
          <w:sz w:val="20"/>
          <w:szCs w:val="20"/>
          <w:lang w:eastAsia="cs-CZ"/>
        </w:rPr>
        <w:t>Ďalším opatrením bolo  zabezpečovanie účasti zamestnancov RO na zahraničných školeniach  a využitie podporných aktivít v oblasti auditu ľudských zdrojov, ako tvorba systémov vzdelávania a rozvoja ľudských zdrojov, systémov odmeňovania a motivácie zamestnancov RO a SORO, ako aj systémov hodnotenia.</w:t>
      </w:r>
    </w:p>
    <w:p w14:paraId="083D5612" w14:textId="11EA1A17" w:rsidR="00903D61" w:rsidRPr="00903D61" w:rsidRDefault="00903D61" w:rsidP="00F87D11">
      <w:pPr>
        <w:spacing w:after="120"/>
        <w:jc w:val="both"/>
        <w:rPr>
          <w:rFonts w:ascii="Arial" w:hAnsi="Arial" w:cs="Arial"/>
          <w:sz w:val="20"/>
          <w:szCs w:val="20"/>
          <w:lang w:eastAsia="cs-CZ"/>
        </w:rPr>
      </w:pPr>
      <w:r w:rsidRPr="00903D61">
        <w:rPr>
          <w:rFonts w:ascii="Arial" w:hAnsi="Arial" w:cs="Arial"/>
          <w:sz w:val="20"/>
          <w:szCs w:val="20"/>
          <w:lang w:eastAsia="cs-CZ"/>
        </w:rPr>
        <w:t>V roku 2015 sa uskutočnilo 40 školení, v rámci ktorých participovalo 514 zamestnancov z RO. V rámci SORO sa uskutočnilo 19 školení, na ktorých sa zúčastnilo 89 zamestnancov. Školenia v súlade s pracovnou náplňou jednotlivých zamestnancov</w:t>
      </w:r>
      <w:r w:rsidR="00551A9F">
        <w:rPr>
          <w:rFonts w:ascii="Arial" w:hAnsi="Arial" w:cs="Arial"/>
          <w:sz w:val="20"/>
          <w:szCs w:val="20"/>
          <w:lang w:eastAsia="cs-CZ"/>
        </w:rPr>
        <w:t xml:space="preserve"> a v súlade s individuálnymi plánmi vzdelávania</w:t>
      </w:r>
      <w:r w:rsidRPr="00903D61">
        <w:rPr>
          <w:rFonts w:ascii="Arial" w:hAnsi="Arial" w:cs="Arial"/>
          <w:sz w:val="20"/>
          <w:szCs w:val="20"/>
          <w:lang w:eastAsia="cs-CZ"/>
        </w:rPr>
        <w:t xml:space="preserve"> sa realizovali najmä v oblasti verejného obstarávania, novelizácií jednotlivých zákonov a v oblasti riadenia a implementácie ŠF a KF (zoznam školení je </w:t>
      </w:r>
      <w:r w:rsidRPr="00807178">
        <w:rPr>
          <w:rFonts w:ascii="Arial" w:hAnsi="Arial" w:cs="Arial"/>
          <w:sz w:val="20"/>
          <w:szCs w:val="20"/>
          <w:lang w:eastAsia="cs-CZ"/>
        </w:rPr>
        <w:t xml:space="preserve">uvedený </w:t>
      </w:r>
      <w:r w:rsidR="00682B07" w:rsidRPr="00807178">
        <w:rPr>
          <w:rFonts w:ascii="Arial" w:hAnsi="Arial" w:cs="Arial"/>
          <w:sz w:val="20"/>
          <w:szCs w:val="20"/>
          <w:lang w:eastAsia="cs-CZ"/>
        </w:rPr>
        <w:t>v tabuľke 3</w:t>
      </w:r>
      <w:r w:rsidR="00D92FB1">
        <w:rPr>
          <w:rFonts w:ascii="Arial" w:hAnsi="Arial" w:cs="Arial"/>
          <w:sz w:val="20"/>
          <w:szCs w:val="20"/>
          <w:lang w:eastAsia="cs-CZ"/>
        </w:rPr>
        <w:t>9</w:t>
      </w:r>
      <w:r w:rsidR="00807178">
        <w:rPr>
          <w:rFonts w:ascii="Arial" w:hAnsi="Arial" w:cs="Arial"/>
          <w:sz w:val="20"/>
          <w:szCs w:val="20"/>
          <w:lang w:eastAsia="cs-CZ"/>
        </w:rPr>
        <w:t>a a 3</w:t>
      </w:r>
      <w:r w:rsidR="00D92FB1">
        <w:rPr>
          <w:rFonts w:ascii="Arial" w:hAnsi="Arial" w:cs="Arial"/>
          <w:sz w:val="20"/>
          <w:szCs w:val="20"/>
          <w:lang w:eastAsia="cs-CZ"/>
        </w:rPr>
        <w:t>9</w:t>
      </w:r>
      <w:r w:rsidR="00807178">
        <w:rPr>
          <w:rFonts w:ascii="Arial" w:hAnsi="Arial" w:cs="Arial"/>
          <w:sz w:val="20"/>
          <w:szCs w:val="20"/>
          <w:lang w:eastAsia="cs-CZ"/>
        </w:rPr>
        <w:t>b</w:t>
      </w:r>
      <w:r w:rsidRPr="00807178">
        <w:rPr>
          <w:rFonts w:ascii="Arial" w:hAnsi="Arial" w:cs="Arial"/>
          <w:sz w:val="20"/>
          <w:szCs w:val="20"/>
          <w:lang w:eastAsia="cs-CZ"/>
        </w:rPr>
        <w:t>).</w:t>
      </w:r>
      <w:r w:rsidRPr="00903D61">
        <w:rPr>
          <w:rFonts w:ascii="Arial" w:hAnsi="Arial" w:cs="Arial"/>
          <w:sz w:val="20"/>
          <w:szCs w:val="20"/>
          <w:lang w:eastAsia="cs-CZ"/>
        </w:rPr>
        <w:t xml:space="preserve"> Oproti roku 2014 evidujeme nárast  účasti zamestnancov RO na jednotlivých školeniach o 40 %. </w:t>
      </w:r>
    </w:p>
    <w:p w14:paraId="43C6369B" w14:textId="77777777" w:rsidR="0008447E" w:rsidRDefault="0008447E">
      <w:pPr>
        <w:rPr>
          <w:rFonts w:ascii="Arial" w:hAnsi="Arial" w:cs="Arial"/>
          <w:sz w:val="20"/>
          <w:szCs w:val="20"/>
          <w:lang w:eastAsia="cs-CZ"/>
        </w:rPr>
      </w:pPr>
      <w:r>
        <w:rPr>
          <w:rFonts w:ascii="Arial" w:hAnsi="Arial" w:cs="Arial"/>
          <w:sz w:val="20"/>
          <w:szCs w:val="20"/>
          <w:lang w:eastAsia="cs-CZ"/>
        </w:rPr>
        <w:br w:type="page"/>
      </w:r>
    </w:p>
    <w:p w14:paraId="211A1A07" w14:textId="2C2023A7" w:rsidR="00903D61" w:rsidRPr="00807178" w:rsidRDefault="00903D61" w:rsidP="00903D61">
      <w:pPr>
        <w:jc w:val="both"/>
        <w:rPr>
          <w:rFonts w:ascii="Arial" w:hAnsi="Arial" w:cs="Arial"/>
          <w:sz w:val="20"/>
          <w:szCs w:val="20"/>
          <w:lang w:eastAsia="cs-CZ"/>
        </w:rPr>
      </w:pPr>
      <w:r w:rsidRPr="00807178">
        <w:rPr>
          <w:rFonts w:ascii="Arial" w:hAnsi="Arial" w:cs="Arial"/>
          <w:sz w:val="20"/>
          <w:szCs w:val="20"/>
          <w:lang w:eastAsia="cs-CZ"/>
        </w:rPr>
        <w:lastRenderedPageBreak/>
        <w:t xml:space="preserve">Tabuľka č. </w:t>
      </w:r>
      <w:r w:rsidR="00682B07" w:rsidRPr="00807178">
        <w:rPr>
          <w:rFonts w:ascii="Arial" w:hAnsi="Arial" w:cs="Arial"/>
          <w:sz w:val="20"/>
          <w:szCs w:val="20"/>
          <w:lang w:eastAsia="cs-CZ"/>
        </w:rPr>
        <w:t>3</w:t>
      </w:r>
      <w:r w:rsidR="007B1CB9">
        <w:rPr>
          <w:rFonts w:ascii="Arial" w:hAnsi="Arial" w:cs="Arial"/>
          <w:sz w:val="20"/>
          <w:szCs w:val="20"/>
          <w:lang w:eastAsia="cs-CZ"/>
        </w:rPr>
        <w:t>9</w:t>
      </w:r>
      <w:r w:rsidR="00682B07" w:rsidRPr="00807178">
        <w:rPr>
          <w:rFonts w:ascii="Arial" w:hAnsi="Arial" w:cs="Arial"/>
          <w:sz w:val="20"/>
          <w:szCs w:val="20"/>
          <w:lang w:eastAsia="cs-CZ"/>
        </w:rPr>
        <w:t>a</w:t>
      </w:r>
      <w:r w:rsidRPr="00807178">
        <w:rPr>
          <w:rFonts w:ascii="Arial" w:hAnsi="Arial" w:cs="Arial"/>
          <w:sz w:val="20"/>
          <w:szCs w:val="20"/>
          <w:lang w:eastAsia="cs-CZ"/>
        </w:rPr>
        <w:t>: Prehľad odborných škol</w:t>
      </w:r>
      <w:r w:rsidR="00807178" w:rsidRPr="00807178">
        <w:rPr>
          <w:rFonts w:ascii="Arial" w:hAnsi="Arial" w:cs="Arial"/>
          <w:sz w:val="20"/>
          <w:szCs w:val="20"/>
          <w:lang w:eastAsia="cs-CZ"/>
        </w:rPr>
        <w:t>ení zamestnancov RO za rok 2015</w:t>
      </w:r>
    </w:p>
    <w:tbl>
      <w:tblPr>
        <w:tblW w:w="5000" w:type="pct"/>
        <w:jc w:val="center"/>
        <w:tblCellMar>
          <w:left w:w="70" w:type="dxa"/>
          <w:right w:w="70" w:type="dxa"/>
        </w:tblCellMar>
        <w:tblLook w:val="04A0" w:firstRow="1" w:lastRow="0" w:firstColumn="1" w:lastColumn="0" w:noHBand="0" w:noVBand="1"/>
      </w:tblPr>
      <w:tblGrid>
        <w:gridCol w:w="418"/>
        <w:gridCol w:w="7838"/>
        <w:gridCol w:w="954"/>
      </w:tblGrid>
      <w:tr w:rsidR="00903D61" w:rsidRPr="007D7B08" w14:paraId="13076BAC" w14:textId="77777777" w:rsidTr="00653A2A">
        <w:trPr>
          <w:trHeight w:val="300"/>
          <w:jc w:val="center"/>
        </w:trPr>
        <w:tc>
          <w:tcPr>
            <w:tcW w:w="228" w:type="pct"/>
            <w:tcBorders>
              <w:top w:val="single" w:sz="8" w:space="0" w:color="auto"/>
              <w:left w:val="single" w:sz="8" w:space="0" w:color="auto"/>
              <w:bottom w:val="single" w:sz="8" w:space="0" w:color="auto"/>
              <w:right w:val="single" w:sz="8" w:space="0" w:color="auto"/>
            </w:tcBorders>
            <w:shd w:val="clear" w:color="000000" w:fill="D6E3BC"/>
            <w:noWrap/>
            <w:vAlign w:val="center"/>
            <w:hideMark/>
          </w:tcPr>
          <w:p w14:paraId="01653EC3" w14:textId="77777777" w:rsidR="00903D61" w:rsidRPr="007D7B08" w:rsidRDefault="00903D61" w:rsidP="00903D61">
            <w:pPr>
              <w:jc w:val="center"/>
              <w:rPr>
                <w:rFonts w:ascii="Arial" w:hAnsi="Arial" w:cs="Arial"/>
                <w:b/>
                <w:sz w:val="16"/>
                <w:szCs w:val="16"/>
                <w:lang w:eastAsia="cs-CZ"/>
              </w:rPr>
            </w:pPr>
            <w:r w:rsidRPr="007D7B08">
              <w:rPr>
                <w:rFonts w:ascii="Arial" w:hAnsi="Arial" w:cs="Arial"/>
                <w:b/>
                <w:sz w:val="16"/>
                <w:szCs w:val="16"/>
                <w:lang w:eastAsia="cs-CZ"/>
              </w:rPr>
              <w:t>P.č.</w:t>
            </w:r>
          </w:p>
        </w:tc>
        <w:tc>
          <w:tcPr>
            <w:tcW w:w="4253" w:type="pct"/>
            <w:tcBorders>
              <w:top w:val="single" w:sz="8" w:space="0" w:color="auto"/>
              <w:left w:val="nil"/>
              <w:bottom w:val="single" w:sz="8" w:space="0" w:color="auto"/>
              <w:right w:val="single" w:sz="8" w:space="0" w:color="auto"/>
            </w:tcBorders>
            <w:shd w:val="clear" w:color="000000" w:fill="D6E3BC"/>
            <w:noWrap/>
            <w:vAlign w:val="center"/>
            <w:hideMark/>
          </w:tcPr>
          <w:p w14:paraId="24256581" w14:textId="77777777" w:rsidR="00903D61" w:rsidRPr="007D7B08" w:rsidRDefault="00903D61" w:rsidP="00903D61">
            <w:pPr>
              <w:jc w:val="both"/>
              <w:rPr>
                <w:rFonts w:ascii="Arial" w:hAnsi="Arial" w:cs="Arial"/>
                <w:b/>
                <w:sz w:val="16"/>
                <w:szCs w:val="16"/>
                <w:lang w:eastAsia="cs-CZ"/>
              </w:rPr>
            </w:pPr>
            <w:r w:rsidRPr="007D7B08">
              <w:rPr>
                <w:rFonts w:ascii="Arial" w:hAnsi="Arial" w:cs="Arial"/>
                <w:b/>
                <w:sz w:val="16"/>
                <w:szCs w:val="16"/>
                <w:lang w:eastAsia="cs-CZ"/>
              </w:rPr>
              <w:t>Popis akcie</w:t>
            </w:r>
          </w:p>
        </w:tc>
        <w:tc>
          <w:tcPr>
            <w:tcW w:w="519" w:type="pct"/>
            <w:tcBorders>
              <w:top w:val="single" w:sz="8" w:space="0" w:color="auto"/>
              <w:left w:val="nil"/>
              <w:bottom w:val="single" w:sz="8" w:space="0" w:color="auto"/>
              <w:right w:val="single" w:sz="8" w:space="0" w:color="auto"/>
            </w:tcBorders>
            <w:shd w:val="clear" w:color="000000" w:fill="D6E3BC"/>
            <w:vAlign w:val="center"/>
            <w:hideMark/>
          </w:tcPr>
          <w:p w14:paraId="49B3D537" w14:textId="77777777" w:rsidR="00903D61" w:rsidRPr="007D7B08" w:rsidRDefault="00903D61" w:rsidP="00903D61">
            <w:pPr>
              <w:jc w:val="center"/>
              <w:rPr>
                <w:rFonts w:ascii="Arial" w:hAnsi="Arial" w:cs="Arial"/>
                <w:b/>
                <w:sz w:val="16"/>
                <w:szCs w:val="16"/>
                <w:lang w:eastAsia="cs-CZ"/>
              </w:rPr>
            </w:pPr>
            <w:r w:rsidRPr="007D7B08">
              <w:rPr>
                <w:rFonts w:ascii="Arial" w:hAnsi="Arial" w:cs="Arial"/>
                <w:b/>
                <w:sz w:val="16"/>
                <w:szCs w:val="16"/>
                <w:lang w:eastAsia="cs-CZ"/>
              </w:rPr>
              <w:t>Počet účastníkov</w:t>
            </w:r>
          </w:p>
        </w:tc>
      </w:tr>
      <w:tr w:rsidR="00903D61" w:rsidRPr="007D7B08" w14:paraId="1160A2F0"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1EBA689F"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w:t>
            </w:r>
          </w:p>
        </w:tc>
        <w:tc>
          <w:tcPr>
            <w:tcW w:w="4253" w:type="pct"/>
            <w:tcBorders>
              <w:top w:val="nil"/>
              <w:left w:val="nil"/>
              <w:bottom w:val="single" w:sz="8" w:space="0" w:color="auto"/>
              <w:right w:val="single" w:sz="8" w:space="0" w:color="auto"/>
            </w:tcBorders>
            <w:shd w:val="clear" w:color="auto" w:fill="auto"/>
            <w:noWrap/>
            <w:vAlign w:val="center"/>
            <w:hideMark/>
          </w:tcPr>
          <w:p w14:paraId="704C6C02"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Adaptačné vzdelávanie</w:t>
            </w:r>
          </w:p>
        </w:tc>
        <w:tc>
          <w:tcPr>
            <w:tcW w:w="519" w:type="pct"/>
            <w:tcBorders>
              <w:top w:val="nil"/>
              <w:left w:val="nil"/>
              <w:bottom w:val="single" w:sz="8" w:space="0" w:color="auto"/>
              <w:right w:val="single" w:sz="8" w:space="0" w:color="auto"/>
            </w:tcBorders>
            <w:shd w:val="clear" w:color="auto" w:fill="auto"/>
            <w:noWrap/>
            <w:vAlign w:val="center"/>
            <w:hideMark/>
          </w:tcPr>
          <w:p w14:paraId="3ED8772C"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25</w:t>
            </w:r>
          </w:p>
        </w:tc>
      </w:tr>
      <w:tr w:rsidR="00903D61" w:rsidRPr="007D7B08" w14:paraId="16BB3F41"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43577D65"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w:t>
            </w:r>
          </w:p>
        </w:tc>
        <w:tc>
          <w:tcPr>
            <w:tcW w:w="4253" w:type="pct"/>
            <w:tcBorders>
              <w:top w:val="nil"/>
              <w:left w:val="nil"/>
              <w:bottom w:val="single" w:sz="8" w:space="0" w:color="auto"/>
              <w:right w:val="single" w:sz="8" w:space="0" w:color="auto"/>
            </w:tcBorders>
            <w:shd w:val="clear" w:color="auto" w:fill="auto"/>
            <w:noWrap/>
            <w:vAlign w:val="center"/>
            <w:hideMark/>
          </w:tcPr>
          <w:p w14:paraId="0E726BFA"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BOZP a PO</w:t>
            </w:r>
          </w:p>
        </w:tc>
        <w:tc>
          <w:tcPr>
            <w:tcW w:w="519" w:type="pct"/>
            <w:tcBorders>
              <w:top w:val="nil"/>
              <w:left w:val="nil"/>
              <w:bottom w:val="single" w:sz="8" w:space="0" w:color="auto"/>
              <w:right w:val="single" w:sz="8" w:space="0" w:color="auto"/>
            </w:tcBorders>
            <w:shd w:val="clear" w:color="auto" w:fill="auto"/>
            <w:noWrap/>
            <w:vAlign w:val="center"/>
            <w:hideMark/>
          </w:tcPr>
          <w:p w14:paraId="56A518F4"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59</w:t>
            </w:r>
          </w:p>
        </w:tc>
      </w:tr>
      <w:tr w:rsidR="00903D61" w:rsidRPr="007D7B08" w14:paraId="001DFFD0"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287668B2"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w:t>
            </w:r>
          </w:p>
        </w:tc>
        <w:tc>
          <w:tcPr>
            <w:tcW w:w="4253" w:type="pct"/>
            <w:tcBorders>
              <w:top w:val="nil"/>
              <w:left w:val="nil"/>
              <w:bottom w:val="single" w:sz="8" w:space="0" w:color="auto"/>
              <w:right w:val="single" w:sz="8" w:space="0" w:color="auto"/>
            </w:tcBorders>
            <w:shd w:val="clear" w:color="auto" w:fill="auto"/>
            <w:noWrap/>
            <w:vAlign w:val="center"/>
            <w:hideMark/>
          </w:tcPr>
          <w:p w14:paraId="619B4476"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European Academy - Workshop  TA for ESaIf, 9.-10.3.2015 / 2015/0168</w:t>
            </w:r>
          </w:p>
        </w:tc>
        <w:tc>
          <w:tcPr>
            <w:tcW w:w="519" w:type="pct"/>
            <w:tcBorders>
              <w:top w:val="nil"/>
              <w:left w:val="nil"/>
              <w:bottom w:val="single" w:sz="8" w:space="0" w:color="auto"/>
              <w:right w:val="single" w:sz="8" w:space="0" w:color="auto"/>
            </w:tcBorders>
            <w:shd w:val="clear" w:color="auto" w:fill="auto"/>
            <w:noWrap/>
            <w:vAlign w:val="center"/>
            <w:hideMark/>
          </w:tcPr>
          <w:p w14:paraId="1C9E4DDE"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w:t>
            </w:r>
          </w:p>
        </w:tc>
      </w:tr>
      <w:tr w:rsidR="00903D61" w:rsidRPr="007D7B08" w14:paraId="0E161D72"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19EB90F4"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4</w:t>
            </w:r>
          </w:p>
        </w:tc>
        <w:tc>
          <w:tcPr>
            <w:tcW w:w="4253" w:type="pct"/>
            <w:tcBorders>
              <w:top w:val="nil"/>
              <w:left w:val="nil"/>
              <w:bottom w:val="single" w:sz="8" w:space="0" w:color="auto"/>
              <w:right w:val="single" w:sz="8" w:space="0" w:color="auto"/>
            </w:tcBorders>
            <w:shd w:val="clear" w:color="auto" w:fill="auto"/>
            <w:noWrap/>
            <w:vAlign w:val="center"/>
            <w:hideMark/>
          </w:tcPr>
          <w:p w14:paraId="7D249191"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European Academy - 10. Výročná konferencia EU Funds 2015, (23.-24.3.2015) / 2015/0417</w:t>
            </w:r>
          </w:p>
        </w:tc>
        <w:tc>
          <w:tcPr>
            <w:tcW w:w="519" w:type="pct"/>
            <w:tcBorders>
              <w:top w:val="nil"/>
              <w:left w:val="nil"/>
              <w:bottom w:val="single" w:sz="8" w:space="0" w:color="auto"/>
              <w:right w:val="single" w:sz="8" w:space="0" w:color="auto"/>
            </w:tcBorders>
            <w:shd w:val="clear" w:color="auto" w:fill="auto"/>
            <w:noWrap/>
            <w:vAlign w:val="center"/>
            <w:hideMark/>
          </w:tcPr>
          <w:p w14:paraId="7EF16755"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65C0601C"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017451BE"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5</w:t>
            </w:r>
          </w:p>
        </w:tc>
        <w:tc>
          <w:tcPr>
            <w:tcW w:w="4253" w:type="pct"/>
            <w:tcBorders>
              <w:top w:val="nil"/>
              <w:left w:val="nil"/>
              <w:bottom w:val="single" w:sz="8" w:space="0" w:color="auto"/>
              <w:right w:val="single" w:sz="8" w:space="0" w:color="auto"/>
            </w:tcBorders>
            <w:shd w:val="clear" w:color="auto" w:fill="auto"/>
            <w:noWrap/>
            <w:vAlign w:val="center"/>
            <w:hideMark/>
          </w:tcPr>
          <w:p w14:paraId="6670A9C2"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Kancelária NRSR - Školenie Častá Papiernička (19.-20.2.2015) / 1150014</w:t>
            </w:r>
          </w:p>
        </w:tc>
        <w:tc>
          <w:tcPr>
            <w:tcW w:w="519" w:type="pct"/>
            <w:tcBorders>
              <w:top w:val="nil"/>
              <w:left w:val="nil"/>
              <w:bottom w:val="single" w:sz="8" w:space="0" w:color="auto"/>
              <w:right w:val="single" w:sz="8" w:space="0" w:color="auto"/>
            </w:tcBorders>
            <w:shd w:val="clear" w:color="auto" w:fill="auto"/>
            <w:noWrap/>
            <w:vAlign w:val="center"/>
            <w:hideMark/>
          </w:tcPr>
          <w:p w14:paraId="0B2D591D"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117</w:t>
            </w:r>
          </w:p>
        </w:tc>
      </w:tr>
      <w:tr w:rsidR="00903D61" w:rsidRPr="007D7B08" w14:paraId="33C19EB8"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20340351"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6</w:t>
            </w:r>
          </w:p>
        </w:tc>
        <w:tc>
          <w:tcPr>
            <w:tcW w:w="4253" w:type="pct"/>
            <w:tcBorders>
              <w:top w:val="nil"/>
              <w:left w:val="nil"/>
              <w:bottom w:val="single" w:sz="8" w:space="0" w:color="auto"/>
              <w:right w:val="single" w:sz="8" w:space="0" w:color="auto"/>
            </w:tcBorders>
            <w:shd w:val="clear" w:color="auto" w:fill="auto"/>
            <w:noWrap/>
            <w:vAlign w:val="center"/>
            <w:hideMark/>
          </w:tcPr>
          <w:p w14:paraId="066FF88C"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APUeN SK 42262755, Školenie VO2015-Právo a prax, 25.-26.3.2015</w:t>
            </w:r>
          </w:p>
        </w:tc>
        <w:tc>
          <w:tcPr>
            <w:tcW w:w="519" w:type="pct"/>
            <w:tcBorders>
              <w:top w:val="nil"/>
              <w:left w:val="nil"/>
              <w:bottom w:val="single" w:sz="8" w:space="0" w:color="auto"/>
              <w:right w:val="single" w:sz="8" w:space="0" w:color="auto"/>
            </w:tcBorders>
            <w:shd w:val="clear" w:color="auto" w:fill="auto"/>
            <w:noWrap/>
            <w:vAlign w:val="center"/>
            <w:hideMark/>
          </w:tcPr>
          <w:p w14:paraId="109EB63B"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4</w:t>
            </w:r>
          </w:p>
        </w:tc>
      </w:tr>
      <w:tr w:rsidR="00903D61" w:rsidRPr="007D7B08" w14:paraId="309289BD"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25F2D5E8"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7</w:t>
            </w:r>
          </w:p>
        </w:tc>
        <w:tc>
          <w:tcPr>
            <w:tcW w:w="4253" w:type="pct"/>
            <w:tcBorders>
              <w:top w:val="nil"/>
              <w:left w:val="nil"/>
              <w:bottom w:val="single" w:sz="8" w:space="0" w:color="auto"/>
              <w:right w:val="single" w:sz="8" w:space="0" w:color="auto"/>
            </w:tcBorders>
            <w:shd w:val="clear" w:color="auto" w:fill="auto"/>
            <w:noWrap/>
            <w:vAlign w:val="center"/>
            <w:hideMark/>
          </w:tcPr>
          <w:p w14:paraId="7004EFAF"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Anassa, s.r.o., FA č. 3556, Obed pri príležitosti pracovného stretnutia 17.3.2015</w:t>
            </w:r>
          </w:p>
        </w:tc>
        <w:tc>
          <w:tcPr>
            <w:tcW w:w="519" w:type="pct"/>
            <w:tcBorders>
              <w:top w:val="nil"/>
              <w:left w:val="nil"/>
              <w:bottom w:val="single" w:sz="8" w:space="0" w:color="auto"/>
              <w:right w:val="single" w:sz="8" w:space="0" w:color="auto"/>
            </w:tcBorders>
            <w:shd w:val="clear" w:color="auto" w:fill="auto"/>
            <w:noWrap/>
            <w:vAlign w:val="center"/>
            <w:hideMark/>
          </w:tcPr>
          <w:p w14:paraId="086BF494"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7</w:t>
            </w:r>
          </w:p>
        </w:tc>
      </w:tr>
      <w:tr w:rsidR="00903D61" w:rsidRPr="007D7B08" w14:paraId="60018DF4"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00BAE571"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8</w:t>
            </w:r>
          </w:p>
        </w:tc>
        <w:tc>
          <w:tcPr>
            <w:tcW w:w="4253" w:type="pct"/>
            <w:tcBorders>
              <w:top w:val="nil"/>
              <w:left w:val="nil"/>
              <w:bottom w:val="single" w:sz="8" w:space="0" w:color="auto"/>
              <w:right w:val="single" w:sz="8" w:space="0" w:color="auto"/>
            </w:tcBorders>
            <w:shd w:val="clear" w:color="auto" w:fill="auto"/>
            <w:noWrap/>
            <w:vAlign w:val="center"/>
            <w:hideMark/>
          </w:tcPr>
          <w:p w14:paraId="1D00C1FF"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Ústav vzdelávania a služieb, FA č. 2715040014, školenie Elektronické trhovisko 14.4.2015</w:t>
            </w:r>
          </w:p>
        </w:tc>
        <w:tc>
          <w:tcPr>
            <w:tcW w:w="519" w:type="pct"/>
            <w:tcBorders>
              <w:top w:val="nil"/>
              <w:left w:val="nil"/>
              <w:bottom w:val="single" w:sz="8" w:space="0" w:color="auto"/>
              <w:right w:val="single" w:sz="8" w:space="0" w:color="auto"/>
            </w:tcBorders>
            <w:shd w:val="clear" w:color="auto" w:fill="auto"/>
            <w:noWrap/>
            <w:vAlign w:val="center"/>
            <w:hideMark/>
          </w:tcPr>
          <w:p w14:paraId="411F11FA"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60080787"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36AFC1FA"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9</w:t>
            </w:r>
          </w:p>
        </w:tc>
        <w:tc>
          <w:tcPr>
            <w:tcW w:w="4253" w:type="pct"/>
            <w:tcBorders>
              <w:top w:val="nil"/>
              <w:left w:val="nil"/>
              <w:bottom w:val="single" w:sz="8" w:space="0" w:color="auto"/>
              <w:right w:val="single" w:sz="8" w:space="0" w:color="auto"/>
            </w:tcBorders>
            <w:shd w:val="clear" w:color="auto" w:fill="auto"/>
            <w:noWrap/>
            <w:vAlign w:val="center"/>
            <w:hideMark/>
          </w:tcPr>
          <w:p w14:paraId="0FB162B9"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EDOS-PEM, PP 150415, Školenie VO 15.4.2015</w:t>
            </w:r>
          </w:p>
        </w:tc>
        <w:tc>
          <w:tcPr>
            <w:tcW w:w="519" w:type="pct"/>
            <w:tcBorders>
              <w:top w:val="nil"/>
              <w:left w:val="nil"/>
              <w:bottom w:val="single" w:sz="8" w:space="0" w:color="auto"/>
              <w:right w:val="single" w:sz="8" w:space="0" w:color="auto"/>
            </w:tcBorders>
            <w:shd w:val="clear" w:color="auto" w:fill="auto"/>
            <w:noWrap/>
            <w:vAlign w:val="center"/>
            <w:hideMark/>
          </w:tcPr>
          <w:p w14:paraId="232510F3"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7</w:t>
            </w:r>
          </w:p>
        </w:tc>
      </w:tr>
      <w:tr w:rsidR="00903D61" w:rsidRPr="007D7B08" w14:paraId="50377733"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2F15AA4C"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10</w:t>
            </w:r>
          </w:p>
        </w:tc>
        <w:tc>
          <w:tcPr>
            <w:tcW w:w="4253" w:type="pct"/>
            <w:tcBorders>
              <w:top w:val="nil"/>
              <w:left w:val="nil"/>
              <w:bottom w:val="single" w:sz="8" w:space="0" w:color="auto"/>
              <w:right w:val="single" w:sz="8" w:space="0" w:color="auto"/>
            </w:tcBorders>
            <w:shd w:val="clear" w:color="auto" w:fill="auto"/>
            <w:noWrap/>
            <w:vAlign w:val="center"/>
            <w:hideMark/>
          </w:tcPr>
          <w:p w14:paraId="6D3300CB"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APUeN SK, FA č.201503050, Konferencie VO 2015, 25.-26.3.2015</w:t>
            </w:r>
          </w:p>
        </w:tc>
        <w:tc>
          <w:tcPr>
            <w:tcW w:w="519" w:type="pct"/>
            <w:tcBorders>
              <w:top w:val="nil"/>
              <w:left w:val="nil"/>
              <w:bottom w:val="single" w:sz="8" w:space="0" w:color="auto"/>
              <w:right w:val="single" w:sz="8" w:space="0" w:color="auto"/>
            </w:tcBorders>
            <w:shd w:val="clear" w:color="auto" w:fill="auto"/>
            <w:noWrap/>
            <w:vAlign w:val="center"/>
            <w:hideMark/>
          </w:tcPr>
          <w:p w14:paraId="58B26E1F"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4</w:t>
            </w:r>
          </w:p>
        </w:tc>
      </w:tr>
      <w:tr w:rsidR="00903D61" w:rsidRPr="007D7B08" w14:paraId="4792CD20"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7AE4B47E"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11</w:t>
            </w:r>
          </w:p>
        </w:tc>
        <w:tc>
          <w:tcPr>
            <w:tcW w:w="4253" w:type="pct"/>
            <w:tcBorders>
              <w:top w:val="nil"/>
              <w:left w:val="nil"/>
              <w:bottom w:val="single" w:sz="8" w:space="0" w:color="auto"/>
              <w:right w:val="single" w:sz="8" w:space="0" w:color="auto"/>
            </w:tcBorders>
            <w:shd w:val="clear" w:color="auto" w:fill="auto"/>
            <w:noWrap/>
            <w:vAlign w:val="center"/>
            <w:hideMark/>
          </w:tcPr>
          <w:p w14:paraId="32ED453A"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 xml:space="preserve">EIPA Barcelona, 1566601 AUDIT, </w:t>
            </w:r>
          </w:p>
        </w:tc>
        <w:tc>
          <w:tcPr>
            <w:tcW w:w="519" w:type="pct"/>
            <w:tcBorders>
              <w:top w:val="nil"/>
              <w:left w:val="nil"/>
              <w:bottom w:val="single" w:sz="8" w:space="0" w:color="auto"/>
              <w:right w:val="single" w:sz="8" w:space="0" w:color="auto"/>
            </w:tcBorders>
            <w:shd w:val="clear" w:color="auto" w:fill="auto"/>
            <w:noWrap/>
            <w:vAlign w:val="center"/>
            <w:hideMark/>
          </w:tcPr>
          <w:p w14:paraId="53859ADC"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w:t>
            </w:r>
          </w:p>
        </w:tc>
      </w:tr>
      <w:tr w:rsidR="00903D61" w:rsidRPr="007D7B08" w14:paraId="7A52BF05"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65D43158"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12</w:t>
            </w:r>
          </w:p>
        </w:tc>
        <w:tc>
          <w:tcPr>
            <w:tcW w:w="4253" w:type="pct"/>
            <w:tcBorders>
              <w:top w:val="nil"/>
              <w:left w:val="nil"/>
              <w:bottom w:val="single" w:sz="8" w:space="0" w:color="auto"/>
              <w:right w:val="single" w:sz="8" w:space="0" w:color="auto"/>
            </w:tcBorders>
            <w:shd w:val="clear" w:color="auto" w:fill="auto"/>
            <w:noWrap/>
            <w:vAlign w:val="center"/>
            <w:hideMark/>
          </w:tcPr>
          <w:p w14:paraId="1875EC51"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Potifob, FA č. MŽP/01/2015, Školenie Prince2Foundation</w:t>
            </w:r>
          </w:p>
        </w:tc>
        <w:tc>
          <w:tcPr>
            <w:tcW w:w="519" w:type="pct"/>
            <w:tcBorders>
              <w:top w:val="nil"/>
              <w:left w:val="nil"/>
              <w:bottom w:val="single" w:sz="8" w:space="0" w:color="auto"/>
              <w:right w:val="single" w:sz="8" w:space="0" w:color="auto"/>
            </w:tcBorders>
            <w:shd w:val="clear" w:color="auto" w:fill="auto"/>
            <w:noWrap/>
            <w:vAlign w:val="center"/>
            <w:hideMark/>
          </w:tcPr>
          <w:p w14:paraId="7EF78FC0"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30</w:t>
            </w:r>
          </w:p>
        </w:tc>
      </w:tr>
      <w:tr w:rsidR="00903D61" w:rsidRPr="007D7B08" w14:paraId="45F208AE"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53770FD6"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13</w:t>
            </w:r>
          </w:p>
        </w:tc>
        <w:tc>
          <w:tcPr>
            <w:tcW w:w="4253" w:type="pct"/>
            <w:tcBorders>
              <w:top w:val="nil"/>
              <w:left w:val="nil"/>
              <w:bottom w:val="single" w:sz="8" w:space="0" w:color="auto"/>
              <w:right w:val="single" w:sz="8" w:space="0" w:color="auto"/>
            </w:tcBorders>
            <w:shd w:val="clear" w:color="auto" w:fill="auto"/>
            <w:noWrap/>
            <w:vAlign w:val="center"/>
            <w:hideMark/>
          </w:tcPr>
          <w:p w14:paraId="19A769AC"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Školenie VO na UVO (Kontrola nadlimit a podlimit VO)</w:t>
            </w:r>
          </w:p>
        </w:tc>
        <w:tc>
          <w:tcPr>
            <w:tcW w:w="519" w:type="pct"/>
            <w:tcBorders>
              <w:top w:val="nil"/>
              <w:left w:val="nil"/>
              <w:bottom w:val="single" w:sz="8" w:space="0" w:color="auto"/>
              <w:right w:val="single" w:sz="8" w:space="0" w:color="auto"/>
            </w:tcBorders>
            <w:shd w:val="clear" w:color="auto" w:fill="auto"/>
            <w:noWrap/>
            <w:vAlign w:val="center"/>
            <w:hideMark/>
          </w:tcPr>
          <w:p w14:paraId="468DB8A9"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316F4B87"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7143DA84"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14</w:t>
            </w:r>
          </w:p>
        </w:tc>
        <w:tc>
          <w:tcPr>
            <w:tcW w:w="4253" w:type="pct"/>
            <w:tcBorders>
              <w:top w:val="nil"/>
              <w:left w:val="nil"/>
              <w:bottom w:val="single" w:sz="8" w:space="0" w:color="auto"/>
              <w:right w:val="single" w:sz="8" w:space="0" w:color="auto"/>
            </w:tcBorders>
            <w:shd w:val="clear" w:color="auto" w:fill="auto"/>
            <w:noWrap/>
            <w:vAlign w:val="center"/>
            <w:hideMark/>
          </w:tcPr>
          <w:p w14:paraId="5322FBF4"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 xml:space="preserve">Školenie Elektronické aukcie na UVO </w:t>
            </w:r>
          </w:p>
        </w:tc>
        <w:tc>
          <w:tcPr>
            <w:tcW w:w="519" w:type="pct"/>
            <w:tcBorders>
              <w:top w:val="nil"/>
              <w:left w:val="nil"/>
              <w:bottom w:val="single" w:sz="8" w:space="0" w:color="auto"/>
              <w:right w:val="single" w:sz="8" w:space="0" w:color="auto"/>
            </w:tcBorders>
            <w:shd w:val="clear" w:color="auto" w:fill="auto"/>
            <w:noWrap/>
            <w:vAlign w:val="center"/>
            <w:hideMark/>
          </w:tcPr>
          <w:p w14:paraId="00289F2E"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w:t>
            </w:r>
          </w:p>
        </w:tc>
      </w:tr>
      <w:tr w:rsidR="00903D61" w:rsidRPr="007D7B08" w14:paraId="136DA7C7"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15B14D25"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15</w:t>
            </w:r>
          </w:p>
        </w:tc>
        <w:tc>
          <w:tcPr>
            <w:tcW w:w="4253" w:type="pct"/>
            <w:tcBorders>
              <w:top w:val="nil"/>
              <w:left w:val="nil"/>
              <w:bottom w:val="single" w:sz="8" w:space="0" w:color="auto"/>
              <w:right w:val="single" w:sz="8" w:space="0" w:color="auto"/>
            </w:tcBorders>
            <w:shd w:val="clear" w:color="auto" w:fill="auto"/>
            <w:noWrap/>
            <w:vAlign w:val="center"/>
            <w:hideMark/>
          </w:tcPr>
          <w:p w14:paraId="4DE930CC"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Skolenie EIPA (Maastricht 29.-30.9.2015) / 177/15</w:t>
            </w:r>
          </w:p>
        </w:tc>
        <w:tc>
          <w:tcPr>
            <w:tcW w:w="519" w:type="pct"/>
            <w:tcBorders>
              <w:top w:val="nil"/>
              <w:left w:val="nil"/>
              <w:bottom w:val="single" w:sz="8" w:space="0" w:color="auto"/>
              <w:right w:val="single" w:sz="8" w:space="0" w:color="auto"/>
            </w:tcBorders>
            <w:shd w:val="clear" w:color="auto" w:fill="auto"/>
            <w:noWrap/>
            <w:vAlign w:val="center"/>
            <w:hideMark/>
          </w:tcPr>
          <w:p w14:paraId="0601F055"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696C1F85"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70CA27ED"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16</w:t>
            </w:r>
          </w:p>
        </w:tc>
        <w:tc>
          <w:tcPr>
            <w:tcW w:w="4253" w:type="pct"/>
            <w:tcBorders>
              <w:top w:val="nil"/>
              <w:left w:val="nil"/>
              <w:bottom w:val="single" w:sz="8" w:space="0" w:color="auto"/>
              <w:right w:val="single" w:sz="8" w:space="0" w:color="auto"/>
            </w:tcBorders>
            <w:shd w:val="clear" w:color="auto" w:fill="auto"/>
            <w:noWrap/>
            <w:vAlign w:val="center"/>
            <w:hideMark/>
          </w:tcPr>
          <w:p w14:paraId="166A9680"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Školenie Excel FA č.20154013 IT Academy</w:t>
            </w:r>
          </w:p>
        </w:tc>
        <w:tc>
          <w:tcPr>
            <w:tcW w:w="519" w:type="pct"/>
            <w:tcBorders>
              <w:top w:val="nil"/>
              <w:left w:val="nil"/>
              <w:bottom w:val="single" w:sz="8" w:space="0" w:color="auto"/>
              <w:right w:val="single" w:sz="8" w:space="0" w:color="auto"/>
            </w:tcBorders>
            <w:shd w:val="clear" w:color="auto" w:fill="auto"/>
            <w:noWrap/>
            <w:vAlign w:val="center"/>
            <w:hideMark/>
          </w:tcPr>
          <w:p w14:paraId="121C7974"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14</w:t>
            </w:r>
          </w:p>
        </w:tc>
      </w:tr>
      <w:tr w:rsidR="00903D61" w:rsidRPr="007D7B08" w14:paraId="55D943A4"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74021CFC"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17</w:t>
            </w:r>
          </w:p>
        </w:tc>
        <w:tc>
          <w:tcPr>
            <w:tcW w:w="4253" w:type="pct"/>
            <w:tcBorders>
              <w:top w:val="nil"/>
              <w:left w:val="nil"/>
              <w:bottom w:val="single" w:sz="8" w:space="0" w:color="auto"/>
              <w:right w:val="single" w:sz="8" w:space="0" w:color="auto"/>
            </w:tcBorders>
            <w:shd w:val="clear" w:color="auto" w:fill="auto"/>
            <w:noWrap/>
            <w:vAlign w:val="center"/>
            <w:hideMark/>
          </w:tcPr>
          <w:p w14:paraId="101EF06D"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 xml:space="preserve">Angličtina </w:t>
            </w:r>
          </w:p>
        </w:tc>
        <w:tc>
          <w:tcPr>
            <w:tcW w:w="519" w:type="pct"/>
            <w:tcBorders>
              <w:top w:val="nil"/>
              <w:left w:val="nil"/>
              <w:bottom w:val="single" w:sz="8" w:space="0" w:color="auto"/>
              <w:right w:val="single" w:sz="8" w:space="0" w:color="auto"/>
            </w:tcBorders>
            <w:shd w:val="clear" w:color="auto" w:fill="auto"/>
            <w:noWrap/>
            <w:vAlign w:val="center"/>
            <w:hideMark/>
          </w:tcPr>
          <w:p w14:paraId="0DFA4943"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5</w:t>
            </w:r>
          </w:p>
        </w:tc>
      </w:tr>
      <w:tr w:rsidR="00903D61" w:rsidRPr="007D7B08" w14:paraId="441F3363"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0B04BC2E"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18</w:t>
            </w:r>
          </w:p>
        </w:tc>
        <w:tc>
          <w:tcPr>
            <w:tcW w:w="4253" w:type="pct"/>
            <w:tcBorders>
              <w:top w:val="nil"/>
              <w:left w:val="nil"/>
              <w:bottom w:val="single" w:sz="8" w:space="0" w:color="auto"/>
              <w:right w:val="single" w:sz="8" w:space="0" w:color="auto"/>
            </w:tcBorders>
            <w:shd w:val="clear" w:color="auto" w:fill="auto"/>
            <w:noWrap/>
            <w:vAlign w:val="center"/>
            <w:hideMark/>
          </w:tcPr>
          <w:p w14:paraId="4FB3DCC5"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Skolenie Excel Faktúra č. 20154146, IT Academy s.r.o.</w:t>
            </w:r>
          </w:p>
        </w:tc>
        <w:tc>
          <w:tcPr>
            <w:tcW w:w="519" w:type="pct"/>
            <w:tcBorders>
              <w:top w:val="nil"/>
              <w:left w:val="nil"/>
              <w:bottom w:val="single" w:sz="8" w:space="0" w:color="auto"/>
              <w:right w:val="single" w:sz="8" w:space="0" w:color="auto"/>
            </w:tcBorders>
            <w:shd w:val="clear" w:color="auto" w:fill="auto"/>
            <w:noWrap/>
            <w:vAlign w:val="center"/>
            <w:hideMark/>
          </w:tcPr>
          <w:p w14:paraId="422943EA"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29</w:t>
            </w:r>
          </w:p>
        </w:tc>
      </w:tr>
      <w:tr w:rsidR="00903D61" w:rsidRPr="007D7B08" w14:paraId="51B501A4"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7C032C76"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19</w:t>
            </w:r>
          </w:p>
        </w:tc>
        <w:tc>
          <w:tcPr>
            <w:tcW w:w="4253" w:type="pct"/>
            <w:tcBorders>
              <w:top w:val="nil"/>
              <w:left w:val="nil"/>
              <w:bottom w:val="single" w:sz="8" w:space="0" w:color="auto"/>
              <w:right w:val="single" w:sz="8" w:space="0" w:color="auto"/>
            </w:tcBorders>
            <w:shd w:val="clear" w:color="auto" w:fill="auto"/>
            <w:noWrap/>
            <w:vAlign w:val="center"/>
            <w:hideMark/>
          </w:tcPr>
          <w:p w14:paraId="20CDA05B"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Skolenie Zameranie na kľúčové riziká  a ich zmiernenie ETCP (Brusel 7.- 8.12.2015) FA 2015/FR104</w:t>
            </w:r>
          </w:p>
        </w:tc>
        <w:tc>
          <w:tcPr>
            <w:tcW w:w="519" w:type="pct"/>
            <w:tcBorders>
              <w:top w:val="nil"/>
              <w:left w:val="nil"/>
              <w:bottom w:val="single" w:sz="8" w:space="0" w:color="auto"/>
              <w:right w:val="single" w:sz="8" w:space="0" w:color="auto"/>
            </w:tcBorders>
            <w:shd w:val="clear" w:color="auto" w:fill="auto"/>
            <w:noWrap/>
            <w:vAlign w:val="center"/>
            <w:hideMark/>
          </w:tcPr>
          <w:p w14:paraId="0B8D95B5"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72AA06EA"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280CD5F5"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20</w:t>
            </w:r>
          </w:p>
        </w:tc>
        <w:tc>
          <w:tcPr>
            <w:tcW w:w="4253" w:type="pct"/>
            <w:tcBorders>
              <w:top w:val="nil"/>
              <w:left w:val="nil"/>
              <w:bottom w:val="single" w:sz="8" w:space="0" w:color="auto"/>
              <w:right w:val="single" w:sz="8" w:space="0" w:color="auto"/>
            </w:tcBorders>
            <w:shd w:val="clear" w:color="auto" w:fill="auto"/>
            <w:noWrap/>
            <w:vAlign w:val="center"/>
            <w:hideMark/>
          </w:tcPr>
          <w:p w14:paraId="0F78E8A1"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Ako úspešne ukončiť VO v r.2015 a ako začať obstarávať v r.2016,</w:t>
            </w:r>
          </w:p>
        </w:tc>
        <w:tc>
          <w:tcPr>
            <w:tcW w:w="519" w:type="pct"/>
            <w:tcBorders>
              <w:top w:val="nil"/>
              <w:left w:val="nil"/>
              <w:bottom w:val="single" w:sz="8" w:space="0" w:color="auto"/>
              <w:right w:val="single" w:sz="8" w:space="0" w:color="auto"/>
            </w:tcBorders>
            <w:shd w:val="clear" w:color="auto" w:fill="auto"/>
            <w:noWrap/>
            <w:vAlign w:val="center"/>
            <w:hideMark/>
          </w:tcPr>
          <w:p w14:paraId="2C812D0D"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03AB1D1B"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7FD82BE0"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21</w:t>
            </w:r>
          </w:p>
        </w:tc>
        <w:tc>
          <w:tcPr>
            <w:tcW w:w="4253" w:type="pct"/>
            <w:tcBorders>
              <w:top w:val="nil"/>
              <w:left w:val="nil"/>
              <w:bottom w:val="single" w:sz="8" w:space="0" w:color="auto"/>
              <w:right w:val="single" w:sz="8" w:space="0" w:color="auto"/>
            </w:tcBorders>
            <w:shd w:val="clear" w:color="auto" w:fill="auto"/>
            <w:noWrap/>
            <w:vAlign w:val="center"/>
            <w:hideMark/>
          </w:tcPr>
          <w:p w14:paraId="23182DBB"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Systém riadenia EŠIF</w:t>
            </w:r>
          </w:p>
        </w:tc>
        <w:tc>
          <w:tcPr>
            <w:tcW w:w="519" w:type="pct"/>
            <w:tcBorders>
              <w:top w:val="nil"/>
              <w:left w:val="nil"/>
              <w:bottom w:val="single" w:sz="8" w:space="0" w:color="auto"/>
              <w:right w:val="single" w:sz="8" w:space="0" w:color="auto"/>
            </w:tcBorders>
            <w:shd w:val="clear" w:color="auto" w:fill="auto"/>
            <w:noWrap/>
            <w:vAlign w:val="center"/>
            <w:hideMark/>
          </w:tcPr>
          <w:p w14:paraId="719F346D"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17</w:t>
            </w:r>
          </w:p>
        </w:tc>
      </w:tr>
      <w:tr w:rsidR="00903D61" w:rsidRPr="007D7B08" w14:paraId="70DDC3BC"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568850AD"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22</w:t>
            </w:r>
          </w:p>
        </w:tc>
        <w:tc>
          <w:tcPr>
            <w:tcW w:w="4253" w:type="pct"/>
            <w:tcBorders>
              <w:top w:val="nil"/>
              <w:left w:val="nil"/>
              <w:bottom w:val="single" w:sz="8" w:space="0" w:color="auto"/>
              <w:right w:val="single" w:sz="8" w:space="0" w:color="auto"/>
            </w:tcBorders>
            <w:shd w:val="clear" w:color="auto" w:fill="auto"/>
            <w:noWrap/>
            <w:vAlign w:val="center"/>
            <w:hideMark/>
          </w:tcPr>
          <w:p w14:paraId="468BDBB5"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Správna evidencia nezrovnalostí v ITMS, riešenie nezrovnalostí v rámci auditov operácií a systémových auditov</w:t>
            </w:r>
          </w:p>
        </w:tc>
        <w:tc>
          <w:tcPr>
            <w:tcW w:w="519" w:type="pct"/>
            <w:tcBorders>
              <w:top w:val="nil"/>
              <w:left w:val="nil"/>
              <w:bottom w:val="single" w:sz="8" w:space="0" w:color="auto"/>
              <w:right w:val="single" w:sz="8" w:space="0" w:color="auto"/>
            </w:tcBorders>
            <w:shd w:val="clear" w:color="auto" w:fill="auto"/>
            <w:noWrap/>
            <w:vAlign w:val="center"/>
            <w:hideMark/>
          </w:tcPr>
          <w:p w14:paraId="7E7886F1"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w:t>
            </w:r>
          </w:p>
        </w:tc>
      </w:tr>
      <w:tr w:rsidR="00903D61" w:rsidRPr="007D7B08" w14:paraId="1C0EB3AD"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06AAEAA0"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23</w:t>
            </w:r>
          </w:p>
        </w:tc>
        <w:tc>
          <w:tcPr>
            <w:tcW w:w="4253" w:type="pct"/>
            <w:tcBorders>
              <w:top w:val="nil"/>
              <w:left w:val="nil"/>
              <w:bottom w:val="single" w:sz="8" w:space="0" w:color="auto"/>
              <w:right w:val="single" w:sz="8" w:space="0" w:color="auto"/>
            </w:tcBorders>
            <w:shd w:val="clear" w:color="auto" w:fill="auto"/>
            <w:noWrap/>
            <w:vAlign w:val="center"/>
            <w:hideMark/>
          </w:tcPr>
          <w:p w14:paraId="65F7C22E"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Základy práva EÚ</w:t>
            </w:r>
          </w:p>
        </w:tc>
        <w:tc>
          <w:tcPr>
            <w:tcW w:w="519" w:type="pct"/>
            <w:tcBorders>
              <w:top w:val="nil"/>
              <w:left w:val="nil"/>
              <w:bottom w:val="single" w:sz="8" w:space="0" w:color="auto"/>
              <w:right w:val="single" w:sz="8" w:space="0" w:color="auto"/>
            </w:tcBorders>
            <w:shd w:val="clear" w:color="auto" w:fill="auto"/>
            <w:noWrap/>
            <w:vAlign w:val="center"/>
            <w:hideMark/>
          </w:tcPr>
          <w:p w14:paraId="6CE1588B"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8</w:t>
            </w:r>
          </w:p>
        </w:tc>
      </w:tr>
      <w:tr w:rsidR="00903D61" w:rsidRPr="007D7B08" w14:paraId="1218C4CC"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7B0FABF7"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24</w:t>
            </w:r>
          </w:p>
        </w:tc>
        <w:tc>
          <w:tcPr>
            <w:tcW w:w="4253" w:type="pct"/>
            <w:tcBorders>
              <w:top w:val="nil"/>
              <w:left w:val="nil"/>
              <w:bottom w:val="single" w:sz="8" w:space="0" w:color="auto"/>
              <w:right w:val="single" w:sz="8" w:space="0" w:color="auto"/>
            </w:tcBorders>
            <w:shd w:val="clear" w:color="auto" w:fill="auto"/>
            <w:noWrap/>
            <w:vAlign w:val="center"/>
            <w:hideMark/>
          </w:tcPr>
          <w:p w14:paraId="234524CF"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Anglický jazyk - MŽP SR</w:t>
            </w:r>
          </w:p>
        </w:tc>
        <w:tc>
          <w:tcPr>
            <w:tcW w:w="519" w:type="pct"/>
            <w:tcBorders>
              <w:top w:val="nil"/>
              <w:left w:val="nil"/>
              <w:bottom w:val="single" w:sz="8" w:space="0" w:color="auto"/>
              <w:right w:val="single" w:sz="8" w:space="0" w:color="auto"/>
            </w:tcBorders>
            <w:shd w:val="clear" w:color="auto" w:fill="auto"/>
            <w:noWrap/>
            <w:vAlign w:val="center"/>
            <w:hideMark/>
          </w:tcPr>
          <w:p w14:paraId="2EA1D944"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12</w:t>
            </w:r>
          </w:p>
        </w:tc>
      </w:tr>
      <w:tr w:rsidR="00903D61" w:rsidRPr="007D7B08" w14:paraId="69276572"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5B427756"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25</w:t>
            </w:r>
          </w:p>
        </w:tc>
        <w:tc>
          <w:tcPr>
            <w:tcW w:w="4253" w:type="pct"/>
            <w:tcBorders>
              <w:top w:val="nil"/>
              <w:left w:val="nil"/>
              <w:bottom w:val="single" w:sz="8" w:space="0" w:color="auto"/>
              <w:right w:val="single" w:sz="8" w:space="0" w:color="auto"/>
            </w:tcBorders>
            <w:shd w:val="clear" w:color="auto" w:fill="auto"/>
            <w:noWrap/>
            <w:vAlign w:val="center"/>
            <w:hideMark/>
          </w:tcPr>
          <w:p w14:paraId="1FE9050C"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Diplomatický protokol</w:t>
            </w:r>
          </w:p>
        </w:tc>
        <w:tc>
          <w:tcPr>
            <w:tcW w:w="519" w:type="pct"/>
            <w:tcBorders>
              <w:top w:val="nil"/>
              <w:left w:val="nil"/>
              <w:bottom w:val="single" w:sz="8" w:space="0" w:color="auto"/>
              <w:right w:val="single" w:sz="8" w:space="0" w:color="auto"/>
            </w:tcBorders>
            <w:shd w:val="clear" w:color="auto" w:fill="auto"/>
            <w:noWrap/>
            <w:vAlign w:val="center"/>
            <w:hideMark/>
          </w:tcPr>
          <w:p w14:paraId="497358ED"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4</w:t>
            </w:r>
          </w:p>
        </w:tc>
      </w:tr>
      <w:tr w:rsidR="00903D61" w:rsidRPr="007D7B08" w14:paraId="5F132D04"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276BAF17"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26</w:t>
            </w:r>
          </w:p>
        </w:tc>
        <w:tc>
          <w:tcPr>
            <w:tcW w:w="4253" w:type="pct"/>
            <w:tcBorders>
              <w:top w:val="nil"/>
              <w:left w:val="nil"/>
              <w:bottom w:val="single" w:sz="8" w:space="0" w:color="auto"/>
              <w:right w:val="single" w:sz="8" w:space="0" w:color="auto"/>
            </w:tcBorders>
            <w:shd w:val="clear" w:color="auto" w:fill="auto"/>
            <w:noWrap/>
            <w:vAlign w:val="center"/>
            <w:hideMark/>
          </w:tcPr>
          <w:p w14:paraId="6928D5AD"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Efektívna komunikácia</w:t>
            </w:r>
          </w:p>
        </w:tc>
        <w:tc>
          <w:tcPr>
            <w:tcW w:w="519" w:type="pct"/>
            <w:tcBorders>
              <w:top w:val="nil"/>
              <w:left w:val="nil"/>
              <w:bottom w:val="single" w:sz="8" w:space="0" w:color="auto"/>
              <w:right w:val="single" w:sz="8" w:space="0" w:color="auto"/>
            </w:tcBorders>
            <w:shd w:val="clear" w:color="auto" w:fill="auto"/>
            <w:noWrap/>
            <w:vAlign w:val="center"/>
            <w:hideMark/>
          </w:tcPr>
          <w:p w14:paraId="5E9A4342"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w:t>
            </w:r>
          </w:p>
        </w:tc>
      </w:tr>
      <w:tr w:rsidR="00903D61" w:rsidRPr="007D7B08" w14:paraId="63D82083"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7DB2DDD2"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27</w:t>
            </w:r>
          </w:p>
        </w:tc>
        <w:tc>
          <w:tcPr>
            <w:tcW w:w="4253" w:type="pct"/>
            <w:tcBorders>
              <w:top w:val="nil"/>
              <w:left w:val="nil"/>
              <w:bottom w:val="single" w:sz="8" w:space="0" w:color="auto"/>
              <w:right w:val="single" w:sz="8" w:space="0" w:color="auto"/>
            </w:tcBorders>
            <w:shd w:val="clear" w:color="auto" w:fill="auto"/>
            <w:noWrap/>
            <w:vAlign w:val="center"/>
            <w:hideMark/>
          </w:tcPr>
          <w:p w14:paraId="51F4CCA8"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Kontrola a audit v rámci implementácie finančnej pomoci EÚ v podmienkach SR</w:t>
            </w:r>
          </w:p>
        </w:tc>
        <w:tc>
          <w:tcPr>
            <w:tcW w:w="519" w:type="pct"/>
            <w:tcBorders>
              <w:top w:val="nil"/>
              <w:left w:val="nil"/>
              <w:bottom w:val="single" w:sz="8" w:space="0" w:color="auto"/>
              <w:right w:val="single" w:sz="8" w:space="0" w:color="auto"/>
            </w:tcBorders>
            <w:shd w:val="clear" w:color="auto" w:fill="auto"/>
            <w:noWrap/>
            <w:vAlign w:val="center"/>
            <w:hideMark/>
          </w:tcPr>
          <w:p w14:paraId="375C1D2D"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1B7A2491"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75642145"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28</w:t>
            </w:r>
          </w:p>
        </w:tc>
        <w:tc>
          <w:tcPr>
            <w:tcW w:w="4253" w:type="pct"/>
            <w:tcBorders>
              <w:top w:val="nil"/>
              <w:left w:val="nil"/>
              <w:bottom w:val="single" w:sz="8" w:space="0" w:color="auto"/>
              <w:right w:val="single" w:sz="8" w:space="0" w:color="auto"/>
            </w:tcBorders>
            <w:shd w:val="clear" w:color="auto" w:fill="auto"/>
            <w:noWrap/>
            <w:vAlign w:val="center"/>
            <w:hideMark/>
          </w:tcPr>
          <w:p w14:paraId="1D5D528C"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Moderné stratégie regionálneho ekonomického rozvoja</w:t>
            </w:r>
          </w:p>
        </w:tc>
        <w:tc>
          <w:tcPr>
            <w:tcW w:w="519" w:type="pct"/>
            <w:tcBorders>
              <w:top w:val="nil"/>
              <w:left w:val="nil"/>
              <w:bottom w:val="single" w:sz="8" w:space="0" w:color="auto"/>
              <w:right w:val="single" w:sz="8" w:space="0" w:color="auto"/>
            </w:tcBorders>
            <w:shd w:val="clear" w:color="auto" w:fill="auto"/>
            <w:noWrap/>
            <w:vAlign w:val="center"/>
            <w:hideMark/>
          </w:tcPr>
          <w:p w14:paraId="20348FB7"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w:t>
            </w:r>
          </w:p>
        </w:tc>
      </w:tr>
      <w:tr w:rsidR="00903D61" w:rsidRPr="007D7B08" w14:paraId="13640F6F"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37D99449"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29</w:t>
            </w:r>
          </w:p>
        </w:tc>
        <w:tc>
          <w:tcPr>
            <w:tcW w:w="4253" w:type="pct"/>
            <w:tcBorders>
              <w:top w:val="nil"/>
              <w:left w:val="nil"/>
              <w:bottom w:val="single" w:sz="8" w:space="0" w:color="auto"/>
              <w:right w:val="single" w:sz="8" w:space="0" w:color="auto"/>
            </w:tcBorders>
            <w:shd w:val="clear" w:color="auto" w:fill="auto"/>
            <w:noWrap/>
            <w:vAlign w:val="center"/>
            <w:hideMark/>
          </w:tcPr>
          <w:p w14:paraId="311A848B"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Nový zákon o finančnej kontrole a audite a o zmene a doplnení niektorých zákonov</w:t>
            </w:r>
          </w:p>
        </w:tc>
        <w:tc>
          <w:tcPr>
            <w:tcW w:w="519" w:type="pct"/>
            <w:tcBorders>
              <w:top w:val="nil"/>
              <w:left w:val="nil"/>
              <w:bottom w:val="single" w:sz="8" w:space="0" w:color="auto"/>
              <w:right w:val="single" w:sz="8" w:space="0" w:color="auto"/>
            </w:tcBorders>
            <w:shd w:val="clear" w:color="auto" w:fill="auto"/>
            <w:noWrap/>
            <w:vAlign w:val="center"/>
            <w:hideMark/>
          </w:tcPr>
          <w:p w14:paraId="615BA209"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9</w:t>
            </w:r>
          </w:p>
        </w:tc>
      </w:tr>
      <w:tr w:rsidR="00903D61" w:rsidRPr="007D7B08" w14:paraId="5543667F"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00B0D8D7"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30</w:t>
            </w:r>
          </w:p>
        </w:tc>
        <w:tc>
          <w:tcPr>
            <w:tcW w:w="4253" w:type="pct"/>
            <w:tcBorders>
              <w:top w:val="nil"/>
              <w:left w:val="nil"/>
              <w:bottom w:val="single" w:sz="8" w:space="0" w:color="auto"/>
              <w:right w:val="single" w:sz="8" w:space="0" w:color="auto"/>
            </w:tcBorders>
            <w:shd w:val="clear" w:color="auto" w:fill="auto"/>
            <w:noWrap/>
            <w:vAlign w:val="center"/>
            <w:hideMark/>
          </w:tcPr>
          <w:p w14:paraId="1B7B5679"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Nezrovnalosti, uplatňovanie a výpočet finanč.opráv a postupov vysporiadania</w:t>
            </w:r>
          </w:p>
        </w:tc>
        <w:tc>
          <w:tcPr>
            <w:tcW w:w="519" w:type="pct"/>
            <w:tcBorders>
              <w:top w:val="nil"/>
              <w:left w:val="nil"/>
              <w:bottom w:val="single" w:sz="8" w:space="0" w:color="auto"/>
              <w:right w:val="single" w:sz="8" w:space="0" w:color="auto"/>
            </w:tcBorders>
            <w:shd w:val="clear" w:color="auto" w:fill="auto"/>
            <w:noWrap/>
            <w:vAlign w:val="center"/>
            <w:hideMark/>
          </w:tcPr>
          <w:p w14:paraId="65B1136F"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w:t>
            </w:r>
          </w:p>
        </w:tc>
      </w:tr>
      <w:tr w:rsidR="00903D61" w:rsidRPr="007D7B08" w14:paraId="28CD71CF"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15BFFE24"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31</w:t>
            </w:r>
          </w:p>
        </w:tc>
        <w:tc>
          <w:tcPr>
            <w:tcW w:w="4253" w:type="pct"/>
            <w:tcBorders>
              <w:top w:val="nil"/>
              <w:left w:val="nil"/>
              <w:bottom w:val="single" w:sz="8" w:space="0" w:color="auto"/>
              <w:right w:val="single" w:sz="8" w:space="0" w:color="auto"/>
            </w:tcBorders>
            <w:shd w:val="clear" w:color="auto" w:fill="auto"/>
            <w:noWrap/>
            <w:vAlign w:val="center"/>
            <w:hideMark/>
          </w:tcPr>
          <w:p w14:paraId="0185630E"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Ukončovanie PO 2007-2013 a systém finanč.riadenia na PO 2014-2020</w:t>
            </w:r>
          </w:p>
        </w:tc>
        <w:tc>
          <w:tcPr>
            <w:tcW w:w="519" w:type="pct"/>
            <w:tcBorders>
              <w:top w:val="nil"/>
              <w:left w:val="nil"/>
              <w:bottom w:val="single" w:sz="8" w:space="0" w:color="auto"/>
              <w:right w:val="single" w:sz="8" w:space="0" w:color="auto"/>
            </w:tcBorders>
            <w:shd w:val="clear" w:color="auto" w:fill="auto"/>
            <w:noWrap/>
            <w:vAlign w:val="center"/>
            <w:hideMark/>
          </w:tcPr>
          <w:p w14:paraId="7535B77F"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10</w:t>
            </w:r>
          </w:p>
        </w:tc>
      </w:tr>
      <w:tr w:rsidR="00903D61" w:rsidRPr="007D7B08" w14:paraId="4E89FCA0"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6C93DC27"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32</w:t>
            </w:r>
          </w:p>
        </w:tc>
        <w:tc>
          <w:tcPr>
            <w:tcW w:w="4253" w:type="pct"/>
            <w:tcBorders>
              <w:top w:val="nil"/>
              <w:left w:val="nil"/>
              <w:bottom w:val="single" w:sz="8" w:space="0" w:color="auto"/>
              <w:right w:val="single" w:sz="8" w:space="0" w:color="auto"/>
            </w:tcBorders>
            <w:shd w:val="clear" w:color="auto" w:fill="auto"/>
            <w:noWrap/>
            <w:vAlign w:val="center"/>
            <w:hideMark/>
          </w:tcPr>
          <w:p w14:paraId="7F71A8B8"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Zákon č. 292/2014 o príspevku poskytovanom z EŠIF</w:t>
            </w:r>
          </w:p>
        </w:tc>
        <w:tc>
          <w:tcPr>
            <w:tcW w:w="519" w:type="pct"/>
            <w:tcBorders>
              <w:top w:val="nil"/>
              <w:left w:val="nil"/>
              <w:bottom w:val="single" w:sz="8" w:space="0" w:color="auto"/>
              <w:right w:val="single" w:sz="8" w:space="0" w:color="auto"/>
            </w:tcBorders>
            <w:shd w:val="clear" w:color="auto" w:fill="auto"/>
            <w:noWrap/>
            <w:vAlign w:val="center"/>
            <w:hideMark/>
          </w:tcPr>
          <w:p w14:paraId="4662920E"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35</w:t>
            </w:r>
          </w:p>
        </w:tc>
      </w:tr>
      <w:tr w:rsidR="00903D61" w:rsidRPr="007D7B08" w14:paraId="755BC9B5"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1EAD624A"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33</w:t>
            </w:r>
          </w:p>
        </w:tc>
        <w:tc>
          <w:tcPr>
            <w:tcW w:w="4253" w:type="pct"/>
            <w:tcBorders>
              <w:top w:val="nil"/>
              <w:left w:val="nil"/>
              <w:bottom w:val="single" w:sz="8" w:space="0" w:color="auto"/>
              <w:right w:val="single" w:sz="8" w:space="0" w:color="auto"/>
            </w:tcBorders>
            <w:shd w:val="clear" w:color="auto" w:fill="auto"/>
            <w:noWrap/>
            <w:vAlign w:val="center"/>
            <w:hideMark/>
          </w:tcPr>
          <w:p w14:paraId="7CA07464"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Zmluva o poskytovaní NFP</w:t>
            </w:r>
          </w:p>
        </w:tc>
        <w:tc>
          <w:tcPr>
            <w:tcW w:w="519" w:type="pct"/>
            <w:tcBorders>
              <w:top w:val="nil"/>
              <w:left w:val="nil"/>
              <w:bottom w:val="single" w:sz="8" w:space="0" w:color="auto"/>
              <w:right w:val="single" w:sz="8" w:space="0" w:color="auto"/>
            </w:tcBorders>
            <w:shd w:val="clear" w:color="auto" w:fill="auto"/>
            <w:noWrap/>
            <w:vAlign w:val="center"/>
            <w:hideMark/>
          </w:tcPr>
          <w:p w14:paraId="329E136B"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5</w:t>
            </w:r>
          </w:p>
        </w:tc>
      </w:tr>
      <w:tr w:rsidR="00903D61" w:rsidRPr="007D7B08" w14:paraId="5CB90A10"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5D561CCA"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34</w:t>
            </w:r>
          </w:p>
        </w:tc>
        <w:tc>
          <w:tcPr>
            <w:tcW w:w="4253" w:type="pct"/>
            <w:tcBorders>
              <w:top w:val="nil"/>
              <w:left w:val="nil"/>
              <w:bottom w:val="single" w:sz="8" w:space="0" w:color="auto"/>
              <w:right w:val="single" w:sz="8" w:space="0" w:color="auto"/>
            </w:tcBorders>
            <w:shd w:val="clear" w:color="auto" w:fill="auto"/>
            <w:noWrap/>
            <w:vAlign w:val="center"/>
            <w:hideMark/>
          </w:tcPr>
          <w:p w14:paraId="4B9B4AEC"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Zvládnutie ťažkých situácií</w:t>
            </w:r>
          </w:p>
        </w:tc>
        <w:tc>
          <w:tcPr>
            <w:tcW w:w="519" w:type="pct"/>
            <w:tcBorders>
              <w:top w:val="nil"/>
              <w:left w:val="nil"/>
              <w:bottom w:val="single" w:sz="8" w:space="0" w:color="auto"/>
              <w:right w:val="single" w:sz="8" w:space="0" w:color="auto"/>
            </w:tcBorders>
            <w:shd w:val="clear" w:color="auto" w:fill="auto"/>
            <w:noWrap/>
            <w:vAlign w:val="center"/>
            <w:hideMark/>
          </w:tcPr>
          <w:p w14:paraId="1F961BE6"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4F65B032"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41C3FAE7"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35</w:t>
            </w:r>
          </w:p>
        </w:tc>
        <w:tc>
          <w:tcPr>
            <w:tcW w:w="4253" w:type="pct"/>
            <w:tcBorders>
              <w:top w:val="nil"/>
              <w:left w:val="nil"/>
              <w:bottom w:val="single" w:sz="8" w:space="0" w:color="auto"/>
              <w:right w:val="single" w:sz="8" w:space="0" w:color="auto"/>
            </w:tcBorders>
            <w:shd w:val="clear" w:color="auto" w:fill="auto"/>
            <w:noWrap/>
            <w:vAlign w:val="center"/>
            <w:hideMark/>
          </w:tcPr>
          <w:p w14:paraId="167D49C3"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Zvýšenie kvality výkonu zamestnancov štátnej správy v oblasti agendy EÚ - príprava na predsedníctvo SR</w:t>
            </w:r>
          </w:p>
        </w:tc>
        <w:tc>
          <w:tcPr>
            <w:tcW w:w="519" w:type="pct"/>
            <w:tcBorders>
              <w:top w:val="nil"/>
              <w:left w:val="nil"/>
              <w:bottom w:val="single" w:sz="8" w:space="0" w:color="auto"/>
              <w:right w:val="single" w:sz="8" w:space="0" w:color="auto"/>
            </w:tcBorders>
            <w:shd w:val="clear" w:color="auto" w:fill="auto"/>
            <w:noWrap/>
            <w:vAlign w:val="center"/>
            <w:hideMark/>
          </w:tcPr>
          <w:p w14:paraId="5F836926"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1</w:t>
            </w:r>
          </w:p>
        </w:tc>
      </w:tr>
      <w:tr w:rsidR="00903D61" w:rsidRPr="007D7B08" w14:paraId="13C6DC32"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0B253C65"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lastRenderedPageBreak/>
              <w:t>36</w:t>
            </w:r>
          </w:p>
        </w:tc>
        <w:tc>
          <w:tcPr>
            <w:tcW w:w="4253" w:type="pct"/>
            <w:tcBorders>
              <w:top w:val="nil"/>
              <w:left w:val="nil"/>
              <w:bottom w:val="single" w:sz="8" w:space="0" w:color="auto"/>
              <w:right w:val="single" w:sz="8" w:space="0" w:color="auto"/>
            </w:tcBorders>
            <w:shd w:val="clear" w:color="auto" w:fill="auto"/>
            <w:noWrap/>
            <w:vAlign w:val="center"/>
            <w:hideMark/>
          </w:tcPr>
          <w:p w14:paraId="2E8A9415"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NAKA ochrana finančných záujmov EÚ v SR</w:t>
            </w:r>
          </w:p>
        </w:tc>
        <w:tc>
          <w:tcPr>
            <w:tcW w:w="519" w:type="pct"/>
            <w:tcBorders>
              <w:top w:val="nil"/>
              <w:left w:val="nil"/>
              <w:bottom w:val="single" w:sz="8" w:space="0" w:color="auto"/>
              <w:right w:val="single" w:sz="8" w:space="0" w:color="auto"/>
            </w:tcBorders>
            <w:shd w:val="clear" w:color="auto" w:fill="auto"/>
            <w:noWrap/>
            <w:vAlign w:val="center"/>
            <w:hideMark/>
          </w:tcPr>
          <w:p w14:paraId="155FB59C"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w:t>
            </w:r>
          </w:p>
        </w:tc>
      </w:tr>
      <w:tr w:rsidR="00903D61" w:rsidRPr="007D7B08" w14:paraId="7C39B18E"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4EFA1852"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37</w:t>
            </w:r>
          </w:p>
        </w:tc>
        <w:tc>
          <w:tcPr>
            <w:tcW w:w="4253" w:type="pct"/>
            <w:tcBorders>
              <w:top w:val="nil"/>
              <w:left w:val="nil"/>
              <w:bottom w:val="single" w:sz="8" w:space="0" w:color="auto"/>
              <w:right w:val="single" w:sz="8" w:space="0" w:color="auto"/>
            </w:tcBorders>
            <w:shd w:val="clear" w:color="auto" w:fill="auto"/>
            <w:noWrap/>
            <w:vAlign w:val="center"/>
            <w:hideMark/>
          </w:tcPr>
          <w:p w14:paraId="6B83D76E"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Politika súdržnosti EÚ v PO 2014-2020</w:t>
            </w:r>
          </w:p>
        </w:tc>
        <w:tc>
          <w:tcPr>
            <w:tcW w:w="519" w:type="pct"/>
            <w:tcBorders>
              <w:top w:val="nil"/>
              <w:left w:val="nil"/>
              <w:bottom w:val="single" w:sz="8" w:space="0" w:color="auto"/>
              <w:right w:val="single" w:sz="8" w:space="0" w:color="auto"/>
            </w:tcBorders>
            <w:shd w:val="clear" w:color="auto" w:fill="auto"/>
            <w:noWrap/>
            <w:vAlign w:val="center"/>
            <w:hideMark/>
          </w:tcPr>
          <w:p w14:paraId="3BEC8867"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4</w:t>
            </w:r>
          </w:p>
        </w:tc>
      </w:tr>
      <w:tr w:rsidR="00903D61" w:rsidRPr="007D7B08" w14:paraId="320FC4D7"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4C5D8221"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38</w:t>
            </w:r>
          </w:p>
        </w:tc>
        <w:tc>
          <w:tcPr>
            <w:tcW w:w="4253" w:type="pct"/>
            <w:tcBorders>
              <w:top w:val="nil"/>
              <w:left w:val="nil"/>
              <w:bottom w:val="single" w:sz="8" w:space="0" w:color="auto"/>
              <w:right w:val="single" w:sz="8" w:space="0" w:color="auto"/>
            </w:tcBorders>
            <w:shd w:val="clear" w:color="auto" w:fill="auto"/>
            <w:noWrap/>
            <w:vAlign w:val="center"/>
            <w:hideMark/>
          </w:tcPr>
          <w:p w14:paraId="3A561B68"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Rozpočtové pravidlá VS</w:t>
            </w:r>
          </w:p>
        </w:tc>
        <w:tc>
          <w:tcPr>
            <w:tcW w:w="519" w:type="pct"/>
            <w:tcBorders>
              <w:top w:val="nil"/>
              <w:left w:val="nil"/>
              <w:bottom w:val="single" w:sz="8" w:space="0" w:color="auto"/>
              <w:right w:val="single" w:sz="8" w:space="0" w:color="auto"/>
            </w:tcBorders>
            <w:shd w:val="clear" w:color="auto" w:fill="auto"/>
            <w:noWrap/>
            <w:vAlign w:val="center"/>
            <w:hideMark/>
          </w:tcPr>
          <w:p w14:paraId="14664272"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21</w:t>
            </w:r>
          </w:p>
        </w:tc>
      </w:tr>
      <w:tr w:rsidR="00903D61" w:rsidRPr="007D7B08" w14:paraId="3172066F"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21FF3324"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39</w:t>
            </w:r>
          </w:p>
        </w:tc>
        <w:tc>
          <w:tcPr>
            <w:tcW w:w="4253" w:type="pct"/>
            <w:tcBorders>
              <w:top w:val="nil"/>
              <w:left w:val="nil"/>
              <w:bottom w:val="single" w:sz="8" w:space="0" w:color="auto"/>
              <w:right w:val="single" w:sz="8" w:space="0" w:color="auto"/>
            </w:tcBorders>
            <w:shd w:val="clear" w:color="auto" w:fill="auto"/>
            <w:noWrap/>
            <w:vAlign w:val="center"/>
            <w:hideMark/>
          </w:tcPr>
          <w:p w14:paraId="5659A70C"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Stavebný zákon</w:t>
            </w:r>
          </w:p>
        </w:tc>
        <w:tc>
          <w:tcPr>
            <w:tcW w:w="519" w:type="pct"/>
            <w:tcBorders>
              <w:top w:val="nil"/>
              <w:left w:val="nil"/>
              <w:bottom w:val="single" w:sz="8" w:space="0" w:color="auto"/>
              <w:right w:val="single" w:sz="8" w:space="0" w:color="auto"/>
            </w:tcBorders>
            <w:shd w:val="clear" w:color="auto" w:fill="auto"/>
            <w:noWrap/>
            <w:vAlign w:val="center"/>
            <w:hideMark/>
          </w:tcPr>
          <w:p w14:paraId="486A4F53"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25</w:t>
            </w:r>
          </w:p>
        </w:tc>
      </w:tr>
      <w:tr w:rsidR="00903D61" w:rsidRPr="007D7B08" w14:paraId="0D1AEC6F" w14:textId="77777777" w:rsidTr="00653A2A">
        <w:trPr>
          <w:trHeight w:val="324"/>
          <w:jc w:val="center"/>
        </w:trPr>
        <w:tc>
          <w:tcPr>
            <w:tcW w:w="228" w:type="pct"/>
            <w:tcBorders>
              <w:top w:val="nil"/>
              <w:left w:val="single" w:sz="8" w:space="0" w:color="auto"/>
              <w:bottom w:val="single" w:sz="8" w:space="0" w:color="auto"/>
              <w:right w:val="single" w:sz="8" w:space="0" w:color="auto"/>
            </w:tcBorders>
            <w:shd w:val="clear" w:color="auto" w:fill="auto"/>
            <w:noWrap/>
            <w:vAlign w:val="center"/>
            <w:hideMark/>
          </w:tcPr>
          <w:p w14:paraId="7E6D9DA6"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40</w:t>
            </w:r>
          </w:p>
        </w:tc>
        <w:tc>
          <w:tcPr>
            <w:tcW w:w="4253" w:type="pct"/>
            <w:tcBorders>
              <w:top w:val="nil"/>
              <w:left w:val="nil"/>
              <w:bottom w:val="single" w:sz="8" w:space="0" w:color="auto"/>
              <w:right w:val="single" w:sz="8" w:space="0" w:color="auto"/>
            </w:tcBorders>
            <w:shd w:val="clear" w:color="auto" w:fill="auto"/>
            <w:noWrap/>
            <w:vAlign w:val="center"/>
            <w:hideMark/>
          </w:tcPr>
          <w:p w14:paraId="4E45D487" w14:textId="77777777" w:rsidR="00903D61" w:rsidRPr="007D7B08" w:rsidRDefault="00903D61" w:rsidP="00903D61">
            <w:pPr>
              <w:jc w:val="both"/>
              <w:rPr>
                <w:rFonts w:ascii="Arial" w:hAnsi="Arial" w:cs="Arial"/>
                <w:sz w:val="16"/>
                <w:szCs w:val="16"/>
                <w:lang w:eastAsia="cs-CZ"/>
              </w:rPr>
            </w:pPr>
            <w:r w:rsidRPr="007D7B08">
              <w:rPr>
                <w:rFonts w:ascii="Arial" w:hAnsi="Arial" w:cs="Arial"/>
                <w:sz w:val="16"/>
                <w:szCs w:val="16"/>
                <w:lang w:eastAsia="cs-CZ"/>
              </w:rPr>
              <w:t>Posudzovanie vplyvov na ŽP</w:t>
            </w:r>
          </w:p>
        </w:tc>
        <w:tc>
          <w:tcPr>
            <w:tcW w:w="519" w:type="pct"/>
            <w:tcBorders>
              <w:top w:val="nil"/>
              <w:left w:val="nil"/>
              <w:bottom w:val="single" w:sz="8" w:space="0" w:color="auto"/>
              <w:right w:val="single" w:sz="8" w:space="0" w:color="auto"/>
            </w:tcBorders>
            <w:shd w:val="clear" w:color="auto" w:fill="auto"/>
            <w:noWrap/>
            <w:vAlign w:val="center"/>
            <w:hideMark/>
          </w:tcPr>
          <w:p w14:paraId="67F7162F" w14:textId="77777777" w:rsidR="00903D61" w:rsidRPr="007D7B08" w:rsidRDefault="00903D61" w:rsidP="00903D61">
            <w:pPr>
              <w:jc w:val="center"/>
              <w:rPr>
                <w:rFonts w:ascii="Arial" w:hAnsi="Arial" w:cs="Arial"/>
                <w:sz w:val="16"/>
                <w:szCs w:val="16"/>
                <w:lang w:eastAsia="cs-CZ"/>
              </w:rPr>
            </w:pPr>
            <w:r w:rsidRPr="007D7B08">
              <w:rPr>
                <w:rFonts w:ascii="Arial" w:hAnsi="Arial" w:cs="Arial"/>
                <w:sz w:val="16"/>
                <w:szCs w:val="16"/>
                <w:lang w:eastAsia="cs-CZ"/>
              </w:rPr>
              <w:t>27</w:t>
            </w:r>
          </w:p>
        </w:tc>
      </w:tr>
    </w:tbl>
    <w:p w14:paraId="5CED0C41" w14:textId="77777777" w:rsidR="00903D61" w:rsidRPr="007D7B08" w:rsidRDefault="00903D61" w:rsidP="00903D61">
      <w:pPr>
        <w:jc w:val="both"/>
        <w:rPr>
          <w:rFonts w:ascii="Arial" w:hAnsi="Arial" w:cs="Arial"/>
          <w:sz w:val="16"/>
          <w:szCs w:val="16"/>
        </w:rPr>
      </w:pPr>
      <w:r w:rsidRPr="007D7B08">
        <w:rPr>
          <w:rFonts w:ascii="Arial" w:hAnsi="Arial" w:cs="Arial"/>
          <w:sz w:val="16"/>
          <w:szCs w:val="16"/>
        </w:rPr>
        <w:t>Zdroj: SORO</w:t>
      </w:r>
    </w:p>
    <w:p w14:paraId="0CFC00B8" w14:textId="77777777" w:rsidR="00903D61" w:rsidRPr="007D7B08" w:rsidRDefault="00903D61" w:rsidP="00903D61">
      <w:pPr>
        <w:jc w:val="both"/>
        <w:rPr>
          <w:rFonts w:ascii="Arial" w:hAnsi="Arial" w:cs="Arial"/>
          <w:sz w:val="16"/>
          <w:szCs w:val="16"/>
        </w:rPr>
      </w:pPr>
    </w:p>
    <w:p w14:paraId="3AB443EC" w14:textId="0F893231" w:rsidR="00903D61" w:rsidRPr="00807178" w:rsidRDefault="00903D61" w:rsidP="00903D61">
      <w:pPr>
        <w:jc w:val="both"/>
        <w:rPr>
          <w:rFonts w:ascii="Arial" w:hAnsi="Arial" w:cs="Arial"/>
          <w:sz w:val="20"/>
          <w:szCs w:val="16"/>
          <w:lang w:eastAsia="cs-CZ"/>
        </w:rPr>
      </w:pPr>
      <w:r w:rsidRPr="00807178">
        <w:rPr>
          <w:rFonts w:ascii="Arial" w:hAnsi="Arial" w:cs="Arial"/>
          <w:sz w:val="20"/>
          <w:szCs w:val="16"/>
          <w:lang w:eastAsia="cs-CZ"/>
        </w:rPr>
        <w:t>Tabuľka č.</w:t>
      </w:r>
      <w:r w:rsidR="00682B07" w:rsidRPr="00807178">
        <w:rPr>
          <w:rFonts w:ascii="Arial" w:hAnsi="Arial" w:cs="Arial"/>
          <w:sz w:val="20"/>
          <w:szCs w:val="16"/>
          <w:lang w:eastAsia="cs-CZ"/>
        </w:rPr>
        <w:t xml:space="preserve"> 3</w:t>
      </w:r>
      <w:r w:rsidR="007B1CB9">
        <w:rPr>
          <w:rFonts w:ascii="Arial" w:hAnsi="Arial" w:cs="Arial"/>
          <w:sz w:val="20"/>
          <w:szCs w:val="16"/>
          <w:lang w:eastAsia="cs-CZ"/>
        </w:rPr>
        <w:t>9</w:t>
      </w:r>
      <w:r w:rsidR="00682B07" w:rsidRPr="00807178">
        <w:rPr>
          <w:rFonts w:ascii="Arial" w:hAnsi="Arial" w:cs="Arial"/>
          <w:sz w:val="20"/>
          <w:szCs w:val="16"/>
          <w:lang w:eastAsia="cs-CZ"/>
        </w:rPr>
        <w:t>b</w:t>
      </w:r>
      <w:r w:rsidRPr="00807178">
        <w:rPr>
          <w:rFonts w:ascii="Arial" w:hAnsi="Arial" w:cs="Arial"/>
          <w:sz w:val="20"/>
          <w:szCs w:val="16"/>
          <w:lang w:eastAsia="cs-CZ"/>
        </w:rPr>
        <w:t xml:space="preserve"> : Prehľad odborných školení zamestnancov SORO za rok 2015</w:t>
      </w:r>
    </w:p>
    <w:tbl>
      <w:tblPr>
        <w:tblW w:w="9116" w:type="dxa"/>
        <w:tblInd w:w="57" w:type="dxa"/>
        <w:shd w:val="clear" w:color="auto" w:fill="DBDBDB"/>
        <w:tblCellMar>
          <w:left w:w="70" w:type="dxa"/>
          <w:right w:w="70" w:type="dxa"/>
        </w:tblCellMar>
        <w:tblLook w:val="04A0" w:firstRow="1" w:lastRow="0" w:firstColumn="1" w:lastColumn="0" w:noHBand="0" w:noVBand="1"/>
      </w:tblPr>
      <w:tblGrid>
        <w:gridCol w:w="470"/>
        <w:gridCol w:w="7765"/>
        <w:gridCol w:w="905"/>
      </w:tblGrid>
      <w:tr w:rsidR="00903D61" w:rsidRPr="007D7B08" w14:paraId="64F1C9D5" w14:textId="77777777" w:rsidTr="008805AA">
        <w:trPr>
          <w:trHeight w:val="270"/>
        </w:trPr>
        <w:tc>
          <w:tcPr>
            <w:tcW w:w="470" w:type="dxa"/>
            <w:tcBorders>
              <w:top w:val="single" w:sz="8" w:space="0" w:color="auto"/>
              <w:left w:val="single" w:sz="4" w:space="0" w:color="auto"/>
              <w:bottom w:val="single" w:sz="8" w:space="0" w:color="auto"/>
              <w:right w:val="single" w:sz="4" w:space="0" w:color="auto"/>
            </w:tcBorders>
            <w:shd w:val="clear" w:color="auto" w:fill="D6E3BC" w:themeFill="accent3" w:themeFillTint="66"/>
            <w:noWrap/>
            <w:vAlign w:val="center"/>
            <w:hideMark/>
          </w:tcPr>
          <w:p w14:paraId="309E8D9A" w14:textId="77777777" w:rsidR="00903D61" w:rsidRPr="007D7B08" w:rsidRDefault="00903D61" w:rsidP="00903D61">
            <w:pPr>
              <w:jc w:val="both"/>
              <w:rPr>
                <w:rFonts w:ascii="Arial" w:hAnsi="Arial" w:cs="Arial"/>
                <w:bCs/>
                <w:iCs/>
                <w:sz w:val="16"/>
                <w:szCs w:val="16"/>
                <w:lang w:eastAsia="cs-CZ"/>
              </w:rPr>
            </w:pPr>
            <w:r w:rsidRPr="007D7B08">
              <w:rPr>
                <w:rFonts w:ascii="Arial" w:hAnsi="Arial" w:cs="Arial"/>
                <w:bCs/>
                <w:iCs/>
                <w:sz w:val="16"/>
                <w:szCs w:val="16"/>
                <w:lang w:eastAsia="cs-CZ"/>
              </w:rPr>
              <w:t>P.č.</w:t>
            </w:r>
          </w:p>
        </w:tc>
        <w:tc>
          <w:tcPr>
            <w:tcW w:w="7765" w:type="dxa"/>
            <w:tcBorders>
              <w:top w:val="single" w:sz="8" w:space="0" w:color="auto"/>
              <w:left w:val="nil"/>
              <w:bottom w:val="single" w:sz="8" w:space="0" w:color="auto"/>
              <w:right w:val="single" w:sz="4" w:space="0" w:color="auto"/>
            </w:tcBorders>
            <w:shd w:val="clear" w:color="auto" w:fill="D6E3BC" w:themeFill="accent3" w:themeFillTint="66"/>
            <w:noWrap/>
            <w:vAlign w:val="center"/>
            <w:hideMark/>
          </w:tcPr>
          <w:p w14:paraId="4DAB10C1" w14:textId="77777777" w:rsidR="00903D61" w:rsidRPr="007D7B08" w:rsidRDefault="00903D61" w:rsidP="00903D61">
            <w:pPr>
              <w:jc w:val="both"/>
              <w:rPr>
                <w:rFonts w:ascii="Arial" w:hAnsi="Arial" w:cs="Arial"/>
                <w:bCs/>
                <w:iCs/>
                <w:sz w:val="16"/>
                <w:szCs w:val="16"/>
                <w:lang w:eastAsia="cs-CZ"/>
              </w:rPr>
            </w:pPr>
            <w:r w:rsidRPr="007D7B08">
              <w:rPr>
                <w:rFonts w:ascii="Arial" w:hAnsi="Arial" w:cs="Arial"/>
                <w:bCs/>
                <w:iCs/>
                <w:sz w:val="16"/>
                <w:szCs w:val="16"/>
                <w:lang w:eastAsia="cs-CZ"/>
              </w:rPr>
              <w:t>Popis akcie</w:t>
            </w:r>
          </w:p>
        </w:tc>
        <w:tc>
          <w:tcPr>
            <w:tcW w:w="881" w:type="dxa"/>
            <w:tcBorders>
              <w:top w:val="single" w:sz="8" w:space="0" w:color="auto"/>
              <w:left w:val="nil"/>
              <w:bottom w:val="single" w:sz="8" w:space="0" w:color="auto"/>
              <w:right w:val="single" w:sz="4" w:space="0" w:color="auto"/>
            </w:tcBorders>
            <w:shd w:val="clear" w:color="auto" w:fill="D6E3BC" w:themeFill="accent3" w:themeFillTint="66"/>
            <w:noWrap/>
            <w:vAlign w:val="bottom"/>
            <w:hideMark/>
          </w:tcPr>
          <w:p w14:paraId="36AEA4B7" w14:textId="77777777" w:rsidR="00903D61" w:rsidRPr="007D7B08" w:rsidRDefault="00903D61" w:rsidP="00903D61">
            <w:pPr>
              <w:jc w:val="both"/>
              <w:rPr>
                <w:rFonts w:ascii="Arial" w:hAnsi="Arial" w:cs="Arial"/>
                <w:bCs/>
                <w:iCs/>
                <w:sz w:val="16"/>
                <w:szCs w:val="16"/>
                <w:lang w:eastAsia="cs-CZ"/>
              </w:rPr>
            </w:pPr>
            <w:r w:rsidRPr="007D7B08">
              <w:rPr>
                <w:rFonts w:ascii="Arial" w:hAnsi="Arial" w:cs="Arial"/>
                <w:bCs/>
                <w:iCs/>
                <w:sz w:val="16"/>
                <w:szCs w:val="16"/>
                <w:lang w:eastAsia="cs-CZ"/>
              </w:rPr>
              <w:t>Počet účastníkov</w:t>
            </w:r>
          </w:p>
        </w:tc>
      </w:tr>
      <w:tr w:rsidR="00903D61" w:rsidRPr="007D7B08" w14:paraId="6B71CB80" w14:textId="77777777" w:rsidTr="008805AA">
        <w:trPr>
          <w:trHeight w:val="255"/>
        </w:trPr>
        <w:tc>
          <w:tcPr>
            <w:tcW w:w="470" w:type="dxa"/>
            <w:tcBorders>
              <w:top w:val="single" w:sz="8" w:space="0" w:color="auto"/>
              <w:left w:val="single" w:sz="4" w:space="0" w:color="auto"/>
              <w:bottom w:val="single" w:sz="4" w:space="0" w:color="auto"/>
              <w:right w:val="single" w:sz="4" w:space="0" w:color="auto"/>
            </w:tcBorders>
            <w:shd w:val="clear" w:color="auto" w:fill="FFFFFF"/>
            <w:vAlign w:val="center"/>
          </w:tcPr>
          <w:p w14:paraId="2AD8E9EA"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w:t>
            </w:r>
          </w:p>
        </w:tc>
        <w:tc>
          <w:tcPr>
            <w:tcW w:w="7765" w:type="dxa"/>
            <w:tcBorders>
              <w:top w:val="single" w:sz="8" w:space="0" w:color="auto"/>
              <w:left w:val="nil"/>
              <w:bottom w:val="single" w:sz="4" w:space="0" w:color="auto"/>
              <w:right w:val="single" w:sz="4" w:space="0" w:color="auto"/>
            </w:tcBorders>
            <w:shd w:val="clear" w:color="auto" w:fill="FFFFFF"/>
            <w:vAlign w:val="center"/>
          </w:tcPr>
          <w:p w14:paraId="5E92814F"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Správna evidencia nezrovnalostí v ITMS, riešenie nezrovnalostí v rámci auditov operácií a systémových auditov;</w:t>
            </w:r>
          </w:p>
          <w:p w14:paraId="3577A298"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Zmeny v oblasti evidovania nezrovnalostí</w:t>
            </w:r>
          </w:p>
        </w:tc>
        <w:tc>
          <w:tcPr>
            <w:tcW w:w="881" w:type="dxa"/>
            <w:tcBorders>
              <w:top w:val="single" w:sz="8" w:space="0" w:color="auto"/>
              <w:left w:val="single" w:sz="4" w:space="0" w:color="auto"/>
              <w:bottom w:val="single" w:sz="4" w:space="0" w:color="000000"/>
              <w:right w:val="single" w:sz="4" w:space="0" w:color="auto"/>
            </w:tcBorders>
            <w:shd w:val="clear" w:color="auto" w:fill="FFFFFF"/>
            <w:vAlign w:val="center"/>
          </w:tcPr>
          <w:p w14:paraId="49A57477"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4</w:t>
            </w:r>
          </w:p>
        </w:tc>
      </w:tr>
      <w:tr w:rsidR="00903D61" w:rsidRPr="007D7B08" w14:paraId="103F5005"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0798D847"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2</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0DADC921"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Forézny audit, Trestno právna ochrana finančným záujmom EÚ</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5F09A657"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4</w:t>
            </w:r>
          </w:p>
        </w:tc>
      </w:tr>
      <w:tr w:rsidR="00903D61" w:rsidRPr="007D7B08" w14:paraId="7867C951"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67ED7F52"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3</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1D3A4CC6"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Kartelové dohody vo VO</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60A0158E"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26BE1E6B"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40A3155F"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4</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4B77BB8C"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Zvládanie ťažkých situácií</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4B62C220"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35C918AF"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66A1ABB6"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5</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634551D6"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Ochrana finančných záujmov EÚ v podmienkach SR, Centrálna databáza vylúčených subjektov</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75616E15"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4</w:t>
            </w:r>
          </w:p>
        </w:tc>
      </w:tr>
      <w:tr w:rsidR="00903D61" w:rsidRPr="007D7B08" w14:paraId="3DBFB54C"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7EC4D18E"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6</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5FA82893"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Zákon o verejnom obstarávaní, konflikt záujmov</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51297022"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34DFF6CC"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7E9B027E"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7</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1BBB8C78"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NAKA a ochrana finančných záujmov EÚ v SR</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05089244"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3</w:t>
            </w:r>
          </w:p>
        </w:tc>
      </w:tr>
      <w:tr w:rsidR="00903D61" w:rsidRPr="007D7B08" w14:paraId="0AFB03B1"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0F0BBD83"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8</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5072166B"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Ukončovanie programového obdobia 2007-13 a Systém finančného riadenia 2014-2020</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43D2D9D1"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w:t>
            </w:r>
          </w:p>
        </w:tc>
      </w:tr>
      <w:tr w:rsidR="00903D61" w:rsidRPr="007D7B08" w14:paraId="718F9A2D"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5AC94BD4"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9</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776EFC7F"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Mechanizmus daňových podvodov DPH, odhaľovanie podozrení z podvodov v súvislosti s ochranou finančných záujmov EÚ v SR</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77D99755"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6</w:t>
            </w:r>
          </w:p>
        </w:tc>
      </w:tr>
      <w:tr w:rsidR="00903D61" w:rsidRPr="007D7B08" w14:paraId="4D0A336B"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2D1AABC2"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10</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733BEB3E"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Základy práva EÚ</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5CBCAB73"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3</w:t>
            </w:r>
          </w:p>
        </w:tc>
      </w:tr>
      <w:tr w:rsidR="00903D61" w:rsidRPr="007D7B08" w14:paraId="69875FC9"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1B636524"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11</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4F2BE4AD"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Elektronické trhovisko - postupy obstarávania, pravidlá a princípy, právny základ, previazanie na pravidlá kontroly VO v rámci fondov EÚ, príklady dobrej a zlej praxe</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61F0AF71"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14</w:t>
            </w:r>
          </w:p>
        </w:tc>
      </w:tr>
      <w:tr w:rsidR="00903D61" w:rsidRPr="007D7B08" w14:paraId="64FACF06"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097284C7"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12</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095C8935"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Politika EÚ</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3E087199"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2</w:t>
            </w:r>
          </w:p>
        </w:tc>
      </w:tr>
      <w:tr w:rsidR="00903D61" w:rsidRPr="007D7B08" w14:paraId="02D69C4E"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04E50E39"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13</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625F498B"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Efektívna komunikácia</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7C95331B"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w:t>
            </w:r>
          </w:p>
        </w:tc>
      </w:tr>
      <w:tr w:rsidR="00903D61" w:rsidRPr="007D7B08" w14:paraId="2D328346"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7E371BCC"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14</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23325B8C"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Systém riadenie ŠF a KF na PO 2007-2013 a príprava na PO 2014-2020</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5DEECCC5"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4</w:t>
            </w:r>
          </w:p>
        </w:tc>
      </w:tr>
      <w:tr w:rsidR="00903D61" w:rsidRPr="007D7B08" w14:paraId="6F2A3C6C"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05E2E8E1"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15</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6D0CA80C"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Elektronické trhovisko - postupy obstarávania, pravidlá a princípy, právny základ, previazanie na pravidlá kontroly VO v rámci fondov EÚ, príklady dobrej a zlej praxe</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1997C9ED"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21</w:t>
            </w:r>
          </w:p>
        </w:tc>
      </w:tr>
      <w:tr w:rsidR="00903D61" w:rsidRPr="007D7B08" w14:paraId="76CD38F8"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425CE555"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16</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00D6CF84"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Trestné právo v kontexte  ochrany finančných záujmov EÚ v SR</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4BE3A211"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w:t>
            </w:r>
          </w:p>
        </w:tc>
      </w:tr>
      <w:tr w:rsidR="00903D61" w:rsidRPr="007D7B08" w14:paraId="0CFA7232"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3A0F82BF"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17</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0017AE96"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Vybrané právne a aplikačné problémy v oblasti odhaľovania, dokumentovania a vyšetrovania ochrany finančných záujmov EU</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279151C3"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w:t>
            </w:r>
          </w:p>
        </w:tc>
      </w:tr>
      <w:tr w:rsidR="00903D61" w:rsidRPr="007D7B08" w14:paraId="4E22041B"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7EFBACCB"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18</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1820F6A3"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Zmeny v Systéme finančného riadenia ŠF a KF na PO 2007-2013 a príprava SFR na PO 2014-2020</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43A28DAD"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4</w:t>
            </w:r>
          </w:p>
        </w:tc>
      </w:tr>
      <w:tr w:rsidR="00903D61" w:rsidRPr="007D7B08" w14:paraId="6D078027" w14:textId="77777777" w:rsidTr="008805AA">
        <w:trPr>
          <w:trHeight w:val="255"/>
        </w:trPr>
        <w:tc>
          <w:tcPr>
            <w:tcW w:w="470" w:type="dxa"/>
            <w:tcBorders>
              <w:top w:val="single" w:sz="8" w:space="0" w:color="auto"/>
              <w:left w:val="single" w:sz="4" w:space="0" w:color="auto"/>
              <w:bottom w:val="single" w:sz="8" w:space="0" w:color="auto"/>
              <w:right w:val="single" w:sz="4" w:space="0" w:color="auto"/>
            </w:tcBorders>
            <w:shd w:val="clear" w:color="auto" w:fill="FFFFFF"/>
            <w:vAlign w:val="center"/>
          </w:tcPr>
          <w:p w14:paraId="0A046CFC"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19</w:t>
            </w:r>
          </w:p>
        </w:tc>
        <w:tc>
          <w:tcPr>
            <w:tcW w:w="7765" w:type="dxa"/>
            <w:tcBorders>
              <w:top w:val="single" w:sz="8" w:space="0" w:color="auto"/>
              <w:left w:val="nil"/>
              <w:bottom w:val="single" w:sz="8" w:space="0" w:color="auto"/>
              <w:right w:val="single" w:sz="4" w:space="0" w:color="auto"/>
            </w:tcBorders>
            <w:shd w:val="clear" w:color="auto" w:fill="FFFFFF"/>
            <w:vAlign w:val="center"/>
          </w:tcPr>
          <w:p w14:paraId="66D5A59C" w14:textId="77777777" w:rsidR="00903D61" w:rsidRPr="007D7B08" w:rsidRDefault="00903D61" w:rsidP="00903D61">
            <w:pPr>
              <w:rPr>
                <w:rFonts w:ascii="Arial" w:hAnsi="Arial" w:cs="Arial"/>
                <w:sz w:val="16"/>
                <w:szCs w:val="16"/>
                <w:lang w:eastAsia="cs-CZ"/>
              </w:rPr>
            </w:pPr>
            <w:r w:rsidRPr="007D7B08">
              <w:rPr>
                <w:rFonts w:ascii="Arial" w:hAnsi="Arial" w:cs="Arial"/>
                <w:sz w:val="16"/>
                <w:szCs w:val="16"/>
                <w:lang w:eastAsia="cs-CZ"/>
              </w:rPr>
              <w:t>Ukončenie programového obdobia 2007-2013 a Systém finančného riadenia na programové obdobie 2014-2020</w:t>
            </w:r>
          </w:p>
        </w:tc>
        <w:tc>
          <w:tcPr>
            <w:tcW w:w="881" w:type="dxa"/>
            <w:tcBorders>
              <w:top w:val="single" w:sz="8" w:space="0" w:color="auto"/>
              <w:left w:val="single" w:sz="4" w:space="0" w:color="auto"/>
              <w:bottom w:val="single" w:sz="8" w:space="0" w:color="auto"/>
              <w:right w:val="single" w:sz="4" w:space="0" w:color="auto"/>
            </w:tcBorders>
            <w:shd w:val="clear" w:color="auto" w:fill="FFFFFF"/>
            <w:vAlign w:val="center"/>
          </w:tcPr>
          <w:p w14:paraId="2D3F3601" w14:textId="77777777" w:rsidR="00903D61" w:rsidRPr="007D7B08" w:rsidRDefault="00903D61" w:rsidP="00313E69">
            <w:pPr>
              <w:jc w:val="center"/>
              <w:rPr>
                <w:rFonts w:ascii="Arial" w:hAnsi="Arial" w:cs="Arial"/>
                <w:sz w:val="16"/>
                <w:szCs w:val="16"/>
                <w:lang w:eastAsia="cs-CZ"/>
              </w:rPr>
            </w:pPr>
            <w:r w:rsidRPr="007D7B08">
              <w:rPr>
                <w:rFonts w:ascii="Arial" w:hAnsi="Arial" w:cs="Arial"/>
                <w:sz w:val="16"/>
                <w:szCs w:val="16"/>
                <w:lang w:eastAsia="cs-CZ"/>
              </w:rPr>
              <w:t>10</w:t>
            </w:r>
          </w:p>
        </w:tc>
      </w:tr>
    </w:tbl>
    <w:p w14:paraId="41509B56" w14:textId="77777777" w:rsidR="007A65D5" w:rsidRDefault="007A65D5" w:rsidP="00123376">
      <w:pPr>
        <w:pStyle w:val="Nadpis1"/>
        <w:spacing w:after="120"/>
        <w:rPr>
          <w:rFonts w:cs="Arial"/>
          <w:caps w:val="0"/>
        </w:rPr>
      </w:pPr>
    </w:p>
    <w:p w14:paraId="376699D3" w14:textId="77777777" w:rsidR="007A65D5" w:rsidRDefault="007A65D5">
      <w:pPr>
        <w:rPr>
          <w:rFonts w:ascii="Arial" w:hAnsi="Arial" w:cs="Arial"/>
          <w:b/>
          <w:kern w:val="32"/>
          <w:sz w:val="32"/>
          <w:szCs w:val="20"/>
          <w:lang w:val="x-none" w:eastAsia="x-none"/>
        </w:rPr>
      </w:pPr>
      <w:r>
        <w:rPr>
          <w:rFonts w:cs="Arial"/>
          <w:caps/>
        </w:rPr>
        <w:br w:type="page"/>
      </w:r>
    </w:p>
    <w:p w14:paraId="26E8203B" w14:textId="4C641AD7" w:rsidR="00D314B3" w:rsidRPr="0020746A" w:rsidRDefault="00D314B3" w:rsidP="00123376">
      <w:pPr>
        <w:pStyle w:val="Nadpis1"/>
        <w:spacing w:after="120"/>
        <w:rPr>
          <w:rFonts w:cs="Arial"/>
          <w:lang w:val="sk-SK"/>
        </w:rPr>
      </w:pPr>
      <w:bookmarkStart w:id="56" w:name="_Toc466914525"/>
      <w:r w:rsidRPr="00BC43A7">
        <w:rPr>
          <w:rFonts w:cs="Arial"/>
          <w:caps w:val="0"/>
        </w:rPr>
        <w:lastRenderedPageBreak/>
        <w:t>3.</w:t>
      </w:r>
      <w:r w:rsidRPr="00BC43A7">
        <w:rPr>
          <w:rFonts w:cs="Arial"/>
        </w:rPr>
        <w:t xml:space="preserve"> Realizácia podľa prioritných osí</w:t>
      </w:r>
      <w:bookmarkEnd w:id="56"/>
    </w:p>
    <w:p w14:paraId="32294237" w14:textId="1DAA4D73" w:rsidR="00D314B3" w:rsidRPr="001B2D8F" w:rsidRDefault="00D314B3" w:rsidP="00123376">
      <w:pPr>
        <w:spacing w:before="120" w:after="120"/>
        <w:jc w:val="both"/>
        <w:rPr>
          <w:rFonts w:ascii="Arial" w:hAnsi="Arial" w:cs="Arial"/>
          <w:sz w:val="20"/>
          <w:szCs w:val="20"/>
        </w:rPr>
      </w:pPr>
      <w:r w:rsidRPr="001B2D8F">
        <w:rPr>
          <w:rFonts w:ascii="Arial" w:hAnsi="Arial" w:cs="Arial"/>
          <w:sz w:val="20"/>
          <w:szCs w:val="20"/>
        </w:rPr>
        <w:t>Posúdenie pokroku na úrovni OP je vykona</w:t>
      </w:r>
      <w:r w:rsidR="001B2D8F" w:rsidRPr="001B2D8F">
        <w:rPr>
          <w:rFonts w:ascii="Arial" w:hAnsi="Arial" w:cs="Arial"/>
          <w:sz w:val="20"/>
          <w:szCs w:val="20"/>
        </w:rPr>
        <w:t>né na základe posúdenia čerpaných</w:t>
      </w:r>
      <w:r w:rsidRPr="001B2D8F">
        <w:rPr>
          <w:rFonts w:ascii="Arial" w:hAnsi="Arial" w:cs="Arial"/>
          <w:sz w:val="20"/>
          <w:szCs w:val="20"/>
        </w:rPr>
        <w:t xml:space="preserve"> finančných prostriedkov, miery fyzického </w:t>
      </w:r>
      <w:r w:rsidRPr="001A0BB8">
        <w:rPr>
          <w:rFonts w:ascii="Arial" w:hAnsi="Arial" w:cs="Arial"/>
          <w:sz w:val="20"/>
          <w:szCs w:val="20"/>
        </w:rPr>
        <w:t>pokroku (</w:t>
      </w:r>
      <w:r w:rsidR="001A0BB8" w:rsidRPr="001A0BB8">
        <w:rPr>
          <w:rFonts w:ascii="Arial" w:hAnsi="Arial" w:cs="Arial"/>
          <w:sz w:val="20"/>
          <w:szCs w:val="20"/>
        </w:rPr>
        <w:t>vychádzajúc z</w:t>
      </w:r>
      <w:r w:rsidR="0008428C">
        <w:rPr>
          <w:rFonts w:ascii="Arial" w:hAnsi="Arial" w:cs="Arial"/>
          <w:sz w:val="20"/>
          <w:szCs w:val="20"/>
        </w:rPr>
        <w:t xml:space="preserve"> </w:t>
      </w:r>
      <w:r w:rsidRPr="001B2D8F">
        <w:rPr>
          <w:rFonts w:ascii="Arial" w:hAnsi="Arial" w:cs="Arial"/>
          <w:sz w:val="20"/>
          <w:szCs w:val="20"/>
        </w:rPr>
        <w:t xml:space="preserve">posúdenia merateľných ukazovateľov) a s prihliadnutím na dopyt žiadateľov po vyhlásených </w:t>
      </w:r>
      <w:r w:rsidR="002C7606" w:rsidRPr="001B2D8F">
        <w:rPr>
          <w:rFonts w:ascii="Arial" w:hAnsi="Arial" w:cs="Arial"/>
          <w:sz w:val="20"/>
          <w:szCs w:val="20"/>
        </w:rPr>
        <w:t>v</w:t>
      </w:r>
      <w:r w:rsidRPr="001B2D8F">
        <w:rPr>
          <w:rFonts w:ascii="Arial" w:hAnsi="Arial" w:cs="Arial"/>
          <w:sz w:val="20"/>
          <w:szCs w:val="20"/>
        </w:rPr>
        <w:t>ýzvach. Z hľadiska plnenia cieľov OP je zásadné plnenie merateľných ukazovateľov na úrovni projektov a na úrovni OP.</w:t>
      </w:r>
    </w:p>
    <w:p w14:paraId="73DDF618" w14:textId="77777777" w:rsidR="0068264B" w:rsidRPr="002526CC" w:rsidRDefault="00D314B3" w:rsidP="00123376">
      <w:pPr>
        <w:spacing w:before="120" w:after="120"/>
        <w:jc w:val="both"/>
        <w:rPr>
          <w:rFonts w:ascii="Arial" w:hAnsi="Arial" w:cs="Arial"/>
          <w:b/>
          <w:bCs/>
          <w:iCs/>
          <w:sz w:val="28"/>
          <w:szCs w:val="28"/>
        </w:rPr>
      </w:pPr>
      <w:r w:rsidRPr="001B2D8F">
        <w:rPr>
          <w:rFonts w:ascii="Arial" w:hAnsi="Arial" w:cs="Arial"/>
          <w:sz w:val="20"/>
          <w:szCs w:val="20"/>
        </w:rPr>
        <w:t>Plnenie samotných merateľných ukazovateľov na úrovni OP a tým napĺňanie cieľov OP ovplyvňuje najmä samotný stav realizácie projektov resp. čerpanie finančných prostriedkov. Vo všeobecnosti sú hodnoty niektorých merateľných ukazovateľov na úrovni OP ovplyvnené najmä skutočnosťou, že výsledok intervencie OP sa vykazuje až prostredníctvom následných monitorovacích správ projektov, čo býva rok po ukončení realizácie projektov.</w:t>
      </w:r>
    </w:p>
    <w:p w14:paraId="2536E6D0" w14:textId="1F6B643B" w:rsidR="002416B1" w:rsidRPr="0020746A" w:rsidRDefault="002416B1" w:rsidP="00123376">
      <w:pPr>
        <w:pStyle w:val="Nadpis2"/>
        <w:spacing w:after="120"/>
        <w:jc w:val="both"/>
        <w:rPr>
          <w:rFonts w:cs="Arial"/>
        </w:rPr>
      </w:pPr>
      <w:bookmarkStart w:id="57" w:name="_Toc466914526"/>
      <w:r w:rsidRPr="002526CC">
        <w:rPr>
          <w:rFonts w:cs="Arial"/>
        </w:rPr>
        <w:t>3.1. Prioritná os 1 Integrovaná ochra</w:t>
      </w:r>
      <w:r w:rsidRPr="008E1ACB">
        <w:rPr>
          <w:rFonts w:cs="Arial"/>
        </w:rPr>
        <w:t>na a racionálne využívanie vôd</w:t>
      </w:r>
      <w:bookmarkEnd w:id="57"/>
    </w:p>
    <w:p w14:paraId="46418936" w14:textId="77777777" w:rsidR="002416B1" w:rsidRPr="00D641FF" w:rsidRDefault="002416B1" w:rsidP="00123376">
      <w:pPr>
        <w:pStyle w:val="Nadpis3"/>
        <w:spacing w:after="120"/>
        <w:rPr>
          <w:rFonts w:cs="Arial"/>
        </w:rPr>
      </w:pPr>
      <w:bookmarkStart w:id="58" w:name="_Toc466914527"/>
      <w:r w:rsidRPr="00D641FF">
        <w:rPr>
          <w:rFonts w:cs="Arial"/>
        </w:rPr>
        <w:t>3.1.1 Dosiahnutie cieľov a analýza dosiahnutého pokroku</w:t>
      </w:r>
      <w:bookmarkEnd w:id="58"/>
    </w:p>
    <w:p w14:paraId="5B39B9AD" w14:textId="0B686EF1" w:rsidR="002416B1" w:rsidRPr="00EC1B17" w:rsidRDefault="002416B1" w:rsidP="00123376">
      <w:pPr>
        <w:spacing w:before="120" w:after="120"/>
        <w:jc w:val="both"/>
        <w:rPr>
          <w:rFonts w:ascii="Arial" w:hAnsi="Arial" w:cs="Arial"/>
          <w:sz w:val="20"/>
          <w:szCs w:val="20"/>
        </w:rPr>
      </w:pPr>
      <w:r w:rsidRPr="00EC1B17">
        <w:rPr>
          <w:rFonts w:ascii="Arial" w:hAnsi="Arial" w:cs="Arial"/>
          <w:sz w:val="20"/>
          <w:szCs w:val="20"/>
        </w:rPr>
        <w:t xml:space="preserve">Cieľom prioritnej osi </w:t>
      </w:r>
      <w:r w:rsidR="0075118A">
        <w:rPr>
          <w:rFonts w:ascii="Arial" w:hAnsi="Arial" w:cs="Arial"/>
          <w:sz w:val="20"/>
          <w:szCs w:val="20"/>
        </w:rPr>
        <w:t>bolo</w:t>
      </w:r>
      <w:r w:rsidRPr="00EC1B17">
        <w:rPr>
          <w:rFonts w:ascii="Arial" w:hAnsi="Arial" w:cs="Arial"/>
          <w:sz w:val="20"/>
          <w:szCs w:val="20"/>
        </w:rPr>
        <w:t xml:space="preserve"> znižovanie znečistenia vôd a zvýšenie kvality života obyvateľstva SR dobudovaním a skvalitnením infraštruktúry vodného hospodárstva SR v zmysle právnych predpisov EÚ a SR. Prioritná os </w:t>
      </w:r>
      <w:r w:rsidR="0075118A">
        <w:rPr>
          <w:rFonts w:ascii="Arial" w:hAnsi="Arial" w:cs="Arial"/>
          <w:sz w:val="20"/>
          <w:szCs w:val="20"/>
        </w:rPr>
        <w:t>bola</w:t>
      </w:r>
      <w:r w:rsidRPr="00EC1B17">
        <w:rPr>
          <w:rFonts w:ascii="Arial" w:hAnsi="Arial" w:cs="Arial"/>
          <w:sz w:val="20"/>
          <w:szCs w:val="20"/>
        </w:rPr>
        <w:t xml:space="preserve"> zameraná na zabezpečenie prístupu obyvateľov k pitnej vode a zabezpečenie obslužnosti územia pitnou vodou z verejného vodovodu v dostatočnej kvalite a kvantite, zvýšenie počtu obyvateľov žijúcich v domoch pripojených na verejnú kanalizáciu, zabezpečenie odvádzania a čistenia komunálnych odpadových vôd v súlade so záväzkami SR voči EÚ a zabezpečenie plnenia povinností vyplývajúcich pre SR zo smernice 2000/60/ES v oblasti monitorovania vôd.</w:t>
      </w:r>
    </w:p>
    <w:p w14:paraId="5095129D" w14:textId="56739864" w:rsidR="00066A62" w:rsidRPr="00EC1B17" w:rsidRDefault="002416B1" w:rsidP="00123376">
      <w:pPr>
        <w:spacing w:before="120" w:after="120"/>
        <w:jc w:val="both"/>
        <w:rPr>
          <w:rFonts w:ascii="Arial" w:hAnsi="Arial" w:cs="Arial"/>
          <w:sz w:val="20"/>
          <w:szCs w:val="20"/>
        </w:rPr>
      </w:pPr>
      <w:r w:rsidRPr="003464AD">
        <w:rPr>
          <w:rFonts w:ascii="Arial" w:hAnsi="Arial" w:cs="Arial"/>
          <w:sz w:val="20"/>
          <w:szCs w:val="20"/>
        </w:rPr>
        <w:t>Prioritná os</w:t>
      </w:r>
      <w:r w:rsidR="0075118A">
        <w:rPr>
          <w:rFonts w:ascii="Arial" w:hAnsi="Arial" w:cs="Arial"/>
          <w:sz w:val="20"/>
          <w:szCs w:val="20"/>
        </w:rPr>
        <w:t xml:space="preserve"> 1 bola</w:t>
      </w:r>
      <w:r w:rsidRPr="00D46218">
        <w:rPr>
          <w:rFonts w:ascii="Arial" w:hAnsi="Arial" w:cs="Arial"/>
          <w:sz w:val="20"/>
          <w:szCs w:val="20"/>
        </w:rPr>
        <w:t xml:space="preserve"> financovaná z Kohézneh</w:t>
      </w:r>
      <w:r w:rsidR="0075118A">
        <w:rPr>
          <w:rFonts w:ascii="Arial" w:hAnsi="Arial" w:cs="Arial"/>
          <w:sz w:val="20"/>
          <w:szCs w:val="20"/>
        </w:rPr>
        <w:t>o fondu a svojou alokáciou tvorila</w:t>
      </w:r>
      <w:r w:rsidRPr="00D46218">
        <w:rPr>
          <w:rFonts w:ascii="Arial" w:hAnsi="Arial" w:cs="Arial"/>
          <w:sz w:val="20"/>
          <w:szCs w:val="20"/>
        </w:rPr>
        <w:t xml:space="preserve"> </w:t>
      </w:r>
      <w:r w:rsidR="00803883" w:rsidRPr="00805F56">
        <w:rPr>
          <w:rFonts w:ascii="Arial" w:hAnsi="Arial" w:cs="Arial"/>
          <w:sz w:val="20"/>
          <w:szCs w:val="20"/>
        </w:rPr>
        <w:t>49,64</w:t>
      </w:r>
      <w:r w:rsidR="00631140" w:rsidRPr="00D46218">
        <w:rPr>
          <w:rFonts w:ascii="Arial" w:hAnsi="Arial" w:cs="Arial"/>
          <w:sz w:val="20"/>
          <w:szCs w:val="20"/>
        </w:rPr>
        <w:t xml:space="preserve"> </w:t>
      </w:r>
      <w:r w:rsidRPr="00D46218">
        <w:rPr>
          <w:rFonts w:ascii="Arial" w:hAnsi="Arial" w:cs="Arial"/>
          <w:sz w:val="20"/>
          <w:szCs w:val="20"/>
        </w:rPr>
        <w:t xml:space="preserve">% </w:t>
      </w:r>
      <w:r w:rsidR="00D17897">
        <w:rPr>
          <w:rFonts w:ascii="Arial" w:hAnsi="Arial" w:cs="Arial"/>
          <w:sz w:val="20"/>
          <w:szCs w:val="20"/>
        </w:rPr>
        <w:t xml:space="preserve">z </w:t>
      </w:r>
      <w:r w:rsidRPr="00D46218">
        <w:rPr>
          <w:rFonts w:ascii="Arial" w:hAnsi="Arial" w:cs="Arial"/>
          <w:sz w:val="20"/>
          <w:szCs w:val="20"/>
        </w:rPr>
        <w:t>celkovej alokácie</w:t>
      </w:r>
      <w:r w:rsidR="00912895" w:rsidRPr="00D46218">
        <w:rPr>
          <w:rFonts w:ascii="Arial" w:hAnsi="Arial" w:cs="Arial"/>
          <w:sz w:val="20"/>
          <w:szCs w:val="20"/>
        </w:rPr>
        <w:t xml:space="preserve"> (zdroje EÚ+ŠR</w:t>
      </w:r>
      <w:r w:rsidR="00A71D4E" w:rsidRPr="003464AD">
        <w:rPr>
          <w:rFonts w:ascii="Arial" w:hAnsi="Arial" w:cs="Arial"/>
          <w:sz w:val="20"/>
          <w:szCs w:val="20"/>
        </w:rPr>
        <w:t>)</w:t>
      </w:r>
      <w:r w:rsidRPr="003464AD">
        <w:rPr>
          <w:rFonts w:ascii="Arial" w:hAnsi="Arial" w:cs="Arial"/>
          <w:sz w:val="20"/>
          <w:szCs w:val="20"/>
        </w:rPr>
        <w:t xml:space="preserve"> na operačný program</w:t>
      </w:r>
      <w:r w:rsidR="00A71D4E" w:rsidRPr="003464AD">
        <w:rPr>
          <w:rFonts w:ascii="Arial" w:hAnsi="Arial" w:cs="Arial"/>
          <w:sz w:val="20"/>
          <w:szCs w:val="20"/>
        </w:rPr>
        <w:t xml:space="preserve"> (</w:t>
      </w:r>
      <w:r w:rsidR="00B4139F" w:rsidRPr="003464AD">
        <w:rPr>
          <w:rFonts w:ascii="Arial" w:hAnsi="Arial" w:cs="Arial"/>
          <w:sz w:val="20"/>
          <w:szCs w:val="20"/>
        </w:rPr>
        <w:t>po revízi</w:t>
      </w:r>
      <w:r w:rsidR="001A1D2B">
        <w:rPr>
          <w:rFonts w:ascii="Arial" w:hAnsi="Arial" w:cs="Arial"/>
          <w:sz w:val="20"/>
          <w:szCs w:val="20"/>
        </w:rPr>
        <w:t>i</w:t>
      </w:r>
      <w:r w:rsidR="00B4139F" w:rsidRPr="003464AD">
        <w:rPr>
          <w:rFonts w:ascii="Arial" w:hAnsi="Arial" w:cs="Arial"/>
          <w:sz w:val="20"/>
          <w:szCs w:val="20"/>
        </w:rPr>
        <w:t xml:space="preserve"> OP ŽP na verziu </w:t>
      </w:r>
      <w:r w:rsidR="00B00D96">
        <w:rPr>
          <w:rFonts w:ascii="Arial" w:hAnsi="Arial" w:cs="Arial"/>
          <w:sz w:val="20"/>
          <w:szCs w:val="20"/>
        </w:rPr>
        <w:t>5</w:t>
      </w:r>
      <w:r w:rsidR="00B4139F" w:rsidRPr="003464AD">
        <w:rPr>
          <w:rFonts w:ascii="Arial" w:hAnsi="Arial" w:cs="Arial"/>
          <w:sz w:val="20"/>
          <w:szCs w:val="20"/>
        </w:rPr>
        <w:t>.0</w:t>
      </w:r>
      <w:r w:rsidR="00A71D4E" w:rsidRPr="003464AD">
        <w:rPr>
          <w:rFonts w:ascii="Arial" w:hAnsi="Arial" w:cs="Arial"/>
          <w:sz w:val="20"/>
          <w:szCs w:val="20"/>
        </w:rPr>
        <w:t>)</w:t>
      </w:r>
      <w:r w:rsidRPr="003464AD">
        <w:rPr>
          <w:rFonts w:ascii="Arial" w:hAnsi="Arial" w:cs="Arial"/>
          <w:sz w:val="20"/>
          <w:szCs w:val="20"/>
        </w:rPr>
        <w:t xml:space="preserve">. </w:t>
      </w:r>
    </w:p>
    <w:p w14:paraId="2119AC9B" w14:textId="53965506" w:rsidR="002416B1" w:rsidRPr="00EC1B17" w:rsidRDefault="002416B1" w:rsidP="00123376">
      <w:pPr>
        <w:spacing w:before="120" w:after="120"/>
        <w:jc w:val="both"/>
        <w:rPr>
          <w:rFonts w:ascii="Arial" w:hAnsi="Arial" w:cs="Arial"/>
          <w:sz w:val="20"/>
          <w:szCs w:val="20"/>
        </w:rPr>
      </w:pPr>
      <w:r w:rsidRPr="00EC1B17">
        <w:rPr>
          <w:rFonts w:ascii="Arial" w:hAnsi="Arial" w:cs="Arial"/>
          <w:sz w:val="20"/>
          <w:szCs w:val="20"/>
        </w:rPr>
        <w:t xml:space="preserve">Príklady úspešných projektov prioritnej osi 1, finančne aj fyzicky ukončených, sú uvedené na </w:t>
      </w:r>
      <w:r w:rsidR="001F059E" w:rsidRPr="00EC1B17">
        <w:rPr>
          <w:rFonts w:ascii="Arial" w:hAnsi="Arial" w:cs="Arial"/>
          <w:sz w:val="20"/>
          <w:szCs w:val="20"/>
        </w:rPr>
        <w:t xml:space="preserve">webovom sídle </w:t>
      </w:r>
      <w:r w:rsidRPr="00EC1B17">
        <w:rPr>
          <w:rFonts w:ascii="Arial" w:hAnsi="Arial" w:cs="Arial"/>
          <w:sz w:val="20"/>
          <w:szCs w:val="20"/>
        </w:rPr>
        <w:t xml:space="preserve">OP ŽP </w:t>
      </w:r>
      <w:hyperlink r:id="rId20" w:history="1">
        <w:r w:rsidR="000E2934" w:rsidRPr="0093280D">
          <w:rPr>
            <w:rStyle w:val="Hypertextovprepojenie"/>
            <w:rFonts w:ascii="Arial" w:hAnsi="Arial" w:cs="Arial"/>
            <w:sz w:val="20"/>
            <w:szCs w:val="20"/>
          </w:rPr>
          <w:t>www.opzp.sk</w:t>
        </w:r>
      </w:hyperlink>
      <w:r w:rsidR="000E2934">
        <w:rPr>
          <w:rFonts w:ascii="Arial" w:hAnsi="Arial" w:cs="Arial"/>
          <w:sz w:val="20"/>
          <w:szCs w:val="20"/>
        </w:rPr>
        <w:t xml:space="preserve"> v časti </w:t>
      </w:r>
      <w:r w:rsidR="000E2934" w:rsidRPr="000E2934">
        <w:rPr>
          <w:rFonts w:ascii="Arial" w:hAnsi="Arial" w:cs="Arial"/>
          <w:sz w:val="20"/>
          <w:szCs w:val="20"/>
        </w:rPr>
        <w:t>Hlavná stránka &gt; Projekty &gt; Mapa vzorových úspešne realizovaných projektov OPŽP</w:t>
      </w:r>
      <w:r w:rsidR="000E2934">
        <w:rPr>
          <w:rFonts w:ascii="Arial" w:hAnsi="Arial" w:cs="Arial"/>
          <w:sz w:val="20"/>
          <w:szCs w:val="20"/>
        </w:rPr>
        <w:t xml:space="preserve"> </w:t>
      </w:r>
      <w:r w:rsidR="00033F3F" w:rsidRPr="00EC1B17">
        <w:rPr>
          <w:rFonts w:ascii="Arial" w:hAnsi="Arial" w:cs="Arial"/>
          <w:sz w:val="20"/>
          <w:szCs w:val="20"/>
        </w:rPr>
        <w:t xml:space="preserve">a tiež sú súčasťou </w:t>
      </w:r>
      <w:r w:rsidR="00033F3F" w:rsidRPr="000E2934">
        <w:rPr>
          <w:rFonts w:ascii="Arial" w:hAnsi="Arial" w:cs="Arial"/>
          <w:sz w:val="20"/>
          <w:szCs w:val="20"/>
        </w:rPr>
        <w:t>Prílohy č. 10</w:t>
      </w:r>
      <w:r w:rsidR="00033F3F" w:rsidRPr="00EC1B17">
        <w:rPr>
          <w:rFonts w:ascii="Arial" w:hAnsi="Arial" w:cs="Arial"/>
          <w:sz w:val="20"/>
          <w:szCs w:val="20"/>
        </w:rPr>
        <w:t xml:space="preserve"> </w:t>
      </w:r>
      <w:r w:rsidR="00803883">
        <w:rPr>
          <w:rFonts w:ascii="Arial" w:hAnsi="Arial" w:cs="Arial"/>
          <w:sz w:val="20"/>
          <w:szCs w:val="20"/>
        </w:rPr>
        <w:t>záverečnej</w:t>
      </w:r>
      <w:r w:rsidR="00803883" w:rsidRPr="00EC1B17">
        <w:rPr>
          <w:rFonts w:ascii="Arial" w:hAnsi="Arial" w:cs="Arial"/>
          <w:sz w:val="20"/>
          <w:szCs w:val="20"/>
        </w:rPr>
        <w:t xml:space="preserve"> </w:t>
      </w:r>
      <w:r w:rsidR="00033F3F" w:rsidRPr="00EC1B17">
        <w:rPr>
          <w:rFonts w:ascii="Arial" w:hAnsi="Arial" w:cs="Arial"/>
          <w:sz w:val="20"/>
          <w:szCs w:val="20"/>
        </w:rPr>
        <w:t>správy.</w:t>
      </w:r>
    </w:p>
    <w:p w14:paraId="70FF8415" w14:textId="77777777" w:rsidR="002416B1" w:rsidRPr="002526CC" w:rsidRDefault="002416B1" w:rsidP="00123376">
      <w:pPr>
        <w:pStyle w:val="Nadpis8"/>
        <w:spacing w:after="120"/>
        <w:rPr>
          <w:rFonts w:ascii="Arial" w:hAnsi="Arial" w:cs="Arial"/>
          <w:b/>
          <w:sz w:val="22"/>
          <w:szCs w:val="22"/>
        </w:rPr>
      </w:pPr>
      <w:r w:rsidRPr="002526CC">
        <w:rPr>
          <w:rFonts w:ascii="Arial" w:hAnsi="Arial" w:cs="Arial"/>
          <w:b/>
          <w:sz w:val="22"/>
          <w:szCs w:val="22"/>
        </w:rPr>
        <w:t>3.1.1.1 Stav fyzického pokroku prioritnej osi 1</w:t>
      </w:r>
    </w:p>
    <w:p w14:paraId="2F6CA89C" w14:textId="383E8A1E" w:rsidR="00995EF3" w:rsidRPr="003D4CAD" w:rsidRDefault="002416B1" w:rsidP="00123376">
      <w:pPr>
        <w:pStyle w:val="Zkladntextb"/>
        <w:spacing w:before="120" w:after="120" w:line="240" w:lineRule="auto"/>
        <w:ind w:left="0"/>
        <w:jc w:val="both"/>
        <w:rPr>
          <w:rFonts w:cs="Arial"/>
          <w:highlight w:val="yellow"/>
        </w:rPr>
      </w:pPr>
      <w:r w:rsidRPr="00123376">
        <w:rPr>
          <w:rFonts w:cs="Arial"/>
          <w:lang w:val="sk-SK"/>
        </w:rPr>
        <w:t xml:space="preserve">V rámci Prioritnej osi 1 Integrovaná ochrana a racionálne využívanie vôd bolo od začiatku </w:t>
      </w:r>
      <w:r w:rsidR="007B6809" w:rsidRPr="00123376">
        <w:rPr>
          <w:rFonts w:cs="Arial"/>
          <w:lang w:val="sk-SK"/>
        </w:rPr>
        <w:t>programov</w:t>
      </w:r>
      <w:r w:rsidR="007B6809">
        <w:rPr>
          <w:rFonts w:cs="Arial"/>
          <w:lang w:val="sk-SK"/>
        </w:rPr>
        <w:t>ého</w:t>
      </w:r>
      <w:r w:rsidR="007B6809" w:rsidRPr="00123376">
        <w:rPr>
          <w:rFonts w:cs="Arial"/>
          <w:lang w:val="sk-SK"/>
        </w:rPr>
        <w:t xml:space="preserve"> </w:t>
      </w:r>
      <w:r w:rsidRPr="00123376">
        <w:rPr>
          <w:rFonts w:cs="Arial"/>
          <w:lang w:val="sk-SK"/>
        </w:rPr>
        <w:t>obdobia k </w:t>
      </w:r>
      <w:r w:rsidR="002A157D">
        <w:rPr>
          <w:rFonts w:cs="Arial"/>
          <w:lang w:val="sk-SK"/>
        </w:rPr>
        <w:t>31. 1</w:t>
      </w:r>
      <w:r w:rsidR="001A0BB8">
        <w:rPr>
          <w:rFonts w:cs="Arial"/>
          <w:lang w:val="sk-SK"/>
        </w:rPr>
        <w:t>2</w:t>
      </w:r>
      <w:r w:rsidR="002A157D">
        <w:rPr>
          <w:rFonts w:cs="Arial"/>
          <w:lang w:val="sk-SK"/>
        </w:rPr>
        <w:t>. 201</w:t>
      </w:r>
      <w:r w:rsidR="001A0BB8">
        <w:rPr>
          <w:rFonts w:cs="Arial"/>
          <w:lang w:val="sk-SK"/>
        </w:rPr>
        <w:t>5</w:t>
      </w:r>
      <w:r w:rsidR="002A157D">
        <w:rPr>
          <w:rFonts w:cs="Arial"/>
          <w:lang w:val="sk-SK"/>
        </w:rPr>
        <w:t xml:space="preserve"> </w:t>
      </w:r>
      <w:r w:rsidRPr="00123376">
        <w:rPr>
          <w:rFonts w:cs="Arial"/>
          <w:lang w:val="sk-SK"/>
        </w:rPr>
        <w:t xml:space="preserve">vyhlásených </w:t>
      </w:r>
      <w:r w:rsidR="00D46218">
        <w:rPr>
          <w:rFonts w:cs="Arial"/>
          <w:lang w:val="sk-SK"/>
        </w:rPr>
        <w:t>trinásť</w:t>
      </w:r>
      <w:r w:rsidR="008645B6" w:rsidRPr="00123376">
        <w:rPr>
          <w:rFonts w:cs="Arial"/>
          <w:lang w:val="sk-SK"/>
        </w:rPr>
        <w:t xml:space="preserve"> </w:t>
      </w:r>
      <w:r w:rsidRPr="00123376">
        <w:rPr>
          <w:rFonts w:cs="Arial"/>
          <w:lang w:val="sk-SK"/>
        </w:rPr>
        <w:t xml:space="preserve">výziev na predkladanie žiadostí o NFP v celkovej alokácii </w:t>
      </w:r>
      <w:r w:rsidR="0061792B" w:rsidRPr="0033631F">
        <w:rPr>
          <w:rFonts w:cs="Arial"/>
          <w:lang w:val="sk-SK"/>
        </w:rPr>
        <w:t>1 466</w:t>
      </w:r>
      <w:r w:rsidR="00935F07" w:rsidRPr="0033631F">
        <w:rPr>
          <w:rFonts w:cs="Arial"/>
          <w:lang w:val="sk-SK"/>
        </w:rPr>
        <w:t> </w:t>
      </w:r>
      <w:r w:rsidR="0061792B" w:rsidRPr="0033631F">
        <w:rPr>
          <w:rFonts w:cs="Arial"/>
          <w:lang w:val="sk-SK"/>
        </w:rPr>
        <w:t>0</w:t>
      </w:r>
      <w:r w:rsidR="00935F07" w:rsidRPr="0033631F">
        <w:rPr>
          <w:rFonts w:cs="Arial"/>
          <w:lang w:val="sk-SK"/>
        </w:rPr>
        <w:t xml:space="preserve">44 </w:t>
      </w:r>
      <w:r w:rsidR="0061792B" w:rsidRPr="0033631F">
        <w:rPr>
          <w:rFonts w:cs="Arial"/>
          <w:lang w:val="sk-SK"/>
        </w:rPr>
        <w:t>515</w:t>
      </w:r>
      <w:r w:rsidR="00912C87" w:rsidRPr="0033631F">
        <w:rPr>
          <w:rFonts w:cs="Arial"/>
          <w:lang w:val="sk-SK"/>
        </w:rPr>
        <w:t xml:space="preserve"> </w:t>
      </w:r>
      <w:r w:rsidR="00F04811" w:rsidRPr="00F04811">
        <w:rPr>
          <w:rFonts w:cs="Arial"/>
          <w:lang w:val="sk-SK"/>
        </w:rPr>
        <w:t xml:space="preserve"> €</w:t>
      </w:r>
      <w:r w:rsidR="002A157D" w:rsidRPr="0033631F">
        <w:rPr>
          <w:rFonts w:cs="Arial"/>
          <w:lang w:val="sk-SK"/>
        </w:rPr>
        <w:t>,</w:t>
      </w:r>
      <w:r w:rsidR="002A157D">
        <w:rPr>
          <w:rFonts w:cs="Arial"/>
          <w:lang w:val="sk-SK"/>
        </w:rPr>
        <w:t xml:space="preserve"> </w:t>
      </w:r>
      <w:r w:rsidR="00161F11">
        <w:rPr>
          <w:rFonts w:cs="Arial"/>
          <w:lang w:val="sk-SK"/>
        </w:rPr>
        <w:t xml:space="preserve">z toho jeden oznam na predkladanie projektových zámerov veľkých projektov. </w:t>
      </w:r>
      <w:r w:rsidR="00FD6F02" w:rsidRPr="00EC7742">
        <w:rPr>
          <w:rFonts w:cs="Arial"/>
          <w:lang w:val="sk-SK"/>
        </w:rPr>
        <w:t xml:space="preserve">Počas </w:t>
      </w:r>
      <w:r w:rsidR="00BC5844" w:rsidRPr="00EC7742">
        <w:rPr>
          <w:rFonts w:cs="Arial"/>
          <w:lang w:val="sk-SK"/>
        </w:rPr>
        <w:t xml:space="preserve">roka </w:t>
      </w:r>
      <w:r w:rsidR="00A26BB0" w:rsidRPr="00EC7742">
        <w:rPr>
          <w:rFonts w:cs="Arial"/>
          <w:lang w:val="sk-SK"/>
        </w:rPr>
        <w:t>201</w:t>
      </w:r>
      <w:r w:rsidR="006B0F6F" w:rsidRPr="00EC7742">
        <w:rPr>
          <w:rFonts w:cs="Arial"/>
          <w:lang w:val="sk-SK"/>
        </w:rPr>
        <w:t>5</w:t>
      </w:r>
      <w:r w:rsidR="00A26BB0" w:rsidRPr="00EC7742">
        <w:rPr>
          <w:rFonts w:cs="Arial"/>
          <w:lang w:val="sk-SK"/>
        </w:rPr>
        <w:t xml:space="preserve"> </w:t>
      </w:r>
      <w:r w:rsidR="006B0F6F" w:rsidRPr="00EC7742">
        <w:rPr>
          <w:rFonts w:cs="Arial"/>
          <w:lang w:val="sk-SK"/>
        </w:rPr>
        <w:t xml:space="preserve">nebola </w:t>
      </w:r>
      <w:r w:rsidR="004C2C23">
        <w:rPr>
          <w:rFonts w:cs="Arial"/>
          <w:lang w:val="sk-SK"/>
        </w:rPr>
        <w:t>vyhlásená</w:t>
      </w:r>
      <w:r w:rsidR="00FD6F02" w:rsidRPr="00EC7742">
        <w:rPr>
          <w:rFonts w:cs="Arial"/>
          <w:lang w:val="sk-SK"/>
        </w:rPr>
        <w:t xml:space="preserve"> výzv</w:t>
      </w:r>
      <w:r w:rsidR="001F57CB" w:rsidRPr="00EC7742">
        <w:rPr>
          <w:rFonts w:cs="Arial"/>
          <w:lang w:val="sk-SK"/>
        </w:rPr>
        <w:t>a</w:t>
      </w:r>
      <w:r w:rsidR="00FD6F02" w:rsidRPr="00EC7742">
        <w:rPr>
          <w:rFonts w:cs="Arial"/>
          <w:lang w:val="sk-SK"/>
        </w:rPr>
        <w:t xml:space="preserve"> na predkladanie žiadostí o NFP. </w:t>
      </w:r>
    </w:p>
    <w:p w14:paraId="0D6FF9F1" w14:textId="4ED6342B" w:rsidR="002416B1" w:rsidRPr="00E21C60" w:rsidRDefault="002416B1" w:rsidP="00123376">
      <w:pPr>
        <w:rPr>
          <w:rFonts w:ascii="Arial" w:hAnsi="Arial" w:cs="Arial"/>
          <w:sz w:val="20"/>
          <w:szCs w:val="20"/>
          <w:highlight w:val="yellow"/>
        </w:rPr>
      </w:pPr>
      <w:r w:rsidRPr="002526CC">
        <w:rPr>
          <w:rFonts w:ascii="Arial" w:hAnsi="Arial" w:cs="Arial"/>
          <w:sz w:val="20"/>
          <w:szCs w:val="20"/>
        </w:rPr>
        <w:t>Tab</w:t>
      </w:r>
      <w:r w:rsidR="00DD40F1" w:rsidRPr="00E21C60">
        <w:rPr>
          <w:rFonts w:ascii="Arial" w:hAnsi="Arial" w:cs="Arial"/>
          <w:sz w:val="20"/>
          <w:szCs w:val="20"/>
        </w:rPr>
        <w:t>uľka</w:t>
      </w:r>
      <w:r w:rsidRPr="00E21C60">
        <w:rPr>
          <w:rFonts w:ascii="Arial" w:hAnsi="Arial" w:cs="Arial"/>
          <w:sz w:val="20"/>
          <w:szCs w:val="20"/>
        </w:rPr>
        <w:t xml:space="preserve"> č. </w:t>
      </w:r>
      <w:r w:rsidR="007B1CB9">
        <w:rPr>
          <w:rFonts w:ascii="Arial" w:hAnsi="Arial" w:cs="Arial"/>
          <w:sz w:val="20"/>
          <w:szCs w:val="20"/>
        </w:rPr>
        <w:t>40</w:t>
      </w:r>
      <w:r w:rsidRPr="00E21C60">
        <w:rPr>
          <w:rFonts w:ascii="Arial" w:hAnsi="Arial" w:cs="Arial"/>
          <w:sz w:val="20"/>
          <w:szCs w:val="20"/>
        </w:rPr>
        <w:t xml:space="preserve">: </w:t>
      </w:r>
      <w:r w:rsidR="00BA5987" w:rsidRPr="00E21C60">
        <w:rPr>
          <w:rFonts w:ascii="Arial" w:hAnsi="Arial" w:cs="Arial"/>
          <w:sz w:val="20"/>
          <w:szCs w:val="20"/>
        </w:rPr>
        <w:t>Prehľad</w:t>
      </w:r>
      <w:r w:rsidRPr="00E21C60">
        <w:rPr>
          <w:rFonts w:ascii="Arial" w:hAnsi="Arial" w:cs="Arial"/>
          <w:sz w:val="20"/>
          <w:szCs w:val="20"/>
        </w:rPr>
        <w:t xml:space="preserve"> výziev prioritnej osi 1 </w:t>
      </w:r>
      <w:r w:rsidR="00E41DCA" w:rsidRPr="00E21C60">
        <w:rPr>
          <w:rFonts w:ascii="Arial" w:hAnsi="Arial" w:cs="Arial"/>
          <w:sz w:val="20"/>
          <w:szCs w:val="20"/>
        </w:rPr>
        <w:t>od</w:t>
      </w:r>
      <w:r w:rsidRPr="00E21C60">
        <w:rPr>
          <w:rFonts w:ascii="Arial" w:hAnsi="Arial" w:cs="Arial"/>
          <w:sz w:val="20"/>
          <w:szCs w:val="20"/>
        </w:rPr>
        <w:t xml:space="preserve"> 01.01.</w:t>
      </w:r>
      <w:r w:rsidR="00CA6CC5" w:rsidRPr="00E21C60">
        <w:rPr>
          <w:rFonts w:ascii="Arial" w:hAnsi="Arial" w:cs="Arial"/>
          <w:sz w:val="20"/>
          <w:szCs w:val="20"/>
        </w:rPr>
        <w:t>201</w:t>
      </w:r>
      <w:r w:rsidR="008C22AF">
        <w:rPr>
          <w:rFonts w:ascii="Arial" w:hAnsi="Arial" w:cs="Arial"/>
          <w:sz w:val="20"/>
          <w:szCs w:val="20"/>
        </w:rPr>
        <w:t>5</w:t>
      </w:r>
      <w:r w:rsidR="00CA6CC5" w:rsidRPr="00E21C60">
        <w:rPr>
          <w:rFonts w:ascii="Arial" w:hAnsi="Arial" w:cs="Arial"/>
          <w:sz w:val="20"/>
          <w:szCs w:val="20"/>
        </w:rPr>
        <w:t xml:space="preserve"> </w:t>
      </w:r>
      <w:r w:rsidR="00E41DCA" w:rsidRPr="00E21C60">
        <w:rPr>
          <w:rFonts w:ascii="Arial" w:hAnsi="Arial" w:cs="Arial"/>
          <w:sz w:val="20"/>
          <w:szCs w:val="20"/>
        </w:rPr>
        <w:t>do</w:t>
      </w:r>
      <w:r w:rsidRPr="00E21C60">
        <w:rPr>
          <w:rFonts w:ascii="Arial" w:hAnsi="Arial" w:cs="Arial"/>
          <w:sz w:val="20"/>
          <w:szCs w:val="20"/>
        </w:rPr>
        <w:t xml:space="preserve"> 31.12.</w:t>
      </w:r>
      <w:r w:rsidR="00CA6CC5" w:rsidRPr="00E21C60">
        <w:rPr>
          <w:rFonts w:ascii="Arial" w:hAnsi="Arial" w:cs="Arial"/>
          <w:sz w:val="20"/>
          <w:szCs w:val="20"/>
        </w:rPr>
        <w:t>201</w:t>
      </w:r>
      <w:r w:rsidR="008C22AF">
        <w:rPr>
          <w:rFonts w:ascii="Arial" w:hAnsi="Arial" w:cs="Arial"/>
          <w:sz w:val="20"/>
          <w:szCs w:val="20"/>
        </w:rPr>
        <w:t>5</w:t>
      </w:r>
    </w:p>
    <w:tbl>
      <w:tblPr>
        <w:tblW w:w="9080" w:type="dxa"/>
        <w:tblInd w:w="55" w:type="dxa"/>
        <w:tblCellMar>
          <w:left w:w="70" w:type="dxa"/>
          <w:right w:w="70" w:type="dxa"/>
        </w:tblCellMar>
        <w:tblLook w:val="04A0" w:firstRow="1" w:lastRow="0" w:firstColumn="1" w:lastColumn="0" w:noHBand="0" w:noVBand="1"/>
      </w:tblPr>
      <w:tblGrid>
        <w:gridCol w:w="1560"/>
        <w:gridCol w:w="1880"/>
        <w:gridCol w:w="1880"/>
        <w:gridCol w:w="1880"/>
        <w:gridCol w:w="1880"/>
      </w:tblGrid>
      <w:tr w:rsidR="00F675AD" w:rsidRPr="00E21C60" w14:paraId="36DE87B4" w14:textId="77777777" w:rsidTr="007D7B08">
        <w:trPr>
          <w:trHeight w:val="690"/>
        </w:trPr>
        <w:tc>
          <w:tcPr>
            <w:tcW w:w="1560"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hideMark/>
          </w:tcPr>
          <w:p w14:paraId="1BD4450E" w14:textId="77777777" w:rsidR="00F675AD" w:rsidRPr="00E21C60" w:rsidRDefault="00F675AD">
            <w:pPr>
              <w:jc w:val="center"/>
              <w:rPr>
                <w:rFonts w:ascii="Arial" w:hAnsi="Arial" w:cs="Arial"/>
                <w:b/>
                <w:bCs/>
                <w:color w:val="000000"/>
                <w:sz w:val="16"/>
                <w:szCs w:val="16"/>
              </w:rPr>
            </w:pPr>
            <w:r w:rsidRPr="00E21C60">
              <w:rPr>
                <w:rFonts w:ascii="Arial" w:hAnsi="Arial" w:cs="Arial"/>
                <w:b/>
                <w:bCs/>
                <w:color w:val="000000"/>
                <w:sz w:val="16"/>
                <w:szCs w:val="16"/>
              </w:rPr>
              <w:t>Opatrenie</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3969EDE6" w14:textId="77777777" w:rsidR="00F675AD" w:rsidRPr="00E21C60" w:rsidRDefault="00F675AD">
            <w:pPr>
              <w:jc w:val="center"/>
              <w:rPr>
                <w:rFonts w:ascii="Arial" w:hAnsi="Arial" w:cs="Arial"/>
                <w:b/>
                <w:bCs/>
                <w:color w:val="000000"/>
                <w:sz w:val="16"/>
                <w:szCs w:val="16"/>
              </w:rPr>
            </w:pPr>
            <w:r w:rsidRPr="00E21C60">
              <w:rPr>
                <w:rFonts w:ascii="Arial" w:hAnsi="Arial" w:cs="Arial"/>
                <w:b/>
                <w:bCs/>
                <w:color w:val="000000"/>
                <w:sz w:val="16"/>
                <w:szCs w:val="16"/>
              </w:rPr>
              <w:t>Typ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FD852CB" w14:textId="77777777" w:rsidR="00F675AD" w:rsidRPr="00E21C60" w:rsidRDefault="00F675AD">
            <w:pPr>
              <w:jc w:val="center"/>
              <w:rPr>
                <w:rFonts w:ascii="Arial" w:hAnsi="Arial" w:cs="Arial"/>
                <w:b/>
                <w:bCs/>
                <w:color w:val="000000"/>
                <w:sz w:val="16"/>
                <w:szCs w:val="16"/>
              </w:rPr>
            </w:pPr>
            <w:r w:rsidRPr="00E21C60">
              <w:rPr>
                <w:rFonts w:ascii="Arial" w:hAnsi="Arial" w:cs="Arial"/>
                <w:b/>
                <w:bCs/>
                <w:color w:val="000000"/>
                <w:sz w:val="16"/>
                <w:szCs w:val="16"/>
              </w:rPr>
              <w:t>Dátum vyhlásenia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8ECFF1B" w14:textId="77777777" w:rsidR="00F675AD" w:rsidRPr="00E21C60" w:rsidRDefault="00F675AD">
            <w:pPr>
              <w:jc w:val="center"/>
              <w:rPr>
                <w:rFonts w:ascii="Arial" w:hAnsi="Arial" w:cs="Arial"/>
                <w:b/>
                <w:bCs/>
                <w:color w:val="000000"/>
                <w:sz w:val="16"/>
                <w:szCs w:val="16"/>
              </w:rPr>
            </w:pPr>
            <w:r w:rsidRPr="00E21C60">
              <w:rPr>
                <w:rFonts w:ascii="Arial" w:hAnsi="Arial" w:cs="Arial"/>
                <w:b/>
                <w:bCs/>
                <w:color w:val="000000"/>
                <w:sz w:val="16"/>
                <w:szCs w:val="16"/>
              </w:rPr>
              <w:t xml:space="preserve">Dátum uzávierky prijímania žiadostí </w:t>
            </w:r>
            <w:r w:rsidRPr="00E21C60">
              <w:rPr>
                <w:rFonts w:ascii="Arial" w:hAnsi="Arial" w:cs="Arial"/>
                <w:b/>
                <w:bCs/>
                <w:color w:val="000000"/>
                <w:sz w:val="16"/>
                <w:szCs w:val="16"/>
              </w:rPr>
              <w:br/>
              <w:t>o NFP</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7035B9D" w14:textId="1D4FFC6F" w:rsidR="00F675AD" w:rsidRPr="00E21C60" w:rsidRDefault="00F675AD" w:rsidP="00C87F8D">
            <w:pPr>
              <w:jc w:val="center"/>
              <w:rPr>
                <w:rFonts w:ascii="Arial" w:hAnsi="Arial" w:cs="Arial"/>
                <w:b/>
                <w:bCs/>
                <w:color w:val="000000"/>
                <w:sz w:val="16"/>
                <w:szCs w:val="16"/>
              </w:rPr>
            </w:pPr>
            <w:r w:rsidRPr="00E21C60">
              <w:rPr>
                <w:rFonts w:ascii="Arial" w:hAnsi="Arial" w:cs="Arial"/>
                <w:b/>
                <w:bCs/>
                <w:color w:val="000000"/>
                <w:sz w:val="16"/>
                <w:szCs w:val="16"/>
              </w:rPr>
              <w:t>Alokácia FP na výzvu (</w:t>
            </w:r>
            <w:r w:rsidR="00C87F8D">
              <w:rPr>
                <w:rFonts w:ascii="Arial" w:hAnsi="Arial" w:cs="Arial"/>
                <w:b/>
                <w:bCs/>
                <w:color w:val="000000"/>
                <w:sz w:val="16"/>
                <w:szCs w:val="16"/>
              </w:rPr>
              <w:t>EÚ</w:t>
            </w:r>
            <w:r w:rsidR="00EC7742">
              <w:rPr>
                <w:rFonts w:ascii="Arial" w:hAnsi="Arial" w:cs="Arial"/>
                <w:b/>
                <w:bCs/>
                <w:color w:val="000000"/>
                <w:sz w:val="16"/>
                <w:szCs w:val="16"/>
              </w:rPr>
              <w:t xml:space="preserve"> + ŠR</w:t>
            </w:r>
            <w:r w:rsidR="00C87F8D">
              <w:rPr>
                <w:rFonts w:ascii="Arial" w:hAnsi="Arial" w:cs="Arial"/>
                <w:b/>
                <w:bCs/>
                <w:color w:val="000000"/>
                <w:sz w:val="16"/>
                <w:szCs w:val="16"/>
              </w:rPr>
              <w:t xml:space="preserve"> zdroje</w:t>
            </w:r>
            <w:r w:rsidRPr="00E21C60">
              <w:rPr>
                <w:rFonts w:ascii="Arial" w:hAnsi="Arial" w:cs="Arial"/>
                <w:b/>
                <w:bCs/>
                <w:color w:val="000000"/>
                <w:sz w:val="16"/>
                <w:szCs w:val="16"/>
              </w:rPr>
              <w:t>) v €</w:t>
            </w:r>
          </w:p>
        </w:tc>
      </w:tr>
      <w:tr w:rsidR="00F675AD" w:rsidRPr="00E21C60" w14:paraId="222859E4" w14:textId="77777777" w:rsidTr="00F675AD">
        <w:trPr>
          <w:trHeight w:val="315"/>
        </w:trPr>
        <w:tc>
          <w:tcPr>
            <w:tcW w:w="1560" w:type="dxa"/>
            <w:tcBorders>
              <w:top w:val="nil"/>
              <w:left w:val="single" w:sz="8" w:space="0" w:color="auto"/>
              <w:bottom w:val="single" w:sz="8" w:space="0" w:color="auto"/>
              <w:right w:val="single" w:sz="8" w:space="0" w:color="auto"/>
            </w:tcBorders>
            <w:shd w:val="clear" w:color="auto" w:fill="auto"/>
            <w:noWrap/>
            <w:vAlign w:val="center"/>
            <w:hideMark/>
          </w:tcPr>
          <w:p w14:paraId="1208CCED" w14:textId="4D2F2D03" w:rsidR="00F675AD" w:rsidRPr="002526CC" w:rsidRDefault="003065FA">
            <w:pPr>
              <w:jc w:val="center"/>
              <w:rPr>
                <w:rFonts w:ascii="Arial" w:hAnsi="Arial" w:cs="Arial"/>
                <w:color w:val="000000"/>
                <w:sz w:val="16"/>
                <w:szCs w:val="16"/>
              </w:rPr>
            </w:pPr>
            <w:r>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vAlign w:val="center"/>
            <w:hideMark/>
          </w:tcPr>
          <w:p w14:paraId="76AA4CFA" w14:textId="5A7A67C7" w:rsidR="00F675AD" w:rsidRPr="00E21C60" w:rsidRDefault="003065FA" w:rsidP="00354293">
            <w:pPr>
              <w:jc w:val="center"/>
              <w:rPr>
                <w:rFonts w:ascii="Arial" w:hAnsi="Arial" w:cs="Arial"/>
                <w:color w:val="000000"/>
                <w:sz w:val="16"/>
                <w:szCs w:val="16"/>
              </w:rPr>
            </w:pPr>
            <w:r>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7E580B74" w14:textId="24EC33E8" w:rsidR="00F675AD" w:rsidRPr="00E21C60" w:rsidRDefault="003065FA">
            <w:pPr>
              <w:jc w:val="center"/>
              <w:rPr>
                <w:rFonts w:ascii="Arial" w:hAnsi="Arial" w:cs="Arial"/>
                <w:color w:val="000000"/>
                <w:sz w:val="16"/>
                <w:szCs w:val="16"/>
              </w:rPr>
            </w:pPr>
            <w:r>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12BC4C11" w14:textId="1490135E" w:rsidR="00F675AD" w:rsidRPr="00E21C60" w:rsidRDefault="003065FA">
            <w:pPr>
              <w:jc w:val="center"/>
              <w:rPr>
                <w:rFonts w:ascii="Arial" w:hAnsi="Arial" w:cs="Arial"/>
                <w:color w:val="000000"/>
                <w:sz w:val="16"/>
                <w:szCs w:val="16"/>
              </w:rPr>
            </w:pPr>
            <w:r>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5CBEE371" w14:textId="7643A695" w:rsidR="00F675AD" w:rsidRPr="00E21C60" w:rsidRDefault="003065FA">
            <w:pPr>
              <w:jc w:val="center"/>
              <w:rPr>
                <w:rFonts w:ascii="Arial" w:hAnsi="Arial" w:cs="Arial"/>
                <w:color w:val="000000"/>
                <w:sz w:val="16"/>
                <w:szCs w:val="16"/>
              </w:rPr>
            </w:pPr>
            <w:r>
              <w:rPr>
                <w:rFonts w:ascii="Arial" w:hAnsi="Arial" w:cs="Arial"/>
                <w:color w:val="000000"/>
                <w:sz w:val="16"/>
                <w:szCs w:val="16"/>
              </w:rPr>
              <w:t>-</w:t>
            </w:r>
          </w:p>
        </w:tc>
      </w:tr>
      <w:tr w:rsidR="00F675AD" w:rsidRPr="00E21C60" w14:paraId="2212CEA8" w14:textId="77777777" w:rsidTr="00F675AD">
        <w:trPr>
          <w:trHeight w:val="315"/>
        </w:trPr>
        <w:tc>
          <w:tcPr>
            <w:tcW w:w="7200"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14:paraId="4668BADB" w14:textId="77777777" w:rsidR="00F675AD" w:rsidRPr="002526CC" w:rsidRDefault="00F675AD">
            <w:pPr>
              <w:rPr>
                <w:rFonts w:ascii="Arial" w:hAnsi="Arial" w:cs="Arial"/>
                <w:b/>
                <w:bCs/>
                <w:color w:val="000000"/>
                <w:sz w:val="16"/>
                <w:szCs w:val="16"/>
              </w:rPr>
            </w:pPr>
            <w:r w:rsidRPr="002526CC">
              <w:rPr>
                <w:rFonts w:ascii="Arial" w:hAnsi="Arial" w:cs="Arial"/>
                <w:b/>
                <w:bCs/>
                <w:color w:val="000000"/>
                <w:sz w:val="16"/>
                <w:szCs w:val="16"/>
              </w:rPr>
              <w:t>Spolu za prioritu</w:t>
            </w:r>
          </w:p>
        </w:tc>
        <w:tc>
          <w:tcPr>
            <w:tcW w:w="1880" w:type="dxa"/>
            <w:tcBorders>
              <w:top w:val="nil"/>
              <w:left w:val="nil"/>
              <w:bottom w:val="single" w:sz="8" w:space="0" w:color="auto"/>
              <w:right w:val="single" w:sz="8" w:space="0" w:color="auto"/>
            </w:tcBorders>
            <w:shd w:val="clear" w:color="auto" w:fill="auto"/>
            <w:noWrap/>
            <w:vAlign w:val="center"/>
            <w:hideMark/>
          </w:tcPr>
          <w:p w14:paraId="3AD5405C" w14:textId="1C5A8D21" w:rsidR="00F675AD" w:rsidRPr="00E21C60" w:rsidRDefault="003065FA">
            <w:pPr>
              <w:jc w:val="center"/>
              <w:rPr>
                <w:rFonts w:ascii="Arial" w:hAnsi="Arial" w:cs="Arial"/>
                <w:b/>
                <w:bCs/>
                <w:color w:val="000000"/>
                <w:sz w:val="16"/>
                <w:szCs w:val="16"/>
              </w:rPr>
            </w:pPr>
            <w:r>
              <w:rPr>
                <w:rFonts w:ascii="Arial" w:hAnsi="Arial" w:cs="Arial"/>
                <w:color w:val="000000"/>
                <w:sz w:val="16"/>
                <w:szCs w:val="16"/>
              </w:rPr>
              <w:t>-</w:t>
            </w:r>
          </w:p>
        </w:tc>
      </w:tr>
    </w:tbl>
    <w:p w14:paraId="468ED694" w14:textId="77777777" w:rsidR="002416B1" w:rsidRPr="00123376" w:rsidRDefault="00000CC9" w:rsidP="00123376">
      <w:pPr>
        <w:pStyle w:val="Zkladntextb"/>
        <w:spacing w:after="0" w:line="240" w:lineRule="auto"/>
        <w:ind w:left="0"/>
        <w:rPr>
          <w:rFonts w:cs="Arial"/>
          <w:sz w:val="16"/>
          <w:szCs w:val="16"/>
          <w:highlight w:val="yellow"/>
          <w:lang w:val="sk-SK"/>
        </w:rPr>
      </w:pPr>
      <w:r w:rsidRPr="00123376">
        <w:rPr>
          <w:rFonts w:cs="Arial"/>
          <w:sz w:val="16"/>
          <w:szCs w:val="16"/>
          <w:lang w:val="sk-SK"/>
        </w:rPr>
        <w:t>Zdroj: RO, ITMS</w:t>
      </w:r>
    </w:p>
    <w:p w14:paraId="70CAB38B" w14:textId="296A03FA" w:rsidR="002416B1" w:rsidRPr="00EC1B17" w:rsidDel="0007258C" w:rsidRDefault="00E54823" w:rsidP="00123376">
      <w:pPr>
        <w:spacing w:before="120" w:after="120"/>
        <w:jc w:val="both"/>
        <w:rPr>
          <w:rFonts w:ascii="Arial" w:hAnsi="Arial" w:cs="Arial"/>
          <w:sz w:val="20"/>
          <w:szCs w:val="20"/>
        </w:rPr>
      </w:pPr>
      <w:r w:rsidRPr="002526CC">
        <w:rPr>
          <w:rFonts w:ascii="Arial" w:hAnsi="Arial" w:cs="Arial"/>
          <w:sz w:val="20"/>
          <w:szCs w:val="20"/>
        </w:rPr>
        <w:t>P</w:t>
      </w:r>
      <w:r w:rsidR="002416B1" w:rsidRPr="00EC1B17">
        <w:rPr>
          <w:rFonts w:ascii="Arial" w:hAnsi="Arial" w:cs="Arial"/>
          <w:sz w:val="20"/>
          <w:szCs w:val="20"/>
        </w:rPr>
        <w:t>odrobnejš</w:t>
      </w:r>
      <w:r w:rsidRPr="00EC1B17">
        <w:rPr>
          <w:rFonts w:ascii="Arial" w:hAnsi="Arial" w:cs="Arial"/>
          <w:sz w:val="20"/>
          <w:szCs w:val="20"/>
        </w:rPr>
        <w:t>ie</w:t>
      </w:r>
      <w:r w:rsidR="002416B1" w:rsidRPr="00EC1B17">
        <w:rPr>
          <w:rFonts w:ascii="Arial" w:hAnsi="Arial" w:cs="Arial"/>
          <w:sz w:val="20"/>
          <w:szCs w:val="20"/>
        </w:rPr>
        <w:t xml:space="preserve"> </w:t>
      </w:r>
      <w:r w:rsidRPr="00EC1B17">
        <w:rPr>
          <w:rFonts w:ascii="Arial" w:hAnsi="Arial" w:cs="Arial"/>
          <w:sz w:val="20"/>
          <w:szCs w:val="20"/>
        </w:rPr>
        <w:t>informácie o</w:t>
      </w:r>
      <w:r w:rsidR="002416B1" w:rsidRPr="00EC1B17">
        <w:rPr>
          <w:rFonts w:ascii="Arial" w:hAnsi="Arial" w:cs="Arial"/>
          <w:sz w:val="20"/>
          <w:szCs w:val="20"/>
        </w:rPr>
        <w:t xml:space="preserve"> </w:t>
      </w:r>
      <w:r w:rsidR="002F5A76" w:rsidRPr="00EC1B17">
        <w:rPr>
          <w:rFonts w:ascii="Arial" w:hAnsi="Arial" w:cs="Arial"/>
          <w:sz w:val="20"/>
          <w:szCs w:val="20"/>
        </w:rPr>
        <w:t xml:space="preserve">vyhlásených </w:t>
      </w:r>
      <w:r w:rsidRPr="00EC1B17">
        <w:rPr>
          <w:rFonts w:ascii="Arial" w:hAnsi="Arial" w:cs="Arial"/>
          <w:sz w:val="20"/>
          <w:szCs w:val="20"/>
        </w:rPr>
        <w:t>výzvach</w:t>
      </w:r>
      <w:r w:rsidR="0008428C">
        <w:rPr>
          <w:rFonts w:ascii="Arial" w:hAnsi="Arial" w:cs="Arial"/>
          <w:sz w:val="20"/>
          <w:szCs w:val="20"/>
        </w:rPr>
        <w:t xml:space="preserve"> </w:t>
      </w:r>
      <w:r w:rsidR="001A24B1">
        <w:rPr>
          <w:rFonts w:ascii="Arial" w:hAnsi="Arial" w:cs="Arial"/>
          <w:sz w:val="20"/>
          <w:szCs w:val="20"/>
        </w:rPr>
        <w:t xml:space="preserve">sú </w:t>
      </w:r>
      <w:r w:rsidR="002416B1" w:rsidRPr="00EC1B17">
        <w:rPr>
          <w:rFonts w:ascii="Arial" w:hAnsi="Arial" w:cs="Arial"/>
          <w:sz w:val="20"/>
          <w:szCs w:val="20"/>
        </w:rPr>
        <w:t xml:space="preserve">spolu s prehľadom </w:t>
      </w:r>
      <w:r w:rsidRPr="00EC1B17">
        <w:rPr>
          <w:rFonts w:ascii="Arial" w:hAnsi="Arial" w:cs="Arial"/>
          <w:sz w:val="20"/>
          <w:szCs w:val="20"/>
        </w:rPr>
        <w:t xml:space="preserve">údajov </w:t>
      </w:r>
      <w:r w:rsidR="002416B1" w:rsidRPr="00EC1B17">
        <w:rPr>
          <w:rFonts w:ascii="Arial" w:hAnsi="Arial" w:cs="Arial"/>
          <w:sz w:val="20"/>
          <w:szCs w:val="20"/>
        </w:rPr>
        <w:t xml:space="preserve">o projektoch </w:t>
      </w:r>
      <w:r w:rsidR="002F5A76">
        <w:rPr>
          <w:rFonts w:ascii="Arial" w:hAnsi="Arial" w:cs="Arial"/>
          <w:sz w:val="20"/>
          <w:szCs w:val="20"/>
        </w:rPr>
        <w:t xml:space="preserve">k 31.10.2016 </w:t>
      </w:r>
      <w:r w:rsidRPr="00F02597">
        <w:rPr>
          <w:rFonts w:ascii="Arial" w:hAnsi="Arial" w:cs="Arial"/>
          <w:sz w:val="20"/>
          <w:szCs w:val="20"/>
        </w:rPr>
        <w:t xml:space="preserve">uvedené </w:t>
      </w:r>
      <w:r w:rsidRPr="00682B07">
        <w:rPr>
          <w:rFonts w:ascii="Arial" w:hAnsi="Arial" w:cs="Arial"/>
          <w:sz w:val="20"/>
          <w:szCs w:val="20"/>
        </w:rPr>
        <w:t xml:space="preserve">v Prílohe </w:t>
      </w:r>
      <w:r w:rsidR="002416B1" w:rsidRPr="00682B07">
        <w:rPr>
          <w:rFonts w:ascii="Arial" w:hAnsi="Arial" w:cs="Arial"/>
          <w:sz w:val="20"/>
          <w:szCs w:val="20"/>
        </w:rPr>
        <w:t xml:space="preserve">č. </w:t>
      </w:r>
      <w:r w:rsidR="001E7990" w:rsidRPr="00682B07">
        <w:rPr>
          <w:rFonts w:ascii="Arial" w:hAnsi="Arial" w:cs="Arial"/>
          <w:sz w:val="20"/>
          <w:szCs w:val="20"/>
        </w:rPr>
        <w:t>1</w:t>
      </w:r>
      <w:r w:rsidR="002416B1" w:rsidRPr="00682B07">
        <w:rPr>
          <w:rFonts w:ascii="Arial" w:hAnsi="Arial" w:cs="Arial"/>
          <w:sz w:val="20"/>
          <w:szCs w:val="20"/>
        </w:rPr>
        <w:t>.</w:t>
      </w:r>
    </w:p>
    <w:p w14:paraId="280ADF8C" w14:textId="3F59C52F" w:rsidR="00630902" w:rsidRDefault="001A24B1" w:rsidP="00123376">
      <w:pPr>
        <w:spacing w:before="120" w:after="120"/>
        <w:jc w:val="both"/>
        <w:rPr>
          <w:rFonts w:ascii="Arial" w:hAnsi="Arial" w:cs="Arial"/>
          <w:sz w:val="20"/>
          <w:szCs w:val="20"/>
        </w:rPr>
      </w:pPr>
      <w:r>
        <w:rPr>
          <w:rFonts w:ascii="Arial" w:hAnsi="Arial" w:cs="Arial"/>
          <w:sz w:val="20"/>
          <w:szCs w:val="20"/>
        </w:rPr>
        <w:t>Celkovo</w:t>
      </w:r>
      <w:r w:rsidR="00630902" w:rsidRPr="00630902">
        <w:rPr>
          <w:rFonts w:ascii="Arial" w:hAnsi="Arial" w:cs="Arial"/>
          <w:sz w:val="20"/>
          <w:szCs w:val="20"/>
        </w:rPr>
        <w:t xml:space="preserve"> bol</w:t>
      </w:r>
      <w:r>
        <w:rPr>
          <w:rFonts w:ascii="Arial" w:hAnsi="Arial" w:cs="Arial"/>
          <w:sz w:val="20"/>
          <w:szCs w:val="20"/>
        </w:rPr>
        <w:t>o v rámci PO 1 prijatých</w:t>
      </w:r>
      <w:r w:rsidR="00630902" w:rsidRPr="00630902">
        <w:rPr>
          <w:rFonts w:ascii="Arial" w:hAnsi="Arial" w:cs="Arial"/>
          <w:sz w:val="20"/>
          <w:szCs w:val="20"/>
        </w:rPr>
        <w:t xml:space="preserve"> 486 žiadostí o NFP v objeme </w:t>
      </w:r>
      <w:r>
        <w:rPr>
          <w:rFonts w:ascii="Arial" w:hAnsi="Arial" w:cs="Arial"/>
          <w:sz w:val="20"/>
          <w:szCs w:val="20"/>
        </w:rPr>
        <w:t>žiadaného</w:t>
      </w:r>
      <w:r w:rsidR="00630902" w:rsidRPr="00630902">
        <w:rPr>
          <w:rFonts w:ascii="Arial" w:hAnsi="Arial" w:cs="Arial"/>
          <w:sz w:val="20"/>
          <w:szCs w:val="20"/>
        </w:rPr>
        <w:t xml:space="preserve"> príspevku </w:t>
      </w:r>
      <w:r w:rsidR="007D15DF">
        <w:rPr>
          <w:rFonts w:ascii="Arial" w:hAnsi="Arial" w:cs="Arial"/>
          <w:sz w:val="20"/>
          <w:szCs w:val="20"/>
        </w:rPr>
        <w:t>3 012 394 876</w:t>
      </w:r>
      <w:r w:rsidR="00630902" w:rsidRPr="00630902">
        <w:rPr>
          <w:rFonts w:ascii="Arial" w:hAnsi="Arial" w:cs="Arial"/>
          <w:sz w:val="20"/>
          <w:szCs w:val="20"/>
        </w:rPr>
        <w:t xml:space="preserve"> </w:t>
      </w:r>
      <w:r w:rsidR="00837C70" w:rsidRPr="00837C70">
        <w:rPr>
          <w:rFonts w:ascii="Arial" w:hAnsi="Arial" w:cs="Arial"/>
          <w:sz w:val="20"/>
          <w:szCs w:val="20"/>
        </w:rPr>
        <w:t xml:space="preserve"> €</w:t>
      </w:r>
      <w:r w:rsidR="00630902" w:rsidRPr="00630902">
        <w:rPr>
          <w:rFonts w:ascii="Arial" w:hAnsi="Arial" w:cs="Arial"/>
          <w:sz w:val="20"/>
          <w:szCs w:val="20"/>
        </w:rPr>
        <w:t xml:space="preserve">. </w:t>
      </w:r>
      <w:r>
        <w:rPr>
          <w:rFonts w:ascii="Arial" w:hAnsi="Arial" w:cs="Arial"/>
          <w:sz w:val="20"/>
          <w:szCs w:val="20"/>
        </w:rPr>
        <w:t>S</w:t>
      </w:r>
      <w:r w:rsidR="00630902" w:rsidRPr="00630902">
        <w:rPr>
          <w:rFonts w:ascii="Arial" w:hAnsi="Arial" w:cs="Arial"/>
          <w:sz w:val="20"/>
          <w:szCs w:val="20"/>
        </w:rPr>
        <w:t xml:space="preserve">chválených </w:t>
      </w:r>
      <w:r>
        <w:rPr>
          <w:rFonts w:ascii="Arial" w:hAnsi="Arial" w:cs="Arial"/>
          <w:sz w:val="20"/>
          <w:szCs w:val="20"/>
        </w:rPr>
        <w:t xml:space="preserve">bolo </w:t>
      </w:r>
      <w:r w:rsidR="00630902" w:rsidRPr="00630902">
        <w:rPr>
          <w:rFonts w:ascii="Arial" w:hAnsi="Arial" w:cs="Arial"/>
          <w:sz w:val="20"/>
          <w:szCs w:val="20"/>
        </w:rPr>
        <w:t>20</w:t>
      </w:r>
      <w:r w:rsidR="00AB6B06">
        <w:rPr>
          <w:rFonts w:ascii="Arial" w:hAnsi="Arial" w:cs="Arial"/>
          <w:sz w:val="20"/>
          <w:szCs w:val="20"/>
        </w:rPr>
        <w:t>3</w:t>
      </w:r>
      <w:r w:rsidR="00630902" w:rsidRPr="00630902">
        <w:rPr>
          <w:rFonts w:ascii="Arial" w:hAnsi="Arial" w:cs="Arial"/>
          <w:sz w:val="20"/>
          <w:szCs w:val="20"/>
        </w:rPr>
        <w:t xml:space="preserve"> žiadostí o NFP v objeme </w:t>
      </w:r>
      <w:r>
        <w:rPr>
          <w:rFonts w:ascii="Arial" w:hAnsi="Arial" w:cs="Arial"/>
          <w:sz w:val="20"/>
          <w:szCs w:val="20"/>
        </w:rPr>
        <w:t>žiadaných</w:t>
      </w:r>
      <w:r w:rsidR="00630902" w:rsidRPr="00630902">
        <w:rPr>
          <w:rFonts w:ascii="Arial" w:hAnsi="Arial" w:cs="Arial"/>
          <w:sz w:val="20"/>
          <w:szCs w:val="20"/>
        </w:rPr>
        <w:t xml:space="preserve"> finančných prostriedkov </w:t>
      </w:r>
      <w:r w:rsidR="00AB6B06">
        <w:rPr>
          <w:rFonts w:ascii="Arial" w:hAnsi="Arial" w:cs="Arial"/>
          <w:sz w:val="20"/>
          <w:szCs w:val="20"/>
        </w:rPr>
        <w:t>1 442 635</w:t>
      </w:r>
      <w:r w:rsidR="00596E43">
        <w:rPr>
          <w:rFonts w:ascii="Arial" w:hAnsi="Arial" w:cs="Arial"/>
          <w:sz w:val="20"/>
          <w:szCs w:val="20"/>
        </w:rPr>
        <w:t> </w:t>
      </w:r>
      <w:r w:rsidR="00AB6B06" w:rsidRPr="00AB6B06">
        <w:rPr>
          <w:rFonts w:ascii="Arial" w:hAnsi="Arial" w:cs="Arial"/>
          <w:sz w:val="20"/>
          <w:szCs w:val="20"/>
        </w:rPr>
        <w:t>976</w:t>
      </w:r>
      <w:r w:rsidR="00596E43">
        <w:rPr>
          <w:rFonts w:ascii="Arial" w:hAnsi="Arial" w:cs="Arial"/>
          <w:sz w:val="20"/>
          <w:szCs w:val="20"/>
        </w:rPr>
        <w:t xml:space="preserve"> </w:t>
      </w:r>
      <w:r w:rsidR="00596E43" w:rsidRPr="00596E43">
        <w:rPr>
          <w:rFonts w:ascii="Arial" w:hAnsi="Arial" w:cs="Arial"/>
          <w:sz w:val="20"/>
          <w:szCs w:val="20"/>
        </w:rPr>
        <w:t>€</w:t>
      </w:r>
      <w:r w:rsidR="00630902" w:rsidRPr="00630902">
        <w:rPr>
          <w:rFonts w:ascii="Arial" w:hAnsi="Arial" w:cs="Arial"/>
          <w:sz w:val="20"/>
          <w:szCs w:val="20"/>
        </w:rPr>
        <w:t xml:space="preserve"> a 191 žiadostí o NFP bolo zazmluvnených v celkovom objeme </w:t>
      </w:r>
      <w:r>
        <w:rPr>
          <w:rFonts w:ascii="Arial" w:hAnsi="Arial" w:cs="Arial"/>
          <w:sz w:val="20"/>
          <w:szCs w:val="20"/>
        </w:rPr>
        <w:t xml:space="preserve">žiadaných </w:t>
      </w:r>
      <w:r w:rsidR="00630902" w:rsidRPr="00630902">
        <w:rPr>
          <w:rFonts w:ascii="Arial" w:hAnsi="Arial" w:cs="Arial"/>
          <w:sz w:val="20"/>
          <w:szCs w:val="20"/>
        </w:rPr>
        <w:t xml:space="preserve">finančných prostriedkov </w:t>
      </w:r>
      <w:r w:rsidR="0080498D">
        <w:rPr>
          <w:rFonts w:ascii="Arial" w:hAnsi="Arial" w:cs="Arial"/>
          <w:sz w:val="20"/>
          <w:szCs w:val="20"/>
        </w:rPr>
        <w:t>1 106 860 166</w:t>
      </w:r>
      <w:r w:rsidR="00630902" w:rsidRPr="00630902">
        <w:rPr>
          <w:rFonts w:ascii="Arial" w:hAnsi="Arial" w:cs="Arial"/>
          <w:sz w:val="20"/>
          <w:szCs w:val="20"/>
        </w:rPr>
        <w:t xml:space="preserve"> </w:t>
      </w:r>
      <w:r w:rsidR="00837C70" w:rsidRPr="00837C70">
        <w:rPr>
          <w:rFonts w:ascii="Arial" w:hAnsi="Arial" w:cs="Arial"/>
          <w:sz w:val="20"/>
          <w:szCs w:val="20"/>
        </w:rPr>
        <w:t xml:space="preserve"> €</w:t>
      </w:r>
      <w:r w:rsidR="00630902" w:rsidRPr="00630902">
        <w:rPr>
          <w:rFonts w:ascii="Arial" w:hAnsi="Arial" w:cs="Arial"/>
          <w:sz w:val="20"/>
          <w:szCs w:val="20"/>
        </w:rPr>
        <w:t xml:space="preserve">. Z uvedeného počtu bolo riadne ukončených </w:t>
      </w:r>
      <w:r w:rsidR="00626B2B">
        <w:rPr>
          <w:rFonts w:ascii="Arial" w:hAnsi="Arial" w:cs="Arial"/>
          <w:sz w:val="20"/>
          <w:szCs w:val="20"/>
        </w:rPr>
        <w:t>18</w:t>
      </w:r>
      <w:r w:rsidR="0008428C">
        <w:rPr>
          <w:rFonts w:ascii="Arial" w:hAnsi="Arial" w:cs="Arial"/>
          <w:sz w:val="20"/>
          <w:szCs w:val="20"/>
        </w:rPr>
        <w:t>6</w:t>
      </w:r>
      <w:r w:rsidR="00630902" w:rsidRPr="00630902">
        <w:rPr>
          <w:rFonts w:ascii="Arial" w:hAnsi="Arial" w:cs="Arial"/>
          <w:sz w:val="20"/>
          <w:szCs w:val="20"/>
        </w:rPr>
        <w:t xml:space="preserve"> </w:t>
      </w:r>
      <w:r>
        <w:rPr>
          <w:rFonts w:ascii="Arial" w:hAnsi="Arial" w:cs="Arial"/>
          <w:sz w:val="20"/>
          <w:szCs w:val="20"/>
        </w:rPr>
        <w:t xml:space="preserve">projektov </w:t>
      </w:r>
      <w:r w:rsidR="00630902" w:rsidRPr="00630902">
        <w:rPr>
          <w:rFonts w:ascii="Arial" w:hAnsi="Arial" w:cs="Arial"/>
          <w:sz w:val="20"/>
          <w:szCs w:val="20"/>
        </w:rPr>
        <w:t>v </w:t>
      </w:r>
      <w:r w:rsidR="00630902" w:rsidRPr="00F02597">
        <w:rPr>
          <w:rFonts w:ascii="Arial" w:hAnsi="Arial" w:cs="Arial"/>
          <w:sz w:val="20"/>
          <w:szCs w:val="20"/>
        </w:rPr>
        <w:t xml:space="preserve">celkovej vo výške finančných prostriedkov </w:t>
      </w:r>
      <w:r w:rsidR="0008428C">
        <w:rPr>
          <w:rFonts w:ascii="Arial" w:hAnsi="Arial" w:cs="Arial"/>
          <w:sz w:val="20"/>
          <w:szCs w:val="20"/>
        </w:rPr>
        <w:t>952 069 355</w:t>
      </w:r>
      <w:r w:rsidR="00626B2B">
        <w:rPr>
          <w:rFonts w:ascii="Arial" w:hAnsi="Arial" w:cs="Arial"/>
          <w:sz w:val="20"/>
          <w:szCs w:val="20"/>
        </w:rPr>
        <w:t xml:space="preserve"> </w:t>
      </w:r>
      <w:r w:rsidR="00837C70" w:rsidRPr="00837C70">
        <w:rPr>
          <w:rFonts w:ascii="Arial" w:hAnsi="Arial" w:cs="Arial"/>
          <w:sz w:val="20"/>
          <w:szCs w:val="20"/>
        </w:rPr>
        <w:t>€</w:t>
      </w:r>
      <w:r w:rsidR="00630902" w:rsidRPr="00F02597">
        <w:rPr>
          <w:rFonts w:ascii="Arial" w:hAnsi="Arial" w:cs="Arial"/>
          <w:sz w:val="20"/>
          <w:szCs w:val="20"/>
        </w:rPr>
        <w:t xml:space="preserve"> a</w:t>
      </w:r>
      <w:r w:rsidRPr="00F02597">
        <w:rPr>
          <w:rFonts w:ascii="Arial" w:hAnsi="Arial" w:cs="Arial"/>
          <w:sz w:val="20"/>
          <w:szCs w:val="20"/>
        </w:rPr>
        <w:t> </w:t>
      </w:r>
      <w:r w:rsidR="00626B2B">
        <w:rPr>
          <w:rFonts w:ascii="Arial" w:hAnsi="Arial" w:cs="Arial"/>
          <w:sz w:val="20"/>
          <w:szCs w:val="20"/>
        </w:rPr>
        <w:t>12</w:t>
      </w:r>
      <w:r w:rsidRPr="00F04811">
        <w:rPr>
          <w:rFonts w:ascii="Arial" w:hAnsi="Arial" w:cs="Arial"/>
          <w:sz w:val="20"/>
          <w:szCs w:val="20"/>
        </w:rPr>
        <w:t xml:space="preserve"> projektov</w:t>
      </w:r>
      <w:r w:rsidR="00630902" w:rsidRPr="00F04811">
        <w:rPr>
          <w:rFonts w:ascii="Arial" w:hAnsi="Arial" w:cs="Arial"/>
          <w:sz w:val="20"/>
          <w:szCs w:val="20"/>
        </w:rPr>
        <w:t xml:space="preserve"> bolo mimoriadne ukončených </w:t>
      </w:r>
      <w:r w:rsidR="00630902" w:rsidRPr="00682B07">
        <w:rPr>
          <w:rFonts w:ascii="Arial" w:hAnsi="Arial" w:cs="Arial"/>
          <w:sz w:val="20"/>
          <w:szCs w:val="20"/>
        </w:rPr>
        <w:t>najmä z dôvodu porušenia zmluvy o NFP</w:t>
      </w:r>
      <w:r w:rsidR="00630902" w:rsidRPr="00F02597">
        <w:rPr>
          <w:rFonts w:ascii="Arial" w:hAnsi="Arial" w:cs="Arial"/>
          <w:sz w:val="20"/>
          <w:szCs w:val="20"/>
        </w:rPr>
        <w:t>.</w:t>
      </w:r>
      <w:r w:rsidR="00630902" w:rsidRPr="00630902">
        <w:rPr>
          <w:rFonts w:ascii="Arial" w:hAnsi="Arial" w:cs="Arial"/>
          <w:sz w:val="20"/>
          <w:szCs w:val="20"/>
        </w:rPr>
        <w:t xml:space="preserve"> </w:t>
      </w:r>
    </w:p>
    <w:p w14:paraId="3D7D6DA2" w14:textId="77777777" w:rsidR="0008447E" w:rsidRDefault="0008447E">
      <w:pPr>
        <w:rPr>
          <w:rFonts w:ascii="Arial" w:hAnsi="Arial" w:cs="Arial"/>
          <w:bCs/>
          <w:sz w:val="20"/>
          <w:szCs w:val="20"/>
        </w:rPr>
      </w:pPr>
      <w:r>
        <w:rPr>
          <w:rFonts w:ascii="Arial" w:hAnsi="Arial" w:cs="Arial"/>
          <w:bCs/>
          <w:sz w:val="20"/>
          <w:szCs w:val="20"/>
        </w:rPr>
        <w:br w:type="page"/>
      </w:r>
    </w:p>
    <w:p w14:paraId="60E42992" w14:textId="55CBB42C" w:rsidR="002416B1" w:rsidRPr="008805AA" w:rsidRDefault="008805AA" w:rsidP="00123376">
      <w:pPr>
        <w:spacing w:before="120" w:after="120"/>
        <w:jc w:val="both"/>
        <w:rPr>
          <w:rFonts w:ascii="Arial" w:hAnsi="Arial" w:cs="Arial"/>
          <w:bCs/>
          <w:sz w:val="20"/>
          <w:szCs w:val="20"/>
        </w:rPr>
      </w:pPr>
      <w:r w:rsidRPr="00EC1B17">
        <w:rPr>
          <w:rFonts w:ascii="Arial" w:hAnsi="Arial" w:cs="Arial"/>
          <w:bCs/>
          <w:sz w:val="20"/>
          <w:szCs w:val="20"/>
        </w:rPr>
        <w:lastRenderedPageBreak/>
        <w:t>Podrobné vyčíslenie implementácie prioritnej osi je uvedené v tabuľkách nižšie.</w:t>
      </w:r>
    </w:p>
    <w:p w14:paraId="7B1B8DFB" w14:textId="2668016F" w:rsidR="008B74FB" w:rsidRPr="00EC1B17" w:rsidRDefault="008B74FB" w:rsidP="00123376">
      <w:pPr>
        <w:ind w:firstLine="1"/>
        <w:jc w:val="both"/>
        <w:rPr>
          <w:rFonts w:ascii="Arial" w:hAnsi="Arial" w:cs="Arial"/>
          <w:sz w:val="20"/>
          <w:szCs w:val="20"/>
        </w:rPr>
      </w:pPr>
      <w:r w:rsidRPr="00D90261">
        <w:rPr>
          <w:rFonts w:ascii="Arial" w:hAnsi="Arial" w:cs="Arial"/>
          <w:sz w:val="20"/>
          <w:szCs w:val="20"/>
        </w:rPr>
        <w:t xml:space="preserve">Tabuľka č. </w:t>
      </w:r>
      <w:r w:rsidR="005F03D4">
        <w:rPr>
          <w:rFonts w:ascii="Arial" w:hAnsi="Arial" w:cs="Arial"/>
          <w:sz w:val="20"/>
          <w:szCs w:val="20"/>
        </w:rPr>
        <w:t>4</w:t>
      </w:r>
      <w:r w:rsidR="007B1CB9">
        <w:rPr>
          <w:rFonts w:ascii="Arial" w:hAnsi="Arial" w:cs="Arial"/>
          <w:sz w:val="20"/>
          <w:szCs w:val="20"/>
        </w:rPr>
        <w:t>1</w:t>
      </w:r>
      <w:r w:rsidR="00012152" w:rsidRPr="00B152D1">
        <w:rPr>
          <w:rFonts w:ascii="Arial" w:hAnsi="Arial" w:cs="Arial"/>
          <w:sz w:val="20"/>
          <w:szCs w:val="20"/>
        </w:rPr>
        <w:t>a</w:t>
      </w:r>
      <w:r w:rsidRPr="004C19F8">
        <w:rPr>
          <w:rFonts w:ascii="Arial" w:hAnsi="Arial" w:cs="Arial"/>
          <w:sz w:val="20"/>
          <w:szCs w:val="20"/>
        </w:rPr>
        <w:t>: Sledovanie pokroku v implementácii prioritnej osi 1 k 31.1</w:t>
      </w:r>
      <w:r w:rsidR="008C22AF">
        <w:rPr>
          <w:rFonts w:ascii="Arial" w:hAnsi="Arial" w:cs="Arial"/>
          <w:sz w:val="20"/>
          <w:szCs w:val="20"/>
        </w:rPr>
        <w:t>0</w:t>
      </w:r>
      <w:r w:rsidRPr="004C19F8">
        <w:rPr>
          <w:rFonts w:ascii="Arial" w:hAnsi="Arial" w:cs="Arial"/>
          <w:sz w:val="20"/>
          <w:szCs w:val="20"/>
        </w:rPr>
        <w:t>.</w:t>
      </w:r>
      <w:r w:rsidR="004C19F8" w:rsidRPr="004C19F8">
        <w:rPr>
          <w:rFonts w:ascii="Arial" w:hAnsi="Arial" w:cs="Arial"/>
          <w:sz w:val="20"/>
          <w:szCs w:val="20"/>
        </w:rPr>
        <w:t>201</w:t>
      </w:r>
      <w:r w:rsidR="008C22AF">
        <w:rPr>
          <w:rFonts w:ascii="Arial" w:hAnsi="Arial" w:cs="Arial"/>
          <w:sz w:val="20"/>
          <w:szCs w:val="20"/>
        </w:rPr>
        <w:t>6</w:t>
      </w:r>
    </w:p>
    <w:tbl>
      <w:tblPr>
        <w:tblW w:w="9180" w:type="dxa"/>
        <w:tblInd w:w="55" w:type="dxa"/>
        <w:tblCellMar>
          <w:left w:w="70" w:type="dxa"/>
          <w:right w:w="70" w:type="dxa"/>
        </w:tblCellMar>
        <w:tblLook w:val="04A0" w:firstRow="1" w:lastRow="0" w:firstColumn="1" w:lastColumn="0" w:noHBand="0" w:noVBand="1"/>
      </w:tblPr>
      <w:tblGrid>
        <w:gridCol w:w="1880"/>
        <w:gridCol w:w="1460"/>
        <w:gridCol w:w="1460"/>
        <w:gridCol w:w="1460"/>
        <w:gridCol w:w="1460"/>
        <w:gridCol w:w="1460"/>
      </w:tblGrid>
      <w:tr w:rsidR="000B2831" w:rsidRPr="00E21C60" w14:paraId="4A47941B"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B22DF13" w14:textId="77777777" w:rsidR="000B2831" w:rsidRPr="00E21C60" w:rsidRDefault="0079794E">
            <w:pPr>
              <w:jc w:val="center"/>
              <w:rPr>
                <w:rFonts w:ascii="Arial" w:hAnsi="Arial" w:cs="Arial"/>
                <w:b/>
                <w:bCs/>
                <w:color w:val="000000"/>
                <w:sz w:val="16"/>
                <w:szCs w:val="16"/>
              </w:rPr>
            </w:pPr>
            <w:r>
              <w:rPr>
                <w:rFonts w:ascii="Arial" w:hAnsi="Arial" w:cs="Arial"/>
                <w:b/>
                <w:bCs/>
                <w:color w:val="000000"/>
                <w:sz w:val="16"/>
                <w:szCs w:val="16"/>
              </w:rPr>
              <w:t>Prioritná</w:t>
            </w:r>
            <w:r w:rsidRPr="00E21C60">
              <w:rPr>
                <w:rFonts w:ascii="Arial" w:hAnsi="Arial" w:cs="Arial"/>
                <w:b/>
                <w:bCs/>
                <w:color w:val="000000"/>
                <w:sz w:val="16"/>
                <w:szCs w:val="16"/>
              </w:rPr>
              <w:t xml:space="preserve"> </w:t>
            </w:r>
            <w:r w:rsidR="000B2831" w:rsidRPr="00E21C60">
              <w:rPr>
                <w:rFonts w:ascii="Arial" w:hAnsi="Arial" w:cs="Arial"/>
                <w:b/>
                <w:bCs/>
                <w:color w:val="000000"/>
                <w:sz w:val="16"/>
                <w:szCs w:val="16"/>
              </w:rPr>
              <w:t>téma</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3D4D6B6" w14:textId="77777777" w:rsidR="000B2831" w:rsidRPr="00E21C60" w:rsidRDefault="000B2831">
            <w:pPr>
              <w:jc w:val="center"/>
              <w:rPr>
                <w:rFonts w:ascii="Arial" w:hAnsi="Arial" w:cs="Arial"/>
                <w:b/>
                <w:bCs/>
                <w:color w:val="000000"/>
                <w:sz w:val="16"/>
                <w:szCs w:val="16"/>
              </w:rPr>
            </w:pPr>
            <w:r w:rsidRPr="00E21C60">
              <w:rPr>
                <w:rFonts w:ascii="Arial" w:hAnsi="Arial" w:cs="Arial"/>
                <w:b/>
                <w:bCs/>
                <w:color w:val="000000"/>
                <w:sz w:val="16"/>
                <w:szCs w:val="16"/>
              </w:rPr>
              <w:t>Počet prijatých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73DD2DF" w14:textId="77777777" w:rsidR="000B2831" w:rsidRPr="00E21C60" w:rsidRDefault="000B2831">
            <w:pPr>
              <w:jc w:val="center"/>
              <w:rPr>
                <w:rFonts w:ascii="Arial" w:hAnsi="Arial" w:cs="Arial"/>
                <w:b/>
                <w:bCs/>
                <w:color w:val="000000"/>
                <w:sz w:val="16"/>
                <w:szCs w:val="16"/>
              </w:rPr>
            </w:pPr>
            <w:r w:rsidRPr="00E21C60">
              <w:rPr>
                <w:rFonts w:ascii="Arial" w:hAnsi="Arial" w:cs="Arial"/>
                <w:b/>
                <w:bCs/>
                <w:color w:val="000000"/>
                <w:sz w:val="16"/>
                <w:szCs w:val="16"/>
              </w:rPr>
              <w:t>Počet schválených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9CF64D0" w14:textId="77777777" w:rsidR="000B2831" w:rsidRPr="00E21C60" w:rsidRDefault="000B2831">
            <w:pPr>
              <w:jc w:val="center"/>
              <w:rPr>
                <w:rFonts w:ascii="Arial" w:hAnsi="Arial" w:cs="Arial"/>
                <w:b/>
                <w:bCs/>
                <w:color w:val="000000"/>
                <w:sz w:val="16"/>
                <w:szCs w:val="16"/>
              </w:rPr>
            </w:pPr>
            <w:r w:rsidRPr="00E21C60">
              <w:rPr>
                <w:rFonts w:ascii="Arial" w:hAnsi="Arial" w:cs="Arial"/>
                <w:b/>
                <w:bCs/>
                <w:color w:val="000000"/>
                <w:sz w:val="16"/>
                <w:szCs w:val="16"/>
              </w:rPr>
              <w:t>Počet zazmluvnených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45B7B6B" w14:textId="77777777" w:rsidR="000B2831" w:rsidRPr="00E21C60" w:rsidRDefault="000B2831">
            <w:pPr>
              <w:jc w:val="center"/>
              <w:rPr>
                <w:rFonts w:ascii="Arial" w:hAnsi="Arial" w:cs="Arial"/>
                <w:b/>
                <w:bCs/>
                <w:color w:val="000000"/>
                <w:sz w:val="16"/>
                <w:szCs w:val="16"/>
              </w:rPr>
            </w:pPr>
            <w:r w:rsidRPr="00E21C60">
              <w:rPr>
                <w:rFonts w:ascii="Arial" w:hAnsi="Arial" w:cs="Arial"/>
                <w:b/>
                <w:bCs/>
                <w:color w:val="000000"/>
                <w:sz w:val="16"/>
                <w:szCs w:val="16"/>
              </w:rPr>
              <w:t>Počet riadne ukončených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49A9B60" w14:textId="77777777" w:rsidR="000B2831" w:rsidRPr="00E21C60" w:rsidRDefault="000B2831">
            <w:pPr>
              <w:jc w:val="center"/>
              <w:rPr>
                <w:rFonts w:ascii="Arial" w:hAnsi="Arial" w:cs="Arial"/>
                <w:b/>
                <w:bCs/>
                <w:color w:val="000000"/>
                <w:sz w:val="16"/>
                <w:szCs w:val="16"/>
              </w:rPr>
            </w:pPr>
            <w:r w:rsidRPr="00E21C60">
              <w:rPr>
                <w:rFonts w:ascii="Arial" w:hAnsi="Arial" w:cs="Arial"/>
                <w:b/>
                <w:bCs/>
                <w:color w:val="000000"/>
                <w:sz w:val="16"/>
                <w:szCs w:val="16"/>
              </w:rPr>
              <w:t>Počet mimoriadne ukončených projektov</w:t>
            </w:r>
          </w:p>
        </w:tc>
      </w:tr>
      <w:tr w:rsidR="001C6216" w:rsidRPr="00E21C60" w14:paraId="074D838D" w14:textId="77777777" w:rsidTr="001C6216">
        <w:trPr>
          <w:trHeight w:val="675"/>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3709AEAB" w14:textId="77777777" w:rsidR="001C6216" w:rsidRPr="002526CC" w:rsidRDefault="001C6216" w:rsidP="001C6216">
            <w:pPr>
              <w:rPr>
                <w:rFonts w:ascii="Arial" w:hAnsi="Arial" w:cs="Arial"/>
                <w:color w:val="000000"/>
                <w:sz w:val="16"/>
                <w:szCs w:val="16"/>
              </w:rPr>
            </w:pPr>
            <w:r w:rsidRPr="002526CC">
              <w:rPr>
                <w:rFonts w:ascii="Arial" w:hAnsi="Arial" w:cs="Arial"/>
                <w:color w:val="000000"/>
                <w:sz w:val="16"/>
                <w:szCs w:val="16"/>
              </w:rPr>
              <w:t xml:space="preserve">45 - Hospodárenie </w:t>
            </w:r>
            <w:r w:rsidRPr="002526CC">
              <w:rPr>
                <w:rFonts w:ascii="Arial" w:hAnsi="Arial" w:cs="Arial"/>
                <w:color w:val="000000"/>
                <w:sz w:val="16"/>
                <w:szCs w:val="16"/>
              </w:rPr>
              <w:br/>
              <w:t xml:space="preserve">s vodou a jej distribúcia </w:t>
            </w:r>
            <w:r w:rsidRPr="002526CC">
              <w:rPr>
                <w:rFonts w:ascii="Arial" w:hAnsi="Arial" w:cs="Arial"/>
                <w:color w:val="000000"/>
                <w:sz w:val="16"/>
                <w:szCs w:val="16"/>
              </w:rPr>
              <w:br/>
              <w:t>(pitná voda)</w:t>
            </w:r>
          </w:p>
        </w:tc>
        <w:tc>
          <w:tcPr>
            <w:tcW w:w="1460" w:type="dxa"/>
            <w:tcBorders>
              <w:top w:val="nil"/>
              <w:left w:val="nil"/>
              <w:bottom w:val="single" w:sz="4" w:space="0" w:color="auto"/>
              <w:right w:val="single" w:sz="4" w:space="0" w:color="auto"/>
            </w:tcBorders>
            <w:shd w:val="clear" w:color="auto" w:fill="auto"/>
            <w:noWrap/>
            <w:vAlign w:val="center"/>
            <w:hideMark/>
          </w:tcPr>
          <w:p w14:paraId="097EAE51" w14:textId="6E401F84"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95 (vrátane 41)</w:t>
            </w:r>
            <w:r w:rsidRPr="001C6216">
              <w:rPr>
                <w:rFonts w:ascii="Arial" w:hAnsi="Arial" w:cs="Arial"/>
                <w:bCs/>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5BF204E2" w14:textId="57B97F63"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30 (vrátane 13)</w:t>
            </w:r>
            <w:r w:rsidRPr="001C6216">
              <w:rPr>
                <w:rFonts w:ascii="Arial" w:hAnsi="Arial" w:cs="Arial"/>
                <w:bCs/>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6EB2396D" w14:textId="255C91D8"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30 (vrátane 13)</w:t>
            </w:r>
            <w:r w:rsidRPr="001C6216">
              <w:rPr>
                <w:rFonts w:ascii="Arial" w:hAnsi="Arial" w:cs="Arial"/>
                <w:bCs/>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4651F6F2" w14:textId="0B5D5E37"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29 (vrátane 12)</w:t>
            </w:r>
            <w:r w:rsidRPr="001C6216">
              <w:rPr>
                <w:rFonts w:ascii="Arial" w:hAnsi="Arial" w:cs="Arial"/>
                <w:bCs/>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517B6E91" w14:textId="0BA4A4A0"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0</w:t>
            </w:r>
          </w:p>
        </w:tc>
      </w:tr>
      <w:tr w:rsidR="001C6216" w:rsidRPr="00E21C60" w14:paraId="02597464" w14:textId="77777777" w:rsidTr="001C6216">
        <w:trPr>
          <w:trHeight w:val="45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43BC67A7" w14:textId="77777777" w:rsidR="001C6216" w:rsidRPr="002526CC" w:rsidRDefault="001C6216" w:rsidP="001C6216">
            <w:pPr>
              <w:rPr>
                <w:rFonts w:ascii="Arial" w:hAnsi="Arial" w:cs="Arial"/>
                <w:color w:val="000000"/>
                <w:sz w:val="16"/>
                <w:szCs w:val="16"/>
              </w:rPr>
            </w:pPr>
            <w:r w:rsidRPr="002526CC">
              <w:rPr>
                <w:rFonts w:ascii="Arial" w:hAnsi="Arial" w:cs="Arial"/>
                <w:color w:val="000000"/>
                <w:sz w:val="16"/>
                <w:szCs w:val="16"/>
              </w:rPr>
              <w:t xml:space="preserve">46 - Spracovanie vody </w:t>
            </w:r>
            <w:r w:rsidRPr="002526CC">
              <w:rPr>
                <w:rFonts w:ascii="Arial" w:hAnsi="Arial" w:cs="Arial"/>
                <w:color w:val="000000"/>
                <w:sz w:val="16"/>
                <w:szCs w:val="16"/>
              </w:rPr>
              <w:br/>
              <w:t>(odpadová voda)</w:t>
            </w:r>
          </w:p>
        </w:tc>
        <w:tc>
          <w:tcPr>
            <w:tcW w:w="1460" w:type="dxa"/>
            <w:tcBorders>
              <w:top w:val="nil"/>
              <w:left w:val="nil"/>
              <w:bottom w:val="single" w:sz="4" w:space="0" w:color="auto"/>
              <w:right w:val="single" w:sz="4" w:space="0" w:color="auto"/>
            </w:tcBorders>
            <w:shd w:val="clear" w:color="auto" w:fill="auto"/>
            <w:noWrap/>
            <w:vAlign w:val="center"/>
            <w:hideMark/>
          </w:tcPr>
          <w:p w14:paraId="2DE14AAF" w14:textId="0C0D11C4"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416 (vrátane 41)</w:t>
            </w:r>
            <w:r w:rsidRPr="001C6216">
              <w:rPr>
                <w:rFonts w:ascii="Arial" w:hAnsi="Arial" w:cs="Arial"/>
                <w:bCs/>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36FAED52" w14:textId="014FBA61"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175 (vrátane 13)</w:t>
            </w:r>
            <w:r w:rsidRPr="001C6216">
              <w:rPr>
                <w:rFonts w:ascii="Arial" w:hAnsi="Arial" w:cs="Arial"/>
                <w:bCs/>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536F4325" w14:textId="4B61CA23" w:rsidR="001C6216" w:rsidRPr="001C6216" w:rsidRDefault="001C6216" w:rsidP="00365DC5">
            <w:pPr>
              <w:jc w:val="center"/>
              <w:rPr>
                <w:rFonts w:ascii="Arial" w:hAnsi="Arial" w:cs="Arial"/>
                <w:bCs/>
                <w:color w:val="000000"/>
                <w:sz w:val="16"/>
                <w:szCs w:val="16"/>
              </w:rPr>
            </w:pPr>
            <w:r w:rsidRPr="001C6216">
              <w:rPr>
                <w:rFonts w:ascii="Arial" w:hAnsi="Arial" w:cs="Arial"/>
                <w:bCs/>
                <w:color w:val="000000"/>
                <w:sz w:val="16"/>
                <w:szCs w:val="16"/>
              </w:rPr>
              <w:t>166 (vrátane 1</w:t>
            </w:r>
            <w:r w:rsidR="00365DC5">
              <w:rPr>
                <w:rFonts w:ascii="Arial" w:hAnsi="Arial" w:cs="Arial"/>
                <w:bCs/>
                <w:color w:val="000000"/>
                <w:sz w:val="16"/>
                <w:szCs w:val="16"/>
              </w:rPr>
              <w:t>3</w:t>
            </w:r>
            <w:r w:rsidRPr="001C6216">
              <w:rPr>
                <w:rFonts w:ascii="Arial" w:hAnsi="Arial" w:cs="Arial"/>
                <w:bCs/>
                <w:color w:val="000000"/>
                <w:sz w:val="16"/>
                <w:szCs w:val="16"/>
              </w:rPr>
              <w:t>)</w:t>
            </w:r>
            <w:r w:rsidRPr="001C6216">
              <w:rPr>
                <w:rFonts w:ascii="Arial" w:hAnsi="Arial" w:cs="Arial"/>
                <w:bCs/>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6E6FD2E8" w14:textId="5409B5FB" w:rsidR="001C6216" w:rsidRPr="001C6216" w:rsidRDefault="000F57E6" w:rsidP="001C6216">
            <w:pPr>
              <w:jc w:val="center"/>
              <w:rPr>
                <w:rFonts w:ascii="Arial" w:hAnsi="Arial" w:cs="Arial"/>
                <w:bCs/>
                <w:color w:val="000000"/>
                <w:sz w:val="16"/>
                <w:szCs w:val="16"/>
              </w:rPr>
            </w:pPr>
            <w:r>
              <w:rPr>
                <w:rFonts w:ascii="Arial" w:hAnsi="Arial" w:cs="Arial"/>
                <w:bCs/>
                <w:color w:val="000000"/>
                <w:sz w:val="16"/>
                <w:szCs w:val="16"/>
              </w:rPr>
              <w:t>161</w:t>
            </w:r>
            <w:r w:rsidR="001C6216" w:rsidRPr="001C6216">
              <w:rPr>
                <w:rFonts w:ascii="Arial" w:hAnsi="Arial" w:cs="Arial"/>
                <w:bCs/>
                <w:color w:val="000000"/>
                <w:sz w:val="16"/>
                <w:szCs w:val="16"/>
              </w:rPr>
              <w:t xml:space="preserve"> (vrátane 12)</w:t>
            </w:r>
            <w:r w:rsidR="001C6216" w:rsidRPr="001C6216">
              <w:rPr>
                <w:rFonts w:ascii="Arial" w:hAnsi="Arial" w:cs="Arial"/>
                <w:bCs/>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52FB00C5" w14:textId="1BF7B29C"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9</w:t>
            </w:r>
          </w:p>
        </w:tc>
      </w:tr>
      <w:tr w:rsidR="001C6216" w:rsidRPr="00E21C60" w14:paraId="0B09D1E5" w14:textId="77777777" w:rsidTr="001C6216">
        <w:trPr>
          <w:trHeight w:val="1125"/>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3CD2C63E" w14:textId="77777777" w:rsidR="001C6216" w:rsidRPr="002526CC" w:rsidRDefault="001C6216" w:rsidP="001C6216">
            <w:pPr>
              <w:rPr>
                <w:rFonts w:ascii="Arial" w:hAnsi="Arial" w:cs="Arial"/>
                <w:color w:val="000000"/>
                <w:sz w:val="16"/>
                <w:szCs w:val="16"/>
              </w:rPr>
            </w:pPr>
            <w:r w:rsidRPr="002526CC">
              <w:rPr>
                <w:rFonts w:ascii="Arial" w:hAnsi="Arial" w:cs="Arial"/>
                <w:color w:val="000000"/>
                <w:sz w:val="16"/>
                <w:szCs w:val="16"/>
              </w:rPr>
              <w:t xml:space="preserve">54 - Iné opatrenia </w:t>
            </w:r>
            <w:r w:rsidRPr="002526CC">
              <w:rPr>
                <w:rFonts w:ascii="Arial" w:hAnsi="Arial" w:cs="Arial"/>
                <w:color w:val="000000"/>
                <w:sz w:val="16"/>
                <w:szCs w:val="16"/>
              </w:rPr>
              <w:br/>
              <w:t xml:space="preserve">na zachovanie životného prostredia </w:t>
            </w:r>
            <w:r w:rsidRPr="002526CC">
              <w:rPr>
                <w:rFonts w:ascii="Arial" w:hAnsi="Arial" w:cs="Arial"/>
                <w:color w:val="000000"/>
                <w:sz w:val="16"/>
                <w:szCs w:val="16"/>
              </w:rPr>
              <w:br/>
              <w:t>a predchádzanie rizikám</w:t>
            </w:r>
          </w:p>
        </w:tc>
        <w:tc>
          <w:tcPr>
            <w:tcW w:w="1460" w:type="dxa"/>
            <w:tcBorders>
              <w:top w:val="nil"/>
              <w:left w:val="nil"/>
              <w:bottom w:val="single" w:sz="4" w:space="0" w:color="auto"/>
              <w:right w:val="single" w:sz="4" w:space="0" w:color="auto"/>
            </w:tcBorders>
            <w:shd w:val="clear" w:color="auto" w:fill="auto"/>
            <w:noWrap/>
            <w:vAlign w:val="center"/>
            <w:hideMark/>
          </w:tcPr>
          <w:p w14:paraId="7D0C0EEA" w14:textId="5D29AD8B"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16</w:t>
            </w:r>
          </w:p>
        </w:tc>
        <w:tc>
          <w:tcPr>
            <w:tcW w:w="1460" w:type="dxa"/>
            <w:tcBorders>
              <w:top w:val="nil"/>
              <w:left w:val="nil"/>
              <w:bottom w:val="single" w:sz="4" w:space="0" w:color="auto"/>
              <w:right w:val="single" w:sz="4" w:space="0" w:color="auto"/>
            </w:tcBorders>
            <w:shd w:val="clear" w:color="auto" w:fill="auto"/>
            <w:noWrap/>
            <w:vAlign w:val="center"/>
            <w:hideMark/>
          </w:tcPr>
          <w:p w14:paraId="52A52868" w14:textId="778412E8"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11</w:t>
            </w:r>
          </w:p>
        </w:tc>
        <w:tc>
          <w:tcPr>
            <w:tcW w:w="1460" w:type="dxa"/>
            <w:tcBorders>
              <w:top w:val="nil"/>
              <w:left w:val="nil"/>
              <w:bottom w:val="single" w:sz="4" w:space="0" w:color="auto"/>
              <w:right w:val="single" w:sz="4" w:space="0" w:color="auto"/>
            </w:tcBorders>
            <w:shd w:val="clear" w:color="auto" w:fill="auto"/>
            <w:noWrap/>
            <w:vAlign w:val="center"/>
            <w:hideMark/>
          </w:tcPr>
          <w:p w14:paraId="250C124C" w14:textId="564916EB"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8</w:t>
            </w:r>
          </w:p>
        </w:tc>
        <w:tc>
          <w:tcPr>
            <w:tcW w:w="1460" w:type="dxa"/>
            <w:tcBorders>
              <w:top w:val="nil"/>
              <w:left w:val="nil"/>
              <w:bottom w:val="single" w:sz="4" w:space="0" w:color="auto"/>
              <w:right w:val="single" w:sz="4" w:space="0" w:color="auto"/>
            </w:tcBorders>
            <w:shd w:val="clear" w:color="auto" w:fill="auto"/>
            <w:noWrap/>
            <w:vAlign w:val="center"/>
            <w:hideMark/>
          </w:tcPr>
          <w:p w14:paraId="5B26B264" w14:textId="3BF0C4F4"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8</w:t>
            </w:r>
          </w:p>
        </w:tc>
        <w:tc>
          <w:tcPr>
            <w:tcW w:w="1460" w:type="dxa"/>
            <w:tcBorders>
              <w:top w:val="nil"/>
              <w:left w:val="nil"/>
              <w:bottom w:val="single" w:sz="4" w:space="0" w:color="auto"/>
              <w:right w:val="single" w:sz="4" w:space="0" w:color="auto"/>
            </w:tcBorders>
            <w:shd w:val="clear" w:color="auto" w:fill="auto"/>
            <w:noWrap/>
            <w:vAlign w:val="center"/>
            <w:hideMark/>
          </w:tcPr>
          <w:p w14:paraId="76969CC9" w14:textId="5F9DBA11"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3</w:t>
            </w:r>
          </w:p>
        </w:tc>
      </w:tr>
      <w:tr w:rsidR="001C6216" w:rsidRPr="00E21C60" w14:paraId="1D678E3E" w14:textId="77777777" w:rsidTr="001C6216">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12C5EFDF" w14:textId="77777777" w:rsidR="001C6216" w:rsidRPr="002526CC" w:rsidRDefault="001C6216" w:rsidP="001C6216">
            <w:pPr>
              <w:rPr>
                <w:rFonts w:ascii="Arial" w:hAnsi="Arial" w:cs="Arial"/>
                <w:b/>
                <w:bCs/>
                <w:color w:val="000000"/>
                <w:sz w:val="16"/>
                <w:szCs w:val="16"/>
              </w:rPr>
            </w:pPr>
            <w:r w:rsidRPr="002526CC">
              <w:rPr>
                <w:rFonts w:ascii="Arial" w:hAnsi="Arial" w:cs="Arial"/>
                <w:b/>
                <w:bCs/>
                <w:color w:val="000000"/>
                <w:sz w:val="16"/>
                <w:szCs w:val="16"/>
              </w:rPr>
              <w:t>Celkom</w:t>
            </w:r>
          </w:p>
        </w:tc>
        <w:tc>
          <w:tcPr>
            <w:tcW w:w="1460" w:type="dxa"/>
            <w:tcBorders>
              <w:top w:val="nil"/>
              <w:left w:val="nil"/>
              <w:bottom w:val="single" w:sz="4" w:space="0" w:color="auto"/>
              <w:right w:val="single" w:sz="4" w:space="0" w:color="auto"/>
            </w:tcBorders>
            <w:shd w:val="clear" w:color="000000" w:fill="EBF1DE"/>
            <w:noWrap/>
            <w:vAlign w:val="center"/>
            <w:hideMark/>
          </w:tcPr>
          <w:p w14:paraId="4E9001E5" w14:textId="1778AF0E"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486</w:t>
            </w:r>
          </w:p>
        </w:tc>
        <w:tc>
          <w:tcPr>
            <w:tcW w:w="1460" w:type="dxa"/>
            <w:tcBorders>
              <w:top w:val="nil"/>
              <w:left w:val="nil"/>
              <w:bottom w:val="single" w:sz="4" w:space="0" w:color="auto"/>
              <w:right w:val="single" w:sz="4" w:space="0" w:color="auto"/>
            </w:tcBorders>
            <w:shd w:val="clear" w:color="000000" w:fill="EBF1DE"/>
            <w:noWrap/>
            <w:vAlign w:val="center"/>
            <w:hideMark/>
          </w:tcPr>
          <w:p w14:paraId="05A59DC3" w14:textId="3B3D37C9"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203</w:t>
            </w:r>
          </w:p>
        </w:tc>
        <w:tc>
          <w:tcPr>
            <w:tcW w:w="1460" w:type="dxa"/>
            <w:tcBorders>
              <w:top w:val="nil"/>
              <w:left w:val="nil"/>
              <w:bottom w:val="single" w:sz="4" w:space="0" w:color="auto"/>
              <w:right w:val="single" w:sz="4" w:space="0" w:color="auto"/>
            </w:tcBorders>
            <w:shd w:val="clear" w:color="000000" w:fill="EBF1DE"/>
            <w:noWrap/>
            <w:vAlign w:val="center"/>
            <w:hideMark/>
          </w:tcPr>
          <w:p w14:paraId="3DA20713" w14:textId="168D4462"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191</w:t>
            </w:r>
          </w:p>
        </w:tc>
        <w:tc>
          <w:tcPr>
            <w:tcW w:w="1460" w:type="dxa"/>
            <w:tcBorders>
              <w:top w:val="nil"/>
              <w:left w:val="nil"/>
              <w:bottom w:val="single" w:sz="4" w:space="0" w:color="auto"/>
              <w:right w:val="single" w:sz="4" w:space="0" w:color="auto"/>
            </w:tcBorders>
            <w:shd w:val="clear" w:color="000000" w:fill="EBF1DE"/>
            <w:noWrap/>
            <w:vAlign w:val="center"/>
            <w:hideMark/>
          </w:tcPr>
          <w:p w14:paraId="0BF63773" w14:textId="2450ACA0" w:rsidR="001C6216" w:rsidRPr="001C6216" w:rsidRDefault="000F57E6" w:rsidP="001C6216">
            <w:pPr>
              <w:jc w:val="center"/>
              <w:rPr>
                <w:rFonts w:ascii="Arial" w:hAnsi="Arial" w:cs="Arial"/>
                <w:bCs/>
                <w:color w:val="000000"/>
                <w:sz w:val="16"/>
                <w:szCs w:val="16"/>
              </w:rPr>
            </w:pPr>
            <w:r>
              <w:rPr>
                <w:rFonts w:ascii="Arial" w:hAnsi="Arial" w:cs="Arial"/>
                <w:bCs/>
                <w:color w:val="000000"/>
                <w:sz w:val="16"/>
                <w:szCs w:val="16"/>
              </w:rPr>
              <w:t>186</w:t>
            </w:r>
          </w:p>
        </w:tc>
        <w:tc>
          <w:tcPr>
            <w:tcW w:w="1460" w:type="dxa"/>
            <w:tcBorders>
              <w:top w:val="nil"/>
              <w:left w:val="nil"/>
              <w:bottom w:val="single" w:sz="4" w:space="0" w:color="auto"/>
              <w:right w:val="single" w:sz="4" w:space="0" w:color="auto"/>
            </w:tcBorders>
            <w:shd w:val="clear" w:color="000000" w:fill="EBF1DE"/>
            <w:noWrap/>
            <w:vAlign w:val="center"/>
            <w:hideMark/>
          </w:tcPr>
          <w:p w14:paraId="7FB9FE8E" w14:textId="0885F76F" w:rsidR="001C6216" w:rsidRPr="001C6216" w:rsidRDefault="001C6216" w:rsidP="001C6216">
            <w:pPr>
              <w:jc w:val="center"/>
              <w:rPr>
                <w:rFonts w:ascii="Arial" w:hAnsi="Arial" w:cs="Arial"/>
                <w:bCs/>
                <w:color w:val="000000"/>
                <w:sz w:val="16"/>
                <w:szCs w:val="16"/>
              </w:rPr>
            </w:pPr>
            <w:r w:rsidRPr="001C6216">
              <w:rPr>
                <w:rFonts w:ascii="Arial" w:hAnsi="Arial" w:cs="Arial"/>
                <w:bCs/>
                <w:color w:val="000000"/>
                <w:sz w:val="16"/>
                <w:szCs w:val="16"/>
              </w:rPr>
              <w:t>12</w:t>
            </w:r>
            <w:r w:rsidR="0024347F">
              <w:rPr>
                <w:rFonts w:ascii="Arial" w:hAnsi="Arial" w:cs="Arial"/>
                <w:bCs/>
                <w:color w:val="000000"/>
                <w:sz w:val="16"/>
                <w:szCs w:val="16"/>
              </w:rPr>
              <w:t>*</w:t>
            </w:r>
          </w:p>
        </w:tc>
      </w:tr>
    </w:tbl>
    <w:p w14:paraId="36FFF508" w14:textId="00AD042E" w:rsidR="0024347F" w:rsidRPr="0008447E" w:rsidRDefault="0024347F" w:rsidP="0008447E">
      <w:pPr>
        <w:pStyle w:val="Zkladntextb"/>
        <w:spacing w:after="120" w:line="240" w:lineRule="auto"/>
        <w:ind w:left="0"/>
        <w:rPr>
          <w:rFonts w:cs="Arial"/>
          <w:sz w:val="16"/>
          <w:szCs w:val="16"/>
        </w:rPr>
      </w:pPr>
      <w:r w:rsidRPr="008D23BD">
        <w:rPr>
          <w:rFonts w:cs="Arial"/>
          <w:sz w:val="16"/>
          <w:szCs w:val="16"/>
          <w:lang w:val="sk-SK"/>
        </w:rPr>
        <w:t xml:space="preserve">* </w:t>
      </w:r>
      <w:r>
        <w:rPr>
          <w:rFonts w:cs="Arial"/>
          <w:sz w:val="16"/>
          <w:szCs w:val="16"/>
          <w:lang w:val="sk-SK"/>
        </w:rPr>
        <w:t>Do u</w:t>
      </w:r>
      <w:r w:rsidRPr="008D23BD">
        <w:rPr>
          <w:rFonts w:cs="Arial"/>
          <w:sz w:val="16"/>
          <w:szCs w:val="16"/>
          <w:lang w:val="sk-SK"/>
        </w:rPr>
        <w:t>veden</w:t>
      </w:r>
      <w:r>
        <w:rPr>
          <w:rFonts w:cs="Arial"/>
          <w:sz w:val="16"/>
          <w:szCs w:val="16"/>
          <w:lang w:val="sk-SK"/>
        </w:rPr>
        <w:t>ého</w:t>
      </w:r>
      <w:r w:rsidRPr="008D23BD">
        <w:rPr>
          <w:rFonts w:cs="Arial"/>
          <w:sz w:val="16"/>
          <w:szCs w:val="16"/>
          <w:lang w:val="sk-SK"/>
        </w:rPr>
        <w:t xml:space="preserve"> počt</w:t>
      </w:r>
      <w:r>
        <w:rPr>
          <w:rFonts w:cs="Arial"/>
          <w:sz w:val="16"/>
          <w:szCs w:val="16"/>
          <w:lang w:val="sk-SK"/>
        </w:rPr>
        <w:t>u</w:t>
      </w:r>
      <w:r w:rsidRPr="008D23BD">
        <w:rPr>
          <w:rFonts w:cs="Arial"/>
          <w:sz w:val="16"/>
          <w:szCs w:val="16"/>
          <w:lang w:val="sk-SK"/>
        </w:rPr>
        <w:t xml:space="preserve"> </w:t>
      </w:r>
      <w:r>
        <w:rPr>
          <w:rFonts w:cs="Arial"/>
          <w:sz w:val="16"/>
          <w:szCs w:val="16"/>
          <w:lang w:val="sk-SK"/>
        </w:rPr>
        <w:t xml:space="preserve">mimoriadne ukončených projektov nie je započítaný jeden projekt, pri ktorom nedošlo k zazmluvneniu.  </w:t>
      </w:r>
    </w:p>
    <w:p w14:paraId="28C88F5B" w14:textId="044C354C" w:rsidR="005B756C" w:rsidRPr="00123376" w:rsidRDefault="005B756C" w:rsidP="008A1902">
      <w:pPr>
        <w:keepNext/>
        <w:spacing w:before="120"/>
        <w:jc w:val="both"/>
        <w:rPr>
          <w:rFonts w:ascii="Arial" w:hAnsi="Arial" w:cs="Arial"/>
          <w:sz w:val="20"/>
          <w:szCs w:val="20"/>
        </w:rPr>
      </w:pPr>
      <w:r w:rsidRPr="00123376">
        <w:rPr>
          <w:rFonts w:ascii="Arial" w:hAnsi="Arial" w:cs="Arial"/>
          <w:sz w:val="20"/>
          <w:szCs w:val="20"/>
        </w:rPr>
        <w:t>Tab</w:t>
      </w:r>
      <w:r w:rsidR="008B74FB" w:rsidRPr="002526CC">
        <w:rPr>
          <w:rFonts w:ascii="Arial" w:hAnsi="Arial" w:cs="Arial"/>
          <w:sz w:val="20"/>
          <w:szCs w:val="20"/>
        </w:rPr>
        <w:t>uľka</w:t>
      </w:r>
      <w:r w:rsidRPr="00123376">
        <w:rPr>
          <w:rFonts w:ascii="Arial" w:hAnsi="Arial" w:cs="Arial"/>
          <w:sz w:val="20"/>
          <w:szCs w:val="20"/>
        </w:rPr>
        <w:t xml:space="preserve"> č. </w:t>
      </w:r>
      <w:r w:rsidR="00012152">
        <w:rPr>
          <w:rFonts w:ascii="Arial" w:hAnsi="Arial" w:cs="Arial"/>
          <w:sz w:val="20"/>
          <w:szCs w:val="20"/>
        </w:rPr>
        <w:t>4</w:t>
      </w:r>
      <w:r w:rsidR="007B1CB9">
        <w:rPr>
          <w:rFonts w:ascii="Arial" w:hAnsi="Arial" w:cs="Arial"/>
          <w:sz w:val="20"/>
          <w:szCs w:val="20"/>
        </w:rPr>
        <w:t>1</w:t>
      </w:r>
      <w:r w:rsidR="00012152" w:rsidRPr="00E21C60">
        <w:rPr>
          <w:rFonts w:ascii="Arial" w:hAnsi="Arial" w:cs="Arial"/>
          <w:sz w:val="20"/>
          <w:szCs w:val="20"/>
        </w:rPr>
        <w:t>b</w:t>
      </w:r>
      <w:r w:rsidRPr="000836B1">
        <w:rPr>
          <w:rFonts w:ascii="Arial" w:hAnsi="Arial" w:cs="Arial"/>
          <w:sz w:val="20"/>
          <w:szCs w:val="20"/>
        </w:rPr>
        <w:t xml:space="preserve">: </w:t>
      </w:r>
      <w:r w:rsidRPr="00B4439E">
        <w:rPr>
          <w:rFonts w:ascii="Arial" w:hAnsi="Arial" w:cs="Arial"/>
          <w:sz w:val="20"/>
          <w:szCs w:val="20"/>
        </w:rPr>
        <w:t>Finančné vyjadrenie pokroku v implementácii prioritnej osi 1 k 31.1</w:t>
      </w:r>
      <w:r w:rsidR="008C22AF">
        <w:rPr>
          <w:rFonts w:ascii="Arial" w:hAnsi="Arial" w:cs="Arial"/>
          <w:sz w:val="20"/>
          <w:szCs w:val="20"/>
        </w:rPr>
        <w:t>0</w:t>
      </w:r>
      <w:r w:rsidRPr="00B4439E">
        <w:rPr>
          <w:rFonts w:ascii="Arial" w:hAnsi="Arial" w:cs="Arial"/>
          <w:sz w:val="20"/>
          <w:szCs w:val="20"/>
        </w:rPr>
        <w:t>.</w:t>
      </w:r>
      <w:r w:rsidR="000836B1" w:rsidRPr="00B4439E">
        <w:rPr>
          <w:rFonts w:ascii="Arial" w:hAnsi="Arial" w:cs="Arial"/>
          <w:sz w:val="20"/>
          <w:szCs w:val="20"/>
        </w:rPr>
        <w:t>201</w:t>
      </w:r>
      <w:r w:rsidR="008C22AF">
        <w:rPr>
          <w:rFonts w:ascii="Arial" w:hAnsi="Arial" w:cs="Arial"/>
          <w:sz w:val="20"/>
          <w:szCs w:val="20"/>
        </w:rPr>
        <w:t>6</w:t>
      </w:r>
      <w:r w:rsidR="000836B1" w:rsidRPr="000836B1">
        <w:rPr>
          <w:rFonts w:ascii="Arial" w:hAnsi="Arial" w:cs="Arial"/>
          <w:sz w:val="20"/>
          <w:szCs w:val="20"/>
        </w:rPr>
        <w:t xml:space="preserve"> </w:t>
      </w:r>
      <w:r w:rsidR="00A018A4" w:rsidRPr="00CE0728">
        <w:rPr>
          <w:rFonts w:ascii="Arial" w:hAnsi="Arial" w:cs="Arial"/>
          <w:sz w:val="20"/>
          <w:szCs w:val="20"/>
        </w:rPr>
        <w:t>(v €)</w:t>
      </w:r>
    </w:p>
    <w:tbl>
      <w:tblPr>
        <w:tblW w:w="9200" w:type="dxa"/>
        <w:jc w:val="center"/>
        <w:tblCellMar>
          <w:left w:w="70" w:type="dxa"/>
          <w:right w:w="70" w:type="dxa"/>
        </w:tblCellMar>
        <w:tblLook w:val="04A0" w:firstRow="1" w:lastRow="0" w:firstColumn="1" w:lastColumn="0" w:noHBand="0" w:noVBand="1"/>
      </w:tblPr>
      <w:tblGrid>
        <w:gridCol w:w="1417"/>
        <w:gridCol w:w="1180"/>
        <w:gridCol w:w="1180"/>
        <w:gridCol w:w="1520"/>
        <w:gridCol w:w="1400"/>
        <w:gridCol w:w="1283"/>
        <w:gridCol w:w="1220"/>
      </w:tblGrid>
      <w:tr w:rsidR="005B756C" w:rsidRPr="00E21C60" w14:paraId="5E9310D4" w14:textId="77777777" w:rsidTr="000F57E6">
        <w:trPr>
          <w:trHeight w:val="900"/>
          <w:jc w:val="center"/>
        </w:trPr>
        <w:tc>
          <w:tcPr>
            <w:tcW w:w="1417"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1305DB1" w14:textId="77777777" w:rsidR="005B756C" w:rsidRPr="00E21C60" w:rsidRDefault="0079794E" w:rsidP="008A1902">
            <w:pPr>
              <w:keepNext/>
              <w:jc w:val="center"/>
              <w:rPr>
                <w:rFonts w:ascii="Arial" w:hAnsi="Arial" w:cs="Arial"/>
                <w:b/>
                <w:bCs/>
                <w:color w:val="000000"/>
                <w:sz w:val="16"/>
                <w:szCs w:val="16"/>
              </w:rPr>
            </w:pPr>
            <w:r>
              <w:rPr>
                <w:rFonts w:ascii="Arial" w:hAnsi="Arial" w:cs="Arial"/>
                <w:b/>
                <w:bCs/>
                <w:color w:val="000000"/>
                <w:sz w:val="16"/>
                <w:szCs w:val="16"/>
              </w:rPr>
              <w:t>Prioritná</w:t>
            </w:r>
            <w:r w:rsidRPr="00E21C60">
              <w:rPr>
                <w:rFonts w:ascii="Arial" w:hAnsi="Arial" w:cs="Arial"/>
                <w:b/>
                <w:bCs/>
                <w:color w:val="000000"/>
                <w:sz w:val="16"/>
                <w:szCs w:val="16"/>
              </w:rPr>
              <w:t xml:space="preserve"> </w:t>
            </w:r>
            <w:r w:rsidR="005B756C" w:rsidRPr="002526CC">
              <w:rPr>
                <w:rFonts w:ascii="Arial" w:hAnsi="Arial" w:cs="Arial"/>
                <w:b/>
                <w:bCs/>
                <w:color w:val="000000"/>
                <w:sz w:val="16"/>
                <w:szCs w:val="16"/>
              </w:rPr>
              <w:t>t</w:t>
            </w:r>
            <w:r w:rsidR="005B756C" w:rsidRPr="00E21C60">
              <w:rPr>
                <w:rFonts w:ascii="Arial" w:hAnsi="Arial" w:cs="Arial"/>
                <w:b/>
                <w:bCs/>
                <w:color w:val="000000"/>
                <w:sz w:val="16"/>
                <w:szCs w:val="16"/>
              </w:rPr>
              <w:t>éma</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7871BA8" w14:textId="77777777" w:rsidR="005B756C" w:rsidRPr="00E21C60" w:rsidRDefault="005B756C" w:rsidP="008A1902">
            <w:pPr>
              <w:keepNext/>
              <w:jc w:val="center"/>
              <w:rPr>
                <w:rFonts w:ascii="Arial" w:hAnsi="Arial" w:cs="Arial"/>
                <w:b/>
                <w:bCs/>
                <w:color w:val="000000"/>
                <w:sz w:val="16"/>
                <w:szCs w:val="16"/>
              </w:rPr>
            </w:pPr>
            <w:r w:rsidRPr="00E21C60">
              <w:rPr>
                <w:rFonts w:ascii="Arial" w:hAnsi="Arial" w:cs="Arial"/>
                <w:b/>
                <w:bCs/>
                <w:color w:val="000000"/>
                <w:sz w:val="16"/>
                <w:szCs w:val="16"/>
              </w:rPr>
              <w:t>Alokácia za zdroj EÚ+ŠR</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53CB308" w14:textId="77777777" w:rsidR="005B756C" w:rsidRPr="00E21C60" w:rsidRDefault="005B756C" w:rsidP="008A1902">
            <w:pPr>
              <w:keepNext/>
              <w:jc w:val="center"/>
              <w:rPr>
                <w:rFonts w:ascii="Arial" w:hAnsi="Arial" w:cs="Arial"/>
                <w:b/>
                <w:bCs/>
                <w:color w:val="000000"/>
                <w:sz w:val="16"/>
                <w:szCs w:val="16"/>
              </w:rPr>
            </w:pPr>
            <w:r w:rsidRPr="00E21C60">
              <w:rPr>
                <w:rFonts w:ascii="Arial" w:hAnsi="Arial" w:cs="Arial"/>
                <w:b/>
                <w:bCs/>
                <w:color w:val="000000"/>
                <w:sz w:val="16"/>
                <w:szCs w:val="16"/>
              </w:rPr>
              <w:t xml:space="preserve">Výška žiadaného príspevku (NFP)  </w:t>
            </w:r>
          </w:p>
        </w:tc>
        <w:tc>
          <w:tcPr>
            <w:tcW w:w="152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4ACF9D3" w14:textId="77777777" w:rsidR="005B756C" w:rsidRPr="00E21C60" w:rsidRDefault="005B756C" w:rsidP="008A1902">
            <w:pPr>
              <w:keepNext/>
              <w:jc w:val="center"/>
              <w:rPr>
                <w:rFonts w:ascii="Arial" w:hAnsi="Arial" w:cs="Arial"/>
                <w:b/>
                <w:bCs/>
                <w:color w:val="000000"/>
                <w:sz w:val="16"/>
                <w:szCs w:val="16"/>
              </w:rPr>
            </w:pPr>
            <w:r w:rsidRPr="00E21C60">
              <w:rPr>
                <w:rFonts w:ascii="Arial" w:hAnsi="Arial" w:cs="Arial"/>
                <w:b/>
                <w:bCs/>
                <w:color w:val="000000"/>
                <w:sz w:val="16"/>
                <w:szCs w:val="16"/>
              </w:rPr>
              <w:t xml:space="preserve">Výška schváleného príspevku (NFP) </w:t>
            </w:r>
          </w:p>
        </w:tc>
        <w:tc>
          <w:tcPr>
            <w:tcW w:w="14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AF8C4CD" w14:textId="77777777" w:rsidR="005B756C" w:rsidRPr="00E21C60" w:rsidRDefault="005B756C" w:rsidP="008A1902">
            <w:pPr>
              <w:keepNext/>
              <w:jc w:val="center"/>
              <w:rPr>
                <w:rFonts w:ascii="Arial" w:hAnsi="Arial" w:cs="Arial"/>
                <w:b/>
                <w:bCs/>
                <w:color w:val="000000"/>
                <w:sz w:val="16"/>
                <w:szCs w:val="16"/>
              </w:rPr>
            </w:pPr>
            <w:r w:rsidRPr="00E21C60">
              <w:rPr>
                <w:rFonts w:ascii="Arial" w:hAnsi="Arial" w:cs="Arial"/>
                <w:b/>
                <w:bCs/>
                <w:color w:val="000000"/>
                <w:sz w:val="16"/>
                <w:szCs w:val="16"/>
              </w:rPr>
              <w:t>Výška zazmluvnených prostriedkov (NFP)</w:t>
            </w:r>
          </w:p>
        </w:tc>
        <w:tc>
          <w:tcPr>
            <w:tcW w:w="1283"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4A2F2AC" w14:textId="77777777" w:rsidR="005B756C" w:rsidRPr="00E21C60" w:rsidRDefault="005B756C" w:rsidP="008A1902">
            <w:pPr>
              <w:keepNext/>
              <w:jc w:val="center"/>
              <w:rPr>
                <w:rFonts w:ascii="Arial" w:hAnsi="Arial" w:cs="Arial"/>
                <w:b/>
                <w:bCs/>
                <w:color w:val="000000"/>
                <w:sz w:val="16"/>
                <w:szCs w:val="16"/>
              </w:rPr>
            </w:pPr>
            <w:r w:rsidRPr="00E21C60">
              <w:rPr>
                <w:rFonts w:ascii="Arial" w:hAnsi="Arial" w:cs="Arial"/>
                <w:b/>
                <w:bCs/>
                <w:color w:val="000000"/>
                <w:sz w:val="16"/>
                <w:szCs w:val="16"/>
              </w:rPr>
              <w:t xml:space="preserve">Výška riadne ukončených </w:t>
            </w:r>
            <w:r w:rsidR="00322DA2" w:rsidRPr="00E21C60">
              <w:rPr>
                <w:rFonts w:ascii="Arial" w:hAnsi="Arial" w:cs="Arial"/>
                <w:b/>
                <w:bCs/>
                <w:color w:val="000000"/>
                <w:sz w:val="16"/>
                <w:szCs w:val="16"/>
              </w:rPr>
              <w:t>projektov</w:t>
            </w:r>
            <w:r w:rsidRPr="00E21C60">
              <w:rPr>
                <w:rFonts w:ascii="Arial" w:hAnsi="Arial" w:cs="Arial"/>
                <w:b/>
                <w:bCs/>
                <w:color w:val="000000"/>
                <w:sz w:val="16"/>
                <w:szCs w:val="16"/>
                <w:vertAlign w:val="superscript"/>
              </w:rPr>
              <w:t>1</w:t>
            </w:r>
          </w:p>
        </w:tc>
        <w:tc>
          <w:tcPr>
            <w:tcW w:w="122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A44703F" w14:textId="77777777" w:rsidR="005B756C" w:rsidRPr="00E21C60" w:rsidRDefault="005B756C" w:rsidP="008A1902">
            <w:pPr>
              <w:keepNext/>
              <w:jc w:val="center"/>
              <w:rPr>
                <w:rFonts w:ascii="Arial" w:hAnsi="Arial" w:cs="Arial"/>
                <w:b/>
                <w:bCs/>
                <w:color w:val="000000"/>
                <w:sz w:val="16"/>
                <w:szCs w:val="16"/>
              </w:rPr>
            </w:pPr>
            <w:r w:rsidRPr="00E21C60">
              <w:rPr>
                <w:rFonts w:ascii="Arial" w:hAnsi="Arial" w:cs="Arial"/>
                <w:b/>
                <w:bCs/>
                <w:color w:val="000000"/>
                <w:sz w:val="16"/>
                <w:szCs w:val="16"/>
              </w:rPr>
              <w:t>Výška mimoriadne ukončených projektov</w:t>
            </w:r>
          </w:p>
        </w:tc>
      </w:tr>
      <w:tr w:rsidR="000F57E6" w:rsidRPr="00E21C60" w14:paraId="2FBE31C3" w14:textId="77777777" w:rsidTr="000F57E6">
        <w:trPr>
          <w:trHeight w:val="675"/>
          <w:jc w:val="center"/>
        </w:trPr>
        <w:tc>
          <w:tcPr>
            <w:tcW w:w="1417" w:type="dxa"/>
            <w:tcBorders>
              <w:top w:val="nil"/>
              <w:left w:val="single" w:sz="4" w:space="0" w:color="auto"/>
              <w:bottom w:val="single" w:sz="4" w:space="0" w:color="auto"/>
              <w:right w:val="single" w:sz="4" w:space="0" w:color="auto"/>
            </w:tcBorders>
            <w:shd w:val="clear" w:color="auto" w:fill="auto"/>
            <w:vAlign w:val="center"/>
            <w:hideMark/>
          </w:tcPr>
          <w:p w14:paraId="4AF97D17" w14:textId="77777777" w:rsidR="000F57E6" w:rsidRPr="00E21C60" w:rsidRDefault="000F57E6" w:rsidP="000F57E6">
            <w:pPr>
              <w:keepNext/>
              <w:rPr>
                <w:rFonts w:ascii="Arial" w:hAnsi="Arial" w:cs="Arial"/>
                <w:color w:val="000000"/>
                <w:sz w:val="16"/>
                <w:szCs w:val="16"/>
              </w:rPr>
            </w:pPr>
            <w:r w:rsidRPr="002526CC">
              <w:rPr>
                <w:rFonts w:ascii="Arial" w:hAnsi="Arial" w:cs="Arial"/>
                <w:color w:val="000000"/>
                <w:sz w:val="16"/>
                <w:szCs w:val="16"/>
              </w:rPr>
              <w:t xml:space="preserve">45 - Hospodárenie </w:t>
            </w:r>
            <w:r w:rsidRPr="002526CC">
              <w:rPr>
                <w:rFonts w:ascii="Arial" w:hAnsi="Arial" w:cs="Arial"/>
                <w:color w:val="000000"/>
                <w:sz w:val="16"/>
                <w:szCs w:val="16"/>
              </w:rPr>
              <w:br/>
              <w:t xml:space="preserve">s vodou a jej distribúcia </w:t>
            </w:r>
            <w:r w:rsidRPr="002526CC">
              <w:rPr>
                <w:rFonts w:ascii="Arial" w:hAnsi="Arial" w:cs="Arial"/>
                <w:color w:val="000000"/>
                <w:sz w:val="16"/>
                <w:szCs w:val="16"/>
              </w:rPr>
              <w:br/>
            </w:r>
            <w:r w:rsidRPr="00E21C60">
              <w:rPr>
                <w:rFonts w:ascii="Arial" w:hAnsi="Arial" w:cs="Arial"/>
                <w:color w:val="000000"/>
                <w:sz w:val="16"/>
                <w:szCs w:val="16"/>
              </w:rPr>
              <w:t>(pitná voda)</w:t>
            </w:r>
          </w:p>
        </w:tc>
        <w:tc>
          <w:tcPr>
            <w:tcW w:w="1180" w:type="dxa"/>
            <w:tcBorders>
              <w:top w:val="nil"/>
              <w:left w:val="nil"/>
              <w:bottom w:val="single" w:sz="4" w:space="0" w:color="auto"/>
              <w:right w:val="single" w:sz="4" w:space="0" w:color="auto"/>
            </w:tcBorders>
            <w:shd w:val="clear" w:color="auto" w:fill="auto"/>
            <w:vAlign w:val="center"/>
            <w:hideMark/>
          </w:tcPr>
          <w:p w14:paraId="6040C0A8" w14:textId="7478E882"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101 118 288</w:t>
            </w:r>
          </w:p>
        </w:tc>
        <w:tc>
          <w:tcPr>
            <w:tcW w:w="1180" w:type="dxa"/>
            <w:tcBorders>
              <w:top w:val="nil"/>
              <w:left w:val="nil"/>
              <w:bottom w:val="single" w:sz="4" w:space="0" w:color="auto"/>
              <w:right w:val="single" w:sz="4" w:space="0" w:color="auto"/>
            </w:tcBorders>
            <w:shd w:val="clear" w:color="auto" w:fill="auto"/>
            <w:noWrap/>
            <w:vAlign w:val="center"/>
            <w:hideMark/>
          </w:tcPr>
          <w:p w14:paraId="2F2BDD0D" w14:textId="16B860D5"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324 353 242</w:t>
            </w:r>
          </w:p>
        </w:tc>
        <w:tc>
          <w:tcPr>
            <w:tcW w:w="1520" w:type="dxa"/>
            <w:tcBorders>
              <w:top w:val="nil"/>
              <w:left w:val="nil"/>
              <w:bottom w:val="single" w:sz="4" w:space="0" w:color="auto"/>
              <w:right w:val="single" w:sz="4" w:space="0" w:color="auto"/>
            </w:tcBorders>
            <w:shd w:val="clear" w:color="auto" w:fill="auto"/>
            <w:noWrap/>
            <w:vAlign w:val="center"/>
            <w:hideMark/>
          </w:tcPr>
          <w:p w14:paraId="40CC0467" w14:textId="2F2CCCB9"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106 365 515</w:t>
            </w:r>
          </w:p>
        </w:tc>
        <w:tc>
          <w:tcPr>
            <w:tcW w:w="1400" w:type="dxa"/>
            <w:tcBorders>
              <w:top w:val="nil"/>
              <w:left w:val="nil"/>
              <w:bottom w:val="single" w:sz="4" w:space="0" w:color="auto"/>
              <w:right w:val="single" w:sz="4" w:space="0" w:color="auto"/>
            </w:tcBorders>
            <w:shd w:val="clear" w:color="auto" w:fill="auto"/>
            <w:noWrap/>
            <w:vAlign w:val="center"/>
          </w:tcPr>
          <w:p w14:paraId="6DD1C499" w14:textId="4EC25867"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95 891 229</w:t>
            </w:r>
          </w:p>
        </w:tc>
        <w:tc>
          <w:tcPr>
            <w:tcW w:w="1283" w:type="dxa"/>
            <w:tcBorders>
              <w:top w:val="nil"/>
              <w:left w:val="nil"/>
              <w:bottom w:val="single" w:sz="4" w:space="0" w:color="auto"/>
              <w:right w:val="single" w:sz="4" w:space="0" w:color="auto"/>
            </w:tcBorders>
            <w:shd w:val="clear" w:color="auto" w:fill="auto"/>
            <w:noWrap/>
            <w:vAlign w:val="center"/>
          </w:tcPr>
          <w:p w14:paraId="237011FA" w14:textId="21662B47"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83 117 140</w:t>
            </w:r>
          </w:p>
        </w:tc>
        <w:tc>
          <w:tcPr>
            <w:tcW w:w="1220" w:type="dxa"/>
            <w:tcBorders>
              <w:top w:val="nil"/>
              <w:left w:val="nil"/>
              <w:bottom w:val="single" w:sz="4" w:space="0" w:color="auto"/>
              <w:right w:val="single" w:sz="4" w:space="0" w:color="auto"/>
            </w:tcBorders>
            <w:shd w:val="clear" w:color="auto" w:fill="auto"/>
            <w:noWrap/>
            <w:vAlign w:val="center"/>
          </w:tcPr>
          <w:p w14:paraId="1D6E68FB" w14:textId="2A6BED73"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0</w:t>
            </w:r>
          </w:p>
        </w:tc>
      </w:tr>
      <w:tr w:rsidR="000F57E6" w:rsidRPr="00E21C60" w14:paraId="44B894FB" w14:textId="77777777" w:rsidTr="000F57E6">
        <w:trPr>
          <w:trHeight w:val="450"/>
          <w:jc w:val="center"/>
        </w:trPr>
        <w:tc>
          <w:tcPr>
            <w:tcW w:w="1417" w:type="dxa"/>
            <w:tcBorders>
              <w:top w:val="nil"/>
              <w:left w:val="single" w:sz="4" w:space="0" w:color="auto"/>
              <w:bottom w:val="single" w:sz="4" w:space="0" w:color="auto"/>
              <w:right w:val="single" w:sz="4" w:space="0" w:color="auto"/>
            </w:tcBorders>
            <w:shd w:val="clear" w:color="auto" w:fill="auto"/>
            <w:vAlign w:val="center"/>
            <w:hideMark/>
          </w:tcPr>
          <w:p w14:paraId="2E87D1BE" w14:textId="77777777" w:rsidR="000F57E6" w:rsidRPr="002526CC" w:rsidRDefault="000F57E6" w:rsidP="000F57E6">
            <w:pPr>
              <w:rPr>
                <w:rFonts w:ascii="Arial" w:hAnsi="Arial" w:cs="Arial"/>
                <w:color w:val="000000"/>
                <w:sz w:val="16"/>
                <w:szCs w:val="16"/>
              </w:rPr>
            </w:pPr>
            <w:r w:rsidRPr="002526CC">
              <w:rPr>
                <w:rFonts w:ascii="Arial" w:hAnsi="Arial" w:cs="Arial"/>
                <w:color w:val="000000"/>
                <w:sz w:val="16"/>
                <w:szCs w:val="16"/>
              </w:rPr>
              <w:t xml:space="preserve">46 - Spracovanie vody </w:t>
            </w:r>
            <w:r w:rsidRPr="002526CC">
              <w:rPr>
                <w:rFonts w:ascii="Arial" w:hAnsi="Arial" w:cs="Arial"/>
                <w:color w:val="000000"/>
                <w:sz w:val="16"/>
                <w:szCs w:val="16"/>
              </w:rPr>
              <w:br/>
              <w:t>(odpadová voda)</w:t>
            </w:r>
          </w:p>
        </w:tc>
        <w:tc>
          <w:tcPr>
            <w:tcW w:w="1180" w:type="dxa"/>
            <w:tcBorders>
              <w:top w:val="nil"/>
              <w:left w:val="nil"/>
              <w:bottom w:val="single" w:sz="4" w:space="0" w:color="auto"/>
              <w:right w:val="single" w:sz="4" w:space="0" w:color="auto"/>
            </w:tcBorders>
            <w:shd w:val="clear" w:color="auto" w:fill="auto"/>
            <w:vAlign w:val="center"/>
            <w:hideMark/>
          </w:tcPr>
          <w:p w14:paraId="2B863FF0" w14:textId="08359540"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985 154 706</w:t>
            </w:r>
          </w:p>
        </w:tc>
        <w:tc>
          <w:tcPr>
            <w:tcW w:w="1180" w:type="dxa"/>
            <w:tcBorders>
              <w:top w:val="nil"/>
              <w:left w:val="nil"/>
              <w:bottom w:val="single" w:sz="4" w:space="0" w:color="auto"/>
              <w:right w:val="single" w:sz="4" w:space="0" w:color="auto"/>
            </w:tcBorders>
            <w:shd w:val="clear" w:color="auto" w:fill="auto"/>
            <w:noWrap/>
            <w:vAlign w:val="center"/>
            <w:hideMark/>
          </w:tcPr>
          <w:p w14:paraId="584FB2D4" w14:textId="6E420560"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2 635 597 024</w:t>
            </w:r>
          </w:p>
        </w:tc>
        <w:tc>
          <w:tcPr>
            <w:tcW w:w="1520" w:type="dxa"/>
            <w:tcBorders>
              <w:top w:val="nil"/>
              <w:left w:val="nil"/>
              <w:bottom w:val="single" w:sz="4" w:space="0" w:color="auto"/>
              <w:right w:val="single" w:sz="4" w:space="0" w:color="auto"/>
            </w:tcBorders>
            <w:shd w:val="clear" w:color="auto" w:fill="auto"/>
            <w:noWrap/>
            <w:vAlign w:val="center"/>
            <w:hideMark/>
          </w:tcPr>
          <w:p w14:paraId="048C444A" w14:textId="0F07F758"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1 296 259 405</w:t>
            </w:r>
          </w:p>
        </w:tc>
        <w:tc>
          <w:tcPr>
            <w:tcW w:w="1400" w:type="dxa"/>
            <w:tcBorders>
              <w:top w:val="nil"/>
              <w:left w:val="nil"/>
              <w:bottom w:val="single" w:sz="4" w:space="0" w:color="auto"/>
              <w:right w:val="single" w:sz="4" w:space="0" w:color="auto"/>
            </w:tcBorders>
            <w:shd w:val="clear" w:color="auto" w:fill="auto"/>
            <w:noWrap/>
            <w:vAlign w:val="center"/>
          </w:tcPr>
          <w:p w14:paraId="1424731F" w14:textId="436E861A" w:rsidR="000F57E6" w:rsidRPr="00E21C60" w:rsidRDefault="000F57E6" w:rsidP="000F57E6">
            <w:pPr>
              <w:keepNext/>
              <w:jc w:val="center"/>
              <w:rPr>
                <w:rFonts w:ascii="Arial" w:hAnsi="Arial" w:cs="Arial"/>
                <w:color w:val="000000"/>
                <w:sz w:val="16"/>
                <w:szCs w:val="16"/>
              </w:rPr>
            </w:pPr>
            <w:r w:rsidRPr="000F57E6">
              <w:rPr>
                <w:rFonts w:ascii="Arial" w:hAnsi="Arial" w:cs="Arial"/>
                <w:color w:val="000000"/>
                <w:sz w:val="16"/>
                <w:szCs w:val="16"/>
              </w:rPr>
              <w:t>986 576 248</w:t>
            </w:r>
          </w:p>
        </w:tc>
        <w:tc>
          <w:tcPr>
            <w:tcW w:w="1283" w:type="dxa"/>
            <w:tcBorders>
              <w:top w:val="nil"/>
              <w:left w:val="nil"/>
              <w:bottom w:val="single" w:sz="4" w:space="0" w:color="auto"/>
              <w:right w:val="single" w:sz="4" w:space="0" w:color="auto"/>
            </w:tcBorders>
            <w:shd w:val="clear" w:color="auto" w:fill="auto"/>
            <w:noWrap/>
            <w:vAlign w:val="center"/>
          </w:tcPr>
          <w:p w14:paraId="5561347E" w14:textId="72504EC6" w:rsidR="000F57E6" w:rsidRPr="00E21C60" w:rsidRDefault="000F57E6" w:rsidP="000F57E6">
            <w:pPr>
              <w:keepNext/>
              <w:jc w:val="center"/>
              <w:rPr>
                <w:rFonts w:ascii="Arial" w:hAnsi="Arial" w:cs="Arial"/>
                <w:color w:val="000000"/>
                <w:sz w:val="16"/>
                <w:szCs w:val="16"/>
              </w:rPr>
            </w:pPr>
            <w:r w:rsidRPr="000F57E6">
              <w:rPr>
                <w:rFonts w:ascii="Arial" w:hAnsi="Arial" w:cs="Arial"/>
                <w:color w:val="000000"/>
                <w:sz w:val="16"/>
                <w:szCs w:val="16"/>
              </w:rPr>
              <w:t>849 913 161</w:t>
            </w:r>
          </w:p>
        </w:tc>
        <w:tc>
          <w:tcPr>
            <w:tcW w:w="1220" w:type="dxa"/>
            <w:tcBorders>
              <w:top w:val="nil"/>
              <w:left w:val="nil"/>
              <w:bottom w:val="single" w:sz="4" w:space="0" w:color="auto"/>
              <w:right w:val="single" w:sz="4" w:space="0" w:color="auto"/>
            </w:tcBorders>
            <w:shd w:val="clear" w:color="auto" w:fill="auto"/>
            <w:noWrap/>
            <w:vAlign w:val="center"/>
          </w:tcPr>
          <w:p w14:paraId="0D27A383" w14:textId="09E09080" w:rsidR="000F57E6" w:rsidRPr="00E21C60" w:rsidRDefault="000F57E6" w:rsidP="000F57E6">
            <w:pPr>
              <w:keepNext/>
              <w:jc w:val="center"/>
              <w:rPr>
                <w:rFonts w:ascii="Arial" w:hAnsi="Arial" w:cs="Arial"/>
                <w:color w:val="000000"/>
                <w:sz w:val="16"/>
                <w:szCs w:val="16"/>
              </w:rPr>
            </w:pPr>
            <w:r w:rsidRPr="000F57E6">
              <w:rPr>
                <w:rFonts w:ascii="Arial" w:hAnsi="Arial" w:cs="Arial"/>
                <w:color w:val="000000"/>
                <w:sz w:val="16"/>
                <w:szCs w:val="16"/>
              </w:rPr>
              <w:t>38 672 939</w:t>
            </w:r>
          </w:p>
        </w:tc>
      </w:tr>
      <w:tr w:rsidR="000F57E6" w:rsidRPr="00E21C60" w14:paraId="7061050E" w14:textId="77777777" w:rsidTr="000F57E6">
        <w:trPr>
          <w:trHeight w:val="900"/>
          <w:jc w:val="center"/>
        </w:trPr>
        <w:tc>
          <w:tcPr>
            <w:tcW w:w="1417" w:type="dxa"/>
            <w:tcBorders>
              <w:top w:val="nil"/>
              <w:left w:val="single" w:sz="4" w:space="0" w:color="auto"/>
              <w:bottom w:val="single" w:sz="4" w:space="0" w:color="auto"/>
              <w:right w:val="single" w:sz="4" w:space="0" w:color="auto"/>
            </w:tcBorders>
            <w:shd w:val="clear" w:color="auto" w:fill="auto"/>
            <w:vAlign w:val="center"/>
            <w:hideMark/>
          </w:tcPr>
          <w:p w14:paraId="78384A74" w14:textId="3939327E" w:rsidR="000F57E6" w:rsidRPr="00E21C60" w:rsidRDefault="000F57E6" w:rsidP="000F57E6">
            <w:pPr>
              <w:rPr>
                <w:rFonts w:ascii="Arial" w:hAnsi="Arial" w:cs="Arial"/>
                <w:color w:val="000000"/>
                <w:sz w:val="16"/>
                <w:szCs w:val="16"/>
              </w:rPr>
            </w:pPr>
            <w:r w:rsidRPr="002526CC">
              <w:rPr>
                <w:rFonts w:ascii="Arial" w:hAnsi="Arial" w:cs="Arial"/>
                <w:color w:val="000000"/>
                <w:sz w:val="16"/>
                <w:szCs w:val="16"/>
              </w:rPr>
              <w:t xml:space="preserve">54 - Iné opatrenia </w:t>
            </w:r>
            <w:r w:rsidRPr="002526CC">
              <w:rPr>
                <w:rFonts w:ascii="Arial" w:hAnsi="Arial" w:cs="Arial"/>
                <w:color w:val="000000"/>
                <w:sz w:val="16"/>
                <w:szCs w:val="16"/>
              </w:rPr>
              <w:br/>
              <w:t xml:space="preserve">na zachovanie </w:t>
            </w:r>
            <w:r w:rsidRPr="002526CC">
              <w:rPr>
                <w:rFonts w:ascii="Arial" w:hAnsi="Arial" w:cs="Arial"/>
                <w:color w:val="000000"/>
                <w:sz w:val="16"/>
                <w:szCs w:val="16"/>
              </w:rPr>
              <w:br/>
              <w:t xml:space="preserve">životného prostredia </w:t>
            </w:r>
            <w:r w:rsidRPr="002526CC">
              <w:rPr>
                <w:rFonts w:ascii="Arial" w:hAnsi="Arial" w:cs="Arial"/>
                <w:color w:val="000000"/>
                <w:sz w:val="16"/>
                <w:szCs w:val="16"/>
              </w:rPr>
              <w:br/>
              <w:t>a predchádzan</w:t>
            </w:r>
            <w:r w:rsidRPr="00E21C60">
              <w:rPr>
                <w:rFonts w:ascii="Arial" w:hAnsi="Arial" w:cs="Arial"/>
                <w:color w:val="000000"/>
                <w:sz w:val="16"/>
                <w:szCs w:val="16"/>
              </w:rPr>
              <w:t>ie rizikám</w:t>
            </w:r>
          </w:p>
        </w:tc>
        <w:tc>
          <w:tcPr>
            <w:tcW w:w="1180" w:type="dxa"/>
            <w:tcBorders>
              <w:top w:val="nil"/>
              <w:left w:val="nil"/>
              <w:bottom w:val="single" w:sz="4" w:space="0" w:color="auto"/>
              <w:right w:val="single" w:sz="4" w:space="0" w:color="auto"/>
            </w:tcBorders>
            <w:shd w:val="clear" w:color="auto" w:fill="auto"/>
            <w:noWrap/>
            <w:vAlign w:val="center"/>
            <w:hideMark/>
          </w:tcPr>
          <w:p w14:paraId="228D4C36" w14:textId="50476C9E"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25 154 024</w:t>
            </w:r>
          </w:p>
        </w:tc>
        <w:tc>
          <w:tcPr>
            <w:tcW w:w="1180" w:type="dxa"/>
            <w:tcBorders>
              <w:top w:val="nil"/>
              <w:left w:val="nil"/>
              <w:bottom w:val="single" w:sz="4" w:space="0" w:color="auto"/>
              <w:right w:val="single" w:sz="4" w:space="0" w:color="auto"/>
            </w:tcBorders>
            <w:shd w:val="clear" w:color="auto" w:fill="auto"/>
            <w:noWrap/>
            <w:vAlign w:val="center"/>
            <w:hideMark/>
          </w:tcPr>
          <w:p w14:paraId="21B18810" w14:textId="3BD2BA36"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52 444 609</w:t>
            </w:r>
          </w:p>
        </w:tc>
        <w:tc>
          <w:tcPr>
            <w:tcW w:w="1520" w:type="dxa"/>
            <w:tcBorders>
              <w:top w:val="nil"/>
              <w:left w:val="nil"/>
              <w:bottom w:val="single" w:sz="4" w:space="0" w:color="auto"/>
              <w:right w:val="single" w:sz="4" w:space="0" w:color="auto"/>
            </w:tcBorders>
            <w:shd w:val="clear" w:color="auto" w:fill="auto"/>
            <w:noWrap/>
            <w:vAlign w:val="center"/>
            <w:hideMark/>
          </w:tcPr>
          <w:p w14:paraId="32BD9C7D" w14:textId="5C82D0FD" w:rsidR="000F57E6" w:rsidRPr="00E21C60" w:rsidRDefault="000F57E6" w:rsidP="000F57E6">
            <w:pPr>
              <w:jc w:val="center"/>
              <w:rPr>
                <w:rFonts w:ascii="Arial" w:hAnsi="Arial" w:cs="Arial"/>
                <w:color w:val="000000"/>
                <w:sz w:val="16"/>
                <w:szCs w:val="16"/>
              </w:rPr>
            </w:pPr>
            <w:r w:rsidRPr="000F57E6">
              <w:rPr>
                <w:rFonts w:ascii="Arial" w:hAnsi="Arial" w:cs="Arial"/>
                <w:color w:val="000000"/>
                <w:sz w:val="16"/>
                <w:szCs w:val="16"/>
              </w:rPr>
              <w:t>40 011 057</w:t>
            </w:r>
          </w:p>
        </w:tc>
        <w:tc>
          <w:tcPr>
            <w:tcW w:w="1400" w:type="dxa"/>
            <w:tcBorders>
              <w:top w:val="nil"/>
              <w:left w:val="nil"/>
              <w:bottom w:val="single" w:sz="4" w:space="0" w:color="auto"/>
              <w:right w:val="single" w:sz="4" w:space="0" w:color="auto"/>
            </w:tcBorders>
            <w:shd w:val="clear" w:color="auto" w:fill="auto"/>
            <w:noWrap/>
            <w:vAlign w:val="center"/>
          </w:tcPr>
          <w:p w14:paraId="2F29369C" w14:textId="6E332301" w:rsidR="000F57E6" w:rsidRPr="00E21C60" w:rsidRDefault="000F57E6" w:rsidP="000F57E6">
            <w:pPr>
              <w:keepNext/>
              <w:jc w:val="center"/>
              <w:rPr>
                <w:rFonts w:ascii="Arial" w:hAnsi="Arial" w:cs="Arial"/>
                <w:color w:val="000000"/>
                <w:sz w:val="16"/>
                <w:szCs w:val="16"/>
              </w:rPr>
            </w:pPr>
            <w:r w:rsidRPr="000F57E6">
              <w:rPr>
                <w:rFonts w:ascii="Arial" w:hAnsi="Arial" w:cs="Arial"/>
                <w:color w:val="000000"/>
                <w:sz w:val="16"/>
                <w:szCs w:val="16"/>
              </w:rPr>
              <w:t>24 392 689</w:t>
            </w:r>
          </w:p>
        </w:tc>
        <w:tc>
          <w:tcPr>
            <w:tcW w:w="1283" w:type="dxa"/>
            <w:tcBorders>
              <w:top w:val="nil"/>
              <w:left w:val="nil"/>
              <w:bottom w:val="single" w:sz="4" w:space="0" w:color="auto"/>
              <w:right w:val="single" w:sz="4" w:space="0" w:color="auto"/>
            </w:tcBorders>
            <w:shd w:val="clear" w:color="auto" w:fill="auto"/>
            <w:noWrap/>
            <w:vAlign w:val="center"/>
          </w:tcPr>
          <w:p w14:paraId="5B20D849" w14:textId="42074969" w:rsidR="000F57E6" w:rsidRPr="00E21C60" w:rsidRDefault="000F57E6" w:rsidP="000F57E6">
            <w:pPr>
              <w:keepNext/>
              <w:jc w:val="center"/>
              <w:rPr>
                <w:rFonts w:ascii="Arial" w:hAnsi="Arial" w:cs="Arial"/>
                <w:color w:val="000000"/>
                <w:sz w:val="16"/>
                <w:szCs w:val="16"/>
              </w:rPr>
            </w:pPr>
            <w:r w:rsidRPr="000F57E6">
              <w:rPr>
                <w:rFonts w:ascii="Arial" w:hAnsi="Arial" w:cs="Arial"/>
                <w:color w:val="000000"/>
                <w:sz w:val="16"/>
                <w:szCs w:val="16"/>
              </w:rPr>
              <w:t>19 039 054</w:t>
            </w:r>
          </w:p>
        </w:tc>
        <w:tc>
          <w:tcPr>
            <w:tcW w:w="1220" w:type="dxa"/>
            <w:tcBorders>
              <w:top w:val="nil"/>
              <w:left w:val="nil"/>
              <w:bottom w:val="single" w:sz="4" w:space="0" w:color="auto"/>
              <w:right w:val="single" w:sz="4" w:space="0" w:color="auto"/>
            </w:tcBorders>
            <w:shd w:val="clear" w:color="auto" w:fill="auto"/>
            <w:noWrap/>
            <w:vAlign w:val="center"/>
          </w:tcPr>
          <w:p w14:paraId="16164BA7" w14:textId="64584FCF" w:rsidR="000F57E6" w:rsidRPr="00E21C60" w:rsidRDefault="000F57E6" w:rsidP="000F57E6">
            <w:pPr>
              <w:keepNext/>
              <w:jc w:val="center"/>
              <w:rPr>
                <w:rFonts w:ascii="Arial" w:hAnsi="Arial" w:cs="Arial"/>
                <w:color w:val="000000"/>
                <w:sz w:val="16"/>
                <w:szCs w:val="16"/>
              </w:rPr>
            </w:pPr>
            <w:r w:rsidRPr="000F57E6">
              <w:rPr>
                <w:rFonts w:ascii="Arial" w:hAnsi="Arial" w:cs="Arial"/>
                <w:color w:val="000000"/>
                <w:sz w:val="16"/>
                <w:szCs w:val="16"/>
              </w:rPr>
              <w:t>15 618 368</w:t>
            </w:r>
          </w:p>
        </w:tc>
      </w:tr>
      <w:tr w:rsidR="000F57E6" w:rsidRPr="00E21C60" w14:paraId="262F76E8" w14:textId="77777777" w:rsidTr="000F57E6">
        <w:trPr>
          <w:trHeight w:val="255"/>
          <w:jc w:val="center"/>
        </w:trPr>
        <w:tc>
          <w:tcPr>
            <w:tcW w:w="1417" w:type="dxa"/>
            <w:tcBorders>
              <w:top w:val="nil"/>
              <w:left w:val="single" w:sz="4" w:space="0" w:color="auto"/>
              <w:bottom w:val="single" w:sz="4" w:space="0" w:color="auto"/>
              <w:right w:val="single" w:sz="4" w:space="0" w:color="auto"/>
            </w:tcBorders>
            <w:shd w:val="clear" w:color="000000" w:fill="EBF1DE"/>
            <w:vAlign w:val="center"/>
            <w:hideMark/>
          </w:tcPr>
          <w:p w14:paraId="550BDD8D" w14:textId="77777777" w:rsidR="000F57E6" w:rsidRPr="002526CC" w:rsidRDefault="000F57E6" w:rsidP="000F57E6">
            <w:pPr>
              <w:rPr>
                <w:rFonts w:ascii="Arial" w:hAnsi="Arial" w:cs="Arial"/>
                <w:b/>
                <w:bCs/>
                <w:color w:val="000000"/>
                <w:sz w:val="16"/>
                <w:szCs w:val="16"/>
              </w:rPr>
            </w:pPr>
            <w:r w:rsidRPr="002526CC">
              <w:rPr>
                <w:rFonts w:ascii="Arial" w:hAnsi="Arial" w:cs="Arial"/>
                <w:b/>
                <w:bCs/>
                <w:color w:val="000000"/>
                <w:sz w:val="16"/>
                <w:szCs w:val="16"/>
              </w:rPr>
              <w:t>Celkom</w:t>
            </w:r>
          </w:p>
        </w:tc>
        <w:tc>
          <w:tcPr>
            <w:tcW w:w="1180" w:type="dxa"/>
            <w:tcBorders>
              <w:top w:val="nil"/>
              <w:left w:val="nil"/>
              <w:bottom w:val="single" w:sz="4" w:space="0" w:color="auto"/>
              <w:right w:val="single" w:sz="4" w:space="0" w:color="auto"/>
            </w:tcBorders>
            <w:shd w:val="clear" w:color="000000" w:fill="EBF1DE"/>
            <w:noWrap/>
            <w:vAlign w:val="center"/>
            <w:hideMark/>
          </w:tcPr>
          <w:p w14:paraId="433F409D" w14:textId="653B5549" w:rsidR="000F57E6" w:rsidRPr="000F57E6" w:rsidRDefault="000F57E6" w:rsidP="000F57E6">
            <w:pPr>
              <w:jc w:val="center"/>
              <w:rPr>
                <w:rFonts w:ascii="Arial" w:hAnsi="Arial" w:cs="Arial"/>
                <w:b/>
                <w:color w:val="000000"/>
                <w:sz w:val="16"/>
                <w:szCs w:val="16"/>
              </w:rPr>
            </w:pPr>
            <w:r w:rsidRPr="000F57E6">
              <w:rPr>
                <w:rFonts w:ascii="Arial" w:hAnsi="Arial" w:cs="Arial"/>
                <w:b/>
                <w:color w:val="000000"/>
                <w:sz w:val="16"/>
                <w:szCs w:val="16"/>
              </w:rPr>
              <w:t>1 111 427 018</w:t>
            </w:r>
          </w:p>
        </w:tc>
        <w:tc>
          <w:tcPr>
            <w:tcW w:w="1180" w:type="dxa"/>
            <w:tcBorders>
              <w:top w:val="nil"/>
              <w:left w:val="nil"/>
              <w:bottom w:val="single" w:sz="4" w:space="0" w:color="auto"/>
              <w:right w:val="single" w:sz="4" w:space="0" w:color="auto"/>
            </w:tcBorders>
            <w:shd w:val="clear" w:color="000000" w:fill="EBF1DE"/>
            <w:noWrap/>
            <w:vAlign w:val="center"/>
            <w:hideMark/>
          </w:tcPr>
          <w:p w14:paraId="6C9EB16E" w14:textId="2F8794CB" w:rsidR="000F57E6" w:rsidRPr="000F57E6" w:rsidRDefault="000F57E6" w:rsidP="000F57E6">
            <w:pPr>
              <w:jc w:val="center"/>
              <w:rPr>
                <w:rFonts w:ascii="Arial" w:hAnsi="Arial" w:cs="Arial"/>
                <w:b/>
                <w:color w:val="000000"/>
                <w:sz w:val="16"/>
                <w:szCs w:val="16"/>
              </w:rPr>
            </w:pPr>
            <w:r w:rsidRPr="000F57E6">
              <w:rPr>
                <w:rFonts w:ascii="Arial" w:hAnsi="Arial" w:cs="Arial"/>
                <w:b/>
                <w:color w:val="000000"/>
                <w:sz w:val="16"/>
                <w:szCs w:val="16"/>
              </w:rPr>
              <w:t>3 012 394 876</w:t>
            </w:r>
          </w:p>
        </w:tc>
        <w:tc>
          <w:tcPr>
            <w:tcW w:w="1520" w:type="dxa"/>
            <w:tcBorders>
              <w:top w:val="nil"/>
              <w:left w:val="nil"/>
              <w:bottom w:val="single" w:sz="4" w:space="0" w:color="auto"/>
              <w:right w:val="single" w:sz="4" w:space="0" w:color="auto"/>
            </w:tcBorders>
            <w:shd w:val="clear" w:color="000000" w:fill="EBF1DE"/>
            <w:noWrap/>
            <w:vAlign w:val="center"/>
            <w:hideMark/>
          </w:tcPr>
          <w:p w14:paraId="1F09C678" w14:textId="396C4CB6" w:rsidR="000F57E6" w:rsidRPr="000F57E6" w:rsidRDefault="000F57E6" w:rsidP="000F57E6">
            <w:pPr>
              <w:jc w:val="center"/>
              <w:rPr>
                <w:rFonts w:ascii="Arial" w:hAnsi="Arial" w:cs="Arial"/>
                <w:b/>
                <w:color w:val="000000"/>
                <w:sz w:val="16"/>
                <w:szCs w:val="16"/>
              </w:rPr>
            </w:pPr>
            <w:r w:rsidRPr="000F57E6">
              <w:rPr>
                <w:rFonts w:ascii="Arial" w:hAnsi="Arial" w:cs="Arial"/>
                <w:b/>
                <w:color w:val="000000"/>
                <w:sz w:val="16"/>
                <w:szCs w:val="16"/>
              </w:rPr>
              <w:t>1 442 635 976</w:t>
            </w:r>
          </w:p>
        </w:tc>
        <w:tc>
          <w:tcPr>
            <w:tcW w:w="1400" w:type="dxa"/>
            <w:tcBorders>
              <w:top w:val="nil"/>
              <w:left w:val="nil"/>
              <w:bottom w:val="single" w:sz="4" w:space="0" w:color="auto"/>
              <w:right w:val="single" w:sz="4" w:space="0" w:color="auto"/>
            </w:tcBorders>
            <w:shd w:val="clear" w:color="000000" w:fill="EBF1DE"/>
            <w:noWrap/>
            <w:vAlign w:val="center"/>
          </w:tcPr>
          <w:p w14:paraId="550FA6A9" w14:textId="2AC4C036" w:rsidR="000F57E6" w:rsidRPr="000F57E6" w:rsidRDefault="000F57E6" w:rsidP="000F57E6">
            <w:pPr>
              <w:jc w:val="center"/>
              <w:rPr>
                <w:rFonts w:ascii="Arial" w:hAnsi="Arial" w:cs="Arial"/>
                <w:b/>
                <w:color w:val="000000"/>
                <w:sz w:val="16"/>
                <w:szCs w:val="16"/>
              </w:rPr>
            </w:pPr>
            <w:r w:rsidRPr="000F57E6">
              <w:rPr>
                <w:rFonts w:ascii="Arial" w:hAnsi="Arial" w:cs="Arial"/>
                <w:b/>
                <w:color w:val="000000"/>
                <w:sz w:val="16"/>
                <w:szCs w:val="16"/>
              </w:rPr>
              <w:t>1 106 860 166</w:t>
            </w:r>
          </w:p>
        </w:tc>
        <w:tc>
          <w:tcPr>
            <w:tcW w:w="1283" w:type="dxa"/>
            <w:tcBorders>
              <w:top w:val="nil"/>
              <w:left w:val="nil"/>
              <w:bottom w:val="single" w:sz="4" w:space="0" w:color="auto"/>
              <w:right w:val="single" w:sz="4" w:space="0" w:color="auto"/>
            </w:tcBorders>
            <w:shd w:val="clear" w:color="000000" w:fill="EBF1DE"/>
            <w:noWrap/>
            <w:vAlign w:val="center"/>
          </w:tcPr>
          <w:p w14:paraId="54797CA8" w14:textId="242DA201" w:rsidR="000F57E6" w:rsidRPr="000F57E6" w:rsidRDefault="000F57E6" w:rsidP="000F57E6">
            <w:pPr>
              <w:jc w:val="center"/>
              <w:rPr>
                <w:rFonts w:ascii="Arial" w:hAnsi="Arial" w:cs="Arial"/>
                <w:b/>
                <w:color w:val="000000"/>
                <w:sz w:val="16"/>
                <w:szCs w:val="16"/>
              </w:rPr>
            </w:pPr>
            <w:r w:rsidRPr="000F57E6">
              <w:rPr>
                <w:rFonts w:ascii="Arial" w:hAnsi="Arial" w:cs="Arial"/>
                <w:b/>
                <w:color w:val="000000"/>
                <w:sz w:val="16"/>
                <w:szCs w:val="16"/>
              </w:rPr>
              <w:t>952 069 355</w:t>
            </w:r>
          </w:p>
        </w:tc>
        <w:tc>
          <w:tcPr>
            <w:tcW w:w="1220" w:type="dxa"/>
            <w:tcBorders>
              <w:top w:val="nil"/>
              <w:left w:val="nil"/>
              <w:bottom w:val="single" w:sz="4" w:space="0" w:color="auto"/>
              <w:right w:val="single" w:sz="4" w:space="0" w:color="auto"/>
            </w:tcBorders>
            <w:shd w:val="clear" w:color="000000" w:fill="EBF1DE"/>
            <w:noWrap/>
            <w:vAlign w:val="center"/>
          </w:tcPr>
          <w:p w14:paraId="53B01C03" w14:textId="5175A2FF" w:rsidR="000F57E6" w:rsidRPr="000F57E6" w:rsidRDefault="000F57E6" w:rsidP="000F57E6">
            <w:pPr>
              <w:jc w:val="center"/>
              <w:rPr>
                <w:rFonts w:ascii="Arial" w:hAnsi="Arial" w:cs="Arial"/>
                <w:b/>
                <w:color w:val="000000"/>
                <w:sz w:val="16"/>
                <w:szCs w:val="16"/>
              </w:rPr>
            </w:pPr>
            <w:r w:rsidRPr="000F57E6">
              <w:rPr>
                <w:rFonts w:ascii="Arial" w:hAnsi="Arial" w:cs="Arial"/>
                <w:b/>
                <w:color w:val="000000"/>
                <w:sz w:val="16"/>
                <w:szCs w:val="16"/>
              </w:rPr>
              <w:t>54 291 306</w:t>
            </w:r>
          </w:p>
        </w:tc>
      </w:tr>
    </w:tbl>
    <w:p w14:paraId="05F177A1" w14:textId="32C7A7F9" w:rsidR="002416B1" w:rsidRPr="00123376" w:rsidRDefault="00000CC9" w:rsidP="00123376">
      <w:pPr>
        <w:jc w:val="both"/>
        <w:rPr>
          <w:rFonts w:ascii="Arial" w:hAnsi="Arial" w:cs="Arial"/>
          <w:sz w:val="16"/>
          <w:szCs w:val="16"/>
        </w:rPr>
      </w:pPr>
      <w:r w:rsidRPr="00123376">
        <w:rPr>
          <w:rFonts w:ascii="Arial" w:hAnsi="Arial" w:cs="Arial"/>
          <w:sz w:val="16"/>
          <w:szCs w:val="16"/>
        </w:rPr>
        <w:t>Zdroj: RO, ITMS</w:t>
      </w:r>
    </w:p>
    <w:tbl>
      <w:tblPr>
        <w:tblW w:w="9087" w:type="dxa"/>
        <w:tblInd w:w="55" w:type="dxa"/>
        <w:tblCellMar>
          <w:left w:w="70" w:type="dxa"/>
          <w:right w:w="70" w:type="dxa"/>
        </w:tblCellMar>
        <w:tblLook w:val="04A0" w:firstRow="1" w:lastRow="0" w:firstColumn="1" w:lastColumn="0" w:noHBand="0" w:noVBand="1"/>
      </w:tblPr>
      <w:tblGrid>
        <w:gridCol w:w="9087"/>
      </w:tblGrid>
      <w:tr w:rsidR="002416B1" w:rsidRPr="00E21C60" w14:paraId="26B212C7" w14:textId="77777777" w:rsidTr="00FA2DAA">
        <w:trPr>
          <w:trHeight w:val="270"/>
        </w:trPr>
        <w:tc>
          <w:tcPr>
            <w:tcW w:w="9087" w:type="dxa"/>
            <w:noWrap/>
            <w:vAlign w:val="center"/>
          </w:tcPr>
          <w:p w14:paraId="1B870AB2" w14:textId="77777777" w:rsidR="002416B1" w:rsidRPr="00E21C60" w:rsidRDefault="002416B1" w:rsidP="000E6CAA">
            <w:pPr>
              <w:rPr>
                <w:rFonts w:ascii="Arial" w:hAnsi="Arial" w:cs="Arial"/>
                <w:i/>
                <w:iCs/>
                <w:sz w:val="16"/>
                <w:szCs w:val="16"/>
              </w:rPr>
            </w:pPr>
            <w:r w:rsidRPr="00E21C60">
              <w:rPr>
                <w:rFonts w:ascii="Arial" w:hAnsi="Arial" w:cs="Arial"/>
                <w:b/>
                <w:bCs/>
                <w:i/>
                <w:iCs/>
                <w:sz w:val="16"/>
                <w:szCs w:val="16"/>
                <w:vertAlign w:val="superscript"/>
              </w:rPr>
              <w:t>1</w:t>
            </w:r>
            <w:r w:rsidRPr="00E21C60">
              <w:rPr>
                <w:rFonts w:ascii="Arial" w:hAnsi="Arial" w:cs="Arial"/>
                <w:i/>
                <w:iCs/>
                <w:sz w:val="16"/>
                <w:szCs w:val="16"/>
                <w:vertAlign w:val="superscript"/>
              </w:rPr>
              <w:t xml:space="preserve"> </w:t>
            </w:r>
            <w:r w:rsidRPr="00E21C60">
              <w:rPr>
                <w:rFonts w:ascii="Arial" w:hAnsi="Arial" w:cs="Arial"/>
                <w:i/>
                <w:iCs/>
                <w:sz w:val="16"/>
                <w:szCs w:val="16"/>
              </w:rPr>
              <w:t>Objem čerpaných prostriedkov NFP</w:t>
            </w:r>
          </w:p>
        </w:tc>
      </w:tr>
      <w:tr w:rsidR="002416B1" w:rsidRPr="00E21C60" w14:paraId="1118A2DF" w14:textId="77777777" w:rsidTr="00FA2DAA">
        <w:trPr>
          <w:trHeight w:val="270"/>
        </w:trPr>
        <w:tc>
          <w:tcPr>
            <w:tcW w:w="9087" w:type="dxa"/>
            <w:noWrap/>
            <w:vAlign w:val="center"/>
          </w:tcPr>
          <w:p w14:paraId="1887140B" w14:textId="77777777" w:rsidR="002416B1" w:rsidRPr="00E21C60" w:rsidRDefault="002416B1" w:rsidP="000E6CAA">
            <w:pPr>
              <w:rPr>
                <w:rFonts w:ascii="Arial" w:eastAsia="Calibri" w:hAnsi="Arial" w:cs="Arial"/>
                <w:i/>
                <w:iCs/>
                <w:spacing w:val="-5"/>
                <w:sz w:val="16"/>
                <w:szCs w:val="16"/>
                <w:lang w:val="en-GB"/>
              </w:rPr>
            </w:pPr>
            <w:r w:rsidRPr="002526CC">
              <w:rPr>
                <w:rFonts w:ascii="Arial" w:hAnsi="Arial" w:cs="Arial"/>
                <w:b/>
                <w:bCs/>
                <w:sz w:val="16"/>
                <w:szCs w:val="16"/>
                <w:vertAlign w:val="superscript"/>
              </w:rPr>
              <w:t>2</w:t>
            </w:r>
            <w:r w:rsidRPr="00E21C60">
              <w:rPr>
                <w:rFonts w:ascii="Arial" w:hAnsi="Arial" w:cs="Arial"/>
                <w:sz w:val="16"/>
                <w:szCs w:val="16"/>
                <w:vertAlign w:val="superscript"/>
              </w:rPr>
              <w:t xml:space="preserve"> </w:t>
            </w:r>
            <w:r w:rsidRPr="00E21C60">
              <w:rPr>
                <w:rFonts w:ascii="Arial" w:hAnsi="Arial" w:cs="Arial"/>
                <w:i/>
                <w:iCs/>
                <w:sz w:val="16"/>
                <w:szCs w:val="16"/>
              </w:rPr>
              <w:t>počet vrátane - vyjadruje počet projektov, ktoré prispievajú k naplneniu oboch prioritných tém</w:t>
            </w:r>
          </w:p>
        </w:tc>
      </w:tr>
      <w:tr w:rsidR="005F2772" w:rsidRPr="00E21C60" w14:paraId="4C7F4E01" w14:textId="77777777" w:rsidTr="008805AA">
        <w:trPr>
          <w:trHeight w:val="80"/>
        </w:trPr>
        <w:tc>
          <w:tcPr>
            <w:tcW w:w="9087" w:type="dxa"/>
            <w:noWrap/>
            <w:vAlign w:val="center"/>
          </w:tcPr>
          <w:p w14:paraId="792CF350" w14:textId="36496D24" w:rsidR="000E6CAA" w:rsidRPr="000308DA" w:rsidRDefault="000E6CAA" w:rsidP="000308DA">
            <w:pPr>
              <w:jc w:val="both"/>
              <w:rPr>
                <w:rFonts w:ascii="Arial" w:hAnsi="Arial" w:cs="Arial"/>
                <w:b/>
                <w:bCs/>
                <w:sz w:val="16"/>
                <w:szCs w:val="16"/>
              </w:rPr>
            </w:pPr>
          </w:p>
        </w:tc>
      </w:tr>
    </w:tbl>
    <w:p w14:paraId="1DA7FFEC" w14:textId="6F275FA9" w:rsidR="002416B1" w:rsidRPr="00495C74" w:rsidRDefault="002416B1" w:rsidP="00123376">
      <w:pPr>
        <w:spacing w:before="120" w:after="120"/>
        <w:jc w:val="both"/>
        <w:rPr>
          <w:rFonts w:ascii="Arial" w:hAnsi="Arial" w:cs="Arial"/>
          <w:sz w:val="20"/>
          <w:szCs w:val="20"/>
        </w:rPr>
      </w:pPr>
      <w:r w:rsidRPr="001A6CAA">
        <w:rPr>
          <w:rFonts w:ascii="Arial" w:hAnsi="Arial" w:cs="Arial"/>
          <w:sz w:val="20"/>
          <w:szCs w:val="20"/>
        </w:rPr>
        <w:t>Zoznam schválených projektov s objemom zazmluvnených prostriedkov k 31.</w:t>
      </w:r>
      <w:r w:rsidR="00CD5144">
        <w:rPr>
          <w:rFonts w:ascii="Arial" w:hAnsi="Arial" w:cs="Arial"/>
          <w:sz w:val="20"/>
          <w:szCs w:val="20"/>
        </w:rPr>
        <w:t xml:space="preserve"> </w:t>
      </w:r>
      <w:r w:rsidRPr="001A6CAA">
        <w:rPr>
          <w:rFonts w:ascii="Arial" w:hAnsi="Arial" w:cs="Arial"/>
          <w:sz w:val="20"/>
          <w:szCs w:val="20"/>
        </w:rPr>
        <w:t>12.</w:t>
      </w:r>
      <w:r w:rsidR="00CD5144">
        <w:rPr>
          <w:rFonts w:ascii="Arial" w:hAnsi="Arial" w:cs="Arial"/>
          <w:sz w:val="20"/>
          <w:szCs w:val="20"/>
        </w:rPr>
        <w:t xml:space="preserve"> </w:t>
      </w:r>
      <w:r w:rsidR="00C816B8" w:rsidRPr="001A6CAA">
        <w:rPr>
          <w:rFonts w:ascii="Arial" w:hAnsi="Arial" w:cs="Arial"/>
          <w:sz w:val="20"/>
          <w:szCs w:val="20"/>
        </w:rPr>
        <w:t>201</w:t>
      </w:r>
      <w:r w:rsidR="008E3BC3" w:rsidRPr="001A6CAA">
        <w:rPr>
          <w:rFonts w:ascii="Arial" w:hAnsi="Arial" w:cs="Arial"/>
          <w:sz w:val="20"/>
          <w:szCs w:val="20"/>
        </w:rPr>
        <w:t>5</w:t>
      </w:r>
      <w:r w:rsidR="00C816B8" w:rsidRPr="001A6CAA">
        <w:rPr>
          <w:rFonts w:ascii="Arial" w:hAnsi="Arial" w:cs="Arial"/>
          <w:sz w:val="20"/>
          <w:szCs w:val="20"/>
        </w:rPr>
        <w:t xml:space="preserve"> </w:t>
      </w:r>
      <w:r w:rsidRPr="001A6CAA">
        <w:rPr>
          <w:rFonts w:ascii="Arial" w:hAnsi="Arial" w:cs="Arial"/>
          <w:sz w:val="20"/>
          <w:szCs w:val="20"/>
        </w:rPr>
        <w:t xml:space="preserve">je zverejnený na </w:t>
      </w:r>
      <w:r w:rsidR="00091E84" w:rsidRPr="001A6CAA">
        <w:rPr>
          <w:rFonts w:ascii="Arial" w:hAnsi="Arial" w:cs="Arial"/>
          <w:sz w:val="20"/>
          <w:szCs w:val="20"/>
        </w:rPr>
        <w:t>webovom sídle</w:t>
      </w:r>
      <w:r w:rsidRPr="001A6CAA">
        <w:rPr>
          <w:rFonts w:ascii="Arial" w:hAnsi="Arial" w:cs="Arial"/>
          <w:sz w:val="20"/>
          <w:szCs w:val="20"/>
        </w:rPr>
        <w:t xml:space="preserve"> </w:t>
      </w:r>
      <w:hyperlink r:id="rId21" w:history="1">
        <w:r w:rsidR="00FB6D6F" w:rsidRPr="0093280D">
          <w:rPr>
            <w:rStyle w:val="Hypertextovprepojenie"/>
            <w:rFonts w:ascii="Arial" w:hAnsi="Arial" w:cs="Arial"/>
            <w:sz w:val="20"/>
            <w:szCs w:val="20"/>
          </w:rPr>
          <w:t>www.opzp.sk</w:t>
        </w:r>
      </w:hyperlink>
      <w:r w:rsidR="001A6CAA" w:rsidRPr="001A6CAA">
        <w:rPr>
          <w:rFonts w:ascii="Arial" w:hAnsi="Arial" w:cs="Arial"/>
          <w:sz w:val="20"/>
          <w:szCs w:val="20"/>
        </w:rPr>
        <w:t xml:space="preserve"> v časti Hlavná stránka &gt; Projekty &gt; Zoznamy OPŽP &gt; Zoznam prijímateľov z OPŽP</w:t>
      </w:r>
      <w:r w:rsidR="00D00850" w:rsidRPr="001A6CAA">
        <w:rPr>
          <w:rFonts w:ascii="Arial" w:hAnsi="Arial" w:cs="Arial"/>
          <w:sz w:val="20"/>
          <w:szCs w:val="20"/>
        </w:rPr>
        <w:t>. Z</w:t>
      </w:r>
      <w:r w:rsidR="00033F3F" w:rsidRPr="001A6CAA">
        <w:rPr>
          <w:rFonts w:ascii="Arial" w:hAnsi="Arial" w:cs="Arial"/>
          <w:sz w:val="20"/>
          <w:szCs w:val="20"/>
        </w:rPr>
        <w:t>oznam schválených projektov s uvedením stavu k 3</w:t>
      </w:r>
      <w:r w:rsidR="002F6684">
        <w:rPr>
          <w:rFonts w:ascii="Arial" w:hAnsi="Arial" w:cs="Arial"/>
          <w:sz w:val="20"/>
          <w:szCs w:val="20"/>
        </w:rPr>
        <w:t>0</w:t>
      </w:r>
      <w:r w:rsidR="00033F3F" w:rsidRPr="001A6CAA">
        <w:rPr>
          <w:rFonts w:ascii="Arial" w:hAnsi="Arial" w:cs="Arial"/>
          <w:sz w:val="20"/>
          <w:szCs w:val="20"/>
        </w:rPr>
        <w:t>.</w:t>
      </w:r>
      <w:r w:rsidR="002F6684">
        <w:rPr>
          <w:rFonts w:ascii="Arial" w:hAnsi="Arial" w:cs="Arial"/>
          <w:sz w:val="20"/>
          <w:szCs w:val="20"/>
        </w:rPr>
        <w:t>09</w:t>
      </w:r>
      <w:r w:rsidR="00033F3F" w:rsidRPr="001A6CAA">
        <w:rPr>
          <w:rFonts w:ascii="Arial" w:hAnsi="Arial" w:cs="Arial"/>
          <w:sz w:val="20"/>
          <w:szCs w:val="20"/>
        </w:rPr>
        <w:t>.</w:t>
      </w:r>
      <w:r w:rsidR="007D4C2D" w:rsidRPr="001A6CAA">
        <w:rPr>
          <w:rFonts w:ascii="Arial" w:hAnsi="Arial" w:cs="Arial"/>
          <w:sz w:val="20"/>
          <w:szCs w:val="20"/>
        </w:rPr>
        <w:t>201</w:t>
      </w:r>
      <w:r w:rsidR="002F6684">
        <w:rPr>
          <w:rFonts w:ascii="Arial" w:hAnsi="Arial" w:cs="Arial"/>
          <w:sz w:val="20"/>
          <w:szCs w:val="20"/>
        </w:rPr>
        <w:t>6</w:t>
      </w:r>
      <w:r w:rsidR="00D00850" w:rsidRPr="001A6CAA">
        <w:rPr>
          <w:rFonts w:ascii="Arial" w:hAnsi="Arial" w:cs="Arial"/>
          <w:sz w:val="20"/>
          <w:szCs w:val="20"/>
        </w:rPr>
        <w:t xml:space="preserve"> je</w:t>
      </w:r>
      <w:r w:rsidR="007D4C2D" w:rsidRPr="001A6CAA">
        <w:rPr>
          <w:rFonts w:ascii="Arial" w:hAnsi="Arial" w:cs="Arial"/>
          <w:sz w:val="20"/>
          <w:szCs w:val="20"/>
        </w:rPr>
        <w:t xml:space="preserve"> </w:t>
      </w:r>
      <w:r w:rsidR="00033F3F" w:rsidRPr="001A6CAA">
        <w:rPr>
          <w:rFonts w:ascii="Arial" w:hAnsi="Arial" w:cs="Arial"/>
          <w:sz w:val="20"/>
          <w:szCs w:val="20"/>
        </w:rPr>
        <w:t>súčasťou Prílohy č. 9.</w:t>
      </w:r>
      <w:r w:rsidR="0097444A" w:rsidRPr="00495C74">
        <w:rPr>
          <w:rFonts w:ascii="Arial" w:hAnsi="Arial" w:cs="Arial"/>
          <w:sz w:val="20"/>
          <w:szCs w:val="20"/>
        </w:rPr>
        <w:t xml:space="preserve"> </w:t>
      </w:r>
    </w:p>
    <w:p w14:paraId="7BFBC9DE" w14:textId="39ECD49F" w:rsidR="0068264B" w:rsidRPr="00D641FF" w:rsidRDefault="002416B1" w:rsidP="00123376">
      <w:pPr>
        <w:pStyle w:val="Zkladntextb"/>
        <w:spacing w:before="240" w:after="120" w:line="240" w:lineRule="auto"/>
        <w:ind w:left="0"/>
        <w:rPr>
          <w:rFonts w:cs="Arial"/>
          <w:b/>
          <w:lang w:val="sk-SK"/>
        </w:rPr>
      </w:pPr>
      <w:r w:rsidRPr="00D641FF">
        <w:rPr>
          <w:rFonts w:cs="Arial"/>
          <w:b/>
          <w:lang w:val="sk-SK"/>
        </w:rPr>
        <w:t xml:space="preserve">Plnenie </w:t>
      </w:r>
      <w:r w:rsidR="000453AB">
        <w:rPr>
          <w:rFonts w:cs="Arial"/>
          <w:b/>
          <w:lang w:val="sk-SK"/>
        </w:rPr>
        <w:t>fyzických</w:t>
      </w:r>
      <w:r w:rsidR="000453AB" w:rsidRPr="00D641FF">
        <w:rPr>
          <w:rFonts w:cs="Arial"/>
          <w:b/>
          <w:lang w:val="sk-SK"/>
        </w:rPr>
        <w:t xml:space="preserve"> </w:t>
      </w:r>
      <w:r w:rsidRPr="00D641FF">
        <w:rPr>
          <w:rFonts w:cs="Arial"/>
          <w:b/>
          <w:lang w:val="sk-SK"/>
        </w:rPr>
        <w:t>ukazovateľov</w:t>
      </w:r>
      <w:bookmarkStart w:id="59" w:name="OLE_LINK41"/>
      <w:bookmarkStart w:id="60" w:name="OLE_LINK42"/>
      <w:bookmarkStart w:id="61" w:name="OLE_LINK49"/>
      <w:bookmarkStart w:id="62" w:name="OLE_LINK50"/>
    </w:p>
    <w:p w14:paraId="057C5325" w14:textId="55247DF5" w:rsidR="002416B1" w:rsidRPr="00D641FF" w:rsidRDefault="002416B1" w:rsidP="00123376">
      <w:pPr>
        <w:pStyle w:val="Zkladntextb"/>
        <w:spacing w:after="0" w:line="240" w:lineRule="auto"/>
        <w:ind w:left="0"/>
        <w:jc w:val="both"/>
        <w:rPr>
          <w:rFonts w:cs="Arial"/>
          <w:lang w:val="sk-SK"/>
        </w:rPr>
      </w:pPr>
      <w:r w:rsidRPr="00D641FF">
        <w:rPr>
          <w:rFonts w:cs="Arial"/>
          <w:lang w:val="sk-SK"/>
        </w:rPr>
        <w:t xml:space="preserve">Plnenie ukazovateľov v rámci prioritnej osi 1 je uvedené </w:t>
      </w:r>
      <w:r w:rsidRPr="00D11873">
        <w:rPr>
          <w:rFonts w:cs="Arial"/>
          <w:lang w:val="sk-SK"/>
        </w:rPr>
        <w:t>v Prílohe č. 2, ktorá</w:t>
      </w:r>
      <w:r w:rsidRPr="00D641FF">
        <w:rPr>
          <w:rFonts w:cs="Arial"/>
          <w:lang w:val="sk-SK"/>
        </w:rPr>
        <w:t xml:space="preserve"> obsahuje taktiež cieľové hodnoty ukazovateľov stanovené prijímateľmi na základe uzatvorených zmlúv. Ukazovatele sú vyhodnocované na základe </w:t>
      </w:r>
      <w:r w:rsidR="00CC1351" w:rsidRPr="00D641FF">
        <w:rPr>
          <w:rFonts w:cs="Arial"/>
          <w:lang w:val="sk-SK"/>
        </w:rPr>
        <w:t xml:space="preserve">doručených </w:t>
      </w:r>
      <w:r w:rsidRPr="00D641FF">
        <w:rPr>
          <w:rFonts w:cs="Arial"/>
          <w:lang w:val="sk-SK"/>
        </w:rPr>
        <w:t xml:space="preserve">monitorovacích správ projektu od žiadateľov tak, ako im to </w:t>
      </w:r>
      <w:r w:rsidRPr="008D7D01">
        <w:rPr>
          <w:rFonts w:cs="Arial"/>
          <w:lang w:val="sk-SK"/>
        </w:rPr>
        <w:t>vyplýva</w:t>
      </w:r>
      <w:r w:rsidR="001C657B">
        <w:rPr>
          <w:rFonts w:cs="Arial"/>
          <w:lang w:val="sk-SK"/>
        </w:rPr>
        <w:t>lo</w:t>
      </w:r>
      <w:r w:rsidRPr="008D7D01">
        <w:rPr>
          <w:rFonts w:cs="Arial"/>
          <w:lang w:val="sk-SK"/>
        </w:rPr>
        <w:t xml:space="preserve"> zo zmluvy o poskytnutí </w:t>
      </w:r>
      <w:r w:rsidR="002907DD" w:rsidRPr="00AD5B35">
        <w:rPr>
          <w:rFonts w:cs="Arial"/>
          <w:lang w:val="sk-SK"/>
        </w:rPr>
        <w:t>NFP</w:t>
      </w:r>
      <w:r w:rsidRPr="008D7D01">
        <w:rPr>
          <w:rFonts w:cs="Arial"/>
          <w:lang w:val="sk-SK"/>
        </w:rPr>
        <w:t xml:space="preserve">. </w:t>
      </w:r>
      <w:r w:rsidRPr="00A102F1">
        <w:rPr>
          <w:rFonts w:cs="Arial"/>
          <w:lang w:val="sk-SK"/>
        </w:rPr>
        <w:t xml:space="preserve">V rámci prioritnej osi 1 bolo </w:t>
      </w:r>
      <w:r w:rsidR="008C645A" w:rsidRPr="00A102F1">
        <w:rPr>
          <w:rFonts w:cs="Arial"/>
          <w:lang w:val="sk-SK"/>
        </w:rPr>
        <w:t>k 31. 10. 2016</w:t>
      </w:r>
      <w:r w:rsidR="00141673" w:rsidRPr="00A102F1">
        <w:rPr>
          <w:rFonts w:cs="Arial"/>
          <w:lang w:val="sk-SK"/>
        </w:rPr>
        <w:t xml:space="preserve"> </w:t>
      </w:r>
      <w:r w:rsidRPr="00A102F1">
        <w:rPr>
          <w:rFonts w:cs="Arial"/>
          <w:lang w:val="sk-SK"/>
        </w:rPr>
        <w:t xml:space="preserve">na </w:t>
      </w:r>
      <w:r w:rsidR="0072403D" w:rsidRPr="00A102F1">
        <w:rPr>
          <w:rFonts w:cs="Arial"/>
          <w:lang w:val="sk-SK"/>
        </w:rPr>
        <w:t>RO</w:t>
      </w:r>
      <w:r w:rsidRPr="00A102F1">
        <w:rPr>
          <w:rFonts w:cs="Arial"/>
          <w:lang w:val="sk-SK"/>
        </w:rPr>
        <w:t xml:space="preserve"> doručených </w:t>
      </w:r>
      <w:r w:rsidR="000D6B77">
        <w:rPr>
          <w:rFonts w:cs="Arial"/>
          <w:lang w:val="sk-SK"/>
        </w:rPr>
        <w:t>1 429</w:t>
      </w:r>
      <w:r w:rsidR="00A577A0" w:rsidRPr="00A102F1">
        <w:rPr>
          <w:rFonts w:cs="Arial"/>
          <w:lang w:val="sk-SK"/>
        </w:rPr>
        <w:t xml:space="preserve"> </w:t>
      </w:r>
      <w:r w:rsidRPr="00A102F1">
        <w:rPr>
          <w:rFonts w:cs="Arial"/>
          <w:lang w:val="sk-SK"/>
        </w:rPr>
        <w:t xml:space="preserve">monitorovacích správ projektu, z toho </w:t>
      </w:r>
      <w:r w:rsidR="000D6B77">
        <w:rPr>
          <w:rFonts w:cs="Arial"/>
          <w:lang w:val="sk-SK"/>
        </w:rPr>
        <w:t>968</w:t>
      </w:r>
      <w:r w:rsidR="00A577A0" w:rsidRPr="00A102F1">
        <w:rPr>
          <w:rFonts w:cs="Arial"/>
          <w:lang w:val="sk-SK"/>
        </w:rPr>
        <w:t xml:space="preserve"> </w:t>
      </w:r>
      <w:r w:rsidRPr="00A102F1">
        <w:rPr>
          <w:rFonts w:cs="Arial"/>
          <w:lang w:val="sk-SK"/>
        </w:rPr>
        <w:t xml:space="preserve">priebežných, </w:t>
      </w:r>
      <w:r w:rsidR="000D6B77">
        <w:rPr>
          <w:rFonts w:cs="Arial"/>
          <w:lang w:val="sk-SK"/>
        </w:rPr>
        <w:t>191</w:t>
      </w:r>
      <w:r w:rsidR="00A577A0">
        <w:rPr>
          <w:rFonts w:cs="Arial"/>
          <w:lang w:val="sk-SK"/>
        </w:rPr>
        <w:t xml:space="preserve"> </w:t>
      </w:r>
      <w:r w:rsidR="00A577A0" w:rsidRPr="00A102F1">
        <w:rPr>
          <w:rFonts w:cs="Arial"/>
          <w:lang w:val="sk-SK"/>
        </w:rPr>
        <w:t xml:space="preserve">záverečných </w:t>
      </w:r>
      <w:r w:rsidRPr="00A102F1">
        <w:rPr>
          <w:rFonts w:cs="Arial"/>
          <w:lang w:val="sk-SK"/>
        </w:rPr>
        <w:t>a </w:t>
      </w:r>
      <w:r w:rsidR="00A102F1">
        <w:rPr>
          <w:rFonts w:cs="Arial"/>
          <w:lang w:val="sk-SK"/>
        </w:rPr>
        <w:t> </w:t>
      </w:r>
      <w:r w:rsidR="000D6B77">
        <w:rPr>
          <w:rFonts w:cs="Arial"/>
          <w:lang w:val="sk-SK"/>
        </w:rPr>
        <w:t>270</w:t>
      </w:r>
      <w:r w:rsidR="00A102F1">
        <w:rPr>
          <w:rFonts w:cs="Arial"/>
          <w:lang w:val="sk-SK"/>
        </w:rPr>
        <w:t xml:space="preserve"> </w:t>
      </w:r>
      <w:r w:rsidR="00204A8D" w:rsidRPr="00A102F1">
        <w:rPr>
          <w:rFonts w:cs="Arial"/>
          <w:lang w:val="sk-SK"/>
        </w:rPr>
        <w:t>následných</w:t>
      </w:r>
      <w:r w:rsidRPr="00A102F1">
        <w:rPr>
          <w:rFonts w:cs="Arial"/>
          <w:lang w:val="sk-SK"/>
        </w:rPr>
        <w:t>.</w:t>
      </w:r>
      <w:r w:rsidR="00D93B85" w:rsidRPr="00A102F1">
        <w:rPr>
          <w:rFonts w:cs="Arial"/>
          <w:lang w:val="sk-SK"/>
        </w:rPr>
        <w:t xml:space="preserve"> </w:t>
      </w:r>
      <w:r w:rsidR="00D93B85" w:rsidRPr="001A6CAA">
        <w:rPr>
          <w:rFonts w:cs="Arial"/>
          <w:lang w:val="sk-SK"/>
        </w:rPr>
        <w:t xml:space="preserve">Zoznam </w:t>
      </w:r>
      <w:r w:rsidR="008F2A89" w:rsidRPr="001A6CAA">
        <w:rPr>
          <w:rFonts w:cs="Arial"/>
          <w:lang w:val="sk-SK"/>
        </w:rPr>
        <w:t>CORE</w:t>
      </w:r>
      <w:r w:rsidR="00D93B85" w:rsidRPr="001A6CAA">
        <w:rPr>
          <w:rFonts w:cs="Arial"/>
          <w:lang w:val="sk-SK"/>
        </w:rPr>
        <w:t xml:space="preserve"> ukazovateľov reportovaných EK p</w:t>
      </w:r>
      <w:r w:rsidR="00BF3C39" w:rsidRPr="001A6CAA">
        <w:rPr>
          <w:rFonts w:cs="Arial"/>
          <w:lang w:val="sk-SK"/>
        </w:rPr>
        <w:t>rostredníctvom SFC2007 v rámci Závere</w:t>
      </w:r>
      <w:r w:rsidR="00D93B85" w:rsidRPr="001A6CAA">
        <w:rPr>
          <w:rFonts w:cs="Arial"/>
          <w:lang w:val="sk-SK"/>
        </w:rPr>
        <w:t>čnej správy o vykonávaní OP ŽP je súčasťou Prílohy č. 11.</w:t>
      </w:r>
    </w:p>
    <w:p w14:paraId="13AB49B9" w14:textId="4522C665" w:rsidR="000A5B4C" w:rsidRDefault="002416B1" w:rsidP="00123376">
      <w:pPr>
        <w:pStyle w:val="Zkladntextb"/>
        <w:spacing w:before="120" w:after="120" w:line="240" w:lineRule="auto"/>
        <w:ind w:left="0"/>
        <w:jc w:val="both"/>
        <w:rPr>
          <w:rFonts w:cs="Arial"/>
          <w:lang w:val="sk-SK"/>
        </w:rPr>
      </w:pPr>
      <w:r w:rsidRPr="00D641FF">
        <w:rPr>
          <w:rFonts w:cs="Arial"/>
          <w:lang w:val="sk-SK"/>
        </w:rPr>
        <w:t>K </w:t>
      </w:r>
      <w:r w:rsidR="008C645A">
        <w:rPr>
          <w:rFonts w:cs="Arial"/>
          <w:lang w:val="sk-SK"/>
        </w:rPr>
        <w:t>31. 10. 2016</w:t>
      </w:r>
      <w:r w:rsidR="00002DF3" w:rsidRPr="00D641FF">
        <w:rPr>
          <w:rFonts w:cs="Arial"/>
          <w:lang w:val="sk-SK"/>
        </w:rPr>
        <w:t xml:space="preserve"> </w:t>
      </w:r>
      <w:r w:rsidRPr="00D641FF">
        <w:rPr>
          <w:rFonts w:cs="Arial"/>
          <w:lang w:val="sk-SK"/>
        </w:rPr>
        <w:t>bolo vďaka realizácii projektov s príspevkom z OP ŽP</w:t>
      </w:r>
      <w:bookmarkEnd w:id="59"/>
      <w:bookmarkEnd w:id="60"/>
      <w:r w:rsidRPr="00D641FF">
        <w:rPr>
          <w:rFonts w:cs="Arial"/>
          <w:lang w:val="sk-SK"/>
        </w:rPr>
        <w:t xml:space="preserve"> novovybudovaných </w:t>
      </w:r>
      <w:r w:rsidR="00B766A3">
        <w:rPr>
          <w:rFonts w:cs="Arial"/>
          <w:lang w:val="sk-SK"/>
        </w:rPr>
        <w:t>350,</w:t>
      </w:r>
      <w:r w:rsidR="00F61BB9">
        <w:rPr>
          <w:rFonts w:cs="Arial"/>
          <w:lang w:val="sk-SK"/>
        </w:rPr>
        <w:t>09</w:t>
      </w:r>
      <w:r w:rsidR="00002DF3">
        <w:rPr>
          <w:rFonts w:cs="Arial"/>
          <w:lang w:val="sk-SK"/>
        </w:rPr>
        <w:t xml:space="preserve"> </w:t>
      </w:r>
      <w:r w:rsidRPr="00D641FF">
        <w:rPr>
          <w:rFonts w:cs="Arial"/>
          <w:lang w:val="sk-SK"/>
        </w:rPr>
        <w:t>km rozvodov pitnej vody a</w:t>
      </w:r>
      <w:r w:rsidR="006E60F4">
        <w:rPr>
          <w:rFonts w:cs="Arial"/>
          <w:lang w:val="sk-SK"/>
        </w:rPr>
        <w:t> </w:t>
      </w:r>
      <w:r w:rsidR="008C645A">
        <w:rPr>
          <w:rFonts w:cs="Arial"/>
          <w:lang w:val="sk-SK"/>
        </w:rPr>
        <w:t>1 674,58</w:t>
      </w:r>
      <w:r w:rsidR="0063628B" w:rsidRPr="00D641FF">
        <w:rPr>
          <w:rFonts w:cs="Arial"/>
          <w:lang w:val="sk-SK"/>
        </w:rPr>
        <w:t xml:space="preserve"> </w:t>
      </w:r>
      <w:r w:rsidRPr="00D641FF">
        <w:rPr>
          <w:rFonts w:cs="Arial"/>
          <w:lang w:val="sk-SK"/>
        </w:rPr>
        <w:t xml:space="preserve">km kanalizačných sietí. </w:t>
      </w:r>
    </w:p>
    <w:p w14:paraId="4BDC041D" w14:textId="246D7EE1" w:rsidR="000A5B4C" w:rsidRDefault="008F5952" w:rsidP="00123376">
      <w:pPr>
        <w:pStyle w:val="Zkladntextb"/>
        <w:spacing w:before="120" w:after="120" w:line="240" w:lineRule="auto"/>
        <w:ind w:left="0"/>
        <w:jc w:val="both"/>
        <w:rPr>
          <w:rFonts w:cs="Arial"/>
          <w:lang w:val="sk-SK"/>
        </w:rPr>
      </w:pPr>
      <w:r w:rsidRPr="00682B07">
        <w:rPr>
          <w:rFonts w:cs="Arial"/>
          <w:lang w:val="sk-SK"/>
        </w:rPr>
        <w:lastRenderedPageBreak/>
        <w:t>Ukazovateľ „Počet ekvivalentných obyvateľov napojených na novovybudovanú kanalizačnú sieť“ ku koncu sledovaného obdobia predstavuje hodnotu 99 101. V zmysle zmluvy o poskytnutí NFP projektov k 31. 10. 2016 je deklarovaná cieľová hodnota ukazovateľa „Počet ekvivalentných obyvateľov napojených na nov</w:t>
      </w:r>
      <w:r w:rsidR="002870FE">
        <w:rPr>
          <w:rFonts w:cs="Arial"/>
          <w:lang w:val="sk-SK"/>
        </w:rPr>
        <w:t xml:space="preserve">ovybudovanú kanalizačnú sieť“  </w:t>
      </w:r>
      <w:r w:rsidR="00FF2341">
        <w:rPr>
          <w:rFonts w:cs="Arial"/>
          <w:lang w:val="sk-SK"/>
        </w:rPr>
        <w:t>294 890</w:t>
      </w:r>
      <w:r w:rsidR="0016168D">
        <w:rPr>
          <w:rFonts w:cs="Arial"/>
          <w:lang w:val="sk-SK"/>
        </w:rPr>
        <w:t xml:space="preserve"> EO</w:t>
      </w:r>
      <w:r w:rsidR="002870FE">
        <w:rPr>
          <w:rFonts w:cs="Arial"/>
          <w:lang w:val="sk-SK"/>
        </w:rPr>
        <w:t xml:space="preserve"> (hodnota bola znížená z dôvodu fázovania veľkého projektu ĆOV Sever). </w:t>
      </w:r>
      <w:r w:rsidRPr="008F5952">
        <w:rPr>
          <w:rFonts w:cs="Arial"/>
          <w:lang w:val="sk-SK"/>
        </w:rPr>
        <w:t xml:space="preserve"> </w:t>
      </w:r>
      <w:r w:rsidRPr="00682B07">
        <w:rPr>
          <w:rFonts w:cs="Arial"/>
          <w:lang w:val="sk-SK"/>
        </w:rPr>
        <w:t>Dôvodom aktuálneho stavu plnenia uvedeného</w:t>
      </w:r>
      <w:r>
        <w:rPr>
          <w:rFonts w:cs="Arial"/>
          <w:lang w:val="sk-SK"/>
        </w:rPr>
        <w:t xml:space="preserve"> </w:t>
      </w:r>
      <w:r w:rsidR="000A5B4C" w:rsidRPr="000A5B4C">
        <w:rPr>
          <w:rFonts w:cs="Arial"/>
          <w:lang w:val="sk-SK"/>
        </w:rPr>
        <w:t xml:space="preserve">ukazovateľa výsledku „Počet ekvivalentných obyvateľov napojených na novovybudovanú kanalizačnú sieť“ je skutočnosť, že ide o dopadový ukazovateľ, ktorého hodnoty sa vykazujú na základe následných monitorovacích správ, ktoré sú predkladané </w:t>
      </w:r>
      <w:r>
        <w:rPr>
          <w:rFonts w:cs="Arial"/>
          <w:lang w:val="sk-SK"/>
        </w:rPr>
        <w:t xml:space="preserve">ročne v období udržateľnosti projektu, ktoré je v trvaní 5 rokov </w:t>
      </w:r>
      <w:r w:rsidR="000A5B4C" w:rsidRPr="000A5B4C">
        <w:rPr>
          <w:rFonts w:cs="Arial"/>
          <w:lang w:val="sk-SK"/>
        </w:rPr>
        <w:t xml:space="preserve">. Taktiež povinnosť producentov odpadových vôd pripojiť sa na existujúcu verejnú kanalizáciu nie je legislatívne ošetrená v takom zmysle, </w:t>
      </w:r>
      <w:r w:rsidRPr="008F5952">
        <w:rPr>
          <w:rFonts w:cs="Arial"/>
          <w:lang w:val="sk-SK"/>
        </w:rPr>
        <w:t xml:space="preserve">že jednak nie je možné napojiť sa verejnú kanalizáciu skôr ako po uvedení diela do prevádzky (t.j. po vydaní povolenia na skúšobnú prevádzku, po vydaní kolaudačného rozhodnutia), ako aj </w:t>
      </w:r>
      <w:r>
        <w:rPr>
          <w:rFonts w:cs="Arial"/>
          <w:lang w:val="sk-SK"/>
        </w:rPr>
        <w:t>v tom zmysle, že</w:t>
      </w:r>
      <w:r w:rsidRPr="000A5B4C">
        <w:rPr>
          <w:rFonts w:cs="Arial"/>
          <w:lang w:val="sk-SK"/>
        </w:rPr>
        <w:t xml:space="preserve"> </w:t>
      </w:r>
      <w:r w:rsidR="000A5B4C" w:rsidRPr="000A5B4C">
        <w:rPr>
          <w:rFonts w:cs="Arial"/>
          <w:lang w:val="sk-SK"/>
        </w:rPr>
        <w:t xml:space="preserve">nie je možné nútiť obyvateľov pripojiť sa na </w:t>
      </w:r>
      <w:r w:rsidR="000A120A">
        <w:rPr>
          <w:rFonts w:cs="Arial"/>
          <w:lang w:val="sk-SK"/>
        </w:rPr>
        <w:t>novovybudovanú kanalizačnú sieť</w:t>
      </w:r>
      <w:r>
        <w:rPr>
          <w:rFonts w:cs="Arial"/>
          <w:lang w:val="sk-SK"/>
        </w:rPr>
        <w:t xml:space="preserve"> v tom </w:t>
      </w:r>
      <w:r w:rsidR="00AB2F77">
        <w:rPr>
          <w:rFonts w:cs="Arial"/>
          <w:lang w:val="sk-SK"/>
        </w:rPr>
        <w:t>prípade,</w:t>
      </w:r>
      <w:r w:rsidR="00AB2F77" w:rsidRPr="000A120A">
        <w:rPr>
          <w:rFonts w:cs="Arial"/>
          <w:lang w:val="sk-SK"/>
        </w:rPr>
        <w:t xml:space="preserve"> ak</w:t>
      </w:r>
      <w:r w:rsidR="000A120A" w:rsidRPr="000A120A">
        <w:rPr>
          <w:rFonts w:cs="Arial"/>
          <w:lang w:val="sk-SK"/>
        </w:rPr>
        <w:t xml:space="preserve"> má vlastník stavby alebo vlastník pozemku povolenie príslušného orgánu štátnej vodnej správy na iný spôsob nakladania s odpadovými vodami, nevzniká mu v súlade s § 23 ods. 2 zákona o verejných vodovodoch a verejných kanalizáciách povinnosť napojiť sa na novovybudovanú kanalizáciu).</w:t>
      </w:r>
    </w:p>
    <w:p w14:paraId="0D8E71E9" w14:textId="669DFC6B" w:rsidR="002416B1" w:rsidRDefault="0016168D" w:rsidP="00123376">
      <w:pPr>
        <w:pStyle w:val="Zkladntextb"/>
        <w:spacing w:before="120" w:after="120" w:line="240" w:lineRule="auto"/>
        <w:ind w:left="0"/>
        <w:jc w:val="both"/>
        <w:rPr>
          <w:rFonts w:cs="Arial"/>
          <w:lang w:val="sk-SK"/>
        </w:rPr>
      </w:pPr>
      <w:r>
        <w:rPr>
          <w:rFonts w:cs="Arial"/>
          <w:lang w:val="sk-SK"/>
        </w:rPr>
        <w:t>Ukazovateľ „</w:t>
      </w:r>
      <w:r w:rsidR="00103A06" w:rsidRPr="00D641FF">
        <w:rPr>
          <w:rFonts w:cs="Arial"/>
          <w:lang w:val="sk-SK"/>
        </w:rPr>
        <w:t>Počet obyvateľov pripojených k novovybudovaným rozvodom pitnej vody</w:t>
      </w:r>
      <w:r>
        <w:rPr>
          <w:rFonts w:cs="Arial"/>
          <w:lang w:val="sk-SK"/>
        </w:rPr>
        <w:t>“</w:t>
      </w:r>
      <w:r w:rsidR="00B30019">
        <w:rPr>
          <w:rFonts w:cs="Arial"/>
          <w:lang w:val="sk-SK"/>
        </w:rPr>
        <w:t xml:space="preserve"> </w:t>
      </w:r>
      <w:r w:rsidR="00103A06" w:rsidRPr="00DD7C82">
        <w:rPr>
          <w:rFonts w:cs="Arial"/>
          <w:lang w:val="sk-SK"/>
        </w:rPr>
        <w:t xml:space="preserve">k </w:t>
      </w:r>
      <w:r w:rsidR="008C645A" w:rsidRPr="00DD7C82">
        <w:rPr>
          <w:rFonts w:cs="Arial"/>
          <w:lang w:val="sk-SK"/>
        </w:rPr>
        <w:t>31. 10. 2016</w:t>
      </w:r>
      <w:r w:rsidR="00B50045" w:rsidRPr="00D641FF">
        <w:rPr>
          <w:rFonts w:cs="Arial"/>
          <w:lang w:val="sk-SK"/>
        </w:rPr>
        <w:t xml:space="preserve"> </w:t>
      </w:r>
      <w:r w:rsidR="00FD74F3" w:rsidRPr="00D641FF">
        <w:rPr>
          <w:rFonts w:cs="Arial"/>
          <w:lang w:val="sk-SK"/>
        </w:rPr>
        <w:t xml:space="preserve">predstavuje hodnotu </w:t>
      </w:r>
      <w:r w:rsidR="008C645A" w:rsidRPr="00DD7C82">
        <w:rPr>
          <w:rFonts w:cs="Arial"/>
          <w:lang w:val="sk-SK"/>
        </w:rPr>
        <w:t>41</w:t>
      </w:r>
      <w:r w:rsidR="00AB2F77">
        <w:rPr>
          <w:rFonts w:cs="Arial"/>
          <w:lang w:val="sk-SK"/>
        </w:rPr>
        <w:t> </w:t>
      </w:r>
      <w:r w:rsidR="008C645A" w:rsidRPr="00DD7C82">
        <w:rPr>
          <w:rFonts w:cs="Arial"/>
          <w:lang w:val="sk-SK"/>
        </w:rPr>
        <w:t>535</w:t>
      </w:r>
      <w:r w:rsidR="00AB2F77">
        <w:rPr>
          <w:rFonts w:cs="Arial"/>
          <w:lang w:val="sk-SK"/>
        </w:rPr>
        <w:t xml:space="preserve">. </w:t>
      </w:r>
      <w:r w:rsidR="00255F48" w:rsidRPr="00682B07">
        <w:rPr>
          <w:rFonts w:cs="Arial"/>
          <w:lang w:val="sk-SK"/>
        </w:rPr>
        <w:t>V</w:t>
      </w:r>
      <w:r w:rsidR="002416B1" w:rsidRPr="00682B07">
        <w:rPr>
          <w:rFonts w:cs="Arial"/>
          <w:lang w:val="sk-SK"/>
        </w:rPr>
        <w:t> zmysle zmluvy o</w:t>
      </w:r>
      <w:r w:rsidR="0072403D" w:rsidRPr="00682B07">
        <w:rPr>
          <w:rFonts w:cs="Arial"/>
          <w:lang w:val="sk-SK"/>
        </w:rPr>
        <w:t xml:space="preserve"> poskytnutí </w:t>
      </w:r>
      <w:r w:rsidR="002416B1" w:rsidRPr="00682B07">
        <w:rPr>
          <w:rFonts w:cs="Arial"/>
          <w:lang w:val="sk-SK"/>
        </w:rPr>
        <w:t>NFP projektov k </w:t>
      </w:r>
      <w:r w:rsidR="008C645A" w:rsidRPr="00682B07">
        <w:rPr>
          <w:rFonts w:cs="Arial"/>
          <w:lang w:val="sk-SK"/>
        </w:rPr>
        <w:t xml:space="preserve">31. 10. </w:t>
      </w:r>
      <w:r w:rsidR="00CE4A4E" w:rsidRPr="00682B07">
        <w:rPr>
          <w:rFonts w:cs="Arial"/>
          <w:lang w:val="sk-SK"/>
        </w:rPr>
        <w:t xml:space="preserve">2016 </w:t>
      </w:r>
      <w:r w:rsidR="002416B1" w:rsidRPr="00682B07">
        <w:rPr>
          <w:rFonts w:cs="Arial"/>
          <w:lang w:val="sk-SK"/>
        </w:rPr>
        <w:t>je deklarovaná cieľová hodnota ukazovateľa</w:t>
      </w:r>
      <w:r w:rsidR="002416B1" w:rsidRPr="00D641FF">
        <w:rPr>
          <w:rFonts w:cs="Arial"/>
          <w:lang w:val="sk-SK"/>
        </w:rPr>
        <w:t xml:space="preserve"> Počet obyvateľov pripojených k novovybudovaným rozvodom pitnej vody </w:t>
      </w:r>
      <w:r w:rsidR="00760B0F">
        <w:rPr>
          <w:rFonts w:cs="Arial"/>
          <w:lang w:val="sk-SK"/>
        </w:rPr>
        <w:t>70 559</w:t>
      </w:r>
      <w:r w:rsidR="007F01A6" w:rsidRPr="0044573C">
        <w:rPr>
          <w:rFonts w:cs="Arial"/>
          <w:lang w:val="sk-SK"/>
        </w:rPr>
        <w:t xml:space="preserve"> </w:t>
      </w:r>
      <w:r w:rsidR="00255F48" w:rsidRPr="0044573C">
        <w:rPr>
          <w:rFonts w:cs="Arial"/>
          <w:lang w:val="sk-SK"/>
        </w:rPr>
        <w:t xml:space="preserve"> </w:t>
      </w:r>
    </w:p>
    <w:p w14:paraId="75146808" w14:textId="13DC404F" w:rsidR="0016168D" w:rsidRPr="00986C78" w:rsidRDefault="0016168D" w:rsidP="00123376">
      <w:pPr>
        <w:pStyle w:val="Zkladntextb"/>
        <w:spacing w:before="120" w:after="120" w:line="240" w:lineRule="auto"/>
        <w:ind w:left="0"/>
        <w:jc w:val="both"/>
        <w:rPr>
          <w:rFonts w:cs="Arial"/>
          <w:strike/>
          <w:lang w:val="sk-SK"/>
        </w:rPr>
      </w:pPr>
      <w:r>
        <w:rPr>
          <w:rFonts w:cs="Arial"/>
          <w:lang w:val="sk-SK"/>
        </w:rPr>
        <w:t xml:space="preserve">Skutočne dosiahnutá hodnota 41 535 </w:t>
      </w:r>
      <w:r w:rsidR="0039348C">
        <w:rPr>
          <w:rFonts w:cs="Arial"/>
          <w:lang w:val="sk-SK"/>
        </w:rPr>
        <w:t xml:space="preserve">vychádza z reálne uzatvorených zmlúv o pripojení na verejnú kanalizáciu, ktorá taktiež zahŕňa aj údaj o počte obyvateľov pripojených k nehnuteľnosti. V plánovanej hodnote (v zazmluvených projektoch 70 559 obyvateľov) sa uvažovalo „technickým odhadom“ t.j. s napojením priemerne 3 až 4 obyvateľov na jednu prípojku.  </w:t>
      </w:r>
    </w:p>
    <w:p w14:paraId="29383FE5" w14:textId="69581E0E" w:rsidR="00BD03EA" w:rsidRPr="00D641FF" w:rsidRDefault="004639D9" w:rsidP="00123376">
      <w:pPr>
        <w:pStyle w:val="Zkladntextb"/>
        <w:spacing w:before="120" w:after="120" w:line="240" w:lineRule="auto"/>
        <w:ind w:left="0"/>
        <w:jc w:val="both"/>
        <w:rPr>
          <w:rFonts w:cs="Arial"/>
          <w:lang w:val="sk-SK"/>
        </w:rPr>
      </w:pPr>
      <w:r w:rsidRPr="008A1902">
        <w:rPr>
          <w:lang w:val="sk-SK"/>
        </w:rPr>
        <w:t xml:space="preserve">Na základe </w:t>
      </w:r>
      <w:r w:rsidRPr="00213024">
        <w:rPr>
          <w:rFonts w:cs="Arial"/>
          <w:lang w:val="sk-SK"/>
        </w:rPr>
        <w:t xml:space="preserve">zazmluvnených projektov k </w:t>
      </w:r>
      <w:r w:rsidR="0063262F">
        <w:rPr>
          <w:rFonts w:cs="Arial"/>
          <w:lang w:val="sk-SK"/>
        </w:rPr>
        <w:t>31.10. 2016</w:t>
      </w:r>
      <w:r w:rsidRPr="00213024">
        <w:rPr>
          <w:rFonts w:cs="Arial"/>
          <w:lang w:val="sk-SK"/>
        </w:rPr>
        <w:t>, d</w:t>
      </w:r>
      <w:r w:rsidR="00BD03EA" w:rsidRPr="00213024">
        <w:rPr>
          <w:rFonts w:cs="Arial"/>
          <w:lang w:val="sk-SK"/>
        </w:rPr>
        <w:t>eklarovaná cieľová hodnota ukazovateľa</w:t>
      </w:r>
      <w:r w:rsidRPr="008A1902">
        <w:rPr>
          <w:lang w:val="sk-SK"/>
        </w:rPr>
        <w:t xml:space="preserve"> </w:t>
      </w:r>
      <w:r w:rsidRPr="00213024">
        <w:rPr>
          <w:rFonts w:cs="Arial"/>
          <w:lang w:val="sk-SK"/>
        </w:rPr>
        <w:t>„</w:t>
      </w:r>
      <w:r w:rsidR="00BD03EA" w:rsidRPr="00213024">
        <w:rPr>
          <w:rFonts w:cs="Arial"/>
          <w:lang w:val="sk-SK"/>
        </w:rPr>
        <w:t>Počet obyvateľov pripojených k novovybudovaným</w:t>
      </w:r>
      <w:r w:rsidR="00BD03EA" w:rsidRPr="00D641FF">
        <w:rPr>
          <w:rFonts w:cs="Arial"/>
          <w:lang w:val="sk-SK"/>
        </w:rPr>
        <w:t xml:space="preserve"> rozvodom pitnej vody</w:t>
      </w:r>
      <w:r>
        <w:rPr>
          <w:rFonts w:cs="Arial"/>
          <w:lang w:val="sk-SK"/>
        </w:rPr>
        <w:t>“</w:t>
      </w:r>
      <w:r w:rsidR="00BD03EA" w:rsidRPr="00D641FF">
        <w:rPr>
          <w:rFonts w:cs="Arial"/>
          <w:lang w:val="sk-SK"/>
        </w:rPr>
        <w:t xml:space="preserve"> </w:t>
      </w:r>
      <w:r w:rsidR="007E0172" w:rsidRPr="00D641FF">
        <w:rPr>
          <w:rFonts w:cs="Arial"/>
          <w:lang w:val="sk-SK"/>
        </w:rPr>
        <w:t>značne prevyšuje cieľovú hodnotu stanovenú ku koncu programového obdobia.</w:t>
      </w:r>
    </w:p>
    <w:p w14:paraId="6DF7F1A1" w14:textId="55E99286" w:rsidR="00BD03EA" w:rsidRPr="00D641FF" w:rsidRDefault="00BD03EA" w:rsidP="00123376">
      <w:pPr>
        <w:pStyle w:val="Zkladntextb"/>
        <w:spacing w:before="120" w:after="120" w:line="240" w:lineRule="auto"/>
        <w:ind w:left="0"/>
        <w:jc w:val="both"/>
        <w:rPr>
          <w:rFonts w:cs="Arial"/>
          <w:lang w:val="sk-SK"/>
        </w:rPr>
      </w:pPr>
      <w:r w:rsidRPr="00D641FF">
        <w:rPr>
          <w:rFonts w:cs="Arial"/>
          <w:lang w:val="sk-SK"/>
        </w:rPr>
        <w:t>Pri stanovení ukazovateľa  počtu pripojených obyvateľov na verejný vodovod v rámci projektov podporených z OP ŽP na začiatku programového obdobia 2007 - 2013 sa vychádzalo najmä</w:t>
      </w:r>
      <w:r w:rsidR="0098169A" w:rsidRPr="00D641FF">
        <w:rPr>
          <w:rFonts w:cs="Arial"/>
          <w:lang w:val="sk-SK"/>
        </w:rPr>
        <w:t>:</w:t>
      </w:r>
      <w:r w:rsidRPr="00D641FF">
        <w:rPr>
          <w:rFonts w:cs="Arial"/>
          <w:lang w:val="sk-SK"/>
        </w:rPr>
        <w:t xml:space="preserve"> </w:t>
      </w:r>
    </w:p>
    <w:p w14:paraId="5BFDAB97" w14:textId="77777777" w:rsidR="00BD03EA" w:rsidRPr="00D641FF" w:rsidRDefault="00BD03EA" w:rsidP="009D13DD">
      <w:pPr>
        <w:pStyle w:val="Zkladntextb"/>
        <w:numPr>
          <w:ilvl w:val="0"/>
          <w:numId w:val="23"/>
        </w:numPr>
        <w:spacing w:before="120" w:after="120" w:line="240" w:lineRule="auto"/>
        <w:ind w:left="142" w:hanging="142"/>
        <w:jc w:val="both"/>
        <w:rPr>
          <w:rFonts w:cs="Arial"/>
          <w:lang w:val="sk-SK"/>
        </w:rPr>
      </w:pPr>
      <w:r w:rsidRPr="00D641FF">
        <w:rPr>
          <w:rFonts w:cs="Arial"/>
          <w:lang w:val="sk-SK"/>
        </w:rPr>
        <w:t>z potreby priblížiť sa úrovni vyspelých členských štátov EÚ v predmetnej oblasti,</w:t>
      </w:r>
    </w:p>
    <w:p w14:paraId="2DACB4AC" w14:textId="77777777" w:rsidR="00BD03EA" w:rsidRPr="00D641FF" w:rsidRDefault="00BD03EA" w:rsidP="009D13DD">
      <w:pPr>
        <w:pStyle w:val="Zkladntextb"/>
        <w:numPr>
          <w:ilvl w:val="0"/>
          <w:numId w:val="23"/>
        </w:numPr>
        <w:spacing w:before="120" w:after="120" w:line="240" w:lineRule="auto"/>
        <w:ind w:left="142" w:hanging="142"/>
        <w:jc w:val="both"/>
        <w:rPr>
          <w:rFonts w:cs="Arial"/>
          <w:lang w:val="sk-SK"/>
        </w:rPr>
      </w:pPr>
      <w:r w:rsidRPr="00D641FF">
        <w:rPr>
          <w:rFonts w:cs="Arial"/>
          <w:lang w:val="sk-SK"/>
        </w:rPr>
        <w:t xml:space="preserve">z dosiahnutých výsledkov predchádzajúceho </w:t>
      </w:r>
      <w:r w:rsidR="008838B4" w:rsidRPr="00D641FF">
        <w:rPr>
          <w:rFonts w:cs="Arial"/>
          <w:lang w:val="sk-SK"/>
        </w:rPr>
        <w:t>programov</w:t>
      </w:r>
      <w:r w:rsidR="008838B4">
        <w:rPr>
          <w:rFonts w:cs="Arial"/>
          <w:lang w:val="sk-SK"/>
        </w:rPr>
        <w:t>acieho</w:t>
      </w:r>
      <w:r w:rsidR="008838B4" w:rsidRPr="00D641FF">
        <w:rPr>
          <w:rFonts w:cs="Arial"/>
          <w:lang w:val="sk-SK"/>
        </w:rPr>
        <w:t xml:space="preserve"> </w:t>
      </w:r>
      <w:r w:rsidRPr="00D641FF">
        <w:rPr>
          <w:rFonts w:cs="Arial"/>
          <w:lang w:val="sk-SK"/>
        </w:rPr>
        <w:t>obdobia rokov 2004 – 2006 (skutočnosť 8 655 pripojených obyvateľov),</w:t>
      </w:r>
    </w:p>
    <w:p w14:paraId="559BE4C7" w14:textId="77777777" w:rsidR="00BD03EA" w:rsidRPr="00D641FF" w:rsidRDefault="00BD03EA" w:rsidP="009D13DD">
      <w:pPr>
        <w:pStyle w:val="Zkladntextb"/>
        <w:numPr>
          <w:ilvl w:val="0"/>
          <w:numId w:val="23"/>
        </w:numPr>
        <w:spacing w:before="120" w:after="120" w:line="240" w:lineRule="auto"/>
        <w:ind w:left="142" w:hanging="142"/>
        <w:jc w:val="both"/>
        <w:rPr>
          <w:rFonts w:cs="Arial"/>
          <w:lang w:val="sk-SK"/>
        </w:rPr>
      </w:pPr>
      <w:r w:rsidRPr="00D641FF">
        <w:rPr>
          <w:rFonts w:cs="Arial"/>
          <w:lang w:val="sk-SK"/>
        </w:rPr>
        <w:t xml:space="preserve">z reálneho medziročného nárastu </w:t>
      </w:r>
      <w:r w:rsidR="0098169A" w:rsidRPr="00D641FF">
        <w:rPr>
          <w:rFonts w:cs="Arial"/>
          <w:lang w:val="sk-SK"/>
        </w:rPr>
        <w:t>novo</w:t>
      </w:r>
      <w:r w:rsidR="00AF583E" w:rsidRPr="00D641FF">
        <w:rPr>
          <w:rFonts w:cs="Arial"/>
          <w:lang w:val="sk-SK"/>
        </w:rPr>
        <w:t xml:space="preserve"> </w:t>
      </w:r>
      <w:r w:rsidR="0098169A" w:rsidRPr="00D641FF">
        <w:rPr>
          <w:rFonts w:cs="Arial"/>
          <w:lang w:val="sk-SK"/>
        </w:rPr>
        <w:t>zásobovaných</w:t>
      </w:r>
      <w:r w:rsidRPr="00D641FF">
        <w:rPr>
          <w:rFonts w:cs="Arial"/>
          <w:lang w:val="sk-SK"/>
        </w:rPr>
        <w:t xml:space="preserve"> obyvateľov pitnou vodou z verejného vodovodu v rámci SR a pod.</w:t>
      </w:r>
    </w:p>
    <w:p w14:paraId="58A48C45" w14:textId="060D67BB" w:rsidR="00BD03EA" w:rsidRPr="00D641FF" w:rsidRDefault="007E0172" w:rsidP="00123376">
      <w:pPr>
        <w:pStyle w:val="Zkladntextb"/>
        <w:spacing w:before="120" w:after="120" w:line="240" w:lineRule="auto"/>
        <w:ind w:left="0"/>
        <w:jc w:val="both"/>
        <w:rPr>
          <w:rFonts w:cs="Arial"/>
          <w:lang w:val="sk-SK"/>
        </w:rPr>
      </w:pPr>
      <w:r w:rsidRPr="00D641FF">
        <w:rPr>
          <w:rFonts w:cs="Arial"/>
          <w:lang w:val="sk-SK"/>
        </w:rPr>
        <w:t xml:space="preserve">Vzniknutá odchýlka </w:t>
      </w:r>
      <w:r w:rsidR="00075BA6">
        <w:rPr>
          <w:rFonts w:cs="Arial"/>
          <w:lang w:val="sk-SK"/>
        </w:rPr>
        <w:t>bola</w:t>
      </w:r>
      <w:r w:rsidRPr="00D641FF">
        <w:rPr>
          <w:rFonts w:cs="Arial"/>
          <w:lang w:val="sk-SK"/>
        </w:rPr>
        <w:t xml:space="preserve"> spôsobená</w:t>
      </w:r>
      <w:r w:rsidR="00BD03EA" w:rsidRPr="00D641FF">
        <w:rPr>
          <w:rFonts w:cs="Arial"/>
          <w:lang w:val="sk-SK"/>
        </w:rPr>
        <w:t xml:space="preserve"> jednak </w:t>
      </w:r>
      <w:r w:rsidR="0072403D" w:rsidRPr="00D641FF">
        <w:rPr>
          <w:rFonts w:cs="Arial"/>
          <w:lang w:val="sk-SK"/>
        </w:rPr>
        <w:t xml:space="preserve">kvalitnejšou </w:t>
      </w:r>
      <w:r w:rsidR="00BD03EA" w:rsidRPr="00D641FF">
        <w:rPr>
          <w:rFonts w:cs="Arial"/>
          <w:lang w:val="sk-SK"/>
        </w:rPr>
        <w:t>prípravou predložených projektov, ako i efektívnejšie nastaveným podmienkam poskytovania pomoci pre túto oblasť (napr. súbežné budovanie verejného vodovodu v jednej ryhe s verejnou kanalizáciou, využívanie existujúcich vodárenských kapacít a pod.).</w:t>
      </w:r>
    </w:p>
    <w:p w14:paraId="3BA61513" w14:textId="7CA70FF8" w:rsidR="002416B1" w:rsidRPr="00AE7E84" w:rsidRDefault="008F2A89" w:rsidP="00123376">
      <w:pPr>
        <w:pStyle w:val="Zkladntextb"/>
        <w:spacing w:before="120" w:after="120" w:line="240" w:lineRule="auto"/>
        <w:ind w:left="0"/>
        <w:jc w:val="both"/>
        <w:rPr>
          <w:rFonts w:cs="Arial"/>
          <w:lang w:val="sk-SK"/>
        </w:rPr>
      </w:pPr>
      <w:r w:rsidRPr="00D641FF">
        <w:rPr>
          <w:rFonts w:cs="Arial"/>
          <w:lang w:val="sk-SK"/>
        </w:rPr>
        <w:t>CORE</w:t>
      </w:r>
      <w:r w:rsidR="002416B1" w:rsidRPr="00D641FF">
        <w:rPr>
          <w:rFonts w:cs="Arial"/>
          <w:lang w:val="sk-SK"/>
        </w:rPr>
        <w:t xml:space="preserve"> ukazovateľ Počet novovytvo</w:t>
      </w:r>
      <w:r w:rsidR="00075BA6">
        <w:rPr>
          <w:rFonts w:cs="Arial"/>
          <w:lang w:val="sk-SK"/>
        </w:rPr>
        <w:t>rených pracovných miest vykazoval</w:t>
      </w:r>
      <w:r w:rsidR="002416B1" w:rsidRPr="00D641FF">
        <w:rPr>
          <w:rFonts w:cs="Arial"/>
          <w:lang w:val="sk-SK"/>
        </w:rPr>
        <w:t xml:space="preserve"> k </w:t>
      </w:r>
      <w:r w:rsidR="00782488">
        <w:rPr>
          <w:rFonts w:cs="Arial"/>
          <w:lang w:val="sk-SK"/>
        </w:rPr>
        <w:t>31. 10. 2016</w:t>
      </w:r>
      <w:r w:rsidR="00DC794C" w:rsidRPr="00D641FF">
        <w:rPr>
          <w:rFonts w:cs="Arial"/>
          <w:lang w:val="sk-SK"/>
        </w:rPr>
        <w:t xml:space="preserve"> </w:t>
      </w:r>
      <w:r w:rsidR="002416B1" w:rsidRPr="00D641FF">
        <w:rPr>
          <w:rFonts w:cs="Arial"/>
          <w:lang w:val="sk-SK"/>
        </w:rPr>
        <w:t xml:space="preserve">hodnotu </w:t>
      </w:r>
      <w:r w:rsidR="00782488">
        <w:rPr>
          <w:rFonts w:cs="Arial"/>
          <w:lang w:val="sk-SK"/>
        </w:rPr>
        <w:t>25</w:t>
      </w:r>
      <w:r w:rsidR="009A1A83">
        <w:rPr>
          <w:rFonts w:cs="Arial"/>
          <w:lang w:val="sk-SK"/>
        </w:rPr>
        <w:t>.</w:t>
      </w:r>
      <w:r w:rsidR="002416B1" w:rsidRPr="00D641FF">
        <w:rPr>
          <w:rFonts w:cs="Arial"/>
          <w:lang w:val="sk-SK"/>
        </w:rPr>
        <w:t xml:space="preserve"> </w:t>
      </w:r>
      <w:r w:rsidR="009A1A83">
        <w:rPr>
          <w:rFonts w:cs="Arial"/>
          <w:lang w:val="sk-SK"/>
        </w:rPr>
        <w:t>M</w:t>
      </w:r>
      <w:r w:rsidR="002416B1" w:rsidRPr="00D641FF">
        <w:rPr>
          <w:rFonts w:cs="Arial"/>
          <w:lang w:val="sk-SK"/>
        </w:rPr>
        <w:t xml:space="preserve">nožstvo zazmluvnených projektov v rámci prioritnej osi </w:t>
      </w:r>
      <w:r w:rsidR="00075BA6" w:rsidRPr="00075BA6">
        <w:rPr>
          <w:rFonts w:cs="Arial"/>
          <w:lang w:val="sk-SK"/>
        </w:rPr>
        <w:t>deklarovalo</w:t>
      </w:r>
      <w:r w:rsidR="002416B1" w:rsidRPr="00D641FF">
        <w:rPr>
          <w:rFonts w:cs="Arial"/>
          <w:lang w:val="sk-SK"/>
        </w:rPr>
        <w:t xml:space="preserve"> naplnenie uvedeného ukazovateľa </w:t>
      </w:r>
      <w:r w:rsidR="00953219">
        <w:rPr>
          <w:rFonts w:cs="Arial"/>
          <w:lang w:val="sk-SK"/>
        </w:rPr>
        <w:t xml:space="preserve">na </w:t>
      </w:r>
      <w:r w:rsidR="00782488">
        <w:rPr>
          <w:rFonts w:cs="Arial"/>
          <w:lang w:val="sk-SK"/>
        </w:rPr>
        <w:t xml:space="preserve"> </w:t>
      </w:r>
      <w:r w:rsidR="00953219">
        <w:rPr>
          <w:rFonts w:cs="Arial"/>
          <w:lang w:val="sk-SK"/>
        </w:rPr>
        <w:t xml:space="preserve">12,5 </w:t>
      </w:r>
      <w:r w:rsidR="00782488">
        <w:rPr>
          <w:rFonts w:cs="Arial"/>
          <w:lang w:val="sk-SK"/>
        </w:rPr>
        <w:t xml:space="preserve"> </w:t>
      </w:r>
      <w:r w:rsidR="0098645F" w:rsidRPr="00E21C60">
        <w:rPr>
          <w:rFonts w:cs="Arial"/>
          <w:lang w:val="sk-SK"/>
        </w:rPr>
        <w:t xml:space="preserve">% z hodnoty plánovanej v rámci OP ŽP. </w:t>
      </w:r>
      <w:r w:rsidR="00360BFA">
        <w:rPr>
          <w:rFonts w:cs="Arial"/>
          <w:lang w:val="sk-SK"/>
        </w:rPr>
        <w:t xml:space="preserve">V tejto súvislosti je potrebné </w:t>
      </w:r>
      <w:r w:rsidR="009D3410">
        <w:rPr>
          <w:rFonts w:cs="Arial"/>
          <w:lang w:val="sk-SK"/>
        </w:rPr>
        <w:t>poznamenať</w:t>
      </w:r>
      <w:r w:rsidR="00360BFA">
        <w:rPr>
          <w:rFonts w:cs="Arial"/>
          <w:lang w:val="sk-SK"/>
        </w:rPr>
        <w:t>, že pri stanovovaní cieľovej hodnoty predmetného ukazovateľa bola</w:t>
      </w:r>
      <w:r w:rsidR="002767D3">
        <w:rPr>
          <w:rFonts w:cs="Arial"/>
          <w:lang w:val="sk-SK"/>
        </w:rPr>
        <w:t xml:space="preserve"> </w:t>
      </w:r>
      <w:r w:rsidR="00B62885" w:rsidRPr="008A1902">
        <w:rPr>
          <w:rFonts w:cs="Arial"/>
          <w:lang w:val="sk-SK"/>
        </w:rPr>
        <w:t>v procese programovania OP ŽP</w:t>
      </w:r>
      <w:r w:rsidR="002767D3">
        <w:rPr>
          <w:rFonts w:cs="Arial"/>
          <w:lang w:val="sk-SK"/>
        </w:rPr>
        <w:t xml:space="preserve"> použitá nesprávna metodika, v dôsledku čoho do </w:t>
      </w:r>
      <w:r w:rsidR="00B62885" w:rsidRPr="008A1902">
        <w:rPr>
          <w:rFonts w:cs="Arial"/>
          <w:lang w:val="sk-SK"/>
        </w:rPr>
        <w:t>cieľov</w:t>
      </w:r>
      <w:r w:rsidR="002767D3">
        <w:rPr>
          <w:rFonts w:cs="Arial"/>
          <w:lang w:val="sk-SK"/>
        </w:rPr>
        <w:t>ej</w:t>
      </w:r>
      <w:r w:rsidR="00B62885" w:rsidRPr="008A1902">
        <w:rPr>
          <w:rFonts w:cs="Arial"/>
          <w:lang w:val="sk-SK"/>
        </w:rPr>
        <w:t xml:space="preserve"> hodnot</w:t>
      </w:r>
      <w:r w:rsidR="002767D3">
        <w:rPr>
          <w:rFonts w:cs="Arial"/>
          <w:lang w:val="sk-SK"/>
        </w:rPr>
        <w:t>y</w:t>
      </w:r>
      <w:r w:rsidR="00B62885" w:rsidRPr="008A1902">
        <w:rPr>
          <w:rFonts w:cs="Arial"/>
          <w:lang w:val="sk-SK"/>
        </w:rPr>
        <w:t xml:space="preserve"> </w:t>
      </w:r>
      <w:r w:rsidR="002767D3">
        <w:rPr>
          <w:rFonts w:cs="Arial"/>
          <w:lang w:val="sk-SK"/>
        </w:rPr>
        <w:t>boli zahrnuté aj</w:t>
      </w:r>
      <w:r w:rsidR="00B62885" w:rsidRPr="008A1902">
        <w:rPr>
          <w:rFonts w:cs="Arial"/>
          <w:lang w:val="sk-SK"/>
        </w:rPr>
        <w:t xml:space="preserve"> predpokladané dočasné pracovné miesta na strane dodávateľov vytvorené počas realizácie projektu</w:t>
      </w:r>
      <w:r w:rsidR="00B62885">
        <w:rPr>
          <w:rFonts w:cs="Arial"/>
          <w:lang w:val="sk-SK"/>
        </w:rPr>
        <w:t xml:space="preserve">. </w:t>
      </w:r>
      <w:r w:rsidR="009D3410">
        <w:rPr>
          <w:rFonts w:cs="Arial"/>
          <w:lang w:val="sk-SK"/>
        </w:rPr>
        <w:t>Avšak p</w:t>
      </w:r>
      <w:r w:rsidR="0098645F" w:rsidRPr="00B50C98">
        <w:rPr>
          <w:rFonts w:cs="Arial"/>
          <w:lang w:val="sk-SK"/>
        </w:rPr>
        <w:t xml:space="preserve">re </w:t>
      </w:r>
      <w:r w:rsidR="002767D3">
        <w:rPr>
          <w:rFonts w:cs="Arial"/>
          <w:lang w:val="sk-SK"/>
        </w:rPr>
        <w:t>celkové</w:t>
      </w:r>
      <w:r w:rsidR="0098645F" w:rsidRPr="00B50C98">
        <w:rPr>
          <w:rFonts w:cs="Arial"/>
          <w:lang w:val="sk-SK"/>
        </w:rPr>
        <w:t xml:space="preserve"> vnímanie príspevku </w:t>
      </w:r>
      <w:r w:rsidR="000E64EF">
        <w:rPr>
          <w:rFonts w:cs="Arial"/>
          <w:lang w:val="sk-SK"/>
        </w:rPr>
        <w:t xml:space="preserve">implementovaných </w:t>
      </w:r>
      <w:r w:rsidR="0098645F" w:rsidRPr="00B50C98">
        <w:rPr>
          <w:rFonts w:cs="Arial"/>
          <w:lang w:val="sk-SK"/>
        </w:rPr>
        <w:t xml:space="preserve">projektov k podpore zamestnanosti je </w:t>
      </w:r>
      <w:r w:rsidR="009D3410">
        <w:rPr>
          <w:rFonts w:cs="Arial"/>
          <w:lang w:val="sk-SK"/>
        </w:rPr>
        <w:t xml:space="preserve">namieste </w:t>
      </w:r>
      <w:r w:rsidR="000E64EF">
        <w:rPr>
          <w:rFonts w:cs="Arial"/>
          <w:lang w:val="sk-SK"/>
        </w:rPr>
        <w:t>uviesť, že tieto</w:t>
      </w:r>
      <w:r w:rsidR="0098645F" w:rsidRPr="00B50C98">
        <w:rPr>
          <w:rFonts w:cs="Arial"/>
          <w:lang w:val="sk-SK"/>
        </w:rPr>
        <w:t xml:space="preserve"> projekty (osobitne veľké projekty)</w:t>
      </w:r>
      <w:r w:rsidR="000E64EF">
        <w:rPr>
          <w:rFonts w:cs="Arial"/>
          <w:lang w:val="sk-SK"/>
        </w:rPr>
        <w:t xml:space="preserve"> </w:t>
      </w:r>
      <w:r w:rsidR="00090719">
        <w:rPr>
          <w:rFonts w:cs="Arial"/>
          <w:lang w:val="sk-SK"/>
        </w:rPr>
        <w:t xml:space="preserve">boli </w:t>
      </w:r>
      <w:r w:rsidR="000E64EF">
        <w:rPr>
          <w:rFonts w:cs="Arial"/>
          <w:lang w:val="sk-SK"/>
        </w:rPr>
        <w:t xml:space="preserve">spojené s vytváraním </w:t>
      </w:r>
      <w:r w:rsidR="0098645F" w:rsidRPr="00B50C98">
        <w:rPr>
          <w:rFonts w:cs="Arial"/>
          <w:lang w:val="sk-SK"/>
        </w:rPr>
        <w:t>pracovných miest primárne u dodávateľov stavebných prác</w:t>
      </w:r>
      <w:r w:rsidR="000E64EF">
        <w:rPr>
          <w:rFonts w:cs="Arial"/>
          <w:lang w:val="sk-SK"/>
        </w:rPr>
        <w:t>,</w:t>
      </w:r>
      <w:r w:rsidR="0098645F" w:rsidRPr="00B50C98">
        <w:rPr>
          <w:rFonts w:cs="Arial"/>
          <w:lang w:val="sk-SK"/>
        </w:rPr>
        <w:t xml:space="preserve"> a to počas celej doby ich realizácie (napr. 36 mesiacov). Hoci počet vytvorených pracovných miest u</w:t>
      </w:r>
      <w:r w:rsidR="009828CF">
        <w:rPr>
          <w:rFonts w:cs="Arial"/>
          <w:lang w:val="sk-SK"/>
        </w:rPr>
        <w:t> </w:t>
      </w:r>
      <w:r w:rsidR="0098645F" w:rsidRPr="00B50C98">
        <w:rPr>
          <w:rFonts w:cs="Arial"/>
          <w:lang w:val="sk-SK"/>
        </w:rPr>
        <w:t>prijímateľov</w:t>
      </w:r>
      <w:r w:rsidR="009828CF">
        <w:rPr>
          <w:rFonts w:cs="Arial"/>
          <w:lang w:val="sk-SK"/>
        </w:rPr>
        <w:t xml:space="preserve"> </w:t>
      </w:r>
      <w:r w:rsidR="00067C81">
        <w:rPr>
          <w:rFonts w:cs="Arial"/>
          <w:lang w:val="sk-SK"/>
        </w:rPr>
        <w:t xml:space="preserve">po ukončení projektov </w:t>
      </w:r>
      <w:r w:rsidR="009828CF">
        <w:rPr>
          <w:rFonts w:cs="Arial"/>
          <w:lang w:val="sk-SK"/>
        </w:rPr>
        <w:t xml:space="preserve">(pričom správne iba tieto mali byť zahrnuté do predpokladanej cieľovej hodnoty ukazovateľa) </w:t>
      </w:r>
      <w:r w:rsidR="0098645F" w:rsidRPr="00B50C98">
        <w:rPr>
          <w:rFonts w:cs="Arial"/>
          <w:lang w:val="sk-SK"/>
        </w:rPr>
        <w:t xml:space="preserve"> nie je na prvý pohľad vysoký, celkový príspevok k podpore zamestnanosti na úrovni subjektov zapojených do implementácie projektov </w:t>
      </w:r>
      <w:r w:rsidR="00075BA6">
        <w:rPr>
          <w:rFonts w:cs="Arial"/>
          <w:lang w:val="sk-SK"/>
        </w:rPr>
        <w:t>bol</w:t>
      </w:r>
      <w:r w:rsidR="009828CF">
        <w:rPr>
          <w:rFonts w:cs="Arial"/>
          <w:lang w:val="sk-SK"/>
        </w:rPr>
        <w:t xml:space="preserve"> omnoho vyšší</w:t>
      </w:r>
      <w:r w:rsidR="0098645F" w:rsidRPr="00B50C98">
        <w:rPr>
          <w:rFonts w:cs="Arial"/>
          <w:lang w:val="sk-SK"/>
        </w:rPr>
        <w:t>.</w:t>
      </w:r>
    </w:p>
    <w:p w14:paraId="4CE68CF0" w14:textId="298A1E5B" w:rsidR="00F02597" w:rsidRDefault="002416B1" w:rsidP="00912C87">
      <w:pPr>
        <w:pStyle w:val="Zkladntextb"/>
        <w:spacing w:before="120" w:after="120" w:line="240" w:lineRule="auto"/>
        <w:ind w:left="0"/>
        <w:jc w:val="both"/>
        <w:rPr>
          <w:rFonts w:cs="Arial"/>
          <w:lang w:val="sk-SK"/>
        </w:rPr>
      </w:pPr>
      <w:r w:rsidRPr="00CE0728">
        <w:rPr>
          <w:rFonts w:cs="Arial"/>
          <w:lang w:val="sk-SK"/>
        </w:rPr>
        <w:lastRenderedPageBreak/>
        <w:t xml:space="preserve">Realizáciou jednotlivých projektov financovaných v rámci operačného cieľa 1.3 (monitoring vôd) bol </w:t>
      </w:r>
      <w:r w:rsidR="00E40993">
        <w:rPr>
          <w:rFonts w:cs="Arial"/>
          <w:lang w:val="sk-SK"/>
        </w:rPr>
        <w:t>k 31. 10. 2016</w:t>
      </w:r>
      <w:r w:rsidR="002110D3" w:rsidRPr="00CE0728">
        <w:rPr>
          <w:rFonts w:cs="Arial"/>
          <w:lang w:val="sk-SK"/>
        </w:rPr>
        <w:t xml:space="preserve"> </w:t>
      </w:r>
      <w:r w:rsidRPr="00CE0728">
        <w:rPr>
          <w:rFonts w:cs="Arial"/>
          <w:lang w:val="sk-SK"/>
        </w:rPr>
        <w:t xml:space="preserve">dosiahnutý súlad monitorovania stavu vôd v SR s požiadavkami Rámcovej smernice </w:t>
      </w:r>
      <w:r w:rsidRPr="00F02597">
        <w:rPr>
          <w:rFonts w:cs="Arial"/>
          <w:lang w:val="sk-SK"/>
        </w:rPr>
        <w:t>o</w:t>
      </w:r>
      <w:r w:rsidR="00C93169" w:rsidRPr="00F02597">
        <w:rPr>
          <w:rFonts w:cs="Arial"/>
          <w:lang w:val="sk-SK"/>
        </w:rPr>
        <w:t> </w:t>
      </w:r>
      <w:r w:rsidRPr="00F02597">
        <w:rPr>
          <w:rFonts w:cs="Arial"/>
          <w:lang w:val="sk-SK"/>
        </w:rPr>
        <w:t>vod</w:t>
      </w:r>
      <w:r w:rsidR="001768B6" w:rsidRPr="00F02597">
        <w:rPr>
          <w:rFonts w:cs="Arial"/>
          <w:lang w:val="sk-SK"/>
        </w:rPr>
        <w:t>e</w:t>
      </w:r>
      <w:r w:rsidR="00C93169" w:rsidRPr="00F02597">
        <w:rPr>
          <w:rFonts w:cs="Arial"/>
          <w:lang w:val="sk-SK"/>
        </w:rPr>
        <w:t xml:space="preserve"> na </w:t>
      </w:r>
      <w:r w:rsidR="00E40993" w:rsidRPr="00F02597">
        <w:rPr>
          <w:rFonts w:cs="Arial"/>
          <w:lang w:val="sk-SK"/>
        </w:rPr>
        <w:t>96,95</w:t>
      </w:r>
      <w:r w:rsidR="00F81E8B" w:rsidRPr="00F04811">
        <w:rPr>
          <w:rFonts w:cs="Arial"/>
          <w:lang w:val="sk-SK"/>
        </w:rPr>
        <w:t xml:space="preserve"> </w:t>
      </w:r>
      <w:r w:rsidR="00C93169" w:rsidRPr="00F04811">
        <w:rPr>
          <w:rFonts w:cs="Arial"/>
          <w:lang w:val="sk-SK"/>
        </w:rPr>
        <w:t>%</w:t>
      </w:r>
      <w:r w:rsidR="00F02597" w:rsidRPr="00F04811">
        <w:rPr>
          <w:rFonts w:cs="Arial"/>
          <w:lang w:val="sk-SK"/>
        </w:rPr>
        <w:t xml:space="preserve">, </w:t>
      </w:r>
      <w:r w:rsidR="00F02597" w:rsidRPr="00F02597">
        <w:rPr>
          <w:rFonts w:cs="Arial"/>
          <w:lang w:val="sk-SK"/>
        </w:rPr>
        <w:t>čím došlo k naplneniu predmetného ukazovateľa vo vzťahu k cieľom stanoveným v OP ŽP na 173% a vo vzťahu k úspešnosti plnenia k zazmluveným projektom na 159 %.</w:t>
      </w:r>
      <w:r w:rsidR="00AB2F77">
        <w:rPr>
          <w:rFonts w:cs="Arial"/>
          <w:lang w:val="sk-SK"/>
        </w:rPr>
        <w:t xml:space="preserve"> </w:t>
      </w:r>
      <w:r w:rsidR="00067C81">
        <w:rPr>
          <w:rFonts w:cs="Arial"/>
          <w:lang w:val="sk-SK"/>
        </w:rPr>
        <w:t>Uvedený ukazovateľ</w:t>
      </w:r>
      <w:r w:rsidR="0066561F">
        <w:rPr>
          <w:rFonts w:cs="Arial"/>
          <w:lang w:val="sk-SK"/>
        </w:rPr>
        <w:t xml:space="preserve"> „Súlad monitorovania stavu vôd v SR s požiadavkami Rámcovej smernice o vode“</w:t>
      </w:r>
      <w:r w:rsidR="00067C81">
        <w:rPr>
          <w:rFonts w:cs="Arial"/>
          <w:lang w:val="sk-SK"/>
        </w:rPr>
        <w:t xml:space="preserve"> bol viazaný na konkrétn</w:t>
      </w:r>
      <w:r w:rsidR="00AA171F">
        <w:rPr>
          <w:rFonts w:cs="Arial"/>
          <w:lang w:val="sk-SK"/>
        </w:rPr>
        <w:t>e</w:t>
      </w:r>
      <w:r w:rsidR="00067C81">
        <w:rPr>
          <w:rFonts w:cs="Arial"/>
          <w:lang w:val="sk-SK"/>
        </w:rPr>
        <w:t xml:space="preserve"> výstup</w:t>
      </w:r>
      <w:r w:rsidR="00AA171F">
        <w:rPr>
          <w:rFonts w:cs="Arial"/>
          <w:lang w:val="sk-SK"/>
        </w:rPr>
        <w:t>y</w:t>
      </w:r>
      <w:r w:rsidR="00067C81">
        <w:rPr>
          <w:rFonts w:cs="Arial"/>
          <w:lang w:val="sk-SK"/>
        </w:rPr>
        <w:t>, ktor</w:t>
      </w:r>
      <w:r w:rsidR="00AA171F">
        <w:rPr>
          <w:rFonts w:cs="Arial"/>
          <w:lang w:val="sk-SK"/>
        </w:rPr>
        <w:t xml:space="preserve">é </w:t>
      </w:r>
      <w:r w:rsidR="00067C81">
        <w:rPr>
          <w:rFonts w:cs="Arial"/>
          <w:lang w:val="sk-SK"/>
        </w:rPr>
        <w:t>bol</w:t>
      </w:r>
      <w:r w:rsidR="00AA171F">
        <w:rPr>
          <w:rFonts w:cs="Arial"/>
          <w:lang w:val="sk-SK"/>
        </w:rPr>
        <w:t>i</w:t>
      </w:r>
      <w:r w:rsidR="00067C81">
        <w:rPr>
          <w:rFonts w:cs="Arial"/>
          <w:lang w:val="sk-SK"/>
        </w:rPr>
        <w:t xml:space="preserve">  </w:t>
      </w:r>
      <w:r w:rsidR="00AA171F">
        <w:rPr>
          <w:rFonts w:cs="Arial"/>
          <w:lang w:val="sk-SK"/>
        </w:rPr>
        <w:t>viazané napr. na počty odberných miest a k tomu prislúchajúce počt</w:t>
      </w:r>
      <w:r w:rsidR="0066561F">
        <w:rPr>
          <w:rFonts w:cs="Arial"/>
          <w:lang w:val="sk-SK"/>
        </w:rPr>
        <w:t xml:space="preserve">y analýz vykonávané v projektoch. </w:t>
      </w:r>
      <w:r w:rsidR="00AA171F">
        <w:rPr>
          <w:rFonts w:cs="Arial"/>
          <w:lang w:val="sk-SK"/>
        </w:rPr>
        <w:t>Uskutočnené počty analýz v rámci projektov vychádzali z legislatívnych právnych predpisov (</w:t>
      </w:r>
      <w:r w:rsidR="00B85310">
        <w:rPr>
          <w:rFonts w:cs="Arial"/>
          <w:lang w:val="sk-SK"/>
        </w:rPr>
        <w:t>P</w:t>
      </w:r>
      <w:r w:rsidR="00AA171F" w:rsidRPr="00AA171F">
        <w:rPr>
          <w:rFonts w:cs="Arial"/>
          <w:lang w:val="sk-SK"/>
        </w:rPr>
        <w:t>rogram moni</w:t>
      </w:r>
      <w:r w:rsidR="00B85310">
        <w:rPr>
          <w:rFonts w:cs="Arial"/>
          <w:lang w:val="sk-SK"/>
        </w:rPr>
        <w:t>torovania stavu vôd na roky 2008</w:t>
      </w:r>
      <w:r w:rsidR="00AA171F" w:rsidRPr="00AA171F">
        <w:rPr>
          <w:rFonts w:cs="Arial"/>
          <w:lang w:val="sk-SK"/>
        </w:rPr>
        <w:t xml:space="preserve"> </w:t>
      </w:r>
      <w:r w:rsidR="00AA171F">
        <w:rPr>
          <w:rFonts w:cs="Arial"/>
          <w:lang w:val="sk-SK"/>
        </w:rPr>
        <w:t>–</w:t>
      </w:r>
      <w:r w:rsidR="00B85310">
        <w:rPr>
          <w:rFonts w:cs="Arial"/>
          <w:lang w:val="sk-SK"/>
        </w:rPr>
        <w:t xml:space="preserve"> 2010</w:t>
      </w:r>
      <w:r w:rsidR="00AA171F">
        <w:rPr>
          <w:rFonts w:cs="Arial"/>
          <w:lang w:val="sk-SK"/>
        </w:rPr>
        <w:t xml:space="preserve">), </w:t>
      </w:r>
      <w:r w:rsidR="0066561F">
        <w:rPr>
          <w:rFonts w:cs="Arial"/>
          <w:lang w:val="sk-SK"/>
        </w:rPr>
        <w:t xml:space="preserve">v rámci ktorých </w:t>
      </w:r>
      <w:r w:rsidR="00AA171F">
        <w:rPr>
          <w:rFonts w:cs="Arial"/>
          <w:lang w:val="sk-SK"/>
        </w:rPr>
        <w:t xml:space="preserve">v priebehu implementácie OP ŹP </w:t>
      </w:r>
      <w:r w:rsidR="0066561F">
        <w:rPr>
          <w:rFonts w:cs="Arial"/>
          <w:lang w:val="sk-SK"/>
        </w:rPr>
        <w:t xml:space="preserve">dochádzalo k aktualizácii, čo spôsobilo uvedené prekročenie napĺňania ukazovateľa. </w:t>
      </w:r>
    </w:p>
    <w:p w14:paraId="4597A311" w14:textId="1E2624F3" w:rsidR="0068264B" w:rsidRPr="00C76AE0" w:rsidRDefault="002416B1" w:rsidP="00912C87">
      <w:pPr>
        <w:pStyle w:val="Zkladntextb"/>
        <w:spacing w:before="120" w:after="120" w:line="240" w:lineRule="auto"/>
        <w:ind w:left="0"/>
        <w:jc w:val="both"/>
        <w:rPr>
          <w:rFonts w:cs="Arial"/>
        </w:rPr>
      </w:pPr>
      <w:r w:rsidRPr="00912C87">
        <w:rPr>
          <w:rFonts w:cs="Arial"/>
          <w:lang w:val="sk-SK"/>
        </w:rPr>
        <w:t>Napĺňanie relevantných fyzických ukazovateľov vypovedá o príspevku projektov k napĺňaniu jednotli</w:t>
      </w:r>
      <w:r w:rsidR="00075BA6">
        <w:rPr>
          <w:rFonts w:cs="Arial"/>
          <w:lang w:val="sk-SK"/>
        </w:rPr>
        <w:t>vých cieľov programu. Realizáciou</w:t>
      </w:r>
      <w:r w:rsidRPr="00912C87">
        <w:rPr>
          <w:rFonts w:cs="Arial"/>
          <w:lang w:val="sk-SK"/>
        </w:rPr>
        <w:t xml:space="preserve"> projektov financovaných v rámci prioritnej osi 1 </w:t>
      </w:r>
      <w:r w:rsidR="00075BA6">
        <w:rPr>
          <w:rFonts w:cs="Arial"/>
          <w:lang w:val="sk-SK"/>
        </w:rPr>
        <w:t>sa prispelo</w:t>
      </w:r>
      <w:r w:rsidR="00D34317" w:rsidRPr="00912C87">
        <w:rPr>
          <w:rFonts w:cs="Arial"/>
          <w:lang w:val="sk-SK"/>
        </w:rPr>
        <w:br/>
      </w:r>
      <w:r w:rsidRPr="00912C87">
        <w:rPr>
          <w:rFonts w:cs="Arial"/>
          <w:lang w:val="sk-SK"/>
        </w:rPr>
        <w:t xml:space="preserve">k zabezpečeniu bezproblémového zásobovania obyvateľov kvalitnou pitnou vodou a k efektívnemu zneškodňovaniu odpadových vôd bez negatívnych dopadov na životné prostredie, a tým k </w:t>
      </w:r>
      <w:r w:rsidR="00FA4514">
        <w:rPr>
          <w:rFonts w:cs="Arial"/>
          <w:lang w:val="sk-SK"/>
        </w:rPr>
        <w:t>napĺňaniu</w:t>
      </w:r>
      <w:r w:rsidRPr="00912C87">
        <w:rPr>
          <w:rFonts w:cs="Arial"/>
          <w:lang w:val="sk-SK"/>
        </w:rPr>
        <w:t xml:space="preserve"> cieľa Rámcovej smernice o vod</w:t>
      </w:r>
      <w:r w:rsidR="00367E3A">
        <w:rPr>
          <w:rFonts w:cs="Arial"/>
          <w:lang w:val="sk-SK"/>
        </w:rPr>
        <w:t>e</w:t>
      </w:r>
      <w:r w:rsidRPr="00912C87">
        <w:rPr>
          <w:rFonts w:cs="Arial"/>
          <w:lang w:val="sk-SK"/>
        </w:rPr>
        <w:t>, ktorá je transponovaná do práva SR zákonom č. 364/2004 Z. z. o vodách a o zmene zákona SNR č. 372/1990 Zb. o priestupkoch v znení neskorších predpisov (vodný zákon)</w:t>
      </w:r>
      <w:r w:rsidR="00B5073E" w:rsidRPr="00912C87">
        <w:rPr>
          <w:rFonts w:cs="Arial"/>
          <w:lang w:val="sk-SK"/>
        </w:rPr>
        <w:t xml:space="preserve"> v znení neskorších predpisov</w:t>
      </w:r>
      <w:r w:rsidRPr="00912C87">
        <w:rPr>
          <w:rFonts w:cs="Arial"/>
          <w:lang w:val="sk-SK"/>
        </w:rPr>
        <w:t xml:space="preserve">, ako aj vykonávacej vyhlášky č. </w:t>
      </w:r>
      <w:r w:rsidR="0085444B" w:rsidRPr="00912C87">
        <w:rPr>
          <w:rFonts w:cs="Arial"/>
          <w:lang w:val="sk-SK"/>
        </w:rPr>
        <w:t>418/2010</w:t>
      </w:r>
      <w:r w:rsidRPr="00912C87">
        <w:rPr>
          <w:rFonts w:cs="Arial"/>
          <w:lang w:val="sk-SK"/>
        </w:rPr>
        <w:t xml:space="preserve"> Z. z</w:t>
      </w:r>
      <w:r w:rsidR="00B2234C" w:rsidRPr="00912C87">
        <w:rPr>
          <w:rFonts w:cs="Arial"/>
          <w:lang w:val="sk-SK"/>
        </w:rPr>
        <w:t>. o vykonaní niektorých ustanovení vodného zákona</w:t>
      </w:r>
      <w:r w:rsidRPr="00912C87">
        <w:rPr>
          <w:rFonts w:cs="Arial"/>
          <w:lang w:val="sk-SK"/>
        </w:rPr>
        <w:t>, o ich monitorovaní, vedení evidencie o vodách a o</w:t>
      </w:r>
      <w:r w:rsidR="00367E3A">
        <w:rPr>
          <w:rFonts w:cs="Arial"/>
          <w:lang w:val="sk-SK"/>
        </w:rPr>
        <w:t> </w:t>
      </w:r>
      <w:r w:rsidRPr="00912C87">
        <w:rPr>
          <w:rFonts w:cs="Arial"/>
          <w:lang w:val="sk-SK"/>
        </w:rPr>
        <w:t xml:space="preserve">vodnej bilancii, dosiahnuť dobrý ekologický stav vôd. Uvedené ukazovatele </w:t>
      </w:r>
      <w:r w:rsidR="00075BA6">
        <w:rPr>
          <w:rFonts w:cs="Arial"/>
          <w:lang w:val="sk-SK"/>
        </w:rPr>
        <w:t>sledovali</w:t>
      </w:r>
      <w:r w:rsidRPr="00912C87">
        <w:rPr>
          <w:rFonts w:cs="Arial"/>
          <w:lang w:val="sk-SK"/>
        </w:rPr>
        <w:t xml:space="preserve"> taktiež napĺňanie záväzkov SR vyplývajúcich zo Zmluvy o pristúpení k EÚ, t.j. stanovených prechodných období na implementáciu smernice Rady 91/271/EHS z 21. mája 1991 o čistení komunálnych odpadových vôd, s presne stanovenými termínmi splnenia v závislosti od veľkosti aglomerácií.</w:t>
      </w:r>
    </w:p>
    <w:bookmarkEnd w:id="61"/>
    <w:bookmarkEnd w:id="62"/>
    <w:p w14:paraId="6557985E" w14:textId="77777777" w:rsidR="002416B1" w:rsidRPr="00E21C60" w:rsidRDefault="002416B1" w:rsidP="00123376">
      <w:pPr>
        <w:pStyle w:val="Nadpis8"/>
        <w:spacing w:after="120"/>
        <w:rPr>
          <w:rFonts w:ascii="Arial" w:hAnsi="Arial" w:cs="Arial"/>
          <w:b/>
          <w:sz w:val="22"/>
          <w:szCs w:val="22"/>
        </w:rPr>
      </w:pPr>
      <w:r w:rsidRPr="00E21C60">
        <w:rPr>
          <w:rFonts w:ascii="Arial" w:hAnsi="Arial" w:cs="Arial"/>
          <w:b/>
          <w:sz w:val="22"/>
          <w:szCs w:val="22"/>
        </w:rPr>
        <w:t>3.1.1.2 Finančná implementácia v rámci prioritnej osi 1</w:t>
      </w:r>
    </w:p>
    <w:p w14:paraId="04AFAF0A" w14:textId="3EA36538" w:rsidR="00C03F72" w:rsidRPr="008805AA" w:rsidRDefault="002416B1" w:rsidP="008805AA">
      <w:pPr>
        <w:pStyle w:val="Zkladntextb"/>
        <w:spacing w:before="120" w:after="120" w:line="240" w:lineRule="auto"/>
        <w:ind w:left="0"/>
        <w:jc w:val="both"/>
        <w:rPr>
          <w:rFonts w:cs="Arial"/>
          <w:lang w:val="sk-SK"/>
        </w:rPr>
      </w:pPr>
      <w:r w:rsidRPr="00D07343">
        <w:rPr>
          <w:rFonts w:cs="Arial"/>
          <w:lang w:val="sk-SK"/>
        </w:rPr>
        <w:t>K </w:t>
      </w:r>
      <w:r w:rsidR="00476CD4">
        <w:rPr>
          <w:rFonts w:cs="Arial"/>
          <w:lang w:val="sk-SK"/>
        </w:rPr>
        <w:t xml:space="preserve">31. </w:t>
      </w:r>
      <w:r w:rsidR="00E448BC">
        <w:rPr>
          <w:rFonts w:cs="Arial"/>
          <w:lang w:val="sk-SK"/>
        </w:rPr>
        <w:t>10</w:t>
      </w:r>
      <w:r w:rsidR="00476CD4">
        <w:rPr>
          <w:rFonts w:cs="Arial"/>
          <w:lang w:val="sk-SK"/>
        </w:rPr>
        <w:t>. 2016</w:t>
      </w:r>
      <w:r w:rsidR="00E47AEC" w:rsidRPr="00D07343">
        <w:rPr>
          <w:rFonts w:cs="Arial"/>
          <w:lang w:val="sk-SK"/>
        </w:rPr>
        <w:t xml:space="preserve"> </w:t>
      </w:r>
      <w:r w:rsidRPr="00AF5D50">
        <w:rPr>
          <w:rFonts w:cs="Arial"/>
          <w:lang w:val="sk-SK"/>
        </w:rPr>
        <w:t xml:space="preserve">bolo z Kohézneho fondu za prioritnú os 1 vyčerpaných </w:t>
      </w:r>
      <w:r w:rsidR="00E142F0" w:rsidRPr="00AF5D50">
        <w:rPr>
          <w:rFonts w:cs="Arial"/>
          <w:lang w:val="sk-SK"/>
        </w:rPr>
        <w:t xml:space="preserve">viac ako </w:t>
      </w:r>
      <w:r w:rsidR="00F7016A">
        <w:rPr>
          <w:rFonts w:cs="Arial"/>
          <w:lang w:val="sk-SK"/>
        </w:rPr>
        <w:t>86</w:t>
      </w:r>
      <w:r w:rsidR="00E448BC">
        <w:rPr>
          <w:rFonts w:cs="Arial"/>
          <w:lang w:val="sk-SK"/>
        </w:rPr>
        <w:t>4</w:t>
      </w:r>
      <w:r w:rsidR="00EC43D1" w:rsidRPr="00D07343">
        <w:rPr>
          <w:rFonts w:cs="Arial"/>
          <w:lang w:val="sk-SK"/>
        </w:rPr>
        <w:t xml:space="preserve"> </w:t>
      </w:r>
      <w:r w:rsidR="00E512EF" w:rsidRPr="00AF5D50">
        <w:rPr>
          <w:rFonts w:cs="Arial"/>
          <w:lang w:val="sk-SK"/>
        </w:rPr>
        <w:t>miliónov</w:t>
      </w:r>
      <w:r w:rsidRPr="00AF5D50">
        <w:rPr>
          <w:rFonts w:cs="Arial"/>
          <w:lang w:val="sk-SK"/>
        </w:rPr>
        <w:t xml:space="preserve"> </w:t>
      </w:r>
      <w:r w:rsidR="004B5529" w:rsidRPr="00682B07">
        <w:rPr>
          <w:rFonts w:cs="Arial"/>
          <w:lang w:val="sk-SK"/>
        </w:rPr>
        <w:t>€</w:t>
      </w:r>
      <w:r w:rsidRPr="00AF5D50">
        <w:rPr>
          <w:rFonts w:cs="Arial"/>
          <w:lang w:val="sk-SK"/>
        </w:rPr>
        <w:t xml:space="preserve">, čo </w:t>
      </w:r>
      <w:bookmarkStart w:id="63" w:name="OLE_LINK39"/>
      <w:bookmarkStart w:id="64" w:name="OLE_LINK40"/>
      <w:r w:rsidRPr="00AF5D50">
        <w:rPr>
          <w:rFonts w:cs="Arial"/>
          <w:lang w:val="sk-SK"/>
        </w:rPr>
        <w:t xml:space="preserve">predstavuje </w:t>
      </w:r>
      <w:r w:rsidR="00EC43D1">
        <w:rPr>
          <w:rFonts w:cs="Arial"/>
          <w:lang w:val="sk-SK"/>
        </w:rPr>
        <w:t>95,</w:t>
      </w:r>
      <w:r w:rsidR="00E448BC">
        <w:rPr>
          <w:rFonts w:cs="Arial"/>
          <w:lang w:val="sk-SK"/>
        </w:rPr>
        <w:t>72</w:t>
      </w:r>
      <w:r w:rsidR="00E448BC" w:rsidRPr="00AF5D50">
        <w:rPr>
          <w:rFonts w:cs="Arial"/>
          <w:lang w:val="sk-SK"/>
        </w:rPr>
        <w:t xml:space="preserve"> </w:t>
      </w:r>
      <w:r w:rsidRPr="00AF5D50">
        <w:rPr>
          <w:rFonts w:cs="Arial"/>
          <w:lang w:val="sk-SK"/>
        </w:rPr>
        <w:t>% z celkového záväzku na prioritnú os na toto programové obdobie</w:t>
      </w:r>
      <w:bookmarkEnd w:id="63"/>
      <w:bookmarkEnd w:id="64"/>
      <w:r w:rsidRPr="00AF5D50">
        <w:rPr>
          <w:rFonts w:cs="Arial"/>
          <w:lang w:val="sk-SK"/>
        </w:rPr>
        <w:t>.</w:t>
      </w:r>
      <w:r w:rsidR="008805AA">
        <w:rPr>
          <w:rFonts w:cs="Arial"/>
          <w:lang w:val="sk-SK"/>
        </w:rPr>
        <w:t xml:space="preserve"> </w:t>
      </w:r>
    </w:p>
    <w:p w14:paraId="1B7923CC" w14:textId="32EF2426" w:rsidR="002416B1" w:rsidRPr="00123376" w:rsidRDefault="002416B1">
      <w:pPr>
        <w:jc w:val="both"/>
        <w:rPr>
          <w:rFonts w:ascii="Arial" w:hAnsi="Arial" w:cs="Arial"/>
          <w:highlight w:val="yellow"/>
        </w:rPr>
      </w:pPr>
      <w:r w:rsidRPr="00E21C60">
        <w:rPr>
          <w:rFonts w:ascii="Arial" w:hAnsi="Arial" w:cs="Arial"/>
          <w:sz w:val="20"/>
          <w:szCs w:val="20"/>
        </w:rPr>
        <w:t>Tab</w:t>
      </w:r>
      <w:r w:rsidR="00B6199C" w:rsidRPr="00E21C60">
        <w:rPr>
          <w:rFonts w:ascii="Arial" w:hAnsi="Arial" w:cs="Arial"/>
          <w:sz w:val="20"/>
          <w:szCs w:val="20"/>
        </w:rPr>
        <w:t>uľka</w:t>
      </w:r>
      <w:r w:rsidRPr="00E21C60">
        <w:rPr>
          <w:rFonts w:ascii="Arial" w:hAnsi="Arial" w:cs="Arial"/>
          <w:sz w:val="20"/>
          <w:szCs w:val="20"/>
        </w:rPr>
        <w:t xml:space="preserve"> č. </w:t>
      </w:r>
      <w:r w:rsidR="00B256C7">
        <w:rPr>
          <w:rFonts w:ascii="Arial" w:hAnsi="Arial" w:cs="Arial"/>
          <w:sz w:val="20"/>
          <w:szCs w:val="20"/>
        </w:rPr>
        <w:t>4</w:t>
      </w:r>
      <w:r w:rsidR="007B1CB9">
        <w:rPr>
          <w:rFonts w:ascii="Arial" w:hAnsi="Arial" w:cs="Arial"/>
          <w:sz w:val="20"/>
          <w:szCs w:val="20"/>
        </w:rPr>
        <w:t>2</w:t>
      </w:r>
      <w:r w:rsidRPr="00534E95">
        <w:rPr>
          <w:rFonts w:ascii="Arial" w:hAnsi="Arial" w:cs="Arial"/>
          <w:sz w:val="20"/>
          <w:szCs w:val="20"/>
        </w:rPr>
        <w:t xml:space="preserve">: </w:t>
      </w:r>
      <w:r w:rsidR="00807178">
        <w:rPr>
          <w:rFonts w:ascii="Arial" w:hAnsi="Arial" w:cs="Arial"/>
          <w:sz w:val="20"/>
          <w:szCs w:val="20"/>
        </w:rPr>
        <w:t>Č</w:t>
      </w:r>
      <w:r w:rsidRPr="00972C05">
        <w:rPr>
          <w:rFonts w:ascii="Arial" w:hAnsi="Arial" w:cs="Arial"/>
          <w:sz w:val="20"/>
          <w:szCs w:val="20"/>
        </w:rPr>
        <w:t xml:space="preserve">erpanie prostriedkov </w:t>
      </w:r>
      <w:r w:rsidR="00B6199C" w:rsidRPr="00972C05">
        <w:rPr>
          <w:rFonts w:ascii="Arial" w:hAnsi="Arial" w:cs="Arial"/>
          <w:sz w:val="20"/>
          <w:szCs w:val="20"/>
        </w:rPr>
        <w:t xml:space="preserve">prioritnej </w:t>
      </w:r>
      <w:r w:rsidRPr="00972C05">
        <w:rPr>
          <w:rFonts w:ascii="Arial" w:hAnsi="Arial" w:cs="Arial"/>
          <w:sz w:val="20"/>
          <w:szCs w:val="20"/>
        </w:rPr>
        <w:t>osi 1 k </w:t>
      </w:r>
      <w:r w:rsidRPr="009F7CC0">
        <w:rPr>
          <w:rFonts w:ascii="Arial" w:hAnsi="Arial" w:cs="Arial"/>
          <w:sz w:val="20"/>
          <w:szCs w:val="20"/>
        </w:rPr>
        <w:t>31.</w:t>
      </w:r>
      <w:r w:rsidR="00E448BC">
        <w:rPr>
          <w:rFonts w:ascii="Arial" w:hAnsi="Arial" w:cs="Arial"/>
          <w:sz w:val="20"/>
          <w:szCs w:val="20"/>
        </w:rPr>
        <w:t xml:space="preserve"> 10</w:t>
      </w:r>
      <w:r w:rsidRPr="009F7CC0">
        <w:rPr>
          <w:rFonts w:ascii="Arial" w:hAnsi="Arial" w:cs="Arial"/>
          <w:sz w:val="20"/>
          <w:szCs w:val="20"/>
        </w:rPr>
        <w:t>.</w:t>
      </w:r>
      <w:r w:rsidR="00E448BC">
        <w:rPr>
          <w:rFonts w:ascii="Arial" w:hAnsi="Arial" w:cs="Arial"/>
          <w:sz w:val="20"/>
          <w:szCs w:val="20"/>
        </w:rPr>
        <w:t xml:space="preserve"> </w:t>
      </w:r>
      <w:r w:rsidR="00534E95" w:rsidRPr="009F7CC0">
        <w:rPr>
          <w:rFonts w:ascii="Arial" w:hAnsi="Arial" w:cs="Arial"/>
          <w:sz w:val="20"/>
          <w:szCs w:val="20"/>
        </w:rPr>
        <w:t>201</w:t>
      </w:r>
      <w:r w:rsidR="00095B89" w:rsidRPr="009F7CC0">
        <w:rPr>
          <w:rFonts w:ascii="Arial" w:hAnsi="Arial" w:cs="Arial"/>
          <w:sz w:val="20"/>
          <w:szCs w:val="20"/>
        </w:rPr>
        <w:t>6</w:t>
      </w:r>
      <w:r w:rsidR="00534E95" w:rsidRPr="00E21C60">
        <w:rPr>
          <w:rFonts w:ascii="Arial" w:hAnsi="Arial" w:cs="Arial"/>
          <w:b/>
          <w:sz w:val="20"/>
          <w:szCs w:val="20"/>
        </w:rPr>
        <w:t> </w:t>
      </w:r>
    </w:p>
    <w:tbl>
      <w:tblPr>
        <w:tblW w:w="8921" w:type="dxa"/>
        <w:jc w:val="center"/>
        <w:tblLayout w:type="fixed"/>
        <w:tblCellMar>
          <w:left w:w="70" w:type="dxa"/>
          <w:right w:w="70" w:type="dxa"/>
        </w:tblCellMar>
        <w:tblLook w:val="0000" w:firstRow="0" w:lastRow="0" w:firstColumn="0" w:lastColumn="0" w:noHBand="0" w:noVBand="0"/>
      </w:tblPr>
      <w:tblGrid>
        <w:gridCol w:w="2684"/>
        <w:gridCol w:w="3062"/>
        <w:gridCol w:w="1392"/>
        <w:gridCol w:w="1783"/>
      </w:tblGrid>
      <w:tr w:rsidR="00A1235B" w:rsidRPr="00E21C60" w14:paraId="0AEA7F62" w14:textId="77777777" w:rsidTr="007D7B08">
        <w:trPr>
          <w:trHeight w:val="585"/>
          <w:jc w:val="center"/>
        </w:trPr>
        <w:tc>
          <w:tcPr>
            <w:tcW w:w="2684"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14:paraId="115F002F" w14:textId="77777777" w:rsidR="00A1235B" w:rsidRPr="00123376" w:rsidRDefault="00A1235B">
            <w:pPr>
              <w:jc w:val="both"/>
              <w:rPr>
                <w:rFonts w:ascii="Arial" w:hAnsi="Arial" w:cs="Arial"/>
                <w:sz w:val="16"/>
                <w:szCs w:val="16"/>
              </w:rPr>
            </w:pPr>
            <w:r w:rsidRPr="00123376">
              <w:rPr>
                <w:rFonts w:ascii="Arial" w:hAnsi="Arial" w:cs="Arial"/>
                <w:sz w:val="16"/>
                <w:szCs w:val="16"/>
              </w:rPr>
              <w:t> </w:t>
            </w:r>
          </w:p>
        </w:tc>
        <w:tc>
          <w:tcPr>
            <w:tcW w:w="3062" w:type="dxa"/>
            <w:vMerge w:val="restart"/>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0496D1F6" w14:textId="77777777" w:rsidR="00A1235B" w:rsidRPr="00123376" w:rsidRDefault="00A1235B">
            <w:pPr>
              <w:jc w:val="center"/>
              <w:rPr>
                <w:rFonts w:ascii="Arial" w:hAnsi="Arial" w:cs="Arial"/>
                <w:sz w:val="16"/>
                <w:szCs w:val="16"/>
              </w:rPr>
            </w:pPr>
            <w:r w:rsidRPr="00123376">
              <w:rPr>
                <w:rFonts w:ascii="Arial" w:eastAsia="EUAlbertina-Regular-Identity-H" w:hAnsi="Arial" w:cs="Arial"/>
                <w:sz w:val="16"/>
                <w:szCs w:val="16"/>
              </w:rPr>
              <w:t xml:space="preserve">Záväzok </w:t>
            </w:r>
            <w:r w:rsidRPr="00123376">
              <w:rPr>
                <w:rFonts w:ascii="Arial" w:eastAsia="EUAlbertina-Regular-Identity-H" w:hAnsi="Arial" w:cs="Arial"/>
                <w:sz w:val="16"/>
                <w:szCs w:val="16"/>
              </w:rPr>
              <w:br/>
              <w:t>2007</w:t>
            </w:r>
            <w:r w:rsidRPr="002526CC">
              <w:rPr>
                <w:rFonts w:ascii="Arial" w:eastAsia="EUAlbertina-Regular-Identity-H" w:hAnsi="Arial" w:cs="Arial"/>
                <w:sz w:val="16"/>
                <w:szCs w:val="16"/>
              </w:rPr>
              <w:t xml:space="preserve"> </w:t>
            </w:r>
            <w:r w:rsidRPr="00123376">
              <w:rPr>
                <w:rFonts w:ascii="Arial" w:eastAsia="EUAlbertina-Regular-Identity-H" w:hAnsi="Arial" w:cs="Arial"/>
                <w:sz w:val="16"/>
                <w:szCs w:val="16"/>
              </w:rPr>
              <w:t>-</w:t>
            </w:r>
            <w:r w:rsidRPr="002526CC">
              <w:rPr>
                <w:rFonts w:ascii="Arial" w:eastAsia="EUAlbertina-Regular-Identity-H" w:hAnsi="Arial" w:cs="Arial"/>
                <w:sz w:val="16"/>
                <w:szCs w:val="16"/>
              </w:rPr>
              <w:t xml:space="preserve"> </w:t>
            </w:r>
            <w:r w:rsidRPr="00123376">
              <w:rPr>
                <w:rFonts w:ascii="Arial" w:eastAsia="EUAlbertina-Regular-Identity-H" w:hAnsi="Arial" w:cs="Arial"/>
                <w:sz w:val="16"/>
                <w:szCs w:val="16"/>
              </w:rPr>
              <w:t>2013</w:t>
            </w:r>
            <w:r w:rsidRPr="00123376">
              <w:rPr>
                <w:rFonts w:ascii="Arial" w:eastAsia="EUAlbertina-Regular-Identity-H" w:hAnsi="Arial" w:cs="Arial"/>
                <w:sz w:val="16"/>
                <w:szCs w:val="16"/>
              </w:rPr>
              <w:br/>
              <w:t xml:space="preserve"> za EÚ zdroje</w:t>
            </w:r>
            <w:r w:rsidRPr="00123376">
              <w:rPr>
                <w:rFonts w:ascii="Arial" w:eastAsia="EUAlbertina-Regular-Identity-H" w:hAnsi="Arial" w:cs="Arial"/>
                <w:sz w:val="16"/>
                <w:szCs w:val="16"/>
              </w:rPr>
              <w:br/>
            </w:r>
            <w:r w:rsidRPr="00123376">
              <w:rPr>
                <w:rFonts w:ascii="Arial" w:hAnsi="Arial" w:cs="Arial"/>
                <w:sz w:val="16"/>
                <w:szCs w:val="16"/>
              </w:rPr>
              <w:t>v €</w:t>
            </w:r>
          </w:p>
        </w:tc>
        <w:tc>
          <w:tcPr>
            <w:tcW w:w="3175" w:type="dxa"/>
            <w:gridSpan w:val="2"/>
            <w:tcBorders>
              <w:top w:val="single" w:sz="8" w:space="0" w:color="auto"/>
              <w:left w:val="nil"/>
              <w:bottom w:val="single" w:sz="4" w:space="0" w:color="auto"/>
              <w:right w:val="single" w:sz="8" w:space="0" w:color="000000"/>
            </w:tcBorders>
            <w:shd w:val="clear" w:color="auto" w:fill="C2D69B" w:themeFill="accent3" w:themeFillTint="99"/>
            <w:vAlign w:val="center"/>
          </w:tcPr>
          <w:p w14:paraId="326940DF" w14:textId="77777777" w:rsidR="00A1235B" w:rsidRPr="00123376" w:rsidRDefault="00A1235B">
            <w:pPr>
              <w:jc w:val="center"/>
              <w:rPr>
                <w:rFonts w:ascii="Arial" w:hAnsi="Arial" w:cs="Arial"/>
                <w:sz w:val="16"/>
                <w:szCs w:val="16"/>
              </w:rPr>
            </w:pPr>
            <w:r w:rsidRPr="00123376">
              <w:rPr>
                <w:rFonts w:ascii="Arial" w:hAnsi="Arial" w:cs="Arial"/>
                <w:sz w:val="16"/>
                <w:szCs w:val="16"/>
              </w:rPr>
              <w:t xml:space="preserve">Čerpanie prostriedkov kumulatívne </w:t>
            </w:r>
            <w:r w:rsidRPr="00123376">
              <w:rPr>
                <w:rFonts w:ascii="Arial" w:hAnsi="Arial" w:cs="Arial"/>
                <w:sz w:val="16"/>
                <w:szCs w:val="16"/>
              </w:rPr>
              <w:br/>
              <w:t>(EU zdroje) v €</w:t>
            </w:r>
          </w:p>
        </w:tc>
      </w:tr>
      <w:tr w:rsidR="00A1235B" w:rsidRPr="00E21C60" w14:paraId="39B237BB" w14:textId="77777777" w:rsidTr="007D7B08">
        <w:trPr>
          <w:trHeight w:val="480"/>
          <w:jc w:val="center"/>
        </w:trPr>
        <w:tc>
          <w:tcPr>
            <w:tcW w:w="2684" w:type="dxa"/>
            <w:vMerge/>
            <w:tcBorders>
              <w:top w:val="single" w:sz="8" w:space="0" w:color="auto"/>
              <w:left w:val="single" w:sz="8" w:space="0" w:color="auto"/>
              <w:bottom w:val="single" w:sz="4" w:space="0" w:color="auto"/>
              <w:right w:val="single" w:sz="4" w:space="0" w:color="auto"/>
            </w:tcBorders>
            <w:shd w:val="clear" w:color="auto" w:fill="auto"/>
            <w:vAlign w:val="center"/>
          </w:tcPr>
          <w:p w14:paraId="61259A4E" w14:textId="77777777" w:rsidR="00A1235B" w:rsidRPr="00123376" w:rsidRDefault="00A1235B">
            <w:pPr>
              <w:jc w:val="both"/>
              <w:rPr>
                <w:rFonts w:ascii="Arial" w:hAnsi="Arial" w:cs="Arial"/>
                <w:sz w:val="16"/>
                <w:szCs w:val="16"/>
              </w:rPr>
            </w:pPr>
          </w:p>
        </w:tc>
        <w:tc>
          <w:tcPr>
            <w:tcW w:w="3062" w:type="dxa"/>
            <w:vMerge/>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7A9D9C04" w14:textId="77777777" w:rsidR="00A1235B" w:rsidRPr="00123376" w:rsidRDefault="00A1235B">
            <w:pPr>
              <w:jc w:val="center"/>
              <w:rPr>
                <w:rFonts w:ascii="Arial" w:hAnsi="Arial" w:cs="Arial"/>
                <w:sz w:val="16"/>
                <w:szCs w:val="16"/>
              </w:rPr>
            </w:pPr>
          </w:p>
        </w:tc>
        <w:tc>
          <w:tcPr>
            <w:tcW w:w="1392" w:type="dxa"/>
            <w:tcBorders>
              <w:top w:val="nil"/>
              <w:left w:val="nil"/>
              <w:bottom w:val="single" w:sz="4" w:space="0" w:color="auto"/>
              <w:right w:val="single" w:sz="4" w:space="0" w:color="auto"/>
            </w:tcBorders>
            <w:shd w:val="clear" w:color="auto" w:fill="C2D69B" w:themeFill="accent3" w:themeFillTint="99"/>
            <w:noWrap/>
            <w:vAlign w:val="center"/>
          </w:tcPr>
          <w:p w14:paraId="5B48C04C" w14:textId="77777777" w:rsidR="00A1235B" w:rsidRPr="00123376" w:rsidRDefault="00A1235B">
            <w:pPr>
              <w:jc w:val="center"/>
              <w:rPr>
                <w:rFonts w:ascii="Arial" w:hAnsi="Arial" w:cs="Arial"/>
                <w:sz w:val="16"/>
                <w:szCs w:val="16"/>
              </w:rPr>
            </w:pPr>
            <w:r w:rsidRPr="00123376">
              <w:rPr>
                <w:rFonts w:ascii="Arial" w:hAnsi="Arial" w:cs="Arial"/>
                <w:sz w:val="16"/>
                <w:szCs w:val="16"/>
              </w:rPr>
              <w:t>Celkom</w:t>
            </w:r>
          </w:p>
        </w:tc>
        <w:tc>
          <w:tcPr>
            <w:tcW w:w="1783" w:type="dxa"/>
            <w:tcBorders>
              <w:top w:val="nil"/>
              <w:left w:val="nil"/>
              <w:bottom w:val="single" w:sz="4" w:space="0" w:color="auto"/>
              <w:right w:val="single" w:sz="8" w:space="0" w:color="auto"/>
            </w:tcBorders>
            <w:shd w:val="clear" w:color="auto" w:fill="C2D69B" w:themeFill="accent3" w:themeFillTint="99"/>
            <w:vAlign w:val="center"/>
          </w:tcPr>
          <w:p w14:paraId="110619D9" w14:textId="77777777" w:rsidR="00A1235B" w:rsidRPr="00123376" w:rsidRDefault="00A1235B">
            <w:pPr>
              <w:jc w:val="center"/>
              <w:rPr>
                <w:rFonts w:ascii="Arial" w:hAnsi="Arial" w:cs="Arial"/>
                <w:sz w:val="16"/>
                <w:szCs w:val="16"/>
              </w:rPr>
            </w:pPr>
            <w:r w:rsidRPr="00123376">
              <w:rPr>
                <w:rFonts w:ascii="Arial" w:hAnsi="Arial" w:cs="Arial"/>
                <w:sz w:val="16"/>
                <w:szCs w:val="16"/>
              </w:rPr>
              <w:t>% zo záväzku</w:t>
            </w:r>
          </w:p>
          <w:p w14:paraId="321A6570" w14:textId="77777777" w:rsidR="00A1235B" w:rsidRPr="00123376" w:rsidRDefault="00A1235B">
            <w:pPr>
              <w:jc w:val="center"/>
              <w:rPr>
                <w:rFonts w:ascii="Arial" w:hAnsi="Arial" w:cs="Arial"/>
                <w:sz w:val="16"/>
                <w:szCs w:val="16"/>
              </w:rPr>
            </w:pPr>
            <w:r w:rsidRPr="00123376">
              <w:rPr>
                <w:rFonts w:ascii="Arial" w:hAnsi="Arial" w:cs="Arial"/>
                <w:sz w:val="16"/>
                <w:szCs w:val="16"/>
              </w:rPr>
              <w:t>2007 - 2013</w:t>
            </w:r>
          </w:p>
        </w:tc>
      </w:tr>
      <w:tr w:rsidR="00A1235B" w:rsidRPr="00E21C60" w14:paraId="3B6C6636" w14:textId="77777777" w:rsidTr="00A1235B">
        <w:trPr>
          <w:trHeight w:val="255"/>
          <w:jc w:val="center"/>
        </w:trPr>
        <w:tc>
          <w:tcPr>
            <w:tcW w:w="2684" w:type="dxa"/>
            <w:tcBorders>
              <w:top w:val="single" w:sz="4" w:space="0" w:color="auto"/>
              <w:left w:val="single" w:sz="8" w:space="0" w:color="auto"/>
              <w:bottom w:val="single" w:sz="4" w:space="0" w:color="auto"/>
              <w:right w:val="single" w:sz="4" w:space="0" w:color="auto"/>
            </w:tcBorders>
            <w:shd w:val="clear" w:color="auto" w:fill="auto"/>
            <w:noWrap/>
            <w:vAlign w:val="center"/>
          </w:tcPr>
          <w:p w14:paraId="0510C3B3" w14:textId="21BB456A" w:rsidR="00A1235B" w:rsidRPr="00123376" w:rsidRDefault="00A1235B">
            <w:pPr>
              <w:jc w:val="center"/>
              <w:rPr>
                <w:rFonts w:ascii="Arial" w:hAnsi="Arial" w:cs="Arial"/>
                <w:sz w:val="16"/>
                <w:szCs w:val="16"/>
              </w:rPr>
            </w:pPr>
            <w:r w:rsidRPr="00123376">
              <w:rPr>
                <w:rFonts w:ascii="Arial" w:hAnsi="Arial" w:cs="Arial"/>
                <w:sz w:val="16"/>
                <w:szCs w:val="16"/>
              </w:rPr>
              <w:t>Prioritná os 1</w:t>
            </w:r>
          </w:p>
        </w:tc>
        <w:tc>
          <w:tcPr>
            <w:tcW w:w="3062" w:type="dxa"/>
            <w:tcBorders>
              <w:top w:val="nil"/>
              <w:left w:val="nil"/>
              <w:bottom w:val="single" w:sz="4" w:space="0" w:color="auto"/>
              <w:right w:val="single" w:sz="4" w:space="0" w:color="auto"/>
            </w:tcBorders>
            <w:shd w:val="clear" w:color="auto" w:fill="auto"/>
            <w:noWrap/>
            <w:vAlign w:val="center"/>
          </w:tcPr>
          <w:p w14:paraId="6F30576E" w14:textId="3FEC7B37" w:rsidR="00A1235B" w:rsidRPr="00123376" w:rsidRDefault="00A1235B" w:rsidP="00C03F72">
            <w:pPr>
              <w:jc w:val="center"/>
              <w:rPr>
                <w:rFonts w:ascii="Arial" w:hAnsi="Arial" w:cs="Arial"/>
                <w:sz w:val="16"/>
                <w:szCs w:val="16"/>
              </w:rPr>
            </w:pPr>
            <w:r>
              <w:rPr>
                <w:rFonts w:ascii="Arial" w:hAnsi="Arial" w:cs="Arial"/>
                <w:sz w:val="16"/>
                <w:szCs w:val="16"/>
              </w:rPr>
              <w:t>903 512 965,00</w:t>
            </w:r>
          </w:p>
        </w:tc>
        <w:tc>
          <w:tcPr>
            <w:tcW w:w="1392" w:type="dxa"/>
            <w:tcBorders>
              <w:top w:val="nil"/>
              <w:left w:val="nil"/>
              <w:bottom w:val="single" w:sz="4" w:space="0" w:color="auto"/>
              <w:right w:val="single" w:sz="4" w:space="0" w:color="auto"/>
            </w:tcBorders>
            <w:shd w:val="clear" w:color="auto" w:fill="auto"/>
            <w:noWrap/>
            <w:vAlign w:val="center"/>
          </w:tcPr>
          <w:p w14:paraId="5D5C5691" w14:textId="35B758F2" w:rsidR="00A1235B" w:rsidRPr="00972C05" w:rsidRDefault="00E448BC" w:rsidP="00534DEC">
            <w:pPr>
              <w:jc w:val="center"/>
              <w:rPr>
                <w:rFonts w:ascii="Arial" w:hAnsi="Arial" w:cs="Arial"/>
                <w:color w:val="000000"/>
                <w:sz w:val="16"/>
                <w:szCs w:val="16"/>
              </w:rPr>
            </w:pPr>
            <w:r>
              <w:rPr>
                <w:rFonts w:ascii="Arial" w:hAnsi="Arial" w:cs="Arial"/>
                <w:color w:val="000000"/>
                <w:sz w:val="16"/>
                <w:szCs w:val="16"/>
              </w:rPr>
              <w:t>864 836 440,10</w:t>
            </w:r>
          </w:p>
        </w:tc>
        <w:tc>
          <w:tcPr>
            <w:tcW w:w="1783" w:type="dxa"/>
            <w:tcBorders>
              <w:top w:val="nil"/>
              <w:left w:val="nil"/>
              <w:bottom w:val="single" w:sz="4" w:space="0" w:color="auto"/>
              <w:right w:val="single" w:sz="8" w:space="0" w:color="auto"/>
            </w:tcBorders>
            <w:shd w:val="clear" w:color="auto" w:fill="auto"/>
            <w:noWrap/>
            <w:vAlign w:val="center"/>
          </w:tcPr>
          <w:p w14:paraId="3A71D104" w14:textId="6B28348B" w:rsidR="00A1235B" w:rsidRPr="00972C05" w:rsidRDefault="00C03F72" w:rsidP="00E448BC">
            <w:pPr>
              <w:rPr>
                <w:rFonts w:ascii="Arial" w:hAnsi="Arial" w:cs="Arial"/>
                <w:color w:val="000000"/>
                <w:sz w:val="16"/>
                <w:szCs w:val="16"/>
              </w:rPr>
            </w:pPr>
            <w:r>
              <w:rPr>
                <w:rFonts w:ascii="Arial" w:hAnsi="Arial" w:cs="Arial"/>
                <w:sz w:val="16"/>
                <w:szCs w:val="16"/>
              </w:rPr>
              <w:t xml:space="preserve">          </w:t>
            </w:r>
            <w:r w:rsidR="000376EF">
              <w:rPr>
                <w:rFonts w:ascii="Arial" w:hAnsi="Arial" w:cs="Arial"/>
                <w:sz w:val="16"/>
                <w:szCs w:val="16"/>
              </w:rPr>
              <w:t>95,</w:t>
            </w:r>
            <w:r w:rsidR="00E448BC">
              <w:rPr>
                <w:rFonts w:ascii="Arial" w:hAnsi="Arial" w:cs="Arial"/>
                <w:sz w:val="16"/>
                <w:szCs w:val="16"/>
              </w:rPr>
              <w:t xml:space="preserve">72 </w:t>
            </w:r>
            <w:r w:rsidR="00A1235B">
              <w:rPr>
                <w:rFonts w:ascii="Arial" w:hAnsi="Arial" w:cs="Arial"/>
                <w:sz w:val="16"/>
                <w:szCs w:val="16"/>
              </w:rPr>
              <w:t>%</w:t>
            </w:r>
          </w:p>
        </w:tc>
      </w:tr>
    </w:tbl>
    <w:p w14:paraId="489A04B3" w14:textId="77777777" w:rsidR="002416B1" w:rsidRPr="00123376" w:rsidRDefault="002416B1" w:rsidP="00123376">
      <w:pPr>
        <w:pStyle w:val="Zkladntextb"/>
        <w:spacing w:after="0" w:line="240" w:lineRule="auto"/>
        <w:ind w:left="0"/>
        <w:rPr>
          <w:rFonts w:cs="Arial"/>
          <w:sz w:val="16"/>
          <w:szCs w:val="16"/>
          <w:lang w:val="sk-SK"/>
        </w:rPr>
      </w:pPr>
      <w:r w:rsidRPr="00123376">
        <w:rPr>
          <w:rFonts w:cs="Arial"/>
          <w:sz w:val="16"/>
          <w:szCs w:val="16"/>
          <w:lang w:val="sk-SK"/>
        </w:rPr>
        <w:t>Zdroj: CO</w:t>
      </w:r>
    </w:p>
    <w:p w14:paraId="649C8F61" w14:textId="071D728E" w:rsidR="009E56A1" w:rsidRPr="009E56A1" w:rsidRDefault="00100ACF" w:rsidP="00590529">
      <w:pPr>
        <w:pStyle w:val="Zkladntextb"/>
        <w:spacing w:after="0" w:line="240" w:lineRule="auto"/>
        <w:ind w:left="0"/>
      </w:pPr>
      <w:r w:rsidRPr="00123376">
        <w:rPr>
          <w:rFonts w:cs="Arial"/>
          <w:i/>
          <w:sz w:val="16"/>
          <w:szCs w:val="16"/>
          <w:lang w:val="sk-SK"/>
        </w:rPr>
        <w:t xml:space="preserve">Pozn.: </w:t>
      </w:r>
      <w:r w:rsidRPr="00123376">
        <w:rPr>
          <w:rFonts w:cs="Arial"/>
          <w:bCs/>
          <w:i/>
          <w:sz w:val="16"/>
          <w:szCs w:val="16"/>
          <w:lang w:val="sk-SK"/>
        </w:rPr>
        <w:t>prehľad výdavkov schválených CO znížených o</w:t>
      </w:r>
      <w:r w:rsidR="009E56A1">
        <w:rPr>
          <w:rFonts w:cs="Arial"/>
          <w:bCs/>
          <w:i/>
          <w:sz w:val="16"/>
          <w:szCs w:val="16"/>
          <w:lang w:val="sk-SK"/>
        </w:rPr>
        <w:t> </w:t>
      </w:r>
      <w:r w:rsidRPr="00123376">
        <w:rPr>
          <w:rFonts w:cs="Arial"/>
          <w:bCs/>
          <w:i/>
          <w:sz w:val="16"/>
          <w:szCs w:val="16"/>
          <w:lang w:val="sk-SK"/>
        </w:rPr>
        <w:t>nezrovnalosti</w:t>
      </w:r>
      <w:r w:rsidR="009E56A1" w:rsidRPr="009E56A1">
        <w:t xml:space="preserve"> </w:t>
      </w:r>
    </w:p>
    <w:p w14:paraId="4E03ABC6" w14:textId="77777777" w:rsidR="002416B1" w:rsidRPr="00D641FF" w:rsidRDefault="002416B1" w:rsidP="00123376">
      <w:pPr>
        <w:pStyle w:val="Nadpis3"/>
        <w:spacing w:after="120"/>
        <w:jc w:val="both"/>
        <w:rPr>
          <w:rFonts w:cs="Arial"/>
        </w:rPr>
      </w:pPr>
      <w:bookmarkStart w:id="65" w:name="_Toc466914528"/>
      <w:r w:rsidRPr="00D641FF">
        <w:rPr>
          <w:rFonts w:cs="Arial"/>
        </w:rPr>
        <w:t>3.1.2 Závažné problémy, ktoré sa vyskytli</w:t>
      </w:r>
      <w:r w:rsidR="00C560C2" w:rsidRPr="00D641FF">
        <w:rPr>
          <w:rFonts w:cs="Arial"/>
        </w:rPr>
        <w:t>,</w:t>
      </w:r>
      <w:r w:rsidRPr="00D641FF">
        <w:rPr>
          <w:rFonts w:cs="Arial"/>
        </w:rPr>
        <w:t xml:space="preserve"> a opatrenia prijaté na ich </w:t>
      </w:r>
      <w:r w:rsidR="00C560C2" w:rsidRPr="00D641FF">
        <w:rPr>
          <w:rFonts w:cs="Arial"/>
        </w:rPr>
        <w:t>odstránenie</w:t>
      </w:r>
      <w:bookmarkEnd w:id="65"/>
    </w:p>
    <w:p w14:paraId="7DE1A0F2" w14:textId="77777777" w:rsidR="00893325" w:rsidRPr="00EE3D48" w:rsidRDefault="00893325" w:rsidP="00123376">
      <w:pPr>
        <w:spacing w:before="120" w:after="120"/>
        <w:jc w:val="both"/>
        <w:rPr>
          <w:rFonts w:ascii="Arial" w:hAnsi="Arial" w:cs="Arial"/>
          <w:sz w:val="20"/>
          <w:szCs w:val="20"/>
        </w:rPr>
      </w:pPr>
      <w:bookmarkStart w:id="66" w:name="OLE_LINK13"/>
      <w:bookmarkStart w:id="67" w:name="OLE_LINK14"/>
      <w:r w:rsidRPr="00EE3D48">
        <w:rPr>
          <w:rFonts w:ascii="Arial" w:hAnsi="Arial" w:cs="Arial"/>
          <w:sz w:val="20"/>
          <w:szCs w:val="20"/>
        </w:rPr>
        <w:t>V priebehu implementácie prioritnej osi 1 boli v súvislosti so schvaľovaním veľkých projektov zaznamenané otázky EK k implementácii článku 9 Rámcovej smernice o vode 2000/60/ES (ďalej len „RSV“), ktorá ovplyvňuje finančnú udržateľnosť projektov.</w:t>
      </w:r>
    </w:p>
    <w:p w14:paraId="53E851D5" w14:textId="068F5D20" w:rsidR="00893325" w:rsidRPr="00EE3D48" w:rsidRDefault="00893325" w:rsidP="00123376">
      <w:pPr>
        <w:spacing w:after="120"/>
        <w:jc w:val="both"/>
        <w:rPr>
          <w:rFonts w:ascii="Arial" w:hAnsi="Arial" w:cs="Arial"/>
          <w:sz w:val="20"/>
          <w:szCs w:val="20"/>
        </w:rPr>
      </w:pPr>
      <w:r w:rsidRPr="00EE3D48">
        <w:rPr>
          <w:rFonts w:ascii="Arial" w:hAnsi="Arial" w:cs="Arial"/>
          <w:sz w:val="20"/>
          <w:szCs w:val="20"/>
        </w:rPr>
        <w:t>MŽP SR v rámci svojich kompetencií uskutočnilo všetky kroky smerujúce k dôkladnému transponovaniu všetkých článkov RSV. MŽP SR vypracovalo návrh cenovej politiky, ktorý vláda SR na svojom rokovaní dňa 12.</w:t>
      </w:r>
      <w:r w:rsidR="000D6B77">
        <w:rPr>
          <w:rFonts w:ascii="Arial" w:hAnsi="Arial" w:cs="Arial"/>
          <w:sz w:val="20"/>
          <w:szCs w:val="20"/>
        </w:rPr>
        <w:t xml:space="preserve"> </w:t>
      </w:r>
      <w:r w:rsidRPr="00EE3D48">
        <w:rPr>
          <w:rFonts w:ascii="Arial" w:hAnsi="Arial" w:cs="Arial"/>
          <w:sz w:val="20"/>
          <w:szCs w:val="20"/>
        </w:rPr>
        <w:t>01.</w:t>
      </w:r>
      <w:r w:rsidR="000D6B77">
        <w:rPr>
          <w:rFonts w:ascii="Arial" w:hAnsi="Arial" w:cs="Arial"/>
          <w:sz w:val="20"/>
          <w:szCs w:val="20"/>
        </w:rPr>
        <w:t xml:space="preserve"> </w:t>
      </w:r>
      <w:r w:rsidRPr="00EE3D48">
        <w:rPr>
          <w:rFonts w:ascii="Arial" w:hAnsi="Arial" w:cs="Arial"/>
          <w:sz w:val="20"/>
          <w:szCs w:val="20"/>
        </w:rPr>
        <w:t xml:space="preserve">2011 schválila a prijala uznesenie č. 17/2011. Uvedená cenová politika rešpektuje všetky platné právne predpisy v oblasti vodného hospodárstva, ako aj v oblasti ekonomiky, hospodárske vzťahy, životný cyklus a zohľadňuje nákladovú metódu tvorby cien stanovenú regulačnou politikou, pri zachovaní princípu RSV „znečisťovateľ platí“. </w:t>
      </w:r>
    </w:p>
    <w:p w14:paraId="12984434" w14:textId="77777777" w:rsidR="00893325" w:rsidRPr="00EE3D48" w:rsidRDefault="00893325" w:rsidP="00123376">
      <w:pPr>
        <w:spacing w:after="120"/>
        <w:jc w:val="both"/>
        <w:rPr>
          <w:rFonts w:ascii="Arial" w:hAnsi="Arial" w:cs="Arial"/>
          <w:sz w:val="20"/>
          <w:szCs w:val="20"/>
        </w:rPr>
      </w:pPr>
      <w:r w:rsidRPr="00EE3D48">
        <w:rPr>
          <w:rFonts w:ascii="Arial" w:hAnsi="Arial" w:cs="Arial"/>
          <w:sz w:val="20"/>
          <w:szCs w:val="20"/>
        </w:rPr>
        <w:t xml:space="preserve">MŽP SR taktiež uplatnilo svoje pripomienky v rámci schvaľovania Návrhu regulačnej politiky na nastávajúce regulačné obdobie  2012 – 2016, ktorý pripravil Úrad pre reguláciu sieťových odvetví (ďalej len „ÚRSO“). Pripomienky MŽP SR boli ÚRSO akceptované. Schválené východiská a návrhy cenovej regulácie pre nastávajúce regulačné obdobie 2012 – 2016 tak vytvárajú podmienky pre plnenie záväzkov SR voči EÚ v oblasti vodného hospodárstva vrátane plnenia požiadaviek stanovených v RSV. </w:t>
      </w:r>
    </w:p>
    <w:p w14:paraId="767D40F9" w14:textId="77777777" w:rsidR="00893325" w:rsidRPr="00EE3D48" w:rsidRDefault="00893325" w:rsidP="00123376">
      <w:pPr>
        <w:spacing w:after="120"/>
        <w:jc w:val="both"/>
        <w:rPr>
          <w:rFonts w:ascii="Arial" w:hAnsi="Arial" w:cs="Arial"/>
          <w:sz w:val="20"/>
          <w:szCs w:val="20"/>
        </w:rPr>
      </w:pPr>
      <w:r w:rsidRPr="00EE3D48">
        <w:rPr>
          <w:rFonts w:ascii="Arial" w:hAnsi="Arial" w:cs="Arial"/>
          <w:sz w:val="20"/>
          <w:szCs w:val="20"/>
        </w:rPr>
        <w:lastRenderedPageBreak/>
        <w:t xml:space="preserve">Po prijatí Vyhlášky č. 217/2011 ÚRSO, ktorou sa ustanovuje cenová regulácia výroby, distribúcie </w:t>
      </w:r>
      <w:r w:rsidR="00D34317" w:rsidRPr="00EE3D48">
        <w:rPr>
          <w:rFonts w:ascii="Arial" w:hAnsi="Arial" w:cs="Arial"/>
          <w:sz w:val="20"/>
          <w:szCs w:val="20"/>
        </w:rPr>
        <w:br/>
      </w:r>
      <w:r w:rsidRPr="00EE3D48">
        <w:rPr>
          <w:rFonts w:ascii="Arial" w:hAnsi="Arial" w:cs="Arial"/>
          <w:sz w:val="20"/>
          <w:szCs w:val="20"/>
        </w:rPr>
        <w:t xml:space="preserve">a dodávky pitnej vody verejným vodovodom a odvedenia a čistenia odpadovej vody verejnou kanalizáciou (ďalej len „vyhláška č. 217/2011“), MŽP SR požiadalo expertov iniciatívy JASPERS </w:t>
      </w:r>
      <w:r w:rsidR="00D34317" w:rsidRPr="00EE3D48">
        <w:rPr>
          <w:rFonts w:ascii="Arial" w:hAnsi="Arial" w:cs="Arial"/>
          <w:sz w:val="20"/>
          <w:szCs w:val="20"/>
        </w:rPr>
        <w:br/>
      </w:r>
      <w:r w:rsidRPr="00EE3D48">
        <w:rPr>
          <w:rFonts w:ascii="Arial" w:hAnsi="Arial" w:cs="Arial"/>
          <w:sz w:val="20"/>
          <w:szCs w:val="20"/>
        </w:rPr>
        <w:t>a spracovateľov finančno-ekonomických analýz veľkých projektov o vypracovanie modelu, ktorý zhodnotil dopady novej regulačnej politiky, resp. vyhlášky č. 217/2011 na finančnú udržateľnosť projektov. Zo záverov vypracovaného modelu vyplýva, že:</w:t>
      </w:r>
    </w:p>
    <w:p w14:paraId="3E32989A" w14:textId="77777777" w:rsidR="00893325" w:rsidRPr="00EE3D48" w:rsidRDefault="00893325" w:rsidP="009D13DD">
      <w:pPr>
        <w:numPr>
          <w:ilvl w:val="0"/>
          <w:numId w:val="7"/>
        </w:numPr>
        <w:tabs>
          <w:tab w:val="clear" w:pos="1080"/>
        </w:tabs>
        <w:spacing w:after="120"/>
        <w:ind w:left="284" w:hanging="284"/>
        <w:jc w:val="both"/>
        <w:rPr>
          <w:rFonts w:ascii="Arial" w:hAnsi="Arial" w:cs="Arial"/>
          <w:sz w:val="20"/>
          <w:szCs w:val="20"/>
        </w:rPr>
      </w:pPr>
      <w:r w:rsidRPr="00EE3D48">
        <w:rPr>
          <w:rFonts w:ascii="Arial" w:hAnsi="Arial" w:cs="Arial"/>
          <w:sz w:val="20"/>
          <w:szCs w:val="20"/>
        </w:rPr>
        <w:t>aplikovaním vyhlášky č. 217/2011 by mali byť splnené požiadavky článku 9 (1) RSV, a zároveň by mala byť zabezpečená udržateľnosť vodohospodárskeho sektora;</w:t>
      </w:r>
    </w:p>
    <w:p w14:paraId="3615276F" w14:textId="77777777" w:rsidR="00893325" w:rsidRPr="00EE3D48" w:rsidRDefault="00893325" w:rsidP="009D13DD">
      <w:pPr>
        <w:numPr>
          <w:ilvl w:val="0"/>
          <w:numId w:val="7"/>
        </w:numPr>
        <w:tabs>
          <w:tab w:val="clear" w:pos="1080"/>
        </w:tabs>
        <w:spacing w:after="120"/>
        <w:ind w:left="284" w:hanging="284"/>
        <w:jc w:val="both"/>
        <w:rPr>
          <w:rFonts w:ascii="Arial" w:hAnsi="Arial" w:cs="Arial"/>
          <w:sz w:val="20"/>
          <w:szCs w:val="20"/>
        </w:rPr>
      </w:pPr>
      <w:r w:rsidRPr="00EE3D48">
        <w:rPr>
          <w:rFonts w:ascii="Arial" w:hAnsi="Arial" w:cs="Arial"/>
          <w:sz w:val="20"/>
          <w:szCs w:val="20"/>
        </w:rPr>
        <w:t>aplikovanie maximálnej výšky odpisov (2</w:t>
      </w:r>
      <w:r w:rsidR="00F81E8B" w:rsidRPr="00EE3D48">
        <w:rPr>
          <w:rFonts w:ascii="Arial" w:hAnsi="Arial" w:cs="Arial"/>
          <w:sz w:val="20"/>
          <w:szCs w:val="20"/>
        </w:rPr>
        <w:t xml:space="preserve"> </w:t>
      </w:r>
      <w:r w:rsidRPr="00EE3D48">
        <w:rPr>
          <w:rFonts w:ascii="Arial" w:hAnsi="Arial" w:cs="Arial"/>
          <w:sz w:val="20"/>
          <w:szCs w:val="20"/>
        </w:rPr>
        <w:t xml:space="preserve">%) v zmysle vyhlášky č. 217/2011 by malo viesť k zmene vo výške finančnej medzere do 10 % oproti predpokladanej výške v rámci predložených žiadostí </w:t>
      </w:r>
      <w:r w:rsidR="00D34317" w:rsidRPr="00EE3D48">
        <w:rPr>
          <w:rFonts w:ascii="Arial" w:hAnsi="Arial" w:cs="Arial"/>
          <w:sz w:val="20"/>
          <w:szCs w:val="20"/>
        </w:rPr>
        <w:br/>
      </w:r>
      <w:r w:rsidRPr="00EE3D48">
        <w:rPr>
          <w:rFonts w:ascii="Arial" w:hAnsi="Arial" w:cs="Arial"/>
          <w:sz w:val="20"/>
          <w:szCs w:val="20"/>
        </w:rPr>
        <w:t xml:space="preserve">o potvrdenie pomoci, a preto sa nepredpokladá uplatnenie článku 55 (4) Nariadenia 1083/2006.  </w:t>
      </w:r>
    </w:p>
    <w:p w14:paraId="64969ED8" w14:textId="776D6B6F" w:rsidR="00893325" w:rsidRDefault="00893325" w:rsidP="00123376">
      <w:pPr>
        <w:spacing w:after="120"/>
        <w:jc w:val="both"/>
        <w:rPr>
          <w:rFonts w:ascii="Arial" w:hAnsi="Arial" w:cs="Arial"/>
          <w:sz w:val="20"/>
          <w:szCs w:val="20"/>
        </w:rPr>
      </w:pPr>
      <w:r w:rsidRPr="00EE3D48">
        <w:rPr>
          <w:rFonts w:ascii="Arial" w:hAnsi="Arial" w:cs="Arial"/>
          <w:sz w:val="20"/>
          <w:szCs w:val="20"/>
        </w:rPr>
        <w:t xml:space="preserve">Analýza citlivosti skúmala hlavné predpoklady použité pri hodnotení dopadov vyhlášky č. 217/2011 </w:t>
      </w:r>
      <w:r w:rsidR="00D34317" w:rsidRPr="00EE3D48">
        <w:rPr>
          <w:rFonts w:ascii="Arial" w:hAnsi="Arial" w:cs="Arial"/>
          <w:sz w:val="20"/>
          <w:szCs w:val="20"/>
        </w:rPr>
        <w:br/>
      </w:r>
      <w:r w:rsidRPr="00EE3D48">
        <w:rPr>
          <w:rFonts w:ascii="Arial" w:hAnsi="Arial" w:cs="Arial"/>
          <w:sz w:val="20"/>
          <w:szCs w:val="20"/>
        </w:rPr>
        <w:t xml:space="preserve">a jej výsledky potvrdzujú uvedené hlavné závery. </w:t>
      </w:r>
      <w:r w:rsidR="00912D84" w:rsidRPr="00EE3D48">
        <w:rPr>
          <w:rFonts w:ascii="Arial" w:hAnsi="Arial" w:cs="Arial"/>
          <w:sz w:val="20"/>
          <w:szCs w:val="20"/>
        </w:rPr>
        <w:t>EK</w:t>
      </w:r>
      <w:r w:rsidRPr="00EE3D48">
        <w:rPr>
          <w:rFonts w:ascii="Arial" w:hAnsi="Arial" w:cs="Arial"/>
          <w:sz w:val="20"/>
          <w:szCs w:val="20"/>
        </w:rPr>
        <w:t xml:space="preserve"> k zaslanému modelu nemala pripomienky a aj na základe záverov vypracovaného modelu </w:t>
      </w:r>
      <w:r w:rsidR="00953219">
        <w:rPr>
          <w:rFonts w:ascii="Arial" w:hAnsi="Arial" w:cs="Arial"/>
          <w:sz w:val="20"/>
          <w:szCs w:val="20"/>
        </w:rPr>
        <w:t xml:space="preserve">schválila </w:t>
      </w:r>
      <w:r w:rsidRPr="00EE3D48">
        <w:rPr>
          <w:rFonts w:ascii="Arial" w:hAnsi="Arial" w:cs="Arial"/>
          <w:sz w:val="20"/>
          <w:szCs w:val="20"/>
        </w:rPr>
        <w:t xml:space="preserve">veľké projekty. </w:t>
      </w:r>
    </w:p>
    <w:p w14:paraId="58F36D0E" w14:textId="14972A6F" w:rsidR="00021D46" w:rsidRPr="0017024B" w:rsidRDefault="00161F11" w:rsidP="0017024B">
      <w:pPr>
        <w:spacing w:after="120"/>
        <w:jc w:val="both"/>
        <w:rPr>
          <w:rFonts w:ascii="Arial" w:hAnsi="Arial" w:cs="Arial"/>
          <w:sz w:val="20"/>
          <w:szCs w:val="20"/>
        </w:rPr>
      </w:pPr>
      <w:r>
        <w:rPr>
          <w:rFonts w:ascii="Arial" w:hAnsi="Arial" w:cs="Arial"/>
          <w:sz w:val="20"/>
          <w:szCs w:val="20"/>
        </w:rPr>
        <w:t xml:space="preserve">Z dôvodu zdĺhavého procesu prípravy a schvaľovania veľkých projektov, a s tým súvisiaceho časového posunu v samotnej realizácii projektov, RO plánoval  rozdeliť do fáz 4 veľké projekty.RO </w:t>
      </w:r>
      <w:r w:rsidRPr="0002421E">
        <w:rPr>
          <w:rFonts w:ascii="Arial" w:hAnsi="Arial" w:cs="Arial"/>
          <w:sz w:val="20"/>
          <w:szCs w:val="20"/>
        </w:rPr>
        <w:t xml:space="preserve">pristúpil k posúdeniu možnosti fázovať veľké projekty z hľadiska fyzického ukončenia stavebných prác, t.j. projekty, ktoré mali byť stavebne ukončené do konca roka 2015 a v roku 2016 mala prebiehať </w:t>
      </w:r>
      <w:r w:rsidR="00FA4514">
        <w:rPr>
          <w:rFonts w:ascii="Arial" w:hAnsi="Arial" w:cs="Arial"/>
          <w:sz w:val="20"/>
          <w:szCs w:val="20"/>
        </w:rPr>
        <w:t>ich</w:t>
      </w:r>
      <w:r w:rsidR="00FA4514" w:rsidRPr="0002421E">
        <w:rPr>
          <w:rFonts w:ascii="Arial" w:hAnsi="Arial" w:cs="Arial"/>
          <w:sz w:val="20"/>
          <w:szCs w:val="20"/>
        </w:rPr>
        <w:t xml:space="preserve"> </w:t>
      </w:r>
      <w:r w:rsidRPr="0002421E">
        <w:rPr>
          <w:rFonts w:ascii="Arial" w:hAnsi="Arial" w:cs="Arial"/>
          <w:sz w:val="20"/>
          <w:szCs w:val="20"/>
        </w:rPr>
        <w:t>skúšobná prevádzka</w:t>
      </w:r>
      <w:r>
        <w:rPr>
          <w:rFonts w:ascii="Arial" w:hAnsi="Arial" w:cs="Arial"/>
          <w:sz w:val="20"/>
          <w:szCs w:val="20"/>
        </w:rPr>
        <w:t>,</w:t>
      </w:r>
      <w:r w:rsidRPr="0002421E">
        <w:rPr>
          <w:rFonts w:ascii="Arial" w:hAnsi="Arial" w:cs="Arial"/>
          <w:sz w:val="20"/>
          <w:szCs w:val="20"/>
        </w:rPr>
        <w:t xml:space="preserve"> RO fázovať neplánoval. V súvislosti so spoločným cieľom zástupcov Európskej komisie a zástupcov riadiacich orgánov operačných programov jednotlivých členských krajín EÚ urýchliť čerpanie operačných programov v programovom období 2007-2013 a zároveň v maximálnej miere znížiť riziko zrušenia finančných záväzkov, </w:t>
      </w:r>
      <w:r>
        <w:rPr>
          <w:rFonts w:ascii="Arial" w:hAnsi="Arial" w:cs="Arial"/>
          <w:sz w:val="20"/>
          <w:szCs w:val="20"/>
        </w:rPr>
        <w:t xml:space="preserve">bola </w:t>
      </w:r>
      <w:r w:rsidRPr="0002421E">
        <w:rPr>
          <w:rFonts w:ascii="Arial" w:hAnsi="Arial" w:cs="Arial"/>
          <w:sz w:val="20"/>
          <w:szCs w:val="20"/>
        </w:rPr>
        <w:t>navrh</w:t>
      </w:r>
      <w:r>
        <w:rPr>
          <w:rFonts w:ascii="Arial" w:hAnsi="Arial" w:cs="Arial"/>
          <w:sz w:val="20"/>
          <w:szCs w:val="20"/>
        </w:rPr>
        <w:t xml:space="preserve">nutá </w:t>
      </w:r>
      <w:r w:rsidRPr="0002421E">
        <w:rPr>
          <w:rFonts w:ascii="Arial" w:hAnsi="Arial" w:cs="Arial"/>
          <w:sz w:val="20"/>
          <w:szCs w:val="20"/>
        </w:rPr>
        <w:t>nov</w:t>
      </w:r>
      <w:r>
        <w:rPr>
          <w:rFonts w:ascii="Arial" w:hAnsi="Arial" w:cs="Arial"/>
          <w:sz w:val="20"/>
          <w:szCs w:val="20"/>
        </w:rPr>
        <w:t>á</w:t>
      </w:r>
      <w:r w:rsidRPr="0002421E">
        <w:rPr>
          <w:rFonts w:ascii="Arial" w:hAnsi="Arial" w:cs="Arial"/>
          <w:sz w:val="20"/>
          <w:szCs w:val="20"/>
        </w:rPr>
        <w:t xml:space="preserve"> flexibilit</w:t>
      </w:r>
      <w:r>
        <w:rPr>
          <w:rFonts w:ascii="Arial" w:hAnsi="Arial" w:cs="Arial"/>
          <w:sz w:val="20"/>
          <w:szCs w:val="20"/>
        </w:rPr>
        <w:t>a</w:t>
      </w:r>
      <w:r w:rsidRPr="0002421E">
        <w:rPr>
          <w:rFonts w:ascii="Arial" w:hAnsi="Arial" w:cs="Arial"/>
          <w:sz w:val="20"/>
          <w:szCs w:val="20"/>
        </w:rPr>
        <w:t xml:space="preserve"> „uhrádzanie oprávnených výdavkov pri projektoch generujúcich príjem bez priebežného znižovania výšky oprávnených výdavkov o finančnú medzeru“</w:t>
      </w:r>
      <w:r w:rsidR="00573AAA">
        <w:rPr>
          <w:rFonts w:ascii="Arial" w:hAnsi="Arial" w:cs="Arial"/>
          <w:sz w:val="20"/>
          <w:szCs w:val="20"/>
        </w:rPr>
        <w:t xml:space="preserve"> po komunikácií s MF SR, ktoré následne udelilo výnimku pre projekty generujúce príjem. </w:t>
      </w:r>
      <w:r>
        <w:rPr>
          <w:rFonts w:ascii="Arial" w:hAnsi="Arial" w:cs="Arial"/>
          <w:sz w:val="20"/>
          <w:szCs w:val="20"/>
        </w:rPr>
        <w:t xml:space="preserve">V súvislosti s využitím novej flexibility RO požiadal o </w:t>
      </w:r>
      <w:r w:rsidRPr="0002421E">
        <w:rPr>
          <w:rFonts w:ascii="Arial" w:hAnsi="Arial" w:cs="Arial"/>
          <w:sz w:val="20"/>
          <w:szCs w:val="20"/>
        </w:rPr>
        <w:t>udelenie výnimk</w:t>
      </w:r>
      <w:r>
        <w:rPr>
          <w:rFonts w:ascii="Arial" w:hAnsi="Arial" w:cs="Arial"/>
          <w:sz w:val="20"/>
          <w:szCs w:val="20"/>
        </w:rPr>
        <w:t>y</w:t>
      </w:r>
      <w:r w:rsidRPr="0002421E">
        <w:rPr>
          <w:rFonts w:ascii="Arial" w:hAnsi="Arial" w:cs="Arial"/>
          <w:sz w:val="20"/>
          <w:szCs w:val="20"/>
        </w:rPr>
        <w:t xml:space="preserve"> zo Systému finančného riadenia ŠF a KF. </w:t>
      </w:r>
      <w:r>
        <w:rPr>
          <w:rFonts w:ascii="Arial" w:hAnsi="Arial" w:cs="Arial"/>
          <w:sz w:val="20"/>
          <w:szCs w:val="20"/>
        </w:rPr>
        <w:t xml:space="preserve">Udelením výnimky bolo možné </w:t>
      </w:r>
      <w:r w:rsidRPr="0002421E">
        <w:rPr>
          <w:rFonts w:ascii="Arial" w:hAnsi="Arial" w:cs="Arial"/>
          <w:sz w:val="20"/>
          <w:szCs w:val="20"/>
        </w:rPr>
        <w:t>uhrádza</w:t>
      </w:r>
      <w:r>
        <w:rPr>
          <w:rFonts w:ascii="Arial" w:hAnsi="Arial" w:cs="Arial"/>
          <w:sz w:val="20"/>
          <w:szCs w:val="20"/>
        </w:rPr>
        <w:t>ť</w:t>
      </w:r>
      <w:r w:rsidRPr="0002421E">
        <w:rPr>
          <w:rFonts w:ascii="Arial" w:hAnsi="Arial" w:cs="Arial"/>
          <w:sz w:val="20"/>
          <w:szCs w:val="20"/>
        </w:rPr>
        <w:t xml:space="preserve"> oprávnené výdavky pri projektoch generujúcich príjem bez priebežného znižovania výšky oprávnených výdavkov o finančnú medzeru a zároveň bolo umožnené uhrádzať oprávnené výdavky formou predfinancovania až do výšky 100 % oprávnených výdavkov na projekt. Uvedené flexibility </w:t>
      </w:r>
      <w:r>
        <w:rPr>
          <w:rFonts w:ascii="Arial" w:hAnsi="Arial" w:cs="Arial"/>
          <w:sz w:val="20"/>
          <w:szCs w:val="20"/>
        </w:rPr>
        <w:t xml:space="preserve">výrazným spôsobom pomohli riadne ukončiť 7 z 8 veľkých projektov bez potreby </w:t>
      </w:r>
      <w:r w:rsidR="00FA4514">
        <w:rPr>
          <w:rFonts w:ascii="Arial" w:hAnsi="Arial" w:cs="Arial"/>
          <w:sz w:val="20"/>
          <w:szCs w:val="20"/>
        </w:rPr>
        <w:t xml:space="preserve">ich </w:t>
      </w:r>
      <w:r>
        <w:rPr>
          <w:rFonts w:ascii="Arial" w:hAnsi="Arial" w:cs="Arial"/>
          <w:sz w:val="20"/>
          <w:szCs w:val="20"/>
        </w:rPr>
        <w:t xml:space="preserve">fázovania. </w:t>
      </w:r>
      <w:r w:rsidR="00FA4514">
        <w:rPr>
          <w:rFonts w:ascii="Arial" w:hAnsi="Arial" w:cs="Arial"/>
          <w:sz w:val="20"/>
          <w:szCs w:val="20"/>
        </w:rPr>
        <w:t>Preto bolo potrebné fázovať l</w:t>
      </w:r>
      <w:r>
        <w:rPr>
          <w:rFonts w:ascii="Arial" w:hAnsi="Arial" w:cs="Arial"/>
          <w:sz w:val="20"/>
          <w:szCs w:val="20"/>
        </w:rPr>
        <w:t>en jeden veľký projekt</w:t>
      </w:r>
      <w:r w:rsidR="00FA4514">
        <w:rPr>
          <w:rFonts w:ascii="Arial" w:hAnsi="Arial" w:cs="Arial"/>
          <w:sz w:val="20"/>
          <w:szCs w:val="20"/>
        </w:rPr>
        <w:t>, a to ČOV Sever.</w:t>
      </w:r>
    </w:p>
    <w:p w14:paraId="0158B64A" w14:textId="77777777" w:rsidR="004B6DF5" w:rsidRPr="00123376" w:rsidRDefault="004B6DF5" w:rsidP="00123376">
      <w:pPr>
        <w:spacing w:before="240" w:after="120"/>
        <w:jc w:val="both"/>
        <w:rPr>
          <w:rFonts w:ascii="Arial" w:hAnsi="Arial" w:cs="Arial"/>
          <w:b/>
          <w:i/>
        </w:rPr>
      </w:pPr>
      <w:r w:rsidRPr="00123376">
        <w:rPr>
          <w:rFonts w:ascii="Arial" w:hAnsi="Arial" w:cs="Arial"/>
          <w:b/>
          <w:i/>
        </w:rPr>
        <w:t>Kvalitatívna analýza dosiahnutých výsledkov na úrovni prioritnej osi 1</w:t>
      </w:r>
    </w:p>
    <w:p w14:paraId="091748D6" w14:textId="0074AA04" w:rsidR="001A6CAA" w:rsidRDefault="00E72A4E" w:rsidP="00123376">
      <w:pPr>
        <w:pStyle w:val="Zkladntextb"/>
        <w:spacing w:before="120" w:after="120" w:line="240" w:lineRule="auto"/>
        <w:ind w:left="0"/>
        <w:jc w:val="both"/>
        <w:rPr>
          <w:rFonts w:cs="Arial"/>
          <w:lang w:val="sk-SK"/>
        </w:rPr>
      </w:pPr>
      <w:r w:rsidRPr="00123376">
        <w:rPr>
          <w:rFonts w:cs="Arial"/>
          <w:lang w:val="sk-SK"/>
        </w:rPr>
        <w:t xml:space="preserve">K </w:t>
      </w:r>
      <w:r w:rsidR="0063262F">
        <w:rPr>
          <w:rFonts w:cs="Arial"/>
          <w:lang w:val="sk-SK"/>
        </w:rPr>
        <w:t>31. 10. 2016</w:t>
      </w:r>
      <w:r w:rsidR="00917DD8" w:rsidRPr="00123376">
        <w:rPr>
          <w:rFonts w:cs="Arial"/>
          <w:lang w:val="sk-SK"/>
        </w:rPr>
        <w:t xml:space="preserve"> </w:t>
      </w:r>
      <w:r w:rsidRPr="00123376">
        <w:rPr>
          <w:rFonts w:cs="Arial"/>
          <w:lang w:val="sk-SK"/>
        </w:rPr>
        <w:t>d</w:t>
      </w:r>
      <w:r w:rsidR="00986C78">
        <w:rPr>
          <w:rFonts w:cs="Arial"/>
          <w:lang w:val="sk-SK"/>
        </w:rPr>
        <w:t>osahoval</w:t>
      </w:r>
      <w:r w:rsidRPr="00123376">
        <w:rPr>
          <w:rFonts w:cs="Arial"/>
          <w:lang w:val="sk-SK"/>
        </w:rPr>
        <w:t xml:space="preserve"> podiel čerpania projektov na celkovej alokácii v prioritnej osi 1 úroveň </w:t>
      </w:r>
      <w:r w:rsidR="00F81E8B">
        <w:rPr>
          <w:rFonts w:cs="Arial"/>
          <w:lang w:val="sk-SK"/>
        </w:rPr>
        <w:br/>
      </w:r>
      <w:r w:rsidR="00EF63AC">
        <w:rPr>
          <w:rFonts w:cs="Arial"/>
          <w:lang w:val="sk-SK"/>
        </w:rPr>
        <w:t>91,19</w:t>
      </w:r>
      <w:r w:rsidR="00BF5F5A">
        <w:rPr>
          <w:rFonts w:cs="Arial"/>
          <w:lang w:val="sk-SK"/>
        </w:rPr>
        <w:t xml:space="preserve">%. </w:t>
      </w:r>
    </w:p>
    <w:p w14:paraId="4355E4FD" w14:textId="5D51FB74" w:rsidR="00E72A4E" w:rsidRPr="00367E3A" w:rsidRDefault="00E72A4E" w:rsidP="00123376">
      <w:pPr>
        <w:pStyle w:val="Zkladntextb"/>
        <w:spacing w:before="120" w:after="120" w:line="240" w:lineRule="auto"/>
        <w:ind w:left="0"/>
        <w:jc w:val="both"/>
        <w:rPr>
          <w:rFonts w:cs="Arial"/>
          <w:i/>
          <w:lang w:val="sk-SK"/>
        </w:rPr>
      </w:pPr>
      <w:r w:rsidRPr="00123376">
        <w:rPr>
          <w:rFonts w:cs="Arial"/>
          <w:lang w:val="sk-SK"/>
        </w:rPr>
        <w:t xml:space="preserve">Absorpčná kapacita v rámci prioritnej osi 1 </w:t>
      </w:r>
      <w:r w:rsidR="00075BA6">
        <w:rPr>
          <w:rFonts w:cs="Arial"/>
          <w:lang w:val="sk-SK"/>
        </w:rPr>
        <w:t>bola</w:t>
      </w:r>
      <w:r w:rsidRPr="00123376">
        <w:rPr>
          <w:rFonts w:cs="Arial"/>
          <w:lang w:val="sk-SK"/>
        </w:rPr>
        <w:t xml:space="preserve"> veľmi vysoká. RO </w:t>
      </w:r>
      <w:r w:rsidR="00075BA6">
        <w:rPr>
          <w:rFonts w:cs="Arial"/>
          <w:lang w:val="sk-SK"/>
        </w:rPr>
        <w:t>evidoval</w:t>
      </w:r>
      <w:r w:rsidRPr="00123376">
        <w:rPr>
          <w:rFonts w:cs="Arial"/>
          <w:lang w:val="sk-SK"/>
        </w:rPr>
        <w:t xml:space="preserve"> </w:t>
      </w:r>
      <w:r w:rsidR="008771F0">
        <w:rPr>
          <w:rFonts w:cs="Arial"/>
          <w:lang w:val="sk-SK"/>
        </w:rPr>
        <w:t>vyšší</w:t>
      </w:r>
      <w:r w:rsidR="008771F0" w:rsidRPr="00123376">
        <w:rPr>
          <w:rFonts w:cs="Arial"/>
          <w:lang w:val="sk-SK"/>
        </w:rPr>
        <w:t xml:space="preserve"> </w:t>
      </w:r>
      <w:r w:rsidRPr="00123376">
        <w:rPr>
          <w:rFonts w:cs="Arial"/>
          <w:lang w:val="sk-SK"/>
        </w:rPr>
        <w:t xml:space="preserve">dopyt v rámci vyhlásených </w:t>
      </w:r>
      <w:r w:rsidR="00C76FAC">
        <w:rPr>
          <w:rFonts w:cs="Arial"/>
          <w:lang w:val="sk-SK"/>
        </w:rPr>
        <w:t>v</w:t>
      </w:r>
      <w:r w:rsidRPr="00123376">
        <w:rPr>
          <w:rFonts w:cs="Arial"/>
          <w:lang w:val="sk-SK"/>
        </w:rPr>
        <w:t>ýziev na predkladanie ŽoNFP oproti disponibilným alokáciám určeným</w:t>
      </w:r>
      <w:r w:rsidR="00367E3A">
        <w:rPr>
          <w:rFonts w:cs="Arial"/>
          <w:lang w:val="sk-SK"/>
        </w:rPr>
        <w:t xml:space="preserve"> </w:t>
      </w:r>
      <w:r w:rsidRPr="00123376">
        <w:rPr>
          <w:rFonts w:cs="Arial"/>
          <w:lang w:val="sk-SK"/>
        </w:rPr>
        <w:t xml:space="preserve">vo výzvach, čo preukazuje, že ciele OP ŽP </w:t>
      </w:r>
      <w:r w:rsidR="00075BA6">
        <w:rPr>
          <w:rFonts w:cs="Arial"/>
          <w:lang w:val="sk-SK"/>
        </w:rPr>
        <w:t>zodpovedali</w:t>
      </w:r>
      <w:r w:rsidRPr="00123376">
        <w:rPr>
          <w:rFonts w:cs="Arial"/>
          <w:lang w:val="sk-SK"/>
        </w:rPr>
        <w:t xml:space="preserve"> identifikovaným problémom a skutočným potrebám potenciálnych žiadateľov.</w:t>
      </w:r>
    </w:p>
    <w:p w14:paraId="513E88EA" w14:textId="18FDCD10" w:rsidR="008402B3" w:rsidRPr="00E21C60" w:rsidRDefault="008402B3" w:rsidP="00123376">
      <w:pPr>
        <w:pStyle w:val="Zkladntextb"/>
        <w:spacing w:after="0" w:line="240" w:lineRule="auto"/>
        <w:ind w:left="0"/>
        <w:jc w:val="both"/>
        <w:rPr>
          <w:rFonts w:cs="Arial"/>
          <w:lang w:val="sk-SK"/>
        </w:rPr>
      </w:pPr>
      <w:r w:rsidRPr="00E21C60">
        <w:rPr>
          <w:rFonts w:cs="Arial"/>
          <w:lang w:val="sk-SK"/>
        </w:rPr>
        <w:t>Tab</w:t>
      </w:r>
      <w:r w:rsidR="002729F5" w:rsidRPr="00E21C60">
        <w:rPr>
          <w:rFonts w:cs="Arial"/>
          <w:lang w:val="sk-SK"/>
        </w:rPr>
        <w:t>uľka</w:t>
      </w:r>
      <w:r w:rsidRPr="00E21C60">
        <w:rPr>
          <w:rFonts w:cs="Arial"/>
          <w:lang w:val="sk-SK"/>
        </w:rPr>
        <w:t xml:space="preserve"> č. </w:t>
      </w:r>
      <w:r w:rsidR="00B256C7">
        <w:rPr>
          <w:rFonts w:cs="Arial"/>
          <w:lang w:val="sk-SK"/>
        </w:rPr>
        <w:t>4</w:t>
      </w:r>
      <w:r w:rsidR="007B1CB9">
        <w:rPr>
          <w:rFonts w:cs="Arial"/>
          <w:lang w:val="sk-SK"/>
        </w:rPr>
        <w:t>3</w:t>
      </w:r>
      <w:r w:rsidR="002729F5" w:rsidRPr="00E21C60">
        <w:rPr>
          <w:rFonts w:cs="Arial"/>
          <w:lang w:val="sk-SK"/>
        </w:rPr>
        <w:t>:</w:t>
      </w:r>
      <w:r w:rsidR="007B7519" w:rsidRPr="00E21C60">
        <w:rPr>
          <w:rFonts w:cs="Arial"/>
          <w:lang w:val="sk-SK"/>
        </w:rPr>
        <w:t xml:space="preserve"> </w:t>
      </w:r>
      <w:r w:rsidR="00000CC9" w:rsidRPr="00350501">
        <w:rPr>
          <w:rFonts w:cs="Arial"/>
          <w:lang w:val="sk-SK"/>
        </w:rPr>
        <w:t>Zhodnotenie úrovne podľa HT</w:t>
      </w:r>
    </w:p>
    <w:tbl>
      <w:tblPr>
        <w:tblW w:w="9371" w:type="dxa"/>
        <w:tblInd w:w="55" w:type="dxa"/>
        <w:tblLayout w:type="fixed"/>
        <w:tblCellMar>
          <w:left w:w="70" w:type="dxa"/>
          <w:right w:w="70" w:type="dxa"/>
        </w:tblCellMar>
        <w:tblLook w:val="04A0" w:firstRow="1" w:lastRow="0" w:firstColumn="1" w:lastColumn="0" w:noHBand="0" w:noVBand="1"/>
      </w:tblPr>
      <w:tblGrid>
        <w:gridCol w:w="2283"/>
        <w:gridCol w:w="567"/>
        <w:gridCol w:w="1210"/>
        <w:gridCol w:w="1200"/>
        <w:gridCol w:w="1363"/>
        <w:gridCol w:w="1614"/>
        <w:gridCol w:w="1134"/>
      </w:tblGrid>
      <w:tr w:rsidR="00C0144E" w:rsidRPr="00E21C60" w14:paraId="73ACA326" w14:textId="77777777" w:rsidTr="008805AA">
        <w:trPr>
          <w:trHeight w:val="772"/>
        </w:trPr>
        <w:tc>
          <w:tcPr>
            <w:tcW w:w="2283" w:type="dxa"/>
            <w:tcBorders>
              <w:top w:val="single" w:sz="8" w:space="0" w:color="auto"/>
              <w:left w:val="single" w:sz="8" w:space="0" w:color="auto"/>
              <w:bottom w:val="single" w:sz="8" w:space="0" w:color="auto"/>
              <w:right w:val="single" w:sz="8" w:space="0" w:color="auto"/>
            </w:tcBorders>
            <w:shd w:val="clear" w:color="auto" w:fill="C2D69B" w:themeFill="accent3" w:themeFillTint="99"/>
            <w:noWrap/>
            <w:vAlign w:val="center"/>
            <w:hideMark/>
          </w:tcPr>
          <w:p w14:paraId="6717577E"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Prioritná téma</w:t>
            </w:r>
          </w:p>
        </w:tc>
        <w:tc>
          <w:tcPr>
            <w:tcW w:w="567"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584587D"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Op.</w:t>
            </w:r>
            <w:r w:rsidRPr="00E21C60">
              <w:rPr>
                <w:rFonts w:ascii="Arial" w:hAnsi="Arial" w:cs="Arial"/>
                <w:b/>
                <w:bCs/>
                <w:color w:val="000000"/>
                <w:sz w:val="16"/>
                <w:szCs w:val="16"/>
              </w:rPr>
              <w:br/>
              <w:t>cieľ</w:t>
            </w:r>
          </w:p>
        </w:tc>
        <w:tc>
          <w:tcPr>
            <w:tcW w:w="121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41437379"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Celková alokácia</w:t>
            </w:r>
          </w:p>
          <w:p w14:paraId="53B1CE69"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20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674869BC"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Suma zazmluvnená (EÚ zdroje)</w:t>
            </w:r>
          </w:p>
          <w:p w14:paraId="600D3819"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363"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762DF903"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Podiel zazmluvnených projektov na celkovej alokácii</w:t>
            </w:r>
          </w:p>
        </w:tc>
        <w:tc>
          <w:tcPr>
            <w:tcW w:w="1614"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CB6D170" w14:textId="2E64FB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Suma čerpaná</w:t>
            </w:r>
            <w:r w:rsidR="006D1921">
              <w:rPr>
                <w:rFonts w:ascii="Arial" w:hAnsi="Arial" w:cs="Arial"/>
                <w:b/>
                <w:bCs/>
                <w:color w:val="000000"/>
                <w:sz w:val="16"/>
                <w:szCs w:val="16"/>
              </w:rPr>
              <w:t xml:space="preserve"> riadne ukončených projektov</w:t>
            </w:r>
            <w:r w:rsidRPr="00E21C60">
              <w:rPr>
                <w:rFonts w:ascii="Arial" w:hAnsi="Arial" w:cs="Arial"/>
                <w:b/>
                <w:bCs/>
                <w:color w:val="000000"/>
                <w:sz w:val="16"/>
                <w:szCs w:val="16"/>
              </w:rPr>
              <w:t xml:space="preserve">  (EÚ zdroje)</w:t>
            </w:r>
          </w:p>
          <w:p w14:paraId="6C8D9E83"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134"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006E5DA"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Podiel čerpania projektov na celkovej alokácii</w:t>
            </w:r>
          </w:p>
        </w:tc>
      </w:tr>
      <w:tr w:rsidR="00EC10F0" w:rsidRPr="00FD5F91" w14:paraId="43D25F87" w14:textId="77777777" w:rsidTr="008805AA">
        <w:trPr>
          <w:trHeight w:val="465"/>
        </w:trPr>
        <w:tc>
          <w:tcPr>
            <w:tcW w:w="2283" w:type="dxa"/>
            <w:tcBorders>
              <w:top w:val="nil"/>
              <w:left w:val="single" w:sz="8" w:space="0" w:color="auto"/>
              <w:bottom w:val="single" w:sz="8" w:space="0" w:color="auto"/>
              <w:right w:val="single" w:sz="8" w:space="0" w:color="auto"/>
            </w:tcBorders>
            <w:shd w:val="clear" w:color="000000" w:fill="EAF1DD"/>
            <w:vAlign w:val="center"/>
            <w:hideMark/>
          </w:tcPr>
          <w:p w14:paraId="40FBE988" w14:textId="77777777" w:rsidR="00EC10F0" w:rsidRPr="002526CC" w:rsidRDefault="00EC10F0" w:rsidP="00EC10F0">
            <w:pPr>
              <w:rPr>
                <w:rFonts w:ascii="Arial" w:hAnsi="Arial" w:cs="Arial"/>
                <w:color w:val="000000"/>
                <w:sz w:val="16"/>
                <w:szCs w:val="16"/>
              </w:rPr>
            </w:pPr>
            <w:r w:rsidRPr="002526CC">
              <w:rPr>
                <w:rFonts w:ascii="Arial" w:hAnsi="Arial" w:cs="Arial"/>
                <w:color w:val="000000"/>
                <w:sz w:val="16"/>
                <w:szCs w:val="16"/>
              </w:rPr>
              <w:t xml:space="preserve">HT 45 Hospodárenie s vodou </w:t>
            </w:r>
            <w:r w:rsidRPr="002526CC">
              <w:rPr>
                <w:rFonts w:ascii="Arial" w:hAnsi="Arial" w:cs="Arial"/>
                <w:color w:val="000000"/>
                <w:sz w:val="16"/>
                <w:szCs w:val="16"/>
              </w:rPr>
              <w:br/>
              <w:t>a jej distribúcia (pitná voda)</w:t>
            </w:r>
          </w:p>
        </w:tc>
        <w:tc>
          <w:tcPr>
            <w:tcW w:w="567" w:type="dxa"/>
            <w:tcBorders>
              <w:top w:val="nil"/>
              <w:left w:val="nil"/>
              <w:bottom w:val="single" w:sz="8" w:space="0" w:color="auto"/>
              <w:right w:val="single" w:sz="8" w:space="0" w:color="auto"/>
            </w:tcBorders>
            <w:shd w:val="clear" w:color="auto" w:fill="auto"/>
            <w:noWrap/>
            <w:vAlign w:val="center"/>
            <w:hideMark/>
          </w:tcPr>
          <w:p w14:paraId="1B3AE2A5" w14:textId="77777777" w:rsidR="00EC10F0" w:rsidRPr="00E21C60" w:rsidRDefault="00EC10F0" w:rsidP="00EC10F0">
            <w:pPr>
              <w:jc w:val="center"/>
              <w:rPr>
                <w:rFonts w:ascii="Arial" w:hAnsi="Arial" w:cs="Arial"/>
                <w:color w:val="000000"/>
                <w:sz w:val="16"/>
                <w:szCs w:val="16"/>
              </w:rPr>
            </w:pPr>
            <w:r w:rsidRPr="00E21C60">
              <w:rPr>
                <w:rFonts w:ascii="Arial" w:hAnsi="Arial" w:cs="Arial"/>
                <w:color w:val="000000"/>
                <w:sz w:val="16"/>
                <w:szCs w:val="16"/>
              </w:rPr>
              <w:t>1.1.</w:t>
            </w:r>
          </w:p>
        </w:tc>
        <w:tc>
          <w:tcPr>
            <w:tcW w:w="1210" w:type="dxa"/>
            <w:tcBorders>
              <w:top w:val="nil"/>
              <w:left w:val="nil"/>
              <w:bottom w:val="single" w:sz="8" w:space="0" w:color="auto"/>
              <w:right w:val="single" w:sz="8" w:space="0" w:color="auto"/>
            </w:tcBorders>
            <w:shd w:val="clear" w:color="auto" w:fill="auto"/>
            <w:noWrap/>
            <w:vAlign w:val="center"/>
            <w:hideMark/>
          </w:tcPr>
          <w:p w14:paraId="3D159E6C" w14:textId="0671513C"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85 950 545</w:t>
            </w:r>
          </w:p>
        </w:tc>
        <w:tc>
          <w:tcPr>
            <w:tcW w:w="1200" w:type="dxa"/>
            <w:tcBorders>
              <w:top w:val="nil"/>
              <w:left w:val="nil"/>
              <w:bottom w:val="single" w:sz="8" w:space="0" w:color="auto"/>
              <w:right w:val="single" w:sz="8" w:space="0" w:color="auto"/>
            </w:tcBorders>
            <w:shd w:val="clear" w:color="auto" w:fill="auto"/>
            <w:noWrap/>
            <w:vAlign w:val="center"/>
            <w:hideMark/>
          </w:tcPr>
          <w:p w14:paraId="016B5DD8" w14:textId="52EFBEFC"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82 611 947</w:t>
            </w:r>
          </w:p>
        </w:tc>
        <w:tc>
          <w:tcPr>
            <w:tcW w:w="1363" w:type="dxa"/>
            <w:tcBorders>
              <w:top w:val="nil"/>
              <w:left w:val="nil"/>
              <w:bottom w:val="single" w:sz="8" w:space="0" w:color="auto"/>
              <w:right w:val="single" w:sz="8" w:space="0" w:color="auto"/>
            </w:tcBorders>
            <w:shd w:val="clear" w:color="auto" w:fill="auto"/>
            <w:noWrap/>
            <w:vAlign w:val="center"/>
            <w:hideMark/>
          </w:tcPr>
          <w:p w14:paraId="0EFBDB53" w14:textId="62DE15A3"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96,12%</w:t>
            </w:r>
          </w:p>
        </w:tc>
        <w:tc>
          <w:tcPr>
            <w:tcW w:w="1614" w:type="dxa"/>
            <w:tcBorders>
              <w:top w:val="nil"/>
              <w:left w:val="nil"/>
              <w:bottom w:val="single" w:sz="8" w:space="0" w:color="auto"/>
              <w:right w:val="single" w:sz="8" w:space="0" w:color="auto"/>
            </w:tcBorders>
            <w:shd w:val="clear" w:color="auto" w:fill="auto"/>
            <w:noWrap/>
            <w:vAlign w:val="center"/>
          </w:tcPr>
          <w:p w14:paraId="6F19A6F0" w14:textId="466414D0"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71 705 760</w:t>
            </w:r>
          </w:p>
        </w:tc>
        <w:tc>
          <w:tcPr>
            <w:tcW w:w="1134" w:type="dxa"/>
            <w:tcBorders>
              <w:top w:val="nil"/>
              <w:left w:val="nil"/>
              <w:bottom w:val="single" w:sz="8" w:space="0" w:color="auto"/>
              <w:right w:val="single" w:sz="8" w:space="0" w:color="auto"/>
            </w:tcBorders>
            <w:shd w:val="clear" w:color="auto" w:fill="auto"/>
            <w:noWrap/>
            <w:vAlign w:val="center"/>
            <w:hideMark/>
          </w:tcPr>
          <w:p w14:paraId="46263BD6" w14:textId="1383A4DF"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83,43%</w:t>
            </w:r>
          </w:p>
        </w:tc>
      </w:tr>
      <w:tr w:rsidR="00EC10F0" w:rsidRPr="00FD5F91" w14:paraId="1FC8FFFE" w14:textId="77777777" w:rsidTr="008805AA">
        <w:trPr>
          <w:trHeight w:val="257"/>
        </w:trPr>
        <w:tc>
          <w:tcPr>
            <w:tcW w:w="2283" w:type="dxa"/>
            <w:tcBorders>
              <w:top w:val="nil"/>
              <w:left w:val="single" w:sz="8" w:space="0" w:color="auto"/>
              <w:bottom w:val="single" w:sz="8" w:space="0" w:color="auto"/>
              <w:right w:val="single" w:sz="8" w:space="0" w:color="auto"/>
            </w:tcBorders>
            <w:shd w:val="clear" w:color="000000" w:fill="EAF1DD"/>
            <w:vAlign w:val="center"/>
            <w:hideMark/>
          </w:tcPr>
          <w:p w14:paraId="78A78F43" w14:textId="77777777" w:rsidR="00EC10F0" w:rsidRPr="002526CC" w:rsidRDefault="00EC10F0" w:rsidP="00EC10F0">
            <w:pPr>
              <w:rPr>
                <w:rFonts w:ascii="Arial" w:hAnsi="Arial" w:cs="Arial"/>
                <w:color w:val="000000"/>
                <w:sz w:val="16"/>
                <w:szCs w:val="16"/>
              </w:rPr>
            </w:pPr>
            <w:r w:rsidRPr="002526CC">
              <w:rPr>
                <w:rFonts w:ascii="Arial" w:hAnsi="Arial" w:cs="Arial"/>
                <w:color w:val="000000"/>
                <w:sz w:val="16"/>
                <w:szCs w:val="16"/>
              </w:rPr>
              <w:t>HT 46 Spracovanie vody (odpadová voda)</w:t>
            </w:r>
          </w:p>
        </w:tc>
        <w:tc>
          <w:tcPr>
            <w:tcW w:w="567" w:type="dxa"/>
            <w:tcBorders>
              <w:top w:val="nil"/>
              <w:left w:val="nil"/>
              <w:bottom w:val="single" w:sz="8" w:space="0" w:color="auto"/>
              <w:right w:val="single" w:sz="8" w:space="0" w:color="auto"/>
            </w:tcBorders>
            <w:shd w:val="clear" w:color="auto" w:fill="auto"/>
            <w:vAlign w:val="center"/>
            <w:hideMark/>
          </w:tcPr>
          <w:p w14:paraId="4F2FF9A5" w14:textId="77777777" w:rsidR="00EC10F0" w:rsidRPr="00E21C60" w:rsidRDefault="00EC10F0" w:rsidP="00EC10F0">
            <w:pPr>
              <w:jc w:val="center"/>
              <w:rPr>
                <w:rFonts w:ascii="Arial" w:hAnsi="Arial" w:cs="Arial"/>
                <w:color w:val="000000"/>
                <w:sz w:val="16"/>
                <w:szCs w:val="16"/>
              </w:rPr>
            </w:pPr>
            <w:r w:rsidRPr="00E21C60">
              <w:rPr>
                <w:rFonts w:ascii="Arial" w:hAnsi="Arial" w:cs="Arial"/>
                <w:color w:val="000000"/>
                <w:sz w:val="16"/>
                <w:szCs w:val="16"/>
              </w:rPr>
              <w:t>1.2.</w:t>
            </w:r>
          </w:p>
        </w:tc>
        <w:tc>
          <w:tcPr>
            <w:tcW w:w="1210" w:type="dxa"/>
            <w:tcBorders>
              <w:top w:val="nil"/>
              <w:left w:val="nil"/>
              <w:bottom w:val="single" w:sz="8" w:space="0" w:color="auto"/>
              <w:right w:val="single" w:sz="8" w:space="0" w:color="auto"/>
            </w:tcBorders>
            <w:shd w:val="clear" w:color="auto" w:fill="auto"/>
            <w:noWrap/>
            <w:vAlign w:val="center"/>
            <w:hideMark/>
          </w:tcPr>
          <w:p w14:paraId="7E8915F7" w14:textId="13A50AED"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796 181 500</w:t>
            </w:r>
          </w:p>
        </w:tc>
        <w:tc>
          <w:tcPr>
            <w:tcW w:w="1200" w:type="dxa"/>
            <w:tcBorders>
              <w:top w:val="nil"/>
              <w:left w:val="nil"/>
              <w:bottom w:val="single" w:sz="8" w:space="0" w:color="auto"/>
              <w:right w:val="single" w:sz="8" w:space="0" w:color="auto"/>
            </w:tcBorders>
            <w:shd w:val="clear" w:color="auto" w:fill="auto"/>
            <w:noWrap/>
            <w:vAlign w:val="center"/>
            <w:hideMark/>
          </w:tcPr>
          <w:p w14:paraId="6C1C9B90" w14:textId="62E97E7B"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854 399 230</w:t>
            </w:r>
          </w:p>
        </w:tc>
        <w:tc>
          <w:tcPr>
            <w:tcW w:w="1363" w:type="dxa"/>
            <w:tcBorders>
              <w:top w:val="nil"/>
              <w:left w:val="nil"/>
              <w:bottom w:val="single" w:sz="8" w:space="0" w:color="auto"/>
              <w:right w:val="single" w:sz="8" w:space="0" w:color="auto"/>
            </w:tcBorders>
            <w:shd w:val="clear" w:color="auto" w:fill="auto"/>
            <w:noWrap/>
            <w:vAlign w:val="center"/>
            <w:hideMark/>
          </w:tcPr>
          <w:p w14:paraId="2088E6D0" w14:textId="2A289E17"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107,31%</w:t>
            </w:r>
          </w:p>
        </w:tc>
        <w:tc>
          <w:tcPr>
            <w:tcW w:w="1614" w:type="dxa"/>
            <w:tcBorders>
              <w:top w:val="nil"/>
              <w:left w:val="nil"/>
              <w:bottom w:val="single" w:sz="8" w:space="0" w:color="auto"/>
              <w:right w:val="single" w:sz="8" w:space="0" w:color="auto"/>
            </w:tcBorders>
            <w:shd w:val="clear" w:color="auto" w:fill="auto"/>
            <w:noWrap/>
            <w:vAlign w:val="center"/>
          </w:tcPr>
          <w:p w14:paraId="3F0B8B03" w14:textId="52F783AA"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735 987 143</w:t>
            </w:r>
          </w:p>
        </w:tc>
        <w:tc>
          <w:tcPr>
            <w:tcW w:w="1134" w:type="dxa"/>
            <w:tcBorders>
              <w:top w:val="nil"/>
              <w:left w:val="nil"/>
              <w:bottom w:val="single" w:sz="8" w:space="0" w:color="auto"/>
              <w:right w:val="single" w:sz="8" w:space="0" w:color="auto"/>
            </w:tcBorders>
            <w:shd w:val="clear" w:color="auto" w:fill="auto"/>
            <w:noWrap/>
            <w:vAlign w:val="center"/>
            <w:hideMark/>
          </w:tcPr>
          <w:p w14:paraId="38E0B693" w14:textId="4654B6E8"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92,44%</w:t>
            </w:r>
          </w:p>
        </w:tc>
      </w:tr>
      <w:tr w:rsidR="00EC10F0" w:rsidRPr="00FD5F91" w14:paraId="7D64D75F" w14:textId="77777777" w:rsidTr="008805AA">
        <w:trPr>
          <w:trHeight w:val="304"/>
        </w:trPr>
        <w:tc>
          <w:tcPr>
            <w:tcW w:w="2283" w:type="dxa"/>
            <w:tcBorders>
              <w:top w:val="nil"/>
              <w:left w:val="single" w:sz="8" w:space="0" w:color="auto"/>
              <w:bottom w:val="single" w:sz="8" w:space="0" w:color="auto"/>
              <w:right w:val="single" w:sz="8" w:space="0" w:color="auto"/>
            </w:tcBorders>
            <w:shd w:val="clear" w:color="000000" w:fill="EAF1DD"/>
            <w:vAlign w:val="center"/>
            <w:hideMark/>
          </w:tcPr>
          <w:p w14:paraId="7D117DE6" w14:textId="77777777" w:rsidR="00EC10F0" w:rsidRPr="00E21C60" w:rsidRDefault="00EC10F0" w:rsidP="00EC10F0">
            <w:pPr>
              <w:rPr>
                <w:rFonts w:ascii="Arial" w:hAnsi="Arial" w:cs="Arial"/>
                <w:color w:val="000000"/>
                <w:sz w:val="16"/>
                <w:szCs w:val="16"/>
              </w:rPr>
            </w:pPr>
            <w:r w:rsidRPr="002526CC">
              <w:rPr>
                <w:rFonts w:ascii="Arial" w:hAnsi="Arial" w:cs="Arial"/>
                <w:color w:val="000000"/>
                <w:sz w:val="16"/>
                <w:szCs w:val="16"/>
              </w:rPr>
              <w:t xml:space="preserve">HT 54 Iné </w:t>
            </w:r>
            <w:r w:rsidRPr="00E21C60">
              <w:rPr>
                <w:rFonts w:ascii="Arial" w:hAnsi="Arial" w:cs="Arial"/>
                <w:color w:val="000000"/>
                <w:sz w:val="16"/>
                <w:szCs w:val="16"/>
              </w:rPr>
              <w:t xml:space="preserve">opatrenia na zachovanie ŽP </w:t>
            </w:r>
            <w:r w:rsidRPr="00E21C60">
              <w:rPr>
                <w:rFonts w:ascii="Arial" w:hAnsi="Arial" w:cs="Arial"/>
                <w:color w:val="000000"/>
                <w:sz w:val="16"/>
                <w:szCs w:val="16"/>
              </w:rPr>
              <w:br/>
              <w:t>a predchádzanie rizikám</w:t>
            </w:r>
          </w:p>
        </w:tc>
        <w:tc>
          <w:tcPr>
            <w:tcW w:w="567" w:type="dxa"/>
            <w:tcBorders>
              <w:top w:val="nil"/>
              <w:left w:val="nil"/>
              <w:bottom w:val="single" w:sz="8" w:space="0" w:color="auto"/>
              <w:right w:val="single" w:sz="8" w:space="0" w:color="auto"/>
            </w:tcBorders>
            <w:shd w:val="clear" w:color="auto" w:fill="auto"/>
            <w:noWrap/>
            <w:vAlign w:val="center"/>
            <w:hideMark/>
          </w:tcPr>
          <w:p w14:paraId="2317DD76" w14:textId="77777777" w:rsidR="00EC10F0" w:rsidRPr="00E21C60" w:rsidRDefault="00EC10F0" w:rsidP="00EC10F0">
            <w:pPr>
              <w:jc w:val="center"/>
              <w:rPr>
                <w:rFonts w:ascii="Arial" w:hAnsi="Arial" w:cs="Arial"/>
                <w:color w:val="000000"/>
                <w:sz w:val="16"/>
                <w:szCs w:val="16"/>
              </w:rPr>
            </w:pPr>
            <w:r w:rsidRPr="00E21C60">
              <w:rPr>
                <w:rFonts w:ascii="Arial" w:hAnsi="Arial" w:cs="Arial"/>
                <w:color w:val="000000"/>
                <w:sz w:val="16"/>
                <w:szCs w:val="16"/>
              </w:rPr>
              <w:t>1.3.</w:t>
            </w:r>
          </w:p>
        </w:tc>
        <w:tc>
          <w:tcPr>
            <w:tcW w:w="1210" w:type="dxa"/>
            <w:tcBorders>
              <w:top w:val="nil"/>
              <w:left w:val="nil"/>
              <w:bottom w:val="single" w:sz="8" w:space="0" w:color="auto"/>
              <w:right w:val="single" w:sz="8" w:space="0" w:color="auto"/>
            </w:tcBorders>
            <w:shd w:val="clear" w:color="auto" w:fill="auto"/>
            <w:noWrap/>
            <w:vAlign w:val="center"/>
            <w:hideMark/>
          </w:tcPr>
          <w:p w14:paraId="6597C9E9" w14:textId="34E05AF9"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21 380 920</w:t>
            </w:r>
          </w:p>
        </w:tc>
        <w:tc>
          <w:tcPr>
            <w:tcW w:w="1200" w:type="dxa"/>
            <w:tcBorders>
              <w:top w:val="nil"/>
              <w:left w:val="nil"/>
              <w:bottom w:val="single" w:sz="8" w:space="0" w:color="auto"/>
              <w:right w:val="single" w:sz="8" w:space="0" w:color="auto"/>
            </w:tcBorders>
            <w:shd w:val="clear" w:color="auto" w:fill="auto"/>
            <w:noWrap/>
            <w:vAlign w:val="center"/>
            <w:hideMark/>
          </w:tcPr>
          <w:p w14:paraId="0B29EBE1" w14:textId="3C6532ED"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20 733 786</w:t>
            </w:r>
          </w:p>
        </w:tc>
        <w:tc>
          <w:tcPr>
            <w:tcW w:w="1363" w:type="dxa"/>
            <w:tcBorders>
              <w:top w:val="nil"/>
              <w:left w:val="nil"/>
              <w:bottom w:val="single" w:sz="8" w:space="0" w:color="auto"/>
              <w:right w:val="single" w:sz="8" w:space="0" w:color="auto"/>
            </w:tcBorders>
            <w:shd w:val="clear" w:color="auto" w:fill="auto"/>
            <w:noWrap/>
            <w:vAlign w:val="center"/>
            <w:hideMark/>
          </w:tcPr>
          <w:p w14:paraId="624AD05B" w14:textId="194DAF98"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96,97%</w:t>
            </w:r>
          </w:p>
        </w:tc>
        <w:tc>
          <w:tcPr>
            <w:tcW w:w="1614" w:type="dxa"/>
            <w:tcBorders>
              <w:top w:val="nil"/>
              <w:left w:val="nil"/>
              <w:bottom w:val="single" w:sz="8" w:space="0" w:color="auto"/>
              <w:right w:val="single" w:sz="8" w:space="0" w:color="auto"/>
            </w:tcBorders>
            <w:shd w:val="clear" w:color="auto" w:fill="auto"/>
            <w:noWrap/>
            <w:vAlign w:val="center"/>
          </w:tcPr>
          <w:p w14:paraId="6B28270C" w14:textId="06E4B9FC"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16 183 195</w:t>
            </w:r>
          </w:p>
        </w:tc>
        <w:tc>
          <w:tcPr>
            <w:tcW w:w="1134" w:type="dxa"/>
            <w:tcBorders>
              <w:top w:val="nil"/>
              <w:left w:val="nil"/>
              <w:bottom w:val="single" w:sz="8" w:space="0" w:color="auto"/>
              <w:right w:val="single" w:sz="8" w:space="0" w:color="auto"/>
            </w:tcBorders>
            <w:shd w:val="clear" w:color="auto" w:fill="auto"/>
            <w:noWrap/>
            <w:vAlign w:val="center"/>
            <w:hideMark/>
          </w:tcPr>
          <w:p w14:paraId="7E6ED817" w14:textId="44EFAE1B" w:rsidR="00EC10F0" w:rsidRPr="00EC10F0" w:rsidRDefault="00EC10F0" w:rsidP="00EC10F0">
            <w:pPr>
              <w:jc w:val="center"/>
              <w:rPr>
                <w:rFonts w:ascii="Arial" w:hAnsi="Arial" w:cs="Arial"/>
                <w:color w:val="000000"/>
                <w:sz w:val="16"/>
                <w:szCs w:val="16"/>
              </w:rPr>
            </w:pPr>
            <w:r w:rsidRPr="00EC10F0">
              <w:rPr>
                <w:rFonts w:ascii="Arial" w:hAnsi="Arial" w:cs="Arial"/>
                <w:color w:val="000000"/>
                <w:sz w:val="16"/>
                <w:szCs w:val="16"/>
              </w:rPr>
              <w:t>75,69%</w:t>
            </w:r>
          </w:p>
        </w:tc>
      </w:tr>
      <w:tr w:rsidR="00EC10F0" w:rsidRPr="00FD5F91" w14:paraId="29E7A2F6" w14:textId="77777777" w:rsidTr="008805AA">
        <w:trPr>
          <w:trHeight w:val="240"/>
        </w:trPr>
        <w:tc>
          <w:tcPr>
            <w:tcW w:w="2850" w:type="dxa"/>
            <w:gridSpan w:val="2"/>
            <w:tcBorders>
              <w:top w:val="single" w:sz="8" w:space="0" w:color="auto"/>
              <w:left w:val="single" w:sz="8" w:space="0" w:color="auto"/>
              <w:bottom w:val="single" w:sz="8" w:space="0" w:color="auto"/>
              <w:right w:val="single" w:sz="8" w:space="0" w:color="000000"/>
            </w:tcBorders>
            <w:shd w:val="clear" w:color="000000" w:fill="EAF1DD"/>
            <w:vAlign w:val="center"/>
            <w:hideMark/>
          </w:tcPr>
          <w:p w14:paraId="20A762CE" w14:textId="77777777" w:rsidR="00EC10F0" w:rsidRPr="002526CC" w:rsidRDefault="00EC10F0" w:rsidP="00EC10F0">
            <w:pPr>
              <w:rPr>
                <w:rFonts w:ascii="Arial" w:hAnsi="Arial" w:cs="Arial"/>
                <w:b/>
                <w:bCs/>
                <w:color w:val="000000"/>
                <w:sz w:val="16"/>
                <w:szCs w:val="16"/>
              </w:rPr>
            </w:pPr>
            <w:r w:rsidRPr="002526CC">
              <w:rPr>
                <w:rFonts w:ascii="Arial" w:hAnsi="Arial" w:cs="Arial"/>
                <w:b/>
                <w:bCs/>
                <w:color w:val="000000"/>
                <w:sz w:val="16"/>
                <w:szCs w:val="16"/>
              </w:rPr>
              <w:t>Spolu</w:t>
            </w:r>
          </w:p>
        </w:tc>
        <w:tc>
          <w:tcPr>
            <w:tcW w:w="1210" w:type="dxa"/>
            <w:tcBorders>
              <w:top w:val="nil"/>
              <w:left w:val="nil"/>
              <w:bottom w:val="single" w:sz="8" w:space="0" w:color="auto"/>
              <w:right w:val="single" w:sz="8" w:space="0" w:color="auto"/>
            </w:tcBorders>
            <w:shd w:val="clear" w:color="000000" w:fill="EAF1DD"/>
            <w:vAlign w:val="center"/>
            <w:hideMark/>
          </w:tcPr>
          <w:p w14:paraId="50864616" w14:textId="1BA52EA3" w:rsidR="00EC10F0" w:rsidRPr="00EC10F0" w:rsidRDefault="00EC10F0" w:rsidP="00EC10F0">
            <w:pPr>
              <w:jc w:val="center"/>
              <w:rPr>
                <w:rFonts w:ascii="Arial" w:hAnsi="Arial" w:cs="Arial"/>
                <w:b/>
                <w:color w:val="000000"/>
                <w:sz w:val="16"/>
                <w:szCs w:val="16"/>
              </w:rPr>
            </w:pPr>
            <w:r w:rsidRPr="00EC10F0">
              <w:rPr>
                <w:rFonts w:ascii="Arial" w:hAnsi="Arial" w:cs="Arial"/>
                <w:b/>
                <w:color w:val="000000"/>
                <w:sz w:val="16"/>
                <w:szCs w:val="16"/>
              </w:rPr>
              <w:t>903 512 965</w:t>
            </w:r>
          </w:p>
        </w:tc>
        <w:tc>
          <w:tcPr>
            <w:tcW w:w="1200" w:type="dxa"/>
            <w:tcBorders>
              <w:top w:val="nil"/>
              <w:left w:val="nil"/>
              <w:bottom w:val="single" w:sz="8" w:space="0" w:color="auto"/>
              <w:right w:val="single" w:sz="8" w:space="0" w:color="auto"/>
            </w:tcBorders>
            <w:shd w:val="clear" w:color="000000" w:fill="EAF1DD"/>
            <w:vAlign w:val="center"/>
            <w:hideMark/>
          </w:tcPr>
          <w:p w14:paraId="4A3B9E3F" w14:textId="78DC3E7D" w:rsidR="00EC10F0" w:rsidRPr="00EC10F0" w:rsidRDefault="00EC10F0" w:rsidP="00EC10F0">
            <w:pPr>
              <w:jc w:val="center"/>
              <w:rPr>
                <w:rFonts w:ascii="Arial" w:hAnsi="Arial" w:cs="Arial"/>
                <w:b/>
                <w:color w:val="000000"/>
                <w:sz w:val="16"/>
                <w:szCs w:val="16"/>
              </w:rPr>
            </w:pPr>
            <w:r w:rsidRPr="00EC10F0">
              <w:rPr>
                <w:rFonts w:ascii="Arial" w:hAnsi="Arial" w:cs="Arial"/>
                <w:b/>
                <w:color w:val="000000"/>
                <w:sz w:val="16"/>
                <w:szCs w:val="16"/>
              </w:rPr>
              <w:t>957 744 963</w:t>
            </w:r>
          </w:p>
        </w:tc>
        <w:tc>
          <w:tcPr>
            <w:tcW w:w="1363" w:type="dxa"/>
            <w:tcBorders>
              <w:top w:val="nil"/>
              <w:left w:val="nil"/>
              <w:bottom w:val="single" w:sz="8" w:space="0" w:color="auto"/>
              <w:right w:val="single" w:sz="8" w:space="0" w:color="auto"/>
            </w:tcBorders>
            <w:shd w:val="clear" w:color="000000" w:fill="EAF1DD"/>
            <w:vAlign w:val="center"/>
            <w:hideMark/>
          </w:tcPr>
          <w:p w14:paraId="6C32B212" w14:textId="6B931C31" w:rsidR="00EC10F0" w:rsidRPr="00EC10F0" w:rsidRDefault="00EC10F0" w:rsidP="00EC10F0">
            <w:pPr>
              <w:jc w:val="center"/>
              <w:rPr>
                <w:rFonts w:ascii="Arial" w:hAnsi="Arial" w:cs="Arial"/>
                <w:b/>
                <w:color w:val="000000"/>
                <w:sz w:val="16"/>
                <w:szCs w:val="16"/>
              </w:rPr>
            </w:pPr>
            <w:r w:rsidRPr="00EC10F0">
              <w:rPr>
                <w:rFonts w:ascii="Arial" w:hAnsi="Arial" w:cs="Arial"/>
                <w:b/>
                <w:color w:val="000000"/>
                <w:sz w:val="16"/>
                <w:szCs w:val="16"/>
              </w:rPr>
              <w:t>106%</w:t>
            </w:r>
          </w:p>
        </w:tc>
        <w:tc>
          <w:tcPr>
            <w:tcW w:w="1614" w:type="dxa"/>
            <w:tcBorders>
              <w:top w:val="nil"/>
              <w:left w:val="nil"/>
              <w:bottom w:val="single" w:sz="8" w:space="0" w:color="auto"/>
              <w:right w:val="single" w:sz="8" w:space="0" w:color="auto"/>
            </w:tcBorders>
            <w:shd w:val="clear" w:color="000000" w:fill="EAF1DD"/>
            <w:vAlign w:val="center"/>
          </w:tcPr>
          <w:p w14:paraId="6FE65EE9" w14:textId="6A77A5A9" w:rsidR="00EC10F0" w:rsidRPr="00EC10F0" w:rsidRDefault="00EC10F0" w:rsidP="00EC10F0">
            <w:pPr>
              <w:jc w:val="center"/>
              <w:rPr>
                <w:rFonts w:ascii="Arial" w:hAnsi="Arial" w:cs="Arial"/>
                <w:b/>
                <w:color w:val="000000"/>
                <w:sz w:val="16"/>
                <w:szCs w:val="16"/>
              </w:rPr>
            </w:pPr>
            <w:r w:rsidRPr="00EC10F0">
              <w:rPr>
                <w:rFonts w:ascii="Arial" w:hAnsi="Arial" w:cs="Arial"/>
                <w:b/>
                <w:color w:val="000000"/>
                <w:sz w:val="16"/>
                <w:szCs w:val="16"/>
              </w:rPr>
              <w:t>823 876 098</w:t>
            </w:r>
          </w:p>
        </w:tc>
        <w:tc>
          <w:tcPr>
            <w:tcW w:w="1134" w:type="dxa"/>
            <w:tcBorders>
              <w:top w:val="nil"/>
              <w:left w:val="nil"/>
              <w:bottom w:val="single" w:sz="8" w:space="0" w:color="auto"/>
              <w:right w:val="single" w:sz="8" w:space="0" w:color="auto"/>
            </w:tcBorders>
            <w:shd w:val="clear" w:color="000000" w:fill="EAF1DD"/>
            <w:vAlign w:val="center"/>
            <w:hideMark/>
          </w:tcPr>
          <w:p w14:paraId="73D412F1" w14:textId="2D57B375" w:rsidR="00EC10F0" w:rsidRPr="00EC10F0" w:rsidRDefault="00EC10F0" w:rsidP="00EC10F0">
            <w:pPr>
              <w:jc w:val="center"/>
              <w:rPr>
                <w:rFonts w:ascii="Arial" w:hAnsi="Arial" w:cs="Arial"/>
                <w:b/>
                <w:color w:val="000000"/>
                <w:sz w:val="16"/>
                <w:szCs w:val="16"/>
              </w:rPr>
            </w:pPr>
            <w:r w:rsidRPr="00EC10F0">
              <w:rPr>
                <w:rFonts w:ascii="Arial" w:hAnsi="Arial" w:cs="Arial"/>
                <w:b/>
                <w:color w:val="000000"/>
                <w:sz w:val="16"/>
                <w:szCs w:val="16"/>
              </w:rPr>
              <w:t>91,19%</w:t>
            </w:r>
          </w:p>
        </w:tc>
      </w:tr>
    </w:tbl>
    <w:p w14:paraId="1D6EDFD3" w14:textId="77777777" w:rsidR="008805AA" w:rsidRDefault="00000CC9" w:rsidP="00157DA3">
      <w:pPr>
        <w:spacing w:before="120" w:after="120"/>
        <w:jc w:val="both"/>
        <w:rPr>
          <w:rFonts w:cs="Arial"/>
          <w:sz w:val="16"/>
          <w:szCs w:val="16"/>
        </w:rPr>
      </w:pPr>
      <w:r w:rsidRPr="00123376">
        <w:rPr>
          <w:rFonts w:cs="Arial"/>
          <w:sz w:val="16"/>
          <w:szCs w:val="16"/>
        </w:rPr>
        <w:t>Zdroj: RO, ITMS</w:t>
      </w:r>
      <w:r w:rsidR="008805AA">
        <w:rPr>
          <w:rFonts w:cs="Arial"/>
          <w:sz w:val="16"/>
          <w:szCs w:val="16"/>
        </w:rPr>
        <w:t xml:space="preserve"> </w:t>
      </w:r>
    </w:p>
    <w:p w14:paraId="0E07A749" w14:textId="418D6A42" w:rsidR="00157DA3" w:rsidRDefault="00157DA3" w:rsidP="00157DA3">
      <w:pPr>
        <w:spacing w:before="120" w:after="120"/>
        <w:jc w:val="both"/>
        <w:rPr>
          <w:rFonts w:ascii="Arial" w:hAnsi="Arial" w:cs="Arial"/>
          <w:sz w:val="20"/>
          <w:szCs w:val="20"/>
        </w:rPr>
      </w:pPr>
      <w:r w:rsidRPr="00E21C60">
        <w:rPr>
          <w:rFonts w:ascii="Arial" w:hAnsi="Arial" w:cs="Arial"/>
          <w:sz w:val="20"/>
          <w:szCs w:val="20"/>
        </w:rPr>
        <w:lastRenderedPageBreak/>
        <w:t>Napĺňanie p</w:t>
      </w:r>
      <w:r w:rsidR="000A120A">
        <w:rPr>
          <w:rFonts w:ascii="Arial" w:hAnsi="Arial" w:cs="Arial"/>
          <w:sz w:val="20"/>
          <w:szCs w:val="20"/>
        </w:rPr>
        <w:t>lánovaných hodnôt ukazovateľov bolo</w:t>
      </w:r>
      <w:r w:rsidRPr="00E21C60">
        <w:rPr>
          <w:rFonts w:ascii="Arial" w:hAnsi="Arial" w:cs="Arial"/>
          <w:sz w:val="20"/>
          <w:szCs w:val="20"/>
        </w:rPr>
        <w:t xml:space="preserve"> ovplyvnené úrovňou napredovania realizácie projektov a skutočnosťou, že naplnenie ukazovateľov </w:t>
      </w:r>
      <w:r w:rsidR="000A120A">
        <w:rPr>
          <w:rFonts w:ascii="Arial" w:hAnsi="Arial" w:cs="Arial"/>
          <w:sz w:val="20"/>
          <w:szCs w:val="20"/>
        </w:rPr>
        <w:t xml:space="preserve">bolo </w:t>
      </w:r>
      <w:r w:rsidRPr="00E21C60">
        <w:rPr>
          <w:rFonts w:ascii="Arial" w:hAnsi="Arial" w:cs="Arial"/>
          <w:sz w:val="20"/>
          <w:szCs w:val="20"/>
        </w:rPr>
        <w:t>v mnohých prípadoch možné očakávať až po skončení realizácie projektov.</w:t>
      </w:r>
    </w:p>
    <w:p w14:paraId="47C741F8" w14:textId="23EE0442" w:rsidR="00DB0F9A" w:rsidRPr="00E21C60" w:rsidRDefault="00DB0F9A">
      <w:pPr>
        <w:pStyle w:val="Zkladntextb"/>
        <w:spacing w:before="120" w:after="0" w:line="240" w:lineRule="auto"/>
        <w:ind w:left="0"/>
        <w:jc w:val="both"/>
        <w:rPr>
          <w:rFonts w:cs="Arial"/>
          <w:lang w:val="sk-SK"/>
        </w:rPr>
      </w:pPr>
      <w:r w:rsidRPr="00E21C60">
        <w:rPr>
          <w:rFonts w:cs="Arial"/>
          <w:lang w:val="sk-SK"/>
        </w:rPr>
        <w:t xml:space="preserve">Tabuľka č. </w:t>
      </w:r>
      <w:r w:rsidR="00B256C7">
        <w:rPr>
          <w:rFonts w:cs="Arial"/>
          <w:lang w:val="sk-SK"/>
        </w:rPr>
        <w:t>4</w:t>
      </w:r>
      <w:r w:rsidR="007B1CB9">
        <w:rPr>
          <w:rFonts w:cs="Arial"/>
          <w:lang w:val="sk-SK"/>
        </w:rPr>
        <w:t>4</w:t>
      </w:r>
      <w:r w:rsidRPr="00E21C60">
        <w:rPr>
          <w:rFonts w:cs="Arial"/>
          <w:lang w:val="sk-SK"/>
        </w:rPr>
        <w:t>: Fyzický pokrok intervencií prioritnej osi 1 k </w:t>
      </w:r>
      <w:r w:rsidR="00EE51B4">
        <w:rPr>
          <w:rFonts w:cs="Arial"/>
          <w:lang w:val="sk-SK"/>
        </w:rPr>
        <w:t xml:space="preserve">31. </w:t>
      </w:r>
      <w:r w:rsidR="001F2F97">
        <w:rPr>
          <w:rFonts w:cs="Arial"/>
          <w:lang w:val="sk-SK"/>
        </w:rPr>
        <w:t>10</w:t>
      </w:r>
      <w:r w:rsidR="00EE51B4">
        <w:rPr>
          <w:rFonts w:cs="Arial"/>
          <w:lang w:val="sk-SK"/>
        </w:rPr>
        <w:t>. 2016</w:t>
      </w:r>
    </w:p>
    <w:tbl>
      <w:tblPr>
        <w:tblW w:w="9209" w:type="dxa"/>
        <w:jc w:val="center"/>
        <w:tblLayout w:type="fixed"/>
        <w:tblCellMar>
          <w:left w:w="70" w:type="dxa"/>
          <w:right w:w="70" w:type="dxa"/>
        </w:tblCellMar>
        <w:tblLook w:val="04A0" w:firstRow="1" w:lastRow="0" w:firstColumn="1" w:lastColumn="0" w:noHBand="0" w:noVBand="1"/>
      </w:tblPr>
      <w:tblGrid>
        <w:gridCol w:w="624"/>
        <w:gridCol w:w="1518"/>
        <w:gridCol w:w="729"/>
        <w:gridCol w:w="830"/>
        <w:gridCol w:w="830"/>
        <w:gridCol w:w="1013"/>
        <w:gridCol w:w="850"/>
        <w:gridCol w:w="992"/>
        <w:gridCol w:w="830"/>
        <w:gridCol w:w="993"/>
      </w:tblGrid>
      <w:tr w:rsidR="00682B07" w:rsidRPr="00E21C60" w14:paraId="66B9600D" w14:textId="77777777" w:rsidTr="007D7B08">
        <w:trPr>
          <w:trHeight w:val="1350"/>
          <w:jc w:val="center"/>
        </w:trPr>
        <w:tc>
          <w:tcPr>
            <w:tcW w:w="624" w:type="dxa"/>
            <w:tcBorders>
              <w:top w:val="single" w:sz="4" w:space="0" w:color="auto"/>
              <w:left w:val="single" w:sz="4" w:space="0" w:color="auto"/>
              <w:bottom w:val="nil"/>
              <w:right w:val="single" w:sz="4" w:space="0" w:color="auto"/>
            </w:tcBorders>
            <w:shd w:val="clear" w:color="auto" w:fill="C2D69B" w:themeFill="accent3" w:themeFillTint="99"/>
            <w:vAlign w:val="center"/>
            <w:hideMark/>
          </w:tcPr>
          <w:p w14:paraId="423AAA26" w14:textId="77777777" w:rsidR="00E46A79" w:rsidRPr="00E21C60" w:rsidRDefault="00E46A79">
            <w:pPr>
              <w:jc w:val="center"/>
              <w:rPr>
                <w:rFonts w:ascii="Arial" w:hAnsi="Arial" w:cs="Arial"/>
                <w:b/>
                <w:bCs/>
                <w:color w:val="000000"/>
                <w:sz w:val="16"/>
                <w:szCs w:val="16"/>
              </w:rPr>
            </w:pPr>
            <w:r w:rsidRPr="00E21C60">
              <w:rPr>
                <w:rFonts w:ascii="Arial" w:hAnsi="Arial" w:cs="Arial"/>
                <w:b/>
                <w:bCs/>
                <w:color w:val="000000"/>
                <w:sz w:val="16"/>
                <w:szCs w:val="16"/>
              </w:rPr>
              <w:t>Typ</w:t>
            </w:r>
            <w:r w:rsidRPr="00E21C60">
              <w:rPr>
                <w:rFonts w:ascii="Arial" w:hAnsi="Arial" w:cs="Arial"/>
                <w:b/>
                <w:bCs/>
                <w:color w:val="000000"/>
                <w:sz w:val="16"/>
                <w:szCs w:val="16"/>
              </w:rPr>
              <w:br/>
              <w:t>inter-</w:t>
            </w:r>
            <w:r w:rsidRPr="00E21C60">
              <w:rPr>
                <w:rFonts w:ascii="Arial" w:hAnsi="Arial" w:cs="Arial"/>
                <w:b/>
                <w:bCs/>
                <w:color w:val="000000"/>
                <w:sz w:val="16"/>
                <w:szCs w:val="16"/>
              </w:rPr>
              <w:br/>
              <w:t>vencie (op. cieľ)</w:t>
            </w:r>
          </w:p>
        </w:tc>
        <w:tc>
          <w:tcPr>
            <w:tcW w:w="1518" w:type="dxa"/>
            <w:tcBorders>
              <w:top w:val="single" w:sz="4" w:space="0" w:color="auto"/>
              <w:left w:val="nil"/>
              <w:bottom w:val="nil"/>
              <w:right w:val="single" w:sz="4" w:space="0" w:color="auto"/>
            </w:tcBorders>
            <w:shd w:val="clear" w:color="auto" w:fill="C2D69B" w:themeFill="accent3" w:themeFillTint="99"/>
            <w:vAlign w:val="center"/>
            <w:hideMark/>
          </w:tcPr>
          <w:p w14:paraId="5F9E5296" w14:textId="77777777" w:rsidR="00E46A79" w:rsidRPr="00E21C60" w:rsidRDefault="00E46A79">
            <w:pPr>
              <w:jc w:val="center"/>
              <w:rPr>
                <w:rFonts w:ascii="Arial" w:hAnsi="Arial" w:cs="Arial"/>
                <w:b/>
                <w:bCs/>
                <w:color w:val="000000"/>
                <w:sz w:val="16"/>
                <w:szCs w:val="16"/>
              </w:rPr>
            </w:pPr>
            <w:r w:rsidRPr="00E21C60">
              <w:rPr>
                <w:rFonts w:ascii="Arial" w:hAnsi="Arial" w:cs="Arial"/>
                <w:b/>
                <w:bCs/>
                <w:color w:val="000000"/>
                <w:sz w:val="16"/>
                <w:szCs w:val="16"/>
              </w:rPr>
              <w:t>Názov merateľného ukazovateľa (MU)</w:t>
            </w:r>
          </w:p>
        </w:tc>
        <w:tc>
          <w:tcPr>
            <w:tcW w:w="729" w:type="dxa"/>
            <w:tcBorders>
              <w:top w:val="single" w:sz="4" w:space="0" w:color="auto"/>
              <w:left w:val="nil"/>
              <w:bottom w:val="nil"/>
              <w:right w:val="single" w:sz="4" w:space="0" w:color="auto"/>
            </w:tcBorders>
            <w:shd w:val="clear" w:color="auto" w:fill="C2D69B" w:themeFill="accent3" w:themeFillTint="99"/>
            <w:vAlign w:val="center"/>
            <w:hideMark/>
          </w:tcPr>
          <w:p w14:paraId="57D33C14" w14:textId="77777777" w:rsidR="00E46A79" w:rsidRPr="00E21C60" w:rsidRDefault="00E46A79">
            <w:pPr>
              <w:jc w:val="center"/>
              <w:rPr>
                <w:rFonts w:ascii="Arial" w:hAnsi="Arial" w:cs="Arial"/>
                <w:b/>
                <w:bCs/>
                <w:color w:val="000000"/>
                <w:sz w:val="16"/>
                <w:szCs w:val="16"/>
              </w:rPr>
            </w:pPr>
            <w:r w:rsidRPr="00E21C60">
              <w:rPr>
                <w:rFonts w:ascii="Arial" w:hAnsi="Arial" w:cs="Arial"/>
                <w:b/>
                <w:bCs/>
                <w:color w:val="000000"/>
                <w:sz w:val="16"/>
                <w:szCs w:val="16"/>
              </w:rPr>
              <w:t>Merná jednotka (MJ)</w:t>
            </w:r>
          </w:p>
        </w:tc>
        <w:tc>
          <w:tcPr>
            <w:tcW w:w="830" w:type="dxa"/>
            <w:tcBorders>
              <w:top w:val="single" w:sz="4" w:space="0" w:color="auto"/>
              <w:left w:val="nil"/>
              <w:bottom w:val="single" w:sz="4" w:space="0" w:color="auto"/>
              <w:right w:val="single" w:sz="4" w:space="0" w:color="auto"/>
            </w:tcBorders>
            <w:shd w:val="clear" w:color="auto" w:fill="C2D69B" w:themeFill="accent3" w:themeFillTint="99"/>
            <w:vAlign w:val="center"/>
          </w:tcPr>
          <w:p w14:paraId="41A11DEC" w14:textId="64B3A81B" w:rsidR="00E46A79" w:rsidRPr="00E21C60" w:rsidRDefault="00E46A79" w:rsidP="004E581A">
            <w:pPr>
              <w:jc w:val="center"/>
              <w:rPr>
                <w:rFonts w:ascii="Arial" w:hAnsi="Arial" w:cs="Arial"/>
                <w:b/>
                <w:bCs/>
                <w:color w:val="000000"/>
                <w:sz w:val="16"/>
                <w:szCs w:val="16"/>
              </w:rPr>
            </w:pPr>
            <w:r>
              <w:rPr>
                <w:rFonts w:ascii="Arial" w:hAnsi="Arial" w:cs="Arial"/>
                <w:b/>
                <w:bCs/>
                <w:color w:val="000000"/>
                <w:sz w:val="16"/>
                <w:szCs w:val="16"/>
              </w:rPr>
              <w:t>Východisková hodnota OP</w:t>
            </w:r>
          </w:p>
        </w:tc>
        <w:tc>
          <w:tcPr>
            <w:tcW w:w="83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DB4A135" w14:textId="1FACC227" w:rsidR="00E46A79" w:rsidRPr="00E21C60" w:rsidRDefault="00E46A79">
            <w:pPr>
              <w:jc w:val="center"/>
              <w:rPr>
                <w:rFonts w:ascii="Arial" w:hAnsi="Arial" w:cs="Arial"/>
                <w:b/>
                <w:bCs/>
                <w:color w:val="000000"/>
                <w:sz w:val="16"/>
                <w:szCs w:val="16"/>
              </w:rPr>
            </w:pPr>
            <w:r w:rsidRPr="00E21C60">
              <w:rPr>
                <w:rFonts w:ascii="Arial" w:hAnsi="Arial" w:cs="Arial"/>
                <w:b/>
                <w:bCs/>
                <w:color w:val="000000"/>
                <w:sz w:val="16"/>
                <w:szCs w:val="16"/>
              </w:rPr>
              <w:t>Cieľ OP</w:t>
            </w:r>
          </w:p>
        </w:tc>
        <w:tc>
          <w:tcPr>
            <w:tcW w:w="1013" w:type="dxa"/>
            <w:tcBorders>
              <w:top w:val="single" w:sz="4" w:space="0" w:color="auto"/>
              <w:left w:val="nil"/>
              <w:bottom w:val="nil"/>
              <w:right w:val="single" w:sz="4" w:space="0" w:color="auto"/>
            </w:tcBorders>
            <w:shd w:val="clear" w:color="auto" w:fill="C2D69B" w:themeFill="accent3" w:themeFillTint="99"/>
            <w:vAlign w:val="center"/>
          </w:tcPr>
          <w:p w14:paraId="75995534" w14:textId="17B85BCF" w:rsidR="00E46A79" w:rsidRPr="00E21C60" w:rsidRDefault="000C78B8" w:rsidP="009A5681">
            <w:pPr>
              <w:jc w:val="center"/>
              <w:rPr>
                <w:rFonts w:ascii="Arial" w:hAnsi="Arial" w:cs="Arial"/>
                <w:b/>
                <w:bCs/>
                <w:color w:val="000000"/>
                <w:sz w:val="16"/>
                <w:szCs w:val="16"/>
              </w:rPr>
            </w:pPr>
            <w:r w:rsidRPr="00E21C60">
              <w:rPr>
                <w:rFonts w:ascii="Arial" w:hAnsi="Arial" w:cs="Arial"/>
                <w:b/>
                <w:bCs/>
                <w:color w:val="000000"/>
                <w:sz w:val="16"/>
                <w:szCs w:val="16"/>
              </w:rPr>
              <w:t>Stav k 31.12.</w:t>
            </w:r>
            <w:r w:rsidRPr="00E21C60">
              <w:rPr>
                <w:rFonts w:ascii="Arial" w:hAnsi="Arial" w:cs="Arial"/>
                <w:b/>
                <w:bCs/>
                <w:color w:val="000000"/>
                <w:sz w:val="16"/>
                <w:szCs w:val="16"/>
              </w:rPr>
              <w:br/>
              <w:t>201</w:t>
            </w:r>
            <w:r w:rsidR="00605509">
              <w:rPr>
                <w:rFonts w:ascii="Arial" w:hAnsi="Arial" w:cs="Arial"/>
                <w:b/>
                <w:bCs/>
                <w:color w:val="000000"/>
                <w:sz w:val="16"/>
                <w:szCs w:val="16"/>
              </w:rPr>
              <w:t>5</w:t>
            </w:r>
          </w:p>
        </w:tc>
        <w:tc>
          <w:tcPr>
            <w:tcW w:w="850" w:type="dxa"/>
            <w:tcBorders>
              <w:top w:val="single" w:sz="4" w:space="0" w:color="auto"/>
              <w:left w:val="nil"/>
              <w:bottom w:val="nil"/>
              <w:right w:val="single" w:sz="4" w:space="0" w:color="auto"/>
            </w:tcBorders>
            <w:shd w:val="clear" w:color="auto" w:fill="C2D69B" w:themeFill="accent3" w:themeFillTint="99"/>
            <w:vAlign w:val="center"/>
            <w:hideMark/>
          </w:tcPr>
          <w:p w14:paraId="16669BC3" w14:textId="58809C15" w:rsidR="00E46A79" w:rsidRPr="00E21C60" w:rsidRDefault="000C78B8">
            <w:pPr>
              <w:jc w:val="center"/>
              <w:rPr>
                <w:rFonts w:ascii="Arial" w:hAnsi="Arial" w:cs="Arial"/>
                <w:b/>
                <w:bCs/>
                <w:color w:val="000000"/>
                <w:sz w:val="16"/>
                <w:szCs w:val="16"/>
              </w:rPr>
            </w:pPr>
            <w:r>
              <w:rPr>
                <w:rFonts w:ascii="Arial" w:hAnsi="Arial" w:cs="Arial"/>
                <w:b/>
                <w:bCs/>
                <w:color w:val="000000"/>
                <w:sz w:val="16"/>
                <w:szCs w:val="16"/>
              </w:rPr>
              <w:t>Stav k 30.10. 2016</w:t>
            </w:r>
          </w:p>
        </w:tc>
        <w:tc>
          <w:tcPr>
            <w:tcW w:w="992"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97242A8" w14:textId="77777777" w:rsidR="00E46A79" w:rsidRPr="00E21C60" w:rsidRDefault="00E46A79">
            <w:pPr>
              <w:jc w:val="center"/>
              <w:rPr>
                <w:rFonts w:ascii="Arial" w:hAnsi="Arial" w:cs="Arial"/>
                <w:b/>
                <w:bCs/>
                <w:color w:val="000000"/>
                <w:sz w:val="16"/>
                <w:szCs w:val="16"/>
              </w:rPr>
            </w:pPr>
            <w:r w:rsidRPr="00E21C60">
              <w:rPr>
                <w:rFonts w:ascii="Arial" w:hAnsi="Arial" w:cs="Arial"/>
                <w:b/>
                <w:bCs/>
                <w:color w:val="000000"/>
                <w:sz w:val="16"/>
                <w:szCs w:val="16"/>
              </w:rPr>
              <w:t>Cieľ zazmluv-</w:t>
            </w:r>
            <w:r w:rsidRPr="00E21C60">
              <w:rPr>
                <w:rFonts w:ascii="Arial" w:hAnsi="Arial" w:cs="Arial"/>
                <w:b/>
                <w:bCs/>
                <w:color w:val="000000"/>
                <w:sz w:val="16"/>
                <w:szCs w:val="16"/>
              </w:rPr>
              <w:br/>
              <w:t>nených projektov</w:t>
            </w:r>
          </w:p>
        </w:tc>
        <w:tc>
          <w:tcPr>
            <w:tcW w:w="83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F74176D" w14:textId="77777777" w:rsidR="00E46A79" w:rsidRPr="00E21C60" w:rsidRDefault="00E46A79">
            <w:pPr>
              <w:jc w:val="center"/>
              <w:rPr>
                <w:rFonts w:ascii="Arial" w:hAnsi="Arial" w:cs="Arial"/>
                <w:b/>
                <w:bCs/>
                <w:color w:val="000000"/>
                <w:sz w:val="16"/>
                <w:szCs w:val="16"/>
              </w:rPr>
            </w:pPr>
            <w:r w:rsidRPr="00DB43FF">
              <w:rPr>
                <w:rFonts w:ascii="Arial" w:hAnsi="Arial" w:cs="Arial"/>
                <w:b/>
                <w:bCs/>
                <w:color w:val="000000"/>
                <w:sz w:val="16"/>
                <w:szCs w:val="16"/>
              </w:rPr>
              <w:t>Úspešnosť plnenia (%)</w:t>
            </w:r>
          </w:p>
        </w:tc>
        <w:tc>
          <w:tcPr>
            <w:tcW w:w="993"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3B375C2" w14:textId="77777777" w:rsidR="00E46A79" w:rsidRPr="00E21C60" w:rsidRDefault="00E46A79" w:rsidP="00C76579">
            <w:pPr>
              <w:jc w:val="center"/>
              <w:rPr>
                <w:rFonts w:ascii="Arial" w:hAnsi="Arial" w:cs="Arial"/>
                <w:b/>
                <w:bCs/>
                <w:color w:val="000000"/>
                <w:sz w:val="16"/>
                <w:szCs w:val="16"/>
              </w:rPr>
            </w:pPr>
            <w:r w:rsidRPr="00E21C60">
              <w:rPr>
                <w:rFonts w:ascii="Arial" w:hAnsi="Arial" w:cs="Arial"/>
                <w:b/>
                <w:bCs/>
                <w:color w:val="000000"/>
                <w:sz w:val="16"/>
                <w:szCs w:val="16"/>
              </w:rPr>
              <w:t>Úspešnosť plnenia zazmluv-</w:t>
            </w:r>
            <w:r w:rsidRPr="00E21C60">
              <w:rPr>
                <w:rFonts w:ascii="Arial" w:hAnsi="Arial" w:cs="Arial"/>
                <w:b/>
                <w:bCs/>
                <w:color w:val="000000"/>
                <w:sz w:val="16"/>
                <w:szCs w:val="16"/>
              </w:rPr>
              <w:br/>
              <w:t>nených projektov (%)</w:t>
            </w:r>
          </w:p>
        </w:tc>
      </w:tr>
      <w:tr w:rsidR="00E46A79" w:rsidRPr="00E21C60" w14:paraId="3FF9A18B" w14:textId="77777777" w:rsidTr="00682B07">
        <w:trPr>
          <w:trHeight w:val="1125"/>
          <w:jc w:val="center"/>
        </w:trPr>
        <w:tc>
          <w:tcPr>
            <w:tcW w:w="6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A6C4FC" w14:textId="77777777" w:rsidR="00E46A79" w:rsidRPr="002526CC" w:rsidRDefault="00E46A79">
            <w:pPr>
              <w:jc w:val="center"/>
              <w:rPr>
                <w:rFonts w:ascii="Arial" w:hAnsi="Arial" w:cs="Arial"/>
                <w:color w:val="000000"/>
                <w:sz w:val="16"/>
                <w:szCs w:val="16"/>
              </w:rPr>
            </w:pPr>
            <w:r w:rsidRPr="002526CC">
              <w:rPr>
                <w:rFonts w:ascii="Arial" w:hAnsi="Arial" w:cs="Arial"/>
                <w:color w:val="000000"/>
                <w:sz w:val="16"/>
                <w:szCs w:val="16"/>
              </w:rPr>
              <w:t>1.1</w:t>
            </w:r>
          </w:p>
        </w:tc>
        <w:tc>
          <w:tcPr>
            <w:tcW w:w="1518" w:type="dxa"/>
            <w:tcBorders>
              <w:top w:val="single" w:sz="4" w:space="0" w:color="auto"/>
              <w:left w:val="nil"/>
              <w:bottom w:val="single" w:sz="4" w:space="0" w:color="auto"/>
              <w:right w:val="single" w:sz="4" w:space="0" w:color="auto"/>
            </w:tcBorders>
            <w:shd w:val="clear" w:color="auto" w:fill="auto"/>
            <w:vAlign w:val="center"/>
            <w:hideMark/>
          </w:tcPr>
          <w:p w14:paraId="48DFF7D3" w14:textId="77777777" w:rsidR="00E46A79" w:rsidRPr="00E21C60" w:rsidRDefault="00E46A79">
            <w:pPr>
              <w:rPr>
                <w:rFonts w:ascii="Arial" w:hAnsi="Arial" w:cs="Arial"/>
                <w:color w:val="000000"/>
                <w:sz w:val="16"/>
                <w:szCs w:val="16"/>
              </w:rPr>
            </w:pPr>
            <w:r w:rsidRPr="00E21C60">
              <w:rPr>
                <w:rFonts w:ascii="Arial" w:hAnsi="Arial" w:cs="Arial"/>
                <w:color w:val="000000"/>
                <w:sz w:val="16"/>
                <w:szCs w:val="16"/>
              </w:rPr>
              <w:t>Dĺžka novovybudovaných rozvodov pitnej vody (bez vodovod. prípojok)</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5333324B" w14:textId="77777777" w:rsidR="00E46A79" w:rsidRPr="00E21C60" w:rsidRDefault="00E46A79">
            <w:pPr>
              <w:jc w:val="center"/>
              <w:rPr>
                <w:rFonts w:ascii="Arial" w:hAnsi="Arial" w:cs="Arial"/>
                <w:color w:val="000000"/>
                <w:sz w:val="16"/>
                <w:szCs w:val="16"/>
              </w:rPr>
            </w:pPr>
            <w:r w:rsidRPr="00E21C60">
              <w:rPr>
                <w:rFonts w:ascii="Arial" w:hAnsi="Arial" w:cs="Arial"/>
                <w:color w:val="000000"/>
                <w:sz w:val="16"/>
                <w:szCs w:val="16"/>
              </w:rPr>
              <w:t>km</w:t>
            </w:r>
          </w:p>
        </w:tc>
        <w:tc>
          <w:tcPr>
            <w:tcW w:w="830" w:type="dxa"/>
            <w:tcBorders>
              <w:top w:val="nil"/>
              <w:left w:val="nil"/>
              <w:bottom w:val="single" w:sz="4" w:space="0" w:color="auto"/>
              <w:right w:val="single" w:sz="4" w:space="0" w:color="auto"/>
            </w:tcBorders>
            <w:vAlign w:val="center"/>
          </w:tcPr>
          <w:p w14:paraId="3EA5D100" w14:textId="2112DF30" w:rsidR="00E46A79" w:rsidRPr="00E21C60" w:rsidRDefault="00E46A79" w:rsidP="004E581A">
            <w:pPr>
              <w:jc w:val="center"/>
              <w:rPr>
                <w:rFonts w:ascii="Arial" w:hAnsi="Arial" w:cs="Arial"/>
                <w:color w:val="000000"/>
                <w:sz w:val="16"/>
                <w:szCs w:val="16"/>
              </w:rPr>
            </w:pPr>
            <w:r>
              <w:rPr>
                <w:rFonts w:ascii="Arial" w:hAnsi="Arial" w:cs="Arial"/>
                <w:color w:val="000000"/>
                <w:sz w:val="16"/>
                <w:szCs w:val="16"/>
              </w:rPr>
              <w:t>90</w:t>
            </w:r>
          </w:p>
        </w:tc>
        <w:tc>
          <w:tcPr>
            <w:tcW w:w="8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1D3C83" w14:textId="5D05B2B6" w:rsidR="00E46A79" w:rsidRPr="00E21C60" w:rsidRDefault="00E46A79" w:rsidP="006B3ADD">
            <w:pPr>
              <w:jc w:val="center"/>
              <w:rPr>
                <w:rFonts w:ascii="Arial" w:hAnsi="Arial" w:cs="Arial"/>
                <w:color w:val="000000"/>
                <w:sz w:val="16"/>
                <w:szCs w:val="16"/>
              </w:rPr>
            </w:pPr>
            <w:r w:rsidRPr="00E21C60">
              <w:rPr>
                <w:rFonts w:ascii="Arial" w:hAnsi="Arial" w:cs="Arial"/>
                <w:color w:val="000000"/>
                <w:sz w:val="16"/>
                <w:szCs w:val="16"/>
              </w:rPr>
              <w:t>410</w:t>
            </w:r>
          </w:p>
        </w:tc>
        <w:tc>
          <w:tcPr>
            <w:tcW w:w="1013" w:type="dxa"/>
            <w:tcBorders>
              <w:top w:val="single" w:sz="4" w:space="0" w:color="auto"/>
              <w:left w:val="nil"/>
              <w:bottom w:val="single" w:sz="4" w:space="0" w:color="auto"/>
              <w:right w:val="single" w:sz="4" w:space="0" w:color="auto"/>
            </w:tcBorders>
            <w:shd w:val="clear" w:color="auto" w:fill="auto"/>
            <w:vAlign w:val="center"/>
          </w:tcPr>
          <w:p w14:paraId="72A7628D" w14:textId="6858AF6F" w:rsidR="00E46A79" w:rsidRPr="00E21C60" w:rsidRDefault="00F04811" w:rsidP="00F04811">
            <w:pPr>
              <w:rPr>
                <w:rFonts w:ascii="Arial" w:hAnsi="Arial" w:cs="Arial"/>
                <w:color w:val="000000"/>
                <w:sz w:val="16"/>
                <w:szCs w:val="16"/>
              </w:rPr>
            </w:pPr>
            <w:r>
              <w:rPr>
                <w:rFonts w:ascii="Arial" w:hAnsi="Arial" w:cs="Arial"/>
                <w:color w:val="000000"/>
                <w:sz w:val="16"/>
                <w:szCs w:val="16"/>
              </w:rPr>
              <w:t xml:space="preserve">  </w:t>
            </w:r>
            <w:r w:rsidR="00605509">
              <w:rPr>
                <w:rFonts w:ascii="Arial" w:hAnsi="Arial" w:cs="Arial"/>
                <w:color w:val="000000"/>
                <w:sz w:val="16"/>
                <w:szCs w:val="16"/>
              </w:rPr>
              <w:t>266,560</w:t>
            </w:r>
          </w:p>
        </w:tc>
        <w:tc>
          <w:tcPr>
            <w:tcW w:w="850" w:type="dxa"/>
            <w:tcBorders>
              <w:top w:val="single" w:sz="4" w:space="0" w:color="auto"/>
              <w:left w:val="nil"/>
              <w:bottom w:val="single" w:sz="4" w:space="0" w:color="auto"/>
              <w:right w:val="single" w:sz="4" w:space="0" w:color="auto"/>
            </w:tcBorders>
            <w:shd w:val="clear" w:color="000000" w:fill="EBF1DE"/>
            <w:vAlign w:val="center"/>
          </w:tcPr>
          <w:p w14:paraId="1A7CA9E5" w14:textId="16D91454" w:rsidR="00E46A79" w:rsidRPr="00E21C60" w:rsidRDefault="00862485" w:rsidP="009A5D70">
            <w:pPr>
              <w:jc w:val="center"/>
              <w:rPr>
                <w:rFonts w:ascii="Arial" w:hAnsi="Arial" w:cs="Arial"/>
                <w:color w:val="000000"/>
                <w:sz w:val="16"/>
                <w:szCs w:val="16"/>
              </w:rPr>
            </w:pPr>
            <w:r>
              <w:rPr>
                <w:rFonts w:ascii="Arial" w:hAnsi="Arial" w:cs="Arial"/>
                <w:color w:val="000000"/>
                <w:sz w:val="16"/>
                <w:szCs w:val="16"/>
              </w:rPr>
              <w:t>32</w:t>
            </w:r>
            <w:r w:rsidR="007D557E">
              <w:rPr>
                <w:rFonts w:ascii="Arial" w:hAnsi="Arial" w:cs="Arial"/>
                <w:color w:val="000000"/>
                <w:sz w:val="16"/>
                <w:szCs w:val="16"/>
              </w:rPr>
              <w:t>3</w:t>
            </w:r>
            <w:r>
              <w:rPr>
                <w:rFonts w:ascii="Arial" w:hAnsi="Arial" w:cs="Arial"/>
                <w:color w:val="000000"/>
                <w:sz w:val="16"/>
                <w:szCs w:val="16"/>
              </w:rPr>
              <w:t>,43</w:t>
            </w:r>
          </w:p>
        </w:tc>
        <w:tc>
          <w:tcPr>
            <w:tcW w:w="992" w:type="dxa"/>
            <w:tcBorders>
              <w:top w:val="nil"/>
              <w:left w:val="nil"/>
              <w:bottom w:val="single" w:sz="4" w:space="0" w:color="auto"/>
              <w:right w:val="single" w:sz="4" w:space="0" w:color="auto"/>
            </w:tcBorders>
            <w:shd w:val="clear" w:color="auto" w:fill="auto"/>
            <w:vAlign w:val="center"/>
          </w:tcPr>
          <w:p w14:paraId="3B8E749B" w14:textId="2D4F15AF" w:rsidR="00E46A79" w:rsidRPr="00E21C60" w:rsidRDefault="00F04811" w:rsidP="00F04811">
            <w:pPr>
              <w:rPr>
                <w:rFonts w:ascii="Arial" w:hAnsi="Arial" w:cs="Arial"/>
                <w:color w:val="000000"/>
                <w:sz w:val="16"/>
                <w:szCs w:val="16"/>
              </w:rPr>
            </w:pPr>
            <w:r>
              <w:rPr>
                <w:rFonts w:ascii="Arial" w:hAnsi="Arial" w:cs="Arial"/>
                <w:color w:val="000000"/>
                <w:sz w:val="16"/>
                <w:szCs w:val="16"/>
              </w:rPr>
              <w:t xml:space="preserve">   </w:t>
            </w:r>
            <w:r w:rsidR="00EE51B4" w:rsidRPr="00DE0728">
              <w:rPr>
                <w:rFonts w:ascii="Arial" w:hAnsi="Arial" w:cs="Arial"/>
                <w:color w:val="000000"/>
                <w:sz w:val="16"/>
                <w:szCs w:val="16"/>
              </w:rPr>
              <w:t>343,761</w:t>
            </w:r>
            <w:r w:rsidR="00325A93" w:rsidRPr="00FF3D35">
              <w:rPr>
                <w:rFonts w:ascii="Arial" w:hAnsi="Arial" w:cs="Arial"/>
                <w:color w:val="000000"/>
                <w:sz w:val="16"/>
                <w:szCs w:val="16"/>
              </w:rPr>
              <w:t>*</w:t>
            </w:r>
          </w:p>
        </w:tc>
        <w:tc>
          <w:tcPr>
            <w:tcW w:w="830" w:type="dxa"/>
            <w:tcBorders>
              <w:top w:val="nil"/>
              <w:left w:val="nil"/>
              <w:bottom w:val="single" w:sz="4" w:space="0" w:color="auto"/>
              <w:right w:val="single" w:sz="4" w:space="0" w:color="auto"/>
            </w:tcBorders>
            <w:shd w:val="clear" w:color="000000" w:fill="EBF1DE"/>
            <w:vAlign w:val="center"/>
          </w:tcPr>
          <w:p w14:paraId="631C43E9" w14:textId="383110C5" w:rsidR="0062459F" w:rsidRPr="00E21C60" w:rsidRDefault="007D557E" w:rsidP="00780CAC">
            <w:pPr>
              <w:rPr>
                <w:rFonts w:ascii="Arial" w:hAnsi="Arial" w:cs="Arial"/>
                <w:color w:val="000000"/>
                <w:sz w:val="16"/>
                <w:szCs w:val="16"/>
              </w:rPr>
            </w:pPr>
            <w:r>
              <w:rPr>
                <w:rFonts w:ascii="Arial" w:hAnsi="Arial" w:cs="Arial"/>
                <w:color w:val="000000"/>
                <w:sz w:val="16"/>
                <w:szCs w:val="16"/>
              </w:rPr>
              <w:t xml:space="preserve">101,07 </w:t>
            </w:r>
            <w:r w:rsidR="00154AA8">
              <w:rPr>
                <w:rFonts w:ascii="Arial" w:hAnsi="Arial" w:cs="Arial"/>
                <w:color w:val="000000"/>
                <w:sz w:val="16"/>
                <w:szCs w:val="16"/>
              </w:rPr>
              <w:t>%</w:t>
            </w:r>
          </w:p>
        </w:tc>
        <w:tc>
          <w:tcPr>
            <w:tcW w:w="993" w:type="dxa"/>
            <w:tcBorders>
              <w:top w:val="nil"/>
              <w:left w:val="nil"/>
              <w:bottom w:val="single" w:sz="4" w:space="0" w:color="auto"/>
              <w:right w:val="single" w:sz="4" w:space="0" w:color="auto"/>
            </w:tcBorders>
            <w:shd w:val="clear" w:color="auto" w:fill="auto"/>
            <w:vAlign w:val="center"/>
          </w:tcPr>
          <w:p w14:paraId="4E66272C" w14:textId="7F473A80" w:rsidR="00E46A79" w:rsidRPr="000308DA" w:rsidRDefault="00E46A79" w:rsidP="00F04811">
            <w:pPr>
              <w:jc w:val="center"/>
              <w:rPr>
                <w:rFonts w:ascii="Arial" w:hAnsi="Arial" w:cs="Arial"/>
                <w:color w:val="000000"/>
                <w:sz w:val="16"/>
                <w:szCs w:val="16"/>
              </w:rPr>
            </w:pPr>
            <w:r w:rsidRPr="000308DA">
              <w:rPr>
                <w:rFonts w:ascii="Arial" w:hAnsi="Arial" w:cs="Arial"/>
                <w:color w:val="000000"/>
                <w:sz w:val="16"/>
                <w:szCs w:val="16"/>
              </w:rPr>
              <w:t>107%</w:t>
            </w:r>
          </w:p>
        </w:tc>
      </w:tr>
      <w:tr w:rsidR="00E46A79" w:rsidRPr="003B1E4E" w14:paraId="21CBCDC5" w14:textId="77777777" w:rsidTr="00682B07">
        <w:trPr>
          <w:trHeight w:val="900"/>
          <w:jc w:val="center"/>
        </w:trPr>
        <w:tc>
          <w:tcPr>
            <w:tcW w:w="624" w:type="dxa"/>
            <w:vMerge/>
            <w:tcBorders>
              <w:top w:val="single" w:sz="4" w:space="0" w:color="auto"/>
              <w:left w:val="single" w:sz="4" w:space="0" w:color="auto"/>
              <w:bottom w:val="single" w:sz="4" w:space="0" w:color="auto"/>
              <w:right w:val="single" w:sz="4" w:space="0" w:color="auto"/>
            </w:tcBorders>
            <w:vAlign w:val="center"/>
            <w:hideMark/>
          </w:tcPr>
          <w:p w14:paraId="66B7342D" w14:textId="77777777" w:rsidR="00E46A79" w:rsidRPr="00E21C60" w:rsidRDefault="00E46A79">
            <w:pPr>
              <w:rPr>
                <w:rFonts w:ascii="Arial" w:hAnsi="Arial" w:cs="Arial"/>
                <w:color w:val="000000"/>
                <w:sz w:val="16"/>
                <w:szCs w:val="16"/>
              </w:rPr>
            </w:pPr>
          </w:p>
        </w:tc>
        <w:tc>
          <w:tcPr>
            <w:tcW w:w="1518" w:type="dxa"/>
            <w:tcBorders>
              <w:top w:val="nil"/>
              <w:left w:val="nil"/>
              <w:bottom w:val="single" w:sz="4" w:space="0" w:color="auto"/>
              <w:right w:val="single" w:sz="4" w:space="0" w:color="auto"/>
            </w:tcBorders>
            <w:shd w:val="clear" w:color="auto" w:fill="auto"/>
            <w:vAlign w:val="center"/>
            <w:hideMark/>
          </w:tcPr>
          <w:p w14:paraId="1D5984A8" w14:textId="77777777" w:rsidR="00E46A79" w:rsidRPr="00E21C60" w:rsidRDefault="00E46A79">
            <w:pPr>
              <w:rPr>
                <w:rFonts w:ascii="Arial" w:hAnsi="Arial" w:cs="Arial"/>
                <w:color w:val="000000"/>
                <w:sz w:val="16"/>
                <w:szCs w:val="16"/>
              </w:rPr>
            </w:pPr>
            <w:r w:rsidRPr="00E21C60">
              <w:rPr>
                <w:rFonts w:ascii="Arial" w:hAnsi="Arial" w:cs="Arial"/>
                <w:color w:val="000000"/>
                <w:sz w:val="16"/>
                <w:szCs w:val="16"/>
              </w:rPr>
              <w:t>Počet obyvateľov pripojených k novovybudovaným rozvodom pitnej vody</w:t>
            </w:r>
          </w:p>
        </w:tc>
        <w:tc>
          <w:tcPr>
            <w:tcW w:w="729" w:type="dxa"/>
            <w:tcBorders>
              <w:top w:val="nil"/>
              <w:left w:val="nil"/>
              <w:bottom w:val="single" w:sz="4" w:space="0" w:color="auto"/>
              <w:right w:val="single" w:sz="4" w:space="0" w:color="auto"/>
            </w:tcBorders>
            <w:shd w:val="clear" w:color="auto" w:fill="auto"/>
            <w:vAlign w:val="center"/>
            <w:hideMark/>
          </w:tcPr>
          <w:p w14:paraId="0E42E080" w14:textId="77777777" w:rsidR="00E46A79" w:rsidRPr="00E21C60" w:rsidRDefault="00E46A79">
            <w:pPr>
              <w:jc w:val="center"/>
              <w:rPr>
                <w:rFonts w:ascii="Arial" w:hAnsi="Arial" w:cs="Arial"/>
                <w:color w:val="000000"/>
                <w:sz w:val="16"/>
                <w:szCs w:val="16"/>
              </w:rPr>
            </w:pPr>
            <w:r w:rsidRPr="00E21C60">
              <w:rPr>
                <w:rFonts w:ascii="Arial" w:hAnsi="Arial" w:cs="Arial"/>
                <w:color w:val="000000"/>
                <w:sz w:val="16"/>
                <w:szCs w:val="16"/>
              </w:rPr>
              <w:t>počet obyv.</w:t>
            </w:r>
          </w:p>
        </w:tc>
        <w:tc>
          <w:tcPr>
            <w:tcW w:w="830" w:type="dxa"/>
            <w:tcBorders>
              <w:top w:val="nil"/>
              <w:left w:val="nil"/>
              <w:bottom w:val="single" w:sz="4" w:space="0" w:color="auto"/>
              <w:right w:val="single" w:sz="4" w:space="0" w:color="auto"/>
            </w:tcBorders>
            <w:vAlign w:val="center"/>
          </w:tcPr>
          <w:p w14:paraId="60BFE0F5" w14:textId="25AD4091" w:rsidR="00E46A79" w:rsidRPr="00E21C60" w:rsidRDefault="00E46A79" w:rsidP="004E581A">
            <w:pPr>
              <w:jc w:val="center"/>
              <w:rPr>
                <w:rFonts w:ascii="Arial" w:hAnsi="Arial" w:cs="Arial"/>
                <w:color w:val="000000"/>
                <w:sz w:val="16"/>
                <w:szCs w:val="16"/>
              </w:rPr>
            </w:pPr>
            <w:r>
              <w:rPr>
                <w:rFonts w:ascii="Arial" w:hAnsi="Arial" w:cs="Arial"/>
                <w:color w:val="000000"/>
                <w:sz w:val="16"/>
                <w:szCs w:val="16"/>
              </w:rPr>
              <w:t>8</w:t>
            </w:r>
            <w:r w:rsidR="00D0767A">
              <w:rPr>
                <w:rFonts w:ascii="Arial" w:hAnsi="Arial" w:cs="Arial"/>
                <w:color w:val="000000"/>
                <w:sz w:val="16"/>
                <w:szCs w:val="16"/>
              </w:rPr>
              <w:t xml:space="preserve"> </w:t>
            </w:r>
            <w:r>
              <w:rPr>
                <w:rFonts w:ascii="Arial" w:hAnsi="Arial" w:cs="Arial"/>
                <w:color w:val="000000"/>
                <w:sz w:val="16"/>
                <w:szCs w:val="16"/>
              </w:rPr>
              <w:t>655</w:t>
            </w:r>
          </w:p>
        </w:tc>
        <w:tc>
          <w:tcPr>
            <w:tcW w:w="8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AB3C35" w14:textId="7D459367" w:rsidR="00E46A79" w:rsidRPr="00E21C60" w:rsidRDefault="00E46A79" w:rsidP="006B3ADD">
            <w:pPr>
              <w:jc w:val="center"/>
              <w:rPr>
                <w:rFonts w:ascii="Arial" w:hAnsi="Arial" w:cs="Arial"/>
                <w:color w:val="000000"/>
                <w:sz w:val="16"/>
                <w:szCs w:val="16"/>
              </w:rPr>
            </w:pPr>
            <w:r w:rsidRPr="00E21C60">
              <w:rPr>
                <w:rFonts w:ascii="Arial" w:hAnsi="Arial" w:cs="Arial"/>
                <w:color w:val="000000"/>
                <w:sz w:val="16"/>
                <w:szCs w:val="16"/>
              </w:rPr>
              <w:t>18</w:t>
            </w:r>
            <w:r w:rsidR="000C78B8">
              <w:rPr>
                <w:rFonts w:ascii="Arial" w:hAnsi="Arial" w:cs="Arial"/>
                <w:color w:val="000000"/>
                <w:sz w:val="16"/>
                <w:szCs w:val="16"/>
              </w:rPr>
              <w:t> </w:t>
            </w:r>
            <w:r w:rsidRPr="00E21C60">
              <w:rPr>
                <w:rFonts w:ascii="Arial" w:hAnsi="Arial" w:cs="Arial"/>
                <w:color w:val="000000"/>
                <w:sz w:val="16"/>
                <w:szCs w:val="16"/>
              </w:rPr>
              <w:t>155</w:t>
            </w:r>
          </w:p>
        </w:tc>
        <w:tc>
          <w:tcPr>
            <w:tcW w:w="1013" w:type="dxa"/>
            <w:tcBorders>
              <w:top w:val="nil"/>
              <w:left w:val="nil"/>
              <w:bottom w:val="single" w:sz="4" w:space="0" w:color="auto"/>
              <w:right w:val="single" w:sz="4" w:space="0" w:color="auto"/>
            </w:tcBorders>
            <w:shd w:val="clear" w:color="auto" w:fill="auto"/>
            <w:vAlign w:val="center"/>
          </w:tcPr>
          <w:p w14:paraId="62318F73" w14:textId="22709076" w:rsidR="00E46A79" w:rsidRPr="00E21C60" w:rsidRDefault="00605509" w:rsidP="006B3ADD">
            <w:pPr>
              <w:jc w:val="center"/>
              <w:rPr>
                <w:rFonts w:ascii="Arial" w:hAnsi="Arial" w:cs="Arial"/>
                <w:color w:val="000000"/>
                <w:sz w:val="16"/>
                <w:szCs w:val="16"/>
              </w:rPr>
            </w:pPr>
            <w:r>
              <w:rPr>
                <w:rFonts w:ascii="Arial" w:hAnsi="Arial" w:cs="Arial"/>
                <w:color w:val="000000"/>
                <w:sz w:val="16"/>
                <w:szCs w:val="16"/>
              </w:rPr>
              <w:t>39 733</w:t>
            </w:r>
          </w:p>
        </w:tc>
        <w:tc>
          <w:tcPr>
            <w:tcW w:w="850" w:type="dxa"/>
            <w:tcBorders>
              <w:top w:val="nil"/>
              <w:left w:val="nil"/>
              <w:bottom w:val="single" w:sz="4" w:space="0" w:color="auto"/>
              <w:right w:val="single" w:sz="4" w:space="0" w:color="auto"/>
            </w:tcBorders>
            <w:shd w:val="clear" w:color="000000" w:fill="EBF1DE"/>
            <w:vAlign w:val="center"/>
          </w:tcPr>
          <w:p w14:paraId="22591295" w14:textId="73C6EBC3" w:rsidR="00E46A79" w:rsidRPr="00E21C60" w:rsidRDefault="00EE51B4" w:rsidP="006B3ADD">
            <w:pPr>
              <w:jc w:val="center"/>
              <w:rPr>
                <w:rFonts w:ascii="Arial" w:hAnsi="Arial" w:cs="Arial"/>
                <w:color w:val="000000"/>
                <w:sz w:val="16"/>
                <w:szCs w:val="16"/>
              </w:rPr>
            </w:pPr>
            <w:r>
              <w:rPr>
                <w:rFonts w:ascii="Arial" w:hAnsi="Arial" w:cs="Arial"/>
                <w:color w:val="000000"/>
                <w:sz w:val="16"/>
                <w:szCs w:val="16"/>
              </w:rPr>
              <w:t>41 535</w:t>
            </w:r>
          </w:p>
        </w:tc>
        <w:tc>
          <w:tcPr>
            <w:tcW w:w="992" w:type="dxa"/>
            <w:tcBorders>
              <w:top w:val="nil"/>
              <w:left w:val="nil"/>
              <w:bottom w:val="single" w:sz="4" w:space="0" w:color="auto"/>
              <w:right w:val="single" w:sz="4" w:space="0" w:color="auto"/>
            </w:tcBorders>
            <w:shd w:val="clear" w:color="auto" w:fill="auto"/>
            <w:vAlign w:val="center"/>
          </w:tcPr>
          <w:p w14:paraId="4E2AB5DF" w14:textId="71FC93BF" w:rsidR="00E46A79" w:rsidRPr="00E21C60" w:rsidRDefault="00EE51B4" w:rsidP="00F04811">
            <w:pPr>
              <w:jc w:val="center"/>
              <w:rPr>
                <w:rFonts w:ascii="Arial" w:hAnsi="Arial" w:cs="Arial"/>
                <w:color w:val="000000"/>
                <w:sz w:val="16"/>
                <w:szCs w:val="16"/>
              </w:rPr>
            </w:pPr>
            <w:r>
              <w:rPr>
                <w:rFonts w:ascii="Arial" w:hAnsi="Arial" w:cs="Arial"/>
                <w:color w:val="000000"/>
                <w:sz w:val="16"/>
                <w:szCs w:val="16"/>
              </w:rPr>
              <w:t> 70 559</w:t>
            </w:r>
            <w:r w:rsidR="00325A93">
              <w:rPr>
                <w:rFonts w:ascii="Arial" w:hAnsi="Arial" w:cs="Arial"/>
                <w:color w:val="000000"/>
                <w:sz w:val="16"/>
                <w:szCs w:val="16"/>
              </w:rPr>
              <w:t>*</w:t>
            </w:r>
          </w:p>
        </w:tc>
        <w:tc>
          <w:tcPr>
            <w:tcW w:w="830" w:type="dxa"/>
            <w:tcBorders>
              <w:top w:val="nil"/>
              <w:left w:val="nil"/>
              <w:bottom w:val="single" w:sz="4" w:space="0" w:color="auto"/>
              <w:right w:val="single" w:sz="4" w:space="0" w:color="auto"/>
            </w:tcBorders>
            <w:shd w:val="clear" w:color="000000" w:fill="EBF1DE"/>
            <w:vAlign w:val="center"/>
          </w:tcPr>
          <w:p w14:paraId="578FFA63" w14:textId="2B0657F9" w:rsidR="00E46A79" w:rsidRPr="00E21C60" w:rsidRDefault="00493EAE" w:rsidP="00F04811">
            <w:pPr>
              <w:jc w:val="center"/>
              <w:rPr>
                <w:rFonts w:ascii="Arial" w:hAnsi="Arial" w:cs="Arial"/>
                <w:color w:val="000000"/>
                <w:sz w:val="16"/>
                <w:szCs w:val="16"/>
              </w:rPr>
            </w:pPr>
            <w:r>
              <w:rPr>
                <w:rFonts w:ascii="Arial" w:hAnsi="Arial" w:cs="Arial"/>
                <w:color w:val="000000"/>
                <w:sz w:val="16"/>
                <w:szCs w:val="16"/>
              </w:rPr>
              <w:t xml:space="preserve">437 </w:t>
            </w:r>
            <w:r w:rsidR="00154AA8">
              <w:rPr>
                <w:rFonts w:ascii="Arial" w:hAnsi="Arial" w:cs="Arial"/>
                <w:color w:val="000000"/>
                <w:sz w:val="16"/>
                <w:szCs w:val="16"/>
              </w:rPr>
              <w:t>%</w:t>
            </w:r>
          </w:p>
        </w:tc>
        <w:tc>
          <w:tcPr>
            <w:tcW w:w="993" w:type="dxa"/>
            <w:tcBorders>
              <w:top w:val="nil"/>
              <w:left w:val="nil"/>
              <w:bottom w:val="single" w:sz="4" w:space="0" w:color="auto"/>
              <w:right w:val="single" w:sz="4" w:space="0" w:color="auto"/>
            </w:tcBorders>
            <w:shd w:val="clear" w:color="auto" w:fill="auto"/>
            <w:vAlign w:val="center"/>
          </w:tcPr>
          <w:p w14:paraId="498581A7" w14:textId="670652A4" w:rsidR="00E46A79" w:rsidRPr="003B1E4E" w:rsidRDefault="00EE51B4" w:rsidP="00F04811">
            <w:pPr>
              <w:jc w:val="center"/>
              <w:rPr>
                <w:rFonts w:ascii="Arial" w:hAnsi="Arial" w:cs="Arial"/>
                <w:color w:val="000000"/>
                <w:sz w:val="16"/>
                <w:szCs w:val="16"/>
              </w:rPr>
            </w:pPr>
            <w:r w:rsidRPr="003B1E4E">
              <w:rPr>
                <w:rFonts w:ascii="Arial" w:hAnsi="Arial" w:cs="Arial"/>
                <w:color w:val="000000"/>
                <w:sz w:val="16"/>
                <w:szCs w:val="16"/>
              </w:rPr>
              <w:t>743</w:t>
            </w:r>
            <w:r w:rsidR="00E46A79" w:rsidRPr="003B1E4E">
              <w:rPr>
                <w:rFonts w:ascii="Arial" w:hAnsi="Arial" w:cs="Arial"/>
                <w:color w:val="000000"/>
                <w:sz w:val="16"/>
                <w:szCs w:val="16"/>
              </w:rPr>
              <w:t>%</w:t>
            </w:r>
          </w:p>
        </w:tc>
      </w:tr>
      <w:tr w:rsidR="00E46A79" w:rsidRPr="003B1E4E" w14:paraId="55BA050F" w14:textId="77777777" w:rsidTr="00682B07">
        <w:trPr>
          <w:trHeight w:val="900"/>
          <w:jc w:val="center"/>
        </w:trPr>
        <w:tc>
          <w:tcPr>
            <w:tcW w:w="624" w:type="dxa"/>
            <w:vMerge w:val="restart"/>
            <w:tcBorders>
              <w:top w:val="nil"/>
              <w:left w:val="single" w:sz="4" w:space="0" w:color="auto"/>
              <w:bottom w:val="single" w:sz="4" w:space="0" w:color="auto"/>
              <w:right w:val="single" w:sz="4" w:space="0" w:color="auto"/>
            </w:tcBorders>
            <w:shd w:val="clear" w:color="auto" w:fill="auto"/>
            <w:vAlign w:val="center"/>
            <w:hideMark/>
          </w:tcPr>
          <w:p w14:paraId="22A1B9D6" w14:textId="77777777" w:rsidR="00E46A79" w:rsidRPr="002526CC" w:rsidRDefault="00E46A79">
            <w:pPr>
              <w:jc w:val="center"/>
              <w:rPr>
                <w:rFonts w:ascii="Arial" w:hAnsi="Arial" w:cs="Arial"/>
                <w:color w:val="000000"/>
                <w:sz w:val="16"/>
                <w:szCs w:val="16"/>
              </w:rPr>
            </w:pPr>
            <w:r w:rsidRPr="002526CC">
              <w:rPr>
                <w:rFonts w:ascii="Arial" w:hAnsi="Arial" w:cs="Arial"/>
                <w:color w:val="000000"/>
                <w:sz w:val="16"/>
                <w:szCs w:val="16"/>
              </w:rPr>
              <w:t>1.2</w:t>
            </w:r>
          </w:p>
        </w:tc>
        <w:tc>
          <w:tcPr>
            <w:tcW w:w="1518" w:type="dxa"/>
            <w:tcBorders>
              <w:top w:val="nil"/>
              <w:left w:val="nil"/>
              <w:bottom w:val="single" w:sz="4" w:space="0" w:color="auto"/>
              <w:right w:val="single" w:sz="4" w:space="0" w:color="auto"/>
            </w:tcBorders>
            <w:shd w:val="clear" w:color="auto" w:fill="auto"/>
            <w:vAlign w:val="center"/>
            <w:hideMark/>
          </w:tcPr>
          <w:p w14:paraId="31631438" w14:textId="77777777" w:rsidR="00E46A79" w:rsidRPr="00E21C60" w:rsidRDefault="00E46A79">
            <w:pPr>
              <w:rPr>
                <w:rFonts w:ascii="Arial" w:hAnsi="Arial" w:cs="Arial"/>
                <w:color w:val="000000"/>
                <w:sz w:val="16"/>
                <w:szCs w:val="16"/>
              </w:rPr>
            </w:pPr>
            <w:r w:rsidRPr="00E21C60">
              <w:rPr>
                <w:rFonts w:ascii="Arial" w:hAnsi="Arial" w:cs="Arial"/>
                <w:color w:val="000000"/>
                <w:sz w:val="16"/>
                <w:szCs w:val="16"/>
              </w:rPr>
              <w:t>Dĺžka novovybudovaných kanalizačných sietí (bez kanal. prípojok)</w:t>
            </w:r>
          </w:p>
        </w:tc>
        <w:tc>
          <w:tcPr>
            <w:tcW w:w="729" w:type="dxa"/>
            <w:tcBorders>
              <w:top w:val="nil"/>
              <w:left w:val="nil"/>
              <w:bottom w:val="single" w:sz="4" w:space="0" w:color="auto"/>
              <w:right w:val="single" w:sz="4" w:space="0" w:color="auto"/>
            </w:tcBorders>
            <w:shd w:val="clear" w:color="auto" w:fill="auto"/>
            <w:vAlign w:val="center"/>
            <w:hideMark/>
          </w:tcPr>
          <w:p w14:paraId="410B7B24" w14:textId="77777777" w:rsidR="00E46A79" w:rsidRPr="00E21C60" w:rsidRDefault="00E46A79">
            <w:pPr>
              <w:jc w:val="center"/>
              <w:rPr>
                <w:rFonts w:ascii="Arial" w:hAnsi="Arial" w:cs="Arial"/>
                <w:color w:val="000000"/>
                <w:sz w:val="16"/>
                <w:szCs w:val="16"/>
              </w:rPr>
            </w:pPr>
            <w:r w:rsidRPr="00E21C60">
              <w:rPr>
                <w:rFonts w:ascii="Arial" w:hAnsi="Arial" w:cs="Arial"/>
                <w:color w:val="000000"/>
                <w:sz w:val="16"/>
                <w:szCs w:val="16"/>
              </w:rPr>
              <w:t>km</w:t>
            </w:r>
          </w:p>
        </w:tc>
        <w:tc>
          <w:tcPr>
            <w:tcW w:w="830" w:type="dxa"/>
            <w:tcBorders>
              <w:top w:val="nil"/>
              <w:left w:val="nil"/>
              <w:bottom w:val="single" w:sz="4" w:space="0" w:color="auto"/>
              <w:right w:val="single" w:sz="4" w:space="0" w:color="auto"/>
            </w:tcBorders>
            <w:vAlign w:val="center"/>
          </w:tcPr>
          <w:p w14:paraId="1A21B747" w14:textId="0E9AF022" w:rsidR="00E46A79" w:rsidRPr="00E21C60" w:rsidRDefault="00E46A79" w:rsidP="004E581A">
            <w:pPr>
              <w:jc w:val="center"/>
              <w:rPr>
                <w:rFonts w:ascii="Arial" w:hAnsi="Arial" w:cs="Arial"/>
                <w:color w:val="000000"/>
                <w:sz w:val="16"/>
                <w:szCs w:val="16"/>
              </w:rPr>
            </w:pPr>
            <w:r>
              <w:rPr>
                <w:rFonts w:ascii="Arial" w:hAnsi="Arial" w:cs="Arial"/>
                <w:color w:val="000000"/>
                <w:sz w:val="16"/>
                <w:szCs w:val="16"/>
              </w:rPr>
              <w:t>84</w:t>
            </w:r>
          </w:p>
        </w:tc>
        <w:tc>
          <w:tcPr>
            <w:tcW w:w="8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7FE2E6" w14:textId="76DBC2C6" w:rsidR="00E46A79" w:rsidRPr="00E21C60" w:rsidRDefault="00E46A79" w:rsidP="006B3ADD">
            <w:pPr>
              <w:jc w:val="center"/>
              <w:rPr>
                <w:rFonts w:ascii="Arial" w:hAnsi="Arial" w:cs="Arial"/>
                <w:color w:val="000000"/>
                <w:sz w:val="16"/>
                <w:szCs w:val="16"/>
              </w:rPr>
            </w:pPr>
            <w:r w:rsidRPr="00E21C60">
              <w:rPr>
                <w:rFonts w:ascii="Arial" w:hAnsi="Arial" w:cs="Arial"/>
                <w:color w:val="000000"/>
                <w:sz w:val="16"/>
                <w:szCs w:val="16"/>
              </w:rPr>
              <w:t>1</w:t>
            </w:r>
            <w:r w:rsidR="000C78B8">
              <w:rPr>
                <w:rFonts w:ascii="Arial" w:hAnsi="Arial" w:cs="Arial"/>
                <w:color w:val="000000"/>
                <w:sz w:val="16"/>
                <w:szCs w:val="16"/>
              </w:rPr>
              <w:t> </w:t>
            </w:r>
            <w:r w:rsidRPr="00E21C60">
              <w:rPr>
                <w:rFonts w:ascii="Arial" w:hAnsi="Arial" w:cs="Arial"/>
                <w:color w:val="000000"/>
                <w:sz w:val="16"/>
                <w:szCs w:val="16"/>
              </w:rPr>
              <w:t>264</w:t>
            </w:r>
          </w:p>
        </w:tc>
        <w:tc>
          <w:tcPr>
            <w:tcW w:w="1013" w:type="dxa"/>
            <w:tcBorders>
              <w:top w:val="nil"/>
              <w:left w:val="nil"/>
              <w:bottom w:val="single" w:sz="4" w:space="0" w:color="auto"/>
              <w:right w:val="single" w:sz="4" w:space="0" w:color="auto"/>
            </w:tcBorders>
            <w:shd w:val="clear" w:color="auto" w:fill="auto"/>
            <w:vAlign w:val="center"/>
          </w:tcPr>
          <w:p w14:paraId="7530950D" w14:textId="13BF2EA3" w:rsidR="00E46A79" w:rsidRPr="00E21C60" w:rsidRDefault="00605509" w:rsidP="006B3ADD">
            <w:pPr>
              <w:jc w:val="center"/>
              <w:rPr>
                <w:rFonts w:ascii="Arial" w:hAnsi="Arial" w:cs="Arial"/>
                <w:color w:val="000000"/>
                <w:sz w:val="16"/>
                <w:szCs w:val="16"/>
              </w:rPr>
            </w:pPr>
            <w:r>
              <w:rPr>
                <w:rFonts w:ascii="Arial" w:hAnsi="Arial" w:cs="Arial"/>
                <w:color w:val="000000"/>
                <w:sz w:val="16"/>
                <w:szCs w:val="16"/>
              </w:rPr>
              <w:t>1 180,355</w:t>
            </w:r>
          </w:p>
        </w:tc>
        <w:tc>
          <w:tcPr>
            <w:tcW w:w="850" w:type="dxa"/>
            <w:tcBorders>
              <w:top w:val="nil"/>
              <w:left w:val="nil"/>
              <w:bottom w:val="single" w:sz="4" w:space="0" w:color="auto"/>
              <w:right w:val="single" w:sz="4" w:space="0" w:color="auto"/>
            </w:tcBorders>
            <w:shd w:val="clear" w:color="000000" w:fill="EBF1DE"/>
            <w:vAlign w:val="center"/>
          </w:tcPr>
          <w:p w14:paraId="63D30B88" w14:textId="2911C77D" w:rsidR="00E46A79" w:rsidRPr="00E21C60" w:rsidRDefault="00862485" w:rsidP="00493EAE">
            <w:pPr>
              <w:jc w:val="center"/>
              <w:rPr>
                <w:rFonts w:ascii="Arial" w:hAnsi="Arial" w:cs="Arial"/>
                <w:color w:val="000000"/>
                <w:sz w:val="16"/>
                <w:szCs w:val="16"/>
              </w:rPr>
            </w:pPr>
            <w:r>
              <w:rPr>
                <w:rFonts w:ascii="Arial" w:hAnsi="Arial" w:cs="Arial"/>
                <w:color w:val="000000"/>
                <w:sz w:val="16"/>
                <w:szCs w:val="16"/>
              </w:rPr>
              <w:t>1 518,01</w:t>
            </w:r>
          </w:p>
        </w:tc>
        <w:tc>
          <w:tcPr>
            <w:tcW w:w="992" w:type="dxa"/>
            <w:tcBorders>
              <w:top w:val="nil"/>
              <w:left w:val="nil"/>
              <w:bottom w:val="single" w:sz="4" w:space="0" w:color="auto"/>
              <w:right w:val="single" w:sz="4" w:space="0" w:color="auto"/>
            </w:tcBorders>
            <w:shd w:val="clear" w:color="auto" w:fill="auto"/>
            <w:vAlign w:val="center"/>
          </w:tcPr>
          <w:p w14:paraId="326E4B54" w14:textId="68D12CB6" w:rsidR="00E46A79" w:rsidRPr="00E21C60" w:rsidRDefault="00493EAE" w:rsidP="00493EAE">
            <w:pPr>
              <w:rPr>
                <w:rFonts w:ascii="Arial" w:hAnsi="Arial" w:cs="Arial"/>
                <w:color w:val="000000"/>
                <w:sz w:val="16"/>
                <w:szCs w:val="16"/>
              </w:rPr>
            </w:pPr>
            <w:r>
              <w:rPr>
                <w:rFonts w:ascii="Arial" w:hAnsi="Arial" w:cs="Arial"/>
                <w:color w:val="000000"/>
                <w:sz w:val="16"/>
                <w:szCs w:val="16"/>
              </w:rPr>
              <w:t xml:space="preserve">  </w:t>
            </w:r>
            <w:r w:rsidR="00C36813">
              <w:rPr>
                <w:rFonts w:ascii="Arial" w:hAnsi="Arial" w:cs="Arial"/>
                <w:color w:val="000000"/>
                <w:sz w:val="16"/>
                <w:szCs w:val="16"/>
              </w:rPr>
              <w:t xml:space="preserve"> </w:t>
            </w:r>
            <w:r w:rsidR="007A1E32">
              <w:rPr>
                <w:rFonts w:ascii="Arial" w:hAnsi="Arial" w:cs="Arial"/>
                <w:color w:val="000000"/>
                <w:sz w:val="16"/>
                <w:szCs w:val="16"/>
              </w:rPr>
              <w:t xml:space="preserve">1 </w:t>
            </w:r>
            <w:r>
              <w:rPr>
                <w:rFonts w:ascii="Arial" w:hAnsi="Arial" w:cs="Arial"/>
                <w:color w:val="000000"/>
                <w:sz w:val="16"/>
                <w:szCs w:val="16"/>
              </w:rPr>
              <w:t>663</w:t>
            </w:r>
            <w:r w:rsidR="00325A93">
              <w:rPr>
                <w:rFonts w:ascii="Arial" w:hAnsi="Arial" w:cs="Arial"/>
                <w:color w:val="000000"/>
                <w:sz w:val="16"/>
                <w:szCs w:val="16"/>
              </w:rPr>
              <w:t>*</w:t>
            </w:r>
          </w:p>
        </w:tc>
        <w:tc>
          <w:tcPr>
            <w:tcW w:w="830" w:type="dxa"/>
            <w:tcBorders>
              <w:top w:val="nil"/>
              <w:left w:val="nil"/>
              <w:bottom w:val="single" w:sz="4" w:space="0" w:color="auto"/>
              <w:right w:val="single" w:sz="4" w:space="0" w:color="auto"/>
            </w:tcBorders>
            <w:shd w:val="clear" w:color="000000" w:fill="EBF1DE"/>
            <w:vAlign w:val="center"/>
          </w:tcPr>
          <w:p w14:paraId="4C4CB712" w14:textId="749E5196" w:rsidR="0062459F" w:rsidRPr="00E21C60" w:rsidRDefault="007D557E" w:rsidP="00F04811">
            <w:pPr>
              <w:jc w:val="center"/>
              <w:rPr>
                <w:rFonts w:ascii="Arial" w:hAnsi="Arial" w:cs="Arial"/>
                <w:color w:val="000000"/>
                <w:sz w:val="16"/>
                <w:szCs w:val="16"/>
              </w:rPr>
            </w:pPr>
            <w:r>
              <w:rPr>
                <w:rFonts w:ascii="Arial" w:hAnsi="Arial" w:cs="Arial"/>
                <w:color w:val="000000"/>
                <w:sz w:val="16"/>
                <w:szCs w:val="16"/>
              </w:rPr>
              <w:t xml:space="preserve">128,65 </w:t>
            </w:r>
            <w:r w:rsidR="00154AA8">
              <w:rPr>
                <w:rFonts w:ascii="Arial" w:hAnsi="Arial" w:cs="Arial"/>
                <w:color w:val="000000"/>
                <w:sz w:val="16"/>
                <w:szCs w:val="16"/>
              </w:rPr>
              <w:t>%</w:t>
            </w:r>
          </w:p>
        </w:tc>
        <w:tc>
          <w:tcPr>
            <w:tcW w:w="993" w:type="dxa"/>
            <w:tcBorders>
              <w:top w:val="nil"/>
              <w:left w:val="nil"/>
              <w:bottom w:val="single" w:sz="4" w:space="0" w:color="auto"/>
              <w:right w:val="single" w:sz="4" w:space="0" w:color="auto"/>
            </w:tcBorders>
            <w:shd w:val="clear" w:color="auto" w:fill="auto"/>
            <w:vAlign w:val="center"/>
          </w:tcPr>
          <w:p w14:paraId="36181A69" w14:textId="54C0449E" w:rsidR="00E46A79" w:rsidRPr="003B1E4E" w:rsidRDefault="00493EAE" w:rsidP="00F04811">
            <w:pPr>
              <w:jc w:val="center"/>
              <w:rPr>
                <w:rFonts w:ascii="Arial" w:hAnsi="Arial" w:cs="Arial"/>
                <w:color w:val="000000"/>
                <w:sz w:val="16"/>
                <w:szCs w:val="16"/>
              </w:rPr>
            </w:pPr>
            <w:r w:rsidRPr="003B1E4E">
              <w:rPr>
                <w:rFonts w:ascii="Arial" w:hAnsi="Arial" w:cs="Arial"/>
                <w:color w:val="000000"/>
                <w:sz w:val="16"/>
                <w:szCs w:val="16"/>
              </w:rPr>
              <w:t>141</w:t>
            </w:r>
            <w:r w:rsidR="00E46A79" w:rsidRPr="003B1E4E">
              <w:rPr>
                <w:rFonts w:ascii="Arial" w:hAnsi="Arial" w:cs="Arial"/>
                <w:color w:val="000000"/>
                <w:sz w:val="16"/>
                <w:szCs w:val="16"/>
              </w:rPr>
              <w:t>%</w:t>
            </w:r>
          </w:p>
        </w:tc>
      </w:tr>
      <w:tr w:rsidR="00E46A79" w:rsidRPr="003B1E4E" w14:paraId="045235F6" w14:textId="77777777" w:rsidTr="00682B07">
        <w:trPr>
          <w:trHeight w:val="1125"/>
          <w:jc w:val="center"/>
        </w:trPr>
        <w:tc>
          <w:tcPr>
            <w:tcW w:w="624" w:type="dxa"/>
            <w:vMerge/>
            <w:tcBorders>
              <w:top w:val="nil"/>
              <w:left w:val="single" w:sz="4" w:space="0" w:color="auto"/>
              <w:bottom w:val="single" w:sz="4" w:space="0" w:color="auto"/>
              <w:right w:val="single" w:sz="4" w:space="0" w:color="auto"/>
            </w:tcBorders>
            <w:vAlign w:val="center"/>
            <w:hideMark/>
          </w:tcPr>
          <w:p w14:paraId="5C610543" w14:textId="77777777" w:rsidR="00E46A79" w:rsidRPr="00E21C60" w:rsidRDefault="00E46A79">
            <w:pPr>
              <w:rPr>
                <w:rFonts w:ascii="Arial" w:hAnsi="Arial" w:cs="Arial"/>
                <w:color w:val="000000"/>
                <w:sz w:val="16"/>
                <w:szCs w:val="16"/>
              </w:rPr>
            </w:pPr>
          </w:p>
        </w:tc>
        <w:tc>
          <w:tcPr>
            <w:tcW w:w="1518" w:type="dxa"/>
            <w:tcBorders>
              <w:top w:val="nil"/>
              <w:left w:val="nil"/>
              <w:bottom w:val="single" w:sz="4" w:space="0" w:color="auto"/>
              <w:right w:val="single" w:sz="4" w:space="0" w:color="auto"/>
            </w:tcBorders>
            <w:shd w:val="clear" w:color="auto" w:fill="auto"/>
            <w:vAlign w:val="center"/>
            <w:hideMark/>
          </w:tcPr>
          <w:p w14:paraId="1113BC00" w14:textId="77777777" w:rsidR="00E46A79" w:rsidRPr="00E21C60" w:rsidRDefault="00E46A79">
            <w:pPr>
              <w:rPr>
                <w:rFonts w:ascii="Arial" w:hAnsi="Arial" w:cs="Arial"/>
                <w:color w:val="000000"/>
                <w:sz w:val="16"/>
                <w:szCs w:val="16"/>
              </w:rPr>
            </w:pPr>
            <w:r w:rsidRPr="00E21C60">
              <w:rPr>
                <w:rFonts w:ascii="Arial" w:hAnsi="Arial" w:cs="Arial"/>
                <w:color w:val="000000"/>
                <w:sz w:val="16"/>
                <w:szCs w:val="16"/>
              </w:rPr>
              <w:t>Počet ekvivalentných obyvateľov napojených na novovybudovanú kanalizačnú sieť</w:t>
            </w:r>
          </w:p>
        </w:tc>
        <w:tc>
          <w:tcPr>
            <w:tcW w:w="729" w:type="dxa"/>
            <w:tcBorders>
              <w:top w:val="nil"/>
              <w:left w:val="nil"/>
              <w:bottom w:val="single" w:sz="4" w:space="0" w:color="auto"/>
              <w:right w:val="single" w:sz="4" w:space="0" w:color="auto"/>
            </w:tcBorders>
            <w:shd w:val="clear" w:color="auto" w:fill="auto"/>
            <w:vAlign w:val="center"/>
            <w:hideMark/>
          </w:tcPr>
          <w:p w14:paraId="3D200B9D" w14:textId="77777777" w:rsidR="00E46A79" w:rsidRPr="00E21C60" w:rsidRDefault="00E46A79">
            <w:pPr>
              <w:jc w:val="center"/>
              <w:rPr>
                <w:rFonts w:ascii="Arial" w:hAnsi="Arial" w:cs="Arial"/>
                <w:color w:val="000000"/>
                <w:sz w:val="16"/>
                <w:szCs w:val="16"/>
              </w:rPr>
            </w:pPr>
            <w:r w:rsidRPr="00E21C60">
              <w:rPr>
                <w:rFonts w:ascii="Arial" w:hAnsi="Arial" w:cs="Arial"/>
                <w:color w:val="000000"/>
                <w:sz w:val="16"/>
                <w:szCs w:val="16"/>
              </w:rPr>
              <w:t>počet EO</w:t>
            </w:r>
          </w:p>
        </w:tc>
        <w:tc>
          <w:tcPr>
            <w:tcW w:w="830" w:type="dxa"/>
            <w:tcBorders>
              <w:top w:val="nil"/>
              <w:left w:val="nil"/>
              <w:bottom w:val="single" w:sz="4" w:space="0" w:color="auto"/>
              <w:right w:val="single" w:sz="4" w:space="0" w:color="auto"/>
            </w:tcBorders>
            <w:vAlign w:val="center"/>
          </w:tcPr>
          <w:p w14:paraId="5B4EAFE4" w14:textId="0292D066" w:rsidR="00E46A79" w:rsidRPr="00E21C60" w:rsidRDefault="00E46A79" w:rsidP="004E581A">
            <w:pPr>
              <w:jc w:val="center"/>
              <w:rPr>
                <w:rFonts w:ascii="Arial" w:hAnsi="Arial" w:cs="Arial"/>
                <w:color w:val="000000"/>
                <w:sz w:val="16"/>
                <w:szCs w:val="16"/>
              </w:rPr>
            </w:pPr>
            <w:r>
              <w:rPr>
                <w:rFonts w:ascii="Arial" w:hAnsi="Arial" w:cs="Arial"/>
                <w:color w:val="000000"/>
                <w:sz w:val="16"/>
                <w:szCs w:val="16"/>
              </w:rPr>
              <w:t>4</w:t>
            </w:r>
            <w:r w:rsidR="00D0767A">
              <w:rPr>
                <w:rFonts w:ascii="Arial" w:hAnsi="Arial" w:cs="Arial"/>
                <w:color w:val="000000"/>
                <w:sz w:val="16"/>
                <w:szCs w:val="16"/>
              </w:rPr>
              <w:t xml:space="preserve"> </w:t>
            </w:r>
            <w:r>
              <w:rPr>
                <w:rFonts w:ascii="Arial" w:hAnsi="Arial" w:cs="Arial"/>
                <w:color w:val="000000"/>
                <w:sz w:val="16"/>
                <w:szCs w:val="16"/>
              </w:rPr>
              <w:t>696</w:t>
            </w:r>
          </w:p>
        </w:tc>
        <w:tc>
          <w:tcPr>
            <w:tcW w:w="8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6A680B" w14:textId="6F154161" w:rsidR="00E46A79" w:rsidRPr="00E21C60" w:rsidRDefault="00D0767A" w:rsidP="00493EAE">
            <w:pPr>
              <w:jc w:val="center"/>
              <w:rPr>
                <w:rFonts w:ascii="Arial" w:hAnsi="Arial" w:cs="Arial"/>
                <w:color w:val="000000"/>
                <w:sz w:val="16"/>
                <w:szCs w:val="16"/>
              </w:rPr>
            </w:pPr>
            <w:r>
              <w:rPr>
                <w:rFonts w:ascii="Arial" w:hAnsi="Arial" w:cs="Arial"/>
                <w:color w:val="000000"/>
                <w:sz w:val="16"/>
                <w:szCs w:val="16"/>
              </w:rPr>
              <w:t> 327</w:t>
            </w:r>
            <w:r w:rsidR="000C78B8">
              <w:rPr>
                <w:rFonts w:ascii="Arial" w:hAnsi="Arial" w:cs="Arial"/>
                <w:color w:val="000000"/>
                <w:sz w:val="16"/>
                <w:szCs w:val="16"/>
              </w:rPr>
              <w:t> </w:t>
            </w:r>
            <w:r>
              <w:rPr>
                <w:rFonts w:ascii="Arial" w:hAnsi="Arial" w:cs="Arial"/>
                <w:color w:val="000000"/>
                <w:sz w:val="16"/>
                <w:szCs w:val="16"/>
              </w:rPr>
              <w:t>843</w:t>
            </w:r>
          </w:p>
        </w:tc>
        <w:tc>
          <w:tcPr>
            <w:tcW w:w="1013" w:type="dxa"/>
            <w:tcBorders>
              <w:top w:val="nil"/>
              <w:left w:val="nil"/>
              <w:bottom w:val="single" w:sz="4" w:space="0" w:color="auto"/>
              <w:right w:val="single" w:sz="4" w:space="0" w:color="auto"/>
            </w:tcBorders>
            <w:shd w:val="clear" w:color="auto" w:fill="auto"/>
            <w:vAlign w:val="center"/>
          </w:tcPr>
          <w:p w14:paraId="3A2637F3" w14:textId="43138476" w:rsidR="00E46A79" w:rsidRPr="00E21C60" w:rsidRDefault="00605509" w:rsidP="006B3ADD">
            <w:pPr>
              <w:jc w:val="center"/>
              <w:rPr>
                <w:rFonts w:ascii="Arial" w:hAnsi="Arial" w:cs="Arial"/>
                <w:color w:val="000000"/>
                <w:sz w:val="16"/>
                <w:szCs w:val="16"/>
              </w:rPr>
            </w:pPr>
            <w:r>
              <w:rPr>
                <w:rFonts w:ascii="Arial" w:hAnsi="Arial" w:cs="Arial"/>
                <w:color w:val="000000"/>
                <w:sz w:val="16"/>
                <w:szCs w:val="16"/>
              </w:rPr>
              <w:t>67 684</w:t>
            </w:r>
          </w:p>
        </w:tc>
        <w:tc>
          <w:tcPr>
            <w:tcW w:w="850" w:type="dxa"/>
            <w:tcBorders>
              <w:top w:val="nil"/>
              <w:left w:val="nil"/>
              <w:bottom w:val="single" w:sz="4" w:space="0" w:color="auto"/>
              <w:right w:val="single" w:sz="4" w:space="0" w:color="auto"/>
            </w:tcBorders>
            <w:shd w:val="clear" w:color="000000" w:fill="EBF1DE"/>
            <w:vAlign w:val="center"/>
          </w:tcPr>
          <w:p w14:paraId="673D49D4" w14:textId="41F76F7D" w:rsidR="00E46A79" w:rsidRPr="00E21C60" w:rsidRDefault="00862485" w:rsidP="006B3ADD">
            <w:pPr>
              <w:jc w:val="center"/>
              <w:rPr>
                <w:rFonts w:ascii="Arial" w:hAnsi="Arial" w:cs="Arial"/>
                <w:color w:val="000000"/>
                <w:sz w:val="16"/>
                <w:szCs w:val="16"/>
              </w:rPr>
            </w:pPr>
            <w:r>
              <w:rPr>
                <w:rFonts w:ascii="Arial" w:hAnsi="Arial" w:cs="Arial"/>
                <w:color w:val="000000"/>
                <w:sz w:val="16"/>
                <w:szCs w:val="16"/>
              </w:rPr>
              <w:t>98 429</w:t>
            </w:r>
          </w:p>
        </w:tc>
        <w:tc>
          <w:tcPr>
            <w:tcW w:w="992" w:type="dxa"/>
            <w:tcBorders>
              <w:top w:val="nil"/>
              <w:left w:val="nil"/>
              <w:bottom w:val="single" w:sz="4" w:space="0" w:color="auto"/>
              <w:right w:val="single" w:sz="4" w:space="0" w:color="auto"/>
            </w:tcBorders>
            <w:shd w:val="clear" w:color="auto" w:fill="auto"/>
            <w:vAlign w:val="center"/>
          </w:tcPr>
          <w:p w14:paraId="35464114" w14:textId="7125DBD6" w:rsidR="00E46A79" w:rsidRPr="00E21C60" w:rsidRDefault="008B5682" w:rsidP="00F04811">
            <w:pPr>
              <w:jc w:val="center"/>
              <w:rPr>
                <w:rFonts w:ascii="Arial" w:hAnsi="Arial" w:cs="Arial"/>
                <w:color w:val="000000"/>
                <w:sz w:val="16"/>
                <w:szCs w:val="16"/>
              </w:rPr>
            </w:pPr>
            <w:r>
              <w:rPr>
                <w:rFonts w:ascii="Arial" w:hAnsi="Arial" w:cs="Arial"/>
                <w:color w:val="000000"/>
                <w:sz w:val="16"/>
                <w:szCs w:val="16"/>
              </w:rPr>
              <w:t>294 890</w:t>
            </w:r>
            <w:r w:rsidR="00325A93" w:rsidRPr="000A120A">
              <w:rPr>
                <w:rFonts w:ascii="Arial" w:hAnsi="Arial" w:cs="Arial"/>
                <w:color w:val="000000"/>
                <w:sz w:val="16"/>
                <w:szCs w:val="16"/>
              </w:rPr>
              <w:t>*</w:t>
            </w:r>
          </w:p>
        </w:tc>
        <w:tc>
          <w:tcPr>
            <w:tcW w:w="830" w:type="dxa"/>
            <w:tcBorders>
              <w:top w:val="nil"/>
              <w:left w:val="nil"/>
              <w:bottom w:val="single" w:sz="4" w:space="0" w:color="auto"/>
              <w:right w:val="single" w:sz="4" w:space="0" w:color="auto"/>
            </w:tcBorders>
            <w:shd w:val="clear" w:color="000000" w:fill="EBF1DE"/>
            <w:vAlign w:val="center"/>
          </w:tcPr>
          <w:p w14:paraId="633B67CB" w14:textId="63D6A47F" w:rsidR="0062459F" w:rsidRPr="00E21C60" w:rsidRDefault="007D557E" w:rsidP="00F04811">
            <w:pPr>
              <w:jc w:val="center"/>
              <w:rPr>
                <w:rFonts w:ascii="Arial" w:hAnsi="Arial" w:cs="Arial"/>
                <w:color w:val="000000"/>
                <w:sz w:val="16"/>
                <w:szCs w:val="16"/>
              </w:rPr>
            </w:pPr>
            <w:r>
              <w:rPr>
                <w:rFonts w:ascii="Arial" w:hAnsi="Arial" w:cs="Arial"/>
                <w:color w:val="000000"/>
                <w:sz w:val="16"/>
                <w:szCs w:val="16"/>
              </w:rPr>
              <w:t xml:space="preserve">30,46 </w:t>
            </w:r>
            <w:r w:rsidR="00154AA8">
              <w:rPr>
                <w:rFonts w:ascii="Arial" w:hAnsi="Arial" w:cs="Arial"/>
                <w:color w:val="000000"/>
                <w:sz w:val="16"/>
                <w:szCs w:val="16"/>
              </w:rPr>
              <w:t>%</w:t>
            </w:r>
          </w:p>
        </w:tc>
        <w:tc>
          <w:tcPr>
            <w:tcW w:w="993" w:type="dxa"/>
            <w:tcBorders>
              <w:top w:val="nil"/>
              <w:left w:val="nil"/>
              <w:bottom w:val="single" w:sz="4" w:space="0" w:color="auto"/>
              <w:right w:val="single" w:sz="4" w:space="0" w:color="auto"/>
            </w:tcBorders>
            <w:shd w:val="clear" w:color="auto" w:fill="auto"/>
            <w:vAlign w:val="center"/>
          </w:tcPr>
          <w:p w14:paraId="7909B42E" w14:textId="13427BFB" w:rsidR="00E46A79" w:rsidRPr="003B1E4E" w:rsidRDefault="008B5682" w:rsidP="00F04811">
            <w:pPr>
              <w:jc w:val="center"/>
              <w:rPr>
                <w:rFonts w:ascii="Arial" w:hAnsi="Arial" w:cs="Arial"/>
                <w:color w:val="000000"/>
                <w:sz w:val="16"/>
                <w:szCs w:val="16"/>
              </w:rPr>
            </w:pPr>
            <w:r w:rsidRPr="003B1E4E">
              <w:rPr>
                <w:rFonts w:ascii="Arial" w:hAnsi="Arial" w:cs="Arial"/>
                <w:color w:val="000000"/>
                <w:sz w:val="16"/>
                <w:szCs w:val="16"/>
              </w:rPr>
              <w:t>91</w:t>
            </w:r>
            <w:r w:rsidR="00E46A79" w:rsidRPr="003B1E4E">
              <w:rPr>
                <w:rFonts w:ascii="Arial" w:hAnsi="Arial" w:cs="Arial"/>
                <w:color w:val="000000"/>
                <w:sz w:val="16"/>
                <w:szCs w:val="16"/>
              </w:rPr>
              <w:t>%</w:t>
            </w:r>
          </w:p>
        </w:tc>
      </w:tr>
      <w:tr w:rsidR="00E46A79" w:rsidRPr="003B1E4E" w14:paraId="5396B35D" w14:textId="77777777" w:rsidTr="00682B07">
        <w:trPr>
          <w:trHeight w:val="900"/>
          <w:jc w:val="center"/>
        </w:trPr>
        <w:tc>
          <w:tcPr>
            <w:tcW w:w="624" w:type="dxa"/>
            <w:vMerge/>
            <w:tcBorders>
              <w:top w:val="nil"/>
              <w:left w:val="single" w:sz="4" w:space="0" w:color="auto"/>
              <w:bottom w:val="single" w:sz="4" w:space="0" w:color="auto"/>
              <w:right w:val="single" w:sz="4" w:space="0" w:color="auto"/>
            </w:tcBorders>
            <w:vAlign w:val="center"/>
            <w:hideMark/>
          </w:tcPr>
          <w:p w14:paraId="60ECCB8C" w14:textId="77777777" w:rsidR="00E46A79" w:rsidRPr="00E21C60" w:rsidRDefault="00E46A79">
            <w:pPr>
              <w:rPr>
                <w:rFonts w:ascii="Arial" w:hAnsi="Arial" w:cs="Arial"/>
                <w:color w:val="000000"/>
                <w:sz w:val="16"/>
                <w:szCs w:val="16"/>
              </w:rPr>
            </w:pPr>
          </w:p>
        </w:tc>
        <w:tc>
          <w:tcPr>
            <w:tcW w:w="1518" w:type="dxa"/>
            <w:tcBorders>
              <w:top w:val="nil"/>
              <w:left w:val="nil"/>
              <w:bottom w:val="single" w:sz="4" w:space="0" w:color="auto"/>
              <w:right w:val="single" w:sz="4" w:space="0" w:color="auto"/>
            </w:tcBorders>
            <w:shd w:val="clear" w:color="auto" w:fill="auto"/>
            <w:vAlign w:val="center"/>
            <w:hideMark/>
          </w:tcPr>
          <w:p w14:paraId="7749A800" w14:textId="77777777" w:rsidR="00E46A79" w:rsidRPr="00E21C60" w:rsidRDefault="00E46A79">
            <w:pPr>
              <w:rPr>
                <w:rFonts w:ascii="Arial" w:hAnsi="Arial" w:cs="Arial"/>
                <w:color w:val="000000"/>
                <w:sz w:val="16"/>
                <w:szCs w:val="16"/>
              </w:rPr>
            </w:pPr>
            <w:r w:rsidRPr="00E21C60">
              <w:rPr>
                <w:rFonts w:ascii="Arial" w:hAnsi="Arial" w:cs="Arial"/>
                <w:color w:val="000000"/>
                <w:sz w:val="16"/>
                <w:szCs w:val="16"/>
              </w:rPr>
              <w:t>Počet novovybudovaných / zrekonštruovaných ČOV</w:t>
            </w:r>
          </w:p>
        </w:tc>
        <w:tc>
          <w:tcPr>
            <w:tcW w:w="729" w:type="dxa"/>
            <w:tcBorders>
              <w:top w:val="nil"/>
              <w:left w:val="nil"/>
              <w:bottom w:val="single" w:sz="4" w:space="0" w:color="auto"/>
              <w:right w:val="single" w:sz="4" w:space="0" w:color="auto"/>
            </w:tcBorders>
            <w:shd w:val="clear" w:color="auto" w:fill="auto"/>
            <w:vAlign w:val="center"/>
            <w:hideMark/>
          </w:tcPr>
          <w:p w14:paraId="5FBF08A6" w14:textId="77777777" w:rsidR="00E46A79" w:rsidRPr="00E21C60" w:rsidRDefault="00E46A79">
            <w:pPr>
              <w:jc w:val="center"/>
              <w:rPr>
                <w:rFonts w:ascii="Arial" w:hAnsi="Arial" w:cs="Arial"/>
                <w:color w:val="000000"/>
                <w:sz w:val="16"/>
                <w:szCs w:val="16"/>
              </w:rPr>
            </w:pPr>
            <w:r w:rsidRPr="00E21C60">
              <w:rPr>
                <w:rFonts w:ascii="Arial" w:hAnsi="Arial" w:cs="Arial"/>
                <w:color w:val="000000"/>
                <w:sz w:val="16"/>
                <w:szCs w:val="16"/>
              </w:rPr>
              <w:t>počet</w:t>
            </w:r>
          </w:p>
        </w:tc>
        <w:tc>
          <w:tcPr>
            <w:tcW w:w="830" w:type="dxa"/>
            <w:tcBorders>
              <w:top w:val="nil"/>
              <w:left w:val="nil"/>
              <w:bottom w:val="single" w:sz="4" w:space="0" w:color="auto"/>
              <w:right w:val="single" w:sz="4" w:space="0" w:color="auto"/>
            </w:tcBorders>
            <w:vAlign w:val="center"/>
          </w:tcPr>
          <w:p w14:paraId="52652368" w14:textId="02C94118" w:rsidR="00E46A79" w:rsidRPr="00E21C60" w:rsidRDefault="00E46A79" w:rsidP="004E581A">
            <w:pPr>
              <w:jc w:val="center"/>
              <w:rPr>
                <w:rFonts w:ascii="Arial" w:hAnsi="Arial" w:cs="Arial"/>
                <w:color w:val="000000"/>
                <w:sz w:val="16"/>
                <w:szCs w:val="16"/>
              </w:rPr>
            </w:pPr>
            <w:r>
              <w:rPr>
                <w:rFonts w:ascii="Arial" w:hAnsi="Arial" w:cs="Arial"/>
                <w:color w:val="000000"/>
                <w:sz w:val="16"/>
                <w:szCs w:val="16"/>
              </w:rPr>
              <w:t>46</w:t>
            </w:r>
          </w:p>
        </w:tc>
        <w:tc>
          <w:tcPr>
            <w:tcW w:w="8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BBC3DD" w14:textId="74BEAFA4" w:rsidR="00E46A79" w:rsidRPr="00E21C60" w:rsidRDefault="00E46A79" w:rsidP="006B3ADD">
            <w:pPr>
              <w:jc w:val="center"/>
              <w:rPr>
                <w:rFonts w:ascii="Arial" w:hAnsi="Arial" w:cs="Arial"/>
                <w:color w:val="000000"/>
                <w:sz w:val="16"/>
                <w:szCs w:val="16"/>
              </w:rPr>
            </w:pPr>
            <w:r w:rsidRPr="00E21C60">
              <w:rPr>
                <w:rFonts w:ascii="Arial" w:hAnsi="Arial" w:cs="Arial"/>
                <w:color w:val="000000"/>
                <w:sz w:val="16"/>
                <w:szCs w:val="16"/>
              </w:rPr>
              <w:t>110</w:t>
            </w:r>
          </w:p>
        </w:tc>
        <w:tc>
          <w:tcPr>
            <w:tcW w:w="1013" w:type="dxa"/>
            <w:tcBorders>
              <w:top w:val="nil"/>
              <w:left w:val="nil"/>
              <w:bottom w:val="single" w:sz="4" w:space="0" w:color="auto"/>
              <w:right w:val="single" w:sz="4" w:space="0" w:color="auto"/>
            </w:tcBorders>
            <w:shd w:val="clear" w:color="auto" w:fill="auto"/>
            <w:vAlign w:val="center"/>
          </w:tcPr>
          <w:p w14:paraId="4455BCEB" w14:textId="1B31607E" w:rsidR="00E46A79" w:rsidRPr="00E21C60" w:rsidRDefault="00605509" w:rsidP="006B3ADD">
            <w:pPr>
              <w:jc w:val="center"/>
              <w:rPr>
                <w:rFonts w:ascii="Arial" w:hAnsi="Arial" w:cs="Arial"/>
                <w:color w:val="000000"/>
                <w:sz w:val="16"/>
                <w:szCs w:val="16"/>
              </w:rPr>
            </w:pPr>
            <w:r>
              <w:rPr>
                <w:rFonts w:ascii="Arial" w:hAnsi="Arial" w:cs="Arial"/>
                <w:color w:val="000000"/>
                <w:sz w:val="16"/>
                <w:szCs w:val="16"/>
              </w:rPr>
              <w:t>52,98</w:t>
            </w:r>
          </w:p>
        </w:tc>
        <w:tc>
          <w:tcPr>
            <w:tcW w:w="850" w:type="dxa"/>
            <w:tcBorders>
              <w:top w:val="nil"/>
              <w:left w:val="nil"/>
              <w:bottom w:val="single" w:sz="4" w:space="0" w:color="auto"/>
              <w:right w:val="single" w:sz="4" w:space="0" w:color="auto"/>
            </w:tcBorders>
            <w:shd w:val="clear" w:color="000000" w:fill="EBF1DE"/>
            <w:vAlign w:val="center"/>
          </w:tcPr>
          <w:p w14:paraId="283D4FBA" w14:textId="6C299DD6" w:rsidR="00E46A79" w:rsidRPr="00E21C60" w:rsidRDefault="00862485" w:rsidP="006B3ADD">
            <w:pPr>
              <w:jc w:val="center"/>
              <w:rPr>
                <w:rFonts w:ascii="Arial" w:hAnsi="Arial" w:cs="Arial"/>
                <w:color w:val="000000"/>
                <w:sz w:val="16"/>
                <w:szCs w:val="16"/>
              </w:rPr>
            </w:pPr>
            <w:r>
              <w:rPr>
                <w:rFonts w:ascii="Arial" w:hAnsi="Arial" w:cs="Arial"/>
                <w:color w:val="000000"/>
                <w:sz w:val="16"/>
                <w:szCs w:val="16"/>
              </w:rPr>
              <w:t>75</w:t>
            </w:r>
          </w:p>
        </w:tc>
        <w:tc>
          <w:tcPr>
            <w:tcW w:w="992" w:type="dxa"/>
            <w:tcBorders>
              <w:top w:val="nil"/>
              <w:left w:val="nil"/>
              <w:bottom w:val="single" w:sz="4" w:space="0" w:color="auto"/>
              <w:right w:val="single" w:sz="4" w:space="0" w:color="auto"/>
            </w:tcBorders>
            <w:shd w:val="clear" w:color="auto" w:fill="auto"/>
            <w:vAlign w:val="center"/>
          </w:tcPr>
          <w:p w14:paraId="53284991" w14:textId="12D64F7C" w:rsidR="00E46A79" w:rsidRPr="00E21C60" w:rsidRDefault="00624205" w:rsidP="006B3ADD">
            <w:pPr>
              <w:jc w:val="center"/>
              <w:rPr>
                <w:rFonts w:ascii="Arial" w:hAnsi="Arial" w:cs="Arial"/>
                <w:color w:val="000000"/>
                <w:sz w:val="16"/>
                <w:szCs w:val="16"/>
              </w:rPr>
            </w:pPr>
            <w:r>
              <w:rPr>
                <w:rFonts w:ascii="Arial" w:hAnsi="Arial" w:cs="Arial"/>
                <w:color w:val="000000"/>
                <w:sz w:val="16"/>
                <w:szCs w:val="16"/>
              </w:rPr>
              <w:t>85</w:t>
            </w:r>
            <w:r w:rsidR="00325A93">
              <w:rPr>
                <w:rFonts w:ascii="Arial" w:hAnsi="Arial" w:cs="Arial"/>
                <w:color w:val="000000"/>
                <w:sz w:val="16"/>
                <w:szCs w:val="16"/>
              </w:rPr>
              <w:t>*</w:t>
            </w:r>
          </w:p>
        </w:tc>
        <w:tc>
          <w:tcPr>
            <w:tcW w:w="830" w:type="dxa"/>
            <w:tcBorders>
              <w:top w:val="nil"/>
              <w:left w:val="nil"/>
              <w:bottom w:val="single" w:sz="4" w:space="0" w:color="auto"/>
              <w:right w:val="single" w:sz="4" w:space="0" w:color="auto"/>
            </w:tcBorders>
            <w:shd w:val="clear" w:color="000000" w:fill="EBF1DE"/>
            <w:vAlign w:val="center"/>
          </w:tcPr>
          <w:p w14:paraId="4B9B25F4" w14:textId="29E7DCB4" w:rsidR="0062459F" w:rsidRPr="00E21C60" w:rsidRDefault="007D557E" w:rsidP="00F04811">
            <w:pPr>
              <w:jc w:val="center"/>
              <w:rPr>
                <w:rFonts w:ascii="Arial" w:hAnsi="Arial" w:cs="Arial"/>
                <w:color w:val="000000"/>
                <w:sz w:val="16"/>
                <w:szCs w:val="16"/>
              </w:rPr>
            </w:pPr>
            <w:r>
              <w:rPr>
                <w:rFonts w:ascii="Arial" w:hAnsi="Arial" w:cs="Arial"/>
                <w:color w:val="000000"/>
                <w:sz w:val="16"/>
                <w:szCs w:val="16"/>
              </w:rPr>
              <w:t>117,19</w:t>
            </w:r>
            <w:r w:rsidR="00154AA8">
              <w:rPr>
                <w:rFonts w:ascii="Arial" w:hAnsi="Arial" w:cs="Arial"/>
                <w:color w:val="000000"/>
                <w:sz w:val="16"/>
                <w:szCs w:val="16"/>
              </w:rPr>
              <w:t xml:space="preserve"> %</w:t>
            </w:r>
          </w:p>
        </w:tc>
        <w:tc>
          <w:tcPr>
            <w:tcW w:w="993" w:type="dxa"/>
            <w:tcBorders>
              <w:top w:val="nil"/>
              <w:left w:val="nil"/>
              <w:bottom w:val="single" w:sz="4" w:space="0" w:color="auto"/>
              <w:right w:val="single" w:sz="4" w:space="0" w:color="auto"/>
            </w:tcBorders>
            <w:shd w:val="clear" w:color="auto" w:fill="auto"/>
            <w:vAlign w:val="center"/>
          </w:tcPr>
          <w:p w14:paraId="1A0BD929" w14:textId="62A3A3CD" w:rsidR="00E46A79" w:rsidRPr="003B1E4E" w:rsidRDefault="0092104D" w:rsidP="00F04811">
            <w:pPr>
              <w:jc w:val="center"/>
              <w:rPr>
                <w:rFonts w:ascii="Arial" w:hAnsi="Arial" w:cs="Arial"/>
                <w:color w:val="000000"/>
                <w:sz w:val="16"/>
                <w:szCs w:val="16"/>
              </w:rPr>
            </w:pPr>
            <w:r w:rsidRPr="003B1E4E">
              <w:rPr>
                <w:rFonts w:ascii="Arial" w:hAnsi="Arial" w:cs="Arial"/>
                <w:color w:val="000000"/>
                <w:sz w:val="16"/>
                <w:szCs w:val="16"/>
              </w:rPr>
              <w:t>133</w:t>
            </w:r>
            <w:r w:rsidR="00E46A79" w:rsidRPr="003B1E4E">
              <w:rPr>
                <w:rFonts w:ascii="Arial" w:hAnsi="Arial" w:cs="Arial"/>
                <w:color w:val="000000"/>
                <w:sz w:val="16"/>
                <w:szCs w:val="16"/>
              </w:rPr>
              <w:t>%</w:t>
            </w:r>
          </w:p>
        </w:tc>
      </w:tr>
      <w:tr w:rsidR="00E46A79" w:rsidRPr="003B1E4E" w14:paraId="37081E63" w14:textId="77777777" w:rsidTr="00682B07">
        <w:trPr>
          <w:trHeight w:val="1125"/>
          <w:jc w:val="center"/>
        </w:trPr>
        <w:tc>
          <w:tcPr>
            <w:tcW w:w="624" w:type="dxa"/>
            <w:tcBorders>
              <w:top w:val="nil"/>
              <w:left w:val="single" w:sz="4" w:space="0" w:color="auto"/>
              <w:bottom w:val="single" w:sz="4" w:space="0" w:color="auto"/>
              <w:right w:val="single" w:sz="4" w:space="0" w:color="auto"/>
            </w:tcBorders>
            <w:shd w:val="clear" w:color="auto" w:fill="auto"/>
            <w:vAlign w:val="center"/>
            <w:hideMark/>
          </w:tcPr>
          <w:p w14:paraId="576BDCD6" w14:textId="251B7E8C" w:rsidR="00E46A79" w:rsidRPr="00E21C60" w:rsidRDefault="00E46A79">
            <w:pPr>
              <w:jc w:val="center"/>
              <w:rPr>
                <w:rFonts w:ascii="Arial" w:hAnsi="Arial" w:cs="Arial"/>
                <w:color w:val="000000"/>
                <w:sz w:val="16"/>
                <w:szCs w:val="16"/>
              </w:rPr>
            </w:pPr>
            <w:r w:rsidRPr="00E21C60">
              <w:rPr>
                <w:rFonts w:ascii="Arial" w:hAnsi="Arial" w:cs="Arial"/>
                <w:color w:val="000000"/>
                <w:sz w:val="16"/>
                <w:szCs w:val="16"/>
              </w:rPr>
              <w:t>1.3</w:t>
            </w:r>
          </w:p>
        </w:tc>
        <w:tc>
          <w:tcPr>
            <w:tcW w:w="1518" w:type="dxa"/>
            <w:tcBorders>
              <w:top w:val="nil"/>
              <w:left w:val="nil"/>
              <w:bottom w:val="single" w:sz="4" w:space="0" w:color="auto"/>
              <w:right w:val="single" w:sz="4" w:space="0" w:color="auto"/>
            </w:tcBorders>
            <w:shd w:val="clear" w:color="auto" w:fill="auto"/>
            <w:vAlign w:val="center"/>
            <w:hideMark/>
          </w:tcPr>
          <w:p w14:paraId="6003E6B7" w14:textId="77777777" w:rsidR="00E46A79" w:rsidRPr="00E21C60" w:rsidRDefault="00E46A79">
            <w:pPr>
              <w:rPr>
                <w:rFonts w:ascii="Arial" w:hAnsi="Arial" w:cs="Arial"/>
                <w:color w:val="000000"/>
                <w:sz w:val="16"/>
                <w:szCs w:val="16"/>
              </w:rPr>
            </w:pPr>
            <w:r w:rsidRPr="00E21C60">
              <w:rPr>
                <w:rFonts w:ascii="Arial" w:hAnsi="Arial" w:cs="Arial"/>
                <w:color w:val="000000"/>
                <w:sz w:val="16"/>
                <w:szCs w:val="16"/>
              </w:rPr>
              <w:t>Súlad monitorovania stavu vôd v SR s požiadavkami Rámcovej smernice o vode</w:t>
            </w:r>
          </w:p>
        </w:tc>
        <w:tc>
          <w:tcPr>
            <w:tcW w:w="729" w:type="dxa"/>
            <w:tcBorders>
              <w:top w:val="nil"/>
              <w:left w:val="nil"/>
              <w:bottom w:val="single" w:sz="4" w:space="0" w:color="auto"/>
              <w:right w:val="single" w:sz="4" w:space="0" w:color="auto"/>
            </w:tcBorders>
            <w:shd w:val="clear" w:color="auto" w:fill="auto"/>
            <w:vAlign w:val="center"/>
            <w:hideMark/>
          </w:tcPr>
          <w:p w14:paraId="10B6E6AE" w14:textId="77777777" w:rsidR="00E46A79" w:rsidRPr="00E21C60" w:rsidRDefault="00E46A79">
            <w:pPr>
              <w:jc w:val="center"/>
              <w:rPr>
                <w:rFonts w:ascii="Arial" w:hAnsi="Arial" w:cs="Arial"/>
                <w:color w:val="000000"/>
                <w:sz w:val="16"/>
                <w:szCs w:val="16"/>
              </w:rPr>
            </w:pPr>
            <w:r w:rsidRPr="00E21C60">
              <w:rPr>
                <w:rFonts w:ascii="Arial" w:hAnsi="Arial" w:cs="Arial"/>
                <w:color w:val="000000"/>
                <w:sz w:val="16"/>
                <w:szCs w:val="16"/>
              </w:rPr>
              <w:t>%</w:t>
            </w:r>
          </w:p>
        </w:tc>
        <w:tc>
          <w:tcPr>
            <w:tcW w:w="830" w:type="dxa"/>
            <w:tcBorders>
              <w:top w:val="nil"/>
              <w:left w:val="nil"/>
              <w:bottom w:val="single" w:sz="4" w:space="0" w:color="auto"/>
              <w:right w:val="single" w:sz="4" w:space="0" w:color="auto"/>
            </w:tcBorders>
            <w:vAlign w:val="center"/>
          </w:tcPr>
          <w:p w14:paraId="29BECA91" w14:textId="51F031C0" w:rsidR="00E46A79" w:rsidRPr="00E21C60" w:rsidRDefault="00E46A79" w:rsidP="004E581A">
            <w:pPr>
              <w:jc w:val="center"/>
              <w:rPr>
                <w:rFonts w:ascii="Arial" w:hAnsi="Arial" w:cs="Arial"/>
                <w:color w:val="000000"/>
                <w:sz w:val="16"/>
                <w:szCs w:val="16"/>
              </w:rPr>
            </w:pPr>
            <w:r>
              <w:rPr>
                <w:rFonts w:ascii="Arial" w:hAnsi="Arial" w:cs="Arial"/>
                <w:color w:val="000000"/>
                <w:sz w:val="16"/>
                <w:szCs w:val="16"/>
              </w:rPr>
              <w:t>44%</w:t>
            </w:r>
          </w:p>
        </w:tc>
        <w:tc>
          <w:tcPr>
            <w:tcW w:w="8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BC5FC6" w14:textId="0D0C3E4D" w:rsidR="00E46A79" w:rsidRPr="00E21C60" w:rsidRDefault="00E46A79" w:rsidP="006B3ADD">
            <w:pPr>
              <w:jc w:val="center"/>
              <w:rPr>
                <w:rFonts w:ascii="Arial" w:hAnsi="Arial" w:cs="Arial"/>
                <w:color w:val="000000"/>
                <w:sz w:val="16"/>
                <w:szCs w:val="16"/>
              </w:rPr>
            </w:pPr>
            <w:r w:rsidRPr="00E21C60">
              <w:rPr>
                <w:rFonts w:ascii="Arial" w:hAnsi="Arial" w:cs="Arial"/>
                <w:color w:val="000000"/>
                <w:sz w:val="16"/>
                <w:szCs w:val="16"/>
              </w:rPr>
              <w:t>100,00</w:t>
            </w:r>
            <w:r>
              <w:rPr>
                <w:rFonts w:ascii="Arial" w:hAnsi="Arial" w:cs="Arial"/>
                <w:color w:val="000000"/>
                <w:sz w:val="16"/>
                <w:szCs w:val="16"/>
              </w:rPr>
              <w:t xml:space="preserve"> </w:t>
            </w:r>
            <w:r w:rsidRPr="00E21C60">
              <w:rPr>
                <w:rFonts w:ascii="Arial" w:hAnsi="Arial" w:cs="Arial"/>
                <w:color w:val="000000"/>
                <w:sz w:val="16"/>
                <w:szCs w:val="16"/>
              </w:rPr>
              <w:t>%</w:t>
            </w:r>
          </w:p>
        </w:tc>
        <w:tc>
          <w:tcPr>
            <w:tcW w:w="1013" w:type="dxa"/>
            <w:tcBorders>
              <w:top w:val="nil"/>
              <w:left w:val="nil"/>
              <w:bottom w:val="single" w:sz="4" w:space="0" w:color="auto"/>
              <w:right w:val="single" w:sz="4" w:space="0" w:color="auto"/>
            </w:tcBorders>
            <w:shd w:val="clear" w:color="auto" w:fill="auto"/>
            <w:vAlign w:val="center"/>
          </w:tcPr>
          <w:p w14:paraId="7CB32277" w14:textId="3525FF51" w:rsidR="00E46A79" w:rsidRPr="00E21C60" w:rsidRDefault="00605509" w:rsidP="00F04811">
            <w:pPr>
              <w:jc w:val="center"/>
              <w:rPr>
                <w:rFonts w:ascii="Arial" w:hAnsi="Arial" w:cs="Arial"/>
                <w:color w:val="000000"/>
                <w:sz w:val="16"/>
                <w:szCs w:val="16"/>
              </w:rPr>
            </w:pPr>
            <w:r>
              <w:rPr>
                <w:rFonts w:ascii="Arial" w:hAnsi="Arial" w:cs="Arial"/>
                <w:color w:val="000000"/>
                <w:sz w:val="16"/>
                <w:szCs w:val="16"/>
              </w:rPr>
              <w:t>96,95</w:t>
            </w:r>
          </w:p>
        </w:tc>
        <w:tc>
          <w:tcPr>
            <w:tcW w:w="850" w:type="dxa"/>
            <w:tcBorders>
              <w:top w:val="nil"/>
              <w:left w:val="nil"/>
              <w:bottom w:val="single" w:sz="4" w:space="0" w:color="auto"/>
              <w:right w:val="single" w:sz="4" w:space="0" w:color="auto"/>
            </w:tcBorders>
            <w:shd w:val="clear" w:color="000000" w:fill="EBF1DE"/>
            <w:vAlign w:val="center"/>
          </w:tcPr>
          <w:p w14:paraId="7F3E32E0" w14:textId="3C7C85B8" w:rsidR="00E46A79" w:rsidRPr="00E21C60" w:rsidRDefault="00862485" w:rsidP="00E24766">
            <w:pPr>
              <w:jc w:val="center"/>
              <w:rPr>
                <w:rFonts w:ascii="Arial" w:hAnsi="Arial" w:cs="Arial"/>
                <w:color w:val="000000"/>
                <w:sz w:val="16"/>
                <w:szCs w:val="16"/>
              </w:rPr>
            </w:pPr>
            <w:r>
              <w:rPr>
                <w:rFonts w:ascii="Arial" w:hAnsi="Arial" w:cs="Arial"/>
                <w:color w:val="000000"/>
                <w:sz w:val="16"/>
                <w:szCs w:val="16"/>
              </w:rPr>
              <w:t>9</w:t>
            </w:r>
            <w:r w:rsidR="00E24766">
              <w:rPr>
                <w:rFonts w:ascii="Arial" w:hAnsi="Arial" w:cs="Arial"/>
                <w:color w:val="000000"/>
                <w:sz w:val="16"/>
                <w:szCs w:val="16"/>
              </w:rPr>
              <w:t>6,95</w:t>
            </w:r>
            <w:r w:rsidR="00624205">
              <w:rPr>
                <w:rFonts w:ascii="Arial" w:hAnsi="Arial" w:cs="Arial"/>
                <w:color w:val="000000"/>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1032C120" w14:textId="39728899" w:rsidR="00E46A79" w:rsidRPr="00E21C60" w:rsidRDefault="00E46A79" w:rsidP="006B3ADD">
            <w:pPr>
              <w:jc w:val="center"/>
              <w:rPr>
                <w:rFonts w:ascii="Arial" w:hAnsi="Arial" w:cs="Arial"/>
                <w:color w:val="000000"/>
                <w:sz w:val="16"/>
                <w:szCs w:val="16"/>
              </w:rPr>
            </w:pPr>
            <w:r>
              <w:rPr>
                <w:rFonts w:ascii="Arial" w:hAnsi="Arial" w:cs="Arial"/>
                <w:color w:val="000000"/>
                <w:sz w:val="16"/>
                <w:szCs w:val="16"/>
              </w:rPr>
              <w:t>89 %</w:t>
            </w:r>
          </w:p>
        </w:tc>
        <w:tc>
          <w:tcPr>
            <w:tcW w:w="830" w:type="dxa"/>
            <w:tcBorders>
              <w:top w:val="nil"/>
              <w:left w:val="nil"/>
              <w:bottom w:val="single" w:sz="4" w:space="0" w:color="auto"/>
              <w:right w:val="single" w:sz="4" w:space="0" w:color="auto"/>
            </w:tcBorders>
            <w:shd w:val="clear" w:color="000000" w:fill="EBF1DE"/>
            <w:vAlign w:val="center"/>
          </w:tcPr>
          <w:p w14:paraId="0627A4F2" w14:textId="53D1AB72" w:rsidR="0062459F" w:rsidRPr="007A1E32" w:rsidRDefault="00F04811" w:rsidP="00F04811">
            <w:pPr>
              <w:jc w:val="center"/>
              <w:rPr>
                <w:rFonts w:ascii="Arial" w:hAnsi="Arial" w:cs="Arial"/>
                <w:color w:val="000000"/>
                <w:sz w:val="16"/>
                <w:szCs w:val="16"/>
              </w:rPr>
            </w:pPr>
            <w:r>
              <w:rPr>
                <w:rFonts w:ascii="Arial" w:hAnsi="Arial" w:cs="Arial"/>
                <w:color w:val="000000"/>
                <w:sz w:val="16"/>
                <w:szCs w:val="16"/>
              </w:rPr>
              <w:t>173</w:t>
            </w:r>
            <w:r w:rsidR="009A5D70">
              <w:rPr>
                <w:rFonts w:ascii="Arial" w:hAnsi="Arial" w:cs="Arial"/>
                <w:color w:val="000000"/>
                <w:sz w:val="16"/>
                <w:szCs w:val="16"/>
              </w:rPr>
              <w:t>,13</w:t>
            </w:r>
            <w:r w:rsidR="00154AA8">
              <w:rPr>
                <w:rFonts w:ascii="Arial" w:hAnsi="Arial" w:cs="Arial"/>
                <w:color w:val="000000"/>
                <w:sz w:val="16"/>
                <w:szCs w:val="16"/>
              </w:rPr>
              <w:t xml:space="preserve"> %</w:t>
            </w:r>
          </w:p>
        </w:tc>
        <w:tc>
          <w:tcPr>
            <w:tcW w:w="993" w:type="dxa"/>
            <w:tcBorders>
              <w:top w:val="nil"/>
              <w:left w:val="nil"/>
              <w:bottom w:val="single" w:sz="4" w:space="0" w:color="auto"/>
              <w:right w:val="single" w:sz="4" w:space="0" w:color="auto"/>
            </w:tcBorders>
            <w:shd w:val="clear" w:color="auto" w:fill="auto"/>
            <w:vAlign w:val="center"/>
          </w:tcPr>
          <w:p w14:paraId="39EF93DB" w14:textId="4146BC12" w:rsidR="00E46A79" w:rsidRPr="003B1E4E" w:rsidRDefault="00F04811" w:rsidP="00F04811">
            <w:pPr>
              <w:jc w:val="center"/>
              <w:rPr>
                <w:rFonts w:ascii="Arial" w:hAnsi="Arial" w:cs="Arial"/>
                <w:color w:val="000000"/>
                <w:sz w:val="16"/>
                <w:szCs w:val="16"/>
              </w:rPr>
            </w:pPr>
            <w:r w:rsidRPr="003B1E4E">
              <w:rPr>
                <w:rFonts w:ascii="Arial" w:hAnsi="Arial" w:cs="Arial"/>
                <w:color w:val="000000"/>
                <w:sz w:val="16"/>
                <w:szCs w:val="16"/>
              </w:rPr>
              <w:t xml:space="preserve">159 </w:t>
            </w:r>
            <w:r w:rsidR="00E46A79" w:rsidRPr="003B1E4E">
              <w:rPr>
                <w:rFonts w:ascii="Arial" w:hAnsi="Arial" w:cs="Arial"/>
                <w:color w:val="000000"/>
                <w:sz w:val="16"/>
                <w:szCs w:val="16"/>
              </w:rPr>
              <w:t>%</w:t>
            </w:r>
          </w:p>
        </w:tc>
      </w:tr>
      <w:tr w:rsidR="00E46A79" w:rsidRPr="00E21C60" w14:paraId="67AD38AD" w14:textId="77777777" w:rsidTr="00682B07">
        <w:trPr>
          <w:trHeight w:val="675"/>
          <w:jc w:val="center"/>
        </w:trPr>
        <w:tc>
          <w:tcPr>
            <w:tcW w:w="624" w:type="dxa"/>
            <w:tcBorders>
              <w:top w:val="nil"/>
              <w:left w:val="single" w:sz="4" w:space="0" w:color="auto"/>
              <w:bottom w:val="single" w:sz="4" w:space="0" w:color="auto"/>
              <w:right w:val="single" w:sz="4" w:space="0" w:color="auto"/>
            </w:tcBorders>
            <w:shd w:val="clear" w:color="auto" w:fill="auto"/>
            <w:vAlign w:val="center"/>
            <w:hideMark/>
          </w:tcPr>
          <w:p w14:paraId="4D829009" w14:textId="479707E6" w:rsidR="00E46A79" w:rsidRPr="002526CC" w:rsidRDefault="00E46A79">
            <w:pPr>
              <w:jc w:val="center"/>
              <w:rPr>
                <w:rFonts w:ascii="Arial" w:hAnsi="Arial" w:cs="Arial"/>
                <w:color w:val="000000"/>
                <w:sz w:val="16"/>
                <w:szCs w:val="16"/>
              </w:rPr>
            </w:pPr>
            <w:bookmarkStart w:id="68" w:name="RANGE!A9"/>
            <w:r w:rsidRPr="002526CC">
              <w:rPr>
                <w:rFonts w:ascii="Arial" w:hAnsi="Arial" w:cs="Arial"/>
                <w:color w:val="000000"/>
                <w:sz w:val="16"/>
                <w:szCs w:val="16"/>
              </w:rPr>
              <w:t>N/A</w:t>
            </w:r>
            <w:bookmarkEnd w:id="68"/>
          </w:p>
        </w:tc>
        <w:tc>
          <w:tcPr>
            <w:tcW w:w="1518" w:type="dxa"/>
            <w:tcBorders>
              <w:top w:val="nil"/>
              <w:left w:val="nil"/>
              <w:bottom w:val="single" w:sz="4" w:space="0" w:color="auto"/>
              <w:right w:val="single" w:sz="4" w:space="0" w:color="auto"/>
            </w:tcBorders>
            <w:shd w:val="clear" w:color="auto" w:fill="auto"/>
            <w:vAlign w:val="center"/>
            <w:hideMark/>
          </w:tcPr>
          <w:p w14:paraId="24DC7B78" w14:textId="77777777" w:rsidR="00E46A79" w:rsidRPr="00E21C60" w:rsidRDefault="00E46A79">
            <w:pPr>
              <w:rPr>
                <w:rFonts w:ascii="Arial" w:hAnsi="Arial" w:cs="Arial"/>
                <w:color w:val="000000"/>
                <w:sz w:val="16"/>
                <w:szCs w:val="16"/>
              </w:rPr>
            </w:pPr>
            <w:r w:rsidRPr="00E21C60">
              <w:rPr>
                <w:rFonts w:ascii="Arial" w:hAnsi="Arial" w:cs="Arial"/>
                <w:color w:val="000000"/>
                <w:sz w:val="16"/>
                <w:szCs w:val="16"/>
              </w:rPr>
              <w:t>Počet novovytvorených pracovných miest</w:t>
            </w:r>
          </w:p>
        </w:tc>
        <w:tc>
          <w:tcPr>
            <w:tcW w:w="729" w:type="dxa"/>
            <w:tcBorders>
              <w:top w:val="nil"/>
              <w:left w:val="nil"/>
              <w:bottom w:val="single" w:sz="4" w:space="0" w:color="auto"/>
              <w:right w:val="single" w:sz="4" w:space="0" w:color="auto"/>
            </w:tcBorders>
            <w:shd w:val="clear" w:color="auto" w:fill="auto"/>
            <w:vAlign w:val="center"/>
            <w:hideMark/>
          </w:tcPr>
          <w:p w14:paraId="39796809" w14:textId="77777777" w:rsidR="00E46A79" w:rsidRPr="00E21C60" w:rsidRDefault="00E46A79">
            <w:pPr>
              <w:jc w:val="center"/>
              <w:rPr>
                <w:rFonts w:ascii="Arial" w:hAnsi="Arial" w:cs="Arial"/>
                <w:color w:val="000000"/>
                <w:sz w:val="16"/>
                <w:szCs w:val="16"/>
              </w:rPr>
            </w:pPr>
            <w:r w:rsidRPr="00E21C60">
              <w:rPr>
                <w:rFonts w:ascii="Arial" w:hAnsi="Arial" w:cs="Arial"/>
                <w:color w:val="000000"/>
                <w:sz w:val="16"/>
                <w:szCs w:val="16"/>
              </w:rPr>
              <w:t>počet</w:t>
            </w:r>
          </w:p>
        </w:tc>
        <w:tc>
          <w:tcPr>
            <w:tcW w:w="830" w:type="dxa"/>
            <w:tcBorders>
              <w:top w:val="nil"/>
              <w:left w:val="nil"/>
              <w:bottom w:val="single" w:sz="4" w:space="0" w:color="auto"/>
              <w:right w:val="single" w:sz="4" w:space="0" w:color="auto"/>
            </w:tcBorders>
            <w:vAlign w:val="center"/>
          </w:tcPr>
          <w:p w14:paraId="70D634C7" w14:textId="1CEA7021" w:rsidR="00E46A79" w:rsidRPr="00E21C60" w:rsidRDefault="00E46A79" w:rsidP="004E581A">
            <w:pPr>
              <w:jc w:val="center"/>
              <w:rPr>
                <w:rFonts w:ascii="Arial" w:hAnsi="Arial" w:cs="Arial"/>
                <w:color w:val="000000"/>
                <w:sz w:val="16"/>
                <w:szCs w:val="16"/>
              </w:rPr>
            </w:pPr>
            <w:r>
              <w:rPr>
                <w:rFonts w:ascii="Arial" w:hAnsi="Arial" w:cs="Arial"/>
                <w:color w:val="000000"/>
                <w:sz w:val="16"/>
                <w:szCs w:val="16"/>
              </w:rPr>
              <w:t>0</w:t>
            </w:r>
          </w:p>
        </w:tc>
        <w:tc>
          <w:tcPr>
            <w:tcW w:w="8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98F904" w14:textId="176DF82B" w:rsidR="00E46A79" w:rsidRPr="00E21C60" w:rsidRDefault="00E46A79" w:rsidP="006B3ADD">
            <w:pPr>
              <w:jc w:val="center"/>
              <w:rPr>
                <w:rFonts w:ascii="Arial" w:hAnsi="Arial" w:cs="Arial"/>
                <w:color w:val="000000"/>
                <w:sz w:val="16"/>
                <w:szCs w:val="16"/>
              </w:rPr>
            </w:pPr>
            <w:r w:rsidRPr="00E21C60">
              <w:rPr>
                <w:rFonts w:ascii="Arial" w:hAnsi="Arial" w:cs="Arial"/>
                <w:color w:val="000000"/>
                <w:sz w:val="16"/>
                <w:szCs w:val="16"/>
              </w:rPr>
              <w:t>200</w:t>
            </w:r>
          </w:p>
        </w:tc>
        <w:tc>
          <w:tcPr>
            <w:tcW w:w="1013" w:type="dxa"/>
            <w:tcBorders>
              <w:top w:val="nil"/>
              <w:left w:val="nil"/>
              <w:bottom w:val="single" w:sz="4" w:space="0" w:color="auto"/>
              <w:right w:val="single" w:sz="4" w:space="0" w:color="auto"/>
            </w:tcBorders>
            <w:shd w:val="clear" w:color="auto" w:fill="auto"/>
            <w:vAlign w:val="center"/>
          </w:tcPr>
          <w:p w14:paraId="6495B677" w14:textId="465D3C7C" w:rsidR="00E46A79" w:rsidRPr="00E21C60" w:rsidRDefault="00377B1C" w:rsidP="006B3ADD">
            <w:pPr>
              <w:jc w:val="center"/>
              <w:rPr>
                <w:rFonts w:ascii="Arial" w:hAnsi="Arial" w:cs="Arial"/>
                <w:color w:val="000000"/>
                <w:sz w:val="16"/>
                <w:szCs w:val="16"/>
              </w:rPr>
            </w:pPr>
            <w:r>
              <w:rPr>
                <w:rFonts w:ascii="Arial" w:hAnsi="Arial" w:cs="Arial"/>
                <w:color w:val="000000"/>
                <w:sz w:val="16"/>
                <w:szCs w:val="16"/>
              </w:rPr>
              <w:t>10</w:t>
            </w:r>
          </w:p>
        </w:tc>
        <w:tc>
          <w:tcPr>
            <w:tcW w:w="850" w:type="dxa"/>
            <w:tcBorders>
              <w:top w:val="nil"/>
              <w:left w:val="nil"/>
              <w:bottom w:val="single" w:sz="4" w:space="0" w:color="auto"/>
              <w:right w:val="single" w:sz="4" w:space="0" w:color="auto"/>
            </w:tcBorders>
            <w:shd w:val="clear" w:color="000000" w:fill="EBF1DE"/>
            <w:vAlign w:val="center"/>
          </w:tcPr>
          <w:p w14:paraId="5E85CCEB" w14:textId="430D6F18" w:rsidR="00E46A79" w:rsidRPr="00E21C60" w:rsidRDefault="0065661A" w:rsidP="006B3ADD">
            <w:pPr>
              <w:jc w:val="center"/>
              <w:rPr>
                <w:rFonts w:ascii="Arial" w:hAnsi="Arial" w:cs="Arial"/>
                <w:color w:val="000000"/>
                <w:sz w:val="16"/>
                <w:szCs w:val="16"/>
              </w:rPr>
            </w:pPr>
            <w:r>
              <w:rPr>
                <w:rFonts w:ascii="Arial" w:hAnsi="Arial" w:cs="Arial"/>
                <w:color w:val="000000"/>
                <w:sz w:val="16"/>
                <w:szCs w:val="16"/>
              </w:rPr>
              <w:t>25</w:t>
            </w:r>
          </w:p>
        </w:tc>
        <w:tc>
          <w:tcPr>
            <w:tcW w:w="992" w:type="dxa"/>
            <w:tcBorders>
              <w:top w:val="nil"/>
              <w:left w:val="nil"/>
              <w:bottom w:val="single" w:sz="4" w:space="0" w:color="auto"/>
              <w:right w:val="single" w:sz="4" w:space="0" w:color="auto"/>
            </w:tcBorders>
            <w:shd w:val="clear" w:color="auto" w:fill="auto"/>
            <w:vAlign w:val="center"/>
            <w:hideMark/>
          </w:tcPr>
          <w:p w14:paraId="4E1348EF" w14:textId="603C9B07" w:rsidR="00E46A79" w:rsidRPr="00E21C60" w:rsidRDefault="00E46A79" w:rsidP="006B3ADD">
            <w:pPr>
              <w:jc w:val="center"/>
              <w:rPr>
                <w:rFonts w:ascii="Arial" w:hAnsi="Arial" w:cs="Arial"/>
                <w:color w:val="000000"/>
                <w:sz w:val="16"/>
                <w:szCs w:val="16"/>
              </w:rPr>
            </w:pPr>
            <w:r>
              <w:rPr>
                <w:rFonts w:ascii="Arial" w:hAnsi="Arial" w:cs="Arial"/>
                <w:color w:val="000000"/>
                <w:sz w:val="16"/>
                <w:szCs w:val="16"/>
              </w:rPr>
              <w:t>23</w:t>
            </w:r>
          </w:p>
        </w:tc>
        <w:tc>
          <w:tcPr>
            <w:tcW w:w="830" w:type="dxa"/>
            <w:tcBorders>
              <w:top w:val="nil"/>
              <w:left w:val="nil"/>
              <w:bottom w:val="single" w:sz="4" w:space="0" w:color="auto"/>
              <w:right w:val="single" w:sz="4" w:space="0" w:color="auto"/>
            </w:tcBorders>
            <w:shd w:val="clear" w:color="000000" w:fill="EBF1DE"/>
            <w:vAlign w:val="center"/>
          </w:tcPr>
          <w:p w14:paraId="54E1D270" w14:textId="46206EAB" w:rsidR="00E46A79" w:rsidRPr="007A1E32" w:rsidRDefault="0065661A" w:rsidP="00F04811">
            <w:pPr>
              <w:jc w:val="center"/>
              <w:rPr>
                <w:rFonts w:ascii="Arial" w:hAnsi="Arial" w:cs="Arial"/>
                <w:color w:val="000000"/>
                <w:sz w:val="16"/>
                <w:szCs w:val="16"/>
              </w:rPr>
            </w:pPr>
            <w:r w:rsidRPr="00D66859">
              <w:rPr>
                <w:rFonts w:ascii="Arial" w:hAnsi="Arial" w:cs="Arial"/>
                <w:color w:val="000000"/>
                <w:sz w:val="16"/>
                <w:szCs w:val="16"/>
              </w:rPr>
              <w:t>12,5</w:t>
            </w:r>
            <w:r w:rsidR="00154AA8">
              <w:rPr>
                <w:rFonts w:ascii="Arial" w:hAnsi="Arial" w:cs="Arial"/>
                <w:color w:val="000000"/>
                <w:sz w:val="16"/>
                <w:szCs w:val="16"/>
              </w:rPr>
              <w:t xml:space="preserve"> %</w:t>
            </w:r>
          </w:p>
        </w:tc>
        <w:tc>
          <w:tcPr>
            <w:tcW w:w="993" w:type="dxa"/>
            <w:tcBorders>
              <w:top w:val="nil"/>
              <w:left w:val="nil"/>
              <w:bottom w:val="single" w:sz="4" w:space="0" w:color="auto"/>
              <w:right w:val="single" w:sz="4" w:space="0" w:color="auto"/>
            </w:tcBorders>
            <w:shd w:val="clear" w:color="auto" w:fill="auto"/>
            <w:vAlign w:val="center"/>
          </w:tcPr>
          <w:p w14:paraId="7652F5D1" w14:textId="2376D6E7" w:rsidR="00E46A79" w:rsidRPr="00221DBF" w:rsidRDefault="00225B95" w:rsidP="00C76579">
            <w:pPr>
              <w:jc w:val="center"/>
              <w:rPr>
                <w:rFonts w:ascii="Arial" w:hAnsi="Arial" w:cs="Arial"/>
                <w:color w:val="000000"/>
                <w:sz w:val="16"/>
                <w:szCs w:val="16"/>
              </w:rPr>
            </w:pPr>
            <w:r>
              <w:rPr>
                <w:rFonts w:ascii="Arial" w:hAnsi="Arial" w:cs="Arial"/>
                <w:color w:val="000000"/>
                <w:sz w:val="16"/>
                <w:szCs w:val="16"/>
              </w:rPr>
              <w:t>9,5</w:t>
            </w:r>
            <w:r w:rsidRPr="00221DBF">
              <w:rPr>
                <w:rFonts w:ascii="Arial" w:hAnsi="Arial" w:cs="Arial"/>
                <w:color w:val="000000"/>
                <w:sz w:val="16"/>
                <w:szCs w:val="16"/>
              </w:rPr>
              <w:t xml:space="preserve"> </w:t>
            </w:r>
            <w:r w:rsidR="00E46A79" w:rsidRPr="00221DBF">
              <w:rPr>
                <w:rFonts w:ascii="Arial" w:hAnsi="Arial" w:cs="Arial"/>
                <w:color w:val="000000"/>
                <w:sz w:val="16"/>
                <w:szCs w:val="16"/>
              </w:rPr>
              <w:t>%</w:t>
            </w:r>
          </w:p>
        </w:tc>
      </w:tr>
    </w:tbl>
    <w:p w14:paraId="7B643875" w14:textId="77777777" w:rsidR="00BE7F7E" w:rsidRDefault="00DB0F9A" w:rsidP="00123376">
      <w:pPr>
        <w:pStyle w:val="Zkladntextb"/>
        <w:spacing w:after="120" w:line="240" w:lineRule="auto"/>
        <w:ind w:left="0"/>
        <w:jc w:val="both"/>
        <w:rPr>
          <w:rFonts w:cs="Arial"/>
          <w:sz w:val="16"/>
          <w:szCs w:val="16"/>
          <w:lang w:val="sk-SK"/>
        </w:rPr>
      </w:pPr>
      <w:r w:rsidRPr="002526CC">
        <w:rPr>
          <w:rFonts w:cs="Arial"/>
          <w:sz w:val="16"/>
          <w:szCs w:val="16"/>
          <w:lang w:val="sk-SK"/>
        </w:rPr>
        <w:t>Zdroj: RO, ITMS</w:t>
      </w:r>
    </w:p>
    <w:p w14:paraId="4278B1AD" w14:textId="04912A63" w:rsidR="00325A93" w:rsidRPr="008E1ACB" w:rsidRDefault="00325A93" w:rsidP="00123376">
      <w:pPr>
        <w:pStyle w:val="Zkladntextb"/>
        <w:spacing w:after="120" w:line="240" w:lineRule="auto"/>
        <w:ind w:left="0"/>
        <w:jc w:val="both"/>
        <w:rPr>
          <w:rFonts w:cs="Arial"/>
          <w:sz w:val="16"/>
          <w:szCs w:val="16"/>
          <w:lang w:val="sk-SK"/>
        </w:rPr>
      </w:pPr>
      <w:r>
        <w:rPr>
          <w:rFonts w:cs="Arial"/>
          <w:sz w:val="16"/>
          <w:szCs w:val="16"/>
          <w:lang w:val="sk-SK"/>
        </w:rPr>
        <w:t>*</w:t>
      </w:r>
      <w:r w:rsidRPr="00325A93">
        <w:rPr>
          <w:rFonts w:cs="Arial"/>
          <w:lang w:val="sk-SK"/>
        </w:rPr>
        <w:t xml:space="preserve"> </w:t>
      </w:r>
      <w:r w:rsidRPr="001F2F97">
        <w:rPr>
          <w:rFonts w:cs="Arial"/>
          <w:sz w:val="18"/>
          <w:szCs w:val="18"/>
          <w:lang w:val="sk-SK"/>
        </w:rPr>
        <w:t>Hodnoty sú uvádzané na základe zmluvy o poskytnutí NFP k </w:t>
      </w:r>
      <w:r w:rsidR="000952DA" w:rsidRPr="001F2F97">
        <w:rPr>
          <w:rFonts w:cs="Arial"/>
          <w:sz w:val="18"/>
          <w:szCs w:val="18"/>
          <w:lang w:val="sk-SK"/>
        </w:rPr>
        <w:t>31. 10. 2016</w:t>
      </w:r>
      <w:r>
        <w:rPr>
          <w:rFonts w:cs="Arial"/>
          <w:lang w:val="sk-SK"/>
        </w:rPr>
        <w:t xml:space="preserve">  </w:t>
      </w:r>
      <w:r w:rsidRPr="00D641FF">
        <w:rPr>
          <w:rFonts w:cs="Arial"/>
          <w:lang w:val="sk-SK"/>
        </w:rPr>
        <w:t xml:space="preserve"> </w:t>
      </w:r>
    </w:p>
    <w:p w14:paraId="4ED6EB1F" w14:textId="7D9540FC" w:rsidR="00BE7F7E" w:rsidRDefault="00BE7F7E" w:rsidP="00123376">
      <w:pPr>
        <w:pStyle w:val="Zkladntextb"/>
        <w:spacing w:before="120" w:after="120" w:line="240" w:lineRule="auto"/>
        <w:ind w:left="0"/>
        <w:jc w:val="both"/>
        <w:rPr>
          <w:rFonts w:cs="Arial"/>
          <w:lang w:val="sk-SK"/>
        </w:rPr>
      </w:pPr>
      <w:r w:rsidRPr="008A1902">
        <w:rPr>
          <w:rFonts w:cs="Arial"/>
          <w:lang w:val="sk-SK"/>
        </w:rPr>
        <w:t xml:space="preserve">Zo siedmych ukazovateľov k </w:t>
      </w:r>
      <w:r w:rsidR="0092104D">
        <w:rPr>
          <w:rFonts w:cs="Arial"/>
          <w:lang w:val="sk-SK"/>
        </w:rPr>
        <w:t>31. 10. 2016</w:t>
      </w:r>
      <w:r w:rsidR="0053415B">
        <w:rPr>
          <w:rFonts w:cs="Arial"/>
          <w:lang w:val="sk-SK"/>
        </w:rPr>
        <w:t xml:space="preserve"> </w:t>
      </w:r>
      <w:r w:rsidR="00F407B9" w:rsidRPr="008A1902">
        <w:rPr>
          <w:rFonts w:cs="Arial"/>
          <w:lang w:val="sk-SK"/>
        </w:rPr>
        <w:t>nedosa</w:t>
      </w:r>
      <w:r w:rsidR="00986C78">
        <w:rPr>
          <w:rFonts w:cs="Arial"/>
          <w:lang w:val="sk-SK"/>
        </w:rPr>
        <w:t>hovali</w:t>
      </w:r>
      <w:r w:rsidRPr="008A1902">
        <w:rPr>
          <w:rFonts w:cs="Arial"/>
          <w:lang w:val="sk-SK"/>
        </w:rPr>
        <w:t xml:space="preserve"> stanovené cieľové hodnoty v OP ŽP </w:t>
      </w:r>
      <w:r w:rsidR="00F17E99">
        <w:rPr>
          <w:rFonts w:cs="Arial"/>
          <w:lang w:val="sk-SK"/>
        </w:rPr>
        <w:t xml:space="preserve"> </w:t>
      </w:r>
      <w:r w:rsidR="00F407B9">
        <w:rPr>
          <w:rFonts w:cs="Arial"/>
          <w:lang w:val="sk-SK"/>
        </w:rPr>
        <w:t>dva</w:t>
      </w:r>
      <w:r w:rsidR="00605509">
        <w:rPr>
          <w:rFonts w:cs="Arial"/>
          <w:lang w:val="sk-SK"/>
        </w:rPr>
        <w:t xml:space="preserve"> ukazovatele</w:t>
      </w:r>
      <w:r w:rsidR="00EF63AC">
        <w:rPr>
          <w:rFonts w:cs="Arial"/>
          <w:lang w:val="sk-SK"/>
        </w:rPr>
        <w:t>.</w:t>
      </w:r>
      <w:r w:rsidR="00154AA8">
        <w:rPr>
          <w:rFonts w:cs="Arial"/>
          <w:lang w:val="sk-SK"/>
        </w:rPr>
        <w:t xml:space="preserve"> Konkrétne</w:t>
      </w:r>
      <w:r w:rsidR="00CB690B">
        <w:rPr>
          <w:rFonts w:cs="Arial"/>
          <w:lang w:val="sk-SK"/>
        </w:rPr>
        <w:t xml:space="preserve"> sa jedná o ukazovateľ </w:t>
      </w:r>
      <w:r w:rsidR="00154AA8">
        <w:rPr>
          <w:rFonts w:cs="Arial"/>
          <w:lang w:val="sk-SK"/>
        </w:rPr>
        <w:t xml:space="preserve"> </w:t>
      </w:r>
      <w:r w:rsidR="00AB2F77" w:rsidRPr="00BB3675">
        <w:rPr>
          <w:rFonts w:cs="Arial"/>
          <w:lang w:val="sk-SK"/>
        </w:rPr>
        <w:t>„</w:t>
      </w:r>
      <w:r w:rsidR="00CB690B" w:rsidRPr="00BB3675">
        <w:rPr>
          <w:rFonts w:cs="Arial"/>
          <w:lang w:val="sk-SK"/>
        </w:rPr>
        <w:t xml:space="preserve">Počet novovytvorených pracovaných miest  a  </w:t>
      </w:r>
      <w:r w:rsidR="00154AA8" w:rsidRPr="00BB3675">
        <w:rPr>
          <w:rFonts w:cs="Arial"/>
          <w:lang w:val="sk-SK"/>
        </w:rPr>
        <w:t>u</w:t>
      </w:r>
      <w:r w:rsidR="00F26D0A" w:rsidRPr="00BB3675">
        <w:rPr>
          <w:rFonts w:cs="Arial"/>
          <w:lang w:val="sk-SK"/>
        </w:rPr>
        <w:t xml:space="preserve">kazovateľ </w:t>
      </w:r>
      <w:r w:rsidR="00F407B9" w:rsidRPr="00BB3675">
        <w:rPr>
          <w:rFonts w:cs="Arial"/>
          <w:lang w:val="sk-SK"/>
        </w:rPr>
        <w:t>„Počet ekvivalentných obyvateľov napojených na novovybudovanú kanalizačnú sieť</w:t>
      </w:r>
      <w:r w:rsidR="00986C78" w:rsidRPr="00BB3675">
        <w:rPr>
          <w:rFonts w:cs="Arial"/>
          <w:lang w:val="sk-SK"/>
        </w:rPr>
        <w:t>“</w:t>
      </w:r>
      <w:r w:rsidR="00681834" w:rsidRPr="00BB3675">
        <w:rPr>
          <w:rFonts w:cs="Arial"/>
          <w:lang w:val="sk-SK"/>
        </w:rPr>
        <w:t xml:space="preserve">. </w:t>
      </w:r>
      <w:r w:rsidR="00CB690B" w:rsidRPr="00BB3675">
        <w:rPr>
          <w:rFonts w:cs="Arial"/>
          <w:lang w:val="sk-SK"/>
        </w:rPr>
        <w:t xml:space="preserve">Ukazovateľ </w:t>
      </w:r>
      <w:r w:rsidR="00F26D0A" w:rsidRPr="00BB3675">
        <w:rPr>
          <w:rFonts w:cs="Arial"/>
          <w:lang w:val="sk-SK"/>
        </w:rPr>
        <w:t>„Počet obyvateľov pripojených k novovybudovaným rozvodom pitnej vody“</w:t>
      </w:r>
      <w:r w:rsidR="00B4084F" w:rsidRPr="00BB3675">
        <w:rPr>
          <w:rFonts w:cs="Arial"/>
          <w:lang w:val="sk-SK"/>
        </w:rPr>
        <w:t xml:space="preserve"> zaznamenal vysoký nárast (</w:t>
      </w:r>
      <w:r w:rsidR="000F278B" w:rsidRPr="00BB3675">
        <w:rPr>
          <w:rFonts w:cs="Arial"/>
          <w:lang w:val="sk-SK"/>
        </w:rPr>
        <w:t xml:space="preserve">plnenie dosahuje hodnotu </w:t>
      </w:r>
      <w:r w:rsidR="00B4084F" w:rsidRPr="00BB3675">
        <w:rPr>
          <w:rFonts w:cs="Arial"/>
          <w:lang w:val="sk-SK"/>
        </w:rPr>
        <w:t>437,21% vo vzťahu k</w:t>
      </w:r>
      <w:r w:rsidR="000F278B" w:rsidRPr="00BB3675">
        <w:rPr>
          <w:rFonts w:cs="Arial"/>
          <w:lang w:val="sk-SK"/>
        </w:rPr>
        <w:t> </w:t>
      </w:r>
      <w:r w:rsidR="00AC7BB8" w:rsidRPr="00BB3675">
        <w:rPr>
          <w:rFonts w:cs="Arial"/>
          <w:lang w:val="sk-SK"/>
        </w:rPr>
        <w:t>cieľov</w:t>
      </w:r>
      <w:r w:rsidR="000F278B" w:rsidRPr="00BB3675">
        <w:rPr>
          <w:rFonts w:cs="Arial"/>
          <w:lang w:val="sk-SK"/>
        </w:rPr>
        <w:t xml:space="preserve">ej </w:t>
      </w:r>
      <w:r w:rsidR="00B4084F" w:rsidRPr="00BB3675">
        <w:rPr>
          <w:rFonts w:cs="Arial"/>
          <w:lang w:val="sk-SK"/>
        </w:rPr>
        <w:t xml:space="preserve"> hodnot</w:t>
      </w:r>
      <w:r w:rsidR="000F278B" w:rsidRPr="00BB3675">
        <w:rPr>
          <w:rFonts w:cs="Arial"/>
          <w:lang w:val="sk-SK"/>
        </w:rPr>
        <w:t>e</w:t>
      </w:r>
      <w:r w:rsidR="00B4084F" w:rsidRPr="00BB3675">
        <w:rPr>
          <w:rFonts w:cs="Arial"/>
          <w:lang w:val="sk-SK"/>
        </w:rPr>
        <w:t xml:space="preserve"> </w:t>
      </w:r>
      <w:r w:rsidR="000F278B" w:rsidRPr="00BB3675">
        <w:rPr>
          <w:rFonts w:cs="Arial"/>
          <w:lang w:val="sk-SK"/>
        </w:rPr>
        <w:t xml:space="preserve">stanovenej </w:t>
      </w:r>
      <w:r w:rsidR="00B4084F" w:rsidRPr="00BB3675">
        <w:rPr>
          <w:rFonts w:cs="Arial"/>
          <w:lang w:val="sk-SK"/>
        </w:rPr>
        <w:t>v OP ŹP</w:t>
      </w:r>
      <w:r w:rsidR="00BD56A1" w:rsidRPr="00BB3675">
        <w:rPr>
          <w:rFonts w:cs="Arial"/>
          <w:lang w:val="sk-SK"/>
        </w:rPr>
        <w:t>).</w:t>
      </w:r>
      <w:r w:rsidR="00BD56A1">
        <w:rPr>
          <w:rFonts w:cs="Arial"/>
          <w:lang w:val="sk-SK"/>
        </w:rPr>
        <w:t xml:space="preserve"> </w:t>
      </w:r>
    </w:p>
    <w:p w14:paraId="4ED7FDBB" w14:textId="5F7212C5" w:rsidR="00A94B3C" w:rsidRPr="00A94B3C" w:rsidRDefault="000640C9" w:rsidP="00123376">
      <w:pPr>
        <w:pStyle w:val="Zkladntextb"/>
        <w:spacing w:before="120" w:after="120" w:line="240" w:lineRule="auto"/>
        <w:ind w:left="0"/>
        <w:jc w:val="both"/>
        <w:rPr>
          <w:szCs w:val="24"/>
          <w:lang w:val="sk-SK"/>
        </w:rPr>
      </w:pPr>
      <w:r>
        <w:rPr>
          <w:rFonts w:cs="Arial"/>
          <w:lang w:val="sk-SK"/>
        </w:rPr>
        <w:t>V prípade ukazovateľa „</w:t>
      </w:r>
      <w:r w:rsidRPr="000640C9">
        <w:rPr>
          <w:rFonts w:cs="Arial"/>
          <w:lang w:val="sk-SK"/>
        </w:rPr>
        <w:t>Počet ekvivalentných obyvateľov napojených na novovybudovanú kanalizačnú sieť</w:t>
      </w:r>
      <w:r>
        <w:rPr>
          <w:rFonts w:cs="Arial"/>
          <w:lang w:val="sk-SK"/>
        </w:rPr>
        <w:t xml:space="preserve">“ bola cieľová hodnota znížená z 335 991 EO na 327 843 EO z dôvodu realokácie finančných prostriedkov </w:t>
      </w:r>
      <w:r w:rsidR="000A120A">
        <w:rPr>
          <w:rFonts w:cs="Arial"/>
          <w:lang w:val="sk-SK"/>
        </w:rPr>
        <w:t xml:space="preserve">na </w:t>
      </w:r>
      <w:r>
        <w:rPr>
          <w:rFonts w:cs="Arial"/>
          <w:lang w:val="sk-SK"/>
        </w:rPr>
        <w:t>PO 2.</w:t>
      </w:r>
      <w:r w:rsidR="00FF3D35">
        <w:rPr>
          <w:rFonts w:cs="Arial"/>
          <w:lang w:val="sk-SK"/>
        </w:rPr>
        <w:t xml:space="preserve"> Predmetný ukazovateľ dosahuje </w:t>
      </w:r>
      <w:r w:rsidR="004C2C23">
        <w:rPr>
          <w:rFonts w:cs="Arial"/>
          <w:lang w:val="sk-SK"/>
        </w:rPr>
        <w:t xml:space="preserve">aj po znížení tohto ukazovateľa </w:t>
      </w:r>
      <w:r w:rsidR="00FF3D35">
        <w:rPr>
          <w:rFonts w:cs="Arial"/>
          <w:lang w:val="sk-SK"/>
        </w:rPr>
        <w:t xml:space="preserve">úspešnosť plnenia na úrovni </w:t>
      </w:r>
      <w:r w:rsidR="00225B95">
        <w:rPr>
          <w:rFonts w:cs="Arial"/>
          <w:lang w:val="sk-SK"/>
        </w:rPr>
        <w:t>30,46</w:t>
      </w:r>
      <w:r w:rsidR="00FF3D35">
        <w:rPr>
          <w:rFonts w:cs="Arial"/>
          <w:lang w:val="sk-SK"/>
        </w:rPr>
        <w:t xml:space="preserve"> % pričom úspešnosť plnenia </w:t>
      </w:r>
      <w:r w:rsidR="00BB3675">
        <w:rPr>
          <w:rFonts w:cs="Arial"/>
          <w:lang w:val="sk-SK"/>
        </w:rPr>
        <w:t>zazmluvnených projektov je až 91</w:t>
      </w:r>
      <w:r w:rsidR="00FF3D35">
        <w:rPr>
          <w:rFonts w:cs="Arial"/>
          <w:lang w:val="sk-SK"/>
        </w:rPr>
        <w:t>%. RO predpokladá, že po predložení následných monitorovacích správ projektov, ktorých rea</w:t>
      </w:r>
      <w:r w:rsidR="00986C78">
        <w:rPr>
          <w:rFonts w:cs="Arial"/>
          <w:lang w:val="sk-SK"/>
        </w:rPr>
        <w:t>lizácia bola ukončená k decembru</w:t>
      </w:r>
      <w:r w:rsidR="00FF3D35">
        <w:rPr>
          <w:rFonts w:cs="Arial"/>
          <w:lang w:val="sk-SK"/>
        </w:rPr>
        <w:t xml:space="preserve"> 2015 bude hodnota „úspešnosť plnenia</w:t>
      </w:r>
      <w:r w:rsidR="000A120A">
        <w:rPr>
          <w:rFonts w:cs="Arial"/>
          <w:lang w:val="sk-SK"/>
        </w:rPr>
        <w:t>“ výrazne navýšená</w:t>
      </w:r>
      <w:r w:rsidR="00FF3D35">
        <w:rPr>
          <w:rFonts w:cs="Arial"/>
          <w:lang w:val="sk-SK"/>
        </w:rPr>
        <w:t>.</w:t>
      </w:r>
      <w:r w:rsidR="0037182B">
        <w:rPr>
          <w:rFonts w:cs="Arial"/>
          <w:lang w:val="sk-SK"/>
        </w:rPr>
        <w:t xml:space="preserve"> Cieľová hodnota úspešnosti plnenia </w:t>
      </w:r>
      <w:r w:rsidR="0037182B" w:rsidRPr="00B151B4">
        <w:rPr>
          <w:rFonts w:cs="Arial"/>
          <w:lang w:val="sk-SK"/>
        </w:rPr>
        <w:t xml:space="preserve">zazmluvnených projektov nedosahuje hodnotu 100 % </w:t>
      </w:r>
      <w:r w:rsidR="006F1166" w:rsidRPr="00B151B4">
        <w:rPr>
          <w:rFonts w:cs="Arial"/>
          <w:lang w:val="sk-SK"/>
        </w:rPr>
        <w:t xml:space="preserve">aj </w:t>
      </w:r>
      <w:r w:rsidR="0037182B" w:rsidRPr="00B151B4">
        <w:rPr>
          <w:rFonts w:cs="Arial"/>
          <w:lang w:val="sk-SK"/>
        </w:rPr>
        <w:t xml:space="preserve">z dôvodu </w:t>
      </w:r>
      <w:r w:rsidR="009230D0" w:rsidRPr="00B151B4">
        <w:rPr>
          <w:rFonts w:cs="Arial"/>
          <w:lang w:val="sk-SK"/>
        </w:rPr>
        <w:t>neochoty</w:t>
      </w:r>
      <w:r w:rsidR="006F1166" w:rsidRPr="00B151B4">
        <w:rPr>
          <w:rFonts w:cs="Arial"/>
          <w:lang w:val="sk-SK"/>
        </w:rPr>
        <w:t xml:space="preserve"> </w:t>
      </w:r>
      <w:r w:rsidR="006F1166" w:rsidRPr="00B151B4">
        <w:rPr>
          <w:rFonts w:cs="Arial"/>
          <w:lang w:val="sk-SK"/>
        </w:rPr>
        <w:lastRenderedPageBreak/>
        <w:t>obyvateľstva</w:t>
      </w:r>
      <w:r w:rsidR="009230D0" w:rsidRPr="00B151B4">
        <w:rPr>
          <w:rFonts w:cs="Arial"/>
          <w:lang w:val="sk-SK"/>
        </w:rPr>
        <w:t xml:space="preserve"> </w:t>
      </w:r>
      <w:r w:rsidR="006F1166" w:rsidRPr="00B151B4">
        <w:rPr>
          <w:rFonts w:cs="Arial"/>
          <w:lang w:val="sk-SK"/>
        </w:rPr>
        <w:t xml:space="preserve">pripojiť </w:t>
      </w:r>
      <w:r w:rsidR="009230D0" w:rsidRPr="00B151B4">
        <w:rPr>
          <w:rFonts w:cs="Arial"/>
          <w:lang w:val="sk-SK"/>
        </w:rPr>
        <w:t>sa na novovybudovanú kanalizačnú sieť</w:t>
      </w:r>
      <w:r w:rsidR="009D3795" w:rsidRPr="00CE605D">
        <w:rPr>
          <w:rFonts w:cs="Arial"/>
          <w:lang w:val="sk-SK"/>
        </w:rPr>
        <w:t xml:space="preserve"> (</w:t>
      </w:r>
      <w:r w:rsidR="00A94B3C">
        <w:rPr>
          <w:rFonts w:cs="Arial"/>
          <w:lang w:val="sk-SK"/>
        </w:rPr>
        <w:t xml:space="preserve">v tom prípade </w:t>
      </w:r>
      <w:r w:rsidR="001713A6" w:rsidRPr="00CB66E1">
        <w:rPr>
          <w:rFonts w:cs="Arial"/>
          <w:lang w:val="sk-SK"/>
        </w:rPr>
        <w:t xml:space="preserve">ak má </w:t>
      </w:r>
      <w:r w:rsidR="009D3795" w:rsidRPr="00B151B4">
        <w:rPr>
          <w:szCs w:val="24"/>
          <w:lang w:val="sk-SK"/>
        </w:rPr>
        <w:t>vlastník stavby alebo vlastník pozemku povolenie príslušného orgánu štátnej vodnej správy na iný spôsob nakladania s odpadovými vodami, nevzniká mu v súlade s § 23 ods. 2 zákona o verejných vodovodoch a verejných kanalizáciách povinnosť napojiť sa na novovybudovanú kanalizáciu).</w:t>
      </w:r>
      <w:r w:rsidR="00A94B3C">
        <w:rPr>
          <w:szCs w:val="24"/>
          <w:lang w:val="sk-SK"/>
        </w:rPr>
        <w:t xml:space="preserve"> Zároveň je dôležité poznamenať, ako už bolo spomínané aj v kapitole </w:t>
      </w:r>
      <w:r w:rsidR="00AB2F77" w:rsidRPr="00AB2F77">
        <w:rPr>
          <w:szCs w:val="24"/>
          <w:lang w:val="sk-SK"/>
        </w:rPr>
        <w:t>3.1.1.1</w:t>
      </w:r>
      <w:r w:rsidR="00A94B3C">
        <w:rPr>
          <w:szCs w:val="24"/>
          <w:lang w:val="sk-SK"/>
        </w:rPr>
        <w:t xml:space="preserve">, že pripájanie obyvateľov na kanalizačnú sieť je ovplyvnené nielen záujmom obyvateľov o pripojenie na kanalizačnú sieť, ale hlavne aj časovou náročnosťou na zrealizovanie „ostrých prepojov“ resp. prípojok na k novovybudovanej kanalizačnej sieti. </w:t>
      </w:r>
    </w:p>
    <w:p w14:paraId="17189A7A" w14:textId="5B7EBBCA" w:rsidR="00B24518" w:rsidRDefault="00B24518" w:rsidP="00B24518">
      <w:pPr>
        <w:pStyle w:val="Zkladntextb"/>
        <w:spacing w:before="120" w:after="120" w:line="240" w:lineRule="auto"/>
        <w:ind w:left="0"/>
        <w:jc w:val="both"/>
        <w:rPr>
          <w:rFonts w:cs="Arial"/>
          <w:lang w:val="sk-SK"/>
        </w:rPr>
      </w:pPr>
      <w:r>
        <w:rPr>
          <w:rFonts w:cs="Arial"/>
          <w:lang w:val="sk-SK"/>
        </w:rPr>
        <w:t>Nižšie plnenie hodnôt</w:t>
      </w:r>
      <w:r w:rsidRPr="008A1902">
        <w:rPr>
          <w:rFonts w:cs="Arial"/>
          <w:lang w:val="sk-SK"/>
        </w:rPr>
        <w:t xml:space="preserve"> ukazovateľa „Počet novovytvorených pracovných miest“ </w:t>
      </w:r>
      <w:r w:rsidRPr="007301AC">
        <w:rPr>
          <w:rFonts w:cs="Arial"/>
          <w:lang w:val="sk-SK"/>
        </w:rPr>
        <w:t>(</w:t>
      </w:r>
      <w:r>
        <w:rPr>
          <w:rFonts w:cs="Arial"/>
          <w:lang w:val="sk-SK"/>
        </w:rPr>
        <w:t xml:space="preserve">12,5 </w:t>
      </w:r>
      <w:r w:rsidRPr="008A1902">
        <w:rPr>
          <w:rFonts w:cs="Arial"/>
          <w:lang w:val="sk-SK"/>
        </w:rPr>
        <w:t>%) spočíva v aplikáci</w:t>
      </w:r>
      <w:r>
        <w:rPr>
          <w:rFonts w:cs="Arial"/>
          <w:lang w:val="sk-SK"/>
        </w:rPr>
        <w:t>i</w:t>
      </w:r>
      <w:r w:rsidRPr="008A1902">
        <w:rPr>
          <w:rFonts w:cs="Arial"/>
          <w:lang w:val="sk-SK"/>
        </w:rPr>
        <w:t xml:space="preserve"> nevhodnej metodiky stanovenia počtu novovytvorených pracovných miest </w:t>
      </w:r>
      <w:r w:rsidRPr="008A1902">
        <w:rPr>
          <w:rFonts w:cs="Arial"/>
          <w:lang w:val="sk-SK"/>
        </w:rPr>
        <w:br/>
        <w:t>v procese programovania OP ŽP, ke</w:t>
      </w:r>
      <w:r>
        <w:rPr>
          <w:rFonts w:cs="Arial"/>
          <w:lang w:val="sk-SK"/>
        </w:rPr>
        <w:t>ďže</w:t>
      </w:r>
      <w:r w:rsidRPr="008A1902">
        <w:rPr>
          <w:rFonts w:cs="Arial"/>
          <w:lang w:val="sk-SK"/>
        </w:rPr>
        <w:t xml:space="preserve"> cieľová hodnota ukazovateľa (stanovená expertným odhadom) zahŕňa novovytvorené pracovné miesta u žiadateľa, ako aj predpokladané dočasné pracovné miesta na strane dodávateľov vytvorené iba počas realizácie projektu</w:t>
      </w:r>
      <w:r w:rsidR="00321439">
        <w:rPr>
          <w:rFonts w:cs="Arial"/>
          <w:lang w:val="sk-SK"/>
        </w:rPr>
        <w:t xml:space="preserve">. </w:t>
      </w:r>
      <w:r>
        <w:rPr>
          <w:rFonts w:cs="Arial"/>
          <w:lang w:val="sk-SK"/>
        </w:rPr>
        <w:t>Po ukončení  realizácie projektov výstavby kanalizácie nedochádza k vytváraniu veľkého počtu  nových pracovných miest, a teda pracovné miesta sa vytvárajú počas implementácie projektov (</w:t>
      </w:r>
      <w:r w:rsidRPr="00B50C98">
        <w:rPr>
          <w:rFonts w:cs="Arial"/>
          <w:lang w:val="sk-SK"/>
        </w:rPr>
        <w:t>u dodávateľov stavebných prác</w:t>
      </w:r>
      <w:r>
        <w:rPr>
          <w:rFonts w:cs="Arial"/>
          <w:lang w:val="sk-SK"/>
        </w:rPr>
        <w:t xml:space="preserve">) a sú dočasného charakteru.  </w:t>
      </w:r>
    </w:p>
    <w:p w14:paraId="15AF0A65" w14:textId="7E07BCA7" w:rsidR="000A5B4C" w:rsidRDefault="00C21173" w:rsidP="00B24518">
      <w:pPr>
        <w:pStyle w:val="Zkladntextb"/>
        <w:spacing w:before="120" w:after="120" w:line="240" w:lineRule="auto"/>
        <w:ind w:left="0"/>
        <w:jc w:val="both"/>
        <w:rPr>
          <w:rFonts w:cs="Arial"/>
          <w:lang w:val="sk-SK"/>
        </w:rPr>
      </w:pPr>
      <w:r>
        <w:rPr>
          <w:rFonts w:cs="Arial"/>
          <w:lang w:val="sk-SK"/>
        </w:rPr>
        <w:t>Ukazovateľ „</w:t>
      </w:r>
      <w:r w:rsidRPr="00C21173">
        <w:rPr>
          <w:rFonts w:cs="Arial"/>
          <w:lang w:val="sk-SK"/>
        </w:rPr>
        <w:t>Počet obyvateľov pripojených k novovybudovaným rozvodom pitnej vody</w:t>
      </w:r>
      <w:r>
        <w:rPr>
          <w:rFonts w:cs="Arial"/>
          <w:lang w:val="sk-SK"/>
        </w:rPr>
        <w:t xml:space="preserve">“ došlo k výraznému prekročeniu </w:t>
      </w:r>
      <w:r w:rsidR="00FB5D12">
        <w:rPr>
          <w:rFonts w:cs="Arial"/>
          <w:lang w:val="sk-SK"/>
        </w:rPr>
        <w:t>hodnoty úspešnosti plnenia (</w:t>
      </w:r>
      <w:r w:rsidR="00FB5D12" w:rsidRPr="00FB5D12">
        <w:rPr>
          <w:rFonts w:cs="Arial"/>
          <w:lang w:val="sk-SK"/>
        </w:rPr>
        <w:t>437,21</w:t>
      </w:r>
      <w:r w:rsidR="00FB5D12">
        <w:rPr>
          <w:rFonts w:cs="Arial"/>
          <w:lang w:val="sk-SK"/>
        </w:rPr>
        <w:t>%), ako aj úspešnosti plnenia zazmluvnených projektov (</w:t>
      </w:r>
      <w:r w:rsidR="00FB5D12" w:rsidRPr="00FB5D12">
        <w:rPr>
          <w:rFonts w:cs="Arial"/>
          <w:lang w:val="sk-SK"/>
        </w:rPr>
        <w:t>743</w:t>
      </w:r>
      <w:r w:rsidR="00FB5D12" w:rsidRPr="003A55EB">
        <w:rPr>
          <w:rFonts w:cs="Arial"/>
          <w:lang w:val="sk-SK"/>
        </w:rPr>
        <w:t xml:space="preserve">%) </w:t>
      </w:r>
      <w:r w:rsidR="000453AB" w:rsidRPr="003A55EB">
        <w:rPr>
          <w:rFonts w:cs="Arial"/>
          <w:lang w:val="sk-SK"/>
        </w:rPr>
        <w:t xml:space="preserve">čo je spôsobené tým, že schválené projekty boli väčšinou zamerané na územia s vyššou hustotou obyvateľstva ako bola pôvodne uvažovaná priemerná hustota obyvateľstva. </w:t>
      </w:r>
      <w:r w:rsidR="0054413C" w:rsidRPr="003A55EB">
        <w:rPr>
          <w:rFonts w:cs="Arial"/>
          <w:lang w:val="sk-SK"/>
        </w:rPr>
        <w:t xml:space="preserve"> </w:t>
      </w:r>
      <w:r w:rsidR="000A5B4C" w:rsidRPr="003A55EB">
        <w:rPr>
          <w:rFonts w:cs="Arial"/>
          <w:lang w:val="sk-SK"/>
        </w:rPr>
        <w:t>Výrazné</w:t>
      </w:r>
      <w:r w:rsidR="000A5B4C">
        <w:rPr>
          <w:rFonts w:cs="Arial"/>
          <w:lang w:val="sk-SK"/>
        </w:rPr>
        <w:t xml:space="preserve"> prekročenie hodnoty je spôsobené </w:t>
      </w:r>
      <w:r w:rsidR="000A5B4C" w:rsidRPr="000A5B4C">
        <w:rPr>
          <w:rFonts w:cs="Arial"/>
          <w:lang w:val="sk-SK"/>
        </w:rPr>
        <w:t>jednak kvalitnejšou prípravou predložených projektov, ako i efektívnejšie nastaveným podmienkam poskytovania pomoci pre túto oblasť (napr. súbežné budovanie verejného vodovodu v jednej ryhe s verejnou kanalizáciou, využívanie existujúcich vodárenských kapacít a pod.).</w:t>
      </w:r>
      <w:r w:rsidR="009B0888">
        <w:rPr>
          <w:rFonts w:cs="Arial"/>
          <w:lang w:val="sk-SK"/>
        </w:rPr>
        <w:t xml:space="preserve"> </w:t>
      </w:r>
    </w:p>
    <w:p w14:paraId="2A6D0946" w14:textId="1D5C48A6" w:rsidR="008C2893" w:rsidRDefault="00220698" w:rsidP="008C2893">
      <w:pPr>
        <w:pStyle w:val="Zkladntextb"/>
        <w:spacing w:before="120" w:after="120" w:line="240" w:lineRule="auto"/>
        <w:ind w:left="0"/>
        <w:jc w:val="both"/>
        <w:rPr>
          <w:rFonts w:cs="Arial"/>
          <w:lang w:val="sk-SK"/>
        </w:rPr>
      </w:pPr>
      <w:r w:rsidRPr="00AB2F77">
        <w:rPr>
          <w:rFonts w:cs="Arial"/>
          <w:lang w:val="sk-SK"/>
        </w:rPr>
        <w:t>V prípade ukazovateľa „Dĺžka novovybudovaných kanalizačných sietí (bez kanal. prípojok)“ došlo k prekročeniu hodnoty úspešnos</w:t>
      </w:r>
      <w:r w:rsidR="006C4FB1" w:rsidRPr="00682B07">
        <w:rPr>
          <w:rFonts w:cs="Arial"/>
          <w:lang w:val="sk-SK"/>
        </w:rPr>
        <w:t>ti</w:t>
      </w:r>
      <w:r w:rsidRPr="00AB2F77">
        <w:rPr>
          <w:rFonts w:cs="Arial"/>
          <w:lang w:val="sk-SK"/>
        </w:rPr>
        <w:t xml:space="preserve"> plnenia </w:t>
      </w:r>
      <w:r w:rsidR="00681834" w:rsidRPr="00682B07">
        <w:rPr>
          <w:rFonts w:cs="Arial"/>
          <w:lang w:val="sk-SK"/>
        </w:rPr>
        <w:t xml:space="preserve">vo vzťahu k cieľovým hodnotám stanoveným v OP ŽP </w:t>
      </w:r>
      <w:r w:rsidR="00BB3675">
        <w:rPr>
          <w:rFonts w:cs="Arial"/>
          <w:lang w:val="sk-SK"/>
        </w:rPr>
        <w:t>(</w:t>
      </w:r>
      <w:r w:rsidR="00225B95">
        <w:rPr>
          <w:rFonts w:cs="Arial"/>
          <w:lang w:val="sk-SK"/>
        </w:rPr>
        <w:t xml:space="preserve">128,65 </w:t>
      </w:r>
      <w:r w:rsidRPr="00AB2F77">
        <w:rPr>
          <w:rFonts w:cs="Arial"/>
          <w:lang w:val="sk-SK"/>
        </w:rPr>
        <w:t>%)</w:t>
      </w:r>
      <w:r w:rsidR="008C2893" w:rsidRPr="00AB2F77">
        <w:rPr>
          <w:rFonts w:cs="Arial"/>
          <w:lang w:val="sk-SK"/>
        </w:rPr>
        <w:t xml:space="preserve">, </w:t>
      </w:r>
      <w:r w:rsidR="00681834" w:rsidRPr="00682B07">
        <w:rPr>
          <w:rFonts w:cs="Arial"/>
          <w:lang w:val="sk-SK"/>
        </w:rPr>
        <w:t xml:space="preserve">ako aj prekročeniu </w:t>
      </w:r>
      <w:r w:rsidR="008C2893" w:rsidRPr="00AB2F77">
        <w:rPr>
          <w:rFonts w:cs="Arial"/>
          <w:lang w:val="sk-SK"/>
        </w:rPr>
        <w:t>úspešnos</w:t>
      </w:r>
      <w:r w:rsidR="00681834" w:rsidRPr="00682B07">
        <w:rPr>
          <w:rFonts w:cs="Arial"/>
          <w:lang w:val="sk-SK"/>
        </w:rPr>
        <w:t>ti</w:t>
      </w:r>
      <w:r w:rsidR="008C2893" w:rsidRPr="00AB2F77">
        <w:rPr>
          <w:rFonts w:cs="Arial"/>
          <w:lang w:val="sk-SK"/>
        </w:rPr>
        <w:t xml:space="preserve"> plnenia zazmluvnených projektov</w:t>
      </w:r>
      <w:r w:rsidR="00681834" w:rsidRPr="00682B07">
        <w:rPr>
          <w:rFonts w:cs="Arial"/>
          <w:lang w:val="sk-SK"/>
        </w:rPr>
        <w:t xml:space="preserve">, ktorý </w:t>
      </w:r>
      <w:r w:rsidR="00BB3675">
        <w:rPr>
          <w:rFonts w:cs="Arial"/>
          <w:lang w:val="sk-SK"/>
        </w:rPr>
        <w:t>vykazuje hodnotu (141</w:t>
      </w:r>
      <w:r w:rsidR="008C2893" w:rsidRPr="00AB2F77">
        <w:rPr>
          <w:rFonts w:cs="Arial"/>
          <w:lang w:val="sk-SK"/>
        </w:rPr>
        <w:t>%)</w:t>
      </w:r>
      <w:r w:rsidR="00681834" w:rsidRPr="00682B07">
        <w:rPr>
          <w:rFonts w:cs="Arial"/>
          <w:lang w:val="sk-SK"/>
        </w:rPr>
        <w:t xml:space="preserve">. Prekročenie uvedených hodnôt  vyplýva z </w:t>
      </w:r>
      <w:r w:rsidR="00503158" w:rsidRPr="00AB2F77">
        <w:rPr>
          <w:rFonts w:cs="Arial"/>
          <w:lang w:val="sk-SK"/>
        </w:rPr>
        <w:t>vysokej absorpčnej kapacit</w:t>
      </w:r>
      <w:r w:rsidR="00681834" w:rsidRPr="00682B07">
        <w:rPr>
          <w:rFonts w:cs="Arial"/>
          <w:lang w:val="sk-SK"/>
        </w:rPr>
        <w:t>y</w:t>
      </w:r>
      <w:r w:rsidR="00503158" w:rsidRPr="00AB2F77">
        <w:rPr>
          <w:rFonts w:cs="Arial"/>
          <w:lang w:val="sk-SK"/>
        </w:rPr>
        <w:t xml:space="preserve"> žiadateľov o</w:t>
      </w:r>
      <w:r w:rsidR="00AB54C3" w:rsidRPr="00682B07">
        <w:rPr>
          <w:rFonts w:cs="Arial"/>
          <w:lang w:val="sk-SK"/>
        </w:rPr>
        <w:t> </w:t>
      </w:r>
      <w:r w:rsidR="00503158" w:rsidRPr="00AB2F77">
        <w:rPr>
          <w:rFonts w:cs="Arial"/>
          <w:lang w:val="sk-SK"/>
        </w:rPr>
        <w:t>NFP</w:t>
      </w:r>
      <w:r w:rsidR="00AB54C3" w:rsidRPr="00682B07">
        <w:rPr>
          <w:rFonts w:cs="Arial"/>
          <w:lang w:val="sk-SK"/>
        </w:rPr>
        <w:t xml:space="preserve">, ktorá </w:t>
      </w:r>
      <w:r w:rsidR="006C4FB1" w:rsidRPr="00682B07">
        <w:rPr>
          <w:rFonts w:cs="Arial"/>
          <w:lang w:val="sk-SK"/>
        </w:rPr>
        <w:t>mohla</w:t>
      </w:r>
      <w:r w:rsidR="00AB54C3" w:rsidRPr="00682B07">
        <w:rPr>
          <w:rFonts w:cs="Arial"/>
          <w:lang w:val="sk-SK"/>
        </w:rPr>
        <w:t xml:space="preserve"> byť uspokojená </w:t>
      </w:r>
      <w:r w:rsidR="00503158" w:rsidRPr="00AB2F77">
        <w:rPr>
          <w:rFonts w:cs="Arial"/>
          <w:lang w:val="sk-SK"/>
        </w:rPr>
        <w:t xml:space="preserve"> </w:t>
      </w:r>
      <w:r w:rsidR="008C2893" w:rsidRPr="00AB2F77">
        <w:rPr>
          <w:rFonts w:cs="Arial"/>
          <w:lang w:val="sk-SK"/>
        </w:rPr>
        <w:t xml:space="preserve">z dôvodu </w:t>
      </w:r>
      <w:r w:rsidR="00F171FF" w:rsidRPr="00AB2F77">
        <w:rPr>
          <w:rFonts w:cs="Arial"/>
          <w:lang w:val="sk-SK"/>
        </w:rPr>
        <w:t>ušetren</w:t>
      </w:r>
      <w:r w:rsidR="00AB54C3" w:rsidRPr="00682B07">
        <w:rPr>
          <w:rFonts w:cs="Arial"/>
          <w:lang w:val="sk-SK"/>
        </w:rPr>
        <w:t xml:space="preserve">ých </w:t>
      </w:r>
      <w:r w:rsidR="00F171FF" w:rsidRPr="00AB2F77">
        <w:rPr>
          <w:rFonts w:cs="Arial"/>
          <w:lang w:val="sk-SK"/>
        </w:rPr>
        <w:t>finančn</w:t>
      </w:r>
      <w:r w:rsidR="009D3795" w:rsidRPr="00AB2F77">
        <w:rPr>
          <w:rFonts w:cs="Arial"/>
          <w:lang w:val="sk-SK"/>
        </w:rPr>
        <w:t>ých prostriedkov p</w:t>
      </w:r>
      <w:r w:rsidR="00F171FF" w:rsidRPr="00AB2F77">
        <w:rPr>
          <w:rFonts w:cs="Arial"/>
          <w:lang w:val="sk-SK"/>
        </w:rPr>
        <w:t xml:space="preserve">ri </w:t>
      </w:r>
      <w:r w:rsidR="009D3795" w:rsidRPr="00AB2F77">
        <w:rPr>
          <w:rFonts w:cs="Arial"/>
          <w:lang w:val="sk-SK"/>
        </w:rPr>
        <w:t>procese verejného obstarávania</w:t>
      </w:r>
      <w:r w:rsidR="006C4FB1" w:rsidRPr="00AB2F77">
        <w:rPr>
          <w:rFonts w:cs="Arial"/>
          <w:lang w:val="sk-SK"/>
        </w:rPr>
        <w:t>.</w:t>
      </w:r>
      <w:r w:rsidR="006C4FB1">
        <w:rPr>
          <w:rFonts w:cs="Arial"/>
          <w:lang w:val="sk-SK"/>
        </w:rPr>
        <w:t xml:space="preserve"> </w:t>
      </w:r>
    </w:p>
    <w:p w14:paraId="74AD7C7F" w14:textId="77777777" w:rsidR="00E76CA8" w:rsidRPr="00412B91" w:rsidRDefault="00E76CA8" w:rsidP="00E76CA8">
      <w:pPr>
        <w:pStyle w:val="Zkladntextb"/>
        <w:spacing w:before="120" w:after="120" w:line="240" w:lineRule="auto"/>
        <w:ind w:left="0"/>
        <w:jc w:val="both"/>
        <w:rPr>
          <w:rFonts w:cs="Arial"/>
          <w:lang w:val="sk-SK"/>
        </w:rPr>
      </w:pPr>
      <w:r w:rsidRPr="008A1902">
        <w:rPr>
          <w:rFonts w:cs="Arial"/>
          <w:lang w:val="sk-SK"/>
        </w:rPr>
        <w:t>Plnenie ukazovateľov, ktorých predmetom je výstavba verejných vodovodov a kanalizácií</w:t>
      </w:r>
      <w:r>
        <w:rPr>
          <w:rFonts w:cs="Arial"/>
          <w:lang w:val="sk-SK"/>
        </w:rPr>
        <w:t>,</w:t>
      </w:r>
      <w:r w:rsidRPr="008A1902">
        <w:rPr>
          <w:rFonts w:cs="Arial"/>
          <w:lang w:val="sk-SK"/>
        </w:rPr>
        <w:t xml:space="preserve"> ako aj ČOV ovplyvňuje fakt, že </w:t>
      </w:r>
      <w:r>
        <w:rPr>
          <w:rFonts w:cs="Arial"/>
          <w:lang w:val="sk-SK"/>
        </w:rPr>
        <w:t xml:space="preserve">ide </w:t>
      </w:r>
      <w:r w:rsidRPr="008A1902">
        <w:rPr>
          <w:rFonts w:cs="Arial"/>
          <w:lang w:val="sk-SK"/>
        </w:rPr>
        <w:t xml:space="preserve">o dopadové indikátory, čo znamená, že obyvatelia sú na vodovodnú/kanalizačnú sieť pripájaní až po vydaní právoplatného kolaudačného rozhodnutia, ktorému predchádza skúšobná prevádzka. V prípade ČOV trvá skúšobná prevádzka </w:t>
      </w:r>
      <w:r>
        <w:rPr>
          <w:rFonts w:cs="Arial"/>
          <w:lang w:val="sk-SK"/>
        </w:rPr>
        <w:t>s</w:t>
      </w:r>
      <w:r w:rsidRPr="008A1902">
        <w:rPr>
          <w:rFonts w:cs="Arial"/>
          <w:lang w:val="sk-SK"/>
        </w:rPr>
        <w:t xml:space="preserve">pravidla 1 rok, často aj viac. </w:t>
      </w:r>
    </w:p>
    <w:p w14:paraId="33612C14" w14:textId="0DAB91C6" w:rsidR="00BE7F7E" w:rsidRPr="00021D46" w:rsidRDefault="00C4438C" w:rsidP="00123376">
      <w:pPr>
        <w:pStyle w:val="Zkladntextb"/>
        <w:spacing w:before="120" w:after="120" w:line="240" w:lineRule="auto"/>
        <w:ind w:left="0"/>
        <w:jc w:val="both"/>
        <w:rPr>
          <w:rFonts w:cs="Arial"/>
          <w:lang w:val="sk-SK"/>
        </w:rPr>
      </w:pPr>
      <w:r>
        <w:rPr>
          <w:rFonts w:cs="Arial"/>
          <w:lang w:val="sk-SK"/>
        </w:rPr>
        <w:t>Čo sa týka ukazovateľa „</w:t>
      </w:r>
      <w:r w:rsidR="00792305" w:rsidRPr="00792305">
        <w:rPr>
          <w:rFonts w:cs="Arial"/>
          <w:lang w:val="sk-SK"/>
        </w:rPr>
        <w:t>Súlad monitorovania stavu vôd v SR s požiadavkami Rámcovej smernice o</w:t>
      </w:r>
      <w:r>
        <w:rPr>
          <w:rFonts w:cs="Arial"/>
          <w:lang w:val="sk-SK"/>
        </w:rPr>
        <w:t> </w:t>
      </w:r>
      <w:r w:rsidR="00792305" w:rsidRPr="00792305">
        <w:rPr>
          <w:rFonts w:cs="Arial"/>
          <w:lang w:val="sk-SK"/>
        </w:rPr>
        <w:t>vode</w:t>
      </w:r>
      <w:r>
        <w:rPr>
          <w:rFonts w:cs="Arial"/>
          <w:lang w:val="sk-SK"/>
        </w:rPr>
        <w:t xml:space="preserve"> </w:t>
      </w:r>
      <w:r w:rsidR="00EE385B">
        <w:rPr>
          <w:rFonts w:cs="Arial"/>
          <w:lang w:val="sk-SK"/>
        </w:rPr>
        <w:t xml:space="preserve">dosahuje úspešnosť plnenia </w:t>
      </w:r>
      <w:r w:rsidR="009B0888">
        <w:rPr>
          <w:rFonts w:cs="Arial"/>
          <w:lang w:val="sk-SK"/>
        </w:rPr>
        <w:t xml:space="preserve"> 100%, čo bolo</w:t>
      </w:r>
      <w:r w:rsidR="00AB2F77">
        <w:rPr>
          <w:rFonts w:cs="Arial"/>
          <w:lang w:val="sk-SK"/>
        </w:rPr>
        <w:t xml:space="preserve"> </w:t>
      </w:r>
      <w:r w:rsidR="009B0888">
        <w:rPr>
          <w:rFonts w:cs="Arial"/>
          <w:lang w:val="sk-SK"/>
        </w:rPr>
        <w:t xml:space="preserve">spôsobené legislatívnymi zmenami v oblasti dokumentov </w:t>
      </w:r>
      <w:r w:rsidR="004346A8">
        <w:rPr>
          <w:rFonts w:cs="Arial"/>
          <w:lang w:val="sk-SK"/>
        </w:rPr>
        <w:t>týkajúcich sa monitorovania vôd</w:t>
      </w:r>
      <w:r w:rsidR="00AB2F77">
        <w:rPr>
          <w:rFonts w:cs="Arial"/>
          <w:lang w:val="sk-SK"/>
        </w:rPr>
        <w:t xml:space="preserve">, ktoré sú popísané v kapitole </w:t>
      </w:r>
      <w:r w:rsidR="00AB2F77" w:rsidRPr="00AB2F77">
        <w:rPr>
          <w:rFonts w:cs="Arial"/>
          <w:lang w:val="sk-SK"/>
        </w:rPr>
        <w:t>3.1.1.1</w:t>
      </w:r>
      <w:r w:rsidR="00AB2F77">
        <w:rPr>
          <w:rFonts w:cs="Arial"/>
          <w:lang w:val="sk-SK"/>
        </w:rPr>
        <w:t xml:space="preserve">. </w:t>
      </w:r>
    </w:p>
    <w:p w14:paraId="31E4C55F" w14:textId="77777777" w:rsidR="002416B1" w:rsidRPr="002526CC" w:rsidRDefault="002416B1" w:rsidP="00123376">
      <w:pPr>
        <w:pStyle w:val="Nadpis2"/>
        <w:spacing w:after="120"/>
        <w:rPr>
          <w:rFonts w:cs="Arial"/>
        </w:rPr>
      </w:pPr>
      <w:bookmarkStart w:id="69" w:name="_Toc466914529"/>
      <w:bookmarkEnd w:id="66"/>
      <w:bookmarkEnd w:id="67"/>
      <w:r w:rsidRPr="002526CC">
        <w:rPr>
          <w:rFonts w:cs="Arial"/>
        </w:rPr>
        <w:t>3.2. Prioritná os 2 Ochrana pred povodňami</w:t>
      </w:r>
      <w:bookmarkEnd w:id="69"/>
    </w:p>
    <w:p w14:paraId="307499A4" w14:textId="77777777" w:rsidR="002416B1" w:rsidRPr="0020746A" w:rsidRDefault="002416B1" w:rsidP="00123376">
      <w:pPr>
        <w:pStyle w:val="Nadpis3"/>
        <w:spacing w:after="120"/>
        <w:rPr>
          <w:rFonts w:cs="Arial"/>
        </w:rPr>
      </w:pPr>
      <w:bookmarkStart w:id="70" w:name="_Toc466914530"/>
      <w:r w:rsidRPr="008E1ACB">
        <w:rPr>
          <w:rFonts w:cs="Arial"/>
        </w:rPr>
        <w:t xml:space="preserve">3.2.1 Dosiahnutie cieľov a analýza </w:t>
      </w:r>
      <w:r w:rsidRPr="0020746A">
        <w:rPr>
          <w:rFonts w:cs="Arial"/>
        </w:rPr>
        <w:t>dosiahnutého pokroku</w:t>
      </w:r>
      <w:bookmarkEnd w:id="70"/>
    </w:p>
    <w:p w14:paraId="0436F10A" w14:textId="13BF8399" w:rsidR="002416B1" w:rsidRPr="00E21C60" w:rsidRDefault="002416B1" w:rsidP="00123376">
      <w:pPr>
        <w:autoSpaceDE w:val="0"/>
        <w:autoSpaceDN w:val="0"/>
        <w:adjustRightInd w:val="0"/>
        <w:spacing w:before="120" w:after="120"/>
        <w:jc w:val="both"/>
        <w:rPr>
          <w:rFonts w:ascii="Arial" w:hAnsi="Arial" w:cs="Arial"/>
          <w:sz w:val="20"/>
          <w:szCs w:val="20"/>
        </w:rPr>
      </w:pPr>
      <w:r w:rsidRPr="00E21C60">
        <w:rPr>
          <w:rFonts w:ascii="Arial" w:hAnsi="Arial" w:cs="Arial"/>
          <w:sz w:val="20"/>
          <w:szCs w:val="20"/>
        </w:rPr>
        <w:t xml:space="preserve">Cieľom prioritnej osi </w:t>
      </w:r>
      <w:r w:rsidR="00806C81">
        <w:rPr>
          <w:rFonts w:ascii="Arial" w:hAnsi="Arial" w:cs="Arial"/>
          <w:sz w:val="20"/>
          <w:szCs w:val="20"/>
        </w:rPr>
        <w:t>bolo</w:t>
      </w:r>
      <w:r w:rsidR="00AA3600">
        <w:rPr>
          <w:rFonts w:ascii="Arial" w:hAnsi="Arial" w:cs="Arial"/>
          <w:sz w:val="20"/>
          <w:szCs w:val="20"/>
        </w:rPr>
        <w:t xml:space="preserve"> </w:t>
      </w:r>
      <w:r w:rsidRPr="00E21C60">
        <w:rPr>
          <w:rFonts w:ascii="Arial" w:hAnsi="Arial" w:cs="Arial"/>
          <w:sz w:val="20"/>
          <w:szCs w:val="20"/>
        </w:rPr>
        <w:t>zabezpečenie komplexnej ochrany územia SR pred povodňami,</w:t>
      </w:r>
      <w:r w:rsidR="007A4CFA">
        <w:rPr>
          <w:rFonts w:ascii="Arial" w:hAnsi="Arial" w:cs="Arial"/>
          <w:sz w:val="20"/>
          <w:szCs w:val="20"/>
        </w:rPr>
        <w:t xml:space="preserve"> pričom</w:t>
      </w:r>
      <w:r w:rsidRPr="00E21C60">
        <w:rPr>
          <w:rFonts w:ascii="Arial" w:hAnsi="Arial" w:cs="Arial"/>
          <w:sz w:val="20"/>
          <w:szCs w:val="20"/>
        </w:rPr>
        <w:t xml:space="preserve"> </w:t>
      </w:r>
      <w:r w:rsidR="00AA3600">
        <w:rPr>
          <w:rFonts w:ascii="Arial" w:hAnsi="Arial" w:cs="Arial"/>
          <w:sz w:val="20"/>
          <w:szCs w:val="20"/>
        </w:rPr>
        <w:t xml:space="preserve">prioritná os </w:t>
      </w:r>
      <w:r w:rsidR="00806C81">
        <w:rPr>
          <w:rFonts w:ascii="Arial" w:hAnsi="Arial" w:cs="Arial"/>
          <w:sz w:val="20"/>
          <w:szCs w:val="20"/>
        </w:rPr>
        <w:t>bola</w:t>
      </w:r>
      <w:r w:rsidR="00AA3600">
        <w:rPr>
          <w:rFonts w:ascii="Arial" w:hAnsi="Arial" w:cs="Arial"/>
          <w:sz w:val="20"/>
          <w:szCs w:val="20"/>
        </w:rPr>
        <w:t xml:space="preserve"> </w:t>
      </w:r>
      <w:r w:rsidRPr="00E21C60">
        <w:rPr>
          <w:rFonts w:ascii="Arial" w:hAnsi="Arial" w:cs="Arial"/>
          <w:sz w:val="20"/>
          <w:szCs w:val="20"/>
        </w:rPr>
        <w:t>zameraná na výrazne znižovanie škôd spôsobených povodňami realizáciou preventívnych opatrení na ochranu pred povodňami.</w:t>
      </w:r>
    </w:p>
    <w:p w14:paraId="4AC9B28C" w14:textId="58FDC6FB" w:rsidR="00D36DF5" w:rsidRPr="00E21C60" w:rsidRDefault="00806C81" w:rsidP="00123376">
      <w:pPr>
        <w:autoSpaceDE w:val="0"/>
        <w:autoSpaceDN w:val="0"/>
        <w:adjustRightInd w:val="0"/>
        <w:spacing w:before="120" w:after="120"/>
        <w:jc w:val="both"/>
        <w:rPr>
          <w:rFonts w:ascii="Arial" w:hAnsi="Arial" w:cs="Arial"/>
          <w:sz w:val="20"/>
          <w:szCs w:val="20"/>
        </w:rPr>
      </w:pPr>
      <w:r>
        <w:rPr>
          <w:rFonts w:ascii="Arial" w:hAnsi="Arial" w:cs="Arial"/>
          <w:sz w:val="20"/>
          <w:szCs w:val="20"/>
        </w:rPr>
        <w:t>Prioritná os 2 bola</w:t>
      </w:r>
      <w:r w:rsidR="00D36DF5" w:rsidRPr="00A05C19">
        <w:rPr>
          <w:rFonts w:ascii="Arial" w:hAnsi="Arial" w:cs="Arial"/>
          <w:sz w:val="20"/>
          <w:szCs w:val="20"/>
        </w:rPr>
        <w:t xml:space="preserve"> financovaná z Kohézneho fondu a s</w:t>
      </w:r>
      <w:r w:rsidR="00D36DF5" w:rsidRPr="005D3EB7">
        <w:rPr>
          <w:rFonts w:ascii="Arial" w:hAnsi="Arial" w:cs="Arial"/>
          <w:sz w:val="20"/>
          <w:szCs w:val="20"/>
        </w:rPr>
        <w:t>vojou alokáciou tvor</w:t>
      </w:r>
      <w:r w:rsidR="00283C3E">
        <w:rPr>
          <w:rFonts w:ascii="Arial" w:hAnsi="Arial" w:cs="Arial"/>
          <w:sz w:val="20"/>
          <w:szCs w:val="20"/>
        </w:rPr>
        <w:t>ila</w:t>
      </w:r>
      <w:r w:rsidR="00D36DF5" w:rsidRPr="005D3EB7">
        <w:rPr>
          <w:rFonts w:ascii="Arial" w:hAnsi="Arial" w:cs="Arial"/>
          <w:sz w:val="20"/>
          <w:szCs w:val="20"/>
        </w:rPr>
        <w:t xml:space="preserve"> </w:t>
      </w:r>
      <w:r w:rsidR="00805F56" w:rsidRPr="00805F56">
        <w:rPr>
          <w:rFonts w:ascii="Arial" w:hAnsi="Arial" w:cs="Arial"/>
          <w:sz w:val="20"/>
          <w:szCs w:val="20"/>
        </w:rPr>
        <w:t>14,33</w:t>
      </w:r>
      <w:r w:rsidR="0072403D" w:rsidRPr="00805F56">
        <w:rPr>
          <w:rFonts w:ascii="Arial" w:hAnsi="Arial" w:cs="Arial"/>
          <w:sz w:val="20"/>
          <w:szCs w:val="20"/>
        </w:rPr>
        <w:t xml:space="preserve"> </w:t>
      </w:r>
      <w:r w:rsidR="00D36DF5" w:rsidRPr="00805F56">
        <w:rPr>
          <w:rFonts w:ascii="Arial" w:hAnsi="Arial" w:cs="Arial"/>
          <w:sz w:val="20"/>
          <w:szCs w:val="20"/>
        </w:rPr>
        <w:t>%</w:t>
      </w:r>
      <w:r w:rsidR="00D36DF5" w:rsidRPr="009D13DD">
        <w:rPr>
          <w:rFonts w:ascii="Arial" w:hAnsi="Arial" w:cs="Arial"/>
          <w:sz w:val="20"/>
          <w:szCs w:val="20"/>
        </w:rPr>
        <w:t xml:space="preserve"> </w:t>
      </w:r>
      <w:r w:rsidR="00D17897">
        <w:rPr>
          <w:rFonts w:ascii="Arial" w:hAnsi="Arial" w:cs="Arial"/>
          <w:sz w:val="20"/>
          <w:szCs w:val="20"/>
        </w:rPr>
        <w:t xml:space="preserve">z </w:t>
      </w:r>
      <w:r w:rsidR="00D36DF5" w:rsidRPr="009D13DD">
        <w:rPr>
          <w:rFonts w:ascii="Arial" w:hAnsi="Arial" w:cs="Arial"/>
          <w:sz w:val="20"/>
          <w:szCs w:val="20"/>
        </w:rPr>
        <w:t xml:space="preserve">celkovej alokácie </w:t>
      </w:r>
      <w:r w:rsidR="00E94BE4" w:rsidRPr="009D13DD">
        <w:rPr>
          <w:rFonts w:ascii="Arial" w:hAnsi="Arial" w:cs="Arial"/>
          <w:sz w:val="20"/>
          <w:szCs w:val="20"/>
        </w:rPr>
        <w:t>(</w:t>
      </w:r>
      <w:r w:rsidR="00806BBA" w:rsidRPr="009D13DD">
        <w:rPr>
          <w:rFonts w:ascii="Arial" w:hAnsi="Arial" w:cs="Arial"/>
          <w:sz w:val="20"/>
          <w:szCs w:val="20"/>
        </w:rPr>
        <w:t xml:space="preserve">zdroje </w:t>
      </w:r>
      <w:r w:rsidR="00E94BE4" w:rsidRPr="009D13DD">
        <w:rPr>
          <w:rFonts w:ascii="Arial" w:hAnsi="Arial" w:cs="Arial"/>
          <w:sz w:val="20"/>
          <w:szCs w:val="20"/>
        </w:rPr>
        <w:t xml:space="preserve">EÚ+ŠR) </w:t>
      </w:r>
      <w:r w:rsidR="00D36DF5" w:rsidRPr="009D13DD">
        <w:rPr>
          <w:rFonts w:ascii="Arial" w:hAnsi="Arial" w:cs="Arial"/>
          <w:sz w:val="20"/>
          <w:szCs w:val="20"/>
        </w:rPr>
        <w:t>na operačný program</w:t>
      </w:r>
      <w:r w:rsidR="00E94BE4" w:rsidRPr="009D13DD">
        <w:rPr>
          <w:rFonts w:ascii="Arial" w:hAnsi="Arial" w:cs="Arial"/>
          <w:sz w:val="20"/>
          <w:szCs w:val="20"/>
        </w:rPr>
        <w:t xml:space="preserve"> (</w:t>
      </w:r>
      <w:r w:rsidR="00806BBA" w:rsidRPr="009D13DD">
        <w:rPr>
          <w:rFonts w:ascii="Arial" w:hAnsi="Arial" w:cs="Arial"/>
          <w:sz w:val="20"/>
          <w:szCs w:val="20"/>
        </w:rPr>
        <w:t>po revízi</w:t>
      </w:r>
      <w:r w:rsidR="001A1D2B">
        <w:rPr>
          <w:rFonts w:ascii="Arial" w:hAnsi="Arial" w:cs="Arial"/>
          <w:sz w:val="20"/>
          <w:szCs w:val="20"/>
        </w:rPr>
        <w:t>i</w:t>
      </w:r>
      <w:r w:rsidR="00806BBA" w:rsidRPr="009D13DD">
        <w:rPr>
          <w:rFonts w:ascii="Arial" w:hAnsi="Arial" w:cs="Arial"/>
          <w:sz w:val="20"/>
          <w:szCs w:val="20"/>
        </w:rPr>
        <w:t xml:space="preserve"> OP ŽP na verziu </w:t>
      </w:r>
      <w:r w:rsidR="00283C3E" w:rsidRPr="009D13DD">
        <w:rPr>
          <w:rFonts w:ascii="Arial" w:hAnsi="Arial" w:cs="Arial"/>
          <w:sz w:val="20"/>
          <w:szCs w:val="20"/>
        </w:rPr>
        <w:t>5</w:t>
      </w:r>
      <w:r w:rsidR="00806BBA" w:rsidRPr="009D13DD">
        <w:rPr>
          <w:rFonts w:ascii="Arial" w:hAnsi="Arial" w:cs="Arial"/>
          <w:sz w:val="20"/>
          <w:szCs w:val="20"/>
        </w:rPr>
        <w:t>.0</w:t>
      </w:r>
      <w:r w:rsidR="00E94BE4" w:rsidRPr="009D13DD">
        <w:rPr>
          <w:rFonts w:ascii="Arial" w:hAnsi="Arial" w:cs="Arial"/>
          <w:sz w:val="20"/>
          <w:szCs w:val="20"/>
        </w:rPr>
        <w:t>)</w:t>
      </w:r>
      <w:r w:rsidR="00D36DF5" w:rsidRPr="009D13DD">
        <w:rPr>
          <w:rFonts w:ascii="Arial" w:hAnsi="Arial" w:cs="Arial"/>
          <w:sz w:val="20"/>
          <w:szCs w:val="20"/>
        </w:rPr>
        <w:t xml:space="preserve">. </w:t>
      </w:r>
    </w:p>
    <w:p w14:paraId="6A2C30A5" w14:textId="69B49850" w:rsidR="002416B1" w:rsidRPr="00E21C60" w:rsidRDefault="002416B1" w:rsidP="00123376">
      <w:pPr>
        <w:autoSpaceDE w:val="0"/>
        <w:autoSpaceDN w:val="0"/>
        <w:adjustRightInd w:val="0"/>
        <w:spacing w:before="120" w:after="120"/>
        <w:jc w:val="both"/>
        <w:rPr>
          <w:rFonts w:ascii="Arial" w:hAnsi="Arial" w:cs="Arial"/>
          <w:sz w:val="20"/>
          <w:szCs w:val="20"/>
        </w:rPr>
      </w:pPr>
      <w:r w:rsidRPr="00E21C60">
        <w:rPr>
          <w:rFonts w:ascii="Arial" w:hAnsi="Arial" w:cs="Arial"/>
          <w:sz w:val="20"/>
          <w:szCs w:val="20"/>
        </w:rPr>
        <w:t xml:space="preserve">Príklady </w:t>
      </w:r>
      <w:r w:rsidRPr="00EC1B17">
        <w:rPr>
          <w:rFonts w:ascii="Arial" w:hAnsi="Arial" w:cs="Arial"/>
          <w:sz w:val="20"/>
          <w:szCs w:val="20"/>
        </w:rPr>
        <w:t xml:space="preserve">úspešných projektov prioritnej osi 2, </w:t>
      </w:r>
      <w:r w:rsidR="00FB6D6F" w:rsidRPr="00EC1B17">
        <w:rPr>
          <w:rFonts w:ascii="Arial" w:hAnsi="Arial" w:cs="Arial"/>
          <w:sz w:val="20"/>
          <w:szCs w:val="20"/>
        </w:rPr>
        <w:t xml:space="preserve">finančne aj fyzicky ukončených, sú uvedené na webovom sídle OP ŽP </w:t>
      </w:r>
      <w:hyperlink r:id="rId22" w:history="1">
        <w:r w:rsidR="00FB6D6F" w:rsidRPr="0093280D">
          <w:rPr>
            <w:rStyle w:val="Hypertextovprepojenie"/>
            <w:rFonts w:ascii="Arial" w:hAnsi="Arial" w:cs="Arial"/>
            <w:sz w:val="20"/>
            <w:szCs w:val="20"/>
          </w:rPr>
          <w:t>www.opzp.sk</w:t>
        </w:r>
      </w:hyperlink>
      <w:r w:rsidR="00FB6D6F">
        <w:rPr>
          <w:rFonts w:ascii="Arial" w:hAnsi="Arial" w:cs="Arial"/>
          <w:sz w:val="20"/>
          <w:szCs w:val="20"/>
        </w:rPr>
        <w:t xml:space="preserve"> v časti </w:t>
      </w:r>
      <w:r w:rsidR="00FB6D6F" w:rsidRPr="000E2934">
        <w:rPr>
          <w:rFonts w:ascii="Arial" w:hAnsi="Arial" w:cs="Arial"/>
          <w:sz w:val="20"/>
          <w:szCs w:val="20"/>
        </w:rPr>
        <w:t>Hlavná stránka &gt; Projekty &gt; Mapa vzorových úspešne realizovaných projektov OPŽP</w:t>
      </w:r>
      <w:r w:rsidR="00FB6D6F">
        <w:rPr>
          <w:rFonts w:ascii="Arial" w:hAnsi="Arial" w:cs="Arial"/>
          <w:sz w:val="20"/>
          <w:szCs w:val="20"/>
        </w:rPr>
        <w:t xml:space="preserve"> </w:t>
      </w:r>
      <w:r w:rsidR="00FB6D6F" w:rsidRPr="00EC1B17">
        <w:rPr>
          <w:rFonts w:ascii="Arial" w:hAnsi="Arial" w:cs="Arial"/>
          <w:sz w:val="20"/>
          <w:szCs w:val="20"/>
        </w:rPr>
        <w:t xml:space="preserve">a tiež sú súčasťou </w:t>
      </w:r>
      <w:r w:rsidR="00FB6D6F" w:rsidRPr="000E2934">
        <w:rPr>
          <w:rFonts w:ascii="Arial" w:hAnsi="Arial" w:cs="Arial"/>
          <w:sz w:val="20"/>
          <w:szCs w:val="20"/>
        </w:rPr>
        <w:t>Prílohy č. 10</w:t>
      </w:r>
      <w:r w:rsidR="00FB6D6F" w:rsidRPr="00EC1B17">
        <w:rPr>
          <w:rFonts w:ascii="Arial" w:hAnsi="Arial" w:cs="Arial"/>
          <w:sz w:val="20"/>
          <w:szCs w:val="20"/>
        </w:rPr>
        <w:t xml:space="preserve"> </w:t>
      </w:r>
      <w:r w:rsidR="00FB6D6F">
        <w:rPr>
          <w:rFonts w:ascii="Arial" w:hAnsi="Arial" w:cs="Arial"/>
          <w:sz w:val="20"/>
          <w:szCs w:val="20"/>
        </w:rPr>
        <w:t>záverečnej</w:t>
      </w:r>
      <w:r w:rsidR="00FB6D6F" w:rsidRPr="00EC1B17">
        <w:rPr>
          <w:rFonts w:ascii="Arial" w:hAnsi="Arial" w:cs="Arial"/>
          <w:sz w:val="20"/>
          <w:szCs w:val="20"/>
        </w:rPr>
        <w:t xml:space="preserve"> správy.</w:t>
      </w:r>
    </w:p>
    <w:p w14:paraId="3C532772" w14:textId="77777777" w:rsidR="002416B1" w:rsidRPr="002526CC" w:rsidRDefault="002416B1" w:rsidP="00123376">
      <w:pPr>
        <w:pStyle w:val="Nadpis8"/>
        <w:spacing w:after="120"/>
        <w:rPr>
          <w:rFonts w:ascii="Arial" w:hAnsi="Arial" w:cs="Arial"/>
          <w:b/>
          <w:sz w:val="22"/>
          <w:szCs w:val="22"/>
        </w:rPr>
      </w:pPr>
      <w:r w:rsidRPr="002526CC">
        <w:rPr>
          <w:rFonts w:ascii="Arial" w:hAnsi="Arial" w:cs="Arial"/>
          <w:b/>
          <w:sz w:val="22"/>
          <w:szCs w:val="22"/>
        </w:rPr>
        <w:t>3.2.1.1 Stav fyzického pokroku prioritnej osi 2</w:t>
      </w:r>
    </w:p>
    <w:p w14:paraId="5D1D23C4" w14:textId="7549506E" w:rsidR="00513B49" w:rsidRPr="00D641FF" w:rsidRDefault="002416B1" w:rsidP="00123376">
      <w:pPr>
        <w:pStyle w:val="Zkladntextb"/>
        <w:spacing w:before="120" w:after="120" w:line="240" w:lineRule="auto"/>
        <w:ind w:left="0"/>
        <w:jc w:val="both"/>
        <w:rPr>
          <w:rFonts w:cs="Arial"/>
          <w:lang w:val="sk-SK"/>
        </w:rPr>
      </w:pPr>
      <w:r w:rsidRPr="002526CC">
        <w:rPr>
          <w:rFonts w:cs="Arial"/>
          <w:lang w:val="sk-SK"/>
        </w:rPr>
        <w:lastRenderedPageBreak/>
        <w:t>V rámci prioritnej osi 2 Ochrana pred povodňami bolo k 31.</w:t>
      </w:r>
      <w:r w:rsidR="000150C1" w:rsidRPr="002526CC">
        <w:rPr>
          <w:rFonts w:cs="Arial"/>
          <w:lang w:val="sk-SK"/>
        </w:rPr>
        <w:t>1</w:t>
      </w:r>
      <w:r w:rsidR="004C2C23">
        <w:rPr>
          <w:rFonts w:cs="Arial"/>
          <w:lang w:val="sk-SK"/>
        </w:rPr>
        <w:t>2</w:t>
      </w:r>
      <w:r w:rsidRPr="002526CC">
        <w:rPr>
          <w:rFonts w:cs="Arial"/>
          <w:lang w:val="sk-SK"/>
        </w:rPr>
        <w:t>.</w:t>
      </w:r>
      <w:r w:rsidR="000150C1">
        <w:rPr>
          <w:rFonts w:cs="Arial"/>
          <w:lang w:val="sk-SK"/>
        </w:rPr>
        <w:t xml:space="preserve"> </w:t>
      </w:r>
      <w:r w:rsidR="000150C1" w:rsidRPr="00D641FF">
        <w:rPr>
          <w:rFonts w:cs="Arial"/>
          <w:lang w:val="sk-SK"/>
        </w:rPr>
        <w:t>201</w:t>
      </w:r>
      <w:r w:rsidR="004C2C23">
        <w:rPr>
          <w:rFonts w:cs="Arial"/>
          <w:lang w:val="sk-SK"/>
        </w:rPr>
        <w:t>5</w:t>
      </w:r>
      <w:r w:rsidR="000150C1">
        <w:rPr>
          <w:rFonts w:cs="Arial"/>
          <w:lang w:val="sk-SK"/>
        </w:rPr>
        <w:t xml:space="preserve"> </w:t>
      </w:r>
      <w:r w:rsidRPr="00D641FF">
        <w:rPr>
          <w:rFonts w:cs="Arial"/>
          <w:lang w:val="sk-SK"/>
        </w:rPr>
        <w:t xml:space="preserve">vyhlásených </w:t>
      </w:r>
      <w:r w:rsidR="004F4235" w:rsidRPr="00D641FF">
        <w:rPr>
          <w:rFonts w:cs="Arial"/>
          <w:lang w:val="sk-SK"/>
        </w:rPr>
        <w:t xml:space="preserve">celkovo </w:t>
      </w:r>
      <w:r w:rsidR="003407C5" w:rsidRPr="00B6516E">
        <w:rPr>
          <w:rFonts w:cs="Arial"/>
          <w:lang w:val="sk-SK"/>
        </w:rPr>
        <w:t>deväť</w:t>
      </w:r>
      <w:r w:rsidR="00404905">
        <w:rPr>
          <w:rFonts w:cs="Arial"/>
          <w:lang w:val="sk-SK"/>
        </w:rPr>
        <w:t xml:space="preserve"> </w:t>
      </w:r>
      <w:r w:rsidRPr="00D641FF">
        <w:rPr>
          <w:rFonts w:cs="Arial"/>
          <w:lang w:val="sk-SK"/>
        </w:rPr>
        <w:t>výziev</w:t>
      </w:r>
      <w:r w:rsidR="00F87851">
        <w:rPr>
          <w:rFonts w:cs="Arial"/>
          <w:lang w:val="sk-SK"/>
        </w:rPr>
        <w:t xml:space="preserve"> a </w:t>
      </w:r>
      <w:r w:rsidRPr="00D641FF">
        <w:rPr>
          <w:rFonts w:cs="Arial"/>
          <w:lang w:val="sk-SK"/>
        </w:rPr>
        <w:t xml:space="preserve"> na predkladanie žiadostí o</w:t>
      </w:r>
      <w:r w:rsidR="00F87851">
        <w:rPr>
          <w:rFonts w:cs="Arial"/>
          <w:lang w:val="sk-SK"/>
        </w:rPr>
        <w:t> </w:t>
      </w:r>
      <w:r w:rsidRPr="00D641FF">
        <w:rPr>
          <w:rFonts w:cs="Arial"/>
          <w:lang w:val="sk-SK"/>
        </w:rPr>
        <w:t>NFP</w:t>
      </w:r>
      <w:r w:rsidR="00F87851">
        <w:rPr>
          <w:rFonts w:cs="Arial"/>
          <w:lang w:val="sk-SK"/>
        </w:rPr>
        <w:t xml:space="preserve"> a</w:t>
      </w:r>
      <w:r w:rsidR="00161F11">
        <w:rPr>
          <w:rFonts w:cs="Arial"/>
          <w:lang w:val="sk-SK"/>
        </w:rPr>
        <w:t> dva  oznamy na predloženie projektových zámerov veľkých projektov</w:t>
      </w:r>
      <w:r w:rsidR="00161F11" w:rsidRPr="00D641FF">
        <w:rPr>
          <w:rFonts w:cs="Arial"/>
          <w:lang w:val="sk-SK"/>
        </w:rPr>
        <w:t xml:space="preserve"> </w:t>
      </w:r>
      <w:r w:rsidRPr="00D641FF">
        <w:rPr>
          <w:rFonts w:cs="Arial"/>
          <w:lang w:val="sk-SK"/>
        </w:rPr>
        <w:t xml:space="preserve">v alokácii </w:t>
      </w:r>
      <w:r w:rsidR="004E6E99" w:rsidRPr="00F261B4">
        <w:rPr>
          <w:rFonts w:cs="Arial"/>
          <w:lang w:val="sk-SK"/>
        </w:rPr>
        <w:t>306 788 353</w:t>
      </w:r>
      <w:r w:rsidR="004E6E99">
        <w:rPr>
          <w:rFonts w:cs="Arial"/>
          <w:lang w:val="sk-SK"/>
        </w:rPr>
        <w:t xml:space="preserve"> </w:t>
      </w:r>
      <w:r w:rsidR="00C52C28">
        <w:rPr>
          <w:rFonts w:cs="Arial"/>
          <w:lang w:val="sk-SK"/>
        </w:rPr>
        <w:t>€</w:t>
      </w:r>
      <w:r w:rsidR="004F4235" w:rsidRPr="00D641FF">
        <w:rPr>
          <w:rFonts w:cs="Arial"/>
          <w:lang w:val="sk-SK"/>
        </w:rPr>
        <w:t xml:space="preserve">. </w:t>
      </w:r>
    </w:p>
    <w:p w14:paraId="41F210DC" w14:textId="3F3A09FD" w:rsidR="00896157" w:rsidRDefault="00896157" w:rsidP="008A1902">
      <w:pPr>
        <w:keepNext/>
        <w:rPr>
          <w:rFonts w:ascii="Arial" w:hAnsi="Arial" w:cs="Arial"/>
          <w:sz w:val="20"/>
          <w:szCs w:val="20"/>
        </w:rPr>
      </w:pPr>
      <w:r w:rsidRPr="00896157">
        <w:rPr>
          <w:rFonts w:ascii="Arial" w:hAnsi="Arial" w:cs="Arial"/>
          <w:sz w:val="20"/>
          <w:szCs w:val="20"/>
        </w:rPr>
        <w:t xml:space="preserve">Počas roka </w:t>
      </w:r>
      <w:r w:rsidR="000150C1" w:rsidRPr="00896157">
        <w:rPr>
          <w:rFonts w:ascii="Arial" w:hAnsi="Arial" w:cs="Arial"/>
          <w:sz w:val="20"/>
          <w:szCs w:val="20"/>
        </w:rPr>
        <w:t>201</w:t>
      </w:r>
      <w:r w:rsidR="000150C1">
        <w:rPr>
          <w:rFonts w:ascii="Arial" w:hAnsi="Arial" w:cs="Arial"/>
          <w:sz w:val="20"/>
          <w:szCs w:val="20"/>
        </w:rPr>
        <w:t>5 ne</w:t>
      </w:r>
      <w:r w:rsidRPr="00896157">
        <w:rPr>
          <w:rFonts w:ascii="Arial" w:hAnsi="Arial" w:cs="Arial"/>
          <w:sz w:val="20"/>
          <w:szCs w:val="20"/>
        </w:rPr>
        <w:t xml:space="preserve">bola vyhlásená </w:t>
      </w:r>
      <w:r w:rsidR="000150C1">
        <w:rPr>
          <w:rFonts w:ascii="Arial" w:hAnsi="Arial" w:cs="Arial"/>
          <w:sz w:val="20"/>
          <w:szCs w:val="20"/>
        </w:rPr>
        <w:t>žiadna</w:t>
      </w:r>
      <w:r w:rsidR="000150C1" w:rsidRPr="00896157">
        <w:rPr>
          <w:rFonts w:ascii="Arial" w:hAnsi="Arial" w:cs="Arial"/>
          <w:sz w:val="20"/>
          <w:szCs w:val="20"/>
        </w:rPr>
        <w:t xml:space="preserve"> </w:t>
      </w:r>
      <w:r w:rsidRPr="00896157">
        <w:rPr>
          <w:rFonts w:ascii="Arial" w:hAnsi="Arial" w:cs="Arial"/>
          <w:sz w:val="20"/>
          <w:szCs w:val="20"/>
        </w:rPr>
        <w:t>výzva na predkladanie žiadostí o</w:t>
      </w:r>
      <w:r>
        <w:rPr>
          <w:rFonts w:ascii="Arial" w:hAnsi="Arial" w:cs="Arial"/>
          <w:sz w:val="20"/>
          <w:szCs w:val="20"/>
        </w:rPr>
        <w:t> </w:t>
      </w:r>
      <w:r w:rsidRPr="00896157">
        <w:rPr>
          <w:rFonts w:ascii="Arial" w:hAnsi="Arial" w:cs="Arial"/>
          <w:sz w:val="20"/>
          <w:szCs w:val="20"/>
        </w:rPr>
        <w:t>NFP</w:t>
      </w:r>
      <w:r>
        <w:rPr>
          <w:rFonts w:ascii="Arial" w:hAnsi="Arial" w:cs="Arial"/>
          <w:sz w:val="20"/>
          <w:szCs w:val="20"/>
        </w:rPr>
        <w:t>.</w:t>
      </w:r>
    </w:p>
    <w:p w14:paraId="7E7DAF05" w14:textId="77777777" w:rsidR="00DA6567" w:rsidRDefault="00DA6567" w:rsidP="008A1902">
      <w:pPr>
        <w:keepNext/>
        <w:rPr>
          <w:rFonts w:ascii="Arial" w:hAnsi="Arial" w:cs="Arial"/>
          <w:sz w:val="20"/>
          <w:szCs w:val="20"/>
        </w:rPr>
      </w:pPr>
    </w:p>
    <w:p w14:paraId="49E671B3" w14:textId="3AA00FA3" w:rsidR="002416B1" w:rsidRPr="00E21C60" w:rsidRDefault="002416B1" w:rsidP="008A1902">
      <w:pPr>
        <w:keepNext/>
        <w:rPr>
          <w:rFonts w:ascii="Arial" w:hAnsi="Arial" w:cs="Arial"/>
          <w:sz w:val="20"/>
          <w:szCs w:val="20"/>
        </w:rPr>
      </w:pPr>
      <w:r w:rsidRPr="00E21C60">
        <w:rPr>
          <w:rFonts w:ascii="Arial" w:hAnsi="Arial" w:cs="Arial"/>
          <w:sz w:val="20"/>
          <w:szCs w:val="20"/>
        </w:rPr>
        <w:t>Tab</w:t>
      </w:r>
      <w:r w:rsidR="00A1256D" w:rsidRPr="00E21C60">
        <w:rPr>
          <w:rFonts w:ascii="Arial" w:hAnsi="Arial" w:cs="Arial"/>
          <w:sz w:val="20"/>
          <w:szCs w:val="20"/>
        </w:rPr>
        <w:t>uľka</w:t>
      </w:r>
      <w:r w:rsidRPr="00E21C60">
        <w:rPr>
          <w:rFonts w:ascii="Arial" w:hAnsi="Arial" w:cs="Arial"/>
          <w:sz w:val="20"/>
          <w:szCs w:val="20"/>
        </w:rPr>
        <w:t xml:space="preserve"> č. </w:t>
      </w:r>
      <w:r w:rsidR="00B256C7">
        <w:rPr>
          <w:rFonts w:ascii="Arial" w:hAnsi="Arial" w:cs="Arial"/>
          <w:sz w:val="20"/>
          <w:szCs w:val="20"/>
        </w:rPr>
        <w:t>4</w:t>
      </w:r>
      <w:r w:rsidR="007B1CB9">
        <w:rPr>
          <w:rFonts w:ascii="Arial" w:hAnsi="Arial" w:cs="Arial"/>
          <w:sz w:val="20"/>
          <w:szCs w:val="20"/>
        </w:rPr>
        <w:t>5</w:t>
      </w:r>
      <w:r w:rsidRPr="002526CC">
        <w:rPr>
          <w:rFonts w:ascii="Arial" w:hAnsi="Arial" w:cs="Arial"/>
          <w:sz w:val="20"/>
          <w:szCs w:val="20"/>
        </w:rPr>
        <w:t xml:space="preserve">: </w:t>
      </w:r>
      <w:r w:rsidR="00A1256D" w:rsidRPr="00E21C60">
        <w:rPr>
          <w:rFonts w:ascii="Arial" w:hAnsi="Arial" w:cs="Arial"/>
          <w:sz w:val="20"/>
          <w:szCs w:val="20"/>
        </w:rPr>
        <w:t>Prehľad</w:t>
      </w:r>
      <w:r w:rsidRPr="00E21C60">
        <w:rPr>
          <w:rFonts w:ascii="Arial" w:hAnsi="Arial" w:cs="Arial"/>
          <w:sz w:val="20"/>
          <w:szCs w:val="20"/>
        </w:rPr>
        <w:t xml:space="preserve"> výziev prioritnej osi 2 </w:t>
      </w:r>
      <w:r w:rsidR="00A1256D" w:rsidRPr="00E21C60">
        <w:rPr>
          <w:rFonts w:ascii="Arial" w:hAnsi="Arial" w:cs="Arial"/>
          <w:sz w:val="20"/>
          <w:szCs w:val="20"/>
        </w:rPr>
        <w:t>od</w:t>
      </w:r>
      <w:r w:rsidRPr="00E21C60">
        <w:rPr>
          <w:rFonts w:ascii="Arial" w:hAnsi="Arial" w:cs="Arial"/>
          <w:sz w:val="20"/>
          <w:szCs w:val="20"/>
        </w:rPr>
        <w:t xml:space="preserve"> 01.01.</w:t>
      </w:r>
      <w:r w:rsidR="00C65FE0" w:rsidRPr="00E21C60">
        <w:rPr>
          <w:rFonts w:ascii="Arial" w:hAnsi="Arial" w:cs="Arial"/>
          <w:sz w:val="20"/>
          <w:szCs w:val="20"/>
        </w:rPr>
        <w:t>201</w:t>
      </w:r>
      <w:r w:rsidR="00334794">
        <w:rPr>
          <w:rFonts w:ascii="Arial" w:hAnsi="Arial" w:cs="Arial"/>
          <w:sz w:val="20"/>
          <w:szCs w:val="20"/>
        </w:rPr>
        <w:t>5</w:t>
      </w:r>
      <w:r w:rsidR="00C65FE0" w:rsidRPr="00E21C60">
        <w:rPr>
          <w:rFonts w:ascii="Arial" w:hAnsi="Arial" w:cs="Arial"/>
          <w:sz w:val="20"/>
          <w:szCs w:val="20"/>
        </w:rPr>
        <w:t xml:space="preserve"> </w:t>
      </w:r>
      <w:r w:rsidR="00A1256D" w:rsidRPr="00E21C60">
        <w:rPr>
          <w:rFonts w:ascii="Arial" w:hAnsi="Arial" w:cs="Arial"/>
          <w:sz w:val="20"/>
          <w:szCs w:val="20"/>
        </w:rPr>
        <w:t xml:space="preserve">do </w:t>
      </w:r>
      <w:r w:rsidRPr="00E21C60">
        <w:rPr>
          <w:rFonts w:ascii="Arial" w:hAnsi="Arial" w:cs="Arial"/>
          <w:sz w:val="20"/>
          <w:szCs w:val="20"/>
        </w:rPr>
        <w:t>31.12.</w:t>
      </w:r>
      <w:r w:rsidR="00A1256D" w:rsidRPr="00E21C60">
        <w:rPr>
          <w:rFonts w:ascii="Arial" w:hAnsi="Arial" w:cs="Arial"/>
          <w:sz w:val="20"/>
          <w:szCs w:val="20"/>
        </w:rPr>
        <w:t>201</w:t>
      </w:r>
      <w:r w:rsidR="00334794">
        <w:rPr>
          <w:rFonts w:ascii="Arial" w:hAnsi="Arial" w:cs="Arial"/>
          <w:sz w:val="20"/>
          <w:szCs w:val="20"/>
        </w:rPr>
        <w:t>5</w:t>
      </w:r>
    </w:p>
    <w:tbl>
      <w:tblPr>
        <w:tblW w:w="9080" w:type="dxa"/>
        <w:tblInd w:w="55" w:type="dxa"/>
        <w:tblCellMar>
          <w:left w:w="70" w:type="dxa"/>
          <w:right w:w="70" w:type="dxa"/>
        </w:tblCellMar>
        <w:tblLook w:val="04A0" w:firstRow="1" w:lastRow="0" w:firstColumn="1" w:lastColumn="0" w:noHBand="0" w:noVBand="1"/>
      </w:tblPr>
      <w:tblGrid>
        <w:gridCol w:w="1560"/>
        <w:gridCol w:w="1880"/>
        <w:gridCol w:w="1880"/>
        <w:gridCol w:w="1880"/>
        <w:gridCol w:w="1880"/>
      </w:tblGrid>
      <w:tr w:rsidR="00A1256D" w:rsidRPr="00E21C60" w14:paraId="66F538CD" w14:textId="77777777" w:rsidTr="007D7B08">
        <w:trPr>
          <w:trHeight w:val="690"/>
        </w:trPr>
        <w:tc>
          <w:tcPr>
            <w:tcW w:w="1560"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hideMark/>
          </w:tcPr>
          <w:p w14:paraId="28A4AA6F" w14:textId="77777777" w:rsidR="00A1256D" w:rsidRPr="00E21C60" w:rsidRDefault="00A1256D" w:rsidP="008A1902">
            <w:pPr>
              <w:keepNext/>
              <w:jc w:val="center"/>
              <w:rPr>
                <w:rFonts w:ascii="Arial" w:hAnsi="Arial" w:cs="Arial"/>
                <w:b/>
                <w:bCs/>
                <w:color w:val="000000"/>
                <w:sz w:val="16"/>
                <w:szCs w:val="16"/>
              </w:rPr>
            </w:pPr>
            <w:r w:rsidRPr="00E21C60">
              <w:rPr>
                <w:rFonts w:ascii="Arial" w:hAnsi="Arial" w:cs="Arial"/>
                <w:b/>
                <w:bCs/>
                <w:color w:val="000000"/>
                <w:sz w:val="16"/>
                <w:szCs w:val="16"/>
              </w:rPr>
              <w:t>Opatrenie</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02B25F6" w14:textId="77777777" w:rsidR="00A1256D" w:rsidRPr="00E21C60" w:rsidRDefault="00A1256D" w:rsidP="008A1902">
            <w:pPr>
              <w:keepNext/>
              <w:jc w:val="center"/>
              <w:rPr>
                <w:rFonts w:ascii="Arial" w:hAnsi="Arial" w:cs="Arial"/>
                <w:b/>
                <w:bCs/>
                <w:color w:val="000000"/>
                <w:sz w:val="16"/>
                <w:szCs w:val="16"/>
              </w:rPr>
            </w:pPr>
            <w:r w:rsidRPr="00E21C60">
              <w:rPr>
                <w:rFonts w:ascii="Arial" w:hAnsi="Arial" w:cs="Arial"/>
                <w:b/>
                <w:bCs/>
                <w:color w:val="000000"/>
                <w:sz w:val="16"/>
                <w:szCs w:val="16"/>
              </w:rPr>
              <w:t>Typ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25C2CB4" w14:textId="77777777" w:rsidR="00A1256D" w:rsidRPr="00E21C60" w:rsidRDefault="00A1256D" w:rsidP="008A1902">
            <w:pPr>
              <w:keepNext/>
              <w:jc w:val="center"/>
              <w:rPr>
                <w:rFonts w:ascii="Arial" w:hAnsi="Arial" w:cs="Arial"/>
                <w:b/>
                <w:bCs/>
                <w:color w:val="000000"/>
                <w:sz w:val="16"/>
                <w:szCs w:val="16"/>
              </w:rPr>
            </w:pPr>
            <w:r w:rsidRPr="00E21C60">
              <w:rPr>
                <w:rFonts w:ascii="Arial" w:hAnsi="Arial" w:cs="Arial"/>
                <w:b/>
                <w:bCs/>
                <w:color w:val="000000"/>
                <w:sz w:val="16"/>
                <w:szCs w:val="16"/>
              </w:rPr>
              <w:t>Dátum vyhlásenia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452BC32B" w14:textId="77777777" w:rsidR="00A1256D" w:rsidRPr="00E21C60" w:rsidRDefault="00A1256D" w:rsidP="008A1902">
            <w:pPr>
              <w:keepNext/>
              <w:jc w:val="center"/>
              <w:rPr>
                <w:rFonts w:ascii="Arial" w:hAnsi="Arial" w:cs="Arial"/>
                <w:b/>
                <w:bCs/>
                <w:color w:val="000000"/>
                <w:sz w:val="16"/>
                <w:szCs w:val="16"/>
              </w:rPr>
            </w:pPr>
            <w:r w:rsidRPr="00E21C60">
              <w:rPr>
                <w:rFonts w:ascii="Arial" w:hAnsi="Arial" w:cs="Arial"/>
                <w:b/>
                <w:bCs/>
                <w:color w:val="000000"/>
                <w:sz w:val="16"/>
                <w:szCs w:val="16"/>
              </w:rPr>
              <w:t xml:space="preserve">Dátum uzávierky prijímania žiadostí </w:t>
            </w:r>
            <w:r w:rsidRPr="00E21C60">
              <w:rPr>
                <w:rFonts w:ascii="Arial" w:hAnsi="Arial" w:cs="Arial"/>
                <w:b/>
                <w:bCs/>
                <w:color w:val="000000"/>
                <w:sz w:val="16"/>
                <w:szCs w:val="16"/>
              </w:rPr>
              <w:br/>
              <w:t>o NFP</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3AEB10ED" w14:textId="77777777" w:rsidR="00A1256D" w:rsidRPr="00E21C60" w:rsidRDefault="00A1256D" w:rsidP="00C87F8D">
            <w:pPr>
              <w:keepNext/>
              <w:jc w:val="center"/>
              <w:rPr>
                <w:rFonts w:ascii="Arial" w:hAnsi="Arial" w:cs="Arial"/>
                <w:b/>
                <w:bCs/>
                <w:color w:val="000000"/>
                <w:sz w:val="16"/>
                <w:szCs w:val="16"/>
              </w:rPr>
            </w:pPr>
            <w:r w:rsidRPr="00E21C60">
              <w:rPr>
                <w:rFonts w:ascii="Arial" w:hAnsi="Arial" w:cs="Arial"/>
                <w:b/>
                <w:bCs/>
                <w:color w:val="000000"/>
                <w:sz w:val="16"/>
                <w:szCs w:val="16"/>
              </w:rPr>
              <w:t>Alokácia FP na výzvu (</w:t>
            </w:r>
            <w:r w:rsidR="00C87F8D">
              <w:rPr>
                <w:rFonts w:ascii="Arial" w:hAnsi="Arial" w:cs="Arial"/>
                <w:b/>
                <w:bCs/>
                <w:color w:val="000000"/>
                <w:sz w:val="16"/>
                <w:szCs w:val="16"/>
              </w:rPr>
              <w:t>EÚ zdroje</w:t>
            </w:r>
            <w:r w:rsidRPr="00E21C60">
              <w:rPr>
                <w:rFonts w:ascii="Arial" w:hAnsi="Arial" w:cs="Arial"/>
                <w:b/>
                <w:bCs/>
                <w:color w:val="000000"/>
                <w:sz w:val="16"/>
                <w:szCs w:val="16"/>
              </w:rPr>
              <w:t>) v €</w:t>
            </w:r>
          </w:p>
        </w:tc>
      </w:tr>
      <w:tr w:rsidR="00A1256D" w:rsidRPr="00E21C60" w14:paraId="43885B14" w14:textId="77777777" w:rsidTr="00A1256D">
        <w:trPr>
          <w:trHeight w:val="315"/>
        </w:trPr>
        <w:tc>
          <w:tcPr>
            <w:tcW w:w="1560" w:type="dxa"/>
            <w:tcBorders>
              <w:top w:val="nil"/>
              <w:left w:val="single" w:sz="8" w:space="0" w:color="auto"/>
              <w:bottom w:val="single" w:sz="8" w:space="0" w:color="auto"/>
              <w:right w:val="single" w:sz="8" w:space="0" w:color="auto"/>
            </w:tcBorders>
            <w:shd w:val="clear" w:color="auto" w:fill="auto"/>
            <w:noWrap/>
            <w:vAlign w:val="center"/>
            <w:hideMark/>
          </w:tcPr>
          <w:p w14:paraId="6890EF1B" w14:textId="5126C7B6" w:rsidR="00A1256D" w:rsidRPr="002526CC" w:rsidRDefault="003065FA" w:rsidP="008A1902">
            <w:pPr>
              <w:keepNext/>
              <w:jc w:val="center"/>
              <w:rPr>
                <w:rFonts w:ascii="Arial" w:hAnsi="Arial" w:cs="Arial"/>
                <w:color w:val="000000"/>
                <w:sz w:val="16"/>
                <w:szCs w:val="16"/>
              </w:rPr>
            </w:pPr>
            <w:r>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1B31C876" w14:textId="57C86077" w:rsidR="00A1256D" w:rsidRPr="00E21C60" w:rsidRDefault="003065FA" w:rsidP="008A1902">
            <w:pPr>
              <w:keepNext/>
              <w:jc w:val="center"/>
              <w:rPr>
                <w:rFonts w:ascii="Arial" w:hAnsi="Arial" w:cs="Arial"/>
                <w:color w:val="000000"/>
                <w:sz w:val="16"/>
                <w:szCs w:val="16"/>
              </w:rPr>
            </w:pPr>
            <w:r>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5FE40EB0" w14:textId="3D299CC8" w:rsidR="00A1256D" w:rsidRPr="00E21C60" w:rsidRDefault="003065FA" w:rsidP="008A1902">
            <w:pPr>
              <w:keepNext/>
              <w:jc w:val="center"/>
              <w:rPr>
                <w:rFonts w:ascii="Arial" w:hAnsi="Arial" w:cs="Arial"/>
                <w:color w:val="000000"/>
                <w:sz w:val="16"/>
                <w:szCs w:val="16"/>
              </w:rPr>
            </w:pPr>
            <w:r>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4B145C24" w14:textId="00707F8C" w:rsidR="00A1256D" w:rsidRPr="00E21C60" w:rsidRDefault="003065FA" w:rsidP="008A1902">
            <w:pPr>
              <w:keepNext/>
              <w:jc w:val="center"/>
              <w:rPr>
                <w:rFonts w:ascii="Arial" w:hAnsi="Arial" w:cs="Arial"/>
                <w:color w:val="000000"/>
                <w:sz w:val="16"/>
                <w:szCs w:val="16"/>
              </w:rPr>
            </w:pPr>
            <w:r>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671FA1A0" w14:textId="76D9DDFF" w:rsidR="00A1256D" w:rsidRPr="00912C87" w:rsidRDefault="003065FA" w:rsidP="008A1902">
            <w:pPr>
              <w:keepNext/>
              <w:jc w:val="center"/>
              <w:rPr>
                <w:rFonts w:ascii="Arial" w:hAnsi="Arial" w:cs="Arial"/>
                <w:b/>
                <w:color w:val="000000"/>
                <w:sz w:val="16"/>
                <w:szCs w:val="16"/>
              </w:rPr>
            </w:pPr>
            <w:r>
              <w:rPr>
                <w:rFonts w:cs="Arial"/>
                <w:b/>
                <w:sz w:val="20"/>
                <w:szCs w:val="20"/>
              </w:rPr>
              <w:t>-</w:t>
            </w:r>
          </w:p>
        </w:tc>
      </w:tr>
      <w:tr w:rsidR="00A1256D" w:rsidRPr="00E21C60" w14:paraId="33865976" w14:textId="77777777" w:rsidTr="00A1256D">
        <w:trPr>
          <w:trHeight w:val="315"/>
        </w:trPr>
        <w:tc>
          <w:tcPr>
            <w:tcW w:w="7200"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14:paraId="14DF3B4A" w14:textId="77777777" w:rsidR="00A1256D" w:rsidRPr="002526CC" w:rsidRDefault="00A1256D" w:rsidP="008A1902">
            <w:pPr>
              <w:keepNext/>
              <w:rPr>
                <w:rFonts w:ascii="Arial" w:hAnsi="Arial" w:cs="Arial"/>
                <w:b/>
                <w:bCs/>
                <w:color w:val="000000"/>
                <w:sz w:val="16"/>
                <w:szCs w:val="16"/>
              </w:rPr>
            </w:pPr>
            <w:r w:rsidRPr="002526CC">
              <w:rPr>
                <w:rFonts w:ascii="Arial" w:hAnsi="Arial" w:cs="Arial"/>
                <w:b/>
                <w:bCs/>
                <w:color w:val="000000"/>
                <w:sz w:val="16"/>
                <w:szCs w:val="16"/>
              </w:rPr>
              <w:t>Spolu za prioritu</w:t>
            </w:r>
          </w:p>
        </w:tc>
        <w:tc>
          <w:tcPr>
            <w:tcW w:w="1880" w:type="dxa"/>
            <w:tcBorders>
              <w:top w:val="nil"/>
              <w:left w:val="nil"/>
              <w:bottom w:val="single" w:sz="8" w:space="0" w:color="auto"/>
              <w:right w:val="single" w:sz="8" w:space="0" w:color="auto"/>
            </w:tcBorders>
            <w:shd w:val="clear" w:color="auto" w:fill="auto"/>
            <w:noWrap/>
            <w:vAlign w:val="center"/>
            <w:hideMark/>
          </w:tcPr>
          <w:p w14:paraId="52F24678" w14:textId="77777777" w:rsidR="00A1256D" w:rsidRPr="00E21C60" w:rsidRDefault="00A1256D" w:rsidP="008A1902">
            <w:pPr>
              <w:keepNext/>
              <w:jc w:val="center"/>
              <w:rPr>
                <w:rFonts w:ascii="Arial" w:hAnsi="Arial" w:cs="Arial"/>
                <w:color w:val="000000"/>
                <w:sz w:val="16"/>
                <w:szCs w:val="16"/>
              </w:rPr>
            </w:pPr>
            <w:r w:rsidRPr="00E21C60">
              <w:rPr>
                <w:rFonts w:ascii="Arial" w:hAnsi="Arial" w:cs="Arial"/>
                <w:color w:val="000000"/>
                <w:sz w:val="16"/>
                <w:szCs w:val="16"/>
              </w:rPr>
              <w:t>-</w:t>
            </w:r>
          </w:p>
        </w:tc>
      </w:tr>
    </w:tbl>
    <w:p w14:paraId="4422E4F9" w14:textId="77777777" w:rsidR="002416B1" w:rsidRPr="00123376" w:rsidRDefault="00000CC9" w:rsidP="00123376">
      <w:pPr>
        <w:pStyle w:val="Zkladntextb"/>
        <w:spacing w:after="0" w:line="240" w:lineRule="auto"/>
        <w:ind w:left="0"/>
        <w:jc w:val="both"/>
        <w:rPr>
          <w:rFonts w:cs="Arial"/>
          <w:sz w:val="16"/>
          <w:szCs w:val="16"/>
          <w:highlight w:val="yellow"/>
          <w:lang w:val="sk-SK"/>
        </w:rPr>
      </w:pPr>
      <w:r w:rsidRPr="00123376">
        <w:rPr>
          <w:rFonts w:cs="Arial"/>
          <w:sz w:val="16"/>
          <w:szCs w:val="16"/>
          <w:lang w:val="sk-SK"/>
        </w:rPr>
        <w:t>Zdroj: RO, ITMS</w:t>
      </w:r>
    </w:p>
    <w:p w14:paraId="09B70DE3" w14:textId="5E46FB23" w:rsidR="002416B1" w:rsidRPr="00D641FF" w:rsidRDefault="004E6E99" w:rsidP="00123376">
      <w:pPr>
        <w:pStyle w:val="Zkladntextb"/>
        <w:spacing w:before="120" w:after="120" w:line="240" w:lineRule="auto"/>
        <w:ind w:left="0"/>
        <w:jc w:val="both"/>
        <w:rPr>
          <w:rFonts w:cs="Arial"/>
          <w:lang w:val="sk-SK"/>
        </w:rPr>
      </w:pPr>
      <w:r w:rsidRPr="004E6E99">
        <w:rPr>
          <w:rFonts w:cs="Arial"/>
          <w:lang w:val="sk-SK"/>
        </w:rPr>
        <w:t xml:space="preserve">V rámci prioritnej osi 2 bolo </w:t>
      </w:r>
      <w:r w:rsidRPr="00A67EA0">
        <w:rPr>
          <w:rFonts w:cs="Arial"/>
          <w:lang w:val="sk-SK"/>
        </w:rPr>
        <w:t xml:space="preserve">prijatých celkovo </w:t>
      </w:r>
      <w:r w:rsidRPr="00F261B4">
        <w:rPr>
          <w:rFonts w:cs="Arial"/>
          <w:lang w:val="sk-SK"/>
        </w:rPr>
        <w:t>521</w:t>
      </w:r>
      <w:r w:rsidR="00806C81">
        <w:rPr>
          <w:rFonts w:cs="Arial"/>
          <w:lang w:val="sk-SK"/>
        </w:rPr>
        <w:t xml:space="preserve"> žiadostí o NFP</w:t>
      </w:r>
      <w:r w:rsidRPr="004E6E99">
        <w:rPr>
          <w:rFonts w:cs="Arial"/>
          <w:lang w:val="sk-SK"/>
        </w:rPr>
        <w:t xml:space="preserve">, v objeme požadovaného príspevku </w:t>
      </w:r>
      <w:r w:rsidRPr="00F261B4">
        <w:rPr>
          <w:rFonts w:cs="Arial"/>
          <w:lang w:val="sk-SK"/>
        </w:rPr>
        <w:t>704 582 813</w:t>
      </w:r>
      <w:r w:rsidRPr="004E6E99">
        <w:rPr>
          <w:rFonts w:cs="Arial"/>
          <w:lang w:val="sk-SK"/>
        </w:rPr>
        <w:t xml:space="preserve"> </w:t>
      </w:r>
      <w:r w:rsidR="00C52C28">
        <w:rPr>
          <w:rFonts w:cs="Arial"/>
          <w:lang w:val="sk-SK"/>
        </w:rPr>
        <w:t>€</w:t>
      </w:r>
      <w:r w:rsidRPr="004E6E99">
        <w:rPr>
          <w:rFonts w:cs="Arial"/>
          <w:lang w:val="sk-SK"/>
        </w:rPr>
        <w:t xml:space="preserve"> (KF+ŠR), z toho bolo </w:t>
      </w:r>
      <w:r w:rsidRPr="00F261B4">
        <w:rPr>
          <w:rFonts w:cs="Arial"/>
          <w:lang w:val="sk-SK"/>
        </w:rPr>
        <w:t>138</w:t>
      </w:r>
      <w:r w:rsidRPr="004E6E99">
        <w:rPr>
          <w:rFonts w:cs="Arial"/>
          <w:lang w:val="sk-SK"/>
        </w:rPr>
        <w:t xml:space="preserve"> schválených a </w:t>
      </w:r>
      <w:r w:rsidRPr="00A67EA0">
        <w:rPr>
          <w:rFonts w:cs="Arial"/>
          <w:lang w:val="sk-SK"/>
        </w:rPr>
        <w:t xml:space="preserve">126  projektov bolo zazmluvnených vo výške </w:t>
      </w:r>
      <w:r w:rsidRPr="00F261B4">
        <w:rPr>
          <w:rFonts w:cs="Arial"/>
          <w:lang w:val="sk-SK"/>
        </w:rPr>
        <w:t>325 201 001</w:t>
      </w:r>
      <w:r w:rsidRPr="004E6E99">
        <w:rPr>
          <w:rFonts w:cs="Arial"/>
          <w:lang w:val="sk-SK"/>
        </w:rPr>
        <w:t xml:space="preserve"> </w:t>
      </w:r>
      <w:r w:rsidR="00C52C28">
        <w:rPr>
          <w:rFonts w:cs="Arial"/>
          <w:lang w:val="sk-SK"/>
        </w:rPr>
        <w:t>€</w:t>
      </w:r>
      <w:r w:rsidRPr="004E6E99">
        <w:rPr>
          <w:rFonts w:cs="Arial"/>
          <w:lang w:val="sk-SK"/>
        </w:rPr>
        <w:t>. S</w:t>
      </w:r>
      <w:r w:rsidRPr="00A67EA0">
        <w:rPr>
          <w:rFonts w:cs="Arial"/>
          <w:lang w:val="sk-SK"/>
        </w:rPr>
        <w:t xml:space="preserve">uma riadne ukončených projektov bola vo výške </w:t>
      </w:r>
      <w:r w:rsidR="00F129D9">
        <w:rPr>
          <w:rFonts w:cs="Arial"/>
          <w:lang w:val="sk-SK"/>
        </w:rPr>
        <w:t>300 569 528</w:t>
      </w:r>
      <w:r w:rsidR="00F129D9" w:rsidRPr="004E6E99">
        <w:rPr>
          <w:rFonts w:cs="Arial"/>
          <w:lang w:val="sk-SK"/>
        </w:rPr>
        <w:t xml:space="preserve"> </w:t>
      </w:r>
      <w:r w:rsidR="00C52C28">
        <w:rPr>
          <w:rFonts w:cs="Arial"/>
          <w:lang w:val="sk-SK"/>
        </w:rPr>
        <w:t>€</w:t>
      </w:r>
      <w:r w:rsidRPr="004E6E99">
        <w:rPr>
          <w:rFonts w:cs="Arial"/>
          <w:lang w:val="sk-SK"/>
        </w:rPr>
        <w:t>. Riadne ukončených projektov bol</w:t>
      </w:r>
      <w:r w:rsidRPr="00A67EA0">
        <w:rPr>
          <w:rFonts w:cs="Arial"/>
          <w:lang w:val="sk-SK"/>
        </w:rPr>
        <w:t xml:space="preserve">o 126. 12 projektov bolo mimoriadne ukončených </w:t>
      </w:r>
      <w:r w:rsidRPr="00F261B4">
        <w:rPr>
          <w:rFonts w:cs="Arial"/>
          <w:lang w:val="sk-SK"/>
        </w:rPr>
        <w:t xml:space="preserve">v sume 15 559 068 </w:t>
      </w:r>
      <w:r w:rsidR="00C52C28">
        <w:rPr>
          <w:rFonts w:cs="Arial"/>
          <w:lang w:val="sk-SK"/>
        </w:rPr>
        <w:t>€</w:t>
      </w:r>
      <w:r w:rsidRPr="004E6E99">
        <w:rPr>
          <w:rFonts w:cs="Arial"/>
          <w:lang w:val="sk-SK"/>
        </w:rPr>
        <w:t>.</w:t>
      </w:r>
    </w:p>
    <w:p w14:paraId="602A5BCD" w14:textId="62950BC2" w:rsidR="002416B1" w:rsidRPr="00D641FF" w:rsidRDefault="002416B1" w:rsidP="00123376">
      <w:pPr>
        <w:pStyle w:val="Zkladntextb"/>
        <w:spacing w:before="120" w:after="0" w:line="240" w:lineRule="auto"/>
        <w:ind w:left="0"/>
        <w:jc w:val="both"/>
        <w:rPr>
          <w:rFonts w:cs="Arial"/>
          <w:lang w:val="sk-SK"/>
        </w:rPr>
      </w:pPr>
      <w:r w:rsidRPr="00D641FF">
        <w:rPr>
          <w:rFonts w:cs="Arial"/>
          <w:lang w:val="sk-SK"/>
        </w:rPr>
        <w:t>Tab</w:t>
      </w:r>
      <w:r w:rsidR="000B2831" w:rsidRPr="00D641FF">
        <w:rPr>
          <w:rFonts w:cs="Arial"/>
          <w:lang w:val="sk-SK"/>
        </w:rPr>
        <w:t xml:space="preserve">uľka </w:t>
      </w:r>
      <w:r w:rsidRPr="00D641FF">
        <w:rPr>
          <w:rFonts w:cs="Arial"/>
          <w:lang w:val="sk-SK"/>
        </w:rPr>
        <w:t xml:space="preserve">č. </w:t>
      </w:r>
      <w:r w:rsidR="00012152" w:rsidRPr="002526CC">
        <w:rPr>
          <w:rFonts w:cs="Arial"/>
          <w:lang w:val="sk-SK"/>
        </w:rPr>
        <w:t>4</w:t>
      </w:r>
      <w:r w:rsidR="007B1CB9">
        <w:rPr>
          <w:rFonts w:cs="Arial"/>
          <w:lang w:val="sk-SK"/>
        </w:rPr>
        <w:t>6</w:t>
      </w:r>
      <w:r w:rsidR="005F03D4">
        <w:rPr>
          <w:rFonts w:cs="Arial"/>
          <w:lang w:val="sk-SK"/>
        </w:rPr>
        <w:t>a</w:t>
      </w:r>
      <w:r w:rsidRPr="008E1ACB">
        <w:rPr>
          <w:rFonts w:cs="Arial"/>
          <w:lang w:val="sk-SK"/>
        </w:rPr>
        <w:t xml:space="preserve">: Sledovanie </w:t>
      </w:r>
      <w:r w:rsidR="000B2831" w:rsidRPr="0020746A">
        <w:rPr>
          <w:rFonts w:cs="Arial"/>
          <w:lang w:val="sk-SK"/>
        </w:rPr>
        <w:t xml:space="preserve">pokroku v </w:t>
      </w:r>
      <w:r w:rsidRPr="00D641FF">
        <w:rPr>
          <w:rFonts w:cs="Arial"/>
          <w:lang w:val="sk-SK"/>
        </w:rPr>
        <w:t>implementáci</w:t>
      </w:r>
      <w:r w:rsidR="000B2831" w:rsidRPr="00D641FF">
        <w:rPr>
          <w:rFonts w:cs="Arial"/>
          <w:lang w:val="sk-SK"/>
        </w:rPr>
        <w:t>i</w:t>
      </w:r>
      <w:r w:rsidRPr="00D641FF">
        <w:rPr>
          <w:rFonts w:cs="Arial"/>
          <w:lang w:val="sk-SK"/>
        </w:rPr>
        <w:t xml:space="preserve"> prioritnej osi </w:t>
      </w:r>
      <w:r w:rsidR="00AD6BDE" w:rsidRPr="00D641FF">
        <w:rPr>
          <w:rFonts w:cs="Arial"/>
          <w:lang w:val="sk-SK"/>
        </w:rPr>
        <w:t xml:space="preserve">2 </w:t>
      </w:r>
      <w:r w:rsidRPr="00D641FF">
        <w:rPr>
          <w:rFonts w:cs="Arial"/>
          <w:lang w:val="sk-SK"/>
        </w:rPr>
        <w:t>k 31.1</w:t>
      </w:r>
      <w:r w:rsidR="00D331B8">
        <w:rPr>
          <w:rFonts w:cs="Arial"/>
          <w:lang w:val="sk-SK"/>
        </w:rPr>
        <w:t>0</w:t>
      </w:r>
      <w:r w:rsidRPr="00D641FF">
        <w:rPr>
          <w:rFonts w:cs="Arial"/>
          <w:lang w:val="sk-SK"/>
        </w:rPr>
        <w:t>.</w:t>
      </w:r>
      <w:r w:rsidR="00D331B8" w:rsidRPr="00D641FF">
        <w:rPr>
          <w:rFonts w:cs="Arial"/>
          <w:lang w:val="sk-SK"/>
        </w:rPr>
        <w:t>201</w:t>
      </w:r>
      <w:r w:rsidR="00D331B8">
        <w:rPr>
          <w:rFonts w:cs="Arial"/>
          <w:lang w:val="sk-SK"/>
        </w:rPr>
        <w:t>6</w:t>
      </w:r>
    </w:p>
    <w:tbl>
      <w:tblPr>
        <w:tblW w:w="9180" w:type="dxa"/>
        <w:tblInd w:w="55" w:type="dxa"/>
        <w:tblCellMar>
          <w:left w:w="70" w:type="dxa"/>
          <w:right w:w="70" w:type="dxa"/>
        </w:tblCellMar>
        <w:tblLook w:val="04A0" w:firstRow="1" w:lastRow="0" w:firstColumn="1" w:lastColumn="0" w:noHBand="0" w:noVBand="1"/>
      </w:tblPr>
      <w:tblGrid>
        <w:gridCol w:w="1880"/>
        <w:gridCol w:w="1460"/>
        <w:gridCol w:w="1460"/>
        <w:gridCol w:w="1460"/>
        <w:gridCol w:w="1460"/>
        <w:gridCol w:w="1460"/>
      </w:tblGrid>
      <w:tr w:rsidR="000B2831" w:rsidRPr="00E21C60" w14:paraId="484FC2BF"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410BD42" w14:textId="77777777" w:rsidR="000B2831" w:rsidRPr="00E21C60" w:rsidRDefault="0079794E">
            <w:pPr>
              <w:jc w:val="center"/>
              <w:rPr>
                <w:rFonts w:ascii="Arial" w:hAnsi="Arial" w:cs="Arial"/>
                <w:b/>
                <w:bCs/>
                <w:color w:val="000000"/>
                <w:sz w:val="16"/>
                <w:szCs w:val="16"/>
              </w:rPr>
            </w:pPr>
            <w:r>
              <w:rPr>
                <w:rFonts w:ascii="Arial" w:hAnsi="Arial" w:cs="Arial"/>
                <w:b/>
                <w:bCs/>
                <w:color w:val="000000"/>
                <w:sz w:val="16"/>
                <w:szCs w:val="16"/>
              </w:rPr>
              <w:t>Prioritná</w:t>
            </w:r>
            <w:r w:rsidRPr="00E21C60">
              <w:rPr>
                <w:rFonts w:ascii="Arial" w:hAnsi="Arial" w:cs="Arial"/>
                <w:b/>
                <w:bCs/>
                <w:color w:val="000000"/>
                <w:sz w:val="16"/>
                <w:szCs w:val="16"/>
              </w:rPr>
              <w:t xml:space="preserve"> </w:t>
            </w:r>
            <w:r w:rsidR="000B2831" w:rsidRPr="00E21C60">
              <w:rPr>
                <w:rFonts w:ascii="Arial" w:hAnsi="Arial" w:cs="Arial"/>
                <w:b/>
                <w:bCs/>
                <w:color w:val="000000"/>
                <w:sz w:val="16"/>
                <w:szCs w:val="16"/>
              </w:rPr>
              <w:t>téma</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1397B7F" w14:textId="77777777" w:rsidR="000B2831" w:rsidRPr="00E21C60" w:rsidRDefault="000B2831">
            <w:pPr>
              <w:jc w:val="center"/>
              <w:rPr>
                <w:rFonts w:ascii="Arial" w:hAnsi="Arial" w:cs="Arial"/>
                <w:b/>
                <w:bCs/>
                <w:color w:val="000000"/>
                <w:sz w:val="16"/>
                <w:szCs w:val="16"/>
              </w:rPr>
            </w:pPr>
            <w:r w:rsidRPr="00E21C60">
              <w:rPr>
                <w:rFonts w:ascii="Arial" w:hAnsi="Arial" w:cs="Arial"/>
                <w:b/>
                <w:bCs/>
                <w:color w:val="000000"/>
                <w:sz w:val="16"/>
                <w:szCs w:val="16"/>
              </w:rPr>
              <w:t>Počet prijatých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5438DE8" w14:textId="77777777" w:rsidR="000B2831" w:rsidRPr="00E21C60" w:rsidRDefault="000B2831">
            <w:pPr>
              <w:jc w:val="center"/>
              <w:rPr>
                <w:rFonts w:ascii="Arial" w:hAnsi="Arial" w:cs="Arial"/>
                <w:b/>
                <w:bCs/>
                <w:color w:val="000000"/>
                <w:sz w:val="16"/>
                <w:szCs w:val="16"/>
              </w:rPr>
            </w:pPr>
            <w:r w:rsidRPr="00E21C60">
              <w:rPr>
                <w:rFonts w:ascii="Arial" w:hAnsi="Arial" w:cs="Arial"/>
                <w:b/>
                <w:bCs/>
                <w:color w:val="000000"/>
                <w:sz w:val="16"/>
                <w:szCs w:val="16"/>
              </w:rPr>
              <w:t>Počet schválených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BA7BDCB" w14:textId="77777777" w:rsidR="000B2831" w:rsidRPr="00E21C60" w:rsidRDefault="000B2831">
            <w:pPr>
              <w:jc w:val="center"/>
              <w:rPr>
                <w:rFonts w:ascii="Arial" w:hAnsi="Arial" w:cs="Arial"/>
                <w:b/>
                <w:bCs/>
                <w:color w:val="000000"/>
                <w:sz w:val="16"/>
                <w:szCs w:val="16"/>
              </w:rPr>
            </w:pPr>
            <w:r w:rsidRPr="00E21C60">
              <w:rPr>
                <w:rFonts w:ascii="Arial" w:hAnsi="Arial" w:cs="Arial"/>
                <w:b/>
                <w:bCs/>
                <w:color w:val="000000"/>
                <w:sz w:val="16"/>
                <w:szCs w:val="16"/>
              </w:rPr>
              <w:t>Počet zazmluvnených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D28FDA5" w14:textId="77777777" w:rsidR="000B2831" w:rsidRPr="00E21C60" w:rsidRDefault="000B2831">
            <w:pPr>
              <w:jc w:val="center"/>
              <w:rPr>
                <w:rFonts w:ascii="Arial" w:hAnsi="Arial" w:cs="Arial"/>
                <w:b/>
                <w:bCs/>
                <w:color w:val="000000"/>
                <w:sz w:val="16"/>
                <w:szCs w:val="16"/>
              </w:rPr>
            </w:pPr>
            <w:r w:rsidRPr="00E21C60">
              <w:rPr>
                <w:rFonts w:ascii="Arial" w:hAnsi="Arial" w:cs="Arial"/>
                <w:b/>
                <w:bCs/>
                <w:color w:val="000000"/>
                <w:sz w:val="16"/>
                <w:szCs w:val="16"/>
              </w:rPr>
              <w:t>Počet riadne ukončených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897882B" w14:textId="77777777" w:rsidR="000B2831" w:rsidRPr="00E21C60" w:rsidRDefault="000B2831">
            <w:pPr>
              <w:jc w:val="center"/>
              <w:rPr>
                <w:rFonts w:ascii="Arial" w:hAnsi="Arial" w:cs="Arial"/>
                <w:b/>
                <w:bCs/>
                <w:color w:val="000000"/>
                <w:sz w:val="16"/>
                <w:szCs w:val="16"/>
              </w:rPr>
            </w:pPr>
            <w:r w:rsidRPr="00E21C60">
              <w:rPr>
                <w:rFonts w:ascii="Arial" w:hAnsi="Arial" w:cs="Arial"/>
                <w:b/>
                <w:bCs/>
                <w:color w:val="000000"/>
                <w:sz w:val="16"/>
                <w:szCs w:val="16"/>
              </w:rPr>
              <w:t>Počet mimoriadne ukončených projektov</w:t>
            </w:r>
          </w:p>
        </w:tc>
      </w:tr>
      <w:tr w:rsidR="00ED253A" w:rsidRPr="00E21C60" w14:paraId="52591C79" w14:textId="77777777" w:rsidTr="00ED253A">
        <w:trPr>
          <w:trHeight w:val="18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36EEED28" w14:textId="77777777" w:rsidR="00ED253A" w:rsidRPr="00E21C60" w:rsidRDefault="00ED253A" w:rsidP="00ED253A">
            <w:pPr>
              <w:rPr>
                <w:rFonts w:ascii="Arial" w:hAnsi="Arial" w:cs="Arial"/>
                <w:color w:val="000000"/>
                <w:sz w:val="16"/>
                <w:szCs w:val="16"/>
              </w:rPr>
            </w:pPr>
            <w:r w:rsidRPr="00E21C60">
              <w:rPr>
                <w:rFonts w:ascii="Arial" w:hAnsi="Arial" w:cs="Arial"/>
                <w:color w:val="000000"/>
                <w:sz w:val="16"/>
                <w:szCs w:val="16"/>
              </w:rPr>
              <w:t xml:space="preserve">53 - Predchádzanie </w:t>
            </w:r>
            <w:r w:rsidRPr="00E21C60">
              <w:rPr>
                <w:rFonts w:ascii="Arial" w:hAnsi="Arial" w:cs="Arial"/>
                <w:color w:val="000000"/>
                <w:sz w:val="16"/>
                <w:szCs w:val="16"/>
              </w:rPr>
              <w:br/>
              <w:t xml:space="preserve">rizikám (vrátane návrhu </w:t>
            </w:r>
            <w:r w:rsidRPr="00E21C60">
              <w:rPr>
                <w:rFonts w:ascii="Arial" w:hAnsi="Arial" w:cs="Arial"/>
                <w:color w:val="000000"/>
                <w:sz w:val="16"/>
                <w:szCs w:val="16"/>
              </w:rPr>
              <w:br/>
              <w:t xml:space="preserve">a realizácie plánov </w:t>
            </w:r>
            <w:r w:rsidRPr="00E21C60">
              <w:rPr>
                <w:rFonts w:ascii="Arial" w:hAnsi="Arial" w:cs="Arial"/>
                <w:color w:val="000000"/>
                <w:sz w:val="16"/>
                <w:szCs w:val="16"/>
              </w:rPr>
              <w:br/>
              <w:t xml:space="preserve">a opatrení na predchádzanie prírodným </w:t>
            </w:r>
            <w:r w:rsidRPr="00E21C60">
              <w:rPr>
                <w:rFonts w:ascii="Arial" w:hAnsi="Arial" w:cs="Arial"/>
                <w:color w:val="000000"/>
                <w:sz w:val="16"/>
                <w:szCs w:val="16"/>
              </w:rPr>
              <w:br/>
              <w:t>a technologickým rizikám a ich riadenie)</w:t>
            </w:r>
          </w:p>
        </w:tc>
        <w:tc>
          <w:tcPr>
            <w:tcW w:w="1460" w:type="dxa"/>
            <w:tcBorders>
              <w:top w:val="nil"/>
              <w:left w:val="nil"/>
              <w:bottom w:val="single" w:sz="4" w:space="0" w:color="auto"/>
              <w:right w:val="single" w:sz="4" w:space="0" w:color="auto"/>
            </w:tcBorders>
            <w:shd w:val="clear" w:color="auto" w:fill="auto"/>
            <w:noWrap/>
            <w:vAlign w:val="center"/>
            <w:hideMark/>
          </w:tcPr>
          <w:p w14:paraId="070CF439" w14:textId="4FCE3C58" w:rsidR="00ED253A" w:rsidRPr="00ED253A" w:rsidRDefault="00ED253A" w:rsidP="00ED253A">
            <w:pPr>
              <w:jc w:val="center"/>
              <w:rPr>
                <w:rFonts w:ascii="Arial" w:hAnsi="Arial" w:cs="Arial"/>
                <w:bCs/>
                <w:color w:val="000000"/>
                <w:sz w:val="16"/>
                <w:szCs w:val="16"/>
              </w:rPr>
            </w:pPr>
            <w:r w:rsidRPr="00ED253A">
              <w:rPr>
                <w:rFonts w:ascii="Arial" w:hAnsi="Arial" w:cs="Arial"/>
                <w:bCs/>
                <w:color w:val="000000"/>
                <w:sz w:val="16"/>
                <w:szCs w:val="16"/>
              </w:rPr>
              <w:t>521</w:t>
            </w:r>
          </w:p>
        </w:tc>
        <w:tc>
          <w:tcPr>
            <w:tcW w:w="1460" w:type="dxa"/>
            <w:tcBorders>
              <w:top w:val="nil"/>
              <w:left w:val="nil"/>
              <w:bottom w:val="single" w:sz="4" w:space="0" w:color="auto"/>
              <w:right w:val="single" w:sz="4" w:space="0" w:color="auto"/>
            </w:tcBorders>
            <w:shd w:val="clear" w:color="auto" w:fill="auto"/>
            <w:noWrap/>
            <w:vAlign w:val="center"/>
            <w:hideMark/>
          </w:tcPr>
          <w:p w14:paraId="1701D646" w14:textId="0149EB34" w:rsidR="00ED253A" w:rsidRPr="00ED253A" w:rsidRDefault="00ED253A" w:rsidP="00ED253A">
            <w:pPr>
              <w:jc w:val="center"/>
              <w:rPr>
                <w:rFonts w:ascii="Arial" w:hAnsi="Arial" w:cs="Arial"/>
                <w:bCs/>
                <w:color w:val="000000"/>
                <w:sz w:val="16"/>
                <w:szCs w:val="16"/>
              </w:rPr>
            </w:pPr>
            <w:r w:rsidRPr="00ED253A">
              <w:rPr>
                <w:rFonts w:ascii="Arial" w:hAnsi="Arial" w:cs="Arial"/>
                <w:bCs/>
                <w:color w:val="000000"/>
                <w:sz w:val="16"/>
                <w:szCs w:val="16"/>
              </w:rPr>
              <w:t>138</w:t>
            </w:r>
          </w:p>
        </w:tc>
        <w:tc>
          <w:tcPr>
            <w:tcW w:w="1460" w:type="dxa"/>
            <w:tcBorders>
              <w:top w:val="nil"/>
              <w:left w:val="nil"/>
              <w:bottom w:val="single" w:sz="4" w:space="0" w:color="auto"/>
              <w:right w:val="single" w:sz="4" w:space="0" w:color="auto"/>
            </w:tcBorders>
            <w:shd w:val="clear" w:color="auto" w:fill="auto"/>
            <w:noWrap/>
            <w:vAlign w:val="center"/>
            <w:hideMark/>
          </w:tcPr>
          <w:p w14:paraId="3C85EB4F" w14:textId="63AFD483" w:rsidR="00ED253A" w:rsidRPr="00ED253A" w:rsidRDefault="00ED253A" w:rsidP="00ED253A">
            <w:pPr>
              <w:jc w:val="center"/>
              <w:rPr>
                <w:rFonts w:ascii="Arial" w:hAnsi="Arial" w:cs="Arial"/>
                <w:bCs/>
                <w:color w:val="000000"/>
                <w:sz w:val="16"/>
                <w:szCs w:val="16"/>
              </w:rPr>
            </w:pPr>
            <w:r w:rsidRPr="00ED253A">
              <w:rPr>
                <w:rFonts w:ascii="Arial" w:hAnsi="Arial" w:cs="Arial"/>
                <w:bCs/>
                <w:color w:val="000000"/>
                <w:sz w:val="16"/>
                <w:szCs w:val="16"/>
              </w:rPr>
              <w:t>126</w:t>
            </w:r>
          </w:p>
        </w:tc>
        <w:tc>
          <w:tcPr>
            <w:tcW w:w="1460" w:type="dxa"/>
            <w:tcBorders>
              <w:top w:val="nil"/>
              <w:left w:val="nil"/>
              <w:bottom w:val="single" w:sz="4" w:space="0" w:color="auto"/>
              <w:right w:val="single" w:sz="4" w:space="0" w:color="auto"/>
            </w:tcBorders>
            <w:shd w:val="clear" w:color="auto" w:fill="auto"/>
            <w:noWrap/>
            <w:vAlign w:val="center"/>
            <w:hideMark/>
          </w:tcPr>
          <w:p w14:paraId="78A11228" w14:textId="0E1FC2A9" w:rsidR="00ED253A" w:rsidRPr="00ED253A" w:rsidRDefault="00ED253A" w:rsidP="00ED253A">
            <w:pPr>
              <w:jc w:val="center"/>
              <w:rPr>
                <w:rFonts w:ascii="Arial" w:hAnsi="Arial" w:cs="Arial"/>
                <w:bCs/>
                <w:color w:val="000000"/>
                <w:sz w:val="16"/>
                <w:szCs w:val="16"/>
              </w:rPr>
            </w:pPr>
            <w:r w:rsidRPr="00ED253A">
              <w:rPr>
                <w:rFonts w:ascii="Arial" w:hAnsi="Arial" w:cs="Arial"/>
                <w:bCs/>
                <w:color w:val="000000"/>
                <w:sz w:val="16"/>
                <w:szCs w:val="16"/>
              </w:rPr>
              <w:t>126</w:t>
            </w:r>
          </w:p>
        </w:tc>
        <w:tc>
          <w:tcPr>
            <w:tcW w:w="1460" w:type="dxa"/>
            <w:tcBorders>
              <w:top w:val="nil"/>
              <w:left w:val="nil"/>
              <w:bottom w:val="single" w:sz="4" w:space="0" w:color="auto"/>
              <w:right w:val="single" w:sz="4" w:space="0" w:color="auto"/>
            </w:tcBorders>
            <w:shd w:val="clear" w:color="auto" w:fill="auto"/>
            <w:noWrap/>
            <w:vAlign w:val="center"/>
            <w:hideMark/>
          </w:tcPr>
          <w:p w14:paraId="56428E47" w14:textId="675316EB" w:rsidR="00ED253A" w:rsidRPr="00ED253A" w:rsidRDefault="00ED253A" w:rsidP="00ED253A">
            <w:pPr>
              <w:jc w:val="center"/>
              <w:rPr>
                <w:rFonts w:ascii="Arial" w:hAnsi="Arial" w:cs="Arial"/>
                <w:bCs/>
                <w:color w:val="000000"/>
                <w:sz w:val="16"/>
                <w:szCs w:val="16"/>
              </w:rPr>
            </w:pPr>
            <w:r w:rsidRPr="00ED253A">
              <w:rPr>
                <w:rFonts w:ascii="Arial" w:hAnsi="Arial" w:cs="Arial"/>
                <w:bCs/>
                <w:color w:val="000000"/>
                <w:sz w:val="16"/>
                <w:szCs w:val="16"/>
              </w:rPr>
              <w:t>12</w:t>
            </w:r>
          </w:p>
        </w:tc>
      </w:tr>
      <w:tr w:rsidR="00ED253A" w:rsidRPr="00E21C60" w14:paraId="74877C9E" w14:textId="77777777" w:rsidTr="00ED253A">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3FA63043" w14:textId="77777777" w:rsidR="00ED253A" w:rsidRPr="002526CC" w:rsidRDefault="00ED253A" w:rsidP="00ED253A">
            <w:pPr>
              <w:rPr>
                <w:rFonts w:ascii="Arial" w:hAnsi="Arial" w:cs="Arial"/>
                <w:b/>
                <w:bCs/>
                <w:color w:val="000000"/>
                <w:sz w:val="16"/>
                <w:szCs w:val="16"/>
              </w:rPr>
            </w:pPr>
            <w:r w:rsidRPr="002526CC">
              <w:rPr>
                <w:rFonts w:ascii="Arial" w:hAnsi="Arial" w:cs="Arial"/>
                <w:b/>
                <w:bCs/>
                <w:color w:val="000000"/>
                <w:sz w:val="16"/>
                <w:szCs w:val="16"/>
              </w:rPr>
              <w:t>Celkom</w:t>
            </w:r>
          </w:p>
        </w:tc>
        <w:tc>
          <w:tcPr>
            <w:tcW w:w="1460" w:type="dxa"/>
            <w:tcBorders>
              <w:top w:val="nil"/>
              <w:left w:val="nil"/>
              <w:bottom w:val="single" w:sz="4" w:space="0" w:color="auto"/>
              <w:right w:val="single" w:sz="4" w:space="0" w:color="auto"/>
            </w:tcBorders>
            <w:shd w:val="clear" w:color="000000" w:fill="EBF1DE"/>
            <w:noWrap/>
            <w:vAlign w:val="center"/>
            <w:hideMark/>
          </w:tcPr>
          <w:p w14:paraId="6596602A" w14:textId="0FF5EC65" w:rsidR="00ED253A" w:rsidRPr="00ED253A" w:rsidRDefault="00ED253A" w:rsidP="00ED253A">
            <w:pPr>
              <w:jc w:val="center"/>
              <w:rPr>
                <w:rFonts w:ascii="Arial" w:hAnsi="Arial" w:cs="Arial"/>
                <w:b/>
                <w:bCs/>
                <w:color w:val="000000"/>
                <w:sz w:val="16"/>
                <w:szCs w:val="16"/>
              </w:rPr>
            </w:pPr>
            <w:r w:rsidRPr="00ED253A">
              <w:rPr>
                <w:rFonts w:ascii="Arial" w:hAnsi="Arial" w:cs="Arial"/>
                <w:b/>
                <w:bCs/>
                <w:color w:val="000000"/>
                <w:sz w:val="16"/>
                <w:szCs w:val="16"/>
              </w:rPr>
              <w:t>521</w:t>
            </w:r>
          </w:p>
        </w:tc>
        <w:tc>
          <w:tcPr>
            <w:tcW w:w="1460" w:type="dxa"/>
            <w:tcBorders>
              <w:top w:val="nil"/>
              <w:left w:val="nil"/>
              <w:bottom w:val="single" w:sz="4" w:space="0" w:color="auto"/>
              <w:right w:val="single" w:sz="4" w:space="0" w:color="auto"/>
            </w:tcBorders>
            <w:shd w:val="clear" w:color="000000" w:fill="EBF1DE"/>
            <w:noWrap/>
            <w:vAlign w:val="center"/>
            <w:hideMark/>
          </w:tcPr>
          <w:p w14:paraId="54F425B1" w14:textId="4317F858" w:rsidR="00ED253A" w:rsidRPr="00ED253A" w:rsidRDefault="00ED253A" w:rsidP="00ED253A">
            <w:pPr>
              <w:jc w:val="center"/>
              <w:rPr>
                <w:rFonts w:ascii="Arial" w:hAnsi="Arial" w:cs="Arial"/>
                <w:b/>
                <w:bCs/>
                <w:color w:val="000000"/>
                <w:sz w:val="16"/>
                <w:szCs w:val="16"/>
              </w:rPr>
            </w:pPr>
            <w:r w:rsidRPr="00ED253A">
              <w:rPr>
                <w:rFonts w:ascii="Arial" w:hAnsi="Arial" w:cs="Arial"/>
                <w:b/>
                <w:bCs/>
                <w:color w:val="000000"/>
                <w:sz w:val="16"/>
                <w:szCs w:val="16"/>
              </w:rPr>
              <w:t>138</w:t>
            </w:r>
          </w:p>
        </w:tc>
        <w:tc>
          <w:tcPr>
            <w:tcW w:w="1460" w:type="dxa"/>
            <w:tcBorders>
              <w:top w:val="nil"/>
              <w:left w:val="nil"/>
              <w:bottom w:val="single" w:sz="4" w:space="0" w:color="auto"/>
              <w:right w:val="single" w:sz="4" w:space="0" w:color="auto"/>
            </w:tcBorders>
            <w:shd w:val="clear" w:color="000000" w:fill="EBF1DE"/>
            <w:noWrap/>
            <w:vAlign w:val="center"/>
            <w:hideMark/>
          </w:tcPr>
          <w:p w14:paraId="3556C980" w14:textId="367F6F4A" w:rsidR="00ED253A" w:rsidRPr="00ED253A" w:rsidRDefault="00ED253A" w:rsidP="00ED253A">
            <w:pPr>
              <w:jc w:val="center"/>
              <w:rPr>
                <w:rFonts w:ascii="Arial" w:hAnsi="Arial" w:cs="Arial"/>
                <w:b/>
                <w:bCs/>
                <w:color w:val="000000"/>
                <w:sz w:val="16"/>
                <w:szCs w:val="16"/>
              </w:rPr>
            </w:pPr>
            <w:r w:rsidRPr="00ED253A">
              <w:rPr>
                <w:rFonts w:ascii="Arial" w:hAnsi="Arial" w:cs="Arial"/>
                <w:b/>
                <w:bCs/>
                <w:color w:val="000000"/>
                <w:sz w:val="16"/>
                <w:szCs w:val="16"/>
              </w:rPr>
              <w:t>126</w:t>
            </w:r>
          </w:p>
        </w:tc>
        <w:tc>
          <w:tcPr>
            <w:tcW w:w="1460" w:type="dxa"/>
            <w:tcBorders>
              <w:top w:val="nil"/>
              <w:left w:val="nil"/>
              <w:bottom w:val="single" w:sz="4" w:space="0" w:color="auto"/>
              <w:right w:val="single" w:sz="4" w:space="0" w:color="auto"/>
            </w:tcBorders>
            <w:shd w:val="clear" w:color="000000" w:fill="EBF1DE"/>
            <w:noWrap/>
            <w:vAlign w:val="center"/>
            <w:hideMark/>
          </w:tcPr>
          <w:p w14:paraId="5D7CF0F1" w14:textId="2F1D31A8" w:rsidR="00ED253A" w:rsidRPr="00ED253A" w:rsidRDefault="00ED253A" w:rsidP="00ED253A">
            <w:pPr>
              <w:jc w:val="center"/>
              <w:rPr>
                <w:rFonts w:ascii="Arial" w:hAnsi="Arial" w:cs="Arial"/>
                <w:b/>
                <w:bCs/>
                <w:color w:val="000000"/>
                <w:sz w:val="16"/>
                <w:szCs w:val="16"/>
              </w:rPr>
            </w:pPr>
            <w:r w:rsidRPr="00ED253A">
              <w:rPr>
                <w:rFonts w:ascii="Arial" w:hAnsi="Arial" w:cs="Arial"/>
                <w:b/>
                <w:bCs/>
                <w:color w:val="000000"/>
                <w:sz w:val="16"/>
                <w:szCs w:val="16"/>
              </w:rPr>
              <w:t>126</w:t>
            </w:r>
          </w:p>
        </w:tc>
        <w:tc>
          <w:tcPr>
            <w:tcW w:w="1460" w:type="dxa"/>
            <w:tcBorders>
              <w:top w:val="nil"/>
              <w:left w:val="nil"/>
              <w:bottom w:val="single" w:sz="4" w:space="0" w:color="auto"/>
              <w:right w:val="single" w:sz="4" w:space="0" w:color="auto"/>
            </w:tcBorders>
            <w:shd w:val="clear" w:color="000000" w:fill="EBF1DE"/>
            <w:noWrap/>
            <w:vAlign w:val="center"/>
            <w:hideMark/>
          </w:tcPr>
          <w:p w14:paraId="1D34254B" w14:textId="3784DD7A" w:rsidR="00ED253A" w:rsidRPr="00ED253A" w:rsidRDefault="00ED253A" w:rsidP="00ED253A">
            <w:pPr>
              <w:jc w:val="center"/>
              <w:rPr>
                <w:rFonts w:ascii="Arial" w:hAnsi="Arial" w:cs="Arial"/>
                <w:b/>
                <w:bCs/>
                <w:color w:val="000000"/>
                <w:sz w:val="16"/>
                <w:szCs w:val="16"/>
              </w:rPr>
            </w:pPr>
            <w:r w:rsidRPr="00ED253A">
              <w:rPr>
                <w:rFonts w:ascii="Arial" w:hAnsi="Arial" w:cs="Arial"/>
                <w:b/>
                <w:bCs/>
                <w:color w:val="000000"/>
                <w:sz w:val="16"/>
                <w:szCs w:val="16"/>
              </w:rPr>
              <w:t>12</w:t>
            </w:r>
          </w:p>
        </w:tc>
      </w:tr>
    </w:tbl>
    <w:p w14:paraId="0CC4B974" w14:textId="5A15765A" w:rsidR="000B2831" w:rsidRPr="00D641FF" w:rsidRDefault="000B2831" w:rsidP="00123376">
      <w:pPr>
        <w:pStyle w:val="Zkladntextb"/>
        <w:spacing w:before="120" w:after="0" w:line="240" w:lineRule="auto"/>
        <w:ind w:left="0"/>
        <w:jc w:val="both"/>
        <w:rPr>
          <w:rFonts w:cs="Arial"/>
          <w:lang w:val="sk-SK"/>
        </w:rPr>
      </w:pPr>
      <w:r w:rsidRPr="002526CC">
        <w:rPr>
          <w:rFonts w:cs="Arial"/>
          <w:lang w:val="sk-SK"/>
        </w:rPr>
        <w:t xml:space="preserve">Tabuľka č. </w:t>
      </w:r>
      <w:r w:rsidR="00012152" w:rsidRPr="002526CC">
        <w:rPr>
          <w:rFonts w:cs="Arial"/>
          <w:lang w:val="sk-SK"/>
        </w:rPr>
        <w:t>4</w:t>
      </w:r>
      <w:r w:rsidR="007B1CB9">
        <w:rPr>
          <w:rFonts w:cs="Arial"/>
          <w:lang w:val="sk-SK"/>
        </w:rPr>
        <w:t>6</w:t>
      </w:r>
      <w:r w:rsidR="00012152" w:rsidRPr="0020746A">
        <w:rPr>
          <w:rFonts w:cs="Arial"/>
          <w:lang w:val="sk-SK"/>
        </w:rPr>
        <w:t>b</w:t>
      </w:r>
      <w:r w:rsidRPr="0020746A">
        <w:rPr>
          <w:rFonts w:cs="Arial"/>
          <w:lang w:val="sk-SK"/>
        </w:rPr>
        <w:t xml:space="preserve">: </w:t>
      </w:r>
      <w:r w:rsidRPr="00D641FF">
        <w:rPr>
          <w:rFonts w:cs="Arial"/>
          <w:lang w:val="sk-SK"/>
        </w:rPr>
        <w:t>Finančné vyjadrenie pokroku v implementácii prioritnej osi 2 k 31.</w:t>
      </w:r>
      <w:r w:rsidR="00D331B8" w:rsidRPr="00D641FF">
        <w:rPr>
          <w:rFonts w:cs="Arial"/>
          <w:lang w:val="sk-SK"/>
        </w:rPr>
        <w:t>1</w:t>
      </w:r>
      <w:r w:rsidR="00D331B8">
        <w:rPr>
          <w:rFonts w:cs="Arial"/>
          <w:lang w:val="sk-SK"/>
        </w:rPr>
        <w:t>0</w:t>
      </w:r>
      <w:r w:rsidRPr="00D641FF">
        <w:rPr>
          <w:rFonts w:cs="Arial"/>
          <w:lang w:val="sk-SK"/>
        </w:rPr>
        <w:t>.</w:t>
      </w:r>
      <w:r w:rsidR="00D331B8" w:rsidRPr="00D641FF">
        <w:rPr>
          <w:rFonts w:cs="Arial"/>
          <w:lang w:val="sk-SK"/>
        </w:rPr>
        <w:t>201</w:t>
      </w:r>
      <w:r w:rsidR="00D331B8">
        <w:rPr>
          <w:rFonts w:cs="Arial"/>
          <w:lang w:val="sk-SK"/>
        </w:rPr>
        <w:t xml:space="preserve">6 </w:t>
      </w:r>
      <w:r w:rsidR="00A018A4" w:rsidRPr="00D641FF">
        <w:rPr>
          <w:rFonts w:cs="Arial"/>
          <w:lang w:val="sk-SK"/>
        </w:rPr>
        <w:t>(v €)</w:t>
      </w:r>
    </w:p>
    <w:tbl>
      <w:tblPr>
        <w:tblW w:w="9200" w:type="dxa"/>
        <w:tblInd w:w="55" w:type="dxa"/>
        <w:tblCellMar>
          <w:left w:w="70" w:type="dxa"/>
          <w:right w:w="70" w:type="dxa"/>
        </w:tblCellMar>
        <w:tblLook w:val="04A0" w:firstRow="1" w:lastRow="0" w:firstColumn="1" w:lastColumn="0" w:noHBand="0" w:noVBand="1"/>
      </w:tblPr>
      <w:tblGrid>
        <w:gridCol w:w="1880"/>
        <w:gridCol w:w="1180"/>
        <w:gridCol w:w="1180"/>
        <w:gridCol w:w="1180"/>
        <w:gridCol w:w="1323"/>
        <w:gridCol w:w="1277"/>
        <w:gridCol w:w="1180"/>
      </w:tblGrid>
      <w:tr w:rsidR="00AD3723" w:rsidRPr="00E21C60" w14:paraId="393D4F9B"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20B5AF3" w14:textId="77777777" w:rsidR="00AD3723" w:rsidRPr="00E21C60" w:rsidRDefault="0079794E">
            <w:pPr>
              <w:jc w:val="center"/>
              <w:rPr>
                <w:rFonts w:ascii="Arial" w:hAnsi="Arial" w:cs="Arial"/>
                <w:b/>
                <w:bCs/>
                <w:color w:val="000000"/>
                <w:sz w:val="16"/>
                <w:szCs w:val="16"/>
              </w:rPr>
            </w:pPr>
            <w:r>
              <w:rPr>
                <w:rFonts w:ascii="Arial" w:hAnsi="Arial" w:cs="Arial"/>
                <w:b/>
                <w:bCs/>
                <w:color w:val="000000"/>
                <w:sz w:val="16"/>
                <w:szCs w:val="16"/>
              </w:rPr>
              <w:t>Prioritná</w:t>
            </w:r>
            <w:r w:rsidRPr="00E21C60">
              <w:rPr>
                <w:rFonts w:ascii="Arial" w:hAnsi="Arial" w:cs="Arial"/>
                <w:b/>
                <w:bCs/>
                <w:color w:val="000000"/>
                <w:sz w:val="16"/>
                <w:szCs w:val="16"/>
              </w:rPr>
              <w:t xml:space="preserve"> </w:t>
            </w:r>
            <w:r w:rsidR="00AD3723" w:rsidRPr="00E21C60">
              <w:rPr>
                <w:rFonts w:ascii="Arial" w:hAnsi="Arial" w:cs="Arial"/>
                <w:b/>
                <w:bCs/>
                <w:color w:val="000000"/>
                <w:sz w:val="16"/>
                <w:szCs w:val="16"/>
              </w:rPr>
              <w:t>téma</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8AD04E1" w14:textId="77777777" w:rsidR="00AD3723" w:rsidRPr="00E21C60" w:rsidRDefault="00AD3723">
            <w:pPr>
              <w:jc w:val="center"/>
              <w:rPr>
                <w:rFonts w:ascii="Arial" w:hAnsi="Arial" w:cs="Arial"/>
                <w:b/>
                <w:bCs/>
                <w:color w:val="000000"/>
                <w:sz w:val="16"/>
                <w:szCs w:val="16"/>
              </w:rPr>
            </w:pPr>
            <w:r w:rsidRPr="00E21C60">
              <w:rPr>
                <w:rFonts w:ascii="Arial" w:hAnsi="Arial" w:cs="Arial"/>
                <w:b/>
                <w:bCs/>
                <w:color w:val="000000"/>
                <w:sz w:val="16"/>
                <w:szCs w:val="16"/>
              </w:rPr>
              <w:t>Alokácia za zdroj EÚ+ŠR</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0A0F517" w14:textId="77777777" w:rsidR="00AD3723" w:rsidRPr="00E21C60" w:rsidRDefault="00AD3723">
            <w:pPr>
              <w:jc w:val="center"/>
              <w:rPr>
                <w:rFonts w:ascii="Arial" w:hAnsi="Arial" w:cs="Arial"/>
                <w:b/>
                <w:bCs/>
                <w:color w:val="000000"/>
                <w:sz w:val="16"/>
                <w:szCs w:val="16"/>
              </w:rPr>
            </w:pPr>
            <w:r w:rsidRPr="00E21C60">
              <w:rPr>
                <w:rFonts w:ascii="Arial" w:hAnsi="Arial" w:cs="Arial"/>
                <w:b/>
                <w:bCs/>
                <w:color w:val="000000"/>
                <w:sz w:val="16"/>
                <w:szCs w:val="16"/>
              </w:rPr>
              <w:t xml:space="preserve">Výška žiadaného príspevku (NFP)  </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9E76CE4" w14:textId="77777777" w:rsidR="00AD3723" w:rsidRPr="00E21C60" w:rsidRDefault="00AD3723">
            <w:pPr>
              <w:jc w:val="center"/>
              <w:rPr>
                <w:rFonts w:ascii="Arial" w:hAnsi="Arial" w:cs="Arial"/>
                <w:b/>
                <w:bCs/>
                <w:color w:val="000000"/>
                <w:sz w:val="16"/>
                <w:szCs w:val="16"/>
              </w:rPr>
            </w:pPr>
            <w:r w:rsidRPr="00E21C60">
              <w:rPr>
                <w:rFonts w:ascii="Arial" w:hAnsi="Arial" w:cs="Arial"/>
                <w:b/>
                <w:bCs/>
                <w:color w:val="000000"/>
                <w:sz w:val="16"/>
                <w:szCs w:val="16"/>
              </w:rPr>
              <w:t xml:space="preserve">Výška schváleného príspevku (NFP) </w:t>
            </w:r>
          </w:p>
        </w:tc>
        <w:tc>
          <w:tcPr>
            <w:tcW w:w="1323"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E493221" w14:textId="77777777" w:rsidR="00AD3723" w:rsidRPr="00E21C60" w:rsidRDefault="00AD3723">
            <w:pPr>
              <w:jc w:val="center"/>
              <w:rPr>
                <w:rFonts w:ascii="Arial" w:hAnsi="Arial" w:cs="Arial"/>
                <w:b/>
                <w:bCs/>
                <w:color w:val="000000"/>
                <w:sz w:val="16"/>
                <w:szCs w:val="16"/>
              </w:rPr>
            </w:pPr>
            <w:r w:rsidRPr="00E21C60">
              <w:rPr>
                <w:rFonts w:ascii="Arial" w:hAnsi="Arial" w:cs="Arial"/>
                <w:b/>
                <w:bCs/>
                <w:color w:val="000000"/>
                <w:sz w:val="16"/>
                <w:szCs w:val="16"/>
              </w:rPr>
              <w:t>Výška zazmluvnených prostriedkov (NFP)</w:t>
            </w:r>
          </w:p>
        </w:tc>
        <w:tc>
          <w:tcPr>
            <w:tcW w:w="1277"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9150AE2" w14:textId="77777777" w:rsidR="00AD3723" w:rsidRPr="00E21C60" w:rsidRDefault="00AD3723">
            <w:pPr>
              <w:jc w:val="center"/>
              <w:rPr>
                <w:rFonts w:ascii="Arial" w:hAnsi="Arial" w:cs="Arial"/>
                <w:b/>
                <w:bCs/>
                <w:color w:val="000000"/>
                <w:sz w:val="16"/>
                <w:szCs w:val="16"/>
              </w:rPr>
            </w:pPr>
            <w:r w:rsidRPr="00E21C60">
              <w:rPr>
                <w:rFonts w:ascii="Arial" w:hAnsi="Arial" w:cs="Arial"/>
                <w:b/>
                <w:bCs/>
                <w:color w:val="000000"/>
                <w:sz w:val="16"/>
                <w:szCs w:val="16"/>
              </w:rPr>
              <w:t>Vý</w:t>
            </w:r>
            <w:r w:rsidR="00322DA2" w:rsidRPr="00E21C60">
              <w:rPr>
                <w:rFonts w:ascii="Arial" w:hAnsi="Arial" w:cs="Arial"/>
                <w:b/>
                <w:bCs/>
                <w:color w:val="000000"/>
                <w:sz w:val="16"/>
                <w:szCs w:val="16"/>
              </w:rPr>
              <w:t>ška riadne ukončených projektov</w:t>
            </w:r>
            <w:r w:rsidRPr="00E21C60">
              <w:rPr>
                <w:rFonts w:ascii="Arial" w:hAnsi="Arial" w:cs="Arial"/>
                <w:b/>
                <w:bCs/>
                <w:color w:val="000000"/>
                <w:sz w:val="16"/>
                <w:szCs w:val="16"/>
                <w:vertAlign w:val="superscript"/>
              </w:rPr>
              <w:t>1</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74F5358" w14:textId="77777777" w:rsidR="00AD3723" w:rsidRPr="00E21C60" w:rsidRDefault="00AD3723">
            <w:pPr>
              <w:jc w:val="center"/>
              <w:rPr>
                <w:rFonts w:ascii="Arial" w:hAnsi="Arial" w:cs="Arial"/>
                <w:b/>
                <w:bCs/>
                <w:color w:val="000000"/>
                <w:sz w:val="16"/>
                <w:szCs w:val="16"/>
              </w:rPr>
            </w:pPr>
            <w:r w:rsidRPr="00E21C60">
              <w:rPr>
                <w:rFonts w:ascii="Arial" w:hAnsi="Arial" w:cs="Arial"/>
                <w:b/>
                <w:bCs/>
                <w:color w:val="000000"/>
                <w:sz w:val="16"/>
                <w:szCs w:val="16"/>
              </w:rPr>
              <w:t>Výška mimoriadne ukončených projektov</w:t>
            </w:r>
          </w:p>
        </w:tc>
      </w:tr>
      <w:tr w:rsidR="00D32FD4" w:rsidRPr="00E21C60" w14:paraId="4A32C594" w14:textId="77777777" w:rsidTr="00D32FD4">
        <w:trPr>
          <w:trHeight w:val="18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0023B1DF" w14:textId="77777777" w:rsidR="00D32FD4" w:rsidRPr="00E21C60" w:rsidRDefault="00D32FD4" w:rsidP="00D32FD4">
            <w:pPr>
              <w:rPr>
                <w:rFonts w:ascii="Arial" w:hAnsi="Arial" w:cs="Arial"/>
                <w:color w:val="000000"/>
                <w:sz w:val="16"/>
                <w:szCs w:val="16"/>
              </w:rPr>
            </w:pPr>
            <w:r w:rsidRPr="002526CC">
              <w:rPr>
                <w:rFonts w:ascii="Arial" w:hAnsi="Arial" w:cs="Arial"/>
                <w:color w:val="000000"/>
                <w:sz w:val="16"/>
                <w:szCs w:val="16"/>
              </w:rPr>
              <w:t xml:space="preserve">53 - Predchádzanie </w:t>
            </w:r>
            <w:r w:rsidRPr="002526CC">
              <w:rPr>
                <w:rFonts w:ascii="Arial" w:hAnsi="Arial" w:cs="Arial"/>
                <w:color w:val="000000"/>
                <w:sz w:val="16"/>
                <w:szCs w:val="16"/>
              </w:rPr>
              <w:br/>
              <w:t xml:space="preserve">rizikám (vrátane návrhu </w:t>
            </w:r>
            <w:r w:rsidRPr="002526CC">
              <w:rPr>
                <w:rFonts w:ascii="Arial" w:hAnsi="Arial" w:cs="Arial"/>
                <w:color w:val="000000"/>
                <w:sz w:val="16"/>
                <w:szCs w:val="16"/>
              </w:rPr>
              <w:br/>
              <w:t xml:space="preserve">a realizácie plánov </w:t>
            </w:r>
            <w:r w:rsidRPr="002526CC">
              <w:rPr>
                <w:rFonts w:ascii="Arial" w:hAnsi="Arial" w:cs="Arial"/>
                <w:color w:val="000000"/>
                <w:sz w:val="16"/>
                <w:szCs w:val="16"/>
              </w:rPr>
              <w:br/>
              <w:t xml:space="preserve">a opatrení na predchádzanie prírodným </w:t>
            </w:r>
            <w:r w:rsidRPr="002526CC">
              <w:rPr>
                <w:rFonts w:ascii="Arial" w:hAnsi="Arial" w:cs="Arial"/>
                <w:color w:val="000000"/>
                <w:sz w:val="16"/>
                <w:szCs w:val="16"/>
              </w:rPr>
              <w:br/>
              <w:t>a technologickým rizikám a ic</w:t>
            </w:r>
            <w:r w:rsidRPr="00E21C60">
              <w:rPr>
                <w:rFonts w:ascii="Arial" w:hAnsi="Arial" w:cs="Arial"/>
                <w:color w:val="000000"/>
                <w:sz w:val="16"/>
                <w:szCs w:val="16"/>
              </w:rPr>
              <w:t>h riadenie)</w:t>
            </w:r>
          </w:p>
        </w:tc>
        <w:tc>
          <w:tcPr>
            <w:tcW w:w="1180" w:type="dxa"/>
            <w:tcBorders>
              <w:top w:val="nil"/>
              <w:left w:val="nil"/>
              <w:bottom w:val="single" w:sz="4" w:space="0" w:color="auto"/>
              <w:right w:val="single" w:sz="4" w:space="0" w:color="auto"/>
            </w:tcBorders>
            <w:shd w:val="clear" w:color="auto" w:fill="auto"/>
            <w:noWrap/>
            <w:vAlign w:val="center"/>
            <w:hideMark/>
          </w:tcPr>
          <w:p w14:paraId="746B7334" w14:textId="72696244" w:rsidR="00D32FD4" w:rsidRPr="00D32FD4" w:rsidRDefault="00D32FD4" w:rsidP="00D32FD4">
            <w:pPr>
              <w:jc w:val="center"/>
              <w:rPr>
                <w:rFonts w:ascii="Arial" w:hAnsi="Arial" w:cs="Arial"/>
                <w:color w:val="000000"/>
                <w:sz w:val="16"/>
                <w:szCs w:val="16"/>
              </w:rPr>
            </w:pPr>
            <w:r w:rsidRPr="00D32FD4">
              <w:rPr>
                <w:rFonts w:ascii="Arial" w:hAnsi="Arial" w:cs="Arial"/>
                <w:color w:val="000000"/>
                <w:sz w:val="16"/>
                <w:szCs w:val="16"/>
              </w:rPr>
              <w:t>306 788 353</w:t>
            </w:r>
          </w:p>
        </w:tc>
        <w:tc>
          <w:tcPr>
            <w:tcW w:w="1180" w:type="dxa"/>
            <w:tcBorders>
              <w:top w:val="nil"/>
              <w:left w:val="nil"/>
              <w:bottom w:val="single" w:sz="4" w:space="0" w:color="auto"/>
              <w:right w:val="single" w:sz="4" w:space="0" w:color="auto"/>
            </w:tcBorders>
            <w:shd w:val="clear" w:color="auto" w:fill="auto"/>
            <w:noWrap/>
            <w:vAlign w:val="center"/>
            <w:hideMark/>
          </w:tcPr>
          <w:p w14:paraId="592F7EC3" w14:textId="205BC011" w:rsidR="00D32FD4" w:rsidRPr="00D32FD4" w:rsidRDefault="00D32FD4" w:rsidP="00D32FD4">
            <w:pPr>
              <w:jc w:val="center"/>
              <w:rPr>
                <w:rFonts w:ascii="Arial" w:hAnsi="Arial" w:cs="Arial"/>
                <w:color w:val="000000"/>
                <w:sz w:val="16"/>
                <w:szCs w:val="16"/>
              </w:rPr>
            </w:pPr>
            <w:r w:rsidRPr="00D32FD4">
              <w:rPr>
                <w:rFonts w:ascii="Arial" w:hAnsi="Arial" w:cs="Arial"/>
                <w:color w:val="000000"/>
                <w:sz w:val="16"/>
                <w:szCs w:val="16"/>
              </w:rPr>
              <w:t>704 582 813</w:t>
            </w:r>
          </w:p>
        </w:tc>
        <w:tc>
          <w:tcPr>
            <w:tcW w:w="1180" w:type="dxa"/>
            <w:tcBorders>
              <w:top w:val="nil"/>
              <w:left w:val="nil"/>
              <w:bottom w:val="single" w:sz="4" w:space="0" w:color="auto"/>
              <w:right w:val="single" w:sz="4" w:space="0" w:color="auto"/>
            </w:tcBorders>
            <w:shd w:val="clear" w:color="auto" w:fill="auto"/>
            <w:noWrap/>
            <w:vAlign w:val="center"/>
            <w:hideMark/>
          </w:tcPr>
          <w:p w14:paraId="0E1EE439" w14:textId="63FA3EA4" w:rsidR="00D32FD4" w:rsidRPr="00D32FD4" w:rsidRDefault="00D32FD4" w:rsidP="00D32FD4">
            <w:pPr>
              <w:jc w:val="center"/>
              <w:rPr>
                <w:rFonts w:ascii="Arial" w:hAnsi="Arial" w:cs="Arial"/>
                <w:color w:val="000000"/>
                <w:sz w:val="16"/>
                <w:szCs w:val="16"/>
              </w:rPr>
            </w:pPr>
            <w:r w:rsidRPr="00D32FD4">
              <w:rPr>
                <w:rFonts w:ascii="Arial" w:hAnsi="Arial" w:cs="Arial"/>
                <w:color w:val="000000"/>
                <w:sz w:val="16"/>
                <w:szCs w:val="16"/>
              </w:rPr>
              <w:t>261 936 461</w:t>
            </w:r>
          </w:p>
        </w:tc>
        <w:tc>
          <w:tcPr>
            <w:tcW w:w="1323" w:type="dxa"/>
            <w:tcBorders>
              <w:top w:val="nil"/>
              <w:left w:val="nil"/>
              <w:bottom w:val="single" w:sz="4" w:space="0" w:color="auto"/>
              <w:right w:val="single" w:sz="4" w:space="0" w:color="auto"/>
            </w:tcBorders>
            <w:shd w:val="clear" w:color="auto" w:fill="auto"/>
            <w:noWrap/>
            <w:vAlign w:val="center"/>
            <w:hideMark/>
          </w:tcPr>
          <w:p w14:paraId="522608F7" w14:textId="7F2EFA4D" w:rsidR="00D32FD4" w:rsidRPr="00D32FD4" w:rsidRDefault="00D32FD4" w:rsidP="00D32FD4">
            <w:pPr>
              <w:jc w:val="center"/>
              <w:rPr>
                <w:rFonts w:ascii="Arial" w:hAnsi="Arial" w:cs="Arial"/>
                <w:color w:val="000000"/>
                <w:sz w:val="16"/>
                <w:szCs w:val="16"/>
              </w:rPr>
            </w:pPr>
            <w:r w:rsidRPr="00D32FD4">
              <w:rPr>
                <w:rFonts w:ascii="Arial" w:hAnsi="Arial" w:cs="Arial"/>
                <w:color w:val="000000"/>
                <w:sz w:val="16"/>
                <w:szCs w:val="16"/>
              </w:rPr>
              <w:t>325 201 001</w:t>
            </w:r>
          </w:p>
        </w:tc>
        <w:tc>
          <w:tcPr>
            <w:tcW w:w="1277" w:type="dxa"/>
            <w:tcBorders>
              <w:top w:val="nil"/>
              <w:left w:val="nil"/>
              <w:bottom w:val="single" w:sz="4" w:space="0" w:color="auto"/>
              <w:right w:val="single" w:sz="4" w:space="0" w:color="auto"/>
            </w:tcBorders>
            <w:shd w:val="clear" w:color="auto" w:fill="auto"/>
            <w:noWrap/>
            <w:vAlign w:val="center"/>
            <w:hideMark/>
          </w:tcPr>
          <w:p w14:paraId="1832D6A8" w14:textId="07CDB9EB" w:rsidR="00D32FD4" w:rsidRPr="00D32FD4" w:rsidRDefault="00D32FD4" w:rsidP="00D32FD4">
            <w:pPr>
              <w:jc w:val="center"/>
              <w:rPr>
                <w:rFonts w:ascii="Arial" w:hAnsi="Arial" w:cs="Arial"/>
                <w:color w:val="000000"/>
                <w:sz w:val="16"/>
                <w:szCs w:val="16"/>
              </w:rPr>
            </w:pPr>
            <w:r w:rsidRPr="00D32FD4">
              <w:rPr>
                <w:rFonts w:ascii="Arial" w:hAnsi="Arial" w:cs="Arial"/>
                <w:color w:val="000000"/>
                <w:sz w:val="16"/>
                <w:szCs w:val="16"/>
              </w:rPr>
              <w:t>300 569 528</w:t>
            </w:r>
          </w:p>
        </w:tc>
        <w:tc>
          <w:tcPr>
            <w:tcW w:w="1180" w:type="dxa"/>
            <w:tcBorders>
              <w:top w:val="nil"/>
              <w:left w:val="nil"/>
              <w:bottom w:val="single" w:sz="4" w:space="0" w:color="auto"/>
              <w:right w:val="single" w:sz="4" w:space="0" w:color="auto"/>
            </w:tcBorders>
            <w:shd w:val="clear" w:color="auto" w:fill="auto"/>
            <w:noWrap/>
            <w:vAlign w:val="center"/>
            <w:hideMark/>
          </w:tcPr>
          <w:p w14:paraId="7161A639" w14:textId="61CAD172" w:rsidR="00D32FD4" w:rsidRPr="00D32FD4" w:rsidRDefault="00D32FD4" w:rsidP="00D32FD4">
            <w:pPr>
              <w:jc w:val="center"/>
              <w:rPr>
                <w:rFonts w:ascii="Arial" w:hAnsi="Arial" w:cs="Arial"/>
                <w:color w:val="000000"/>
                <w:sz w:val="16"/>
                <w:szCs w:val="16"/>
              </w:rPr>
            </w:pPr>
            <w:r w:rsidRPr="00D32FD4">
              <w:rPr>
                <w:rFonts w:ascii="Arial" w:hAnsi="Arial" w:cs="Arial"/>
                <w:color w:val="000000"/>
                <w:sz w:val="16"/>
                <w:szCs w:val="16"/>
              </w:rPr>
              <w:t>15 559 068</w:t>
            </w:r>
          </w:p>
        </w:tc>
      </w:tr>
      <w:tr w:rsidR="00D32FD4" w:rsidRPr="00E21C60" w14:paraId="5C7ADC0B" w14:textId="77777777" w:rsidTr="00D32FD4">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18D295C3" w14:textId="77777777" w:rsidR="00D32FD4" w:rsidRPr="002526CC" w:rsidRDefault="00D32FD4" w:rsidP="00D32FD4">
            <w:pPr>
              <w:rPr>
                <w:rFonts w:ascii="Arial" w:hAnsi="Arial" w:cs="Arial"/>
                <w:b/>
                <w:bCs/>
                <w:color w:val="000000"/>
                <w:sz w:val="16"/>
                <w:szCs w:val="16"/>
              </w:rPr>
            </w:pPr>
            <w:r w:rsidRPr="002526CC">
              <w:rPr>
                <w:rFonts w:ascii="Arial" w:hAnsi="Arial" w:cs="Arial"/>
                <w:b/>
                <w:bCs/>
                <w:color w:val="000000"/>
                <w:sz w:val="16"/>
                <w:szCs w:val="16"/>
              </w:rPr>
              <w:t>Celkom</w:t>
            </w:r>
          </w:p>
        </w:tc>
        <w:tc>
          <w:tcPr>
            <w:tcW w:w="1180" w:type="dxa"/>
            <w:tcBorders>
              <w:top w:val="nil"/>
              <w:left w:val="nil"/>
              <w:bottom w:val="single" w:sz="4" w:space="0" w:color="auto"/>
              <w:right w:val="single" w:sz="4" w:space="0" w:color="auto"/>
            </w:tcBorders>
            <w:shd w:val="clear" w:color="000000" w:fill="EBF1DE"/>
            <w:noWrap/>
            <w:vAlign w:val="center"/>
            <w:hideMark/>
          </w:tcPr>
          <w:p w14:paraId="61C808E5" w14:textId="0C84FB0F" w:rsidR="00D32FD4" w:rsidRPr="00D32FD4" w:rsidRDefault="00D32FD4" w:rsidP="00D32FD4">
            <w:pPr>
              <w:jc w:val="center"/>
              <w:rPr>
                <w:rFonts w:ascii="Arial" w:hAnsi="Arial" w:cs="Arial"/>
                <w:b/>
                <w:color w:val="000000"/>
                <w:sz w:val="16"/>
                <w:szCs w:val="16"/>
              </w:rPr>
            </w:pPr>
            <w:r w:rsidRPr="00D32FD4">
              <w:rPr>
                <w:rFonts w:ascii="Arial" w:hAnsi="Arial" w:cs="Arial"/>
                <w:b/>
                <w:color w:val="000000"/>
                <w:sz w:val="16"/>
                <w:szCs w:val="16"/>
              </w:rPr>
              <w:t>306 788 353</w:t>
            </w:r>
          </w:p>
        </w:tc>
        <w:tc>
          <w:tcPr>
            <w:tcW w:w="1180" w:type="dxa"/>
            <w:tcBorders>
              <w:top w:val="nil"/>
              <w:left w:val="nil"/>
              <w:bottom w:val="single" w:sz="4" w:space="0" w:color="auto"/>
              <w:right w:val="single" w:sz="4" w:space="0" w:color="auto"/>
            </w:tcBorders>
            <w:shd w:val="clear" w:color="000000" w:fill="EBF1DE"/>
            <w:noWrap/>
            <w:vAlign w:val="center"/>
            <w:hideMark/>
          </w:tcPr>
          <w:p w14:paraId="520A15BA" w14:textId="6C510924" w:rsidR="00D32FD4" w:rsidRPr="00D32FD4" w:rsidRDefault="00D32FD4" w:rsidP="00D32FD4">
            <w:pPr>
              <w:jc w:val="center"/>
              <w:rPr>
                <w:rFonts w:ascii="Arial" w:hAnsi="Arial" w:cs="Arial"/>
                <w:b/>
                <w:color w:val="000000"/>
                <w:sz w:val="16"/>
                <w:szCs w:val="16"/>
              </w:rPr>
            </w:pPr>
            <w:r w:rsidRPr="00D32FD4">
              <w:rPr>
                <w:rFonts w:ascii="Arial" w:hAnsi="Arial" w:cs="Arial"/>
                <w:b/>
                <w:color w:val="000000"/>
                <w:sz w:val="16"/>
                <w:szCs w:val="16"/>
              </w:rPr>
              <w:t>704 582 813</w:t>
            </w:r>
          </w:p>
        </w:tc>
        <w:tc>
          <w:tcPr>
            <w:tcW w:w="1180" w:type="dxa"/>
            <w:tcBorders>
              <w:top w:val="nil"/>
              <w:left w:val="nil"/>
              <w:bottom w:val="single" w:sz="4" w:space="0" w:color="auto"/>
              <w:right w:val="single" w:sz="4" w:space="0" w:color="auto"/>
            </w:tcBorders>
            <w:shd w:val="clear" w:color="000000" w:fill="EBF1DE"/>
            <w:noWrap/>
            <w:vAlign w:val="center"/>
            <w:hideMark/>
          </w:tcPr>
          <w:p w14:paraId="67F066EC" w14:textId="3CB97EBA" w:rsidR="00D32FD4" w:rsidRPr="00D32FD4" w:rsidRDefault="00D32FD4" w:rsidP="00D32FD4">
            <w:pPr>
              <w:jc w:val="center"/>
              <w:rPr>
                <w:rFonts w:ascii="Arial" w:hAnsi="Arial" w:cs="Arial"/>
                <w:b/>
                <w:color w:val="000000"/>
                <w:sz w:val="16"/>
                <w:szCs w:val="16"/>
              </w:rPr>
            </w:pPr>
            <w:r w:rsidRPr="00D32FD4">
              <w:rPr>
                <w:rFonts w:ascii="Arial" w:hAnsi="Arial" w:cs="Arial"/>
                <w:b/>
                <w:color w:val="000000"/>
                <w:sz w:val="16"/>
                <w:szCs w:val="16"/>
              </w:rPr>
              <w:t>261 936 461</w:t>
            </w:r>
          </w:p>
        </w:tc>
        <w:tc>
          <w:tcPr>
            <w:tcW w:w="1323" w:type="dxa"/>
            <w:tcBorders>
              <w:top w:val="nil"/>
              <w:left w:val="nil"/>
              <w:bottom w:val="single" w:sz="4" w:space="0" w:color="auto"/>
              <w:right w:val="single" w:sz="4" w:space="0" w:color="auto"/>
            </w:tcBorders>
            <w:shd w:val="clear" w:color="000000" w:fill="EBF1DE"/>
            <w:noWrap/>
            <w:vAlign w:val="center"/>
            <w:hideMark/>
          </w:tcPr>
          <w:p w14:paraId="0CA94A39" w14:textId="6D831278" w:rsidR="00D32FD4" w:rsidRPr="00D32FD4" w:rsidRDefault="00D32FD4" w:rsidP="00D32FD4">
            <w:pPr>
              <w:jc w:val="center"/>
              <w:rPr>
                <w:rFonts w:ascii="Arial" w:hAnsi="Arial" w:cs="Arial"/>
                <w:b/>
                <w:color w:val="000000"/>
                <w:sz w:val="16"/>
                <w:szCs w:val="16"/>
              </w:rPr>
            </w:pPr>
            <w:r w:rsidRPr="00D32FD4">
              <w:rPr>
                <w:rFonts w:ascii="Arial" w:hAnsi="Arial" w:cs="Arial"/>
                <w:b/>
                <w:color w:val="000000"/>
                <w:sz w:val="16"/>
                <w:szCs w:val="16"/>
              </w:rPr>
              <w:t>325 201 001</w:t>
            </w:r>
          </w:p>
        </w:tc>
        <w:tc>
          <w:tcPr>
            <w:tcW w:w="1277" w:type="dxa"/>
            <w:tcBorders>
              <w:top w:val="nil"/>
              <w:left w:val="nil"/>
              <w:bottom w:val="single" w:sz="4" w:space="0" w:color="auto"/>
              <w:right w:val="single" w:sz="4" w:space="0" w:color="auto"/>
            </w:tcBorders>
            <w:shd w:val="clear" w:color="000000" w:fill="EBF1DE"/>
            <w:noWrap/>
            <w:vAlign w:val="center"/>
            <w:hideMark/>
          </w:tcPr>
          <w:p w14:paraId="5591220E" w14:textId="26B4290F" w:rsidR="00D32FD4" w:rsidRPr="00D32FD4" w:rsidRDefault="00D32FD4" w:rsidP="00D32FD4">
            <w:pPr>
              <w:jc w:val="center"/>
              <w:rPr>
                <w:rFonts w:ascii="Arial" w:hAnsi="Arial" w:cs="Arial"/>
                <w:b/>
                <w:color w:val="000000"/>
                <w:sz w:val="16"/>
                <w:szCs w:val="16"/>
              </w:rPr>
            </w:pPr>
            <w:r w:rsidRPr="00D32FD4">
              <w:rPr>
                <w:rFonts w:ascii="Arial" w:hAnsi="Arial" w:cs="Arial"/>
                <w:b/>
                <w:color w:val="000000"/>
                <w:sz w:val="16"/>
                <w:szCs w:val="16"/>
              </w:rPr>
              <w:t>300 569 528</w:t>
            </w:r>
          </w:p>
        </w:tc>
        <w:tc>
          <w:tcPr>
            <w:tcW w:w="1180" w:type="dxa"/>
            <w:tcBorders>
              <w:top w:val="nil"/>
              <w:left w:val="nil"/>
              <w:bottom w:val="single" w:sz="4" w:space="0" w:color="auto"/>
              <w:right w:val="single" w:sz="4" w:space="0" w:color="auto"/>
            </w:tcBorders>
            <w:shd w:val="clear" w:color="000000" w:fill="EBF1DE"/>
            <w:noWrap/>
            <w:vAlign w:val="center"/>
            <w:hideMark/>
          </w:tcPr>
          <w:p w14:paraId="3BD45983" w14:textId="0B861BF4" w:rsidR="00D32FD4" w:rsidRPr="00D32FD4" w:rsidRDefault="00D32FD4" w:rsidP="00D32FD4">
            <w:pPr>
              <w:jc w:val="center"/>
              <w:rPr>
                <w:rFonts w:ascii="Arial" w:hAnsi="Arial" w:cs="Arial"/>
                <w:b/>
                <w:color w:val="000000"/>
                <w:sz w:val="16"/>
                <w:szCs w:val="16"/>
              </w:rPr>
            </w:pPr>
            <w:r w:rsidRPr="00D32FD4">
              <w:rPr>
                <w:rFonts w:ascii="Arial" w:hAnsi="Arial" w:cs="Arial"/>
                <w:b/>
                <w:color w:val="000000"/>
                <w:sz w:val="16"/>
                <w:szCs w:val="16"/>
              </w:rPr>
              <w:t>15 559 068</w:t>
            </w:r>
          </w:p>
        </w:tc>
      </w:tr>
    </w:tbl>
    <w:p w14:paraId="70586996" w14:textId="77777777" w:rsidR="002416B1" w:rsidRPr="00123376" w:rsidRDefault="00000CC9">
      <w:pPr>
        <w:pStyle w:val="Zkladntextb"/>
        <w:spacing w:after="0" w:line="240" w:lineRule="auto"/>
        <w:ind w:left="0"/>
        <w:jc w:val="both"/>
        <w:rPr>
          <w:rFonts w:cs="Arial"/>
          <w:sz w:val="16"/>
          <w:szCs w:val="16"/>
          <w:lang w:val="sk-SK"/>
        </w:rPr>
      </w:pPr>
      <w:r w:rsidRPr="00123376">
        <w:rPr>
          <w:rFonts w:cs="Arial"/>
          <w:sz w:val="16"/>
          <w:szCs w:val="16"/>
          <w:lang w:val="sk-SK"/>
        </w:rPr>
        <w:t>Zdroj: RO, ITMS</w:t>
      </w:r>
    </w:p>
    <w:tbl>
      <w:tblPr>
        <w:tblW w:w="9229" w:type="dxa"/>
        <w:tblInd w:w="55" w:type="dxa"/>
        <w:tblCellMar>
          <w:left w:w="70" w:type="dxa"/>
          <w:right w:w="70" w:type="dxa"/>
        </w:tblCellMar>
        <w:tblLook w:val="04A0" w:firstRow="1" w:lastRow="0" w:firstColumn="1" w:lastColumn="0" w:noHBand="0" w:noVBand="1"/>
      </w:tblPr>
      <w:tblGrid>
        <w:gridCol w:w="9229"/>
      </w:tblGrid>
      <w:tr w:rsidR="002416B1" w:rsidRPr="00E21C60" w14:paraId="0947CD2E" w14:textId="77777777" w:rsidTr="00FA2DAA">
        <w:trPr>
          <w:trHeight w:val="270"/>
        </w:trPr>
        <w:tc>
          <w:tcPr>
            <w:tcW w:w="9229" w:type="dxa"/>
            <w:noWrap/>
            <w:vAlign w:val="bottom"/>
          </w:tcPr>
          <w:p w14:paraId="0AD7864C" w14:textId="77777777" w:rsidR="002416B1" w:rsidRPr="00E21C60" w:rsidRDefault="002416B1">
            <w:pPr>
              <w:rPr>
                <w:rFonts w:ascii="Arial" w:hAnsi="Arial" w:cs="Arial"/>
                <w:i/>
                <w:iCs/>
                <w:sz w:val="18"/>
                <w:szCs w:val="18"/>
              </w:rPr>
            </w:pPr>
            <w:r w:rsidRPr="002526CC">
              <w:rPr>
                <w:rFonts w:ascii="Arial" w:hAnsi="Arial" w:cs="Arial"/>
                <w:b/>
                <w:bCs/>
                <w:i/>
                <w:iCs/>
                <w:sz w:val="18"/>
                <w:szCs w:val="18"/>
                <w:vertAlign w:val="superscript"/>
              </w:rPr>
              <w:t>1</w:t>
            </w:r>
            <w:r w:rsidRPr="002526CC">
              <w:rPr>
                <w:rFonts w:ascii="Arial" w:hAnsi="Arial" w:cs="Arial"/>
                <w:i/>
                <w:iCs/>
                <w:sz w:val="18"/>
                <w:szCs w:val="18"/>
                <w:vertAlign w:val="superscript"/>
              </w:rPr>
              <w:t xml:space="preserve"> </w:t>
            </w:r>
            <w:r w:rsidRPr="00E21C60">
              <w:rPr>
                <w:rFonts w:ascii="Arial" w:hAnsi="Arial" w:cs="Arial"/>
                <w:i/>
                <w:sz w:val="16"/>
                <w:szCs w:val="16"/>
              </w:rPr>
              <w:t>Objem čerpaných prostriedkov NFP</w:t>
            </w:r>
          </w:p>
        </w:tc>
      </w:tr>
      <w:tr w:rsidR="00AD6BDE" w:rsidRPr="00E21C60" w14:paraId="1ACE3557" w14:textId="77777777" w:rsidTr="00AD6BDE">
        <w:trPr>
          <w:trHeight w:val="270"/>
        </w:trPr>
        <w:tc>
          <w:tcPr>
            <w:tcW w:w="9229" w:type="dxa"/>
            <w:noWrap/>
            <w:vAlign w:val="bottom"/>
          </w:tcPr>
          <w:p w14:paraId="229720B3" w14:textId="38B5A2A2" w:rsidR="00AD6BDE" w:rsidRPr="00E21C60" w:rsidRDefault="00AD6BDE" w:rsidP="00BF3C39">
            <w:pPr>
              <w:spacing w:after="120"/>
              <w:rPr>
                <w:rFonts w:ascii="Arial" w:eastAsia="Calibri" w:hAnsi="Arial" w:cs="Arial"/>
                <w:b/>
                <w:bCs/>
                <w:i/>
                <w:iCs/>
                <w:spacing w:val="-5"/>
                <w:sz w:val="18"/>
                <w:szCs w:val="18"/>
                <w:vertAlign w:val="superscript"/>
                <w:lang w:val="en-GB"/>
              </w:rPr>
            </w:pPr>
            <w:r w:rsidRPr="002526CC">
              <w:rPr>
                <w:rFonts w:ascii="Arial" w:hAnsi="Arial" w:cs="Arial"/>
                <w:i/>
                <w:sz w:val="16"/>
                <w:szCs w:val="16"/>
              </w:rPr>
              <w:t>Údaje o zazmluvnených projektoch zahŕňajú projekty, ktoré mali k 31.</w:t>
            </w:r>
            <w:r w:rsidRPr="00E21C60">
              <w:rPr>
                <w:rFonts w:ascii="Arial" w:hAnsi="Arial" w:cs="Arial"/>
                <w:i/>
                <w:sz w:val="16"/>
                <w:szCs w:val="16"/>
              </w:rPr>
              <w:t>1</w:t>
            </w:r>
            <w:r w:rsidR="00BF3C39">
              <w:rPr>
                <w:rFonts w:ascii="Arial" w:hAnsi="Arial" w:cs="Arial"/>
                <w:i/>
                <w:sz w:val="16"/>
                <w:szCs w:val="16"/>
              </w:rPr>
              <w:t>0</w:t>
            </w:r>
            <w:r w:rsidRPr="00E21C60">
              <w:rPr>
                <w:rFonts w:ascii="Arial" w:hAnsi="Arial" w:cs="Arial"/>
                <w:i/>
                <w:sz w:val="16"/>
                <w:szCs w:val="16"/>
              </w:rPr>
              <w:t>.</w:t>
            </w:r>
            <w:r w:rsidR="00AD3723" w:rsidRPr="00E21C60">
              <w:rPr>
                <w:rFonts w:ascii="Arial" w:hAnsi="Arial" w:cs="Arial"/>
                <w:i/>
                <w:sz w:val="16"/>
                <w:szCs w:val="16"/>
              </w:rPr>
              <w:t>201</w:t>
            </w:r>
            <w:r w:rsidR="00BF3C39">
              <w:rPr>
                <w:rFonts w:ascii="Arial" w:hAnsi="Arial" w:cs="Arial"/>
                <w:i/>
                <w:sz w:val="16"/>
                <w:szCs w:val="16"/>
              </w:rPr>
              <w:t>6</w:t>
            </w:r>
            <w:r w:rsidR="00AD3723" w:rsidRPr="00E21C60">
              <w:rPr>
                <w:rFonts w:ascii="Arial" w:hAnsi="Arial" w:cs="Arial"/>
                <w:i/>
                <w:sz w:val="16"/>
                <w:szCs w:val="16"/>
              </w:rPr>
              <w:t xml:space="preserve"> </w:t>
            </w:r>
            <w:r w:rsidRPr="00E21C60">
              <w:rPr>
                <w:rFonts w:ascii="Arial" w:hAnsi="Arial" w:cs="Arial"/>
                <w:i/>
                <w:sz w:val="16"/>
                <w:szCs w:val="16"/>
              </w:rPr>
              <w:t>účinnú zmluvu o poskytnutí NFP a boli v realizácii alebo riadne ukončené. Údaje nezahŕňajú mimoriadne ukončené projekty.</w:t>
            </w:r>
          </w:p>
        </w:tc>
      </w:tr>
    </w:tbl>
    <w:p w14:paraId="07DB788F" w14:textId="575B36DC" w:rsidR="00FB6D6F" w:rsidRPr="00495C74" w:rsidRDefault="00FB6D6F" w:rsidP="00FB6D6F">
      <w:pPr>
        <w:spacing w:before="120" w:after="120"/>
        <w:jc w:val="both"/>
        <w:rPr>
          <w:rFonts w:ascii="Arial" w:hAnsi="Arial" w:cs="Arial"/>
          <w:sz w:val="20"/>
          <w:szCs w:val="20"/>
        </w:rPr>
      </w:pPr>
      <w:r w:rsidRPr="001A6CAA">
        <w:rPr>
          <w:rFonts w:ascii="Arial" w:hAnsi="Arial" w:cs="Arial"/>
          <w:sz w:val="20"/>
          <w:szCs w:val="20"/>
        </w:rPr>
        <w:t xml:space="preserve">Zoznam schválených projektov s objemom zazmluvnených prostriedkov k 31.12.2015 je zverejnený na webovom sídle </w:t>
      </w:r>
      <w:hyperlink r:id="rId23" w:history="1">
        <w:r w:rsidRPr="0093280D">
          <w:rPr>
            <w:rStyle w:val="Hypertextovprepojenie"/>
            <w:rFonts w:ascii="Arial" w:hAnsi="Arial" w:cs="Arial"/>
            <w:sz w:val="20"/>
            <w:szCs w:val="20"/>
          </w:rPr>
          <w:t>www.opzp.sk</w:t>
        </w:r>
      </w:hyperlink>
      <w:r w:rsidRPr="001A6CAA">
        <w:rPr>
          <w:rFonts w:ascii="Arial" w:hAnsi="Arial" w:cs="Arial"/>
          <w:sz w:val="20"/>
          <w:szCs w:val="20"/>
        </w:rPr>
        <w:t xml:space="preserve"> v časti Hlavná stránka &gt; Projekty &gt; Zoznamy OPŽP &gt; Zoznam prijímateľov z OPŽP. Zoznam schválených projektov s uvedením stavu k 31.</w:t>
      </w:r>
      <w:r w:rsidR="00473D0F">
        <w:rPr>
          <w:rFonts w:ascii="Arial" w:hAnsi="Arial" w:cs="Arial"/>
          <w:sz w:val="20"/>
          <w:szCs w:val="20"/>
        </w:rPr>
        <w:t>10</w:t>
      </w:r>
      <w:r w:rsidRPr="001A6CAA">
        <w:rPr>
          <w:rFonts w:ascii="Arial" w:hAnsi="Arial" w:cs="Arial"/>
          <w:sz w:val="20"/>
          <w:szCs w:val="20"/>
        </w:rPr>
        <w:t>.201</w:t>
      </w:r>
      <w:r w:rsidR="00473D0F">
        <w:rPr>
          <w:rFonts w:ascii="Arial" w:hAnsi="Arial" w:cs="Arial"/>
          <w:sz w:val="20"/>
          <w:szCs w:val="20"/>
        </w:rPr>
        <w:t>6</w:t>
      </w:r>
      <w:r w:rsidRPr="001A6CAA">
        <w:rPr>
          <w:rFonts w:ascii="Arial" w:hAnsi="Arial" w:cs="Arial"/>
          <w:sz w:val="20"/>
          <w:szCs w:val="20"/>
        </w:rPr>
        <w:t xml:space="preserve"> je súčasťou Prílohy č. 9.</w:t>
      </w:r>
      <w:r w:rsidRPr="00495C74">
        <w:rPr>
          <w:rFonts w:ascii="Arial" w:hAnsi="Arial" w:cs="Arial"/>
          <w:sz w:val="20"/>
          <w:szCs w:val="20"/>
        </w:rPr>
        <w:t xml:space="preserve"> </w:t>
      </w:r>
    </w:p>
    <w:p w14:paraId="3D2917F2" w14:textId="77777777" w:rsidR="002416B1" w:rsidRPr="0020746A" w:rsidRDefault="002416B1" w:rsidP="00123376">
      <w:pPr>
        <w:pStyle w:val="Zkladntextb"/>
        <w:spacing w:before="240" w:after="120" w:line="240" w:lineRule="auto"/>
        <w:ind w:left="0"/>
        <w:rPr>
          <w:rFonts w:cs="Arial"/>
          <w:b/>
          <w:lang w:val="sk-SK"/>
        </w:rPr>
      </w:pPr>
      <w:r w:rsidRPr="008E1ACB">
        <w:rPr>
          <w:rFonts w:cs="Arial"/>
          <w:b/>
          <w:lang w:val="sk-SK"/>
        </w:rPr>
        <w:lastRenderedPageBreak/>
        <w:t>Plnenie fyzických ukazovateľov</w:t>
      </w:r>
    </w:p>
    <w:p w14:paraId="05855B8D" w14:textId="18CA42E6" w:rsidR="006A2BEF" w:rsidRPr="00EC6B78" w:rsidRDefault="006A2BEF" w:rsidP="006A2BEF">
      <w:pPr>
        <w:pStyle w:val="Zkladntextb"/>
        <w:spacing w:before="120" w:after="120" w:line="240" w:lineRule="auto"/>
        <w:ind w:left="0"/>
        <w:jc w:val="both"/>
        <w:rPr>
          <w:rFonts w:cs="Arial"/>
          <w:bCs/>
          <w:lang w:val="sk-SK"/>
        </w:rPr>
      </w:pPr>
      <w:bookmarkStart w:id="71" w:name="OLE_LINK43"/>
      <w:bookmarkStart w:id="72" w:name="OLE_LINK44"/>
      <w:r w:rsidRPr="00EC6B78">
        <w:rPr>
          <w:rFonts w:cs="Arial"/>
          <w:bCs/>
          <w:lang w:val="sk-SK"/>
        </w:rPr>
        <w:t xml:space="preserve">Plnenie ukazovateľov v rámci prioritnej osi </w:t>
      </w:r>
      <w:r w:rsidR="007A4F31">
        <w:rPr>
          <w:rFonts w:cs="Arial"/>
          <w:bCs/>
          <w:lang w:val="sk-SK"/>
        </w:rPr>
        <w:t>2</w:t>
      </w:r>
      <w:r w:rsidR="007A4F31" w:rsidRPr="00EC6B78">
        <w:rPr>
          <w:rFonts w:cs="Arial"/>
          <w:bCs/>
          <w:lang w:val="sk-SK"/>
        </w:rPr>
        <w:t xml:space="preserve"> </w:t>
      </w:r>
      <w:r w:rsidRPr="00EC6B78">
        <w:rPr>
          <w:rFonts w:cs="Arial"/>
          <w:bCs/>
          <w:lang w:val="sk-SK"/>
        </w:rPr>
        <w:t xml:space="preserve">je uvedené v Prílohe č. 2, ktorá </w:t>
      </w:r>
      <w:r w:rsidR="007A4F31">
        <w:rPr>
          <w:rFonts w:cs="Arial"/>
          <w:bCs/>
          <w:lang w:val="sk-SK"/>
        </w:rPr>
        <w:t>je doplnená</w:t>
      </w:r>
      <w:r w:rsidRPr="00EC6B78">
        <w:rPr>
          <w:rFonts w:cs="Arial"/>
          <w:bCs/>
          <w:lang w:val="sk-SK"/>
        </w:rPr>
        <w:t xml:space="preserve"> </w:t>
      </w:r>
      <w:r w:rsidR="007A4F31">
        <w:rPr>
          <w:rFonts w:cs="Arial"/>
          <w:bCs/>
          <w:lang w:val="sk-SK"/>
        </w:rPr>
        <w:t>aj</w:t>
      </w:r>
      <w:r w:rsidRPr="00EC6B78">
        <w:rPr>
          <w:rFonts w:cs="Arial"/>
          <w:bCs/>
          <w:lang w:val="sk-SK"/>
        </w:rPr>
        <w:t xml:space="preserve"> o deklarované cieľové hodnoty projektov v zmysle uzatvorených zmlúv o NFP. Zoznam CORE ukazovateľov reportovaných EK prostredníctvom SFC2007 v rámci </w:t>
      </w:r>
      <w:r w:rsidR="00BF3C39">
        <w:rPr>
          <w:rFonts w:cs="Arial"/>
          <w:bCs/>
          <w:lang w:val="sk-SK"/>
        </w:rPr>
        <w:t>Záverečnej</w:t>
      </w:r>
      <w:r w:rsidRPr="00EC6B78">
        <w:rPr>
          <w:rFonts w:cs="Arial"/>
          <w:bCs/>
          <w:lang w:val="sk-SK"/>
        </w:rPr>
        <w:t xml:space="preserve"> správy o vykonávaní OP ŽP je súčasťou Prílohy č. 11.</w:t>
      </w:r>
    </w:p>
    <w:p w14:paraId="072CEE2F" w14:textId="7B7105F1" w:rsidR="007A4F31" w:rsidRDefault="007A4F31" w:rsidP="00123376">
      <w:pPr>
        <w:pStyle w:val="Zkladntextb"/>
        <w:spacing w:before="120" w:after="120" w:line="240" w:lineRule="auto"/>
        <w:ind w:left="0"/>
        <w:jc w:val="both"/>
        <w:rPr>
          <w:rFonts w:cs="Arial"/>
          <w:lang w:val="sk-SK"/>
        </w:rPr>
      </w:pPr>
      <w:r>
        <w:rPr>
          <w:rFonts w:cs="Arial"/>
          <w:bCs/>
          <w:lang w:val="sk-SK"/>
        </w:rPr>
        <w:t xml:space="preserve">Napĺňanie hodnôt ukazovateľov je závislé od typu monitorovaného ukazovateľa. V prípade ukazovateľov typu výsledok je príslušný ukazovateľ naplnený už po samotnej realizácii projektu v prípade ukazovateľov typu dopad, je ich napĺňanie vykazované až z následných monitorovacích správ rok po finančnom ukončení realizácie projektu. </w:t>
      </w:r>
    </w:p>
    <w:p w14:paraId="6C887FCB" w14:textId="1FAFC5E7" w:rsidR="002416B1" w:rsidRPr="00D641FF" w:rsidRDefault="002416B1" w:rsidP="00123376">
      <w:pPr>
        <w:pStyle w:val="Zkladntextb"/>
        <w:spacing w:before="120" w:after="120" w:line="240" w:lineRule="auto"/>
        <w:ind w:left="0"/>
        <w:jc w:val="both"/>
        <w:rPr>
          <w:rFonts w:cs="Arial"/>
          <w:lang w:val="sk-SK"/>
        </w:rPr>
      </w:pPr>
      <w:r w:rsidRPr="007C1B24">
        <w:rPr>
          <w:rFonts w:cs="Arial"/>
          <w:lang w:val="sk-SK"/>
        </w:rPr>
        <w:t xml:space="preserve">Za sledované obdobie </w:t>
      </w:r>
      <w:r w:rsidR="00E5419F" w:rsidRPr="00D17D7E">
        <w:rPr>
          <w:rFonts w:cs="Arial"/>
          <w:lang w:val="sk-SK"/>
        </w:rPr>
        <w:t>RO</w:t>
      </w:r>
      <w:r w:rsidRPr="007E7A87">
        <w:rPr>
          <w:rFonts w:cs="Arial"/>
          <w:lang w:val="sk-SK"/>
        </w:rPr>
        <w:t xml:space="preserve"> obdržal od prijímateľov </w:t>
      </w:r>
      <w:r w:rsidR="00EF63AC">
        <w:rPr>
          <w:rFonts w:cs="Arial"/>
          <w:lang w:val="sk-SK"/>
        </w:rPr>
        <w:t>706</w:t>
      </w:r>
      <w:r w:rsidR="00A577A0" w:rsidRPr="00F261B4">
        <w:rPr>
          <w:rFonts w:cs="Arial"/>
          <w:lang w:val="sk-SK"/>
        </w:rPr>
        <w:t xml:space="preserve"> </w:t>
      </w:r>
      <w:r w:rsidR="0060235A" w:rsidRPr="00F261B4">
        <w:rPr>
          <w:rFonts w:cs="Arial"/>
          <w:lang w:val="sk-SK"/>
        </w:rPr>
        <w:t xml:space="preserve">monitorovacích správ projektu, z toho </w:t>
      </w:r>
      <w:r w:rsidR="00A577A0">
        <w:rPr>
          <w:rFonts w:cs="Arial"/>
          <w:lang w:val="sk-SK"/>
        </w:rPr>
        <w:t>386</w:t>
      </w:r>
      <w:r w:rsidR="00A577A0" w:rsidRPr="00F261B4">
        <w:rPr>
          <w:rFonts w:cs="Arial"/>
          <w:lang w:val="sk-SK"/>
        </w:rPr>
        <w:t xml:space="preserve"> </w:t>
      </w:r>
      <w:r w:rsidR="0060235A" w:rsidRPr="00F261B4">
        <w:rPr>
          <w:rFonts w:cs="Arial"/>
          <w:lang w:val="sk-SK"/>
        </w:rPr>
        <w:t>priebežných, 126 záverečných a </w:t>
      </w:r>
      <w:r w:rsidR="00A577A0" w:rsidRPr="00F261B4">
        <w:rPr>
          <w:rFonts w:cs="Arial"/>
          <w:lang w:val="sk-SK"/>
        </w:rPr>
        <w:t>1</w:t>
      </w:r>
      <w:r w:rsidR="00A577A0">
        <w:rPr>
          <w:rFonts w:cs="Arial"/>
          <w:lang w:val="sk-SK"/>
        </w:rPr>
        <w:t>9</w:t>
      </w:r>
      <w:r w:rsidR="00EF63AC">
        <w:rPr>
          <w:rFonts w:cs="Arial"/>
          <w:lang w:val="sk-SK"/>
        </w:rPr>
        <w:t>4</w:t>
      </w:r>
      <w:r w:rsidR="00A577A0" w:rsidRPr="00F261B4">
        <w:rPr>
          <w:rFonts w:cs="Arial"/>
          <w:lang w:val="sk-SK"/>
        </w:rPr>
        <w:t xml:space="preserve"> </w:t>
      </w:r>
      <w:r w:rsidR="0060235A" w:rsidRPr="00F261B4">
        <w:rPr>
          <w:rFonts w:cs="Arial"/>
          <w:lang w:val="sk-SK"/>
        </w:rPr>
        <w:t>následnýc</w:t>
      </w:r>
      <w:r w:rsidR="00711036">
        <w:rPr>
          <w:rFonts w:cs="Arial"/>
          <w:lang w:val="sk-SK"/>
        </w:rPr>
        <w:t>h</w:t>
      </w:r>
      <w:r w:rsidRPr="007E7A87">
        <w:rPr>
          <w:rFonts w:cs="Arial"/>
          <w:lang w:val="sk-SK"/>
        </w:rPr>
        <w:t>. Na základe týchto správ bolo vyhodnotené plnenie ukazovateľov</w:t>
      </w:r>
      <w:r w:rsidR="007A4CFA" w:rsidRPr="007E7A87">
        <w:rPr>
          <w:rFonts w:cs="Arial"/>
          <w:lang w:val="sk-SK"/>
        </w:rPr>
        <w:t>:</w:t>
      </w:r>
      <w:r w:rsidR="007A4CFA">
        <w:rPr>
          <w:rFonts w:cs="Arial"/>
          <w:lang w:val="sk-SK"/>
        </w:rPr>
        <w:t xml:space="preserve"> </w:t>
      </w:r>
      <w:bookmarkEnd w:id="71"/>
      <w:bookmarkEnd w:id="72"/>
      <w:r w:rsidRPr="00D641FF">
        <w:rPr>
          <w:rFonts w:cs="Arial"/>
          <w:lang w:val="sk-SK"/>
        </w:rPr>
        <w:t>Počet opatrení zameraných na ochranu pred povodňami predstavuje k 31.</w:t>
      </w:r>
      <w:r w:rsidR="000B4942" w:rsidRPr="00D641FF">
        <w:rPr>
          <w:rFonts w:cs="Arial"/>
          <w:lang w:val="sk-SK"/>
        </w:rPr>
        <w:t>1</w:t>
      </w:r>
      <w:r w:rsidR="000B4942">
        <w:rPr>
          <w:rFonts w:cs="Arial"/>
          <w:lang w:val="sk-SK"/>
        </w:rPr>
        <w:t>0</w:t>
      </w:r>
      <w:r w:rsidRPr="00D641FF">
        <w:rPr>
          <w:rFonts w:cs="Arial"/>
          <w:lang w:val="sk-SK"/>
        </w:rPr>
        <w:t>.</w:t>
      </w:r>
      <w:r w:rsidR="000B4942" w:rsidRPr="00D641FF">
        <w:rPr>
          <w:rFonts w:cs="Arial"/>
          <w:lang w:val="sk-SK"/>
        </w:rPr>
        <w:t>201</w:t>
      </w:r>
      <w:r w:rsidR="000B4942">
        <w:rPr>
          <w:rFonts w:cs="Arial"/>
          <w:lang w:val="sk-SK"/>
        </w:rPr>
        <w:t>6</w:t>
      </w:r>
      <w:r w:rsidR="000B4942" w:rsidRPr="00D641FF">
        <w:rPr>
          <w:rFonts w:cs="Arial"/>
          <w:lang w:val="sk-SK"/>
        </w:rPr>
        <w:t xml:space="preserve"> </w:t>
      </w:r>
      <w:r w:rsidRPr="00D641FF">
        <w:rPr>
          <w:rFonts w:cs="Arial"/>
          <w:lang w:val="sk-SK"/>
        </w:rPr>
        <w:t xml:space="preserve">hodnotu </w:t>
      </w:r>
      <w:r w:rsidR="000B4942">
        <w:rPr>
          <w:rFonts w:cs="Arial"/>
          <w:lang w:val="sk-SK"/>
        </w:rPr>
        <w:t>143</w:t>
      </w:r>
      <w:r w:rsidRPr="002526CC">
        <w:rPr>
          <w:rFonts w:cs="Arial"/>
          <w:lang w:val="sk-SK"/>
        </w:rPr>
        <w:t xml:space="preserve">, čo je </w:t>
      </w:r>
      <w:r w:rsidR="000B4942">
        <w:rPr>
          <w:rFonts w:cs="Arial"/>
          <w:lang w:val="sk-SK"/>
        </w:rPr>
        <w:t>11</w:t>
      </w:r>
      <w:r w:rsidR="000D757A">
        <w:rPr>
          <w:rFonts w:cs="Arial"/>
          <w:lang w:val="sk-SK"/>
        </w:rPr>
        <w:t>4</w:t>
      </w:r>
      <w:r w:rsidR="000D757A" w:rsidRPr="0020746A">
        <w:rPr>
          <w:rFonts w:cs="Arial"/>
          <w:lang w:val="sk-SK"/>
        </w:rPr>
        <w:t xml:space="preserve"> </w:t>
      </w:r>
      <w:r w:rsidRPr="00D641FF">
        <w:rPr>
          <w:rFonts w:cs="Arial"/>
          <w:lang w:val="sk-SK"/>
        </w:rPr>
        <w:t xml:space="preserve">% z plánovaného výsledku </w:t>
      </w:r>
      <w:r w:rsidR="00D250A5" w:rsidRPr="00D641FF">
        <w:rPr>
          <w:rFonts w:cs="Arial"/>
          <w:lang w:val="sk-SK"/>
        </w:rPr>
        <w:t>podľa OP</w:t>
      </w:r>
      <w:r w:rsidRPr="00D641FF">
        <w:rPr>
          <w:rFonts w:cs="Arial"/>
          <w:lang w:val="sk-SK"/>
        </w:rPr>
        <w:t xml:space="preserve"> a Plocha územia so zabezpečenou protipovodňovou ochranou predstavuje </w:t>
      </w:r>
      <w:r w:rsidR="000B4942">
        <w:rPr>
          <w:rFonts w:cs="Arial"/>
          <w:lang w:val="sk-SK"/>
        </w:rPr>
        <w:t>568,29</w:t>
      </w:r>
      <w:r w:rsidR="000B4942" w:rsidRPr="00D641FF">
        <w:rPr>
          <w:rFonts w:cs="Arial"/>
          <w:lang w:val="sk-SK"/>
        </w:rPr>
        <w:t xml:space="preserve"> </w:t>
      </w:r>
      <w:r w:rsidRPr="00D641FF">
        <w:rPr>
          <w:rFonts w:cs="Arial"/>
          <w:lang w:val="sk-SK"/>
        </w:rPr>
        <w:t>km</w:t>
      </w:r>
      <w:r w:rsidRPr="00D641FF">
        <w:rPr>
          <w:rFonts w:cs="Arial"/>
          <w:vertAlign w:val="superscript"/>
          <w:lang w:val="sk-SK"/>
        </w:rPr>
        <w:t>2</w:t>
      </w:r>
      <w:r w:rsidRPr="00D641FF">
        <w:rPr>
          <w:rFonts w:cs="Arial"/>
          <w:lang w:val="sk-SK"/>
        </w:rPr>
        <w:t xml:space="preserve">. </w:t>
      </w:r>
    </w:p>
    <w:p w14:paraId="4B9B89A1" w14:textId="7245033D" w:rsidR="002416B1" w:rsidRPr="00D641FF" w:rsidRDefault="008F2A89" w:rsidP="00123376">
      <w:pPr>
        <w:pStyle w:val="Zkladntextb"/>
        <w:spacing w:before="120" w:after="120" w:line="240" w:lineRule="auto"/>
        <w:ind w:left="0"/>
        <w:jc w:val="both"/>
        <w:rPr>
          <w:rFonts w:cs="Arial"/>
          <w:lang w:val="sk-SK"/>
        </w:rPr>
      </w:pPr>
      <w:r w:rsidRPr="00D641FF">
        <w:rPr>
          <w:rFonts w:cs="Arial"/>
          <w:lang w:val="sk-SK"/>
        </w:rPr>
        <w:t>CORE</w:t>
      </w:r>
      <w:r w:rsidR="002416B1" w:rsidRPr="00D641FF">
        <w:rPr>
          <w:rFonts w:cs="Arial"/>
          <w:lang w:val="sk-SK"/>
        </w:rPr>
        <w:t xml:space="preserve"> ukazovateľ Počet proje</w:t>
      </w:r>
      <w:r w:rsidR="003B0A3D">
        <w:rPr>
          <w:rFonts w:cs="Arial"/>
          <w:lang w:val="sk-SK"/>
        </w:rPr>
        <w:t>ktov na prevenciu rizík dosiahol</w:t>
      </w:r>
      <w:r w:rsidR="002416B1" w:rsidRPr="00D641FF">
        <w:rPr>
          <w:rFonts w:cs="Arial"/>
          <w:lang w:val="sk-SK"/>
        </w:rPr>
        <w:t xml:space="preserve"> hodnotu </w:t>
      </w:r>
      <w:r w:rsidR="00901ABE">
        <w:rPr>
          <w:rFonts w:cs="Arial"/>
          <w:lang w:val="sk-SK"/>
        </w:rPr>
        <w:t>126</w:t>
      </w:r>
      <w:r w:rsidR="002416B1" w:rsidRPr="00D641FF">
        <w:rPr>
          <w:rFonts w:cs="Arial"/>
          <w:lang w:val="sk-SK"/>
        </w:rPr>
        <w:t>, t.</w:t>
      </w:r>
      <w:r w:rsidR="002038BF" w:rsidRPr="00D641FF">
        <w:rPr>
          <w:rFonts w:cs="Arial"/>
          <w:lang w:val="sk-SK"/>
        </w:rPr>
        <w:t xml:space="preserve"> </w:t>
      </w:r>
      <w:r w:rsidR="002416B1" w:rsidRPr="00D641FF">
        <w:rPr>
          <w:rFonts w:cs="Arial"/>
          <w:lang w:val="sk-SK"/>
        </w:rPr>
        <w:t xml:space="preserve">j. </w:t>
      </w:r>
      <w:r w:rsidR="00901ABE" w:rsidRPr="00D641FF">
        <w:rPr>
          <w:rFonts w:cs="Arial"/>
          <w:lang w:val="sk-SK"/>
        </w:rPr>
        <w:t>2</w:t>
      </w:r>
      <w:r w:rsidR="00901ABE">
        <w:rPr>
          <w:rFonts w:cs="Arial"/>
          <w:lang w:val="sk-SK"/>
        </w:rPr>
        <w:t>63</w:t>
      </w:r>
      <w:r w:rsidR="00901ABE" w:rsidRPr="00D641FF">
        <w:rPr>
          <w:rFonts w:cs="Arial"/>
          <w:lang w:val="sk-SK"/>
        </w:rPr>
        <w:t xml:space="preserve"> </w:t>
      </w:r>
      <w:r w:rsidR="002416B1" w:rsidRPr="00D641FF">
        <w:rPr>
          <w:rFonts w:cs="Arial"/>
          <w:lang w:val="sk-SK"/>
        </w:rPr>
        <w:t>% z plánovanej cieľovej hodnoty ku koncu programového obdobia.</w:t>
      </w:r>
    </w:p>
    <w:p w14:paraId="28FBBB22" w14:textId="0FFABF28" w:rsidR="002416B1" w:rsidRPr="00D641FF" w:rsidRDefault="008F2A89" w:rsidP="00123376">
      <w:pPr>
        <w:pStyle w:val="Zkladntextb"/>
        <w:spacing w:before="120" w:after="120" w:line="240" w:lineRule="auto"/>
        <w:ind w:left="0"/>
        <w:jc w:val="both"/>
        <w:rPr>
          <w:rFonts w:cs="Arial"/>
          <w:lang w:val="sk-SK"/>
        </w:rPr>
      </w:pPr>
      <w:r w:rsidRPr="00D641FF">
        <w:rPr>
          <w:rFonts w:cs="Arial"/>
          <w:lang w:val="sk-SK"/>
        </w:rPr>
        <w:t>CORE</w:t>
      </w:r>
      <w:r w:rsidR="002416B1" w:rsidRPr="00D641FF">
        <w:rPr>
          <w:rFonts w:cs="Arial"/>
          <w:lang w:val="sk-SK"/>
        </w:rPr>
        <w:t xml:space="preserve"> ukazovateľ Počet novovytvorených pracovných miest </w:t>
      </w:r>
      <w:r w:rsidR="00D250A5" w:rsidRPr="00D641FF">
        <w:rPr>
          <w:rFonts w:cs="Arial"/>
          <w:lang w:val="sk-SK"/>
        </w:rPr>
        <w:t xml:space="preserve">vykazuje </w:t>
      </w:r>
      <w:r w:rsidR="002416B1" w:rsidRPr="00D641FF">
        <w:rPr>
          <w:rFonts w:cs="Arial"/>
          <w:lang w:val="sk-SK"/>
        </w:rPr>
        <w:t>k 31.</w:t>
      </w:r>
      <w:r w:rsidR="00901ABE" w:rsidRPr="00D641FF">
        <w:rPr>
          <w:rFonts w:cs="Arial"/>
          <w:lang w:val="sk-SK"/>
        </w:rPr>
        <w:t>1</w:t>
      </w:r>
      <w:r w:rsidR="00901ABE">
        <w:rPr>
          <w:rFonts w:cs="Arial"/>
          <w:lang w:val="sk-SK"/>
        </w:rPr>
        <w:t>0</w:t>
      </w:r>
      <w:r w:rsidR="002416B1" w:rsidRPr="00D641FF">
        <w:rPr>
          <w:rFonts w:cs="Arial"/>
          <w:lang w:val="sk-SK"/>
        </w:rPr>
        <w:t>.</w:t>
      </w:r>
      <w:r w:rsidR="00901ABE" w:rsidRPr="00D641FF">
        <w:rPr>
          <w:rFonts w:cs="Arial"/>
          <w:lang w:val="sk-SK"/>
        </w:rPr>
        <w:t>201</w:t>
      </w:r>
      <w:r w:rsidR="00901ABE">
        <w:rPr>
          <w:rFonts w:cs="Arial"/>
          <w:lang w:val="sk-SK"/>
        </w:rPr>
        <w:t>6</w:t>
      </w:r>
      <w:r w:rsidR="00901ABE" w:rsidRPr="00D641FF">
        <w:rPr>
          <w:rFonts w:cs="Arial"/>
          <w:lang w:val="sk-SK"/>
        </w:rPr>
        <w:t xml:space="preserve"> </w:t>
      </w:r>
      <w:r w:rsidR="002416B1" w:rsidRPr="00D641FF">
        <w:rPr>
          <w:rFonts w:cs="Arial"/>
          <w:lang w:val="sk-SK"/>
        </w:rPr>
        <w:t xml:space="preserve">hodnotu </w:t>
      </w:r>
      <w:r w:rsidR="00901ABE">
        <w:rPr>
          <w:rFonts w:cs="Arial"/>
          <w:lang w:val="sk-SK"/>
        </w:rPr>
        <w:t>4</w:t>
      </w:r>
      <w:r w:rsidR="002416B1" w:rsidRPr="00D641FF">
        <w:rPr>
          <w:rFonts w:cs="Arial"/>
          <w:lang w:val="sk-SK"/>
        </w:rPr>
        <w:t xml:space="preserve">, deklarovaná hodnota zazmluvnených projektov prioritnej osi predstavuje počet </w:t>
      </w:r>
      <w:r w:rsidR="00901ABE">
        <w:rPr>
          <w:rFonts w:cs="Arial"/>
          <w:lang w:val="sk-SK"/>
        </w:rPr>
        <w:t>27</w:t>
      </w:r>
      <w:r w:rsidR="002416B1" w:rsidRPr="00D641FF">
        <w:rPr>
          <w:rFonts w:cs="Arial"/>
          <w:lang w:val="sk-SK"/>
        </w:rPr>
        <w:t>.</w:t>
      </w:r>
      <w:r w:rsidR="00874579" w:rsidRPr="00D641FF">
        <w:rPr>
          <w:rFonts w:cs="Arial"/>
          <w:lang w:val="sk-SK"/>
        </w:rPr>
        <w:t xml:space="preserve"> Ku koncu sledovaného obdobia </w:t>
      </w:r>
      <w:r w:rsidR="00901ABE">
        <w:rPr>
          <w:rFonts w:cs="Arial"/>
          <w:lang w:val="sk-SK"/>
        </w:rPr>
        <w:t>bolo</w:t>
      </w:r>
      <w:r w:rsidR="00874579" w:rsidRPr="00D641FF">
        <w:rPr>
          <w:rFonts w:cs="Arial"/>
          <w:lang w:val="sk-SK"/>
        </w:rPr>
        <w:t xml:space="preserve"> realizáciou projektov </w:t>
      </w:r>
      <w:r w:rsidR="00901ABE">
        <w:rPr>
          <w:rFonts w:cs="Arial"/>
          <w:lang w:val="sk-SK"/>
        </w:rPr>
        <w:t xml:space="preserve">34 601 </w:t>
      </w:r>
      <w:r w:rsidR="00874579" w:rsidRPr="00D641FF">
        <w:rPr>
          <w:rFonts w:cs="Arial"/>
          <w:lang w:val="sk-SK"/>
        </w:rPr>
        <w:t>osôb chránených pred povodňami</w:t>
      </w:r>
      <w:r w:rsidR="003E0394">
        <w:rPr>
          <w:rFonts w:cs="Arial"/>
          <w:lang w:val="sk-SK"/>
        </w:rPr>
        <w:t>.</w:t>
      </w:r>
      <w:r w:rsidR="00874579" w:rsidRPr="00D641FF">
        <w:rPr>
          <w:rFonts w:cs="Arial"/>
          <w:lang w:val="sk-SK"/>
        </w:rPr>
        <w:t xml:space="preserve"> </w:t>
      </w:r>
      <w:r w:rsidR="00901ABE">
        <w:rPr>
          <w:rFonts w:cs="Arial"/>
          <w:lang w:val="sk-SK"/>
        </w:rPr>
        <w:t>N</w:t>
      </w:r>
      <w:r w:rsidR="00412B91">
        <w:rPr>
          <w:rFonts w:cs="Arial"/>
          <w:lang w:val="sk-SK"/>
        </w:rPr>
        <w:t xml:space="preserve">a základe </w:t>
      </w:r>
      <w:r w:rsidR="00874579" w:rsidRPr="00D641FF">
        <w:rPr>
          <w:rFonts w:cs="Arial"/>
          <w:lang w:val="sk-SK"/>
        </w:rPr>
        <w:t>zazmluvnen</w:t>
      </w:r>
      <w:r w:rsidR="00412B91">
        <w:rPr>
          <w:rFonts w:cs="Arial"/>
          <w:lang w:val="sk-SK"/>
        </w:rPr>
        <w:t>ých</w:t>
      </w:r>
      <w:r w:rsidR="00874579" w:rsidRPr="00D641FF">
        <w:rPr>
          <w:rFonts w:cs="Arial"/>
          <w:lang w:val="sk-SK"/>
        </w:rPr>
        <w:t xml:space="preserve"> projekt</w:t>
      </w:r>
      <w:r w:rsidR="00412B91">
        <w:rPr>
          <w:rFonts w:cs="Arial"/>
          <w:lang w:val="sk-SK"/>
        </w:rPr>
        <w:t xml:space="preserve">ov </w:t>
      </w:r>
      <w:r w:rsidR="00B12468">
        <w:rPr>
          <w:rFonts w:cs="Arial"/>
          <w:lang w:val="sk-SK"/>
        </w:rPr>
        <w:t>sa</w:t>
      </w:r>
      <w:r w:rsidR="00874579" w:rsidRPr="00D641FF">
        <w:rPr>
          <w:rFonts w:cs="Arial"/>
          <w:lang w:val="sk-SK"/>
        </w:rPr>
        <w:t xml:space="preserve"> </w:t>
      </w:r>
      <w:r w:rsidR="00412B91">
        <w:rPr>
          <w:rFonts w:cs="Arial"/>
          <w:lang w:val="sk-SK"/>
        </w:rPr>
        <w:t>predpoklad</w:t>
      </w:r>
      <w:r w:rsidR="00B12468">
        <w:rPr>
          <w:rFonts w:cs="Arial"/>
          <w:lang w:val="sk-SK"/>
        </w:rPr>
        <w:t>á dosiahnutie</w:t>
      </w:r>
      <w:r w:rsidR="00874579" w:rsidRPr="00D641FF">
        <w:rPr>
          <w:rFonts w:cs="Arial"/>
          <w:lang w:val="sk-SK"/>
        </w:rPr>
        <w:t xml:space="preserve"> hodnot</w:t>
      </w:r>
      <w:r w:rsidR="00412B91">
        <w:rPr>
          <w:rFonts w:cs="Arial"/>
          <w:lang w:val="sk-SK"/>
        </w:rPr>
        <w:t>y</w:t>
      </w:r>
      <w:r w:rsidR="00874579" w:rsidRPr="00D641FF">
        <w:rPr>
          <w:rFonts w:cs="Arial"/>
          <w:lang w:val="sk-SK"/>
        </w:rPr>
        <w:t xml:space="preserve"> </w:t>
      </w:r>
      <w:r w:rsidR="00901ABE">
        <w:rPr>
          <w:rFonts w:cs="Arial"/>
          <w:lang w:val="sk-SK"/>
        </w:rPr>
        <w:t>224 646</w:t>
      </w:r>
      <w:r w:rsidR="00901ABE" w:rsidRPr="00D641FF">
        <w:rPr>
          <w:rFonts w:cs="Arial"/>
          <w:lang w:val="sk-SK"/>
        </w:rPr>
        <w:t xml:space="preserve"> </w:t>
      </w:r>
      <w:r w:rsidR="000B59F8" w:rsidRPr="00D641FF">
        <w:rPr>
          <w:rFonts w:cs="Arial"/>
          <w:lang w:val="sk-SK"/>
        </w:rPr>
        <w:t>osôb chránených pred povodňami</w:t>
      </w:r>
      <w:r w:rsidR="00874579" w:rsidRPr="00D641FF">
        <w:rPr>
          <w:rFonts w:cs="Arial"/>
          <w:lang w:val="sk-SK"/>
        </w:rPr>
        <w:t xml:space="preserve">. </w:t>
      </w:r>
    </w:p>
    <w:p w14:paraId="24039FF4" w14:textId="77777777" w:rsidR="002416B1" w:rsidRPr="00E21C60" w:rsidRDefault="002416B1" w:rsidP="00123376">
      <w:pPr>
        <w:pStyle w:val="Nadpis8"/>
        <w:spacing w:after="120"/>
        <w:rPr>
          <w:rFonts w:ascii="Arial" w:hAnsi="Arial" w:cs="Arial"/>
          <w:b/>
          <w:sz w:val="22"/>
          <w:szCs w:val="22"/>
        </w:rPr>
      </w:pPr>
      <w:r w:rsidRPr="00E21C60">
        <w:rPr>
          <w:rFonts w:ascii="Arial" w:hAnsi="Arial" w:cs="Arial"/>
          <w:b/>
          <w:sz w:val="22"/>
          <w:szCs w:val="22"/>
        </w:rPr>
        <w:t>3.2.1.2 Finančná implementácia v rámci prioritnej osi 2</w:t>
      </w:r>
    </w:p>
    <w:p w14:paraId="3A1C0CE3" w14:textId="2B2E378F" w:rsidR="002416B1" w:rsidRPr="00D641FF" w:rsidRDefault="002416B1" w:rsidP="00123376">
      <w:pPr>
        <w:pStyle w:val="Zkladntextb"/>
        <w:spacing w:before="120" w:after="120" w:line="240" w:lineRule="auto"/>
        <w:ind w:left="0"/>
        <w:jc w:val="both"/>
        <w:rPr>
          <w:rFonts w:cs="Arial"/>
          <w:lang w:val="sk-SK"/>
        </w:rPr>
      </w:pPr>
      <w:bookmarkStart w:id="73" w:name="OLE_LINK11"/>
      <w:bookmarkStart w:id="74" w:name="OLE_LINK12"/>
      <w:r w:rsidRPr="008E1ACB">
        <w:rPr>
          <w:rFonts w:cs="Arial"/>
          <w:lang w:val="sk-SK"/>
        </w:rPr>
        <w:t>K 31.</w:t>
      </w:r>
      <w:r w:rsidR="006161E9">
        <w:rPr>
          <w:rFonts w:cs="Arial"/>
          <w:lang w:val="sk-SK"/>
        </w:rPr>
        <w:t xml:space="preserve"> 10</w:t>
      </w:r>
      <w:r w:rsidRPr="008E1ACB">
        <w:rPr>
          <w:rFonts w:cs="Arial"/>
          <w:lang w:val="sk-SK"/>
        </w:rPr>
        <w:t>.</w:t>
      </w:r>
      <w:r w:rsidR="006161E9">
        <w:rPr>
          <w:rFonts w:cs="Arial"/>
          <w:lang w:val="sk-SK"/>
        </w:rPr>
        <w:t xml:space="preserve"> </w:t>
      </w:r>
      <w:r w:rsidR="00A51A7A" w:rsidRPr="00D641FF">
        <w:rPr>
          <w:rFonts w:cs="Arial"/>
          <w:lang w:val="sk-SK"/>
        </w:rPr>
        <w:t>201</w:t>
      </w:r>
      <w:r w:rsidR="00D22CD9">
        <w:rPr>
          <w:rFonts w:cs="Arial"/>
          <w:lang w:val="sk-SK"/>
        </w:rPr>
        <w:t>6</w:t>
      </w:r>
      <w:r w:rsidR="00A51A7A" w:rsidRPr="00D641FF">
        <w:rPr>
          <w:rFonts w:cs="Arial"/>
          <w:lang w:val="sk-SK"/>
        </w:rPr>
        <w:t xml:space="preserve"> </w:t>
      </w:r>
      <w:r w:rsidRPr="00D641FF">
        <w:rPr>
          <w:rFonts w:cs="Arial"/>
          <w:lang w:val="sk-SK"/>
        </w:rPr>
        <w:t xml:space="preserve">boli v rámci uvedenej prioritnej osi vyčerpané prostriedky z Kohézneho fondu vo výške </w:t>
      </w:r>
      <w:r w:rsidRPr="00AF5D50">
        <w:rPr>
          <w:rFonts w:cs="Arial"/>
          <w:lang w:val="sk-SK"/>
        </w:rPr>
        <w:t xml:space="preserve">vyše </w:t>
      </w:r>
      <w:r w:rsidR="00E53D7C">
        <w:rPr>
          <w:rFonts w:cs="Arial"/>
          <w:lang w:val="sk-SK"/>
        </w:rPr>
        <w:t>256</w:t>
      </w:r>
      <w:r w:rsidR="006161E9">
        <w:rPr>
          <w:rFonts w:cs="Arial"/>
          <w:lang w:val="sk-SK"/>
        </w:rPr>
        <w:t xml:space="preserve">,48 </w:t>
      </w:r>
      <w:r w:rsidRPr="00924A83">
        <w:rPr>
          <w:rFonts w:cs="Arial"/>
          <w:lang w:val="sk-SK"/>
        </w:rPr>
        <w:t xml:space="preserve">mil. </w:t>
      </w:r>
      <w:r w:rsidR="00C52C28">
        <w:rPr>
          <w:rFonts w:cs="Arial"/>
          <w:lang w:val="sk-SK"/>
        </w:rPr>
        <w:t>€</w:t>
      </w:r>
      <w:r w:rsidRPr="00924A83">
        <w:rPr>
          <w:rFonts w:cs="Arial"/>
          <w:lang w:val="sk-SK"/>
        </w:rPr>
        <w:t xml:space="preserve">, čo predstavuje </w:t>
      </w:r>
      <w:r w:rsidR="00E53D7C">
        <w:rPr>
          <w:rFonts w:cs="Arial"/>
          <w:lang w:val="sk-SK"/>
        </w:rPr>
        <w:t>98,36</w:t>
      </w:r>
      <w:r w:rsidR="0038225A" w:rsidRPr="00924A83">
        <w:rPr>
          <w:rFonts w:cs="Arial"/>
          <w:lang w:val="sk-SK"/>
        </w:rPr>
        <w:t xml:space="preserve"> </w:t>
      </w:r>
      <w:r w:rsidRPr="00924A83">
        <w:rPr>
          <w:rFonts w:cs="Arial"/>
          <w:lang w:val="sk-SK"/>
        </w:rPr>
        <w:t>%</w:t>
      </w:r>
      <w:r w:rsidRPr="00D641FF">
        <w:rPr>
          <w:rFonts w:cs="Arial"/>
          <w:lang w:val="sk-SK"/>
        </w:rPr>
        <w:t xml:space="preserve"> z celkového záväzku na prioritnú os 2. </w:t>
      </w:r>
    </w:p>
    <w:p w14:paraId="6127319C" w14:textId="7B0C2AD1" w:rsidR="002416B1" w:rsidRPr="00A51A7A" w:rsidRDefault="002416B1">
      <w:pPr>
        <w:jc w:val="both"/>
        <w:rPr>
          <w:rFonts w:ascii="Arial" w:hAnsi="Arial" w:cs="Arial"/>
          <w:highlight w:val="yellow"/>
        </w:rPr>
      </w:pPr>
      <w:r w:rsidRPr="00E21C60">
        <w:rPr>
          <w:rFonts w:ascii="Arial" w:hAnsi="Arial" w:cs="Arial"/>
          <w:sz w:val="20"/>
          <w:szCs w:val="20"/>
        </w:rPr>
        <w:t>Tab</w:t>
      </w:r>
      <w:r w:rsidR="008D7059" w:rsidRPr="00E21C60">
        <w:rPr>
          <w:rFonts w:ascii="Arial" w:hAnsi="Arial" w:cs="Arial"/>
          <w:sz w:val="20"/>
          <w:szCs w:val="20"/>
        </w:rPr>
        <w:t>uľka</w:t>
      </w:r>
      <w:r w:rsidRPr="00E21C60">
        <w:rPr>
          <w:rFonts w:ascii="Arial" w:hAnsi="Arial" w:cs="Arial"/>
          <w:sz w:val="20"/>
          <w:szCs w:val="20"/>
        </w:rPr>
        <w:t xml:space="preserve"> č. </w:t>
      </w:r>
      <w:r w:rsidR="00012152" w:rsidRPr="002526CC">
        <w:rPr>
          <w:rFonts w:ascii="Arial" w:hAnsi="Arial" w:cs="Arial"/>
          <w:sz w:val="20"/>
          <w:szCs w:val="20"/>
        </w:rPr>
        <w:t>4</w:t>
      </w:r>
      <w:r w:rsidR="007B1CB9">
        <w:rPr>
          <w:rFonts w:ascii="Arial" w:hAnsi="Arial" w:cs="Arial"/>
          <w:sz w:val="20"/>
          <w:szCs w:val="20"/>
        </w:rPr>
        <w:t>7</w:t>
      </w:r>
      <w:r w:rsidRPr="00415CF7">
        <w:rPr>
          <w:rFonts w:ascii="Arial" w:hAnsi="Arial" w:cs="Arial"/>
          <w:sz w:val="20"/>
          <w:szCs w:val="20"/>
        </w:rPr>
        <w:t xml:space="preserve">: Čerpanie prostriedkov </w:t>
      </w:r>
      <w:r w:rsidR="008D7059" w:rsidRPr="00415CF7">
        <w:rPr>
          <w:rFonts w:ascii="Arial" w:hAnsi="Arial" w:cs="Arial"/>
          <w:sz w:val="20"/>
          <w:szCs w:val="20"/>
        </w:rPr>
        <w:t xml:space="preserve">prioritnej </w:t>
      </w:r>
      <w:r w:rsidRPr="00415CF7">
        <w:rPr>
          <w:rFonts w:ascii="Arial" w:hAnsi="Arial" w:cs="Arial"/>
          <w:sz w:val="20"/>
          <w:szCs w:val="20"/>
        </w:rPr>
        <w:t xml:space="preserve">osi 2 </w:t>
      </w:r>
      <w:r w:rsidR="006C1CFE" w:rsidRPr="00415CF7">
        <w:rPr>
          <w:rFonts w:ascii="Arial" w:hAnsi="Arial" w:cs="Arial"/>
          <w:sz w:val="20"/>
          <w:szCs w:val="20"/>
        </w:rPr>
        <w:t xml:space="preserve">k </w:t>
      </w:r>
      <w:r w:rsidRPr="009F7CC0">
        <w:rPr>
          <w:rFonts w:ascii="Arial" w:hAnsi="Arial" w:cs="Arial"/>
          <w:sz w:val="20"/>
          <w:szCs w:val="20"/>
        </w:rPr>
        <w:t>31.</w:t>
      </w:r>
      <w:r w:rsidR="006161E9">
        <w:rPr>
          <w:rFonts w:ascii="Arial" w:hAnsi="Arial" w:cs="Arial"/>
          <w:sz w:val="20"/>
          <w:szCs w:val="20"/>
        </w:rPr>
        <w:t xml:space="preserve"> 10</w:t>
      </w:r>
      <w:r w:rsidRPr="009F7CC0">
        <w:rPr>
          <w:rFonts w:ascii="Arial" w:hAnsi="Arial" w:cs="Arial"/>
          <w:sz w:val="20"/>
          <w:szCs w:val="20"/>
        </w:rPr>
        <w:t>.</w:t>
      </w:r>
      <w:r w:rsidR="006161E9">
        <w:rPr>
          <w:rFonts w:ascii="Arial" w:hAnsi="Arial" w:cs="Arial"/>
          <w:sz w:val="20"/>
          <w:szCs w:val="20"/>
        </w:rPr>
        <w:t xml:space="preserve"> </w:t>
      </w:r>
      <w:r w:rsidR="008D7059" w:rsidRPr="009F7CC0">
        <w:rPr>
          <w:rFonts w:ascii="Arial" w:hAnsi="Arial" w:cs="Arial"/>
          <w:sz w:val="20"/>
          <w:szCs w:val="20"/>
        </w:rPr>
        <w:t>201</w:t>
      </w:r>
      <w:r w:rsidR="00A1235B" w:rsidRPr="009F7CC0">
        <w:rPr>
          <w:rFonts w:ascii="Arial" w:hAnsi="Arial" w:cs="Arial"/>
          <w:sz w:val="20"/>
          <w:szCs w:val="20"/>
        </w:rPr>
        <w:t>6</w:t>
      </w:r>
    </w:p>
    <w:tbl>
      <w:tblPr>
        <w:tblW w:w="8921" w:type="dxa"/>
        <w:jc w:val="center"/>
        <w:tblLayout w:type="fixed"/>
        <w:tblCellMar>
          <w:left w:w="70" w:type="dxa"/>
          <w:right w:w="70" w:type="dxa"/>
        </w:tblCellMar>
        <w:tblLook w:val="0000" w:firstRow="0" w:lastRow="0" w:firstColumn="0" w:lastColumn="0" w:noHBand="0" w:noVBand="0"/>
      </w:tblPr>
      <w:tblGrid>
        <w:gridCol w:w="2684"/>
        <w:gridCol w:w="3118"/>
        <w:gridCol w:w="1489"/>
        <w:gridCol w:w="1630"/>
      </w:tblGrid>
      <w:tr w:rsidR="00A1235B" w:rsidRPr="00E21C60" w14:paraId="35260819" w14:textId="77777777" w:rsidTr="007D7B08">
        <w:trPr>
          <w:trHeight w:val="585"/>
          <w:jc w:val="center"/>
        </w:trPr>
        <w:tc>
          <w:tcPr>
            <w:tcW w:w="2684"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bookmarkEnd w:id="73"/>
          <w:bookmarkEnd w:id="74"/>
          <w:p w14:paraId="37A72303" w14:textId="77777777" w:rsidR="00A1235B" w:rsidRPr="00123376" w:rsidRDefault="00A1235B">
            <w:pPr>
              <w:jc w:val="both"/>
              <w:rPr>
                <w:rFonts w:ascii="Arial" w:hAnsi="Arial" w:cs="Arial"/>
                <w:sz w:val="16"/>
                <w:szCs w:val="16"/>
              </w:rPr>
            </w:pPr>
            <w:r w:rsidRPr="00123376">
              <w:rPr>
                <w:rFonts w:ascii="Arial" w:hAnsi="Arial" w:cs="Arial"/>
                <w:sz w:val="16"/>
                <w:szCs w:val="16"/>
              </w:rPr>
              <w:t> </w:t>
            </w:r>
          </w:p>
        </w:tc>
        <w:tc>
          <w:tcPr>
            <w:tcW w:w="3118" w:type="dxa"/>
            <w:vMerge w:val="restart"/>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21F6EECD" w14:textId="77777777" w:rsidR="00A1235B" w:rsidRPr="00123376" w:rsidRDefault="00A1235B">
            <w:pPr>
              <w:autoSpaceDE w:val="0"/>
              <w:autoSpaceDN w:val="0"/>
              <w:spacing w:before="240" w:after="60"/>
              <w:jc w:val="center"/>
              <w:outlineLvl w:val="7"/>
              <w:rPr>
                <w:rFonts w:ascii="Arial" w:hAnsi="Arial" w:cs="Arial"/>
                <w:sz w:val="16"/>
                <w:szCs w:val="16"/>
              </w:rPr>
            </w:pPr>
            <w:r w:rsidRPr="00123376">
              <w:rPr>
                <w:rFonts w:ascii="Arial" w:eastAsia="EUAlbertina-Regular-Identity-H" w:hAnsi="Arial" w:cs="Arial"/>
                <w:sz w:val="16"/>
                <w:szCs w:val="16"/>
              </w:rPr>
              <w:t xml:space="preserve">Záväzok </w:t>
            </w:r>
            <w:r w:rsidRPr="00123376">
              <w:rPr>
                <w:rFonts w:ascii="Arial" w:eastAsia="EUAlbertina-Regular-Identity-H" w:hAnsi="Arial" w:cs="Arial"/>
                <w:sz w:val="16"/>
                <w:szCs w:val="16"/>
              </w:rPr>
              <w:br/>
              <w:t>2007</w:t>
            </w:r>
            <w:r w:rsidRPr="002526CC">
              <w:rPr>
                <w:rFonts w:ascii="Arial" w:eastAsia="EUAlbertina-Regular-Identity-H" w:hAnsi="Arial" w:cs="Arial"/>
                <w:sz w:val="16"/>
                <w:szCs w:val="16"/>
              </w:rPr>
              <w:t xml:space="preserve"> </w:t>
            </w:r>
            <w:r w:rsidRPr="00123376">
              <w:rPr>
                <w:rFonts w:ascii="Arial" w:eastAsia="EUAlbertina-Regular-Identity-H" w:hAnsi="Arial" w:cs="Arial"/>
                <w:sz w:val="16"/>
                <w:szCs w:val="16"/>
              </w:rPr>
              <w:t>-</w:t>
            </w:r>
            <w:r w:rsidRPr="002526CC">
              <w:rPr>
                <w:rFonts w:ascii="Arial" w:eastAsia="EUAlbertina-Regular-Identity-H" w:hAnsi="Arial" w:cs="Arial"/>
                <w:sz w:val="16"/>
                <w:szCs w:val="16"/>
              </w:rPr>
              <w:t xml:space="preserve"> </w:t>
            </w:r>
            <w:r w:rsidRPr="00123376">
              <w:rPr>
                <w:rFonts w:ascii="Arial" w:eastAsia="EUAlbertina-Regular-Identity-H" w:hAnsi="Arial" w:cs="Arial"/>
                <w:sz w:val="16"/>
                <w:szCs w:val="16"/>
              </w:rPr>
              <w:t>2013</w:t>
            </w:r>
            <w:r w:rsidRPr="00123376">
              <w:rPr>
                <w:rFonts w:ascii="Arial" w:eastAsia="EUAlbertina-Regular-Identity-H" w:hAnsi="Arial" w:cs="Arial"/>
                <w:sz w:val="16"/>
                <w:szCs w:val="16"/>
              </w:rPr>
              <w:br/>
              <w:t xml:space="preserve"> za EÚ zdroje</w:t>
            </w:r>
            <w:r w:rsidRPr="00123376">
              <w:rPr>
                <w:rFonts w:ascii="Arial" w:eastAsia="EUAlbertina-Regular-Identity-H" w:hAnsi="Arial" w:cs="Arial"/>
                <w:sz w:val="16"/>
                <w:szCs w:val="16"/>
              </w:rPr>
              <w:br/>
            </w:r>
            <w:r w:rsidRPr="00123376">
              <w:rPr>
                <w:rFonts w:ascii="Arial" w:hAnsi="Arial" w:cs="Arial"/>
                <w:sz w:val="16"/>
                <w:szCs w:val="16"/>
              </w:rPr>
              <w:t>v €</w:t>
            </w:r>
          </w:p>
        </w:tc>
        <w:tc>
          <w:tcPr>
            <w:tcW w:w="3119" w:type="dxa"/>
            <w:gridSpan w:val="2"/>
            <w:tcBorders>
              <w:top w:val="single" w:sz="8" w:space="0" w:color="auto"/>
              <w:left w:val="nil"/>
              <w:bottom w:val="single" w:sz="4" w:space="0" w:color="auto"/>
              <w:right w:val="single" w:sz="8" w:space="0" w:color="000000"/>
            </w:tcBorders>
            <w:shd w:val="clear" w:color="auto" w:fill="C2D69B" w:themeFill="accent3" w:themeFillTint="99"/>
            <w:vAlign w:val="center"/>
          </w:tcPr>
          <w:p w14:paraId="3E2BE612" w14:textId="77777777" w:rsidR="00A1235B" w:rsidRPr="00123376" w:rsidRDefault="00A1235B">
            <w:pPr>
              <w:autoSpaceDE w:val="0"/>
              <w:autoSpaceDN w:val="0"/>
              <w:spacing w:before="240" w:after="60"/>
              <w:jc w:val="center"/>
              <w:outlineLvl w:val="7"/>
              <w:rPr>
                <w:rFonts w:ascii="Arial" w:hAnsi="Arial" w:cs="Arial"/>
                <w:sz w:val="16"/>
                <w:szCs w:val="16"/>
              </w:rPr>
            </w:pPr>
            <w:r w:rsidRPr="00123376">
              <w:rPr>
                <w:rFonts w:ascii="Arial" w:hAnsi="Arial" w:cs="Arial"/>
                <w:sz w:val="16"/>
                <w:szCs w:val="16"/>
              </w:rPr>
              <w:t xml:space="preserve">Čerpanie prostriedkov kumulatívne </w:t>
            </w:r>
            <w:r w:rsidRPr="00123376">
              <w:rPr>
                <w:rFonts w:ascii="Arial" w:hAnsi="Arial" w:cs="Arial"/>
                <w:sz w:val="16"/>
                <w:szCs w:val="16"/>
              </w:rPr>
              <w:br/>
              <w:t>(EU zdroje) v €</w:t>
            </w:r>
          </w:p>
        </w:tc>
      </w:tr>
      <w:tr w:rsidR="00A1235B" w:rsidRPr="00E21C60" w14:paraId="17CF010B" w14:textId="77777777" w:rsidTr="007D7B08">
        <w:trPr>
          <w:trHeight w:val="480"/>
          <w:jc w:val="center"/>
        </w:trPr>
        <w:tc>
          <w:tcPr>
            <w:tcW w:w="2684" w:type="dxa"/>
            <w:vMerge/>
            <w:tcBorders>
              <w:top w:val="single" w:sz="8" w:space="0" w:color="auto"/>
              <w:left w:val="single" w:sz="8" w:space="0" w:color="auto"/>
              <w:bottom w:val="single" w:sz="4" w:space="0" w:color="auto"/>
              <w:right w:val="single" w:sz="4" w:space="0" w:color="auto"/>
            </w:tcBorders>
            <w:shd w:val="clear" w:color="auto" w:fill="auto"/>
            <w:vAlign w:val="center"/>
          </w:tcPr>
          <w:p w14:paraId="0F116C78" w14:textId="77777777" w:rsidR="00A1235B" w:rsidRPr="00123376" w:rsidRDefault="00A1235B">
            <w:pPr>
              <w:jc w:val="both"/>
              <w:rPr>
                <w:rFonts w:ascii="Arial" w:hAnsi="Arial" w:cs="Arial"/>
                <w:sz w:val="16"/>
                <w:szCs w:val="16"/>
              </w:rPr>
            </w:pPr>
          </w:p>
        </w:tc>
        <w:tc>
          <w:tcPr>
            <w:tcW w:w="3118" w:type="dxa"/>
            <w:vMerge/>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2A7AF2B7" w14:textId="77777777" w:rsidR="00A1235B" w:rsidRPr="00123376" w:rsidRDefault="00A1235B">
            <w:pPr>
              <w:jc w:val="center"/>
              <w:rPr>
                <w:rFonts w:ascii="Arial" w:hAnsi="Arial" w:cs="Arial"/>
                <w:sz w:val="16"/>
                <w:szCs w:val="16"/>
              </w:rPr>
            </w:pPr>
          </w:p>
        </w:tc>
        <w:tc>
          <w:tcPr>
            <w:tcW w:w="1489" w:type="dxa"/>
            <w:tcBorders>
              <w:top w:val="nil"/>
              <w:left w:val="nil"/>
              <w:bottom w:val="single" w:sz="4" w:space="0" w:color="auto"/>
              <w:right w:val="single" w:sz="4" w:space="0" w:color="auto"/>
            </w:tcBorders>
            <w:shd w:val="clear" w:color="auto" w:fill="C2D69B" w:themeFill="accent3" w:themeFillTint="99"/>
            <w:noWrap/>
            <w:vAlign w:val="center"/>
          </w:tcPr>
          <w:p w14:paraId="02984609" w14:textId="77777777" w:rsidR="00A1235B" w:rsidRPr="00123376" w:rsidRDefault="00A1235B">
            <w:pPr>
              <w:jc w:val="center"/>
              <w:rPr>
                <w:rFonts w:ascii="Arial" w:hAnsi="Arial" w:cs="Arial"/>
                <w:sz w:val="16"/>
                <w:szCs w:val="16"/>
              </w:rPr>
            </w:pPr>
            <w:r w:rsidRPr="00123376">
              <w:rPr>
                <w:rFonts w:ascii="Arial" w:hAnsi="Arial" w:cs="Arial"/>
                <w:sz w:val="16"/>
                <w:szCs w:val="16"/>
              </w:rPr>
              <w:t>Celkom</w:t>
            </w:r>
          </w:p>
        </w:tc>
        <w:tc>
          <w:tcPr>
            <w:tcW w:w="1630" w:type="dxa"/>
            <w:tcBorders>
              <w:top w:val="nil"/>
              <w:left w:val="nil"/>
              <w:bottom w:val="single" w:sz="4" w:space="0" w:color="auto"/>
              <w:right w:val="single" w:sz="8" w:space="0" w:color="auto"/>
            </w:tcBorders>
            <w:shd w:val="clear" w:color="auto" w:fill="C2D69B" w:themeFill="accent3" w:themeFillTint="99"/>
            <w:vAlign w:val="center"/>
          </w:tcPr>
          <w:p w14:paraId="26C37521" w14:textId="77777777" w:rsidR="00A1235B" w:rsidRPr="00123376" w:rsidRDefault="00A1235B">
            <w:pPr>
              <w:autoSpaceDE w:val="0"/>
              <w:autoSpaceDN w:val="0"/>
              <w:spacing w:before="240" w:after="60"/>
              <w:jc w:val="center"/>
              <w:outlineLvl w:val="7"/>
              <w:rPr>
                <w:rFonts w:ascii="Arial" w:hAnsi="Arial" w:cs="Arial"/>
                <w:sz w:val="16"/>
                <w:szCs w:val="16"/>
              </w:rPr>
            </w:pPr>
            <w:r w:rsidRPr="00123376">
              <w:rPr>
                <w:rFonts w:ascii="Arial" w:hAnsi="Arial" w:cs="Arial"/>
                <w:sz w:val="16"/>
                <w:szCs w:val="16"/>
              </w:rPr>
              <w:t>% zo záväzku</w:t>
            </w:r>
          </w:p>
          <w:p w14:paraId="33712CC3" w14:textId="77777777" w:rsidR="00A1235B" w:rsidRPr="00123376" w:rsidRDefault="00A1235B">
            <w:pPr>
              <w:jc w:val="center"/>
              <w:rPr>
                <w:rFonts w:ascii="Arial" w:hAnsi="Arial" w:cs="Arial"/>
                <w:sz w:val="16"/>
                <w:szCs w:val="16"/>
              </w:rPr>
            </w:pPr>
            <w:r w:rsidRPr="00123376">
              <w:rPr>
                <w:rFonts w:ascii="Arial" w:hAnsi="Arial" w:cs="Arial"/>
                <w:sz w:val="16"/>
                <w:szCs w:val="16"/>
              </w:rPr>
              <w:t>2007 - 2013</w:t>
            </w:r>
          </w:p>
        </w:tc>
      </w:tr>
      <w:tr w:rsidR="00A1235B" w:rsidRPr="00E21C60" w14:paraId="6E7CCED3" w14:textId="77777777" w:rsidTr="00A1235B">
        <w:trPr>
          <w:trHeight w:val="255"/>
          <w:jc w:val="center"/>
        </w:trPr>
        <w:tc>
          <w:tcPr>
            <w:tcW w:w="2684"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B67D26B" w14:textId="77777777" w:rsidR="00A1235B" w:rsidRPr="00123376" w:rsidRDefault="00A1235B">
            <w:pPr>
              <w:autoSpaceDE w:val="0"/>
              <w:autoSpaceDN w:val="0"/>
              <w:spacing w:before="240" w:after="60"/>
              <w:jc w:val="center"/>
              <w:outlineLvl w:val="7"/>
              <w:rPr>
                <w:rFonts w:ascii="Arial" w:hAnsi="Arial" w:cs="Arial"/>
                <w:sz w:val="16"/>
                <w:szCs w:val="16"/>
              </w:rPr>
            </w:pPr>
            <w:r w:rsidRPr="00123376">
              <w:rPr>
                <w:rFonts w:ascii="Arial" w:hAnsi="Arial" w:cs="Arial"/>
                <w:sz w:val="16"/>
                <w:szCs w:val="16"/>
              </w:rPr>
              <w:t>Prioritná os 2</w:t>
            </w:r>
          </w:p>
        </w:tc>
        <w:tc>
          <w:tcPr>
            <w:tcW w:w="3118" w:type="dxa"/>
            <w:tcBorders>
              <w:top w:val="nil"/>
              <w:left w:val="nil"/>
              <w:bottom w:val="single" w:sz="4" w:space="0" w:color="auto"/>
              <w:right w:val="single" w:sz="4" w:space="0" w:color="auto"/>
            </w:tcBorders>
            <w:shd w:val="clear" w:color="auto" w:fill="auto"/>
            <w:noWrap/>
            <w:vAlign w:val="center"/>
          </w:tcPr>
          <w:p w14:paraId="59004164" w14:textId="2297092C" w:rsidR="00A1235B" w:rsidRPr="00123376" w:rsidRDefault="00A1235B">
            <w:pPr>
              <w:jc w:val="center"/>
              <w:rPr>
                <w:rFonts w:ascii="Arial" w:hAnsi="Arial" w:cs="Arial"/>
                <w:sz w:val="16"/>
                <w:szCs w:val="16"/>
              </w:rPr>
            </w:pPr>
            <w:r>
              <w:rPr>
                <w:rFonts w:ascii="Arial" w:hAnsi="Arial" w:cs="Arial"/>
                <w:sz w:val="16"/>
                <w:szCs w:val="16"/>
              </w:rPr>
              <w:t>260 770 100,00</w:t>
            </w:r>
          </w:p>
        </w:tc>
        <w:tc>
          <w:tcPr>
            <w:tcW w:w="1489" w:type="dxa"/>
            <w:tcBorders>
              <w:top w:val="nil"/>
              <w:left w:val="nil"/>
              <w:bottom w:val="single" w:sz="4" w:space="0" w:color="auto"/>
              <w:right w:val="single" w:sz="4" w:space="0" w:color="auto"/>
            </w:tcBorders>
            <w:shd w:val="clear" w:color="auto" w:fill="auto"/>
            <w:noWrap/>
            <w:vAlign w:val="center"/>
          </w:tcPr>
          <w:p w14:paraId="14AB2D29" w14:textId="1AF07DDC" w:rsidR="00A1235B" w:rsidRPr="00AF5D50" w:rsidRDefault="006161E9">
            <w:pPr>
              <w:jc w:val="center"/>
              <w:rPr>
                <w:rFonts w:ascii="Arial" w:hAnsi="Arial" w:cs="Arial"/>
                <w:sz w:val="16"/>
                <w:szCs w:val="16"/>
              </w:rPr>
            </w:pPr>
            <w:r>
              <w:rPr>
                <w:rFonts w:ascii="Arial" w:hAnsi="Arial" w:cs="Arial"/>
                <w:color w:val="000000"/>
                <w:sz w:val="16"/>
                <w:szCs w:val="16"/>
              </w:rPr>
              <w:t>256 482 397,85</w:t>
            </w:r>
          </w:p>
        </w:tc>
        <w:tc>
          <w:tcPr>
            <w:tcW w:w="1630" w:type="dxa"/>
            <w:tcBorders>
              <w:top w:val="nil"/>
              <w:left w:val="nil"/>
              <w:bottom w:val="single" w:sz="4" w:space="0" w:color="auto"/>
              <w:right w:val="single" w:sz="8" w:space="0" w:color="auto"/>
            </w:tcBorders>
            <w:shd w:val="clear" w:color="auto" w:fill="auto"/>
            <w:noWrap/>
            <w:vAlign w:val="center"/>
          </w:tcPr>
          <w:p w14:paraId="05F04B13" w14:textId="1132864D" w:rsidR="00A1235B" w:rsidRPr="00AF5D50" w:rsidRDefault="00E53D7C">
            <w:pPr>
              <w:jc w:val="center"/>
              <w:rPr>
                <w:rFonts w:ascii="Arial" w:hAnsi="Arial" w:cs="Arial"/>
                <w:sz w:val="16"/>
                <w:szCs w:val="16"/>
              </w:rPr>
            </w:pPr>
            <w:r>
              <w:rPr>
                <w:rFonts w:ascii="Arial" w:hAnsi="Arial" w:cs="Arial"/>
                <w:color w:val="000000"/>
                <w:sz w:val="16"/>
                <w:szCs w:val="16"/>
              </w:rPr>
              <w:t>98,36</w:t>
            </w:r>
            <w:r w:rsidR="00A1235B">
              <w:rPr>
                <w:rFonts w:ascii="Arial" w:hAnsi="Arial" w:cs="Arial"/>
                <w:color w:val="000000"/>
                <w:sz w:val="16"/>
                <w:szCs w:val="16"/>
              </w:rPr>
              <w:t xml:space="preserve"> %</w:t>
            </w:r>
          </w:p>
        </w:tc>
      </w:tr>
    </w:tbl>
    <w:p w14:paraId="451753F6" w14:textId="77777777" w:rsidR="002416B1" w:rsidRPr="00123376" w:rsidRDefault="002416B1" w:rsidP="00123376">
      <w:pPr>
        <w:pStyle w:val="Zkladntextb"/>
        <w:spacing w:after="0" w:line="240" w:lineRule="auto"/>
        <w:ind w:left="0"/>
        <w:rPr>
          <w:rFonts w:cs="Arial"/>
          <w:sz w:val="16"/>
          <w:szCs w:val="16"/>
          <w:lang w:val="sk-SK"/>
        </w:rPr>
      </w:pPr>
      <w:r w:rsidRPr="00123376">
        <w:rPr>
          <w:rFonts w:cs="Arial"/>
          <w:sz w:val="16"/>
          <w:szCs w:val="16"/>
          <w:lang w:val="sk-SK"/>
        </w:rPr>
        <w:t>Zdroj: CO</w:t>
      </w:r>
    </w:p>
    <w:p w14:paraId="2AFCE002" w14:textId="77777777" w:rsidR="006C1CFE" w:rsidRPr="00123376" w:rsidRDefault="006C1CFE" w:rsidP="00123376">
      <w:pPr>
        <w:spacing w:after="120"/>
        <w:jc w:val="both"/>
        <w:rPr>
          <w:rFonts w:ascii="Arial" w:hAnsi="Arial" w:cs="Arial"/>
          <w:b/>
          <w:bCs/>
          <w:color w:val="000000"/>
          <w:sz w:val="16"/>
          <w:szCs w:val="16"/>
          <w:u w:val="single"/>
        </w:rPr>
      </w:pPr>
      <w:r w:rsidRPr="00123376">
        <w:rPr>
          <w:rFonts w:ascii="Arial" w:hAnsi="Arial" w:cs="Arial"/>
          <w:i/>
          <w:sz w:val="16"/>
          <w:szCs w:val="16"/>
        </w:rPr>
        <w:t xml:space="preserve">Pozn.: </w:t>
      </w:r>
      <w:r w:rsidRPr="00123376">
        <w:rPr>
          <w:rFonts w:ascii="Arial" w:hAnsi="Arial" w:cs="Arial"/>
          <w:bCs/>
          <w:i/>
          <w:sz w:val="16"/>
          <w:szCs w:val="16"/>
        </w:rPr>
        <w:t>prehľad výdavkov schválených CO znížených o nezrovnalosti</w:t>
      </w:r>
    </w:p>
    <w:p w14:paraId="3F6E544F" w14:textId="15C44247" w:rsidR="000308DA" w:rsidRDefault="00E417F2" w:rsidP="00123376">
      <w:pPr>
        <w:pStyle w:val="Zkladntextb"/>
        <w:spacing w:before="120" w:after="120" w:line="240" w:lineRule="auto"/>
        <w:ind w:left="0"/>
        <w:jc w:val="both"/>
        <w:rPr>
          <w:rFonts w:cs="Arial"/>
          <w:lang w:val="sk-SK"/>
        </w:rPr>
      </w:pPr>
      <w:r w:rsidRPr="00E417F2">
        <w:rPr>
          <w:rFonts w:cs="Arial"/>
          <w:lang w:val="sk-SK"/>
        </w:rPr>
        <w:t xml:space="preserve">Počas implementácie OP ŽP k 31.10.2016 došlo v rámci projektov prioritnej osi 2 k vráteniu finančných prostriedkov v 15 prípadoch. </w:t>
      </w:r>
    </w:p>
    <w:p w14:paraId="2B8D7F81" w14:textId="77777777" w:rsidR="002416B1" w:rsidRPr="00D641FF" w:rsidRDefault="002416B1" w:rsidP="00123376">
      <w:pPr>
        <w:pStyle w:val="Nadpis3"/>
        <w:spacing w:after="120"/>
        <w:jc w:val="both"/>
        <w:rPr>
          <w:rFonts w:cs="Arial"/>
        </w:rPr>
      </w:pPr>
      <w:bookmarkStart w:id="75" w:name="_Toc466914531"/>
      <w:r w:rsidRPr="008E1ACB">
        <w:rPr>
          <w:rFonts w:cs="Arial"/>
        </w:rPr>
        <w:t>3.2.2 Závažné problémy, ktoré sa vyskytli</w:t>
      </w:r>
      <w:r w:rsidR="00C560C2" w:rsidRPr="0020746A">
        <w:rPr>
          <w:rFonts w:cs="Arial"/>
        </w:rPr>
        <w:t>,</w:t>
      </w:r>
      <w:r w:rsidRPr="00D641FF">
        <w:rPr>
          <w:rFonts w:cs="Arial"/>
        </w:rPr>
        <w:t xml:space="preserve"> a opatrenia prijaté na ich </w:t>
      </w:r>
      <w:r w:rsidR="00C560C2" w:rsidRPr="00D641FF">
        <w:rPr>
          <w:rFonts w:cs="Arial"/>
        </w:rPr>
        <w:t>odstránenie</w:t>
      </w:r>
      <w:bookmarkEnd w:id="75"/>
    </w:p>
    <w:p w14:paraId="6E613BD2" w14:textId="77777777" w:rsidR="002416B1" w:rsidRPr="00E21C60" w:rsidRDefault="002416B1" w:rsidP="00123376">
      <w:pPr>
        <w:spacing w:before="240" w:after="120"/>
        <w:rPr>
          <w:rFonts w:ascii="Arial" w:hAnsi="Arial" w:cs="Arial"/>
          <w:sz w:val="20"/>
          <w:szCs w:val="20"/>
        </w:rPr>
      </w:pPr>
      <w:r w:rsidRPr="00E21C60">
        <w:rPr>
          <w:rFonts w:ascii="Arial" w:hAnsi="Arial" w:cs="Arial"/>
          <w:sz w:val="20"/>
          <w:szCs w:val="20"/>
        </w:rPr>
        <w:t xml:space="preserve">V súvislosti s implementáciou </w:t>
      </w:r>
      <w:r w:rsidR="002526CC">
        <w:rPr>
          <w:rFonts w:ascii="Arial" w:hAnsi="Arial" w:cs="Arial"/>
          <w:sz w:val="20"/>
          <w:szCs w:val="20"/>
        </w:rPr>
        <w:t>p</w:t>
      </w:r>
      <w:r w:rsidR="002526CC" w:rsidRPr="00E21C60">
        <w:rPr>
          <w:rFonts w:ascii="Arial" w:hAnsi="Arial" w:cs="Arial"/>
          <w:sz w:val="20"/>
          <w:szCs w:val="20"/>
        </w:rPr>
        <w:t xml:space="preserve">rioritnej </w:t>
      </w:r>
      <w:r w:rsidRPr="00E21C60">
        <w:rPr>
          <w:rFonts w:ascii="Arial" w:hAnsi="Arial" w:cs="Arial"/>
          <w:sz w:val="20"/>
          <w:szCs w:val="20"/>
        </w:rPr>
        <w:t>osi 2 neboli zaznamenané žiadne závažné problémy.</w:t>
      </w:r>
    </w:p>
    <w:p w14:paraId="2340DDD4" w14:textId="77777777" w:rsidR="0021640D" w:rsidRPr="00123376" w:rsidRDefault="0021640D" w:rsidP="00123376">
      <w:pPr>
        <w:spacing w:before="240" w:after="120"/>
        <w:rPr>
          <w:rFonts w:ascii="Arial" w:hAnsi="Arial" w:cs="Arial"/>
          <w:i/>
        </w:rPr>
      </w:pPr>
      <w:r w:rsidRPr="00123376">
        <w:rPr>
          <w:rFonts w:ascii="Arial" w:hAnsi="Arial" w:cs="Arial"/>
          <w:b/>
          <w:bCs/>
          <w:i/>
        </w:rPr>
        <w:t xml:space="preserve">Kvalitatívna analýza dosiahnutých výsledkov na úrovni prioritnej osi </w:t>
      </w:r>
      <w:r w:rsidR="008A5AC2" w:rsidRPr="00123376">
        <w:rPr>
          <w:rFonts w:ascii="Arial" w:hAnsi="Arial" w:cs="Arial"/>
          <w:b/>
          <w:bCs/>
          <w:i/>
        </w:rPr>
        <w:t>2</w:t>
      </w:r>
    </w:p>
    <w:p w14:paraId="0A8ACF48" w14:textId="0540C8F5" w:rsidR="00976894" w:rsidRDefault="00976894" w:rsidP="00123376">
      <w:pPr>
        <w:pStyle w:val="Zkladntextb"/>
        <w:spacing w:before="120" w:after="120" w:line="240" w:lineRule="auto"/>
        <w:ind w:left="0"/>
        <w:jc w:val="both"/>
        <w:rPr>
          <w:rFonts w:cs="Arial"/>
          <w:lang w:val="sk-SK"/>
        </w:rPr>
      </w:pPr>
      <w:r w:rsidRPr="008E1ACB">
        <w:rPr>
          <w:rFonts w:cs="Arial"/>
          <w:lang w:val="sk-SK"/>
        </w:rPr>
        <w:t>K 31.1</w:t>
      </w:r>
      <w:r w:rsidR="00D22CD9">
        <w:rPr>
          <w:rFonts w:cs="Arial"/>
          <w:lang w:val="sk-SK"/>
        </w:rPr>
        <w:t>0</w:t>
      </w:r>
      <w:r w:rsidRPr="008E1ACB">
        <w:rPr>
          <w:rFonts w:cs="Arial"/>
          <w:lang w:val="sk-SK"/>
        </w:rPr>
        <w:t>.</w:t>
      </w:r>
      <w:r w:rsidR="00875F96" w:rsidRPr="00D641FF">
        <w:rPr>
          <w:rFonts w:cs="Arial"/>
          <w:lang w:val="sk-SK"/>
        </w:rPr>
        <w:t>201</w:t>
      </w:r>
      <w:r w:rsidR="00D22CD9">
        <w:rPr>
          <w:rFonts w:cs="Arial"/>
          <w:lang w:val="sk-SK"/>
        </w:rPr>
        <w:t>6</w:t>
      </w:r>
      <w:r w:rsidR="00875F96" w:rsidRPr="00D641FF">
        <w:rPr>
          <w:rFonts w:cs="Arial"/>
          <w:lang w:val="sk-SK"/>
        </w:rPr>
        <w:t xml:space="preserve"> </w:t>
      </w:r>
      <w:r w:rsidRPr="00D641FF">
        <w:rPr>
          <w:rFonts w:cs="Arial"/>
          <w:lang w:val="sk-SK"/>
        </w:rPr>
        <w:t xml:space="preserve">dosiahla úroveň čerpania projektov v prioritnej osi 2 </w:t>
      </w:r>
      <w:r w:rsidRPr="0051381B">
        <w:rPr>
          <w:rFonts w:cs="Arial"/>
          <w:lang w:val="sk-SK"/>
        </w:rPr>
        <w:t xml:space="preserve">úroveň </w:t>
      </w:r>
      <w:r w:rsidR="00A15853">
        <w:rPr>
          <w:rFonts w:cs="Arial"/>
          <w:lang w:val="sk-SK"/>
        </w:rPr>
        <w:t>99</w:t>
      </w:r>
      <w:r w:rsidR="00112B88" w:rsidRPr="00F261B4">
        <w:rPr>
          <w:rFonts w:cs="Arial"/>
          <w:lang w:val="sk-SK"/>
        </w:rPr>
        <w:t>,</w:t>
      </w:r>
      <w:r w:rsidR="00A15853">
        <w:rPr>
          <w:rFonts w:cs="Arial"/>
          <w:lang w:val="sk-SK"/>
        </w:rPr>
        <w:t>14</w:t>
      </w:r>
      <w:r w:rsidR="00112B88">
        <w:rPr>
          <w:rFonts w:cs="Arial"/>
          <w:lang w:val="sk-SK"/>
        </w:rPr>
        <w:t>%.</w:t>
      </w:r>
    </w:p>
    <w:p w14:paraId="54443345" w14:textId="77777777" w:rsidR="00B3318E" w:rsidRDefault="00B3318E" w:rsidP="00123376">
      <w:pPr>
        <w:pStyle w:val="Zkladntextb"/>
        <w:spacing w:before="120" w:after="0" w:line="240" w:lineRule="auto"/>
        <w:ind w:left="0"/>
        <w:jc w:val="both"/>
        <w:rPr>
          <w:rFonts w:cs="Arial"/>
          <w:lang w:val="sk-SK"/>
        </w:rPr>
      </w:pPr>
    </w:p>
    <w:p w14:paraId="576FD2F4" w14:textId="77777777" w:rsidR="00B3318E" w:rsidRDefault="00B3318E" w:rsidP="00123376">
      <w:pPr>
        <w:pStyle w:val="Zkladntextb"/>
        <w:spacing w:before="120" w:after="0" w:line="240" w:lineRule="auto"/>
        <w:ind w:left="0"/>
        <w:jc w:val="both"/>
        <w:rPr>
          <w:rFonts w:cs="Arial"/>
          <w:lang w:val="sk-SK"/>
        </w:rPr>
      </w:pPr>
    </w:p>
    <w:p w14:paraId="77FCC243" w14:textId="77777777" w:rsidR="00B3318E" w:rsidRDefault="00B3318E" w:rsidP="00123376">
      <w:pPr>
        <w:pStyle w:val="Zkladntextb"/>
        <w:spacing w:before="120" w:after="0" w:line="240" w:lineRule="auto"/>
        <w:ind w:left="0"/>
        <w:jc w:val="both"/>
        <w:rPr>
          <w:rFonts w:cs="Arial"/>
          <w:lang w:val="sk-SK"/>
        </w:rPr>
      </w:pPr>
    </w:p>
    <w:p w14:paraId="0A3EB8A7" w14:textId="7923678C" w:rsidR="0021640D" w:rsidRPr="00E21C60" w:rsidRDefault="0021640D" w:rsidP="00123376">
      <w:pPr>
        <w:pStyle w:val="Zkladntextb"/>
        <w:spacing w:before="120" w:after="0" w:line="240" w:lineRule="auto"/>
        <w:ind w:left="0"/>
        <w:jc w:val="both"/>
        <w:rPr>
          <w:rFonts w:cs="Arial"/>
          <w:lang w:val="sk-SK"/>
        </w:rPr>
      </w:pPr>
      <w:r w:rsidRPr="008901D7">
        <w:rPr>
          <w:rFonts w:cs="Arial"/>
          <w:lang w:val="sk-SK"/>
        </w:rPr>
        <w:lastRenderedPageBreak/>
        <w:t>Tab</w:t>
      </w:r>
      <w:r w:rsidR="00C0144E" w:rsidRPr="008901D7">
        <w:rPr>
          <w:rFonts w:cs="Arial"/>
          <w:lang w:val="sk-SK"/>
        </w:rPr>
        <w:t>uľka</w:t>
      </w:r>
      <w:r w:rsidRPr="008901D7">
        <w:rPr>
          <w:rFonts w:cs="Arial"/>
          <w:lang w:val="sk-SK"/>
        </w:rPr>
        <w:t xml:space="preserve"> č.</w:t>
      </w:r>
      <w:r w:rsidR="007976C6" w:rsidRPr="008901D7">
        <w:rPr>
          <w:rFonts w:cs="Arial"/>
          <w:lang w:val="sk-SK"/>
        </w:rPr>
        <w:t xml:space="preserve"> </w:t>
      </w:r>
      <w:r w:rsidR="00012152" w:rsidRPr="008901D7">
        <w:rPr>
          <w:rFonts w:cs="Arial"/>
          <w:lang w:val="sk-SK"/>
        </w:rPr>
        <w:t>4</w:t>
      </w:r>
      <w:r w:rsidR="007B1CB9">
        <w:rPr>
          <w:rFonts w:cs="Arial"/>
          <w:lang w:val="sk-SK"/>
        </w:rPr>
        <w:t>8</w:t>
      </w:r>
      <w:r w:rsidR="00C0144E" w:rsidRPr="008901D7">
        <w:rPr>
          <w:rFonts w:cs="Arial"/>
          <w:lang w:val="sk-SK"/>
        </w:rPr>
        <w:t>:</w:t>
      </w:r>
      <w:r w:rsidR="007B7519" w:rsidRPr="008901D7">
        <w:rPr>
          <w:rFonts w:cs="Arial"/>
          <w:lang w:val="sk-SK"/>
        </w:rPr>
        <w:t xml:space="preserve"> </w:t>
      </w:r>
      <w:r w:rsidR="00000CC9" w:rsidRPr="008901D7">
        <w:rPr>
          <w:rFonts w:cs="Arial"/>
          <w:lang w:val="sk-SK"/>
        </w:rPr>
        <w:t>Zhodnotenie úrovne podľa HT</w:t>
      </w:r>
    </w:p>
    <w:tbl>
      <w:tblPr>
        <w:tblW w:w="9020" w:type="dxa"/>
        <w:tblInd w:w="55" w:type="dxa"/>
        <w:tblLayout w:type="fixed"/>
        <w:tblCellMar>
          <w:left w:w="70" w:type="dxa"/>
          <w:right w:w="70" w:type="dxa"/>
        </w:tblCellMar>
        <w:tblLook w:val="04A0" w:firstRow="1" w:lastRow="0" w:firstColumn="1" w:lastColumn="0" w:noHBand="0" w:noVBand="1"/>
      </w:tblPr>
      <w:tblGrid>
        <w:gridCol w:w="2420"/>
        <w:gridCol w:w="497"/>
        <w:gridCol w:w="1060"/>
        <w:gridCol w:w="1425"/>
        <w:gridCol w:w="1138"/>
        <w:gridCol w:w="1240"/>
        <w:gridCol w:w="1240"/>
      </w:tblGrid>
      <w:tr w:rsidR="002B2A74" w:rsidRPr="00E21C60" w14:paraId="63DEDD95" w14:textId="77777777" w:rsidTr="007D7B08">
        <w:trPr>
          <w:trHeight w:val="1140"/>
        </w:trPr>
        <w:tc>
          <w:tcPr>
            <w:tcW w:w="2420" w:type="dxa"/>
            <w:tcBorders>
              <w:top w:val="single" w:sz="8" w:space="0" w:color="auto"/>
              <w:left w:val="single" w:sz="8" w:space="0" w:color="auto"/>
              <w:bottom w:val="single" w:sz="8" w:space="0" w:color="auto"/>
              <w:right w:val="single" w:sz="8" w:space="0" w:color="auto"/>
            </w:tcBorders>
            <w:shd w:val="clear" w:color="auto" w:fill="C2D69B" w:themeFill="accent3" w:themeFillTint="99"/>
            <w:noWrap/>
            <w:vAlign w:val="center"/>
            <w:hideMark/>
          </w:tcPr>
          <w:p w14:paraId="233E9AB0" w14:textId="77777777" w:rsidR="002B2A74" w:rsidRPr="00E21C60" w:rsidRDefault="002B2A74">
            <w:pPr>
              <w:jc w:val="center"/>
              <w:rPr>
                <w:rFonts w:ascii="Arial" w:hAnsi="Arial" w:cs="Arial"/>
                <w:b/>
                <w:bCs/>
                <w:color w:val="000000"/>
                <w:sz w:val="16"/>
                <w:szCs w:val="16"/>
              </w:rPr>
            </w:pPr>
            <w:r w:rsidRPr="00E21C60">
              <w:rPr>
                <w:rFonts w:ascii="Arial" w:hAnsi="Arial" w:cs="Arial"/>
                <w:b/>
                <w:bCs/>
                <w:color w:val="000000"/>
                <w:sz w:val="16"/>
                <w:szCs w:val="16"/>
              </w:rPr>
              <w:t>Prioritná téma</w:t>
            </w:r>
          </w:p>
        </w:tc>
        <w:tc>
          <w:tcPr>
            <w:tcW w:w="497"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33C1185F" w14:textId="77777777" w:rsidR="002B2A74" w:rsidRPr="00E21C60" w:rsidRDefault="002B2A74">
            <w:pPr>
              <w:jc w:val="center"/>
              <w:rPr>
                <w:rFonts w:ascii="Arial" w:hAnsi="Arial" w:cs="Arial"/>
                <w:b/>
                <w:bCs/>
                <w:color w:val="000000"/>
                <w:sz w:val="16"/>
                <w:szCs w:val="16"/>
              </w:rPr>
            </w:pPr>
            <w:r w:rsidRPr="00E21C60">
              <w:rPr>
                <w:rFonts w:ascii="Arial" w:hAnsi="Arial" w:cs="Arial"/>
                <w:b/>
                <w:bCs/>
                <w:color w:val="000000"/>
                <w:sz w:val="16"/>
                <w:szCs w:val="16"/>
              </w:rPr>
              <w:t>Op.</w:t>
            </w:r>
            <w:r w:rsidRPr="00E21C60">
              <w:rPr>
                <w:rFonts w:ascii="Arial" w:hAnsi="Arial" w:cs="Arial"/>
                <w:b/>
                <w:bCs/>
                <w:color w:val="000000"/>
                <w:sz w:val="16"/>
                <w:szCs w:val="16"/>
              </w:rPr>
              <w:br/>
              <w:t>cieľ</w:t>
            </w:r>
          </w:p>
        </w:tc>
        <w:tc>
          <w:tcPr>
            <w:tcW w:w="106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1D0C477"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Celková alokácia</w:t>
            </w:r>
          </w:p>
          <w:p w14:paraId="110DB571" w14:textId="77777777" w:rsidR="002B2A74" w:rsidRPr="00E21C60" w:rsidRDefault="002B2A74">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425"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5F669F8" w14:textId="77777777"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Suma zazmluvnená (EÚ zdroje)</w:t>
            </w:r>
          </w:p>
          <w:p w14:paraId="694C3897" w14:textId="77777777" w:rsidR="002B2A74" w:rsidRPr="00E21C60" w:rsidRDefault="002B2A74">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13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C23EF78" w14:textId="77777777" w:rsidR="002B2A74" w:rsidRPr="00E21C60" w:rsidRDefault="002B2A74">
            <w:pPr>
              <w:jc w:val="center"/>
              <w:rPr>
                <w:rFonts w:ascii="Arial" w:hAnsi="Arial" w:cs="Arial"/>
                <w:b/>
                <w:bCs/>
                <w:color w:val="000000"/>
                <w:sz w:val="16"/>
                <w:szCs w:val="16"/>
              </w:rPr>
            </w:pPr>
            <w:r w:rsidRPr="00E21C60">
              <w:rPr>
                <w:rFonts w:ascii="Arial" w:hAnsi="Arial" w:cs="Arial"/>
                <w:b/>
                <w:bCs/>
                <w:color w:val="000000"/>
                <w:sz w:val="16"/>
                <w:szCs w:val="16"/>
              </w:rPr>
              <w:t>Podiel zazmluvnených projektov na celkovej alokácii</w:t>
            </w:r>
          </w:p>
        </w:tc>
        <w:tc>
          <w:tcPr>
            <w:tcW w:w="124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79A696AC" w14:textId="252F5EAF" w:rsidR="00C0144E" w:rsidRPr="00E21C60" w:rsidRDefault="00C0144E">
            <w:pPr>
              <w:jc w:val="center"/>
              <w:rPr>
                <w:rFonts w:ascii="Arial" w:hAnsi="Arial" w:cs="Arial"/>
                <w:b/>
                <w:bCs/>
                <w:color w:val="000000"/>
                <w:sz w:val="16"/>
                <w:szCs w:val="16"/>
              </w:rPr>
            </w:pPr>
            <w:r w:rsidRPr="00E21C60">
              <w:rPr>
                <w:rFonts w:ascii="Arial" w:hAnsi="Arial" w:cs="Arial"/>
                <w:b/>
                <w:bCs/>
                <w:color w:val="000000"/>
                <w:sz w:val="16"/>
                <w:szCs w:val="16"/>
              </w:rPr>
              <w:t>Suma čerpaná</w:t>
            </w:r>
            <w:r w:rsidR="006D1921">
              <w:rPr>
                <w:rFonts w:ascii="Arial" w:hAnsi="Arial" w:cs="Arial"/>
                <w:b/>
                <w:bCs/>
                <w:color w:val="000000"/>
                <w:sz w:val="16"/>
                <w:szCs w:val="16"/>
              </w:rPr>
              <w:t xml:space="preserve"> </w:t>
            </w:r>
            <w:r w:rsidR="00CE7F78">
              <w:rPr>
                <w:rFonts w:ascii="Arial" w:hAnsi="Arial" w:cs="Arial"/>
                <w:b/>
                <w:bCs/>
                <w:color w:val="000000"/>
                <w:sz w:val="16"/>
                <w:szCs w:val="16"/>
              </w:rPr>
              <w:t xml:space="preserve">pri </w:t>
            </w:r>
            <w:r w:rsidR="006D1921">
              <w:rPr>
                <w:rFonts w:ascii="Arial" w:hAnsi="Arial" w:cs="Arial"/>
                <w:b/>
                <w:bCs/>
                <w:color w:val="000000"/>
                <w:sz w:val="16"/>
                <w:szCs w:val="16"/>
              </w:rPr>
              <w:t>riadne ukončených projekto</w:t>
            </w:r>
            <w:r w:rsidR="00CE7F78">
              <w:rPr>
                <w:rFonts w:ascii="Arial" w:hAnsi="Arial" w:cs="Arial"/>
                <w:b/>
                <w:bCs/>
                <w:color w:val="000000"/>
                <w:sz w:val="16"/>
                <w:szCs w:val="16"/>
              </w:rPr>
              <w:t>ch</w:t>
            </w:r>
            <w:r w:rsidRPr="00E21C60">
              <w:rPr>
                <w:rFonts w:ascii="Arial" w:hAnsi="Arial" w:cs="Arial"/>
                <w:b/>
                <w:bCs/>
                <w:color w:val="000000"/>
                <w:sz w:val="16"/>
                <w:szCs w:val="16"/>
              </w:rPr>
              <w:t xml:space="preserve">  (EÚ zdroje)</w:t>
            </w:r>
          </w:p>
          <w:p w14:paraId="06EF3AA6" w14:textId="77777777" w:rsidR="002B2A74" w:rsidRPr="00E21C60" w:rsidRDefault="002B2A74">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24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2A9B704" w14:textId="77777777" w:rsidR="002B2A74" w:rsidRPr="00E21C60" w:rsidRDefault="002B2A74">
            <w:pPr>
              <w:jc w:val="center"/>
              <w:rPr>
                <w:rFonts w:ascii="Arial" w:hAnsi="Arial" w:cs="Arial"/>
                <w:b/>
                <w:bCs/>
                <w:color w:val="000000"/>
                <w:sz w:val="16"/>
                <w:szCs w:val="16"/>
              </w:rPr>
            </w:pPr>
            <w:r w:rsidRPr="00E21C60">
              <w:rPr>
                <w:rFonts w:ascii="Arial" w:hAnsi="Arial" w:cs="Arial"/>
                <w:b/>
                <w:bCs/>
                <w:color w:val="000000"/>
                <w:sz w:val="16"/>
                <w:szCs w:val="16"/>
              </w:rPr>
              <w:t>Podiel čerpania projektov na celkovej alokácii</w:t>
            </w:r>
          </w:p>
        </w:tc>
      </w:tr>
      <w:tr w:rsidR="00D32FD4" w:rsidRPr="00E21C60" w14:paraId="64897F41" w14:textId="77777777" w:rsidTr="00D32FD4">
        <w:trPr>
          <w:trHeight w:val="1365"/>
        </w:trPr>
        <w:tc>
          <w:tcPr>
            <w:tcW w:w="2420" w:type="dxa"/>
            <w:tcBorders>
              <w:top w:val="nil"/>
              <w:left w:val="single" w:sz="8" w:space="0" w:color="auto"/>
              <w:bottom w:val="single" w:sz="8" w:space="0" w:color="auto"/>
              <w:right w:val="single" w:sz="8" w:space="0" w:color="auto"/>
            </w:tcBorders>
            <w:shd w:val="clear" w:color="000000" w:fill="EAF1DD"/>
            <w:vAlign w:val="center"/>
            <w:hideMark/>
          </w:tcPr>
          <w:p w14:paraId="77E781C1" w14:textId="77777777" w:rsidR="00D32FD4" w:rsidRPr="00E21C60" w:rsidRDefault="00D32FD4" w:rsidP="00D32FD4">
            <w:pPr>
              <w:rPr>
                <w:rFonts w:ascii="Arial" w:hAnsi="Arial" w:cs="Arial"/>
                <w:color w:val="000000"/>
                <w:sz w:val="16"/>
                <w:szCs w:val="16"/>
              </w:rPr>
            </w:pPr>
            <w:r w:rsidRPr="002526CC">
              <w:rPr>
                <w:rFonts w:ascii="Arial" w:hAnsi="Arial" w:cs="Arial"/>
                <w:color w:val="000000"/>
                <w:sz w:val="16"/>
                <w:szCs w:val="16"/>
              </w:rPr>
              <w:t xml:space="preserve">HT 53 Predchádzanie rizikám </w:t>
            </w:r>
          </w:p>
          <w:p w14:paraId="0769C725" w14:textId="77777777" w:rsidR="00D32FD4" w:rsidRPr="00E21C60" w:rsidRDefault="00D32FD4" w:rsidP="00D32FD4">
            <w:pPr>
              <w:rPr>
                <w:rFonts w:ascii="Arial" w:hAnsi="Arial" w:cs="Arial"/>
                <w:color w:val="000000"/>
                <w:sz w:val="16"/>
                <w:szCs w:val="16"/>
              </w:rPr>
            </w:pPr>
            <w:r w:rsidRPr="00E21C60">
              <w:rPr>
                <w:rFonts w:ascii="Arial" w:hAnsi="Arial" w:cs="Arial"/>
                <w:color w:val="000000"/>
                <w:sz w:val="16"/>
                <w:szCs w:val="16"/>
              </w:rPr>
              <w:t xml:space="preserve">(vrátane návrhu a realizácie plánov a opatrení </w:t>
            </w:r>
          </w:p>
          <w:p w14:paraId="00099E01" w14:textId="77777777" w:rsidR="00D32FD4" w:rsidRPr="00E21C60" w:rsidRDefault="00D32FD4" w:rsidP="00D32FD4">
            <w:pPr>
              <w:rPr>
                <w:rFonts w:ascii="Arial" w:hAnsi="Arial" w:cs="Arial"/>
                <w:color w:val="000000"/>
                <w:sz w:val="16"/>
                <w:szCs w:val="16"/>
              </w:rPr>
            </w:pPr>
            <w:r w:rsidRPr="00E21C60">
              <w:rPr>
                <w:rFonts w:ascii="Arial" w:hAnsi="Arial" w:cs="Arial"/>
                <w:color w:val="000000"/>
                <w:sz w:val="16"/>
                <w:szCs w:val="16"/>
              </w:rPr>
              <w:t xml:space="preserve">na predchádzanie prírodným </w:t>
            </w:r>
          </w:p>
          <w:p w14:paraId="0BFF2B63" w14:textId="77777777" w:rsidR="00D32FD4" w:rsidRPr="00E21C60" w:rsidRDefault="00D32FD4" w:rsidP="00D32FD4">
            <w:pPr>
              <w:rPr>
                <w:rFonts w:ascii="Arial" w:hAnsi="Arial" w:cs="Arial"/>
                <w:color w:val="000000"/>
                <w:sz w:val="16"/>
                <w:szCs w:val="16"/>
              </w:rPr>
            </w:pPr>
            <w:r w:rsidRPr="00E21C60">
              <w:rPr>
                <w:rFonts w:ascii="Arial" w:hAnsi="Arial" w:cs="Arial"/>
                <w:color w:val="000000"/>
                <w:sz w:val="16"/>
                <w:szCs w:val="16"/>
              </w:rPr>
              <w:t xml:space="preserve">a technologickým rizikám </w:t>
            </w:r>
          </w:p>
          <w:p w14:paraId="57303015" w14:textId="77777777" w:rsidR="00D32FD4" w:rsidRPr="00E21C60" w:rsidRDefault="00D32FD4" w:rsidP="00D32FD4">
            <w:pPr>
              <w:rPr>
                <w:rFonts w:ascii="Arial" w:hAnsi="Arial" w:cs="Arial"/>
                <w:color w:val="000000"/>
                <w:sz w:val="16"/>
                <w:szCs w:val="16"/>
              </w:rPr>
            </w:pPr>
            <w:r w:rsidRPr="00E21C60">
              <w:rPr>
                <w:rFonts w:ascii="Arial" w:hAnsi="Arial" w:cs="Arial"/>
                <w:color w:val="000000"/>
                <w:sz w:val="16"/>
                <w:szCs w:val="16"/>
              </w:rPr>
              <w:t>a ich riadenie)</w:t>
            </w:r>
          </w:p>
        </w:tc>
        <w:tc>
          <w:tcPr>
            <w:tcW w:w="497" w:type="dxa"/>
            <w:tcBorders>
              <w:top w:val="nil"/>
              <w:left w:val="nil"/>
              <w:bottom w:val="single" w:sz="8" w:space="0" w:color="auto"/>
              <w:right w:val="single" w:sz="8" w:space="0" w:color="auto"/>
            </w:tcBorders>
            <w:shd w:val="clear" w:color="auto" w:fill="auto"/>
            <w:vAlign w:val="center"/>
            <w:hideMark/>
          </w:tcPr>
          <w:p w14:paraId="6EB1892F" w14:textId="77777777" w:rsidR="00D32FD4" w:rsidRPr="00E21C60" w:rsidRDefault="00D32FD4" w:rsidP="00D32FD4">
            <w:pPr>
              <w:jc w:val="center"/>
              <w:rPr>
                <w:rFonts w:ascii="Arial" w:hAnsi="Arial" w:cs="Arial"/>
                <w:color w:val="000000"/>
                <w:sz w:val="16"/>
                <w:szCs w:val="16"/>
              </w:rPr>
            </w:pPr>
            <w:r w:rsidRPr="00E21C60">
              <w:rPr>
                <w:rFonts w:ascii="Arial" w:hAnsi="Arial" w:cs="Arial"/>
                <w:color w:val="000000"/>
                <w:sz w:val="16"/>
                <w:szCs w:val="16"/>
              </w:rPr>
              <w:t>2.1</w:t>
            </w:r>
          </w:p>
        </w:tc>
        <w:tc>
          <w:tcPr>
            <w:tcW w:w="1060" w:type="dxa"/>
            <w:tcBorders>
              <w:top w:val="nil"/>
              <w:left w:val="nil"/>
              <w:bottom w:val="single" w:sz="8" w:space="0" w:color="auto"/>
              <w:right w:val="single" w:sz="8" w:space="0" w:color="auto"/>
            </w:tcBorders>
            <w:shd w:val="clear" w:color="auto" w:fill="auto"/>
            <w:noWrap/>
            <w:vAlign w:val="center"/>
          </w:tcPr>
          <w:p w14:paraId="2BE8CBDB" w14:textId="17A73E68" w:rsidR="00D32FD4" w:rsidRPr="00D32FD4" w:rsidRDefault="00D32FD4" w:rsidP="00D32FD4">
            <w:pPr>
              <w:jc w:val="center"/>
              <w:rPr>
                <w:rFonts w:ascii="Arial" w:hAnsi="Arial" w:cs="Arial"/>
                <w:color w:val="000000"/>
                <w:sz w:val="16"/>
                <w:szCs w:val="16"/>
              </w:rPr>
            </w:pPr>
            <w:r w:rsidRPr="00D32FD4">
              <w:rPr>
                <w:rFonts w:ascii="Arial" w:hAnsi="Arial" w:cs="Arial"/>
                <w:color w:val="000000"/>
                <w:sz w:val="16"/>
                <w:szCs w:val="16"/>
              </w:rPr>
              <w:t>260 770 100</w:t>
            </w:r>
          </w:p>
        </w:tc>
        <w:tc>
          <w:tcPr>
            <w:tcW w:w="1425" w:type="dxa"/>
            <w:tcBorders>
              <w:top w:val="nil"/>
              <w:left w:val="nil"/>
              <w:bottom w:val="single" w:sz="8" w:space="0" w:color="auto"/>
              <w:right w:val="single" w:sz="8" w:space="0" w:color="auto"/>
            </w:tcBorders>
            <w:shd w:val="clear" w:color="auto" w:fill="auto"/>
            <w:noWrap/>
            <w:vAlign w:val="center"/>
          </w:tcPr>
          <w:p w14:paraId="1CE16D19" w14:textId="25501E97" w:rsidR="00D32FD4" w:rsidRPr="00D32FD4" w:rsidRDefault="00D32FD4" w:rsidP="00543371">
            <w:pPr>
              <w:jc w:val="center"/>
              <w:rPr>
                <w:rFonts w:ascii="Arial" w:hAnsi="Arial" w:cs="Arial"/>
                <w:color w:val="000000"/>
                <w:sz w:val="16"/>
                <w:szCs w:val="16"/>
              </w:rPr>
            </w:pPr>
            <w:r w:rsidRPr="00D32FD4">
              <w:rPr>
                <w:rFonts w:ascii="Arial" w:hAnsi="Arial" w:cs="Arial"/>
                <w:color w:val="000000"/>
                <w:sz w:val="16"/>
                <w:szCs w:val="16"/>
              </w:rPr>
              <w:t>279 696 76</w:t>
            </w:r>
            <w:r w:rsidR="00543371">
              <w:rPr>
                <w:rFonts w:ascii="Arial" w:hAnsi="Arial" w:cs="Arial"/>
                <w:color w:val="000000"/>
                <w:sz w:val="16"/>
                <w:szCs w:val="16"/>
              </w:rPr>
              <w:t>9</w:t>
            </w:r>
          </w:p>
        </w:tc>
        <w:tc>
          <w:tcPr>
            <w:tcW w:w="1138" w:type="dxa"/>
            <w:tcBorders>
              <w:top w:val="nil"/>
              <w:left w:val="nil"/>
              <w:bottom w:val="single" w:sz="8" w:space="0" w:color="auto"/>
              <w:right w:val="single" w:sz="8" w:space="0" w:color="auto"/>
            </w:tcBorders>
            <w:shd w:val="clear" w:color="auto" w:fill="auto"/>
            <w:noWrap/>
            <w:vAlign w:val="center"/>
          </w:tcPr>
          <w:p w14:paraId="0F231813" w14:textId="06DD2BD9" w:rsidR="00D32FD4" w:rsidRPr="00D32FD4" w:rsidRDefault="00D32FD4" w:rsidP="00D32FD4">
            <w:pPr>
              <w:jc w:val="center"/>
              <w:rPr>
                <w:rFonts w:ascii="Arial" w:hAnsi="Arial" w:cs="Arial"/>
                <w:color w:val="000000"/>
                <w:sz w:val="16"/>
                <w:szCs w:val="16"/>
              </w:rPr>
            </w:pPr>
            <w:r w:rsidRPr="00D32FD4">
              <w:rPr>
                <w:rFonts w:ascii="Arial" w:hAnsi="Arial" w:cs="Arial"/>
                <w:color w:val="000000"/>
                <w:sz w:val="16"/>
                <w:szCs w:val="16"/>
              </w:rPr>
              <w:t>107,26%</w:t>
            </w:r>
          </w:p>
        </w:tc>
        <w:tc>
          <w:tcPr>
            <w:tcW w:w="1240" w:type="dxa"/>
            <w:tcBorders>
              <w:top w:val="nil"/>
              <w:left w:val="nil"/>
              <w:bottom w:val="single" w:sz="8" w:space="0" w:color="auto"/>
              <w:right w:val="single" w:sz="8" w:space="0" w:color="auto"/>
            </w:tcBorders>
            <w:shd w:val="clear" w:color="auto" w:fill="auto"/>
            <w:noWrap/>
            <w:vAlign w:val="center"/>
          </w:tcPr>
          <w:p w14:paraId="505F4906" w14:textId="63603DDA" w:rsidR="00D32FD4" w:rsidRPr="00D32FD4" w:rsidRDefault="00D32FD4" w:rsidP="00D32FD4">
            <w:pPr>
              <w:jc w:val="center"/>
              <w:rPr>
                <w:rFonts w:ascii="Arial" w:hAnsi="Arial" w:cs="Arial"/>
                <w:color w:val="000000"/>
                <w:sz w:val="16"/>
                <w:szCs w:val="16"/>
              </w:rPr>
            </w:pPr>
            <w:r w:rsidRPr="00D32FD4">
              <w:rPr>
                <w:rFonts w:ascii="Arial" w:hAnsi="Arial" w:cs="Arial"/>
                <w:color w:val="000000"/>
                <w:sz w:val="16"/>
                <w:szCs w:val="16"/>
              </w:rPr>
              <w:t>258 531 352</w:t>
            </w:r>
          </w:p>
        </w:tc>
        <w:tc>
          <w:tcPr>
            <w:tcW w:w="1240" w:type="dxa"/>
            <w:tcBorders>
              <w:top w:val="nil"/>
              <w:left w:val="nil"/>
              <w:bottom w:val="single" w:sz="8" w:space="0" w:color="auto"/>
              <w:right w:val="single" w:sz="8" w:space="0" w:color="auto"/>
            </w:tcBorders>
            <w:shd w:val="clear" w:color="auto" w:fill="auto"/>
            <w:noWrap/>
            <w:vAlign w:val="center"/>
          </w:tcPr>
          <w:p w14:paraId="728146E4" w14:textId="285B3644" w:rsidR="00D32FD4" w:rsidRPr="00D32FD4" w:rsidRDefault="00D32FD4" w:rsidP="00D32FD4">
            <w:pPr>
              <w:jc w:val="center"/>
              <w:rPr>
                <w:rFonts w:ascii="Arial" w:hAnsi="Arial" w:cs="Arial"/>
                <w:color w:val="000000"/>
                <w:sz w:val="16"/>
                <w:szCs w:val="16"/>
              </w:rPr>
            </w:pPr>
            <w:r w:rsidRPr="00D32FD4">
              <w:rPr>
                <w:rFonts w:ascii="Arial" w:hAnsi="Arial" w:cs="Arial"/>
                <w:color w:val="000000"/>
                <w:sz w:val="16"/>
                <w:szCs w:val="16"/>
              </w:rPr>
              <w:t>99,14%</w:t>
            </w:r>
          </w:p>
        </w:tc>
      </w:tr>
      <w:tr w:rsidR="00D32FD4" w:rsidRPr="00E21C60" w14:paraId="37E8921A" w14:textId="77777777" w:rsidTr="00D32FD4">
        <w:trPr>
          <w:trHeight w:val="240"/>
        </w:trPr>
        <w:tc>
          <w:tcPr>
            <w:tcW w:w="2917" w:type="dxa"/>
            <w:gridSpan w:val="2"/>
            <w:tcBorders>
              <w:top w:val="single" w:sz="8" w:space="0" w:color="auto"/>
              <w:left w:val="single" w:sz="8" w:space="0" w:color="auto"/>
              <w:bottom w:val="single" w:sz="8" w:space="0" w:color="auto"/>
              <w:right w:val="single" w:sz="8" w:space="0" w:color="000000"/>
            </w:tcBorders>
            <w:shd w:val="clear" w:color="000000" w:fill="EAF1DD"/>
            <w:vAlign w:val="center"/>
            <w:hideMark/>
          </w:tcPr>
          <w:p w14:paraId="09E3C625" w14:textId="77777777" w:rsidR="00D32FD4" w:rsidRPr="002526CC" w:rsidRDefault="00D32FD4" w:rsidP="00D32FD4">
            <w:pPr>
              <w:rPr>
                <w:rFonts w:ascii="Arial" w:hAnsi="Arial" w:cs="Arial"/>
                <w:b/>
                <w:bCs/>
                <w:color w:val="000000"/>
                <w:sz w:val="16"/>
                <w:szCs w:val="16"/>
              </w:rPr>
            </w:pPr>
            <w:r w:rsidRPr="002526CC">
              <w:rPr>
                <w:rFonts w:ascii="Arial" w:hAnsi="Arial" w:cs="Arial"/>
                <w:b/>
                <w:bCs/>
                <w:color w:val="000000"/>
                <w:sz w:val="16"/>
                <w:szCs w:val="16"/>
              </w:rPr>
              <w:t>Spolu</w:t>
            </w:r>
          </w:p>
        </w:tc>
        <w:tc>
          <w:tcPr>
            <w:tcW w:w="1060" w:type="dxa"/>
            <w:tcBorders>
              <w:top w:val="nil"/>
              <w:left w:val="nil"/>
              <w:bottom w:val="single" w:sz="8" w:space="0" w:color="auto"/>
              <w:right w:val="single" w:sz="8" w:space="0" w:color="auto"/>
            </w:tcBorders>
            <w:shd w:val="clear" w:color="000000" w:fill="EAF1DD"/>
            <w:vAlign w:val="center"/>
          </w:tcPr>
          <w:p w14:paraId="023531A4" w14:textId="3390AE7A" w:rsidR="00D32FD4" w:rsidRPr="00D32FD4" w:rsidRDefault="00D32FD4" w:rsidP="00D32FD4">
            <w:pPr>
              <w:jc w:val="center"/>
              <w:rPr>
                <w:rFonts w:ascii="Arial" w:hAnsi="Arial" w:cs="Arial"/>
                <w:b/>
                <w:color w:val="000000"/>
                <w:sz w:val="16"/>
                <w:szCs w:val="16"/>
              </w:rPr>
            </w:pPr>
            <w:r w:rsidRPr="00D32FD4">
              <w:rPr>
                <w:rFonts w:ascii="Arial" w:hAnsi="Arial" w:cs="Arial"/>
                <w:b/>
                <w:color w:val="000000"/>
                <w:sz w:val="16"/>
                <w:szCs w:val="16"/>
              </w:rPr>
              <w:t>260 770 100</w:t>
            </w:r>
          </w:p>
        </w:tc>
        <w:tc>
          <w:tcPr>
            <w:tcW w:w="1425" w:type="dxa"/>
            <w:tcBorders>
              <w:top w:val="nil"/>
              <w:left w:val="nil"/>
              <w:bottom w:val="single" w:sz="8" w:space="0" w:color="auto"/>
              <w:right w:val="single" w:sz="8" w:space="0" w:color="auto"/>
            </w:tcBorders>
            <w:shd w:val="clear" w:color="000000" w:fill="EAF1DD"/>
            <w:vAlign w:val="center"/>
          </w:tcPr>
          <w:p w14:paraId="4DBE1CE5" w14:textId="0DB2577B" w:rsidR="00D32FD4" w:rsidRPr="00D32FD4" w:rsidRDefault="00D32FD4" w:rsidP="00543371">
            <w:pPr>
              <w:jc w:val="center"/>
              <w:rPr>
                <w:rFonts w:ascii="Arial" w:hAnsi="Arial" w:cs="Arial"/>
                <w:b/>
                <w:color w:val="000000"/>
                <w:sz w:val="16"/>
                <w:szCs w:val="16"/>
              </w:rPr>
            </w:pPr>
            <w:r w:rsidRPr="00D32FD4">
              <w:rPr>
                <w:rFonts w:ascii="Arial" w:hAnsi="Arial" w:cs="Arial"/>
                <w:b/>
                <w:color w:val="000000"/>
                <w:sz w:val="16"/>
                <w:szCs w:val="16"/>
              </w:rPr>
              <w:t>279 696 76</w:t>
            </w:r>
            <w:r w:rsidR="00543371">
              <w:rPr>
                <w:rFonts w:ascii="Arial" w:hAnsi="Arial" w:cs="Arial"/>
                <w:b/>
                <w:color w:val="000000"/>
                <w:sz w:val="16"/>
                <w:szCs w:val="16"/>
              </w:rPr>
              <w:t>9</w:t>
            </w:r>
          </w:p>
        </w:tc>
        <w:tc>
          <w:tcPr>
            <w:tcW w:w="1138" w:type="dxa"/>
            <w:tcBorders>
              <w:top w:val="nil"/>
              <w:left w:val="nil"/>
              <w:bottom w:val="single" w:sz="8" w:space="0" w:color="auto"/>
              <w:right w:val="single" w:sz="8" w:space="0" w:color="auto"/>
            </w:tcBorders>
            <w:shd w:val="clear" w:color="000000" w:fill="EAF1DD"/>
            <w:vAlign w:val="center"/>
          </w:tcPr>
          <w:p w14:paraId="11675F81" w14:textId="0F61D7F6" w:rsidR="00D32FD4" w:rsidRPr="00D32FD4" w:rsidRDefault="00D32FD4" w:rsidP="00D32FD4">
            <w:pPr>
              <w:jc w:val="center"/>
              <w:rPr>
                <w:rFonts w:ascii="Arial" w:hAnsi="Arial" w:cs="Arial"/>
                <w:b/>
                <w:color w:val="000000"/>
                <w:sz w:val="16"/>
                <w:szCs w:val="16"/>
              </w:rPr>
            </w:pPr>
            <w:r w:rsidRPr="00D32FD4">
              <w:rPr>
                <w:rFonts w:ascii="Arial" w:hAnsi="Arial" w:cs="Arial"/>
                <w:b/>
                <w:color w:val="000000"/>
                <w:sz w:val="16"/>
                <w:szCs w:val="16"/>
              </w:rPr>
              <w:t>107,26%</w:t>
            </w:r>
          </w:p>
        </w:tc>
        <w:tc>
          <w:tcPr>
            <w:tcW w:w="1240" w:type="dxa"/>
            <w:tcBorders>
              <w:top w:val="nil"/>
              <w:left w:val="nil"/>
              <w:bottom w:val="single" w:sz="8" w:space="0" w:color="auto"/>
              <w:right w:val="single" w:sz="8" w:space="0" w:color="auto"/>
            </w:tcBorders>
            <w:shd w:val="clear" w:color="000000" w:fill="EAF1DD"/>
            <w:vAlign w:val="center"/>
          </w:tcPr>
          <w:p w14:paraId="45C787F8" w14:textId="7931675C" w:rsidR="00D32FD4" w:rsidRPr="00D32FD4" w:rsidRDefault="00D32FD4" w:rsidP="00D32FD4">
            <w:pPr>
              <w:jc w:val="center"/>
              <w:rPr>
                <w:rFonts w:ascii="Arial" w:hAnsi="Arial" w:cs="Arial"/>
                <w:b/>
                <w:color w:val="000000"/>
                <w:sz w:val="16"/>
                <w:szCs w:val="16"/>
              </w:rPr>
            </w:pPr>
            <w:r w:rsidRPr="00D32FD4">
              <w:rPr>
                <w:rFonts w:ascii="Arial" w:hAnsi="Arial" w:cs="Arial"/>
                <w:b/>
                <w:color w:val="000000"/>
                <w:sz w:val="16"/>
                <w:szCs w:val="16"/>
              </w:rPr>
              <w:t>258 531 352</w:t>
            </w:r>
          </w:p>
        </w:tc>
        <w:tc>
          <w:tcPr>
            <w:tcW w:w="1240" w:type="dxa"/>
            <w:tcBorders>
              <w:top w:val="nil"/>
              <w:left w:val="nil"/>
              <w:bottom w:val="single" w:sz="8" w:space="0" w:color="auto"/>
              <w:right w:val="single" w:sz="8" w:space="0" w:color="auto"/>
            </w:tcBorders>
            <w:shd w:val="clear" w:color="000000" w:fill="EAF1DD"/>
            <w:vAlign w:val="center"/>
          </w:tcPr>
          <w:p w14:paraId="12B8001A" w14:textId="09D39064" w:rsidR="00D32FD4" w:rsidRPr="00D32FD4" w:rsidRDefault="00D32FD4" w:rsidP="00D32FD4">
            <w:pPr>
              <w:jc w:val="center"/>
              <w:rPr>
                <w:rFonts w:ascii="Arial" w:hAnsi="Arial" w:cs="Arial"/>
                <w:b/>
                <w:color w:val="000000"/>
                <w:sz w:val="16"/>
                <w:szCs w:val="16"/>
              </w:rPr>
            </w:pPr>
            <w:r w:rsidRPr="00D32FD4">
              <w:rPr>
                <w:rFonts w:ascii="Arial" w:hAnsi="Arial" w:cs="Arial"/>
                <w:b/>
                <w:color w:val="000000"/>
                <w:sz w:val="16"/>
                <w:szCs w:val="16"/>
              </w:rPr>
              <w:t>99,14%</w:t>
            </w:r>
          </w:p>
        </w:tc>
      </w:tr>
    </w:tbl>
    <w:p w14:paraId="7039D32C" w14:textId="77777777" w:rsidR="00C0144E" w:rsidRPr="00123376" w:rsidRDefault="00C0144E" w:rsidP="00123376">
      <w:pPr>
        <w:pStyle w:val="Zkladntextb"/>
        <w:spacing w:after="0" w:line="240" w:lineRule="auto"/>
        <w:ind w:left="0"/>
        <w:jc w:val="both"/>
        <w:rPr>
          <w:rFonts w:cs="Arial"/>
          <w:sz w:val="16"/>
          <w:szCs w:val="16"/>
          <w:lang w:val="sk-SK"/>
        </w:rPr>
      </w:pPr>
      <w:r w:rsidRPr="00123376">
        <w:rPr>
          <w:rFonts w:cs="Arial"/>
          <w:sz w:val="16"/>
          <w:szCs w:val="16"/>
          <w:lang w:val="sk-SK"/>
        </w:rPr>
        <w:t>Zdroj: RO, ITMS</w:t>
      </w:r>
    </w:p>
    <w:p w14:paraId="6FF0B255" w14:textId="5D6583B7" w:rsidR="003C29B4" w:rsidRPr="008A1902" w:rsidRDefault="003C29B4" w:rsidP="00B30019">
      <w:pPr>
        <w:pStyle w:val="Zkladntextb"/>
        <w:spacing w:before="120" w:after="120" w:line="240" w:lineRule="auto"/>
        <w:ind w:left="0"/>
        <w:jc w:val="both"/>
        <w:rPr>
          <w:rFonts w:cs="Arial"/>
          <w:lang w:val="sk-SK"/>
        </w:rPr>
      </w:pPr>
      <w:r>
        <w:rPr>
          <w:rFonts w:cs="Arial"/>
          <w:lang w:val="sk-SK"/>
        </w:rPr>
        <w:t xml:space="preserve">Na základe cieľových hodnôt zazmluvnených projektov môžeme konštatovať, že úspešnosť plnenia väčšiny zazmluvnených projektov presahuje 100%. Postupné napĺňanie </w:t>
      </w:r>
      <w:r w:rsidRPr="008A1902">
        <w:rPr>
          <w:rFonts w:cs="Arial"/>
          <w:lang w:val="sk-SK"/>
        </w:rPr>
        <w:t xml:space="preserve">cieľových hodnôt </w:t>
      </w:r>
      <w:r>
        <w:rPr>
          <w:rFonts w:cs="Arial"/>
          <w:lang w:val="sk-SK"/>
        </w:rPr>
        <w:t xml:space="preserve">výsledkových ukazovateľov je spôsobené faktom, že za projekty, ktorých realizácia bola dokončená k 31.12.2015, budú následné monitorovacie správy predkladať až v decembri 2016, kedy sa očakáva aj naplnenie výsledkových ukazovateľov.  </w:t>
      </w:r>
    </w:p>
    <w:p w14:paraId="7FF660EF" w14:textId="182D4042" w:rsidR="003C29B4" w:rsidRPr="00E21C60" w:rsidRDefault="003C29B4" w:rsidP="003C29B4">
      <w:pPr>
        <w:pStyle w:val="Zkladntextb"/>
        <w:spacing w:before="120" w:after="0" w:line="240" w:lineRule="auto"/>
        <w:ind w:left="0"/>
        <w:jc w:val="both"/>
        <w:rPr>
          <w:rFonts w:cs="Arial"/>
          <w:lang w:val="sk-SK"/>
        </w:rPr>
      </w:pPr>
      <w:r w:rsidRPr="00E21C60">
        <w:rPr>
          <w:rFonts w:cs="Arial"/>
          <w:lang w:val="sk-SK"/>
        </w:rPr>
        <w:t>Tabuľka č. 4</w:t>
      </w:r>
      <w:r w:rsidR="007B1CB9">
        <w:rPr>
          <w:rFonts w:cs="Arial"/>
          <w:lang w:val="sk-SK"/>
        </w:rPr>
        <w:t>9</w:t>
      </w:r>
      <w:r w:rsidRPr="00E21C60">
        <w:rPr>
          <w:rFonts w:cs="Arial"/>
          <w:lang w:val="sk-SK"/>
        </w:rPr>
        <w:t>: Fyzický pokrok intervencií prioritnej osi 2 k 31.1</w:t>
      </w:r>
      <w:r>
        <w:rPr>
          <w:rFonts w:cs="Arial"/>
          <w:lang w:val="sk-SK"/>
        </w:rPr>
        <w:t>0</w:t>
      </w:r>
      <w:r w:rsidRPr="00E21C60">
        <w:rPr>
          <w:rFonts w:cs="Arial"/>
          <w:lang w:val="sk-SK"/>
        </w:rPr>
        <w:t>.201</w:t>
      </w:r>
      <w:r>
        <w:rPr>
          <w:rFonts w:cs="Arial"/>
          <w:lang w:val="sk-SK"/>
        </w:rPr>
        <w:t>6</w:t>
      </w:r>
    </w:p>
    <w:tbl>
      <w:tblPr>
        <w:tblW w:w="9155" w:type="dxa"/>
        <w:tblInd w:w="55" w:type="dxa"/>
        <w:tblLayout w:type="fixed"/>
        <w:tblCellMar>
          <w:left w:w="70" w:type="dxa"/>
          <w:right w:w="70" w:type="dxa"/>
        </w:tblCellMar>
        <w:tblLook w:val="04A0" w:firstRow="1" w:lastRow="0" w:firstColumn="1" w:lastColumn="0" w:noHBand="0" w:noVBand="1"/>
      </w:tblPr>
      <w:tblGrid>
        <w:gridCol w:w="657"/>
        <w:gridCol w:w="1514"/>
        <w:gridCol w:w="830"/>
        <w:gridCol w:w="842"/>
        <w:gridCol w:w="850"/>
        <w:gridCol w:w="709"/>
        <w:gridCol w:w="746"/>
        <w:gridCol w:w="957"/>
        <w:gridCol w:w="1025"/>
        <w:gridCol w:w="1025"/>
      </w:tblGrid>
      <w:tr w:rsidR="000308DA" w:rsidRPr="00E21C60" w14:paraId="4522148A" w14:textId="77777777" w:rsidTr="007D7B08">
        <w:trPr>
          <w:trHeight w:val="1350"/>
        </w:trPr>
        <w:tc>
          <w:tcPr>
            <w:tcW w:w="657" w:type="dxa"/>
            <w:tcBorders>
              <w:top w:val="single" w:sz="4" w:space="0" w:color="auto"/>
              <w:left w:val="single" w:sz="4" w:space="0" w:color="auto"/>
              <w:bottom w:val="nil"/>
              <w:right w:val="single" w:sz="4" w:space="0" w:color="auto"/>
            </w:tcBorders>
            <w:shd w:val="clear" w:color="auto" w:fill="C2D69B" w:themeFill="accent3" w:themeFillTint="99"/>
            <w:vAlign w:val="center"/>
            <w:hideMark/>
          </w:tcPr>
          <w:p w14:paraId="33194C9C" w14:textId="77777777" w:rsidR="006C1B85" w:rsidRPr="00E21C60" w:rsidRDefault="006C1B85">
            <w:pPr>
              <w:jc w:val="center"/>
              <w:rPr>
                <w:rFonts w:ascii="Arial" w:hAnsi="Arial" w:cs="Arial"/>
                <w:b/>
                <w:bCs/>
                <w:color w:val="000000"/>
                <w:sz w:val="16"/>
                <w:szCs w:val="16"/>
              </w:rPr>
            </w:pPr>
            <w:r w:rsidRPr="00E21C60">
              <w:rPr>
                <w:rFonts w:ascii="Arial" w:hAnsi="Arial" w:cs="Arial"/>
                <w:b/>
                <w:bCs/>
                <w:color w:val="000000"/>
                <w:sz w:val="16"/>
                <w:szCs w:val="16"/>
              </w:rPr>
              <w:t>Typ</w:t>
            </w:r>
            <w:r w:rsidRPr="00E21C60">
              <w:rPr>
                <w:rFonts w:ascii="Arial" w:hAnsi="Arial" w:cs="Arial"/>
                <w:b/>
                <w:bCs/>
                <w:color w:val="000000"/>
                <w:sz w:val="16"/>
                <w:szCs w:val="16"/>
              </w:rPr>
              <w:br/>
              <w:t>inter-</w:t>
            </w:r>
            <w:r w:rsidRPr="00E21C60">
              <w:rPr>
                <w:rFonts w:ascii="Arial" w:hAnsi="Arial" w:cs="Arial"/>
                <w:b/>
                <w:bCs/>
                <w:color w:val="000000"/>
                <w:sz w:val="16"/>
                <w:szCs w:val="16"/>
              </w:rPr>
              <w:br/>
              <w:t>vencie (op. cieľ)</w:t>
            </w:r>
          </w:p>
        </w:tc>
        <w:tc>
          <w:tcPr>
            <w:tcW w:w="1514" w:type="dxa"/>
            <w:tcBorders>
              <w:top w:val="single" w:sz="4" w:space="0" w:color="auto"/>
              <w:left w:val="nil"/>
              <w:bottom w:val="nil"/>
              <w:right w:val="single" w:sz="4" w:space="0" w:color="auto"/>
            </w:tcBorders>
            <w:shd w:val="clear" w:color="auto" w:fill="C2D69B" w:themeFill="accent3" w:themeFillTint="99"/>
            <w:vAlign w:val="center"/>
            <w:hideMark/>
          </w:tcPr>
          <w:p w14:paraId="6C9CC2A7" w14:textId="77777777" w:rsidR="006C1B85" w:rsidRPr="00E21C60" w:rsidRDefault="006C1B85">
            <w:pPr>
              <w:jc w:val="center"/>
              <w:rPr>
                <w:rFonts w:ascii="Arial" w:hAnsi="Arial" w:cs="Arial"/>
                <w:b/>
                <w:bCs/>
                <w:color w:val="000000"/>
                <w:sz w:val="16"/>
                <w:szCs w:val="16"/>
              </w:rPr>
            </w:pPr>
            <w:r w:rsidRPr="00E21C60">
              <w:rPr>
                <w:rFonts w:ascii="Arial" w:hAnsi="Arial" w:cs="Arial"/>
                <w:b/>
                <w:bCs/>
                <w:color w:val="000000"/>
                <w:sz w:val="16"/>
                <w:szCs w:val="16"/>
              </w:rPr>
              <w:t>Názov merateľného ukazovateľa (MU)</w:t>
            </w:r>
          </w:p>
        </w:tc>
        <w:tc>
          <w:tcPr>
            <w:tcW w:w="830" w:type="dxa"/>
            <w:tcBorders>
              <w:top w:val="single" w:sz="4" w:space="0" w:color="auto"/>
              <w:left w:val="nil"/>
              <w:bottom w:val="nil"/>
              <w:right w:val="single" w:sz="4" w:space="0" w:color="auto"/>
            </w:tcBorders>
            <w:shd w:val="clear" w:color="auto" w:fill="C2D69B" w:themeFill="accent3" w:themeFillTint="99"/>
            <w:vAlign w:val="center"/>
            <w:hideMark/>
          </w:tcPr>
          <w:p w14:paraId="54E47388" w14:textId="77777777" w:rsidR="006C1B85" w:rsidRPr="00E21C60" w:rsidRDefault="006C1B85">
            <w:pPr>
              <w:jc w:val="center"/>
              <w:rPr>
                <w:rFonts w:ascii="Arial" w:hAnsi="Arial" w:cs="Arial"/>
                <w:b/>
                <w:bCs/>
                <w:color w:val="000000"/>
                <w:sz w:val="16"/>
                <w:szCs w:val="16"/>
              </w:rPr>
            </w:pPr>
            <w:r w:rsidRPr="00E21C60">
              <w:rPr>
                <w:rFonts w:ascii="Arial" w:hAnsi="Arial" w:cs="Arial"/>
                <w:b/>
                <w:bCs/>
                <w:color w:val="000000"/>
                <w:sz w:val="16"/>
                <w:szCs w:val="16"/>
              </w:rPr>
              <w:t>Merná jednotka (MJ)</w:t>
            </w:r>
          </w:p>
        </w:tc>
        <w:tc>
          <w:tcPr>
            <w:tcW w:w="842" w:type="dxa"/>
            <w:tcBorders>
              <w:top w:val="single" w:sz="4" w:space="0" w:color="auto"/>
              <w:left w:val="nil"/>
              <w:bottom w:val="single" w:sz="4" w:space="0" w:color="auto"/>
              <w:right w:val="single" w:sz="4" w:space="0" w:color="auto"/>
            </w:tcBorders>
            <w:shd w:val="clear" w:color="auto" w:fill="C2D69B" w:themeFill="accent3" w:themeFillTint="99"/>
            <w:vAlign w:val="center"/>
          </w:tcPr>
          <w:p w14:paraId="6F21D109" w14:textId="0CB83A67" w:rsidR="006C1B85" w:rsidRPr="000308DA" w:rsidRDefault="006C1B85" w:rsidP="004E581A">
            <w:pPr>
              <w:jc w:val="center"/>
              <w:rPr>
                <w:rFonts w:ascii="Arial" w:hAnsi="Arial" w:cs="Arial"/>
                <w:color w:val="000000"/>
                <w:sz w:val="16"/>
                <w:szCs w:val="16"/>
              </w:rPr>
            </w:pPr>
            <w:r>
              <w:rPr>
                <w:rFonts w:ascii="Arial" w:hAnsi="Arial" w:cs="Arial"/>
                <w:b/>
                <w:bCs/>
                <w:color w:val="000000"/>
                <w:sz w:val="16"/>
                <w:szCs w:val="16"/>
              </w:rPr>
              <w:t>Východisková hodnota OP</w:t>
            </w:r>
          </w:p>
        </w:tc>
        <w:tc>
          <w:tcPr>
            <w:tcW w:w="85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B3113C7" w14:textId="5A2240EE" w:rsidR="006C1B85" w:rsidRPr="00E21C60" w:rsidRDefault="006C1B85">
            <w:pPr>
              <w:jc w:val="center"/>
              <w:rPr>
                <w:rFonts w:ascii="Arial" w:hAnsi="Arial" w:cs="Arial"/>
                <w:b/>
                <w:bCs/>
                <w:color w:val="000000"/>
                <w:sz w:val="16"/>
                <w:szCs w:val="16"/>
              </w:rPr>
            </w:pPr>
            <w:r w:rsidRPr="00E21C60">
              <w:rPr>
                <w:rFonts w:ascii="Arial" w:hAnsi="Arial" w:cs="Arial"/>
                <w:b/>
                <w:bCs/>
                <w:color w:val="000000"/>
                <w:sz w:val="16"/>
                <w:szCs w:val="16"/>
              </w:rPr>
              <w:t>Cieľ OP</w:t>
            </w:r>
          </w:p>
        </w:tc>
        <w:tc>
          <w:tcPr>
            <w:tcW w:w="709" w:type="dxa"/>
            <w:tcBorders>
              <w:top w:val="single" w:sz="4" w:space="0" w:color="auto"/>
              <w:left w:val="nil"/>
              <w:bottom w:val="nil"/>
              <w:right w:val="single" w:sz="4" w:space="0" w:color="auto"/>
            </w:tcBorders>
            <w:shd w:val="clear" w:color="auto" w:fill="C2D69B" w:themeFill="accent3" w:themeFillTint="99"/>
            <w:vAlign w:val="center"/>
            <w:hideMark/>
          </w:tcPr>
          <w:p w14:paraId="04D09E4D" w14:textId="55322D10" w:rsidR="006C1B85" w:rsidRPr="00E21C60" w:rsidRDefault="006C1B85" w:rsidP="003C29B4">
            <w:pPr>
              <w:jc w:val="center"/>
              <w:rPr>
                <w:rFonts w:ascii="Arial" w:hAnsi="Arial" w:cs="Arial"/>
                <w:b/>
                <w:bCs/>
                <w:color w:val="000000"/>
                <w:sz w:val="16"/>
                <w:szCs w:val="16"/>
              </w:rPr>
            </w:pPr>
            <w:r w:rsidRPr="0085219A">
              <w:rPr>
                <w:rFonts w:ascii="Arial" w:hAnsi="Arial" w:cs="Arial"/>
                <w:b/>
                <w:bCs/>
                <w:color w:val="000000"/>
                <w:sz w:val="16"/>
                <w:szCs w:val="16"/>
              </w:rPr>
              <w:t>Stav k 31.12.</w:t>
            </w:r>
            <w:r w:rsidRPr="0085219A">
              <w:rPr>
                <w:rFonts w:ascii="Arial" w:hAnsi="Arial" w:cs="Arial"/>
                <w:b/>
                <w:bCs/>
                <w:color w:val="000000"/>
                <w:sz w:val="16"/>
                <w:szCs w:val="16"/>
              </w:rPr>
              <w:br/>
              <w:t>201</w:t>
            </w:r>
            <w:r w:rsidR="0085219A" w:rsidRPr="0085219A">
              <w:rPr>
                <w:rFonts w:ascii="Arial" w:hAnsi="Arial" w:cs="Arial"/>
                <w:b/>
                <w:bCs/>
                <w:color w:val="000000"/>
                <w:sz w:val="16"/>
                <w:szCs w:val="16"/>
              </w:rPr>
              <w:t>5</w:t>
            </w:r>
          </w:p>
        </w:tc>
        <w:tc>
          <w:tcPr>
            <w:tcW w:w="746" w:type="dxa"/>
            <w:tcBorders>
              <w:top w:val="single" w:sz="4" w:space="0" w:color="auto"/>
              <w:left w:val="nil"/>
              <w:bottom w:val="nil"/>
              <w:right w:val="single" w:sz="4" w:space="0" w:color="auto"/>
            </w:tcBorders>
            <w:shd w:val="clear" w:color="auto" w:fill="C2D69B" w:themeFill="accent3" w:themeFillTint="99"/>
            <w:vAlign w:val="center"/>
            <w:hideMark/>
          </w:tcPr>
          <w:p w14:paraId="52559DC1" w14:textId="55494D05" w:rsidR="006C1B85" w:rsidRPr="00E21C60" w:rsidRDefault="006C1B85" w:rsidP="003C29B4">
            <w:pPr>
              <w:jc w:val="center"/>
              <w:rPr>
                <w:rFonts w:ascii="Arial" w:hAnsi="Arial" w:cs="Arial"/>
                <w:b/>
                <w:bCs/>
                <w:color w:val="000000"/>
                <w:sz w:val="16"/>
                <w:szCs w:val="16"/>
              </w:rPr>
            </w:pPr>
            <w:r w:rsidRPr="00E21C60">
              <w:rPr>
                <w:rFonts w:ascii="Arial" w:hAnsi="Arial" w:cs="Arial"/>
                <w:b/>
                <w:bCs/>
                <w:color w:val="000000"/>
                <w:sz w:val="16"/>
                <w:szCs w:val="16"/>
              </w:rPr>
              <w:t>Stav k 31.1</w:t>
            </w:r>
            <w:r w:rsidR="003C29B4">
              <w:rPr>
                <w:rFonts w:ascii="Arial" w:hAnsi="Arial" w:cs="Arial"/>
                <w:b/>
                <w:bCs/>
                <w:color w:val="000000"/>
                <w:sz w:val="16"/>
                <w:szCs w:val="16"/>
              </w:rPr>
              <w:t>0</w:t>
            </w:r>
            <w:r w:rsidRPr="00E21C60">
              <w:rPr>
                <w:rFonts w:ascii="Arial" w:hAnsi="Arial" w:cs="Arial"/>
                <w:b/>
                <w:bCs/>
                <w:color w:val="000000"/>
                <w:sz w:val="16"/>
                <w:szCs w:val="16"/>
              </w:rPr>
              <w:t>.</w:t>
            </w:r>
            <w:r w:rsidRPr="00E21C60">
              <w:rPr>
                <w:rFonts w:ascii="Arial" w:hAnsi="Arial" w:cs="Arial"/>
                <w:b/>
                <w:bCs/>
                <w:color w:val="000000"/>
                <w:sz w:val="16"/>
                <w:szCs w:val="16"/>
              </w:rPr>
              <w:br/>
            </w:r>
            <w:r w:rsidR="003C29B4" w:rsidRPr="00E21C60">
              <w:rPr>
                <w:rFonts w:ascii="Arial" w:hAnsi="Arial" w:cs="Arial"/>
                <w:b/>
                <w:bCs/>
                <w:color w:val="000000"/>
                <w:sz w:val="16"/>
                <w:szCs w:val="16"/>
              </w:rPr>
              <w:t>201</w:t>
            </w:r>
            <w:r w:rsidR="003C29B4">
              <w:rPr>
                <w:rFonts w:ascii="Arial" w:hAnsi="Arial" w:cs="Arial"/>
                <w:b/>
                <w:bCs/>
                <w:color w:val="000000"/>
                <w:sz w:val="16"/>
                <w:szCs w:val="16"/>
              </w:rPr>
              <w:t>6</w:t>
            </w:r>
          </w:p>
        </w:tc>
        <w:tc>
          <w:tcPr>
            <w:tcW w:w="957"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991CE47" w14:textId="77777777" w:rsidR="006C1B85" w:rsidRPr="00E21C60" w:rsidRDefault="006C1B85">
            <w:pPr>
              <w:jc w:val="center"/>
              <w:rPr>
                <w:rFonts w:ascii="Arial" w:hAnsi="Arial" w:cs="Arial"/>
                <w:b/>
                <w:bCs/>
                <w:color w:val="000000"/>
                <w:sz w:val="16"/>
                <w:szCs w:val="16"/>
              </w:rPr>
            </w:pPr>
            <w:r w:rsidRPr="00E21C60">
              <w:rPr>
                <w:rFonts w:ascii="Arial" w:hAnsi="Arial" w:cs="Arial"/>
                <w:b/>
                <w:bCs/>
                <w:color w:val="000000"/>
                <w:sz w:val="16"/>
                <w:szCs w:val="16"/>
              </w:rPr>
              <w:t>Cieľ zazmluv-</w:t>
            </w:r>
            <w:r w:rsidRPr="00E21C60">
              <w:rPr>
                <w:rFonts w:ascii="Arial" w:hAnsi="Arial" w:cs="Arial"/>
                <w:b/>
                <w:bCs/>
                <w:color w:val="000000"/>
                <w:sz w:val="16"/>
                <w:szCs w:val="16"/>
              </w:rPr>
              <w:br/>
              <w:t>nených projektov</w:t>
            </w:r>
          </w:p>
        </w:tc>
        <w:tc>
          <w:tcPr>
            <w:tcW w:w="1025"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9A3597A" w14:textId="77777777" w:rsidR="006C1B85" w:rsidRPr="00E21C60" w:rsidRDefault="006C1B85">
            <w:pPr>
              <w:jc w:val="center"/>
              <w:rPr>
                <w:rFonts w:ascii="Arial" w:hAnsi="Arial" w:cs="Arial"/>
                <w:b/>
                <w:bCs/>
                <w:color w:val="000000"/>
                <w:sz w:val="16"/>
                <w:szCs w:val="16"/>
              </w:rPr>
            </w:pPr>
            <w:r w:rsidRPr="00C4510C">
              <w:rPr>
                <w:rFonts w:ascii="Arial" w:hAnsi="Arial" w:cs="Arial"/>
                <w:b/>
                <w:bCs/>
                <w:color w:val="000000"/>
                <w:sz w:val="16"/>
                <w:szCs w:val="16"/>
              </w:rPr>
              <w:t>Úspešnosť plnenia (%)</w:t>
            </w:r>
          </w:p>
        </w:tc>
        <w:tc>
          <w:tcPr>
            <w:tcW w:w="1025"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AAC756F" w14:textId="77777777" w:rsidR="006C1B85" w:rsidRPr="00E21C60" w:rsidRDefault="006C1B85">
            <w:pPr>
              <w:jc w:val="center"/>
              <w:rPr>
                <w:rFonts w:ascii="Arial" w:hAnsi="Arial" w:cs="Arial"/>
                <w:b/>
                <w:bCs/>
                <w:color w:val="000000"/>
                <w:sz w:val="16"/>
                <w:szCs w:val="16"/>
              </w:rPr>
            </w:pPr>
            <w:r w:rsidRPr="00E21C60">
              <w:rPr>
                <w:rFonts w:ascii="Arial" w:hAnsi="Arial" w:cs="Arial"/>
                <w:b/>
                <w:bCs/>
                <w:color w:val="000000"/>
                <w:sz w:val="16"/>
                <w:szCs w:val="16"/>
              </w:rPr>
              <w:t>Úspešnosť plnenia zazmluv-</w:t>
            </w:r>
            <w:r w:rsidRPr="00E21C60">
              <w:rPr>
                <w:rFonts w:ascii="Arial" w:hAnsi="Arial" w:cs="Arial"/>
                <w:b/>
                <w:bCs/>
                <w:color w:val="000000"/>
                <w:sz w:val="16"/>
                <w:szCs w:val="16"/>
              </w:rPr>
              <w:br/>
              <w:t>nených projektov (%)</w:t>
            </w:r>
          </w:p>
        </w:tc>
      </w:tr>
      <w:tr w:rsidR="003C29B4" w:rsidRPr="00E21C60" w14:paraId="42E41CD3" w14:textId="77777777" w:rsidTr="0008447E">
        <w:trPr>
          <w:trHeight w:val="1125"/>
        </w:trPr>
        <w:tc>
          <w:tcPr>
            <w:tcW w:w="65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77ADDA8" w14:textId="77777777" w:rsidR="003C29B4" w:rsidRPr="002526CC" w:rsidRDefault="003C29B4" w:rsidP="003C29B4">
            <w:pPr>
              <w:jc w:val="center"/>
              <w:rPr>
                <w:rFonts w:ascii="Arial" w:hAnsi="Arial" w:cs="Arial"/>
                <w:color w:val="000000"/>
                <w:sz w:val="16"/>
                <w:szCs w:val="16"/>
              </w:rPr>
            </w:pPr>
            <w:r w:rsidRPr="002526CC">
              <w:rPr>
                <w:rFonts w:ascii="Arial" w:hAnsi="Arial" w:cs="Arial"/>
                <w:color w:val="000000"/>
                <w:sz w:val="16"/>
                <w:szCs w:val="16"/>
              </w:rPr>
              <w:t>2.1</w:t>
            </w:r>
          </w:p>
        </w:tc>
        <w:tc>
          <w:tcPr>
            <w:tcW w:w="1514" w:type="dxa"/>
            <w:tcBorders>
              <w:top w:val="single" w:sz="4" w:space="0" w:color="auto"/>
              <w:left w:val="nil"/>
              <w:bottom w:val="single" w:sz="4" w:space="0" w:color="auto"/>
              <w:right w:val="single" w:sz="4" w:space="0" w:color="auto"/>
            </w:tcBorders>
            <w:shd w:val="clear" w:color="auto" w:fill="auto"/>
            <w:vAlign w:val="center"/>
            <w:hideMark/>
          </w:tcPr>
          <w:p w14:paraId="4F96429B" w14:textId="77777777" w:rsidR="003C29B4" w:rsidRPr="00E21C60" w:rsidRDefault="003C29B4" w:rsidP="003C29B4">
            <w:pPr>
              <w:rPr>
                <w:rFonts w:ascii="Arial" w:hAnsi="Arial" w:cs="Arial"/>
                <w:color w:val="000000"/>
                <w:sz w:val="16"/>
                <w:szCs w:val="16"/>
              </w:rPr>
            </w:pPr>
            <w:r w:rsidRPr="00E21C60">
              <w:rPr>
                <w:rFonts w:ascii="Arial" w:hAnsi="Arial" w:cs="Arial"/>
                <w:color w:val="000000"/>
                <w:sz w:val="16"/>
                <w:szCs w:val="16"/>
              </w:rPr>
              <w:t>Počet opatrení zameraných na ochranu pred povodňami (spolu za projekty)</w:t>
            </w:r>
          </w:p>
        </w:tc>
        <w:tc>
          <w:tcPr>
            <w:tcW w:w="830" w:type="dxa"/>
            <w:tcBorders>
              <w:top w:val="single" w:sz="4" w:space="0" w:color="auto"/>
              <w:left w:val="nil"/>
              <w:bottom w:val="single" w:sz="4" w:space="0" w:color="auto"/>
              <w:right w:val="single" w:sz="4" w:space="0" w:color="auto"/>
            </w:tcBorders>
            <w:shd w:val="clear" w:color="auto" w:fill="auto"/>
            <w:vAlign w:val="center"/>
            <w:hideMark/>
          </w:tcPr>
          <w:p w14:paraId="52862693" w14:textId="77777777" w:rsidR="003C29B4" w:rsidRPr="00E21C60" w:rsidRDefault="003C29B4" w:rsidP="003C29B4">
            <w:pPr>
              <w:jc w:val="center"/>
              <w:rPr>
                <w:rFonts w:ascii="Arial" w:hAnsi="Arial" w:cs="Arial"/>
                <w:color w:val="000000"/>
                <w:sz w:val="16"/>
                <w:szCs w:val="16"/>
              </w:rPr>
            </w:pPr>
            <w:r w:rsidRPr="00E21C60">
              <w:rPr>
                <w:rFonts w:ascii="Arial" w:hAnsi="Arial" w:cs="Arial"/>
                <w:color w:val="000000"/>
                <w:sz w:val="16"/>
                <w:szCs w:val="16"/>
              </w:rPr>
              <w:t>počet</w:t>
            </w:r>
          </w:p>
        </w:tc>
        <w:tc>
          <w:tcPr>
            <w:tcW w:w="842" w:type="dxa"/>
            <w:tcBorders>
              <w:top w:val="single" w:sz="4" w:space="0" w:color="auto"/>
              <w:left w:val="nil"/>
              <w:bottom w:val="single" w:sz="4" w:space="0" w:color="auto"/>
              <w:right w:val="single" w:sz="4" w:space="0" w:color="auto"/>
            </w:tcBorders>
            <w:vAlign w:val="center"/>
          </w:tcPr>
          <w:p w14:paraId="3679D7BF" w14:textId="4E1BF230" w:rsidR="003C29B4" w:rsidRPr="00E21C60" w:rsidRDefault="003C29B4" w:rsidP="007F6DF3">
            <w:pPr>
              <w:jc w:val="center"/>
              <w:rPr>
                <w:rFonts w:ascii="Arial" w:hAnsi="Arial" w:cs="Arial"/>
                <w:color w:val="000000"/>
                <w:sz w:val="16"/>
                <w:szCs w:val="16"/>
              </w:rPr>
            </w:pPr>
            <w:r w:rsidRPr="000308DA">
              <w:rPr>
                <w:rFonts w:ascii="Arial" w:hAnsi="Arial" w:cs="Arial"/>
                <w:color w:val="000000"/>
                <w:sz w:val="16"/>
                <w:szCs w:val="16"/>
              </w:rPr>
              <w:t>11</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F82AF50" w14:textId="7F5D39A8" w:rsidR="003C29B4" w:rsidRPr="00E21C60" w:rsidRDefault="003C29B4" w:rsidP="0008447E">
            <w:pPr>
              <w:jc w:val="center"/>
              <w:rPr>
                <w:rFonts w:ascii="Arial" w:hAnsi="Arial" w:cs="Arial"/>
                <w:color w:val="000000"/>
                <w:sz w:val="16"/>
                <w:szCs w:val="16"/>
              </w:rPr>
            </w:pPr>
            <w:r w:rsidRPr="00E21C60">
              <w:rPr>
                <w:rFonts w:ascii="Arial" w:hAnsi="Arial" w:cs="Arial"/>
                <w:color w:val="000000"/>
                <w:sz w:val="16"/>
                <w:szCs w:val="16"/>
              </w:rPr>
              <w:t>136</w:t>
            </w:r>
          </w:p>
        </w:tc>
        <w:tc>
          <w:tcPr>
            <w:tcW w:w="709" w:type="dxa"/>
            <w:tcBorders>
              <w:top w:val="single" w:sz="4" w:space="0" w:color="auto"/>
              <w:left w:val="nil"/>
              <w:bottom w:val="single" w:sz="4" w:space="0" w:color="auto"/>
              <w:right w:val="single" w:sz="4" w:space="0" w:color="auto"/>
            </w:tcBorders>
            <w:shd w:val="clear" w:color="auto" w:fill="auto"/>
            <w:vAlign w:val="center"/>
          </w:tcPr>
          <w:p w14:paraId="538C8F11" w14:textId="65442BFA" w:rsidR="003C29B4" w:rsidRPr="00E21C60" w:rsidRDefault="0085219A" w:rsidP="0008447E">
            <w:pPr>
              <w:jc w:val="center"/>
              <w:rPr>
                <w:rFonts w:ascii="Arial" w:hAnsi="Arial" w:cs="Arial"/>
                <w:color w:val="000000"/>
                <w:sz w:val="16"/>
                <w:szCs w:val="16"/>
              </w:rPr>
            </w:pPr>
            <w:r>
              <w:rPr>
                <w:rFonts w:ascii="Arial" w:hAnsi="Arial" w:cs="Arial"/>
                <w:color w:val="000000"/>
                <w:sz w:val="16"/>
                <w:szCs w:val="16"/>
              </w:rPr>
              <w:t>80</w:t>
            </w:r>
          </w:p>
        </w:tc>
        <w:tc>
          <w:tcPr>
            <w:tcW w:w="746" w:type="dxa"/>
            <w:tcBorders>
              <w:top w:val="single" w:sz="4" w:space="0" w:color="auto"/>
              <w:left w:val="nil"/>
              <w:bottom w:val="single" w:sz="4" w:space="0" w:color="auto"/>
              <w:right w:val="single" w:sz="4" w:space="0" w:color="auto"/>
            </w:tcBorders>
            <w:shd w:val="clear" w:color="000000" w:fill="EBF1DE"/>
            <w:vAlign w:val="center"/>
          </w:tcPr>
          <w:p w14:paraId="52595485" w14:textId="7DF06925"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143</w:t>
            </w:r>
          </w:p>
        </w:tc>
        <w:tc>
          <w:tcPr>
            <w:tcW w:w="957" w:type="dxa"/>
            <w:tcBorders>
              <w:top w:val="nil"/>
              <w:left w:val="nil"/>
              <w:bottom w:val="single" w:sz="4" w:space="0" w:color="auto"/>
              <w:right w:val="single" w:sz="4" w:space="0" w:color="auto"/>
            </w:tcBorders>
            <w:shd w:val="clear" w:color="auto" w:fill="auto"/>
            <w:vAlign w:val="center"/>
            <w:hideMark/>
          </w:tcPr>
          <w:p w14:paraId="480C47E2" w14:textId="0AFEA841"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143</w:t>
            </w:r>
          </w:p>
        </w:tc>
        <w:tc>
          <w:tcPr>
            <w:tcW w:w="1025" w:type="dxa"/>
            <w:tcBorders>
              <w:top w:val="nil"/>
              <w:left w:val="nil"/>
              <w:bottom w:val="single" w:sz="4" w:space="0" w:color="auto"/>
              <w:right w:val="single" w:sz="4" w:space="0" w:color="auto"/>
            </w:tcBorders>
            <w:shd w:val="clear" w:color="000000" w:fill="EBF1DE"/>
            <w:vAlign w:val="center"/>
          </w:tcPr>
          <w:p w14:paraId="1A2E9394" w14:textId="66898A2C" w:rsidR="003C29B4" w:rsidRPr="00E21C60" w:rsidRDefault="003C29B4" w:rsidP="007F6DF3">
            <w:pPr>
              <w:jc w:val="center"/>
              <w:rPr>
                <w:rFonts w:ascii="Arial" w:hAnsi="Arial" w:cs="Arial"/>
                <w:color w:val="000000"/>
                <w:sz w:val="16"/>
                <w:szCs w:val="16"/>
              </w:rPr>
            </w:pPr>
            <w:r>
              <w:rPr>
                <w:rFonts w:ascii="Arial" w:hAnsi="Arial" w:cs="Arial"/>
                <w:color w:val="000000"/>
                <w:sz w:val="16"/>
                <w:szCs w:val="16"/>
              </w:rPr>
              <w:t>114</w:t>
            </w:r>
          </w:p>
        </w:tc>
        <w:tc>
          <w:tcPr>
            <w:tcW w:w="1025" w:type="dxa"/>
            <w:tcBorders>
              <w:top w:val="nil"/>
              <w:left w:val="nil"/>
              <w:bottom w:val="single" w:sz="4" w:space="0" w:color="auto"/>
              <w:right w:val="single" w:sz="4" w:space="0" w:color="auto"/>
            </w:tcBorders>
            <w:shd w:val="clear" w:color="auto" w:fill="auto"/>
            <w:vAlign w:val="center"/>
            <w:hideMark/>
          </w:tcPr>
          <w:p w14:paraId="07E04C84" w14:textId="45869B8A" w:rsidR="003C29B4" w:rsidRPr="00E21C60" w:rsidRDefault="003C29B4" w:rsidP="003C29B4">
            <w:pPr>
              <w:jc w:val="center"/>
              <w:rPr>
                <w:rFonts w:ascii="Arial" w:hAnsi="Arial" w:cs="Arial"/>
                <w:color w:val="000000"/>
                <w:sz w:val="16"/>
                <w:szCs w:val="16"/>
              </w:rPr>
            </w:pPr>
            <w:r>
              <w:rPr>
                <w:rFonts w:ascii="Arial" w:hAnsi="Arial" w:cs="Arial"/>
                <w:color w:val="000000"/>
                <w:sz w:val="16"/>
                <w:szCs w:val="16"/>
              </w:rPr>
              <w:t>114</w:t>
            </w:r>
          </w:p>
        </w:tc>
      </w:tr>
      <w:tr w:rsidR="0008447E" w:rsidRPr="00E21C60" w14:paraId="0CE6BFB9" w14:textId="77777777" w:rsidTr="0008447E">
        <w:trPr>
          <w:trHeight w:val="900"/>
        </w:trPr>
        <w:tc>
          <w:tcPr>
            <w:tcW w:w="657" w:type="dxa"/>
            <w:vMerge/>
            <w:tcBorders>
              <w:top w:val="single" w:sz="4" w:space="0" w:color="auto"/>
              <w:left w:val="single" w:sz="4" w:space="0" w:color="auto"/>
              <w:bottom w:val="single" w:sz="4" w:space="0" w:color="000000"/>
              <w:right w:val="single" w:sz="4" w:space="0" w:color="auto"/>
            </w:tcBorders>
            <w:vAlign w:val="center"/>
            <w:hideMark/>
          </w:tcPr>
          <w:p w14:paraId="44329F52" w14:textId="77777777" w:rsidR="003C29B4" w:rsidRPr="00E21C60" w:rsidRDefault="003C29B4" w:rsidP="003C29B4">
            <w:pPr>
              <w:rPr>
                <w:rFonts w:ascii="Arial" w:hAnsi="Arial" w:cs="Arial"/>
                <w:color w:val="000000"/>
                <w:sz w:val="16"/>
                <w:szCs w:val="16"/>
              </w:rPr>
            </w:pPr>
          </w:p>
        </w:tc>
        <w:tc>
          <w:tcPr>
            <w:tcW w:w="1514" w:type="dxa"/>
            <w:tcBorders>
              <w:top w:val="nil"/>
              <w:left w:val="nil"/>
              <w:bottom w:val="single" w:sz="4" w:space="0" w:color="auto"/>
              <w:right w:val="single" w:sz="4" w:space="0" w:color="auto"/>
            </w:tcBorders>
            <w:shd w:val="clear" w:color="auto" w:fill="auto"/>
            <w:vAlign w:val="center"/>
            <w:hideMark/>
          </w:tcPr>
          <w:p w14:paraId="6516F05E" w14:textId="77777777" w:rsidR="003C29B4" w:rsidRPr="00E21C60" w:rsidRDefault="003C29B4" w:rsidP="003C29B4">
            <w:pPr>
              <w:rPr>
                <w:rFonts w:ascii="Arial" w:hAnsi="Arial" w:cs="Arial"/>
                <w:color w:val="000000"/>
                <w:sz w:val="16"/>
                <w:szCs w:val="16"/>
              </w:rPr>
            </w:pPr>
            <w:r w:rsidRPr="00E21C60">
              <w:rPr>
                <w:rFonts w:ascii="Arial" w:hAnsi="Arial" w:cs="Arial"/>
                <w:color w:val="000000"/>
                <w:sz w:val="16"/>
                <w:szCs w:val="16"/>
              </w:rPr>
              <w:t>Plocha územia so zabezpečenou protipovodňovou ochranou</w:t>
            </w:r>
          </w:p>
        </w:tc>
        <w:tc>
          <w:tcPr>
            <w:tcW w:w="830" w:type="dxa"/>
            <w:tcBorders>
              <w:top w:val="nil"/>
              <w:left w:val="nil"/>
              <w:bottom w:val="single" w:sz="4" w:space="0" w:color="auto"/>
              <w:right w:val="single" w:sz="4" w:space="0" w:color="auto"/>
            </w:tcBorders>
            <w:shd w:val="clear" w:color="auto" w:fill="auto"/>
            <w:vAlign w:val="center"/>
            <w:hideMark/>
          </w:tcPr>
          <w:p w14:paraId="3C102F59" w14:textId="77777777" w:rsidR="003C29B4" w:rsidRPr="002526CC" w:rsidRDefault="003C29B4" w:rsidP="003C29B4">
            <w:pPr>
              <w:jc w:val="center"/>
              <w:rPr>
                <w:rFonts w:ascii="Arial" w:hAnsi="Arial" w:cs="Arial"/>
                <w:color w:val="000000"/>
                <w:sz w:val="16"/>
                <w:szCs w:val="16"/>
              </w:rPr>
            </w:pPr>
            <w:r w:rsidRPr="00E21C60">
              <w:rPr>
                <w:rFonts w:ascii="Arial" w:hAnsi="Arial" w:cs="Arial"/>
                <w:color w:val="000000"/>
                <w:sz w:val="16"/>
                <w:szCs w:val="16"/>
              </w:rPr>
              <w:t>km</w:t>
            </w:r>
            <w:r w:rsidRPr="00123376">
              <w:rPr>
                <w:rFonts w:ascii="Arial" w:hAnsi="Arial" w:cs="Arial"/>
                <w:color w:val="000000"/>
                <w:sz w:val="16"/>
                <w:szCs w:val="16"/>
                <w:vertAlign w:val="superscript"/>
              </w:rPr>
              <w:t>2</w:t>
            </w:r>
          </w:p>
        </w:tc>
        <w:tc>
          <w:tcPr>
            <w:tcW w:w="842" w:type="dxa"/>
            <w:tcBorders>
              <w:top w:val="single" w:sz="4" w:space="0" w:color="auto"/>
              <w:left w:val="nil"/>
              <w:bottom w:val="single" w:sz="4" w:space="0" w:color="auto"/>
              <w:right w:val="single" w:sz="4" w:space="0" w:color="auto"/>
            </w:tcBorders>
            <w:vAlign w:val="center"/>
          </w:tcPr>
          <w:p w14:paraId="3FD27129" w14:textId="2126EDF0" w:rsidR="003C29B4" w:rsidRPr="00E21C60" w:rsidRDefault="003C29B4" w:rsidP="007F6DF3">
            <w:pPr>
              <w:jc w:val="center"/>
              <w:rPr>
                <w:rFonts w:ascii="Arial" w:hAnsi="Arial" w:cs="Arial"/>
                <w:color w:val="000000"/>
                <w:sz w:val="16"/>
                <w:szCs w:val="16"/>
              </w:rPr>
            </w:pPr>
            <w:r w:rsidRPr="000308DA">
              <w:rPr>
                <w:rFonts w:ascii="Arial" w:hAnsi="Arial" w:cs="Arial"/>
                <w:color w:val="000000"/>
                <w:sz w:val="16"/>
                <w:szCs w:val="16"/>
              </w:rPr>
              <w:t>5800</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3F54412" w14:textId="7B567BA5" w:rsidR="003C29B4" w:rsidRPr="00E21C60" w:rsidRDefault="003C29B4" w:rsidP="0008447E">
            <w:pPr>
              <w:jc w:val="center"/>
              <w:rPr>
                <w:rFonts w:ascii="Arial" w:hAnsi="Arial" w:cs="Arial"/>
                <w:color w:val="000000"/>
                <w:sz w:val="16"/>
                <w:szCs w:val="16"/>
              </w:rPr>
            </w:pPr>
            <w:r w:rsidRPr="00E21C60">
              <w:rPr>
                <w:rFonts w:ascii="Arial" w:hAnsi="Arial" w:cs="Arial"/>
                <w:color w:val="000000"/>
                <w:sz w:val="16"/>
                <w:szCs w:val="16"/>
              </w:rPr>
              <w:t>5 987</w:t>
            </w:r>
          </w:p>
        </w:tc>
        <w:tc>
          <w:tcPr>
            <w:tcW w:w="709" w:type="dxa"/>
            <w:tcBorders>
              <w:top w:val="nil"/>
              <w:left w:val="nil"/>
              <w:bottom w:val="single" w:sz="4" w:space="0" w:color="auto"/>
              <w:right w:val="single" w:sz="4" w:space="0" w:color="auto"/>
            </w:tcBorders>
            <w:shd w:val="clear" w:color="auto" w:fill="auto"/>
            <w:vAlign w:val="center"/>
          </w:tcPr>
          <w:p w14:paraId="03413F1C" w14:textId="6421038F" w:rsidR="003C29B4" w:rsidRPr="00E21C60" w:rsidRDefault="0085219A" w:rsidP="0008447E">
            <w:pPr>
              <w:jc w:val="center"/>
              <w:rPr>
                <w:rFonts w:ascii="Arial" w:hAnsi="Arial" w:cs="Arial"/>
                <w:color w:val="000000"/>
                <w:sz w:val="16"/>
                <w:szCs w:val="16"/>
              </w:rPr>
            </w:pPr>
            <w:r>
              <w:rPr>
                <w:rFonts w:ascii="Arial" w:hAnsi="Arial" w:cs="Arial"/>
                <w:color w:val="000000"/>
                <w:sz w:val="16"/>
                <w:szCs w:val="16"/>
              </w:rPr>
              <w:t>486,19</w:t>
            </w:r>
          </w:p>
        </w:tc>
        <w:tc>
          <w:tcPr>
            <w:tcW w:w="746" w:type="dxa"/>
            <w:tcBorders>
              <w:top w:val="nil"/>
              <w:left w:val="nil"/>
              <w:bottom w:val="single" w:sz="4" w:space="0" w:color="auto"/>
              <w:right w:val="single" w:sz="4" w:space="0" w:color="auto"/>
            </w:tcBorders>
            <w:shd w:val="clear" w:color="9999FF" w:fill="EBF1DE"/>
            <w:vAlign w:val="center"/>
          </w:tcPr>
          <w:p w14:paraId="791EBD1B" w14:textId="0F62FF49"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568,29</w:t>
            </w:r>
          </w:p>
        </w:tc>
        <w:tc>
          <w:tcPr>
            <w:tcW w:w="957" w:type="dxa"/>
            <w:tcBorders>
              <w:top w:val="nil"/>
              <w:left w:val="nil"/>
              <w:bottom w:val="single" w:sz="4" w:space="0" w:color="auto"/>
              <w:right w:val="single" w:sz="4" w:space="0" w:color="auto"/>
            </w:tcBorders>
            <w:shd w:val="clear" w:color="auto" w:fill="auto"/>
            <w:vAlign w:val="center"/>
            <w:hideMark/>
          </w:tcPr>
          <w:p w14:paraId="2B49ADE6" w14:textId="5F4389F7"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1011,1</w:t>
            </w:r>
          </w:p>
        </w:tc>
        <w:tc>
          <w:tcPr>
            <w:tcW w:w="1025" w:type="dxa"/>
            <w:tcBorders>
              <w:top w:val="nil"/>
              <w:left w:val="nil"/>
              <w:bottom w:val="single" w:sz="4" w:space="0" w:color="auto"/>
              <w:right w:val="single" w:sz="4" w:space="0" w:color="auto"/>
            </w:tcBorders>
            <w:shd w:val="clear" w:color="000000" w:fill="EBF1DE"/>
            <w:vAlign w:val="center"/>
          </w:tcPr>
          <w:p w14:paraId="44A10920" w14:textId="3D10AEB5" w:rsidR="003C29B4" w:rsidRPr="00E21C60" w:rsidRDefault="003C29B4" w:rsidP="007F6DF3">
            <w:pPr>
              <w:jc w:val="center"/>
              <w:rPr>
                <w:rFonts w:ascii="Arial" w:hAnsi="Arial" w:cs="Arial"/>
                <w:color w:val="000000"/>
                <w:sz w:val="16"/>
                <w:szCs w:val="16"/>
              </w:rPr>
            </w:pPr>
            <w:r>
              <w:rPr>
                <w:rFonts w:ascii="Arial" w:hAnsi="Arial" w:cs="Arial"/>
                <w:color w:val="000000"/>
                <w:sz w:val="16"/>
                <w:szCs w:val="16"/>
              </w:rPr>
              <w:t>303,1</w:t>
            </w:r>
          </w:p>
        </w:tc>
        <w:tc>
          <w:tcPr>
            <w:tcW w:w="1025" w:type="dxa"/>
            <w:tcBorders>
              <w:top w:val="nil"/>
              <w:left w:val="nil"/>
              <w:bottom w:val="single" w:sz="4" w:space="0" w:color="auto"/>
              <w:right w:val="single" w:sz="4" w:space="0" w:color="auto"/>
            </w:tcBorders>
            <w:shd w:val="clear" w:color="auto" w:fill="auto"/>
            <w:vAlign w:val="center"/>
            <w:hideMark/>
          </w:tcPr>
          <w:p w14:paraId="70E7EFC8" w14:textId="7D66FDCA" w:rsidR="003C29B4" w:rsidRPr="00E21C60" w:rsidRDefault="003C29B4" w:rsidP="003C29B4">
            <w:pPr>
              <w:jc w:val="center"/>
              <w:rPr>
                <w:rFonts w:ascii="Arial" w:hAnsi="Arial" w:cs="Arial"/>
                <w:color w:val="000000"/>
                <w:sz w:val="16"/>
                <w:szCs w:val="16"/>
              </w:rPr>
            </w:pPr>
            <w:r>
              <w:rPr>
                <w:rFonts w:ascii="Arial" w:hAnsi="Arial" w:cs="Arial"/>
                <w:color w:val="000000"/>
                <w:sz w:val="16"/>
                <w:szCs w:val="16"/>
              </w:rPr>
              <w:t>541</w:t>
            </w:r>
          </w:p>
        </w:tc>
      </w:tr>
      <w:tr w:rsidR="0008447E" w:rsidRPr="00E21C60" w14:paraId="5EE5121F" w14:textId="77777777" w:rsidTr="0008447E">
        <w:trPr>
          <w:trHeight w:val="450"/>
        </w:trPr>
        <w:tc>
          <w:tcPr>
            <w:tcW w:w="657" w:type="dxa"/>
            <w:vMerge/>
            <w:tcBorders>
              <w:top w:val="single" w:sz="4" w:space="0" w:color="auto"/>
              <w:left w:val="single" w:sz="4" w:space="0" w:color="auto"/>
              <w:bottom w:val="single" w:sz="4" w:space="0" w:color="000000"/>
              <w:right w:val="single" w:sz="4" w:space="0" w:color="auto"/>
            </w:tcBorders>
            <w:vAlign w:val="center"/>
            <w:hideMark/>
          </w:tcPr>
          <w:p w14:paraId="0B55DD9F" w14:textId="77777777" w:rsidR="003C29B4" w:rsidRPr="00E21C60" w:rsidRDefault="003C29B4" w:rsidP="003C29B4">
            <w:pPr>
              <w:rPr>
                <w:rFonts w:ascii="Arial" w:hAnsi="Arial" w:cs="Arial"/>
                <w:color w:val="000000"/>
                <w:sz w:val="16"/>
                <w:szCs w:val="16"/>
              </w:rPr>
            </w:pPr>
          </w:p>
        </w:tc>
        <w:tc>
          <w:tcPr>
            <w:tcW w:w="1514" w:type="dxa"/>
            <w:tcBorders>
              <w:top w:val="nil"/>
              <w:left w:val="nil"/>
              <w:bottom w:val="single" w:sz="4" w:space="0" w:color="auto"/>
              <w:right w:val="single" w:sz="4" w:space="0" w:color="auto"/>
            </w:tcBorders>
            <w:shd w:val="clear" w:color="auto" w:fill="auto"/>
            <w:vAlign w:val="center"/>
            <w:hideMark/>
          </w:tcPr>
          <w:p w14:paraId="7823E630" w14:textId="77777777" w:rsidR="003C29B4" w:rsidRPr="00E21C60" w:rsidRDefault="003C29B4" w:rsidP="003C29B4">
            <w:pPr>
              <w:rPr>
                <w:rFonts w:ascii="Arial" w:hAnsi="Arial" w:cs="Arial"/>
                <w:color w:val="000000"/>
                <w:sz w:val="16"/>
                <w:szCs w:val="16"/>
              </w:rPr>
            </w:pPr>
            <w:r w:rsidRPr="00E21C60">
              <w:rPr>
                <w:rFonts w:ascii="Arial" w:hAnsi="Arial" w:cs="Arial"/>
                <w:color w:val="000000"/>
                <w:sz w:val="16"/>
                <w:szCs w:val="16"/>
              </w:rPr>
              <w:t>Počet projektov na prevenciu rizík</w:t>
            </w:r>
          </w:p>
        </w:tc>
        <w:tc>
          <w:tcPr>
            <w:tcW w:w="830" w:type="dxa"/>
            <w:tcBorders>
              <w:top w:val="nil"/>
              <w:left w:val="nil"/>
              <w:bottom w:val="single" w:sz="4" w:space="0" w:color="auto"/>
              <w:right w:val="single" w:sz="4" w:space="0" w:color="auto"/>
            </w:tcBorders>
            <w:shd w:val="clear" w:color="auto" w:fill="auto"/>
            <w:vAlign w:val="center"/>
            <w:hideMark/>
          </w:tcPr>
          <w:p w14:paraId="1442BFF1" w14:textId="77777777" w:rsidR="003C29B4" w:rsidRPr="00E21C60" w:rsidRDefault="003C29B4" w:rsidP="003C29B4">
            <w:pPr>
              <w:jc w:val="center"/>
              <w:rPr>
                <w:rFonts w:ascii="Arial" w:hAnsi="Arial" w:cs="Arial"/>
                <w:color w:val="000000"/>
                <w:sz w:val="16"/>
                <w:szCs w:val="16"/>
              </w:rPr>
            </w:pPr>
            <w:r w:rsidRPr="00E21C60">
              <w:rPr>
                <w:rFonts w:ascii="Arial" w:hAnsi="Arial" w:cs="Arial"/>
                <w:color w:val="000000"/>
                <w:sz w:val="16"/>
                <w:szCs w:val="16"/>
              </w:rPr>
              <w:t>počet</w:t>
            </w:r>
          </w:p>
        </w:tc>
        <w:tc>
          <w:tcPr>
            <w:tcW w:w="842" w:type="dxa"/>
            <w:tcBorders>
              <w:top w:val="single" w:sz="4" w:space="0" w:color="auto"/>
              <w:left w:val="nil"/>
              <w:bottom w:val="single" w:sz="4" w:space="0" w:color="auto"/>
              <w:right w:val="single" w:sz="4" w:space="0" w:color="auto"/>
            </w:tcBorders>
            <w:vAlign w:val="center"/>
          </w:tcPr>
          <w:p w14:paraId="0CB86DF8" w14:textId="6D82C323" w:rsidR="003C29B4" w:rsidRPr="00E21C60" w:rsidRDefault="003C29B4" w:rsidP="007F6DF3">
            <w:pPr>
              <w:jc w:val="center"/>
              <w:rPr>
                <w:rFonts w:ascii="Arial" w:hAnsi="Arial" w:cs="Arial"/>
                <w:color w:val="000000"/>
                <w:sz w:val="16"/>
                <w:szCs w:val="16"/>
              </w:rPr>
            </w:pPr>
            <w:r w:rsidRPr="000308DA">
              <w:rPr>
                <w:rFonts w:ascii="Arial" w:hAnsi="Arial" w:cs="Arial"/>
                <w:color w:val="000000"/>
                <w:sz w:val="16"/>
                <w:szCs w:val="16"/>
              </w:rPr>
              <w:t>9</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FCA47CE" w14:textId="074C146E" w:rsidR="003C29B4" w:rsidRPr="00E21C60" w:rsidRDefault="003C29B4" w:rsidP="0008447E">
            <w:pPr>
              <w:jc w:val="center"/>
              <w:rPr>
                <w:rFonts w:ascii="Arial" w:hAnsi="Arial" w:cs="Arial"/>
                <w:color w:val="000000"/>
                <w:sz w:val="16"/>
                <w:szCs w:val="16"/>
              </w:rPr>
            </w:pPr>
            <w:r w:rsidRPr="00E21C60">
              <w:rPr>
                <w:rFonts w:ascii="Arial" w:hAnsi="Arial" w:cs="Arial"/>
                <w:color w:val="000000"/>
                <w:sz w:val="16"/>
                <w:szCs w:val="16"/>
              </w:rPr>
              <w:t>57</w:t>
            </w:r>
          </w:p>
        </w:tc>
        <w:tc>
          <w:tcPr>
            <w:tcW w:w="709" w:type="dxa"/>
            <w:tcBorders>
              <w:top w:val="nil"/>
              <w:left w:val="nil"/>
              <w:bottom w:val="single" w:sz="4" w:space="0" w:color="auto"/>
              <w:right w:val="single" w:sz="4" w:space="0" w:color="auto"/>
            </w:tcBorders>
            <w:shd w:val="clear" w:color="9999FF" w:fill="FFFFFF"/>
            <w:vAlign w:val="center"/>
          </w:tcPr>
          <w:p w14:paraId="6E31A012" w14:textId="49732439" w:rsidR="003C29B4" w:rsidRPr="00E21C60" w:rsidRDefault="0085219A" w:rsidP="0008447E">
            <w:pPr>
              <w:jc w:val="center"/>
              <w:rPr>
                <w:rFonts w:ascii="Arial" w:hAnsi="Arial" w:cs="Arial"/>
                <w:color w:val="000000"/>
                <w:sz w:val="16"/>
                <w:szCs w:val="16"/>
              </w:rPr>
            </w:pPr>
            <w:r>
              <w:rPr>
                <w:rFonts w:ascii="Arial" w:hAnsi="Arial" w:cs="Arial"/>
                <w:color w:val="000000"/>
                <w:sz w:val="16"/>
                <w:szCs w:val="16"/>
              </w:rPr>
              <w:t>131</w:t>
            </w:r>
          </w:p>
        </w:tc>
        <w:tc>
          <w:tcPr>
            <w:tcW w:w="746" w:type="dxa"/>
            <w:tcBorders>
              <w:top w:val="nil"/>
              <w:left w:val="nil"/>
              <w:bottom w:val="single" w:sz="4" w:space="0" w:color="auto"/>
              <w:right w:val="single" w:sz="4" w:space="0" w:color="auto"/>
            </w:tcBorders>
            <w:shd w:val="clear" w:color="9999FF" w:fill="EBF1DE"/>
            <w:vAlign w:val="center"/>
          </w:tcPr>
          <w:p w14:paraId="00D6C482" w14:textId="295A0FD2"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126</w:t>
            </w:r>
          </w:p>
        </w:tc>
        <w:tc>
          <w:tcPr>
            <w:tcW w:w="957" w:type="dxa"/>
            <w:tcBorders>
              <w:top w:val="nil"/>
              <w:left w:val="nil"/>
              <w:bottom w:val="single" w:sz="4" w:space="0" w:color="auto"/>
              <w:right w:val="single" w:sz="4" w:space="0" w:color="auto"/>
            </w:tcBorders>
            <w:shd w:val="clear" w:color="auto" w:fill="auto"/>
            <w:vAlign w:val="center"/>
            <w:hideMark/>
          </w:tcPr>
          <w:p w14:paraId="4A3D6D58" w14:textId="3414D52E"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126</w:t>
            </w:r>
          </w:p>
        </w:tc>
        <w:tc>
          <w:tcPr>
            <w:tcW w:w="1025" w:type="dxa"/>
            <w:tcBorders>
              <w:top w:val="nil"/>
              <w:left w:val="nil"/>
              <w:bottom w:val="single" w:sz="4" w:space="0" w:color="auto"/>
              <w:right w:val="single" w:sz="4" w:space="0" w:color="auto"/>
            </w:tcBorders>
            <w:shd w:val="clear" w:color="000000" w:fill="EBF1DE"/>
            <w:vAlign w:val="center"/>
          </w:tcPr>
          <w:p w14:paraId="319892B3" w14:textId="1E430960" w:rsidR="003C29B4" w:rsidRPr="00E21C60" w:rsidRDefault="003C29B4" w:rsidP="007F6DF3">
            <w:pPr>
              <w:jc w:val="center"/>
              <w:rPr>
                <w:rFonts w:ascii="Arial" w:hAnsi="Arial" w:cs="Arial"/>
                <w:color w:val="000000"/>
                <w:sz w:val="16"/>
                <w:szCs w:val="16"/>
              </w:rPr>
            </w:pPr>
            <w:r>
              <w:rPr>
                <w:rFonts w:ascii="Arial" w:hAnsi="Arial" w:cs="Arial"/>
                <w:color w:val="000000"/>
                <w:sz w:val="16"/>
                <w:szCs w:val="16"/>
              </w:rPr>
              <w:t>263</w:t>
            </w:r>
          </w:p>
        </w:tc>
        <w:tc>
          <w:tcPr>
            <w:tcW w:w="1025" w:type="dxa"/>
            <w:tcBorders>
              <w:top w:val="nil"/>
              <w:left w:val="nil"/>
              <w:bottom w:val="single" w:sz="4" w:space="0" w:color="auto"/>
              <w:right w:val="single" w:sz="4" w:space="0" w:color="auto"/>
            </w:tcBorders>
            <w:shd w:val="clear" w:color="auto" w:fill="auto"/>
            <w:vAlign w:val="center"/>
            <w:hideMark/>
          </w:tcPr>
          <w:p w14:paraId="4540B824" w14:textId="709BFBF1" w:rsidR="003C29B4" w:rsidRPr="00E21C60" w:rsidRDefault="003C29B4" w:rsidP="003C29B4">
            <w:pPr>
              <w:jc w:val="center"/>
              <w:rPr>
                <w:rFonts w:ascii="Arial" w:hAnsi="Arial" w:cs="Arial"/>
                <w:color w:val="000000"/>
                <w:sz w:val="16"/>
                <w:szCs w:val="16"/>
              </w:rPr>
            </w:pPr>
            <w:r>
              <w:rPr>
                <w:rFonts w:ascii="Arial" w:hAnsi="Arial" w:cs="Arial"/>
                <w:color w:val="000000"/>
                <w:sz w:val="16"/>
                <w:szCs w:val="16"/>
              </w:rPr>
              <w:t>263</w:t>
            </w:r>
          </w:p>
        </w:tc>
      </w:tr>
      <w:tr w:rsidR="0008447E" w:rsidRPr="00E21C60" w14:paraId="72DB0459" w14:textId="77777777" w:rsidTr="0008447E">
        <w:trPr>
          <w:trHeight w:val="900"/>
        </w:trPr>
        <w:tc>
          <w:tcPr>
            <w:tcW w:w="657" w:type="dxa"/>
            <w:vMerge/>
            <w:tcBorders>
              <w:top w:val="single" w:sz="4" w:space="0" w:color="auto"/>
              <w:left w:val="single" w:sz="4" w:space="0" w:color="auto"/>
              <w:bottom w:val="single" w:sz="4" w:space="0" w:color="000000"/>
              <w:right w:val="single" w:sz="4" w:space="0" w:color="auto"/>
            </w:tcBorders>
            <w:vAlign w:val="center"/>
            <w:hideMark/>
          </w:tcPr>
          <w:p w14:paraId="14F50F53" w14:textId="77777777" w:rsidR="003C29B4" w:rsidRPr="00E21C60" w:rsidRDefault="003C29B4" w:rsidP="003C29B4">
            <w:pPr>
              <w:rPr>
                <w:rFonts w:ascii="Arial" w:hAnsi="Arial" w:cs="Arial"/>
                <w:color w:val="000000"/>
                <w:sz w:val="16"/>
                <w:szCs w:val="16"/>
              </w:rPr>
            </w:pPr>
          </w:p>
        </w:tc>
        <w:tc>
          <w:tcPr>
            <w:tcW w:w="1514" w:type="dxa"/>
            <w:tcBorders>
              <w:top w:val="nil"/>
              <w:left w:val="nil"/>
              <w:bottom w:val="single" w:sz="4" w:space="0" w:color="auto"/>
              <w:right w:val="single" w:sz="4" w:space="0" w:color="auto"/>
            </w:tcBorders>
            <w:shd w:val="clear" w:color="auto" w:fill="auto"/>
            <w:vAlign w:val="center"/>
            <w:hideMark/>
          </w:tcPr>
          <w:p w14:paraId="18599163" w14:textId="77777777" w:rsidR="003C29B4" w:rsidRPr="00E21C60" w:rsidRDefault="003C29B4" w:rsidP="003C29B4">
            <w:pPr>
              <w:rPr>
                <w:rFonts w:ascii="Arial" w:hAnsi="Arial" w:cs="Arial"/>
                <w:color w:val="000000"/>
                <w:sz w:val="16"/>
                <w:szCs w:val="16"/>
              </w:rPr>
            </w:pPr>
            <w:r w:rsidRPr="00E21C60">
              <w:rPr>
                <w:rFonts w:ascii="Arial" w:hAnsi="Arial" w:cs="Arial"/>
                <w:color w:val="000000"/>
                <w:sz w:val="16"/>
                <w:szCs w:val="16"/>
              </w:rPr>
              <w:t>Počet osôb chránených pred povodňami v dôsledku realizácie projektu</w:t>
            </w:r>
          </w:p>
        </w:tc>
        <w:tc>
          <w:tcPr>
            <w:tcW w:w="830" w:type="dxa"/>
            <w:tcBorders>
              <w:top w:val="nil"/>
              <w:left w:val="nil"/>
              <w:bottom w:val="single" w:sz="4" w:space="0" w:color="auto"/>
              <w:right w:val="single" w:sz="4" w:space="0" w:color="auto"/>
            </w:tcBorders>
            <w:shd w:val="clear" w:color="auto" w:fill="auto"/>
            <w:vAlign w:val="center"/>
            <w:hideMark/>
          </w:tcPr>
          <w:p w14:paraId="3F2B3937" w14:textId="77777777" w:rsidR="003C29B4" w:rsidRPr="00E21C60" w:rsidRDefault="003C29B4" w:rsidP="003C29B4">
            <w:pPr>
              <w:jc w:val="center"/>
              <w:rPr>
                <w:rFonts w:ascii="Arial" w:hAnsi="Arial" w:cs="Arial"/>
                <w:color w:val="000000"/>
                <w:sz w:val="16"/>
                <w:szCs w:val="16"/>
              </w:rPr>
            </w:pPr>
            <w:r w:rsidRPr="00E21C60">
              <w:rPr>
                <w:rFonts w:ascii="Arial" w:hAnsi="Arial" w:cs="Arial"/>
                <w:color w:val="000000"/>
                <w:sz w:val="16"/>
                <w:szCs w:val="16"/>
              </w:rPr>
              <w:t>počet</w:t>
            </w:r>
          </w:p>
        </w:tc>
        <w:tc>
          <w:tcPr>
            <w:tcW w:w="842" w:type="dxa"/>
            <w:tcBorders>
              <w:top w:val="single" w:sz="4" w:space="0" w:color="auto"/>
              <w:left w:val="nil"/>
              <w:bottom w:val="single" w:sz="4" w:space="0" w:color="auto"/>
              <w:right w:val="single" w:sz="4" w:space="0" w:color="auto"/>
            </w:tcBorders>
            <w:vAlign w:val="center"/>
          </w:tcPr>
          <w:p w14:paraId="5E5CADCB" w14:textId="4C850356" w:rsidR="003C29B4" w:rsidRPr="00E21C60" w:rsidRDefault="003C29B4" w:rsidP="007F6DF3">
            <w:pPr>
              <w:jc w:val="center"/>
              <w:rPr>
                <w:rFonts w:ascii="Arial" w:hAnsi="Arial" w:cs="Arial"/>
                <w:color w:val="000000"/>
                <w:sz w:val="16"/>
                <w:szCs w:val="16"/>
              </w:rPr>
            </w:pPr>
            <w:r w:rsidRPr="000308DA">
              <w:rPr>
                <w:rFonts w:ascii="Arial" w:hAnsi="Arial" w:cs="Arial"/>
                <w:color w:val="000000"/>
                <w:sz w:val="16"/>
                <w:szCs w:val="16"/>
              </w:rPr>
              <w:t>1420000</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83EB9EF" w14:textId="1A5F8ACE" w:rsidR="003C29B4" w:rsidRPr="00E21C60" w:rsidRDefault="003C29B4" w:rsidP="0008447E">
            <w:pPr>
              <w:jc w:val="center"/>
              <w:rPr>
                <w:rFonts w:ascii="Arial" w:hAnsi="Arial" w:cs="Arial"/>
                <w:color w:val="000000"/>
                <w:sz w:val="16"/>
                <w:szCs w:val="16"/>
              </w:rPr>
            </w:pPr>
            <w:r w:rsidRPr="00E21C60">
              <w:rPr>
                <w:rFonts w:ascii="Arial" w:hAnsi="Arial" w:cs="Arial"/>
                <w:color w:val="000000"/>
                <w:sz w:val="16"/>
                <w:szCs w:val="16"/>
              </w:rPr>
              <w:t>1 491 482</w:t>
            </w:r>
          </w:p>
        </w:tc>
        <w:tc>
          <w:tcPr>
            <w:tcW w:w="709" w:type="dxa"/>
            <w:tcBorders>
              <w:top w:val="nil"/>
              <w:left w:val="nil"/>
              <w:bottom w:val="single" w:sz="4" w:space="0" w:color="auto"/>
              <w:right w:val="single" w:sz="4" w:space="0" w:color="auto"/>
            </w:tcBorders>
            <w:shd w:val="clear" w:color="9999FF" w:fill="FFFFFF"/>
            <w:vAlign w:val="center"/>
          </w:tcPr>
          <w:p w14:paraId="1970068E" w14:textId="26A487A1" w:rsidR="003C29B4" w:rsidRPr="00E21C60" w:rsidRDefault="0085219A" w:rsidP="0008447E">
            <w:pPr>
              <w:jc w:val="center"/>
              <w:rPr>
                <w:rFonts w:ascii="Arial" w:hAnsi="Arial" w:cs="Arial"/>
                <w:color w:val="000000"/>
                <w:sz w:val="16"/>
                <w:szCs w:val="16"/>
              </w:rPr>
            </w:pPr>
            <w:r>
              <w:rPr>
                <w:rFonts w:ascii="Arial" w:hAnsi="Arial" w:cs="Arial"/>
                <w:color w:val="000000"/>
                <w:sz w:val="16"/>
                <w:szCs w:val="16"/>
              </w:rPr>
              <w:t>23 403</w:t>
            </w:r>
          </w:p>
        </w:tc>
        <w:tc>
          <w:tcPr>
            <w:tcW w:w="746" w:type="dxa"/>
            <w:tcBorders>
              <w:top w:val="nil"/>
              <w:left w:val="nil"/>
              <w:bottom w:val="single" w:sz="4" w:space="0" w:color="auto"/>
              <w:right w:val="single" w:sz="4" w:space="0" w:color="auto"/>
            </w:tcBorders>
            <w:shd w:val="clear" w:color="9999FF" w:fill="EBF1DE"/>
            <w:vAlign w:val="center"/>
          </w:tcPr>
          <w:p w14:paraId="11207C56" w14:textId="77777777" w:rsidR="003C29B4" w:rsidRDefault="003C29B4" w:rsidP="0008447E">
            <w:pPr>
              <w:jc w:val="center"/>
              <w:rPr>
                <w:rFonts w:ascii="Arial" w:hAnsi="Arial" w:cs="Arial"/>
                <w:color w:val="000000"/>
                <w:sz w:val="16"/>
                <w:szCs w:val="16"/>
              </w:rPr>
            </w:pPr>
            <w:r>
              <w:rPr>
                <w:rFonts w:ascii="Arial" w:hAnsi="Arial" w:cs="Arial"/>
                <w:color w:val="000000"/>
                <w:sz w:val="16"/>
                <w:szCs w:val="16"/>
              </w:rPr>
              <w:t>34 601</w:t>
            </w:r>
          </w:p>
          <w:p w14:paraId="79B82B75" w14:textId="1CF9C697" w:rsidR="003C29B4" w:rsidRPr="00E21C60" w:rsidRDefault="003C29B4" w:rsidP="0008447E">
            <w:pPr>
              <w:jc w:val="center"/>
              <w:rPr>
                <w:rFonts w:ascii="Arial" w:hAnsi="Arial" w:cs="Arial"/>
                <w:color w:val="000000"/>
                <w:sz w:val="16"/>
                <w:szCs w:val="16"/>
              </w:rPr>
            </w:pPr>
          </w:p>
        </w:tc>
        <w:tc>
          <w:tcPr>
            <w:tcW w:w="957" w:type="dxa"/>
            <w:tcBorders>
              <w:top w:val="nil"/>
              <w:left w:val="nil"/>
              <w:bottom w:val="single" w:sz="4" w:space="0" w:color="auto"/>
              <w:right w:val="single" w:sz="4" w:space="0" w:color="auto"/>
            </w:tcBorders>
            <w:shd w:val="clear" w:color="auto" w:fill="auto"/>
            <w:vAlign w:val="center"/>
            <w:hideMark/>
          </w:tcPr>
          <w:p w14:paraId="29681859" w14:textId="35445A3C"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224 646</w:t>
            </w:r>
          </w:p>
        </w:tc>
        <w:tc>
          <w:tcPr>
            <w:tcW w:w="1025" w:type="dxa"/>
            <w:tcBorders>
              <w:top w:val="nil"/>
              <w:left w:val="nil"/>
              <w:bottom w:val="single" w:sz="4" w:space="0" w:color="auto"/>
              <w:right w:val="single" w:sz="4" w:space="0" w:color="auto"/>
            </w:tcBorders>
            <w:shd w:val="clear" w:color="000000" w:fill="EBF1DE"/>
            <w:vAlign w:val="center"/>
          </w:tcPr>
          <w:p w14:paraId="197AD717" w14:textId="1A467F4C" w:rsidR="003C29B4" w:rsidRPr="00E21C60" w:rsidRDefault="003C29B4" w:rsidP="007F6DF3">
            <w:pPr>
              <w:jc w:val="center"/>
              <w:rPr>
                <w:rFonts w:ascii="Arial" w:hAnsi="Arial" w:cs="Arial"/>
                <w:color w:val="000000"/>
                <w:sz w:val="16"/>
                <w:szCs w:val="16"/>
              </w:rPr>
            </w:pPr>
            <w:r>
              <w:rPr>
                <w:rFonts w:ascii="Arial" w:hAnsi="Arial" w:cs="Arial"/>
                <w:color w:val="000000"/>
                <w:sz w:val="16"/>
                <w:szCs w:val="16"/>
              </w:rPr>
              <w:t>48,4</w:t>
            </w:r>
          </w:p>
        </w:tc>
        <w:tc>
          <w:tcPr>
            <w:tcW w:w="1025" w:type="dxa"/>
            <w:tcBorders>
              <w:top w:val="nil"/>
              <w:left w:val="nil"/>
              <w:bottom w:val="single" w:sz="4" w:space="0" w:color="auto"/>
              <w:right w:val="single" w:sz="4" w:space="0" w:color="auto"/>
            </w:tcBorders>
            <w:shd w:val="clear" w:color="auto" w:fill="auto"/>
            <w:vAlign w:val="center"/>
            <w:hideMark/>
          </w:tcPr>
          <w:p w14:paraId="189A4F25" w14:textId="1D8E55BC" w:rsidR="003C29B4" w:rsidRPr="00E21C60" w:rsidRDefault="003C29B4" w:rsidP="003C29B4">
            <w:pPr>
              <w:jc w:val="center"/>
              <w:rPr>
                <w:rFonts w:ascii="Arial" w:hAnsi="Arial" w:cs="Arial"/>
                <w:color w:val="000000"/>
                <w:sz w:val="16"/>
                <w:szCs w:val="16"/>
              </w:rPr>
            </w:pPr>
            <w:r>
              <w:rPr>
                <w:rFonts w:ascii="Arial" w:hAnsi="Arial" w:cs="Arial"/>
                <w:color w:val="000000"/>
                <w:sz w:val="16"/>
                <w:szCs w:val="16"/>
              </w:rPr>
              <w:t>314</w:t>
            </w:r>
          </w:p>
        </w:tc>
      </w:tr>
      <w:tr w:rsidR="0008447E" w:rsidRPr="00E21C60" w14:paraId="19AB58D9" w14:textId="77777777" w:rsidTr="0008447E">
        <w:trPr>
          <w:trHeight w:val="675"/>
        </w:trPr>
        <w:tc>
          <w:tcPr>
            <w:tcW w:w="657" w:type="dxa"/>
            <w:vMerge/>
            <w:tcBorders>
              <w:top w:val="single" w:sz="4" w:space="0" w:color="auto"/>
              <w:left w:val="single" w:sz="4" w:space="0" w:color="auto"/>
              <w:bottom w:val="single" w:sz="4" w:space="0" w:color="000000"/>
              <w:right w:val="single" w:sz="4" w:space="0" w:color="auto"/>
            </w:tcBorders>
            <w:vAlign w:val="center"/>
            <w:hideMark/>
          </w:tcPr>
          <w:p w14:paraId="5742B63A" w14:textId="77777777" w:rsidR="003C29B4" w:rsidRPr="00E21C60" w:rsidRDefault="003C29B4" w:rsidP="003C29B4">
            <w:pPr>
              <w:rPr>
                <w:rFonts w:ascii="Arial" w:hAnsi="Arial" w:cs="Arial"/>
                <w:color w:val="000000"/>
                <w:sz w:val="16"/>
                <w:szCs w:val="16"/>
              </w:rPr>
            </w:pPr>
          </w:p>
        </w:tc>
        <w:tc>
          <w:tcPr>
            <w:tcW w:w="1514" w:type="dxa"/>
            <w:tcBorders>
              <w:top w:val="nil"/>
              <w:left w:val="nil"/>
              <w:bottom w:val="single" w:sz="4" w:space="0" w:color="auto"/>
              <w:right w:val="single" w:sz="4" w:space="0" w:color="auto"/>
            </w:tcBorders>
            <w:shd w:val="clear" w:color="auto" w:fill="auto"/>
            <w:vAlign w:val="center"/>
            <w:hideMark/>
          </w:tcPr>
          <w:p w14:paraId="3555BE7D" w14:textId="77777777" w:rsidR="003C29B4" w:rsidRPr="00E21C60" w:rsidRDefault="003C29B4" w:rsidP="003C29B4">
            <w:pPr>
              <w:rPr>
                <w:rFonts w:ascii="Arial" w:hAnsi="Arial" w:cs="Arial"/>
                <w:color w:val="000000"/>
                <w:sz w:val="16"/>
                <w:szCs w:val="16"/>
              </w:rPr>
            </w:pPr>
            <w:r w:rsidRPr="00E21C60">
              <w:rPr>
                <w:rFonts w:ascii="Arial" w:hAnsi="Arial" w:cs="Arial"/>
                <w:color w:val="000000"/>
                <w:sz w:val="16"/>
                <w:szCs w:val="16"/>
              </w:rPr>
              <w:t>Počet EÚ modulov protipovodňovej ochrany</w:t>
            </w:r>
          </w:p>
        </w:tc>
        <w:tc>
          <w:tcPr>
            <w:tcW w:w="830" w:type="dxa"/>
            <w:tcBorders>
              <w:top w:val="nil"/>
              <w:left w:val="nil"/>
              <w:bottom w:val="single" w:sz="4" w:space="0" w:color="auto"/>
              <w:right w:val="single" w:sz="4" w:space="0" w:color="auto"/>
            </w:tcBorders>
            <w:shd w:val="clear" w:color="auto" w:fill="auto"/>
            <w:vAlign w:val="center"/>
            <w:hideMark/>
          </w:tcPr>
          <w:p w14:paraId="35799F12" w14:textId="77777777" w:rsidR="003C29B4" w:rsidRPr="00E21C60" w:rsidRDefault="003C29B4" w:rsidP="003C29B4">
            <w:pPr>
              <w:jc w:val="center"/>
              <w:rPr>
                <w:rFonts w:ascii="Arial" w:hAnsi="Arial" w:cs="Arial"/>
                <w:color w:val="000000"/>
                <w:sz w:val="16"/>
                <w:szCs w:val="16"/>
              </w:rPr>
            </w:pPr>
            <w:r w:rsidRPr="00E21C60">
              <w:rPr>
                <w:rFonts w:ascii="Arial" w:hAnsi="Arial" w:cs="Arial"/>
                <w:color w:val="000000"/>
                <w:sz w:val="16"/>
                <w:szCs w:val="16"/>
              </w:rPr>
              <w:t>počet</w:t>
            </w:r>
          </w:p>
        </w:tc>
        <w:tc>
          <w:tcPr>
            <w:tcW w:w="842" w:type="dxa"/>
            <w:tcBorders>
              <w:top w:val="single" w:sz="4" w:space="0" w:color="auto"/>
              <w:left w:val="nil"/>
              <w:bottom w:val="single" w:sz="4" w:space="0" w:color="auto"/>
              <w:right w:val="single" w:sz="4" w:space="0" w:color="auto"/>
            </w:tcBorders>
            <w:vAlign w:val="center"/>
          </w:tcPr>
          <w:p w14:paraId="7B7F3332" w14:textId="25DDCA31" w:rsidR="003C29B4" w:rsidRPr="00E21C60" w:rsidRDefault="003C29B4" w:rsidP="007F6DF3">
            <w:pPr>
              <w:jc w:val="center"/>
              <w:rPr>
                <w:rFonts w:ascii="Arial" w:hAnsi="Arial" w:cs="Arial"/>
                <w:color w:val="000000"/>
                <w:sz w:val="16"/>
                <w:szCs w:val="16"/>
              </w:rPr>
            </w:pPr>
            <w:r w:rsidRPr="000308DA">
              <w:rPr>
                <w:rFonts w:ascii="Arial" w:hAnsi="Arial" w:cs="Arial"/>
                <w:color w:val="000000"/>
                <w:sz w:val="16"/>
                <w:szCs w:val="16"/>
              </w:rPr>
              <w:t>0</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5D85154" w14:textId="24841DFD" w:rsidR="003C29B4" w:rsidRPr="00E21C60" w:rsidRDefault="003C29B4" w:rsidP="0008447E">
            <w:pPr>
              <w:jc w:val="center"/>
              <w:rPr>
                <w:rFonts w:ascii="Arial" w:hAnsi="Arial" w:cs="Arial"/>
                <w:color w:val="000000"/>
                <w:sz w:val="16"/>
                <w:szCs w:val="16"/>
              </w:rPr>
            </w:pPr>
            <w:r w:rsidRPr="00E21C60">
              <w:rPr>
                <w:rFonts w:ascii="Arial" w:hAnsi="Arial" w:cs="Arial"/>
                <w:color w:val="000000"/>
                <w:sz w:val="16"/>
                <w:szCs w:val="16"/>
              </w:rPr>
              <w:t>2</w:t>
            </w:r>
          </w:p>
        </w:tc>
        <w:tc>
          <w:tcPr>
            <w:tcW w:w="709" w:type="dxa"/>
            <w:tcBorders>
              <w:top w:val="nil"/>
              <w:left w:val="nil"/>
              <w:bottom w:val="single" w:sz="4" w:space="0" w:color="auto"/>
              <w:right w:val="single" w:sz="4" w:space="0" w:color="auto"/>
            </w:tcBorders>
            <w:shd w:val="clear" w:color="9999FF" w:fill="FFFFFF"/>
            <w:vAlign w:val="center"/>
          </w:tcPr>
          <w:p w14:paraId="26B4CA8D" w14:textId="787BDFF1"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0</w:t>
            </w:r>
          </w:p>
        </w:tc>
        <w:tc>
          <w:tcPr>
            <w:tcW w:w="746" w:type="dxa"/>
            <w:tcBorders>
              <w:top w:val="nil"/>
              <w:left w:val="nil"/>
              <w:bottom w:val="single" w:sz="4" w:space="0" w:color="auto"/>
              <w:right w:val="single" w:sz="4" w:space="0" w:color="auto"/>
            </w:tcBorders>
            <w:shd w:val="clear" w:color="9999FF" w:fill="EBF1DE"/>
            <w:vAlign w:val="center"/>
          </w:tcPr>
          <w:p w14:paraId="00CB3E32" w14:textId="434B07CD"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2</w:t>
            </w:r>
          </w:p>
        </w:tc>
        <w:tc>
          <w:tcPr>
            <w:tcW w:w="957" w:type="dxa"/>
            <w:tcBorders>
              <w:top w:val="nil"/>
              <w:left w:val="nil"/>
              <w:bottom w:val="single" w:sz="4" w:space="0" w:color="auto"/>
              <w:right w:val="single" w:sz="4" w:space="0" w:color="auto"/>
            </w:tcBorders>
            <w:shd w:val="clear" w:color="auto" w:fill="auto"/>
            <w:vAlign w:val="center"/>
            <w:hideMark/>
          </w:tcPr>
          <w:p w14:paraId="101DB5C5" w14:textId="30772900"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2</w:t>
            </w:r>
          </w:p>
        </w:tc>
        <w:tc>
          <w:tcPr>
            <w:tcW w:w="1025" w:type="dxa"/>
            <w:tcBorders>
              <w:top w:val="nil"/>
              <w:left w:val="nil"/>
              <w:bottom w:val="single" w:sz="4" w:space="0" w:color="auto"/>
              <w:right w:val="single" w:sz="4" w:space="0" w:color="auto"/>
            </w:tcBorders>
            <w:shd w:val="clear" w:color="000000" w:fill="EBF1DE"/>
            <w:vAlign w:val="center"/>
          </w:tcPr>
          <w:p w14:paraId="5ED3037C" w14:textId="666CC38F" w:rsidR="003C29B4" w:rsidRPr="00E21C60" w:rsidRDefault="003C29B4" w:rsidP="007F6DF3">
            <w:pPr>
              <w:jc w:val="center"/>
              <w:rPr>
                <w:rFonts w:ascii="Arial" w:hAnsi="Arial" w:cs="Arial"/>
                <w:color w:val="000000"/>
                <w:sz w:val="16"/>
                <w:szCs w:val="16"/>
              </w:rPr>
            </w:pPr>
            <w:r>
              <w:rPr>
                <w:rFonts w:ascii="Arial" w:hAnsi="Arial" w:cs="Arial"/>
                <w:color w:val="000000"/>
                <w:sz w:val="16"/>
                <w:szCs w:val="16"/>
              </w:rPr>
              <w:t>100</w:t>
            </w:r>
          </w:p>
        </w:tc>
        <w:tc>
          <w:tcPr>
            <w:tcW w:w="1025" w:type="dxa"/>
            <w:tcBorders>
              <w:top w:val="nil"/>
              <w:left w:val="nil"/>
              <w:bottom w:val="single" w:sz="4" w:space="0" w:color="auto"/>
              <w:right w:val="single" w:sz="4" w:space="0" w:color="auto"/>
            </w:tcBorders>
            <w:shd w:val="clear" w:color="auto" w:fill="auto"/>
            <w:vAlign w:val="center"/>
            <w:hideMark/>
          </w:tcPr>
          <w:p w14:paraId="603984DF" w14:textId="759727A0" w:rsidR="003C29B4" w:rsidRPr="00E21C60" w:rsidRDefault="003C29B4" w:rsidP="003C29B4">
            <w:pPr>
              <w:jc w:val="center"/>
              <w:rPr>
                <w:rFonts w:ascii="Arial" w:hAnsi="Arial" w:cs="Arial"/>
                <w:color w:val="000000"/>
                <w:sz w:val="16"/>
                <w:szCs w:val="16"/>
              </w:rPr>
            </w:pPr>
            <w:r>
              <w:rPr>
                <w:rFonts w:ascii="Arial" w:hAnsi="Arial" w:cs="Arial"/>
                <w:color w:val="000000"/>
                <w:sz w:val="16"/>
                <w:szCs w:val="16"/>
              </w:rPr>
              <w:t>100</w:t>
            </w:r>
          </w:p>
        </w:tc>
      </w:tr>
      <w:tr w:rsidR="0008447E" w:rsidRPr="00E21C60" w14:paraId="378C3C27" w14:textId="77777777" w:rsidTr="0008447E">
        <w:trPr>
          <w:trHeight w:val="675"/>
        </w:trPr>
        <w:tc>
          <w:tcPr>
            <w:tcW w:w="657" w:type="dxa"/>
            <w:vMerge/>
            <w:tcBorders>
              <w:top w:val="single" w:sz="4" w:space="0" w:color="auto"/>
              <w:left w:val="single" w:sz="4" w:space="0" w:color="auto"/>
              <w:bottom w:val="single" w:sz="4" w:space="0" w:color="000000"/>
              <w:right w:val="single" w:sz="4" w:space="0" w:color="auto"/>
            </w:tcBorders>
            <w:vAlign w:val="center"/>
            <w:hideMark/>
          </w:tcPr>
          <w:p w14:paraId="5D7C3DA5" w14:textId="77777777" w:rsidR="003C29B4" w:rsidRPr="00E21C60" w:rsidRDefault="003C29B4" w:rsidP="003C29B4">
            <w:pPr>
              <w:rPr>
                <w:rFonts w:ascii="Arial" w:hAnsi="Arial" w:cs="Arial"/>
                <w:color w:val="000000"/>
                <w:sz w:val="16"/>
                <w:szCs w:val="16"/>
              </w:rPr>
            </w:pPr>
          </w:p>
        </w:tc>
        <w:tc>
          <w:tcPr>
            <w:tcW w:w="1514" w:type="dxa"/>
            <w:tcBorders>
              <w:top w:val="nil"/>
              <w:left w:val="nil"/>
              <w:bottom w:val="single" w:sz="4" w:space="0" w:color="auto"/>
              <w:right w:val="single" w:sz="4" w:space="0" w:color="auto"/>
            </w:tcBorders>
            <w:shd w:val="clear" w:color="auto" w:fill="auto"/>
            <w:vAlign w:val="center"/>
            <w:hideMark/>
          </w:tcPr>
          <w:p w14:paraId="0255C15B" w14:textId="77777777" w:rsidR="003C29B4" w:rsidRPr="00E21C60" w:rsidRDefault="003C29B4" w:rsidP="003C29B4">
            <w:pPr>
              <w:rPr>
                <w:rFonts w:ascii="Arial" w:hAnsi="Arial" w:cs="Arial"/>
                <w:color w:val="000000"/>
                <w:sz w:val="16"/>
                <w:szCs w:val="16"/>
              </w:rPr>
            </w:pPr>
            <w:r w:rsidRPr="00E21C60">
              <w:rPr>
                <w:rFonts w:ascii="Arial" w:hAnsi="Arial" w:cs="Arial"/>
                <w:color w:val="000000"/>
                <w:sz w:val="16"/>
                <w:szCs w:val="16"/>
              </w:rPr>
              <w:t>Počet národných protipovodňových modulov</w:t>
            </w:r>
          </w:p>
        </w:tc>
        <w:tc>
          <w:tcPr>
            <w:tcW w:w="830" w:type="dxa"/>
            <w:tcBorders>
              <w:top w:val="nil"/>
              <w:left w:val="nil"/>
              <w:bottom w:val="single" w:sz="4" w:space="0" w:color="auto"/>
              <w:right w:val="single" w:sz="4" w:space="0" w:color="auto"/>
            </w:tcBorders>
            <w:shd w:val="clear" w:color="auto" w:fill="auto"/>
            <w:vAlign w:val="center"/>
            <w:hideMark/>
          </w:tcPr>
          <w:p w14:paraId="2EE76E71" w14:textId="77777777" w:rsidR="003C29B4" w:rsidRPr="00E21C60" w:rsidRDefault="003C29B4" w:rsidP="003C29B4">
            <w:pPr>
              <w:jc w:val="center"/>
              <w:rPr>
                <w:rFonts w:ascii="Arial" w:hAnsi="Arial" w:cs="Arial"/>
                <w:color w:val="000000"/>
                <w:sz w:val="16"/>
                <w:szCs w:val="16"/>
              </w:rPr>
            </w:pPr>
            <w:r w:rsidRPr="00E21C60">
              <w:rPr>
                <w:rFonts w:ascii="Arial" w:hAnsi="Arial" w:cs="Arial"/>
                <w:color w:val="000000"/>
                <w:sz w:val="16"/>
                <w:szCs w:val="16"/>
              </w:rPr>
              <w:t>počet</w:t>
            </w:r>
          </w:p>
        </w:tc>
        <w:tc>
          <w:tcPr>
            <w:tcW w:w="842" w:type="dxa"/>
            <w:tcBorders>
              <w:top w:val="single" w:sz="4" w:space="0" w:color="auto"/>
              <w:left w:val="nil"/>
              <w:bottom w:val="single" w:sz="4" w:space="0" w:color="auto"/>
              <w:right w:val="single" w:sz="4" w:space="0" w:color="auto"/>
            </w:tcBorders>
            <w:vAlign w:val="center"/>
          </w:tcPr>
          <w:p w14:paraId="67E682FB" w14:textId="48A28C5F" w:rsidR="003C29B4" w:rsidRPr="00E21C60" w:rsidRDefault="003C29B4" w:rsidP="007F6DF3">
            <w:pPr>
              <w:jc w:val="center"/>
              <w:rPr>
                <w:rFonts w:ascii="Arial" w:hAnsi="Arial" w:cs="Arial"/>
                <w:color w:val="000000"/>
                <w:sz w:val="16"/>
                <w:szCs w:val="16"/>
              </w:rPr>
            </w:pPr>
            <w:r w:rsidRPr="000308DA">
              <w:rPr>
                <w:rFonts w:ascii="Arial" w:hAnsi="Arial" w:cs="Arial"/>
                <w:color w:val="000000"/>
                <w:sz w:val="16"/>
                <w:szCs w:val="16"/>
              </w:rPr>
              <w:t>3</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F84A93C" w14:textId="59DBFF85" w:rsidR="003C29B4" w:rsidRPr="00E21C60" w:rsidRDefault="003C29B4" w:rsidP="0008447E">
            <w:pPr>
              <w:jc w:val="center"/>
              <w:rPr>
                <w:rFonts w:ascii="Arial" w:hAnsi="Arial" w:cs="Arial"/>
                <w:color w:val="000000"/>
                <w:sz w:val="16"/>
                <w:szCs w:val="16"/>
              </w:rPr>
            </w:pPr>
            <w:r w:rsidRPr="00E21C60">
              <w:rPr>
                <w:rFonts w:ascii="Arial" w:hAnsi="Arial" w:cs="Arial"/>
                <w:color w:val="000000"/>
                <w:sz w:val="16"/>
                <w:szCs w:val="16"/>
              </w:rPr>
              <w:t>5</w:t>
            </w:r>
          </w:p>
        </w:tc>
        <w:tc>
          <w:tcPr>
            <w:tcW w:w="709" w:type="dxa"/>
            <w:tcBorders>
              <w:top w:val="nil"/>
              <w:left w:val="nil"/>
              <w:bottom w:val="single" w:sz="4" w:space="0" w:color="auto"/>
              <w:right w:val="single" w:sz="4" w:space="0" w:color="auto"/>
            </w:tcBorders>
            <w:shd w:val="clear" w:color="9999FF" w:fill="FFFFFF"/>
            <w:vAlign w:val="center"/>
          </w:tcPr>
          <w:p w14:paraId="1F5D5EE1" w14:textId="42D82DCB"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0</w:t>
            </w:r>
          </w:p>
        </w:tc>
        <w:tc>
          <w:tcPr>
            <w:tcW w:w="746" w:type="dxa"/>
            <w:tcBorders>
              <w:top w:val="nil"/>
              <w:left w:val="nil"/>
              <w:bottom w:val="single" w:sz="4" w:space="0" w:color="auto"/>
              <w:right w:val="single" w:sz="4" w:space="0" w:color="auto"/>
            </w:tcBorders>
            <w:shd w:val="clear" w:color="9999FF" w:fill="EBF1DE"/>
            <w:vAlign w:val="center"/>
          </w:tcPr>
          <w:p w14:paraId="5C0DAFC9" w14:textId="7A61AA92"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2</w:t>
            </w:r>
          </w:p>
        </w:tc>
        <w:tc>
          <w:tcPr>
            <w:tcW w:w="957" w:type="dxa"/>
            <w:tcBorders>
              <w:top w:val="nil"/>
              <w:left w:val="nil"/>
              <w:bottom w:val="single" w:sz="4" w:space="0" w:color="auto"/>
              <w:right w:val="single" w:sz="4" w:space="0" w:color="auto"/>
            </w:tcBorders>
            <w:shd w:val="clear" w:color="auto" w:fill="auto"/>
            <w:vAlign w:val="center"/>
            <w:hideMark/>
          </w:tcPr>
          <w:p w14:paraId="141D87E4" w14:textId="0FD99D7A"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2</w:t>
            </w:r>
          </w:p>
        </w:tc>
        <w:tc>
          <w:tcPr>
            <w:tcW w:w="1025" w:type="dxa"/>
            <w:tcBorders>
              <w:top w:val="nil"/>
              <w:left w:val="nil"/>
              <w:bottom w:val="single" w:sz="4" w:space="0" w:color="auto"/>
              <w:right w:val="single" w:sz="4" w:space="0" w:color="auto"/>
            </w:tcBorders>
            <w:shd w:val="clear" w:color="000000" w:fill="EBF1DE"/>
            <w:vAlign w:val="center"/>
          </w:tcPr>
          <w:p w14:paraId="4BF2EF73" w14:textId="2A7AFD4E" w:rsidR="003C29B4" w:rsidRPr="00E21C60" w:rsidRDefault="003C29B4" w:rsidP="007F6DF3">
            <w:pPr>
              <w:jc w:val="center"/>
              <w:rPr>
                <w:rFonts w:ascii="Arial" w:hAnsi="Arial" w:cs="Arial"/>
                <w:color w:val="000000"/>
                <w:sz w:val="16"/>
                <w:szCs w:val="16"/>
              </w:rPr>
            </w:pPr>
            <w:r>
              <w:rPr>
                <w:rFonts w:ascii="Arial" w:hAnsi="Arial" w:cs="Arial"/>
                <w:color w:val="000000"/>
                <w:sz w:val="16"/>
                <w:szCs w:val="16"/>
              </w:rPr>
              <w:t>100</w:t>
            </w:r>
          </w:p>
        </w:tc>
        <w:tc>
          <w:tcPr>
            <w:tcW w:w="1025" w:type="dxa"/>
            <w:tcBorders>
              <w:top w:val="nil"/>
              <w:left w:val="nil"/>
              <w:bottom w:val="single" w:sz="4" w:space="0" w:color="auto"/>
              <w:right w:val="single" w:sz="4" w:space="0" w:color="auto"/>
            </w:tcBorders>
            <w:shd w:val="clear" w:color="auto" w:fill="auto"/>
            <w:vAlign w:val="center"/>
            <w:hideMark/>
          </w:tcPr>
          <w:p w14:paraId="41D8DC67" w14:textId="4B5464B7" w:rsidR="003C29B4" w:rsidRPr="00E21C60" w:rsidRDefault="003C29B4" w:rsidP="003C29B4">
            <w:pPr>
              <w:jc w:val="center"/>
              <w:rPr>
                <w:rFonts w:ascii="Arial" w:hAnsi="Arial" w:cs="Arial"/>
                <w:color w:val="000000"/>
                <w:sz w:val="16"/>
                <w:szCs w:val="16"/>
              </w:rPr>
            </w:pPr>
            <w:r>
              <w:rPr>
                <w:rFonts w:ascii="Arial" w:hAnsi="Arial" w:cs="Arial"/>
                <w:color w:val="000000"/>
                <w:sz w:val="16"/>
                <w:szCs w:val="16"/>
              </w:rPr>
              <w:t>100</w:t>
            </w:r>
          </w:p>
        </w:tc>
      </w:tr>
      <w:tr w:rsidR="003C29B4" w:rsidRPr="00E21C60" w14:paraId="22C93DD9" w14:textId="77777777" w:rsidTr="0008447E">
        <w:trPr>
          <w:trHeight w:val="900"/>
        </w:trPr>
        <w:tc>
          <w:tcPr>
            <w:tcW w:w="657" w:type="dxa"/>
            <w:vMerge/>
            <w:tcBorders>
              <w:top w:val="single" w:sz="4" w:space="0" w:color="auto"/>
              <w:left w:val="single" w:sz="4" w:space="0" w:color="auto"/>
              <w:bottom w:val="single" w:sz="4" w:space="0" w:color="000000"/>
              <w:right w:val="single" w:sz="4" w:space="0" w:color="auto"/>
            </w:tcBorders>
            <w:vAlign w:val="center"/>
            <w:hideMark/>
          </w:tcPr>
          <w:p w14:paraId="19EC6AC1" w14:textId="77777777" w:rsidR="003C29B4" w:rsidRPr="00E21C60" w:rsidRDefault="003C29B4" w:rsidP="003C29B4">
            <w:pPr>
              <w:rPr>
                <w:rFonts w:ascii="Arial" w:hAnsi="Arial" w:cs="Arial"/>
                <w:color w:val="000000"/>
                <w:sz w:val="16"/>
                <w:szCs w:val="16"/>
              </w:rPr>
            </w:pPr>
          </w:p>
        </w:tc>
        <w:tc>
          <w:tcPr>
            <w:tcW w:w="1514" w:type="dxa"/>
            <w:tcBorders>
              <w:top w:val="single" w:sz="4" w:space="0" w:color="auto"/>
              <w:left w:val="nil"/>
              <w:bottom w:val="single" w:sz="4" w:space="0" w:color="auto"/>
              <w:right w:val="single" w:sz="4" w:space="0" w:color="auto"/>
            </w:tcBorders>
            <w:shd w:val="clear" w:color="auto" w:fill="auto"/>
            <w:vAlign w:val="center"/>
            <w:hideMark/>
          </w:tcPr>
          <w:p w14:paraId="1DC825A3" w14:textId="77777777" w:rsidR="003C29B4" w:rsidRPr="00E21C60" w:rsidRDefault="003C29B4" w:rsidP="003C29B4">
            <w:pPr>
              <w:rPr>
                <w:rFonts w:ascii="Arial" w:hAnsi="Arial" w:cs="Arial"/>
                <w:color w:val="000000"/>
                <w:sz w:val="16"/>
                <w:szCs w:val="16"/>
              </w:rPr>
            </w:pPr>
            <w:r w:rsidRPr="00E21C60">
              <w:rPr>
                <w:rFonts w:ascii="Arial" w:hAnsi="Arial" w:cs="Arial"/>
                <w:color w:val="000000"/>
                <w:sz w:val="16"/>
                <w:szCs w:val="16"/>
              </w:rPr>
              <w:t>Počet technologických zariadení na elimináciu hrozieb a následkov bezpečnostných rizík</w:t>
            </w:r>
          </w:p>
        </w:tc>
        <w:tc>
          <w:tcPr>
            <w:tcW w:w="830" w:type="dxa"/>
            <w:tcBorders>
              <w:top w:val="single" w:sz="4" w:space="0" w:color="auto"/>
              <w:left w:val="nil"/>
              <w:bottom w:val="single" w:sz="4" w:space="0" w:color="auto"/>
              <w:right w:val="single" w:sz="4" w:space="0" w:color="auto"/>
            </w:tcBorders>
            <w:shd w:val="clear" w:color="auto" w:fill="auto"/>
            <w:vAlign w:val="center"/>
            <w:hideMark/>
          </w:tcPr>
          <w:p w14:paraId="2258A88C" w14:textId="77777777" w:rsidR="003C29B4" w:rsidRPr="00E21C60" w:rsidRDefault="003C29B4" w:rsidP="003C29B4">
            <w:pPr>
              <w:jc w:val="center"/>
              <w:rPr>
                <w:rFonts w:ascii="Arial" w:hAnsi="Arial" w:cs="Arial"/>
                <w:color w:val="000000"/>
                <w:sz w:val="16"/>
                <w:szCs w:val="16"/>
              </w:rPr>
            </w:pPr>
            <w:r w:rsidRPr="00E21C60">
              <w:rPr>
                <w:rFonts w:ascii="Arial" w:hAnsi="Arial" w:cs="Arial"/>
                <w:color w:val="000000"/>
                <w:sz w:val="16"/>
                <w:szCs w:val="16"/>
              </w:rPr>
              <w:t>počet</w:t>
            </w:r>
          </w:p>
        </w:tc>
        <w:tc>
          <w:tcPr>
            <w:tcW w:w="842" w:type="dxa"/>
            <w:tcBorders>
              <w:top w:val="single" w:sz="4" w:space="0" w:color="auto"/>
              <w:left w:val="nil"/>
              <w:bottom w:val="single" w:sz="4" w:space="0" w:color="auto"/>
              <w:right w:val="single" w:sz="4" w:space="0" w:color="auto"/>
            </w:tcBorders>
            <w:vAlign w:val="center"/>
          </w:tcPr>
          <w:p w14:paraId="3D2AC083" w14:textId="1EEFF8CC" w:rsidR="003C29B4" w:rsidRPr="00E21C60" w:rsidRDefault="003C29B4" w:rsidP="007F6DF3">
            <w:pPr>
              <w:jc w:val="center"/>
              <w:rPr>
                <w:rFonts w:ascii="Arial" w:hAnsi="Arial" w:cs="Arial"/>
                <w:color w:val="000000"/>
                <w:sz w:val="16"/>
                <w:szCs w:val="16"/>
              </w:rPr>
            </w:pPr>
            <w:r w:rsidRPr="000308DA">
              <w:rPr>
                <w:rFonts w:ascii="Arial" w:hAnsi="Arial" w:cs="Arial"/>
                <w:color w:val="000000"/>
                <w:sz w:val="16"/>
                <w:szCs w:val="16"/>
              </w:rPr>
              <w:t>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46BD87" w14:textId="0DD2CE3F" w:rsidR="003C29B4" w:rsidRPr="00E21C60" w:rsidRDefault="0075664E" w:rsidP="0008447E">
            <w:pPr>
              <w:jc w:val="center"/>
              <w:rPr>
                <w:rFonts w:ascii="Arial" w:hAnsi="Arial" w:cs="Arial"/>
                <w:color w:val="000000"/>
                <w:sz w:val="16"/>
                <w:szCs w:val="16"/>
              </w:rPr>
            </w:pPr>
            <w:r>
              <w:rPr>
                <w:rFonts w:ascii="Arial" w:hAnsi="Arial" w:cs="Arial"/>
                <w:color w:val="000000"/>
                <w:sz w:val="16"/>
                <w:szCs w:val="16"/>
              </w:rPr>
              <w:t>2 529</w:t>
            </w:r>
          </w:p>
        </w:tc>
        <w:tc>
          <w:tcPr>
            <w:tcW w:w="709" w:type="dxa"/>
            <w:tcBorders>
              <w:top w:val="single" w:sz="4" w:space="0" w:color="auto"/>
              <w:left w:val="nil"/>
              <w:bottom w:val="single" w:sz="4" w:space="0" w:color="auto"/>
              <w:right w:val="single" w:sz="4" w:space="0" w:color="auto"/>
            </w:tcBorders>
            <w:shd w:val="clear" w:color="9999FF" w:fill="FFFFFF"/>
            <w:vAlign w:val="center"/>
          </w:tcPr>
          <w:p w14:paraId="3AE1C680" w14:textId="7FA88FFA"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0</w:t>
            </w:r>
          </w:p>
        </w:tc>
        <w:tc>
          <w:tcPr>
            <w:tcW w:w="746" w:type="dxa"/>
            <w:tcBorders>
              <w:top w:val="single" w:sz="4" w:space="0" w:color="auto"/>
              <w:left w:val="nil"/>
              <w:bottom w:val="single" w:sz="4" w:space="0" w:color="auto"/>
              <w:right w:val="single" w:sz="4" w:space="0" w:color="auto"/>
            </w:tcBorders>
            <w:shd w:val="clear" w:color="9999FF" w:fill="EBF1DE"/>
            <w:vAlign w:val="center"/>
          </w:tcPr>
          <w:p w14:paraId="0288E9E8" w14:textId="00A85F50"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2953</w:t>
            </w:r>
          </w:p>
        </w:tc>
        <w:tc>
          <w:tcPr>
            <w:tcW w:w="957" w:type="dxa"/>
            <w:tcBorders>
              <w:top w:val="single" w:sz="4" w:space="0" w:color="auto"/>
              <w:left w:val="nil"/>
              <w:bottom w:val="single" w:sz="4" w:space="0" w:color="auto"/>
              <w:right w:val="single" w:sz="4" w:space="0" w:color="auto"/>
            </w:tcBorders>
            <w:shd w:val="clear" w:color="auto" w:fill="auto"/>
            <w:vAlign w:val="center"/>
            <w:hideMark/>
          </w:tcPr>
          <w:p w14:paraId="59820EBF" w14:textId="565D2C58"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2076</w:t>
            </w:r>
          </w:p>
        </w:tc>
        <w:tc>
          <w:tcPr>
            <w:tcW w:w="1025" w:type="dxa"/>
            <w:tcBorders>
              <w:top w:val="single" w:sz="4" w:space="0" w:color="auto"/>
              <w:left w:val="nil"/>
              <w:bottom w:val="single" w:sz="4" w:space="0" w:color="auto"/>
              <w:right w:val="single" w:sz="4" w:space="0" w:color="auto"/>
            </w:tcBorders>
            <w:shd w:val="clear" w:color="000000" w:fill="EBF1DE"/>
            <w:vAlign w:val="center"/>
          </w:tcPr>
          <w:p w14:paraId="6D7C8855" w14:textId="4F7B1338" w:rsidR="003C29B4" w:rsidRPr="00E21C60" w:rsidRDefault="003C29B4" w:rsidP="007F6DF3">
            <w:pPr>
              <w:jc w:val="center"/>
              <w:rPr>
                <w:rFonts w:ascii="Arial" w:hAnsi="Arial" w:cs="Arial"/>
                <w:color w:val="000000"/>
                <w:sz w:val="16"/>
                <w:szCs w:val="16"/>
              </w:rPr>
            </w:pPr>
            <w:r>
              <w:rPr>
                <w:rFonts w:ascii="Arial" w:hAnsi="Arial" w:cs="Arial"/>
                <w:color w:val="000000"/>
                <w:sz w:val="16"/>
                <w:szCs w:val="16"/>
              </w:rPr>
              <w:t>116</w:t>
            </w:r>
          </w:p>
        </w:tc>
        <w:tc>
          <w:tcPr>
            <w:tcW w:w="1025" w:type="dxa"/>
            <w:tcBorders>
              <w:top w:val="single" w:sz="4" w:space="0" w:color="auto"/>
              <w:left w:val="nil"/>
              <w:bottom w:val="single" w:sz="4" w:space="0" w:color="auto"/>
              <w:right w:val="single" w:sz="4" w:space="0" w:color="auto"/>
            </w:tcBorders>
            <w:shd w:val="clear" w:color="auto" w:fill="auto"/>
            <w:vAlign w:val="center"/>
            <w:hideMark/>
          </w:tcPr>
          <w:p w14:paraId="5D8718A4" w14:textId="3F9D3C30" w:rsidR="003C29B4" w:rsidRPr="00E21C60" w:rsidRDefault="003C29B4" w:rsidP="003C29B4">
            <w:pPr>
              <w:jc w:val="center"/>
              <w:rPr>
                <w:rFonts w:ascii="Arial" w:hAnsi="Arial" w:cs="Arial"/>
                <w:color w:val="000000"/>
                <w:sz w:val="16"/>
                <w:szCs w:val="16"/>
              </w:rPr>
            </w:pPr>
            <w:r>
              <w:rPr>
                <w:rFonts w:ascii="Arial" w:hAnsi="Arial" w:cs="Arial"/>
                <w:color w:val="000000"/>
                <w:sz w:val="16"/>
                <w:szCs w:val="16"/>
              </w:rPr>
              <w:t>82</w:t>
            </w:r>
          </w:p>
        </w:tc>
      </w:tr>
      <w:tr w:rsidR="003C29B4" w:rsidRPr="00E21C60" w14:paraId="0C206083" w14:textId="77777777" w:rsidTr="0008447E">
        <w:trPr>
          <w:trHeight w:val="675"/>
        </w:trPr>
        <w:tc>
          <w:tcPr>
            <w:tcW w:w="657" w:type="dxa"/>
            <w:tcBorders>
              <w:top w:val="nil"/>
              <w:left w:val="single" w:sz="4" w:space="0" w:color="auto"/>
              <w:bottom w:val="single" w:sz="4" w:space="0" w:color="auto"/>
              <w:right w:val="single" w:sz="4" w:space="0" w:color="auto"/>
            </w:tcBorders>
            <w:shd w:val="clear" w:color="auto" w:fill="auto"/>
            <w:vAlign w:val="center"/>
            <w:hideMark/>
          </w:tcPr>
          <w:p w14:paraId="1D566163" w14:textId="77777777" w:rsidR="003C29B4" w:rsidRPr="002526CC" w:rsidRDefault="003C29B4" w:rsidP="003C29B4">
            <w:pPr>
              <w:jc w:val="center"/>
              <w:rPr>
                <w:rFonts w:ascii="Arial" w:hAnsi="Arial" w:cs="Arial"/>
                <w:color w:val="000000"/>
                <w:sz w:val="16"/>
                <w:szCs w:val="16"/>
              </w:rPr>
            </w:pPr>
            <w:r w:rsidRPr="002526CC">
              <w:rPr>
                <w:rFonts w:ascii="Arial" w:hAnsi="Arial" w:cs="Arial"/>
                <w:color w:val="000000"/>
                <w:sz w:val="16"/>
                <w:szCs w:val="16"/>
              </w:rPr>
              <w:t>N/A</w:t>
            </w:r>
          </w:p>
        </w:tc>
        <w:tc>
          <w:tcPr>
            <w:tcW w:w="1514" w:type="dxa"/>
            <w:tcBorders>
              <w:top w:val="nil"/>
              <w:left w:val="nil"/>
              <w:bottom w:val="single" w:sz="4" w:space="0" w:color="auto"/>
              <w:right w:val="single" w:sz="4" w:space="0" w:color="auto"/>
            </w:tcBorders>
            <w:shd w:val="clear" w:color="auto" w:fill="auto"/>
            <w:vAlign w:val="center"/>
            <w:hideMark/>
          </w:tcPr>
          <w:p w14:paraId="15E2C53F" w14:textId="77777777" w:rsidR="003C29B4" w:rsidRPr="00E21C60" w:rsidRDefault="003C29B4" w:rsidP="003C29B4">
            <w:pPr>
              <w:rPr>
                <w:rFonts w:ascii="Arial" w:hAnsi="Arial" w:cs="Arial"/>
                <w:color w:val="000000"/>
                <w:sz w:val="16"/>
                <w:szCs w:val="16"/>
              </w:rPr>
            </w:pPr>
            <w:r w:rsidRPr="00E21C60">
              <w:rPr>
                <w:rFonts w:ascii="Arial" w:hAnsi="Arial" w:cs="Arial"/>
                <w:color w:val="000000"/>
                <w:sz w:val="16"/>
                <w:szCs w:val="16"/>
              </w:rPr>
              <w:t>Počet novovytvorených pracovných miest</w:t>
            </w:r>
          </w:p>
        </w:tc>
        <w:tc>
          <w:tcPr>
            <w:tcW w:w="830" w:type="dxa"/>
            <w:tcBorders>
              <w:top w:val="nil"/>
              <w:left w:val="nil"/>
              <w:bottom w:val="single" w:sz="4" w:space="0" w:color="auto"/>
              <w:right w:val="single" w:sz="4" w:space="0" w:color="auto"/>
            </w:tcBorders>
            <w:shd w:val="clear" w:color="auto" w:fill="auto"/>
            <w:vAlign w:val="center"/>
            <w:hideMark/>
          </w:tcPr>
          <w:p w14:paraId="37B5B0CB" w14:textId="77777777" w:rsidR="003C29B4" w:rsidRPr="00E21C60" w:rsidRDefault="003C29B4" w:rsidP="003C29B4">
            <w:pPr>
              <w:jc w:val="center"/>
              <w:rPr>
                <w:rFonts w:ascii="Arial" w:hAnsi="Arial" w:cs="Arial"/>
                <w:color w:val="000000"/>
                <w:sz w:val="16"/>
                <w:szCs w:val="16"/>
              </w:rPr>
            </w:pPr>
            <w:r w:rsidRPr="00E21C60">
              <w:rPr>
                <w:rFonts w:ascii="Arial" w:hAnsi="Arial" w:cs="Arial"/>
                <w:color w:val="000000"/>
                <w:sz w:val="16"/>
                <w:szCs w:val="16"/>
              </w:rPr>
              <w:t>počet</w:t>
            </w:r>
          </w:p>
        </w:tc>
        <w:tc>
          <w:tcPr>
            <w:tcW w:w="842" w:type="dxa"/>
            <w:tcBorders>
              <w:top w:val="single" w:sz="4" w:space="0" w:color="auto"/>
              <w:left w:val="nil"/>
              <w:bottom w:val="single" w:sz="4" w:space="0" w:color="auto"/>
              <w:right w:val="single" w:sz="4" w:space="0" w:color="auto"/>
            </w:tcBorders>
            <w:vAlign w:val="center"/>
          </w:tcPr>
          <w:p w14:paraId="1D5A69B2" w14:textId="77286D3E" w:rsidR="003C29B4" w:rsidRPr="00E21C60" w:rsidRDefault="003C29B4" w:rsidP="007F6DF3">
            <w:pPr>
              <w:jc w:val="center"/>
              <w:rPr>
                <w:rFonts w:ascii="Arial" w:hAnsi="Arial" w:cs="Arial"/>
                <w:color w:val="000000"/>
                <w:sz w:val="16"/>
                <w:szCs w:val="16"/>
              </w:rPr>
            </w:pPr>
            <w:r w:rsidRPr="000308DA">
              <w:rPr>
                <w:rFonts w:ascii="Arial" w:hAnsi="Arial" w:cs="Arial"/>
                <w:color w:val="000000"/>
                <w:sz w:val="16"/>
                <w:szCs w:val="16"/>
              </w:rPr>
              <w:t>0</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04C2A58" w14:textId="2C2833DD" w:rsidR="003C29B4" w:rsidRPr="00E21C60" w:rsidRDefault="003C29B4" w:rsidP="0008447E">
            <w:pPr>
              <w:jc w:val="center"/>
              <w:rPr>
                <w:rFonts w:ascii="Arial" w:hAnsi="Arial" w:cs="Arial"/>
                <w:color w:val="000000"/>
                <w:sz w:val="16"/>
                <w:szCs w:val="16"/>
              </w:rPr>
            </w:pPr>
            <w:r w:rsidRPr="00E21C60">
              <w:rPr>
                <w:rFonts w:ascii="Arial" w:hAnsi="Arial" w:cs="Arial"/>
                <w:color w:val="000000"/>
                <w:sz w:val="16"/>
                <w:szCs w:val="16"/>
              </w:rPr>
              <w:t>24</w:t>
            </w:r>
          </w:p>
        </w:tc>
        <w:tc>
          <w:tcPr>
            <w:tcW w:w="709" w:type="dxa"/>
            <w:tcBorders>
              <w:top w:val="nil"/>
              <w:left w:val="nil"/>
              <w:bottom w:val="single" w:sz="4" w:space="0" w:color="auto"/>
              <w:right w:val="single" w:sz="4" w:space="0" w:color="auto"/>
            </w:tcBorders>
            <w:shd w:val="clear" w:color="auto" w:fill="auto"/>
            <w:vAlign w:val="center"/>
          </w:tcPr>
          <w:p w14:paraId="15016091" w14:textId="5B65A134" w:rsidR="003C29B4" w:rsidRPr="00E21C60" w:rsidRDefault="0085219A" w:rsidP="0008447E">
            <w:pPr>
              <w:jc w:val="center"/>
              <w:rPr>
                <w:rFonts w:ascii="Arial" w:hAnsi="Arial" w:cs="Arial"/>
                <w:color w:val="000000"/>
                <w:sz w:val="16"/>
                <w:szCs w:val="16"/>
              </w:rPr>
            </w:pPr>
            <w:r>
              <w:rPr>
                <w:rFonts w:ascii="Arial" w:hAnsi="Arial" w:cs="Arial"/>
                <w:color w:val="000000"/>
                <w:sz w:val="16"/>
                <w:szCs w:val="16"/>
              </w:rPr>
              <w:t>4</w:t>
            </w:r>
          </w:p>
        </w:tc>
        <w:tc>
          <w:tcPr>
            <w:tcW w:w="746" w:type="dxa"/>
            <w:tcBorders>
              <w:top w:val="nil"/>
              <w:left w:val="nil"/>
              <w:bottom w:val="single" w:sz="4" w:space="0" w:color="auto"/>
              <w:right w:val="single" w:sz="4" w:space="0" w:color="auto"/>
            </w:tcBorders>
            <w:shd w:val="clear" w:color="000000" w:fill="EBF1DE"/>
            <w:vAlign w:val="center"/>
          </w:tcPr>
          <w:p w14:paraId="70E2520C" w14:textId="342C6E36"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4</w:t>
            </w:r>
          </w:p>
        </w:tc>
        <w:tc>
          <w:tcPr>
            <w:tcW w:w="957" w:type="dxa"/>
            <w:tcBorders>
              <w:top w:val="nil"/>
              <w:left w:val="nil"/>
              <w:bottom w:val="single" w:sz="4" w:space="0" w:color="auto"/>
              <w:right w:val="single" w:sz="4" w:space="0" w:color="auto"/>
            </w:tcBorders>
            <w:shd w:val="clear" w:color="auto" w:fill="auto"/>
            <w:vAlign w:val="center"/>
            <w:hideMark/>
          </w:tcPr>
          <w:p w14:paraId="3572791E" w14:textId="278CDBC5" w:rsidR="003C29B4" w:rsidRPr="00E21C60" w:rsidRDefault="003C29B4" w:rsidP="0008447E">
            <w:pPr>
              <w:jc w:val="center"/>
              <w:rPr>
                <w:rFonts w:ascii="Arial" w:hAnsi="Arial" w:cs="Arial"/>
                <w:color w:val="000000"/>
                <w:sz w:val="16"/>
                <w:szCs w:val="16"/>
              </w:rPr>
            </w:pPr>
            <w:r>
              <w:rPr>
                <w:rFonts w:ascii="Arial" w:hAnsi="Arial" w:cs="Arial"/>
                <w:color w:val="000000"/>
                <w:sz w:val="16"/>
                <w:szCs w:val="16"/>
              </w:rPr>
              <w:t>27</w:t>
            </w:r>
          </w:p>
        </w:tc>
        <w:tc>
          <w:tcPr>
            <w:tcW w:w="1025" w:type="dxa"/>
            <w:tcBorders>
              <w:top w:val="nil"/>
              <w:left w:val="nil"/>
              <w:bottom w:val="single" w:sz="4" w:space="0" w:color="auto"/>
              <w:right w:val="single" w:sz="4" w:space="0" w:color="auto"/>
            </w:tcBorders>
            <w:shd w:val="clear" w:color="000000" w:fill="EBF1DE"/>
            <w:vAlign w:val="center"/>
          </w:tcPr>
          <w:p w14:paraId="039D36F7" w14:textId="61D7D959" w:rsidR="003C29B4" w:rsidRPr="00E21C60" w:rsidRDefault="003C29B4" w:rsidP="007F6DF3">
            <w:pPr>
              <w:jc w:val="center"/>
              <w:rPr>
                <w:rFonts w:ascii="Arial" w:hAnsi="Arial" w:cs="Arial"/>
                <w:color w:val="000000"/>
                <w:sz w:val="16"/>
                <w:szCs w:val="16"/>
              </w:rPr>
            </w:pPr>
            <w:r>
              <w:rPr>
                <w:rFonts w:ascii="Arial" w:hAnsi="Arial" w:cs="Arial"/>
                <w:color w:val="000000"/>
                <w:sz w:val="16"/>
                <w:szCs w:val="16"/>
              </w:rPr>
              <w:t>16</w:t>
            </w:r>
          </w:p>
        </w:tc>
        <w:tc>
          <w:tcPr>
            <w:tcW w:w="1025" w:type="dxa"/>
            <w:tcBorders>
              <w:top w:val="nil"/>
              <w:left w:val="nil"/>
              <w:bottom w:val="single" w:sz="4" w:space="0" w:color="auto"/>
              <w:right w:val="single" w:sz="4" w:space="0" w:color="auto"/>
            </w:tcBorders>
            <w:shd w:val="clear" w:color="auto" w:fill="auto"/>
            <w:vAlign w:val="center"/>
            <w:hideMark/>
          </w:tcPr>
          <w:p w14:paraId="415244A6" w14:textId="30BA21CB" w:rsidR="003C29B4" w:rsidRPr="00E21C60" w:rsidRDefault="003C29B4" w:rsidP="003C29B4">
            <w:pPr>
              <w:jc w:val="center"/>
              <w:rPr>
                <w:rFonts w:ascii="Arial" w:hAnsi="Arial" w:cs="Arial"/>
                <w:color w:val="000000"/>
                <w:sz w:val="16"/>
                <w:szCs w:val="16"/>
              </w:rPr>
            </w:pPr>
            <w:r>
              <w:rPr>
                <w:rFonts w:ascii="Arial" w:hAnsi="Arial" w:cs="Arial"/>
                <w:color w:val="000000"/>
                <w:sz w:val="16"/>
                <w:szCs w:val="16"/>
              </w:rPr>
              <w:t>113</w:t>
            </w:r>
          </w:p>
        </w:tc>
      </w:tr>
    </w:tbl>
    <w:p w14:paraId="51232AA6" w14:textId="77777777" w:rsidR="00CB1FDA" w:rsidRPr="0020746A" w:rsidRDefault="00CB1FDA" w:rsidP="00123376">
      <w:pPr>
        <w:pStyle w:val="Zkladntextb"/>
        <w:spacing w:after="0" w:line="240" w:lineRule="auto"/>
        <w:ind w:left="0"/>
        <w:jc w:val="both"/>
        <w:rPr>
          <w:rFonts w:cs="Arial"/>
          <w:sz w:val="16"/>
          <w:szCs w:val="16"/>
          <w:lang w:val="sk-SK"/>
        </w:rPr>
      </w:pPr>
      <w:r w:rsidRPr="002526CC">
        <w:rPr>
          <w:rFonts w:cs="Arial"/>
          <w:sz w:val="16"/>
          <w:szCs w:val="16"/>
          <w:lang w:val="sk-SK"/>
        </w:rPr>
        <w:t>Zdroj: RO, ITM</w:t>
      </w:r>
      <w:r w:rsidRPr="008E1ACB">
        <w:rPr>
          <w:rFonts w:cs="Arial"/>
          <w:sz w:val="16"/>
          <w:szCs w:val="16"/>
          <w:lang w:val="sk-SK"/>
        </w:rPr>
        <w:t>S</w:t>
      </w:r>
    </w:p>
    <w:p w14:paraId="5E17F151" w14:textId="789E31B4" w:rsidR="00520591" w:rsidRDefault="00591D60" w:rsidP="00520591">
      <w:pPr>
        <w:spacing w:before="120" w:after="120"/>
        <w:jc w:val="both"/>
        <w:rPr>
          <w:rFonts w:ascii="Arial" w:hAnsi="Arial" w:cs="Arial"/>
          <w:sz w:val="20"/>
          <w:szCs w:val="20"/>
        </w:rPr>
      </w:pPr>
      <w:r>
        <w:rPr>
          <w:rFonts w:ascii="Arial" w:hAnsi="Arial" w:cs="Arial"/>
          <w:sz w:val="20"/>
          <w:szCs w:val="20"/>
        </w:rPr>
        <w:lastRenderedPageBreak/>
        <w:t>K</w:t>
      </w:r>
      <w:r w:rsidRPr="00952AB2">
        <w:rPr>
          <w:rFonts w:ascii="Arial" w:hAnsi="Arial" w:cs="Arial"/>
          <w:sz w:val="20"/>
          <w:szCs w:val="20"/>
        </w:rPr>
        <w:t> 31.</w:t>
      </w:r>
      <w:r w:rsidRPr="00751652">
        <w:rPr>
          <w:rFonts w:ascii="Arial" w:hAnsi="Arial" w:cs="Arial"/>
          <w:sz w:val="20"/>
          <w:szCs w:val="20"/>
        </w:rPr>
        <w:t>1</w:t>
      </w:r>
      <w:r>
        <w:rPr>
          <w:rFonts w:ascii="Arial" w:hAnsi="Arial" w:cs="Arial"/>
          <w:sz w:val="20"/>
          <w:szCs w:val="20"/>
        </w:rPr>
        <w:t>0</w:t>
      </w:r>
      <w:r w:rsidRPr="00751652">
        <w:rPr>
          <w:rFonts w:ascii="Arial" w:hAnsi="Arial" w:cs="Arial"/>
          <w:sz w:val="20"/>
          <w:szCs w:val="20"/>
        </w:rPr>
        <w:t>.</w:t>
      </w:r>
      <w:r w:rsidRPr="009075F4">
        <w:rPr>
          <w:rFonts w:ascii="Arial" w:hAnsi="Arial" w:cs="Arial"/>
          <w:sz w:val="20"/>
          <w:szCs w:val="20"/>
        </w:rPr>
        <w:t>201</w:t>
      </w:r>
      <w:r>
        <w:rPr>
          <w:rFonts w:ascii="Arial" w:hAnsi="Arial" w:cs="Arial"/>
          <w:sz w:val="20"/>
          <w:szCs w:val="20"/>
        </w:rPr>
        <w:t>6 z</w:t>
      </w:r>
      <w:r w:rsidR="00520591" w:rsidRPr="008B5E5E">
        <w:rPr>
          <w:rFonts w:ascii="Arial" w:hAnsi="Arial" w:cs="Arial"/>
          <w:sz w:val="20"/>
          <w:szCs w:val="20"/>
        </w:rPr>
        <w:t> ôsmi</w:t>
      </w:r>
      <w:r w:rsidR="00520591" w:rsidRPr="00952AB2">
        <w:rPr>
          <w:rFonts w:ascii="Arial" w:hAnsi="Arial" w:cs="Arial"/>
          <w:sz w:val="20"/>
          <w:szCs w:val="20"/>
        </w:rPr>
        <w:t xml:space="preserve">ch ukazovateľov </w:t>
      </w:r>
      <w:r w:rsidR="002728FB">
        <w:rPr>
          <w:rFonts w:ascii="Arial" w:hAnsi="Arial" w:cs="Arial"/>
          <w:sz w:val="20"/>
          <w:szCs w:val="20"/>
        </w:rPr>
        <w:t xml:space="preserve">charakterizujúcich dosahovanie cieľov v rámci prioritnej osi 2 </w:t>
      </w:r>
      <w:r w:rsidR="00520591" w:rsidRPr="009075F4">
        <w:rPr>
          <w:rFonts w:ascii="Arial" w:hAnsi="Arial" w:cs="Arial"/>
          <w:sz w:val="20"/>
          <w:szCs w:val="20"/>
        </w:rPr>
        <w:t>v </w:t>
      </w:r>
      <w:r w:rsidR="002728FB">
        <w:rPr>
          <w:rFonts w:ascii="Arial" w:hAnsi="Arial" w:cs="Arial"/>
          <w:sz w:val="20"/>
          <w:szCs w:val="20"/>
        </w:rPr>
        <w:t xml:space="preserve">programovom </w:t>
      </w:r>
      <w:r w:rsidR="00520591" w:rsidRPr="009075F4">
        <w:rPr>
          <w:rFonts w:ascii="Arial" w:hAnsi="Arial" w:cs="Arial"/>
          <w:sz w:val="20"/>
          <w:szCs w:val="20"/>
        </w:rPr>
        <w:t>období</w:t>
      </w:r>
      <w:r w:rsidR="002728FB">
        <w:rPr>
          <w:rFonts w:ascii="Arial" w:hAnsi="Arial" w:cs="Arial"/>
          <w:sz w:val="20"/>
          <w:szCs w:val="20"/>
        </w:rPr>
        <w:t>,</w:t>
      </w:r>
      <w:r w:rsidR="00520591" w:rsidRPr="009075F4">
        <w:rPr>
          <w:rFonts w:ascii="Arial" w:hAnsi="Arial" w:cs="Arial"/>
          <w:sz w:val="20"/>
          <w:szCs w:val="20"/>
        </w:rPr>
        <w:t xml:space="preserve"> stanovenú cieľovú hodnotu presia</w:t>
      </w:r>
      <w:r w:rsidR="00520591">
        <w:rPr>
          <w:rFonts w:ascii="Arial" w:hAnsi="Arial" w:cs="Arial"/>
          <w:sz w:val="20"/>
          <w:szCs w:val="20"/>
        </w:rPr>
        <w:t>hlo</w:t>
      </w:r>
      <w:r w:rsidR="00520591" w:rsidRPr="009075F4">
        <w:rPr>
          <w:rFonts w:ascii="Arial" w:hAnsi="Arial" w:cs="Arial"/>
          <w:sz w:val="20"/>
          <w:szCs w:val="20"/>
        </w:rPr>
        <w:t xml:space="preserve"> </w:t>
      </w:r>
      <w:r w:rsidR="00520591">
        <w:rPr>
          <w:rFonts w:ascii="Arial" w:hAnsi="Arial" w:cs="Arial"/>
          <w:sz w:val="20"/>
          <w:szCs w:val="20"/>
        </w:rPr>
        <w:t>šesť</w:t>
      </w:r>
      <w:r w:rsidR="00520591" w:rsidRPr="009075F4">
        <w:rPr>
          <w:rFonts w:ascii="Arial" w:hAnsi="Arial" w:cs="Arial"/>
          <w:sz w:val="20"/>
          <w:szCs w:val="20"/>
        </w:rPr>
        <w:t xml:space="preserve"> ukazovate</w:t>
      </w:r>
      <w:r w:rsidR="00520591">
        <w:rPr>
          <w:rFonts w:ascii="Arial" w:hAnsi="Arial" w:cs="Arial"/>
          <w:sz w:val="20"/>
          <w:szCs w:val="20"/>
        </w:rPr>
        <w:t>ľov</w:t>
      </w:r>
      <w:r w:rsidR="00520591" w:rsidRPr="009075F4">
        <w:rPr>
          <w:rFonts w:ascii="Arial" w:hAnsi="Arial" w:cs="Arial"/>
          <w:sz w:val="20"/>
          <w:szCs w:val="20"/>
        </w:rPr>
        <w:t xml:space="preserve"> a </w:t>
      </w:r>
      <w:r w:rsidR="00520591">
        <w:rPr>
          <w:rFonts w:ascii="Arial" w:hAnsi="Arial" w:cs="Arial"/>
          <w:sz w:val="20"/>
          <w:szCs w:val="20"/>
        </w:rPr>
        <w:t>dva</w:t>
      </w:r>
      <w:r w:rsidR="00520591" w:rsidRPr="008B5E5E">
        <w:rPr>
          <w:rFonts w:ascii="Arial" w:hAnsi="Arial" w:cs="Arial"/>
          <w:sz w:val="20"/>
          <w:szCs w:val="20"/>
        </w:rPr>
        <w:t xml:space="preserve"> ukazovate</w:t>
      </w:r>
      <w:r w:rsidR="00520591">
        <w:rPr>
          <w:rFonts w:ascii="Arial" w:hAnsi="Arial" w:cs="Arial"/>
          <w:sz w:val="20"/>
          <w:szCs w:val="20"/>
        </w:rPr>
        <w:t>le</w:t>
      </w:r>
      <w:r w:rsidR="00520591" w:rsidRPr="008B5E5E">
        <w:rPr>
          <w:rFonts w:ascii="Arial" w:hAnsi="Arial" w:cs="Arial"/>
          <w:sz w:val="20"/>
          <w:szCs w:val="20"/>
        </w:rPr>
        <w:t xml:space="preserve"> túto hodnotu nedosiahlo</w:t>
      </w:r>
      <w:r w:rsidR="00520591">
        <w:rPr>
          <w:rFonts w:ascii="Arial" w:hAnsi="Arial" w:cs="Arial"/>
          <w:sz w:val="20"/>
          <w:szCs w:val="20"/>
        </w:rPr>
        <w:t>.</w:t>
      </w:r>
    </w:p>
    <w:p w14:paraId="5791896D" w14:textId="7A87D523" w:rsidR="00520591" w:rsidRPr="00A755CB" w:rsidRDefault="001A67AA" w:rsidP="00682B07">
      <w:pPr>
        <w:pStyle w:val="Zkladntextb"/>
        <w:spacing w:before="120" w:after="120" w:line="240" w:lineRule="auto"/>
        <w:ind w:left="0"/>
        <w:jc w:val="both"/>
        <w:rPr>
          <w:rFonts w:cs="Arial"/>
        </w:rPr>
      </w:pPr>
      <w:r>
        <w:rPr>
          <w:rFonts w:cs="Arial"/>
          <w:lang w:val="sk-SK"/>
        </w:rPr>
        <w:t>V prípade u</w:t>
      </w:r>
      <w:r w:rsidR="00520591" w:rsidRPr="000A22B1">
        <w:rPr>
          <w:rFonts w:cs="Arial"/>
          <w:lang w:val="sk-SK"/>
        </w:rPr>
        <w:t>kazovateľ</w:t>
      </w:r>
      <w:r>
        <w:rPr>
          <w:rFonts w:cs="Arial"/>
          <w:lang w:val="sk-SK"/>
        </w:rPr>
        <w:t>a</w:t>
      </w:r>
      <w:r w:rsidR="00520591" w:rsidRPr="000A22B1">
        <w:rPr>
          <w:rFonts w:cs="Arial"/>
          <w:lang w:val="sk-SK"/>
        </w:rPr>
        <w:t xml:space="preserve"> „Počet osôb chránených pred povodňami v dôsledku realizácie projektu“ </w:t>
      </w:r>
      <w:r>
        <w:rPr>
          <w:rFonts w:cs="Arial"/>
          <w:lang w:val="sk-SK"/>
        </w:rPr>
        <w:t xml:space="preserve">sa </w:t>
      </w:r>
      <w:r w:rsidR="003B0A3D">
        <w:rPr>
          <w:rFonts w:cs="Arial"/>
          <w:lang w:val="sk-SK"/>
        </w:rPr>
        <w:t>dosiahl</w:t>
      </w:r>
      <w:r>
        <w:rPr>
          <w:rFonts w:cs="Arial"/>
          <w:lang w:val="sk-SK"/>
        </w:rPr>
        <w:t>a</w:t>
      </w:r>
      <w:r w:rsidR="003B0A3D">
        <w:rPr>
          <w:rFonts w:cs="Arial"/>
          <w:lang w:val="sk-SK"/>
        </w:rPr>
        <w:t xml:space="preserve"> </w:t>
      </w:r>
      <w:r w:rsidR="00520591" w:rsidRPr="000A22B1">
        <w:rPr>
          <w:rFonts w:cs="Arial"/>
          <w:lang w:val="sk-SK"/>
        </w:rPr>
        <w:t>úspešnosť plnenia na úrovni 48,4</w:t>
      </w:r>
      <w:r w:rsidR="00591D60">
        <w:rPr>
          <w:rFonts w:cs="Arial"/>
          <w:lang w:val="sk-SK"/>
        </w:rPr>
        <w:t xml:space="preserve"> </w:t>
      </w:r>
      <w:r w:rsidR="00520591" w:rsidRPr="000A22B1">
        <w:rPr>
          <w:rFonts w:cs="Arial"/>
          <w:lang w:val="sk-SK"/>
        </w:rPr>
        <w:t>%, pričom úspešnosť plnenia zazmluvnených projektov</w:t>
      </w:r>
      <w:r w:rsidR="00520591">
        <w:rPr>
          <w:rFonts w:cs="Arial"/>
          <w:lang w:val="sk-SK"/>
        </w:rPr>
        <w:t xml:space="preserve"> je až 314</w:t>
      </w:r>
      <w:r w:rsidR="00591D60">
        <w:rPr>
          <w:rFonts w:cs="Arial"/>
          <w:lang w:val="sk-SK"/>
        </w:rPr>
        <w:t xml:space="preserve"> </w:t>
      </w:r>
      <w:r w:rsidR="00520591">
        <w:rPr>
          <w:rFonts w:cs="Arial"/>
          <w:lang w:val="sk-SK"/>
        </w:rPr>
        <w:t>%. RO predpokladá, že po predložení následných monitorovacích správ projektov, ktorých realizácia bola ukončená k decembru 2015, bude hodnota „</w:t>
      </w:r>
      <w:r w:rsidR="00520591" w:rsidRPr="00E13702">
        <w:rPr>
          <w:rFonts w:cs="Arial"/>
          <w:lang w:val="sk-SK"/>
        </w:rPr>
        <w:t>úspešnosť plnenia</w:t>
      </w:r>
      <w:r w:rsidR="00520591">
        <w:rPr>
          <w:rFonts w:cs="Arial"/>
          <w:lang w:val="sk-SK"/>
        </w:rPr>
        <w:t xml:space="preserve">“ výrazne navýšená. </w:t>
      </w:r>
      <w:r w:rsidR="00520591" w:rsidRPr="003444FD">
        <w:rPr>
          <w:rFonts w:cs="Arial"/>
          <w:lang w:val="sk-SK"/>
        </w:rPr>
        <w:t xml:space="preserve">Prekročenie cieľovej hodnoty </w:t>
      </w:r>
      <w:r w:rsidR="00D17897">
        <w:rPr>
          <w:rFonts w:cs="Arial"/>
          <w:lang w:val="sk-SK"/>
        </w:rPr>
        <w:t xml:space="preserve">tohoto </w:t>
      </w:r>
      <w:r w:rsidR="00D17897" w:rsidRPr="003444FD">
        <w:rPr>
          <w:rFonts w:cs="Arial"/>
          <w:lang w:val="sk-SK"/>
        </w:rPr>
        <w:t>ukazovateľa</w:t>
      </w:r>
      <w:r w:rsidR="00D17897">
        <w:rPr>
          <w:rFonts w:cs="Arial"/>
          <w:lang w:val="sk-SK"/>
        </w:rPr>
        <w:t xml:space="preserve"> </w:t>
      </w:r>
      <w:r w:rsidR="00D17897" w:rsidRPr="003444FD">
        <w:rPr>
          <w:rFonts w:cs="Arial"/>
          <w:lang w:val="sk-SK"/>
        </w:rPr>
        <w:t>(</w:t>
      </w:r>
      <w:r w:rsidR="00D17897">
        <w:rPr>
          <w:rFonts w:cs="Arial"/>
          <w:lang w:val="sk-SK"/>
        </w:rPr>
        <w:t>314</w:t>
      </w:r>
      <w:r w:rsidR="00D17897" w:rsidRPr="003444FD">
        <w:rPr>
          <w:rFonts w:cs="Arial"/>
          <w:lang w:val="sk-SK"/>
        </w:rPr>
        <w:t xml:space="preserve"> %) </w:t>
      </w:r>
      <w:r w:rsidR="00D17897">
        <w:rPr>
          <w:rFonts w:cs="Arial"/>
          <w:lang w:val="sk-SK"/>
        </w:rPr>
        <w:t xml:space="preserve">pri </w:t>
      </w:r>
      <w:r w:rsidR="00520591" w:rsidRPr="003444FD">
        <w:rPr>
          <w:rFonts w:cs="Arial"/>
          <w:lang w:val="sk-SK"/>
        </w:rPr>
        <w:t>zazmluvnených projektov vychádza zo skutočnosti, že schválené projekty boli realizované prednostne na územiach s vyššou hustotou obyvateľstva</w:t>
      </w:r>
      <w:r w:rsidR="00520591">
        <w:rPr>
          <w:rFonts w:cs="Arial"/>
          <w:lang w:val="sk-SK"/>
        </w:rPr>
        <w:t>.</w:t>
      </w:r>
    </w:p>
    <w:p w14:paraId="0551FBDC" w14:textId="67E5B8A7" w:rsidR="00520591" w:rsidRPr="00404251" w:rsidRDefault="00520591" w:rsidP="00682B07">
      <w:pPr>
        <w:pStyle w:val="Zkladntextb"/>
        <w:spacing w:before="120" w:after="120" w:line="240" w:lineRule="auto"/>
        <w:ind w:left="0"/>
        <w:jc w:val="both"/>
        <w:rPr>
          <w:rFonts w:cs="Arial"/>
          <w:lang w:val="sk-SK"/>
        </w:rPr>
      </w:pPr>
      <w:r w:rsidRPr="00611C2F">
        <w:rPr>
          <w:rFonts w:cs="Arial"/>
          <w:lang w:val="sk-SK"/>
        </w:rPr>
        <w:t xml:space="preserve">Ukazovateľ „Počet novovytvorených pracovných miest“ vykazuje nižšiu hodnotu, pretože cieľová hodnota bola zmenená pri revízii OP ŽP na verziu 4.0 doplnením novej aktivity, pričom došlo k výraznému navýšeniu cieľovej hodnoty pracovných miest (z pôvodnej hodnoty 4 na hodnotu 24). Keďže </w:t>
      </w:r>
      <w:r w:rsidRPr="00404251">
        <w:rPr>
          <w:rFonts w:cs="Arial"/>
          <w:lang w:val="sk-SK"/>
        </w:rPr>
        <w:t>veľk</w:t>
      </w:r>
      <w:r>
        <w:rPr>
          <w:rFonts w:cs="Arial"/>
          <w:lang w:val="sk-SK"/>
        </w:rPr>
        <w:t>ý</w:t>
      </w:r>
      <w:r w:rsidRPr="00404251">
        <w:rPr>
          <w:rFonts w:cs="Arial"/>
          <w:lang w:val="sk-SK"/>
        </w:rPr>
        <w:t xml:space="preserve"> projekt zameran</w:t>
      </w:r>
      <w:r>
        <w:rPr>
          <w:rFonts w:cs="Arial"/>
          <w:lang w:val="sk-SK"/>
        </w:rPr>
        <w:t>ý</w:t>
      </w:r>
      <w:r w:rsidRPr="00404251">
        <w:rPr>
          <w:rFonts w:cs="Arial"/>
          <w:lang w:val="sk-SK"/>
        </w:rPr>
        <w:t xml:space="preserve"> na túto novú aktivitu</w:t>
      </w:r>
      <w:r>
        <w:rPr>
          <w:rFonts w:cs="Arial"/>
          <w:lang w:val="sk-SK"/>
        </w:rPr>
        <w:t xml:space="preserve"> bol ukončený k 31. 12. 2015</w:t>
      </w:r>
      <w:r w:rsidRPr="00404251">
        <w:rPr>
          <w:rFonts w:cs="Arial"/>
          <w:lang w:val="sk-SK"/>
        </w:rPr>
        <w:t>,</w:t>
      </w:r>
      <w:r>
        <w:rPr>
          <w:rFonts w:cs="Arial"/>
          <w:lang w:val="sk-SK"/>
        </w:rPr>
        <w:t xml:space="preserve"> budú hodnoty predmetného indikátora upravené až po predložení</w:t>
      </w:r>
      <w:r w:rsidR="001A67AA">
        <w:rPr>
          <w:rFonts w:cs="Arial"/>
          <w:lang w:val="sk-SK"/>
        </w:rPr>
        <w:t xml:space="preserve"> následnej</w:t>
      </w:r>
      <w:r>
        <w:rPr>
          <w:rFonts w:cs="Arial"/>
          <w:lang w:val="sk-SK"/>
        </w:rPr>
        <w:t xml:space="preserve"> monitorovacej správy v decembri 2016.</w:t>
      </w:r>
    </w:p>
    <w:p w14:paraId="3537D18F" w14:textId="77777777" w:rsidR="00520591" w:rsidRDefault="00520591" w:rsidP="00682B07">
      <w:pPr>
        <w:pStyle w:val="Zkladntextb"/>
        <w:spacing w:before="120" w:after="120" w:line="240" w:lineRule="auto"/>
        <w:ind w:left="0"/>
        <w:jc w:val="both"/>
        <w:rPr>
          <w:rFonts w:cs="Arial"/>
          <w:lang w:val="sk-SK"/>
        </w:rPr>
      </w:pPr>
      <w:r w:rsidRPr="006238D4">
        <w:rPr>
          <w:rFonts w:cs="Arial"/>
          <w:lang w:val="sk-SK"/>
        </w:rPr>
        <w:t>Vysoké percento prekročenia úspešnosti plnenia pri zazmluvnených projektov ukazovateľa „Plocha územia so zabezpečenou protipovodňovou ochranou“ je spôsobené skutočnosťou, že schvále</w:t>
      </w:r>
      <w:r w:rsidRPr="00404251">
        <w:rPr>
          <w:rFonts w:cs="Arial"/>
          <w:lang w:val="sk-SK"/>
        </w:rPr>
        <w:t xml:space="preserve">né projekty boli realizované na územiach, na ktorých bolo možné realizáciou opatrení pokryť väčšie plochy územia ako sa pri nastavovaní </w:t>
      </w:r>
      <w:r w:rsidRPr="00B75010">
        <w:rPr>
          <w:rFonts w:cs="Arial"/>
          <w:lang w:val="sk-SK"/>
        </w:rPr>
        <w:t>indikátora očakávalo. Reálne vykazovanie ochráneného územia bolo taktiež komplikované vzhľadom k absencii objektívnych nástrojov (máp povodňového ohrozenia a máp povodňového rizika) pre stanovenie plochy ohrozeného územia v čase prípravy projektov.</w:t>
      </w:r>
    </w:p>
    <w:p w14:paraId="396F1BFD" w14:textId="77777777" w:rsidR="00520591" w:rsidRPr="003444FD" w:rsidRDefault="00520591" w:rsidP="00682B07">
      <w:pPr>
        <w:pStyle w:val="Zkladntextb"/>
        <w:spacing w:before="120" w:after="120" w:line="240" w:lineRule="auto"/>
        <w:ind w:left="0"/>
        <w:jc w:val="both"/>
        <w:rPr>
          <w:rFonts w:cs="Arial"/>
          <w:lang w:val="sk-SK"/>
        </w:rPr>
      </w:pPr>
      <w:r>
        <w:rPr>
          <w:rFonts w:cs="Arial"/>
          <w:lang w:val="sk-SK"/>
        </w:rPr>
        <w:t>P</w:t>
      </w:r>
      <w:r w:rsidRPr="00B75010">
        <w:rPr>
          <w:rFonts w:cs="Arial"/>
          <w:lang w:val="sk-SK"/>
        </w:rPr>
        <w:t xml:space="preserve">ri ukazovateli „Počet projektov na prevenciu rizík“ </w:t>
      </w:r>
      <w:r>
        <w:rPr>
          <w:rFonts w:cs="Arial"/>
          <w:lang w:val="sk-SK"/>
        </w:rPr>
        <w:t>je</w:t>
      </w:r>
      <w:r w:rsidRPr="00B75010">
        <w:rPr>
          <w:rFonts w:cs="Arial"/>
          <w:lang w:val="sk-SK"/>
        </w:rPr>
        <w:t xml:space="preserve"> úspešnosť plnenia prekročená (2</w:t>
      </w:r>
      <w:r>
        <w:rPr>
          <w:rFonts w:cs="Arial"/>
          <w:lang w:val="sk-SK"/>
        </w:rPr>
        <w:t>63 </w:t>
      </w:r>
      <w:r w:rsidRPr="003444FD">
        <w:rPr>
          <w:rFonts w:cs="Arial"/>
          <w:lang w:val="sk-SK"/>
        </w:rPr>
        <w:t>%) z dôvodu väčšieh</w:t>
      </w:r>
      <w:r w:rsidRPr="00B75010">
        <w:rPr>
          <w:rFonts w:cs="Arial"/>
          <w:lang w:val="sk-SK"/>
        </w:rPr>
        <w:t xml:space="preserve">o počtu schválených projektov s nižšou finančnou náročnosťou ako sa pôvodne </w:t>
      </w:r>
      <w:r w:rsidRPr="003444FD">
        <w:rPr>
          <w:rFonts w:cs="Arial"/>
          <w:lang w:val="sk-SK"/>
        </w:rPr>
        <w:t>uvažovalo pri nastavovaní ukazovateľa.</w:t>
      </w:r>
    </w:p>
    <w:p w14:paraId="716DB64A" w14:textId="77777777" w:rsidR="002416B1" w:rsidRPr="0020746A" w:rsidRDefault="002416B1" w:rsidP="00123376">
      <w:pPr>
        <w:pStyle w:val="Nadpis2"/>
        <w:spacing w:after="120"/>
        <w:jc w:val="both"/>
        <w:rPr>
          <w:rFonts w:cs="Arial"/>
        </w:rPr>
      </w:pPr>
      <w:bookmarkStart w:id="76" w:name="_Toc466914532"/>
      <w:r w:rsidRPr="008E1ACB">
        <w:rPr>
          <w:rFonts w:cs="Arial"/>
        </w:rPr>
        <w:t>3.3. Prioritná os 3 Ochrana ovzdušia a minimalizácia nepriaznivých vplyvov zmeny klímy</w:t>
      </w:r>
      <w:bookmarkEnd w:id="76"/>
    </w:p>
    <w:p w14:paraId="18F72FC5" w14:textId="77777777" w:rsidR="002416B1" w:rsidRPr="0020746A" w:rsidRDefault="002416B1" w:rsidP="00123376">
      <w:pPr>
        <w:pStyle w:val="Nadpis3"/>
        <w:spacing w:after="120"/>
        <w:rPr>
          <w:rFonts w:cs="Arial"/>
        </w:rPr>
      </w:pPr>
      <w:bookmarkStart w:id="77" w:name="_Toc466914533"/>
      <w:r w:rsidRPr="0020746A">
        <w:rPr>
          <w:rFonts w:cs="Arial"/>
        </w:rPr>
        <w:t>3.3.1 Dosiahnutie cieľov a analýza dosiahnutého pokroku</w:t>
      </w:r>
      <w:bookmarkEnd w:id="77"/>
    </w:p>
    <w:p w14:paraId="58571A1A" w14:textId="12AA9EE2" w:rsidR="002F3D62" w:rsidRPr="00E21C60" w:rsidRDefault="002F3D62" w:rsidP="002F3D62">
      <w:pPr>
        <w:spacing w:before="120" w:after="120"/>
        <w:jc w:val="both"/>
        <w:rPr>
          <w:rFonts w:ascii="Arial" w:hAnsi="Arial" w:cs="Arial"/>
          <w:sz w:val="20"/>
          <w:szCs w:val="20"/>
        </w:rPr>
      </w:pPr>
      <w:r w:rsidRPr="00E21C60">
        <w:rPr>
          <w:rFonts w:ascii="Arial" w:hAnsi="Arial" w:cs="Arial"/>
          <w:sz w:val="20"/>
          <w:szCs w:val="20"/>
        </w:rPr>
        <w:t xml:space="preserve">Cieľom prioritnej osi </w:t>
      </w:r>
      <w:r>
        <w:rPr>
          <w:rFonts w:ascii="Arial" w:hAnsi="Arial" w:cs="Arial"/>
          <w:sz w:val="20"/>
          <w:szCs w:val="20"/>
        </w:rPr>
        <w:t>bolo</w:t>
      </w:r>
      <w:r w:rsidRPr="00E21C60">
        <w:rPr>
          <w:rFonts w:ascii="Arial" w:hAnsi="Arial" w:cs="Arial"/>
          <w:sz w:val="20"/>
          <w:szCs w:val="20"/>
        </w:rPr>
        <w:t xml:space="preserve"> znižovanie emisií základných a ostatných znečisťujúcich látok</w:t>
      </w:r>
      <w:r>
        <w:rPr>
          <w:rFonts w:ascii="Arial" w:hAnsi="Arial" w:cs="Arial"/>
          <w:sz w:val="20"/>
          <w:szCs w:val="20"/>
        </w:rPr>
        <w:t xml:space="preserve"> a</w:t>
      </w:r>
      <w:r w:rsidRPr="00E21C60">
        <w:rPr>
          <w:rFonts w:ascii="Arial" w:hAnsi="Arial" w:cs="Arial"/>
          <w:sz w:val="20"/>
          <w:szCs w:val="20"/>
        </w:rPr>
        <w:t xml:space="preserve"> minimalizácia nepriaznivých vplyvov zmeny klímy vrátane podpory </w:t>
      </w:r>
      <w:r>
        <w:rPr>
          <w:rFonts w:ascii="Arial" w:hAnsi="Arial" w:cs="Arial"/>
          <w:iCs/>
          <w:sz w:val="20"/>
          <w:szCs w:val="20"/>
          <w:lang w:eastAsia="en-US"/>
        </w:rPr>
        <w:t>OZE</w:t>
      </w:r>
      <w:r w:rsidRPr="00E21C60" w:rsidDel="00331702">
        <w:rPr>
          <w:rFonts w:ascii="Arial" w:hAnsi="Arial" w:cs="Arial"/>
          <w:sz w:val="20"/>
          <w:szCs w:val="20"/>
        </w:rPr>
        <w:t xml:space="preserve"> </w:t>
      </w:r>
      <w:r w:rsidRPr="00E21C60">
        <w:rPr>
          <w:rFonts w:ascii="Arial" w:hAnsi="Arial" w:cs="Arial"/>
          <w:sz w:val="20"/>
          <w:szCs w:val="20"/>
        </w:rPr>
        <w:t>v súlade s legislatívou EÚ a</w:t>
      </w:r>
      <w:r>
        <w:rPr>
          <w:rFonts w:ascii="Arial" w:hAnsi="Arial" w:cs="Arial"/>
          <w:sz w:val="20"/>
          <w:szCs w:val="20"/>
        </w:rPr>
        <w:t> </w:t>
      </w:r>
      <w:r w:rsidRPr="00E21C60">
        <w:rPr>
          <w:rFonts w:ascii="Arial" w:hAnsi="Arial" w:cs="Arial"/>
          <w:sz w:val="20"/>
          <w:szCs w:val="20"/>
        </w:rPr>
        <w:t>SR</w:t>
      </w:r>
      <w:r>
        <w:rPr>
          <w:rFonts w:ascii="Arial" w:hAnsi="Arial" w:cs="Arial"/>
          <w:sz w:val="20"/>
          <w:szCs w:val="20"/>
        </w:rPr>
        <w:t>.</w:t>
      </w:r>
      <w:r w:rsidR="00C2620B">
        <w:rPr>
          <w:rFonts w:ascii="Arial" w:hAnsi="Arial" w:cs="Arial"/>
          <w:sz w:val="20"/>
          <w:szCs w:val="20"/>
        </w:rPr>
        <w:t xml:space="preserve"> Zároveň b</w:t>
      </w:r>
      <w:r>
        <w:rPr>
          <w:rFonts w:ascii="Arial" w:hAnsi="Arial" w:cs="Arial"/>
          <w:sz w:val="20"/>
          <w:szCs w:val="20"/>
        </w:rPr>
        <w:t>ola</w:t>
      </w:r>
      <w:r w:rsidRPr="00E21C60">
        <w:rPr>
          <w:rFonts w:ascii="Arial" w:hAnsi="Arial" w:cs="Arial"/>
          <w:sz w:val="20"/>
          <w:szCs w:val="20"/>
        </w:rPr>
        <w:t xml:space="preserve"> zameraná na </w:t>
      </w:r>
      <w:r w:rsidR="00C2620B">
        <w:rPr>
          <w:rFonts w:ascii="Arial" w:hAnsi="Arial" w:cs="Arial"/>
          <w:sz w:val="20"/>
          <w:szCs w:val="20"/>
        </w:rPr>
        <w:t xml:space="preserve">podporu </w:t>
      </w:r>
      <w:r w:rsidRPr="00E21C60">
        <w:rPr>
          <w:rFonts w:ascii="Arial" w:hAnsi="Arial" w:cs="Arial"/>
          <w:sz w:val="20"/>
          <w:szCs w:val="20"/>
        </w:rPr>
        <w:t>transpozíci</w:t>
      </w:r>
      <w:r w:rsidR="00C2620B">
        <w:rPr>
          <w:rFonts w:ascii="Arial" w:hAnsi="Arial" w:cs="Arial"/>
          <w:sz w:val="20"/>
          <w:szCs w:val="20"/>
        </w:rPr>
        <w:t>e</w:t>
      </w:r>
      <w:r w:rsidRPr="00E21C60">
        <w:rPr>
          <w:rFonts w:ascii="Arial" w:hAnsi="Arial" w:cs="Arial"/>
          <w:sz w:val="20"/>
          <w:szCs w:val="20"/>
        </w:rPr>
        <w:t xml:space="preserve"> a implementáci</w:t>
      </w:r>
      <w:r w:rsidR="00C2620B">
        <w:rPr>
          <w:rFonts w:ascii="Arial" w:hAnsi="Arial" w:cs="Arial"/>
          <w:sz w:val="20"/>
          <w:szCs w:val="20"/>
        </w:rPr>
        <w:t>e</w:t>
      </w:r>
      <w:r w:rsidRPr="00E21C60">
        <w:rPr>
          <w:rFonts w:ascii="Arial" w:hAnsi="Arial" w:cs="Arial"/>
          <w:sz w:val="20"/>
          <w:szCs w:val="20"/>
        </w:rPr>
        <w:t xml:space="preserve"> predpisov EÚ, </w:t>
      </w:r>
      <w:r>
        <w:rPr>
          <w:rFonts w:ascii="Arial" w:hAnsi="Arial" w:cs="Arial"/>
          <w:sz w:val="20"/>
          <w:szCs w:val="20"/>
        </w:rPr>
        <w:t>s cieľom prispieť k zlepšeniu kvality ovzdušia, ale aj na</w:t>
      </w:r>
      <w:r w:rsidRPr="00E21C60">
        <w:rPr>
          <w:rFonts w:ascii="Arial" w:hAnsi="Arial" w:cs="Arial"/>
          <w:sz w:val="20"/>
          <w:szCs w:val="20"/>
        </w:rPr>
        <w:t xml:space="preserve"> plnenie prijatých medzinárodných záväzkov v oblasti znižovania emisií skleníkových plynov</w:t>
      </w:r>
      <w:r>
        <w:rPr>
          <w:rFonts w:ascii="Arial" w:hAnsi="Arial" w:cs="Arial"/>
          <w:sz w:val="20"/>
          <w:szCs w:val="20"/>
        </w:rPr>
        <w:t xml:space="preserve"> a aktivity spojené s implementáciou tzv. klimaticko – energetického balíčka</w:t>
      </w:r>
      <w:r w:rsidR="00B24D7C">
        <w:rPr>
          <w:rStyle w:val="Odkaznapoznmkupodiarou"/>
          <w:rFonts w:ascii="Arial" w:hAnsi="Arial" w:cs="Arial"/>
          <w:sz w:val="20"/>
          <w:szCs w:val="20"/>
        </w:rPr>
        <w:footnoteReference w:id="9"/>
      </w:r>
      <w:r w:rsidR="00D17897">
        <w:rPr>
          <w:rFonts w:ascii="Arial" w:hAnsi="Arial" w:cs="Arial"/>
          <w:sz w:val="20"/>
          <w:szCs w:val="20"/>
        </w:rPr>
        <w:t>.</w:t>
      </w:r>
    </w:p>
    <w:p w14:paraId="637D3686" w14:textId="7B2FDFEC" w:rsidR="00EC2B05" w:rsidRPr="00E21C60" w:rsidRDefault="00EC2B05" w:rsidP="00EC2B05">
      <w:pPr>
        <w:spacing w:before="120" w:after="120"/>
        <w:jc w:val="both"/>
        <w:rPr>
          <w:rFonts w:ascii="Arial" w:hAnsi="Arial" w:cs="Arial"/>
          <w:sz w:val="20"/>
          <w:szCs w:val="20"/>
        </w:rPr>
      </w:pPr>
      <w:r w:rsidRPr="00F84AA0">
        <w:rPr>
          <w:rFonts w:ascii="Arial" w:hAnsi="Arial" w:cs="Arial"/>
          <w:sz w:val="20"/>
          <w:szCs w:val="20"/>
        </w:rPr>
        <w:t>Prioritná os 3 bola financovaná z Európskeho fondu regionálneho rozvoja a svojou alokáciou tvor</w:t>
      </w:r>
      <w:r w:rsidR="00C2620B">
        <w:rPr>
          <w:rFonts w:ascii="Arial" w:hAnsi="Arial" w:cs="Arial"/>
          <w:sz w:val="20"/>
          <w:szCs w:val="20"/>
        </w:rPr>
        <w:t>ila</w:t>
      </w:r>
      <w:r w:rsidRPr="00F84AA0">
        <w:rPr>
          <w:rFonts w:ascii="Arial" w:hAnsi="Arial" w:cs="Arial"/>
          <w:sz w:val="20"/>
          <w:szCs w:val="20"/>
        </w:rPr>
        <w:t xml:space="preserve">  </w:t>
      </w:r>
      <w:r w:rsidRPr="00F84AA0">
        <w:rPr>
          <w:rFonts w:ascii="Arial" w:hAnsi="Arial" w:cs="Arial"/>
          <w:sz w:val="20"/>
          <w:szCs w:val="20"/>
        </w:rPr>
        <w:br/>
      </w:r>
      <w:r w:rsidRPr="00047ACE">
        <w:rPr>
          <w:rFonts w:ascii="Arial" w:hAnsi="Arial" w:cs="Arial"/>
          <w:sz w:val="20"/>
          <w:szCs w:val="20"/>
        </w:rPr>
        <w:t>9,</w:t>
      </w:r>
      <w:r w:rsidR="00047ACE" w:rsidRPr="00047ACE">
        <w:rPr>
          <w:rFonts w:ascii="Arial" w:hAnsi="Arial" w:cs="Arial"/>
          <w:sz w:val="20"/>
          <w:szCs w:val="20"/>
        </w:rPr>
        <w:t>89</w:t>
      </w:r>
      <w:r w:rsidRPr="00047ACE">
        <w:rPr>
          <w:rFonts w:ascii="Arial" w:hAnsi="Arial" w:cs="Arial"/>
          <w:sz w:val="20"/>
          <w:szCs w:val="20"/>
        </w:rPr>
        <w:t xml:space="preserve"> %</w:t>
      </w:r>
      <w:r w:rsidRPr="00F84AA0">
        <w:rPr>
          <w:rFonts w:ascii="Arial" w:hAnsi="Arial" w:cs="Arial"/>
          <w:sz w:val="20"/>
          <w:szCs w:val="20"/>
        </w:rPr>
        <w:t xml:space="preserve"> (zdroje EÚ+ŠR) </w:t>
      </w:r>
      <w:r w:rsidR="00D17897">
        <w:rPr>
          <w:rFonts w:ascii="Arial" w:hAnsi="Arial" w:cs="Arial"/>
          <w:sz w:val="20"/>
          <w:szCs w:val="20"/>
        </w:rPr>
        <w:t xml:space="preserve">z </w:t>
      </w:r>
      <w:r w:rsidRPr="00F84AA0">
        <w:rPr>
          <w:rFonts w:ascii="Arial" w:hAnsi="Arial" w:cs="Arial"/>
          <w:sz w:val="20"/>
          <w:szCs w:val="20"/>
        </w:rPr>
        <w:t>celkovej alokácie na operačný program (po revízi</w:t>
      </w:r>
      <w:r w:rsidR="001A1D2B">
        <w:rPr>
          <w:rFonts w:ascii="Arial" w:hAnsi="Arial" w:cs="Arial"/>
          <w:sz w:val="20"/>
          <w:szCs w:val="20"/>
        </w:rPr>
        <w:t>i</w:t>
      </w:r>
      <w:r w:rsidRPr="00F84AA0">
        <w:rPr>
          <w:rFonts w:ascii="Arial" w:hAnsi="Arial" w:cs="Arial"/>
          <w:sz w:val="20"/>
          <w:szCs w:val="20"/>
        </w:rPr>
        <w:t xml:space="preserve"> OP ŽP na verziu </w:t>
      </w:r>
      <w:r w:rsidR="001A1D2B">
        <w:rPr>
          <w:rFonts w:ascii="Arial" w:hAnsi="Arial" w:cs="Arial"/>
          <w:sz w:val="20"/>
          <w:szCs w:val="20"/>
        </w:rPr>
        <w:t>5</w:t>
      </w:r>
      <w:r w:rsidRPr="00F84AA0">
        <w:rPr>
          <w:rFonts w:ascii="Arial" w:hAnsi="Arial" w:cs="Arial"/>
          <w:sz w:val="20"/>
          <w:szCs w:val="20"/>
        </w:rPr>
        <w:t xml:space="preserve">.0). </w:t>
      </w:r>
    </w:p>
    <w:p w14:paraId="61D39AFC" w14:textId="77777777" w:rsidR="00FB6D6F" w:rsidRPr="00E21C60" w:rsidRDefault="002F3D62" w:rsidP="00FB6D6F">
      <w:pPr>
        <w:autoSpaceDE w:val="0"/>
        <w:autoSpaceDN w:val="0"/>
        <w:adjustRightInd w:val="0"/>
        <w:spacing w:before="120" w:after="120"/>
        <w:jc w:val="both"/>
        <w:rPr>
          <w:rFonts w:ascii="Arial" w:hAnsi="Arial" w:cs="Arial"/>
          <w:sz w:val="20"/>
          <w:szCs w:val="20"/>
        </w:rPr>
      </w:pPr>
      <w:r w:rsidRPr="00E21C60">
        <w:rPr>
          <w:rFonts w:ascii="Arial" w:hAnsi="Arial" w:cs="Arial"/>
          <w:sz w:val="20"/>
          <w:szCs w:val="20"/>
        </w:rPr>
        <w:t xml:space="preserve">Príklady </w:t>
      </w:r>
      <w:r w:rsidRPr="002526CC">
        <w:rPr>
          <w:rFonts w:ascii="Arial" w:hAnsi="Arial" w:cs="Arial"/>
          <w:sz w:val="20"/>
          <w:szCs w:val="20"/>
        </w:rPr>
        <w:t xml:space="preserve">úspešných projektov prioritnej osi 3, </w:t>
      </w:r>
      <w:r w:rsidR="00FB6D6F" w:rsidRPr="00EC1B17">
        <w:rPr>
          <w:rFonts w:ascii="Arial" w:hAnsi="Arial" w:cs="Arial"/>
          <w:sz w:val="20"/>
          <w:szCs w:val="20"/>
        </w:rPr>
        <w:t xml:space="preserve">finančne aj fyzicky ukončených, sú uvedené na webovom sídle OP ŽP </w:t>
      </w:r>
      <w:hyperlink r:id="rId24" w:history="1">
        <w:r w:rsidR="00FB6D6F" w:rsidRPr="0093280D">
          <w:rPr>
            <w:rStyle w:val="Hypertextovprepojenie"/>
            <w:rFonts w:ascii="Arial" w:hAnsi="Arial" w:cs="Arial"/>
            <w:sz w:val="20"/>
            <w:szCs w:val="20"/>
          </w:rPr>
          <w:t>www.opzp.sk</w:t>
        </w:r>
      </w:hyperlink>
      <w:r w:rsidR="00FB6D6F">
        <w:rPr>
          <w:rFonts w:ascii="Arial" w:hAnsi="Arial" w:cs="Arial"/>
          <w:sz w:val="20"/>
          <w:szCs w:val="20"/>
        </w:rPr>
        <w:t xml:space="preserve"> v časti </w:t>
      </w:r>
      <w:r w:rsidR="00FB6D6F" w:rsidRPr="000E2934">
        <w:rPr>
          <w:rFonts w:ascii="Arial" w:hAnsi="Arial" w:cs="Arial"/>
          <w:sz w:val="20"/>
          <w:szCs w:val="20"/>
        </w:rPr>
        <w:t>Hlavná stránka &gt; Projekty &gt; Mapa vzorových úspešne realizovaných projektov OPŽP</w:t>
      </w:r>
      <w:r w:rsidR="00FB6D6F">
        <w:rPr>
          <w:rFonts w:ascii="Arial" w:hAnsi="Arial" w:cs="Arial"/>
          <w:sz w:val="20"/>
          <w:szCs w:val="20"/>
        </w:rPr>
        <w:t xml:space="preserve"> </w:t>
      </w:r>
      <w:r w:rsidR="00FB6D6F" w:rsidRPr="00EC1B17">
        <w:rPr>
          <w:rFonts w:ascii="Arial" w:hAnsi="Arial" w:cs="Arial"/>
          <w:sz w:val="20"/>
          <w:szCs w:val="20"/>
        </w:rPr>
        <w:t xml:space="preserve">a tiež sú súčasťou </w:t>
      </w:r>
      <w:r w:rsidR="00FB6D6F" w:rsidRPr="000E2934">
        <w:rPr>
          <w:rFonts w:ascii="Arial" w:hAnsi="Arial" w:cs="Arial"/>
          <w:sz w:val="20"/>
          <w:szCs w:val="20"/>
        </w:rPr>
        <w:t>Prílohy č. 10</w:t>
      </w:r>
      <w:r w:rsidR="00FB6D6F" w:rsidRPr="00EC1B17">
        <w:rPr>
          <w:rFonts w:ascii="Arial" w:hAnsi="Arial" w:cs="Arial"/>
          <w:sz w:val="20"/>
          <w:szCs w:val="20"/>
        </w:rPr>
        <w:t xml:space="preserve"> </w:t>
      </w:r>
      <w:r w:rsidR="00FB6D6F">
        <w:rPr>
          <w:rFonts w:ascii="Arial" w:hAnsi="Arial" w:cs="Arial"/>
          <w:sz w:val="20"/>
          <w:szCs w:val="20"/>
        </w:rPr>
        <w:t>záverečnej</w:t>
      </w:r>
      <w:r w:rsidR="00FB6D6F" w:rsidRPr="00EC1B17">
        <w:rPr>
          <w:rFonts w:ascii="Arial" w:hAnsi="Arial" w:cs="Arial"/>
          <w:sz w:val="20"/>
          <w:szCs w:val="20"/>
        </w:rPr>
        <w:t xml:space="preserve"> správy.</w:t>
      </w:r>
    </w:p>
    <w:p w14:paraId="5FA6C475" w14:textId="7EC189E2" w:rsidR="002416B1" w:rsidRPr="00E21C60" w:rsidRDefault="002416B1" w:rsidP="00FB6D6F">
      <w:pPr>
        <w:spacing w:before="120" w:after="120"/>
        <w:jc w:val="both"/>
        <w:rPr>
          <w:rFonts w:ascii="Arial" w:hAnsi="Arial" w:cs="Arial"/>
          <w:b/>
          <w:sz w:val="22"/>
          <w:szCs w:val="22"/>
        </w:rPr>
      </w:pPr>
      <w:r w:rsidRPr="00E21C60">
        <w:rPr>
          <w:rFonts w:ascii="Arial" w:hAnsi="Arial" w:cs="Arial"/>
          <w:b/>
          <w:sz w:val="22"/>
          <w:szCs w:val="22"/>
        </w:rPr>
        <w:lastRenderedPageBreak/>
        <w:t>3.3.1.1 Stav fyzického pokroku prioritnej osi 3</w:t>
      </w:r>
    </w:p>
    <w:p w14:paraId="3873DF5A" w14:textId="7A73EA8F" w:rsidR="002F3D62" w:rsidRPr="00123376" w:rsidRDefault="002F3D62" w:rsidP="002F3D62">
      <w:pPr>
        <w:spacing w:before="120" w:after="120"/>
        <w:jc w:val="both"/>
        <w:rPr>
          <w:rFonts w:ascii="Arial" w:hAnsi="Arial" w:cs="Arial"/>
          <w:bCs/>
          <w:sz w:val="20"/>
          <w:szCs w:val="20"/>
        </w:rPr>
      </w:pPr>
      <w:r w:rsidRPr="00123376">
        <w:rPr>
          <w:rFonts w:ascii="Arial" w:hAnsi="Arial" w:cs="Arial"/>
          <w:bCs/>
          <w:sz w:val="20"/>
          <w:szCs w:val="20"/>
        </w:rPr>
        <w:t xml:space="preserve">V rámci </w:t>
      </w:r>
      <w:r>
        <w:rPr>
          <w:rFonts w:ascii="Arial" w:hAnsi="Arial" w:cs="Arial"/>
          <w:bCs/>
          <w:sz w:val="20"/>
          <w:szCs w:val="20"/>
        </w:rPr>
        <w:t>p</w:t>
      </w:r>
      <w:r w:rsidRPr="00123376">
        <w:rPr>
          <w:rFonts w:ascii="Arial" w:hAnsi="Arial" w:cs="Arial"/>
          <w:bCs/>
          <w:sz w:val="20"/>
          <w:szCs w:val="20"/>
        </w:rPr>
        <w:t xml:space="preserve">rioritnej osi 3 bolo vyhlásených </w:t>
      </w:r>
      <w:r>
        <w:rPr>
          <w:rFonts w:ascii="Arial" w:hAnsi="Arial" w:cs="Arial"/>
          <w:bCs/>
          <w:sz w:val="20"/>
          <w:szCs w:val="20"/>
        </w:rPr>
        <w:t xml:space="preserve">celkovo dvadsať </w:t>
      </w:r>
      <w:r w:rsidRPr="00123376">
        <w:rPr>
          <w:rFonts w:ascii="Arial" w:hAnsi="Arial" w:cs="Arial"/>
          <w:bCs/>
          <w:sz w:val="20"/>
          <w:szCs w:val="20"/>
        </w:rPr>
        <w:t xml:space="preserve">výziev na predkladanie žiadostí o NFP v celkovej alokácii </w:t>
      </w:r>
      <w:r w:rsidRPr="00912C87">
        <w:rPr>
          <w:rFonts w:ascii="Arial" w:hAnsi="Arial" w:cs="Arial"/>
          <w:bCs/>
          <w:sz w:val="20"/>
          <w:szCs w:val="20"/>
        </w:rPr>
        <w:t>36</w:t>
      </w:r>
      <w:r>
        <w:rPr>
          <w:rFonts w:ascii="Arial" w:hAnsi="Arial" w:cs="Arial"/>
          <w:bCs/>
          <w:sz w:val="20"/>
          <w:szCs w:val="20"/>
        </w:rPr>
        <w:t>8</w:t>
      </w:r>
      <w:r w:rsidRPr="00912C87">
        <w:rPr>
          <w:rFonts w:ascii="Arial" w:hAnsi="Arial" w:cs="Arial"/>
          <w:bCs/>
          <w:sz w:val="20"/>
          <w:szCs w:val="20"/>
        </w:rPr>
        <w:t xml:space="preserve"> 7</w:t>
      </w:r>
      <w:r>
        <w:rPr>
          <w:rFonts w:ascii="Arial" w:hAnsi="Arial" w:cs="Arial"/>
          <w:bCs/>
          <w:sz w:val="20"/>
          <w:szCs w:val="20"/>
        </w:rPr>
        <w:t>10</w:t>
      </w:r>
      <w:r w:rsidRPr="00912C87">
        <w:rPr>
          <w:rFonts w:ascii="Arial" w:hAnsi="Arial" w:cs="Arial"/>
          <w:bCs/>
          <w:sz w:val="20"/>
          <w:szCs w:val="20"/>
        </w:rPr>
        <w:t xml:space="preserve"> </w:t>
      </w:r>
      <w:r>
        <w:rPr>
          <w:rFonts w:ascii="Arial" w:hAnsi="Arial" w:cs="Arial"/>
          <w:bCs/>
          <w:sz w:val="20"/>
          <w:szCs w:val="20"/>
        </w:rPr>
        <w:t>084</w:t>
      </w:r>
      <w:r w:rsidRPr="00912C87">
        <w:rPr>
          <w:rFonts w:ascii="Arial" w:hAnsi="Arial" w:cs="Arial"/>
          <w:bCs/>
          <w:sz w:val="20"/>
          <w:szCs w:val="20"/>
        </w:rPr>
        <w:t>,93</w:t>
      </w:r>
      <w:r>
        <w:rPr>
          <w:rFonts w:ascii="Arial" w:hAnsi="Arial" w:cs="Arial"/>
          <w:bCs/>
          <w:sz w:val="20"/>
          <w:szCs w:val="20"/>
        </w:rPr>
        <w:t xml:space="preserve"> </w:t>
      </w:r>
      <w:r w:rsidR="00366C2D">
        <w:rPr>
          <w:rFonts w:ascii="Arial" w:hAnsi="Arial" w:cs="Arial"/>
          <w:bCs/>
          <w:sz w:val="20"/>
          <w:szCs w:val="20"/>
        </w:rPr>
        <w:t>€</w:t>
      </w:r>
      <w:r w:rsidRPr="00123376">
        <w:rPr>
          <w:rFonts w:ascii="Arial" w:hAnsi="Arial" w:cs="Arial"/>
          <w:bCs/>
          <w:sz w:val="20"/>
          <w:szCs w:val="20"/>
        </w:rPr>
        <w:t xml:space="preserve">. </w:t>
      </w:r>
    </w:p>
    <w:p w14:paraId="504C5ACF" w14:textId="77777777" w:rsidR="002F3D62" w:rsidRPr="00E21C60" w:rsidRDefault="002F3D62" w:rsidP="002F3D62">
      <w:pPr>
        <w:spacing w:before="120" w:after="120"/>
        <w:jc w:val="both"/>
        <w:rPr>
          <w:rFonts w:ascii="Arial" w:hAnsi="Arial" w:cs="Arial"/>
          <w:bCs/>
          <w:sz w:val="20"/>
          <w:szCs w:val="20"/>
        </w:rPr>
      </w:pPr>
      <w:r w:rsidRPr="00123376">
        <w:rPr>
          <w:rFonts w:ascii="Arial" w:hAnsi="Arial" w:cs="Arial"/>
          <w:bCs/>
          <w:sz w:val="20"/>
          <w:szCs w:val="20"/>
        </w:rPr>
        <w:t>V roku 201</w:t>
      </w:r>
      <w:r>
        <w:rPr>
          <w:rFonts w:ascii="Arial" w:hAnsi="Arial" w:cs="Arial"/>
          <w:bCs/>
          <w:sz w:val="20"/>
          <w:szCs w:val="20"/>
        </w:rPr>
        <w:t>5</w:t>
      </w:r>
      <w:r w:rsidRPr="00123376">
        <w:rPr>
          <w:rFonts w:ascii="Arial" w:hAnsi="Arial" w:cs="Arial"/>
          <w:bCs/>
          <w:sz w:val="20"/>
          <w:szCs w:val="20"/>
        </w:rPr>
        <w:t xml:space="preserve"> </w:t>
      </w:r>
      <w:r w:rsidRPr="00E21C60">
        <w:rPr>
          <w:rFonts w:ascii="Arial" w:hAnsi="Arial" w:cs="Arial"/>
          <w:bCs/>
          <w:sz w:val="20"/>
          <w:szCs w:val="20"/>
        </w:rPr>
        <w:t xml:space="preserve">boli vyhlásené </w:t>
      </w:r>
      <w:r>
        <w:rPr>
          <w:rFonts w:ascii="Arial" w:hAnsi="Arial" w:cs="Arial"/>
          <w:bCs/>
          <w:sz w:val="20"/>
          <w:szCs w:val="20"/>
        </w:rPr>
        <w:t>dve</w:t>
      </w:r>
      <w:r w:rsidRPr="00E21C60">
        <w:rPr>
          <w:rFonts w:ascii="Arial" w:hAnsi="Arial" w:cs="Arial"/>
          <w:bCs/>
          <w:sz w:val="20"/>
          <w:szCs w:val="20"/>
        </w:rPr>
        <w:t xml:space="preserve"> výzvy na predkladanie žiadostí o NFP. </w:t>
      </w:r>
    </w:p>
    <w:p w14:paraId="1C448C3F" w14:textId="5ED61AB5" w:rsidR="002F3D62" w:rsidRPr="00123376" w:rsidRDefault="002F3D62" w:rsidP="002F3D62">
      <w:pPr>
        <w:spacing w:before="120" w:after="120"/>
        <w:jc w:val="both"/>
        <w:rPr>
          <w:rFonts w:ascii="Arial" w:hAnsi="Arial" w:cs="Arial"/>
        </w:rPr>
      </w:pPr>
      <w:r w:rsidRPr="00E21C60">
        <w:rPr>
          <w:rFonts w:ascii="Arial" w:hAnsi="Arial" w:cs="Arial"/>
          <w:bCs/>
          <w:sz w:val="20"/>
          <w:szCs w:val="20"/>
        </w:rPr>
        <w:t xml:space="preserve">Dňa </w:t>
      </w:r>
      <w:r>
        <w:rPr>
          <w:rFonts w:ascii="Arial" w:hAnsi="Arial" w:cs="Arial"/>
          <w:bCs/>
          <w:sz w:val="20"/>
          <w:szCs w:val="20"/>
        </w:rPr>
        <w:t>12.06.2015</w:t>
      </w:r>
      <w:r w:rsidRPr="00E21C60">
        <w:rPr>
          <w:rFonts w:ascii="Arial" w:hAnsi="Arial" w:cs="Arial"/>
          <w:bCs/>
          <w:sz w:val="20"/>
          <w:szCs w:val="20"/>
        </w:rPr>
        <w:t xml:space="preserve"> bola vyhlásená výzva s kódom OPŽP-PO3-1</w:t>
      </w:r>
      <w:r>
        <w:rPr>
          <w:rFonts w:ascii="Arial" w:hAnsi="Arial" w:cs="Arial"/>
          <w:bCs/>
          <w:sz w:val="20"/>
          <w:szCs w:val="20"/>
        </w:rPr>
        <w:t>5</w:t>
      </w:r>
      <w:r w:rsidRPr="00E21C60">
        <w:rPr>
          <w:rFonts w:ascii="Arial" w:hAnsi="Arial" w:cs="Arial"/>
          <w:bCs/>
          <w:sz w:val="20"/>
          <w:szCs w:val="20"/>
        </w:rPr>
        <w:t>-</w:t>
      </w:r>
      <w:r>
        <w:rPr>
          <w:rFonts w:ascii="Arial" w:hAnsi="Arial" w:cs="Arial"/>
          <w:bCs/>
          <w:sz w:val="20"/>
          <w:szCs w:val="20"/>
        </w:rPr>
        <w:t>1</w:t>
      </w:r>
      <w:r w:rsidRPr="00E21C60">
        <w:rPr>
          <w:rFonts w:ascii="Arial" w:hAnsi="Arial" w:cs="Arial"/>
          <w:bCs/>
          <w:sz w:val="20"/>
          <w:szCs w:val="20"/>
        </w:rPr>
        <w:t xml:space="preserve"> pre operačný cieľ  3.</w:t>
      </w:r>
      <w:r>
        <w:rPr>
          <w:rFonts w:ascii="Arial" w:hAnsi="Arial" w:cs="Arial"/>
          <w:bCs/>
          <w:sz w:val="20"/>
          <w:szCs w:val="20"/>
        </w:rPr>
        <w:t>2</w:t>
      </w:r>
      <w:r w:rsidRPr="00E21C60">
        <w:rPr>
          <w:rFonts w:ascii="Arial" w:hAnsi="Arial" w:cs="Arial"/>
          <w:bCs/>
          <w:sz w:val="20"/>
          <w:szCs w:val="20"/>
        </w:rPr>
        <w:t xml:space="preserve"> </w:t>
      </w:r>
      <w:r w:rsidRPr="00E21C60">
        <w:rPr>
          <w:rFonts w:ascii="Arial" w:hAnsi="Arial" w:cs="Arial"/>
          <w:sz w:val="20"/>
          <w:szCs w:val="20"/>
        </w:rPr>
        <w:t xml:space="preserve">Minimalizácia nepriaznivých vplyvov zmeny klímy vrátane podpory obnoviteľných zdrojov energie </w:t>
      </w:r>
      <w:r w:rsidRPr="00E21C60">
        <w:rPr>
          <w:rFonts w:ascii="Arial" w:hAnsi="Arial" w:cs="Arial"/>
          <w:bCs/>
          <w:sz w:val="20"/>
          <w:szCs w:val="20"/>
        </w:rPr>
        <w:t xml:space="preserve">s alokáciou </w:t>
      </w:r>
      <w:r w:rsidRPr="00360D19">
        <w:rPr>
          <w:rFonts w:ascii="Arial" w:hAnsi="Arial" w:cs="Arial"/>
          <w:bCs/>
          <w:sz w:val="20"/>
          <w:szCs w:val="20"/>
        </w:rPr>
        <w:t>2</w:t>
      </w:r>
      <w:r w:rsidR="009A7C85">
        <w:rPr>
          <w:rFonts w:ascii="Arial" w:hAnsi="Arial" w:cs="Arial"/>
          <w:bCs/>
          <w:sz w:val="20"/>
          <w:szCs w:val="20"/>
        </w:rPr>
        <w:t> </w:t>
      </w:r>
      <w:r>
        <w:rPr>
          <w:rFonts w:ascii="Arial" w:hAnsi="Arial" w:cs="Arial"/>
          <w:bCs/>
          <w:sz w:val="20"/>
          <w:szCs w:val="20"/>
        </w:rPr>
        <w:t>300</w:t>
      </w:r>
      <w:r w:rsidR="009A7C85">
        <w:rPr>
          <w:rFonts w:ascii="Arial" w:hAnsi="Arial" w:cs="Arial"/>
          <w:bCs/>
          <w:sz w:val="20"/>
          <w:szCs w:val="20"/>
        </w:rPr>
        <w:t> </w:t>
      </w:r>
      <w:r>
        <w:rPr>
          <w:rFonts w:ascii="Arial" w:hAnsi="Arial" w:cs="Arial"/>
          <w:bCs/>
          <w:sz w:val="20"/>
          <w:szCs w:val="20"/>
        </w:rPr>
        <w:t>000</w:t>
      </w:r>
      <w:r w:rsidRPr="00360D19">
        <w:rPr>
          <w:rFonts w:ascii="Arial" w:hAnsi="Arial" w:cs="Arial"/>
          <w:bCs/>
          <w:sz w:val="20"/>
          <w:szCs w:val="20"/>
        </w:rPr>
        <w:t>,</w:t>
      </w:r>
      <w:r>
        <w:rPr>
          <w:rFonts w:ascii="Arial" w:hAnsi="Arial" w:cs="Arial"/>
          <w:bCs/>
          <w:sz w:val="20"/>
          <w:szCs w:val="20"/>
        </w:rPr>
        <w:t xml:space="preserve">00 </w:t>
      </w:r>
      <w:r w:rsidR="00366C2D">
        <w:rPr>
          <w:rFonts w:ascii="Arial" w:hAnsi="Arial" w:cs="Arial"/>
          <w:bCs/>
          <w:sz w:val="20"/>
          <w:szCs w:val="20"/>
        </w:rPr>
        <w:t>€</w:t>
      </w:r>
      <w:r w:rsidRPr="00E21C60">
        <w:rPr>
          <w:rFonts w:ascii="Arial" w:hAnsi="Arial" w:cs="Arial"/>
          <w:bCs/>
          <w:sz w:val="20"/>
          <w:szCs w:val="20"/>
        </w:rPr>
        <w:t xml:space="preserve"> (zdroje </w:t>
      </w:r>
      <w:r w:rsidRPr="00EC1B17">
        <w:rPr>
          <w:rFonts w:ascii="Arial" w:hAnsi="Arial" w:cs="Arial"/>
          <w:sz w:val="20"/>
          <w:szCs w:val="20"/>
        </w:rPr>
        <w:t>EÚ</w:t>
      </w:r>
      <w:r>
        <w:rPr>
          <w:rFonts w:ascii="Arial" w:hAnsi="Arial" w:cs="Arial"/>
          <w:sz w:val="20"/>
          <w:szCs w:val="20"/>
        </w:rPr>
        <w:t xml:space="preserve"> + ŠR</w:t>
      </w:r>
      <w:r w:rsidRPr="00E21C60">
        <w:rPr>
          <w:rFonts w:ascii="Arial" w:hAnsi="Arial" w:cs="Arial"/>
          <w:bCs/>
          <w:sz w:val="20"/>
          <w:szCs w:val="20"/>
        </w:rPr>
        <w:t xml:space="preserve">), s dátumom uzavretia výzvy dňa </w:t>
      </w:r>
      <w:r>
        <w:rPr>
          <w:rFonts w:ascii="Arial" w:hAnsi="Arial" w:cs="Arial"/>
          <w:bCs/>
          <w:sz w:val="20"/>
          <w:szCs w:val="20"/>
        </w:rPr>
        <w:t>26.08.2015</w:t>
      </w:r>
      <w:r w:rsidRPr="00E21C60">
        <w:rPr>
          <w:rFonts w:ascii="Arial" w:hAnsi="Arial" w:cs="Arial"/>
          <w:bCs/>
          <w:sz w:val="20"/>
          <w:szCs w:val="20"/>
        </w:rPr>
        <w:t>.</w:t>
      </w:r>
      <w:r w:rsidRPr="00123376">
        <w:rPr>
          <w:rFonts w:ascii="Arial" w:hAnsi="Arial" w:cs="Arial"/>
        </w:rPr>
        <w:t xml:space="preserve"> </w:t>
      </w:r>
    </w:p>
    <w:p w14:paraId="0CC50696" w14:textId="2804706C" w:rsidR="002F3D62" w:rsidRPr="00E21C60" w:rsidRDefault="002F3D62" w:rsidP="002F3D62">
      <w:pPr>
        <w:spacing w:before="120" w:after="120"/>
        <w:jc w:val="both"/>
        <w:rPr>
          <w:rFonts w:ascii="Arial" w:hAnsi="Arial" w:cs="Arial"/>
          <w:bCs/>
          <w:sz w:val="20"/>
          <w:szCs w:val="20"/>
        </w:rPr>
      </w:pPr>
      <w:r w:rsidRPr="00E21C60">
        <w:rPr>
          <w:rFonts w:ascii="Arial" w:hAnsi="Arial" w:cs="Arial"/>
          <w:sz w:val="20"/>
          <w:szCs w:val="20"/>
        </w:rPr>
        <w:t xml:space="preserve">RO dňa </w:t>
      </w:r>
      <w:r>
        <w:rPr>
          <w:rFonts w:ascii="Arial" w:hAnsi="Arial" w:cs="Arial"/>
          <w:sz w:val="20"/>
          <w:szCs w:val="20"/>
        </w:rPr>
        <w:t>30.07.2015</w:t>
      </w:r>
      <w:r w:rsidRPr="00E21C60">
        <w:rPr>
          <w:rFonts w:ascii="Arial" w:hAnsi="Arial" w:cs="Arial"/>
          <w:sz w:val="20"/>
          <w:szCs w:val="20"/>
        </w:rPr>
        <w:t xml:space="preserve"> vydal Usmernenie č. 1 k tejto výzve, ktorým došlo k úprave dátumu uzavretia výzvy z</w:t>
      </w:r>
      <w:r>
        <w:rPr>
          <w:rFonts w:ascii="Arial" w:hAnsi="Arial" w:cs="Arial"/>
          <w:sz w:val="20"/>
          <w:szCs w:val="20"/>
        </w:rPr>
        <w:t xml:space="preserve"> 11.08.2015 </w:t>
      </w:r>
      <w:r w:rsidRPr="007F74C7">
        <w:rPr>
          <w:rFonts w:ascii="Arial" w:hAnsi="Arial" w:cs="Arial"/>
          <w:sz w:val="20"/>
          <w:szCs w:val="20"/>
        </w:rPr>
        <w:t>na 2</w:t>
      </w:r>
      <w:r>
        <w:rPr>
          <w:rFonts w:ascii="Arial" w:hAnsi="Arial" w:cs="Arial"/>
          <w:sz w:val="20"/>
          <w:szCs w:val="20"/>
        </w:rPr>
        <w:t>6</w:t>
      </w:r>
      <w:r w:rsidRPr="007F74C7">
        <w:rPr>
          <w:rFonts w:ascii="Arial" w:hAnsi="Arial" w:cs="Arial"/>
          <w:sz w:val="20"/>
          <w:szCs w:val="20"/>
        </w:rPr>
        <w:t>.</w:t>
      </w:r>
      <w:r>
        <w:rPr>
          <w:rFonts w:ascii="Arial" w:hAnsi="Arial" w:cs="Arial"/>
          <w:sz w:val="20"/>
          <w:szCs w:val="20"/>
        </w:rPr>
        <w:t>08</w:t>
      </w:r>
      <w:r w:rsidRPr="007F74C7">
        <w:rPr>
          <w:rFonts w:ascii="Arial" w:hAnsi="Arial" w:cs="Arial"/>
          <w:sz w:val="20"/>
          <w:szCs w:val="20"/>
        </w:rPr>
        <w:t>.201</w:t>
      </w:r>
      <w:r>
        <w:rPr>
          <w:rFonts w:ascii="Arial" w:hAnsi="Arial" w:cs="Arial"/>
          <w:sz w:val="20"/>
          <w:szCs w:val="20"/>
        </w:rPr>
        <w:t>5</w:t>
      </w:r>
      <w:r w:rsidRPr="007F74C7">
        <w:rPr>
          <w:rFonts w:ascii="Arial" w:hAnsi="Arial" w:cs="Arial"/>
          <w:sz w:val="20"/>
          <w:szCs w:val="20"/>
        </w:rPr>
        <w:t>, t.j. o 15 kalendárnych dní</w:t>
      </w:r>
      <w:r>
        <w:rPr>
          <w:rFonts w:ascii="Arial" w:hAnsi="Arial" w:cs="Arial"/>
          <w:sz w:val="20"/>
          <w:szCs w:val="20"/>
        </w:rPr>
        <w:t>. Cieľom usmernenia bolo doplnenie Prílohy č.</w:t>
      </w:r>
      <w:r w:rsidR="006817ED">
        <w:rPr>
          <w:rFonts w:ascii="Arial" w:hAnsi="Arial" w:cs="Arial"/>
          <w:sz w:val="20"/>
          <w:szCs w:val="20"/>
        </w:rPr>
        <w:t> </w:t>
      </w:r>
      <w:r>
        <w:rPr>
          <w:rFonts w:ascii="Arial" w:hAnsi="Arial" w:cs="Arial"/>
          <w:sz w:val="20"/>
          <w:szCs w:val="20"/>
        </w:rPr>
        <w:t xml:space="preserve">15 – Výpis z registra trestov, ktorý </w:t>
      </w:r>
      <w:r w:rsidR="00C2620B">
        <w:rPr>
          <w:rFonts w:ascii="Arial" w:hAnsi="Arial" w:cs="Arial"/>
          <w:sz w:val="20"/>
          <w:szCs w:val="20"/>
        </w:rPr>
        <w:t xml:space="preserve">musel </w:t>
      </w:r>
      <w:r>
        <w:rPr>
          <w:rFonts w:ascii="Arial" w:hAnsi="Arial" w:cs="Arial"/>
          <w:sz w:val="20"/>
          <w:szCs w:val="20"/>
        </w:rPr>
        <w:t>byť vydaný najneskôr ku dňu doplnenia chýbajúcich náležitostí.</w:t>
      </w:r>
    </w:p>
    <w:p w14:paraId="7D9A56B8" w14:textId="77777777" w:rsidR="002F3D62" w:rsidRPr="00E21C60" w:rsidRDefault="002F3D62" w:rsidP="002F3D62">
      <w:pPr>
        <w:spacing w:before="120" w:after="120"/>
        <w:jc w:val="both"/>
        <w:rPr>
          <w:rFonts w:ascii="Arial" w:hAnsi="Arial" w:cs="Arial"/>
          <w:bCs/>
          <w:sz w:val="20"/>
          <w:szCs w:val="20"/>
        </w:rPr>
      </w:pPr>
      <w:r w:rsidRPr="0026328B">
        <w:rPr>
          <w:rFonts w:ascii="Arial" w:hAnsi="Arial" w:cs="Arial"/>
          <w:bCs/>
          <w:sz w:val="20"/>
          <w:szCs w:val="20"/>
        </w:rPr>
        <w:t xml:space="preserve">V rámci tejto výzvy </w:t>
      </w:r>
      <w:r>
        <w:rPr>
          <w:rFonts w:ascii="Arial" w:hAnsi="Arial" w:cs="Arial"/>
          <w:bCs/>
          <w:sz w:val="20"/>
          <w:szCs w:val="20"/>
        </w:rPr>
        <w:t xml:space="preserve">nebola </w:t>
      </w:r>
      <w:r w:rsidRPr="0026328B">
        <w:rPr>
          <w:rFonts w:ascii="Arial" w:hAnsi="Arial" w:cs="Arial"/>
          <w:bCs/>
          <w:sz w:val="20"/>
          <w:szCs w:val="20"/>
        </w:rPr>
        <w:t>predložen</w:t>
      </w:r>
      <w:r>
        <w:rPr>
          <w:rFonts w:ascii="Arial" w:hAnsi="Arial" w:cs="Arial"/>
          <w:bCs/>
          <w:sz w:val="20"/>
          <w:szCs w:val="20"/>
        </w:rPr>
        <w:t xml:space="preserve">á žiadna </w:t>
      </w:r>
      <w:r w:rsidRPr="00831031">
        <w:rPr>
          <w:rFonts w:ascii="Arial" w:hAnsi="Arial" w:cs="Arial"/>
          <w:bCs/>
          <w:sz w:val="20"/>
          <w:szCs w:val="20"/>
        </w:rPr>
        <w:t>žiados</w:t>
      </w:r>
      <w:r>
        <w:rPr>
          <w:rFonts w:ascii="Arial" w:hAnsi="Arial" w:cs="Arial"/>
          <w:bCs/>
          <w:sz w:val="20"/>
          <w:szCs w:val="20"/>
        </w:rPr>
        <w:t>ť</w:t>
      </w:r>
      <w:r w:rsidRPr="00831031">
        <w:rPr>
          <w:rFonts w:ascii="Arial" w:hAnsi="Arial" w:cs="Arial"/>
          <w:bCs/>
          <w:sz w:val="20"/>
          <w:szCs w:val="20"/>
        </w:rPr>
        <w:t xml:space="preserve"> o</w:t>
      </w:r>
      <w:r>
        <w:rPr>
          <w:rFonts w:ascii="Arial" w:hAnsi="Arial" w:cs="Arial"/>
          <w:bCs/>
          <w:sz w:val="20"/>
          <w:szCs w:val="20"/>
        </w:rPr>
        <w:t> </w:t>
      </w:r>
      <w:r w:rsidRPr="00831031">
        <w:rPr>
          <w:rFonts w:ascii="Arial" w:hAnsi="Arial" w:cs="Arial"/>
          <w:bCs/>
          <w:sz w:val="20"/>
          <w:szCs w:val="20"/>
        </w:rPr>
        <w:t>NFP</w:t>
      </w:r>
      <w:r>
        <w:rPr>
          <w:rFonts w:ascii="Arial" w:hAnsi="Arial" w:cs="Arial"/>
          <w:bCs/>
          <w:sz w:val="20"/>
          <w:szCs w:val="20"/>
        </w:rPr>
        <w:t>.</w:t>
      </w:r>
    </w:p>
    <w:p w14:paraId="24FDD3D2" w14:textId="57F674D8" w:rsidR="002F3D62" w:rsidRPr="00E21C60" w:rsidRDefault="002F3D62" w:rsidP="002F3D62">
      <w:pPr>
        <w:spacing w:before="120" w:after="120"/>
        <w:jc w:val="both"/>
        <w:rPr>
          <w:rFonts w:ascii="Arial" w:hAnsi="Arial" w:cs="Arial"/>
          <w:bCs/>
          <w:sz w:val="20"/>
          <w:szCs w:val="20"/>
        </w:rPr>
      </w:pPr>
      <w:r w:rsidRPr="00E21C60">
        <w:rPr>
          <w:rFonts w:ascii="Arial" w:hAnsi="Arial" w:cs="Arial"/>
          <w:bCs/>
          <w:sz w:val="20"/>
          <w:szCs w:val="20"/>
        </w:rPr>
        <w:t xml:space="preserve">Dňa </w:t>
      </w:r>
      <w:r>
        <w:rPr>
          <w:rFonts w:ascii="Arial" w:hAnsi="Arial" w:cs="Arial"/>
          <w:bCs/>
          <w:sz w:val="20"/>
          <w:szCs w:val="20"/>
        </w:rPr>
        <w:t>28.07.2015</w:t>
      </w:r>
      <w:r w:rsidRPr="00E21C60">
        <w:rPr>
          <w:rFonts w:ascii="Arial" w:hAnsi="Arial" w:cs="Arial"/>
          <w:bCs/>
          <w:sz w:val="20"/>
          <w:szCs w:val="20"/>
        </w:rPr>
        <w:t xml:space="preserve"> bola vyhlásená výzva s kódom OPŽP-PO3-1</w:t>
      </w:r>
      <w:r>
        <w:rPr>
          <w:rFonts w:ascii="Arial" w:hAnsi="Arial" w:cs="Arial"/>
          <w:bCs/>
          <w:sz w:val="20"/>
          <w:szCs w:val="20"/>
        </w:rPr>
        <w:t>5</w:t>
      </w:r>
      <w:r w:rsidRPr="00E21C60">
        <w:rPr>
          <w:rFonts w:ascii="Arial" w:hAnsi="Arial" w:cs="Arial"/>
          <w:bCs/>
          <w:sz w:val="20"/>
          <w:szCs w:val="20"/>
        </w:rPr>
        <w:t>-</w:t>
      </w:r>
      <w:r>
        <w:rPr>
          <w:rFonts w:ascii="Arial" w:hAnsi="Arial" w:cs="Arial"/>
          <w:bCs/>
          <w:sz w:val="20"/>
          <w:szCs w:val="20"/>
        </w:rPr>
        <w:t>2</w:t>
      </w:r>
      <w:r w:rsidRPr="00E21C60">
        <w:rPr>
          <w:rFonts w:ascii="Arial" w:hAnsi="Arial" w:cs="Arial"/>
          <w:bCs/>
          <w:sz w:val="20"/>
          <w:szCs w:val="20"/>
        </w:rPr>
        <w:t xml:space="preserve"> pre operačný cieľ  3.1 Ochrana ovzdušia s alokáciou </w:t>
      </w:r>
      <w:r>
        <w:rPr>
          <w:rFonts w:ascii="Arial" w:hAnsi="Arial" w:cs="Arial"/>
          <w:bCs/>
          <w:sz w:val="20"/>
          <w:szCs w:val="20"/>
        </w:rPr>
        <w:t xml:space="preserve">4 705 883,00 </w:t>
      </w:r>
      <w:r w:rsidRPr="00E21C60">
        <w:rPr>
          <w:rFonts w:ascii="Arial" w:hAnsi="Arial" w:cs="Arial"/>
          <w:bCs/>
          <w:sz w:val="20"/>
          <w:szCs w:val="20"/>
        </w:rPr>
        <w:t xml:space="preserve"> </w:t>
      </w:r>
      <w:r w:rsidR="00366C2D">
        <w:rPr>
          <w:rFonts w:ascii="Arial" w:hAnsi="Arial" w:cs="Arial"/>
          <w:bCs/>
          <w:sz w:val="20"/>
          <w:szCs w:val="20"/>
        </w:rPr>
        <w:t>€</w:t>
      </w:r>
      <w:r w:rsidRPr="00E21C60">
        <w:rPr>
          <w:rFonts w:ascii="Arial" w:hAnsi="Arial" w:cs="Arial"/>
          <w:bCs/>
          <w:sz w:val="20"/>
          <w:szCs w:val="20"/>
        </w:rPr>
        <w:t xml:space="preserve"> (zdroje </w:t>
      </w:r>
      <w:r w:rsidRPr="00EC1B17">
        <w:rPr>
          <w:rFonts w:ascii="Arial" w:hAnsi="Arial" w:cs="Arial"/>
          <w:sz w:val="20"/>
          <w:szCs w:val="20"/>
        </w:rPr>
        <w:t>EÚ</w:t>
      </w:r>
      <w:r>
        <w:rPr>
          <w:rFonts w:ascii="Arial" w:hAnsi="Arial" w:cs="Arial"/>
          <w:sz w:val="20"/>
          <w:szCs w:val="20"/>
        </w:rPr>
        <w:t xml:space="preserve"> + ŠR</w:t>
      </w:r>
      <w:r w:rsidRPr="00E21C60">
        <w:rPr>
          <w:rFonts w:ascii="Arial" w:hAnsi="Arial" w:cs="Arial"/>
          <w:bCs/>
          <w:sz w:val="20"/>
          <w:szCs w:val="20"/>
        </w:rPr>
        <w:t xml:space="preserve">), s dátumom uzavretia výzvy dňa </w:t>
      </w:r>
      <w:r>
        <w:rPr>
          <w:rFonts w:ascii="Arial" w:hAnsi="Arial" w:cs="Arial"/>
          <w:bCs/>
          <w:sz w:val="20"/>
          <w:szCs w:val="20"/>
        </w:rPr>
        <w:t>11.09.2015</w:t>
      </w:r>
      <w:r w:rsidRPr="00E21C60">
        <w:rPr>
          <w:rFonts w:ascii="Arial" w:hAnsi="Arial" w:cs="Arial"/>
          <w:bCs/>
          <w:sz w:val="20"/>
          <w:szCs w:val="20"/>
        </w:rPr>
        <w:t xml:space="preserve">. </w:t>
      </w:r>
    </w:p>
    <w:p w14:paraId="38B3E63F" w14:textId="4045FC85" w:rsidR="002F3D62" w:rsidRPr="00E21C60" w:rsidRDefault="002F3D62" w:rsidP="002F3D62">
      <w:pPr>
        <w:spacing w:before="120" w:after="120"/>
        <w:jc w:val="both"/>
        <w:rPr>
          <w:rFonts w:ascii="Arial" w:hAnsi="Arial" w:cs="Arial"/>
          <w:sz w:val="20"/>
          <w:szCs w:val="20"/>
        </w:rPr>
      </w:pPr>
      <w:r w:rsidRPr="00234C32">
        <w:rPr>
          <w:rFonts w:ascii="Arial" w:hAnsi="Arial" w:cs="Arial"/>
          <w:sz w:val="20"/>
          <w:szCs w:val="20"/>
        </w:rPr>
        <w:t xml:space="preserve">V rámci tejto výzvy </w:t>
      </w:r>
      <w:r w:rsidRPr="00831031">
        <w:rPr>
          <w:rFonts w:ascii="Arial" w:hAnsi="Arial" w:cs="Arial"/>
          <w:sz w:val="20"/>
          <w:szCs w:val="20"/>
        </w:rPr>
        <w:t>bol</w:t>
      </w:r>
      <w:r>
        <w:rPr>
          <w:rFonts w:ascii="Arial" w:hAnsi="Arial" w:cs="Arial"/>
          <w:sz w:val="20"/>
          <w:szCs w:val="20"/>
        </w:rPr>
        <w:t>a</w:t>
      </w:r>
      <w:r w:rsidRPr="00831031">
        <w:rPr>
          <w:rFonts w:ascii="Arial" w:hAnsi="Arial" w:cs="Arial"/>
          <w:sz w:val="20"/>
          <w:szCs w:val="20"/>
        </w:rPr>
        <w:t xml:space="preserve"> predložen</w:t>
      </w:r>
      <w:r>
        <w:rPr>
          <w:rFonts w:ascii="Arial" w:hAnsi="Arial" w:cs="Arial"/>
          <w:sz w:val="20"/>
          <w:szCs w:val="20"/>
        </w:rPr>
        <w:t>á</w:t>
      </w:r>
      <w:r w:rsidRPr="00831031">
        <w:rPr>
          <w:rFonts w:ascii="Arial" w:hAnsi="Arial" w:cs="Arial"/>
          <w:sz w:val="20"/>
          <w:szCs w:val="20"/>
        </w:rPr>
        <w:t xml:space="preserve"> </w:t>
      </w:r>
      <w:r>
        <w:rPr>
          <w:rFonts w:ascii="Arial" w:hAnsi="Arial" w:cs="Arial"/>
          <w:sz w:val="20"/>
          <w:szCs w:val="20"/>
        </w:rPr>
        <w:t>1</w:t>
      </w:r>
      <w:r w:rsidRPr="00831031">
        <w:rPr>
          <w:rFonts w:ascii="Arial" w:hAnsi="Arial" w:cs="Arial"/>
          <w:sz w:val="20"/>
          <w:szCs w:val="20"/>
        </w:rPr>
        <w:t xml:space="preserve"> žiados</w:t>
      </w:r>
      <w:r>
        <w:rPr>
          <w:rFonts w:ascii="Arial" w:hAnsi="Arial" w:cs="Arial"/>
          <w:sz w:val="20"/>
          <w:szCs w:val="20"/>
        </w:rPr>
        <w:t>ť</w:t>
      </w:r>
      <w:r w:rsidRPr="00831031">
        <w:rPr>
          <w:rFonts w:ascii="Arial" w:hAnsi="Arial" w:cs="Arial"/>
          <w:sz w:val="20"/>
          <w:szCs w:val="20"/>
        </w:rPr>
        <w:t xml:space="preserve"> o NFP, </w:t>
      </w:r>
      <w:r>
        <w:rPr>
          <w:rFonts w:ascii="Arial" w:hAnsi="Arial" w:cs="Arial"/>
          <w:sz w:val="20"/>
          <w:szCs w:val="20"/>
        </w:rPr>
        <w:t>ktorá bola aj schválená</w:t>
      </w:r>
      <w:r w:rsidR="007C19B2">
        <w:rPr>
          <w:rFonts w:ascii="Arial" w:hAnsi="Arial" w:cs="Arial"/>
          <w:sz w:val="20"/>
          <w:szCs w:val="20"/>
        </w:rPr>
        <w:t xml:space="preserve"> vo výške 3 848 260 </w:t>
      </w:r>
      <w:r w:rsidR="00366C2D">
        <w:rPr>
          <w:rFonts w:ascii="Arial" w:hAnsi="Arial" w:cs="Arial"/>
          <w:sz w:val="20"/>
          <w:szCs w:val="20"/>
        </w:rPr>
        <w:t>€</w:t>
      </w:r>
      <w:r>
        <w:rPr>
          <w:rFonts w:ascii="Arial" w:hAnsi="Arial" w:cs="Arial"/>
          <w:sz w:val="20"/>
          <w:szCs w:val="20"/>
        </w:rPr>
        <w:t>.</w:t>
      </w:r>
    </w:p>
    <w:p w14:paraId="54783575" w14:textId="2871EC61" w:rsidR="007A3B6C" w:rsidRPr="00E21C60" w:rsidRDefault="007A3B6C" w:rsidP="00123376">
      <w:pPr>
        <w:rPr>
          <w:rFonts w:ascii="Arial" w:hAnsi="Arial" w:cs="Arial"/>
          <w:sz w:val="20"/>
          <w:szCs w:val="20"/>
        </w:rPr>
      </w:pPr>
      <w:r w:rsidRPr="00E21C60">
        <w:rPr>
          <w:rFonts w:ascii="Arial" w:hAnsi="Arial" w:cs="Arial"/>
          <w:sz w:val="20"/>
          <w:szCs w:val="20"/>
        </w:rPr>
        <w:t xml:space="preserve">Tabuľka č. </w:t>
      </w:r>
      <w:r w:rsidR="007B1CB9">
        <w:rPr>
          <w:rFonts w:ascii="Arial" w:hAnsi="Arial" w:cs="Arial"/>
          <w:sz w:val="20"/>
          <w:szCs w:val="20"/>
        </w:rPr>
        <w:t>50</w:t>
      </w:r>
      <w:r w:rsidRPr="00E21C60">
        <w:rPr>
          <w:rFonts w:ascii="Arial" w:hAnsi="Arial" w:cs="Arial"/>
          <w:sz w:val="20"/>
          <w:szCs w:val="20"/>
        </w:rPr>
        <w:t xml:space="preserve">: </w:t>
      </w:r>
      <w:r w:rsidR="00BA5987" w:rsidRPr="00E21C60">
        <w:rPr>
          <w:rFonts w:ascii="Arial" w:hAnsi="Arial" w:cs="Arial"/>
          <w:sz w:val="20"/>
          <w:szCs w:val="20"/>
        </w:rPr>
        <w:t xml:space="preserve">Prehľad </w:t>
      </w:r>
      <w:r w:rsidRPr="00E21C60">
        <w:rPr>
          <w:rFonts w:ascii="Arial" w:hAnsi="Arial" w:cs="Arial"/>
          <w:sz w:val="20"/>
          <w:szCs w:val="20"/>
        </w:rPr>
        <w:t>výziev prioritnej osi 3 od 01.01.201</w:t>
      </w:r>
      <w:r w:rsidR="00334794">
        <w:rPr>
          <w:rFonts w:ascii="Arial" w:hAnsi="Arial" w:cs="Arial"/>
          <w:sz w:val="20"/>
          <w:szCs w:val="20"/>
        </w:rPr>
        <w:t>5</w:t>
      </w:r>
      <w:r w:rsidRPr="00E21C60">
        <w:rPr>
          <w:rFonts w:ascii="Arial" w:hAnsi="Arial" w:cs="Arial"/>
          <w:sz w:val="20"/>
          <w:szCs w:val="20"/>
        </w:rPr>
        <w:t xml:space="preserve"> do 31.12.201</w:t>
      </w:r>
      <w:r w:rsidR="00334794">
        <w:rPr>
          <w:rFonts w:ascii="Arial" w:hAnsi="Arial" w:cs="Arial"/>
          <w:sz w:val="20"/>
          <w:szCs w:val="20"/>
        </w:rPr>
        <w:t>5</w:t>
      </w:r>
    </w:p>
    <w:tbl>
      <w:tblPr>
        <w:tblW w:w="9080" w:type="dxa"/>
        <w:tblInd w:w="55" w:type="dxa"/>
        <w:tblCellMar>
          <w:left w:w="70" w:type="dxa"/>
          <w:right w:w="70" w:type="dxa"/>
        </w:tblCellMar>
        <w:tblLook w:val="04A0" w:firstRow="1" w:lastRow="0" w:firstColumn="1" w:lastColumn="0" w:noHBand="0" w:noVBand="1"/>
      </w:tblPr>
      <w:tblGrid>
        <w:gridCol w:w="1560"/>
        <w:gridCol w:w="1880"/>
        <w:gridCol w:w="1880"/>
        <w:gridCol w:w="1880"/>
        <w:gridCol w:w="1880"/>
      </w:tblGrid>
      <w:tr w:rsidR="009C2914" w:rsidRPr="00E21C60" w14:paraId="47B93DF3" w14:textId="77777777" w:rsidTr="007D7B08">
        <w:trPr>
          <w:trHeight w:val="690"/>
        </w:trPr>
        <w:tc>
          <w:tcPr>
            <w:tcW w:w="1560"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hideMark/>
          </w:tcPr>
          <w:p w14:paraId="22A7BEFE" w14:textId="77777777" w:rsidR="009C2914" w:rsidRPr="00E21C60" w:rsidRDefault="009C2914">
            <w:pPr>
              <w:jc w:val="center"/>
              <w:rPr>
                <w:rFonts w:ascii="Arial" w:hAnsi="Arial" w:cs="Arial"/>
                <w:b/>
                <w:bCs/>
                <w:color w:val="000000"/>
                <w:sz w:val="16"/>
                <w:szCs w:val="16"/>
              </w:rPr>
            </w:pPr>
            <w:r w:rsidRPr="00E21C60">
              <w:rPr>
                <w:rFonts w:ascii="Arial" w:hAnsi="Arial" w:cs="Arial"/>
                <w:b/>
                <w:bCs/>
                <w:color w:val="000000"/>
                <w:sz w:val="16"/>
                <w:szCs w:val="16"/>
              </w:rPr>
              <w:t>Opatrenie</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856E8EC" w14:textId="77777777" w:rsidR="009C2914" w:rsidRPr="00E21C60" w:rsidRDefault="009C2914">
            <w:pPr>
              <w:jc w:val="center"/>
              <w:rPr>
                <w:rFonts w:ascii="Arial" w:hAnsi="Arial" w:cs="Arial"/>
                <w:b/>
                <w:bCs/>
                <w:color w:val="000000"/>
                <w:sz w:val="16"/>
                <w:szCs w:val="16"/>
              </w:rPr>
            </w:pPr>
            <w:r w:rsidRPr="00E21C60">
              <w:rPr>
                <w:rFonts w:ascii="Arial" w:hAnsi="Arial" w:cs="Arial"/>
                <w:b/>
                <w:bCs/>
                <w:color w:val="000000"/>
                <w:sz w:val="16"/>
                <w:szCs w:val="16"/>
              </w:rPr>
              <w:t>Typ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932669F" w14:textId="77777777" w:rsidR="009C2914" w:rsidRPr="00E21C60" w:rsidRDefault="009C2914">
            <w:pPr>
              <w:jc w:val="center"/>
              <w:rPr>
                <w:rFonts w:ascii="Arial" w:hAnsi="Arial" w:cs="Arial"/>
                <w:b/>
                <w:bCs/>
                <w:color w:val="000000"/>
                <w:sz w:val="16"/>
                <w:szCs w:val="16"/>
              </w:rPr>
            </w:pPr>
            <w:r w:rsidRPr="00E21C60">
              <w:rPr>
                <w:rFonts w:ascii="Arial" w:hAnsi="Arial" w:cs="Arial"/>
                <w:b/>
                <w:bCs/>
                <w:color w:val="000000"/>
                <w:sz w:val="16"/>
                <w:szCs w:val="16"/>
              </w:rPr>
              <w:t>Dátum vyhlásenia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7D97C723" w14:textId="77777777" w:rsidR="009C2914" w:rsidRPr="00E21C60" w:rsidRDefault="009C2914">
            <w:pPr>
              <w:jc w:val="center"/>
              <w:rPr>
                <w:rFonts w:ascii="Arial" w:hAnsi="Arial" w:cs="Arial"/>
                <w:b/>
                <w:bCs/>
                <w:color w:val="000000"/>
                <w:sz w:val="16"/>
                <w:szCs w:val="16"/>
              </w:rPr>
            </w:pPr>
            <w:r w:rsidRPr="00E21C60">
              <w:rPr>
                <w:rFonts w:ascii="Arial" w:hAnsi="Arial" w:cs="Arial"/>
                <w:b/>
                <w:bCs/>
                <w:color w:val="000000"/>
                <w:sz w:val="16"/>
                <w:szCs w:val="16"/>
              </w:rPr>
              <w:t xml:space="preserve">Dátum uzávierky prijímania žiadostí </w:t>
            </w:r>
            <w:r w:rsidRPr="00E21C60">
              <w:rPr>
                <w:rFonts w:ascii="Arial" w:hAnsi="Arial" w:cs="Arial"/>
                <w:b/>
                <w:bCs/>
                <w:color w:val="000000"/>
                <w:sz w:val="16"/>
                <w:szCs w:val="16"/>
              </w:rPr>
              <w:br/>
              <w:t>o NFP</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42BF80B3" w14:textId="652D5CED" w:rsidR="009C2914" w:rsidRPr="00E21C60" w:rsidRDefault="009C2914">
            <w:pPr>
              <w:jc w:val="center"/>
              <w:rPr>
                <w:rFonts w:ascii="Arial" w:hAnsi="Arial" w:cs="Arial"/>
                <w:b/>
                <w:bCs/>
                <w:color w:val="000000"/>
                <w:sz w:val="16"/>
                <w:szCs w:val="16"/>
              </w:rPr>
            </w:pPr>
            <w:r w:rsidRPr="00E21C60">
              <w:rPr>
                <w:rFonts w:ascii="Arial" w:hAnsi="Arial" w:cs="Arial"/>
                <w:b/>
                <w:bCs/>
                <w:color w:val="000000"/>
                <w:sz w:val="16"/>
                <w:szCs w:val="16"/>
              </w:rPr>
              <w:t>Alokácia FP na výzvu (</w:t>
            </w:r>
            <w:r w:rsidR="00C87F8D">
              <w:rPr>
                <w:rFonts w:ascii="Arial" w:hAnsi="Arial" w:cs="Arial"/>
                <w:b/>
                <w:bCs/>
                <w:color w:val="000000"/>
                <w:sz w:val="16"/>
                <w:szCs w:val="16"/>
              </w:rPr>
              <w:t>EÚ</w:t>
            </w:r>
            <w:r w:rsidR="00EC7742">
              <w:rPr>
                <w:rFonts w:ascii="Arial" w:hAnsi="Arial" w:cs="Arial"/>
                <w:b/>
                <w:bCs/>
                <w:color w:val="000000"/>
                <w:sz w:val="16"/>
                <w:szCs w:val="16"/>
              </w:rPr>
              <w:t xml:space="preserve"> + ŠR</w:t>
            </w:r>
            <w:r w:rsidR="00C87F8D">
              <w:rPr>
                <w:rFonts w:ascii="Arial" w:hAnsi="Arial" w:cs="Arial"/>
                <w:b/>
                <w:bCs/>
                <w:color w:val="000000"/>
                <w:sz w:val="16"/>
                <w:szCs w:val="16"/>
              </w:rPr>
              <w:t xml:space="preserve"> zdroje</w:t>
            </w:r>
            <w:r w:rsidRPr="00E21C60">
              <w:rPr>
                <w:rFonts w:ascii="Arial" w:hAnsi="Arial" w:cs="Arial"/>
                <w:b/>
                <w:bCs/>
                <w:color w:val="000000"/>
                <w:sz w:val="16"/>
                <w:szCs w:val="16"/>
              </w:rPr>
              <w:t>) v €</w:t>
            </w:r>
          </w:p>
        </w:tc>
      </w:tr>
      <w:tr w:rsidR="009C2914" w:rsidRPr="00E21C60" w14:paraId="37F51FD4" w14:textId="77777777" w:rsidTr="0028064A">
        <w:trPr>
          <w:trHeight w:val="538"/>
        </w:trPr>
        <w:tc>
          <w:tcPr>
            <w:tcW w:w="1560" w:type="dxa"/>
            <w:tcBorders>
              <w:top w:val="nil"/>
              <w:left w:val="single" w:sz="8" w:space="0" w:color="auto"/>
              <w:bottom w:val="single" w:sz="8" w:space="0" w:color="auto"/>
              <w:right w:val="single" w:sz="8" w:space="0" w:color="auto"/>
            </w:tcBorders>
            <w:shd w:val="clear" w:color="auto" w:fill="auto"/>
            <w:noWrap/>
            <w:vAlign w:val="center"/>
            <w:hideMark/>
          </w:tcPr>
          <w:p w14:paraId="288A74D6" w14:textId="6FAF4940" w:rsidR="009C2914" w:rsidRPr="00E21C60" w:rsidRDefault="009C2914" w:rsidP="0028064A">
            <w:pPr>
              <w:jc w:val="center"/>
              <w:rPr>
                <w:rFonts w:ascii="Arial" w:hAnsi="Arial" w:cs="Arial"/>
                <w:color w:val="000000"/>
                <w:sz w:val="16"/>
                <w:szCs w:val="16"/>
              </w:rPr>
            </w:pPr>
            <w:r w:rsidRPr="00E21C60">
              <w:rPr>
                <w:rFonts w:ascii="Arial" w:hAnsi="Arial" w:cs="Arial"/>
                <w:color w:val="000000"/>
                <w:sz w:val="16"/>
                <w:szCs w:val="16"/>
              </w:rPr>
              <w:t>3.</w:t>
            </w:r>
            <w:r w:rsidR="005B67B8">
              <w:rPr>
                <w:rFonts w:ascii="Arial" w:hAnsi="Arial" w:cs="Arial"/>
                <w:color w:val="000000"/>
                <w:sz w:val="16"/>
                <w:szCs w:val="16"/>
              </w:rPr>
              <w:t>2</w:t>
            </w:r>
          </w:p>
        </w:tc>
        <w:tc>
          <w:tcPr>
            <w:tcW w:w="1880" w:type="dxa"/>
            <w:tcBorders>
              <w:top w:val="nil"/>
              <w:left w:val="nil"/>
              <w:bottom w:val="single" w:sz="8" w:space="0" w:color="auto"/>
              <w:right w:val="single" w:sz="8" w:space="0" w:color="auto"/>
            </w:tcBorders>
            <w:shd w:val="clear" w:color="auto" w:fill="auto"/>
            <w:noWrap/>
            <w:vAlign w:val="center"/>
            <w:hideMark/>
          </w:tcPr>
          <w:p w14:paraId="3AC9FA2B" w14:textId="6B3F0214" w:rsidR="009C2914" w:rsidRPr="00E21C60" w:rsidRDefault="002417FF" w:rsidP="00543371">
            <w:pPr>
              <w:jc w:val="center"/>
              <w:rPr>
                <w:rFonts w:ascii="Arial" w:hAnsi="Arial" w:cs="Arial"/>
                <w:color w:val="000000"/>
                <w:sz w:val="16"/>
                <w:szCs w:val="16"/>
              </w:rPr>
            </w:pPr>
            <w:r w:rsidRPr="002417FF">
              <w:rPr>
                <w:rFonts w:ascii="Arial" w:hAnsi="Arial" w:cs="Arial"/>
                <w:color w:val="000000"/>
                <w:sz w:val="16"/>
                <w:szCs w:val="16"/>
              </w:rPr>
              <w:t>OPŽP-PO3-1</w:t>
            </w:r>
            <w:r w:rsidR="005B67B8">
              <w:rPr>
                <w:rFonts w:ascii="Arial" w:hAnsi="Arial" w:cs="Arial"/>
                <w:color w:val="000000"/>
                <w:sz w:val="16"/>
                <w:szCs w:val="16"/>
              </w:rPr>
              <w:t>5-1</w:t>
            </w:r>
          </w:p>
        </w:tc>
        <w:tc>
          <w:tcPr>
            <w:tcW w:w="1880" w:type="dxa"/>
            <w:tcBorders>
              <w:top w:val="nil"/>
              <w:left w:val="nil"/>
              <w:bottom w:val="single" w:sz="8" w:space="0" w:color="auto"/>
              <w:right w:val="single" w:sz="8" w:space="0" w:color="auto"/>
            </w:tcBorders>
            <w:shd w:val="clear" w:color="auto" w:fill="auto"/>
            <w:noWrap/>
            <w:vAlign w:val="center"/>
            <w:hideMark/>
          </w:tcPr>
          <w:p w14:paraId="718F1211" w14:textId="3C254EE4" w:rsidR="009C2914" w:rsidRPr="00E21C60" w:rsidRDefault="002417FF" w:rsidP="0028064A">
            <w:pPr>
              <w:jc w:val="center"/>
              <w:rPr>
                <w:rFonts w:ascii="Arial" w:hAnsi="Arial" w:cs="Arial"/>
                <w:color w:val="000000"/>
                <w:sz w:val="16"/>
                <w:szCs w:val="16"/>
              </w:rPr>
            </w:pPr>
            <w:r>
              <w:rPr>
                <w:rFonts w:ascii="Arial" w:hAnsi="Arial" w:cs="Arial"/>
                <w:color w:val="000000"/>
                <w:sz w:val="16"/>
                <w:szCs w:val="16"/>
              </w:rPr>
              <w:t>1</w:t>
            </w:r>
            <w:r w:rsidR="005B67B8">
              <w:rPr>
                <w:rFonts w:ascii="Arial" w:hAnsi="Arial" w:cs="Arial"/>
                <w:color w:val="000000"/>
                <w:sz w:val="16"/>
                <w:szCs w:val="16"/>
              </w:rPr>
              <w:t>2</w:t>
            </w:r>
            <w:r>
              <w:rPr>
                <w:rFonts w:ascii="Arial" w:hAnsi="Arial" w:cs="Arial"/>
                <w:color w:val="000000"/>
                <w:sz w:val="16"/>
                <w:szCs w:val="16"/>
              </w:rPr>
              <w:t>.0</w:t>
            </w:r>
            <w:r w:rsidR="005B67B8">
              <w:rPr>
                <w:rFonts w:ascii="Arial" w:hAnsi="Arial" w:cs="Arial"/>
                <w:color w:val="000000"/>
                <w:sz w:val="16"/>
                <w:szCs w:val="16"/>
              </w:rPr>
              <w:t>6</w:t>
            </w:r>
            <w:r>
              <w:rPr>
                <w:rFonts w:ascii="Arial" w:hAnsi="Arial" w:cs="Arial"/>
                <w:color w:val="000000"/>
                <w:sz w:val="16"/>
                <w:szCs w:val="16"/>
              </w:rPr>
              <w:t>.201</w:t>
            </w:r>
            <w:r w:rsidR="005B67B8">
              <w:rPr>
                <w:rFonts w:ascii="Arial" w:hAnsi="Arial" w:cs="Arial"/>
                <w:color w:val="000000"/>
                <w:sz w:val="16"/>
                <w:szCs w:val="16"/>
              </w:rPr>
              <w:t>5</w:t>
            </w:r>
          </w:p>
        </w:tc>
        <w:tc>
          <w:tcPr>
            <w:tcW w:w="1880" w:type="dxa"/>
            <w:tcBorders>
              <w:top w:val="nil"/>
              <w:left w:val="nil"/>
              <w:bottom w:val="single" w:sz="8" w:space="0" w:color="auto"/>
              <w:right w:val="single" w:sz="8" w:space="0" w:color="auto"/>
            </w:tcBorders>
            <w:shd w:val="clear" w:color="auto" w:fill="auto"/>
            <w:noWrap/>
            <w:vAlign w:val="center"/>
            <w:hideMark/>
          </w:tcPr>
          <w:p w14:paraId="18B51D33" w14:textId="38FCB8AA" w:rsidR="009C2914" w:rsidRPr="00E21C60" w:rsidRDefault="005B67B8" w:rsidP="0028064A">
            <w:pPr>
              <w:jc w:val="center"/>
              <w:rPr>
                <w:rFonts w:ascii="Arial" w:hAnsi="Arial" w:cs="Arial"/>
                <w:color w:val="000000"/>
                <w:sz w:val="16"/>
                <w:szCs w:val="16"/>
              </w:rPr>
            </w:pPr>
            <w:r>
              <w:rPr>
                <w:rFonts w:ascii="Arial" w:hAnsi="Arial" w:cs="Arial"/>
                <w:color w:val="000000"/>
                <w:sz w:val="16"/>
                <w:szCs w:val="16"/>
              </w:rPr>
              <w:t>26</w:t>
            </w:r>
            <w:r w:rsidR="00F40EE3">
              <w:rPr>
                <w:rFonts w:ascii="Arial" w:hAnsi="Arial" w:cs="Arial"/>
                <w:color w:val="000000"/>
                <w:sz w:val="16"/>
                <w:szCs w:val="16"/>
              </w:rPr>
              <w:t>.0</w:t>
            </w:r>
            <w:r>
              <w:rPr>
                <w:rFonts w:ascii="Arial" w:hAnsi="Arial" w:cs="Arial"/>
                <w:color w:val="000000"/>
                <w:sz w:val="16"/>
                <w:szCs w:val="16"/>
              </w:rPr>
              <w:t>8</w:t>
            </w:r>
            <w:r w:rsidR="00F40EE3">
              <w:rPr>
                <w:rFonts w:ascii="Arial" w:hAnsi="Arial" w:cs="Arial"/>
                <w:color w:val="000000"/>
                <w:sz w:val="16"/>
                <w:szCs w:val="16"/>
              </w:rPr>
              <w:t>.201</w:t>
            </w:r>
            <w:r>
              <w:rPr>
                <w:rFonts w:ascii="Arial" w:hAnsi="Arial" w:cs="Arial"/>
                <w:color w:val="000000"/>
                <w:sz w:val="16"/>
                <w:szCs w:val="16"/>
              </w:rPr>
              <w:t>5</w:t>
            </w:r>
          </w:p>
        </w:tc>
        <w:tc>
          <w:tcPr>
            <w:tcW w:w="1880" w:type="dxa"/>
            <w:tcBorders>
              <w:top w:val="nil"/>
              <w:left w:val="nil"/>
              <w:bottom w:val="single" w:sz="8" w:space="0" w:color="auto"/>
              <w:right w:val="single" w:sz="8" w:space="0" w:color="auto"/>
            </w:tcBorders>
            <w:shd w:val="clear" w:color="auto" w:fill="auto"/>
            <w:noWrap/>
            <w:vAlign w:val="center"/>
            <w:hideMark/>
          </w:tcPr>
          <w:p w14:paraId="772DED4A" w14:textId="6B3FA622" w:rsidR="009C2914" w:rsidRPr="00E21C60" w:rsidRDefault="00DA6112" w:rsidP="0028064A">
            <w:pPr>
              <w:jc w:val="center"/>
              <w:rPr>
                <w:rFonts w:ascii="Arial" w:hAnsi="Arial" w:cs="Arial"/>
                <w:color w:val="000000"/>
                <w:sz w:val="16"/>
                <w:szCs w:val="16"/>
              </w:rPr>
            </w:pPr>
            <w:r w:rsidRPr="00DA6112">
              <w:rPr>
                <w:rFonts w:ascii="Arial" w:hAnsi="Arial" w:cs="Arial"/>
                <w:color w:val="000000"/>
                <w:sz w:val="16"/>
                <w:szCs w:val="16"/>
              </w:rPr>
              <w:t>2</w:t>
            </w:r>
            <w:r w:rsidR="005B67B8">
              <w:rPr>
                <w:rFonts w:ascii="Arial" w:hAnsi="Arial" w:cs="Arial"/>
                <w:color w:val="000000"/>
                <w:sz w:val="16"/>
                <w:szCs w:val="16"/>
              </w:rPr>
              <w:t> 300 000</w:t>
            </w:r>
          </w:p>
        </w:tc>
      </w:tr>
      <w:tr w:rsidR="005B67B8" w:rsidRPr="00E21C60" w14:paraId="01C6B515" w14:textId="77777777" w:rsidTr="0028064A">
        <w:trPr>
          <w:trHeight w:val="444"/>
        </w:trPr>
        <w:tc>
          <w:tcPr>
            <w:tcW w:w="1560" w:type="dxa"/>
            <w:tcBorders>
              <w:top w:val="nil"/>
              <w:left w:val="single" w:sz="8" w:space="0" w:color="auto"/>
              <w:right w:val="single" w:sz="8" w:space="0" w:color="auto"/>
            </w:tcBorders>
            <w:shd w:val="clear" w:color="auto" w:fill="auto"/>
            <w:noWrap/>
            <w:vAlign w:val="center"/>
            <w:hideMark/>
          </w:tcPr>
          <w:p w14:paraId="51D2C9E0" w14:textId="2C5EEC40" w:rsidR="005B67B8" w:rsidRPr="00E21C60" w:rsidRDefault="005B67B8" w:rsidP="00543371">
            <w:pPr>
              <w:jc w:val="center"/>
              <w:rPr>
                <w:rFonts w:ascii="Arial" w:hAnsi="Arial" w:cs="Arial"/>
                <w:color w:val="000000"/>
                <w:sz w:val="16"/>
                <w:szCs w:val="16"/>
              </w:rPr>
            </w:pPr>
            <w:r w:rsidRPr="00E21C60">
              <w:rPr>
                <w:rFonts w:ascii="Arial" w:hAnsi="Arial" w:cs="Arial"/>
                <w:color w:val="000000"/>
                <w:sz w:val="16"/>
                <w:szCs w:val="16"/>
              </w:rPr>
              <w:t>3.1</w:t>
            </w:r>
          </w:p>
        </w:tc>
        <w:tc>
          <w:tcPr>
            <w:tcW w:w="1880" w:type="dxa"/>
            <w:tcBorders>
              <w:top w:val="nil"/>
              <w:left w:val="nil"/>
              <w:right w:val="single" w:sz="8" w:space="0" w:color="auto"/>
            </w:tcBorders>
            <w:shd w:val="clear" w:color="auto" w:fill="auto"/>
            <w:noWrap/>
            <w:vAlign w:val="center"/>
            <w:hideMark/>
          </w:tcPr>
          <w:p w14:paraId="368733D0" w14:textId="509A1064" w:rsidR="005B67B8" w:rsidRPr="00E21C60" w:rsidRDefault="005B67B8" w:rsidP="00543371">
            <w:pPr>
              <w:jc w:val="center"/>
              <w:rPr>
                <w:rFonts w:ascii="Arial" w:hAnsi="Arial" w:cs="Arial"/>
                <w:color w:val="000000"/>
                <w:sz w:val="16"/>
                <w:szCs w:val="16"/>
              </w:rPr>
            </w:pPr>
            <w:r w:rsidRPr="002417FF">
              <w:rPr>
                <w:rFonts w:ascii="Arial" w:hAnsi="Arial" w:cs="Arial"/>
                <w:color w:val="000000"/>
                <w:sz w:val="16"/>
                <w:szCs w:val="16"/>
              </w:rPr>
              <w:t>OPŽP-PO3-1</w:t>
            </w:r>
            <w:r>
              <w:rPr>
                <w:rFonts w:ascii="Arial" w:hAnsi="Arial" w:cs="Arial"/>
                <w:color w:val="000000"/>
                <w:sz w:val="16"/>
                <w:szCs w:val="16"/>
              </w:rPr>
              <w:t>5-2</w:t>
            </w:r>
          </w:p>
        </w:tc>
        <w:tc>
          <w:tcPr>
            <w:tcW w:w="1880" w:type="dxa"/>
            <w:tcBorders>
              <w:top w:val="nil"/>
              <w:left w:val="nil"/>
              <w:right w:val="single" w:sz="8" w:space="0" w:color="auto"/>
            </w:tcBorders>
            <w:shd w:val="clear" w:color="auto" w:fill="auto"/>
            <w:noWrap/>
            <w:vAlign w:val="center"/>
            <w:hideMark/>
          </w:tcPr>
          <w:p w14:paraId="7BDB7BFD" w14:textId="0DFC82D0" w:rsidR="005B67B8" w:rsidRPr="00E21C60" w:rsidRDefault="005B67B8" w:rsidP="00543371">
            <w:pPr>
              <w:jc w:val="center"/>
              <w:rPr>
                <w:rFonts w:ascii="Arial" w:hAnsi="Arial" w:cs="Arial"/>
                <w:color w:val="000000"/>
                <w:sz w:val="16"/>
                <w:szCs w:val="16"/>
              </w:rPr>
            </w:pPr>
            <w:r>
              <w:rPr>
                <w:rFonts w:ascii="Arial" w:hAnsi="Arial" w:cs="Arial"/>
                <w:color w:val="000000"/>
                <w:sz w:val="16"/>
                <w:szCs w:val="16"/>
              </w:rPr>
              <w:t>28.07.2015</w:t>
            </w:r>
          </w:p>
        </w:tc>
        <w:tc>
          <w:tcPr>
            <w:tcW w:w="1880" w:type="dxa"/>
            <w:tcBorders>
              <w:top w:val="nil"/>
              <w:left w:val="nil"/>
              <w:right w:val="single" w:sz="8" w:space="0" w:color="auto"/>
            </w:tcBorders>
            <w:shd w:val="clear" w:color="auto" w:fill="auto"/>
            <w:noWrap/>
            <w:vAlign w:val="center"/>
            <w:hideMark/>
          </w:tcPr>
          <w:p w14:paraId="2E30996A" w14:textId="62152926" w:rsidR="005B67B8" w:rsidRPr="00E21C60" w:rsidRDefault="005B67B8" w:rsidP="00543371">
            <w:pPr>
              <w:jc w:val="center"/>
              <w:rPr>
                <w:rFonts w:ascii="Arial" w:hAnsi="Arial" w:cs="Arial"/>
                <w:color w:val="000000"/>
                <w:sz w:val="16"/>
                <w:szCs w:val="16"/>
              </w:rPr>
            </w:pPr>
            <w:r>
              <w:rPr>
                <w:rFonts w:ascii="Arial" w:hAnsi="Arial" w:cs="Arial"/>
                <w:color w:val="000000"/>
                <w:sz w:val="16"/>
                <w:szCs w:val="16"/>
              </w:rPr>
              <w:t>11.09.2015</w:t>
            </w:r>
          </w:p>
        </w:tc>
        <w:tc>
          <w:tcPr>
            <w:tcW w:w="1880" w:type="dxa"/>
            <w:tcBorders>
              <w:top w:val="nil"/>
              <w:left w:val="nil"/>
              <w:bottom w:val="single" w:sz="4" w:space="0" w:color="auto"/>
              <w:right w:val="single" w:sz="8" w:space="0" w:color="auto"/>
            </w:tcBorders>
            <w:shd w:val="clear" w:color="auto" w:fill="auto"/>
            <w:noWrap/>
            <w:vAlign w:val="center"/>
            <w:hideMark/>
          </w:tcPr>
          <w:p w14:paraId="21D9FEE7" w14:textId="6C6BA455" w:rsidR="005B67B8" w:rsidRPr="00E21C60" w:rsidRDefault="005B67B8" w:rsidP="00543371">
            <w:pPr>
              <w:jc w:val="center"/>
              <w:rPr>
                <w:rFonts w:ascii="Arial" w:hAnsi="Arial" w:cs="Arial"/>
                <w:color w:val="000000"/>
                <w:sz w:val="16"/>
                <w:szCs w:val="16"/>
              </w:rPr>
            </w:pPr>
            <w:r>
              <w:rPr>
                <w:rFonts w:ascii="Arial" w:hAnsi="Arial" w:cs="Arial"/>
                <w:color w:val="000000"/>
                <w:sz w:val="16"/>
                <w:szCs w:val="16"/>
              </w:rPr>
              <w:t>4 705 883</w:t>
            </w:r>
          </w:p>
          <w:p w14:paraId="197A3EC4" w14:textId="299AAF5E" w:rsidR="005B67B8" w:rsidRPr="00E21C60" w:rsidRDefault="005B67B8" w:rsidP="0028064A">
            <w:pPr>
              <w:jc w:val="center"/>
              <w:rPr>
                <w:rFonts w:ascii="Arial" w:hAnsi="Arial" w:cs="Arial"/>
                <w:color w:val="000000"/>
                <w:sz w:val="16"/>
                <w:szCs w:val="16"/>
              </w:rPr>
            </w:pPr>
          </w:p>
        </w:tc>
      </w:tr>
      <w:tr w:rsidR="009C2914" w:rsidRPr="00E21C60" w14:paraId="1D969E70" w14:textId="77777777" w:rsidTr="0028064A">
        <w:trPr>
          <w:trHeight w:val="315"/>
        </w:trPr>
        <w:tc>
          <w:tcPr>
            <w:tcW w:w="7200"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14:paraId="4E82FB46" w14:textId="77777777" w:rsidR="009C2914" w:rsidRPr="00E21C60" w:rsidRDefault="009C2914" w:rsidP="0028064A">
            <w:pPr>
              <w:jc w:val="center"/>
              <w:rPr>
                <w:rFonts w:ascii="Arial" w:hAnsi="Arial" w:cs="Arial"/>
                <w:b/>
                <w:bCs/>
                <w:color w:val="000000"/>
                <w:sz w:val="16"/>
                <w:szCs w:val="16"/>
              </w:rPr>
            </w:pPr>
            <w:r w:rsidRPr="00E21C60">
              <w:rPr>
                <w:rFonts w:ascii="Arial" w:hAnsi="Arial" w:cs="Arial"/>
                <w:b/>
                <w:bCs/>
                <w:color w:val="000000"/>
                <w:sz w:val="16"/>
                <w:szCs w:val="16"/>
              </w:rPr>
              <w:t>Spolu za prioritu</w:t>
            </w:r>
          </w:p>
        </w:tc>
        <w:tc>
          <w:tcPr>
            <w:tcW w:w="1880" w:type="dxa"/>
            <w:tcBorders>
              <w:top w:val="single" w:sz="4" w:space="0" w:color="auto"/>
              <w:left w:val="nil"/>
              <w:bottom w:val="single" w:sz="8" w:space="0" w:color="auto"/>
              <w:right w:val="single" w:sz="8" w:space="0" w:color="auto"/>
            </w:tcBorders>
            <w:shd w:val="clear" w:color="auto" w:fill="auto"/>
            <w:noWrap/>
            <w:vAlign w:val="center"/>
            <w:hideMark/>
          </w:tcPr>
          <w:p w14:paraId="0590C307" w14:textId="788C43BE" w:rsidR="009C2914" w:rsidRPr="00E21C60" w:rsidRDefault="00334794" w:rsidP="00543371">
            <w:pPr>
              <w:jc w:val="center"/>
              <w:rPr>
                <w:rFonts w:ascii="Arial" w:hAnsi="Arial" w:cs="Arial"/>
                <w:b/>
                <w:bCs/>
                <w:color w:val="000000"/>
                <w:sz w:val="16"/>
                <w:szCs w:val="16"/>
              </w:rPr>
            </w:pPr>
            <w:r>
              <w:rPr>
                <w:rFonts w:ascii="Arial" w:hAnsi="Arial" w:cs="Arial"/>
                <w:b/>
                <w:bCs/>
                <w:color w:val="000000"/>
                <w:sz w:val="16"/>
                <w:szCs w:val="16"/>
              </w:rPr>
              <w:t>7 005 883</w:t>
            </w:r>
          </w:p>
        </w:tc>
      </w:tr>
    </w:tbl>
    <w:p w14:paraId="3648FFB0" w14:textId="77777777" w:rsidR="002416B1" w:rsidRPr="00E21C60" w:rsidRDefault="00000CC9" w:rsidP="00123376">
      <w:pPr>
        <w:pStyle w:val="Zkladntextb"/>
        <w:spacing w:after="120" w:line="240" w:lineRule="auto"/>
        <w:ind w:left="0"/>
        <w:rPr>
          <w:rFonts w:cs="Arial"/>
          <w:sz w:val="16"/>
          <w:szCs w:val="16"/>
          <w:lang w:val="sk-SK"/>
        </w:rPr>
      </w:pPr>
      <w:r w:rsidRPr="00123376">
        <w:rPr>
          <w:rFonts w:cs="Arial"/>
          <w:sz w:val="16"/>
          <w:szCs w:val="16"/>
          <w:lang w:val="sk-SK"/>
        </w:rPr>
        <w:t>Zdroj: RO, ITMS</w:t>
      </w:r>
    </w:p>
    <w:p w14:paraId="2985C3FA" w14:textId="1F100BD3" w:rsidR="002416B1" w:rsidRPr="00E21C60" w:rsidRDefault="00C2620B" w:rsidP="00123376">
      <w:pPr>
        <w:pStyle w:val="Zkladntextb"/>
        <w:spacing w:before="120" w:after="120" w:line="240" w:lineRule="auto"/>
        <w:ind w:left="0"/>
        <w:jc w:val="both"/>
        <w:rPr>
          <w:rFonts w:cs="Arial"/>
          <w:lang w:val="sk-SK"/>
        </w:rPr>
      </w:pPr>
      <w:r>
        <w:rPr>
          <w:rFonts w:cs="Arial"/>
          <w:lang w:val="sk-SK"/>
        </w:rPr>
        <w:t xml:space="preserve">V rámci </w:t>
      </w:r>
      <w:r w:rsidR="002F3D62" w:rsidRPr="00D641FF">
        <w:rPr>
          <w:rFonts w:cs="Arial"/>
          <w:lang w:val="sk-SK"/>
        </w:rPr>
        <w:t>prioritn</w:t>
      </w:r>
      <w:r>
        <w:rPr>
          <w:rFonts w:cs="Arial"/>
          <w:lang w:val="sk-SK"/>
        </w:rPr>
        <w:t>ej</w:t>
      </w:r>
      <w:r w:rsidR="002F3D62" w:rsidRPr="00D641FF">
        <w:rPr>
          <w:rFonts w:cs="Arial"/>
          <w:lang w:val="sk-SK"/>
        </w:rPr>
        <w:t xml:space="preserve"> os</w:t>
      </w:r>
      <w:r>
        <w:rPr>
          <w:rFonts w:cs="Arial"/>
          <w:lang w:val="sk-SK"/>
        </w:rPr>
        <w:t>i</w:t>
      </w:r>
      <w:r w:rsidR="002F3D62">
        <w:rPr>
          <w:rFonts w:cs="Arial"/>
          <w:lang w:val="sk-SK"/>
        </w:rPr>
        <w:t xml:space="preserve"> 3</w:t>
      </w:r>
      <w:r w:rsidR="002F3D62" w:rsidRPr="00D641FF">
        <w:rPr>
          <w:rFonts w:cs="Arial"/>
          <w:lang w:val="sk-SK"/>
        </w:rPr>
        <w:t xml:space="preserve"> bolo prijatých </w:t>
      </w:r>
      <w:r w:rsidR="002F3D62">
        <w:rPr>
          <w:rFonts w:cs="Arial"/>
          <w:lang w:val="sk-SK"/>
        </w:rPr>
        <w:t>377</w:t>
      </w:r>
      <w:r w:rsidR="002F3D62" w:rsidRPr="001E53F6">
        <w:rPr>
          <w:rFonts w:cs="Arial"/>
          <w:lang w:val="sk-SK"/>
        </w:rPr>
        <w:t xml:space="preserve"> žiadostí</w:t>
      </w:r>
      <w:r w:rsidR="002F3D62" w:rsidRPr="00D641FF">
        <w:rPr>
          <w:rFonts w:cs="Arial"/>
          <w:lang w:val="sk-SK"/>
        </w:rPr>
        <w:t xml:space="preserve"> o NFP vo výške žiadaného príspevku </w:t>
      </w:r>
      <w:r w:rsidR="002F3D62">
        <w:rPr>
          <w:rFonts w:cs="Arial"/>
          <w:lang w:val="sk-SK"/>
        </w:rPr>
        <w:t>559 303 99</w:t>
      </w:r>
      <w:r w:rsidR="00EC2B05">
        <w:rPr>
          <w:rFonts w:cs="Arial"/>
          <w:lang w:val="sk-SK"/>
        </w:rPr>
        <w:t>1</w:t>
      </w:r>
      <w:r w:rsidR="002F3D62" w:rsidRPr="001E53F6">
        <w:rPr>
          <w:rFonts w:cs="Arial"/>
          <w:lang w:val="sk-SK"/>
        </w:rPr>
        <w:t xml:space="preserve"> </w:t>
      </w:r>
      <w:r w:rsidR="00366C2D">
        <w:rPr>
          <w:rFonts w:cs="Arial"/>
          <w:lang w:val="sk-SK"/>
        </w:rPr>
        <w:t>€</w:t>
      </w:r>
      <w:r w:rsidR="002F3D62" w:rsidRPr="008E1ACB">
        <w:rPr>
          <w:rFonts w:cs="Arial"/>
          <w:lang w:val="sk-SK"/>
        </w:rPr>
        <w:t xml:space="preserve">, z toho bolo </w:t>
      </w:r>
      <w:r w:rsidR="002F3D62">
        <w:rPr>
          <w:rFonts w:cs="Arial"/>
          <w:lang w:val="sk-SK"/>
        </w:rPr>
        <w:t>145</w:t>
      </w:r>
      <w:r w:rsidR="002F3D62" w:rsidRPr="001E53F6">
        <w:rPr>
          <w:rFonts w:cs="Arial"/>
          <w:lang w:val="sk-SK"/>
        </w:rPr>
        <w:t xml:space="preserve"> žiadostí schválených</w:t>
      </w:r>
      <w:r w:rsidR="002F3D62" w:rsidRPr="0020746A">
        <w:rPr>
          <w:rFonts w:cs="Arial"/>
          <w:lang w:val="sk-SK"/>
        </w:rPr>
        <w:t xml:space="preserve"> v objeme </w:t>
      </w:r>
      <w:r w:rsidR="002F3D62">
        <w:rPr>
          <w:rFonts w:cs="Arial"/>
          <w:lang w:val="sk-SK"/>
        </w:rPr>
        <w:t xml:space="preserve">235 474 150 </w:t>
      </w:r>
      <w:r w:rsidR="00366C2D">
        <w:rPr>
          <w:rFonts w:cs="Arial"/>
          <w:lang w:val="sk-SK"/>
        </w:rPr>
        <w:t>€</w:t>
      </w:r>
      <w:r w:rsidR="002F3D62" w:rsidRPr="00D641FF">
        <w:rPr>
          <w:rFonts w:cs="Arial"/>
          <w:lang w:val="sk-SK"/>
        </w:rPr>
        <w:t xml:space="preserve">, </w:t>
      </w:r>
      <w:r w:rsidR="002F3D62" w:rsidRPr="00283DB9">
        <w:rPr>
          <w:rFonts w:cs="Arial"/>
          <w:lang w:val="sk-SK"/>
        </w:rPr>
        <w:t xml:space="preserve">pričom 128 </w:t>
      </w:r>
      <w:r w:rsidR="00CB0AFA" w:rsidRPr="00283DB9">
        <w:rPr>
          <w:rFonts w:cs="Arial"/>
          <w:lang w:val="sk-SK"/>
        </w:rPr>
        <w:t xml:space="preserve">projektov </w:t>
      </w:r>
      <w:r w:rsidR="002F3D62" w:rsidRPr="00283DB9">
        <w:rPr>
          <w:rFonts w:cs="Arial"/>
          <w:lang w:val="sk-SK"/>
        </w:rPr>
        <w:t>bolo zazmluvnených a</w:t>
      </w:r>
      <w:r w:rsidR="002F3D62">
        <w:rPr>
          <w:rFonts w:cs="Arial"/>
          <w:lang w:val="sk-SK"/>
        </w:rPr>
        <w:t xml:space="preserve"> 128</w:t>
      </w:r>
      <w:r w:rsidR="002F3D62" w:rsidRPr="001E53F6">
        <w:rPr>
          <w:rFonts w:cs="Arial"/>
          <w:lang w:val="sk-SK"/>
        </w:rPr>
        <w:t xml:space="preserve"> projektov bolo </w:t>
      </w:r>
      <w:r w:rsidR="00CB0AFA">
        <w:rPr>
          <w:rFonts w:cs="Arial"/>
          <w:lang w:val="sk-SK"/>
        </w:rPr>
        <w:t xml:space="preserve">aj </w:t>
      </w:r>
      <w:r w:rsidR="002F3D62" w:rsidRPr="001E53F6">
        <w:rPr>
          <w:rFonts w:cs="Arial"/>
          <w:lang w:val="sk-SK"/>
        </w:rPr>
        <w:t xml:space="preserve">riadne ukončených vo výške čerpaného príspevku </w:t>
      </w:r>
      <w:r w:rsidR="002F3D62">
        <w:rPr>
          <w:rFonts w:cs="Arial"/>
          <w:bCs/>
          <w:lang w:val="sk-SK"/>
        </w:rPr>
        <w:t>21</w:t>
      </w:r>
      <w:r w:rsidR="00BB40C3">
        <w:rPr>
          <w:rFonts w:cs="Arial"/>
          <w:bCs/>
          <w:lang w:val="sk-SK"/>
        </w:rPr>
        <w:t>2 093 039</w:t>
      </w:r>
      <w:r w:rsidR="002F3D62" w:rsidRPr="001E53F6">
        <w:rPr>
          <w:rFonts w:cs="Arial"/>
          <w:bCs/>
          <w:lang w:val="sk-SK"/>
        </w:rPr>
        <w:t xml:space="preserve"> </w:t>
      </w:r>
      <w:r w:rsidR="00366C2D">
        <w:rPr>
          <w:rFonts w:cs="Arial"/>
          <w:lang w:val="sk-SK"/>
        </w:rPr>
        <w:t>€</w:t>
      </w:r>
      <w:r w:rsidR="002F3D62" w:rsidRPr="001E53F6">
        <w:rPr>
          <w:rFonts w:cs="Arial"/>
          <w:lang w:val="sk-SK"/>
        </w:rPr>
        <w:t xml:space="preserve"> (pozri tabuľky nižšie).</w:t>
      </w:r>
    </w:p>
    <w:p w14:paraId="0BBC1AC6" w14:textId="745A9FD5" w:rsidR="00DF2E63" w:rsidRPr="00D641FF" w:rsidRDefault="00DF2E63" w:rsidP="00123376">
      <w:pPr>
        <w:pStyle w:val="Zkladntextb"/>
        <w:spacing w:after="0" w:line="240" w:lineRule="auto"/>
        <w:ind w:left="0"/>
        <w:jc w:val="both"/>
        <w:rPr>
          <w:rFonts w:cs="Arial"/>
          <w:lang w:val="sk-SK"/>
        </w:rPr>
      </w:pPr>
      <w:r w:rsidRPr="00D641FF">
        <w:rPr>
          <w:rFonts w:cs="Arial"/>
          <w:lang w:val="sk-SK"/>
        </w:rPr>
        <w:t xml:space="preserve">Tabuľka č. </w:t>
      </w:r>
      <w:r w:rsidR="00012152">
        <w:rPr>
          <w:rFonts w:cs="Arial"/>
          <w:lang w:val="sk-SK"/>
        </w:rPr>
        <w:t>5</w:t>
      </w:r>
      <w:r w:rsidR="007B1CB9">
        <w:rPr>
          <w:rFonts w:cs="Arial"/>
          <w:lang w:val="sk-SK"/>
        </w:rPr>
        <w:t>1</w:t>
      </w:r>
      <w:r w:rsidR="00012152" w:rsidRPr="00D641FF">
        <w:rPr>
          <w:rFonts w:cs="Arial"/>
          <w:lang w:val="sk-SK"/>
        </w:rPr>
        <w:t>a</w:t>
      </w:r>
      <w:r w:rsidRPr="00D641FF">
        <w:rPr>
          <w:rFonts w:cs="Arial"/>
          <w:lang w:val="sk-SK"/>
        </w:rPr>
        <w:t>: Sledovanie pokroku v implementácii prioritnej osi</w:t>
      </w:r>
      <w:r w:rsidR="004F7B0F" w:rsidRPr="00D641FF">
        <w:rPr>
          <w:rFonts w:cs="Arial"/>
          <w:lang w:val="sk-SK"/>
        </w:rPr>
        <w:t xml:space="preserve"> 3</w:t>
      </w:r>
      <w:r w:rsidRPr="00D641FF">
        <w:rPr>
          <w:rFonts w:cs="Arial"/>
          <w:lang w:val="sk-SK"/>
        </w:rPr>
        <w:t xml:space="preserve"> </w:t>
      </w:r>
    </w:p>
    <w:tbl>
      <w:tblPr>
        <w:tblW w:w="9180" w:type="dxa"/>
        <w:tblInd w:w="55" w:type="dxa"/>
        <w:tblCellMar>
          <w:left w:w="70" w:type="dxa"/>
          <w:right w:w="70" w:type="dxa"/>
        </w:tblCellMar>
        <w:tblLook w:val="04A0" w:firstRow="1" w:lastRow="0" w:firstColumn="1" w:lastColumn="0" w:noHBand="0" w:noVBand="1"/>
      </w:tblPr>
      <w:tblGrid>
        <w:gridCol w:w="1880"/>
        <w:gridCol w:w="1460"/>
        <w:gridCol w:w="1460"/>
        <w:gridCol w:w="1460"/>
        <w:gridCol w:w="1460"/>
        <w:gridCol w:w="1460"/>
      </w:tblGrid>
      <w:tr w:rsidR="00DF2E63" w:rsidRPr="00E21C60" w14:paraId="45DAD063"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A5BE64F" w14:textId="77777777" w:rsidR="00DF2E63" w:rsidRPr="00E21C60" w:rsidRDefault="0079794E">
            <w:pPr>
              <w:jc w:val="center"/>
              <w:rPr>
                <w:rFonts w:ascii="Arial" w:hAnsi="Arial" w:cs="Arial"/>
                <w:b/>
                <w:bCs/>
                <w:color w:val="000000"/>
                <w:sz w:val="16"/>
                <w:szCs w:val="16"/>
              </w:rPr>
            </w:pPr>
            <w:r>
              <w:rPr>
                <w:rFonts w:ascii="Arial" w:hAnsi="Arial" w:cs="Arial"/>
                <w:b/>
                <w:bCs/>
                <w:color w:val="000000"/>
                <w:sz w:val="16"/>
                <w:szCs w:val="16"/>
              </w:rPr>
              <w:t>Prioritná</w:t>
            </w:r>
            <w:r w:rsidRPr="00E21C60">
              <w:rPr>
                <w:rFonts w:ascii="Arial" w:hAnsi="Arial" w:cs="Arial"/>
                <w:b/>
                <w:bCs/>
                <w:color w:val="000000"/>
                <w:sz w:val="16"/>
                <w:szCs w:val="16"/>
              </w:rPr>
              <w:t xml:space="preserve"> </w:t>
            </w:r>
            <w:r w:rsidR="00DF2E63" w:rsidRPr="00E21C60">
              <w:rPr>
                <w:rFonts w:ascii="Arial" w:hAnsi="Arial" w:cs="Arial"/>
                <w:b/>
                <w:bCs/>
                <w:color w:val="000000"/>
                <w:sz w:val="16"/>
                <w:szCs w:val="16"/>
              </w:rPr>
              <w:t>téma</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29F505F"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Počet prijatých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4DB2706"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Počet schválených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674FB35"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Počet zazmluvnených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0D5D4A2"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Počet riadne ukončených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64AFD0E"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Počet mimoriadne ukončených projektov</w:t>
            </w:r>
          </w:p>
        </w:tc>
      </w:tr>
      <w:tr w:rsidR="005B1FAC" w:rsidRPr="00462CBA" w14:paraId="69752C0E" w14:textId="77777777" w:rsidTr="005B1FAC">
        <w:trPr>
          <w:trHeight w:val="3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767938AF" w14:textId="77777777" w:rsidR="005B1FAC" w:rsidRPr="009A6783" w:rsidRDefault="005B1FAC" w:rsidP="005B1FAC">
            <w:pPr>
              <w:rPr>
                <w:rFonts w:ascii="Arial" w:hAnsi="Arial" w:cs="Arial"/>
                <w:color w:val="000000"/>
                <w:sz w:val="16"/>
                <w:szCs w:val="16"/>
              </w:rPr>
            </w:pPr>
            <w:r w:rsidRPr="009A6783">
              <w:rPr>
                <w:rFonts w:ascii="Arial" w:hAnsi="Arial" w:cs="Arial"/>
                <w:color w:val="000000"/>
                <w:sz w:val="16"/>
                <w:szCs w:val="16"/>
              </w:rPr>
              <w:t>47 - Kvalita vzduchu</w:t>
            </w:r>
          </w:p>
        </w:tc>
        <w:tc>
          <w:tcPr>
            <w:tcW w:w="1460" w:type="dxa"/>
            <w:tcBorders>
              <w:top w:val="nil"/>
              <w:left w:val="nil"/>
              <w:bottom w:val="single" w:sz="4" w:space="0" w:color="auto"/>
              <w:right w:val="single" w:sz="4" w:space="0" w:color="auto"/>
            </w:tcBorders>
            <w:shd w:val="clear" w:color="auto" w:fill="auto"/>
            <w:noWrap/>
            <w:vAlign w:val="center"/>
            <w:hideMark/>
          </w:tcPr>
          <w:p w14:paraId="23807FCC" w14:textId="1C7B40C7"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162</w:t>
            </w:r>
          </w:p>
        </w:tc>
        <w:tc>
          <w:tcPr>
            <w:tcW w:w="1460" w:type="dxa"/>
            <w:tcBorders>
              <w:top w:val="nil"/>
              <w:left w:val="nil"/>
              <w:bottom w:val="single" w:sz="4" w:space="0" w:color="auto"/>
              <w:right w:val="single" w:sz="4" w:space="0" w:color="auto"/>
            </w:tcBorders>
            <w:shd w:val="clear" w:color="auto" w:fill="auto"/>
            <w:noWrap/>
            <w:vAlign w:val="center"/>
            <w:hideMark/>
          </w:tcPr>
          <w:p w14:paraId="13B37015" w14:textId="67B2C1F5"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77</w:t>
            </w:r>
          </w:p>
        </w:tc>
        <w:tc>
          <w:tcPr>
            <w:tcW w:w="1460" w:type="dxa"/>
            <w:tcBorders>
              <w:top w:val="nil"/>
              <w:left w:val="nil"/>
              <w:bottom w:val="single" w:sz="4" w:space="0" w:color="auto"/>
              <w:right w:val="single" w:sz="4" w:space="0" w:color="auto"/>
            </w:tcBorders>
            <w:shd w:val="clear" w:color="auto" w:fill="auto"/>
            <w:noWrap/>
            <w:vAlign w:val="center"/>
            <w:hideMark/>
          </w:tcPr>
          <w:p w14:paraId="65DF873B" w14:textId="3B7EBC78"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67</w:t>
            </w:r>
          </w:p>
        </w:tc>
        <w:tc>
          <w:tcPr>
            <w:tcW w:w="1460" w:type="dxa"/>
            <w:tcBorders>
              <w:top w:val="nil"/>
              <w:left w:val="nil"/>
              <w:bottom w:val="single" w:sz="4" w:space="0" w:color="auto"/>
              <w:right w:val="single" w:sz="4" w:space="0" w:color="auto"/>
            </w:tcBorders>
            <w:shd w:val="clear" w:color="auto" w:fill="auto"/>
            <w:noWrap/>
            <w:vAlign w:val="center"/>
            <w:hideMark/>
          </w:tcPr>
          <w:p w14:paraId="4B53C5B7" w14:textId="112314B1"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67</w:t>
            </w:r>
          </w:p>
        </w:tc>
        <w:tc>
          <w:tcPr>
            <w:tcW w:w="1460" w:type="dxa"/>
            <w:tcBorders>
              <w:top w:val="nil"/>
              <w:left w:val="nil"/>
              <w:bottom w:val="single" w:sz="4" w:space="0" w:color="auto"/>
              <w:right w:val="single" w:sz="4" w:space="0" w:color="auto"/>
            </w:tcBorders>
            <w:shd w:val="clear" w:color="auto" w:fill="auto"/>
            <w:noWrap/>
            <w:vAlign w:val="center"/>
            <w:hideMark/>
          </w:tcPr>
          <w:p w14:paraId="67D4CACE" w14:textId="14D822CF"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10</w:t>
            </w:r>
          </w:p>
        </w:tc>
      </w:tr>
      <w:tr w:rsidR="005B1FAC" w:rsidRPr="00462CBA" w14:paraId="23C1E0A6" w14:textId="77777777" w:rsidTr="005B1FAC">
        <w:trPr>
          <w:trHeight w:val="45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4F281284" w14:textId="77777777" w:rsidR="005B1FAC" w:rsidRPr="009A6783" w:rsidRDefault="005B1FAC" w:rsidP="005B1FAC">
            <w:pPr>
              <w:rPr>
                <w:rFonts w:ascii="Arial" w:hAnsi="Arial" w:cs="Arial"/>
                <w:color w:val="000000"/>
                <w:sz w:val="16"/>
                <w:szCs w:val="16"/>
              </w:rPr>
            </w:pPr>
            <w:r w:rsidRPr="009A6783">
              <w:rPr>
                <w:rFonts w:ascii="Arial" w:hAnsi="Arial" w:cs="Arial"/>
                <w:color w:val="000000"/>
                <w:sz w:val="16"/>
                <w:szCs w:val="16"/>
              </w:rPr>
              <w:t>52 - Podpora čistej mestskej dopravy</w:t>
            </w:r>
          </w:p>
        </w:tc>
        <w:tc>
          <w:tcPr>
            <w:tcW w:w="1460" w:type="dxa"/>
            <w:tcBorders>
              <w:top w:val="nil"/>
              <w:left w:val="nil"/>
              <w:bottom w:val="single" w:sz="4" w:space="0" w:color="auto"/>
              <w:right w:val="single" w:sz="4" w:space="0" w:color="auto"/>
            </w:tcBorders>
            <w:shd w:val="clear" w:color="auto" w:fill="auto"/>
            <w:noWrap/>
            <w:vAlign w:val="center"/>
          </w:tcPr>
          <w:p w14:paraId="4F5B2E57" w14:textId="26530666"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21</w:t>
            </w:r>
          </w:p>
        </w:tc>
        <w:tc>
          <w:tcPr>
            <w:tcW w:w="1460" w:type="dxa"/>
            <w:tcBorders>
              <w:top w:val="nil"/>
              <w:left w:val="nil"/>
              <w:bottom w:val="single" w:sz="4" w:space="0" w:color="auto"/>
              <w:right w:val="single" w:sz="4" w:space="0" w:color="auto"/>
            </w:tcBorders>
            <w:shd w:val="clear" w:color="auto" w:fill="auto"/>
            <w:noWrap/>
            <w:vAlign w:val="center"/>
          </w:tcPr>
          <w:p w14:paraId="780D9805" w14:textId="7C73457C"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9</w:t>
            </w:r>
          </w:p>
        </w:tc>
        <w:tc>
          <w:tcPr>
            <w:tcW w:w="1460" w:type="dxa"/>
            <w:tcBorders>
              <w:top w:val="nil"/>
              <w:left w:val="nil"/>
              <w:bottom w:val="single" w:sz="4" w:space="0" w:color="auto"/>
              <w:right w:val="single" w:sz="4" w:space="0" w:color="auto"/>
            </w:tcBorders>
            <w:shd w:val="clear" w:color="auto" w:fill="auto"/>
            <w:noWrap/>
            <w:vAlign w:val="center"/>
            <w:hideMark/>
          </w:tcPr>
          <w:p w14:paraId="3C8DDE8B" w14:textId="6E009AF2"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8</w:t>
            </w:r>
          </w:p>
        </w:tc>
        <w:tc>
          <w:tcPr>
            <w:tcW w:w="1460" w:type="dxa"/>
            <w:tcBorders>
              <w:top w:val="nil"/>
              <w:left w:val="nil"/>
              <w:bottom w:val="single" w:sz="4" w:space="0" w:color="auto"/>
              <w:right w:val="single" w:sz="4" w:space="0" w:color="auto"/>
            </w:tcBorders>
            <w:shd w:val="clear" w:color="auto" w:fill="auto"/>
            <w:noWrap/>
            <w:vAlign w:val="center"/>
            <w:hideMark/>
          </w:tcPr>
          <w:p w14:paraId="299F5589" w14:textId="026DAC52"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8</w:t>
            </w:r>
          </w:p>
        </w:tc>
        <w:tc>
          <w:tcPr>
            <w:tcW w:w="1460" w:type="dxa"/>
            <w:tcBorders>
              <w:top w:val="nil"/>
              <w:left w:val="nil"/>
              <w:bottom w:val="single" w:sz="4" w:space="0" w:color="auto"/>
              <w:right w:val="single" w:sz="4" w:space="0" w:color="auto"/>
            </w:tcBorders>
            <w:shd w:val="clear" w:color="auto" w:fill="auto"/>
            <w:noWrap/>
            <w:vAlign w:val="center"/>
            <w:hideMark/>
          </w:tcPr>
          <w:p w14:paraId="60A136D8" w14:textId="5E2CC7BA"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w:t>
            </w:r>
          </w:p>
        </w:tc>
      </w:tr>
      <w:tr w:rsidR="005B1FAC" w:rsidRPr="00E21C60" w14:paraId="5EEC5A46" w14:textId="77777777" w:rsidTr="005B1FAC">
        <w:trPr>
          <w:trHeight w:val="9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5FD41486" w14:textId="0FC058DA" w:rsidR="005B1FAC" w:rsidRPr="009A6783" w:rsidRDefault="005B1FAC" w:rsidP="005B1FAC">
            <w:pPr>
              <w:rPr>
                <w:rFonts w:ascii="Arial" w:hAnsi="Arial" w:cs="Arial"/>
                <w:color w:val="000000"/>
                <w:sz w:val="16"/>
                <w:szCs w:val="16"/>
              </w:rPr>
            </w:pPr>
            <w:r w:rsidRPr="009A6783">
              <w:rPr>
                <w:rFonts w:ascii="Arial" w:hAnsi="Arial" w:cs="Arial"/>
                <w:color w:val="000000"/>
                <w:sz w:val="16"/>
                <w:szCs w:val="16"/>
              </w:rPr>
              <w:t xml:space="preserve">49 - Zmierňovanie klimatickej zmeny </w:t>
            </w:r>
            <w:r w:rsidRPr="009A6783">
              <w:rPr>
                <w:rFonts w:ascii="Arial" w:hAnsi="Arial" w:cs="Arial"/>
                <w:color w:val="000000"/>
                <w:sz w:val="16"/>
                <w:szCs w:val="16"/>
              </w:rPr>
              <w:br/>
              <w:t>a prispôsobovanie sa klimatickej zmene</w:t>
            </w:r>
          </w:p>
        </w:tc>
        <w:tc>
          <w:tcPr>
            <w:tcW w:w="1460" w:type="dxa"/>
            <w:tcBorders>
              <w:top w:val="nil"/>
              <w:left w:val="nil"/>
              <w:bottom w:val="single" w:sz="4" w:space="0" w:color="auto"/>
              <w:right w:val="single" w:sz="4" w:space="0" w:color="auto"/>
            </w:tcBorders>
            <w:shd w:val="clear" w:color="auto" w:fill="auto"/>
            <w:noWrap/>
            <w:vAlign w:val="center"/>
            <w:hideMark/>
          </w:tcPr>
          <w:p w14:paraId="662438D0" w14:textId="4721083F"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194</w:t>
            </w:r>
          </w:p>
        </w:tc>
        <w:tc>
          <w:tcPr>
            <w:tcW w:w="1460" w:type="dxa"/>
            <w:tcBorders>
              <w:top w:val="nil"/>
              <w:left w:val="nil"/>
              <w:bottom w:val="single" w:sz="4" w:space="0" w:color="auto"/>
              <w:right w:val="single" w:sz="4" w:space="0" w:color="auto"/>
            </w:tcBorders>
            <w:shd w:val="clear" w:color="auto" w:fill="auto"/>
            <w:noWrap/>
            <w:vAlign w:val="center"/>
            <w:hideMark/>
          </w:tcPr>
          <w:p w14:paraId="16A45F21" w14:textId="7570D71A"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59</w:t>
            </w:r>
          </w:p>
        </w:tc>
        <w:tc>
          <w:tcPr>
            <w:tcW w:w="1460" w:type="dxa"/>
            <w:tcBorders>
              <w:top w:val="nil"/>
              <w:left w:val="nil"/>
              <w:bottom w:val="single" w:sz="4" w:space="0" w:color="auto"/>
              <w:right w:val="single" w:sz="4" w:space="0" w:color="auto"/>
            </w:tcBorders>
            <w:shd w:val="clear" w:color="auto" w:fill="auto"/>
            <w:noWrap/>
            <w:vAlign w:val="center"/>
            <w:hideMark/>
          </w:tcPr>
          <w:p w14:paraId="3AE2271E" w14:textId="5D058FCC"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53</w:t>
            </w:r>
          </w:p>
        </w:tc>
        <w:tc>
          <w:tcPr>
            <w:tcW w:w="1460" w:type="dxa"/>
            <w:tcBorders>
              <w:top w:val="nil"/>
              <w:left w:val="nil"/>
              <w:bottom w:val="single" w:sz="4" w:space="0" w:color="auto"/>
              <w:right w:val="single" w:sz="4" w:space="0" w:color="auto"/>
            </w:tcBorders>
            <w:shd w:val="clear" w:color="auto" w:fill="auto"/>
            <w:noWrap/>
            <w:vAlign w:val="center"/>
            <w:hideMark/>
          </w:tcPr>
          <w:p w14:paraId="1103713C" w14:textId="40144A19"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53</w:t>
            </w:r>
          </w:p>
        </w:tc>
        <w:tc>
          <w:tcPr>
            <w:tcW w:w="1460" w:type="dxa"/>
            <w:tcBorders>
              <w:top w:val="nil"/>
              <w:left w:val="nil"/>
              <w:bottom w:val="single" w:sz="4" w:space="0" w:color="auto"/>
              <w:right w:val="single" w:sz="4" w:space="0" w:color="auto"/>
            </w:tcBorders>
            <w:shd w:val="clear" w:color="auto" w:fill="auto"/>
            <w:noWrap/>
            <w:vAlign w:val="center"/>
            <w:hideMark/>
          </w:tcPr>
          <w:p w14:paraId="4C1BBB46" w14:textId="65F03192"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6</w:t>
            </w:r>
          </w:p>
        </w:tc>
      </w:tr>
      <w:tr w:rsidR="002F3D62" w:rsidRPr="00E21C60" w14:paraId="05DD7669" w14:textId="77777777" w:rsidTr="005B1FAC">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2C501436" w14:textId="77777777" w:rsidR="002F3D62" w:rsidRPr="00E21C60" w:rsidRDefault="002F3D62" w:rsidP="002F3D62">
            <w:pPr>
              <w:rPr>
                <w:rFonts w:ascii="Arial" w:hAnsi="Arial" w:cs="Arial"/>
                <w:b/>
                <w:bCs/>
                <w:color w:val="000000"/>
                <w:sz w:val="16"/>
                <w:szCs w:val="16"/>
              </w:rPr>
            </w:pPr>
            <w:r w:rsidRPr="00E21C60">
              <w:rPr>
                <w:rFonts w:ascii="Arial" w:hAnsi="Arial" w:cs="Arial"/>
                <w:b/>
                <w:bCs/>
                <w:color w:val="000000"/>
                <w:sz w:val="16"/>
                <w:szCs w:val="16"/>
              </w:rPr>
              <w:t>Celkom</w:t>
            </w:r>
          </w:p>
        </w:tc>
        <w:tc>
          <w:tcPr>
            <w:tcW w:w="1460" w:type="dxa"/>
            <w:tcBorders>
              <w:top w:val="nil"/>
              <w:left w:val="nil"/>
              <w:bottom w:val="single" w:sz="4" w:space="0" w:color="auto"/>
              <w:right w:val="single" w:sz="4" w:space="0" w:color="auto"/>
            </w:tcBorders>
            <w:shd w:val="clear" w:color="000000" w:fill="EBF1DE"/>
            <w:noWrap/>
            <w:vAlign w:val="center"/>
            <w:hideMark/>
          </w:tcPr>
          <w:p w14:paraId="17241ADC" w14:textId="413816DD" w:rsidR="002F3D62" w:rsidRPr="002F3D62" w:rsidRDefault="002F3D62" w:rsidP="005B1FAC">
            <w:pPr>
              <w:jc w:val="center"/>
              <w:rPr>
                <w:rFonts w:ascii="Arial" w:hAnsi="Arial" w:cs="Arial"/>
                <w:b/>
                <w:color w:val="000000"/>
                <w:sz w:val="16"/>
                <w:szCs w:val="16"/>
              </w:rPr>
            </w:pPr>
            <w:r w:rsidRPr="002F3D62">
              <w:rPr>
                <w:rFonts w:ascii="Arial" w:hAnsi="Arial" w:cs="Arial"/>
                <w:b/>
                <w:color w:val="000000"/>
                <w:sz w:val="16"/>
                <w:szCs w:val="16"/>
              </w:rPr>
              <w:t>377</w:t>
            </w:r>
          </w:p>
        </w:tc>
        <w:tc>
          <w:tcPr>
            <w:tcW w:w="1460" w:type="dxa"/>
            <w:tcBorders>
              <w:top w:val="nil"/>
              <w:left w:val="nil"/>
              <w:bottom w:val="single" w:sz="4" w:space="0" w:color="auto"/>
              <w:right w:val="single" w:sz="4" w:space="0" w:color="auto"/>
            </w:tcBorders>
            <w:shd w:val="clear" w:color="000000" w:fill="EBF1DE"/>
            <w:noWrap/>
            <w:vAlign w:val="center"/>
            <w:hideMark/>
          </w:tcPr>
          <w:p w14:paraId="5F272916" w14:textId="52D3B2B4" w:rsidR="002F3D62" w:rsidRPr="002F3D62" w:rsidRDefault="002F3D62" w:rsidP="005B1FAC">
            <w:pPr>
              <w:jc w:val="center"/>
              <w:rPr>
                <w:rFonts w:ascii="Arial" w:hAnsi="Arial" w:cs="Arial"/>
                <w:b/>
                <w:color w:val="000000"/>
                <w:sz w:val="16"/>
                <w:szCs w:val="16"/>
              </w:rPr>
            </w:pPr>
            <w:r w:rsidRPr="002F3D62">
              <w:rPr>
                <w:rFonts w:ascii="Arial" w:hAnsi="Arial" w:cs="Arial"/>
                <w:b/>
                <w:color w:val="000000"/>
                <w:sz w:val="16"/>
                <w:szCs w:val="16"/>
              </w:rPr>
              <w:t>145</w:t>
            </w:r>
          </w:p>
        </w:tc>
        <w:tc>
          <w:tcPr>
            <w:tcW w:w="1460" w:type="dxa"/>
            <w:tcBorders>
              <w:top w:val="nil"/>
              <w:left w:val="nil"/>
              <w:bottom w:val="single" w:sz="4" w:space="0" w:color="auto"/>
              <w:right w:val="single" w:sz="4" w:space="0" w:color="auto"/>
            </w:tcBorders>
            <w:shd w:val="clear" w:color="000000" w:fill="EBF1DE"/>
            <w:noWrap/>
            <w:vAlign w:val="center"/>
            <w:hideMark/>
          </w:tcPr>
          <w:p w14:paraId="7C600F8C" w14:textId="04FB5587" w:rsidR="002F3D62" w:rsidRPr="002F3D62" w:rsidRDefault="002F3D62" w:rsidP="005B1FAC">
            <w:pPr>
              <w:jc w:val="center"/>
              <w:rPr>
                <w:rFonts w:ascii="Arial" w:hAnsi="Arial" w:cs="Arial"/>
                <w:b/>
                <w:color w:val="000000"/>
                <w:sz w:val="16"/>
                <w:szCs w:val="16"/>
              </w:rPr>
            </w:pPr>
            <w:r w:rsidRPr="002F3D62">
              <w:rPr>
                <w:rFonts w:ascii="Arial" w:hAnsi="Arial" w:cs="Arial"/>
                <w:b/>
                <w:color w:val="000000"/>
                <w:sz w:val="16"/>
                <w:szCs w:val="16"/>
              </w:rPr>
              <w:t>128</w:t>
            </w:r>
          </w:p>
        </w:tc>
        <w:tc>
          <w:tcPr>
            <w:tcW w:w="1460" w:type="dxa"/>
            <w:tcBorders>
              <w:top w:val="nil"/>
              <w:left w:val="nil"/>
              <w:bottom w:val="single" w:sz="4" w:space="0" w:color="auto"/>
              <w:right w:val="single" w:sz="4" w:space="0" w:color="auto"/>
            </w:tcBorders>
            <w:shd w:val="clear" w:color="000000" w:fill="EBF1DE"/>
            <w:noWrap/>
            <w:vAlign w:val="center"/>
            <w:hideMark/>
          </w:tcPr>
          <w:p w14:paraId="0C4176E8" w14:textId="3CEF0290" w:rsidR="002F3D62" w:rsidRPr="002F3D62" w:rsidRDefault="002F3D62" w:rsidP="005B1FAC">
            <w:pPr>
              <w:jc w:val="center"/>
              <w:rPr>
                <w:rFonts w:ascii="Arial" w:hAnsi="Arial" w:cs="Arial"/>
                <w:b/>
                <w:color w:val="000000"/>
                <w:sz w:val="16"/>
                <w:szCs w:val="16"/>
              </w:rPr>
            </w:pPr>
            <w:r w:rsidRPr="002F3D62">
              <w:rPr>
                <w:rFonts w:ascii="Arial" w:hAnsi="Arial" w:cs="Arial"/>
                <w:b/>
                <w:color w:val="000000"/>
                <w:sz w:val="16"/>
                <w:szCs w:val="16"/>
              </w:rPr>
              <w:t>128</w:t>
            </w:r>
          </w:p>
        </w:tc>
        <w:tc>
          <w:tcPr>
            <w:tcW w:w="1460" w:type="dxa"/>
            <w:tcBorders>
              <w:top w:val="nil"/>
              <w:left w:val="nil"/>
              <w:bottom w:val="single" w:sz="4" w:space="0" w:color="auto"/>
              <w:right w:val="single" w:sz="4" w:space="0" w:color="auto"/>
            </w:tcBorders>
            <w:shd w:val="clear" w:color="000000" w:fill="EBF1DE"/>
            <w:noWrap/>
            <w:vAlign w:val="center"/>
            <w:hideMark/>
          </w:tcPr>
          <w:p w14:paraId="467B5E4C" w14:textId="40237863" w:rsidR="002F3D62" w:rsidRPr="002F3D62" w:rsidRDefault="002F3D62" w:rsidP="005B1FAC">
            <w:pPr>
              <w:jc w:val="center"/>
              <w:rPr>
                <w:rFonts w:ascii="Arial" w:hAnsi="Arial" w:cs="Arial"/>
                <w:b/>
                <w:color w:val="000000"/>
                <w:sz w:val="16"/>
                <w:szCs w:val="16"/>
              </w:rPr>
            </w:pPr>
            <w:r w:rsidRPr="002F3D62">
              <w:rPr>
                <w:rFonts w:ascii="Arial" w:hAnsi="Arial" w:cs="Arial"/>
                <w:b/>
                <w:color w:val="000000"/>
                <w:sz w:val="16"/>
                <w:szCs w:val="16"/>
              </w:rPr>
              <w:t>17</w:t>
            </w:r>
            <w:r w:rsidR="008D23BD" w:rsidRPr="008D23BD">
              <w:rPr>
                <w:rFonts w:ascii="Arial" w:hAnsi="Arial" w:cs="Arial"/>
                <w:color w:val="000000"/>
                <w:sz w:val="16"/>
                <w:szCs w:val="16"/>
              </w:rPr>
              <w:t>*</w:t>
            </w:r>
          </w:p>
        </w:tc>
      </w:tr>
    </w:tbl>
    <w:p w14:paraId="2BCE3692" w14:textId="060E96F3" w:rsidR="008D23BD" w:rsidRPr="008D23BD" w:rsidRDefault="008D23BD" w:rsidP="008D23BD">
      <w:pPr>
        <w:pStyle w:val="Zkladntextb"/>
        <w:spacing w:after="120" w:line="240" w:lineRule="auto"/>
        <w:ind w:left="0"/>
        <w:rPr>
          <w:rFonts w:cs="Arial"/>
          <w:sz w:val="16"/>
          <w:szCs w:val="16"/>
          <w:lang w:val="sk-SK"/>
        </w:rPr>
      </w:pPr>
      <w:r w:rsidRPr="008D23BD">
        <w:rPr>
          <w:rFonts w:cs="Arial"/>
          <w:sz w:val="16"/>
          <w:szCs w:val="16"/>
          <w:lang w:val="sk-SK"/>
        </w:rPr>
        <w:t xml:space="preserve">* </w:t>
      </w:r>
      <w:r>
        <w:rPr>
          <w:rFonts w:cs="Arial"/>
          <w:sz w:val="16"/>
          <w:szCs w:val="16"/>
          <w:lang w:val="sk-SK"/>
        </w:rPr>
        <w:t>Do u</w:t>
      </w:r>
      <w:r w:rsidRPr="008D23BD">
        <w:rPr>
          <w:rFonts w:cs="Arial"/>
          <w:sz w:val="16"/>
          <w:szCs w:val="16"/>
          <w:lang w:val="sk-SK"/>
        </w:rPr>
        <w:t>veden</w:t>
      </w:r>
      <w:r>
        <w:rPr>
          <w:rFonts w:cs="Arial"/>
          <w:sz w:val="16"/>
          <w:szCs w:val="16"/>
          <w:lang w:val="sk-SK"/>
        </w:rPr>
        <w:t>ého</w:t>
      </w:r>
      <w:r w:rsidRPr="008D23BD">
        <w:rPr>
          <w:rFonts w:cs="Arial"/>
          <w:sz w:val="16"/>
          <w:szCs w:val="16"/>
          <w:lang w:val="sk-SK"/>
        </w:rPr>
        <w:t xml:space="preserve"> počt</w:t>
      </w:r>
      <w:r>
        <w:rPr>
          <w:rFonts w:cs="Arial"/>
          <w:sz w:val="16"/>
          <w:szCs w:val="16"/>
          <w:lang w:val="sk-SK"/>
        </w:rPr>
        <w:t>u</w:t>
      </w:r>
      <w:r w:rsidRPr="008D23BD">
        <w:rPr>
          <w:rFonts w:cs="Arial"/>
          <w:sz w:val="16"/>
          <w:szCs w:val="16"/>
          <w:lang w:val="sk-SK"/>
        </w:rPr>
        <w:t xml:space="preserve"> </w:t>
      </w:r>
      <w:r>
        <w:rPr>
          <w:rFonts w:cs="Arial"/>
          <w:sz w:val="16"/>
          <w:szCs w:val="16"/>
          <w:lang w:val="sk-SK"/>
        </w:rPr>
        <w:t xml:space="preserve">mimoriadne ukončených projektov nie je započítaný jeden projekt – plánovaný finančný nástroj, pri ktorom nedošlo k zazmluvneniu.  </w:t>
      </w:r>
    </w:p>
    <w:p w14:paraId="2B04B341" w14:textId="77777777" w:rsidR="0008447E" w:rsidRDefault="0008447E">
      <w:pPr>
        <w:rPr>
          <w:rFonts w:ascii="Arial" w:hAnsi="Arial" w:cs="Arial"/>
          <w:sz w:val="20"/>
          <w:szCs w:val="20"/>
        </w:rPr>
      </w:pPr>
      <w:r>
        <w:rPr>
          <w:rFonts w:cs="Arial"/>
        </w:rPr>
        <w:br w:type="page"/>
      </w:r>
    </w:p>
    <w:p w14:paraId="1C1443BB" w14:textId="0822A46A" w:rsidR="00DF2E63" w:rsidRPr="00D641FF" w:rsidRDefault="00DF2E63" w:rsidP="00123376">
      <w:pPr>
        <w:pStyle w:val="Zkladntextb"/>
        <w:spacing w:before="120" w:after="0" w:line="240" w:lineRule="auto"/>
        <w:ind w:left="0"/>
        <w:jc w:val="both"/>
        <w:rPr>
          <w:rFonts w:cs="Arial"/>
          <w:lang w:val="sk-SK"/>
        </w:rPr>
      </w:pPr>
      <w:r w:rsidRPr="008E1ACB">
        <w:rPr>
          <w:rFonts w:cs="Arial"/>
          <w:lang w:val="sk-SK"/>
        </w:rPr>
        <w:lastRenderedPageBreak/>
        <w:t xml:space="preserve">Tabuľka č. </w:t>
      </w:r>
      <w:r w:rsidR="00012152">
        <w:rPr>
          <w:rFonts w:cs="Arial"/>
          <w:lang w:val="sk-SK"/>
        </w:rPr>
        <w:t>5</w:t>
      </w:r>
      <w:r w:rsidR="007B1CB9">
        <w:rPr>
          <w:rFonts w:cs="Arial"/>
          <w:lang w:val="sk-SK"/>
        </w:rPr>
        <w:t>1</w:t>
      </w:r>
      <w:r w:rsidR="00012152" w:rsidRPr="0020746A">
        <w:rPr>
          <w:rFonts w:cs="Arial"/>
          <w:lang w:val="sk-SK"/>
        </w:rPr>
        <w:t>b</w:t>
      </w:r>
      <w:r w:rsidRPr="00D641FF">
        <w:rPr>
          <w:rFonts w:cs="Arial"/>
          <w:lang w:val="sk-SK"/>
        </w:rPr>
        <w:t>: Finančné vyjadrenie pokroku v implementácii prioritnej osi</w:t>
      </w:r>
      <w:r w:rsidR="004F7B0F" w:rsidRPr="00D641FF">
        <w:rPr>
          <w:rFonts w:cs="Arial"/>
          <w:lang w:val="sk-SK"/>
        </w:rPr>
        <w:t xml:space="preserve"> 3</w:t>
      </w:r>
      <w:r w:rsidRPr="00D641FF">
        <w:rPr>
          <w:rFonts w:cs="Arial"/>
          <w:lang w:val="sk-SK"/>
        </w:rPr>
        <w:t xml:space="preserve"> </w:t>
      </w:r>
      <w:r w:rsidR="00A018A4" w:rsidRPr="00D641FF">
        <w:rPr>
          <w:rFonts w:cs="Arial"/>
          <w:lang w:val="sk-SK"/>
        </w:rPr>
        <w:t>(v €)</w:t>
      </w:r>
    </w:p>
    <w:tbl>
      <w:tblPr>
        <w:tblW w:w="9200" w:type="dxa"/>
        <w:tblInd w:w="55" w:type="dxa"/>
        <w:tblCellMar>
          <w:left w:w="70" w:type="dxa"/>
          <w:right w:w="70" w:type="dxa"/>
        </w:tblCellMar>
        <w:tblLook w:val="04A0" w:firstRow="1" w:lastRow="0" w:firstColumn="1" w:lastColumn="0" w:noHBand="0" w:noVBand="1"/>
      </w:tblPr>
      <w:tblGrid>
        <w:gridCol w:w="1880"/>
        <w:gridCol w:w="1180"/>
        <w:gridCol w:w="1180"/>
        <w:gridCol w:w="1180"/>
        <w:gridCol w:w="1400"/>
        <w:gridCol w:w="1200"/>
        <w:gridCol w:w="1180"/>
      </w:tblGrid>
      <w:tr w:rsidR="00DF2E63" w:rsidRPr="00E21C60" w14:paraId="68FA9062"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0772F81" w14:textId="77777777" w:rsidR="00DF2E63" w:rsidRPr="00E21C60" w:rsidRDefault="0079794E">
            <w:pPr>
              <w:jc w:val="center"/>
              <w:rPr>
                <w:rFonts w:ascii="Arial" w:hAnsi="Arial" w:cs="Arial"/>
                <w:b/>
                <w:bCs/>
                <w:color w:val="000000"/>
                <w:sz w:val="16"/>
                <w:szCs w:val="16"/>
              </w:rPr>
            </w:pPr>
            <w:r>
              <w:rPr>
                <w:rFonts w:ascii="Arial" w:hAnsi="Arial" w:cs="Arial"/>
                <w:b/>
                <w:bCs/>
                <w:color w:val="000000"/>
                <w:sz w:val="16"/>
                <w:szCs w:val="16"/>
              </w:rPr>
              <w:t>Prioritná</w:t>
            </w:r>
            <w:r w:rsidRPr="00E21C60">
              <w:rPr>
                <w:rFonts w:ascii="Arial" w:hAnsi="Arial" w:cs="Arial"/>
                <w:b/>
                <w:bCs/>
                <w:color w:val="000000"/>
                <w:sz w:val="16"/>
                <w:szCs w:val="16"/>
              </w:rPr>
              <w:t xml:space="preserve"> </w:t>
            </w:r>
            <w:r w:rsidR="00DF2E63" w:rsidRPr="00E21C60">
              <w:rPr>
                <w:rFonts w:ascii="Arial" w:hAnsi="Arial" w:cs="Arial"/>
                <w:b/>
                <w:bCs/>
                <w:color w:val="000000"/>
                <w:sz w:val="16"/>
                <w:szCs w:val="16"/>
              </w:rPr>
              <w:t>téma</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7664826"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Alokácia za zdroj EÚ+ŠR</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9EA9CF0"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 xml:space="preserve">Výška žiadaného príspevku (NFP)  </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89399CD"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 xml:space="preserve">Výška schváleného príspevku (NFP) </w:t>
            </w:r>
          </w:p>
        </w:tc>
        <w:tc>
          <w:tcPr>
            <w:tcW w:w="14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18015A2"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Výška zazmluvnených prostriedkov (NFP)</w:t>
            </w:r>
          </w:p>
        </w:tc>
        <w:tc>
          <w:tcPr>
            <w:tcW w:w="12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9CA9841"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Vý</w:t>
            </w:r>
            <w:r w:rsidR="00322DA2" w:rsidRPr="00E21C60">
              <w:rPr>
                <w:rFonts w:ascii="Arial" w:hAnsi="Arial" w:cs="Arial"/>
                <w:b/>
                <w:bCs/>
                <w:color w:val="000000"/>
                <w:sz w:val="16"/>
                <w:szCs w:val="16"/>
              </w:rPr>
              <w:t>ška riadne ukončených projektov</w:t>
            </w:r>
            <w:r w:rsidRPr="00E21C60">
              <w:rPr>
                <w:rFonts w:ascii="Arial" w:hAnsi="Arial" w:cs="Arial"/>
                <w:b/>
                <w:bCs/>
                <w:color w:val="000000"/>
                <w:sz w:val="16"/>
                <w:szCs w:val="16"/>
                <w:vertAlign w:val="superscript"/>
              </w:rPr>
              <w:t>1</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C3FDC7D" w14:textId="77777777" w:rsidR="00DF2E63" w:rsidRPr="00E21C60" w:rsidRDefault="00DF2E63">
            <w:pPr>
              <w:jc w:val="center"/>
              <w:rPr>
                <w:rFonts w:ascii="Arial" w:hAnsi="Arial" w:cs="Arial"/>
                <w:b/>
                <w:bCs/>
                <w:color w:val="000000"/>
                <w:sz w:val="16"/>
                <w:szCs w:val="16"/>
              </w:rPr>
            </w:pPr>
            <w:r w:rsidRPr="00E21C60">
              <w:rPr>
                <w:rFonts w:ascii="Arial" w:hAnsi="Arial" w:cs="Arial"/>
                <w:b/>
                <w:bCs/>
                <w:color w:val="000000"/>
                <w:sz w:val="16"/>
                <w:szCs w:val="16"/>
              </w:rPr>
              <w:t>Výška mimoriadne ukončených projektov</w:t>
            </w:r>
          </w:p>
        </w:tc>
      </w:tr>
      <w:tr w:rsidR="005B1FAC" w:rsidRPr="00462CBA" w14:paraId="04410DC4" w14:textId="77777777" w:rsidTr="005B1FAC">
        <w:trPr>
          <w:trHeight w:val="3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6F81EBDF" w14:textId="77777777" w:rsidR="005B1FAC" w:rsidRPr="00200E8B" w:rsidRDefault="005B1FAC" w:rsidP="005B1FAC">
            <w:pPr>
              <w:rPr>
                <w:rFonts w:ascii="Arial" w:hAnsi="Arial" w:cs="Arial"/>
                <w:color w:val="000000"/>
                <w:sz w:val="16"/>
                <w:szCs w:val="16"/>
              </w:rPr>
            </w:pPr>
            <w:r w:rsidRPr="00200E8B">
              <w:rPr>
                <w:rFonts w:ascii="Arial" w:hAnsi="Arial" w:cs="Arial"/>
                <w:color w:val="000000"/>
                <w:sz w:val="16"/>
                <w:szCs w:val="16"/>
              </w:rPr>
              <w:t>47 - Kvalita vzduchu</w:t>
            </w:r>
          </w:p>
        </w:tc>
        <w:tc>
          <w:tcPr>
            <w:tcW w:w="1180" w:type="dxa"/>
            <w:tcBorders>
              <w:top w:val="nil"/>
              <w:left w:val="nil"/>
              <w:bottom w:val="single" w:sz="4" w:space="0" w:color="auto"/>
              <w:right w:val="single" w:sz="4" w:space="0" w:color="auto"/>
            </w:tcBorders>
            <w:shd w:val="clear" w:color="auto" w:fill="auto"/>
            <w:vAlign w:val="center"/>
            <w:hideMark/>
          </w:tcPr>
          <w:p w14:paraId="6642B5E8" w14:textId="6654F853"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126 823 529</w:t>
            </w:r>
          </w:p>
        </w:tc>
        <w:tc>
          <w:tcPr>
            <w:tcW w:w="1180" w:type="dxa"/>
            <w:tcBorders>
              <w:top w:val="nil"/>
              <w:left w:val="nil"/>
              <w:bottom w:val="single" w:sz="4" w:space="0" w:color="auto"/>
              <w:right w:val="single" w:sz="4" w:space="0" w:color="auto"/>
            </w:tcBorders>
            <w:shd w:val="clear" w:color="auto" w:fill="auto"/>
            <w:noWrap/>
            <w:vAlign w:val="center"/>
            <w:hideMark/>
          </w:tcPr>
          <w:p w14:paraId="284974B4" w14:textId="52DE5E3A"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258 449 990</w:t>
            </w:r>
          </w:p>
        </w:tc>
        <w:tc>
          <w:tcPr>
            <w:tcW w:w="1180" w:type="dxa"/>
            <w:tcBorders>
              <w:top w:val="nil"/>
              <w:left w:val="nil"/>
              <w:bottom w:val="single" w:sz="4" w:space="0" w:color="auto"/>
              <w:right w:val="single" w:sz="4" w:space="0" w:color="auto"/>
            </w:tcBorders>
            <w:shd w:val="clear" w:color="auto" w:fill="auto"/>
            <w:noWrap/>
            <w:vAlign w:val="center"/>
            <w:hideMark/>
          </w:tcPr>
          <w:p w14:paraId="250ED4B1" w14:textId="0165D8DD"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140 486 236</w:t>
            </w:r>
          </w:p>
        </w:tc>
        <w:tc>
          <w:tcPr>
            <w:tcW w:w="1400" w:type="dxa"/>
            <w:tcBorders>
              <w:top w:val="nil"/>
              <w:left w:val="nil"/>
              <w:bottom w:val="single" w:sz="4" w:space="0" w:color="auto"/>
              <w:right w:val="single" w:sz="4" w:space="0" w:color="auto"/>
            </w:tcBorders>
            <w:shd w:val="clear" w:color="auto" w:fill="auto"/>
            <w:noWrap/>
            <w:vAlign w:val="center"/>
            <w:hideMark/>
          </w:tcPr>
          <w:p w14:paraId="45023FBA" w14:textId="3B9C547C"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130 319 812</w:t>
            </w:r>
          </w:p>
        </w:tc>
        <w:tc>
          <w:tcPr>
            <w:tcW w:w="1200" w:type="dxa"/>
            <w:tcBorders>
              <w:top w:val="nil"/>
              <w:left w:val="nil"/>
              <w:bottom w:val="single" w:sz="4" w:space="0" w:color="auto"/>
              <w:right w:val="single" w:sz="4" w:space="0" w:color="auto"/>
            </w:tcBorders>
            <w:shd w:val="clear" w:color="auto" w:fill="auto"/>
            <w:noWrap/>
            <w:vAlign w:val="center"/>
            <w:hideMark/>
          </w:tcPr>
          <w:p w14:paraId="0253899B" w14:textId="02BE4B01"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127 252 500</w:t>
            </w:r>
          </w:p>
        </w:tc>
        <w:tc>
          <w:tcPr>
            <w:tcW w:w="1180" w:type="dxa"/>
            <w:tcBorders>
              <w:top w:val="nil"/>
              <w:left w:val="nil"/>
              <w:bottom w:val="single" w:sz="4" w:space="0" w:color="auto"/>
              <w:right w:val="single" w:sz="4" w:space="0" w:color="auto"/>
            </w:tcBorders>
            <w:shd w:val="clear" w:color="auto" w:fill="auto"/>
            <w:noWrap/>
            <w:vAlign w:val="center"/>
            <w:hideMark/>
          </w:tcPr>
          <w:p w14:paraId="59D2BA47" w14:textId="70ECC0BE"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7 318 829</w:t>
            </w:r>
          </w:p>
        </w:tc>
      </w:tr>
      <w:tr w:rsidR="005B1FAC" w:rsidRPr="00462CBA" w14:paraId="303237E8" w14:textId="77777777" w:rsidTr="005B1FAC">
        <w:trPr>
          <w:trHeight w:val="45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4EB9C5C2" w14:textId="77777777" w:rsidR="005B1FAC" w:rsidRPr="00200E8B" w:rsidRDefault="005B1FAC" w:rsidP="005B1FAC">
            <w:pPr>
              <w:rPr>
                <w:rFonts w:ascii="Arial" w:hAnsi="Arial" w:cs="Arial"/>
                <w:color w:val="000000"/>
                <w:sz w:val="16"/>
                <w:szCs w:val="16"/>
              </w:rPr>
            </w:pPr>
            <w:r w:rsidRPr="00200E8B">
              <w:rPr>
                <w:rFonts w:ascii="Arial" w:hAnsi="Arial" w:cs="Arial"/>
                <w:color w:val="000000"/>
                <w:sz w:val="16"/>
                <w:szCs w:val="16"/>
              </w:rPr>
              <w:t>52 - Podpora čistej mestskej dopravy</w:t>
            </w:r>
          </w:p>
        </w:tc>
        <w:tc>
          <w:tcPr>
            <w:tcW w:w="1180" w:type="dxa"/>
            <w:tcBorders>
              <w:top w:val="nil"/>
              <w:left w:val="nil"/>
              <w:bottom w:val="single" w:sz="4" w:space="0" w:color="auto"/>
              <w:right w:val="single" w:sz="4" w:space="0" w:color="auto"/>
            </w:tcBorders>
            <w:shd w:val="clear" w:color="auto" w:fill="auto"/>
            <w:vAlign w:val="center"/>
            <w:hideMark/>
          </w:tcPr>
          <w:p w14:paraId="47E48E19" w14:textId="526A3420"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38 117 648</w:t>
            </w:r>
          </w:p>
        </w:tc>
        <w:tc>
          <w:tcPr>
            <w:tcW w:w="1180" w:type="dxa"/>
            <w:tcBorders>
              <w:top w:val="nil"/>
              <w:left w:val="nil"/>
              <w:bottom w:val="single" w:sz="4" w:space="0" w:color="auto"/>
              <w:right w:val="single" w:sz="4" w:space="0" w:color="auto"/>
            </w:tcBorders>
            <w:shd w:val="clear" w:color="auto" w:fill="auto"/>
            <w:noWrap/>
            <w:vAlign w:val="center"/>
            <w:hideMark/>
          </w:tcPr>
          <w:p w14:paraId="262C4121" w14:textId="77C117ED"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123 219 883</w:t>
            </w:r>
          </w:p>
        </w:tc>
        <w:tc>
          <w:tcPr>
            <w:tcW w:w="1180" w:type="dxa"/>
            <w:tcBorders>
              <w:top w:val="nil"/>
              <w:left w:val="nil"/>
              <w:bottom w:val="single" w:sz="4" w:space="0" w:color="auto"/>
              <w:right w:val="single" w:sz="4" w:space="0" w:color="auto"/>
            </w:tcBorders>
            <w:shd w:val="clear" w:color="auto" w:fill="auto"/>
            <w:noWrap/>
            <w:vAlign w:val="center"/>
            <w:hideMark/>
          </w:tcPr>
          <w:p w14:paraId="0ACB65FC" w14:textId="6CC6C011"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45 429 536</w:t>
            </w:r>
          </w:p>
        </w:tc>
        <w:tc>
          <w:tcPr>
            <w:tcW w:w="1400" w:type="dxa"/>
            <w:tcBorders>
              <w:top w:val="nil"/>
              <w:left w:val="nil"/>
              <w:bottom w:val="single" w:sz="4" w:space="0" w:color="auto"/>
              <w:right w:val="single" w:sz="4" w:space="0" w:color="auto"/>
            </w:tcBorders>
            <w:shd w:val="clear" w:color="auto" w:fill="auto"/>
            <w:noWrap/>
            <w:vAlign w:val="center"/>
            <w:hideMark/>
          </w:tcPr>
          <w:p w14:paraId="3814239A" w14:textId="1D904E07"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43 593 233</w:t>
            </w:r>
          </w:p>
        </w:tc>
        <w:tc>
          <w:tcPr>
            <w:tcW w:w="1200" w:type="dxa"/>
            <w:tcBorders>
              <w:top w:val="nil"/>
              <w:left w:val="nil"/>
              <w:bottom w:val="single" w:sz="4" w:space="0" w:color="auto"/>
              <w:right w:val="single" w:sz="4" w:space="0" w:color="auto"/>
            </w:tcBorders>
            <w:shd w:val="clear" w:color="auto" w:fill="auto"/>
            <w:noWrap/>
            <w:vAlign w:val="center"/>
            <w:hideMark/>
          </w:tcPr>
          <w:p w14:paraId="77A6A77B" w14:textId="6B782F19"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42 603 189</w:t>
            </w:r>
          </w:p>
        </w:tc>
        <w:tc>
          <w:tcPr>
            <w:tcW w:w="1180" w:type="dxa"/>
            <w:tcBorders>
              <w:top w:val="nil"/>
              <w:left w:val="nil"/>
              <w:bottom w:val="single" w:sz="4" w:space="0" w:color="auto"/>
              <w:right w:val="single" w:sz="4" w:space="0" w:color="auto"/>
            </w:tcBorders>
            <w:shd w:val="clear" w:color="auto" w:fill="auto"/>
            <w:noWrap/>
            <w:vAlign w:val="center"/>
            <w:hideMark/>
          </w:tcPr>
          <w:p w14:paraId="4F740009" w14:textId="17AB824F"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1 606 607</w:t>
            </w:r>
          </w:p>
        </w:tc>
      </w:tr>
      <w:tr w:rsidR="005B1FAC" w:rsidRPr="00E21C60" w14:paraId="58B1FC18" w14:textId="77777777" w:rsidTr="005B1FAC">
        <w:trPr>
          <w:trHeight w:val="9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11978292" w14:textId="77777777" w:rsidR="005B1FAC" w:rsidRPr="00200E8B" w:rsidRDefault="005B1FAC" w:rsidP="005B1FAC">
            <w:pPr>
              <w:rPr>
                <w:rFonts w:ascii="Arial" w:hAnsi="Arial" w:cs="Arial"/>
                <w:color w:val="000000"/>
                <w:sz w:val="16"/>
                <w:szCs w:val="16"/>
              </w:rPr>
            </w:pPr>
            <w:r w:rsidRPr="00200E8B">
              <w:rPr>
                <w:rFonts w:ascii="Arial" w:hAnsi="Arial" w:cs="Arial"/>
                <w:color w:val="000000"/>
                <w:sz w:val="16"/>
                <w:szCs w:val="16"/>
              </w:rPr>
              <w:t xml:space="preserve">49 - Zmierňovanie klimatickej zmeny </w:t>
            </w:r>
            <w:r w:rsidRPr="00200E8B">
              <w:rPr>
                <w:rFonts w:ascii="Arial" w:hAnsi="Arial" w:cs="Arial"/>
                <w:color w:val="000000"/>
                <w:sz w:val="16"/>
                <w:szCs w:val="16"/>
              </w:rPr>
              <w:br/>
              <w:t>a prispôsobovanie sa klimatickej zmene</w:t>
            </w:r>
          </w:p>
        </w:tc>
        <w:tc>
          <w:tcPr>
            <w:tcW w:w="1180" w:type="dxa"/>
            <w:tcBorders>
              <w:top w:val="nil"/>
              <w:left w:val="nil"/>
              <w:bottom w:val="single" w:sz="4" w:space="0" w:color="auto"/>
              <w:right w:val="single" w:sz="4" w:space="0" w:color="auto"/>
            </w:tcBorders>
            <w:shd w:val="clear" w:color="auto" w:fill="auto"/>
            <w:noWrap/>
            <w:vAlign w:val="center"/>
            <w:hideMark/>
          </w:tcPr>
          <w:p w14:paraId="7C78D2DB" w14:textId="6D25D5EA"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46 823 529</w:t>
            </w:r>
          </w:p>
        </w:tc>
        <w:tc>
          <w:tcPr>
            <w:tcW w:w="1180" w:type="dxa"/>
            <w:tcBorders>
              <w:top w:val="nil"/>
              <w:left w:val="nil"/>
              <w:bottom w:val="single" w:sz="4" w:space="0" w:color="auto"/>
              <w:right w:val="single" w:sz="4" w:space="0" w:color="auto"/>
            </w:tcBorders>
            <w:shd w:val="clear" w:color="auto" w:fill="auto"/>
            <w:noWrap/>
            <w:vAlign w:val="center"/>
            <w:hideMark/>
          </w:tcPr>
          <w:p w14:paraId="423E2820" w14:textId="28F25FC8"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177 634 118</w:t>
            </w:r>
          </w:p>
        </w:tc>
        <w:tc>
          <w:tcPr>
            <w:tcW w:w="1180" w:type="dxa"/>
            <w:tcBorders>
              <w:top w:val="nil"/>
              <w:left w:val="nil"/>
              <w:bottom w:val="single" w:sz="4" w:space="0" w:color="auto"/>
              <w:right w:val="single" w:sz="4" w:space="0" w:color="auto"/>
            </w:tcBorders>
            <w:shd w:val="clear" w:color="auto" w:fill="auto"/>
            <w:noWrap/>
            <w:vAlign w:val="center"/>
            <w:hideMark/>
          </w:tcPr>
          <w:p w14:paraId="6596242C" w14:textId="494FFD14"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49 558 378</w:t>
            </w:r>
          </w:p>
        </w:tc>
        <w:tc>
          <w:tcPr>
            <w:tcW w:w="1400" w:type="dxa"/>
            <w:tcBorders>
              <w:top w:val="nil"/>
              <w:left w:val="nil"/>
              <w:bottom w:val="single" w:sz="4" w:space="0" w:color="auto"/>
              <w:right w:val="single" w:sz="4" w:space="0" w:color="auto"/>
            </w:tcBorders>
            <w:shd w:val="clear" w:color="auto" w:fill="auto"/>
            <w:noWrap/>
            <w:vAlign w:val="center"/>
            <w:hideMark/>
          </w:tcPr>
          <w:p w14:paraId="4BF68FF0" w14:textId="2D3FF938"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44 286 190</w:t>
            </w:r>
          </w:p>
        </w:tc>
        <w:tc>
          <w:tcPr>
            <w:tcW w:w="1200" w:type="dxa"/>
            <w:tcBorders>
              <w:top w:val="nil"/>
              <w:left w:val="nil"/>
              <w:bottom w:val="single" w:sz="4" w:space="0" w:color="auto"/>
              <w:right w:val="single" w:sz="4" w:space="0" w:color="auto"/>
            </w:tcBorders>
            <w:shd w:val="clear" w:color="auto" w:fill="auto"/>
            <w:noWrap/>
            <w:vAlign w:val="center"/>
            <w:hideMark/>
          </w:tcPr>
          <w:p w14:paraId="4CFCCFDD" w14:textId="21346D94"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42 237 350</w:t>
            </w:r>
          </w:p>
        </w:tc>
        <w:tc>
          <w:tcPr>
            <w:tcW w:w="1180" w:type="dxa"/>
            <w:tcBorders>
              <w:top w:val="nil"/>
              <w:left w:val="nil"/>
              <w:bottom w:val="single" w:sz="4" w:space="0" w:color="auto"/>
              <w:right w:val="single" w:sz="4" w:space="0" w:color="auto"/>
            </w:tcBorders>
            <w:shd w:val="clear" w:color="auto" w:fill="auto"/>
            <w:noWrap/>
            <w:vAlign w:val="center"/>
            <w:hideMark/>
          </w:tcPr>
          <w:p w14:paraId="19BF3DC9" w14:textId="3EAAA41C" w:rsidR="005B1FAC" w:rsidRPr="005B1FAC" w:rsidRDefault="005B1FAC" w:rsidP="005B1FAC">
            <w:pPr>
              <w:jc w:val="center"/>
              <w:rPr>
                <w:rFonts w:ascii="Arial" w:hAnsi="Arial" w:cs="Arial"/>
                <w:color w:val="000000"/>
                <w:sz w:val="16"/>
                <w:szCs w:val="16"/>
              </w:rPr>
            </w:pPr>
            <w:r w:rsidRPr="005B1FAC">
              <w:rPr>
                <w:rFonts w:ascii="Arial" w:hAnsi="Arial" w:cs="Arial"/>
                <w:color w:val="000000"/>
                <w:sz w:val="16"/>
                <w:szCs w:val="16"/>
              </w:rPr>
              <w:t>5 063 765</w:t>
            </w:r>
          </w:p>
        </w:tc>
      </w:tr>
      <w:tr w:rsidR="005B1FAC" w:rsidRPr="00E21C60" w14:paraId="66CDFFC5" w14:textId="77777777" w:rsidTr="005B1FAC">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3F2107C6" w14:textId="77777777" w:rsidR="005B1FAC" w:rsidRPr="00E21C60" w:rsidRDefault="005B1FAC" w:rsidP="005B1FAC">
            <w:pPr>
              <w:rPr>
                <w:rFonts w:ascii="Arial" w:hAnsi="Arial" w:cs="Arial"/>
                <w:b/>
                <w:bCs/>
                <w:color w:val="000000"/>
                <w:sz w:val="16"/>
                <w:szCs w:val="16"/>
              </w:rPr>
            </w:pPr>
            <w:r w:rsidRPr="00E21C60">
              <w:rPr>
                <w:rFonts w:ascii="Arial" w:hAnsi="Arial" w:cs="Arial"/>
                <w:b/>
                <w:bCs/>
                <w:color w:val="000000"/>
                <w:sz w:val="16"/>
                <w:szCs w:val="16"/>
              </w:rPr>
              <w:t>Celkom</w:t>
            </w:r>
          </w:p>
        </w:tc>
        <w:tc>
          <w:tcPr>
            <w:tcW w:w="1180" w:type="dxa"/>
            <w:tcBorders>
              <w:top w:val="nil"/>
              <w:left w:val="nil"/>
              <w:bottom w:val="single" w:sz="4" w:space="0" w:color="auto"/>
              <w:right w:val="single" w:sz="4" w:space="0" w:color="auto"/>
            </w:tcBorders>
            <w:shd w:val="clear" w:color="000000" w:fill="EBF1DE"/>
            <w:noWrap/>
            <w:vAlign w:val="center"/>
            <w:hideMark/>
          </w:tcPr>
          <w:p w14:paraId="713415B6" w14:textId="6723416C" w:rsidR="005B1FAC" w:rsidRPr="005B1FAC" w:rsidRDefault="005B1FAC" w:rsidP="005B1FAC">
            <w:pPr>
              <w:jc w:val="center"/>
              <w:rPr>
                <w:rFonts w:ascii="Arial" w:hAnsi="Arial" w:cs="Arial"/>
                <w:b/>
                <w:color w:val="000000"/>
                <w:sz w:val="16"/>
                <w:szCs w:val="16"/>
              </w:rPr>
            </w:pPr>
            <w:r w:rsidRPr="005B1FAC">
              <w:rPr>
                <w:rFonts w:ascii="Arial" w:hAnsi="Arial" w:cs="Arial"/>
                <w:b/>
                <w:color w:val="000000"/>
                <w:sz w:val="16"/>
                <w:szCs w:val="16"/>
              </w:rPr>
              <w:t>211 764 706</w:t>
            </w:r>
          </w:p>
        </w:tc>
        <w:tc>
          <w:tcPr>
            <w:tcW w:w="1180" w:type="dxa"/>
            <w:tcBorders>
              <w:top w:val="nil"/>
              <w:left w:val="nil"/>
              <w:bottom w:val="single" w:sz="4" w:space="0" w:color="auto"/>
              <w:right w:val="single" w:sz="4" w:space="0" w:color="auto"/>
            </w:tcBorders>
            <w:shd w:val="clear" w:color="000000" w:fill="EBF1DE"/>
            <w:noWrap/>
            <w:vAlign w:val="center"/>
            <w:hideMark/>
          </w:tcPr>
          <w:p w14:paraId="7631DEB3" w14:textId="4790F690" w:rsidR="005B1FAC" w:rsidRPr="005B1FAC" w:rsidRDefault="005B1FAC" w:rsidP="005B1FAC">
            <w:pPr>
              <w:jc w:val="center"/>
              <w:rPr>
                <w:rFonts w:ascii="Arial" w:hAnsi="Arial" w:cs="Arial"/>
                <w:b/>
                <w:color w:val="000000"/>
                <w:sz w:val="16"/>
                <w:szCs w:val="16"/>
              </w:rPr>
            </w:pPr>
            <w:r w:rsidRPr="005B1FAC">
              <w:rPr>
                <w:rFonts w:ascii="Arial" w:hAnsi="Arial" w:cs="Arial"/>
                <w:b/>
                <w:color w:val="000000"/>
                <w:sz w:val="16"/>
                <w:szCs w:val="16"/>
              </w:rPr>
              <w:t>559 303 991</w:t>
            </w:r>
          </w:p>
        </w:tc>
        <w:tc>
          <w:tcPr>
            <w:tcW w:w="1180" w:type="dxa"/>
            <w:tcBorders>
              <w:top w:val="nil"/>
              <w:left w:val="nil"/>
              <w:bottom w:val="single" w:sz="4" w:space="0" w:color="auto"/>
              <w:right w:val="single" w:sz="4" w:space="0" w:color="auto"/>
            </w:tcBorders>
            <w:shd w:val="clear" w:color="000000" w:fill="EBF1DE"/>
            <w:noWrap/>
            <w:vAlign w:val="center"/>
            <w:hideMark/>
          </w:tcPr>
          <w:p w14:paraId="72397555" w14:textId="51D3B74C" w:rsidR="005B1FAC" w:rsidRPr="005B1FAC" w:rsidRDefault="005B1FAC" w:rsidP="005B1FAC">
            <w:pPr>
              <w:jc w:val="center"/>
              <w:rPr>
                <w:rFonts w:ascii="Arial" w:hAnsi="Arial" w:cs="Arial"/>
                <w:b/>
                <w:color w:val="000000"/>
                <w:sz w:val="16"/>
                <w:szCs w:val="16"/>
              </w:rPr>
            </w:pPr>
            <w:r w:rsidRPr="005B1FAC">
              <w:rPr>
                <w:rFonts w:ascii="Arial" w:hAnsi="Arial" w:cs="Arial"/>
                <w:b/>
                <w:color w:val="000000"/>
                <w:sz w:val="16"/>
                <w:szCs w:val="16"/>
              </w:rPr>
              <w:t>235 474 150</w:t>
            </w:r>
          </w:p>
        </w:tc>
        <w:tc>
          <w:tcPr>
            <w:tcW w:w="1400" w:type="dxa"/>
            <w:tcBorders>
              <w:top w:val="nil"/>
              <w:left w:val="nil"/>
              <w:bottom w:val="single" w:sz="4" w:space="0" w:color="auto"/>
              <w:right w:val="single" w:sz="4" w:space="0" w:color="auto"/>
            </w:tcBorders>
            <w:shd w:val="clear" w:color="000000" w:fill="EBF1DE"/>
            <w:noWrap/>
            <w:vAlign w:val="center"/>
            <w:hideMark/>
          </w:tcPr>
          <w:p w14:paraId="215724E8" w14:textId="252164FE" w:rsidR="005B1FAC" w:rsidRPr="005B1FAC" w:rsidRDefault="005B1FAC" w:rsidP="005B1FAC">
            <w:pPr>
              <w:jc w:val="center"/>
              <w:rPr>
                <w:rFonts w:ascii="Arial" w:hAnsi="Arial" w:cs="Arial"/>
                <w:b/>
                <w:color w:val="000000"/>
                <w:sz w:val="16"/>
                <w:szCs w:val="16"/>
              </w:rPr>
            </w:pPr>
            <w:r w:rsidRPr="005B1FAC">
              <w:rPr>
                <w:rFonts w:ascii="Arial" w:hAnsi="Arial" w:cs="Arial"/>
                <w:b/>
                <w:color w:val="000000"/>
                <w:sz w:val="16"/>
                <w:szCs w:val="16"/>
              </w:rPr>
              <w:t>218 199 236</w:t>
            </w:r>
          </w:p>
        </w:tc>
        <w:tc>
          <w:tcPr>
            <w:tcW w:w="1200" w:type="dxa"/>
            <w:tcBorders>
              <w:top w:val="nil"/>
              <w:left w:val="nil"/>
              <w:bottom w:val="single" w:sz="4" w:space="0" w:color="auto"/>
              <w:right w:val="single" w:sz="4" w:space="0" w:color="auto"/>
            </w:tcBorders>
            <w:shd w:val="clear" w:color="000000" w:fill="EBF1DE"/>
            <w:noWrap/>
            <w:vAlign w:val="center"/>
            <w:hideMark/>
          </w:tcPr>
          <w:p w14:paraId="272FA8D5" w14:textId="6FBD50BD" w:rsidR="005B1FAC" w:rsidRPr="005B1FAC" w:rsidRDefault="005B1FAC" w:rsidP="005B1FAC">
            <w:pPr>
              <w:jc w:val="center"/>
              <w:rPr>
                <w:rFonts w:ascii="Arial" w:hAnsi="Arial" w:cs="Arial"/>
                <w:b/>
                <w:color w:val="000000"/>
                <w:sz w:val="16"/>
                <w:szCs w:val="16"/>
              </w:rPr>
            </w:pPr>
            <w:r w:rsidRPr="005B1FAC">
              <w:rPr>
                <w:rFonts w:ascii="Arial" w:hAnsi="Arial" w:cs="Arial"/>
                <w:b/>
                <w:color w:val="000000"/>
                <w:sz w:val="16"/>
                <w:szCs w:val="16"/>
              </w:rPr>
              <w:t>212 093 039</w:t>
            </w:r>
          </w:p>
        </w:tc>
        <w:tc>
          <w:tcPr>
            <w:tcW w:w="1180" w:type="dxa"/>
            <w:tcBorders>
              <w:top w:val="nil"/>
              <w:left w:val="nil"/>
              <w:bottom w:val="single" w:sz="4" w:space="0" w:color="auto"/>
              <w:right w:val="single" w:sz="4" w:space="0" w:color="auto"/>
            </w:tcBorders>
            <w:shd w:val="clear" w:color="000000" w:fill="EBF1DE"/>
            <w:noWrap/>
            <w:vAlign w:val="center"/>
            <w:hideMark/>
          </w:tcPr>
          <w:p w14:paraId="6A6CB0F8" w14:textId="48B7C523" w:rsidR="005B1FAC" w:rsidRPr="005B1FAC" w:rsidRDefault="005B1FAC" w:rsidP="005B1FAC">
            <w:pPr>
              <w:jc w:val="center"/>
              <w:rPr>
                <w:rFonts w:ascii="Arial" w:hAnsi="Arial" w:cs="Arial"/>
                <w:b/>
                <w:color w:val="000000"/>
                <w:sz w:val="16"/>
                <w:szCs w:val="16"/>
              </w:rPr>
            </w:pPr>
            <w:r w:rsidRPr="005B1FAC">
              <w:rPr>
                <w:rFonts w:ascii="Arial" w:hAnsi="Arial" w:cs="Arial"/>
                <w:b/>
                <w:color w:val="000000"/>
                <w:sz w:val="16"/>
                <w:szCs w:val="16"/>
              </w:rPr>
              <w:t>13 989 201</w:t>
            </w:r>
          </w:p>
        </w:tc>
      </w:tr>
    </w:tbl>
    <w:p w14:paraId="07DA1511" w14:textId="77777777" w:rsidR="002416B1" w:rsidRPr="00123376" w:rsidRDefault="00000CC9" w:rsidP="00123376">
      <w:pPr>
        <w:pStyle w:val="Zkladntextb"/>
        <w:spacing w:after="0" w:line="240" w:lineRule="auto"/>
        <w:ind w:left="0"/>
        <w:jc w:val="both"/>
        <w:rPr>
          <w:rFonts w:cs="Arial"/>
          <w:sz w:val="16"/>
          <w:szCs w:val="16"/>
          <w:lang w:val="sk-SK"/>
        </w:rPr>
      </w:pPr>
      <w:r w:rsidRPr="00123376">
        <w:rPr>
          <w:rFonts w:cs="Arial"/>
          <w:sz w:val="16"/>
          <w:szCs w:val="16"/>
          <w:lang w:val="sk-SK"/>
        </w:rPr>
        <w:t>Zdroj: RO, ITMS</w:t>
      </w:r>
    </w:p>
    <w:tbl>
      <w:tblPr>
        <w:tblW w:w="0" w:type="auto"/>
        <w:tblInd w:w="55" w:type="dxa"/>
        <w:tblCellMar>
          <w:left w:w="70" w:type="dxa"/>
          <w:right w:w="70" w:type="dxa"/>
        </w:tblCellMar>
        <w:tblLook w:val="04A0" w:firstRow="1" w:lastRow="0" w:firstColumn="1" w:lastColumn="0" w:noHBand="0" w:noVBand="1"/>
      </w:tblPr>
      <w:tblGrid>
        <w:gridCol w:w="9155"/>
      </w:tblGrid>
      <w:tr w:rsidR="002416B1" w:rsidRPr="00E21C60" w14:paraId="09DC374F" w14:textId="77777777" w:rsidTr="00123376">
        <w:trPr>
          <w:trHeight w:val="270"/>
        </w:trPr>
        <w:tc>
          <w:tcPr>
            <w:tcW w:w="0" w:type="auto"/>
            <w:noWrap/>
            <w:vAlign w:val="bottom"/>
          </w:tcPr>
          <w:p w14:paraId="5466E140" w14:textId="77777777" w:rsidR="002416B1" w:rsidRPr="00E21C60" w:rsidRDefault="002416B1">
            <w:pPr>
              <w:rPr>
                <w:rFonts w:ascii="Arial" w:hAnsi="Arial" w:cs="Arial"/>
                <w:i/>
                <w:iCs/>
                <w:sz w:val="16"/>
                <w:szCs w:val="16"/>
              </w:rPr>
            </w:pPr>
            <w:r w:rsidRPr="00E21C60">
              <w:rPr>
                <w:rFonts w:ascii="Arial" w:hAnsi="Arial" w:cs="Arial"/>
                <w:b/>
                <w:bCs/>
                <w:i/>
                <w:iCs/>
                <w:sz w:val="16"/>
                <w:szCs w:val="16"/>
                <w:vertAlign w:val="superscript"/>
              </w:rPr>
              <w:t>1</w:t>
            </w:r>
            <w:r w:rsidRPr="00E21C60">
              <w:rPr>
                <w:rFonts w:ascii="Arial" w:hAnsi="Arial" w:cs="Arial"/>
                <w:i/>
                <w:iCs/>
                <w:sz w:val="16"/>
                <w:szCs w:val="16"/>
                <w:vertAlign w:val="superscript"/>
              </w:rPr>
              <w:t xml:space="preserve"> </w:t>
            </w:r>
            <w:r w:rsidRPr="00E21C60">
              <w:rPr>
                <w:rFonts w:ascii="Arial" w:hAnsi="Arial" w:cs="Arial"/>
                <w:i/>
                <w:iCs/>
                <w:sz w:val="16"/>
                <w:szCs w:val="16"/>
              </w:rPr>
              <w:t>Objem čerpaných prostriedkov NFP</w:t>
            </w:r>
          </w:p>
        </w:tc>
      </w:tr>
      <w:tr w:rsidR="00C67ED2" w:rsidRPr="00E21C60" w14:paraId="73B9987B" w14:textId="77777777" w:rsidTr="00123376">
        <w:trPr>
          <w:trHeight w:val="270"/>
        </w:trPr>
        <w:tc>
          <w:tcPr>
            <w:tcW w:w="0" w:type="auto"/>
            <w:noWrap/>
            <w:vAlign w:val="bottom"/>
          </w:tcPr>
          <w:p w14:paraId="60428A1E" w14:textId="2EDC3061" w:rsidR="00C67ED2" w:rsidRPr="00E21C60" w:rsidRDefault="00C67ED2" w:rsidP="00BF3C39">
            <w:pPr>
              <w:jc w:val="both"/>
              <w:rPr>
                <w:rFonts w:ascii="Arial" w:hAnsi="Arial" w:cs="Arial"/>
                <w:b/>
                <w:bCs/>
                <w:i/>
                <w:iCs/>
                <w:sz w:val="16"/>
                <w:szCs w:val="16"/>
                <w:vertAlign w:val="superscript"/>
              </w:rPr>
            </w:pPr>
            <w:bookmarkStart w:id="78" w:name="OLE_LINK5"/>
            <w:bookmarkStart w:id="79" w:name="OLE_LINK6"/>
            <w:r w:rsidRPr="00E21C60">
              <w:rPr>
                <w:rFonts w:ascii="Arial" w:hAnsi="Arial" w:cs="Arial"/>
                <w:i/>
                <w:sz w:val="16"/>
                <w:szCs w:val="16"/>
              </w:rPr>
              <w:t>Údaje o zazmluvnených projektoch zahŕňajú projekty, ktoré mali k </w:t>
            </w:r>
            <w:r w:rsidRPr="00BF3C39">
              <w:rPr>
                <w:rFonts w:ascii="Arial" w:hAnsi="Arial" w:cs="Arial"/>
                <w:i/>
                <w:sz w:val="16"/>
                <w:szCs w:val="16"/>
              </w:rPr>
              <w:t>31.1</w:t>
            </w:r>
            <w:r w:rsidR="00BF3C39">
              <w:rPr>
                <w:rFonts w:ascii="Arial" w:hAnsi="Arial" w:cs="Arial"/>
                <w:i/>
                <w:sz w:val="16"/>
                <w:szCs w:val="16"/>
              </w:rPr>
              <w:t>0</w:t>
            </w:r>
            <w:r w:rsidRPr="00BF3C39">
              <w:rPr>
                <w:rFonts w:ascii="Arial" w:hAnsi="Arial" w:cs="Arial"/>
                <w:i/>
                <w:sz w:val="16"/>
                <w:szCs w:val="16"/>
              </w:rPr>
              <w:t>.</w:t>
            </w:r>
            <w:r w:rsidR="00064184" w:rsidRPr="00BF3C39">
              <w:rPr>
                <w:rFonts w:ascii="Arial" w:hAnsi="Arial" w:cs="Arial"/>
                <w:i/>
                <w:sz w:val="16"/>
                <w:szCs w:val="16"/>
              </w:rPr>
              <w:t>201</w:t>
            </w:r>
            <w:r w:rsidR="00BF3C39">
              <w:rPr>
                <w:rFonts w:ascii="Arial" w:hAnsi="Arial" w:cs="Arial"/>
                <w:i/>
                <w:sz w:val="16"/>
                <w:szCs w:val="16"/>
              </w:rPr>
              <w:t>6</w:t>
            </w:r>
            <w:r w:rsidR="00064184" w:rsidRPr="00E21C60">
              <w:rPr>
                <w:rFonts w:ascii="Arial" w:hAnsi="Arial" w:cs="Arial"/>
                <w:i/>
                <w:sz w:val="16"/>
                <w:szCs w:val="16"/>
              </w:rPr>
              <w:t xml:space="preserve"> </w:t>
            </w:r>
            <w:r w:rsidRPr="00E21C60">
              <w:rPr>
                <w:rFonts w:ascii="Arial" w:hAnsi="Arial" w:cs="Arial"/>
                <w:i/>
                <w:sz w:val="16"/>
                <w:szCs w:val="16"/>
              </w:rPr>
              <w:t>účinnú zmluvu o poskytnutí NFP a boli v realizácii alebo riadne ukončené. Údaje nezahŕňajú mimoriadne ukončené projekty.</w:t>
            </w:r>
            <w:bookmarkEnd w:id="78"/>
            <w:bookmarkEnd w:id="79"/>
          </w:p>
        </w:tc>
      </w:tr>
    </w:tbl>
    <w:p w14:paraId="1B03385D" w14:textId="347560C9" w:rsidR="002F3D62" w:rsidRPr="0009773B" w:rsidRDefault="00CF5913" w:rsidP="002F3D62">
      <w:pPr>
        <w:pStyle w:val="Zkladntextb"/>
        <w:spacing w:before="120" w:after="120" w:line="240" w:lineRule="auto"/>
        <w:ind w:left="0"/>
        <w:jc w:val="both"/>
        <w:rPr>
          <w:rFonts w:cs="Arial"/>
          <w:lang w:val="sk-SK"/>
        </w:rPr>
      </w:pPr>
      <w:r>
        <w:rPr>
          <w:rFonts w:cs="Arial"/>
          <w:lang w:val="sk-SK"/>
        </w:rPr>
        <w:t>K 31.10.2016 bolo v rámci prioritnej osi 3 r</w:t>
      </w:r>
      <w:r w:rsidR="002F3D62" w:rsidRPr="0009773B">
        <w:rPr>
          <w:rFonts w:cs="Arial"/>
          <w:lang w:val="sk-SK"/>
        </w:rPr>
        <w:t xml:space="preserve">iadne ukončených projektov </w:t>
      </w:r>
      <w:r>
        <w:rPr>
          <w:rFonts w:cs="Arial"/>
          <w:lang w:val="sk-SK"/>
        </w:rPr>
        <w:t>128</w:t>
      </w:r>
      <w:r w:rsidRPr="0009773B">
        <w:rPr>
          <w:rFonts w:cs="Arial"/>
          <w:lang w:val="sk-SK"/>
        </w:rPr>
        <w:t xml:space="preserve"> </w:t>
      </w:r>
      <w:r w:rsidR="002F3D62" w:rsidRPr="0009773B">
        <w:rPr>
          <w:rFonts w:cs="Arial"/>
          <w:lang w:val="sk-SK"/>
        </w:rPr>
        <w:t>a 1</w:t>
      </w:r>
      <w:r w:rsidR="002F3D62">
        <w:rPr>
          <w:rFonts w:cs="Arial"/>
          <w:lang w:val="sk-SK"/>
        </w:rPr>
        <w:t>7</w:t>
      </w:r>
      <w:r w:rsidR="002F3D62" w:rsidRPr="0009773B">
        <w:rPr>
          <w:rFonts w:cs="Arial"/>
          <w:lang w:val="sk-SK"/>
        </w:rPr>
        <w:t xml:space="preserve"> projektov bolo mimoriadne ukončených, a to najmä </w:t>
      </w:r>
      <w:r w:rsidR="002F3D62" w:rsidRPr="009B1F15">
        <w:rPr>
          <w:rFonts w:cs="Arial"/>
          <w:lang w:val="sk-SK"/>
        </w:rPr>
        <w:t>z dôvodu nepreukázania schopnosti spolufinancovania projektu zo strany prijímateľa</w:t>
      </w:r>
      <w:r w:rsidR="002F3D62">
        <w:rPr>
          <w:rFonts w:cs="Arial"/>
          <w:lang w:val="sk-SK"/>
        </w:rPr>
        <w:t xml:space="preserve">, </w:t>
      </w:r>
      <w:r w:rsidR="002F3D62" w:rsidRPr="00E73353">
        <w:rPr>
          <w:rFonts w:cs="Arial"/>
          <w:lang w:val="sk-SK"/>
        </w:rPr>
        <w:t>ako aj z dôvodu neúspešnej realizácie verejného obstarávania</w:t>
      </w:r>
      <w:r w:rsidR="002F3D62" w:rsidRPr="009B1F15">
        <w:rPr>
          <w:rFonts w:cs="Arial"/>
          <w:lang w:val="sk-SK"/>
        </w:rPr>
        <w:t xml:space="preserve"> a následného odstúpenia od zmluvy o poskytnutí NFP</w:t>
      </w:r>
      <w:r w:rsidR="002F3D62" w:rsidRPr="0009773B">
        <w:rPr>
          <w:rFonts w:cs="Arial"/>
          <w:lang w:val="sk-SK"/>
        </w:rPr>
        <w:t>.</w:t>
      </w:r>
    </w:p>
    <w:p w14:paraId="452B72A4" w14:textId="66925D7E" w:rsidR="002F3D62" w:rsidRPr="0009773B" w:rsidRDefault="002F3D62" w:rsidP="002F3D62">
      <w:pPr>
        <w:pStyle w:val="Zkladntextb"/>
        <w:spacing w:before="120" w:after="120" w:line="240" w:lineRule="auto"/>
        <w:ind w:left="0"/>
        <w:jc w:val="both"/>
        <w:rPr>
          <w:rFonts w:cs="Arial"/>
          <w:lang w:val="sk-SK"/>
        </w:rPr>
      </w:pPr>
      <w:r w:rsidRPr="00F72126">
        <w:rPr>
          <w:rFonts w:cs="Arial"/>
          <w:lang w:val="sk-SK"/>
        </w:rPr>
        <w:t>Popis</w:t>
      </w:r>
      <w:r w:rsidRPr="001D2AD8">
        <w:rPr>
          <w:rFonts w:cs="Arial"/>
          <w:lang w:val="sk-SK"/>
        </w:rPr>
        <w:t xml:space="preserve"> najčastejších</w:t>
      </w:r>
      <w:r w:rsidRPr="00F72126">
        <w:rPr>
          <w:rFonts w:cs="Arial"/>
          <w:lang w:val="sk-SK"/>
        </w:rPr>
        <w:t xml:space="preserve"> dôvodov neschválenia žiadostí o NFP v rámci jednotlivých výziev je uvedený </w:t>
      </w:r>
      <w:bookmarkStart w:id="80" w:name="OLE_LINK24"/>
      <w:bookmarkStart w:id="81" w:name="OLE_LINK25"/>
      <w:r w:rsidRPr="00F72126">
        <w:rPr>
          <w:rFonts w:cs="Arial"/>
          <w:lang w:val="sk-SK"/>
        </w:rPr>
        <w:t>v kapitole 2.1.1 správy, v časti Dôvody neschválenia a vylúčenia žiadostí o NFP a vykonané opatrenia na predchádzanie pred opakovaním identifikovaných nedostatkov.</w:t>
      </w:r>
      <w:bookmarkEnd w:id="80"/>
      <w:bookmarkEnd w:id="81"/>
      <w:r w:rsidRPr="0009773B">
        <w:rPr>
          <w:rFonts w:cs="Arial"/>
          <w:lang w:val="sk-SK"/>
        </w:rPr>
        <w:t xml:space="preserve"> </w:t>
      </w:r>
    </w:p>
    <w:p w14:paraId="3474CFAD" w14:textId="4E3E5429" w:rsidR="00FB6D6F" w:rsidRDefault="00FB6D6F" w:rsidP="002F3D62">
      <w:pPr>
        <w:spacing w:before="120" w:after="120"/>
        <w:jc w:val="both"/>
        <w:rPr>
          <w:rFonts w:ascii="Arial" w:hAnsi="Arial" w:cs="Arial"/>
          <w:sz w:val="20"/>
          <w:szCs w:val="20"/>
        </w:rPr>
      </w:pPr>
      <w:r w:rsidRPr="001A6CAA">
        <w:rPr>
          <w:rFonts w:ascii="Arial" w:hAnsi="Arial" w:cs="Arial"/>
          <w:sz w:val="20"/>
          <w:szCs w:val="20"/>
        </w:rPr>
        <w:t xml:space="preserve">Zoznam schválených projektov s objemom zazmluvnených prostriedkov k 31.12.2015 je zverejnený na webovom sídle </w:t>
      </w:r>
      <w:hyperlink r:id="rId25" w:history="1">
        <w:r w:rsidRPr="0093280D">
          <w:rPr>
            <w:rStyle w:val="Hypertextovprepojenie"/>
            <w:rFonts w:ascii="Arial" w:hAnsi="Arial" w:cs="Arial"/>
            <w:sz w:val="20"/>
            <w:szCs w:val="20"/>
          </w:rPr>
          <w:t>www.opzp.sk</w:t>
        </w:r>
      </w:hyperlink>
      <w:r w:rsidRPr="001A6CAA">
        <w:rPr>
          <w:rFonts w:ascii="Arial" w:hAnsi="Arial" w:cs="Arial"/>
          <w:sz w:val="20"/>
          <w:szCs w:val="20"/>
        </w:rPr>
        <w:t xml:space="preserve"> v časti Hlavná stránka &gt; Projekty &gt; Zoznamy OPŽP &gt; Zoznam prijímateľov z OPŽP. Zoznam schválených projektov s uvedením stavu k 31.</w:t>
      </w:r>
      <w:r w:rsidR="00473D0F">
        <w:rPr>
          <w:rFonts w:ascii="Arial" w:hAnsi="Arial" w:cs="Arial"/>
          <w:sz w:val="20"/>
          <w:szCs w:val="20"/>
        </w:rPr>
        <w:t>10</w:t>
      </w:r>
      <w:r w:rsidRPr="001A6CAA">
        <w:rPr>
          <w:rFonts w:ascii="Arial" w:hAnsi="Arial" w:cs="Arial"/>
          <w:sz w:val="20"/>
          <w:szCs w:val="20"/>
        </w:rPr>
        <w:t>.201</w:t>
      </w:r>
      <w:r w:rsidR="00473D0F">
        <w:rPr>
          <w:rFonts w:ascii="Arial" w:hAnsi="Arial" w:cs="Arial"/>
          <w:sz w:val="20"/>
          <w:szCs w:val="20"/>
        </w:rPr>
        <w:t>6</w:t>
      </w:r>
      <w:r w:rsidRPr="001A6CAA">
        <w:rPr>
          <w:rFonts w:ascii="Arial" w:hAnsi="Arial" w:cs="Arial"/>
          <w:sz w:val="20"/>
          <w:szCs w:val="20"/>
        </w:rPr>
        <w:t xml:space="preserve"> je súčasťou Prílohy č. 9.</w:t>
      </w:r>
      <w:r w:rsidRPr="00495C74">
        <w:rPr>
          <w:rFonts w:ascii="Arial" w:hAnsi="Arial" w:cs="Arial"/>
          <w:sz w:val="20"/>
          <w:szCs w:val="20"/>
        </w:rPr>
        <w:t xml:space="preserve"> </w:t>
      </w:r>
    </w:p>
    <w:p w14:paraId="698D7409" w14:textId="77777777" w:rsidR="002416B1" w:rsidRPr="0020746A" w:rsidRDefault="002416B1" w:rsidP="00123376">
      <w:pPr>
        <w:pStyle w:val="Zkladntextb"/>
        <w:spacing w:before="240" w:after="120" w:line="240" w:lineRule="auto"/>
        <w:ind w:left="0"/>
        <w:rPr>
          <w:rFonts w:cs="Arial"/>
          <w:b/>
          <w:lang w:val="sk-SK"/>
        </w:rPr>
      </w:pPr>
      <w:r w:rsidRPr="008E1ACB">
        <w:rPr>
          <w:rFonts w:cs="Arial"/>
          <w:b/>
          <w:lang w:val="sk-SK"/>
        </w:rPr>
        <w:t>Plnenie fyzických ukazovateľov</w:t>
      </w:r>
    </w:p>
    <w:p w14:paraId="0E2E79C3" w14:textId="482F825C" w:rsidR="002F3D62" w:rsidRPr="009E01C2" w:rsidRDefault="002F3D62" w:rsidP="002F3D62">
      <w:pPr>
        <w:pStyle w:val="Zkladntextb"/>
        <w:spacing w:before="120" w:after="120" w:line="240" w:lineRule="auto"/>
        <w:ind w:left="0"/>
        <w:jc w:val="both"/>
        <w:rPr>
          <w:rFonts w:cs="Arial"/>
          <w:lang w:val="sk-SK"/>
        </w:rPr>
      </w:pPr>
      <w:r w:rsidRPr="009E01C2">
        <w:rPr>
          <w:rFonts w:cs="Arial"/>
          <w:lang w:val="sk-SK"/>
        </w:rPr>
        <w:t>Plnenie ukazovateľov v rámci prioritnej osi 3 je uvedené v Prílohe č. 2</w:t>
      </w:r>
      <w:r w:rsidR="00032D2D">
        <w:rPr>
          <w:rFonts w:cs="Arial"/>
          <w:lang w:val="sk-SK"/>
        </w:rPr>
        <w:t>,</w:t>
      </w:r>
      <w:r w:rsidRPr="009E01C2">
        <w:rPr>
          <w:rFonts w:cs="Arial"/>
          <w:lang w:val="sk-SK"/>
        </w:rPr>
        <w:t xml:space="preserve"> ktorá je okrem aktuálneho napĺňania ukazovateľov za jednotlivé roky doplnená taktiež o deklarované cieľové hodnoty projektov </w:t>
      </w:r>
      <w:r w:rsidRPr="009E01C2">
        <w:rPr>
          <w:rFonts w:cs="Arial"/>
          <w:lang w:val="sk-SK"/>
        </w:rPr>
        <w:br/>
        <w:t>v zmysle uzatvorených zmlúv o NFP. Zoznam CORE ukazovateľov reportovaných EK prostredníctvom SFC2007 v rámci Záverečnej správy o vykonávaní OP ŽP je súčasťou Prílohy č. 11.</w:t>
      </w:r>
    </w:p>
    <w:p w14:paraId="371AE050" w14:textId="4E94F6C5" w:rsidR="002F3D62" w:rsidRPr="009E01C2" w:rsidRDefault="00E22D1F" w:rsidP="002F3D62">
      <w:pPr>
        <w:autoSpaceDE w:val="0"/>
        <w:autoSpaceDN w:val="0"/>
        <w:adjustRightInd w:val="0"/>
        <w:spacing w:before="120" w:after="120"/>
        <w:jc w:val="both"/>
        <w:rPr>
          <w:rFonts w:ascii="Arial" w:hAnsi="Arial" w:cs="Arial"/>
          <w:sz w:val="20"/>
          <w:szCs w:val="20"/>
          <w:highlight w:val="cyan"/>
        </w:rPr>
      </w:pPr>
      <w:r w:rsidRPr="009E01C2">
        <w:rPr>
          <w:rFonts w:ascii="Arial" w:hAnsi="Arial" w:cs="Arial"/>
          <w:sz w:val="20"/>
          <w:szCs w:val="20"/>
        </w:rPr>
        <w:t xml:space="preserve">Ukazovatele boli vyhodnotené na základe doručených monitorovacích správ projektu od žiadateľov </w:t>
      </w:r>
      <w:r w:rsidR="00C2620B">
        <w:rPr>
          <w:rFonts w:ascii="Arial" w:hAnsi="Arial" w:cs="Arial"/>
          <w:sz w:val="20"/>
          <w:szCs w:val="20"/>
        </w:rPr>
        <w:t>v zmysle</w:t>
      </w:r>
      <w:r w:rsidRPr="009E01C2">
        <w:rPr>
          <w:rFonts w:ascii="Arial" w:hAnsi="Arial" w:cs="Arial"/>
          <w:sz w:val="20"/>
          <w:szCs w:val="20"/>
        </w:rPr>
        <w:t xml:space="preserve"> zmluvy o poskytnutí NFP. V rámci prioritnej osi 3 bolo v programovom období 2007 - 2013 na RO</w:t>
      </w:r>
      <w:r w:rsidR="00C2620B">
        <w:rPr>
          <w:rFonts w:ascii="Arial" w:hAnsi="Arial" w:cs="Arial"/>
          <w:sz w:val="20"/>
          <w:szCs w:val="20"/>
        </w:rPr>
        <w:t>/SORO</w:t>
      </w:r>
      <w:r w:rsidRPr="009E01C2">
        <w:rPr>
          <w:rFonts w:ascii="Arial" w:hAnsi="Arial" w:cs="Arial"/>
          <w:sz w:val="20"/>
          <w:szCs w:val="20"/>
        </w:rPr>
        <w:t xml:space="preserve"> doručených </w:t>
      </w:r>
      <w:r w:rsidR="00494A68">
        <w:rPr>
          <w:rFonts w:ascii="Arial" w:hAnsi="Arial" w:cs="Arial"/>
          <w:sz w:val="20"/>
          <w:szCs w:val="20"/>
        </w:rPr>
        <w:t>801</w:t>
      </w:r>
      <w:r w:rsidRPr="009E01C2">
        <w:rPr>
          <w:rFonts w:ascii="Arial" w:hAnsi="Arial" w:cs="Arial"/>
          <w:sz w:val="20"/>
          <w:szCs w:val="20"/>
        </w:rPr>
        <w:t xml:space="preserve"> monitorovacích správ projektu, z toho 305 priebežných, 128 záverečných a </w:t>
      </w:r>
      <w:r w:rsidR="00494A68">
        <w:rPr>
          <w:rFonts w:ascii="Arial" w:hAnsi="Arial" w:cs="Arial"/>
          <w:sz w:val="20"/>
          <w:szCs w:val="20"/>
        </w:rPr>
        <w:t>368</w:t>
      </w:r>
      <w:r w:rsidRPr="009E01C2">
        <w:rPr>
          <w:rFonts w:ascii="Arial" w:hAnsi="Arial" w:cs="Arial"/>
          <w:sz w:val="20"/>
          <w:szCs w:val="20"/>
        </w:rPr>
        <w:t xml:space="preserve"> následných. </w:t>
      </w:r>
      <w:r w:rsidR="002F3D62" w:rsidRPr="009E01C2">
        <w:rPr>
          <w:rFonts w:ascii="Arial" w:hAnsi="Arial" w:cs="Arial"/>
          <w:sz w:val="20"/>
          <w:szCs w:val="20"/>
        </w:rPr>
        <w:t xml:space="preserve">Prostredníctvom vybraných merateľných ukazovateľov sa sledoval príspevok realizovaných projektov k napĺňaniu cieľov programu, najmä špecifického cieľa prioritnej osi 3, ktorým je znižovanie emisií základných a ostatných znečisťujúcich látok a minimalizácia nepriaznivých vplyvov zmeny klímy vrátane podpory </w:t>
      </w:r>
      <w:r w:rsidR="002F3D62" w:rsidRPr="009E01C2">
        <w:rPr>
          <w:rFonts w:ascii="Arial" w:hAnsi="Arial" w:cs="Arial"/>
          <w:iCs/>
          <w:sz w:val="20"/>
          <w:szCs w:val="20"/>
          <w:lang w:eastAsia="en-US"/>
        </w:rPr>
        <w:t>OZE</w:t>
      </w:r>
      <w:r w:rsidR="002F3D62" w:rsidRPr="009E01C2" w:rsidDel="00331702">
        <w:rPr>
          <w:rFonts w:ascii="Arial" w:hAnsi="Arial" w:cs="Arial"/>
          <w:sz w:val="20"/>
          <w:szCs w:val="20"/>
        </w:rPr>
        <w:t xml:space="preserve"> </w:t>
      </w:r>
      <w:r w:rsidR="002F3D62" w:rsidRPr="009E01C2">
        <w:rPr>
          <w:rFonts w:ascii="Arial" w:hAnsi="Arial" w:cs="Arial"/>
          <w:sz w:val="20"/>
          <w:szCs w:val="20"/>
        </w:rPr>
        <w:t>v súlade s legislatívou EÚ a SR. Tento cieľ priamo nadväzuje na ciele definované v Tematickej stratégii pre znečistenie ovzdušia, v súlade so smernicami EÚ, najmä smernicou Európskeho parlamentu a Rady č. 2010/75/EÚ o priemyselných emisiách a smernicou č. 2008/50/ES o kvalite okolitého ovzdušia a čistejšom ovzduší v Európe. Realizáci</w:t>
      </w:r>
      <w:r w:rsidR="00032D2D">
        <w:rPr>
          <w:rFonts w:ascii="Arial" w:hAnsi="Arial" w:cs="Arial"/>
          <w:sz w:val="20"/>
          <w:szCs w:val="20"/>
        </w:rPr>
        <w:t>ou</w:t>
      </w:r>
      <w:r w:rsidR="002F3D62" w:rsidRPr="009E01C2">
        <w:rPr>
          <w:rFonts w:ascii="Arial" w:hAnsi="Arial" w:cs="Arial"/>
          <w:sz w:val="20"/>
          <w:szCs w:val="20"/>
        </w:rPr>
        <w:t xml:space="preserve"> podporovaných aktivít </w:t>
      </w:r>
      <w:r w:rsidR="00032D2D">
        <w:rPr>
          <w:rFonts w:ascii="Arial" w:hAnsi="Arial" w:cs="Arial"/>
          <w:sz w:val="20"/>
          <w:szCs w:val="20"/>
        </w:rPr>
        <w:t xml:space="preserve">sa </w:t>
      </w:r>
      <w:r w:rsidR="002F3D62" w:rsidRPr="009E01C2">
        <w:rPr>
          <w:rFonts w:ascii="Arial" w:hAnsi="Arial" w:cs="Arial"/>
          <w:sz w:val="20"/>
          <w:szCs w:val="20"/>
        </w:rPr>
        <w:t xml:space="preserve">tiež </w:t>
      </w:r>
      <w:r w:rsidR="00032D2D">
        <w:rPr>
          <w:rFonts w:ascii="Arial" w:hAnsi="Arial" w:cs="Arial"/>
          <w:sz w:val="20"/>
          <w:szCs w:val="20"/>
        </w:rPr>
        <w:t>prispelo</w:t>
      </w:r>
      <w:r w:rsidR="00032D2D" w:rsidRPr="009E01C2">
        <w:rPr>
          <w:rFonts w:ascii="Arial" w:hAnsi="Arial" w:cs="Arial"/>
          <w:sz w:val="20"/>
          <w:szCs w:val="20"/>
        </w:rPr>
        <w:t xml:space="preserve"> </w:t>
      </w:r>
      <w:r w:rsidR="002F3D62" w:rsidRPr="009E01C2">
        <w:rPr>
          <w:rFonts w:ascii="Arial" w:hAnsi="Arial" w:cs="Arial"/>
          <w:sz w:val="20"/>
          <w:szCs w:val="20"/>
        </w:rPr>
        <w:t>k plneniu požiadaviek smernice č. 2001/81/ES o národných emisných stropoch pre určité látky znečisťujúce ovzdušie. Aktivity v oblasti monitorovania ovzdušia zároveň prispievajú k plneniu povinností vyplývajúcich z Dohovoru o diaľkovom znečisťovaní ovzdušia prechádzajúcom hranicami štátov.</w:t>
      </w:r>
    </w:p>
    <w:p w14:paraId="5C41D288" w14:textId="1830847A" w:rsidR="00E22D1F" w:rsidRDefault="00E22D1F" w:rsidP="00E22D1F">
      <w:pPr>
        <w:pStyle w:val="Zkladntextb"/>
        <w:spacing w:before="120" w:after="120" w:line="240" w:lineRule="auto"/>
        <w:ind w:left="0"/>
        <w:jc w:val="both"/>
        <w:rPr>
          <w:rFonts w:cs="Arial"/>
          <w:bCs/>
          <w:lang w:val="sk-SK"/>
        </w:rPr>
      </w:pPr>
      <w:r w:rsidRPr="009E01C2">
        <w:rPr>
          <w:rFonts w:cs="Arial"/>
          <w:bCs/>
          <w:lang w:val="sk-SK"/>
        </w:rPr>
        <w:t xml:space="preserve">Napĺňanie hodnôt ukazovateľov závisí aj od typu monitorovaného ukazovateľa projektu. </w:t>
      </w:r>
      <w:r w:rsidR="00302043">
        <w:rPr>
          <w:rFonts w:cs="Arial"/>
          <w:bCs/>
          <w:lang w:val="sk-SK"/>
        </w:rPr>
        <w:t>V</w:t>
      </w:r>
      <w:r w:rsidRPr="009E01C2">
        <w:rPr>
          <w:rFonts w:cs="Arial"/>
          <w:bCs/>
          <w:lang w:val="sk-SK"/>
        </w:rPr>
        <w:t xml:space="preserve"> prípade ukazovateľov výsledku je príslušný ukazovateľ naplnený </w:t>
      </w:r>
      <w:r w:rsidR="00302043">
        <w:rPr>
          <w:rFonts w:cs="Arial"/>
          <w:bCs/>
          <w:lang w:val="sk-SK"/>
        </w:rPr>
        <w:t>v podstate ihneď</w:t>
      </w:r>
      <w:r w:rsidR="00302043" w:rsidRPr="009E01C2">
        <w:rPr>
          <w:rFonts w:cs="Arial"/>
          <w:bCs/>
          <w:lang w:val="sk-SK"/>
        </w:rPr>
        <w:t xml:space="preserve"> </w:t>
      </w:r>
      <w:r w:rsidRPr="009E01C2">
        <w:rPr>
          <w:rFonts w:cs="Arial"/>
          <w:bCs/>
          <w:lang w:val="sk-SK"/>
        </w:rPr>
        <w:t>po realizácii projektu, v prípade dopadových ukazovateľov</w:t>
      </w:r>
      <w:r>
        <w:rPr>
          <w:rFonts w:cs="Arial"/>
          <w:bCs/>
          <w:lang w:val="sk-SK"/>
        </w:rPr>
        <w:t>, akými sú najmä ukazovatele zníženia emisií je ich napĺňanie vykazované až v rámci následných monitorovacích správ, t.j. rok po finančnom ukončení realizácie projektu</w:t>
      </w:r>
      <w:r w:rsidR="00396933">
        <w:rPr>
          <w:rFonts w:cs="Arial"/>
          <w:bCs/>
          <w:lang w:val="sk-SK"/>
        </w:rPr>
        <w:t xml:space="preserve"> (a na základe výsledkov skúšobnej prevádzky dotknutého zariadenia)</w:t>
      </w:r>
      <w:r>
        <w:rPr>
          <w:rFonts w:cs="Arial"/>
          <w:bCs/>
          <w:lang w:val="sk-SK"/>
        </w:rPr>
        <w:t xml:space="preserve">. V prípade projektov, ktoré boli fyzicky ukončené až na konci obdobia implementácie OP ŽP, budú teda konečné hodnoty </w:t>
      </w:r>
      <w:r>
        <w:rPr>
          <w:rFonts w:cs="Arial"/>
          <w:bCs/>
          <w:lang w:val="sk-SK"/>
        </w:rPr>
        <w:lastRenderedPageBreak/>
        <w:t xml:space="preserve">ukazovateľov vykazované a zaznamenané až na </w:t>
      </w:r>
      <w:r>
        <w:rPr>
          <w:rFonts w:cs="Arial"/>
          <w:lang w:val="sk-SK"/>
        </w:rPr>
        <w:t>základe následných monitorovacích správ, napr. v priebehu mesiacov január/február 2017. Naplnenie, resp. navýšenie vykazovaných hodnôt ukazovateľov preto možno očakávať ešte začiatkom roka 2017.</w:t>
      </w:r>
    </w:p>
    <w:p w14:paraId="64369222" w14:textId="77777777" w:rsidR="00E22D1F" w:rsidRPr="008E1ACB" w:rsidRDefault="00E22D1F" w:rsidP="00E22D1F">
      <w:pPr>
        <w:pStyle w:val="Zkladntextb"/>
        <w:spacing w:before="120" w:after="120" w:line="240" w:lineRule="auto"/>
        <w:ind w:left="0"/>
        <w:jc w:val="both"/>
        <w:rPr>
          <w:rFonts w:cs="Arial"/>
          <w:lang w:val="sk-SK"/>
        </w:rPr>
      </w:pPr>
      <w:r>
        <w:rPr>
          <w:rFonts w:cs="Arial"/>
          <w:bCs/>
          <w:lang w:val="sk-SK"/>
        </w:rPr>
        <w:t>Analýza napĺňania jednotlivých ukazovateľov prioritnej osi 3 je uvedená nižšie.</w:t>
      </w:r>
    </w:p>
    <w:p w14:paraId="29734DC1" w14:textId="77777777" w:rsidR="002416B1" w:rsidRPr="00E21C60" w:rsidRDefault="002416B1" w:rsidP="00123376">
      <w:pPr>
        <w:pStyle w:val="Nadpis8"/>
        <w:spacing w:after="120"/>
        <w:rPr>
          <w:rFonts w:ascii="Arial" w:hAnsi="Arial" w:cs="Arial"/>
          <w:b/>
          <w:sz w:val="22"/>
          <w:szCs w:val="22"/>
        </w:rPr>
      </w:pPr>
      <w:r w:rsidRPr="00E21C60">
        <w:rPr>
          <w:rFonts w:ascii="Arial" w:hAnsi="Arial" w:cs="Arial"/>
          <w:b/>
          <w:sz w:val="22"/>
          <w:szCs w:val="22"/>
        </w:rPr>
        <w:t>3.3.</w:t>
      </w:r>
      <w:r w:rsidRPr="002A35B4">
        <w:rPr>
          <w:rFonts w:ascii="Arial" w:hAnsi="Arial" w:cs="Arial"/>
          <w:b/>
          <w:sz w:val="22"/>
          <w:szCs w:val="22"/>
        </w:rPr>
        <w:t>1.2 Finančná implementácia v rámci prioritnej osi 3</w:t>
      </w:r>
      <w:r w:rsidR="0072403D" w:rsidRPr="00E21C60">
        <w:rPr>
          <w:rFonts w:ascii="Arial" w:hAnsi="Arial" w:cs="Arial"/>
          <w:b/>
          <w:sz w:val="22"/>
          <w:szCs w:val="22"/>
        </w:rPr>
        <w:t xml:space="preserve"> </w:t>
      </w:r>
    </w:p>
    <w:p w14:paraId="56388FDF" w14:textId="43CBBEAE" w:rsidR="00987F8A" w:rsidRPr="00E21C60" w:rsidRDefault="00987F8A" w:rsidP="00987F8A">
      <w:pPr>
        <w:spacing w:before="120" w:after="120"/>
        <w:jc w:val="both"/>
        <w:rPr>
          <w:rFonts w:ascii="Arial" w:hAnsi="Arial" w:cs="Arial"/>
          <w:sz w:val="20"/>
          <w:szCs w:val="20"/>
        </w:rPr>
      </w:pPr>
      <w:r w:rsidRPr="00A2118D">
        <w:rPr>
          <w:rFonts w:ascii="Arial" w:hAnsi="Arial" w:cs="Arial"/>
          <w:sz w:val="20"/>
          <w:szCs w:val="20"/>
        </w:rPr>
        <w:t xml:space="preserve">K </w:t>
      </w:r>
      <w:r w:rsidRPr="009F7CC0">
        <w:rPr>
          <w:rFonts w:ascii="Arial" w:hAnsi="Arial" w:cs="Arial"/>
          <w:sz w:val="20"/>
          <w:szCs w:val="20"/>
        </w:rPr>
        <w:t>31.</w:t>
      </w:r>
      <w:r w:rsidR="006161E9">
        <w:rPr>
          <w:rFonts w:ascii="Arial" w:hAnsi="Arial" w:cs="Arial"/>
          <w:sz w:val="20"/>
          <w:szCs w:val="20"/>
        </w:rPr>
        <w:t xml:space="preserve"> 10</w:t>
      </w:r>
      <w:r w:rsidRPr="009F7CC0">
        <w:rPr>
          <w:rFonts w:ascii="Arial" w:hAnsi="Arial" w:cs="Arial"/>
          <w:sz w:val="20"/>
          <w:szCs w:val="20"/>
        </w:rPr>
        <w:t>.</w:t>
      </w:r>
      <w:r w:rsidR="006161E9">
        <w:rPr>
          <w:rFonts w:ascii="Arial" w:hAnsi="Arial" w:cs="Arial"/>
          <w:sz w:val="20"/>
          <w:szCs w:val="20"/>
        </w:rPr>
        <w:t xml:space="preserve"> </w:t>
      </w:r>
      <w:r w:rsidRPr="009F7CC0">
        <w:rPr>
          <w:rFonts w:ascii="Arial" w:hAnsi="Arial" w:cs="Arial"/>
          <w:sz w:val="20"/>
          <w:szCs w:val="20"/>
        </w:rPr>
        <w:t>2016</w:t>
      </w:r>
      <w:r w:rsidRPr="00A2118D">
        <w:rPr>
          <w:rFonts w:ascii="Arial" w:hAnsi="Arial" w:cs="Arial"/>
          <w:sz w:val="20"/>
          <w:szCs w:val="20"/>
        </w:rPr>
        <w:t xml:space="preserve"> došlo v rámci prioritnej osi k čerpaniu finančných prostriedkov z ERDF v objeme </w:t>
      </w:r>
      <w:r>
        <w:rPr>
          <w:rFonts w:ascii="Arial" w:hAnsi="Arial" w:cs="Arial"/>
          <w:sz w:val="20"/>
          <w:szCs w:val="20"/>
        </w:rPr>
        <w:t>vyše</w:t>
      </w:r>
      <w:r w:rsidRPr="00A2118D">
        <w:rPr>
          <w:rFonts w:ascii="Arial" w:hAnsi="Arial" w:cs="Arial"/>
          <w:sz w:val="20"/>
          <w:szCs w:val="20"/>
        </w:rPr>
        <w:t xml:space="preserve"> </w:t>
      </w:r>
      <w:r>
        <w:rPr>
          <w:rFonts w:ascii="Arial" w:hAnsi="Arial" w:cs="Arial"/>
          <w:sz w:val="20"/>
          <w:szCs w:val="20"/>
        </w:rPr>
        <w:t>174</w:t>
      </w:r>
      <w:r w:rsidRPr="00A2118D">
        <w:rPr>
          <w:rFonts w:ascii="Arial" w:hAnsi="Arial" w:cs="Arial"/>
          <w:sz w:val="20"/>
          <w:szCs w:val="20"/>
        </w:rPr>
        <w:t>,7</w:t>
      </w:r>
      <w:r w:rsidR="006161E9">
        <w:rPr>
          <w:rFonts w:ascii="Arial" w:hAnsi="Arial" w:cs="Arial"/>
          <w:sz w:val="20"/>
          <w:szCs w:val="20"/>
        </w:rPr>
        <w:t>2</w:t>
      </w:r>
      <w:r w:rsidRPr="00A2118D">
        <w:rPr>
          <w:rFonts w:ascii="Arial" w:hAnsi="Arial" w:cs="Arial"/>
          <w:sz w:val="20"/>
          <w:szCs w:val="20"/>
        </w:rPr>
        <w:t xml:space="preserve"> miliónov </w:t>
      </w:r>
      <w:r w:rsidR="00366C2D">
        <w:rPr>
          <w:rFonts w:ascii="Arial" w:hAnsi="Arial" w:cs="Arial"/>
          <w:sz w:val="20"/>
          <w:szCs w:val="20"/>
        </w:rPr>
        <w:t>€</w:t>
      </w:r>
      <w:r w:rsidRPr="00A2118D">
        <w:rPr>
          <w:rFonts w:ascii="Arial" w:hAnsi="Arial" w:cs="Arial"/>
          <w:sz w:val="20"/>
          <w:szCs w:val="20"/>
        </w:rPr>
        <w:t xml:space="preserve">, čo predstavuje </w:t>
      </w:r>
      <w:r>
        <w:rPr>
          <w:rFonts w:ascii="Arial" w:hAnsi="Arial" w:cs="Arial"/>
          <w:sz w:val="20"/>
          <w:szCs w:val="20"/>
        </w:rPr>
        <w:t>97,07</w:t>
      </w:r>
      <w:r w:rsidRPr="00A2118D">
        <w:rPr>
          <w:rFonts w:ascii="Arial" w:hAnsi="Arial" w:cs="Arial"/>
          <w:sz w:val="20"/>
          <w:szCs w:val="20"/>
        </w:rPr>
        <w:t xml:space="preserve"> % zo záväzku na programové obdobie pre túto prioritnú os.</w:t>
      </w:r>
    </w:p>
    <w:p w14:paraId="4958BB32" w14:textId="0677C906" w:rsidR="002416B1" w:rsidRPr="00E21C60" w:rsidRDefault="002416B1" w:rsidP="00123376">
      <w:pPr>
        <w:jc w:val="both"/>
        <w:rPr>
          <w:rFonts w:ascii="Arial" w:hAnsi="Arial" w:cs="Arial"/>
          <w:sz w:val="20"/>
          <w:szCs w:val="20"/>
        </w:rPr>
      </w:pPr>
      <w:r w:rsidRPr="00E21C60">
        <w:rPr>
          <w:rFonts w:ascii="Arial" w:hAnsi="Arial" w:cs="Arial"/>
          <w:sz w:val="20"/>
          <w:szCs w:val="20"/>
        </w:rPr>
        <w:t>Tab</w:t>
      </w:r>
      <w:r w:rsidR="006163B8" w:rsidRPr="00E21C60">
        <w:rPr>
          <w:rFonts w:ascii="Arial" w:hAnsi="Arial" w:cs="Arial"/>
          <w:sz w:val="20"/>
          <w:szCs w:val="20"/>
        </w:rPr>
        <w:t>uľka</w:t>
      </w:r>
      <w:r w:rsidRPr="00E21C60">
        <w:rPr>
          <w:rFonts w:ascii="Arial" w:hAnsi="Arial" w:cs="Arial"/>
          <w:sz w:val="20"/>
          <w:szCs w:val="20"/>
        </w:rPr>
        <w:t xml:space="preserve"> č. </w:t>
      </w:r>
      <w:r w:rsidR="00B256C7">
        <w:rPr>
          <w:rFonts w:ascii="Arial" w:hAnsi="Arial" w:cs="Arial"/>
          <w:sz w:val="20"/>
          <w:szCs w:val="20"/>
        </w:rPr>
        <w:t>5</w:t>
      </w:r>
      <w:r w:rsidR="007B1CB9">
        <w:rPr>
          <w:rFonts w:ascii="Arial" w:hAnsi="Arial" w:cs="Arial"/>
          <w:sz w:val="20"/>
          <w:szCs w:val="20"/>
        </w:rPr>
        <w:t>2</w:t>
      </w:r>
      <w:r w:rsidRPr="00E21C60">
        <w:rPr>
          <w:rFonts w:ascii="Arial" w:hAnsi="Arial" w:cs="Arial"/>
          <w:sz w:val="20"/>
          <w:szCs w:val="20"/>
        </w:rPr>
        <w:t xml:space="preserve">: Čerpanie prostriedkov prioritnej osi 3 </w:t>
      </w:r>
      <w:r w:rsidRPr="009F7CC0">
        <w:rPr>
          <w:rFonts w:ascii="Arial" w:hAnsi="Arial" w:cs="Arial"/>
          <w:sz w:val="20"/>
          <w:szCs w:val="20"/>
        </w:rPr>
        <w:t>k 31.</w:t>
      </w:r>
      <w:r w:rsidR="006161E9">
        <w:rPr>
          <w:rFonts w:ascii="Arial" w:hAnsi="Arial" w:cs="Arial"/>
          <w:sz w:val="20"/>
          <w:szCs w:val="20"/>
        </w:rPr>
        <w:t xml:space="preserve"> 10</w:t>
      </w:r>
      <w:r w:rsidRPr="009F7CC0">
        <w:rPr>
          <w:rFonts w:ascii="Arial" w:hAnsi="Arial" w:cs="Arial"/>
          <w:sz w:val="20"/>
          <w:szCs w:val="20"/>
        </w:rPr>
        <w:t>.</w:t>
      </w:r>
      <w:r w:rsidR="006161E9">
        <w:rPr>
          <w:rFonts w:ascii="Arial" w:hAnsi="Arial" w:cs="Arial"/>
          <w:sz w:val="20"/>
          <w:szCs w:val="20"/>
        </w:rPr>
        <w:t xml:space="preserve"> </w:t>
      </w:r>
      <w:r w:rsidR="006163B8" w:rsidRPr="009F7CC0">
        <w:rPr>
          <w:rFonts w:ascii="Arial" w:hAnsi="Arial" w:cs="Arial"/>
          <w:sz w:val="20"/>
          <w:szCs w:val="20"/>
        </w:rPr>
        <w:t>201</w:t>
      </w:r>
      <w:r w:rsidR="00A1235B" w:rsidRPr="009F7CC0">
        <w:rPr>
          <w:rFonts w:ascii="Arial" w:hAnsi="Arial" w:cs="Arial"/>
          <w:sz w:val="20"/>
          <w:szCs w:val="20"/>
        </w:rPr>
        <w:t>6</w:t>
      </w:r>
    </w:p>
    <w:tbl>
      <w:tblPr>
        <w:tblW w:w="9062" w:type="dxa"/>
        <w:jc w:val="center"/>
        <w:tblLayout w:type="fixed"/>
        <w:tblCellMar>
          <w:left w:w="70" w:type="dxa"/>
          <w:right w:w="70" w:type="dxa"/>
        </w:tblCellMar>
        <w:tblLook w:val="0000" w:firstRow="0" w:lastRow="0" w:firstColumn="0" w:lastColumn="0" w:noHBand="0" w:noVBand="0"/>
      </w:tblPr>
      <w:tblGrid>
        <w:gridCol w:w="2684"/>
        <w:gridCol w:w="2976"/>
        <w:gridCol w:w="1701"/>
        <w:gridCol w:w="1701"/>
      </w:tblGrid>
      <w:tr w:rsidR="00A1235B" w:rsidRPr="00E21C60" w14:paraId="5D97250D" w14:textId="77777777" w:rsidTr="007D7B08">
        <w:trPr>
          <w:trHeight w:val="585"/>
          <w:jc w:val="center"/>
        </w:trPr>
        <w:tc>
          <w:tcPr>
            <w:tcW w:w="2684"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14:paraId="6C123A6A" w14:textId="77777777" w:rsidR="00A1235B" w:rsidRPr="00123376" w:rsidRDefault="00A1235B">
            <w:pPr>
              <w:jc w:val="both"/>
              <w:rPr>
                <w:rFonts w:ascii="Arial" w:hAnsi="Arial" w:cs="Arial"/>
                <w:sz w:val="16"/>
                <w:szCs w:val="16"/>
              </w:rPr>
            </w:pPr>
            <w:r w:rsidRPr="00123376">
              <w:rPr>
                <w:rFonts w:ascii="Arial" w:hAnsi="Arial" w:cs="Arial"/>
                <w:sz w:val="16"/>
                <w:szCs w:val="16"/>
              </w:rPr>
              <w:t> </w:t>
            </w:r>
          </w:p>
        </w:tc>
        <w:tc>
          <w:tcPr>
            <w:tcW w:w="2976" w:type="dxa"/>
            <w:vMerge w:val="restart"/>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1257D8C4" w14:textId="77777777" w:rsidR="00A1235B" w:rsidRPr="00123376" w:rsidRDefault="00A1235B">
            <w:pPr>
              <w:autoSpaceDE w:val="0"/>
              <w:autoSpaceDN w:val="0"/>
              <w:spacing w:before="240" w:after="60"/>
              <w:jc w:val="center"/>
              <w:outlineLvl w:val="7"/>
              <w:rPr>
                <w:rFonts w:ascii="Arial" w:hAnsi="Arial" w:cs="Arial"/>
                <w:sz w:val="16"/>
                <w:szCs w:val="16"/>
              </w:rPr>
            </w:pPr>
            <w:r w:rsidRPr="00123376">
              <w:rPr>
                <w:rFonts w:ascii="Arial" w:eastAsia="EUAlbertina-Regular-Identity-H" w:hAnsi="Arial" w:cs="Arial"/>
                <w:sz w:val="16"/>
                <w:szCs w:val="16"/>
              </w:rPr>
              <w:t xml:space="preserve">Záväzok </w:t>
            </w:r>
            <w:r w:rsidRPr="00123376">
              <w:rPr>
                <w:rFonts w:ascii="Arial" w:eastAsia="EUAlbertina-Regular-Identity-H" w:hAnsi="Arial" w:cs="Arial"/>
                <w:sz w:val="16"/>
                <w:szCs w:val="16"/>
              </w:rPr>
              <w:br/>
              <w:t>2007</w:t>
            </w:r>
            <w:r w:rsidRPr="00E21C60">
              <w:rPr>
                <w:rFonts w:ascii="Arial" w:eastAsia="EUAlbertina-Regular-Identity-H" w:hAnsi="Arial" w:cs="Arial"/>
                <w:sz w:val="16"/>
                <w:szCs w:val="16"/>
              </w:rPr>
              <w:t xml:space="preserve"> </w:t>
            </w:r>
            <w:r w:rsidRPr="00123376">
              <w:rPr>
                <w:rFonts w:ascii="Arial" w:eastAsia="EUAlbertina-Regular-Identity-H" w:hAnsi="Arial" w:cs="Arial"/>
                <w:sz w:val="16"/>
                <w:szCs w:val="16"/>
              </w:rPr>
              <w:t>-</w:t>
            </w:r>
            <w:r w:rsidRPr="00E21C60">
              <w:rPr>
                <w:rFonts w:ascii="Arial" w:eastAsia="EUAlbertina-Regular-Identity-H" w:hAnsi="Arial" w:cs="Arial"/>
                <w:sz w:val="16"/>
                <w:szCs w:val="16"/>
              </w:rPr>
              <w:t xml:space="preserve"> </w:t>
            </w:r>
            <w:r w:rsidRPr="00123376">
              <w:rPr>
                <w:rFonts w:ascii="Arial" w:eastAsia="EUAlbertina-Regular-Identity-H" w:hAnsi="Arial" w:cs="Arial"/>
                <w:sz w:val="16"/>
                <w:szCs w:val="16"/>
              </w:rPr>
              <w:t>2013</w:t>
            </w:r>
            <w:r w:rsidRPr="00123376">
              <w:rPr>
                <w:rFonts w:ascii="Arial" w:eastAsia="EUAlbertina-Regular-Identity-H" w:hAnsi="Arial" w:cs="Arial"/>
                <w:sz w:val="16"/>
                <w:szCs w:val="16"/>
              </w:rPr>
              <w:br/>
              <w:t xml:space="preserve"> za EÚ zdroje</w:t>
            </w:r>
            <w:r w:rsidRPr="00123376">
              <w:rPr>
                <w:rFonts w:ascii="Arial" w:eastAsia="EUAlbertina-Regular-Identity-H" w:hAnsi="Arial" w:cs="Arial"/>
                <w:sz w:val="16"/>
                <w:szCs w:val="16"/>
              </w:rPr>
              <w:br/>
            </w:r>
            <w:r w:rsidRPr="00123376">
              <w:rPr>
                <w:rFonts w:ascii="Arial" w:hAnsi="Arial" w:cs="Arial"/>
                <w:sz w:val="16"/>
                <w:szCs w:val="16"/>
              </w:rPr>
              <w:t>v €</w:t>
            </w:r>
          </w:p>
        </w:tc>
        <w:tc>
          <w:tcPr>
            <w:tcW w:w="3402" w:type="dxa"/>
            <w:gridSpan w:val="2"/>
            <w:tcBorders>
              <w:top w:val="single" w:sz="8" w:space="0" w:color="auto"/>
              <w:left w:val="nil"/>
              <w:bottom w:val="single" w:sz="4" w:space="0" w:color="auto"/>
              <w:right w:val="single" w:sz="8" w:space="0" w:color="000000"/>
            </w:tcBorders>
            <w:shd w:val="clear" w:color="auto" w:fill="C2D69B" w:themeFill="accent3" w:themeFillTint="99"/>
            <w:vAlign w:val="center"/>
          </w:tcPr>
          <w:p w14:paraId="31712B4E" w14:textId="77777777" w:rsidR="00A1235B" w:rsidRPr="00123376" w:rsidRDefault="00A1235B">
            <w:pPr>
              <w:autoSpaceDE w:val="0"/>
              <w:autoSpaceDN w:val="0"/>
              <w:spacing w:before="240" w:after="60"/>
              <w:jc w:val="center"/>
              <w:outlineLvl w:val="7"/>
              <w:rPr>
                <w:rFonts w:ascii="Arial" w:hAnsi="Arial" w:cs="Arial"/>
                <w:sz w:val="16"/>
                <w:szCs w:val="16"/>
              </w:rPr>
            </w:pPr>
            <w:r w:rsidRPr="00123376">
              <w:rPr>
                <w:rFonts w:ascii="Arial" w:hAnsi="Arial" w:cs="Arial"/>
                <w:sz w:val="16"/>
                <w:szCs w:val="16"/>
              </w:rPr>
              <w:t xml:space="preserve">Čerpanie prostriedkov kumulatívne </w:t>
            </w:r>
            <w:r w:rsidRPr="00123376">
              <w:rPr>
                <w:rFonts w:ascii="Arial" w:hAnsi="Arial" w:cs="Arial"/>
                <w:sz w:val="16"/>
                <w:szCs w:val="16"/>
              </w:rPr>
              <w:br/>
              <w:t>(EU zdroje) v €</w:t>
            </w:r>
          </w:p>
        </w:tc>
      </w:tr>
      <w:tr w:rsidR="00A1235B" w:rsidRPr="00E21C60" w14:paraId="18D91960" w14:textId="77777777" w:rsidTr="007D7B08">
        <w:trPr>
          <w:trHeight w:val="480"/>
          <w:jc w:val="center"/>
        </w:trPr>
        <w:tc>
          <w:tcPr>
            <w:tcW w:w="2684" w:type="dxa"/>
            <w:vMerge/>
            <w:tcBorders>
              <w:top w:val="single" w:sz="8" w:space="0" w:color="auto"/>
              <w:left w:val="single" w:sz="8" w:space="0" w:color="auto"/>
              <w:bottom w:val="single" w:sz="4" w:space="0" w:color="auto"/>
              <w:right w:val="single" w:sz="4" w:space="0" w:color="auto"/>
            </w:tcBorders>
            <w:shd w:val="clear" w:color="auto" w:fill="auto"/>
            <w:vAlign w:val="center"/>
          </w:tcPr>
          <w:p w14:paraId="0A755C23" w14:textId="77777777" w:rsidR="00A1235B" w:rsidRPr="00123376" w:rsidRDefault="00A1235B">
            <w:pPr>
              <w:jc w:val="both"/>
              <w:rPr>
                <w:rFonts w:ascii="Arial" w:hAnsi="Arial" w:cs="Arial"/>
                <w:sz w:val="16"/>
                <w:szCs w:val="16"/>
              </w:rPr>
            </w:pPr>
          </w:p>
        </w:tc>
        <w:tc>
          <w:tcPr>
            <w:tcW w:w="2976" w:type="dxa"/>
            <w:vMerge/>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535C5A38" w14:textId="77777777" w:rsidR="00A1235B" w:rsidRPr="00123376" w:rsidRDefault="00A1235B">
            <w:pPr>
              <w:jc w:val="center"/>
              <w:rPr>
                <w:rFonts w:ascii="Arial" w:hAnsi="Arial" w:cs="Arial"/>
                <w:sz w:val="16"/>
                <w:szCs w:val="16"/>
              </w:rPr>
            </w:pPr>
          </w:p>
        </w:tc>
        <w:tc>
          <w:tcPr>
            <w:tcW w:w="1701" w:type="dxa"/>
            <w:tcBorders>
              <w:top w:val="nil"/>
              <w:left w:val="nil"/>
              <w:bottom w:val="single" w:sz="4" w:space="0" w:color="auto"/>
              <w:right w:val="single" w:sz="4" w:space="0" w:color="auto"/>
            </w:tcBorders>
            <w:shd w:val="clear" w:color="auto" w:fill="C2D69B" w:themeFill="accent3" w:themeFillTint="99"/>
            <w:noWrap/>
            <w:vAlign w:val="center"/>
          </w:tcPr>
          <w:p w14:paraId="6FF65524" w14:textId="77777777" w:rsidR="00A1235B" w:rsidRPr="00123376" w:rsidRDefault="00A1235B">
            <w:pPr>
              <w:jc w:val="center"/>
              <w:rPr>
                <w:rFonts w:ascii="Arial" w:hAnsi="Arial" w:cs="Arial"/>
                <w:sz w:val="16"/>
                <w:szCs w:val="16"/>
              </w:rPr>
            </w:pPr>
            <w:r w:rsidRPr="00123376">
              <w:rPr>
                <w:rFonts w:ascii="Arial" w:hAnsi="Arial" w:cs="Arial"/>
                <w:sz w:val="16"/>
                <w:szCs w:val="16"/>
              </w:rPr>
              <w:t>Celkom</w:t>
            </w:r>
          </w:p>
        </w:tc>
        <w:tc>
          <w:tcPr>
            <w:tcW w:w="1701" w:type="dxa"/>
            <w:tcBorders>
              <w:top w:val="nil"/>
              <w:left w:val="nil"/>
              <w:bottom w:val="single" w:sz="4" w:space="0" w:color="auto"/>
              <w:right w:val="single" w:sz="8" w:space="0" w:color="auto"/>
            </w:tcBorders>
            <w:shd w:val="clear" w:color="auto" w:fill="C2D69B" w:themeFill="accent3" w:themeFillTint="99"/>
            <w:vAlign w:val="center"/>
          </w:tcPr>
          <w:p w14:paraId="582D4A53" w14:textId="77777777" w:rsidR="00A1235B" w:rsidRPr="00123376" w:rsidRDefault="00A1235B">
            <w:pPr>
              <w:autoSpaceDE w:val="0"/>
              <w:autoSpaceDN w:val="0"/>
              <w:spacing w:before="240" w:after="60"/>
              <w:jc w:val="center"/>
              <w:outlineLvl w:val="7"/>
              <w:rPr>
                <w:rFonts w:ascii="Arial" w:hAnsi="Arial" w:cs="Arial"/>
                <w:sz w:val="16"/>
                <w:szCs w:val="16"/>
              </w:rPr>
            </w:pPr>
            <w:r w:rsidRPr="00123376">
              <w:rPr>
                <w:rFonts w:ascii="Arial" w:hAnsi="Arial" w:cs="Arial"/>
                <w:sz w:val="16"/>
                <w:szCs w:val="16"/>
              </w:rPr>
              <w:t>% zo záväzku</w:t>
            </w:r>
          </w:p>
          <w:p w14:paraId="5C8942EB" w14:textId="77777777" w:rsidR="00A1235B" w:rsidRPr="00123376" w:rsidRDefault="00A1235B">
            <w:pPr>
              <w:jc w:val="center"/>
              <w:rPr>
                <w:rFonts w:ascii="Arial" w:hAnsi="Arial" w:cs="Arial"/>
                <w:sz w:val="16"/>
                <w:szCs w:val="16"/>
              </w:rPr>
            </w:pPr>
            <w:r w:rsidRPr="00123376">
              <w:rPr>
                <w:rFonts w:ascii="Arial" w:hAnsi="Arial" w:cs="Arial"/>
                <w:sz w:val="16"/>
                <w:szCs w:val="16"/>
              </w:rPr>
              <w:t>2007 - 2013</w:t>
            </w:r>
          </w:p>
        </w:tc>
      </w:tr>
      <w:tr w:rsidR="00A1235B" w:rsidRPr="00E21C60" w14:paraId="0D12BD82" w14:textId="77777777" w:rsidTr="00D55A64">
        <w:trPr>
          <w:trHeight w:val="304"/>
          <w:jc w:val="center"/>
        </w:trPr>
        <w:tc>
          <w:tcPr>
            <w:tcW w:w="2684" w:type="dxa"/>
            <w:tcBorders>
              <w:top w:val="single" w:sz="4" w:space="0" w:color="auto"/>
              <w:left w:val="single" w:sz="8" w:space="0" w:color="auto"/>
              <w:bottom w:val="single" w:sz="4" w:space="0" w:color="auto"/>
              <w:right w:val="single" w:sz="4" w:space="0" w:color="auto"/>
            </w:tcBorders>
            <w:shd w:val="clear" w:color="auto" w:fill="auto"/>
            <w:noWrap/>
            <w:vAlign w:val="center"/>
          </w:tcPr>
          <w:p w14:paraId="5BAF2FD8" w14:textId="77777777" w:rsidR="00A1235B" w:rsidRPr="00680906" w:rsidRDefault="00A1235B" w:rsidP="00680906">
            <w:pPr>
              <w:autoSpaceDE w:val="0"/>
              <w:autoSpaceDN w:val="0"/>
              <w:jc w:val="center"/>
              <w:outlineLvl w:val="7"/>
              <w:rPr>
                <w:rFonts w:ascii="Arial" w:hAnsi="Arial" w:cs="Arial"/>
                <w:sz w:val="16"/>
                <w:szCs w:val="16"/>
              </w:rPr>
            </w:pPr>
            <w:r w:rsidRPr="00680906">
              <w:rPr>
                <w:rFonts w:ascii="Arial" w:hAnsi="Arial" w:cs="Arial"/>
                <w:sz w:val="16"/>
                <w:szCs w:val="16"/>
              </w:rPr>
              <w:t>Prioritná os 3</w:t>
            </w:r>
          </w:p>
        </w:tc>
        <w:tc>
          <w:tcPr>
            <w:tcW w:w="2976" w:type="dxa"/>
            <w:tcBorders>
              <w:top w:val="nil"/>
              <w:left w:val="nil"/>
              <w:bottom w:val="single" w:sz="4" w:space="0" w:color="auto"/>
              <w:right w:val="single" w:sz="4" w:space="0" w:color="auto"/>
            </w:tcBorders>
            <w:shd w:val="clear" w:color="auto" w:fill="auto"/>
            <w:noWrap/>
            <w:vAlign w:val="center"/>
          </w:tcPr>
          <w:p w14:paraId="6ACB659B" w14:textId="3EA45821" w:rsidR="00A1235B" w:rsidRPr="00680906" w:rsidRDefault="00A1235B">
            <w:pPr>
              <w:jc w:val="center"/>
              <w:rPr>
                <w:rFonts w:ascii="Arial" w:hAnsi="Arial" w:cs="Arial"/>
                <w:sz w:val="16"/>
                <w:szCs w:val="16"/>
              </w:rPr>
            </w:pPr>
            <w:r w:rsidRPr="00680906">
              <w:rPr>
                <w:rFonts w:ascii="Arial" w:hAnsi="Arial" w:cs="Arial"/>
                <w:color w:val="000000"/>
                <w:sz w:val="16"/>
                <w:szCs w:val="16"/>
              </w:rPr>
              <w:t>180 000 000,00</w:t>
            </w:r>
          </w:p>
        </w:tc>
        <w:tc>
          <w:tcPr>
            <w:tcW w:w="1701" w:type="dxa"/>
            <w:tcBorders>
              <w:top w:val="nil"/>
              <w:left w:val="nil"/>
              <w:bottom w:val="single" w:sz="4" w:space="0" w:color="auto"/>
              <w:right w:val="single" w:sz="4" w:space="0" w:color="auto"/>
            </w:tcBorders>
            <w:shd w:val="clear" w:color="auto" w:fill="auto"/>
            <w:noWrap/>
            <w:vAlign w:val="center"/>
          </w:tcPr>
          <w:p w14:paraId="0ABD4330" w14:textId="4C65BCFC" w:rsidR="00A1235B" w:rsidRPr="00680906" w:rsidRDefault="006C6C7E">
            <w:pPr>
              <w:jc w:val="center"/>
              <w:rPr>
                <w:rFonts w:ascii="Arial" w:hAnsi="Arial" w:cs="Arial"/>
                <w:color w:val="000000"/>
                <w:sz w:val="16"/>
                <w:szCs w:val="16"/>
              </w:rPr>
            </w:pPr>
            <w:r>
              <w:rPr>
                <w:rFonts w:ascii="Arial Narrow" w:hAnsi="Arial Narrow"/>
                <w:sz w:val="20"/>
                <w:szCs w:val="20"/>
              </w:rPr>
              <w:t>174 724 571,67</w:t>
            </w:r>
          </w:p>
        </w:tc>
        <w:tc>
          <w:tcPr>
            <w:tcW w:w="1701" w:type="dxa"/>
            <w:tcBorders>
              <w:top w:val="nil"/>
              <w:left w:val="nil"/>
              <w:bottom w:val="single" w:sz="4" w:space="0" w:color="auto"/>
              <w:right w:val="single" w:sz="8" w:space="0" w:color="auto"/>
            </w:tcBorders>
            <w:shd w:val="clear" w:color="auto" w:fill="auto"/>
            <w:noWrap/>
            <w:vAlign w:val="center"/>
          </w:tcPr>
          <w:p w14:paraId="19C7479B" w14:textId="760FE63C" w:rsidR="00A1235B" w:rsidRPr="00680906" w:rsidRDefault="006C6C7E" w:rsidP="00720058">
            <w:pPr>
              <w:jc w:val="center"/>
              <w:rPr>
                <w:rFonts w:ascii="Arial" w:hAnsi="Arial" w:cs="Arial"/>
                <w:color w:val="000000"/>
                <w:sz w:val="16"/>
                <w:szCs w:val="16"/>
              </w:rPr>
            </w:pPr>
            <w:r>
              <w:rPr>
                <w:rFonts w:ascii="Arial Narrow" w:hAnsi="Arial Narrow"/>
                <w:sz w:val="20"/>
                <w:szCs w:val="20"/>
              </w:rPr>
              <w:t>97,07</w:t>
            </w:r>
            <w:r w:rsidR="000376EF">
              <w:rPr>
                <w:rFonts w:ascii="Arial Narrow" w:hAnsi="Arial Narrow"/>
                <w:sz w:val="20"/>
                <w:szCs w:val="20"/>
              </w:rPr>
              <w:t xml:space="preserve"> </w:t>
            </w:r>
            <w:r w:rsidR="00A1235B" w:rsidRPr="00164292">
              <w:rPr>
                <w:rFonts w:ascii="Arial Narrow" w:hAnsi="Arial Narrow"/>
                <w:sz w:val="20"/>
                <w:szCs w:val="20"/>
              </w:rPr>
              <w:t>%</w:t>
            </w:r>
          </w:p>
        </w:tc>
      </w:tr>
    </w:tbl>
    <w:p w14:paraId="22FCE08C" w14:textId="77777777" w:rsidR="002416B1" w:rsidRPr="00123376" w:rsidRDefault="002416B1" w:rsidP="00123376">
      <w:pPr>
        <w:pStyle w:val="Zkladntextb"/>
        <w:spacing w:after="0" w:line="240" w:lineRule="auto"/>
        <w:ind w:left="0"/>
        <w:rPr>
          <w:rFonts w:cs="Arial"/>
          <w:sz w:val="16"/>
          <w:szCs w:val="16"/>
          <w:lang w:val="sk-SK"/>
        </w:rPr>
      </w:pPr>
      <w:r w:rsidRPr="00123376">
        <w:rPr>
          <w:rFonts w:cs="Arial"/>
          <w:sz w:val="16"/>
          <w:szCs w:val="16"/>
          <w:lang w:val="sk-SK"/>
        </w:rPr>
        <w:t>Zdroj: CO</w:t>
      </w:r>
    </w:p>
    <w:p w14:paraId="5A3F16CD" w14:textId="3415333D" w:rsidR="004D4FE1" w:rsidRDefault="004D4FE1">
      <w:pPr>
        <w:jc w:val="both"/>
        <w:rPr>
          <w:rFonts w:ascii="Arial" w:hAnsi="Arial" w:cs="Arial"/>
          <w:bCs/>
          <w:i/>
          <w:sz w:val="16"/>
          <w:szCs w:val="16"/>
        </w:rPr>
      </w:pPr>
      <w:r w:rsidRPr="00123376">
        <w:rPr>
          <w:rFonts w:ascii="Arial" w:hAnsi="Arial" w:cs="Arial"/>
          <w:i/>
          <w:sz w:val="16"/>
          <w:szCs w:val="16"/>
        </w:rPr>
        <w:t xml:space="preserve">Pozn.: </w:t>
      </w:r>
      <w:r w:rsidRPr="00123376">
        <w:rPr>
          <w:rFonts w:ascii="Arial" w:hAnsi="Arial" w:cs="Arial"/>
          <w:bCs/>
          <w:i/>
          <w:sz w:val="16"/>
          <w:szCs w:val="16"/>
        </w:rPr>
        <w:t>prehľad výdavkov schválených CO znížených o</w:t>
      </w:r>
      <w:r w:rsidR="00653A2A">
        <w:rPr>
          <w:rFonts w:ascii="Arial" w:hAnsi="Arial" w:cs="Arial"/>
          <w:bCs/>
          <w:i/>
          <w:sz w:val="16"/>
          <w:szCs w:val="16"/>
        </w:rPr>
        <w:t> </w:t>
      </w:r>
      <w:r w:rsidRPr="00123376">
        <w:rPr>
          <w:rFonts w:ascii="Arial" w:hAnsi="Arial" w:cs="Arial"/>
          <w:bCs/>
          <w:i/>
          <w:sz w:val="16"/>
          <w:szCs w:val="16"/>
        </w:rPr>
        <w:t>nezrovnalosti</w:t>
      </w:r>
    </w:p>
    <w:p w14:paraId="51B2EA5C" w14:textId="77777777" w:rsidR="00653A2A" w:rsidRPr="00123376" w:rsidRDefault="00653A2A">
      <w:pPr>
        <w:jc w:val="both"/>
        <w:rPr>
          <w:rFonts w:ascii="Arial" w:hAnsi="Arial" w:cs="Arial"/>
          <w:sz w:val="16"/>
          <w:szCs w:val="16"/>
        </w:rPr>
      </w:pPr>
    </w:p>
    <w:p w14:paraId="799BBE05" w14:textId="4E9E6A6F" w:rsidR="00BB19CC" w:rsidRPr="00BB19CC" w:rsidRDefault="00BB19CC" w:rsidP="00653A2A">
      <w:pPr>
        <w:jc w:val="both"/>
        <w:rPr>
          <w:b/>
          <w:bCs/>
        </w:rPr>
      </w:pPr>
      <w:r w:rsidRPr="00653A2A">
        <w:rPr>
          <w:rFonts w:ascii="Arial" w:hAnsi="Arial" w:cs="Arial"/>
          <w:sz w:val="20"/>
          <w:szCs w:val="20"/>
        </w:rPr>
        <w:t xml:space="preserve">Počas implementácie OP ŽP k 31.10.2016 došlo v rámci projektov prioritnej osi 3 k vráteniu finančných prostriedkov v 14 prípadoch. </w:t>
      </w:r>
    </w:p>
    <w:p w14:paraId="1F52AD9C" w14:textId="77777777" w:rsidR="002416B1" w:rsidRPr="00D641FF" w:rsidRDefault="002416B1" w:rsidP="00123376">
      <w:pPr>
        <w:pStyle w:val="Nadpis3"/>
        <w:spacing w:after="120"/>
        <w:jc w:val="both"/>
        <w:rPr>
          <w:rFonts w:cs="Arial"/>
        </w:rPr>
      </w:pPr>
      <w:bookmarkStart w:id="82" w:name="_Toc466914534"/>
      <w:r w:rsidRPr="0020746A">
        <w:rPr>
          <w:rFonts w:cs="Arial"/>
        </w:rPr>
        <w:t>3.3.2 Závažné problémy, ktoré sa vyskytli</w:t>
      </w:r>
      <w:r w:rsidR="000E22B9" w:rsidRPr="00D641FF">
        <w:rPr>
          <w:rFonts w:cs="Arial"/>
        </w:rPr>
        <w:t>,</w:t>
      </w:r>
      <w:r w:rsidRPr="00D641FF">
        <w:rPr>
          <w:rFonts w:cs="Arial"/>
        </w:rPr>
        <w:t xml:space="preserve"> a opatrenia prijaté na ich </w:t>
      </w:r>
      <w:r w:rsidR="000E22B9" w:rsidRPr="00D641FF">
        <w:rPr>
          <w:rFonts w:cs="Arial"/>
        </w:rPr>
        <w:t>odstránenie</w:t>
      </w:r>
      <w:bookmarkEnd w:id="82"/>
    </w:p>
    <w:p w14:paraId="41DAEB0D" w14:textId="77777777" w:rsidR="002416B1" w:rsidRPr="00E21C60" w:rsidRDefault="002416B1" w:rsidP="00510690">
      <w:pPr>
        <w:spacing w:before="120" w:after="120"/>
        <w:jc w:val="both"/>
        <w:rPr>
          <w:rFonts w:ascii="Arial" w:hAnsi="Arial" w:cs="Arial"/>
          <w:sz w:val="20"/>
          <w:szCs w:val="20"/>
        </w:rPr>
      </w:pPr>
      <w:r w:rsidRPr="00E21C60">
        <w:rPr>
          <w:rFonts w:ascii="Arial" w:hAnsi="Arial" w:cs="Arial"/>
          <w:sz w:val="20"/>
          <w:szCs w:val="20"/>
        </w:rPr>
        <w:t xml:space="preserve">V súvislosti s implementáciou Prioritnej osi 3 neboli zaznamenané žiadne závažné problémy. </w:t>
      </w:r>
    </w:p>
    <w:p w14:paraId="0678201A" w14:textId="77777777" w:rsidR="008A5AC2" w:rsidRPr="00123376" w:rsidRDefault="008A5AC2" w:rsidP="006D6468">
      <w:pPr>
        <w:spacing w:before="240" w:after="120"/>
        <w:rPr>
          <w:rFonts w:ascii="Arial" w:hAnsi="Arial" w:cs="Arial"/>
          <w:i/>
        </w:rPr>
      </w:pPr>
      <w:r w:rsidRPr="00CE0728">
        <w:rPr>
          <w:rFonts w:ascii="Arial" w:hAnsi="Arial" w:cs="Arial"/>
          <w:b/>
          <w:i/>
        </w:rPr>
        <w:t xml:space="preserve">Kvalitatívna analýza dosiahnutých výsledkov na úrovni prioritnej osi </w:t>
      </w:r>
      <w:r w:rsidR="000E362B" w:rsidRPr="00CE0728">
        <w:rPr>
          <w:rFonts w:ascii="Arial" w:hAnsi="Arial" w:cs="Arial"/>
          <w:b/>
          <w:i/>
        </w:rPr>
        <w:t>3</w:t>
      </w:r>
    </w:p>
    <w:p w14:paraId="497438C5" w14:textId="6C86987D" w:rsidR="008A5AC2" w:rsidRPr="00E21C60" w:rsidRDefault="008A5AC2" w:rsidP="00123376">
      <w:pPr>
        <w:spacing w:before="120"/>
        <w:jc w:val="both"/>
        <w:rPr>
          <w:rFonts w:ascii="Arial" w:hAnsi="Arial" w:cs="Arial"/>
          <w:sz w:val="20"/>
          <w:szCs w:val="20"/>
        </w:rPr>
      </w:pPr>
      <w:r w:rsidRPr="00E21C60">
        <w:rPr>
          <w:rFonts w:ascii="Arial" w:hAnsi="Arial" w:cs="Arial"/>
          <w:sz w:val="20"/>
          <w:szCs w:val="20"/>
        </w:rPr>
        <w:t>Tab</w:t>
      </w:r>
      <w:r w:rsidR="005E20F5" w:rsidRPr="00E21C60">
        <w:rPr>
          <w:rFonts w:ascii="Arial" w:hAnsi="Arial" w:cs="Arial"/>
          <w:sz w:val="20"/>
          <w:szCs w:val="20"/>
        </w:rPr>
        <w:t>uľka</w:t>
      </w:r>
      <w:r w:rsidRPr="00E21C60">
        <w:rPr>
          <w:rFonts w:ascii="Arial" w:hAnsi="Arial" w:cs="Arial"/>
          <w:sz w:val="20"/>
          <w:szCs w:val="20"/>
        </w:rPr>
        <w:t xml:space="preserve"> č.</w:t>
      </w:r>
      <w:r w:rsidR="007976C6" w:rsidRPr="00E21C60">
        <w:rPr>
          <w:rFonts w:ascii="Arial" w:hAnsi="Arial" w:cs="Arial"/>
          <w:sz w:val="20"/>
          <w:szCs w:val="20"/>
        </w:rPr>
        <w:t xml:space="preserve"> </w:t>
      </w:r>
      <w:r w:rsidR="005F03D4">
        <w:rPr>
          <w:rFonts w:ascii="Arial" w:hAnsi="Arial" w:cs="Arial"/>
          <w:sz w:val="20"/>
          <w:szCs w:val="20"/>
        </w:rPr>
        <w:t>5</w:t>
      </w:r>
      <w:r w:rsidR="007B1CB9">
        <w:rPr>
          <w:rFonts w:ascii="Arial" w:hAnsi="Arial" w:cs="Arial"/>
          <w:sz w:val="20"/>
          <w:szCs w:val="20"/>
        </w:rPr>
        <w:t>3</w:t>
      </w:r>
      <w:r w:rsidR="005E20F5" w:rsidRPr="00E21C60">
        <w:rPr>
          <w:rFonts w:ascii="Arial" w:hAnsi="Arial" w:cs="Arial"/>
          <w:sz w:val="20"/>
          <w:szCs w:val="20"/>
        </w:rPr>
        <w:t>:</w:t>
      </w:r>
      <w:r w:rsidR="00254D6C" w:rsidRPr="00E21C60">
        <w:rPr>
          <w:rFonts w:ascii="Arial" w:hAnsi="Arial" w:cs="Arial"/>
          <w:sz w:val="20"/>
          <w:szCs w:val="20"/>
        </w:rPr>
        <w:t xml:space="preserve"> </w:t>
      </w:r>
      <w:r w:rsidR="000B6E30" w:rsidRPr="00E21C60">
        <w:rPr>
          <w:rFonts w:ascii="Arial" w:hAnsi="Arial" w:cs="Arial"/>
          <w:sz w:val="20"/>
          <w:szCs w:val="20"/>
        </w:rPr>
        <w:t>Zhodnotenie úrovne podľa HT</w:t>
      </w:r>
    </w:p>
    <w:tbl>
      <w:tblPr>
        <w:tblW w:w="9155" w:type="dxa"/>
        <w:tblInd w:w="55" w:type="dxa"/>
        <w:tblLayout w:type="fixed"/>
        <w:tblCellMar>
          <w:left w:w="70" w:type="dxa"/>
          <w:right w:w="70" w:type="dxa"/>
        </w:tblCellMar>
        <w:tblLook w:val="04A0" w:firstRow="1" w:lastRow="0" w:firstColumn="1" w:lastColumn="0" w:noHBand="0" w:noVBand="1"/>
      </w:tblPr>
      <w:tblGrid>
        <w:gridCol w:w="2000"/>
        <w:gridCol w:w="615"/>
        <w:gridCol w:w="1308"/>
        <w:gridCol w:w="1308"/>
        <w:gridCol w:w="1308"/>
        <w:gridCol w:w="1308"/>
        <w:gridCol w:w="1308"/>
      </w:tblGrid>
      <w:tr w:rsidR="005E20F5" w:rsidRPr="00E21C60" w14:paraId="55BBB67C" w14:textId="77777777" w:rsidTr="007D7B08">
        <w:trPr>
          <w:trHeight w:val="957"/>
        </w:trPr>
        <w:tc>
          <w:tcPr>
            <w:tcW w:w="2000" w:type="dxa"/>
            <w:tcBorders>
              <w:top w:val="single" w:sz="8" w:space="0" w:color="auto"/>
              <w:left w:val="single" w:sz="8" w:space="0" w:color="auto"/>
              <w:bottom w:val="single" w:sz="8" w:space="0" w:color="auto"/>
              <w:right w:val="single" w:sz="8" w:space="0" w:color="auto"/>
            </w:tcBorders>
            <w:shd w:val="clear" w:color="auto" w:fill="C2D69B" w:themeFill="accent3" w:themeFillTint="99"/>
            <w:noWrap/>
            <w:vAlign w:val="center"/>
            <w:hideMark/>
          </w:tcPr>
          <w:p w14:paraId="0AB2C7AB" w14:textId="77777777" w:rsidR="005E20F5" w:rsidRPr="00E21C60" w:rsidRDefault="005E20F5">
            <w:pPr>
              <w:jc w:val="center"/>
              <w:rPr>
                <w:rFonts w:ascii="Arial" w:hAnsi="Arial" w:cs="Arial"/>
                <w:b/>
                <w:bCs/>
                <w:color w:val="000000"/>
                <w:sz w:val="16"/>
                <w:szCs w:val="16"/>
              </w:rPr>
            </w:pPr>
            <w:r w:rsidRPr="00E21C60">
              <w:rPr>
                <w:rFonts w:ascii="Arial" w:hAnsi="Arial" w:cs="Arial"/>
                <w:b/>
                <w:bCs/>
                <w:color w:val="000000"/>
                <w:sz w:val="16"/>
                <w:szCs w:val="16"/>
              </w:rPr>
              <w:t>Prioritná téma</w:t>
            </w:r>
          </w:p>
        </w:tc>
        <w:tc>
          <w:tcPr>
            <w:tcW w:w="615"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7A2A665" w14:textId="77777777" w:rsidR="005E20F5" w:rsidRPr="00E21C60" w:rsidRDefault="005E20F5">
            <w:pPr>
              <w:jc w:val="center"/>
              <w:rPr>
                <w:rFonts w:ascii="Arial" w:hAnsi="Arial" w:cs="Arial"/>
                <w:b/>
                <w:bCs/>
                <w:color w:val="000000"/>
                <w:sz w:val="16"/>
                <w:szCs w:val="16"/>
              </w:rPr>
            </w:pPr>
            <w:r w:rsidRPr="00E21C60">
              <w:rPr>
                <w:rFonts w:ascii="Arial" w:hAnsi="Arial" w:cs="Arial"/>
                <w:b/>
                <w:bCs/>
                <w:color w:val="000000"/>
                <w:sz w:val="16"/>
                <w:szCs w:val="16"/>
              </w:rPr>
              <w:t>Op.</w:t>
            </w:r>
            <w:r w:rsidRPr="00E21C60">
              <w:rPr>
                <w:rFonts w:ascii="Arial" w:hAnsi="Arial" w:cs="Arial"/>
                <w:b/>
                <w:bCs/>
                <w:color w:val="000000"/>
                <w:sz w:val="16"/>
                <w:szCs w:val="16"/>
              </w:rPr>
              <w:br/>
              <w:t>cieľ</w:t>
            </w:r>
          </w:p>
        </w:tc>
        <w:tc>
          <w:tcPr>
            <w:tcW w:w="130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5D617CF" w14:textId="77777777" w:rsidR="005E20F5" w:rsidRPr="00E21C60" w:rsidRDefault="005E20F5">
            <w:pPr>
              <w:jc w:val="center"/>
              <w:rPr>
                <w:rFonts w:ascii="Arial" w:hAnsi="Arial" w:cs="Arial"/>
                <w:b/>
                <w:bCs/>
                <w:color w:val="000000"/>
                <w:sz w:val="16"/>
                <w:szCs w:val="16"/>
              </w:rPr>
            </w:pPr>
            <w:r w:rsidRPr="00E21C60">
              <w:rPr>
                <w:rFonts w:ascii="Arial" w:hAnsi="Arial" w:cs="Arial"/>
                <w:b/>
                <w:bCs/>
                <w:color w:val="000000"/>
                <w:sz w:val="16"/>
                <w:szCs w:val="16"/>
              </w:rPr>
              <w:t>Celková alokácia</w:t>
            </w:r>
          </w:p>
          <w:p w14:paraId="015C0CA3" w14:textId="77777777" w:rsidR="005E20F5" w:rsidRPr="00E21C60" w:rsidRDefault="005E20F5">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30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435D71AD" w14:textId="77777777" w:rsidR="005E20F5" w:rsidRPr="00E21C60" w:rsidRDefault="005E20F5">
            <w:pPr>
              <w:jc w:val="center"/>
              <w:rPr>
                <w:rFonts w:ascii="Arial" w:hAnsi="Arial" w:cs="Arial"/>
                <w:b/>
                <w:bCs/>
                <w:color w:val="000000"/>
                <w:sz w:val="16"/>
                <w:szCs w:val="16"/>
              </w:rPr>
            </w:pPr>
            <w:r w:rsidRPr="00E21C60">
              <w:rPr>
                <w:rFonts w:ascii="Arial" w:hAnsi="Arial" w:cs="Arial"/>
                <w:b/>
                <w:bCs/>
                <w:color w:val="000000"/>
                <w:sz w:val="16"/>
                <w:szCs w:val="16"/>
              </w:rPr>
              <w:t>Suma zazmluvnená (EÚ zdroje)</w:t>
            </w:r>
          </w:p>
          <w:p w14:paraId="72DED6FB" w14:textId="77777777" w:rsidR="005E20F5" w:rsidRPr="00E21C60" w:rsidRDefault="005E20F5">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30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69EA5E61" w14:textId="77777777" w:rsidR="005E20F5" w:rsidRPr="00E21C60" w:rsidRDefault="005E20F5">
            <w:pPr>
              <w:jc w:val="center"/>
              <w:rPr>
                <w:rFonts w:ascii="Arial" w:hAnsi="Arial" w:cs="Arial"/>
                <w:b/>
                <w:bCs/>
                <w:color w:val="000000"/>
                <w:sz w:val="16"/>
                <w:szCs w:val="16"/>
              </w:rPr>
            </w:pPr>
            <w:r w:rsidRPr="00E21C60">
              <w:rPr>
                <w:rFonts w:ascii="Arial" w:hAnsi="Arial" w:cs="Arial"/>
                <w:b/>
                <w:bCs/>
                <w:color w:val="000000"/>
                <w:sz w:val="16"/>
                <w:szCs w:val="16"/>
              </w:rPr>
              <w:t>Podiel zazmluvnených projektov na celkovej alokácii</w:t>
            </w:r>
          </w:p>
        </w:tc>
        <w:tc>
          <w:tcPr>
            <w:tcW w:w="130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F33B189" w14:textId="230A13BD" w:rsidR="005E20F5" w:rsidRPr="00E21C60" w:rsidRDefault="005E20F5">
            <w:pPr>
              <w:jc w:val="center"/>
              <w:rPr>
                <w:rFonts w:ascii="Arial" w:hAnsi="Arial" w:cs="Arial"/>
                <w:b/>
                <w:bCs/>
                <w:color w:val="000000"/>
                <w:sz w:val="16"/>
                <w:szCs w:val="16"/>
              </w:rPr>
            </w:pPr>
            <w:r w:rsidRPr="00E21C60">
              <w:rPr>
                <w:rFonts w:ascii="Arial" w:hAnsi="Arial" w:cs="Arial"/>
                <w:b/>
                <w:bCs/>
                <w:color w:val="000000"/>
                <w:sz w:val="16"/>
                <w:szCs w:val="16"/>
              </w:rPr>
              <w:t>Suma čerpaná</w:t>
            </w:r>
            <w:r w:rsidR="00CE7F78">
              <w:rPr>
                <w:rFonts w:ascii="Arial" w:hAnsi="Arial" w:cs="Arial"/>
                <w:b/>
                <w:bCs/>
                <w:color w:val="000000"/>
                <w:sz w:val="16"/>
                <w:szCs w:val="16"/>
              </w:rPr>
              <w:t xml:space="preserve"> pri riadne ukončených projektoch</w:t>
            </w:r>
            <w:r w:rsidRPr="00E21C60">
              <w:rPr>
                <w:rFonts w:ascii="Arial" w:hAnsi="Arial" w:cs="Arial"/>
                <w:b/>
                <w:bCs/>
                <w:color w:val="000000"/>
                <w:sz w:val="16"/>
                <w:szCs w:val="16"/>
              </w:rPr>
              <w:t xml:space="preserve">  (EÚ zdroje)</w:t>
            </w:r>
          </w:p>
          <w:p w14:paraId="5D2ED01A" w14:textId="77777777" w:rsidR="005E20F5" w:rsidRPr="00E21C60" w:rsidRDefault="005E20F5">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30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67F24E88" w14:textId="77777777" w:rsidR="005E20F5" w:rsidRPr="00E21C60" w:rsidRDefault="005E20F5">
            <w:pPr>
              <w:jc w:val="center"/>
              <w:rPr>
                <w:rFonts w:ascii="Arial" w:hAnsi="Arial" w:cs="Arial"/>
                <w:b/>
                <w:bCs/>
                <w:color w:val="000000"/>
                <w:sz w:val="16"/>
                <w:szCs w:val="16"/>
              </w:rPr>
            </w:pPr>
            <w:r w:rsidRPr="00E21C60">
              <w:rPr>
                <w:rFonts w:ascii="Arial" w:hAnsi="Arial" w:cs="Arial"/>
                <w:b/>
                <w:bCs/>
                <w:color w:val="000000"/>
                <w:sz w:val="16"/>
                <w:szCs w:val="16"/>
              </w:rPr>
              <w:t>Podiel čerpania projektov na celkovej alokácii</w:t>
            </w:r>
          </w:p>
        </w:tc>
      </w:tr>
      <w:tr w:rsidR="005B1FAC" w:rsidRPr="00816618" w14:paraId="07CF6692" w14:textId="77777777" w:rsidTr="005B1FAC">
        <w:trPr>
          <w:trHeight w:val="240"/>
        </w:trPr>
        <w:tc>
          <w:tcPr>
            <w:tcW w:w="2000" w:type="dxa"/>
            <w:tcBorders>
              <w:top w:val="nil"/>
              <w:left w:val="single" w:sz="8" w:space="0" w:color="auto"/>
              <w:bottom w:val="single" w:sz="8" w:space="0" w:color="auto"/>
              <w:right w:val="single" w:sz="8" w:space="0" w:color="auto"/>
            </w:tcBorders>
            <w:shd w:val="clear" w:color="000000" w:fill="EAF1DD"/>
            <w:hideMark/>
          </w:tcPr>
          <w:p w14:paraId="1D548F49" w14:textId="79A31464" w:rsidR="005B1FAC" w:rsidRPr="002F3D62" w:rsidRDefault="005B1FAC" w:rsidP="005B1FAC">
            <w:pPr>
              <w:rPr>
                <w:rFonts w:ascii="Arial" w:hAnsi="Arial" w:cs="Arial"/>
                <w:b/>
                <w:bCs/>
                <w:color w:val="000000"/>
                <w:sz w:val="16"/>
                <w:szCs w:val="16"/>
              </w:rPr>
            </w:pPr>
            <w:r w:rsidRPr="002F3D62">
              <w:rPr>
                <w:rFonts w:ascii="Arial" w:hAnsi="Arial" w:cs="Arial"/>
                <w:b/>
                <w:bCs/>
                <w:color w:val="000000"/>
                <w:sz w:val="16"/>
                <w:szCs w:val="16"/>
              </w:rPr>
              <w:t>HT 47 Kvalita vzduchu</w:t>
            </w:r>
          </w:p>
        </w:tc>
        <w:tc>
          <w:tcPr>
            <w:tcW w:w="615" w:type="dxa"/>
            <w:tcBorders>
              <w:top w:val="nil"/>
              <w:left w:val="nil"/>
              <w:bottom w:val="single" w:sz="8" w:space="0" w:color="auto"/>
              <w:right w:val="single" w:sz="8" w:space="0" w:color="auto"/>
            </w:tcBorders>
            <w:shd w:val="clear" w:color="auto" w:fill="auto"/>
            <w:hideMark/>
          </w:tcPr>
          <w:p w14:paraId="5009ADFF" w14:textId="6C774AB0" w:rsidR="005B1FAC" w:rsidRPr="002F3D62" w:rsidRDefault="005B1FAC" w:rsidP="005B1FAC">
            <w:pPr>
              <w:jc w:val="center"/>
              <w:rPr>
                <w:rFonts w:ascii="Arial" w:hAnsi="Arial" w:cs="Arial"/>
                <w:bCs/>
                <w:color w:val="000000"/>
                <w:sz w:val="16"/>
                <w:szCs w:val="16"/>
              </w:rPr>
            </w:pPr>
            <w:r w:rsidRPr="002F3D62">
              <w:rPr>
                <w:rFonts w:ascii="Arial" w:hAnsi="Arial" w:cs="Arial"/>
                <w:bCs/>
                <w:color w:val="000000"/>
                <w:sz w:val="16"/>
                <w:szCs w:val="16"/>
              </w:rPr>
              <w:t>3.1.</w:t>
            </w:r>
          </w:p>
        </w:tc>
        <w:tc>
          <w:tcPr>
            <w:tcW w:w="1308" w:type="dxa"/>
            <w:tcBorders>
              <w:top w:val="nil"/>
              <w:left w:val="nil"/>
              <w:bottom w:val="single" w:sz="8" w:space="0" w:color="auto"/>
              <w:right w:val="single" w:sz="8" w:space="0" w:color="auto"/>
            </w:tcBorders>
            <w:shd w:val="clear" w:color="auto" w:fill="auto"/>
            <w:noWrap/>
            <w:vAlign w:val="center"/>
            <w:hideMark/>
          </w:tcPr>
          <w:p w14:paraId="1E64FE9C" w14:textId="235D935E" w:rsidR="005B1FAC" w:rsidRPr="005B1FAC" w:rsidRDefault="005B1FAC" w:rsidP="005B1FAC">
            <w:pPr>
              <w:jc w:val="center"/>
              <w:rPr>
                <w:rFonts w:ascii="Arial" w:hAnsi="Arial" w:cs="Arial"/>
                <w:bCs/>
                <w:color w:val="000000"/>
                <w:sz w:val="16"/>
                <w:szCs w:val="16"/>
              </w:rPr>
            </w:pPr>
            <w:r w:rsidRPr="005B1FAC">
              <w:rPr>
                <w:rFonts w:ascii="Arial" w:hAnsi="Arial" w:cs="Arial"/>
                <w:bCs/>
                <w:color w:val="000000"/>
                <w:sz w:val="16"/>
                <w:szCs w:val="16"/>
              </w:rPr>
              <w:t>107 800 000</w:t>
            </w:r>
          </w:p>
        </w:tc>
        <w:tc>
          <w:tcPr>
            <w:tcW w:w="1308" w:type="dxa"/>
            <w:tcBorders>
              <w:top w:val="nil"/>
              <w:left w:val="nil"/>
              <w:bottom w:val="single" w:sz="8" w:space="0" w:color="auto"/>
              <w:right w:val="single" w:sz="8" w:space="0" w:color="auto"/>
            </w:tcBorders>
            <w:shd w:val="clear" w:color="auto" w:fill="auto"/>
            <w:noWrap/>
            <w:vAlign w:val="center"/>
            <w:hideMark/>
          </w:tcPr>
          <w:p w14:paraId="23885A86" w14:textId="2E65F95F" w:rsidR="005B1FAC" w:rsidRPr="005B1FAC" w:rsidRDefault="005B1FAC" w:rsidP="00AF212C">
            <w:pPr>
              <w:jc w:val="center"/>
              <w:rPr>
                <w:rFonts w:ascii="Arial" w:hAnsi="Arial" w:cs="Arial"/>
                <w:bCs/>
                <w:color w:val="000000"/>
                <w:sz w:val="16"/>
                <w:szCs w:val="16"/>
              </w:rPr>
            </w:pPr>
            <w:r w:rsidRPr="005B1FAC">
              <w:rPr>
                <w:rFonts w:ascii="Arial" w:hAnsi="Arial" w:cs="Arial"/>
                <w:bCs/>
                <w:color w:val="000000"/>
                <w:sz w:val="16"/>
                <w:szCs w:val="16"/>
              </w:rPr>
              <w:t>113 080 27</w:t>
            </w:r>
            <w:r w:rsidR="00AF212C">
              <w:rPr>
                <w:rFonts w:ascii="Arial" w:hAnsi="Arial" w:cs="Arial"/>
                <w:bCs/>
                <w:color w:val="000000"/>
                <w:sz w:val="16"/>
                <w:szCs w:val="16"/>
              </w:rPr>
              <w:t>1</w:t>
            </w:r>
          </w:p>
        </w:tc>
        <w:tc>
          <w:tcPr>
            <w:tcW w:w="1308" w:type="dxa"/>
            <w:tcBorders>
              <w:top w:val="nil"/>
              <w:left w:val="nil"/>
              <w:bottom w:val="single" w:sz="8" w:space="0" w:color="auto"/>
              <w:right w:val="single" w:sz="8" w:space="0" w:color="auto"/>
            </w:tcBorders>
            <w:shd w:val="clear" w:color="auto" w:fill="auto"/>
            <w:noWrap/>
            <w:vAlign w:val="center"/>
            <w:hideMark/>
          </w:tcPr>
          <w:p w14:paraId="410594D5" w14:textId="0DA358FB" w:rsidR="005B1FAC" w:rsidRPr="005B1FAC" w:rsidRDefault="005B1FAC" w:rsidP="005B1FAC">
            <w:pPr>
              <w:jc w:val="center"/>
              <w:rPr>
                <w:rFonts w:ascii="Arial" w:hAnsi="Arial" w:cs="Arial"/>
                <w:bCs/>
                <w:color w:val="000000"/>
                <w:sz w:val="16"/>
                <w:szCs w:val="16"/>
              </w:rPr>
            </w:pPr>
            <w:r w:rsidRPr="005B1FAC">
              <w:rPr>
                <w:rFonts w:ascii="Arial" w:hAnsi="Arial" w:cs="Arial"/>
                <w:bCs/>
                <w:color w:val="000000"/>
                <w:sz w:val="16"/>
                <w:szCs w:val="16"/>
              </w:rPr>
              <w:t>104,90%</w:t>
            </w:r>
          </w:p>
        </w:tc>
        <w:tc>
          <w:tcPr>
            <w:tcW w:w="1308" w:type="dxa"/>
            <w:tcBorders>
              <w:top w:val="nil"/>
              <w:left w:val="nil"/>
              <w:bottom w:val="single" w:sz="8" w:space="0" w:color="auto"/>
              <w:right w:val="single" w:sz="8" w:space="0" w:color="auto"/>
            </w:tcBorders>
            <w:shd w:val="clear" w:color="auto" w:fill="auto"/>
            <w:noWrap/>
            <w:vAlign w:val="center"/>
            <w:hideMark/>
          </w:tcPr>
          <w:p w14:paraId="0E2B742B" w14:textId="191C6B36" w:rsidR="005B1FAC" w:rsidRPr="005B1FAC" w:rsidRDefault="005B1FAC" w:rsidP="00AF212C">
            <w:pPr>
              <w:jc w:val="center"/>
              <w:rPr>
                <w:rFonts w:ascii="Arial" w:hAnsi="Arial" w:cs="Arial"/>
                <w:bCs/>
                <w:color w:val="000000"/>
                <w:sz w:val="16"/>
                <w:szCs w:val="16"/>
              </w:rPr>
            </w:pPr>
            <w:r w:rsidRPr="005B1FAC">
              <w:rPr>
                <w:rFonts w:ascii="Arial" w:hAnsi="Arial" w:cs="Arial"/>
                <w:bCs/>
                <w:color w:val="000000"/>
                <w:sz w:val="16"/>
                <w:szCs w:val="16"/>
              </w:rPr>
              <w:t>110 404 082</w:t>
            </w:r>
          </w:p>
        </w:tc>
        <w:tc>
          <w:tcPr>
            <w:tcW w:w="1308" w:type="dxa"/>
            <w:tcBorders>
              <w:top w:val="nil"/>
              <w:left w:val="nil"/>
              <w:bottom w:val="single" w:sz="8" w:space="0" w:color="auto"/>
              <w:right w:val="single" w:sz="8" w:space="0" w:color="auto"/>
            </w:tcBorders>
            <w:shd w:val="clear" w:color="auto" w:fill="auto"/>
            <w:noWrap/>
            <w:vAlign w:val="center"/>
            <w:hideMark/>
          </w:tcPr>
          <w:p w14:paraId="34143F5B" w14:textId="36D3D00F" w:rsidR="005B1FAC" w:rsidRPr="005B1FAC" w:rsidRDefault="005B1FAC" w:rsidP="005B1FAC">
            <w:pPr>
              <w:jc w:val="center"/>
              <w:rPr>
                <w:rFonts w:ascii="Arial" w:hAnsi="Arial" w:cs="Arial"/>
                <w:bCs/>
                <w:color w:val="000000"/>
                <w:sz w:val="16"/>
                <w:szCs w:val="16"/>
              </w:rPr>
            </w:pPr>
            <w:r w:rsidRPr="005B1FAC">
              <w:rPr>
                <w:rFonts w:ascii="Arial" w:hAnsi="Arial" w:cs="Arial"/>
                <w:bCs/>
                <w:color w:val="000000"/>
                <w:sz w:val="16"/>
                <w:szCs w:val="16"/>
              </w:rPr>
              <w:t>102,42%</w:t>
            </w:r>
          </w:p>
        </w:tc>
      </w:tr>
      <w:tr w:rsidR="005B1FAC" w:rsidRPr="00816618" w14:paraId="038F2FA8" w14:textId="77777777" w:rsidTr="005B1FAC">
        <w:trPr>
          <w:trHeight w:val="690"/>
        </w:trPr>
        <w:tc>
          <w:tcPr>
            <w:tcW w:w="2000" w:type="dxa"/>
            <w:tcBorders>
              <w:top w:val="nil"/>
              <w:left w:val="single" w:sz="8" w:space="0" w:color="auto"/>
              <w:bottom w:val="single" w:sz="8" w:space="0" w:color="auto"/>
              <w:right w:val="single" w:sz="8" w:space="0" w:color="auto"/>
            </w:tcBorders>
            <w:shd w:val="clear" w:color="000000" w:fill="EAF1DD"/>
            <w:hideMark/>
          </w:tcPr>
          <w:p w14:paraId="3A9EA0B8" w14:textId="4B8E6383" w:rsidR="005B1FAC" w:rsidRPr="002F3D62" w:rsidRDefault="005B1FAC" w:rsidP="005B1FAC">
            <w:pPr>
              <w:rPr>
                <w:rFonts w:ascii="Arial" w:hAnsi="Arial" w:cs="Arial"/>
                <w:b/>
                <w:bCs/>
                <w:color w:val="000000"/>
                <w:sz w:val="16"/>
                <w:szCs w:val="16"/>
              </w:rPr>
            </w:pPr>
            <w:r w:rsidRPr="002F3D62">
              <w:rPr>
                <w:rFonts w:ascii="Arial" w:hAnsi="Arial" w:cs="Arial"/>
                <w:b/>
                <w:bCs/>
                <w:color w:val="000000"/>
                <w:sz w:val="16"/>
                <w:szCs w:val="16"/>
              </w:rPr>
              <w:t>HT 49 Zmierňovanie klimatickej zmeny a prispôsobovanie sa klimatickej zmene</w:t>
            </w:r>
          </w:p>
        </w:tc>
        <w:tc>
          <w:tcPr>
            <w:tcW w:w="615" w:type="dxa"/>
            <w:tcBorders>
              <w:top w:val="nil"/>
              <w:left w:val="nil"/>
              <w:bottom w:val="single" w:sz="8" w:space="0" w:color="auto"/>
              <w:right w:val="single" w:sz="8" w:space="0" w:color="auto"/>
            </w:tcBorders>
            <w:shd w:val="clear" w:color="auto" w:fill="auto"/>
            <w:hideMark/>
          </w:tcPr>
          <w:p w14:paraId="728876BA" w14:textId="19A6B9C3" w:rsidR="005B1FAC" w:rsidRPr="002F3D62" w:rsidRDefault="005B1FAC" w:rsidP="005B1FAC">
            <w:pPr>
              <w:jc w:val="center"/>
              <w:rPr>
                <w:rFonts w:ascii="Arial" w:hAnsi="Arial" w:cs="Arial"/>
                <w:bCs/>
                <w:color w:val="000000"/>
                <w:sz w:val="16"/>
                <w:szCs w:val="16"/>
              </w:rPr>
            </w:pPr>
            <w:r w:rsidRPr="002F3D62">
              <w:rPr>
                <w:rFonts w:ascii="Arial" w:hAnsi="Arial" w:cs="Arial"/>
                <w:bCs/>
                <w:color w:val="000000"/>
                <w:sz w:val="16"/>
                <w:szCs w:val="16"/>
              </w:rPr>
              <w:t>3.2.</w:t>
            </w:r>
          </w:p>
        </w:tc>
        <w:tc>
          <w:tcPr>
            <w:tcW w:w="1308" w:type="dxa"/>
            <w:tcBorders>
              <w:top w:val="nil"/>
              <w:left w:val="nil"/>
              <w:bottom w:val="single" w:sz="8" w:space="0" w:color="auto"/>
              <w:right w:val="single" w:sz="8" w:space="0" w:color="auto"/>
            </w:tcBorders>
            <w:shd w:val="clear" w:color="auto" w:fill="auto"/>
            <w:noWrap/>
            <w:vAlign w:val="center"/>
            <w:hideMark/>
          </w:tcPr>
          <w:p w14:paraId="783FAD23" w14:textId="24B9C2A1" w:rsidR="005B1FAC" w:rsidRPr="005B1FAC" w:rsidRDefault="005B1FAC" w:rsidP="005B1FAC">
            <w:pPr>
              <w:jc w:val="center"/>
              <w:rPr>
                <w:rFonts w:ascii="Arial" w:hAnsi="Arial" w:cs="Arial"/>
                <w:bCs/>
                <w:color w:val="000000"/>
                <w:sz w:val="16"/>
                <w:szCs w:val="16"/>
              </w:rPr>
            </w:pPr>
            <w:r w:rsidRPr="005B1FAC">
              <w:rPr>
                <w:rFonts w:ascii="Arial" w:hAnsi="Arial" w:cs="Arial"/>
                <w:bCs/>
                <w:color w:val="000000"/>
                <w:sz w:val="16"/>
                <w:szCs w:val="16"/>
              </w:rPr>
              <w:t>39 800 000</w:t>
            </w:r>
          </w:p>
        </w:tc>
        <w:tc>
          <w:tcPr>
            <w:tcW w:w="1308" w:type="dxa"/>
            <w:tcBorders>
              <w:top w:val="nil"/>
              <w:left w:val="nil"/>
              <w:bottom w:val="single" w:sz="8" w:space="0" w:color="auto"/>
              <w:right w:val="single" w:sz="8" w:space="0" w:color="auto"/>
            </w:tcBorders>
            <w:shd w:val="clear" w:color="auto" w:fill="auto"/>
            <w:noWrap/>
            <w:vAlign w:val="center"/>
            <w:hideMark/>
          </w:tcPr>
          <w:p w14:paraId="3DE20363" w14:textId="7249A4D8" w:rsidR="005B1FAC" w:rsidRPr="005B1FAC" w:rsidRDefault="005B1FAC" w:rsidP="00AF212C">
            <w:pPr>
              <w:jc w:val="center"/>
              <w:rPr>
                <w:rFonts w:ascii="Arial" w:hAnsi="Arial" w:cs="Arial"/>
                <w:bCs/>
                <w:color w:val="000000"/>
                <w:sz w:val="16"/>
                <w:szCs w:val="16"/>
              </w:rPr>
            </w:pPr>
            <w:r w:rsidRPr="005B1FAC">
              <w:rPr>
                <w:rFonts w:ascii="Arial" w:hAnsi="Arial" w:cs="Arial"/>
                <w:bCs/>
                <w:color w:val="000000"/>
                <w:sz w:val="16"/>
                <w:szCs w:val="16"/>
              </w:rPr>
              <w:t>38 936 99</w:t>
            </w:r>
            <w:r w:rsidR="00AF212C">
              <w:rPr>
                <w:rFonts w:ascii="Arial" w:hAnsi="Arial" w:cs="Arial"/>
                <w:bCs/>
                <w:color w:val="000000"/>
                <w:sz w:val="16"/>
                <w:szCs w:val="16"/>
              </w:rPr>
              <w:t>8</w:t>
            </w:r>
          </w:p>
        </w:tc>
        <w:tc>
          <w:tcPr>
            <w:tcW w:w="1308" w:type="dxa"/>
            <w:tcBorders>
              <w:top w:val="nil"/>
              <w:left w:val="nil"/>
              <w:bottom w:val="single" w:sz="8" w:space="0" w:color="auto"/>
              <w:right w:val="single" w:sz="8" w:space="0" w:color="auto"/>
            </w:tcBorders>
            <w:shd w:val="clear" w:color="auto" w:fill="auto"/>
            <w:noWrap/>
            <w:vAlign w:val="center"/>
            <w:hideMark/>
          </w:tcPr>
          <w:p w14:paraId="22A8C78E" w14:textId="4803E617" w:rsidR="005B1FAC" w:rsidRPr="005B1FAC" w:rsidRDefault="005B1FAC" w:rsidP="005B1FAC">
            <w:pPr>
              <w:jc w:val="center"/>
              <w:rPr>
                <w:rFonts w:ascii="Arial" w:hAnsi="Arial" w:cs="Arial"/>
                <w:bCs/>
                <w:color w:val="000000"/>
                <w:sz w:val="16"/>
                <w:szCs w:val="16"/>
              </w:rPr>
            </w:pPr>
            <w:r w:rsidRPr="005B1FAC">
              <w:rPr>
                <w:rFonts w:ascii="Arial" w:hAnsi="Arial" w:cs="Arial"/>
                <w:bCs/>
                <w:color w:val="000000"/>
                <w:sz w:val="16"/>
                <w:szCs w:val="16"/>
              </w:rPr>
              <w:t>97,83%</w:t>
            </w:r>
          </w:p>
        </w:tc>
        <w:tc>
          <w:tcPr>
            <w:tcW w:w="1308" w:type="dxa"/>
            <w:tcBorders>
              <w:top w:val="nil"/>
              <w:left w:val="nil"/>
              <w:bottom w:val="single" w:sz="8" w:space="0" w:color="auto"/>
              <w:right w:val="single" w:sz="8" w:space="0" w:color="auto"/>
            </w:tcBorders>
            <w:shd w:val="clear" w:color="auto" w:fill="auto"/>
            <w:noWrap/>
            <w:vAlign w:val="center"/>
            <w:hideMark/>
          </w:tcPr>
          <w:p w14:paraId="3FFC5D37" w14:textId="2CE5DD5F" w:rsidR="005B1FAC" w:rsidRPr="005B1FAC" w:rsidRDefault="005B1FAC" w:rsidP="00AF212C">
            <w:pPr>
              <w:jc w:val="center"/>
              <w:rPr>
                <w:rFonts w:ascii="Arial" w:hAnsi="Arial" w:cs="Arial"/>
                <w:bCs/>
                <w:color w:val="000000"/>
                <w:sz w:val="16"/>
                <w:szCs w:val="16"/>
              </w:rPr>
            </w:pPr>
            <w:r w:rsidRPr="005B1FAC">
              <w:rPr>
                <w:rFonts w:ascii="Arial" w:hAnsi="Arial" w:cs="Arial"/>
                <w:bCs/>
                <w:color w:val="000000"/>
                <w:sz w:val="16"/>
                <w:szCs w:val="16"/>
              </w:rPr>
              <w:t>37 11</w:t>
            </w:r>
            <w:r w:rsidR="00AF212C">
              <w:rPr>
                <w:rFonts w:ascii="Arial" w:hAnsi="Arial" w:cs="Arial"/>
                <w:bCs/>
                <w:color w:val="000000"/>
                <w:sz w:val="16"/>
                <w:szCs w:val="16"/>
              </w:rPr>
              <w:t>4 000</w:t>
            </w:r>
          </w:p>
        </w:tc>
        <w:tc>
          <w:tcPr>
            <w:tcW w:w="1308" w:type="dxa"/>
            <w:tcBorders>
              <w:top w:val="nil"/>
              <w:left w:val="nil"/>
              <w:bottom w:val="single" w:sz="8" w:space="0" w:color="auto"/>
              <w:right w:val="single" w:sz="8" w:space="0" w:color="auto"/>
            </w:tcBorders>
            <w:shd w:val="clear" w:color="auto" w:fill="auto"/>
            <w:noWrap/>
            <w:vAlign w:val="center"/>
            <w:hideMark/>
          </w:tcPr>
          <w:p w14:paraId="4F90DD86" w14:textId="415D7D87" w:rsidR="005B1FAC" w:rsidRPr="005B1FAC" w:rsidRDefault="005B1FAC" w:rsidP="005B1FAC">
            <w:pPr>
              <w:jc w:val="center"/>
              <w:rPr>
                <w:rFonts w:ascii="Arial" w:hAnsi="Arial" w:cs="Arial"/>
                <w:bCs/>
                <w:color w:val="000000"/>
                <w:sz w:val="16"/>
                <w:szCs w:val="16"/>
              </w:rPr>
            </w:pPr>
            <w:r w:rsidRPr="005B1FAC">
              <w:rPr>
                <w:rFonts w:ascii="Arial" w:hAnsi="Arial" w:cs="Arial"/>
                <w:bCs/>
                <w:color w:val="000000"/>
                <w:sz w:val="16"/>
                <w:szCs w:val="16"/>
              </w:rPr>
              <w:t>93,25%</w:t>
            </w:r>
          </w:p>
        </w:tc>
      </w:tr>
      <w:tr w:rsidR="005B1FAC" w:rsidRPr="00816618" w14:paraId="72B046B3" w14:textId="77777777" w:rsidTr="005B1FAC">
        <w:trPr>
          <w:trHeight w:val="465"/>
        </w:trPr>
        <w:tc>
          <w:tcPr>
            <w:tcW w:w="2000" w:type="dxa"/>
            <w:tcBorders>
              <w:top w:val="nil"/>
              <w:left w:val="single" w:sz="8" w:space="0" w:color="auto"/>
              <w:bottom w:val="single" w:sz="8" w:space="0" w:color="auto"/>
              <w:right w:val="single" w:sz="8" w:space="0" w:color="auto"/>
            </w:tcBorders>
            <w:shd w:val="clear" w:color="000000" w:fill="EAF1DD"/>
            <w:hideMark/>
          </w:tcPr>
          <w:p w14:paraId="2723E892" w14:textId="56356833" w:rsidR="005B1FAC" w:rsidRPr="002F3D62" w:rsidRDefault="005B1FAC" w:rsidP="005B1FAC">
            <w:pPr>
              <w:rPr>
                <w:rFonts w:ascii="Arial" w:hAnsi="Arial" w:cs="Arial"/>
                <w:b/>
                <w:bCs/>
                <w:color w:val="000000"/>
                <w:sz w:val="16"/>
                <w:szCs w:val="16"/>
              </w:rPr>
            </w:pPr>
            <w:r w:rsidRPr="002F3D62">
              <w:rPr>
                <w:rFonts w:ascii="Arial" w:hAnsi="Arial" w:cs="Arial"/>
                <w:b/>
                <w:bCs/>
                <w:color w:val="000000"/>
                <w:sz w:val="16"/>
                <w:szCs w:val="16"/>
              </w:rPr>
              <w:t>HT 52 Podpora čistej mestskej dopravy</w:t>
            </w:r>
          </w:p>
        </w:tc>
        <w:tc>
          <w:tcPr>
            <w:tcW w:w="615" w:type="dxa"/>
            <w:tcBorders>
              <w:top w:val="nil"/>
              <w:left w:val="nil"/>
              <w:bottom w:val="single" w:sz="8" w:space="0" w:color="auto"/>
              <w:right w:val="single" w:sz="8" w:space="0" w:color="auto"/>
            </w:tcBorders>
            <w:shd w:val="clear" w:color="auto" w:fill="auto"/>
            <w:hideMark/>
          </w:tcPr>
          <w:p w14:paraId="279DE6C8" w14:textId="31E336BA" w:rsidR="005B1FAC" w:rsidRPr="002F3D62" w:rsidRDefault="005B1FAC" w:rsidP="005B1FAC">
            <w:pPr>
              <w:jc w:val="center"/>
              <w:rPr>
                <w:rFonts w:ascii="Arial" w:hAnsi="Arial" w:cs="Arial"/>
                <w:bCs/>
                <w:color w:val="000000"/>
                <w:sz w:val="16"/>
                <w:szCs w:val="16"/>
              </w:rPr>
            </w:pPr>
            <w:r w:rsidRPr="002F3D62">
              <w:rPr>
                <w:rFonts w:ascii="Arial" w:hAnsi="Arial" w:cs="Arial"/>
                <w:bCs/>
                <w:color w:val="000000"/>
                <w:sz w:val="16"/>
                <w:szCs w:val="16"/>
              </w:rPr>
              <w:t>3.1.</w:t>
            </w:r>
          </w:p>
        </w:tc>
        <w:tc>
          <w:tcPr>
            <w:tcW w:w="1308" w:type="dxa"/>
            <w:tcBorders>
              <w:top w:val="nil"/>
              <w:left w:val="nil"/>
              <w:bottom w:val="single" w:sz="8" w:space="0" w:color="auto"/>
              <w:right w:val="single" w:sz="8" w:space="0" w:color="auto"/>
            </w:tcBorders>
            <w:shd w:val="clear" w:color="auto" w:fill="auto"/>
            <w:noWrap/>
            <w:vAlign w:val="center"/>
            <w:hideMark/>
          </w:tcPr>
          <w:p w14:paraId="6FAB53E8" w14:textId="3A637A9B" w:rsidR="005B1FAC" w:rsidRPr="005B1FAC" w:rsidRDefault="005B1FAC" w:rsidP="005B1FAC">
            <w:pPr>
              <w:jc w:val="center"/>
              <w:rPr>
                <w:rFonts w:ascii="Arial" w:hAnsi="Arial" w:cs="Arial"/>
                <w:bCs/>
                <w:color w:val="000000"/>
                <w:sz w:val="16"/>
                <w:szCs w:val="16"/>
              </w:rPr>
            </w:pPr>
            <w:r w:rsidRPr="005B1FAC">
              <w:rPr>
                <w:rFonts w:ascii="Arial" w:hAnsi="Arial" w:cs="Arial"/>
                <w:bCs/>
                <w:color w:val="000000"/>
                <w:sz w:val="16"/>
                <w:szCs w:val="16"/>
              </w:rPr>
              <w:t>32 400 000</w:t>
            </w:r>
          </w:p>
        </w:tc>
        <w:tc>
          <w:tcPr>
            <w:tcW w:w="1308" w:type="dxa"/>
            <w:tcBorders>
              <w:top w:val="nil"/>
              <w:left w:val="nil"/>
              <w:bottom w:val="single" w:sz="8" w:space="0" w:color="auto"/>
              <w:right w:val="single" w:sz="8" w:space="0" w:color="auto"/>
            </w:tcBorders>
            <w:shd w:val="clear" w:color="auto" w:fill="auto"/>
            <w:noWrap/>
            <w:vAlign w:val="center"/>
            <w:hideMark/>
          </w:tcPr>
          <w:p w14:paraId="1ABECF8A" w14:textId="50ECF076" w:rsidR="005B1FAC" w:rsidRPr="005B1FAC" w:rsidRDefault="005B1FAC" w:rsidP="00AF212C">
            <w:pPr>
              <w:jc w:val="center"/>
              <w:rPr>
                <w:rFonts w:ascii="Arial" w:hAnsi="Arial" w:cs="Arial"/>
                <w:bCs/>
                <w:color w:val="000000"/>
                <w:sz w:val="16"/>
                <w:szCs w:val="16"/>
              </w:rPr>
            </w:pPr>
            <w:r w:rsidRPr="005B1FAC">
              <w:rPr>
                <w:rFonts w:ascii="Arial" w:hAnsi="Arial" w:cs="Arial"/>
                <w:bCs/>
                <w:color w:val="000000"/>
                <w:sz w:val="16"/>
                <w:szCs w:val="16"/>
              </w:rPr>
              <w:t xml:space="preserve">37 461 </w:t>
            </w:r>
            <w:r w:rsidR="00AF212C" w:rsidRPr="005B1FAC">
              <w:rPr>
                <w:rFonts w:ascii="Arial" w:hAnsi="Arial" w:cs="Arial"/>
                <w:bCs/>
                <w:color w:val="000000"/>
                <w:sz w:val="16"/>
                <w:szCs w:val="16"/>
              </w:rPr>
              <w:t>7</w:t>
            </w:r>
            <w:r w:rsidR="00AF212C">
              <w:rPr>
                <w:rFonts w:ascii="Arial" w:hAnsi="Arial" w:cs="Arial"/>
                <w:bCs/>
                <w:color w:val="000000"/>
                <w:sz w:val="16"/>
                <w:szCs w:val="16"/>
              </w:rPr>
              <w:t>90</w:t>
            </w:r>
          </w:p>
        </w:tc>
        <w:tc>
          <w:tcPr>
            <w:tcW w:w="1308" w:type="dxa"/>
            <w:tcBorders>
              <w:top w:val="nil"/>
              <w:left w:val="nil"/>
              <w:bottom w:val="single" w:sz="8" w:space="0" w:color="auto"/>
              <w:right w:val="single" w:sz="8" w:space="0" w:color="auto"/>
            </w:tcBorders>
            <w:shd w:val="clear" w:color="auto" w:fill="auto"/>
            <w:noWrap/>
            <w:vAlign w:val="center"/>
            <w:hideMark/>
          </w:tcPr>
          <w:p w14:paraId="252C961C" w14:textId="42749E54" w:rsidR="005B1FAC" w:rsidRPr="005B1FAC" w:rsidRDefault="005B1FAC" w:rsidP="005B1FAC">
            <w:pPr>
              <w:jc w:val="center"/>
              <w:rPr>
                <w:rFonts w:ascii="Arial" w:hAnsi="Arial" w:cs="Arial"/>
                <w:bCs/>
                <w:color w:val="000000"/>
                <w:sz w:val="16"/>
                <w:szCs w:val="16"/>
              </w:rPr>
            </w:pPr>
            <w:r w:rsidRPr="005B1FAC">
              <w:rPr>
                <w:rFonts w:ascii="Arial" w:hAnsi="Arial" w:cs="Arial"/>
                <w:bCs/>
                <w:color w:val="000000"/>
                <w:sz w:val="16"/>
                <w:szCs w:val="16"/>
              </w:rPr>
              <w:t>115,62%</w:t>
            </w:r>
          </w:p>
        </w:tc>
        <w:tc>
          <w:tcPr>
            <w:tcW w:w="1308" w:type="dxa"/>
            <w:tcBorders>
              <w:top w:val="nil"/>
              <w:left w:val="nil"/>
              <w:bottom w:val="single" w:sz="8" w:space="0" w:color="auto"/>
              <w:right w:val="single" w:sz="8" w:space="0" w:color="auto"/>
            </w:tcBorders>
            <w:shd w:val="clear" w:color="auto" w:fill="auto"/>
            <w:noWrap/>
            <w:vAlign w:val="center"/>
            <w:hideMark/>
          </w:tcPr>
          <w:p w14:paraId="3A8773C2" w14:textId="060399C8" w:rsidR="005B1FAC" w:rsidRPr="005B1FAC" w:rsidRDefault="005B1FAC" w:rsidP="00AF212C">
            <w:pPr>
              <w:jc w:val="center"/>
              <w:rPr>
                <w:rFonts w:ascii="Arial" w:hAnsi="Arial" w:cs="Arial"/>
                <w:bCs/>
                <w:color w:val="000000"/>
                <w:sz w:val="16"/>
                <w:szCs w:val="16"/>
              </w:rPr>
            </w:pPr>
            <w:r w:rsidRPr="005B1FAC">
              <w:rPr>
                <w:rFonts w:ascii="Arial" w:hAnsi="Arial" w:cs="Arial"/>
                <w:bCs/>
                <w:color w:val="000000"/>
                <w:sz w:val="16"/>
                <w:szCs w:val="16"/>
              </w:rPr>
              <w:t xml:space="preserve">36 616 </w:t>
            </w:r>
            <w:r w:rsidR="00AF212C" w:rsidRPr="005B1FAC">
              <w:rPr>
                <w:rFonts w:ascii="Arial" w:hAnsi="Arial" w:cs="Arial"/>
                <w:bCs/>
                <w:color w:val="000000"/>
                <w:sz w:val="16"/>
                <w:szCs w:val="16"/>
              </w:rPr>
              <w:t>27</w:t>
            </w:r>
            <w:r w:rsidR="00AF212C">
              <w:rPr>
                <w:rFonts w:ascii="Arial" w:hAnsi="Arial" w:cs="Arial"/>
                <w:bCs/>
                <w:color w:val="000000"/>
                <w:sz w:val="16"/>
                <w:szCs w:val="16"/>
              </w:rPr>
              <w:t>7</w:t>
            </w:r>
          </w:p>
        </w:tc>
        <w:tc>
          <w:tcPr>
            <w:tcW w:w="1308" w:type="dxa"/>
            <w:tcBorders>
              <w:top w:val="nil"/>
              <w:left w:val="nil"/>
              <w:bottom w:val="single" w:sz="8" w:space="0" w:color="auto"/>
              <w:right w:val="single" w:sz="8" w:space="0" w:color="auto"/>
            </w:tcBorders>
            <w:shd w:val="clear" w:color="auto" w:fill="auto"/>
            <w:noWrap/>
            <w:vAlign w:val="center"/>
            <w:hideMark/>
          </w:tcPr>
          <w:p w14:paraId="7970AD2B" w14:textId="4E7E17A3" w:rsidR="005B1FAC" w:rsidRPr="005B1FAC" w:rsidRDefault="005B1FAC" w:rsidP="005B1FAC">
            <w:pPr>
              <w:jc w:val="center"/>
              <w:rPr>
                <w:rFonts w:ascii="Arial" w:hAnsi="Arial" w:cs="Arial"/>
                <w:bCs/>
                <w:color w:val="000000"/>
                <w:sz w:val="16"/>
                <w:szCs w:val="16"/>
              </w:rPr>
            </w:pPr>
            <w:r w:rsidRPr="005B1FAC">
              <w:rPr>
                <w:rFonts w:ascii="Arial" w:hAnsi="Arial" w:cs="Arial"/>
                <w:bCs/>
                <w:color w:val="000000"/>
                <w:sz w:val="16"/>
                <w:szCs w:val="16"/>
              </w:rPr>
              <w:t>113,01%</w:t>
            </w:r>
          </w:p>
        </w:tc>
      </w:tr>
      <w:tr w:rsidR="005B1FAC" w:rsidRPr="00E21C60" w14:paraId="0CA66139" w14:textId="77777777" w:rsidTr="005B1FAC">
        <w:trPr>
          <w:trHeight w:val="240"/>
        </w:trPr>
        <w:tc>
          <w:tcPr>
            <w:tcW w:w="2615" w:type="dxa"/>
            <w:gridSpan w:val="2"/>
            <w:tcBorders>
              <w:top w:val="single" w:sz="8" w:space="0" w:color="auto"/>
              <w:left w:val="single" w:sz="8" w:space="0" w:color="auto"/>
              <w:bottom w:val="single" w:sz="8" w:space="0" w:color="auto"/>
              <w:right w:val="single" w:sz="8" w:space="0" w:color="000000"/>
            </w:tcBorders>
            <w:shd w:val="clear" w:color="000000" w:fill="EAF1DD"/>
            <w:vAlign w:val="center"/>
            <w:hideMark/>
          </w:tcPr>
          <w:p w14:paraId="6F95396F" w14:textId="77777777" w:rsidR="005B1FAC" w:rsidRPr="009D6F3F" w:rsidRDefault="005B1FAC" w:rsidP="005B1FAC">
            <w:pPr>
              <w:rPr>
                <w:rFonts w:ascii="Arial" w:hAnsi="Arial" w:cs="Arial"/>
                <w:b/>
                <w:bCs/>
                <w:color w:val="000000"/>
                <w:sz w:val="16"/>
                <w:szCs w:val="16"/>
              </w:rPr>
            </w:pPr>
            <w:r w:rsidRPr="009D6F3F">
              <w:rPr>
                <w:rFonts w:ascii="Arial" w:hAnsi="Arial" w:cs="Arial"/>
                <w:b/>
                <w:bCs/>
                <w:color w:val="000000"/>
                <w:sz w:val="16"/>
                <w:szCs w:val="16"/>
              </w:rPr>
              <w:t>Spolu</w:t>
            </w:r>
          </w:p>
        </w:tc>
        <w:tc>
          <w:tcPr>
            <w:tcW w:w="1308" w:type="dxa"/>
            <w:tcBorders>
              <w:top w:val="nil"/>
              <w:left w:val="nil"/>
              <w:bottom w:val="single" w:sz="8" w:space="0" w:color="auto"/>
              <w:right w:val="single" w:sz="8" w:space="0" w:color="auto"/>
            </w:tcBorders>
            <w:shd w:val="clear" w:color="000000" w:fill="EAF1DD"/>
            <w:noWrap/>
            <w:vAlign w:val="center"/>
            <w:hideMark/>
          </w:tcPr>
          <w:p w14:paraId="4AC953A1" w14:textId="4C0B9D25" w:rsidR="005B1FAC" w:rsidRPr="002F3D62" w:rsidRDefault="005B1FAC" w:rsidP="005B1FAC">
            <w:pPr>
              <w:jc w:val="center"/>
              <w:rPr>
                <w:rFonts w:ascii="Arial" w:hAnsi="Arial" w:cs="Arial"/>
                <w:b/>
                <w:bCs/>
                <w:color w:val="000000"/>
                <w:sz w:val="16"/>
                <w:szCs w:val="16"/>
              </w:rPr>
            </w:pPr>
            <w:r w:rsidRPr="005B1FAC">
              <w:rPr>
                <w:rFonts w:ascii="Arial" w:hAnsi="Arial" w:cs="Arial"/>
                <w:b/>
                <w:bCs/>
                <w:color w:val="000000"/>
                <w:sz w:val="16"/>
                <w:szCs w:val="16"/>
              </w:rPr>
              <w:t>180 000 000</w:t>
            </w:r>
          </w:p>
        </w:tc>
        <w:tc>
          <w:tcPr>
            <w:tcW w:w="1308" w:type="dxa"/>
            <w:tcBorders>
              <w:top w:val="nil"/>
              <w:left w:val="nil"/>
              <w:bottom w:val="single" w:sz="8" w:space="0" w:color="auto"/>
              <w:right w:val="single" w:sz="8" w:space="0" w:color="auto"/>
            </w:tcBorders>
            <w:shd w:val="clear" w:color="000000" w:fill="EAF1DD"/>
            <w:vAlign w:val="center"/>
            <w:hideMark/>
          </w:tcPr>
          <w:p w14:paraId="289A2E84" w14:textId="18835E0B" w:rsidR="005B1FAC" w:rsidRPr="002F3D62" w:rsidRDefault="005B1FAC" w:rsidP="005B1FAC">
            <w:pPr>
              <w:jc w:val="center"/>
              <w:rPr>
                <w:rFonts w:ascii="Arial" w:hAnsi="Arial" w:cs="Arial"/>
                <w:b/>
                <w:bCs/>
                <w:color w:val="000000"/>
                <w:sz w:val="16"/>
                <w:szCs w:val="16"/>
              </w:rPr>
            </w:pPr>
            <w:r w:rsidRPr="005B1FAC">
              <w:rPr>
                <w:rFonts w:ascii="Arial" w:hAnsi="Arial" w:cs="Arial"/>
                <w:b/>
                <w:bCs/>
                <w:color w:val="000000"/>
                <w:sz w:val="16"/>
                <w:szCs w:val="16"/>
              </w:rPr>
              <w:t>189 479 059</w:t>
            </w:r>
          </w:p>
        </w:tc>
        <w:tc>
          <w:tcPr>
            <w:tcW w:w="1308" w:type="dxa"/>
            <w:tcBorders>
              <w:top w:val="nil"/>
              <w:left w:val="nil"/>
              <w:bottom w:val="single" w:sz="8" w:space="0" w:color="auto"/>
              <w:right w:val="single" w:sz="8" w:space="0" w:color="auto"/>
            </w:tcBorders>
            <w:shd w:val="clear" w:color="000000" w:fill="EAF1DD"/>
            <w:noWrap/>
            <w:vAlign w:val="center"/>
            <w:hideMark/>
          </w:tcPr>
          <w:p w14:paraId="3DF74E6D" w14:textId="714671E6" w:rsidR="005B1FAC" w:rsidRPr="002F3D62" w:rsidRDefault="005B1FAC" w:rsidP="005B1FAC">
            <w:pPr>
              <w:jc w:val="center"/>
              <w:rPr>
                <w:rFonts w:ascii="Arial" w:hAnsi="Arial" w:cs="Arial"/>
                <w:b/>
                <w:bCs/>
                <w:color w:val="000000"/>
                <w:sz w:val="16"/>
                <w:szCs w:val="16"/>
              </w:rPr>
            </w:pPr>
            <w:r w:rsidRPr="005B1FAC">
              <w:rPr>
                <w:rFonts w:ascii="Arial" w:hAnsi="Arial" w:cs="Arial"/>
                <w:b/>
                <w:bCs/>
                <w:color w:val="000000"/>
                <w:sz w:val="16"/>
                <w:szCs w:val="16"/>
              </w:rPr>
              <w:t>105,27%</w:t>
            </w:r>
          </w:p>
        </w:tc>
        <w:tc>
          <w:tcPr>
            <w:tcW w:w="1308" w:type="dxa"/>
            <w:tcBorders>
              <w:top w:val="nil"/>
              <w:left w:val="nil"/>
              <w:bottom w:val="single" w:sz="8" w:space="0" w:color="auto"/>
              <w:right w:val="single" w:sz="8" w:space="0" w:color="auto"/>
            </w:tcBorders>
            <w:shd w:val="clear" w:color="000000" w:fill="EAF1DD"/>
            <w:vAlign w:val="center"/>
            <w:hideMark/>
          </w:tcPr>
          <w:p w14:paraId="53888895" w14:textId="44D1518D" w:rsidR="005B1FAC" w:rsidRPr="002F3D62" w:rsidRDefault="005B1FAC" w:rsidP="005B1FAC">
            <w:pPr>
              <w:jc w:val="center"/>
              <w:rPr>
                <w:rFonts w:ascii="Arial" w:hAnsi="Arial" w:cs="Arial"/>
                <w:b/>
                <w:bCs/>
                <w:color w:val="000000"/>
                <w:sz w:val="16"/>
                <w:szCs w:val="16"/>
              </w:rPr>
            </w:pPr>
            <w:r w:rsidRPr="005B1FAC">
              <w:rPr>
                <w:rFonts w:ascii="Arial" w:hAnsi="Arial" w:cs="Arial"/>
                <w:b/>
                <w:bCs/>
                <w:color w:val="000000"/>
                <w:sz w:val="16"/>
                <w:szCs w:val="16"/>
              </w:rPr>
              <w:t>184 134 358</w:t>
            </w:r>
          </w:p>
        </w:tc>
        <w:tc>
          <w:tcPr>
            <w:tcW w:w="1308" w:type="dxa"/>
            <w:tcBorders>
              <w:top w:val="nil"/>
              <w:left w:val="nil"/>
              <w:bottom w:val="single" w:sz="8" w:space="0" w:color="auto"/>
              <w:right w:val="single" w:sz="8" w:space="0" w:color="auto"/>
            </w:tcBorders>
            <w:shd w:val="clear" w:color="000000" w:fill="EAF1DD"/>
            <w:noWrap/>
            <w:vAlign w:val="center"/>
            <w:hideMark/>
          </w:tcPr>
          <w:p w14:paraId="37ECA5EE" w14:textId="03AF09E4" w:rsidR="005B1FAC" w:rsidRPr="002F3D62" w:rsidRDefault="005B1FAC" w:rsidP="005B1FAC">
            <w:pPr>
              <w:jc w:val="center"/>
              <w:rPr>
                <w:rFonts w:ascii="Arial" w:hAnsi="Arial" w:cs="Arial"/>
                <w:b/>
                <w:bCs/>
                <w:color w:val="000000"/>
                <w:sz w:val="16"/>
                <w:szCs w:val="16"/>
              </w:rPr>
            </w:pPr>
            <w:r w:rsidRPr="005B1FAC">
              <w:rPr>
                <w:rFonts w:ascii="Arial" w:hAnsi="Arial" w:cs="Arial"/>
                <w:b/>
                <w:bCs/>
                <w:color w:val="000000"/>
                <w:sz w:val="16"/>
                <w:szCs w:val="16"/>
              </w:rPr>
              <w:t>102,30%</w:t>
            </w:r>
          </w:p>
        </w:tc>
      </w:tr>
    </w:tbl>
    <w:p w14:paraId="65EC7F4D" w14:textId="77777777" w:rsidR="005E20F5" w:rsidRPr="00123376" w:rsidRDefault="005E20F5" w:rsidP="00123376">
      <w:pPr>
        <w:rPr>
          <w:rFonts w:ascii="Arial" w:hAnsi="Arial" w:cs="Arial"/>
          <w:sz w:val="16"/>
          <w:szCs w:val="16"/>
        </w:rPr>
      </w:pPr>
      <w:r w:rsidRPr="00123376">
        <w:rPr>
          <w:rFonts w:ascii="Arial" w:hAnsi="Arial" w:cs="Arial"/>
          <w:sz w:val="16"/>
          <w:szCs w:val="16"/>
        </w:rPr>
        <w:t>Zdroj: RO, ITMS</w:t>
      </w:r>
    </w:p>
    <w:p w14:paraId="3CDCA4A2" w14:textId="2402A5DC" w:rsidR="00CB1FDA" w:rsidRPr="00E21C60" w:rsidRDefault="00CB1FDA" w:rsidP="008A1902">
      <w:pPr>
        <w:pStyle w:val="Zkladntextb"/>
        <w:keepNext/>
        <w:spacing w:before="120" w:after="0" w:line="240" w:lineRule="auto"/>
        <w:ind w:left="0"/>
        <w:jc w:val="both"/>
        <w:rPr>
          <w:rFonts w:cs="Arial"/>
          <w:lang w:val="sk-SK"/>
        </w:rPr>
      </w:pPr>
      <w:r w:rsidRPr="00E21C60">
        <w:rPr>
          <w:rFonts w:cs="Arial"/>
          <w:lang w:val="sk-SK"/>
        </w:rPr>
        <w:lastRenderedPageBreak/>
        <w:t xml:space="preserve">Tabuľka č. </w:t>
      </w:r>
      <w:r w:rsidR="005F03D4">
        <w:rPr>
          <w:rFonts w:cs="Arial"/>
          <w:lang w:val="sk-SK"/>
        </w:rPr>
        <w:t>5</w:t>
      </w:r>
      <w:r w:rsidR="007B1CB9">
        <w:rPr>
          <w:rFonts w:cs="Arial"/>
          <w:lang w:val="sk-SK"/>
        </w:rPr>
        <w:t>4</w:t>
      </w:r>
      <w:r w:rsidRPr="00E21C60">
        <w:rPr>
          <w:rFonts w:cs="Arial"/>
          <w:lang w:val="sk-SK"/>
        </w:rPr>
        <w:t>: Fyzický pokrok intervencií prioritnej osi 3 k 31.1</w:t>
      </w:r>
      <w:r w:rsidR="00963B10">
        <w:rPr>
          <w:rFonts w:cs="Arial"/>
          <w:lang w:val="sk-SK"/>
        </w:rPr>
        <w:t>0</w:t>
      </w:r>
      <w:r w:rsidRPr="00E21C60">
        <w:rPr>
          <w:rFonts w:cs="Arial"/>
          <w:lang w:val="sk-SK"/>
        </w:rPr>
        <w:t>.201</w:t>
      </w:r>
      <w:r w:rsidR="00963B10">
        <w:rPr>
          <w:rFonts w:cs="Arial"/>
          <w:lang w:val="sk-SK"/>
        </w:rPr>
        <w:t>6</w:t>
      </w:r>
    </w:p>
    <w:tbl>
      <w:tblPr>
        <w:tblW w:w="9155" w:type="dxa"/>
        <w:tblInd w:w="55" w:type="dxa"/>
        <w:tblLayout w:type="fixed"/>
        <w:tblCellMar>
          <w:left w:w="70" w:type="dxa"/>
          <w:right w:w="70" w:type="dxa"/>
        </w:tblCellMar>
        <w:tblLook w:val="04A0" w:firstRow="1" w:lastRow="0" w:firstColumn="1" w:lastColumn="0" w:noHBand="0" w:noVBand="1"/>
      </w:tblPr>
      <w:tblGrid>
        <w:gridCol w:w="654"/>
        <w:gridCol w:w="1555"/>
        <w:gridCol w:w="825"/>
        <w:gridCol w:w="809"/>
        <w:gridCol w:w="708"/>
        <w:gridCol w:w="851"/>
        <w:gridCol w:w="709"/>
        <w:gridCol w:w="850"/>
        <w:gridCol w:w="992"/>
        <w:gridCol w:w="1202"/>
      </w:tblGrid>
      <w:tr w:rsidR="009B3B7E" w:rsidRPr="00E21C60" w14:paraId="0DB87D8F" w14:textId="77777777" w:rsidTr="007D7B08">
        <w:trPr>
          <w:trHeight w:val="1350"/>
        </w:trPr>
        <w:tc>
          <w:tcPr>
            <w:tcW w:w="654" w:type="dxa"/>
            <w:tcBorders>
              <w:top w:val="single" w:sz="4" w:space="0" w:color="auto"/>
              <w:left w:val="single" w:sz="4" w:space="0" w:color="auto"/>
              <w:bottom w:val="nil"/>
              <w:right w:val="single" w:sz="4" w:space="0" w:color="auto"/>
            </w:tcBorders>
            <w:shd w:val="clear" w:color="auto" w:fill="C2D69B" w:themeFill="accent3" w:themeFillTint="99"/>
            <w:vAlign w:val="center"/>
            <w:hideMark/>
          </w:tcPr>
          <w:p w14:paraId="77A4B7C2" w14:textId="77777777" w:rsidR="006C1B85" w:rsidRPr="00E21C60" w:rsidRDefault="006C1B85" w:rsidP="008A1902">
            <w:pPr>
              <w:keepNext/>
              <w:jc w:val="center"/>
              <w:rPr>
                <w:rFonts w:ascii="Arial" w:hAnsi="Arial" w:cs="Arial"/>
                <w:b/>
                <w:bCs/>
                <w:color w:val="000000"/>
                <w:sz w:val="16"/>
                <w:szCs w:val="16"/>
              </w:rPr>
            </w:pPr>
            <w:r w:rsidRPr="00E21C60">
              <w:rPr>
                <w:rFonts w:ascii="Arial" w:hAnsi="Arial" w:cs="Arial"/>
                <w:b/>
                <w:bCs/>
                <w:color w:val="000000"/>
                <w:sz w:val="16"/>
                <w:szCs w:val="16"/>
              </w:rPr>
              <w:t>Typ</w:t>
            </w:r>
            <w:r w:rsidRPr="00E21C60">
              <w:rPr>
                <w:rFonts w:ascii="Arial" w:hAnsi="Arial" w:cs="Arial"/>
                <w:b/>
                <w:bCs/>
                <w:color w:val="000000"/>
                <w:sz w:val="16"/>
                <w:szCs w:val="16"/>
              </w:rPr>
              <w:br/>
              <w:t>inter-</w:t>
            </w:r>
            <w:r w:rsidRPr="00E21C60">
              <w:rPr>
                <w:rFonts w:ascii="Arial" w:hAnsi="Arial" w:cs="Arial"/>
                <w:b/>
                <w:bCs/>
                <w:color w:val="000000"/>
                <w:sz w:val="16"/>
                <w:szCs w:val="16"/>
              </w:rPr>
              <w:br/>
              <w:t>vencie (op. cieľ)</w:t>
            </w:r>
          </w:p>
        </w:tc>
        <w:tc>
          <w:tcPr>
            <w:tcW w:w="1555" w:type="dxa"/>
            <w:tcBorders>
              <w:top w:val="single" w:sz="4" w:space="0" w:color="auto"/>
              <w:left w:val="nil"/>
              <w:bottom w:val="nil"/>
              <w:right w:val="single" w:sz="4" w:space="0" w:color="auto"/>
            </w:tcBorders>
            <w:shd w:val="clear" w:color="auto" w:fill="C2D69B" w:themeFill="accent3" w:themeFillTint="99"/>
            <w:vAlign w:val="center"/>
            <w:hideMark/>
          </w:tcPr>
          <w:p w14:paraId="052A96AD" w14:textId="77777777" w:rsidR="006C1B85" w:rsidRPr="00E21C60" w:rsidRDefault="006C1B85" w:rsidP="008A1902">
            <w:pPr>
              <w:keepNext/>
              <w:jc w:val="center"/>
              <w:rPr>
                <w:rFonts w:ascii="Arial" w:hAnsi="Arial" w:cs="Arial"/>
                <w:b/>
                <w:bCs/>
                <w:color w:val="000000"/>
                <w:sz w:val="16"/>
                <w:szCs w:val="16"/>
              </w:rPr>
            </w:pPr>
            <w:r w:rsidRPr="00E21C60">
              <w:rPr>
                <w:rFonts w:ascii="Arial" w:hAnsi="Arial" w:cs="Arial"/>
                <w:b/>
                <w:bCs/>
                <w:color w:val="000000"/>
                <w:sz w:val="16"/>
                <w:szCs w:val="16"/>
              </w:rPr>
              <w:t>Názov merateľného ukazovateľa (MU)</w:t>
            </w:r>
          </w:p>
        </w:tc>
        <w:tc>
          <w:tcPr>
            <w:tcW w:w="825" w:type="dxa"/>
            <w:tcBorders>
              <w:top w:val="single" w:sz="4" w:space="0" w:color="auto"/>
              <w:left w:val="nil"/>
              <w:bottom w:val="nil"/>
              <w:right w:val="single" w:sz="4" w:space="0" w:color="auto"/>
            </w:tcBorders>
            <w:shd w:val="clear" w:color="auto" w:fill="C2D69B" w:themeFill="accent3" w:themeFillTint="99"/>
            <w:vAlign w:val="center"/>
            <w:hideMark/>
          </w:tcPr>
          <w:p w14:paraId="4DE30E70" w14:textId="77777777" w:rsidR="006C1B85" w:rsidRPr="00E21C60" w:rsidRDefault="006C1B85" w:rsidP="008A1902">
            <w:pPr>
              <w:keepNext/>
              <w:jc w:val="center"/>
              <w:rPr>
                <w:rFonts w:ascii="Arial" w:hAnsi="Arial" w:cs="Arial"/>
                <w:b/>
                <w:bCs/>
                <w:color w:val="000000"/>
                <w:sz w:val="16"/>
                <w:szCs w:val="16"/>
              </w:rPr>
            </w:pPr>
            <w:r w:rsidRPr="00E21C60">
              <w:rPr>
                <w:rFonts w:ascii="Arial" w:hAnsi="Arial" w:cs="Arial"/>
                <w:b/>
                <w:bCs/>
                <w:color w:val="000000"/>
                <w:sz w:val="16"/>
                <w:szCs w:val="16"/>
              </w:rPr>
              <w:t>Merná jednotka (MJ)</w:t>
            </w:r>
          </w:p>
        </w:tc>
        <w:tc>
          <w:tcPr>
            <w:tcW w:w="809" w:type="dxa"/>
            <w:tcBorders>
              <w:top w:val="single" w:sz="4" w:space="0" w:color="auto"/>
              <w:left w:val="nil"/>
              <w:bottom w:val="single" w:sz="4" w:space="0" w:color="auto"/>
              <w:right w:val="single" w:sz="4" w:space="0" w:color="auto"/>
            </w:tcBorders>
            <w:shd w:val="clear" w:color="auto" w:fill="C2D69B" w:themeFill="accent3" w:themeFillTint="99"/>
            <w:vAlign w:val="center"/>
          </w:tcPr>
          <w:p w14:paraId="622AC73B" w14:textId="577C9F70" w:rsidR="006C1B85" w:rsidRPr="00E21C60" w:rsidRDefault="006C1B85" w:rsidP="004E581A">
            <w:pPr>
              <w:keepNext/>
              <w:jc w:val="center"/>
              <w:rPr>
                <w:rFonts w:ascii="Arial" w:hAnsi="Arial" w:cs="Arial"/>
                <w:b/>
                <w:bCs/>
                <w:color w:val="000000"/>
                <w:sz w:val="16"/>
                <w:szCs w:val="16"/>
              </w:rPr>
            </w:pPr>
            <w:r w:rsidRPr="006C1B85">
              <w:rPr>
                <w:rFonts w:ascii="Arial" w:hAnsi="Arial" w:cs="Arial"/>
                <w:b/>
                <w:bCs/>
                <w:color w:val="000000"/>
                <w:sz w:val="16"/>
                <w:szCs w:val="16"/>
              </w:rPr>
              <w:t>Východisková hodnota OP</w:t>
            </w:r>
          </w:p>
        </w:tc>
        <w:tc>
          <w:tcPr>
            <w:tcW w:w="708"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AADC33E" w14:textId="4BCBBD52" w:rsidR="006C1B85" w:rsidRPr="00E21C60" w:rsidRDefault="006C1B85" w:rsidP="008A1902">
            <w:pPr>
              <w:keepNext/>
              <w:jc w:val="center"/>
              <w:rPr>
                <w:rFonts w:ascii="Arial" w:hAnsi="Arial" w:cs="Arial"/>
                <w:b/>
                <w:bCs/>
                <w:color w:val="000000"/>
                <w:sz w:val="16"/>
                <w:szCs w:val="16"/>
              </w:rPr>
            </w:pPr>
            <w:r w:rsidRPr="00E21C60">
              <w:rPr>
                <w:rFonts w:ascii="Arial" w:hAnsi="Arial" w:cs="Arial"/>
                <w:b/>
                <w:bCs/>
                <w:color w:val="000000"/>
                <w:sz w:val="16"/>
                <w:szCs w:val="16"/>
              </w:rPr>
              <w:t>Cieľ OP</w:t>
            </w:r>
          </w:p>
        </w:tc>
        <w:tc>
          <w:tcPr>
            <w:tcW w:w="851" w:type="dxa"/>
            <w:tcBorders>
              <w:top w:val="single" w:sz="4" w:space="0" w:color="auto"/>
              <w:left w:val="nil"/>
              <w:bottom w:val="nil"/>
              <w:right w:val="single" w:sz="4" w:space="0" w:color="auto"/>
            </w:tcBorders>
            <w:shd w:val="clear" w:color="auto" w:fill="C2D69B" w:themeFill="accent3" w:themeFillTint="99"/>
            <w:vAlign w:val="center"/>
            <w:hideMark/>
          </w:tcPr>
          <w:p w14:paraId="1727F239" w14:textId="6D618F96" w:rsidR="006C1B85" w:rsidRPr="00E21C60" w:rsidRDefault="006C1B85" w:rsidP="008A1902">
            <w:pPr>
              <w:keepNext/>
              <w:jc w:val="center"/>
              <w:rPr>
                <w:rFonts w:ascii="Arial" w:hAnsi="Arial" w:cs="Arial"/>
                <w:b/>
                <w:bCs/>
                <w:color w:val="000000"/>
                <w:sz w:val="16"/>
                <w:szCs w:val="16"/>
              </w:rPr>
            </w:pPr>
            <w:r w:rsidRPr="009D13DD">
              <w:rPr>
                <w:rFonts w:ascii="Arial" w:hAnsi="Arial" w:cs="Arial"/>
                <w:b/>
                <w:bCs/>
                <w:color w:val="000000"/>
                <w:sz w:val="16"/>
                <w:szCs w:val="16"/>
              </w:rPr>
              <w:t>Stav k 31.12.</w:t>
            </w:r>
            <w:r w:rsidRPr="009D13DD">
              <w:rPr>
                <w:rFonts w:ascii="Arial" w:hAnsi="Arial" w:cs="Arial"/>
                <w:b/>
                <w:bCs/>
                <w:color w:val="000000"/>
                <w:sz w:val="16"/>
                <w:szCs w:val="16"/>
              </w:rPr>
              <w:br/>
              <w:t>201</w:t>
            </w:r>
            <w:r w:rsidR="002F3D62" w:rsidRPr="009D13DD">
              <w:rPr>
                <w:rFonts w:ascii="Arial" w:hAnsi="Arial" w:cs="Arial"/>
                <w:b/>
                <w:bCs/>
                <w:color w:val="000000"/>
                <w:sz w:val="16"/>
                <w:szCs w:val="16"/>
              </w:rPr>
              <w:t>5</w:t>
            </w:r>
          </w:p>
        </w:tc>
        <w:tc>
          <w:tcPr>
            <w:tcW w:w="709" w:type="dxa"/>
            <w:tcBorders>
              <w:top w:val="single" w:sz="4" w:space="0" w:color="auto"/>
              <w:left w:val="nil"/>
              <w:bottom w:val="nil"/>
              <w:right w:val="single" w:sz="4" w:space="0" w:color="auto"/>
            </w:tcBorders>
            <w:shd w:val="clear" w:color="auto" w:fill="C2D69B" w:themeFill="accent3" w:themeFillTint="99"/>
            <w:vAlign w:val="center"/>
            <w:hideMark/>
          </w:tcPr>
          <w:p w14:paraId="7284403B" w14:textId="6C7EC8C9" w:rsidR="006C1B85" w:rsidRPr="00E21C60" w:rsidRDefault="006C1B85" w:rsidP="008A1902">
            <w:pPr>
              <w:keepNext/>
              <w:jc w:val="center"/>
              <w:rPr>
                <w:rFonts w:ascii="Arial" w:hAnsi="Arial" w:cs="Arial"/>
                <w:b/>
                <w:bCs/>
                <w:color w:val="000000"/>
                <w:sz w:val="16"/>
                <w:szCs w:val="16"/>
              </w:rPr>
            </w:pPr>
            <w:r w:rsidRPr="00E21C60">
              <w:rPr>
                <w:rFonts w:ascii="Arial" w:hAnsi="Arial" w:cs="Arial"/>
                <w:b/>
                <w:bCs/>
                <w:color w:val="000000"/>
                <w:sz w:val="16"/>
                <w:szCs w:val="16"/>
              </w:rPr>
              <w:t xml:space="preserve">Stav k </w:t>
            </w:r>
            <w:r w:rsidR="002F3D62">
              <w:rPr>
                <w:rFonts w:ascii="Arial" w:hAnsi="Arial" w:cs="Arial"/>
                <w:b/>
                <w:bCs/>
                <w:color w:val="000000"/>
                <w:sz w:val="16"/>
                <w:szCs w:val="16"/>
              </w:rPr>
              <w:t>31.10</w:t>
            </w:r>
            <w:r w:rsidRPr="00E21C60">
              <w:rPr>
                <w:rFonts w:ascii="Arial" w:hAnsi="Arial" w:cs="Arial"/>
                <w:b/>
                <w:bCs/>
                <w:color w:val="000000"/>
                <w:sz w:val="16"/>
                <w:szCs w:val="16"/>
              </w:rPr>
              <w:t>.</w:t>
            </w:r>
            <w:r w:rsidRPr="00E21C60">
              <w:rPr>
                <w:rFonts w:ascii="Arial" w:hAnsi="Arial" w:cs="Arial"/>
                <w:b/>
                <w:bCs/>
                <w:color w:val="000000"/>
                <w:sz w:val="16"/>
                <w:szCs w:val="16"/>
              </w:rPr>
              <w:br/>
              <w:t>201</w:t>
            </w:r>
            <w:r w:rsidR="002F3D62">
              <w:rPr>
                <w:rFonts w:ascii="Arial" w:hAnsi="Arial" w:cs="Arial"/>
                <w:b/>
                <w:bCs/>
                <w:color w:val="000000"/>
                <w:sz w:val="16"/>
                <w:szCs w:val="16"/>
              </w:rPr>
              <w:t>6</w:t>
            </w:r>
          </w:p>
        </w:tc>
        <w:tc>
          <w:tcPr>
            <w:tcW w:w="85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6A11B3B" w14:textId="77777777" w:rsidR="006C1B85" w:rsidRPr="00E21C60" w:rsidRDefault="006C1B85" w:rsidP="008A1902">
            <w:pPr>
              <w:keepNext/>
              <w:jc w:val="center"/>
              <w:rPr>
                <w:rFonts w:ascii="Arial" w:hAnsi="Arial" w:cs="Arial"/>
                <w:b/>
                <w:bCs/>
                <w:color w:val="000000"/>
                <w:sz w:val="16"/>
                <w:szCs w:val="16"/>
              </w:rPr>
            </w:pPr>
            <w:r w:rsidRPr="00E21C60">
              <w:rPr>
                <w:rFonts w:ascii="Arial" w:hAnsi="Arial" w:cs="Arial"/>
                <w:b/>
                <w:bCs/>
                <w:color w:val="000000"/>
                <w:sz w:val="16"/>
                <w:szCs w:val="16"/>
              </w:rPr>
              <w:t>Cieľ zazmluv-</w:t>
            </w:r>
            <w:r w:rsidRPr="00E21C60">
              <w:rPr>
                <w:rFonts w:ascii="Arial" w:hAnsi="Arial" w:cs="Arial"/>
                <w:b/>
                <w:bCs/>
                <w:color w:val="000000"/>
                <w:sz w:val="16"/>
                <w:szCs w:val="16"/>
              </w:rPr>
              <w:br/>
              <w:t>nených projektov</w:t>
            </w:r>
          </w:p>
        </w:tc>
        <w:tc>
          <w:tcPr>
            <w:tcW w:w="992"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D9E93C0" w14:textId="77777777" w:rsidR="006C1B85" w:rsidRPr="00E21C60" w:rsidRDefault="006C1B85" w:rsidP="008A1902">
            <w:pPr>
              <w:keepNext/>
              <w:jc w:val="center"/>
              <w:rPr>
                <w:rFonts w:ascii="Arial" w:hAnsi="Arial" w:cs="Arial"/>
                <w:b/>
                <w:bCs/>
                <w:color w:val="000000"/>
                <w:sz w:val="16"/>
                <w:szCs w:val="16"/>
              </w:rPr>
            </w:pPr>
            <w:r w:rsidRPr="00E21C60">
              <w:rPr>
                <w:rFonts w:ascii="Arial" w:hAnsi="Arial" w:cs="Arial"/>
                <w:b/>
                <w:bCs/>
                <w:color w:val="000000"/>
                <w:sz w:val="16"/>
                <w:szCs w:val="16"/>
              </w:rPr>
              <w:t>Úspešnosť plnenia (%)</w:t>
            </w:r>
          </w:p>
        </w:tc>
        <w:tc>
          <w:tcPr>
            <w:tcW w:w="1202"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7972D7A" w14:textId="77777777" w:rsidR="006C1B85" w:rsidRPr="00E21C60" w:rsidRDefault="006C1B85" w:rsidP="008A1902">
            <w:pPr>
              <w:keepNext/>
              <w:jc w:val="center"/>
              <w:rPr>
                <w:rFonts w:ascii="Arial" w:hAnsi="Arial" w:cs="Arial"/>
                <w:b/>
                <w:bCs/>
                <w:color w:val="000000"/>
                <w:sz w:val="16"/>
                <w:szCs w:val="16"/>
              </w:rPr>
            </w:pPr>
            <w:r w:rsidRPr="00E21C60">
              <w:rPr>
                <w:rFonts w:ascii="Arial" w:hAnsi="Arial" w:cs="Arial"/>
                <w:b/>
                <w:bCs/>
                <w:color w:val="000000"/>
                <w:sz w:val="16"/>
                <w:szCs w:val="16"/>
              </w:rPr>
              <w:t>Úspešnosť plnenia zazmluv-</w:t>
            </w:r>
            <w:r w:rsidRPr="00E21C60">
              <w:rPr>
                <w:rFonts w:ascii="Arial" w:hAnsi="Arial" w:cs="Arial"/>
                <w:b/>
                <w:bCs/>
                <w:color w:val="000000"/>
                <w:sz w:val="16"/>
                <w:szCs w:val="16"/>
              </w:rPr>
              <w:br/>
              <w:t>nených projektov (%)</w:t>
            </w:r>
          </w:p>
        </w:tc>
      </w:tr>
      <w:tr w:rsidR="002F3D62" w:rsidRPr="009D6F3F" w14:paraId="2951D089" w14:textId="77777777" w:rsidTr="002F3D62">
        <w:trPr>
          <w:trHeight w:val="1350"/>
        </w:trPr>
        <w:tc>
          <w:tcPr>
            <w:tcW w:w="654"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9B5A16D"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3.1</w:t>
            </w:r>
          </w:p>
        </w:tc>
        <w:tc>
          <w:tcPr>
            <w:tcW w:w="1555" w:type="dxa"/>
            <w:tcBorders>
              <w:top w:val="single" w:sz="4" w:space="0" w:color="auto"/>
              <w:left w:val="nil"/>
              <w:bottom w:val="single" w:sz="4" w:space="0" w:color="auto"/>
              <w:right w:val="single" w:sz="4" w:space="0" w:color="auto"/>
            </w:tcBorders>
            <w:shd w:val="clear" w:color="000000" w:fill="FFFFFF"/>
            <w:vAlign w:val="center"/>
            <w:hideMark/>
          </w:tcPr>
          <w:p w14:paraId="47FEC191"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Počet projektov zameraných na ekologizáciu verejnej dopravy v oblastiach vyžadujúcich osobitnú ochranu ovzdušia</w:t>
            </w:r>
          </w:p>
        </w:tc>
        <w:tc>
          <w:tcPr>
            <w:tcW w:w="825" w:type="dxa"/>
            <w:tcBorders>
              <w:top w:val="single" w:sz="4" w:space="0" w:color="auto"/>
              <w:left w:val="nil"/>
              <w:bottom w:val="single" w:sz="4" w:space="0" w:color="auto"/>
              <w:right w:val="single" w:sz="4" w:space="0" w:color="auto"/>
            </w:tcBorders>
            <w:shd w:val="clear" w:color="000000" w:fill="FFFFFF"/>
            <w:vAlign w:val="center"/>
            <w:hideMark/>
          </w:tcPr>
          <w:p w14:paraId="1354B1F8"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počet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4FD34C28" w14:textId="2758EF57"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0</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333C25DA" w14:textId="1E2A1779"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8</w:t>
            </w:r>
          </w:p>
        </w:tc>
        <w:tc>
          <w:tcPr>
            <w:tcW w:w="851" w:type="dxa"/>
            <w:tcBorders>
              <w:top w:val="single" w:sz="4" w:space="0" w:color="auto"/>
              <w:left w:val="nil"/>
              <w:bottom w:val="single" w:sz="4" w:space="0" w:color="auto"/>
              <w:right w:val="single" w:sz="4" w:space="0" w:color="auto"/>
            </w:tcBorders>
            <w:shd w:val="clear" w:color="000000" w:fill="FFFFFF"/>
            <w:vAlign w:val="center"/>
          </w:tcPr>
          <w:p w14:paraId="2584DCDC" w14:textId="471E56E3" w:rsidR="002F3D62" w:rsidRPr="009D6F3F" w:rsidRDefault="004C58D2" w:rsidP="002F3D62">
            <w:pPr>
              <w:jc w:val="center"/>
              <w:rPr>
                <w:rFonts w:ascii="Arial" w:hAnsi="Arial" w:cs="Arial"/>
                <w:color w:val="000000"/>
                <w:sz w:val="16"/>
                <w:szCs w:val="16"/>
              </w:rPr>
            </w:pPr>
            <w:r>
              <w:rPr>
                <w:rFonts w:ascii="Arial" w:hAnsi="Arial" w:cs="Arial"/>
                <w:color w:val="000000"/>
                <w:sz w:val="16"/>
                <w:szCs w:val="16"/>
              </w:rPr>
              <w:t>8</w:t>
            </w:r>
          </w:p>
        </w:tc>
        <w:tc>
          <w:tcPr>
            <w:tcW w:w="709" w:type="dxa"/>
            <w:tcBorders>
              <w:top w:val="single" w:sz="4" w:space="0" w:color="auto"/>
              <w:left w:val="nil"/>
              <w:bottom w:val="single" w:sz="4" w:space="0" w:color="auto"/>
              <w:right w:val="single" w:sz="4" w:space="0" w:color="auto"/>
            </w:tcBorders>
            <w:shd w:val="clear" w:color="000000" w:fill="EBF1DE"/>
            <w:vAlign w:val="center"/>
            <w:hideMark/>
          </w:tcPr>
          <w:p w14:paraId="7519B464" w14:textId="586077EA"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8</w:t>
            </w:r>
          </w:p>
        </w:tc>
        <w:tc>
          <w:tcPr>
            <w:tcW w:w="850" w:type="dxa"/>
            <w:tcBorders>
              <w:top w:val="nil"/>
              <w:left w:val="nil"/>
              <w:bottom w:val="single" w:sz="4" w:space="0" w:color="auto"/>
              <w:right w:val="single" w:sz="4" w:space="0" w:color="auto"/>
            </w:tcBorders>
            <w:shd w:val="clear" w:color="000000" w:fill="FFFFFF"/>
            <w:vAlign w:val="center"/>
            <w:hideMark/>
          </w:tcPr>
          <w:p w14:paraId="762A63AD" w14:textId="7CCD08CB"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8</w:t>
            </w:r>
          </w:p>
        </w:tc>
        <w:tc>
          <w:tcPr>
            <w:tcW w:w="992" w:type="dxa"/>
            <w:tcBorders>
              <w:top w:val="nil"/>
              <w:left w:val="nil"/>
              <w:bottom w:val="single" w:sz="4" w:space="0" w:color="auto"/>
              <w:right w:val="single" w:sz="4" w:space="0" w:color="auto"/>
            </w:tcBorders>
            <w:shd w:val="clear" w:color="000000" w:fill="EBF1DE"/>
            <w:vAlign w:val="center"/>
            <w:hideMark/>
          </w:tcPr>
          <w:p w14:paraId="533ECDB8" w14:textId="40185EE3" w:rsidR="002F3D62" w:rsidRPr="00AF3B37" w:rsidRDefault="002F3D62" w:rsidP="002F3D62">
            <w:pPr>
              <w:jc w:val="center"/>
              <w:rPr>
                <w:rFonts w:ascii="Arial" w:hAnsi="Arial" w:cs="Arial"/>
                <w:color w:val="000000"/>
                <w:sz w:val="16"/>
                <w:szCs w:val="16"/>
              </w:rPr>
            </w:pPr>
            <w:r w:rsidRPr="002F3D62">
              <w:rPr>
                <w:rFonts w:ascii="Arial" w:hAnsi="Arial" w:cs="Arial"/>
                <w:color w:val="000000"/>
                <w:sz w:val="16"/>
                <w:szCs w:val="16"/>
              </w:rPr>
              <w:t>100 %</w:t>
            </w:r>
          </w:p>
        </w:tc>
        <w:tc>
          <w:tcPr>
            <w:tcW w:w="1202" w:type="dxa"/>
            <w:tcBorders>
              <w:top w:val="nil"/>
              <w:left w:val="nil"/>
              <w:bottom w:val="single" w:sz="4" w:space="0" w:color="auto"/>
              <w:right w:val="single" w:sz="4" w:space="0" w:color="auto"/>
            </w:tcBorders>
            <w:shd w:val="clear" w:color="auto" w:fill="auto"/>
            <w:vAlign w:val="center"/>
            <w:hideMark/>
          </w:tcPr>
          <w:p w14:paraId="2B66FF03" w14:textId="611127B9" w:rsidR="002F3D62" w:rsidRPr="00AF3B37" w:rsidRDefault="002F3D62" w:rsidP="002F3D62">
            <w:pPr>
              <w:jc w:val="center"/>
              <w:rPr>
                <w:rFonts w:ascii="Arial" w:hAnsi="Arial" w:cs="Arial"/>
                <w:color w:val="000000"/>
                <w:sz w:val="16"/>
                <w:szCs w:val="16"/>
              </w:rPr>
            </w:pPr>
            <w:r w:rsidRPr="002F3D62">
              <w:rPr>
                <w:rFonts w:ascii="Arial" w:hAnsi="Arial" w:cs="Arial"/>
                <w:color w:val="000000"/>
                <w:sz w:val="16"/>
                <w:szCs w:val="16"/>
              </w:rPr>
              <w:t>100 %</w:t>
            </w:r>
          </w:p>
        </w:tc>
      </w:tr>
      <w:tr w:rsidR="002F3D62" w:rsidRPr="009D6F3F" w14:paraId="7F57B008" w14:textId="77777777" w:rsidTr="002F3D62">
        <w:trPr>
          <w:trHeight w:val="1350"/>
        </w:trPr>
        <w:tc>
          <w:tcPr>
            <w:tcW w:w="654" w:type="dxa"/>
            <w:vMerge/>
            <w:tcBorders>
              <w:top w:val="single" w:sz="4" w:space="0" w:color="auto"/>
              <w:left w:val="single" w:sz="4" w:space="0" w:color="auto"/>
              <w:bottom w:val="single" w:sz="4" w:space="0" w:color="auto"/>
              <w:right w:val="single" w:sz="4" w:space="0" w:color="auto"/>
            </w:tcBorders>
            <w:vAlign w:val="center"/>
            <w:hideMark/>
          </w:tcPr>
          <w:p w14:paraId="42B9E552" w14:textId="77777777" w:rsidR="002F3D62" w:rsidRPr="009D6F3F" w:rsidRDefault="002F3D62" w:rsidP="002F3D62">
            <w:pPr>
              <w:rPr>
                <w:rFonts w:ascii="Arial" w:hAnsi="Arial" w:cs="Arial"/>
                <w:color w:val="000000"/>
                <w:sz w:val="16"/>
                <w:szCs w:val="16"/>
              </w:rPr>
            </w:pPr>
          </w:p>
        </w:tc>
        <w:tc>
          <w:tcPr>
            <w:tcW w:w="1555" w:type="dxa"/>
            <w:tcBorders>
              <w:top w:val="nil"/>
              <w:left w:val="nil"/>
              <w:bottom w:val="single" w:sz="4" w:space="0" w:color="auto"/>
              <w:right w:val="single" w:sz="4" w:space="0" w:color="auto"/>
            </w:tcBorders>
            <w:shd w:val="clear" w:color="000000" w:fill="FFFFFF"/>
            <w:vAlign w:val="center"/>
            <w:hideMark/>
          </w:tcPr>
          <w:p w14:paraId="709F548D"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Počet podporených aktivít zameraných na znižovanie znečistenia ovzdušia a počet podporených štúdií a analýz</w:t>
            </w:r>
          </w:p>
        </w:tc>
        <w:tc>
          <w:tcPr>
            <w:tcW w:w="825" w:type="dxa"/>
            <w:tcBorders>
              <w:top w:val="nil"/>
              <w:left w:val="nil"/>
              <w:bottom w:val="single" w:sz="4" w:space="0" w:color="auto"/>
              <w:right w:val="single" w:sz="4" w:space="0" w:color="auto"/>
            </w:tcBorders>
            <w:shd w:val="clear" w:color="000000" w:fill="FFFFFF"/>
            <w:vAlign w:val="center"/>
            <w:hideMark/>
          </w:tcPr>
          <w:p w14:paraId="2B7B964B"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počet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1CFD9293" w14:textId="19E2A510"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32</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3F417278" w14:textId="781D7424"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62</w:t>
            </w:r>
          </w:p>
        </w:tc>
        <w:tc>
          <w:tcPr>
            <w:tcW w:w="851" w:type="dxa"/>
            <w:tcBorders>
              <w:top w:val="nil"/>
              <w:left w:val="nil"/>
              <w:bottom w:val="single" w:sz="4" w:space="0" w:color="auto"/>
              <w:right w:val="single" w:sz="4" w:space="0" w:color="auto"/>
            </w:tcBorders>
            <w:shd w:val="clear" w:color="000000" w:fill="FFFFFF"/>
            <w:vAlign w:val="center"/>
          </w:tcPr>
          <w:p w14:paraId="4CD13A6A" w14:textId="71F81EEC" w:rsidR="002F3D62" w:rsidRPr="009D6F3F" w:rsidRDefault="004C58D2" w:rsidP="002F3D62">
            <w:pPr>
              <w:jc w:val="center"/>
              <w:rPr>
                <w:rFonts w:ascii="Arial" w:hAnsi="Arial" w:cs="Arial"/>
                <w:color w:val="000000"/>
                <w:sz w:val="16"/>
                <w:szCs w:val="16"/>
              </w:rPr>
            </w:pPr>
            <w:r>
              <w:rPr>
                <w:rFonts w:ascii="Arial" w:hAnsi="Arial" w:cs="Arial"/>
                <w:color w:val="000000"/>
                <w:sz w:val="16"/>
                <w:szCs w:val="16"/>
              </w:rPr>
              <w:t>50</w:t>
            </w:r>
          </w:p>
        </w:tc>
        <w:tc>
          <w:tcPr>
            <w:tcW w:w="709" w:type="dxa"/>
            <w:tcBorders>
              <w:top w:val="nil"/>
              <w:left w:val="nil"/>
              <w:bottom w:val="single" w:sz="4" w:space="0" w:color="auto"/>
              <w:right w:val="single" w:sz="4" w:space="0" w:color="auto"/>
            </w:tcBorders>
            <w:shd w:val="clear" w:color="000000" w:fill="EBF1DE"/>
            <w:vAlign w:val="center"/>
            <w:hideMark/>
          </w:tcPr>
          <w:p w14:paraId="11BABFAA" w14:textId="7BEE6C58"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50</w:t>
            </w:r>
          </w:p>
        </w:tc>
        <w:tc>
          <w:tcPr>
            <w:tcW w:w="850" w:type="dxa"/>
            <w:tcBorders>
              <w:top w:val="nil"/>
              <w:left w:val="nil"/>
              <w:bottom w:val="single" w:sz="4" w:space="0" w:color="auto"/>
              <w:right w:val="single" w:sz="4" w:space="0" w:color="auto"/>
            </w:tcBorders>
            <w:shd w:val="clear" w:color="000000" w:fill="FFFFFF"/>
            <w:vAlign w:val="center"/>
            <w:hideMark/>
          </w:tcPr>
          <w:p w14:paraId="4457975A" w14:textId="3E7D678B"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51</w:t>
            </w:r>
          </w:p>
        </w:tc>
        <w:tc>
          <w:tcPr>
            <w:tcW w:w="992" w:type="dxa"/>
            <w:tcBorders>
              <w:top w:val="nil"/>
              <w:left w:val="nil"/>
              <w:bottom w:val="single" w:sz="4" w:space="0" w:color="auto"/>
              <w:right w:val="single" w:sz="4" w:space="0" w:color="auto"/>
            </w:tcBorders>
            <w:shd w:val="clear" w:color="000000" w:fill="EBF1DE"/>
            <w:vAlign w:val="center"/>
            <w:hideMark/>
          </w:tcPr>
          <w:p w14:paraId="6F56332E" w14:textId="72CABF82" w:rsidR="002F3D62" w:rsidRPr="00AF3B37" w:rsidRDefault="002F3D62" w:rsidP="002F3D62">
            <w:pPr>
              <w:jc w:val="center"/>
              <w:rPr>
                <w:rFonts w:ascii="Arial" w:hAnsi="Arial" w:cs="Arial"/>
                <w:color w:val="000000"/>
                <w:sz w:val="16"/>
                <w:szCs w:val="16"/>
              </w:rPr>
            </w:pPr>
            <w:r w:rsidRPr="002F3D62">
              <w:rPr>
                <w:rFonts w:ascii="Arial" w:hAnsi="Arial" w:cs="Arial"/>
                <w:color w:val="000000"/>
                <w:sz w:val="16"/>
                <w:szCs w:val="16"/>
              </w:rPr>
              <w:t>166,67 %</w:t>
            </w:r>
          </w:p>
        </w:tc>
        <w:tc>
          <w:tcPr>
            <w:tcW w:w="1202" w:type="dxa"/>
            <w:tcBorders>
              <w:top w:val="nil"/>
              <w:left w:val="nil"/>
              <w:bottom w:val="single" w:sz="4" w:space="0" w:color="auto"/>
              <w:right w:val="single" w:sz="4" w:space="0" w:color="auto"/>
            </w:tcBorders>
            <w:shd w:val="clear" w:color="auto" w:fill="auto"/>
            <w:vAlign w:val="center"/>
            <w:hideMark/>
          </w:tcPr>
          <w:p w14:paraId="58F66398" w14:textId="18F7785E" w:rsidR="002F3D62" w:rsidRPr="00AF3B37" w:rsidRDefault="002F3D62" w:rsidP="002F3D62">
            <w:pPr>
              <w:jc w:val="center"/>
              <w:rPr>
                <w:rFonts w:ascii="Arial" w:hAnsi="Arial" w:cs="Arial"/>
                <w:color w:val="000000"/>
                <w:sz w:val="16"/>
                <w:szCs w:val="16"/>
              </w:rPr>
            </w:pPr>
            <w:r w:rsidRPr="002F3D62">
              <w:rPr>
                <w:rFonts w:ascii="Arial" w:hAnsi="Arial" w:cs="Arial"/>
                <w:color w:val="000000"/>
                <w:sz w:val="16"/>
                <w:szCs w:val="16"/>
              </w:rPr>
              <w:t>170,00 %</w:t>
            </w:r>
          </w:p>
        </w:tc>
      </w:tr>
      <w:tr w:rsidR="002F3D62" w:rsidRPr="009D6F3F" w14:paraId="6FB7F38C" w14:textId="77777777" w:rsidTr="002F3D62">
        <w:trPr>
          <w:trHeight w:val="1350"/>
        </w:trPr>
        <w:tc>
          <w:tcPr>
            <w:tcW w:w="654" w:type="dxa"/>
            <w:vMerge/>
            <w:tcBorders>
              <w:top w:val="single" w:sz="4" w:space="0" w:color="auto"/>
              <w:left w:val="single" w:sz="4" w:space="0" w:color="auto"/>
              <w:bottom w:val="single" w:sz="4" w:space="0" w:color="auto"/>
              <w:right w:val="single" w:sz="4" w:space="0" w:color="auto"/>
            </w:tcBorders>
            <w:vAlign w:val="center"/>
            <w:hideMark/>
          </w:tcPr>
          <w:p w14:paraId="62091FBC" w14:textId="77777777" w:rsidR="002F3D62" w:rsidRPr="009D6F3F" w:rsidRDefault="002F3D62" w:rsidP="002F3D62">
            <w:pPr>
              <w:rPr>
                <w:rFonts w:ascii="Arial" w:hAnsi="Arial" w:cs="Arial"/>
                <w:color w:val="000000"/>
                <w:sz w:val="16"/>
                <w:szCs w:val="16"/>
              </w:rPr>
            </w:pPr>
          </w:p>
        </w:tc>
        <w:tc>
          <w:tcPr>
            <w:tcW w:w="1555" w:type="dxa"/>
            <w:tcBorders>
              <w:top w:val="nil"/>
              <w:left w:val="nil"/>
              <w:bottom w:val="single" w:sz="4" w:space="0" w:color="auto"/>
              <w:right w:val="single" w:sz="4" w:space="0" w:color="auto"/>
            </w:tcBorders>
            <w:shd w:val="clear" w:color="000000" w:fill="FFFFFF"/>
            <w:vAlign w:val="center"/>
            <w:hideMark/>
          </w:tcPr>
          <w:p w14:paraId="131360D1" w14:textId="31F6A5B3"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Zníženie emisií znečisťujúcich látok prepočítané na referenčné tony SO</w:t>
            </w:r>
            <w:r w:rsidRPr="009D6F3F">
              <w:rPr>
                <w:rFonts w:ascii="Arial" w:hAnsi="Arial" w:cs="Arial"/>
                <w:color w:val="000000"/>
                <w:sz w:val="16"/>
                <w:szCs w:val="16"/>
                <w:vertAlign w:val="subscript"/>
              </w:rPr>
              <w:t>2</w:t>
            </w:r>
            <w:r w:rsidRPr="009D6F3F">
              <w:rPr>
                <w:rFonts w:ascii="Arial" w:hAnsi="Arial" w:cs="Arial"/>
                <w:color w:val="000000"/>
                <w:sz w:val="16"/>
                <w:szCs w:val="16"/>
              </w:rPr>
              <w:t xml:space="preserve"> (spolu za podporené projekty)</w:t>
            </w:r>
          </w:p>
        </w:tc>
        <w:tc>
          <w:tcPr>
            <w:tcW w:w="825" w:type="dxa"/>
            <w:tcBorders>
              <w:top w:val="nil"/>
              <w:left w:val="nil"/>
              <w:bottom w:val="single" w:sz="4" w:space="0" w:color="auto"/>
              <w:right w:val="single" w:sz="4" w:space="0" w:color="auto"/>
            </w:tcBorders>
            <w:shd w:val="clear" w:color="000000" w:fill="FFFFFF"/>
            <w:vAlign w:val="center"/>
            <w:hideMark/>
          </w:tcPr>
          <w:p w14:paraId="6975EC84"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0615A8B9" w14:textId="0020A076" w:rsidR="002F3D62" w:rsidRPr="004E581A" w:rsidRDefault="002F3D62" w:rsidP="002F3D62">
            <w:pPr>
              <w:jc w:val="center"/>
              <w:rPr>
                <w:rFonts w:ascii="Arial" w:hAnsi="Arial" w:cs="Arial"/>
                <w:color w:val="000000"/>
                <w:sz w:val="16"/>
                <w:szCs w:val="16"/>
              </w:rPr>
            </w:pPr>
            <w:r>
              <w:rPr>
                <w:rFonts w:ascii="Arial" w:hAnsi="Arial" w:cs="Arial"/>
                <w:color w:val="000000"/>
                <w:sz w:val="16"/>
                <w:szCs w:val="16"/>
              </w:rPr>
              <w:t>0</w:t>
            </w:r>
            <w:r w:rsidRPr="004E581A">
              <w:rPr>
                <w:rFonts w:ascii="Arial" w:hAnsi="Arial" w:cs="Arial"/>
                <w:color w:val="000000"/>
                <w:sz w:val="16"/>
                <w:szCs w:val="16"/>
              </w:rPr>
              <w:t>%</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6BFF85CD" w14:textId="46ECD0DE" w:rsidR="002F3D62" w:rsidRPr="00542107" w:rsidRDefault="002F3D62" w:rsidP="002F3D62">
            <w:pPr>
              <w:jc w:val="center"/>
              <w:rPr>
                <w:rFonts w:ascii="Arial" w:hAnsi="Arial" w:cs="Arial"/>
                <w:color w:val="000000"/>
                <w:sz w:val="16"/>
                <w:szCs w:val="16"/>
              </w:rPr>
            </w:pPr>
            <w:r w:rsidRPr="00542107">
              <w:rPr>
                <w:rFonts w:ascii="Arial" w:hAnsi="Arial" w:cs="Arial"/>
                <w:color w:val="000000"/>
                <w:sz w:val="16"/>
                <w:szCs w:val="16"/>
              </w:rPr>
              <w:t>30,00 %</w:t>
            </w:r>
          </w:p>
        </w:tc>
        <w:tc>
          <w:tcPr>
            <w:tcW w:w="851" w:type="dxa"/>
            <w:tcBorders>
              <w:top w:val="nil"/>
              <w:left w:val="nil"/>
              <w:bottom w:val="single" w:sz="4" w:space="0" w:color="auto"/>
              <w:right w:val="single" w:sz="4" w:space="0" w:color="auto"/>
            </w:tcBorders>
            <w:shd w:val="clear" w:color="000000" w:fill="FFFFFF"/>
            <w:vAlign w:val="center"/>
          </w:tcPr>
          <w:p w14:paraId="44BD015C" w14:textId="564AA82F" w:rsidR="002F3D62" w:rsidRPr="00542107" w:rsidRDefault="004C58D2" w:rsidP="002F3D62">
            <w:pPr>
              <w:jc w:val="center"/>
              <w:rPr>
                <w:rFonts w:ascii="Arial" w:hAnsi="Arial" w:cs="Arial"/>
                <w:color w:val="000000"/>
                <w:sz w:val="16"/>
                <w:szCs w:val="16"/>
              </w:rPr>
            </w:pPr>
            <w:r>
              <w:rPr>
                <w:rFonts w:ascii="Arial" w:hAnsi="Arial" w:cs="Arial"/>
                <w:color w:val="000000"/>
                <w:sz w:val="16"/>
                <w:szCs w:val="16"/>
              </w:rPr>
              <w:t>0,235 %</w:t>
            </w:r>
          </w:p>
        </w:tc>
        <w:tc>
          <w:tcPr>
            <w:tcW w:w="709" w:type="dxa"/>
            <w:tcBorders>
              <w:top w:val="nil"/>
              <w:left w:val="nil"/>
              <w:bottom w:val="single" w:sz="4" w:space="0" w:color="auto"/>
              <w:right w:val="single" w:sz="4" w:space="0" w:color="auto"/>
            </w:tcBorders>
            <w:shd w:val="clear" w:color="000000" w:fill="EBF1DE"/>
            <w:vAlign w:val="center"/>
            <w:hideMark/>
          </w:tcPr>
          <w:p w14:paraId="21E9F1E0" w14:textId="43D1A657" w:rsidR="002F3D62" w:rsidRPr="00542107" w:rsidRDefault="002F3D62" w:rsidP="002F3D62">
            <w:pPr>
              <w:jc w:val="center"/>
              <w:rPr>
                <w:rFonts w:ascii="Arial" w:hAnsi="Arial" w:cs="Arial"/>
                <w:color w:val="000000"/>
                <w:sz w:val="16"/>
                <w:szCs w:val="16"/>
              </w:rPr>
            </w:pPr>
            <w:r w:rsidRPr="002F3D62">
              <w:rPr>
                <w:rFonts w:ascii="Arial" w:hAnsi="Arial" w:cs="Arial"/>
                <w:color w:val="000000"/>
                <w:sz w:val="16"/>
                <w:szCs w:val="16"/>
              </w:rPr>
              <w:t>8,53 %</w:t>
            </w:r>
          </w:p>
        </w:tc>
        <w:tc>
          <w:tcPr>
            <w:tcW w:w="850" w:type="dxa"/>
            <w:tcBorders>
              <w:top w:val="nil"/>
              <w:left w:val="nil"/>
              <w:bottom w:val="single" w:sz="4" w:space="0" w:color="auto"/>
              <w:right w:val="single" w:sz="4" w:space="0" w:color="auto"/>
            </w:tcBorders>
            <w:shd w:val="clear" w:color="auto" w:fill="FFFFFF" w:themeFill="background1"/>
            <w:vAlign w:val="center"/>
            <w:hideMark/>
          </w:tcPr>
          <w:p w14:paraId="26F0F4D8" w14:textId="2C131794" w:rsidR="002F3D62" w:rsidRPr="00542107" w:rsidRDefault="002F3D62" w:rsidP="002F3D62">
            <w:pPr>
              <w:jc w:val="center"/>
              <w:rPr>
                <w:rFonts w:ascii="Arial" w:hAnsi="Arial" w:cs="Arial"/>
                <w:color w:val="000000"/>
                <w:sz w:val="16"/>
                <w:szCs w:val="16"/>
              </w:rPr>
            </w:pPr>
            <w:r w:rsidRPr="002F3D62">
              <w:rPr>
                <w:rFonts w:ascii="Arial" w:hAnsi="Arial" w:cs="Arial"/>
                <w:color w:val="000000"/>
                <w:sz w:val="16"/>
                <w:szCs w:val="16"/>
              </w:rPr>
              <w:t>44,68 %</w:t>
            </w:r>
          </w:p>
        </w:tc>
        <w:tc>
          <w:tcPr>
            <w:tcW w:w="992" w:type="dxa"/>
            <w:tcBorders>
              <w:top w:val="nil"/>
              <w:left w:val="nil"/>
              <w:bottom w:val="single" w:sz="4" w:space="0" w:color="auto"/>
              <w:right w:val="single" w:sz="4" w:space="0" w:color="auto"/>
            </w:tcBorders>
            <w:shd w:val="clear" w:color="000000" w:fill="EBF1DE"/>
            <w:vAlign w:val="center"/>
            <w:hideMark/>
          </w:tcPr>
          <w:p w14:paraId="04EDCD7A" w14:textId="053BCD5B" w:rsidR="002F3D62" w:rsidRPr="00542107" w:rsidRDefault="002F3D62" w:rsidP="002F3D62">
            <w:pPr>
              <w:jc w:val="center"/>
              <w:rPr>
                <w:rFonts w:ascii="Arial" w:hAnsi="Arial" w:cs="Arial"/>
                <w:color w:val="000000"/>
                <w:sz w:val="16"/>
                <w:szCs w:val="16"/>
              </w:rPr>
            </w:pPr>
            <w:r w:rsidRPr="002F3D62">
              <w:rPr>
                <w:rFonts w:ascii="Arial" w:hAnsi="Arial" w:cs="Arial"/>
                <w:color w:val="000000"/>
                <w:sz w:val="16"/>
                <w:szCs w:val="16"/>
              </w:rPr>
              <w:t>28,42 %</w:t>
            </w:r>
          </w:p>
        </w:tc>
        <w:tc>
          <w:tcPr>
            <w:tcW w:w="1202" w:type="dxa"/>
            <w:tcBorders>
              <w:top w:val="nil"/>
              <w:left w:val="nil"/>
              <w:bottom w:val="single" w:sz="4" w:space="0" w:color="auto"/>
              <w:right w:val="single" w:sz="4" w:space="0" w:color="auto"/>
            </w:tcBorders>
            <w:shd w:val="clear" w:color="auto" w:fill="FFFFFF" w:themeFill="background1"/>
            <w:vAlign w:val="center"/>
            <w:hideMark/>
          </w:tcPr>
          <w:p w14:paraId="31F06DFB" w14:textId="126A44F2" w:rsidR="002F3D62" w:rsidRPr="00542107" w:rsidRDefault="002F3D62" w:rsidP="002F3D62">
            <w:pPr>
              <w:jc w:val="center"/>
              <w:rPr>
                <w:rFonts w:ascii="Arial" w:hAnsi="Arial" w:cs="Arial"/>
                <w:color w:val="000000"/>
                <w:sz w:val="16"/>
                <w:szCs w:val="16"/>
              </w:rPr>
            </w:pPr>
            <w:r w:rsidRPr="002F3D62">
              <w:rPr>
                <w:rFonts w:ascii="Arial" w:hAnsi="Arial" w:cs="Arial"/>
                <w:color w:val="000000"/>
                <w:sz w:val="16"/>
                <w:szCs w:val="16"/>
              </w:rPr>
              <w:t>148,93 %</w:t>
            </w:r>
          </w:p>
        </w:tc>
      </w:tr>
      <w:tr w:rsidR="002F3D62" w:rsidRPr="009D6F3F" w14:paraId="061CA0BA" w14:textId="77777777" w:rsidTr="002F3D62">
        <w:trPr>
          <w:trHeight w:val="1125"/>
        </w:trPr>
        <w:tc>
          <w:tcPr>
            <w:tcW w:w="654" w:type="dxa"/>
            <w:vMerge/>
            <w:tcBorders>
              <w:top w:val="single" w:sz="4" w:space="0" w:color="auto"/>
              <w:left w:val="single" w:sz="4" w:space="0" w:color="auto"/>
              <w:bottom w:val="single" w:sz="4" w:space="0" w:color="auto"/>
              <w:right w:val="single" w:sz="4" w:space="0" w:color="auto"/>
            </w:tcBorders>
            <w:vAlign w:val="center"/>
            <w:hideMark/>
          </w:tcPr>
          <w:p w14:paraId="7F0738FE" w14:textId="77777777" w:rsidR="002F3D62" w:rsidRPr="009D6F3F" w:rsidRDefault="002F3D62" w:rsidP="002F3D62">
            <w:pPr>
              <w:rPr>
                <w:rFonts w:ascii="Arial" w:hAnsi="Arial" w:cs="Arial"/>
                <w:color w:val="000000"/>
                <w:sz w:val="16"/>
                <w:szCs w:val="16"/>
              </w:rPr>
            </w:pPr>
          </w:p>
        </w:tc>
        <w:tc>
          <w:tcPr>
            <w:tcW w:w="1555" w:type="dxa"/>
            <w:tcBorders>
              <w:top w:val="nil"/>
              <w:left w:val="nil"/>
              <w:bottom w:val="single" w:sz="4" w:space="0" w:color="auto"/>
              <w:right w:val="single" w:sz="4" w:space="0" w:color="auto"/>
            </w:tcBorders>
            <w:shd w:val="clear" w:color="000000" w:fill="FFFFFF"/>
            <w:vAlign w:val="center"/>
            <w:hideMark/>
          </w:tcPr>
          <w:p w14:paraId="53226148"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Zníženie emisií prchavých organických látok (spolu za jednotlivé projekty)</w:t>
            </w:r>
          </w:p>
        </w:tc>
        <w:tc>
          <w:tcPr>
            <w:tcW w:w="825" w:type="dxa"/>
            <w:tcBorders>
              <w:top w:val="nil"/>
              <w:left w:val="nil"/>
              <w:bottom w:val="single" w:sz="4" w:space="0" w:color="auto"/>
              <w:right w:val="single" w:sz="4" w:space="0" w:color="auto"/>
            </w:tcBorders>
            <w:shd w:val="clear" w:color="000000" w:fill="FFFFFF"/>
            <w:vAlign w:val="center"/>
            <w:hideMark/>
          </w:tcPr>
          <w:p w14:paraId="68FAEE7B"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13C1FC71" w14:textId="72C5FFBF"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0</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7D9BD107" w14:textId="07F66D0B"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20 %</w:t>
            </w:r>
          </w:p>
        </w:tc>
        <w:tc>
          <w:tcPr>
            <w:tcW w:w="851" w:type="dxa"/>
            <w:tcBorders>
              <w:top w:val="nil"/>
              <w:left w:val="nil"/>
              <w:bottom w:val="single" w:sz="4" w:space="0" w:color="auto"/>
              <w:right w:val="single" w:sz="4" w:space="0" w:color="auto"/>
            </w:tcBorders>
            <w:shd w:val="clear" w:color="000000" w:fill="FFFFFF"/>
            <w:vAlign w:val="center"/>
          </w:tcPr>
          <w:p w14:paraId="5DAEEC68" w14:textId="55DE9017" w:rsidR="002F3D62" w:rsidRPr="009D6F3F" w:rsidRDefault="004C58D2" w:rsidP="002F3D62">
            <w:pPr>
              <w:jc w:val="center"/>
              <w:rPr>
                <w:rFonts w:ascii="Arial" w:hAnsi="Arial" w:cs="Arial"/>
                <w:color w:val="000000"/>
                <w:sz w:val="16"/>
                <w:szCs w:val="16"/>
              </w:rPr>
            </w:pPr>
            <w:r>
              <w:rPr>
                <w:rFonts w:ascii="Arial" w:hAnsi="Arial" w:cs="Arial"/>
                <w:color w:val="000000"/>
                <w:sz w:val="16"/>
                <w:szCs w:val="16"/>
              </w:rPr>
              <w:t>0,00 %</w:t>
            </w:r>
          </w:p>
        </w:tc>
        <w:tc>
          <w:tcPr>
            <w:tcW w:w="709" w:type="dxa"/>
            <w:tcBorders>
              <w:top w:val="nil"/>
              <w:left w:val="nil"/>
              <w:bottom w:val="single" w:sz="4" w:space="0" w:color="auto"/>
              <w:right w:val="single" w:sz="4" w:space="0" w:color="auto"/>
            </w:tcBorders>
            <w:shd w:val="clear" w:color="000000" w:fill="EBF1DE"/>
            <w:vAlign w:val="center"/>
            <w:hideMark/>
          </w:tcPr>
          <w:p w14:paraId="1AB03D28" w14:textId="64CE7D09"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0,00 %</w:t>
            </w:r>
          </w:p>
        </w:tc>
        <w:tc>
          <w:tcPr>
            <w:tcW w:w="850" w:type="dxa"/>
            <w:tcBorders>
              <w:top w:val="nil"/>
              <w:left w:val="nil"/>
              <w:bottom w:val="single" w:sz="4" w:space="0" w:color="auto"/>
              <w:right w:val="single" w:sz="4" w:space="0" w:color="auto"/>
            </w:tcBorders>
            <w:shd w:val="clear" w:color="000000" w:fill="FFFFFF"/>
            <w:vAlign w:val="center"/>
            <w:hideMark/>
          </w:tcPr>
          <w:p w14:paraId="7626E62B" w14:textId="67FADB68"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0,00 %</w:t>
            </w:r>
          </w:p>
        </w:tc>
        <w:tc>
          <w:tcPr>
            <w:tcW w:w="992" w:type="dxa"/>
            <w:tcBorders>
              <w:top w:val="nil"/>
              <w:left w:val="nil"/>
              <w:bottom w:val="single" w:sz="4" w:space="0" w:color="auto"/>
              <w:right w:val="single" w:sz="4" w:space="0" w:color="auto"/>
            </w:tcBorders>
            <w:shd w:val="clear" w:color="000000" w:fill="EBF1DE"/>
            <w:vAlign w:val="center"/>
            <w:hideMark/>
          </w:tcPr>
          <w:p w14:paraId="4D58FA21" w14:textId="6F6EA82E"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0,00 %</w:t>
            </w:r>
          </w:p>
        </w:tc>
        <w:tc>
          <w:tcPr>
            <w:tcW w:w="1202" w:type="dxa"/>
            <w:tcBorders>
              <w:top w:val="nil"/>
              <w:left w:val="nil"/>
              <w:bottom w:val="single" w:sz="4" w:space="0" w:color="auto"/>
              <w:right w:val="single" w:sz="4" w:space="0" w:color="auto"/>
            </w:tcBorders>
            <w:shd w:val="clear" w:color="auto" w:fill="auto"/>
            <w:vAlign w:val="center"/>
            <w:hideMark/>
          </w:tcPr>
          <w:p w14:paraId="69809D3A" w14:textId="6DE95637"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0,00 %</w:t>
            </w:r>
          </w:p>
        </w:tc>
      </w:tr>
      <w:tr w:rsidR="002F3D62" w:rsidRPr="009D6F3F" w14:paraId="0F669475" w14:textId="77777777" w:rsidTr="002F3D62">
        <w:trPr>
          <w:trHeight w:val="1350"/>
        </w:trPr>
        <w:tc>
          <w:tcPr>
            <w:tcW w:w="654" w:type="dxa"/>
            <w:vMerge/>
            <w:tcBorders>
              <w:top w:val="single" w:sz="4" w:space="0" w:color="auto"/>
              <w:left w:val="single" w:sz="4" w:space="0" w:color="auto"/>
              <w:bottom w:val="single" w:sz="4" w:space="0" w:color="auto"/>
              <w:right w:val="single" w:sz="4" w:space="0" w:color="auto"/>
            </w:tcBorders>
            <w:vAlign w:val="center"/>
            <w:hideMark/>
          </w:tcPr>
          <w:p w14:paraId="134EAD34" w14:textId="77777777" w:rsidR="002F3D62" w:rsidRPr="009D6F3F" w:rsidRDefault="002F3D62" w:rsidP="002F3D62">
            <w:pPr>
              <w:rPr>
                <w:rFonts w:ascii="Arial" w:hAnsi="Arial" w:cs="Arial"/>
                <w:color w:val="000000"/>
                <w:sz w:val="16"/>
                <w:szCs w:val="16"/>
              </w:rPr>
            </w:pPr>
          </w:p>
        </w:tc>
        <w:tc>
          <w:tcPr>
            <w:tcW w:w="1555" w:type="dxa"/>
            <w:tcBorders>
              <w:top w:val="nil"/>
              <w:left w:val="nil"/>
              <w:bottom w:val="single" w:sz="4" w:space="0" w:color="auto"/>
              <w:right w:val="single" w:sz="4" w:space="0" w:color="auto"/>
            </w:tcBorders>
            <w:shd w:val="clear" w:color="000000" w:fill="FFFFFF"/>
            <w:vAlign w:val="center"/>
            <w:hideMark/>
          </w:tcPr>
          <w:p w14:paraId="4C576F1E"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Počet zmodernizovaných a novo nainštalovaných monitorovacích staníc Národnej monitorov. siete kvality ovzdušia</w:t>
            </w:r>
          </w:p>
        </w:tc>
        <w:tc>
          <w:tcPr>
            <w:tcW w:w="825" w:type="dxa"/>
            <w:tcBorders>
              <w:top w:val="nil"/>
              <w:left w:val="nil"/>
              <w:bottom w:val="single" w:sz="4" w:space="0" w:color="auto"/>
              <w:right w:val="single" w:sz="4" w:space="0" w:color="auto"/>
            </w:tcBorders>
            <w:shd w:val="clear" w:color="000000" w:fill="FFFFFF"/>
            <w:vAlign w:val="center"/>
            <w:hideMark/>
          </w:tcPr>
          <w:p w14:paraId="514EB9D3"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počet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18FB4657" w14:textId="30F12CC9"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0</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543BAB05" w14:textId="13FE2C6E"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25</w:t>
            </w:r>
          </w:p>
        </w:tc>
        <w:tc>
          <w:tcPr>
            <w:tcW w:w="851" w:type="dxa"/>
            <w:tcBorders>
              <w:top w:val="nil"/>
              <w:left w:val="nil"/>
              <w:bottom w:val="single" w:sz="4" w:space="0" w:color="auto"/>
              <w:right w:val="single" w:sz="4" w:space="0" w:color="auto"/>
            </w:tcBorders>
            <w:shd w:val="clear" w:color="000000" w:fill="FFFFFF"/>
            <w:vAlign w:val="center"/>
          </w:tcPr>
          <w:p w14:paraId="101CB0B7" w14:textId="0922E726" w:rsidR="002F3D62" w:rsidRPr="009D6F3F" w:rsidRDefault="004C58D2" w:rsidP="002F3D62">
            <w:pPr>
              <w:jc w:val="center"/>
              <w:rPr>
                <w:rFonts w:ascii="Arial" w:hAnsi="Arial" w:cs="Arial"/>
                <w:color w:val="000000"/>
                <w:sz w:val="16"/>
                <w:szCs w:val="16"/>
              </w:rPr>
            </w:pPr>
            <w:r>
              <w:rPr>
                <w:rFonts w:ascii="Arial" w:hAnsi="Arial" w:cs="Arial"/>
                <w:color w:val="000000"/>
                <w:sz w:val="16"/>
                <w:szCs w:val="16"/>
              </w:rPr>
              <w:t>62</w:t>
            </w:r>
          </w:p>
        </w:tc>
        <w:tc>
          <w:tcPr>
            <w:tcW w:w="709" w:type="dxa"/>
            <w:tcBorders>
              <w:top w:val="nil"/>
              <w:left w:val="nil"/>
              <w:bottom w:val="single" w:sz="4" w:space="0" w:color="auto"/>
              <w:right w:val="single" w:sz="4" w:space="0" w:color="auto"/>
            </w:tcBorders>
            <w:shd w:val="clear" w:color="000000" w:fill="EBF1DE"/>
            <w:vAlign w:val="center"/>
            <w:hideMark/>
          </w:tcPr>
          <w:p w14:paraId="37B4246A" w14:textId="5427DA85"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62</w:t>
            </w:r>
          </w:p>
        </w:tc>
        <w:tc>
          <w:tcPr>
            <w:tcW w:w="850" w:type="dxa"/>
            <w:tcBorders>
              <w:top w:val="nil"/>
              <w:left w:val="nil"/>
              <w:bottom w:val="single" w:sz="4" w:space="0" w:color="auto"/>
              <w:right w:val="single" w:sz="4" w:space="0" w:color="auto"/>
            </w:tcBorders>
            <w:shd w:val="clear" w:color="000000" w:fill="FFFFFF"/>
            <w:vAlign w:val="center"/>
            <w:hideMark/>
          </w:tcPr>
          <w:p w14:paraId="14E5B85F" w14:textId="7BF29F27"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62</w:t>
            </w:r>
          </w:p>
        </w:tc>
        <w:tc>
          <w:tcPr>
            <w:tcW w:w="992" w:type="dxa"/>
            <w:tcBorders>
              <w:top w:val="nil"/>
              <w:left w:val="nil"/>
              <w:bottom w:val="single" w:sz="4" w:space="0" w:color="auto"/>
              <w:right w:val="single" w:sz="4" w:space="0" w:color="auto"/>
            </w:tcBorders>
            <w:shd w:val="clear" w:color="000000" w:fill="EBF1DE"/>
            <w:vAlign w:val="center"/>
            <w:hideMark/>
          </w:tcPr>
          <w:p w14:paraId="4BDEE163" w14:textId="4E304555"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248,00 %</w:t>
            </w:r>
          </w:p>
        </w:tc>
        <w:tc>
          <w:tcPr>
            <w:tcW w:w="1202" w:type="dxa"/>
            <w:tcBorders>
              <w:top w:val="nil"/>
              <w:left w:val="nil"/>
              <w:bottom w:val="single" w:sz="4" w:space="0" w:color="auto"/>
              <w:right w:val="single" w:sz="4" w:space="0" w:color="auto"/>
            </w:tcBorders>
            <w:shd w:val="clear" w:color="auto" w:fill="auto"/>
            <w:vAlign w:val="center"/>
            <w:hideMark/>
          </w:tcPr>
          <w:p w14:paraId="40797ABE" w14:textId="4027BFAE"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248,00 %</w:t>
            </w:r>
          </w:p>
        </w:tc>
      </w:tr>
      <w:tr w:rsidR="002F3D62" w:rsidRPr="009D6F3F" w14:paraId="07AAA5BA" w14:textId="77777777" w:rsidTr="002F3D62">
        <w:trPr>
          <w:trHeight w:val="2700"/>
        </w:trPr>
        <w:tc>
          <w:tcPr>
            <w:tcW w:w="654" w:type="dxa"/>
            <w:vMerge w:val="restart"/>
            <w:tcBorders>
              <w:top w:val="nil"/>
              <w:left w:val="single" w:sz="4" w:space="0" w:color="auto"/>
              <w:bottom w:val="single" w:sz="4" w:space="0" w:color="auto"/>
              <w:right w:val="single" w:sz="4" w:space="0" w:color="auto"/>
            </w:tcBorders>
            <w:shd w:val="clear" w:color="000000" w:fill="FFFFFF"/>
            <w:vAlign w:val="center"/>
            <w:hideMark/>
          </w:tcPr>
          <w:p w14:paraId="6D5A0047"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3.2</w:t>
            </w:r>
          </w:p>
        </w:tc>
        <w:tc>
          <w:tcPr>
            <w:tcW w:w="1555" w:type="dxa"/>
            <w:tcBorders>
              <w:top w:val="nil"/>
              <w:left w:val="nil"/>
              <w:bottom w:val="single" w:sz="4" w:space="0" w:color="auto"/>
              <w:right w:val="single" w:sz="4" w:space="0" w:color="auto"/>
            </w:tcBorders>
            <w:shd w:val="clear" w:color="000000" w:fill="FFFFFF"/>
            <w:vAlign w:val="center"/>
            <w:hideMark/>
          </w:tcPr>
          <w:p w14:paraId="30C99157"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Počet aktivít na znižovanie emisií skleníkových plynov a zmenu palivovej základne energetických zdrojov na výrobu tepla a teplej vody v prospech obnoviteľných zdrojov energie a počet podporných štúdií a programov</w:t>
            </w:r>
          </w:p>
        </w:tc>
        <w:tc>
          <w:tcPr>
            <w:tcW w:w="825" w:type="dxa"/>
            <w:tcBorders>
              <w:top w:val="nil"/>
              <w:left w:val="nil"/>
              <w:bottom w:val="single" w:sz="4" w:space="0" w:color="auto"/>
              <w:right w:val="single" w:sz="4" w:space="0" w:color="auto"/>
            </w:tcBorders>
            <w:shd w:val="clear" w:color="000000" w:fill="FFFFFF"/>
            <w:vAlign w:val="center"/>
            <w:hideMark/>
          </w:tcPr>
          <w:p w14:paraId="3FD97FA9"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počet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1F69D690" w14:textId="2F4FF22A"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20</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1603540F" w14:textId="7AC62AEE"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35</w:t>
            </w:r>
          </w:p>
        </w:tc>
        <w:tc>
          <w:tcPr>
            <w:tcW w:w="851" w:type="dxa"/>
            <w:tcBorders>
              <w:top w:val="nil"/>
              <w:left w:val="nil"/>
              <w:bottom w:val="single" w:sz="4" w:space="0" w:color="auto"/>
              <w:right w:val="single" w:sz="4" w:space="0" w:color="auto"/>
            </w:tcBorders>
            <w:shd w:val="clear" w:color="000000" w:fill="FFFFFF"/>
            <w:vAlign w:val="center"/>
          </w:tcPr>
          <w:p w14:paraId="18BC78E0" w14:textId="1B0A48A4" w:rsidR="002F3D62" w:rsidRPr="009D6F3F" w:rsidRDefault="004C58D2" w:rsidP="002F3D62">
            <w:pPr>
              <w:jc w:val="center"/>
              <w:rPr>
                <w:rFonts w:ascii="Arial" w:hAnsi="Arial" w:cs="Arial"/>
                <w:color w:val="000000"/>
                <w:sz w:val="16"/>
                <w:szCs w:val="16"/>
              </w:rPr>
            </w:pPr>
            <w:r>
              <w:rPr>
                <w:rFonts w:ascii="Arial" w:hAnsi="Arial" w:cs="Arial"/>
                <w:color w:val="000000"/>
                <w:sz w:val="16"/>
                <w:szCs w:val="16"/>
              </w:rPr>
              <w:t>75</w:t>
            </w:r>
          </w:p>
        </w:tc>
        <w:tc>
          <w:tcPr>
            <w:tcW w:w="709" w:type="dxa"/>
            <w:tcBorders>
              <w:top w:val="nil"/>
              <w:left w:val="nil"/>
              <w:bottom w:val="single" w:sz="4" w:space="0" w:color="auto"/>
              <w:right w:val="single" w:sz="4" w:space="0" w:color="auto"/>
            </w:tcBorders>
            <w:shd w:val="clear" w:color="000000" w:fill="EBF1DE"/>
            <w:vAlign w:val="center"/>
            <w:hideMark/>
          </w:tcPr>
          <w:p w14:paraId="1175F069" w14:textId="79FD18D8"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75</w:t>
            </w:r>
          </w:p>
        </w:tc>
        <w:tc>
          <w:tcPr>
            <w:tcW w:w="850" w:type="dxa"/>
            <w:tcBorders>
              <w:top w:val="nil"/>
              <w:left w:val="nil"/>
              <w:bottom w:val="single" w:sz="4" w:space="0" w:color="auto"/>
              <w:right w:val="single" w:sz="4" w:space="0" w:color="auto"/>
            </w:tcBorders>
            <w:shd w:val="clear" w:color="000000" w:fill="FFFFFF"/>
            <w:vAlign w:val="center"/>
            <w:hideMark/>
          </w:tcPr>
          <w:p w14:paraId="7494A71C" w14:textId="41A3AF32"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77</w:t>
            </w:r>
          </w:p>
        </w:tc>
        <w:tc>
          <w:tcPr>
            <w:tcW w:w="992" w:type="dxa"/>
            <w:tcBorders>
              <w:top w:val="nil"/>
              <w:left w:val="nil"/>
              <w:bottom w:val="single" w:sz="4" w:space="0" w:color="auto"/>
              <w:right w:val="single" w:sz="4" w:space="0" w:color="auto"/>
            </w:tcBorders>
            <w:shd w:val="clear" w:color="000000" w:fill="EBF1DE"/>
            <w:vAlign w:val="center"/>
            <w:hideMark/>
          </w:tcPr>
          <w:p w14:paraId="05DBDB81" w14:textId="6607FBC3"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500,00 %</w:t>
            </w:r>
          </w:p>
        </w:tc>
        <w:tc>
          <w:tcPr>
            <w:tcW w:w="1202" w:type="dxa"/>
            <w:tcBorders>
              <w:top w:val="nil"/>
              <w:left w:val="nil"/>
              <w:bottom w:val="single" w:sz="4" w:space="0" w:color="auto"/>
              <w:right w:val="single" w:sz="4" w:space="0" w:color="auto"/>
            </w:tcBorders>
            <w:shd w:val="clear" w:color="auto" w:fill="auto"/>
            <w:vAlign w:val="center"/>
            <w:hideMark/>
          </w:tcPr>
          <w:p w14:paraId="5E80A0EE" w14:textId="0088A10A"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513,33 %</w:t>
            </w:r>
          </w:p>
        </w:tc>
      </w:tr>
      <w:tr w:rsidR="002F3D62" w:rsidRPr="009D6F3F" w14:paraId="03BE37E9" w14:textId="77777777" w:rsidTr="002F3D62">
        <w:trPr>
          <w:trHeight w:val="900"/>
        </w:trPr>
        <w:tc>
          <w:tcPr>
            <w:tcW w:w="654" w:type="dxa"/>
            <w:vMerge/>
            <w:tcBorders>
              <w:top w:val="nil"/>
              <w:left w:val="single" w:sz="4" w:space="0" w:color="auto"/>
              <w:bottom w:val="single" w:sz="4" w:space="0" w:color="auto"/>
              <w:right w:val="single" w:sz="4" w:space="0" w:color="auto"/>
            </w:tcBorders>
            <w:vAlign w:val="center"/>
            <w:hideMark/>
          </w:tcPr>
          <w:p w14:paraId="38A48D30" w14:textId="77777777" w:rsidR="002F3D62" w:rsidRPr="009D6F3F" w:rsidRDefault="002F3D62" w:rsidP="002F3D62">
            <w:pPr>
              <w:rPr>
                <w:rFonts w:ascii="Arial" w:hAnsi="Arial" w:cs="Arial"/>
                <w:color w:val="000000"/>
                <w:sz w:val="16"/>
                <w:szCs w:val="16"/>
              </w:rPr>
            </w:pPr>
          </w:p>
        </w:tc>
        <w:tc>
          <w:tcPr>
            <w:tcW w:w="1555" w:type="dxa"/>
            <w:tcBorders>
              <w:top w:val="nil"/>
              <w:left w:val="nil"/>
              <w:bottom w:val="single" w:sz="4" w:space="0" w:color="auto"/>
              <w:right w:val="single" w:sz="4" w:space="0" w:color="auto"/>
            </w:tcBorders>
            <w:shd w:val="clear" w:color="000000" w:fill="FFFFFF"/>
            <w:vAlign w:val="center"/>
            <w:hideMark/>
          </w:tcPr>
          <w:p w14:paraId="1BC94242" w14:textId="10F91E8A"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Zníženie emisií skleníkových plynov (spolu za jednotlivé projekty)</w:t>
            </w:r>
          </w:p>
        </w:tc>
        <w:tc>
          <w:tcPr>
            <w:tcW w:w="825" w:type="dxa"/>
            <w:tcBorders>
              <w:top w:val="nil"/>
              <w:left w:val="nil"/>
              <w:bottom w:val="single" w:sz="4" w:space="0" w:color="auto"/>
              <w:right w:val="single" w:sz="4" w:space="0" w:color="auto"/>
            </w:tcBorders>
            <w:shd w:val="clear" w:color="000000" w:fill="FFFFFF"/>
            <w:vAlign w:val="center"/>
            <w:hideMark/>
          </w:tcPr>
          <w:p w14:paraId="12FF8CF6"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056ADA9C" w14:textId="52AE4F16" w:rsidR="002F3D62" w:rsidRPr="004E581A" w:rsidRDefault="002F3D62" w:rsidP="002F3D62">
            <w:pPr>
              <w:jc w:val="center"/>
              <w:rPr>
                <w:rFonts w:ascii="Arial" w:hAnsi="Arial" w:cs="Arial"/>
                <w:color w:val="000000"/>
                <w:sz w:val="16"/>
                <w:szCs w:val="16"/>
              </w:rPr>
            </w:pPr>
            <w:r>
              <w:rPr>
                <w:rFonts w:ascii="Arial" w:hAnsi="Arial" w:cs="Arial"/>
                <w:color w:val="000000"/>
                <w:sz w:val="16"/>
                <w:szCs w:val="16"/>
              </w:rPr>
              <w:t>0</w:t>
            </w:r>
            <w:r w:rsidRPr="000308DA">
              <w:rPr>
                <w:rFonts w:ascii="Arial" w:hAnsi="Arial" w:cs="Arial"/>
                <w:color w:val="000000"/>
                <w:sz w:val="16"/>
                <w:szCs w:val="16"/>
              </w:rPr>
              <w:t>%</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70CF6892" w14:textId="3A590D95"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15,00 %</w:t>
            </w:r>
          </w:p>
        </w:tc>
        <w:tc>
          <w:tcPr>
            <w:tcW w:w="851" w:type="dxa"/>
            <w:tcBorders>
              <w:top w:val="nil"/>
              <w:left w:val="nil"/>
              <w:bottom w:val="single" w:sz="4" w:space="0" w:color="auto"/>
              <w:right w:val="single" w:sz="4" w:space="0" w:color="auto"/>
            </w:tcBorders>
            <w:shd w:val="clear" w:color="000000" w:fill="FFFFFF"/>
            <w:vAlign w:val="center"/>
          </w:tcPr>
          <w:p w14:paraId="5FEB9383" w14:textId="74917904" w:rsidR="002F3D62" w:rsidRPr="009D6F3F" w:rsidRDefault="004C58D2" w:rsidP="002F3D62">
            <w:pPr>
              <w:jc w:val="center"/>
              <w:rPr>
                <w:rFonts w:ascii="Arial" w:hAnsi="Arial" w:cs="Arial"/>
                <w:color w:val="000000"/>
                <w:sz w:val="16"/>
                <w:szCs w:val="16"/>
              </w:rPr>
            </w:pPr>
            <w:r>
              <w:rPr>
                <w:rFonts w:ascii="Arial" w:hAnsi="Arial" w:cs="Arial"/>
                <w:color w:val="000000"/>
                <w:sz w:val="16"/>
                <w:szCs w:val="16"/>
              </w:rPr>
              <w:t>86,558</w:t>
            </w:r>
          </w:p>
        </w:tc>
        <w:tc>
          <w:tcPr>
            <w:tcW w:w="709" w:type="dxa"/>
            <w:tcBorders>
              <w:top w:val="nil"/>
              <w:left w:val="nil"/>
              <w:bottom w:val="single" w:sz="4" w:space="0" w:color="auto"/>
              <w:right w:val="single" w:sz="4" w:space="0" w:color="auto"/>
            </w:tcBorders>
            <w:shd w:val="clear" w:color="000000" w:fill="EBF1DE"/>
            <w:vAlign w:val="center"/>
            <w:hideMark/>
          </w:tcPr>
          <w:p w14:paraId="6B86E6C6" w14:textId="723A0780"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86,74 %</w:t>
            </w:r>
          </w:p>
        </w:tc>
        <w:tc>
          <w:tcPr>
            <w:tcW w:w="850" w:type="dxa"/>
            <w:tcBorders>
              <w:top w:val="nil"/>
              <w:left w:val="nil"/>
              <w:bottom w:val="single" w:sz="4" w:space="0" w:color="auto"/>
              <w:right w:val="single" w:sz="4" w:space="0" w:color="auto"/>
            </w:tcBorders>
            <w:shd w:val="clear" w:color="000000" w:fill="FFFFFF"/>
            <w:vAlign w:val="center"/>
            <w:hideMark/>
          </w:tcPr>
          <w:p w14:paraId="31502022" w14:textId="7A322996"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93 %</w:t>
            </w:r>
          </w:p>
        </w:tc>
        <w:tc>
          <w:tcPr>
            <w:tcW w:w="992" w:type="dxa"/>
            <w:tcBorders>
              <w:top w:val="nil"/>
              <w:left w:val="nil"/>
              <w:bottom w:val="single" w:sz="4" w:space="0" w:color="auto"/>
              <w:right w:val="single" w:sz="4" w:space="0" w:color="auto"/>
            </w:tcBorders>
            <w:shd w:val="clear" w:color="000000" w:fill="EBF1DE"/>
            <w:vAlign w:val="center"/>
            <w:hideMark/>
          </w:tcPr>
          <w:p w14:paraId="69ED88E6" w14:textId="482D8B1C"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578,24 %</w:t>
            </w:r>
          </w:p>
        </w:tc>
        <w:tc>
          <w:tcPr>
            <w:tcW w:w="1202" w:type="dxa"/>
            <w:tcBorders>
              <w:top w:val="nil"/>
              <w:left w:val="nil"/>
              <w:bottom w:val="single" w:sz="4" w:space="0" w:color="auto"/>
              <w:right w:val="single" w:sz="4" w:space="0" w:color="auto"/>
            </w:tcBorders>
            <w:shd w:val="clear" w:color="000000" w:fill="FFFFFF"/>
            <w:vAlign w:val="center"/>
            <w:hideMark/>
          </w:tcPr>
          <w:p w14:paraId="58A9C382" w14:textId="769BD873"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620,00 %</w:t>
            </w:r>
          </w:p>
        </w:tc>
      </w:tr>
      <w:tr w:rsidR="002F3D62" w:rsidRPr="009D6F3F" w14:paraId="72FDAEC5" w14:textId="77777777" w:rsidTr="002F3D62">
        <w:trPr>
          <w:trHeight w:val="1125"/>
        </w:trPr>
        <w:tc>
          <w:tcPr>
            <w:tcW w:w="654" w:type="dxa"/>
            <w:vMerge/>
            <w:tcBorders>
              <w:top w:val="nil"/>
              <w:left w:val="single" w:sz="4" w:space="0" w:color="auto"/>
              <w:bottom w:val="single" w:sz="4" w:space="0" w:color="auto"/>
              <w:right w:val="single" w:sz="4" w:space="0" w:color="auto"/>
            </w:tcBorders>
            <w:vAlign w:val="center"/>
            <w:hideMark/>
          </w:tcPr>
          <w:p w14:paraId="3373856A" w14:textId="77777777" w:rsidR="002F3D62" w:rsidRPr="009D6F3F" w:rsidRDefault="002F3D62" w:rsidP="002F3D62">
            <w:pPr>
              <w:rPr>
                <w:rFonts w:ascii="Arial" w:hAnsi="Arial" w:cs="Arial"/>
                <w:color w:val="000000"/>
                <w:sz w:val="16"/>
                <w:szCs w:val="16"/>
              </w:rPr>
            </w:pPr>
          </w:p>
        </w:tc>
        <w:tc>
          <w:tcPr>
            <w:tcW w:w="1555" w:type="dxa"/>
            <w:tcBorders>
              <w:top w:val="nil"/>
              <w:left w:val="nil"/>
              <w:bottom w:val="single" w:sz="4" w:space="0" w:color="auto"/>
              <w:right w:val="single" w:sz="4" w:space="0" w:color="auto"/>
            </w:tcBorders>
            <w:shd w:val="clear" w:color="000000" w:fill="FFFFFF"/>
            <w:vAlign w:val="center"/>
            <w:hideMark/>
          </w:tcPr>
          <w:p w14:paraId="71D20DF2" w14:textId="77777777" w:rsidR="002F3D62" w:rsidRPr="00A10FC0" w:rsidRDefault="002F3D62" w:rsidP="002F3D62">
            <w:pPr>
              <w:rPr>
                <w:rFonts w:ascii="Arial" w:hAnsi="Arial" w:cs="Arial"/>
                <w:color w:val="000000"/>
                <w:sz w:val="16"/>
                <w:szCs w:val="16"/>
              </w:rPr>
            </w:pPr>
            <w:r w:rsidRPr="00202AA1">
              <w:rPr>
                <w:rFonts w:ascii="Arial" w:hAnsi="Arial" w:cs="Arial"/>
                <w:color w:val="000000"/>
                <w:sz w:val="16"/>
                <w:szCs w:val="16"/>
              </w:rPr>
              <w:t>Redukcia emisií skleníkových plynov prepočítaných na CO</w:t>
            </w:r>
            <w:r w:rsidRPr="00C32A58">
              <w:rPr>
                <w:rFonts w:ascii="Arial" w:hAnsi="Arial" w:cs="Arial"/>
                <w:color w:val="000000"/>
                <w:sz w:val="16"/>
                <w:szCs w:val="16"/>
                <w:vertAlign w:val="subscript"/>
              </w:rPr>
              <w:t xml:space="preserve">2 (rozdiel medzi množstvom pred projektom a </w:t>
            </w:r>
            <w:r w:rsidRPr="00C32A58">
              <w:rPr>
                <w:rFonts w:ascii="Arial" w:hAnsi="Arial" w:cs="Arial"/>
                <w:color w:val="000000"/>
                <w:sz w:val="16"/>
                <w:szCs w:val="16"/>
                <w:vertAlign w:val="subscript"/>
              </w:rPr>
              <w:lastRenderedPageBreak/>
              <w:t>po projekte)</w:t>
            </w:r>
          </w:p>
        </w:tc>
        <w:tc>
          <w:tcPr>
            <w:tcW w:w="825" w:type="dxa"/>
            <w:tcBorders>
              <w:top w:val="nil"/>
              <w:left w:val="nil"/>
              <w:bottom w:val="single" w:sz="4" w:space="0" w:color="auto"/>
              <w:right w:val="single" w:sz="4" w:space="0" w:color="auto"/>
            </w:tcBorders>
            <w:shd w:val="clear" w:color="000000" w:fill="FFFFFF"/>
            <w:vAlign w:val="center"/>
            <w:hideMark/>
          </w:tcPr>
          <w:p w14:paraId="226DDFF9"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lastRenderedPageBreak/>
              <w:t>tis. ton</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1AEEBDA3" w14:textId="7D9F558A"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124</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6C360C07" w14:textId="6F513F1A" w:rsidR="002F3D62" w:rsidRPr="009D6F3F" w:rsidRDefault="002F3D62" w:rsidP="002F3D62">
            <w:pPr>
              <w:jc w:val="center"/>
              <w:rPr>
                <w:rFonts w:ascii="Arial" w:hAnsi="Arial" w:cs="Arial"/>
                <w:color w:val="000000"/>
                <w:sz w:val="16"/>
                <w:szCs w:val="16"/>
              </w:rPr>
            </w:pPr>
            <w:r w:rsidRPr="00C20B16">
              <w:rPr>
                <w:rFonts w:ascii="Arial" w:hAnsi="Arial" w:cs="Arial"/>
                <w:color w:val="000000"/>
                <w:sz w:val="16"/>
                <w:szCs w:val="16"/>
              </w:rPr>
              <w:t>234,00</w:t>
            </w:r>
          </w:p>
        </w:tc>
        <w:tc>
          <w:tcPr>
            <w:tcW w:w="851" w:type="dxa"/>
            <w:tcBorders>
              <w:top w:val="nil"/>
              <w:left w:val="nil"/>
              <w:bottom w:val="single" w:sz="4" w:space="0" w:color="auto"/>
              <w:right w:val="single" w:sz="4" w:space="0" w:color="auto"/>
            </w:tcBorders>
            <w:shd w:val="clear" w:color="000000" w:fill="FFFFFF"/>
            <w:vAlign w:val="center"/>
          </w:tcPr>
          <w:p w14:paraId="707847B3" w14:textId="1856F831" w:rsidR="002F3D62" w:rsidRPr="009D6F3F" w:rsidRDefault="004C58D2" w:rsidP="002F3D62">
            <w:pPr>
              <w:jc w:val="center"/>
              <w:rPr>
                <w:rFonts w:ascii="Arial" w:hAnsi="Arial" w:cs="Arial"/>
                <w:color w:val="000000"/>
                <w:sz w:val="16"/>
                <w:szCs w:val="16"/>
              </w:rPr>
            </w:pPr>
            <w:r>
              <w:rPr>
                <w:rFonts w:ascii="Arial" w:hAnsi="Arial" w:cs="Arial"/>
                <w:color w:val="000000"/>
                <w:sz w:val="16"/>
                <w:szCs w:val="16"/>
              </w:rPr>
              <w:t>33,940</w:t>
            </w:r>
          </w:p>
        </w:tc>
        <w:tc>
          <w:tcPr>
            <w:tcW w:w="709" w:type="dxa"/>
            <w:tcBorders>
              <w:top w:val="nil"/>
              <w:left w:val="nil"/>
              <w:bottom w:val="single" w:sz="4" w:space="0" w:color="auto"/>
              <w:right w:val="single" w:sz="4" w:space="0" w:color="auto"/>
            </w:tcBorders>
            <w:shd w:val="clear" w:color="000000" w:fill="EBF1DE"/>
            <w:vAlign w:val="center"/>
            <w:hideMark/>
          </w:tcPr>
          <w:p w14:paraId="5163923E" w14:textId="5B7C284C"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34,01</w:t>
            </w:r>
          </w:p>
        </w:tc>
        <w:tc>
          <w:tcPr>
            <w:tcW w:w="850" w:type="dxa"/>
            <w:tcBorders>
              <w:top w:val="nil"/>
              <w:left w:val="nil"/>
              <w:bottom w:val="single" w:sz="4" w:space="0" w:color="auto"/>
              <w:right w:val="single" w:sz="4" w:space="0" w:color="auto"/>
            </w:tcBorders>
            <w:shd w:val="clear" w:color="000000" w:fill="FFFFFF"/>
            <w:vAlign w:val="center"/>
            <w:hideMark/>
          </w:tcPr>
          <w:p w14:paraId="73EE23DF" w14:textId="4522C3CD"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39,21</w:t>
            </w:r>
          </w:p>
        </w:tc>
        <w:tc>
          <w:tcPr>
            <w:tcW w:w="992" w:type="dxa"/>
            <w:tcBorders>
              <w:top w:val="nil"/>
              <w:left w:val="nil"/>
              <w:bottom w:val="single" w:sz="4" w:space="0" w:color="auto"/>
              <w:right w:val="single" w:sz="4" w:space="0" w:color="auto"/>
            </w:tcBorders>
            <w:shd w:val="clear" w:color="000000" w:fill="EBF1DE"/>
            <w:vAlign w:val="center"/>
            <w:hideMark/>
          </w:tcPr>
          <w:p w14:paraId="11E30991" w14:textId="134F2533"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30,92 %</w:t>
            </w:r>
          </w:p>
        </w:tc>
        <w:tc>
          <w:tcPr>
            <w:tcW w:w="1202" w:type="dxa"/>
            <w:tcBorders>
              <w:top w:val="nil"/>
              <w:left w:val="nil"/>
              <w:bottom w:val="single" w:sz="4" w:space="0" w:color="auto"/>
              <w:right w:val="single" w:sz="4" w:space="0" w:color="auto"/>
            </w:tcBorders>
            <w:shd w:val="clear" w:color="auto" w:fill="auto"/>
            <w:vAlign w:val="center"/>
            <w:hideMark/>
          </w:tcPr>
          <w:p w14:paraId="4DF2B45A" w14:textId="2894416F"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35,65 %</w:t>
            </w:r>
          </w:p>
        </w:tc>
      </w:tr>
      <w:tr w:rsidR="002F3D62" w:rsidRPr="009D6F3F" w14:paraId="65626AC4" w14:textId="77777777" w:rsidTr="002F3D62">
        <w:trPr>
          <w:trHeight w:val="1125"/>
        </w:trPr>
        <w:tc>
          <w:tcPr>
            <w:tcW w:w="654" w:type="dxa"/>
            <w:vMerge/>
            <w:tcBorders>
              <w:top w:val="nil"/>
              <w:left w:val="single" w:sz="4" w:space="0" w:color="auto"/>
              <w:bottom w:val="single" w:sz="4" w:space="0" w:color="auto"/>
              <w:right w:val="single" w:sz="4" w:space="0" w:color="auto"/>
            </w:tcBorders>
            <w:vAlign w:val="center"/>
            <w:hideMark/>
          </w:tcPr>
          <w:p w14:paraId="09269FC0" w14:textId="77777777" w:rsidR="002F3D62" w:rsidRPr="009D6F3F" w:rsidRDefault="002F3D62" w:rsidP="002F3D62">
            <w:pPr>
              <w:rPr>
                <w:rFonts w:ascii="Arial" w:hAnsi="Arial" w:cs="Arial"/>
                <w:color w:val="000000"/>
                <w:sz w:val="16"/>
                <w:szCs w:val="16"/>
              </w:rPr>
            </w:pPr>
          </w:p>
        </w:tc>
        <w:tc>
          <w:tcPr>
            <w:tcW w:w="1555" w:type="dxa"/>
            <w:tcBorders>
              <w:top w:val="single" w:sz="4" w:space="0" w:color="auto"/>
              <w:left w:val="nil"/>
              <w:bottom w:val="single" w:sz="4" w:space="0" w:color="auto"/>
              <w:right w:val="single" w:sz="4" w:space="0" w:color="auto"/>
            </w:tcBorders>
            <w:shd w:val="clear" w:color="000000" w:fill="FFFFFF"/>
            <w:vAlign w:val="center"/>
            <w:hideMark/>
          </w:tcPr>
          <w:p w14:paraId="29CB36AF"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Zvýšený inštalovaný výkon zariadenia zodpovedajúci obnoviteľným zdrojom energie</w:t>
            </w:r>
          </w:p>
        </w:tc>
        <w:tc>
          <w:tcPr>
            <w:tcW w:w="825" w:type="dxa"/>
            <w:tcBorders>
              <w:top w:val="single" w:sz="4" w:space="0" w:color="auto"/>
              <w:left w:val="nil"/>
              <w:bottom w:val="single" w:sz="4" w:space="0" w:color="auto"/>
              <w:right w:val="single" w:sz="4" w:space="0" w:color="auto"/>
            </w:tcBorders>
            <w:shd w:val="clear" w:color="000000" w:fill="FFFFFF"/>
            <w:vAlign w:val="center"/>
            <w:hideMark/>
          </w:tcPr>
          <w:p w14:paraId="73FD984F"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MW</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64DDD748" w14:textId="64A19C98"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95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2C90C81" w14:textId="53EDCCFD"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115,00</w:t>
            </w:r>
          </w:p>
        </w:tc>
        <w:tc>
          <w:tcPr>
            <w:tcW w:w="851" w:type="dxa"/>
            <w:tcBorders>
              <w:top w:val="single" w:sz="4" w:space="0" w:color="auto"/>
              <w:left w:val="nil"/>
              <w:bottom w:val="single" w:sz="4" w:space="0" w:color="auto"/>
              <w:right w:val="single" w:sz="4" w:space="0" w:color="auto"/>
            </w:tcBorders>
            <w:shd w:val="clear" w:color="000000" w:fill="FFFFFF"/>
            <w:vAlign w:val="center"/>
          </w:tcPr>
          <w:p w14:paraId="55F189CD" w14:textId="6754E918" w:rsidR="002F3D62" w:rsidRPr="009D6F3F" w:rsidRDefault="004C58D2" w:rsidP="002F3D62">
            <w:pPr>
              <w:jc w:val="center"/>
              <w:rPr>
                <w:rFonts w:ascii="Arial" w:hAnsi="Arial" w:cs="Arial"/>
                <w:color w:val="000000"/>
                <w:sz w:val="16"/>
                <w:szCs w:val="16"/>
              </w:rPr>
            </w:pPr>
            <w:r>
              <w:rPr>
                <w:rFonts w:ascii="Arial" w:hAnsi="Arial" w:cs="Arial"/>
                <w:color w:val="000000"/>
                <w:sz w:val="16"/>
                <w:szCs w:val="16"/>
              </w:rPr>
              <w:t>15,502</w:t>
            </w:r>
          </w:p>
        </w:tc>
        <w:tc>
          <w:tcPr>
            <w:tcW w:w="709" w:type="dxa"/>
            <w:tcBorders>
              <w:top w:val="single" w:sz="4" w:space="0" w:color="auto"/>
              <w:left w:val="nil"/>
              <w:bottom w:val="single" w:sz="4" w:space="0" w:color="auto"/>
              <w:right w:val="single" w:sz="4" w:space="0" w:color="auto"/>
            </w:tcBorders>
            <w:shd w:val="clear" w:color="000000" w:fill="EBF1DE"/>
            <w:vAlign w:val="center"/>
            <w:hideMark/>
          </w:tcPr>
          <w:p w14:paraId="2E406E9E" w14:textId="228449BA"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15,502</w:t>
            </w:r>
          </w:p>
        </w:tc>
        <w:tc>
          <w:tcPr>
            <w:tcW w:w="850" w:type="dxa"/>
            <w:tcBorders>
              <w:top w:val="single" w:sz="4" w:space="0" w:color="auto"/>
              <w:left w:val="nil"/>
              <w:bottom w:val="single" w:sz="4" w:space="0" w:color="auto"/>
              <w:right w:val="single" w:sz="4" w:space="0" w:color="auto"/>
            </w:tcBorders>
            <w:shd w:val="clear" w:color="000000" w:fill="FFFFFF"/>
            <w:vAlign w:val="center"/>
            <w:hideMark/>
          </w:tcPr>
          <w:p w14:paraId="78E06183" w14:textId="3DB5E41D"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15,502</w:t>
            </w:r>
          </w:p>
        </w:tc>
        <w:tc>
          <w:tcPr>
            <w:tcW w:w="992" w:type="dxa"/>
            <w:tcBorders>
              <w:top w:val="single" w:sz="4" w:space="0" w:color="auto"/>
              <w:left w:val="nil"/>
              <w:bottom w:val="single" w:sz="4" w:space="0" w:color="auto"/>
              <w:right w:val="single" w:sz="4" w:space="0" w:color="auto"/>
            </w:tcBorders>
            <w:shd w:val="clear" w:color="000000" w:fill="EBF1DE"/>
            <w:vAlign w:val="center"/>
            <w:hideMark/>
          </w:tcPr>
          <w:p w14:paraId="5309CEAF" w14:textId="542D021A"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77,51  %</w:t>
            </w:r>
          </w:p>
        </w:tc>
        <w:tc>
          <w:tcPr>
            <w:tcW w:w="1202" w:type="dxa"/>
            <w:tcBorders>
              <w:top w:val="single" w:sz="4" w:space="0" w:color="auto"/>
              <w:left w:val="nil"/>
              <w:bottom w:val="single" w:sz="4" w:space="0" w:color="auto"/>
              <w:right w:val="single" w:sz="4" w:space="0" w:color="auto"/>
            </w:tcBorders>
            <w:shd w:val="clear" w:color="auto" w:fill="auto"/>
            <w:vAlign w:val="center"/>
            <w:hideMark/>
          </w:tcPr>
          <w:p w14:paraId="3A4ADF39" w14:textId="3D7CEA00"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77,51 %</w:t>
            </w:r>
          </w:p>
        </w:tc>
      </w:tr>
      <w:tr w:rsidR="002F3D62" w:rsidRPr="009D6F3F" w14:paraId="05AA71E5" w14:textId="77777777" w:rsidTr="002F3D62">
        <w:trPr>
          <w:trHeight w:val="900"/>
        </w:trPr>
        <w:tc>
          <w:tcPr>
            <w:tcW w:w="654" w:type="dxa"/>
            <w:vMerge/>
            <w:tcBorders>
              <w:top w:val="nil"/>
              <w:left w:val="single" w:sz="4" w:space="0" w:color="auto"/>
              <w:bottom w:val="single" w:sz="4" w:space="0" w:color="auto"/>
              <w:right w:val="single" w:sz="4" w:space="0" w:color="auto"/>
            </w:tcBorders>
            <w:vAlign w:val="center"/>
            <w:hideMark/>
          </w:tcPr>
          <w:p w14:paraId="0BA6D1F9" w14:textId="77777777" w:rsidR="002F3D62" w:rsidRPr="009D6F3F" w:rsidRDefault="002F3D62" w:rsidP="002F3D62">
            <w:pPr>
              <w:rPr>
                <w:rFonts w:ascii="Arial" w:hAnsi="Arial" w:cs="Arial"/>
                <w:color w:val="000000"/>
                <w:sz w:val="16"/>
                <w:szCs w:val="16"/>
              </w:rPr>
            </w:pPr>
          </w:p>
        </w:tc>
        <w:tc>
          <w:tcPr>
            <w:tcW w:w="1555" w:type="dxa"/>
            <w:tcBorders>
              <w:top w:val="nil"/>
              <w:left w:val="nil"/>
              <w:bottom w:val="single" w:sz="4" w:space="0" w:color="auto"/>
              <w:right w:val="single" w:sz="4" w:space="0" w:color="auto"/>
            </w:tcBorders>
            <w:shd w:val="clear" w:color="auto" w:fill="auto"/>
            <w:vAlign w:val="center"/>
            <w:hideMark/>
          </w:tcPr>
          <w:p w14:paraId="19D1FF19"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Počet projektov zameraných na obnoviteľné zdroje energie</w:t>
            </w:r>
          </w:p>
        </w:tc>
        <w:tc>
          <w:tcPr>
            <w:tcW w:w="825" w:type="dxa"/>
            <w:tcBorders>
              <w:top w:val="nil"/>
              <w:left w:val="nil"/>
              <w:bottom w:val="single" w:sz="4" w:space="0" w:color="auto"/>
              <w:right w:val="single" w:sz="4" w:space="0" w:color="auto"/>
            </w:tcBorders>
            <w:shd w:val="clear" w:color="000000" w:fill="FFFFFF"/>
            <w:vAlign w:val="center"/>
            <w:hideMark/>
          </w:tcPr>
          <w:p w14:paraId="28341A0E"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počet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59653CFA" w14:textId="27017106"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0</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71D858DC" w14:textId="2D98C90A"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21</w:t>
            </w:r>
          </w:p>
        </w:tc>
        <w:tc>
          <w:tcPr>
            <w:tcW w:w="851" w:type="dxa"/>
            <w:tcBorders>
              <w:top w:val="nil"/>
              <w:left w:val="nil"/>
              <w:bottom w:val="single" w:sz="4" w:space="0" w:color="auto"/>
              <w:right w:val="single" w:sz="4" w:space="0" w:color="auto"/>
            </w:tcBorders>
            <w:shd w:val="clear" w:color="000000" w:fill="FFFFFF"/>
            <w:vAlign w:val="center"/>
          </w:tcPr>
          <w:p w14:paraId="13D5DE98" w14:textId="2A99C92F" w:rsidR="002F3D62" w:rsidRPr="009D6F3F" w:rsidRDefault="00574DAD" w:rsidP="002F3D62">
            <w:pPr>
              <w:jc w:val="center"/>
              <w:rPr>
                <w:rFonts w:ascii="Arial" w:hAnsi="Arial" w:cs="Arial"/>
                <w:color w:val="000000"/>
                <w:sz w:val="16"/>
                <w:szCs w:val="16"/>
              </w:rPr>
            </w:pPr>
            <w:r>
              <w:rPr>
                <w:rFonts w:ascii="Arial" w:hAnsi="Arial" w:cs="Arial"/>
                <w:color w:val="000000"/>
                <w:sz w:val="16"/>
                <w:szCs w:val="16"/>
              </w:rPr>
              <w:t>53</w:t>
            </w:r>
          </w:p>
        </w:tc>
        <w:tc>
          <w:tcPr>
            <w:tcW w:w="709" w:type="dxa"/>
            <w:tcBorders>
              <w:top w:val="nil"/>
              <w:left w:val="nil"/>
              <w:bottom w:val="single" w:sz="4" w:space="0" w:color="auto"/>
              <w:right w:val="single" w:sz="4" w:space="0" w:color="auto"/>
            </w:tcBorders>
            <w:shd w:val="clear" w:color="000000" w:fill="EBF1DE"/>
            <w:vAlign w:val="center"/>
            <w:hideMark/>
          </w:tcPr>
          <w:p w14:paraId="0EC92BA3" w14:textId="6D1196B5"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53</w:t>
            </w:r>
          </w:p>
        </w:tc>
        <w:tc>
          <w:tcPr>
            <w:tcW w:w="850" w:type="dxa"/>
            <w:tcBorders>
              <w:top w:val="nil"/>
              <w:left w:val="nil"/>
              <w:bottom w:val="single" w:sz="4" w:space="0" w:color="auto"/>
              <w:right w:val="single" w:sz="4" w:space="0" w:color="auto"/>
            </w:tcBorders>
            <w:shd w:val="clear" w:color="000000" w:fill="FFFFFF"/>
            <w:vAlign w:val="center"/>
            <w:hideMark/>
          </w:tcPr>
          <w:p w14:paraId="569BCB74" w14:textId="71BE41DB"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55</w:t>
            </w:r>
          </w:p>
        </w:tc>
        <w:tc>
          <w:tcPr>
            <w:tcW w:w="992" w:type="dxa"/>
            <w:tcBorders>
              <w:top w:val="nil"/>
              <w:left w:val="nil"/>
              <w:bottom w:val="single" w:sz="4" w:space="0" w:color="auto"/>
              <w:right w:val="single" w:sz="4" w:space="0" w:color="auto"/>
            </w:tcBorders>
            <w:shd w:val="clear" w:color="000000" w:fill="EBF1DE"/>
            <w:vAlign w:val="center"/>
            <w:hideMark/>
          </w:tcPr>
          <w:p w14:paraId="31D906AB" w14:textId="0BF39800"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252,38 %</w:t>
            </w:r>
          </w:p>
        </w:tc>
        <w:tc>
          <w:tcPr>
            <w:tcW w:w="1202" w:type="dxa"/>
            <w:tcBorders>
              <w:top w:val="nil"/>
              <w:left w:val="nil"/>
              <w:bottom w:val="single" w:sz="4" w:space="0" w:color="auto"/>
              <w:right w:val="single" w:sz="4" w:space="0" w:color="auto"/>
            </w:tcBorders>
            <w:shd w:val="clear" w:color="auto" w:fill="auto"/>
            <w:vAlign w:val="center"/>
            <w:hideMark/>
          </w:tcPr>
          <w:p w14:paraId="6DE1ACAE" w14:textId="73AB8EC6"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261,90 %</w:t>
            </w:r>
          </w:p>
        </w:tc>
      </w:tr>
      <w:tr w:rsidR="002F3D62" w:rsidRPr="009D6F3F" w14:paraId="517E8B5E" w14:textId="77777777" w:rsidTr="002F3D62">
        <w:trPr>
          <w:trHeight w:val="675"/>
        </w:trPr>
        <w:tc>
          <w:tcPr>
            <w:tcW w:w="654" w:type="dxa"/>
            <w:vMerge w:val="restart"/>
            <w:tcBorders>
              <w:top w:val="nil"/>
              <w:left w:val="single" w:sz="4" w:space="0" w:color="auto"/>
              <w:bottom w:val="single" w:sz="4" w:space="0" w:color="auto"/>
              <w:right w:val="single" w:sz="4" w:space="0" w:color="auto"/>
            </w:tcBorders>
            <w:shd w:val="clear" w:color="000000" w:fill="FFFFFF"/>
            <w:vAlign w:val="center"/>
            <w:hideMark/>
          </w:tcPr>
          <w:p w14:paraId="76E01A35"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N/A</w:t>
            </w:r>
          </w:p>
        </w:tc>
        <w:tc>
          <w:tcPr>
            <w:tcW w:w="1555" w:type="dxa"/>
            <w:tcBorders>
              <w:top w:val="nil"/>
              <w:left w:val="nil"/>
              <w:bottom w:val="single" w:sz="4" w:space="0" w:color="auto"/>
              <w:right w:val="single" w:sz="4" w:space="0" w:color="auto"/>
            </w:tcBorders>
            <w:shd w:val="clear" w:color="000000" w:fill="FFFFFF"/>
            <w:vAlign w:val="center"/>
            <w:hideMark/>
          </w:tcPr>
          <w:p w14:paraId="0E5A500E"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Počet novovytvorených pracovných miest</w:t>
            </w:r>
          </w:p>
        </w:tc>
        <w:tc>
          <w:tcPr>
            <w:tcW w:w="825" w:type="dxa"/>
            <w:tcBorders>
              <w:top w:val="nil"/>
              <w:left w:val="nil"/>
              <w:bottom w:val="single" w:sz="4" w:space="0" w:color="auto"/>
              <w:right w:val="single" w:sz="4" w:space="0" w:color="auto"/>
            </w:tcBorders>
            <w:shd w:val="clear" w:color="000000" w:fill="FFFFFF"/>
            <w:vAlign w:val="center"/>
            <w:hideMark/>
          </w:tcPr>
          <w:p w14:paraId="39BDD2AC"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počet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297F29C1" w14:textId="7D59CC0B"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0</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4247E30E" w14:textId="1BE13371"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65</w:t>
            </w:r>
          </w:p>
        </w:tc>
        <w:tc>
          <w:tcPr>
            <w:tcW w:w="851" w:type="dxa"/>
            <w:tcBorders>
              <w:top w:val="nil"/>
              <w:left w:val="nil"/>
              <w:bottom w:val="single" w:sz="4" w:space="0" w:color="auto"/>
              <w:right w:val="single" w:sz="4" w:space="0" w:color="auto"/>
            </w:tcBorders>
            <w:shd w:val="clear" w:color="000000" w:fill="FFFFFF"/>
            <w:vAlign w:val="center"/>
          </w:tcPr>
          <w:p w14:paraId="5ADE705E" w14:textId="68C7E1AB" w:rsidR="002F3D62" w:rsidRPr="009D6F3F" w:rsidRDefault="00574DAD" w:rsidP="002F3D62">
            <w:pPr>
              <w:jc w:val="center"/>
              <w:rPr>
                <w:rFonts w:ascii="Arial" w:hAnsi="Arial" w:cs="Arial"/>
                <w:color w:val="000000"/>
                <w:sz w:val="16"/>
                <w:szCs w:val="16"/>
              </w:rPr>
            </w:pPr>
            <w:r>
              <w:rPr>
                <w:rFonts w:ascii="Arial" w:hAnsi="Arial" w:cs="Arial"/>
                <w:color w:val="000000"/>
                <w:sz w:val="16"/>
                <w:szCs w:val="16"/>
              </w:rPr>
              <w:t>7</w:t>
            </w:r>
          </w:p>
        </w:tc>
        <w:tc>
          <w:tcPr>
            <w:tcW w:w="709" w:type="dxa"/>
            <w:tcBorders>
              <w:top w:val="nil"/>
              <w:left w:val="nil"/>
              <w:bottom w:val="single" w:sz="4" w:space="0" w:color="auto"/>
              <w:right w:val="single" w:sz="4" w:space="0" w:color="auto"/>
            </w:tcBorders>
            <w:shd w:val="clear" w:color="000000" w:fill="EBF1DE"/>
            <w:vAlign w:val="center"/>
            <w:hideMark/>
          </w:tcPr>
          <w:p w14:paraId="2289AFA6" w14:textId="37C5E501"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7</w:t>
            </w:r>
          </w:p>
        </w:tc>
        <w:tc>
          <w:tcPr>
            <w:tcW w:w="850" w:type="dxa"/>
            <w:tcBorders>
              <w:top w:val="nil"/>
              <w:left w:val="nil"/>
              <w:bottom w:val="single" w:sz="4" w:space="0" w:color="auto"/>
              <w:right w:val="single" w:sz="4" w:space="0" w:color="auto"/>
            </w:tcBorders>
            <w:shd w:val="clear" w:color="000000" w:fill="FFFFFF"/>
            <w:vAlign w:val="center"/>
            <w:hideMark/>
          </w:tcPr>
          <w:p w14:paraId="1724438E" w14:textId="18B03290"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7</w:t>
            </w:r>
          </w:p>
        </w:tc>
        <w:tc>
          <w:tcPr>
            <w:tcW w:w="992" w:type="dxa"/>
            <w:tcBorders>
              <w:top w:val="nil"/>
              <w:left w:val="nil"/>
              <w:bottom w:val="single" w:sz="4" w:space="0" w:color="auto"/>
              <w:right w:val="single" w:sz="4" w:space="0" w:color="auto"/>
            </w:tcBorders>
            <w:shd w:val="clear" w:color="000000" w:fill="EBF1DE"/>
            <w:vAlign w:val="center"/>
            <w:hideMark/>
          </w:tcPr>
          <w:p w14:paraId="654066AA" w14:textId="52A68157"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10,77 %</w:t>
            </w:r>
          </w:p>
        </w:tc>
        <w:tc>
          <w:tcPr>
            <w:tcW w:w="1202" w:type="dxa"/>
            <w:tcBorders>
              <w:top w:val="nil"/>
              <w:left w:val="nil"/>
              <w:bottom w:val="single" w:sz="4" w:space="0" w:color="auto"/>
              <w:right w:val="single" w:sz="4" w:space="0" w:color="auto"/>
            </w:tcBorders>
            <w:shd w:val="clear" w:color="auto" w:fill="auto"/>
            <w:vAlign w:val="center"/>
            <w:hideMark/>
          </w:tcPr>
          <w:p w14:paraId="72AF7DEB" w14:textId="5AA5D8CD"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8,82 %</w:t>
            </w:r>
          </w:p>
        </w:tc>
      </w:tr>
      <w:tr w:rsidR="002F3D62" w:rsidRPr="009D6F3F" w14:paraId="4010026B" w14:textId="77777777" w:rsidTr="002F3D62">
        <w:trPr>
          <w:trHeight w:val="900"/>
        </w:trPr>
        <w:tc>
          <w:tcPr>
            <w:tcW w:w="654" w:type="dxa"/>
            <w:vMerge/>
            <w:tcBorders>
              <w:top w:val="nil"/>
              <w:left w:val="single" w:sz="4" w:space="0" w:color="auto"/>
              <w:bottom w:val="single" w:sz="4" w:space="0" w:color="auto"/>
              <w:right w:val="single" w:sz="4" w:space="0" w:color="auto"/>
            </w:tcBorders>
            <w:vAlign w:val="center"/>
            <w:hideMark/>
          </w:tcPr>
          <w:p w14:paraId="7EB57DAB" w14:textId="77777777" w:rsidR="002F3D62" w:rsidRPr="009D6F3F" w:rsidRDefault="002F3D62" w:rsidP="002F3D62">
            <w:pPr>
              <w:rPr>
                <w:rFonts w:ascii="Arial" w:hAnsi="Arial" w:cs="Arial"/>
                <w:color w:val="000000"/>
                <w:sz w:val="16"/>
                <w:szCs w:val="16"/>
              </w:rPr>
            </w:pPr>
          </w:p>
        </w:tc>
        <w:tc>
          <w:tcPr>
            <w:tcW w:w="1555" w:type="dxa"/>
            <w:tcBorders>
              <w:top w:val="nil"/>
              <w:left w:val="nil"/>
              <w:bottom w:val="single" w:sz="4" w:space="0" w:color="auto"/>
              <w:right w:val="single" w:sz="4" w:space="0" w:color="auto"/>
            </w:tcBorders>
            <w:shd w:val="clear" w:color="000000" w:fill="FFFFFF"/>
            <w:vAlign w:val="center"/>
            <w:hideMark/>
          </w:tcPr>
          <w:p w14:paraId="13A3183D"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Počet projektov priamej investičnej podpory malých a stredných podnikov</w:t>
            </w:r>
          </w:p>
        </w:tc>
        <w:tc>
          <w:tcPr>
            <w:tcW w:w="825" w:type="dxa"/>
            <w:tcBorders>
              <w:top w:val="nil"/>
              <w:left w:val="nil"/>
              <w:bottom w:val="single" w:sz="4" w:space="0" w:color="auto"/>
              <w:right w:val="single" w:sz="4" w:space="0" w:color="auto"/>
            </w:tcBorders>
            <w:shd w:val="clear" w:color="000000" w:fill="FFFFFF"/>
            <w:vAlign w:val="center"/>
            <w:hideMark/>
          </w:tcPr>
          <w:p w14:paraId="72E58D3C"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počet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35E1108B" w14:textId="78F5AC2B"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0</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6B683606" w14:textId="0E719155"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20</w:t>
            </w:r>
          </w:p>
        </w:tc>
        <w:tc>
          <w:tcPr>
            <w:tcW w:w="851" w:type="dxa"/>
            <w:tcBorders>
              <w:top w:val="nil"/>
              <w:left w:val="nil"/>
              <w:bottom w:val="single" w:sz="4" w:space="0" w:color="auto"/>
              <w:right w:val="single" w:sz="4" w:space="0" w:color="auto"/>
            </w:tcBorders>
            <w:shd w:val="clear" w:color="000000" w:fill="FFFFFF"/>
            <w:vAlign w:val="center"/>
          </w:tcPr>
          <w:p w14:paraId="17ED6E81" w14:textId="572955E8" w:rsidR="002F3D62" w:rsidRPr="009D6F3F" w:rsidRDefault="00574DAD" w:rsidP="002F3D62">
            <w:pPr>
              <w:jc w:val="center"/>
              <w:rPr>
                <w:rFonts w:ascii="Arial" w:hAnsi="Arial" w:cs="Arial"/>
                <w:color w:val="000000"/>
                <w:sz w:val="16"/>
                <w:szCs w:val="16"/>
              </w:rPr>
            </w:pPr>
            <w:r>
              <w:rPr>
                <w:rFonts w:ascii="Arial" w:hAnsi="Arial" w:cs="Arial"/>
                <w:color w:val="000000"/>
                <w:sz w:val="16"/>
                <w:szCs w:val="16"/>
              </w:rPr>
              <w:t>7</w:t>
            </w:r>
          </w:p>
        </w:tc>
        <w:tc>
          <w:tcPr>
            <w:tcW w:w="709" w:type="dxa"/>
            <w:tcBorders>
              <w:top w:val="nil"/>
              <w:left w:val="nil"/>
              <w:bottom w:val="single" w:sz="4" w:space="0" w:color="auto"/>
              <w:right w:val="single" w:sz="4" w:space="0" w:color="auto"/>
            </w:tcBorders>
            <w:shd w:val="clear" w:color="000000" w:fill="EBF1DE"/>
            <w:vAlign w:val="center"/>
            <w:hideMark/>
          </w:tcPr>
          <w:p w14:paraId="0AB51B1D" w14:textId="3A55220C"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6</w:t>
            </w:r>
          </w:p>
        </w:tc>
        <w:tc>
          <w:tcPr>
            <w:tcW w:w="850" w:type="dxa"/>
            <w:tcBorders>
              <w:top w:val="nil"/>
              <w:left w:val="nil"/>
              <w:bottom w:val="single" w:sz="4" w:space="0" w:color="auto"/>
              <w:right w:val="single" w:sz="4" w:space="0" w:color="auto"/>
            </w:tcBorders>
            <w:shd w:val="clear" w:color="000000" w:fill="FFFFFF"/>
            <w:vAlign w:val="center"/>
            <w:hideMark/>
          </w:tcPr>
          <w:p w14:paraId="60DDEF9D" w14:textId="2230085D"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7</w:t>
            </w:r>
          </w:p>
        </w:tc>
        <w:tc>
          <w:tcPr>
            <w:tcW w:w="992" w:type="dxa"/>
            <w:tcBorders>
              <w:top w:val="nil"/>
              <w:left w:val="nil"/>
              <w:bottom w:val="single" w:sz="4" w:space="0" w:color="auto"/>
              <w:right w:val="single" w:sz="4" w:space="0" w:color="auto"/>
            </w:tcBorders>
            <w:shd w:val="clear" w:color="000000" w:fill="EBF1DE"/>
            <w:vAlign w:val="center"/>
            <w:hideMark/>
          </w:tcPr>
          <w:p w14:paraId="3D3E5033" w14:textId="306E7A2A"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30,00 %</w:t>
            </w:r>
          </w:p>
        </w:tc>
        <w:tc>
          <w:tcPr>
            <w:tcW w:w="1202" w:type="dxa"/>
            <w:tcBorders>
              <w:top w:val="nil"/>
              <w:left w:val="nil"/>
              <w:bottom w:val="single" w:sz="4" w:space="0" w:color="auto"/>
              <w:right w:val="single" w:sz="4" w:space="0" w:color="auto"/>
            </w:tcBorders>
            <w:shd w:val="clear" w:color="auto" w:fill="auto"/>
            <w:vAlign w:val="center"/>
            <w:hideMark/>
          </w:tcPr>
          <w:p w14:paraId="1A97792A" w14:textId="639DDF69"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35,00 %</w:t>
            </w:r>
          </w:p>
        </w:tc>
      </w:tr>
      <w:tr w:rsidR="002F3D62" w:rsidRPr="009D6F3F" w14:paraId="667CBC05" w14:textId="77777777" w:rsidTr="002F3D62">
        <w:trPr>
          <w:trHeight w:val="1350"/>
        </w:trPr>
        <w:tc>
          <w:tcPr>
            <w:tcW w:w="654" w:type="dxa"/>
            <w:vMerge/>
            <w:tcBorders>
              <w:top w:val="nil"/>
              <w:left w:val="single" w:sz="4" w:space="0" w:color="auto"/>
              <w:bottom w:val="single" w:sz="4" w:space="0" w:color="auto"/>
              <w:right w:val="single" w:sz="4" w:space="0" w:color="auto"/>
            </w:tcBorders>
            <w:vAlign w:val="center"/>
            <w:hideMark/>
          </w:tcPr>
          <w:p w14:paraId="4139AB9F" w14:textId="77777777" w:rsidR="002F3D62" w:rsidRPr="009D6F3F" w:rsidRDefault="002F3D62" w:rsidP="002F3D62">
            <w:pPr>
              <w:rPr>
                <w:rFonts w:ascii="Arial" w:hAnsi="Arial" w:cs="Arial"/>
                <w:color w:val="000000"/>
                <w:sz w:val="16"/>
                <w:szCs w:val="16"/>
              </w:rPr>
            </w:pPr>
          </w:p>
        </w:tc>
        <w:tc>
          <w:tcPr>
            <w:tcW w:w="1555" w:type="dxa"/>
            <w:tcBorders>
              <w:top w:val="nil"/>
              <w:left w:val="nil"/>
              <w:bottom w:val="single" w:sz="4" w:space="0" w:color="auto"/>
              <w:right w:val="single" w:sz="4" w:space="0" w:color="auto"/>
            </w:tcBorders>
            <w:shd w:val="clear" w:color="000000" w:fill="FFFFFF"/>
            <w:vAlign w:val="center"/>
            <w:hideMark/>
          </w:tcPr>
          <w:p w14:paraId="5C79CA0D"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Počet vytvorených pracovných miest (brutto, na plný úväzok) priamej investičnej podpory MSP</w:t>
            </w:r>
          </w:p>
        </w:tc>
        <w:tc>
          <w:tcPr>
            <w:tcW w:w="825" w:type="dxa"/>
            <w:tcBorders>
              <w:top w:val="nil"/>
              <w:left w:val="nil"/>
              <w:bottom w:val="single" w:sz="4" w:space="0" w:color="auto"/>
              <w:right w:val="single" w:sz="4" w:space="0" w:color="auto"/>
            </w:tcBorders>
            <w:shd w:val="clear" w:color="000000" w:fill="FFFFFF"/>
            <w:vAlign w:val="center"/>
            <w:hideMark/>
          </w:tcPr>
          <w:p w14:paraId="47494604" w14:textId="77777777"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počet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5B1D0D05" w14:textId="03DAD64D"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0</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610FD381" w14:textId="164473D9"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15</w:t>
            </w:r>
          </w:p>
        </w:tc>
        <w:tc>
          <w:tcPr>
            <w:tcW w:w="851" w:type="dxa"/>
            <w:tcBorders>
              <w:top w:val="nil"/>
              <w:left w:val="nil"/>
              <w:bottom w:val="single" w:sz="4" w:space="0" w:color="auto"/>
              <w:right w:val="single" w:sz="4" w:space="0" w:color="auto"/>
            </w:tcBorders>
            <w:shd w:val="clear" w:color="000000" w:fill="FFFFFF"/>
            <w:vAlign w:val="center"/>
          </w:tcPr>
          <w:p w14:paraId="3731E3B7" w14:textId="67D177A0" w:rsidR="002F3D62" w:rsidRPr="009D6F3F" w:rsidRDefault="00574DAD" w:rsidP="002F3D62">
            <w:pPr>
              <w:jc w:val="center"/>
              <w:rPr>
                <w:rFonts w:ascii="Arial" w:hAnsi="Arial" w:cs="Arial"/>
                <w:color w:val="000000"/>
                <w:sz w:val="16"/>
                <w:szCs w:val="16"/>
              </w:rPr>
            </w:pPr>
            <w:r>
              <w:rPr>
                <w:rFonts w:ascii="Arial" w:hAnsi="Arial" w:cs="Arial"/>
                <w:color w:val="000000"/>
                <w:sz w:val="16"/>
                <w:szCs w:val="16"/>
              </w:rPr>
              <w:t>2</w:t>
            </w:r>
          </w:p>
        </w:tc>
        <w:tc>
          <w:tcPr>
            <w:tcW w:w="709" w:type="dxa"/>
            <w:tcBorders>
              <w:top w:val="nil"/>
              <w:left w:val="nil"/>
              <w:bottom w:val="single" w:sz="4" w:space="0" w:color="auto"/>
              <w:right w:val="single" w:sz="4" w:space="0" w:color="auto"/>
            </w:tcBorders>
            <w:shd w:val="clear" w:color="000000" w:fill="EBF1DE"/>
            <w:vAlign w:val="center"/>
            <w:hideMark/>
          </w:tcPr>
          <w:p w14:paraId="0FF9B3E2" w14:textId="5A1B7844"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2</w:t>
            </w:r>
          </w:p>
        </w:tc>
        <w:tc>
          <w:tcPr>
            <w:tcW w:w="850" w:type="dxa"/>
            <w:tcBorders>
              <w:top w:val="nil"/>
              <w:left w:val="nil"/>
              <w:bottom w:val="single" w:sz="4" w:space="0" w:color="auto"/>
              <w:right w:val="single" w:sz="4" w:space="0" w:color="auto"/>
            </w:tcBorders>
            <w:shd w:val="clear" w:color="000000" w:fill="FFFFFF"/>
            <w:vAlign w:val="center"/>
            <w:hideMark/>
          </w:tcPr>
          <w:p w14:paraId="797694C1" w14:textId="7083D95E"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3</w:t>
            </w:r>
          </w:p>
        </w:tc>
        <w:tc>
          <w:tcPr>
            <w:tcW w:w="992" w:type="dxa"/>
            <w:tcBorders>
              <w:top w:val="nil"/>
              <w:left w:val="nil"/>
              <w:bottom w:val="single" w:sz="4" w:space="0" w:color="auto"/>
              <w:right w:val="single" w:sz="4" w:space="0" w:color="auto"/>
            </w:tcBorders>
            <w:shd w:val="clear" w:color="000000" w:fill="EBF1DE"/>
            <w:vAlign w:val="center"/>
            <w:hideMark/>
          </w:tcPr>
          <w:p w14:paraId="55359E08" w14:textId="0D96BCF7"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13,33 %</w:t>
            </w:r>
          </w:p>
        </w:tc>
        <w:tc>
          <w:tcPr>
            <w:tcW w:w="1202" w:type="dxa"/>
            <w:tcBorders>
              <w:top w:val="nil"/>
              <w:left w:val="nil"/>
              <w:bottom w:val="single" w:sz="4" w:space="0" w:color="auto"/>
              <w:right w:val="single" w:sz="4" w:space="0" w:color="auto"/>
            </w:tcBorders>
            <w:shd w:val="clear" w:color="auto" w:fill="auto"/>
            <w:vAlign w:val="center"/>
            <w:hideMark/>
          </w:tcPr>
          <w:p w14:paraId="04FC84BB" w14:textId="15CCF5EB"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20,00 %</w:t>
            </w:r>
          </w:p>
        </w:tc>
      </w:tr>
      <w:tr w:rsidR="002F3D62" w:rsidRPr="00E21C60" w14:paraId="0E1F2BDE" w14:textId="77777777" w:rsidTr="002F3D62">
        <w:trPr>
          <w:trHeight w:val="300"/>
        </w:trPr>
        <w:tc>
          <w:tcPr>
            <w:tcW w:w="654" w:type="dxa"/>
            <w:vMerge/>
            <w:tcBorders>
              <w:top w:val="nil"/>
              <w:left w:val="single" w:sz="4" w:space="0" w:color="auto"/>
              <w:bottom w:val="single" w:sz="4" w:space="0" w:color="auto"/>
              <w:right w:val="single" w:sz="4" w:space="0" w:color="auto"/>
            </w:tcBorders>
            <w:vAlign w:val="center"/>
            <w:hideMark/>
          </w:tcPr>
          <w:p w14:paraId="5A45ED99" w14:textId="77777777" w:rsidR="002F3D62" w:rsidRPr="009D6F3F" w:rsidRDefault="002F3D62" w:rsidP="002F3D62">
            <w:pPr>
              <w:rPr>
                <w:rFonts w:ascii="Arial" w:hAnsi="Arial" w:cs="Arial"/>
                <w:color w:val="000000"/>
                <w:sz w:val="16"/>
                <w:szCs w:val="16"/>
              </w:rPr>
            </w:pPr>
          </w:p>
        </w:tc>
        <w:tc>
          <w:tcPr>
            <w:tcW w:w="1555" w:type="dxa"/>
            <w:tcBorders>
              <w:top w:val="nil"/>
              <w:left w:val="nil"/>
              <w:bottom w:val="single" w:sz="4" w:space="0" w:color="auto"/>
              <w:right w:val="single" w:sz="4" w:space="0" w:color="auto"/>
            </w:tcBorders>
            <w:shd w:val="clear" w:color="auto" w:fill="auto"/>
            <w:vAlign w:val="center"/>
            <w:hideMark/>
          </w:tcPr>
          <w:p w14:paraId="47B8E1FF" w14:textId="77777777" w:rsidR="002F3D62" w:rsidRPr="009D6F3F" w:rsidRDefault="002F3D62" w:rsidP="002F3D62">
            <w:pPr>
              <w:rPr>
                <w:rFonts w:ascii="Arial" w:hAnsi="Arial" w:cs="Arial"/>
                <w:color w:val="000000"/>
                <w:sz w:val="16"/>
                <w:szCs w:val="16"/>
              </w:rPr>
            </w:pPr>
            <w:r w:rsidRPr="009D6F3F">
              <w:rPr>
                <w:rFonts w:ascii="Arial" w:hAnsi="Arial" w:cs="Arial"/>
                <w:color w:val="000000"/>
                <w:sz w:val="16"/>
                <w:szCs w:val="16"/>
              </w:rPr>
              <w:t>Vyvolané investície</w:t>
            </w:r>
          </w:p>
        </w:tc>
        <w:tc>
          <w:tcPr>
            <w:tcW w:w="825" w:type="dxa"/>
            <w:tcBorders>
              <w:top w:val="nil"/>
              <w:left w:val="nil"/>
              <w:bottom w:val="single" w:sz="4" w:space="0" w:color="auto"/>
              <w:right w:val="single" w:sz="4" w:space="0" w:color="auto"/>
            </w:tcBorders>
            <w:shd w:val="clear" w:color="000000" w:fill="FFFFFF"/>
            <w:vAlign w:val="center"/>
            <w:hideMark/>
          </w:tcPr>
          <w:p w14:paraId="1AC2BE31" w14:textId="318F606C"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 xml:space="preserve">mil. </w:t>
            </w:r>
            <w:r w:rsidR="00366C2D">
              <w:rPr>
                <w:rFonts w:ascii="Arial" w:hAnsi="Arial" w:cs="Arial"/>
                <w:color w:val="000000"/>
                <w:sz w:val="16"/>
                <w:szCs w:val="16"/>
              </w:rPr>
              <w:t>€</w:t>
            </w:r>
          </w:p>
        </w:tc>
        <w:tc>
          <w:tcPr>
            <w:tcW w:w="809" w:type="dxa"/>
            <w:tcBorders>
              <w:top w:val="single" w:sz="4" w:space="0" w:color="auto"/>
              <w:left w:val="nil"/>
              <w:bottom w:val="single" w:sz="4" w:space="0" w:color="auto"/>
              <w:right w:val="single" w:sz="4" w:space="0" w:color="auto"/>
            </w:tcBorders>
            <w:shd w:val="clear" w:color="000000" w:fill="FFFFFF"/>
            <w:vAlign w:val="center"/>
          </w:tcPr>
          <w:p w14:paraId="235D06E5" w14:textId="7D5BF201" w:rsidR="002F3D62" w:rsidRPr="004E581A" w:rsidRDefault="002F3D62" w:rsidP="002F3D62">
            <w:pPr>
              <w:jc w:val="center"/>
              <w:rPr>
                <w:rFonts w:ascii="Arial" w:hAnsi="Arial" w:cs="Arial"/>
                <w:color w:val="000000"/>
                <w:sz w:val="16"/>
                <w:szCs w:val="16"/>
              </w:rPr>
            </w:pPr>
            <w:r w:rsidRPr="000308DA">
              <w:rPr>
                <w:rFonts w:ascii="Arial" w:hAnsi="Arial" w:cs="Arial"/>
                <w:color w:val="000000"/>
                <w:sz w:val="16"/>
                <w:szCs w:val="16"/>
              </w:rPr>
              <w:t>0</w:t>
            </w:r>
          </w:p>
        </w:tc>
        <w:tc>
          <w:tcPr>
            <w:tcW w:w="708" w:type="dxa"/>
            <w:tcBorders>
              <w:top w:val="nil"/>
              <w:left w:val="single" w:sz="4" w:space="0" w:color="auto"/>
              <w:bottom w:val="single" w:sz="4" w:space="0" w:color="auto"/>
              <w:right w:val="single" w:sz="4" w:space="0" w:color="auto"/>
            </w:tcBorders>
            <w:shd w:val="clear" w:color="000000" w:fill="FFFFFF"/>
            <w:vAlign w:val="center"/>
            <w:hideMark/>
          </w:tcPr>
          <w:p w14:paraId="3C072D60" w14:textId="048953B5" w:rsidR="002F3D62" w:rsidRPr="009D6F3F" w:rsidRDefault="002F3D62" w:rsidP="002F3D62">
            <w:pPr>
              <w:jc w:val="center"/>
              <w:rPr>
                <w:rFonts w:ascii="Arial" w:hAnsi="Arial" w:cs="Arial"/>
                <w:color w:val="000000"/>
                <w:sz w:val="16"/>
                <w:szCs w:val="16"/>
              </w:rPr>
            </w:pPr>
            <w:r w:rsidRPr="009D6F3F">
              <w:rPr>
                <w:rFonts w:ascii="Arial" w:hAnsi="Arial" w:cs="Arial"/>
                <w:color w:val="000000"/>
                <w:sz w:val="16"/>
                <w:szCs w:val="16"/>
              </w:rPr>
              <w:t>30,00</w:t>
            </w:r>
          </w:p>
        </w:tc>
        <w:tc>
          <w:tcPr>
            <w:tcW w:w="851" w:type="dxa"/>
            <w:tcBorders>
              <w:top w:val="nil"/>
              <w:left w:val="nil"/>
              <w:bottom w:val="single" w:sz="4" w:space="0" w:color="auto"/>
              <w:right w:val="single" w:sz="4" w:space="0" w:color="auto"/>
            </w:tcBorders>
            <w:shd w:val="clear" w:color="000000" w:fill="FFFFFF"/>
            <w:vAlign w:val="center"/>
          </w:tcPr>
          <w:p w14:paraId="7A6491F7" w14:textId="69E726DD" w:rsidR="002F3D62" w:rsidRPr="009D6F3F" w:rsidRDefault="00574DAD" w:rsidP="002F3D62">
            <w:pPr>
              <w:jc w:val="center"/>
              <w:rPr>
                <w:rFonts w:ascii="Arial" w:hAnsi="Arial" w:cs="Arial"/>
                <w:color w:val="000000"/>
                <w:sz w:val="16"/>
                <w:szCs w:val="16"/>
              </w:rPr>
            </w:pPr>
            <w:r>
              <w:rPr>
                <w:rFonts w:ascii="Arial" w:hAnsi="Arial" w:cs="Arial"/>
                <w:color w:val="000000"/>
                <w:sz w:val="16"/>
                <w:szCs w:val="16"/>
              </w:rPr>
              <w:t>82,41</w:t>
            </w:r>
          </w:p>
        </w:tc>
        <w:tc>
          <w:tcPr>
            <w:tcW w:w="709" w:type="dxa"/>
            <w:tcBorders>
              <w:top w:val="nil"/>
              <w:left w:val="nil"/>
              <w:bottom w:val="single" w:sz="4" w:space="0" w:color="auto"/>
              <w:right w:val="single" w:sz="4" w:space="0" w:color="auto"/>
            </w:tcBorders>
            <w:shd w:val="clear" w:color="000000" w:fill="EBF1DE"/>
            <w:vAlign w:val="center"/>
            <w:hideMark/>
          </w:tcPr>
          <w:p w14:paraId="7F40A59D" w14:textId="55EA49CA" w:rsidR="002F3D62" w:rsidRPr="009D6F3F" w:rsidRDefault="002F3D62" w:rsidP="002F3D62">
            <w:pPr>
              <w:jc w:val="center"/>
              <w:rPr>
                <w:rFonts w:ascii="Arial" w:hAnsi="Arial" w:cs="Arial"/>
                <w:color w:val="000000"/>
                <w:sz w:val="16"/>
                <w:szCs w:val="16"/>
              </w:rPr>
            </w:pPr>
            <w:r w:rsidRPr="002F3D62">
              <w:rPr>
                <w:rFonts w:ascii="Arial" w:hAnsi="Arial" w:cs="Arial"/>
                <w:color w:val="000000"/>
                <w:sz w:val="16"/>
                <w:szCs w:val="16"/>
              </w:rPr>
              <w:t>94</w:t>
            </w:r>
          </w:p>
        </w:tc>
        <w:tc>
          <w:tcPr>
            <w:tcW w:w="850" w:type="dxa"/>
            <w:tcBorders>
              <w:top w:val="nil"/>
              <w:left w:val="nil"/>
              <w:bottom w:val="single" w:sz="4" w:space="0" w:color="auto"/>
              <w:right w:val="single" w:sz="4" w:space="0" w:color="auto"/>
            </w:tcBorders>
            <w:shd w:val="clear" w:color="auto" w:fill="auto"/>
            <w:vAlign w:val="center"/>
            <w:hideMark/>
          </w:tcPr>
          <w:p w14:paraId="6E1E8606" w14:textId="001D6482" w:rsidR="002F3D62" w:rsidRPr="00C20B16" w:rsidRDefault="00BB40C3" w:rsidP="002F3D62">
            <w:pPr>
              <w:jc w:val="center"/>
              <w:rPr>
                <w:rFonts w:ascii="Arial" w:hAnsi="Arial" w:cs="Arial"/>
                <w:color w:val="000000"/>
                <w:sz w:val="16"/>
                <w:szCs w:val="16"/>
              </w:rPr>
            </w:pPr>
            <w:r>
              <w:rPr>
                <w:rFonts w:ascii="Arial" w:hAnsi="Arial" w:cs="Arial"/>
                <w:color w:val="000000"/>
                <w:sz w:val="16"/>
                <w:szCs w:val="16"/>
              </w:rPr>
              <w:t>94</w:t>
            </w:r>
          </w:p>
        </w:tc>
        <w:tc>
          <w:tcPr>
            <w:tcW w:w="992" w:type="dxa"/>
            <w:tcBorders>
              <w:top w:val="nil"/>
              <w:left w:val="nil"/>
              <w:bottom w:val="single" w:sz="4" w:space="0" w:color="auto"/>
              <w:right w:val="single" w:sz="4" w:space="0" w:color="auto"/>
            </w:tcBorders>
            <w:shd w:val="clear" w:color="000000" w:fill="EBF1DE"/>
            <w:vAlign w:val="center"/>
            <w:hideMark/>
          </w:tcPr>
          <w:p w14:paraId="2408761D" w14:textId="79C5FF46" w:rsidR="002F3D62" w:rsidRPr="00C20B16" w:rsidRDefault="002F3D62" w:rsidP="002F3D62">
            <w:pPr>
              <w:jc w:val="center"/>
              <w:rPr>
                <w:rFonts w:ascii="Arial" w:hAnsi="Arial" w:cs="Arial"/>
                <w:color w:val="000000"/>
                <w:sz w:val="16"/>
                <w:szCs w:val="16"/>
              </w:rPr>
            </w:pPr>
            <w:r w:rsidRPr="002F3D62">
              <w:rPr>
                <w:rFonts w:ascii="Arial" w:hAnsi="Arial" w:cs="Arial"/>
                <w:color w:val="000000"/>
                <w:sz w:val="16"/>
                <w:szCs w:val="16"/>
              </w:rPr>
              <w:t>313,33 %</w:t>
            </w:r>
          </w:p>
        </w:tc>
        <w:tc>
          <w:tcPr>
            <w:tcW w:w="1202" w:type="dxa"/>
            <w:tcBorders>
              <w:top w:val="nil"/>
              <w:left w:val="nil"/>
              <w:bottom w:val="single" w:sz="4" w:space="0" w:color="auto"/>
              <w:right w:val="single" w:sz="4" w:space="0" w:color="auto"/>
            </w:tcBorders>
            <w:shd w:val="clear" w:color="auto" w:fill="auto"/>
            <w:vAlign w:val="center"/>
            <w:hideMark/>
          </w:tcPr>
          <w:p w14:paraId="73A7F998" w14:textId="21F30C4F" w:rsidR="002F3D62" w:rsidRPr="00C20B16" w:rsidRDefault="00BB40C3" w:rsidP="002F3D62">
            <w:pPr>
              <w:jc w:val="center"/>
              <w:rPr>
                <w:rFonts w:ascii="Arial" w:hAnsi="Arial" w:cs="Arial"/>
                <w:color w:val="000000"/>
                <w:sz w:val="16"/>
                <w:szCs w:val="16"/>
              </w:rPr>
            </w:pPr>
            <w:r>
              <w:rPr>
                <w:rFonts w:ascii="Arial" w:hAnsi="Arial" w:cs="Arial"/>
                <w:color w:val="000000"/>
                <w:sz w:val="16"/>
                <w:szCs w:val="16"/>
              </w:rPr>
              <w:t>313,33</w:t>
            </w:r>
            <w:r w:rsidR="002F3D62" w:rsidRPr="002F3D62">
              <w:rPr>
                <w:rFonts w:ascii="Arial" w:hAnsi="Arial" w:cs="Arial"/>
                <w:color w:val="000000"/>
                <w:sz w:val="16"/>
                <w:szCs w:val="16"/>
              </w:rPr>
              <w:t xml:space="preserve"> %</w:t>
            </w:r>
          </w:p>
        </w:tc>
      </w:tr>
    </w:tbl>
    <w:p w14:paraId="5CE289A3" w14:textId="77777777" w:rsidR="00D431D3" w:rsidRDefault="00CB1FDA" w:rsidP="00123376">
      <w:pPr>
        <w:spacing w:after="120"/>
        <w:rPr>
          <w:rFonts w:ascii="Arial" w:hAnsi="Arial" w:cs="Arial"/>
          <w:sz w:val="16"/>
          <w:szCs w:val="16"/>
        </w:rPr>
      </w:pPr>
      <w:r w:rsidRPr="00E21C60">
        <w:rPr>
          <w:rFonts w:ascii="Arial" w:hAnsi="Arial" w:cs="Arial"/>
          <w:sz w:val="16"/>
          <w:szCs w:val="16"/>
        </w:rPr>
        <w:t>Zdroj: RO, ITMS</w:t>
      </w:r>
    </w:p>
    <w:p w14:paraId="0F5406A1" w14:textId="03172A85" w:rsidR="0079563B" w:rsidRPr="00E21C60" w:rsidRDefault="0079563B" w:rsidP="0079563B">
      <w:pPr>
        <w:spacing w:before="120" w:after="120"/>
        <w:jc w:val="both"/>
        <w:rPr>
          <w:rFonts w:ascii="Arial" w:hAnsi="Arial" w:cs="Arial"/>
          <w:sz w:val="20"/>
          <w:szCs w:val="20"/>
        </w:rPr>
      </w:pPr>
      <w:r>
        <w:rPr>
          <w:rFonts w:ascii="Arial" w:hAnsi="Arial" w:cs="Arial"/>
          <w:sz w:val="20"/>
          <w:szCs w:val="20"/>
        </w:rPr>
        <w:t>Na</w:t>
      </w:r>
      <w:r w:rsidRPr="00E21C60">
        <w:rPr>
          <w:rFonts w:ascii="Arial" w:hAnsi="Arial" w:cs="Arial"/>
          <w:sz w:val="20"/>
          <w:szCs w:val="20"/>
        </w:rPr>
        <w:t xml:space="preserve">merané hodnoty </w:t>
      </w:r>
      <w:r>
        <w:rPr>
          <w:rFonts w:ascii="Arial" w:hAnsi="Arial" w:cs="Arial"/>
          <w:sz w:val="20"/>
          <w:szCs w:val="20"/>
        </w:rPr>
        <w:t>viacerých</w:t>
      </w:r>
      <w:r w:rsidRPr="00E21C60">
        <w:rPr>
          <w:rFonts w:ascii="Arial" w:hAnsi="Arial" w:cs="Arial"/>
          <w:sz w:val="20"/>
          <w:szCs w:val="20"/>
        </w:rPr>
        <w:t xml:space="preserve"> ukazovateľov dosiahli, resp. prekročili stanovené cieľové hodnoty v</w:t>
      </w:r>
      <w:r w:rsidR="00032D2D">
        <w:rPr>
          <w:rFonts w:ascii="Arial" w:hAnsi="Arial" w:cs="Arial"/>
          <w:sz w:val="20"/>
          <w:szCs w:val="20"/>
        </w:rPr>
        <w:t> </w:t>
      </w:r>
      <w:r w:rsidRPr="00E21C60">
        <w:rPr>
          <w:rFonts w:ascii="Arial" w:hAnsi="Arial" w:cs="Arial"/>
          <w:sz w:val="20"/>
          <w:szCs w:val="20"/>
        </w:rPr>
        <w:t>OP</w:t>
      </w:r>
      <w:r w:rsidR="00032D2D">
        <w:rPr>
          <w:rFonts w:ascii="Arial" w:hAnsi="Arial" w:cs="Arial"/>
          <w:sz w:val="20"/>
          <w:szCs w:val="20"/>
        </w:rPr>
        <w:t> </w:t>
      </w:r>
      <w:r w:rsidRPr="00E21C60">
        <w:rPr>
          <w:rFonts w:ascii="Arial" w:hAnsi="Arial" w:cs="Arial"/>
          <w:sz w:val="20"/>
          <w:szCs w:val="20"/>
        </w:rPr>
        <w:t xml:space="preserve">ŽP. </w:t>
      </w:r>
      <w:r>
        <w:rPr>
          <w:rFonts w:ascii="Arial" w:hAnsi="Arial" w:cs="Arial"/>
          <w:sz w:val="20"/>
          <w:szCs w:val="20"/>
        </w:rPr>
        <w:t xml:space="preserve">V prípade ukazovateľov týkajúcich sa zníženia emisií znečisťujúcich látok a skleníkových plynov sa napĺňanie cieľových hodnôt viaže na obdobie po ukončení realizácie projektov, nakoľko vzhľadom na charakter aktivít je možné zníženie emisií vykazovať až po ukončení fyzickej realizácie projektu, resp. po ukončení skúšobnej prevádzky zariadenia, ktorá spravidla prebieha rok po ukončení projektu. Údaje o znížení emisií je tak možné získať až z následných monitorovacích správ týchto projektov.  Berúc do úvahy typy projektov týkajúcich sa realizácie technologických opatrení zameraných na zníženie množstva emisií do ovzdušia možno konštatovať, že veľká časť projektov s najvyšším potenciálom prispieť k zníženiu emisií, t.j. projektov realizovaných na priemyselných a väčších zdrojoch znečisťovania ovzdušia, bola v realizácii na konci sledovaného obdobia a reálne namerané hodnoty dosiahnutého zníženia emisií </w:t>
      </w:r>
      <w:r w:rsidR="00BE2A9C">
        <w:rPr>
          <w:rFonts w:ascii="Arial" w:hAnsi="Arial" w:cs="Arial"/>
          <w:sz w:val="20"/>
          <w:szCs w:val="20"/>
        </w:rPr>
        <w:t xml:space="preserve">budú </w:t>
      </w:r>
      <w:r>
        <w:rPr>
          <w:rFonts w:ascii="Arial" w:hAnsi="Arial" w:cs="Arial"/>
          <w:sz w:val="20"/>
          <w:szCs w:val="20"/>
        </w:rPr>
        <w:t>obsiahnuté až v následných monitorovacích správach</w:t>
      </w:r>
      <w:r w:rsidR="00BE2A9C">
        <w:rPr>
          <w:rFonts w:ascii="Arial" w:hAnsi="Arial" w:cs="Arial"/>
          <w:sz w:val="20"/>
          <w:szCs w:val="20"/>
        </w:rPr>
        <w:t>. Tie</w:t>
      </w:r>
      <w:r>
        <w:rPr>
          <w:rFonts w:ascii="Arial" w:hAnsi="Arial" w:cs="Arial"/>
          <w:sz w:val="20"/>
          <w:szCs w:val="20"/>
        </w:rPr>
        <w:t xml:space="preserve"> budú predkladané </w:t>
      </w:r>
      <w:r w:rsidR="00BE2A9C">
        <w:rPr>
          <w:rFonts w:ascii="Arial" w:hAnsi="Arial" w:cs="Arial"/>
          <w:sz w:val="20"/>
          <w:szCs w:val="20"/>
        </w:rPr>
        <w:t>až na prelome rokov 2016 a 2017</w:t>
      </w:r>
      <w:r>
        <w:rPr>
          <w:rFonts w:ascii="Arial" w:hAnsi="Arial" w:cs="Arial"/>
          <w:sz w:val="20"/>
          <w:szCs w:val="20"/>
        </w:rPr>
        <w:t>. V prípade ukazovateľa „</w:t>
      </w:r>
      <w:r w:rsidRPr="009E658D">
        <w:rPr>
          <w:rFonts w:ascii="Arial" w:hAnsi="Arial" w:cs="Arial"/>
          <w:sz w:val="20"/>
          <w:szCs w:val="20"/>
        </w:rPr>
        <w:t>Zníženie emisií znečisťujúcich látok prepočítané na referenčné tony SO</w:t>
      </w:r>
      <w:r w:rsidRPr="00CE0728">
        <w:rPr>
          <w:rFonts w:ascii="Arial" w:hAnsi="Arial" w:cs="Arial"/>
          <w:sz w:val="20"/>
          <w:szCs w:val="20"/>
          <w:vertAlign w:val="subscript"/>
        </w:rPr>
        <w:t>2</w:t>
      </w:r>
      <w:r w:rsidRPr="009E658D">
        <w:rPr>
          <w:rFonts w:ascii="Arial" w:hAnsi="Arial" w:cs="Arial"/>
          <w:sz w:val="20"/>
          <w:szCs w:val="20"/>
        </w:rPr>
        <w:t xml:space="preserve"> (spolu za podporené projekty)</w:t>
      </w:r>
      <w:r>
        <w:rPr>
          <w:rFonts w:ascii="Arial" w:hAnsi="Arial" w:cs="Arial"/>
          <w:sz w:val="20"/>
          <w:szCs w:val="20"/>
        </w:rPr>
        <w:t xml:space="preserve">“, je </w:t>
      </w:r>
      <w:r w:rsidR="00B15693">
        <w:rPr>
          <w:rFonts w:ascii="Arial" w:hAnsi="Arial" w:cs="Arial"/>
          <w:sz w:val="20"/>
          <w:szCs w:val="20"/>
        </w:rPr>
        <w:t>preto aktuálne meraná hodnota ukazovateľa na základe aktuálne dostupných údajov z ITMS nízka a nedosahuje ani 30</w:t>
      </w:r>
      <w:r w:rsidR="00BE2A9C">
        <w:rPr>
          <w:rFonts w:ascii="Arial" w:hAnsi="Arial" w:cs="Arial"/>
          <w:sz w:val="20"/>
          <w:szCs w:val="20"/>
        </w:rPr>
        <w:t xml:space="preserve"> </w:t>
      </w:r>
      <w:r w:rsidR="00B15693">
        <w:rPr>
          <w:rFonts w:ascii="Arial" w:hAnsi="Arial" w:cs="Arial"/>
          <w:sz w:val="20"/>
          <w:szCs w:val="20"/>
        </w:rPr>
        <w:t>% z cieľovej hodnoty, avšak po doplnení údajov o dosiahnutom znížení množstva emisií reportovaných v pripravovaných následných monitorovacích správach projektov očakávame výrazný nárast hodnoty ukazovateľa, na úrovni vyše 44</w:t>
      </w:r>
      <w:r w:rsidR="00BE2A9C">
        <w:rPr>
          <w:rFonts w:ascii="Arial" w:hAnsi="Arial" w:cs="Arial"/>
          <w:sz w:val="20"/>
          <w:szCs w:val="20"/>
        </w:rPr>
        <w:t xml:space="preserve"> </w:t>
      </w:r>
      <w:r w:rsidR="00B15693">
        <w:rPr>
          <w:rFonts w:ascii="Arial" w:hAnsi="Arial" w:cs="Arial"/>
          <w:sz w:val="20"/>
          <w:szCs w:val="20"/>
        </w:rPr>
        <w:t>%, čo v porovnaní s cieľom OP predstavuje plnenie presahujúce 100</w:t>
      </w:r>
      <w:r w:rsidR="00BE2A9C">
        <w:rPr>
          <w:rFonts w:ascii="Arial" w:hAnsi="Arial" w:cs="Arial"/>
          <w:sz w:val="20"/>
          <w:szCs w:val="20"/>
        </w:rPr>
        <w:t xml:space="preserve"> </w:t>
      </w:r>
      <w:r w:rsidR="00B15693">
        <w:rPr>
          <w:rFonts w:ascii="Arial" w:hAnsi="Arial" w:cs="Arial"/>
          <w:sz w:val="20"/>
          <w:szCs w:val="20"/>
        </w:rPr>
        <w:t>% plánovanej hodnoty. V súvislosti s predmetným ukazovateľom je však zároveň nutné konštatovať nedostatky, ktoré sa týkajú  komplikovaného spôsobu prepočtu ukazovateľa vyjadreného percentuálne a jeho vykazovaním na úrovni projektov.</w:t>
      </w:r>
      <w:r w:rsidRPr="00E21C60">
        <w:rPr>
          <w:rFonts w:ascii="Arial" w:hAnsi="Arial" w:cs="Arial"/>
          <w:sz w:val="20"/>
          <w:szCs w:val="20"/>
        </w:rPr>
        <w:tab/>
      </w:r>
      <w:r w:rsidR="006D347A">
        <w:rPr>
          <w:rFonts w:ascii="Arial" w:hAnsi="Arial" w:cs="Arial"/>
          <w:sz w:val="20"/>
          <w:szCs w:val="20"/>
        </w:rPr>
        <w:t xml:space="preserve"> </w:t>
      </w:r>
      <w:r w:rsidR="007134EA">
        <w:rPr>
          <w:rFonts w:ascii="Arial" w:hAnsi="Arial" w:cs="Arial"/>
          <w:sz w:val="20"/>
          <w:szCs w:val="20"/>
        </w:rPr>
        <w:t>Aby bolo možné stanoviť percentuálne zníženie emisií a príspevok jednotlivých projektov k plneniu ukazovateľa, bolo potrebné osobitne spracovať tabuľku vstupných údajov o produkcii emisií pred realizáciou projektu (tieto údaje nie sú monitorované v ITMS, je možné ich získať len zo žiadosti o NFP).</w:t>
      </w:r>
    </w:p>
    <w:p w14:paraId="258EFD78" w14:textId="74DCAA51" w:rsidR="0079563B" w:rsidRPr="00E21C60" w:rsidRDefault="00DC5217" w:rsidP="0079563B">
      <w:pPr>
        <w:spacing w:before="120" w:after="120"/>
        <w:jc w:val="both"/>
        <w:rPr>
          <w:rFonts w:ascii="Arial" w:hAnsi="Arial" w:cs="Arial"/>
          <w:sz w:val="20"/>
          <w:szCs w:val="20"/>
        </w:rPr>
      </w:pPr>
      <w:r>
        <w:rPr>
          <w:rFonts w:ascii="Arial" w:hAnsi="Arial" w:cs="Arial"/>
          <w:sz w:val="20"/>
          <w:szCs w:val="20"/>
        </w:rPr>
        <w:t> Aj v prípade</w:t>
      </w:r>
      <w:r w:rsidR="0079563B" w:rsidRPr="001D0C8E">
        <w:rPr>
          <w:rFonts w:ascii="Arial" w:hAnsi="Arial" w:cs="Arial"/>
          <w:sz w:val="20"/>
          <w:szCs w:val="20"/>
        </w:rPr>
        <w:t xml:space="preserve"> ukazovateľ</w:t>
      </w:r>
      <w:r>
        <w:rPr>
          <w:rFonts w:ascii="Arial" w:hAnsi="Arial" w:cs="Arial"/>
          <w:sz w:val="20"/>
          <w:szCs w:val="20"/>
        </w:rPr>
        <w:t>a</w:t>
      </w:r>
      <w:r w:rsidR="0079563B" w:rsidRPr="001D0C8E">
        <w:rPr>
          <w:rFonts w:ascii="Arial" w:hAnsi="Arial" w:cs="Arial"/>
          <w:sz w:val="20"/>
          <w:szCs w:val="20"/>
        </w:rPr>
        <w:t xml:space="preserve"> „Redukcia emisií skleníkových plynov prepočítaných na CO</w:t>
      </w:r>
      <w:r w:rsidR="0079563B" w:rsidRPr="001D0C8E">
        <w:rPr>
          <w:rFonts w:ascii="Arial" w:hAnsi="Arial" w:cs="Arial"/>
          <w:sz w:val="20"/>
          <w:szCs w:val="20"/>
          <w:vertAlign w:val="subscript"/>
        </w:rPr>
        <w:t>2</w:t>
      </w:r>
      <w:r w:rsidR="0079563B" w:rsidRPr="001D0C8E">
        <w:rPr>
          <w:rFonts w:ascii="Arial" w:hAnsi="Arial" w:cs="Arial"/>
          <w:sz w:val="20"/>
          <w:szCs w:val="20"/>
        </w:rPr>
        <w:t xml:space="preserve"> (rozdiel medzi množstvom pred projektom a po projekte)“ </w:t>
      </w:r>
      <w:r>
        <w:rPr>
          <w:rFonts w:ascii="Arial" w:hAnsi="Arial" w:cs="Arial"/>
          <w:sz w:val="20"/>
          <w:szCs w:val="20"/>
        </w:rPr>
        <w:t>bolo</w:t>
      </w:r>
      <w:r w:rsidR="0079563B" w:rsidRPr="001D0C8E">
        <w:rPr>
          <w:rFonts w:ascii="Arial" w:hAnsi="Arial" w:cs="Arial"/>
          <w:sz w:val="20"/>
          <w:szCs w:val="20"/>
        </w:rPr>
        <w:t xml:space="preserve"> plnenie ukazovateľov na úrovni projektov možné kvantifikovať až po uvedení </w:t>
      </w:r>
      <w:r w:rsidR="0079563B">
        <w:rPr>
          <w:rFonts w:ascii="Arial" w:hAnsi="Arial" w:cs="Arial"/>
          <w:sz w:val="20"/>
          <w:szCs w:val="20"/>
        </w:rPr>
        <w:t xml:space="preserve">jednotlivých </w:t>
      </w:r>
      <w:r w:rsidR="0079563B" w:rsidRPr="001D0C8E">
        <w:rPr>
          <w:rFonts w:ascii="Arial" w:hAnsi="Arial" w:cs="Arial"/>
          <w:sz w:val="20"/>
          <w:szCs w:val="20"/>
        </w:rPr>
        <w:t xml:space="preserve">zariadení do prevádzky. </w:t>
      </w:r>
      <w:r w:rsidR="009A238F">
        <w:rPr>
          <w:rFonts w:ascii="Arial" w:hAnsi="Arial" w:cs="Arial"/>
          <w:sz w:val="20"/>
          <w:szCs w:val="20"/>
        </w:rPr>
        <w:t xml:space="preserve">V tomto prípade však nemožno predpokladať výrazné navýšenie hodnoty ukazovateľa ani po zozbieraní údajov zo všetkých </w:t>
      </w:r>
      <w:r w:rsidR="009A238F">
        <w:rPr>
          <w:rFonts w:ascii="Arial" w:hAnsi="Arial" w:cs="Arial"/>
          <w:sz w:val="20"/>
          <w:szCs w:val="20"/>
        </w:rPr>
        <w:lastRenderedPageBreak/>
        <w:t>následných monitorovacích správ projektov, keďže p</w:t>
      </w:r>
      <w:r w:rsidR="0079563B" w:rsidRPr="001D0C8E">
        <w:rPr>
          <w:rFonts w:ascii="Arial" w:hAnsi="Arial" w:cs="Arial"/>
          <w:sz w:val="20"/>
          <w:szCs w:val="20"/>
        </w:rPr>
        <w:t xml:space="preserve">lnenie ukazovateľa je výrazne ovplyvnené prevahou menších projektov zmeny palivovej základne lokálnych zdrojov znečisťovania ovzdušia realizovaných najmä subjektmi verejného sektora (mestá, obce). </w:t>
      </w:r>
      <w:r w:rsidR="009A238F">
        <w:rPr>
          <w:rFonts w:ascii="Arial" w:hAnsi="Arial" w:cs="Arial"/>
          <w:sz w:val="20"/>
          <w:szCs w:val="20"/>
        </w:rPr>
        <w:t xml:space="preserve">Príspevok takýchto projektov nie je v absolútnom vyjadrení taký významný ako by bol pri väčších zdrojoch. </w:t>
      </w:r>
      <w:r w:rsidR="0079563B" w:rsidRPr="001D0C8E">
        <w:rPr>
          <w:rFonts w:ascii="Arial" w:hAnsi="Arial" w:cs="Arial"/>
          <w:sz w:val="20"/>
          <w:szCs w:val="20"/>
        </w:rPr>
        <w:t>Zapojenie významných znečisťovateľov do značnej miery ovplyv</w:t>
      </w:r>
      <w:r w:rsidR="0079563B">
        <w:rPr>
          <w:rFonts w:ascii="Arial" w:hAnsi="Arial" w:cs="Arial"/>
          <w:sz w:val="20"/>
          <w:szCs w:val="20"/>
        </w:rPr>
        <w:t>nili</w:t>
      </w:r>
      <w:r w:rsidR="0079563B" w:rsidRPr="001D0C8E">
        <w:rPr>
          <w:rFonts w:ascii="Arial" w:hAnsi="Arial" w:cs="Arial"/>
          <w:sz w:val="20"/>
          <w:szCs w:val="20"/>
        </w:rPr>
        <w:t xml:space="preserve"> pravidlá</w:t>
      </w:r>
      <w:r w:rsidR="0079563B">
        <w:rPr>
          <w:rFonts w:ascii="Arial" w:hAnsi="Arial" w:cs="Arial"/>
          <w:sz w:val="20"/>
          <w:szCs w:val="20"/>
        </w:rPr>
        <w:t xml:space="preserve"> pre</w:t>
      </w:r>
      <w:r w:rsidR="0079563B" w:rsidRPr="001D0C8E">
        <w:rPr>
          <w:rFonts w:ascii="Arial" w:hAnsi="Arial" w:cs="Arial"/>
          <w:sz w:val="20"/>
          <w:szCs w:val="20"/>
        </w:rPr>
        <w:t xml:space="preserve"> poskytovani</w:t>
      </w:r>
      <w:r w:rsidR="0079563B">
        <w:rPr>
          <w:rFonts w:ascii="Arial" w:hAnsi="Arial" w:cs="Arial"/>
          <w:sz w:val="20"/>
          <w:szCs w:val="20"/>
        </w:rPr>
        <w:t>e</w:t>
      </w:r>
      <w:r w:rsidR="0079563B" w:rsidRPr="001D0C8E">
        <w:rPr>
          <w:rFonts w:ascii="Arial" w:hAnsi="Arial" w:cs="Arial"/>
          <w:sz w:val="20"/>
          <w:szCs w:val="20"/>
        </w:rPr>
        <w:t xml:space="preserve"> štátnej pomoci. </w:t>
      </w:r>
      <w:r w:rsidR="0079563B">
        <w:rPr>
          <w:rFonts w:ascii="Arial" w:hAnsi="Arial" w:cs="Arial"/>
          <w:sz w:val="20"/>
          <w:szCs w:val="20"/>
        </w:rPr>
        <w:t>Aj napriek vyhláseniu výzvy zameranej na relevantné typy aktivít v rámci operačného cieľa 3.2 v roku 2014 je nutné konštatovať, že významnejší pokrok v úrovni napĺňania predmetného ukazovateľa sa nepodarilo dosiahnuť.</w:t>
      </w:r>
      <w:r w:rsidR="004B72CD">
        <w:rPr>
          <w:rFonts w:ascii="Arial" w:hAnsi="Arial" w:cs="Arial"/>
          <w:sz w:val="20"/>
          <w:szCs w:val="20"/>
        </w:rPr>
        <w:t xml:space="preserve"> V prípade naplnenia plánovaných hodnôt zazmluvnených projektov možno očakávať dosiahnutie hodnoty ukazovateľa na úrovni cca </w:t>
      </w:r>
      <w:r w:rsidR="004B72CD" w:rsidRPr="00781408">
        <w:rPr>
          <w:rFonts w:ascii="Arial" w:hAnsi="Arial" w:cs="Arial"/>
          <w:sz w:val="20"/>
          <w:szCs w:val="20"/>
        </w:rPr>
        <w:t>39,21</w:t>
      </w:r>
      <w:r w:rsidR="002A35B4">
        <w:rPr>
          <w:rFonts w:ascii="Arial" w:hAnsi="Arial" w:cs="Arial"/>
          <w:sz w:val="20"/>
          <w:szCs w:val="20"/>
        </w:rPr>
        <w:t xml:space="preserve"> </w:t>
      </w:r>
      <w:r w:rsidR="004B72CD">
        <w:rPr>
          <w:rFonts w:ascii="Arial" w:hAnsi="Arial" w:cs="Arial"/>
          <w:sz w:val="20"/>
          <w:szCs w:val="20"/>
        </w:rPr>
        <w:t>%.</w:t>
      </w:r>
      <w:r w:rsidR="0079563B">
        <w:rPr>
          <w:rFonts w:ascii="Arial" w:hAnsi="Arial" w:cs="Arial"/>
          <w:sz w:val="20"/>
          <w:szCs w:val="20"/>
        </w:rPr>
        <w:t xml:space="preserve"> </w:t>
      </w:r>
    </w:p>
    <w:p w14:paraId="799EBA29" w14:textId="557037AC" w:rsidR="0079563B" w:rsidRPr="00E21C60" w:rsidRDefault="0079563B" w:rsidP="0079563B">
      <w:pPr>
        <w:spacing w:before="120" w:after="120"/>
        <w:jc w:val="both"/>
        <w:rPr>
          <w:rFonts w:ascii="Arial" w:hAnsi="Arial" w:cs="Arial"/>
          <w:sz w:val="20"/>
          <w:szCs w:val="20"/>
        </w:rPr>
      </w:pPr>
      <w:r w:rsidRPr="00E21C60">
        <w:rPr>
          <w:rFonts w:ascii="Arial" w:hAnsi="Arial" w:cs="Arial"/>
          <w:sz w:val="20"/>
          <w:szCs w:val="20"/>
        </w:rPr>
        <w:tab/>
      </w:r>
      <w:r>
        <w:rPr>
          <w:rFonts w:ascii="Arial" w:hAnsi="Arial" w:cs="Arial"/>
          <w:sz w:val="20"/>
          <w:szCs w:val="20"/>
        </w:rPr>
        <w:t xml:space="preserve">Pre porovnanie, v prípade ukazovateľa </w:t>
      </w:r>
      <w:r w:rsidRPr="00E21C60">
        <w:rPr>
          <w:rFonts w:ascii="Arial" w:hAnsi="Arial" w:cs="Arial"/>
          <w:sz w:val="20"/>
          <w:szCs w:val="20"/>
        </w:rPr>
        <w:t xml:space="preserve">„Zníženie emisií skleníkových plynov (spolu za jednotlivé projekty)“ </w:t>
      </w:r>
      <w:r>
        <w:rPr>
          <w:rFonts w:ascii="Arial" w:hAnsi="Arial" w:cs="Arial"/>
          <w:sz w:val="20"/>
          <w:szCs w:val="20"/>
        </w:rPr>
        <w:t>evidujeme v</w:t>
      </w:r>
      <w:r w:rsidRPr="00E21C60">
        <w:rPr>
          <w:rFonts w:ascii="Arial" w:hAnsi="Arial" w:cs="Arial"/>
          <w:sz w:val="20"/>
          <w:szCs w:val="20"/>
        </w:rPr>
        <w:t xml:space="preserve">ýrazné prekročenie </w:t>
      </w:r>
      <w:r>
        <w:rPr>
          <w:rFonts w:ascii="Arial" w:hAnsi="Arial" w:cs="Arial"/>
          <w:sz w:val="20"/>
          <w:szCs w:val="20"/>
        </w:rPr>
        <w:t xml:space="preserve">jeho </w:t>
      </w:r>
      <w:r w:rsidRPr="00E21C60">
        <w:rPr>
          <w:rFonts w:ascii="Arial" w:hAnsi="Arial" w:cs="Arial"/>
          <w:sz w:val="20"/>
          <w:szCs w:val="20"/>
        </w:rPr>
        <w:t>cieľovej hodnoty</w:t>
      </w:r>
      <w:r>
        <w:rPr>
          <w:rFonts w:ascii="Arial" w:hAnsi="Arial" w:cs="Arial"/>
          <w:sz w:val="20"/>
          <w:szCs w:val="20"/>
        </w:rPr>
        <w:t xml:space="preserve">. Oproti cieľu zadefinovanému v OP, dosiahnuť 15 % zníženie emisií, bolo na úrovni projektov aktuálne namerané </w:t>
      </w:r>
      <w:r w:rsidR="004D5AB2" w:rsidRPr="000C00BA">
        <w:rPr>
          <w:rFonts w:ascii="Arial" w:hAnsi="Arial" w:cs="Arial"/>
          <w:sz w:val="20"/>
          <w:szCs w:val="20"/>
        </w:rPr>
        <w:t>86</w:t>
      </w:r>
      <w:r w:rsidRPr="000C00BA">
        <w:rPr>
          <w:rFonts w:ascii="Arial" w:hAnsi="Arial" w:cs="Arial"/>
          <w:sz w:val="20"/>
          <w:szCs w:val="20"/>
        </w:rPr>
        <w:t>,</w:t>
      </w:r>
      <w:r w:rsidR="004D5AB2" w:rsidRPr="000C00BA">
        <w:rPr>
          <w:rFonts w:ascii="Arial" w:hAnsi="Arial" w:cs="Arial"/>
          <w:sz w:val="20"/>
          <w:szCs w:val="20"/>
        </w:rPr>
        <w:t>74</w:t>
      </w:r>
      <w:r w:rsidRPr="000C00BA">
        <w:rPr>
          <w:rFonts w:ascii="Arial" w:hAnsi="Arial" w:cs="Arial"/>
          <w:sz w:val="20"/>
          <w:szCs w:val="20"/>
        </w:rPr>
        <w:t>% zníženie, pričom cieľ zazmluvnených projektov je na úrovni 9</w:t>
      </w:r>
      <w:r w:rsidR="004D5AB2" w:rsidRPr="000C00BA">
        <w:rPr>
          <w:rFonts w:ascii="Arial" w:hAnsi="Arial" w:cs="Arial"/>
          <w:sz w:val="20"/>
          <w:szCs w:val="20"/>
        </w:rPr>
        <w:t>3</w:t>
      </w:r>
      <w:r w:rsidRPr="000C00BA">
        <w:rPr>
          <w:rFonts w:ascii="Arial" w:hAnsi="Arial" w:cs="Arial"/>
          <w:sz w:val="20"/>
          <w:szCs w:val="20"/>
        </w:rPr>
        <w:t xml:space="preserve"> %</w:t>
      </w:r>
      <w:r w:rsidRPr="004D5AB2">
        <w:rPr>
          <w:rFonts w:ascii="Arial" w:hAnsi="Arial" w:cs="Arial"/>
          <w:sz w:val="20"/>
          <w:szCs w:val="20"/>
        </w:rPr>
        <w:t>.</w:t>
      </w:r>
      <w:r>
        <w:rPr>
          <w:rFonts w:ascii="Arial" w:hAnsi="Arial" w:cs="Arial"/>
          <w:sz w:val="20"/>
          <w:szCs w:val="20"/>
        </w:rPr>
        <w:t xml:space="preserve"> Údaje sú ovplyvnené </w:t>
      </w:r>
      <w:r w:rsidRPr="00E21C60">
        <w:rPr>
          <w:rFonts w:ascii="Arial" w:hAnsi="Arial" w:cs="Arial"/>
          <w:sz w:val="20"/>
          <w:szCs w:val="20"/>
        </w:rPr>
        <w:t xml:space="preserve">výrazným záujmom zo strany žiadateľov o realizáciu menších projektov zmeny palivovej základne v prospech </w:t>
      </w:r>
      <w:r>
        <w:rPr>
          <w:rFonts w:ascii="Arial" w:hAnsi="Arial" w:cs="Arial"/>
          <w:iCs/>
          <w:sz w:val="20"/>
          <w:szCs w:val="20"/>
          <w:lang w:eastAsia="en-US"/>
        </w:rPr>
        <w:t>OZE</w:t>
      </w:r>
      <w:r w:rsidRPr="00E21C60" w:rsidDel="00331702">
        <w:rPr>
          <w:rFonts w:ascii="Arial" w:hAnsi="Arial" w:cs="Arial"/>
          <w:sz w:val="20"/>
          <w:szCs w:val="20"/>
        </w:rPr>
        <w:t xml:space="preserve"> </w:t>
      </w:r>
      <w:r w:rsidRPr="00E21C60">
        <w:rPr>
          <w:rFonts w:ascii="Arial" w:hAnsi="Arial" w:cs="Arial"/>
          <w:sz w:val="20"/>
          <w:szCs w:val="20"/>
        </w:rPr>
        <w:t>(najmä biomasy), pri ktorých dochádza na úrovni projektu k výraznému zníženiu emisií skleníkových plynov (až ku 100</w:t>
      </w:r>
      <w:r>
        <w:rPr>
          <w:rFonts w:ascii="Arial" w:hAnsi="Arial" w:cs="Arial"/>
          <w:sz w:val="20"/>
          <w:szCs w:val="20"/>
        </w:rPr>
        <w:t xml:space="preserve"> </w:t>
      </w:r>
      <w:r w:rsidRPr="00E21C60">
        <w:rPr>
          <w:rFonts w:ascii="Arial" w:hAnsi="Arial" w:cs="Arial"/>
          <w:sz w:val="20"/>
          <w:szCs w:val="20"/>
        </w:rPr>
        <w:t>%)</w:t>
      </w:r>
      <w:r>
        <w:rPr>
          <w:rFonts w:ascii="Arial" w:hAnsi="Arial" w:cs="Arial"/>
          <w:sz w:val="20"/>
          <w:szCs w:val="20"/>
        </w:rPr>
        <w:t>, hoci v absolútnom vyjadrení množstva takto redukovaných emisií skleníkových plynov sú dosahované hodnoty nižšie</w:t>
      </w:r>
      <w:r w:rsidRPr="00E21C60">
        <w:rPr>
          <w:rFonts w:ascii="Arial" w:hAnsi="Arial" w:cs="Arial"/>
          <w:sz w:val="20"/>
          <w:szCs w:val="20"/>
        </w:rPr>
        <w:t xml:space="preserve">. </w:t>
      </w:r>
      <w:r>
        <w:rPr>
          <w:rFonts w:ascii="Arial" w:hAnsi="Arial" w:cs="Arial"/>
          <w:sz w:val="20"/>
          <w:szCs w:val="20"/>
        </w:rPr>
        <w:t>R</w:t>
      </w:r>
      <w:r w:rsidRPr="00E21C60">
        <w:rPr>
          <w:rFonts w:ascii="Arial" w:hAnsi="Arial" w:cs="Arial"/>
          <w:sz w:val="20"/>
          <w:szCs w:val="20"/>
        </w:rPr>
        <w:t>ealizácia väčších projektov prevádzkovateľmi väčších zdrojov znečisťovania ovzdušia</w:t>
      </w:r>
      <w:r>
        <w:rPr>
          <w:rFonts w:ascii="Arial" w:hAnsi="Arial" w:cs="Arial"/>
          <w:sz w:val="20"/>
          <w:szCs w:val="20"/>
        </w:rPr>
        <w:t>, so zapojením ktorých sa počítalo aj pri stanovovaní cieľovej hodnoty ukazovateľa v čase prípravy OP,</w:t>
      </w:r>
      <w:r w:rsidRPr="00E21C60">
        <w:rPr>
          <w:rFonts w:ascii="Arial" w:hAnsi="Arial" w:cs="Arial"/>
          <w:sz w:val="20"/>
          <w:szCs w:val="20"/>
        </w:rPr>
        <w:t xml:space="preserve"> bola značne limitovan</w:t>
      </w:r>
      <w:r>
        <w:rPr>
          <w:rFonts w:ascii="Arial" w:hAnsi="Arial" w:cs="Arial"/>
          <w:sz w:val="20"/>
          <w:szCs w:val="20"/>
        </w:rPr>
        <w:t>á</w:t>
      </w:r>
      <w:r w:rsidRPr="00E21C60">
        <w:rPr>
          <w:rFonts w:ascii="Arial" w:hAnsi="Arial" w:cs="Arial"/>
          <w:sz w:val="20"/>
          <w:szCs w:val="20"/>
        </w:rPr>
        <w:t xml:space="preserve"> pravidlami pre poskytnutie štátnej pomoci.</w:t>
      </w:r>
    </w:p>
    <w:p w14:paraId="5958A15E" w14:textId="77777777" w:rsidR="0079563B" w:rsidRPr="00E21C60" w:rsidRDefault="0079563B" w:rsidP="0079563B">
      <w:pPr>
        <w:spacing w:before="120" w:after="120"/>
        <w:jc w:val="both"/>
        <w:rPr>
          <w:rFonts w:ascii="Arial" w:hAnsi="Arial" w:cs="Arial"/>
          <w:sz w:val="20"/>
          <w:szCs w:val="20"/>
        </w:rPr>
      </w:pPr>
      <w:r>
        <w:rPr>
          <w:rFonts w:ascii="Arial" w:hAnsi="Arial" w:cs="Arial"/>
          <w:sz w:val="20"/>
          <w:szCs w:val="20"/>
        </w:rPr>
        <w:t xml:space="preserve">Obdobná situácia sa týka </w:t>
      </w:r>
      <w:r w:rsidRPr="00E21C60">
        <w:rPr>
          <w:rFonts w:ascii="Arial" w:hAnsi="Arial" w:cs="Arial"/>
          <w:sz w:val="20"/>
          <w:szCs w:val="20"/>
        </w:rPr>
        <w:t>ukazovateľ</w:t>
      </w:r>
      <w:r>
        <w:rPr>
          <w:rFonts w:ascii="Arial" w:hAnsi="Arial" w:cs="Arial"/>
          <w:sz w:val="20"/>
          <w:szCs w:val="20"/>
        </w:rPr>
        <w:t>a</w:t>
      </w:r>
      <w:r w:rsidRPr="00E21C60">
        <w:rPr>
          <w:rFonts w:ascii="Arial" w:hAnsi="Arial" w:cs="Arial"/>
          <w:sz w:val="20"/>
          <w:szCs w:val="20"/>
        </w:rPr>
        <w:t xml:space="preserve"> „Zvýšený inštalovaný výkon zariadenia zodpovedajúc</w:t>
      </w:r>
      <w:r>
        <w:rPr>
          <w:rFonts w:ascii="Arial" w:hAnsi="Arial" w:cs="Arial"/>
          <w:sz w:val="20"/>
          <w:szCs w:val="20"/>
        </w:rPr>
        <w:t>i obnoviteľným zdrojom energie“, pričom</w:t>
      </w:r>
      <w:r w:rsidRPr="00E21C60">
        <w:rPr>
          <w:rFonts w:ascii="Arial" w:hAnsi="Arial" w:cs="Arial"/>
          <w:sz w:val="20"/>
          <w:szCs w:val="20"/>
        </w:rPr>
        <w:t xml:space="preserve"> </w:t>
      </w:r>
      <w:r>
        <w:rPr>
          <w:rFonts w:ascii="Arial" w:hAnsi="Arial" w:cs="Arial"/>
          <w:sz w:val="20"/>
          <w:szCs w:val="20"/>
        </w:rPr>
        <w:t>celkové plnenie stanovených hodnôt</w:t>
      </w:r>
      <w:r w:rsidRPr="00E21C60">
        <w:rPr>
          <w:rFonts w:ascii="Arial" w:hAnsi="Arial" w:cs="Arial"/>
          <w:sz w:val="20"/>
          <w:szCs w:val="20"/>
        </w:rPr>
        <w:t xml:space="preserve"> je taktiež výrazne ovplyvnené prevahou menších projektov zmeny palivovej základne lokálnych zdrojov znečisťovania ovzdušia realizovaných najmä subjektmi verejného sektora (mestá, obce). Zapojenie významných znečisťovateľov </w:t>
      </w:r>
      <w:r>
        <w:rPr>
          <w:rFonts w:ascii="Arial" w:hAnsi="Arial" w:cs="Arial"/>
          <w:sz w:val="20"/>
          <w:szCs w:val="20"/>
        </w:rPr>
        <w:t xml:space="preserve">zrejme </w:t>
      </w:r>
      <w:r w:rsidRPr="00E21C60">
        <w:rPr>
          <w:rFonts w:ascii="Arial" w:hAnsi="Arial" w:cs="Arial"/>
          <w:sz w:val="20"/>
          <w:szCs w:val="20"/>
        </w:rPr>
        <w:t>ovplyv</w:t>
      </w:r>
      <w:r>
        <w:rPr>
          <w:rFonts w:ascii="Arial" w:hAnsi="Arial" w:cs="Arial"/>
          <w:sz w:val="20"/>
          <w:szCs w:val="20"/>
        </w:rPr>
        <w:t>nili</w:t>
      </w:r>
      <w:r w:rsidRPr="00E21C60">
        <w:rPr>
          <w:rFonts w:ascii="Arial" w:hAnsi="Arial" w:cs="Arial"/>
          <w:sz w:val="20"/>
          <w:szCs w:val="20"/>
        </w:rPr>
        <w:t xml:space="preserve"> </w:t>
      </w:r>
      <w:r>
        <w:rPr>
          <w:rFonts w:ascii="Arial" w:hAnsi="Arial" w:cs="Arial"/>
          <w:sz w:val="20"/>
          <w:szCs w:val="20"/>
        </w:rPr>
        <w:t xml:space="preserve">limitujúce podmienky pre </w:t>
      </w:r>
      <w:r w:rsidRPr="00E21C60">
        <w:rPr>
          <w:rFonts w:ascii="Arial" w:hAnsi="Arial" w:cs="Arial"/>
          <w:sz w:val="20"/>
          <w:szCs w:val="20"/>
        </w:rPr>
        <w:t>poskytovani</w:t>
      </w:r>
      <w:r>
        <w:rPr>
          <w:rFonts w:ascii="Arial" w:hAnsi="Arial" w:cs="Arial"/>
          <w:sz w:val="20"/>
          <w:szCs w:val="20"/>
        </w:rPr>
        <w:t>e</w:t>
      </w:r>
      <w:r w:rsidRPr="00E21C60">
        <w:rPr>
          <w:rFonts w:ascii="Arial" w:hAnsi="Arial" w:cs="Arial"/>
          <w:sz w:val="20"/>
          <w:szCs w:val="20"/>
        </w:rPr>
        <w:t xml:space="preserve"> štátnej pomoci.  </w:t>
      </w:r>
    </w:p>
    <w:p w14:paraId="288FB015" w14:textId="09BADFA7" w:rsidR="0079563B" w:rsidRDefault="0079563B" w:rsidP="0079563B">
      <w:pPr>
        <w:spacing w:before="120" w:after="120"/>
        <w:jc w:val="both"/>
        <w:rPr>
          <w:rFonts w:ascii="Arial" w:hAnsi="Arial" w:cs="Arial"/>
          <w:sz w:val="20"/>
          <w:szCs w:val="20"/>
        </w:rPr>
      </w:pPr>
      <w:r>
        <w:rPr>
          <w:rFonts w:ascii="Arial" w:hAnsi="Arial" w:cs="Arial"/>
          <w:sz w:val="20"/>
          <w:szCs w:val="20"/>
        </w:rPr>
        <w:t>V</w:t>
      </w:r>
      <w:r w:rsidRPr="00E21C60">
        <w:rPr>
          <w:rFonts w:ascii="Arial" w:hAnsi="Arial" w:cs="Arial"/>
          <w:sz w:val="20"/>
          <w:szCs w:val="20"/>
        </w:rPr>
        <w:t xml:space="preserve">ysoké prekročenie </w:t>
      </w:r>
      <w:r>
        <w:rPr>
          <w:rFonts w:ascii="Arial" w:hAnsi="Arial" w:cs="Arial"/>
          <w:sz w:val="20"/>
          <w:szCs w:val="20"/>
        </w:rPr>
        <w:t xml:space="preserve">cieľovej hodnoty </w:t>
      </w:r>
      <w:r w:rsidRPr="00E21C60">
        <w:rPr>
          <w:rFonts w:ascii="Arial" w:hAnsi="Arial" w:cs="Arial"/>
          <w:sz w:val="20"/>
          <w:szCs w:val="20"/>
        </w:rPr>
        <w:t>ukazovateľa „Počet aktivít na znižovanie emisií skleníkových plynov a zmenu palivovej základne energetických zdrojov na výrobu tepla a teplej vody v prospech obnoviteľných zdrojov energie a počet podporných štúdií a programov“</w:t>
      </w:r>
      <w:r>
        <w:rPr>
          <w:rFonts w:ascii="Arial" w:hAnsi="Arial" w:cs="Arial"/>
          <w:sz w:val="20"/>
          <w:szCs w:val="20"/>
        </w:rPr>
        <w:t xml:space="preserve"> bolo zaznamenané taktiež v súvislosti</w:t>
      </w:r>
      <w:r w:rsidRPr="00E21C60">
        <w:rPr>
          <w:rFonts w:ascii="Arial" w:hAnsi="Arial" w:cs="Arial"/>
          <w:sz w:val="20"/>
          <w:szCs w:val="20"/>
        </w:rPr>
        <w:t xml:space="preserve"> s vysokým záujmom žiadateľov o realizáciu menších projektov zmeny palivovej základne v prospech </w:t>
      </w:r>
      <w:r>
        <w:rPr>
          <w:rFonts w:ascii="Arial" w:hAnsi="Arial" w:cs="Arial"/>
          <w:iCs/>
          <w:sz w:val="20"/>
          <w:szCs w:val="20"/>
          <w:lang w:eastAsia="en-US"/>
        </w:rPr>
        <w:t>OZE</w:t>
      </w:r>
      <w:r w:rsidRPr="00E21C60" w:rsidDel="00331702">
        <w:rPr>
          <w:rFonts w:ascii="Arial" w:hAnsi="Arial" w:cs="Arial"/>
          <w:sz w:val="20"/>
          <w:szCs w:val="20"/>
        </w:rPr>
        <w:t xml:space="preserve"> </w:t>
      </w:r>
      <w:r w:rsidRPr="00E21C60">
        <w:rPr>
          <w:rFonts w:ascii="Arial" w:hAnsi="Arial" w:cs="Arial"/>
          <w:sz w:val="20"/>
          <w:szCs w:val="20"/>
        </w:rPr>
        <w:t xml:space="preserve">(najmä biomasy). </w:t>
      </w:r>
    </w:p>
    <w:p w14:paraId="429DCF26" w14:textId="2AC6E9B7" w:rsidR="008E2553" w:rsidRPr="00E21C60" w:rsidRDefault="008E2553" w:rsidP="008E2553">
      <w:pPr>
        <w:spacing w:before="120" w:after="120"/>
        <w:jc w:val="both"/>
        <w:rPr>
          <w:rFonts w:ascii="Arial" w:hAnsi="Arial" w:cs="Arial"/>
          <w:sz w:val="20"/>
          <w:szCs w:val="20"/>
        </w:rPr>
      </w:pPr>
      <w:r>
        <w:rPr>
          <w:rFonts w:ascii="Arial" w:hAnsi="Arial" w:cs="Arial"/>
          <w:sz w:val="20"/>
          <w:szCs w:val="20"/>
        </w:rPr>
        <w:t>Naopak, n</w:t>
      </w:r>
      <w:r w:rsidRPr="00E21C60">
        <w:rPr>
          <w:rFonts w:ascii="Arial" w:hAnsi="Arial" w:cs="Arial"/>
          <w:sz w:val="20"/>
          <w:szCs w:val="20"/>
        </w:rPr>
        <w:t xml:space="preserve">ulové plnenie ukazovateľa „Zníženie emisií prchavých organických látok (spolu za jednotlivé projekty)“ vyplýva zo skutočnosti, že napriek očakávaniam nebol zo strany žiadateľov zaznamenaný dopyt a v rámci danej skupiny aktivít nebol vo vyhlásených výzvach predložený žiadny projekt. </w:t>
      </w:r>
      <w:r>
        <w:rPr>
          <w:rFonts w:ascii="Arial" w:hAnsi="Arial" w:cs="Arial"/>
          <w:sz w:val="20"/>
          <w:szCs w:val="20"/>
        </w:rPr>
        <w:br/>
      </w:r>
      <w:r w:rsidRPr="00E21C60">
        <w:rPr>
          <w:rFonts w:ascii="Arial" w:hAnsi="Arial" w:cs="Arial"/>
          <w:sz w:val="20"/>
          <w:szCs w:val="20"/>
        </w:rPr>
        <w:t xml:space="preserve">V ďalšej fáze implementácie programu došlo k uplynutiu lehôt potrebných na zosúladenie sa </w:t>
      </w:r>
      <w:r>
        <w:rPr>
          <w:rFonts w:ascii="Arial" w:hAnsi="Arial" w:cs="Arial"/>
          <w:sz w:val="20"/>
          <w:szCs w:val="20"/>
        </w:rPr>
        <w:br/>
      </w:r>
      <w:r w:rsidRPr="00E21C60">
        <w:rPr>
          <w:rFonts w:ascii="Arial" w:hAnsi="Arial" w:cs="Arial"/>
          <w:sz w:val="20"/>
          <w:szCs w:val="20"/>
        </w:rPr>
        <w:t>s požiadavkami príslušných smerníc EÚ v oblasti znižovania emisií prchavých organických látok. Do</w:t>
      </w:r>
      <w:r>
        <w:rPr>
          <w:rFonts w:ascii="Arial" w:hAnsi="Arial" w:cs="Arial"/>
          <w:sz w:val="20"/>
          <w:szCs w:val="20"/>
        </w:rPr>
        <w:t> </w:t>
      </w:r>
      <w:r w:rsidRPr="00E21C60">
        <w:rPr>
          <w:rFonts w:ascii="Arial" w:hAnsi="Arial" w:cs="Arial"/>
          <w:sz w:val="20"/>
          <w:szCs w:val="20"/>
        </w:rPr>
        <w:t>úvahy preto prichádzalo iba vyhlásenie výzvy pod schémou štátnej pomoci na životné prostredie (nad rámec požiadaviek), avšak vzhľadom na nízke intenzity pomoci a predchádzajúci nezáujem zo strany žiadateľov nebola vyhlásená ďalšia výzva na tento typ aktivít.</w:t>
      </w:r>
    </w:p>
    <w:p w14:paraId="762A7C55" w14:textId="37368BCB" w:rsidR="00FA0777" w:rsidRPr="00E21C60" w:rsidRDefault="00FA0777" w:rsidP="0079563B">
      <w:pPr>
        <w:spacing w:before="120" w:after="120"/>
        <w:jc w:val="both"/>
        <w:rPr>
          <w:rFonts w:ascii="Arial" w:hAnsi="Arial" w:cs="Arial"/>
          <w:sz w:val="20"/>
          <w:szCs w:val="20"/>
        </w:rPr>
      </w:pPr>
      <w:r>
        <w:rPr>
          <w:rFonts w:ascii="Arial" w:hAnsi="Arial" w:cs="Arial"/>
          <w:sz w:val="20"/>
          <w:szCs w:val="20"/>
        </w:rPr>
        <w:t>Celkovo bolo na zlepšenie kvality ovzdušia podporených 128 projektov, 53 projektov bolo zameraných na podporu využívania OZE.</w:t>
      </w:r>
    </w:p>
    <w:p w14:paraId="2B62E62E" w14:textId="681CB88C" w:rsidR="0079563B" w:rsidRPr="00E21C60" w:rsidRDefault="0079563B" w:rsidP="0079563B">
      <w:pPr>
        <w:spacing w:before="120" w:after="120"/>
        <w:jc w:val="both"/>
        <w:rPr>
          <w:rFonts w:ascii="Arial" w:hAnsi="Arial" w:cs="Arial"/>
          <w:sz w:val="20"/>
          <w:szCs w:val="20"/>
        </w:rPr>
      </w:pPr>
      <w:r w:rsidRPr="00E21C60">
        <w:rPr>
          <w:rFonts w:ascii="Arial" w:hAnsi="Arial" w:cs="Arial"/>
          <w:sz w:val="20"/>
          <w:szCs w:val="20"/>
        </w:rPr>
        <w:t xml:space="preserve">Úspešnosť plnenia ukazovateľov všeobecného charakteru „Počet novovytvorených pracovných miest“ a „Počet vytvorených pracovných miest (brutto, na plný úväzok) priamej investičnej podpory MSP“ je nižšia. Projekty zamerané na zlepšenie kvality ovzdušia zahŕňajú v mnohých prípadoch inštaláciu koncových technológií (odlučovacích zariadení), pričom nedochádza k celkovej zmene technológie výroby, ktorá by mala za následok vytváranie nových pracovných miest. RO </w:t>
      </w:r>
      <w:r>
        <w:rPr>
          <w:rFonts w:ascii="Arial" w:hAnsi="Arial" w:cs="Arial"/>
          <w:sz w:val="20"/>
          <w:szCs w:val="20"/>
        </w:rPr>
        <w:t xml:space="preserve">taktiež </w:t>
      </w:r>
      <w:r w:rsidRPr="00E21C60">
        <w:rPr>
          <w:rFonts w:ascii="Arial" w:hAnsi="Arial" w:cs="Arial"/>
          <w:sz w:val="20"/>
          <w:szCs w:val="20"/>
        </w:rPr>
        <w:t>nemal s ukazovateľom tohto typu dostatok skúseností z predchádzajúceho programov</w:t>
      </w:r>
      <w:r>
        <w:rPr>
          <w:rFonts w:ascii="Arial" w:hAnsi="Arial" w:cs="Arial"/>
          <w:sz w:val="20"/>
          <w:szCs w:val="20"/>
        </w:rPr>
        <w:t>ého</w:t>
      </w:r>
      <w:r w:rsidRPr="00E21C60">
        <w:rPr>
          <w:rFonts w:ascii="Arial" w:hAnsi="Arial" w:cs="Arial"/>
          <w:sz w:val="20"/>
          <w:szCs w:val="20"/>
        </w:rPr>
        <w:t xml:space="preserve"> obdobia, a teda nemal k dispozícií relevantné východisko pre nastavenie cieľovej hodnoty ukazovateľa.</w:t>
      </w:r>
    </w:p>
    <w:p w14:paraId="50B26A15" w14:textId="77777777" w:rsidR="002416B1" w:rsidRPr="0020746A" w:rsidRDefault="002416B1" w:rsidP="00123376">
      <w:pPr>
        <w:pStyle w:val="Nadpis2"/>
        <w:spacing w:after="120"/>
        <w:rPr>
          <w:rFonts w:cs="Arial"/>
        </w:rPr>
      </w:pPr>
      <w:bookmarkStart w:id="83" w:name="_Toc466914535"/>
      <w:r w:rsidRPr="008E1ACB">
        <w:rPr>
          <w:rFonts w:cs="Arial"/>
        </w:rPr>
        <w:t>3.4. Prioritná os 4 Odpadové hospodárstvo</w:t>
      </w:r>
      <w:bookmarkEnd w:id="83"/>
    </w:p>
    <w:p w14:paraId="679C9625" w14:textId="77777777" w:rsidR="002416B1" w:rsidRPr="00D641FF" w:rsidRDefault="002416B1" w:rsidP="00123376">
      <w:pPr>
        <w:pStyle w:val="Nadpis3"/>
        <w:spacing w:after="120"/>
        <w:jc w:val="both"/>
        <w:rPr>
          <w:rFonts w:cs="Arial"/>
        </w:rPr>
      </w:pPr>
      <w:bookmarkStart w:id="84" w:name="_Toc466914536"/>
      <w:r w:rsidRPr="00D641FF">
        <w:rPr>
          <w:rFonts w:cs="Arial"/>
        </w:rPr>
        <w:t>3.4.1 Dosiahnutie cieľov a analýza dosiahnutého pokroku</w:t>
      </w:r>
      <w:bookmarkEnd w:id="84"/>
    </w:p>
    <w:p w14:paraId="6C6D77EC" w14:textId="2C00CA34" w:rsidR="00DE3AE9" w:rsidRDefault="00021D5C" w:rsidP="00021D5C">
      <w:pPr>
        <w:spacing w:before="120" w:after="120"/>
        <w:jc w:val="both"/>
        <w:rPr>
          <w:rFonts w:ascii="Arial" w:hAnsi="Arial" w:cs="Arial"/>
          <w:sz w:val="20"/>
          <w:szCs w:val="20"/>
        </w:rPr>
      </w:pPr>
      <w:r w:rsidRPr="004E4448">
        <w:rPr>
          <w:rFonts w:ascii="Arial" w:hAnsi="Arial" w:cs="Arial"/>
          <w:sz w:val="20"/>
          <w:szCs w:val="20"/>
        </w:rPr>
        <w:t xml:space="preserve">Cieľom prioritnej osi </w:t>
      </w:r>
      <w:r w:rsidR="000961B2">
        <w:rPr>
          <w:rFonts w:ascii="Arial" w:hAnsi="Arial" w:cs="Arial"/>
          <w:sz w:val="20"/>
          <w:szCs w:val="20"/>
        </w:rPr>
        <w:t xml:space="preserve">4 </w:t>
      </w:r>
      <w:r w:rsidR="00DE3AE9">
        <w:rPr>
          <w:rFonts w:ascii="Arial" w:hAnsi="Arial" w:cs="Arial"/>
          <w:sz w:val="20"/>
          <w:szCs w:val="20"/>
        </w:rPr>
        <w:t>bolo</w:t>
      </w:r>
      <w:r w:rsidRPr="004E4448">
        <w:rPr>
          <w:rFonts w:ascii="Arial" w:hAnsi="Arial" w:cs="Arial"/>
          <w:sz w:val="20"/>
          <w:szCs w:val="20"/>
        </w:rPr>
        <w:t xml:space="preserve"> dobudovanie infraštruktúry odpadového hospodárstva SR v zmysle právnych predpisov EÚ a SR, znižovanie a eliminácia negatívnych vplyvov environmentálnych záťaží a skládok odpadov na zdravie ľudí a ekosystémy. Prioritná os </w:t>
      </w:r>
      <w:r w:rsidR="000961B2">
        <w:rPr>
          <w:rFonts w:ascii="Arial" w:hAnsi="Arial" w:cs="Arial"/>
          <w:sz w:val="20"/>
          <w:szCs w:val="20"/>
        </w:rPr>
        <w:t xml:space="preserve">4 </w:t>
      </w:r>
      <w:r w:rsidR="00DE3AE9">
        <w:rPr>
          <w:rFonts w:ascii="Arial" w:hAnsi="Arial" w:cs="Arial"/>
          <w:sz w:val="20"/>
          <w:szCs w:val="20"/>
        </w:rPr>
        <w:t>bola</w:t>
      </w:r>
      <w:r w:rsidRPr="004E4448">
        <w:rPr>
          <w:rFonts w:ascii="Arial" w:hAnsi="Arial" w:cs="Arial"/>
          <w:sz w:val="20"/>
          <w:szCs w:val="20"/>
        </w:rPr>
        <w:t xml:space="preserve"> zameraná na zavádzanie nových </w:t>
      </w:r>
      <w:r w:rsidRPr="004E4448">
        <w:rPr>
          <w:rFonts w:ascii="Arial" w:hAnsi="Arial" w:cs="Arial"/>
          <w:sz w:val="20"/>
          <w:szCs w:val="20"/>
        </w:rPr>
        <w:lastRenderedPageBreak/>
        <w:t>a zefektívňovanie </w:t>
      </w:r>
      <w:r>
        <w:rPr>
          <w:rFonts w:ascii="Arial" w:hAnsi="Arial" w:cs="Arial"/>
          <w:sz w:val="20"/>
          <w:szCs w:val="20"/>
        </w:rPr>
        <w:t>existujúcich</w:t>
      </w:r>
      <w:r w:rsidRPr="004E4448">
        <w:rPr>
          <w:rFonts w:ascii="Arial" w:hAnsi="Arial" w:cs="Arial"/>
          <w:sz w:val="20"/>
          <w:szCs w:val="20"/>
        </w:rPr>
        <w:t xml:space="preserve"> systémov separovaného zberu komunálnych odpadov, na zvýšenie množstva zhodnocovaných odpadov, na znižovanie nebezpečných vlastností odpadov a nakladanie s nebezpečnými odpadmi, zabezpečenie riešenia problematiky environmentálnych záťaží a</w:t>
      </w:r>
      <w:r w:rsidR="000961B2">
        <w:rPr>
          <w:rFonts w:ascii="Arial" w:hAnsi="Arial" w:cs="Arial"/>
          <w:sz w:val="20"/>
          <w:szCs w:val="20"/>
        </w:rPr>
        <w:t xml:space="preserve"> taktiež bola zameraná </w:t>
      </w:r>
      <w:r w:rsidRPr="004E4448">
        <w:rPr>
          <w:rFonts w:ascii="Arial" w:hAnsi="Arial" w:cs="Arial"/>
          <w:sz w:val="20"/>
          <w:szCs w:val="20"/>
        </w:rPr>
        <w:t xml:space="preserve">na </w:t>
      </w:r>
      <w:r w:rsidRPr="004A3091">
        <w:rPr>
          <w:rFonts w:ascii="Arial" w:hAnsi="Arial" w:cs="Arial"/>
          <w:sz w:val="20"/>
          <w:szCs w:val="20"/>
        </w:rPr>
        <w:t>uzatváranie a rekultiváciu skládok odpadov.</w:t>
      </w:r>
      <w:r>
        <w:rPr>
          <w:rFonts w:ascii="Arial" w:hAnsi="Arial" w:cs="Arial"/>
          <w:sz w:val="20"/>
          <w:szCs w:val="20"/>
        </w:rPr>
        <w:t xml:space="preserve"> </w:t>
      </w:r>
    </w:p>
    <w:p w14:paraId="5B0FC347" w14:textId="3E9E8B26" w:rsidR="00021D5C" w:rsidRPr="004A3091" w:rsidRDefault="00021D5C" w:rsidP="00021D5C">
      <w:pPr>
        <w:spacing w:before="120" w:after="120"/>
        <w:jc w:val="both"/>
        <w:rPr>
          <w:rFonts w:ascii="Arial" w:hAnsi="Arial" w:cs="Arial"/>
          <w:sz w:val="20"/>
          <w:szCs w:val="20"/>
        </w:rPr>
      </w:pPr>
      <w:r>
        <w:rPr>
          <w:rFonts w:ascii="Arial" w:hAnsi="Arial" w:cs="Arial"/>
          <w:sz w:val="20"/>
          <w:szCs w:val="20"/>
        </w:rPr>
        <w:t xml:space="preserve">Dosahovanie výsledkov je vyhodnocované prostredníctvom ukazovateľov, čomu sa venuje kvalitatívna analýza prioritnej osi 4 tejto záverečnej správy. </w:t>
      </w:r>
    </w:p>
    <w:p w14:paraId="06C357A2" w14:textId="3F0DD4BD" w:rsidR="00021D5C" w:rsidRPr="006C6ABC" w:rsidRDefault="00ED14C7" w:rsidP="00021D5C">
      <w:pPr>
        <w:spacing w:before="120" w:after="120"/>
        <w:jc w:val="both"/>
        <w:rPr>
          <w:rFonts w:ascii="Arial" w:hAnsi="Arial" w:cs="Arial"/>
          <w:sz w:val="20"/>
          <w:szCs w:val="20"/>
        </w:rPr>
      </w:pPr>
      <w:r w:rsidRPr="00DE3AE9">
        <w:rPr>
          <w:rFonts w:ascii="Arial" w:hAnsi="Arial" w:cs="Arial"/>
          <w:sz w:val="20"/>
          <w:szCs w:val="20"/>
        </w:rPr>
        <w:t xml:space="preserve">Prioritná os 4 je financovaná z Kohézneho fondu a svojou alokáciou tvorí takmer 22,08 % celkovej alokácie (zdroje EÚ+ŠR) na operačný program. </w:t>
      </w:r>
    </w:p>
    <w:p w14:paraId="058FFAFC" w14:textId="44F54326" w:rsidR="002416B1" w:rsidRPr="006C6ABC" w:rsidRDefault="00021D5C" w:rsidP="00FB6D6F">
      <w:pPr>
        <w:autoSpaceDE w:val="0"/>
        <w:autoSpaceDN w:val="0"/>
        <w:adjustRightInd w:val="0"/>
        <w:spacing w:before="120" w:after="120"/>
        <w:jc w:val="both"/>
        <w:rPr>
          <w:rFonts w:ascii="Arial" w:hAnsi="Arial" w:cs="Arial"/>
          <w:sz w:val="20"/>
          <w:szCs w:val="20"/>
        </w:rPr>
      </w:pPr>
      <w:r w:rsidRPr="006C6ABC">
        <w:rPr>
          <w:rFonts w:ascii="Arial" w:hAnsi="Arial" w:cs="Arial"/>
          <w:sz w:val="20"/>
          <w:szCs w:val="20"/>
        </w:rPr>
        <w:t xml:space="preserve">Príklady úspešných projektov prioritnej osi 4, </w:t>
      </w:r>
      <w:r w:rsidR="00FB6D6F" w:rsidRPr="00EC1B17">
        <w:rPr>
          <w:rFonts w:ascii="Arial" w:hAnsi="Arial" w:cs="Arial"/>
          <w:sz w:val="20"/>
          <w:szCs w:val="20"/>
        </w:rPr>
        <w:t xml:space="preserve">finančne aj fyzicky ukončených, sú uvedené na webovom sídle OP ŽP </w:t>
      </w:r>
      <w:hyperlink r:id="rId26" w:history="1">
        <w:r w:rsidR="00FB6D6F" w:rsidRPr="0093280D">
          <w:rPr>
            <w:rStyle w:val="Hypertextovprepojenie"/>
            <w:rFonts w:ascii="Arial" w:hAnsi="Arial" w:cs="Arial"/>
            <w:sz w:val="20"/>
            <w:szCs w:val="20"/>
          </w:rPr>
          <w:t>www.opzp.sk</w:t>
        </w:r>
      </w:hyperlink>
      <w:r w:rsidR="00FB6D6F">
        <w:rPr>
          <w:rFonts w:ascii="Arial" w:hAnsi="Arial" w:cs="Arial"/>
          <w:sz w:val="20"/>
          <w:szCs w:val="20"/>
        </w:rPr>
        <w:t xml:space="preserve"> v časti </w:t>
      </w:r>
      <w:r w:rsidR="00FB6D6F" w:rsidRPr="000E2934">
        <w:rPr>
          <w:rFonts w:ascii="Arial" w:hAnsi="Arial" w:cs="Arial"/>
          <w:sz w:val="20"/>
          <w:szCs w:val="20"/>
        </w:rPr>
        <w:t>Hlavná stránka &gt; Projekty &gt; Mapa vzorových úspešne realizovaných projektov OPŽP</w:t>
      </w:r>
      <w:r w:rsidR="00FB6D6F">
        <w:rPr>
          <w:rFonts w:ascii="Arial" w:hAnsi="Arial" w:cs="Arial"/>
          <w:sz w:val="20"/>
          <w:szCs w:val="20"/>
        </w:rPr>
        <w:t xml:space="preserve"> </w:t>
      </w:r>
      <w:r w:rsidR="00FB6D6F" w:rsidRPr="00EC1B17">
        <w:rPr>
          <w:rFonts w:ascii="Arial" w:hAnsi="Arial" w:cs="Arial"/>
          <w:sz w:val="20"/>
          <w:szCs w:val="20"/>
        </w:rPr>
        <w:t xml:space="preserve">a tiež sú súčasťou </w:t>
      </w:r>
      <w:r w:rsidR="00FB6D6F" w:rsidRPr="000E2934">
        <w:rPr>
          <w:rFonts w:ascii="Arial" w:hAnsi="Arial" w:cs="Arial"/>
          <w:sz w:val="20"/>
          <w:szCs w:val="20"/>
        </w:rPr>
        <w:t>Prílohy č. 10</w:t>
      </w:r>
      <w:r w:rsidR="00FB6D6F" w:rsidRPr="00EC1B17">
        <w:rPr>
          <w:rFonts w:ascii="Arial" w:hAnsi="Arial" w:cs="Arial"/>
          <w:sz w:val="20"/>
          <w:szCs w:val="20"/>
        </w:rPr>
        <w:t xml:space="preserve"> </w:t>
      </w:r>
      <w:r w:rsidR="00FB6D6F">
        <w:rPr>
          <w:rFonts w:ascii="Arial" w:hAnsi="Arial" w:cs="Arial"/>
          <w:sz w:val="20"/>
          <w:szCs w:val="20"/>
        </w:rPr>
        <w:t>záverečnej</w:t>
      </w:r>
      <w:r w:rsidR="00FB6D6F" w:rsidRPr="00EC1B17">
        <w:rPr>
          <w:rFonts w:ascii="Arial" w:hAnsi="Arial" w:cs="Arial"/>
          <w:sz w:val="20"/>
          <w:szCs w:val="20"/>
        </w:rPr>
        <w:t xml:space="preserve"> správy.</w:t>
      </w:r>
    </w:p>
    <w:p w14:paraId="7F9C5B60" w14:textId="77777777" w:rsidR="002416B1" w:rsidRPr="00E21C60" w:rsidRDefault="002416B1" w:rsidP="00123376">
      <w:pPr>
        <w:pStyle w:val="Nadpis8"/>
        <w:spacing w:after="120"/>
        <w:rPr>
          <w:rFonts w:ascii="Arial" w:hAnsi="Arial" w:cs="Arial"/>
          <w:b/>
          <w:sz w:val="22"/>
          <w:szCs w:val="22"/>
        </w:rPr>
      </w:pPr>
      <w:r w:rsidRPr="00E21C60">
        <w:rPr>
          <w:rFonts w:ascii="Arial" w:hAnsi="Arial" w:cs="Arial"/>
          <w:b/>
          <w:sz w:val="22"/>
          <w:szCs w:val="22"/>
        </w:rPr>
        <w:t>3.4.1.1 Stav fyzického pokroku prioritnej osi 4</w:t>
      </w:r>
    </w:p>
    <w:p w14:paraId="7EFE41B9" w14:textId="2322E097" w:rsidR="00021D5C" w:rsidRPr="008E1ACB" w:rsidRDefault="00021D5C" w:rsidP="00021D5C">
      <w:pPr>
        <w:pStyle w:val="Zkladntextb"/>
        <w:spacing w:before="120" w:after="120" w:line="240" w:lineRule="auto"/>
        <w:ind w:left="0"/>
        <w:jc w:val="both"/>
        <w:rPr>
          <w:rFonts w:cs="Arial"/>
        </w:rPr>
      </w:pPr>
      <w:r w:rsidRPr="00123376">
        <w:rPr>
          <w:rFonts w:cs="Arial"/>
          <w:lang w:val="sk-SK"/>
        </w:rPr>
        <w:t>V </w:t>
      </w:r>
      <w:r w:rsidR="005D36B8">
        <w:rPr>
          <w:rFonts w:cs="Arial"/>
          <w:lang w:val="sk-SK"/>
        </w:rPr>
        <w:t>p</w:t>
      </w:r>
      <w:r w:rsidRPr="00123376">
        <w:rPr>
          <w:rFonts w:cs="Arial"/>
          <w:lang w:val="sk-SK"/>
        </w:rPr>
        <w:t xml:space="preserve">rioritnej osi 4 Odpadové hospodárstvo bolo </w:t>
      </w:r>
      <w:r>
        <w:rPr>
          <w:rFonts w:cs="Arial"/>
          <w:lang w:val="sk-SK"/>
        </w:rPr>
        <w:t xml:space="preserve">v rámci programového obdobia </w:t>
      </w:r>
      <w:r w:rsidRPr="00123376">
        <w:rPr>
          <w:rFonts w:cs="Arial"/>
          <w:lang w:val="sk-SK"/>
        </w:rPr>
        <w:t xml:space="preserve">vyhlásených </w:t>
      </w:r>
      <w:r>
        <w:rPr>
          <w:rFonts w:cs="Arial"/>
          <w:lang w:val="sk-SK"/>
        </w:rPr>
        <w:t>21</w:t>
      </w:r>
      <w:r w:rsidRPr="00123376">
        <w:rPr>
          <w:rFonts w:cs="Arial"/>
          <w:lang w:val="sk-SK"/>
        </w:rPr>
        <w:t xml:space="preserve"> výziev na predkladanie žiadostí o NFP v celkovej </w:t>
      </w:r>
      <w:r w:rsidRPr="00A951B3">
        <w:rPr>
          <w:rFonts w:cs="Arial"/>
          <w:lang w:val="sk-SK"/>
        </w:rPr>
        <w:t xml:space="preserve">alokácii </w:t>
      </w:r>
      <w:r w:rsidR="00ED14C7" w:rsidRPr="009D13DD">
        <w:rPr>
          <w:rFonts w:cs="Arial"/>
          <w:lang w:val="sk-SK"/>
        </w:rPr>
        <w:t>718 524 </w:t>
      </w:r>
      <w:r w:rsidR="00ED14C7" w:rsidRPr="00A951B3">
        <w:rPr>
          <w:rFonts w:cs="Arial"/>
          <w:lang w:val="sk-SK"/>
        </w:rPr>
        <w:t>026</w:t>
      </w:r>
      <w:r w:rsidR="00ED14C7" w:rsidRPr="000E691E">
        <w:rPr>
          <w:rFonts w:cs="Arial"/>
          <w:lang w:val="sk-SK"/>
        </w:rPr>
        <w:t xml:space="preserve"> </w:t>
      </w:r>
      <w:r w:rsidRPr="00123376">
        <w:rPr>
          <w:rFonts w:cs="Arial"/>
          <w:lang w:val="sk-SK"/>
        </w:rPr>
        <w:t xml:space="preserve"> </w:t>
      </w:r>
      <w:r w:rsidR="00366C2D">
        <w:rPr>
          <w:rFonts w:cs="Arial"/>
          <w:lang w:val="sk-SK"/>
        </w:rPr>
        <w:t>€</w:t>
      </w:r>
      <w:r w:rsidRPr="00123376">
        <w:rPr>
          <w:rFonts w:cs="Arial"/>
          <w:lang w:val="sk-SK"/>
        </w:rPr>
        <w:t>.</w:t>
      </w:r>
    </w:p>
    <w:p w14:paraId="7B2C4D1D" w14:textId="77777777" w:rsidR="00021D5C" w:rsidRDefault="00021D5C" w:rsidP="00021D5C">
      <w:pPr>
        <w:pStyle w:val="Zkladntextb"/>
        <w:spacing w:after="120" w:line="240" w:lineRule="auto"/>
        <w:ind w:left="0"/>
        <w:jc w:val="both"/>
        <w:rPr>
          <w:rFonts w:cs="Arial"/>
          <w:bCs/>
          <w:lang w:val="sk-SK"/>
        </w:rPr>
      </w:pPr>
      <w:r>
        <w:rPr>
          <w:rFonts w:cs="Arial"/>
          <w:bCs/>
          <w:lang w:val="sk-SK"/>
        </w:rPr>
        <w:t xml:space="preserve">V roku 2015 bola uzatvorená jedna výzva na predkladanie žiadostí o NFP, ktorá bola vyhlásená v roku 2014 a jedna výzva bola zverejnená s termínom uzatvorenia v roku 2015. </w:t>
      </w:r>
    </w:p>
    <w:p w14:paraId="6D975BED" w14:textId="23C04C25" w:rsidR="00021D5C" w:rsidRDefault="00021D5C" w:rsidP="00021D5C">
      <w:pPr>
        <w:pStyle w:val="Zkladntextb"/>
        <w:spacing w:after="120" w:line="240" w:lineRule="auto"/>
        <w:ind w:left="0"/>
        <w:jc w:val="both"/>
        <w:rPr>
          <w:rFonts w:cs="Arial"/>
          <w:bCs/>
          <w:lang w:val="sk-SK"/>
        </w:rPr>
      </w:pPr>
      <w:r w:rsidRPr="00123376">
        <w:rPr>
          <w:rFonts w:cs="Arial"/>
          <w:bCs/>
          <w:lang w:val="sk-SK"/>
        </w:rPr>
        <w:t xml:space="preserve">Dňa </w:t>
      </w:r>
      <w:r>
        <w:rPr>
          <w:rFonts w:cs="Arial"/>
          <w:bCs/>
          <w:lang w:val="sk-SK"/>
        </w:rPr>
        <w:t>22</w:t>
      </w:r>
      <w:r w:rsidRPr="00123376">
        <w:rPr>
          <w:rFonts w:cs="Arial"/>
          <w:bCs/>
          <w:lang w:val="sk-SK"/>
        </w:rPr>
        <w:t>.</w:t>
      </w:r>
      <w:r>
        <w:rPr>
          <w:rFonts w:cs="Arial"/>
          <w:bCs/>
          <w:lang w:val="sk-SK"/>
        </w:rPr>
        <w:t xml:space="preserve"> 12</w:t>
      </w:r>
      <w:r w:rsidRPr="00123376">
        <w:rPr>
          <w:rFonts w:cs="Arial"/>
          <w:bCs/>
          <w:lang w:val="sk-SK"/>
        </w:rPr>
        <w:t>.</w:t>
      </w:r>
      <w:r>
        <w:rPr>
          <w:rFonts w:cs="Arial"/>
          <w:bCs/>
          <w:lang w:val="sk-SK"/>
        </w:rPr>
        <w:t xml:space="preserve"> 2014</w:t>
      </w:r>
      <w:r w:rsidRPr="00123376">
        <w:rPr>
          <w:rFonts w:cs="Arial"/>
          <w:bCs/>
          <w:lang w:val="sk-SK"/>
        </w:rPr>
        <w:t xml:space="preserve"> bola vyhlásená výzva s kódom OPŽP-PO4-</w:t>
      </w:r>
      <w:r>
        <w:rPr>
          <w:rFonts w:cs="Arial"/>
          <w:bCs/>
          <w:lang w:val="sk-SK"/>
        </w:rPr>
        <w:t>14</w:t>
      </w:r>
      <w:r w:rsidRPr="00123376">
        <w:rPr>
          <w:rFonts w:cs="Arial"/>
          <w:bCs/>
          <w:lang w:val="sk-SK"/>
        </w:rPr>
        <w:t xml:space="preserve">-1 pre operačný cieľ </w:t>
      </w:r>
      <w:r w:rsidRPr="0084092C">
        <w:rPr>
          <w:rFonts w:cs="Arial"/>
          <w:bCs/>
          <w:lang w:val="sk-SK"/>
        </w:rPr>
        <w:t xml:space="preserve">4.4 Riešenie problematiky environmentálnych záťaží vrátane ich odstraňovania s alokáciou </w:t>
      </w:r>
      <w:r>
        <w:rPr>
          <w:rFonts w:cs="Arial"/>
          <w:bCs/>
          <w:lang w:val="sk-SK"/>
        </w:rPr>
        <w:t>10 000 000</w:t>
      </w:r>
      <w:r w:rsidRPr="0084092C">
        <w:rPr>
          <w:rFonts w:cs="Arial"/>
          <w:bCs/>
          <w:lang w:val="sk-SK"/>
        </w:rPr>
        <w:t xml:space="preserve"> </w:t>
      </w:r>
      <w:r w:rsidR="00366C2D">
        <w:rPr>
          <w:rFonts w:cs="Arial"/>
          <w:bCs/>
          <w:lang w:val="sk-SK"/>
        </w:rPr>
        <w:t>€</w:t>
      </w:r>
      <w:r w:rsidRPr="0084092C">
        <w:rPr>
          <w:rFonts w:cs="Arial"/>
          <w:bCs/>
          <w:lang w:val="sk-SK"/>
        </w:rPr>
        <w:t xml:space="preserve"> z</w:t>
      </w:r>
      <w:r>
        <w:rPr>
          <w:rFonts w:cs="Arial"/>
          <w:bCs/>
          <w:lang w:val="sk-SK"/>
        </w:rPr>
        <w:t> </w:t>
      </w:r>
      <w:r w:rsidRPr="0084092C">
        <w:rPr>
          <w:rFonts w:cs="Arial"/>
          <w:bCs/>
          <w:lang w:val="sk-SK"/>
        </w:rPr>
        <w:t>Kohézneho fondu a tomu zodpovedajúcou výškou spolufinancovania zo štátneho rozpočtu</w:t>
      </w:r>
      <w:r>
        <w:rPr>
          <w:rFonts w:cs="Arial"/>
          <w:bCs/>
          <w:lang w:val="sk-SK"/>
        </w:rPr>
        <w:t xml:space="preserve">. </w:t>
      </w:r>
      <w:r w:rsidRPr="0084092C">
        <w:rPr>
          <w:rFonts w:cs="Arial"/>
          <w:bCs/>
          <w:lang w:val="sk-SK"/>
        </w:rPr>
        <w:t xml:space="preserve">Cieľom výzvy </w:t>
      </w:r>
      <w:r>
        <w:rPr>
          <w:rFonts w:cs="Arial"/>
          <w:bCs/>
          <w:lang w:val="sk-SK"/>
        </w:rPr>
        <w:t>bol</w:t>
      </w:r>
      <w:r w:rsidRPr="0084092C">
        <w:rPr>
          <w:rFonts w:cs="Arial"/>
          <w:bCs/>
          <w:lang w:val="sk-SK"/>
        </w:rPr>
        <w:t xml:space="preserve"> podrobný prieskum pravdepodobných environmentálnych záťaží a</w:t>
      </w:r>
      <w:r>
        <w:rPr>
          <w:rFonts w:cs="Arial"/>
          <w:bCs/>
          <w:lang w:val="sk-SK"/>
        </w:rPr>
        <w:t> </w:t>
      </w:r>
      <w:r w:rsidRPr="0084092C">
        <w:rPr>
          <w:rFonts w:cs="Arial"/>
          <w:bCs/>
          <w:lang w:val="sk-SK"/>
        </w:rPr>
        <w:t>prieskum</w:t>
      </w:r>
      <w:r>
        <w:rPr>
          <w:rFonts w:cs="Arial"/>
          <w:bCs/>
          <w:lang w:val="sk-SK"/>
        </w:rPr>
        <w:t xml:space="preserve"> </w:t>
      </w:r>
      <w:r w:rsidRPr="0084092C">
        <w:rPr>
          <w:rFonts w:cs="Arial"/>
          <w:bCs/>
          <w:lang w:val="sk-SK"/>
        </w:rPr>
        <w:t>environmentálnych záťaží, vrátane vypracovania analýz rizika, štúdií uskutočniteľnosti</w:t>
      </w:r>
      <w:r>
        <w:rPr>
          <w:rFonts w:cs="Arial"/>
          <w:bCs/>
          <w:lang w:val="sk-SK"/>
        </w:rPr>
        <w:t xml:space="preserve"> </w:t>
      </w:r>
      <w:r w:rsidRPr="0084092C">
        <w:rPr>
          <w:rFonts w:cs="Arial"/>
          <w:bCs/>
          <w:lang w:val="sk-SK"/>
        </w:rPr>
        <w:t>a programov sanácie v Slovenskej republike</w:t>
      </w:r>
      <w:r>
        <w:rPr>
          <w:rFonts w:cs="Arial"/>
          <w:bCs/>
          <w:lang w:val="sk-SK"/>
        </w:rPr>
        <w:t xml:space="preserve"> a </w:t>
      </w:r>
      <w:r w:rsidRPr="0084092C">
        <w:rPr>
          <w:rFonts w:cs="Arial"/>
          <w:bCs/>
          <w:lang w:val="sk-SK"/>
        </w:rPr>
        <w:t>taktiež príprava všetkých relevantných podkladov pre sanáciu</w:t>
      </w:r>
      <w:r>
        <w:rPr>
          <w:rFonts w:cs="Arial"/>
          <w:bCs/>
          <w:lang w:val="sk-SK"/>
        </w:rPr>
        <w:t xml:space="preserve"> </w:t>
      </w:r>
      <w:r w:rsidRPr="0084092C">
        <w:rPr>
          <w:rFonts w:cs="Arial"/>
          <w:bCs/>
          <w:lang w:val="sk-SK"/>
        </w:rPr>
        <w:t>environmentálnych záťaží</w:t>
      </w:r>
      <w:r>
        <w:rPr>
          <w:rFonts w:cs="Arial"/>
          <w:bCs/>
          <w:lang w:val="sk-SK"/>
        </w:rPr>
        <w:t>. Dňa 02.</w:t>
      </w:r>
      <w:r w:rsidR="00494A68">
        <w:rPr>
          <w:rFonts w:cs="Arial"/>
          <w:bCs/>
          <w:lang w:val="sk-SK"/>
        </w:rPr>
        <w:t xml:space="preserve"> </w:t>
      </w:r>
      <w:r>
        <w:rPr>
          <w:rFonts w:cs="Arial"/>
          <w:bCs/>
          <w:lang w:val="sk-SK"/>
        </w:rPr>
        <w:t>03.</w:t>
      </w:r>
      <w:r w:rsidR="00494A68">
        <w:rPr>
          <w:rFonts w:cs="Arial"/>
          <w:bCs/>
          <w:lang w:val="sk-SK"/>
        </w:rPr>
        <w:t xml:space="preserve"> </w:t>
      </w:r>
      <w:r>
        <w:rPr>
          <w:rFonts w:cs="Arial"/>
          <w:bCs/>
          <w:lang w:val="sk-SK"/>
        </w:rPr>
        <w:t>2016 MŽP SR ako RO pre OP ŽP zverejnilo usmernenie č.1 k</w:t>
      </w:r>
      <w:r w:rsidR="006E3453">
        <w:rPr>
          <w:rFonts w:cs="Arial"/>
          <w:bCs/>
          <w:lang w:val="sk-SK"/>
        </w:rPr>
        <w:t> </w:t>
      </w:r>
      <w:r>
        <w:rPr>
          <w:rFonts w:cs="Arial"/>
          <w:bCs/>
          <w:lang w:val="sk-SK"/>
        </w:rPr>
        <w:t>výzve</w:t>
      </w:r>
      <w:r w:rsidR="006E3453">
        <w:rPr>
          <w:rFonts w:cs="Arial"/>
          <w:bCs/>
          <w:lang w:val="sk-SK"/>
        </w:rPr>
        <w:t>,</w:t>
      </w:r>
      <w:r>
        <w:rPr>
          <w:rFonts w:cs="Arial"/>
          <w:bCs/>
          <w:lang w:val="sk-SK"/>
        </w:rPr>
        <w:t xml:space="preserve"> cieľom ktorého bolo vykonať zmenu v </w:t>
      </w:r>
      <w:r w:rsidRPr="00FB463C">
        <w:rPr>
          <w:rFonts w:cs="Arial"/>
          <w:bCs/>
          <w:lang w:val="sk-SK"/>
        </w:rPr>
        <w:t>podmienkach poskytnutia pomoci, ktorými sú oprávnenosť výdavkov a ďalšie podmienky poskytnutia pomoci</w:t>
      </w:r>
      <w:r>
        <w:rPr>
          <w:rFonts w:cs="Arial"/>
          <w:bCs/>
          <w:lang w:val="sk-SK"/>
        </w:rPr>
        <w:t xml:space="preserve">. Zároveň bol posunutý termín uzavretia výzvy z </w:t>
      </w:r>
      <w:r w:rsidRPr="00FB463C">
        <w:rPr>
          <w:rFonts w:cs="Arial"/>
          <w:bCs/>
          <w:lang w:val="sk-SK"/>
        </w:rPr>
        <w:t>23.</w:t>
      </w:r>
      <w:r w:rsidR="00494A68">
        <w:rPr>
          <w:rFonts w:cs="Arial"/>
          <w:bCs/>
          <w:lang w:val="sk-SK"/>
        </w:rPr>
        <w:t xml:space="preserve"> </w:t>
      </w:r>
      <w:r w:rsidRPr="00FB463C">
        <w:rPr>
          <w:rFonts w:cs="Arial"/>
          <w:bCs/>
          <w:lang w:val="sk-SK"/>
        </w:rPr>
        <w:t>03.</w:t>
      </w:r>
      <w:r w:rsidR="00494A68">
        <w:rPr>
          <w:rFonts w:cs="Arial"/>
          <w:bCs/>
          <w:lang w:val="sk-SK"/>
        </w:rPr>
        <w:t xml:space="preserve"> </w:t>
      </w:r>
      <w:r w:rsidRPr="00FB463C">
        <w:rPr>
          <w:rFonts w:cs="Arial"/>
          <w:bCs/>
          <w:lang w:val="sk-SK"/>
        </w:rPr>
        <w:t>2015 na 07.</w:t>
      </w:r>
      <w:r w:rsidR="00494A68">
        <w:rPr>
          <w:rFonts w:cs="Arial"/>
          <w:bCs/>
          <w:lang w:val="sk-SK"/>
        </w:rPr>
        <w:t xml:space="preserve"> </w:t>
      </w:r>
      <w:r w:rsidRPr="00FB463C">
        <w:rPr>
          <w:rFonts w:cs="Arial"/>
          <w:bCs/>
          <w:lang w:val="sk-SK"/>
        </w:rPr>
        <w:t>04.</w:t>
      </w:r>
      <w:r w:rsidR="00494A68">
        <w:rPr>
          <w:rFonts w:cs="Arial"/>
          <w:bCs/>
          <w:lang w:val="sk-SK"/>
        </w:rPr>
        <w:t xml:space="preserve"> </w:t>
      </w:r>
      <w:r w:rsidRPr="00FB463C">
        <w:rPr>
          <w:rFonts w:cs="Arial"/>
          <w:bCs/>
          <w:lang w:val="sk-SK"/>
        </w:rPr>
        <w:t>2015</w:t>
      </w:r>
      <w:r>
        <w:rPr>
          <w:rFonts w:cs="Arial"/>
          <w:bCs/>
          <w:lang w:val="sk-SK"/>
        </w:rPr>
        <w:t xml:space="preserve">. V rámci uvedenej výzvy boli predložené tri žiadosti o nenávratný finančný príspevok, pričom jedna žiadosť </w:t>
      </w:r>
      <w:r w:rsidRPr="00674874">
        <w:rPr>
          <w:rFonts w:cs="Arial"/>
          <w:bCs/>
          <w:lang w:val="sk-SK"/>
        </w:rPr>
        <w:t>bola späť</w:t>
      </w:r>
      <w:r w:rsidR="009D13DD">
        <w:rPr>
          <w:rFonts w:cs="Arial"/>
          <w:bCs/>
          <w:lang w:val="sk-SK"/>
        </w:rPr>
        <w:t xml:space="preserve"> </w:t>
      </w:r>
      <w:r w:rsidRPr="00674874">
        <w:rPr>
          <w:rFonts w:cs="Arial"/>
          <w:bCs/>
          <w:lang w:val="sk-SK"/>
        </w:rPr>
        <w:t>vzatá na základe písomnej</w:t>
      </w:r>
      <w:r>
        <w:rPr>
          <w:rFonts w:cs="Arial"/>
          <w:bCs/>
          <w:lang w:val="sk-SK"/>
        </w:rPr>
        <w:t xml:space="preserve"> </w:t>
      </w:r>
      <w:r w:rsidRPr="00674874">
        <w:rPr>
          <w:rFonts w:cs="Arial"/>
          <w:bCs/>
          <w:lang w:val="sk-SK"/>
        </w:rPr>
        <w:t>žiadosti žiadateľa a konanie o nej bolo zastavené</w:t>
      </w:r>
      <w:r>
        <w:rPr>
          <w:rFonts w:cs="Arial"/>
          <w:bCs/>
          <w:lang w:val="sk-SK"/>
        </w:rPr>
        <w:t xml:space="preserve">. Ďalšie dve žiadosti splnili podmienky kontroly formálnej správnosti, podmienky odborného hodnotenia a následne aj výberové kritériá. Celková výška NFP, oboch schválených žiadostí bola </w:t>
      </w:r>
      <w:r w:rsidRPr="00674874">
        <w:rPr>
          <w:rFonts w:cs="Arial"/>
          <w:bCs/>
          <w:lang w:val="sk-SK"/>
        </w:rPr>
        <w:t xml:space="preserve">2 322 280,58 </w:t>
      </w:r>
      <w:r w:rsidR="00366C2D">
        <w:rPr>
          <w:rFonts w:cs="Arial"/>
          <w:bCs/>
          <w:lang w:val="sk-SK"/>
        </w:rPr>
        <w:t>€</w:t>
      </w:r>
      <w:r>
        <w:rPr>
          <w:rFonts w:cs="Arial"/>
          <w:bCs/>
          <w:lang w:val="sk-SK"/>
        </w:rPr>
        <w:t>.</w:t>
      </w:r>
    </w:p>
    <w:p w14:paraId="4B66E834" w14:textId="6FE48045" w:rsidR="008426E2" w:rsidRPr="00123376" w:rsidRDefault="00021D5C" w:rsidP="00021D5C">
      <w:pPr>
        <w:pStyle w:val="Zkladntextb"/>
        <w:spacing w:after="120" w:line="240" w:lineRule="auto"/>
        <w:ind w:left="0"/>
        <w:jc w:val="both"/>
        <w:rPr>
          <w:rFonts w:cs="Arial"/>
          <w:highlight w:val="red"/>
          <w:lang w:val="sk-SK"/>
        </w:rPr>
      </w:pPr>
      <w:r>
        <w:rPr>
          <w:rFonts w:cs="Arial"/>
          <w:bCs/>
          <w:lang w:val="sk-SK"/>
        </w:rPr>
        <w:t xml:space="preserve">V roku 2015 RO pre OP ŽP zverejnil v oblasti odpadového hospodárstva iba jednu výzvu s kódom </w:t>
      </w:r>
      <w:r w:rsidR="00494A68">
        <w:rPr>
          <w:rFonts w:cs="Arial"/>
          <w:bCs/>
          <w:lang w:val="sk-SK"/>
        </w:rPr>
        <w:t xml:space="preserve">  </w:t>
      </w:r>
      <w:r>
        <w:rPr>
          <w:rFonts w:cs="Arial"/>
          <w:bCs/>
          <w:lang w:val="sk-SK"/>
        </w:rPr>
        <w:t xml:space="preserve">OP ŽP-PO4-15-1 a to dňa 30. 07. 2015. Výzva bola zameraná na operačný cieľ 4.1 Podpora aktivít v oblasti separovaného zberu. Cieľom výzvy bola </w:t>
      </w:r>
      <w:r w:rsidRPr="000C55D1">
        <w:rPr>
          <w:rFonts w:cs="Arial"/>
          <w:bCs/>
          <w:lang w:val="sk-SK"/>
        </w:rPr>
        <w:t>podpora projektov zameraných</w:t>
      </w:r>
      <w:r>
        <w:rPr>
          <w:rFonts w:cs="Arial"/>
          <w:bCs/>
          <w:lang w:val="sk-SK"/>
        </w:rPr>
        <w:t xml:space="preserve"> </w:t>
      </w:r>
      <w:r w:rsidRPr="000C55D1">
        <w:rPr>
          <w:rFonts w:cs="Arial"/>
          <w:bCs/>
          <w:lang w:val="sk-SK"/>
        </w:rPr>
        <w:t>na zavádzanie triedeného zberu komunálnych</w:t>
      </w:r>
      <w:r>
        <w:rPr>
          <w:rFonts w:cs="Arial"/>
          <w:bCs/>
          <w:lang w:val="sk-SK"/>
        </w:rPr>
        <w:t xml:space="preserve"> </w:t>
      </w:r>
      <w:r w:rsidRPr="000C55D1">
        <w:rPr>
          <w:rFonts w:cs="Arial"/>
          <w:bCs/>
          <w:lang w:val="sk-SK"/>
        </w:rPr>
        <w:t>odpadov na úrovni subjektov štátnej správy.</w:t>
      </w:r>
      <w:r>
        <w:rPr>
          <w:rFonts w:cs="Arial"/>
          <w:bCs/>
          <w:lang w:val="sk-SK"/>
        </w:rPr>
        <w:t xml:space="preserve"> </w:t>
      </w:r>
      <w:r w:rsidRPr="000C55D1">
        <w:rPr>
          <w:rFonts w:cs="Arial"/>
          <w:bCs/>
          <w:lang w:val="sk-SK"/>
        </w:rPr>
        <w:t>Indikatívna výška finančných prostriedkov</w:t>
      </w:r>
      <w:r>
        <w:rPr>
          <w:rFonts w:cs="Arial"/>
          <w:bCs/>
          <w:lang w:val="sk-SK"/>
        </w:rPr>
        <w:t xml:space="preserve"> </w:t>
      </w:r>
      <w:r w:rsidRPr="000C55D1">
        <w:rPr>
          <w:rFonts w:cs="Arial"/>
          <w:bCs/>
          <w:lang w:val="sk-SK"/>
        </w:rPr>
        <w:t>určených na vyčerpanie v rámci výzvy bola</w:t>
      </w:r>
      <w:r>
        <w:rPr>
          <w:rFonts w:cs="Arial"/>
          <w:bCs/>
          <w:lang w:val="sk-SK"/>
        </w:rPr>
        <w:t xml:space="preserve"> </w:t>
      </w:r>
      <w:r w:rsidRPr="000C55D1">
        <w:rPr>
          <w:rFonts w:cs="Arial"/>
          <w:bCs/>
          <w:lang w:val="sk-SK"/>
        </w:rPr>
        <w:t xml:space="preserve">4 000 000,00 </w:t>
      </w:r>
      <w:r w:rsidR="00366C2D">
        <w:rPr>
          <w:rFonts w:cs="Arial"/>
          <w:bCs/>
          <w:lang w:val="sk-SK"/>
        </w:rPr>
        <w:t>€</w:t>
      </w:r>
      <w:r w:rsidRPr="000C55D1">
        <w:rPr>
          <w:rFonts w:cs="Arial"/>
          <w:bCs/>
          <w:lang w:val="sk-SK"/>
        </w:rPr>
        <w:t xml:space="preserve"> z Kohézneho </w:t>
      </w:r>
      <w:r>
        <w:rPr>
          <w:rFonts w:cs="Arial"/>
          <w:bCs/>
          <w:lang w:val="sk-SK"/>
        </w:rPr>
        <w:t>f</w:t>
      </w:r>
      <w:r w:rsidRPr="000C55D1">
        <w:rPr>
          <w:rFonts w:cs="Arial"/>
          <w:bCs/>
          <w:lang w:val="sk-SK"/>
        </w:rPr>
        <w:t>ondu a</w:t>
      </w:r>
      <w:r>
        <w:rPr>
          <w:rFonts w:cs="Arial"/>
          <w:bCs/>
          <w:lang w:val="sk-SK"/>
        </w:rPr>
        <w:t> </w:t>
      </w:r>
      <w:r w:rsidRPr="000C55D1">
        <w:rPr>
          <w:rFonts w:cs="Arial"/>
          <w:bCs/>
          <w:lang w:val="sk-SK"/>
        </w:rPr>
        <w:t>tomu</w:t>
      </w:r>
      <w:r>
        <w:rPr>
          <w:rFonts w:cs="Arial"/>
          <w:bCs/>
          <w:lang w:val="sk-SK"/>
        </w:rPr>
        <w:t xml:space="preserve"> </w:t>
      </w:r>
      <w:r w:rsidRPr="000C55D1">
        <w:rPr>
          <w:rFonts w:cs="Arial"/>
          <w:bCs/>
          <w:lang w:val="sk-SK"/>
        </w:rPr>
        <w:t>zodpovedajúca výška spolufinancovania</w:t>
      </w:r>
      <w:r>
        <w:rPr>
          <w:rFonts w:cs="Arial"/>
          <w:bCs/>
          <w:lang w:val="sk-SK"/>
        </w:rPr>
        <w:t xml:space="preserve"> </w:t>
      </w:r>
      <w:r w:rsidRPr="000C55D1">
        <w:rPr>
          <w:rFonts w:cs="Arial"/>
          <w:bCs/>
          <w:lang w:val="sk-SK"/>
        </w:rPr>
        <w:t>zo štátneho rozpočtu podľa typu prijímateľa v</w:t>
      </w:r>
      <w:r>
        <w:rPr>
          <w:rFonts w:cs="Arial"/>
          <w:bCs/>
          <w:lang w:val="sk-SK"/>
        </w:rPr>
        <w:t xml:space="preserve"> </w:t>
      </w:r>
      <w:r w:rsidRPr="000C55D1">
        <w:rPr>
          <w:rFonts w:cs="Arial"/>
          <w:bCs/>
          <w:lang w:val="sk-SK"/>
        </w:rPr>
        <w:t>zmysle Stratégie financovania štrukturálnych</w:t>
      </w:r>
      <w:r>
        <w:rPr>
          <w:rFonts w:cs="Arial"/>
          <w:bCs/>
          <w:lang w:val="sk-SK"/>
        </w:rPr>
        <w:t xml:space="preserve"> </w:t>
      </w:r>
      <w:r w:rsidRPr="000C55D1">
        <w:rPr>
          <w:rFonts w:cs="Arial"/>
          <w:bCs/>
          <w:lang w:val="sk-SK"/>
        </w:rPr>
        <w:t>fondov a Kohézneho fondu na programové</w:t>
      </w:r>
      <w:r>
        <w:rPr>
          <w:rFonts w:cs="Arial"/>
          <w:bCs/>
          <w:lang w:val="sk-SK"/>
        </w:rPr>
        <w:t xml:space="preserve"> </w:t>
      </w:r>
      <w:r w:rsidRPr="000C55D1">
        <w:rPr>
          <w:rFonts w:cs="Arial"/>
          <w:bCs/>
          <w:lang w:val="sk-SK"/>
        </w:rPr>
        <w:t>obdobie 2007 – 2013 v platnom znení.</w:t>
      </w:r>
      <w:r>
        <w:rPr>
          <w:rFonts w:cs="Arial"/>
          <w:bCs/>
          <w:lang w:val="sk-SK"/>
        </w:rPr>
        <w:t xml:space="preserve"> Dňa 16. 09. 2015 vydalo MŽP SR usmernenie k predmetnej výzve</w:t>
      </w:r>
      <w:r w:rsidR="006E3453">
        <w:rPr>
          <w:rFonts w:cs="Arial"/>
          <w:bCs/>
          <w:lang w:val="sk-SK"/>
        </w:rPr>
        <w:t>,</w:t>
      </w:r>
      <w:r>
        <w:rPr>
          <w:rFonts w:cs="Arial"/>
          <w:bCs/>
          <w:lang w:val="sk-SK"/>
        </w:rPr>
        <w:t xml:space="preserve"> cieľom ktorého bolo </w:t>
      </w:r>
      <w:r w:rsidRPr="000C55D1">
        <w:rPr>
          <w:rFonts w:cs="Arial"/>
          <w:bCs/>
          <w:lang w:val="sk-SK"/>
        </w:rPr>
        <w:t>predĺžiť termín na predkladanie žiadostí o nenávratný finančný príspevok</w:t>
      </w:r>
      <w:r>
        <w:rPr>
          <w:rFonts w:cs="Arial"/>
          <w:bCs/>
          <w:lang w:val="sk-SK"/>
        </w:rPr>
        <w:t xml:space="preserve">. </w:t>
      </w:r>
      <w:r w:rsidRPr="004D4541">
        <w:rPr>
          <w:rFonts w:cs="Arial"/>
          <w:bCs/>
          <w:lang w:val="sk-SK"/>
        </w:rPr>
        <w:t xml:space="preserve">Dôvodom na posun termínu uzavretia výzvy </w:t>
      </w:r>
      <w:r>
        <w:rPr>
          <w:rFonts w:cs="Arial"/>
          <w:bCs/>
          <w:lang w:val="sk-SK"/>
        </w:rPr>
        <w:t>bola</w:t>
      </w:r>
      <w:r w:rsidRPr="004D4541">
        <w:rPr>
          <w:rFonts w:cs="Arial"/>
          <w:bCs/>
          <w:lang w:val="sk-SK"/>
        </w:rPr>
        <w:t xml:space="preserve"> potreba stanovenia finančných limitov zo strany </w:t>
      </w:r>
      <w:r>
        <w:rPr>
          <w:rFonts w:cs="Arial"/>
          <w:bCs/>
          <w:lang w:val="sk-SK"/>
        </w:rPr>
        <w:t>RO</w:t>
      </w:r>
      <w:r w:rsidRPr="004D4541">
        <w:rPr>
          <w:rFonts w:cs="Arial"/>
          <w:bCs/>
          <w:lang w:val="sk-SK"/>
        </w:rPr>
        <w:t xml:space="preserve"> vo vzťahu k zabezpečeniu hospodárnosti výdavkov v rámci predkladaných projektov.</w:t>
      </w:r>
      <w:r>
        <w:rPr>
          <w:rFonts w:cs="Arial"/>
          <w:bCs/>
          <w:lang w:val="sk-SK"/>
        </w:rPr>
        <w:t xml:space="preserve"> To malo za následok úpravu dokumentov zverejnených v rámci výzvy. Zároveň došlo k posunu te</w:t>
      </w:r>
      <w:r w:rsidR="002A35B4">
        <w:rPr>
          <w:rFonts w:cs="Arial"/>
          <w:bCs/>
          <w:lang w:val="sk-SK"/>
        </w:rPr>
        <w:t>rmínu uzavretia výzvy z 16.9.2015 na nový termín 5.</w:t>
      </w:r>
      <w:r w:rsidR="00494A68">
        <w:rPr>
          <w:rFonts w:cs="Arial"/>
          <w:bCs/>
          <w:lang w:val="sk-SK"/>
        </w:rPr>
        <w:t xml:space="preserve"> </w:t>
      </w:r>
      <w:r w:rsidR="002A35B4">
        <w:rPr>
          <w:rFonts w:cs="Arial"/>
          <w:bCs/>
          <w:lang w:val="sk-SK"/>
        </w:rPr>
        <w:t>10.</w:t>
      </w:r>
      <w:r w:rsidR="00494A68">
        <w:rPr>
          <w:rFonts w:cs="Arial"/>
          <w:bCs/>
          <w:lang w:val="sk-SK"/>
        </w:rPr>
        <w:t xml:space="preserve"> </w:t>
      </w:r>
      <w:r>
        <w:rPr>
          <w:rFonts w:cs="Arial"/>
          <w:bCs/>
          <w:lang w:val="sk-SK"/>
        </w:rPr>
        <w:t xml:space="preserve">2016. K termínu uzavretia výzvy bolo zaregistrovaných 11 ŽoNFP, z ktorých boli dve </w:t>
      </w:r>
      <w:r w:rsidRPr="004D4541">
        <w:rPr>
          <w:rFonts w:cs="Arial"/>
          <w:bCs/>
          <w:lang w:val="sk-SK"/>
        </w:rPr>
        <w:t>späťvzaté na základe písomnej žiadosti žiadateľa a</w:t>
      </w:r>
      <w:r>
        <w:rPr>
          <w:rFonts w:cs="Arial"/>
          <w:bCs/>
          <w:lang w:val="sk-SK"/>
        </w:rPr>
        <w:t> </w:t>
      </w:r>
      <w:r w:rsidRPr="004D4541">
        <w:rPr>
          <w:rFonts w:cs="Arial"/>
          <w:bCs/>
          <w:lang w:val="sk-SK"/>
        </w:rPr>
        <w:t>konanie</w:t>
      </w:r>
      <w:r>
        <w:rPr>
          <w:rFonts w:cs="Arial"/>
          <w:bCs/>
          <w:lang w:val="sk-SK"/>
        </w:rPr>
        <w:t xml:space="preserve"> </w:t>
      </w:r>
      <w:r w:rsidRPr="004D4541">
        <w:rPr>
          <w:rFonts w:cs="Arial"/>
          <w:bCs/>
          <w:lang w:val="sk-SK"/>
        </w:rPr>
        <w:t>o nich bolo zastavené</w:t>
      </w:r>
      <w:r>
        <w:rPr>
          <w:rFonts w:cs="Arial"/>
          <w:bCs/>
          <w:lang w:val="sk-SK"/>
        </w:rPr>
        <w:t xml:space="preserve">. Zvyšných 9 žiadostí splnili podmienky kontroly formálnej správnosti, podmienky odborného hodnotenia a následne aj výberové kritériá. Celková výška schváleného NFP žiadostí bola </w:t>
      </w:r>
      <w:r w:rsidR="00494A68">
        <w:rPr>
          <w:rFonts w:cs="Arial"/>
          <w:bCs/>
          <w:lang w:val="sk-SK"/>
        </w:rPr>
        <w:t xml:space="preserve">                 </w:t>
      </w:r>
      <w:r w:rsidRPr="004D4541">
        <w:rPr>
          <w:rFonts w:cs="Arial"/>
          <w:bCs/>
          <w:lang w:val="sk-SK"/>
        </w:rPr>
        <w:t xml:space="preserve">1 873 999,24 </w:t>
      </w:r>
      <w:r w:rsidR="00366C2D">
        <w:rPr>
          <w:rFonts w:cs="Arial"/>
          <w:bCs/>
          <w:lang w:val="sk-SK"/>
        </w:rPr>
        <w:t>€</w:t>
      </w:r>
      <w:r>
        <w:rPr>
          <w:rFonts w:cs="Arial"/>
          <w:bCs/>
          <w:lang w:val="sk-SK"/>
        </w:rPr>
        <w:t>.</w:t>
      </w:r>
    </w:p>
    <w:p w14:paraId="1758680B" w14:textId="77777777" w:rsidR="0008447E" w:rsidRDefault="0008447E">
      <w:pPr>
        <w:rPr>
          <w:rFonts w:ascii="Arial" w:hAnsi="Arial" w:cs="Arial"/>
          <w:sz w:val="20"/>
          <w:szCs w:val="20"/>
        </w:rPr>
      </w:pPr>
      <w:r>
        <w:rPr>
          <w:rFonts w:ascii="Arial" w:hAnsi="Arial" w:cs="Arial"/>
          <w:sz w:val="20"/>
          <w:szCs w:val="20"/>
        </w:rPr>
        <w:br w:type="page"/>
      </w:r>
    </w:p>
    <w:p w14:paraId="45E6ED2E" w14:textId="1ADF50DB" w:rsidR="007A3B6C" w:rsidRPr="00E21C60" w:rsidRDefault="007A3B6C" w:rsidP="00123376">
      <w:pPr>
        <w:jc w:val="both"/>
        <w:rPr>
          <w:rFonts w:ascii="Arial" w:hAnsi="Arial" w:cs="Arial"/>
          <w:sz w:val="20"/>
          <w:szCs w:val="20"/>
        </w:rPr>
      </w:pPr>
      <w:r w:rsidRPr="00E21C60">
        <w:rPr>
          <w:rFonts w:ascii="Arial" w:hAnsi="Arial" w:cs="Arial"/>
          <w:sz w:val="20"/>
          <w:szCs w:val="20"/>
        </w:rPr>
        <w:lastRenderedPageBreak/>
        <w:t xml:space="preserve">Tabuľka č. </w:t>
      </w:r>
      <w:r w:rsidR="005F03D4">
        <w:rPr>
          <w:rFonts w:ascii="Arial" w:hAnsi="Arial" w:cs="Arial"/>
          <w:sz w:val="20"/>
          <w:szCs w:val="20"/>
        </w:rPr>
        <w:t>5</w:t>
      </w:r>
      <w:r w:rsidR="007B1CB9">
        <w:rPr>
          <w:rFonts w:ascii="Arial" w:hAnsi="Arial" w:cs="Arial"/>
          <w:sz w:val="20"/>
          <w:szCs w:val="20"/>
        </w:rPr>
        <w:t>5</w:t>
      </w:r>
      <w:r w:rsidRPr="00E21C60">
        <w:rPr>
          <w:rFonts w:ascii="Arial" w:hAnsi="Arial" w:cs="Arial"/>
          <w:sz w:val="20"/>
          <w:szCs w:val="20"/>
        </w:rPr>
        <w:t xml:space="preserve">: </w:t>
      </w:r>
      <w:r w:rsidR="00BA5987" w:rsidRPr="00E21C60">
        <w:rPr>
          <w:rFonts w:ascii="Arial" w:hAnsi="Arial" w:cs="Arial"/>
          <w:sz w:val="20"/>
          <w:szCs w:val="20"/>
        </w:rPr>
        <w:t xml:space="preserve">Prehľad </w:t>
      </w:r>
      <w:r w:rsidRPr="00E21C60">
        <w:rPr>
          <w:rFonts w:ascii="Arial" w:hAnsi="Arial" w:cs="Arial"/>
          <w:sz w:val="20"/>
          <w:szCs w:val="20"/>
        </w:rPr>
        <w:t>výziev prioritnej osi 4 od 01.01.201</w:t>
      </w:r>
      <w:r w:rsidR="00334794">
        <w:rPr>
          <w:rFonts w:ascii="Arial" w:hAnsi="Arial" w:cs="Arial"/>
          <w:sz w:val="20"/>
          <w:szCs w:val="20"/>
        </w:rPr>
        <w:t>5</w:t>
      </w:r>
      <w:r w:rsidRPr="00E21C60">
        <w:rPr>
          <w:rFonts w:ascii="Arial" w:hAnsi="Arial" w:cs="Arial"/>
          <w:sz w:val="20"/>
          <w:szCs w:val="20"/>
        </w:rPr>
        <w:t xml:space="preserve"> do 31.12.201</w:t>
      </w:r>
      <w:r w:rsidR="00334794">
        <w:rPr>
          <w:rFonts w:ascii="Arial" w:hAnsi="Arial" w:cs="Arial"/>
          <w:sz w:val="20"/>
          <w:szCs w:val="20"/>
        </w:rPr>
        <w:t>5</w:t>
      </w:r>
    </w:p>
    <w:tbl>
      <w:tblPr>
        <w:tblW w:w="9080" w:type="dxa"/>
        <w:tblInd w:w="55" w:type="dxa"/>
        <w:tblCellMar>
          <w:left w:w="70" w:type="dxa"/>
          <w:right w:w="70" w:type="dxa"/>
        </w:tblCellMar>
        <w:tblLook w:val="04A0" w:firstRow="1" w:lastRow="0" w:firstColumn="1" w:lastColumn="0" w:noHBand="0" w:noVBand="1"/>
      </w:tblPr>
      <w:tblGrid>
        <w:gridCol w:w="1560"/>
        <w:gridCol w:w="1880"/>
        <w:gridCol w:w="1880"/>
        <w:gridCol w:w="1880"/>
        <w:gridCol w:w="1880"/>
      </w:tblGrid>
      <w:tr w:rsidR="00423DF9" w:rsidRPr="00E21C60" w14:paraId="035B9770" w14:textId="77777777" w:rsidTr="007D7B08">
        <w:trPr>
          <w:trHeight w:val="690"/>
        </w:trPr>
        <w:tc>
          <w:tcPr>
            <w:tcW w:w="1560"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hideMark/>
          </w:tcPr>
          <w:p w14:paraId="4725D2D4" w14:textId="77777777" w:rsidR="00423DF9" w:rsidRPr="00E21C60" w:rsidRDefault="00423DF9">
            <w:pPr>
              <w:jc w:val="center"/>
              <w:rPr>
                <w:rFonts w:ascii="Arial" w:hAnsi="Arial" w:cs="Arial"/>
                <w:b/>
                <w:bCs/>
                <w:color w:val="000000"/>
                <w:sz w:val="16"/>
                <w:szCs w:val="16"/>
              </w:rPr>
            </w:pPr>
            <w:r w:rsidRPr="00E21C60">
              <w:rPr>
                <w:rFonts w:ascii="Arial" w:hAnsi="Arial" w:cs="Arial"/>
                <w:b/>
                <w:bCs/>
                <w:color w:val="000000"/>
                <w:sz w:val="16"/>
                <w:szCs w:val="16"/>
              </w:rPr>
              <w:t>Opatrenie</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115F60C" w14:textId="77777777" w:rsidR="00423DF9" w:rsidRPr="00E21C60" w:rsidRDefault="00423DF9">
            <w:pPr>
              <w:jc w:val="center"/>
              <w:rPr>
                <w:rFonts w:ascii="Arial" w:hAnsi="Arial" w:cs="Arial"/>
                <w:b/>
                <w:bCs/>
                <w:color w:val="000000"/>
                <w:sz w:val="16"/>
                <w:szCs w:val="16"/>
              </w:rPr>
            </w:pPr>
            <w:r w:rsidRPr="00E21C60">
              <w:rPr>
                <w:rFonts w:ascii="Arial" w:hAnsi="Arial" w:cs="Arial"/>
                <w:b/>
                <w:bCs/>
                <w:color w:val="000000"/>
                <w:sz w:val="16"/>
                <w:szCs w:val="16"/>
              </w:rPr>
              <w:t>Typ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28CD479" w14:textId="77777777" w:rsidR="00423DF9" w:rsidRPr="00E21C60" w:rsidRDefault="00423DF9">
            <w:pPr>
              <w:jc w:val="center"/>
              <w:rPr>
                <w:rFonts w:ascii="Arial" w:hAnsi="Arial" w:cs="Arial"/>
                <w:b/>
                <w:bCs/>
                <w:color w:val="000000"/>
                <w:sz w:val="16"/>
                <w:szCs w:val="16"/>
              </w:rPr>
            </w:pPr>
            <w:r w:rsidRPr="00E21C60">
              <w:rPr>
                <w:rFonts w:ascii="Arial" w:hAnsi="Arial" w:cs="Arial"/>
                <w:b/>
                <w:bCs/>
                <w:color w:val="000000"/>
                <w:sz w:val="16"/>
                <w:szCs w:val="16"/>
              </w:rPr>
              <w:t>Dátum vyhlásenia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3FBFDC95" w14:textId="77777777" w:rsidR="00423DF9" w:rsidRPr="00E21C60" w:rsidRDefault="00423DF9">
            <w:pPr>
              <w:jc w:val="center"/>
              <w:rPr>
                <w:rFonts w:ascii="Arial" w:hAnsi="Arial" w:cs="Arial"/>
                <w:b/>
                <w:bCs/>
                <w:color w:val="000000"/>
                <w:sz w:val="16"/>
                <w:szCs w:val="16"/>
              </w:rPr>
            </w:pPr>
            <w:r w:rsidRPr="00E21C60">
              <w:rPr>
                <w:rFonts w:ascii="Arial" w:hAnsi="Arial" w:cs="Arial"/>
                <w:b/>
                <w:bCs/>
                <w:color w:val="000000"/>
                <w:sz w:val="16"/>
                <w:szCs w:val="16"/>
              </w:rPr>
              <w:t xml:space="preserve">Dátum uzávierky prijímania žiadostí </w:t>
            </w:r>
            <w:r w:rsidRPr="00E21C60">
              <w:rPr>
                <w:rFonts w:ascii="Arial" w:hAnsi="Arial" w:cs="Arial"/>
                <w:b/>
                <w:bCs/>
                <w:color w:val="000000"/>
                <w:sz w:val="16"/>
                <w:szCs w:val="16"/>
              </w:rPr>
              <w:br/>
              <w:t>o NFP</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3E7E0391" w14:textId="599C37E5" w:rsidR="00423DF9" w:rsidRPr="00A951B3" w:rsidRDefault="00423DF9" w:rsidP="00021D5C">
            <w:pPr>
              <w:jc w:val="center"/>
              <w:rPr>
                <w:rFonts w:ascii="Arial" w:hAnsi="Arial" w:cs="Arial"/>
                <w:b/>
                <w:bCs/>
                <w:color w:val="000000"/>
                <w:sz w:val="16"/>
                <w:szCs w:val="16"/>
              </w:rPr>
            </w:pPr>
            <w:r w:rsidRPr="009D13DD">
              <w:rPr>
                <w:rFonts w:ascii="Arial" w:hAnsi="Arial" w:cs="Arial"/>
                <w:b/>
                <w:bCs/>
                <w:color w:val="000000"/>
                <w:sz w:val="16"/>
                <w:szCs w:val="16"/>
              </w:rPr>
              <w:t>Alokácia FP na výzvu (</w:t>
            </w:r>
            <w:r w:rsidR="00C87F8D" w:rsidRPr="009D13DD">
              <w:rPr>
                <w:rFonts w:ascii="Arial" w:hAnsi="Arial" w:cs="Arial"/>
                <w:b/>
                <w:bCs/>
                <w:color w:val="000000"/>
                <w:sz w:val="16"/>
                <w:szCs w:val="16"/>
              </w:rPr>
              <w:t xml:space="preserve">EÚ </w:t>
            </w:r>
            <w:r w:rsidR="00021D5C" w:rsidRPr="009D13DD">
              <w:rPr>
                <w:rFonts w:ascii="Arial" w:hAnsi="Arial" w:cs="Arial"/>
                <w:b/>
                <w:bCs/>
                <w:color w:val="000000"/>
                <w:sz w:val="16"/>
                <w:szCs w:val="16"/>
              </w:rPr>
              <w:t>+ ŠR</w:t>
            </w:r>
            <w:r w:rsidRPr="009D13DD">
              <w:rPr>
                <w:rFonts w:ascii="Arial" w:hAnsi="Arial" w:cs="Arial"/>
                <w:b/>
                <w:bCs/>
                <w:color w:val="000000"/>
                <w:sz w:val="16"/>
                <w:szCs w:val="16"/>
              </w:rPr>
              <w:t>) v €</w:t>
            </w:r>
          </w:p>
        </w:tc>
      </w:tr>
      <w:tr w:rsidR="00ED14C7" w:rsidRPr="00E21C60" w14:paraId="70492EF1" w14:textId="77777777" w:rsidTr="00CF7816">
        <w:trPr>
          <w:trHeight w:val="314"/>
        </w:trPr>
        <w:tc>
          <w:tcPr>
            <w:tcW w:w="1560" w:type="dxa"/>
            <w:tcBorders>
              <w:top w:val="nil"/>
              <w:left w:val="single" w:sz="8" w:space="0" w:color="auto"/>
              <w:bottom w:val="single" w:sz="4" w:space="0" w:color="auto"/>
              <w:right w:val="single" w:sz="8" w:space="0" w:color="auto"/>
            </w:tcBorders>
            <w:shd w:val="clear" w:color="auto" w:fill="auto"/>
            <w:noWrap/>
            <w:vAlign w:val="center"/>
          </w:tcPr>
          <w:p w14:paraId="6BCD5B48" w14:textId="171C1D54" w:rsidR="00ED14C7" w:rsidRPr="00E21C60" w:rsidRDefault="00ED14C7" w:rsidP="004170B6">
            <w:pPr>
              <w:jc w:val="center"/>
              <w:rPr>
                <w:rFonts w:ascii="Arial" w:hAnsi="Arial" w:cs="Arial"/>
                <w:color w:val="000000"/>
                <w:sz w:val="16"/>
                <w:szCs w:val="16"/>
              </w:rPr>
            </w:pPr>
            <w:r w:rsidRPr="00E21C60">
              <w:rPr>
                <w:rFonts w:ascii="Arial" w:hAnsi="Arial" w:cs="Arial"/>
                <w:color w:val="000000"/>
                <w:sz w:val="16"/>
                <w:szCs w:val="16"/>
              </w:rPr>
              <w:t>4.4</w:t>
            </w:r>
          </w:p>
        </w:tc>
        <w:tc>
          <w:tcPr>
            <w:tcW w:w="1880" w:type="dxa"/>
            <w:tcBorders>
              <w:top w:val="nil"/>
              <w:left w:val="nil"/>
              <w:bottom w:val="single" w:sz="4" w:space="0" w:color="auto"/>
              <w:right w:val="single" w:sz="8" w:space="0" w:color="auto"/>
            </w:tcBorders>
            <w:shd w:val="clear" w:color="auto" w:fill="auto"/>
            <w:noWrap/>
            <w:vAlign w:val="center"/>
          </w:tcPr>
          <w:p w14:paraId="4033D0D1" w14:textId="789AB8A2" w:rsidR="00ED14C7" w:rsidRPr="00E21C60" w:rsidRDefault="00ED14C7" w:rsidP="004170B6">
            <w:pPr>
              <w:jc w:val="center"/>
              <w:rPr>
                <w:rFonts w:ascii="Arial" w:hAnsi="Arial" w:cs="Arial"/>
                <w:color w:val="000000"/>
                <w:sz w:val="16"/>
                <w:szCs w:val="16"/>
              </w:rPr>
            </w:pPr>
            <w:r w:rsidRPr="00E21C60">
              <w:rPr>
                <w:rFonts w:ascii="Arial" w:hAnsi="Arial" w:cs="Arial"/>
                <w:color w:val="000000"/>
                <w:sz w:val="16"/>
                <w:szCs w:val="16"/>
              </w:rPr>
              <w:t>OPZP-PO4-</w:t>
            </w:r>
            <w:r>
              <w:rPr>
                <w:rFonts w:ascii="Arial" w:hAnsi="Arial" w:cs="Arial"/>
                <w:color w:val="000000"/>
                <w:sz w:val="16"/>
                <w:szCs w:val="16"/>
              </w:rPr>
              <w:t>14</w:t>
            </w:r>
            <w:r w:rsidRPr="00E21C60">
              <w:rPr>
                <w:rFonts w:ascii="Arial" w:hAnsi="Arial" w:cs="Arial"/>
                <w:color w:val="000000"/>
                <w:sz w:val="16"/>
                <w:szCs w:val="16"/>
              </w:rPr>
              <w:t>-</w:t>
            </w:r>
            <w:r>
              <w:rPr>
                <w:rFonts w:ascii="Arial" w:hAnsi="Arial" w:cs="Arial"/>
                <w:color w:val="000000"/>
                <w:sz w:val="16"/>
                <w:szCs w:val="16"/>
              </w:rPr>
              <w:t>1</w:t>
            </w:r>
          </w:p>
        </w:tc>
        <w:tc>
          <w:tcPr>
            <w:tcW w:w="1880" w:type="dxa"/>
            <w:tcBorders>
              <w:top w:val="nil"/>
              <w:left w:val="nil"/>
              <w:bottom w:val="single" w:sz="4" w:space="0" w:color="auto"/>
              <w:right w:val="single" w:sz="8" w:space="0" w:color="auto"/>
            </w:tcBorders>
            <w:shd w:val="clear" w:color="auto" w:fill="auto"/>
            <w:noWrap/>
            <w:vAlign w:val="center"/>
          </w:tcPr>
          <w:p w14:paraId="1EDEBEEA" w14:textId="2B5D7F57" w:rsidR="00ED14C7" w:rsidRPr="00E21C60" w:rsidRDefault="00ED14C7" w:rsidP="004170B6">
            <w:pPr>
              <w:jc w:val="center"/>
              <w:rPr>
                <w:rFonts w:ascii="Arial" w:hAnsi="Arial" w:cs="Arial"/>
                <w:color w:val="000000"/>
                <w:sz w:val="16"/>
                <w:szCs w:val="16"/>
              </w:rPr>
            </w:pPr>
            <w:r>
              <w:rPr>
                <w:rFonts w:ascii="Arial" w:hAnsi="Arial" w:cs="Arial"/>
                <w:color w:val="000000"/>
                <w:sz w:val="16"/>
                <w:szCs w:val="16"/>
              </w:rPr>
              <w:t>22</w:t>
            </w:r>
            <w:r w:rsidRPr="00E21C60">
              <w:rPr>
                <w:rFonts w:ascii="Arial" w:hAnsi="Arial" w:cs="Arial"/>
                <w:color w:val="000000"/>
                <w:sz w:val="16"/>
                <w:szCs w:val="16"/>
              </w:rPr>
              <w:t>.12.201</w:t>
            </w:r>
            <w:r>
              <w:rPr>
                <w:rFonts w:ascii="Arial" w:hAnsi="Arial" w:cs="Arial"/>
                <w:color w:val="000000"/>
                <w:sz w:val="16"/>
                <w:szCs w:val="16"/>
              </w:rPr>
              <w:t>4</w:t>
            </w:r>
          </w:p>
        </w:tc>
        <w:tc>
          <w:tcPr>
            <w:tcW w:w="1880" w:type="dxa"/>
            <w:tcBorders>
              <w:top w:val="nil"/>
              <w:left w:val="nil"/>
              <w:bottom w:val="single" w:sz="4" w:space="0" w:color="auto"/>
              <w:right w:val="single" w:sz="8" w:space="0" w:color="auto"/>
            </w:tcBorders>
            <w:shd w:val="clear" w:color="auto" w:fill="auto"/>
            <w:noWrap/>
            <w:vAlign w:val="center"/>
          </w:tcPr>
          <w:p w14:paraId="624EDA71" w14:textId="6E141A98" w:rsidR="00ED14C7" w:rsidRPr="00E21C60" w:rsidRDefault="00ED14C7" w:rsidP="004170B6">
            <w:pPr>
              <w:jc w:val="center"/>
              <w:rPr>
                <w:rFonts w:ascii="Arial" w:hAnsi="Arial" w:cs="Arial"/>
                <w:color w:val="000000"/>
                <w:sz w:val="16"/>
                <w:szCs w:val="16"/>
              </w:rPr>
            </w:pPr>
            <w:r>
              <w:rPr>
                <w:rFonts w:ascii="Arial" w:hAnsi="Arial" w:cs="Arial"/>
                <w:color w:val="000000"/>
                <w:sz w:val="16"/>
                <w:szCs w:val="16"/>
              </w:rPr>
              <w:t>07</w:t>
            </w:r>
            <w:r w:rsidRPr="00E21C60">
              <w:rPr>
                <w:rFonts w:ascii="Arial" w:hAnsi="Arial" w:cs="Arial"/>
                <w:color w:val="000000"/>
                <w:sz w:val="16"/>
                <w:szCs w:val="16"/>
              </w:rPr>
              <w:t>.</w:t>
            </w:r>
            <w:r>
              <w:rPr>
                <w:rFonts w:ascii="Arial" w:hAnsi="Arial" w:cs="Arial"/>
                <w:color w:val="000000"/>
                <w:sz w:val="16"/>
                <w:szCs w:val="16"/>
              </w:rPr>
              <w:t>04</w:t>
            </w:r>
            <w:r w:rsidRPr="00E21C60">
              <w:rPr>
                <w:rFonts w:ascii="Arial" w:hAnsi="Arial" w:cs="Arial"/>
                <w:color w:val="000000"/>
                <w:sz w:val="16"/>
                <w:szCs w:val="16"/>
              </w:rPr>
              <w:t>.</w:t>
            </w:r>
            <w:r>
              <w:rPr>
                <w:rFonts w:ascii="Arial" w:hAnsi="Arial" w:cs="Arial"/>
                <w:color w:val="000000"/>
                <w:sz w:val="16"/>
                <w:szCs w:val="16"/>
              </w:rPr>
              <w:t>2015</w:t>
            </w:r>
          </w:p>
        </w:tc>
        <w:tc>
          <w:tcPr>
            <w:tcW w:w="1880" w:type="dxa"/>
            <w:tcBorders>
              <w:top w:val="nil"/>
              <w:left w:val="nil"/>
              <w:bottom w:val="single" w:sz="4" w:space="0" w:color="auto"/>
              <w:right w:val="single" w:sz="8" w:space="0" w:color="auto"/>
            </w:tcBorders>
            <w:shd w:val="clear" w:color="auto" w:fill="auto"/>
            <w:noWrap/>
            <w:vAlign w:val="center"/>
          </w:tcPr>
          <w:p w14:paraId="061F0D2D" w14:textId="532F40C2" w:rsidR="00ED14C7" w:rsidRPr="00A951B3" w:rsidRDefault="00ED14C7" w:rsidP="004170B6">
            <w:pPr>
              <w:jc w:val="center"/>
              <w:rPr>
                <w:rFonts w:ascii="Arial" w:hAnsi="Arial" w:cs="Arial"/>
                <w:color w:val="000000"/>
                <w:sz w:val="16"/>
                <w:szCs w:val="16"/>
              </w:rPr>
            </w:pPr>
            <w:r w:rsidRPr="00A951B3">
              <w:rPr>
                <w:rFonts w:ascii="Arial" w:hAnsi="Arial" w:cs="Arial"/>
                <w:color w:val="000000"/>
                <w:sz w:val="16"/>
                <w:szCs w:val="16"/>
              </w:rPr>
              <w:t>11 764 705</w:t>
            </w:r>
          </w:p>
        </w:tc>
      </w:tr>
      <w:tr w:rsidR="00ED14C7" w:rsidRPr="00E21C60" w14:paraId="4564BD35" w14:textId="77777777" w:rsidTr="00CF7816">
        <w:trPr>
          <w:trHeight w:val="314"/>
        </w:trPr>
        <w:tc>
          <w:tcPr>
            <w:tcW w:w="1560" w:type="dxa"/>
            <w:tcBorders>
              <w:top w:val="single" w:sz="4" w:space="0" w:color="auto"/>
              <w:left w:val="single" w:sz="8" w:space="0" w:color="auto"/>
              <w:right w:val="single" w:sz="8" w:space="0" w:color="auto"/>
            </w:tcBorders>
            <w:shd w:val="clear" w:color="auto" w:fill="auto"/>
            <w:noWrap/>
            <w:vAlign w:val="center"/>
          </w:tcPr>
          <w:p w14:paraId="0C6305BE" w14:textId="56D427AB" w:rsidR="00ED14C7" w:rsidRPr="00E21C60" w:rsidRDefault="00ED14C7" w:rsidP="00AF212C">
            <w:pPr>
              <w:jc w:val="center"/>
              <w:rPr>
                <w:rFonts w:ascii="Arial" w:hAnsi="Arial" w:cs="Arial"/>
                <w:color w:val="000000"/>
                <w:sz w:val="16"/>
                <w:szCs w:val="16"/>
              </w:rPr>
            </w:pPr>
            <w:r w:rsidRPr="00E21C60">
              <w:rPr>
                <w:rFonts w:ascii="Arial" w:hAnsi="Arial" w:cs="Arial"/>
                <w:color w:val="000000"/>
                <w:sz w:val="16"/>
                <w:szCs w:val="16"/>
              </w:rPr>
              <w:t>4.</w:t>
            </w:r>
            <w:r>
              <w:rPr>
                <w:rFonts w:ascii="Arial" w:hAnsi="Arial" w:cs="Arial"/>
                <w:color w:val="000000"/>
                <w:sz w:val="16"/>
                <w:szCs w:val="16"/>
              </w:rPr>
              <w:t>1</w:t>
            </w:r>
          </w:p>
        </w:tc>
        <w:tc>
          <w:tcPr>
            <w:tcW w:w="1880" w:type="dxa"/>
            <w:tcBorders>
              <w:top w:val="single" w:sz="4" w:space="0" w:color="auto"/>
              <w:left w:val="nil"/>
              <w:right w:val="single" w:sz="8" w:space="0" w:color="auto"/>
            </w:tcBorders>
            <w:shd w:val="clear" w:color="auto" w:fill="auto"/>
            <w:noWrap/>
            <w:vAlign w:val="center"/>
          </w:tcPr>
          <w:p w14:paraId="4DE0133A" w14:textId="2402B91E" w:rsidR="00ED14C7" w:rsidRPr="00E21C60" w:rsidRDefault="00ED14C7" w:rsidP="00AF212C">
            <w:pPr>
              <w:jc w:val="center"/>
              <w:rPr>
                <w:rFonts w:ascii="Arial" w:hAnsi="Arial" w:cs="Arial"/>
                <w:color w:val="000000"/>
                <w:sz w:val="16"/>
                <w:szCs w:val="16"/>
              </w:rPr>
            </w:pPr>
            <w:r w:rsidRPr="00E21C60">
              <w:rPr>
                <w:rFonts w:ascii="Arial" w:hAnsi="Arial" w:cs="Arial"/>
                <w:color w:val="000000"/>
                <w:sz w:val="16"/>
                <w:szCs w:val="16"/>
              </w:rPr>
              <w:t>OPZP-PO4-1</w:t>
            </w:r>
            <w:r>
              <w:rPr>
                <w:rFonts w:ascii="Arial" w:hAnsi="Arial" w:cs="Arial"/>
                <w:color w:val="000000"/>
                <w:sz w:val="16"/>
                <w:szCs w:val="16"/>
              </w:rPr>
              <w:t>5</w:t>
            </w:r>
            <w:r w:rsidRPr="00E21C60">
              <w:rPr>
                <w:rFonts w:ascii="Arial" w:hAnsi="Arial" w:cs="Arial"/>
                <w:color w:val="000000"/>
                <w:sz w:val="16"/>
                <w:szCs w:val="16"/>
              </w:rPr>
              <w:t>-</w:t>
            </w:r>
            <w:r>
              <w:rPr>
                <w:rFonts w:ascii="Arial" w:hAnsi="Arial" w:cs="Arial"/>
                <w:color w:val="000000"/>
                <w:sz w:val="16"/>
                <w:szCs w:val="16"/>
              </w:rPr>
              <w:t>1</w:t>
            </w:r>
          </w:p>
        </w:tc>
        <w:tc>
          <w:tcPr>
            <w:tcW w:w="1880" w:type="dxa"/>
            <w:tcBorders>
              <w:top w:val="single" w:sz="4" w:space="0" w:color="auto"/>
              <w:left w:val="nil"/>
              <w:right w:val="single" w:sz="8" w:space="0" w:color="auto"/>
            </w:tcBorders>
            <w:shd w:val="clear" w:color="auto" w:fill="auto"/>
            <w:noWrap/>
            <w:vAlign w:val="center"/>
          </w:tcPr>
          <w:p w14:paraId="284E83AB" w14:textId="17848041" w:rsidR="00ED14C7" w:rsidRDefault="00ED14C7" w:rsidP="00AF212C">
            <w:pPr>
              <w:jc w:val="center"/>
              <w:rPr>
                <w:rFonts w:ascii="Arial" w:hAnsi="Arial" w:cs="Arial"/>
                <w:color w:val="000000"/>
                <w:sz w:val="16"/>
                <w:szCs w:val="16"/>
              </w:rPr>
            </w:pPr>
            <w:r>
              <w:rPr>
                <w:rFonts w:ascii="Arial" w:hAnsi="Arial" w:cs="Arial"/>
                <w:color w:val="000000"/>
                <w:sz w:val="16"/>
                <w:szCs w:val="16"/>
              </w:rPr>
              <w:t>30</w:t>
            </w:r>
            <w:r w:rsidRPr="00E21C60">
              <w:rPr>
                <w:rFonts w:ascii="Arial" w:hAnsi="Arial" w:cs="Arial"/>
                <w:color w:val="000000"/>
                <w:sz w:val="16"/>
                <w:szCs w:val="16"/>
              </w:rPr>
              <w:t>.</w:t>
            </w:r>
            <w:r>
              <w:rPr>
                <w:rFonts w:ascii="Arial" w:hAnsi="Arial" w:cs="Arial"/>
                <w:color w:val="000000"/>
                <w:sz w:val="16"/>
                <w:szCs w:val="16"/>
              </w:rPr>
              <w:t>07</w:t>
            </w:r>
            <w:r w:rsidRPr="00E21C60">
              <w:rPr>
                <w:rFonts w:ascii="Arial" w:hAnsi="Arial" w:cs="Arial"/>
                <w:color w:val="000000"/>
                <w:sz w:val="16"/>
                <w:szCs w:val="16"/>
              </w:rPr>
              <w:t>.201</w:t>
            </w:r>
            <w:r>
              <w:rPr>
                <w:rFonts w:ascii="Arial" w:hAnsi="Arial" w:cs="Arial"/>
                <w:color w:val="000000"/>
                <w:sz w:val="16"/>
                <w:szCs w:val="16"/>
              </w:rPr>
              <w:t>5</w:t>
            </w:r>
          </w:p>
        </w:tc>
        <w:tc>
          <w:tcPr>
            <w:tcW w:w="1880" w:type="dxa"/>
            <w:tcBorders>
              <w:top w:val="single" w:sz="4" w:space="0" w:color="auto"/>
              <w:left w:val="nil"/>
              <w:right w:val="single" w:sz="8" w:space="0" w:color="auto"/>
            </w:tcBorders>
            <w:shd w:val="clear" w:color="auto" w:fill="auto"/>
            <w:noWrap/>
            <w:vAlign w:val="center"/>
          </w:tcPr>
          <w:p w14:paraId="671E0AAA" w14:textId="5138F49C" w:rsidR="00ED14C7" w:rsidRDefault="00ED14C7" w:rsidP="00AF212C">
            <w:pPr>
              <w:jc w:val="center"/>
              <w:rPr>
                <w:rFonts w:ascii="Arial" w:hAnsi="Arial" w:cs="Arial"/>
                <w:color w:val="000000"/>
                <w:sz w:val="16"/>
                <w:szCs w:val="16"/>
              </w:rPr>
            </w:pPr>
            <w:r>
              <w:rPr>
                <w:rFonts w:ascii="Arial" w:hAnsi="Arial" w:cs="Arial"/>
                <w:color w:val="000000"/>
                <w:sz w:val="16"/>
                <w:szCs w:val="16"/>
              </w:rPr>
              <w:t>05</w:t>
            </w:r>
            <w:r w:rsidRPr="00E21C60">
              <w:rPr>
                <w:rFonts w:ascii="Arial" w:hAnsi="Arial" w:cs="Arial"/>
                <w:color w:val="000000"/>
                <w:sz w:val="16"/>
                <w:szCs w:val="16"/>
              </w:rPr>
              <w:t>.</w:t>
            </w:r>
            <w:r>
              <w:rPr>
                <w:rFonts w:ascii="Arial" w:hAnsi="Arial" w:cs="Arial"/>
                <w:color w:val="000000"/>
                <w:sz w:val="16"/>
                <w:szCs w:val="16"/>
              </w:rPr>
              <w:t>10</w:t>
            </w:r>
            <w:r w:rsidRPr="00E21C60">
              <w:rPr>
                <w:rFonts w:ascii="Arial" w:hAnsi="Arial" w:cs="Arial"/>
                <w:color w:val="000000"/>
                <w:sz w:val="16"/>
                <w:szCs w:val="16"/>
              </w:rPr>
              <w:t>.201</w:t>
            </w:r>
            <w:r>
              <w:rPr>
                <w:rFonts w:ascii="Arial" w:hAnsi="Arial" w:cs="Arial"/>
                <w:color w:val="000000"/>
                <w:sz w:val="16"/>
                <w:szCs w:val="16"/>
              </w:rPr>
              <w:t>5</w:t>
            </w:r>
          </w:p>
        </w:tc>
        <w:tc>
          <w:tcPr>
            <w:tcW w:w="1880" w:type="dxa"/>
            <w:tcBorders>
              <w:top w:val="single" w:sz="4" w:space="0" w:color="auto"/>
              <w:left w:val="nil"/>
              <w:bottom w:val="single" w:sz="4" w:space="0" w:color="auto"/>
              <w:right w:val="single" w:sz="8" w:space="0" w:color="auto"/>
            </w:tcBorders>
            <w:shd w:val="clear" w:color="auto" w:fill="auto"/>
            <w:noWrap/>
            <w:vAlign w:val="center"/>
          </w:tcPr>
          <w:p w14:paraId="068C09E8" w14:textId="110CEAF4" w:rsidR="00ED14C7" w:rsidRPr="009D13DD" w:rsidDel="00334794" w:rsidRDefault="00ED14C7">
            <w:pPr>
              <w:jc w:val="center"/>
              <w:rPr>
                <w:rFonts w:ascii="Arial" w:hAnsi="Arial" w:cs="Arial"/>
                <w:color w:val="000000"/>
                <w:sz w:val="16"/>
                <w:szCs w:val="16"/>
              </w:rPr>
            </w:pPr>
            <w:r w:rsidRPr="009D13DD">
              <w:rPr>
                <w:rFonts w:ascii="Arial" w:hAnsi="Arial" w:cs="Arial"/>
                <w:color w:val="000000"/>
                <w:sz w:val="16"/>
                <w:szCs w:val="16"/>
              </w:rPr>
              <w:t>4 705 883</w:t>
            </w:r>
          </w:p>
        </w:tc>
      </w:tr>
      <w:tr w:rsidR="00ED14C7" w:rsidRPr="00E21C60" w14:paraId="756C2F84" w14:textId="77777777" w:rsidTr="00334794">
        <w:trPr>
          <w:trHeight w:val="315"/>
        </w:trPr>
        <w:tc>
          <w:tcPr>
            <w:tcW w:w="7200" w:type="dxa"/>
            <w:gridSpan w:val="4"/>
            <w:tcBorders>
              <w:top w:val="single" w:sz="8" w:space="0" w:color="auto"/>
              <w:left w:val="single" w:sz="8" w:space="0" w:color="auto"/>
              <w:bottom w:val="single" w:sz="8" w:space="0" w:color="auto"/>
              <w:right w:val="single" w:sz="8" w:space="0" w:color="000000"/>
            </w:tcBorders>
            <w:shd w:val="clear" w:color="auto" w:fill="auto"/>
            <w:vAlign w:val="center"/>
          </w:tcPr>
          <w:p w14:paraId="3D6C2AFE" w14:textId="428200F5" w:rsidR="00ED14C7" w:rsidRPr="00E21C60" w:rsidRDefault="00ED14C7">
            <w:pPr>
              <w:rPr>
                <w:rFonts w:ascii="Arial" w:hAnsi="Arial" w:cs="Arial"/>
                <w:b/>
                <w:bCs/>
                <w:color w:val="000000"/>
                <w:sz w:val="16"/>
                <w:szCs w:val="16"/>
              </w:rPr>
            </w:pPr>
            <w:r w:rsidRPr="00E21C60">
              <w:rPr>
                <w:rFonts w:ascii="Arial" w:hAnsi="Arial" w:cs="Arial"/>
                <w:b/>
                <w:bCs/>
                <w:color w:val="000000"/>
                <w:sz w:val="16"/>
                <w:szCs w:val="16"/>
              </w:rPr>
              <w:t>Spolu za prioritu</w:t>
            </w:r>
          </w:p>
        </w:tc>
        <w:tc>
          <w:tcPr>
            <w:tcW w:w="1880" w:type="dxa"/>
            <w:tcBorders>
              <w:top w:val="single" w:sz="4" w:space="0" w:color="auto"/>
              <w:left w:val="nil"/>
              <w:bottom w:val="single" w:sz="8" w:space="0" w:color="auto"/>
              <w:right w:val="single" w:sz="8" w:space="0" w:color="auto"/>
            </w:tcBorders>
            <w:shd w:val="clear" w:color="auto" w:fill="auto"/>
            <w:noWrap/>
            <w:vAlign w:val="center"/>
          </w:tcPr>
          <w:p w14:paraId="79BA26B7" w14:textId="379E43CB" w:rsidR="00ED14C7" w:rsidRPr="009D13DD" w:rsidRDefault="000823BC">
            <w:pPr>
              <w:jc w:val="center"/>
              <w:rPr>
                <w:rFonts w:ascii="Arial" w:hAnsi="Arial" w:cs="Arial"/>
                <w:b/>
                <w:bCs/>
                <w:color w:val="000000"/>
                <w:sz w:val="16"/>
                <w:szCs w:val="16"/>
              </w:rPr>
            </w:pPr>
            <w:r w:rsidRPr="009D13DD">
              <w:rPr>
                <w:rFonts w:ascii="Arial" w:hAnsi="Arial" w:cs="Arial"/>
                <w:b/>
                <w:bCs/>
                <w:color w:val="000000"/>
                <w:sz w:val="16"/>
                <w:szCs w:val="16"/>
              </w:rPr>
              <w:t>16 470 588</w:t>
            </w:r>
          </w:p>
        </w:tc>
      </w:tr>
    </w:tbl>
    <w:p w14:paraId="5267D0AA" w14:textId="77777777" w:rsidR="002416B1" w:rsidRPr="00123376" w:rsidRDefault="00000CC9" w:rsidP="00123376">
      <w:pPr>
        <w:pStyle w:val="Zkladntextb"/>
        <w:spacing w:after="120" w:line="240" w:lineRule="auto"/>
        <w:ind w:left="0"/>
        <w:jc w:val="both"/>
        <w:rPr>
          <w:rFonts w:cs="Arial"/>
          <w:sz w:val="16"/>
          <w:szCs w:val="16"/>
        </w:rPr>
      </w:pPr>
      <w:r w:rsidRPr="00123376">
        <w:rPr>
          <w:rFonts w:cs="Arial"/>
          <w:sz w:val="16"/>
          <w:szCs w:val="16"/>
          <w:lang w:val="sk-SK"/>
        </w:rPr>
        <w:t>Zdroj: RO, ITMS</w:t>
      </w:r>
    </w:p>
    <w:p w14:paraId="73BCF161" w14:textId="5F8853E6" w:rsidR="00E4620C" w:rsidRPr="00E21C60" w:rsidRDefault="005D36B8" w:rsidP="00123376">
      <w:pPr>
        <w:pStyle w:val="Zkladntextb"/>
        <w:spacing w:before="120" w:after="120" w:line="240" w:lineRule="auto"/>
        <w:ind w:left="0"/>
        <w:jc w:val="both"/>
        <w:rPr>
          <w:rFonts w:cs="Arial"/>
          <w:lang w:val="sk-SK"/>
        </w:rPr>
      </w:pPr>
      <w:r>
        <w:rPr>
          <w:rFonts w:cs="Arial"/>
          <w:lang w:val="sk-SK"/>
        </w:rPr>
        <w:t>Celkovo bolo k 31.</w:t>
      </w:r>
      <w:r w:rsidR="00494A68">
        <w:rPr>
          <w:rFonts w:cs="Arial"/>
          <w:lang w:val="sk-SK"/>
        </w:rPr>
        <w:t xml:space="preserve"> </w:t>
      </w:r>
      <w:r>
        <w:rPr>
          <w:rFonts w:cs="Arial"/>
          <w:lang w:val="sk-SK"/>
        </w:rPr>
        <w:t>10.</w:t>
      </w:r>
      <w:r w:rsidR="00494A68">
        <w:rPr>
          <w:rFonts w:cs="Arial"/>
          <w:lang w:val="sk-SK"/>
        </w:rPr>
        <w:t xml:space="preserve"> </w:t>
      </w:r>
      <w:r w:rsidR="000823BC" w:rsidRPr="00B217FA">
        <w:rPr>
          <w:rFonts w:cs="Arial"/>
          <w:lang w:val="sk-SK"/>
        </w:rPr>
        <w:t xml:space="preserve">2016 na MŽP SR v rámci predmetnej prioritnej osi zaregistrovaných </w:t>
      </w:r>
      <w:r w:rsidR="000823BC" w:rsidRPr="00B217FA">
        <w:rPr>
          <w:rFonts w:cs="Arial"/>
          <w:lang w:val="sk-SK"/>
        </w:rPr>
        <w:br/>
        <w:t>1 5</w:t>
      </w:r>
      <w:r w:rsidR="00664C25">
        <w:rPr>
          <w:rFonts w:cs="Arial"/>
          <w:lang w:val="sk-SK"/>
        </w:rPr>
        <w:t>43</w:t>
      </w:r>
      <w:r w:rsidR="000823BC" w:rsidRPr="00B217FA">
        <w:rPr>
          <w:rFonts w:cs="Arial"/>
          <w:lang w:val="sk-SK"/>
        </w:rPr>
        <w:t xml:space="preserve"> žiadostí vo výške požadovaného NFP 1 833 470 321 </w:t>
      </w:r>
      <w:r w:rsidR="00366C2D">
        <w:rPr>
          <w:rFonts w:cs="Arial"/>
          <w:lang w:val="sk-SK"/>
        </w:rPr>
        <w:t>€</w:t>
      </w:r>
      <w:r w:rsidR="000823BC" w:rsidRPr="00B217FA">
        <w:rPr>
          <w:rFonts w:cs="Arial"/>
          <w:lang w:val="sk-SK"/>
        </w:rPr>
        <w:t>, 306 žiadostí o NFP bolo schválených vo výške schváleného príspevku 480 323 727</w:t>
      </w:r>
      <w:r w:rsidR="000823BC" w:rsidRPr="009D13DD">
        <w:rPr>
          <w:rFonts w:cs="Arial"/>
          <w:lang w:val="sk-SK"/>
        </w:rPr>
        <w:t xml:space="preserve"> </w:t>
      </w:r>
      <w:r w:rsidR="00366C2D">
        <w:rPr>
          <w:rFonts w:cs="Arial"/>
          <w:lang w:val="sk-SK"/>
        </w:rPr>
        <w:t>€</w:t>
      </w:r>
      <w:r w:rsidR="000823BC" w:rsidRPr="009D13DD">
        <w:rPr>
          <w:rFonts w:cs="Arial"/>
          <w:lang w:val="sk-SK"/>
        </w:rPr>
        <w:t xml:space="preserve"> a 288 projektov bolo zazmluvnených v objeme </w:t>
      </w:r>
      <w:r w:rsidR="000823BC" w:rsidRPr="00B217FA">
        <w:rPr>
          <w:rFonts w:cs="Arial"/>
          <w:lang w:val="sk-SK"/>
        </w:rPr>
        <w:t>435</w:t>
      </w:r>
      <w:r w:rsidR="00AA19ED">
        <w:rPr>
          <w:rFonts w:cs="Arial"/>
          <w:lang w:val="sk-SK"/>
        </w:rPr>
        <w:t> </w:t>
      </w:r>
      <w:r w:rsidR="000823BC" w:rsidRPr="00B217FA">
        <w:rPr>
          <w:rFonts w:cs="Arial"/>
          <w:lang w:val="sk-SK"/>
        </w:rPr>
        <w:t>198 132</w:t>
      </w:r>
      <w:r w:rsidR="000823BC" w:rsidRPr="009D13DD">
        <w:rPr>
          <w:rFonts w:cs="Arial"/>
          <w:lang w:val="sk-SK"/>
        </w:rPr>
        <w:t xml:space="preserve"> </w:t>
      </w:r>
      <w:r w:rsidR="00366C2D">
        <w:rPr>
          <w:rFonts w:cs="Arial"/>
          <w:lang w:val="sk-SK"/>
        </w:rPr>
        <w:t>€</w:t>
      </w:r>
      <w:r w:rsidR="000823BC" w:rsidRPr="009D13DD">
        <w:rPr>
          <w:rFonts w:cs="Arial"/>
          <w:lang w:val="sk-SK"/>
        </w:rPr>
        <w:t xml:space="preserve">. Spolu bolo 287 riadne ukončených projektov a </w:t>
      </w:r>
      <w:r w:rsidR="0024347F">
        <w:rPr>
          <w:rFonts w:cs="Arial"/>
          <w:lang w:val="sk-SK"/>
        </w:rPr>
        <w:t>19</w:t>
      </w:r>
      <w:r w:rsidR="000823BC" w:rsidRPr="009D13DD">
        <w:rPr>
          <w:rFonts w:cs="Arial"/>
          <w:lang w:val="sk-SK"/>
        </w:rPr>
        <w:t xml:space="preserve"> mimoriadne ukončených projektov, najmä formou odstúpenia od zmluvy o NFP</w:t>
      </w:r>
      <w:r w:rsidR="000823BC" w:rsidRPr="00B217FA">
        <w:rPr>
          <w:rFonts w:cs="Arial"/>
          <w:lang w:val="sk-SK"/>
        </w:rPr>
        <w:t>. Pri štyroch projektoch, ktoré sú v ITMS vedené v stave „mimoriadne ukončený“ nebola uzatvorená</w:t>
      </w:r>
      <w:r w:rsidR="000823BC">
        <w:rPr>
          <w:rFonts w:cs="Arial"/>
          <w:lang w:val="sk-SK"/>
        </w:rPr>
        <w:t xml:space="preserve"> zmluva, z čoho vyplynulo, že sú v ITMS vedené v stave „žiadosť neschválená“. Jeden projekt bol k </w:t>
      </w:r>
      <w:r w:rsidR="00AB6D93">
        <w:rPr>
          <w:rFonts w:cs="Arial"/>
          <w:lang w:val="sk-SK"/>
        </w:rPr>
        <w:t>31</w:t>
      </w:r>
      <w:r>
        <w:rPr>
          <w:rFonts w:cs="Arial"/>
          <w:lang w:val="sk-SK"/>
        </w:rPr>
        <w:t>.</w:t>
      </w:r>
      <w:r w:rsidR="00AB6D93">
        <w:rPr>
          <w:rFonts w:cs="Arial"/>
          <w:lang w:val="sk-SK"/>
        </w:rPr>
        <w:t>10</w:t>
      </w:r>
      <w:r>
        <w:rPr>
          <w:rFonts w:cs="Arial"/>
          <w:lang w:val="sk-SK"/>
        </w:rPr>
        <w:t>.</w:t>
      </w:r>
      <w:r w:rsidR="000823BC">
        <w:rPr>
          <w:rFonts w:cs="Arial"/>
          <w:lang w:val="sk-SK"/>
        </w:rPr>
        <w:t>2016 vedený k v stave „v realizácii“ v dôsledku postúpenia na správne konanie.</w:t>
      </w:r>
    </w:p>
    <w:p w14:paraId="32851E76" w14:textId="6678AC62" w:rsidR="002416B1" w:rsidRPr="00D641FF" w:rsidRDefault="002416B1" w:rsidP="00123376">
      <w:pPr>
        <w:pStyle w:val="Zkladntextb"/>
        <w:spacing w:after="0" w:line="240" w:lineRule="auto"/>
        <w:ind w:left="0"/>
        <w:jc w:val="both"/>
        <w:rPr>
          <w:rFonts w:cs="Arial"/>
          <w:lang w:val="sk-SK"/>
        </w:rPr>
      </w:pPr>
      <w:r w:rsidRPr="008E1ACB">
        <w:rPr>
          <w:rFonts w:cs="Arial"/>
          <w:lang w:val="sk-SK"/>
        </w:rPr>
        <w:t>Tab</w:t>
      </w:r>
      <w:r w:rsidR="00423DF9" w:rsidRPr="0020746A">
        <w:rPr>
          <w:rFonts w:cs="Arial"/>
          <w:lang w:val="sk-SK"/>
        </w:rPr>
        <w:t>uľka</w:t>
      </w:r>
      <w:r w:rsidRPr="00D641FF">
        <w:rPr>
          <w:rFonts w:cs="Arial"/>
          <w:lang w:val="sk-SK"/>
        </w:rPr>
        <w:t xml:space="preserve"> č. </w:t>
      </w:r>
      <w:r w:rsidR="001A1FE2" w:rsidRPr="008E1ACB">
        <w:rPr>
          <w:rFonts w:cs="Arial"/>
          <w:lang w:val="sk-SK"/>
        </w:rPr>
        <w:t>5</w:t>
      </w:r>
      <w:r w:rsidR="007B1CB9">
        <w:rPr>
          <w:rFonts w:cs="Arial"/>
          <w:lang w:val="sk-SK"/>
        </w:rPr>
        <w:t>6</w:t>
      </w:r>
      <w:r w:rsidR="001A1FE2" w:rsidRPr="0020746A">
        <w:rPr>
          <w:rFonts w:cs="Arial"/>
          <w:lang w:val="sk-SK"/>
        </w:rPr>
        <w:t>a</w:t>
      </w:r>
      <w:r w:rsidRPr="00D641FF">
        <w:rPr>
          <w:rFonts w:cs="Arial"/>
          <w:lang w:val="sk-SK"/>
        </w:rPr>
        <w:t xml:space="preserve">: Sledovanie </w:t>
      </w:r>
      <w:r w:rsidR="00423DF9" w:rsidRPr="00D641FF">
        <w:rPr>
          <w:rFonts w:cs="Arial"/>
          <w:lang w:val="sk-SK"/>
        </w:rPr>
        <w:t xml:space="preserve">pokroku v </w:t>
      </w:r>
      <w:r w:rsidRPr="00D641FF">
        <w:rPr>
          <w:rFonts w:cs="Arial"/>
          <w:lang w:val="sk-SK"/>
        </w:rPr>
        <w:t>implementáci</w:t>
      </w:r>
      <w:r w:rsidR="00423DF9" w:rsidRPr="00D641FF">
        <w:rPr>
          <w:rFonts w:cs="Arial"/>
          <w:lang w:val="sk-SK"/>
        </w:rPr>
        <w:t>i</w:t>
      </w:r>
      <w:r w:rsidRPr="00D641FF">
        <w:rPr>
          <w:rFonts w:cs="Arial"/>
          <w:lang w:val="sk-SK"/>
        </w:rPr>
        <w:t xml:space="preserve"> prioritnej osi 4 k </w:t>
      </w:r>
      <w:r w:rsidR="00AB6D93">
        <w:rPr>
          <w:rFonts w:cs="Arial"/>
          <w:lang w:val="sk-SK"/>
        </w:rPr>
        <w:t>31</w:t>
      </w:r>
      <w:r w:rsidRPr="00D641FF">
        <w:rPr>
          <w:rFonts w:cs="Arial"/>
          <w:lang w:val="sk-SK"/>
        </w:rPr>
        <w:t>.</w:t>
      </w:r>
      <w:r w:rsidR="00AB6D93">
        <w:rPr>
          <w:rFonts w:cs="Arial"/>
          <w:lang w:val="sk-SK"/>
        </w:rPr>
        <w:t>10</w:t>
      </w:r>
      <w:r w:rsidRPr="00D641FF">
        <w:rPr>
          <w:rFonts w:cs="Arial"/>
          <w:lang w:val="sk-SK"/>
        </w:rPr>
        <w:t>.</w:t>
      </w:r>
      <w:r w:rsidR="000823BC">
        <w:rPr>
          <w:rFonts w:cs="Arial"/>
          <w:lang w:val="sk-SK"/>
        </w:rPr>
        <w:t>2016</w:t>
      </w:r>
    </w:p>
    <w:tbl>
      <w:tblPr>
        <w:tblW w:w="9180" w:type="dxa"/>
        <w:tblInd w:w="55" w:type="dxa"/>
        <w:tblCellMar>
          <w:left w:w="70" w:type="dxa"/>
          <w:right w:w="70" w:type="dxa"/>
        </w:tblCellMar>
        <w:tblLook w:val="04A0" w:firstRow="1" w:lastRow="0" w:firstColumn="1" w:lastColumn="0" w:noHBand="0" w:noVBand="1"/>
      </w:tblPr>
      <w:tblGrid>
        <w:gridCol w:w="1880"/>
        <w:gridCol w:w="1460"/>
        <w:gridCol w:w="1460"/>
        <w:gridCol w:w="1460"/>
        <w:gridCol w:w="1460"/>
        <w:gridCol w:w="1460"/>
      </w:tblGrid>
      <w:tr w:rsidR="00D90D3D" w:rsidRPr="00E21C60" w14:paraId="37FEAAC2"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7EE5109" w14:textId="77777777" w:rsidR="00D90D3D" w:rsidRPr="00E21C60" w:rsidRDefault="0079794E">
            <w:pPr>
              <w:jc w:val="center"/>
              <w:rPr>
                <w:rFonts w:ascii="Arial" w:hAnsi="Arial" w:cs="Arial"/>
                <w:b/>
                <w:bCs/>
                <w:color w:val="000000"/>
                <w:sz w:val="16"/>
                <w:szCs w:val="16"/>
              </w:rPr>
            </w:pPr>
            <w:r>
              <w:rPr>
                <w:rFonts w:ascii="Arial" w:hAnsi="Arial" w:cs="Arial"/>
                <w:b/>
                <w:bCs/>
                <w:color w:val="000000"/>
                <w:sz w:val="16"/>
                <w:szCs w:val="16"/>
              </w:rPr>
              <w:t>Prioritná</w:t>
            </w:r>
            <w:r w:rsidRPr="00E21C60">
              <w:rPr>
                <w:rFonts w:ascii="Arial" w:hAnsi="Arial" w:cs="Arial"/>
                <w:b/>
                <w:bCs/>
                <w:color w:val="000000"/>
                <w:sz w:val="16"/>
                <w:szCs w:val="16"/>
              </w:rPr>
              <w:t xml:space="preserve"> </w:t>
            </w:r>
            <w:r w:rsidR="00D90D3D" w:rsidRPr="00E21C60">
              <w:rPr>
                <w:rFonts w:ascii="Arial" w:hAnsi="Arial" w:cs="Arial"/>
                <w:b/>
                <w:bCs/>
                <w:color w:val="000000"/>
                <w:sz w:val="16"/>
                <w:szCs w:val="16"/>
              </w:rPr>
              <w:t>téma</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CA79AA3"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Počet prijatých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4E44D49"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Počet schválených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575BCD7"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Počet zazmluvnených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0DA5D59"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Počet riadne ukončených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43BDF9E"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Počet mimoriadne ukončených projektov</w:t>
            </w:r>
          </w:p>
        </w:tc>
      </w:tr>
      <w:tr w:rsidR="00EB074F" w:rsidRPr="00E21C60" w14:paraId="3CDABE5F" w14:textId="77777777" w:rsidTr="00EB074F">
        <w:trPr>
          <w:trHeight w:val="9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3FE99FC8" w14:textId="77777777" w:rsidR="00EB074F" w:rsidRPr="00E21C60" w:rsidRDefault="00EB074F" w:rsidP="00EB074F">
            <w:pPr>
              <w:rPr>
                <w:rFonts w:ascii="Arial" w:hAnsi="Arial" w:cs="Arial"/>
                <w:color w:val="000000"/>
                <w:sz w:val="16"/>
                <w:szCs w:val="16"/>
              </w:rPr>
            </w:pPr>
            <w:r w:rsidRPr="00E21C60">
              <w:rPr>
                <w:rFonts w:ascii="Arial" w:hAnsi="Arial" w:cs="Arial"/>
                <w:color w:val="000000"/>
                <w:sz w:val="16"/>
                <w:szCs w:val="16"/>
              </w:rPr>
              <w:t>44 - Hospodárenie</w:t>
            </w:r>
            <w:r w:rsidRPr="00E21C60">
              <w:rPr>
                <w:rFonts w:ascii="Arial" w:hAnsi="Arial" w:cs="Arial"/>
                <w:color w:val="000000"/>
                <w:sz w:val="16"/>
                <w:szCs w:val="16"/>
              </w:rPr>
              <w:br/>
              <w:t xml:space="preserve">s domácim </w:t>
            </w:r>
            <w:r w:rsidRPr="00E21C60">
              <w:rPr>
                <w:rFonts w:ascii="Arial" w:hAnsi="Arial" w:cs="Arial"/>
                <w:color w:val="000000"/>
                <w:sz w:val="16"/>
                <w:szCs w:val="16"/>
              </w:rPr>
              <w:br/>
              <w:t xml:space="preserve">a priemyselným </w:t>
            </w:r>
            <w:r w:rsidRPr="00E21C60">
              <w:rPr>
                <w:rFonts w:ascii="Arial" w:hAnsi="Arial" w:cs="Arial"/>
                <w:color w:val="000000"/>
                <w:sz w:val="16"/>
                <w:szCs w:val="16"/>
              </w:rPr>
              <w:br/>
              <w:t>odpadom</w:t>
            </w:r>
          </w:p>
        </w:tc>
        <w:tc>
          <w:tcPr>
            <w:tcW w:w="1460" w:type="dxa"/>
            <w:tcBorders>
              <w:top w:val="nil"/>
              <w:left w:val="nil"/>
              <w:bottom w:val="single" w:sz="4" w:space="0" w:color="auto"/>
              <w:right w:val="single" w:sz="4" w:space="0" w:color="auto"/>
            </w:tcBorders>
            <w:shd w:val="clear" w:color="auto" w:fill="auto"/>
            <w:noWrap/>
            <w:vAlign w:val="center"/>
            <w:hideMark/>
          </w:tcPr>
          <w:p w14:paraId="00A38431" w14:textId="6C2EAD69"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1519</w:t>
            </w:r>
          </w:p>
        </w:tc>
        <w:tc>
          <w:tcPr>
            <w:tcW w:w="1460" w:type="dxa"/>
            <w:tcBorders>
              <w:top w:val="nil"/>
              <w:left w:val="nil"/>
              <w:bottom w:val="single" w:sz="4" w:space="0" w:color="auto"/>
              <w:right w:val="single" w:sz="4" w:space="0" w:color="auto"/>
            </w:tcBorders>
            <w:shd w:val="clear" w:color="auto" w:fill="auto"/>
            <w:noWrap/>
            <w:vAlign w:val="center"/>
            <w:hideMark/>
          </w:tcPr>
          <w:p w14:paraId="1C12F8AF" w14:textId="313BCFCE"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284</w:t>
            </w:r>
          </w:p>
        </w:tc>
        <w:tc>
          <w:tcPr>
            <w:tcW w:w="1460" w:type="dxa"/>
            <w:tcBorders>
              <w:top w:val="nil"/>
              <w:left w:val="nil"/>
              <w:bottom w:val="single" w:sz="4" w:space="0" w:color="auto"/>
              <w:right w:val="single" w:sz="4" w:space="0" w:color="auto"/>
            </w:tcBorders>
            <w:shd w:val="clear" w:color="auto" w:fill="auto"/>
            <w:noWrap/>
            <w:vAlign w:val="center"/>
            <w:hideMark/>
          </w:tcPr>
          <w:p w14:paraId="1EDB23D9" w14:textId="36B9CDB0"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266</w:t>
            </w:r>
          </w:p>
        </w:tc>
        <w:tc>
          <w:tcPr>
            <w:tcW w:w="1460" w:type="dxa"/>
            <w:tcBorders>
              <w:top w:val="nil"/>
              <w:left w:val="nil"/>
              <w:bottom w:val="single" w:sz="4" w:space="0" w:color="auto"/>
              <w:right w:val="single" w:sz="4" w:space="0" w:color="auto"/>
            </w:tcBorders>
            <w:shd w:val="clear" w:color="auto" w:fill="auto"/>
            <w:noWrap/>
            <w:vAlign w:val="center"/>
            <w:hideMark/>
          </w:tcPr>
          <w:p w14:paraId="57FB0BBE" w14:textId="5EBFD4A2"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265</w:t>
            </w:r>
          </w:p>
        </w:tc>
        <w:tc>
          <w:tcPr>
            <w:tcW w:w="1460" w:type="dxa"/>
            <w:tcBorders>
              <w:top w:val="nil"/>
              <w:left w:val="nil"/>
              <w:bottom w:val="single" w:sz="4" w:space="0" w:color="auto"/>
              <w:right w:val="single" w:sz="4" w:space="0" w:color="auto"/>
            </w:tcBorders>
            <w:shd w:val="clear" w:color="auto" w:fill="auto"/>
            <w:noWrap/>
            <w:vAlign w:val="center"/>
            <w:hideMark/>
          </w:tcPr>
          <w:p w14:paraId="54FE5A4A" w14:textId="0C078AC1" w:rsidR="00EB074F" w:rsidRPr="00EB074F" w:rsidRDefault="0024347F" w:rsidP="00EB074F">
            <w:pPr>
              <w:jc w:val="center"/>
              <w:rPr>
                <w:rFonts w:ascii="Arial" w:hAnsi="Arial" w:cs="Arial"/>
                <w:bCs/>
                <w:color w:val="000000"/>
                <w:sz w:val="16"/>
                <w:szCs w:val="16"/>
              </w:rPr>
            </w:pPr>
            <w:r>
              <w:rPr>
                <w:rFonts w:ascii="Arial" w:hAnsi="Arial" w:cs="Arial"/>
                <w:bCs/>
                <w:color w:val="000000"/>
                <w:sz w:val="16"/>
                <w:szCs w:val="16"/>
              </w:rPr>
              <w:t>19</w:t>
            </w:r>
            <w:r w:rsidR="00EB074F" w:rsidRPr="00EB074F">
              <w:rPr>
                <w:rFonts w:ascii="Arial" w:hAnsi="Arial" w:cs="Arial"/>
                <w:bCs/>
                <w:color w:val="000000"/>
                <w:sz w:val="16"/>
                <w:szCs w:val="16"/>
              </w:rPr>
              <w:t>*</w:t>
            </w:r>
          </w:p>
        </w:tc>
      </w:tr>
      <w:tr w:rsidR="00EB074F" w:rsidRPr="00E21C60" w14:paraId="33FE4937" w14:textId="77777777" w:rsidTr="00EB074F">
        <w:trPr>
          <w:trHeight w:val="675"/>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2EC61529" w14:textId="77777777" w:rsidR="00EB074F" w:rsidRPr="00E21C60" w:rsidRDefault="00EB074F" w:rsidP="00EB074F">
            <w:pPr>
              <w:rPr>
                <w:rFonts w:ascii="Arial" w:hAnsi="Arial" w:cs="Arial"/>
                <w:color w:val="000000"/>
                <w:sz w:val="16"/>
                <w:szCs w:val="16"/>
              </w:rPr>
            </w:pPr>
            <w:r w:rsidRPr="00E21C60">
              <w:rPr>
                <w:rFonts w:ascii="Arial" w:hAnsi="Arial" w:cs="Arial"/>
                <w:color w:val="000000"/>
                <w:sz w:val="16"/>
                <w:szCs w:val="16"/>
              </w:rPr>
              <w:t xml:space="preserve">50 - Ozdravovanie </w:t>
            </w:r>
            <w:r w:rsidRPr="00E21C60">
              <w:rPr>
                <w:rFonts w:ascii="Arial" w:hAnsi="Arial" w:cs="Arial"/>
                <w:color w:val="000000"/>
                <w:sz w:val="16"/>
                <w:szCs w:val="16"/>
              </w:rPr>
              <w:br/>
              <w:t xml:space="preserve">priemyselných lokalít </w:t>
            </w:r>
            <w:r w:rsidRPr="00E21C60">
              <w:rPr>
                <w:rFonts w:ascii="Arial" w:hAnsi="Arial" w:cs="Arial"/>
                <w:color w:val="000000"/>
                <w:sz w:val="16"/>
                <w:szCs w:val="16"/>
              </w:rPr>
              <w:br/>
              <w:t>a kontaminovanej pôdy</w:t>
            </w:r>
          </w:p>
        </w:tc>
        <w:tc>
          <w:tcPr>
            <w:tcW w:w="1460" w:type="dxa"/>
            <w:tcBorders>
              <w:top w:val="nil"/>
              <w:left w:val="nil"/>
              <w:bottom w:val="single" w:sz="4" w:space="0" w:color="auto"/>
              <w:right w:val="single" w:sz="4" w:space="0" w:color="auto"/>
            </w:tcBorders>
            <w:shd w:val="clear" w:color="auto" w:fill="auto"/>
            <w:noWrap/>
            <w:vAlign w:val="center"/>
            <w:hideMark/>
          </w:tcPr>
          <w:p w14:paraId="002686C9" w14:textId="7FD73E12"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24</w:t>
            </w:r>
          </w:p>
        </w:tc>
        <w:tc>
          <w:tcPr>
            <w:tcW w:w="1460" w:type="dxa"/>
            <w:tcBorders>
              <w:top w:val="nil"/>
              <w:left w:val="nil"/>
              <w:bottom w:val="single" w:sz="4" w:space="0" w:color="auto"/>
              <w:right w:val="single" w:sz="4" w:space="0" w:color="auto"/>
            </w:tcBorders>
            <w:shd w:val="clear" w:color="auto" w:fill="auto"/>
            <w:noWrap/>
            <w:vAlign w:val="center"/>
            <w:hideMark/>
          </w:tcPr>
          <w:p w14:paraId="610D8C08" w14:textId="4D459742"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22</w:t>
            </w:r>
          </w:p>
        </w:tc>
        <w:tc>
          <w:tcPr>
            <w:tcW w:w="1460" w:type="dxa"/>
            <w:tcBorders>
              <w:top w:val="nil"/>
              <w:left w:val="nil"/>
              <w:bottom w:val="single" w:sz="4" w:space="0" w:color="auto"/>
              <w:right w:val="single" w:sz="4" w:space="0" w:color="auto"/>
            </w:tcBorders>
            <w:shd w:val="clear" w:color="auto" w:fill="auto"/>
            <w:noWrap/>
            <w:vAlign w:val="center"/>
            <w:hideMark/>
          </w:tcPr>
          <w:p w14:paraId="5FC205E4" w14:textId="0802D6F2"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22</w:t>
            </w:r>
          </w:p>
        </w:tc>
        <w:tc>
          <w:tcPr>
            <w:tcW w:w="1460" w:type="dxa"/>
            <w:tcBorders>
              <w:top w:val="nil"/>
              <w:left w:val="nil"/>
              <w:bottom w:val="single" w:sz="4" w:space="0" w:color="auto"/>
              <w:right w:val="single" w:sz="4" w:space="0" w:color="auto"/>
            </w:tcBorders>
            <w:shd w:val="clear" w:color="auto" w:fill="auto"/>
            <w:noWrap/>
            <w:vAlign w:val="center"/>
            <w:hideMark/>
          </w:tcPr>
          <w:p w14:paraId="3168F523" w14:textId="4D79DDFA"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22</w:t>
            </w:r>
          </w:p>
        </w:tc>
        <w:tc>
          <w:tcPr>
            <w:tcW w:w="1460" w:type="dxa"/>
            <w:tcBorders>
              <w:top w:val="nil"/>
              <w:left w:val="nil"/>
              <w:bottom w:val="single" w:sz="4" w:space="0" w:color="auto"/>
              <w:right w:val="single" w:sz="4" w:space="0" w:color="auto"/>
            </w:tcBorders>
            <w:shd w:val="clear" w:color="auto" w:fill="auto"/>
            <w:noWrap/>
            <w:vAlign w:val="center"/>
            <w:hideMark/>
          </w:tcPr>
          <w:p w14:paraId="22911C7A" w14:textId="22644E3E"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0</w:t>
            </w:r>
          </w:p>
        </w:tc>
      </w:tr>
      <w:tr w:rsidR="00EB074F" w:rsidRPr="00E21C60" w14:paraId="6360A8D8" w14:textId="77777777" w:rsidTr="00EB074F">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3D4B951A" w14:textId="77777777" w:rsidR="00EB074F" w:rsidRPr="00E21C60" w:rsidRDefault="00EB074F" w:rsidP="00EB074F">
            <w:pPr>
              <w:rPr>
                <w:rFonts w:ascii="Arial" w:hAnsi="Arial" w:cs="Arial"/>
                <w:b/>
                <w:bCs/>
                <w:color w:val="000000"/>
                <w:sz w:val="16"/>
                <w:szCs w:val="16"/>
              </w:rPr>
            </w:pPr>
            <w:r w:rsidRPr="00E21C60">
              <w:rPr>
                <w:rFonts w:ascii="Arial" w:hAnsi="Arial" w:cs="Arial"/>
                <w:b/>
                <w:bCs/>
                <w:color w:val="000000"/>
                <w:sz w:val="16"/>
                <w:szCs w:val="16"/>
              </w:rPr>
              <w:t>Celkom</w:t>
            </w:r>
          </w:p>
        </w:tc>
        <w:tc>
          <w:tcPr>
            <w:tcW w:w="1460" w:type="dxa"/>
            <w:tcBorders>
              <w:top w:val="nil"/>
              <w:left w:val="nil"/>
              <w:bottom w:val="single" w:sz="4" w:space="0" w:color="auto"/>
              <w:right w:val="single" w:sz="4" w:space="0" w:color="auto"/>
            </w:tcBorders>
            <w:shd w:val="clear" w:color="auto" w:fill="auto"/>
            <w:noWrap/>
            <w:vAlign w:val="center"/>
            <w:hideMark/>
          </w:tcPr>
          <w:p w14:paraId="17A3E349" w14:textId="218EF4E8" w:rsidR="00EB074F" w:rsidRPr="009D13DD" w:rsidRDefault="00EB074F" w:rsidP="00EB074F">
            <w:pPr>
              <w:jc w:val="center"/>
              <w:rPr>
                <w:rFonts w:ascii="Arial" w:hAnsi="Arial" w:cs="Arial"/>
                <w:b/>
                <w:bCs/>
                <w:color w:val="000000"/>
                <w:sz w:val="16"/>
                <w:szCs w:val="16"/>
              </w:rPr>
            </w:pPr>
            <w:r w:rsidRPr="00EB074F">
              <w:rPr>
                <w:rFonts w:ascii="Arial" w:hAnsi="Arial" w:cs="Arial"/>
                <w:b/>
                <w:bCs/>
                <w:color w:val="000000"/>
                <w:sz w:val="16"/>
                <w:szCs w:val="16"/>
              </w:rPr>
              <w:t>1 543</w:t>
            </w:r>
          </w:p>
        </w:tc>
        <w:tc>
          <w:tcPr>
            <w:tcW w:w="1460" w:type="dxa"/>
            <w:tcBorders>
              <w:top w:val="nil"/>
              <w:left w:val="nil"/>
              <w:bottom w:val="single" w:sz="4" w:space="0" w:color="auto"/>
              <w:right w:val="single" w:sz="4" w:space="0" w:color="auto"/>
            </w:tcBorders>
            <w:shd w:val="clear" w:color="auto" w:fill="auto"/>
            <w:noWrap/>
            <w:vAlign w:val="center"/>
            <w:hideMark/>
          </w:tcPr>
          <w:p w14:paraId="05531D06" w14:textId="76E0EE3B" w:rsidR="00EB074F" w:rsidRPr="009D13DD" w:rsidRDefault="00EB074F" w:rsidP="00EB074F">
            <w:pPr>
              <w:jc w:val="center"/>
              <w:rPr>
                <w:rFonts w:ascii="Arial" w:hAnsi="Arial" w:cs="Arial"/>
                <w:b/>
                <w:bCs/>
                <w:color w:val="000000"/>
                <w:sz w:val="16"/>
                <w:szCs w:val="16"/>
              </w:rPr>
            </w:pPr>
            <w:r w:rsidRPr="00EB074F">
              <w:rPr>
                <w:rFonts w:ascii="Arial" w:hAnsi="Arial" w:cs="Arial"/>
                <w:b/>
                <w:bCs/>
                <w:color w:val="000000"/>
                <w:sz w:val="16"/>
                <w:szCs w:val="16"/>
              </w:rPr>
              <w:t>306</w:t>
            </w:r>
          </w:p>
        </w:tc>
        <w:tc>
          <w:tcPr>
            <w:tcW w:w="1460" w:type="dxa"/>
            <w:tcBorders>
              <w:top w:val="nil"/>
              <w:left w:val="nil"/>
              <w:bottom w:val="single" w:sz="4" w:space="0" w:color="auto"/>
              <w:right w:val="single" w:sz="4" w:space="0" w:color="auto"/>
            </w:tcBorders>
            <w:shd w:val="clear" w:color="auto" w:fill="auto"/>
            <w:noWrap/>
            <w:vAlign w:val="center"/>
            <w:hideMark/>
          </w:tcPr>
          <w:p w14:paraId="608D16D1" w14:textId="27C53E2C" w:rsidR="00EB074F" w:rsidRPr="009D13DD" w:rsidRDefault="00EB074F" w:rsidP="00EB074F">
            <w:pPr>
              <w:jc w:val="center"/>
              <w:rPr>
                <w:rFonts w:ascii="Arial" w:hAnsi="Arial" w:cs="Arial"/>
                <w:b/>
                <w:bCs/>
                <w:color w:val="000000"/>
                <w:sz w:val="16"/>
                <w:szCs w:val="16"/>
              </w:rPr>
            </w:pPr>
            <w:r w:rsidRPr="00EB074F">
              <w:rPr>
                <w:rFonts w:ascii="Arial" w:hAnsi="Arial" w:cs="Arial"/>
                <w:b/>
                <w:bCs/>
                <w:color w:val="000000"/>
                <w:sz w:val="16"/>
                <w:szCs w:val="16"/>
              </w:rPr>
              <w:t>288</w:t>
            </w:r>
          </w:p>
        </w:tc>
        <w:tc>
          <w:tcPr>
            <w:tcW w:w="1460" w:type="dxa"/>
            <w:tcBorders>
              <w:top w:val="nil"/>
              <w:left w:val="nil"/>
              <w:bottom w:val="single" w:sz="4" w:space="0" w:color="auto"/>
              <w:right w:val="single" w:sz="4" w:space="0" w:color="auto"/>
            </w:tcBorders>
            <w:shd w:val="clear" w:color="auto" w:fill="auto"/>
            <w:noWrap/>
            <w:vAlign w:val="center"/>
            <w:hideMark/>
          </w:tcPr>
          <w:p w14:paraId="1FB12D24" w14:textId="6AC677F0" w:rsidR="00EB074F" w:rsidRPr="009D13DD" w:rsidRDefault="00EB074F" w:rsidP="00EB074F">
            <w:pPr>
              <w:jc w:val="center"/>
              <w:rPr>
                <w:rFonts w:ascii="Arial" w:hAnsi="Arial" w:cs="Arial"/>
                <w:b/>
                <w:bCs/>
                <w:color w:val="000000"/>
                <w:sz w:val="16"/>
                <w:szCs w:val="16"/>
              </w:rPr>
            </w:pPr>
            <w:r w:rsidRPr="00EB074F">
              <w:rPr>
                <w:rFonts w:ascii="Arial" w:hAnsi="Arial" w:cs="Arial"/>
                <w:b/>
                <w:bCs/>
                <w:color w:val="000000"/>
                <w:sz w:val="16"/>
                <w:szCs w:val="16"/>
              </w:rPr>
              <w:t>287</w:t>
            </w:r>
          </w:p>
        </w:tc>
        <w:tc>
          <w:tcPr>
            <w:tcW w:w="1460" w:type="dxa"/>
            <w:tcBorders>
              <w:top w:val="nil"/>
              <w:left w:val="nil"/>
              <w:bottom w:val="single" w:sz="4" w:space="0" w:color="auto"/>
              <w:right w:val="single" w:sz="4" w:space="0" w:color="auto"/>
            </w:tcBorders>
            <w:shd w:val="clear" w:color="auto" w:fill="auto"/>
            <w:noWrap/>
            <w:vAlign w:val="center"/>
            <w:hideMark/>
          </w:tcPr>
          <w:p w14:paraId="6B1D700E" w14:textId="1862CCAE" w:rsidR="00EB074F" w:rsidRPr="009D13DD" w:rsidRDefault="0024347F" w:rsidP="00EB074F">
            <w:pPr>
              <w:jc w:val="center"/>
              <w:rPr>
                <w:rFonts w:ascii="Arial" w:hAnsi="Arial" w:cs="Arial"/>
                <w:b/>
                <w:bCs/>
                <w:color w:val="000000"/>
                <w:sz w:val="16"/>
                <w:szCs w:val="16"/>
              </w:rPr>
            </w:pPr>
            <w:r>
              <w:rPr>
                <w:rFonts w:ascii="Arial" w:hAnsi="Arial" w:cs="Arial"/>
                <w:b/>
                <w:bCs/>
                <w:color w:val="000000"/>
                <w:sz w:val="16"/>
                <w:szCs w:val="16"/>
              </w:rPr>
              <w:t>19</w:t>
            </w:r>
            <w:r w:rsidR="00EB074F" w:rsidRPr="00EB074F">
              <w:rPr>
                <w:rFonts w:ascii="Arial" w:hAnsi="Arial" w:cs="Arial"/>
                <w:b/>
                <w:bCs/>
                <w:color w:val="000000"/>
                <w:sz w:val="16"/>
                <w:szCs w:val="16"/>
              </w:rPr>
              <w:t>*</w:t>
            </w:r>
          </w:p>
        </w:tc>
      </w:tr>
    </w:tbl>
    <w:p w14:paraId="085FAAC9" w14:textId="4ECA8535" w:rsidR="007C1BE1" w:rsidRPr="0008447E" w:rsidRDefault="007C1BE1" w:rsidP="0008447E">
      <w:pPr>
        <w:pStyle w:val="Zkladntextb"/>
        <w:spacing w:after="120" w:line="240" w:lineRule="auto"/>
        <w:ind w:left="0"/>
        <w:rPr>
          <w:rFonts w:cs="Arial"/>
          <w:sz w:val="16"/>
          <w:szCs w:val="16"/>
          <w:lang w:val="sk-SK"/>
        </w:rPr>
      </w:pPr>
      <w:r w:rsidRPr="008D23BD">
        <w:rPr>
          <w:rFonts w:cs="Arial"/>
          <w:sz w:val="16"/>
          <w:szCs w:val="16"/>
          <w:lang w:val="sk-SK"/>
        </w:rPr>
        <w:t xml:space="preserve">* </w:t>
      </w:r>
      <w:r>
        <w:rPr>
          <w:rFonts w:cs="Arial"/>
          <w:sz w:val="16"/>
          <w:szCs w:val="16"/>
          <w:lang w:val="sk-SK"/>
        </w:rPr>
        <w:t>Do u</w:t>
      </w:r>
      <w:r w:rsidRPr="008D23BD">
        <w:rPr>
          <w:rFonts w:cs="Arial"/>
          <w:sz w:val="16"/>
          <w:szCs w:val="16"/>
          <w:lang w:val="sk-SK"/>
        </w:rPr>
        <w:t>veden</w:t>
      </w:r>
      <w:r>
        <w:rPr>
          <w:rFonts w:cs="Arial"/>
          <w:sz w:val="16"/>
          <w:szCs w:val="16"/>
          <w:lang w:val="sk-SK"/>
        </w:rPr>
        <w:t>ého</w:t>
      </w:r>
      <w:r w:rsidRPr="008D23BD">
        <w:rPr>
          <w:rFonts w:cs="Arial"/>
          <w:sz w:val="16"/>
          <w:szCs w:val="16"/>
          <w:lang w:val="sk-SK"/>
        </w:rPr>
        <w:t xml:space="preserve"> počt</w:t>
      </w:r>
      <w:r>
        <w:rPr>
          <w:rFonts w:cs="Arial"/>
          <w:sz w:val="16"/>
          <w:szCs w:val="16"/>
          <w:lang w:val="sk-SK"/>
        </w:rPr>
        <w:t>u</w:t>
      </w:r>
      <w:r w:rsidRPr="008D23BD">
        <w:rPr>
          <w:rFonts w:cs="Arial"/>
          <w:sz w:val="16"/>
          <w:szCs w:val="16"/>
          <w:lang w:val="sk-SK"/>
        </w:rPr>
        <w:t xml:space="preserve"> </w:t>
      </w:r>
      <w:r>
        <w:rPr>
          <w:rFonts w:cs="Arial"/>
          <w:sz w:val="16"/>
          <w:szCs w:val="16"/>
          <w:lang w:val="sk-SK"/>
        </w:rPr>
        <w:t xml:space="preserve">mimoriadne ukončených projektov nie </w:t>
      </w:r>
      <w:r w:rsidR="0024347F">
        <w:rPr>
          <w:rFonts w:cs="Arial"/>
          <w:sz w:val="16"/>
          <w:szCs w:val="16"/>
          <w:lang w:val="sk-SK"/>
        </w:rPr>
        <w:t>sú započítané</w:t>
      </w:r>
      <w:r>
        <w:rPr>
          <w:rFonts w:cs="Arial"/>
          <w:sz w:val="16"/>
          <w:szCs w:val="16"/>
          <w:lang w:val="sk-SK"/>
        </w:rPr>
        <w:t xml:space="preserve"> </w:t>
      </w:r>
      <w:r w:rsidR="0024347F">
        <w:rPr>
          <w:rFonts w:cs="Arial"/>
          <w:sz w:val="16"/>
          <w:szCs w:val="16"/>
          <w:lang w:val="sk-SK"/>
        </w:rPr>
        <w:t>tri</w:t>
      </w:r>
      <w:r>
        <w:rPr>
          <w:rFonts w:cs="Arial"/>
          <w:sz w:val="16"/>
          <w:szCs w:val="16"/>
          <w:lang w:val="sk-SK"/>
        </w:rPr>
        <w:t xml:space="preserve"> projekt</w:t>
      </w:r>
      <w:r w:rsidR="0024347F">
        <w:rPr>
          <w:rFonts w:cs="Arial"/>
          <w:sz w:val="16"/>
          <w:szCs w:val="16"/>
          <w:lang w:val="sk-SK"/>
        </w:rPr>
        <w:t>y</w:t>
      </w:r>
      <w:r>
        <w:rPr>
          <w:rFonts w:cs="Arial"/>
          <w:sz w:val="16"/>
          <w:szCs w:val="16"/>
          <w:lang w:val="sk-SK"/>
        </w:rPr>
        <w:t>, pri ktor</w:t>
      </w:r>
      <w:r w:rsidR="0024347F">
        <w:rPr>
          <w:rFonts w:cs="Arial"/>
          <w:sz w:val="16"/>
          <w:szCs w:val="16"/>
          <w:lang w:val="sk-SK"/>
        </w:rPr>
        <w:t>ých</w:t>
      </w:r>
      <w:r>
        <w:rPr>
          <w:rFonts w:cs="Arial"/>
          <w:sz w:val="16"/>
          <w:szCs w:val="16"/>
          <w:lang w:val="sk-SK"/>
        </w:rPr>
        <w:t xml:space="preserve"> nedošlo k zazmluvneniu.  </w:t>
      </w:r>
    </w:p>
    <w:p w14:paraId="6C90DF0F" w14:textId="6EA79E40" w:rsidR="00423DF9" w:rsidRPr="00D641FF" w:rsidRDefault="00423DF9" w:rsidP="00123376">
      <w:pPr>
        <w:pStyle w:val="Zkladntextb"/>
        <w:spacing w:before="120" w:after="0" w:line="240" w:lineRule="auto"/>
        <w:ind w:left="0"/>
        <w:jc w:val="both"/>
        <w:rPr>
          <w:rFonts w:cs="Arial"/>
          <w:lang w:val="sk-SK"/>
        </w:rPr>
      </w:pPr>
      <w:r w:rsidRPr="008E1ACB">
        <w:rPr>
          <w:rFonts w:cs="Arial"/>
          <w:lang w:val="sk-SK"/>
        </w:rPr>
        <w:t xml:space="preserve">Tabuľka č. </w:t>
      </w:r>
      <w:r w:rsidR="001A1FE2" w:rsidRPr="0020746A">
        <w:rPr>
          <w:rFonts w:cs="Arial"/>
          <w:lang w:val="sk-SK"/>
        </w:rPr>
        <w:t>5</w:t>
      </w:r>
      <w:r w:rsidR="007B1CB9">
        <w:rPr>
          <w:rFonts w:cs="Arial"/>
          <w:lang w:val="sk-SK"/>
        </w:rPr>
        <w:t>6</w:t>
      </w:r>
      <w:r w:rsidR="001A1FE2" w:rsidRPr="00D641FF">
        <w:rPr>
          <w:rFonts w:cs="Arial"/>
          <w:lang w:val="sk-SK"/>
        </w:rPr>
        <w:t>b</w:t>
      </w:r>
      <w:r w:rsidRPr="00D641FF">
        <w:rPr>
          <w:rFonts w:cs="Arial"/>
          <w:lang w:val="sk-SK"/>
        </w:rPr>
        <w:t>: Finančné vyjadrenie pokroku v implementácii prioritnej osi 4 k 31.</w:t>
      </w:r>
      <w:r w:rsidR="00963B10">
        <w:rPr>
          <w:rFonts w:cs="Arial"/>
          <w:lang w:val="sk-SK"/>
        </w:rPr>
        <w:t>10</w:t>
      </w:r>
      <w:r w:rsidRPr="00D641FF">
        <w:rPr>
          <w:rFonts w:cs="Arial"/>
          <w:lang w:val="sk-SK"/>
        </w:rPr>
        <w:t>.</w:t>
      </w:r>
      <w:r w:rsidR="00005375">
        <w:rPr>
          <w:rFonts w:cs="Arial"/>
          <w:lang w:val="sk-SK"/>
        </w:rPr>
        <w:t>201</w:t>
      </w:r>
      <w:r w:rsidR="00963B10">
        <w:rPr>
          <w:rFonts w:cs="Arial"/>
          <w:lang w:val="sk-SK"/>
        </w:rPr>
        <w:t>6</w:t>
      </w:r>
      <w:r w:rsidR="00005375" w:rsidRPr="00D641FF">
        <w:rPr>
          <w:rFonts w:cs="Arial"/>
          <w:lang w:val="sk-SK"/>
        </w:rPr>
        <w:t xml:space="preserve"> </w:t>
      </w:r>
      <w:r w:rsidR="00A018A4" w:rsidRPr="00D641FF">
        <w:rPr>
          <w:rFonts w:cs="Arial"/>
          <w:lang w:val="sk-SK"/>
        </w:rPr>
        <w:t xml:space="preserve">(v €) </w:t>
      </w:r>
    </w:p>
    <w:tbl>
      <w:tblPr>
        <w:tblW w:w="9200" w:type="dxa"/>
        <w:tblInd w:w="55" w:type="dxa"/>
        <w:tblCellMar>
          <w:left w:w="70" w:type="dxa"/>
          <w:right w:w="70" w:type="dxa"/>
        </w:tblCellMar>
        <w:tblLook w:val="04A0" w:firstRow="1" w:lastRow="0" w:firstColumn="1" w:lastColumn="0" w:noHBand="0" w:noVBand="1"/>
      </w:tblPr>
      <w:tblGrid>
        <w:gridCol w:w="1880"/>
        <w:gridCol w:w="1180"/>
        <w:gridCol w:w="1180"/>
        <w:gridCol w:w="1180"/>
        <w:gridCol w:w="1400"/>
        <w:gridCol w:w="1200"/>
        <w:gridCol w:w="1180"/>
      </w:tblGrid>
      <w:tr w:rsidR="00D90D3D" w:rsidRPr="00E21C60" w14:paraId="5D49E5A2"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CCA2608" w14:textId="77777777" w:rsidR="00D90D3D" w:rsidRPr="00E21C60" w:rsidRDefault="0079794E">
            <w:pPr>
              <w:jc w:val="center"/>
              <w:rPr>
                <w:rFonts w:ascii="Arial" w:hAnsi="Arial" w:cs="Arial"/>
                <w:b/>
                <w:bCs/>
                <w:color w:val="000000"/>
                <w:sz w:val="16"/>
                <w:szCs w:val="16"/>
              </w:rPr>
            </w:pPr>
            <w:r>
              <w:rPr>
                <w:rFonts w:ascii="Arial" w:hAnsi="Arial" w:cs="Arial"/>
                <w:b/>
                <w:bCs/>
                <w:color w:val="000000"/>
                <w:sz w:val="16"/>
                <w:szCs w:val="16"/>
              </w:rPr>
              <w:t>Prioritná</w:t>
            </w:r>
            <w:r w:rsidRPr="00E21C60">
              <w:rPr>
                <w:rFonts w:ascii="Arial" w:hAnsi="Arial" w:cs="Arial"/>
                <w:b/>
                <w:bCs/>
                <w:color w:val="000000"/>
                <w:sz w:val="16"/>
                <w:szCs w:val="16"/>
              </w:rPr>
              <w:t xml:space="preserve"> </w:t>
            </w:r>
            <w:r w:rsidR="00D90D3D" w:rsidRPr="00E21C60">
              <w:rPr>
                <w:rFonts w:ascii="Arial" w:hAnsi="Arial" w:cs="Arial"/>
                <w:b/>
                <w:bCs/>
                <w:color w:val="000000"/>
                <w:sz w:val="16"/>
                <w:szCs w:val="16"/>
              </w:rPr>
              <w:t>téma</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221C3D1"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Alokácia za zdroj EÚ+ŠR</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4620AA2"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 xml:space="preserve">Výška žiadaného príspevku (NFP)  </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03EBD4B"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 xml:space="preserve">Výška schváleného príspevku (NFP) </w:t>
            </w:r>
          </w:p>
        </w:tc>
        <w:tc>
          <w:tcPr>
            <w:tcW w:w="14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1F0DB48"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Výška zazmluvnených prostriedkov (NFP)</w:t>
            </w:r>
          </w:p>
        </w:tc>
        <w:tc>
          <w:tcPr>
            <w:tcW w:w="12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0194EB7"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Výška riadne ukončený</w:t>
            </w:r>
            <w:r w:rsidR="00F84B5C" w:rsidRPr="00E21C60">
              <w:rPr>
                <w:rFonts w:ascii="Arial" w:hAnsi="Arial" w:cs="Arial"/>
                <w:b/>
                <w:bCs/>
                <w:color w:val="000000"/>
                <w:sz w:val="16"/>
                <w:szCs w:val="16"/>
              </w:rPr>
              <w:t>ch projektov</w:t>
            </w:r>
            <w:r w:rsidRPr="00E21C60">
              <w:rPr>
                <w:rFonts w:ascii="Arial" w:hAnsi="Arial" w:cs="Arial"/>
                <w:b/>
                <w:bCs/>
                <w:color w:val="000000"/>
                <w:sz w:val="16"/>
                <w:szCs w:val="16"/>
                <w:vertAlign w:val="superscript"/>
              </w:rPr>
              <w:t>1</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5EDC276" w14:textId="77777777" w:rsidR="00D90D3D" w:rsidRPr="00E21C60" w:rsidRDefault="00D90D3D">
            <w:pPr>
              <w:jc w:val="center"/>
              <w:rPr>
                <w:rFonts w:ascii="Arial" w:hAnsi="Arial" w:cs="Arial"/>
                <w:b/>
                <w:bCs/>
                <w:color w:val="000000"/>
                <w:sz w:val="16"/>
                <w:szCs w:val="16"/>
              </w:rPr>
            </w:pPr>
            <w:r w:rsidRPr="00E21C60">
              <w:rPr>
                <w:rFonts w:ascii="Arial" w:hAnsi="Arial" w:cs="Arial"/>
                <w:b/>
                <w:bCs/>
                <w:color w:val="000000"/>
                <w:sz w:val="16"/>
                <w:szCs w:val="16"/>
              </w:rPr>
              <w:t>Výška mimoriadne ukončených projektov</w:t>
            </w:r>
          </w:p>
        </w:tc>
      </w:tr>
      <w:tr w:rsidR="00EB074F" w:rsidRPr="00E21C60" w14:paraId="4366299B" w14:textId="77777777" w:rsidTr="00EB074F">
        <w:trPr>
          <w:trHeight w:val="9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76FB5D9A" w14:textId="77777777" w:rsidR="00EB074F" w:rsidRPr="00E21C60" w:rsidRDefault="00EB074F" w:rsidP="00EB074F">
            <w:pPr>
              <w:rPr>
                <w:rFonts w:ascii="Arial" w:hAnsi="Arial" w:cs="Arial"/>
                <w:color w:val="000000"/>
                <w:sz w:val="16"/>
                <w:szCs w:val="16"/>
              </w:rPr>
            </w:pPr>
            <w:r w:rsidRPr="00E21C60">
              <w:rPr>
                <w:rFonts w:ascii="Arial" w:hAnsi="Arial" w:cs="Arial"/>
                <w:color w:val="000000"/>
                <w:sz w:val="16"/>
                <w:szCs w:val="16"/>
              </w:rPr>
              <w:t>44 - Hospodárenie</w:t>
            </w:r>
            <w:r w:rsidRPr="00E21C60">
              <w:rPr>
                <w:rFonts w:ascii="Arial" w:hAnsi="Arial" w:cs="Arial"/>
                <w:color w:val="000000"/>
                <w:sz w:val="16"/>
                <w:szCs w:val="16"/>
              </w:rPr>
              <w:br/>
              <w:t xml:space="preserve"> s domácim </w:t>
            </w:r>
            <w:r w:rsidRPr="00E21C60">
              <w:rPr>
                <w:rFonts w:ascii="Arial" w:hAnsi="Arial" w:cs="Arial"/>
                <w:color w:val="000000"/>
                <w:sz w:val="16"/>
                <w:szCs w:val="16"/>
              </w:rPr>
              <w:br/>
              <w:t xml:space="preserve">a priemyselným </w:t>
            </w:r>
            <w:r w:rsidRPr="00E21C60">
              <w:rPr>
                <w:rFonts w:ascii="Arial" w:hAnsi="Arial" w:cs="Arial"/>
                <w:color w:val="000000"/>
                <w:sz w:val="16"/>
                <w:szCs w:val="16"/>
              </w:rPr>
              <w:br/>
              <w:t>odpadom</w:t>
            </w:r>
          </w:p>
        </w:tc>
        <w:tc>
          <w:tcPr>
            <w:tcW w:w="1180" w:type="dxa"/>
            <w:tcBorders>
              <w:top w:val="nil"/>
              <w:left w:val="nil"/>
              <w:bottom w:val="single" w:sz="4" w:space="0" w:color="auto"/>
              <w:right w:val="single" w:sz="4" w:space="0" w:color="auto"/>
            </w:tcBorders>
            <w:shd w:val="clear" w:color="auto" w:fill="auto"/>
            <w:vAlign w:val="center"/>
          </w:tcPr>
          <w:p w14:paraId="2442D069" w14:textId="56F9628B"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345 917 765</w:t>
            </w:r>
          </w:p>
        </w:tc>
        <w:tc>
          <w:tcPr>
            <w:tcW w:w="1180" w:type="dxa"/>
            <w:tcBorders>
              <w:top w:val="nil"/>
              <w:left w:val="nil"/>
              <w:bottom w:val="single" w:sz="4" w:space="0" w:color="auto"/>
              <w:right w:val="single" w:sz="4" w:space="0" w:color="auto"/>
            </w:tcBorders>
            <w:shd w:val="clear" w:color="auto" w:fill="auto"/>
            <w:noWrap/>
            <w:vAlign w:val="center"/>
          </w:tcPr>
          <w:p w14:paraId="3242228A" w14:textId="7F34702A"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1 754 801 072</w:t>
            </w:r>
          </w:p>
        </w:tc>
        <w:tc>
          <w:tcPr>
            <w:tcW w:w="1180" w:type="dxa"/>
            <w:tcBorders>
              <w:top w:val="nil"/>
              <w:left w:val="nil"/>
              <w:bottom w:val="single" w:sz="4" w:space="0" w:color="auto"/>
              <w:right w:val="single" w:sz="4" w:space="0" w:color="auto"/>
            </w:tcBorders>
            <w:shd w:val="clear" w:color="auto" w:fill="auto"/>
            <w:noWrap/>
            <w:vAlign w:val="center"/>
          </w:tcPr>
          <w:p w14:paraId="2E33CC2B" w14:textId="74163B82"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402 193 560</w:t>
            </w:r>
          </w:p>
        </w:tc>
        <w:tc>
          <w:tcPr>
            <w:tcW w:w="1400" w:type="dxa"/>
            <w:tcBorders>
              <w:top w:val="nil"/>
              <w:left w:val="nil"/>
              <w:bottom w:val="single" w:sz="4" w:space="0" w:color="auto"/>
              <w:right w:val="single" w:sz="4" w:space="0" w:color="auto"/>
            </w:tcBorders>
            <w:shd w:val="clear" w:color="auto" w:fill="auto"/>
            <w:noWrap/>
            <w:vAlign w:val="center"/>
          </w:tcPr>
          <w:p w14:paraId="142C64C4" w14:textId="5C7CEC4A"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357 168 103</w:t>
            </w:r>
          </w:p>
        </w:tc>
        <w:tc>
          <w:tcPr>
            <w:tcW w:w="1200" w:type="dxa"/>
            <w:tcBorders>
              <w:top w:val="nil"/>
              <w:left w:val="nil"/>
              <w:bottom w:val="single" w:sz="4" w:space="0" w:color="auto"/>
              <w:right w:val="single" w:sz="4" w:space="0" w:color="auto"/>
            </w:tcBorders>
            <w:shd w:val="clear" w:color="auto" w:fill="auto"/>
            <w:noWrap/>
            <w:vAlign w:val="center"/>
          </w:tcPr>
          <w:p w14:paraId="06227033" w14:textId="6F640901"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327 943 443</w:t>
            </w:r>
          </w:p>
        </w:tc>
        <w:tc>
          <w:tcPr>
            <w:tcW w:w="1180" w:type="dxa"/>
            <w:tcBorders>
              <w:top w:val="nil"/>
              <w:left w:val="nil"/>
              <w:bottom w:val="single" w:sz="4" w:space="0" w:color="auto"/>
              <w:right w:val="single" w:sz="4" w:space="0" w:color="auto"/>
            </w:tcBorders>
            <w:shd w:val="clear" w:color="auto" w:fill="auto"/>
            <w:noWrap/>
            <w:vAlign w:val="center"/>
          </w:tcPr>
          <w:p w14:paraId="72370275" w14:textId="64FD820D"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39 178 899</w:t>
            </w:r>
          </w:p>
        </w:tc>
      </w:tr>
      <w:tr w:rsidR="00EB074F" w:rsidRPr="00E21C60" w14:paraId="53FFB9FC" w14:textId="77777777" w:rsidTr="00EB074F">
        <w:trPr>
          <w:trHeight w:val="675"/>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4156F6C0" w14:textId="77777777" w:rsidR="00EB074F" w:rsidRPr="00E21C60" w:rsidRDefault="00EB074F" w:rsidP="00EB074F">
            <w:pPr>
              <w:rPr>
                <w:rFonts w:ascii="Arial" w:hAnsi="Arial" w:cs="Arial"/>
                <w:color w:val="000000"/>
                <w:sz w:val="16"/>
                <w:szCs w:val="16"/>
              </w:rPr>
            </w:pPr>
            <w:r w:rsidRPr="00E21C60">
              <w:rPr>
                <w:rFonts w:ascii="Arial" w:hAnsi="Arial" w:cs="Arial"/>
                <w:color w:val="000000"/>
                <w:sz w:val="16"/>
                <w:szCs w:val="16"/>
              </w:rPr>
              <w:t xml:space="preserve">50 - Ozdravovanie </w:t>
            </w:r>
            <w:r w:rsidRPr="00E21C60">
              <w:rPr>
                <w:rFonts w:ascii="Arial" w:hAnsi="Arial" w:cs="Arial"/>
                <w:color w:val="000000"/>
                <w:sz w:val="16"/>
                <w:szCs w:val="16"/>
              </w:rPr>
              <w:br/>
              <w:t xml:space="preserve">priemyselných lokalít </w:t>
            </w:r>
            <w:r w:rsidRPr="00E21C60">
              <w:rPr>
                <w:rFonts w:ascii="Arial" w:hAnsi="Arial" w:cs="Arial"/>
                <w:color w:val="000000"/>
                <w:sz w:val="16"/>
                <w:szCs w:val="16"/>
              </w:rPr>
              <w:br/>
              <w:t>a kontaminovanej pôdy</w:t>
            </w:r>
          </w:p>
        </w:tc>
        <w:tc>
          <w:tcPr>
            <w:tcW w:w="1180" w:type="dxa"/>
            <w:tcBorders>
              <w:top w:val="nil"/>
              <w:left w:val="nil"/>
              <w:bottom w:val="single" w:sz="4" w:space="0" w:color="auto"/>
              <w:right w:val="single" w:sz="4" w:space="0" w:color="auto"/>
            </w:tcBorders>
            <w:shd w:val="clear" w:color="auto" w:fill="auto"/>
            <w:noWrap/>
            <w:vAlign w:val="center"/>
          </w:tcPr>
          <w:p w14:paraId="4044FC9E" w14:textId="319CD32A"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73 329 294</w:t>
            </w:r>
          </w:p>
        </w:tc>
        <w:tc>
          <w:tcPr>
            <w:tcW w:w="1180" w:type="dxa"/>
            <w:tcBorders>
              <w:top w:val="nil"/>
              <w:left w:val="nil"/>
              <w:bottom w:val="single" w:sz="4" w:space="0" w:color="auto"/>
              <w:right w:val="single" w:sz="4" w:space="0" w:color="auto"/>
            </w:tcBorders>
            <w:shd w:val="clear" w:color="auto" w:fill="auto"/>
            <w:noWrap/>
            <w:vAlign w:val="center"/>
          </w:tcPr>
          <w:p w14:paraId="319BFD36" w14:textId="7165ED03"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78 669 249</w:t>
            </w:r>
          </w:p>
        </w:tc>
        <w:tc>
          <w:tcPr>
            <w:tcW w:w="1180" w:type="dxa"/>
            <w:tcBorders>
              <w:top w:val="nil"/>
              <w:left w:val="nil"/>
              <w:bottom w:val="single" w:sz="4" w:space="0" w:color="auto"/>
              <w:right w:val="single" w:sz="4" w:space="0" w:color="auto"/>
            </w:tcBorders>
            <w:shd w:val="clear" w:color="auto" w:fill="auto"/>
            <w:noWrap/>
            <w:vAlign w:val="center"/>
          </w:tcPr>
          <w:p w14:paraId="484DC2DB" w14:textId="05781FC3"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78 130 167</w:t>
            </w:r>
          </w:p>
        </w:tc>
        <w:tc>
          <w:tcPr>
            <w:tcW w:w="1400" w:type="dxa"/>
            <w:tcBorders>
              <w:top w:val="nil"/>
              <w:left w:val="nil"/>
              <w:bottom w:val="single" w:sz="4" w:space="0" w:color="auto"/>
              <w:right w:val="single" w:sz="4" w:space="0" w:color="auto"/>
            </w:tcBorders>
            <w:shd w:val="clear" w:color="auto" w:fill="auto"/>
            <w:noWrap/>
            <w:vAlign w:val="center"/>
          </w:tcPr>
          <w:p w14:paraId="6A3914E9" w14:textId="4D8F0819"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78 030 029</w:t>
            </w:r>
          </w:p>
        </w:tc>
        <w:tc>
          <w:tcPr>
            <w:tcW w:w="1200" w:type="dxa"/>
            <w:tcBorders>
              <w:top w:val="nil"/>
              <w:left w:val="nil"/>
              <w:bottom w:val="single" w:sz="4" w:space="0" w:color="auto"/>
              <w:right w:val="single" w:sz="4" w:space="0" w:color="auto"/>
            </w:tcBorders>
            <w:shd w:val="clear" w:color="auto" w:fill="auto"/>
            <w:noWrap/>
            <w:vAlign w:val="center"/>
          </w:tcPr>
          <w:p w14:paraId="2AE4282E" w14:textId="5CF12FEC"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71 321 773</w:t>
            </w:r>
          </w:p>
        </w:tc>
        <w:tc>
          <w:tcPr>
            <w:tcW w:w="1180" w:type="dxa"/>
            <w:tcBorders>
              <w:top w:val="nil"/>
              <w:left w:val="nil"/>
              <w:bottom w:val="single" w:sz="4" w:space="0" w:color="auto"/>
              <w:right w:val="single" w:sz="4" w:space="0" w:color="auto"/>
            </w:tcBorders>
            <w:shd w:val="clear" w:color="auto" w:fill="auto"/>
            <w:noWrap/>
            <w:vAlign w:val="center"/>
          </w:tcPr>
          <w:p w14:paraId="0DE63804" w14:textId="4048F667"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0</w:t>
            </w:r>
          </w:p>
        </w:tc>
      </w:tr>
      <w:tr w:rsidR="00EB074F" w:rsidRPr="00E21C60" w14:paraId="5BB08B4B" w14:textId="77777777" w:rsidTr="00EB074F">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148ECBCC" w14:textId="77777777" w:rsidR="00EB074F" w:rsidRPr="00E21C60" w:rsidRDefault="00EB074F" w:rsidP="00EB074F">
            <w:pPr>
              <w:rPr>
                <w:rFonts w:ascii="Arial" w:hAnsi="Arial" w:cs="Arial"/>
                <w:b/>
                <w:bCs/>
                <w:color w:val="000000"/>
                <w:sz w:val="16"/>
                <w:szCs w:val="16"/>
              </w:rPr>
            </w:pPr>
            <w:r w:rsidRPr="00E21C60">
              <w:rPr>
                <w:rFonts w:ascii="Arial" w:hAnsi="Arial" w:cs="Arial"/>
                <w:b/>
                <w:bCs/>
                <w:color w:val="000000"/>
                <w:sz w:val="16"/>
                <w:szCs w:val="16"/>
              </w:rPr>
              <w:t>Celkom</w:t>
            </w:r>
          </w:p>
        </w:tc>
        <w:tc>
          <w:tcPr>
            <w:tcW w:w="1180" w:type="dxa"/>
            <w:tcBorders>
              <w:top w:val="nil"/>
              <w:left w:val="nil"/>
              <w:bottom w:val="single" w:sz="4" w:space="0" w:color="auto"/>
              <w:right w:val="single" w:sz="4" w:space="0" w:color="auto"/>
            </w:tcBorders>
            <w:shd w:val="clear" w:color="000000" w:fill="EBF1DE"/>
            <w:noWrap/>
            <w:vAlign w:val="center"/>
          </w:tcPr>
          <w:p w14:paraId="452CFD04" w14:textId="1C279EC5" w:rsidR="00EB074F" w:rsidRPr="00EB074F" w:rsidRDefault="00EB074F" w:rsidP="00EB074F">
            <w:pPr>
              <w:jc w:val="center"/>
              <w:rPr>
                <w:rFonts w:ascii="Arial" w:hAnsi="Arial" w:cs="Arial"/>
                <w:b/>
                <w:bCs/>
                <w:color w:val="000000"/>
                <w:sz w:val="16"/>
                <w:szCs w:val="16"/>
              </w:rPr>
            </w:pPr>
            <w:r w:rsidRPr="00EB074F">
              <w:rPr>
                <w:rFonts w:ascii="Arial" w:hAnsi="Arial" w:cs="Arial"/>
                <w:b/>
                <w:bCs/>
                <w:color w:val="000000"/>
                <w:sz w:val="16"/>
                <w:szCs w:val="16"/>
              </w:rPr>
              <w:t>419 247 059</w:t>
            </w:r>
          </w:p>
        </w:tc>
        <w:tc>
          <w:tcPr>
            <w:tcW w:w="1180" w:type="dxa"/>
            <w:tcBorders>
              <w:top w:val="nil"/>
              <w:left w:val="nil"/>
              <w:bottom w:val="single" w:sz="4" w:space="0" w:color="auto"/>
              <w:right w:val="single" w:sz="4" w:space="0" w:color="auto"/>
            </w:tcBorders>
            <w:shd w:val="clear" w:color="000000" w:fill="EBF1DE"/>
            <w:noWrap/>
            <w:vAlign w:val="center"/>
          </w:tcPr>
          <w:p w14:paraId="69F36D39" w14:textId="79CA641B" w:rsidR="00EB074F" w:rsidRPr="00EB074F" w:rsidRDefault="00EB074F" w:rsidP="00EB074F">
            <w:pPr>
              <w:jc w:val="center"/>
              <w:rPr>
                <w:rFonts w:ascii="Arial" w:hAnsi="Arial" w:cs="Arial"/>
                <w:b/>
                <w:bCs/>
                <w:color w:val="000000"/>
                <w:sz w:val="16"/>
                <w:szCs w:val="16"/>
              </w:rPr>
            </w:pPr>
            <w:r w:rsidRPr="00EB074F">
              <w:rPr>
                <w:rFonts w:ascii="Arial" w:hAnsi="Arial" w:cs="Arial"/>
                <w:b/>
                <w:bCs/>
                <w:color w:val="000000"/>
                <w:sz w:val="16"/>
                <w:szCs w:val="16"/>
              </w:rPr>
              <w:t>1 833 470 321</w:t>
            </w:r>
          </w:p>
        </w:tc>
        <w:tc>
          <w:tcPr>
            <w:tcW w:w="1180" w:type="dxa"/>
            <w:tcBorders>
              <w:top w:val="nil"/>
              <w:left w:val="nil"/>
              <w:bottom w:val="single" w:sz="4" w:space="0" w:color="auto"/>
              <w:right w:val="single" w:sz="4" w:space="0" w:color="auto"/>
            </w:tcBorders>
            <w:shd w:val="clear" w:color="000000" w:fill="EBF1DE"/>
            <w:noWrap/>
            <w:vAlign w:val="center"/>
          </w:tcPr>
          <w:p w14:paraId="3AB21DB1" w14:textId="1EC91004" w:rsidR="00EB074F" w:rsidRPr="00EB074F" w:rsidRDefault="00EB074F" w:rsidP="00EB074F">
            <w:pPr>
              <w:jc w:val="center"/>
              <w:rPr>
                <w:rFonts w:ascii="Arial" w:hAnsi="Arial" w:cs="Arial"/>
                <w:b/>
                <w:bCs/>
                <w:color w:val="000000"/>
                <w:sz w:val="16"/>
                <w:szCs w:val="16"/>
              </w:rPr>
            </w:pPr>
            <w:r w:rsidRPr="00EB074F">
              <w:rPr>
                <w:rFonts w:ascii="Arial" w:hAnsi="Arial" w:cs="Arial"/>
                <w:b/>
                <w:bCs/>
                <w:color w:val="000000"/>
                <w:sz w:val="16"/>
                <w:szCs w:val="16"/>
              </w:rPr>
              <w:t>480 323 727</w:t>
            </w:r>
          </w:p>
        </w:tc>
        <w:tc>
          <w:tcPr>
            <w:tcW w:w="1400" w:type="dxa"/>
            <w:tcBorders>
              <w:top w:val="nil"/>
              <w:left w:val="nil"/>
              <w:bottom w:val="single" w:sz="4" w:space="0" w:color="auto"/>
              <w:right w:val="single" w:sz="4" w:space="0" w:color="auto"/>
            </w:tcBorders>
            <w:shd w:val="clear" w:color="000000" w:fill="EBF1DE"/>
            <w:noWrap/>
            <w:vAlign w:val="center"/>
          </w:tcPr>
          <w:p w14:paraId="5E29DE0D" w14:textId="76E63204" w:rsidR="00EB074F" w:rsidRPr="00EB074F" w:rsidRDefault="00EB074F" w:rsidP="00EB074F">
            <w:pPr>
              <w:jc w:val="center"/>
              <w:rPr>
                <w:rFonts w:ascii="Arial" w:hAnsi="Arial" w:cs="Arial"/>
                <w:b/>
                <w:bCs/>
                <w:color w:val="000000"/>
                <w:sz w:val="16"/>
                <w:szCs w:val="16"/>
              </w:rPr>
            </w:pPr>
            <w:r w:rsidRPr="00EB074F">
              <w:rPr>
                <w:rFonts w:ascii="Arial" w:hAnsi="Arial" w:cs="Arial"/>
                <w:b/>
                <w:bCs/>
                <w:color w:val="000000"/>
                <w:sz w:val="16"/>
                <w:szCs w:val="16"/>
              </w:rPr>
              <w:t>435 198 132</w:t>
            </w:r>
          </w:p>
        </w:tc>
        <w:tc>
          <w:tcPr>
            <w:tcW w:w="1200" w:type="dxa"/>
            <w:tcBorders>
              <w:top w:val="nil"/>
              <w:left w:val="nil"/>
              <w:bottom w:val="single" w:sz="4" w:space="0" w:color="auto"/>
              <w:right w:val="single" w:sz="4" w:space="0" w:color="auto"/>
            </w:tcBorders>
            <w:shd w:val="clear" w:color="000000" w:fill="EBF1DE"/>
            <w:noWrap/>
            <w:vAlign w:val="center"/>
          </w:tcPr>
          <w:p w14:paraId="07386EE5" w14:textId="0D434EED" w:rsidR="00EB074F" w:rsidRPr="00EB074F" w:rsidRDefault="00EB074F" w:rsidP="00EB074F">
            <w:pPr>
              <w:jc w:val="center"/>
              <w:rPr>
                <w:rFonts w:ascii="Arial" w:hAnsi="Arial" w:cs="Arial"/>
                <w:b/>
                <w:bCs/>
                <w:color w:val="000000"/>
                <w:sz w:val="16"/>
                <w:szCs w:val="16"/>
              </w:rPr>
            </w:pPr>
            <w:r w:rsidRPr="00EB074F">
              <w:rPr>
                <w:rFonts w:ascii="Arial" w:hAnsi="Arial" w:cs="Arial"/>
                <w:b/>
                <w:bCs/>
                <w:color w:val="000000"/>
                <w:sz w:val="16"/>
                <w:szCs w:val="16"/>
              </w:rPr>
              <w:t>399 265 216</w:t>
            </w:r>
          </w:p>
        </w:tc>
        <w:tc>
          <w:tcPr>
            <w:tcW w:w="1180" w:type="dxa"/>
            <w:tcBorders>
              <w:top w:val="nil"/>
              <w:left w:val="nil"/>
              <w:bottom w:val="single" w:sz="4" w:space="0" w:color="auto"/>
              <w:right w:val="single" w:sz="4" w:space="0" w:color="auto"/>
            </w:tcBorders>
            <w:shd w:val="clear" w:color="000000" w:fill="EBF1DE"/>
            <w:noWrap/>
            <w:vAlign w:val="center"/>
          </w:tcPr>
          <w:p w14:paraId="1B02F653" w14:textId="6FE31636" w:rsidR="00EB074F" w:rsidRPr="00EB074F" w:rsidRDefault="00EB074F" w:rsidP="00EB074F">
            <w:pPr>
              <w:jc w:val="center"/>
              <w:rPr>
                <w:rFonts w:ascii="Arial" w:hAnsi="Arial" w:cs="Arial"/>
                <w:b/>
                <w:bCs/>
                <w:color w:val="000000"/>
                <w:sz w:val="16"/>
                <w:szCs w:val="16"/>
              </w:rPr>
            </w:pPr>
            <w:r w:rsidRPr="00EB074F">
              <w:rPr>
                <w:rFonts w:ascii="Arial" w:hAnsi="Arial" w:cs="Arial"/>
                <w:b/>
                <w:bCs/>
                <w:color w:val="000000"/>
                <w:sz w:val="16"/>
                <w:szCs w:val="16"/>
              </w:rPr>
              <w:t>39 178 899</w:t>
            </w:r>
          </w:p>
        </w:tc>
      </w:tr>
    </w:tbl>
    <w:p w14:paraId="1EDC9E7B" w14:textId="77777777" w:rsidR="002416B1" w:rsidRPr="00123376" w:rsidRDefault="00C3627B" w:rsidP="00123376">
      <w:pPr>
        <w:pStyle w:val="Zkladntextb"/>
        <w:spacing w:after="0" w:line="240" w:lineRule="auto"/>
        <w:ind w:left="0"/>
        <w:jc w:val="both"/>
        <w:rPr>
          <w:rFonts w:cs="Arial"/>
          <w:sz w:val="16"/>
          <w:szCs w:val="16"/>
          <w:lang w:val="sk-SK"/>
        </w:rPr>
      </w:pPr>
      <w:r w:rsidRPr="00123376">
        <w:rPr>
          <w:rFonts w:cs="Arial"/>
          <w:sz w:val="16"/>
          <w:szCs w:val="16"/>
          <w:lang w:val="sk-SK"/>
        </w:rPr>
        <w:t xml:space="preserve"> </w:t>
      </w:r>
      <w:r w:rsidR="00000CC9" w:rsidRPr="00123376">
        <w:rPr>
          <w:rFonts w:cs="Arial"/>
          <w:sz w:val="16"/>
          <w:szCs w:val="16"/>
          <w:lang w:val="sk-SK"/>
        </w:rPr>
        <w:t>Zdroj: RO, ITMS</w:t>
      </w:r>
    </w:p>
    <w:tbl>
      <w:tblPr>
        <w:tblW w:w="9194" w:type="dxa"/>
        <w:tblInd w:w="55" w:type="dxa"/>
        <w:tblCellMar>
          <w:left w:w="70" w:type="dxa"/>
          <w:right w:w="70" w:type="dxa"/>
        </w:tblCellMar>
        <w:tblLook w:val="04A0" w:firstRow="1" w:lastRow="0" w:firstColumn="1" w:lastColumn="0" w:noHBand="0" w:noVBand="1"/>
      </w:tblPr>
      <w:tblGrid>
        <w:gridCol w:w="9194"/>
      </w:tblGrid>
      <w:tr w:rsidR="002416B1" w:rsidRPr="00E21C60" w14:paraId="130CF5E8" w14:textId="77777777" w:rsidTr="00123376">
        <w:trPr>
          <w:trHeight w:val="276"/>
        </w:trPr>
        <w:tc>
          <w:tcPr>
            <w:tcW w:w="9194" w:type="dxa"/>
            <w:noWrap/>
            <w:vAlign w:val="bottom"/>
          </w:tcPr>
          <w:p w14:paraId="10B88D2F" w14:textId="77777777" w:rsidR="002416B1" w:rsidRPr="00E21C60" w:rsidRDefault="002416B1">
            <w:pPr>
              <w:rPr>
                <w:rFonts w:ascii="Arial" w:hAnsi="Arial" w:cs="Arial"/>
                <w:i/>
                <w:iCs/>
                <w:sz w:val="18"/>
                <w:szCs w:val="18"/>
              </w:rPr>
            </w:pPr>
            <w:r w:rsidRPr="00E21C60">
              <w:rPr>
                <w:rFonts w:ascii="Arial" w:hAnsi="Arial" w:cs="Arial"/>
                <w:b/>
                <w:bCs/>
                <w:i/>
                <w:iCs/>
                <w:sz w:val="18"/>
                <w:szCs w:val="18"/>
                <w:vertAlign w:val="superscript"/>
              </w:rPr>
              <w:t>1</w:t>
            </w:r>
            <w:r w:rsidRPr="00E21C60">
              <w:rPr>
                <w:rFonts w:ascii="Arial" w:hAnsi="Arial" w:cs="Arial"/>
                <w:i/>
                <w:iCs/>
                <w:sz w:val="18"/>
                <w:szCs w:val="18"/>
                <w:vertAlign w:val="superscript"/>
              </w:rPr>
              <w:t xml:space="preserve"> </w:t>
            </w:r>
            <w:r w:rsidRPr="00E21C60">
              <w:rPr>
                <w:rFonts w:ascii="Arial" w:hAnsi="Arial" w:cs="Arial"/>
                <w:i/>
                <w:sz w:val="16"/>
                <w:szCs w:val="16"/>
              </w:rPr>
              <w:t>Objem čerpaných prostriedkov NFP</w:t>
            </w:r>
          </w:p>
        </w:tc>
      </w:tr>
      <w:tr w:rsidR="00D54F01" w:rsidRPr="00E21C60" w14:paraId="56EBE9FC" w14:textId="77777777" w:rsidTr="00123376">
        <w:trPr>
          <w:trHeight w:val="276"/>
        </w:trPr>
        <w:tc>
          <w:tcPr>
            <w:tcW w:w="9194" w:type="dxa"/>
            <w:noWrap/>
            <w:vAlign w:val="bottom"/>
          </w:tcPr>
          <w:p w14:paraId="734270BD" w14:textId="232B961E" w:rsidR="00D54F01" w:rsidRPr="00E21C60" w:rsidRDefault="00D54F01" w:rsidP="00963B10">
            <w:pPr>
              <w:rPr>
                <w:rFonts w:ascii="Arial" w:hAnsi="Arial" w:cs="Arial"/>
                <w:b/>
                <w:bCs/>
                <w:i/>
                <w:iCs/>
                <w:sz w:val="18"/>
                <w:szCs w:val="18"/>
                <w:vertAlign w:val="superscript"/>
              </w:rPr>
            </w:pPr>
            <w:r w:rsidRPr="00E21C60">
              <w:rPr>
                <w:rFonts w:ascii="Arial" w:hAnsi="Arial" w:cs="Arial"/>
                <w:i/>
                <w:sz w:val="16"/>
                <w:szCs w:val="16"/>
              </w:rPr>
              <w:t>Údaje o zazmluvnených projektoch zahŕňajú projekty, ktoré mali k 31.1</w:t>
            </w:r>
            <w:r w:rsidR="00963B10">
              <w:rPr>
                <w:rFonts w:ascii="Arial" w:hAnsi="Arial" w:cs="Arial"/>
                <w:i/>
                <w:sz w:val="16"/>
                <w:szCs w:val="16"/>
              </w:rPr>
              <w:t>0</w:t>
            </w:r>
            <w:r w:rsidRPr="00E21C60">
              <w:rPr>
                <w:rFonts w:ascii="Arial" w:hAnsi="Arial" w:cs="Arial"/>
                <w:i/>
                <w:sz w:val="16"/>
                <w:szCs w:val="16"/>
              </w:rPr>
              <w:t>.</w:t>
            </w:r>
            <w:r w:rsidR="00E32308" w:rsidRPr="00E21C60">
              <w:rPr>
                <w:rFonts w:ascii="Arial" w:hAnsi="Arial" w:cs="Arial"/>
                <w:i/>
                <w:sz w:val="16"/>
                <w:szCs w:val="16"/>
              </w:rPr>
              <w:t>201</w:t>
            </w:r>
            <w:r w:rsidR="00963B10">
              <w:rPr>
                <w:rFonts w:ascii="Arial" w:hAnsi="Arial" w:cs="Arial"/>
                <w:i/>
                <w:sz w:val="16"/>
                <w:szCs w:val="16"/>
              </w:rPr>
              <w:t>6</w:t>
            </w:r>
            <w:r w:rsidR="00E32308" w:rsidRPr="00E21C60">
              <w:rPr>
                <w:rFonts w:ascii="Arial" w:hAnsi="Arial" w:cs="Arial"/>
                <w:i/>
                <w:sz w:val="16"/>
                <w:szCs w:val="16"/>
              </w:rPr>
              <w:t xml:space="preserve"> </w:t>
            </w:r>
            <w:r w:rsidRPr="00E21C60">
              <w:rPr>
                <w:rFonts w:ascii="Arial" w:hAnsi="Arial" w:cs="Arial"/>
                <w:i/>
                <w:sz w:val="16"/>
                <w:szCs w:val="16"/>
              </w:rPr>
              <w:t>účinnú zmluvu o poskytnutí NFP a boli v realizácii alebo riadne ukončené. Údaje nezahŕňajú mimoriadne ukončené projekty.</w:t>
            </w:r>
          </w:p>
        </w:tc>
      </w:tr>
    </w:tbl>
    <w:p w14:paraId="43D48190" w14:textId="2D79E8DD" w:rsidR="00C805EC" w:rsidRPr="00FB6D6F" w:rsidRDefault="00FB6D6F" w:rsidP="00123376">
      <w:pPr>
        <w:spacing w:before="120" w:after="120"/>
        <w:jc w:val="both"/>
        <w:rPr>
          <w:rFonts w:ascii="Arial" w:hAnsi="Arial" w:cs="Arial"/>
          <w:sz w:val="20"/>
          <w:szCs w:val="20"/>
        </w:rPr>
      </w:pPr>
      <w:r w:rsidRPr="001A6CAA">
        <w:rPr>
          <w:rFonts w:ascii="Arial" w:hAnsi="Arial" w:cs="Arial"/>
          <w:sz w:val="20"/>
          <w:szCs w:val="20"/>
        </w:rPr>
        <w:t xml:space="preserve">Zoznam schválených projektov s objemom zazmluvnených prostriedkov k 31.12.2015 je zverejnený na webovom sídle </w:t>
      </w:r>
      <w:hyperlink r:id="rId27" w:history="1">
        <w:r w:rsidRPr="0093280D">
          <w:rPr>
            <w:rStyle w:val="Hypertextovprepojenie"/>
            <w:rFonts w:ascii="Arial" w:hAnsi="Arial" w:cs="Arial"/>
            <w:sz w:val="20"/>
            <w:szCs w:val="20"/>
          </w:rPr>
          <w:t>www.opzp.sk</w:t>
        </w:r>
      </w:hyperlink>
      <w:r w:rsidRPr="001A6CAA">
        <w:rPr>
          <w:rFonts w:ascii="Arial" w:hAnsi="Arial" w:cs="Arial"/>
          <w:sz w:val="20"/>
          <w:szCs w:val="20"/>
        </w:rPr>
        <w:t xml:space="preserve"> v časti Hlavná stránka &gt; Projekty &gt; Zoznamy OPŽP &gt; Zoznam prijímateľov z OPŽP. Zoznam schválených projektov s uvedením stavu k 31.</w:t>
      </w:r>
      <w:r w:rsidR="00473D0F">
        <w:rPr>
          <w:rFonts w:ascii="Arial" w:hAnsi="Arial" w:cs="Arial"/>
          <w:sz w:val="20"/>
          <w:szCs w:val="20"/>
        </w:rPr>
        <w:t>10</w:t>
      </w:r>
      <w:r w:rsidRPr="001A6CAA">
        <w:rPr>
          <w:rFonts w:ascii="Arial" w:hAnsi="Arial" w:cs="Arial"/>
          <w:sz w:val="20"/>
          <w:szCs w:val="20"/>
        </w:rPr>
        <w:t>.201</w:t>
      </w:r>
      <w:r w:rsidR="00473D0F">
        <w:rPr>
          <w:rFonts w:ascii="Arial" w:hAnsi="Arial" w:cs="Arial"/>
          <w:sz w:val="20"/>
          <w:szCs w:val="20"/>
        </w:rPr>
        <w:t>6</w:t>
      </w:r>
      <w:r w:rsidRPr="001A6CAA">
        <w:rPr>
          <w:rFonts w:ascii="Arial" w:hAnsi="Arial" w:cs="Arial"/>
          <w:sz w:val="20"/>
          <w:szCs w:val="20"/>
        </w:rPr>
        <w:t xml:space="preserve"> je súčasťou Prílohy č. 9.</w:t>
      </w:r>
      <w:r w:rsidRPr="00495C74">
        <w:rPr>
          <w:rFonts w:ascii="Arial" w:hAnsi="Arial" w:cs="Arial"/>
          <w:sz w:val="20"/>
          <w:szCs w:val="20"/>
        </w:rPr>
        <w:t xml:space="preserve"> </w:t>
      </w:r>
    </w:p>
    <w:p w14:paraId="4A7B587D" w14:textId="77777777" w:rsidR="00617FE5" w:rsidRPr="008E1ACB" w:rsidRDefault="002416B1" w:rsidP="00123376">
      <w:pPr>
        <w:spacing w:before="120" w:after="120"/>
        <w:jc w:val="both"/>
        <w:rPr>
          <w:rFonts w:cs="Arial"/>
          <w:bCs/>
        </w:rPr>
      </w:pPr>
      <w:r w:rsidRPr="009D13DD">
        <w:rPr>
          <w:rFonts w:ascii="Arial" w:hAnsi="Arial" w:cs="Arial"/>
          <w:bCs/>
          <w:sz w:val="20"/>
          <w:szCs w:val="20"/>
        </w:rPr>
        <w:t xml:space="preserve">Najvýznamnejšie dôvody zamietnutia žiadostí o NFP v rámci </w:t>
      </w:r>
      <w:r w:rsidR="00C805EC" w:rsidRPr="009D13DD">
        <w:rPr>
          <w:rFonts w:ascii="Arial" w:hAnsi="Arial" w:cs="Arial"/>
          <w:bCs/>
          <w:sz w:val="20"/>
          <w:szCs w:val="20"/>
        </w:rPr>
        <w:t xml:space="preserve">prioritnej osi 4 </w:t>
      </w:r>
      <w:r w:rsidRPr="009D13DD">
        <w:rPr>
          <w:rFonts w:ascii="Arial" w:hAnsi="Arial" w:cs="Arial"/>
          <w:bCs/>
          <w:sz w:val="20"/>
          <w:szCs w:val="20"/>
        </w:rPr>
        <w:t xml:space="preserve">sú uvedené v Analýze dôvodov neschválenia a vylúčenia žiadostí o NFP v kapitole 2.1.1 správy, v časti Dôvody </w:t>
      </w:r>
      <w:r w:rsidRPr="009D13DD">
        <w:rPr>
          <w:rFonts w:ascii="Arial" w:hAnsi="Arial" w:cs="Arial"/>
          <w:bCs/>
          <w:sz w:val="20"/>
          <w:szCs w:val="20"/>
        </w:rPr>
        <w:lastRenderedPageBreak/>
        <w:t>neschválenia a vylúčenia žiadostí o NFP a vykonané opatrenia na predchádzanie opakovan</w:t>
      </w:r>
      <w:r w:rsidR="007D337C" w:rsidRPr="009D13DD">
        <w:rPr>
          <w:rFonts w:ascii="Arial" w:hAnsi="Arial" w:cs="Arial"/>
          <w:bCs/>
          <w:sz w:val="20"/>
          <w:szCs w:val="20"/>
        </w:rPr>
        <w:t>iu</w:t>
      </w:r>
      <w:r w:rsidRPr="009D13DD">
        <w:rPr>
          <w:rFonts w:ascii="Arial" w:hAnsi="Arial" w:cs="Arial"/>
          <w:bCs/>
          <w:sz w:val="20"/>
          <w:szCs w:val="20"/>
        </w:rPr>
        <w:t xml:space="preserve"> identifikovaných nedostatkov.</w:t>
      </w:r>
      <w:r w:rsidRPr="00123376">
        <w:rPr>
          <w:rFonts w:ascii="Arial" w:hAnsi="Arial" w:cs="Arial"/>
          <w:bCs/>
          <w:sz w:val="20"/>
          <w:szCs w:val="20"/>
        </w:rPr>
        <w:t xml:space="preserve"> </w:t>
      </w:r>
    </w:p>
    <w:p w14:paraId="78FE91D1" w14:textId="77777777" w:rsidR="002416B1" w:rsidRPr="00D00E7C" w:rsidRDefault="002416B1" w:rsidP="00123376">
      <w:pPr>
        <w:pStyle w:val="Zkladntextb"/>
        <w:spacing w:before="240" w:after="120" w:line="240" w:lineRule="auto"/>
        <w:ind w:left="0"/>
        <w:rPr>
          <w:rFonts w:cs="Arial"/>
          <w:b/>
          <w:lang w:val="sk-SK"/>
        </w:rPr>
      </w:pPr>
      <w:r w:rsidRPr="00D00E7C">
        <w:rPr>
          <w:rFonts w:cs="Arial"/>
          <w:b/>
          <w:lang w:val="sk-SK"/>
        </w:rPr>
        <w:t>Plnenie fyzických ukazovateľov</w:t>
      </w:r>
    </w:p>
    <w:p w14:paraId="65DB4E3D" w14:textId="6944C3D3" w:rsidR="008A5121" w:rsidRPr="00EC6B78" w:rsidRDefault="008A5121" w:rsidP="008A5121">
      <w:pPr>
        <w:pStyle w:val="Zkladntextb"/>
        <w:spacing w:before="120" w:after="120" w:line="240" w:lineRule="auto"/>
        <w:ind w:left="0"/>
        <w:jc w:val="both"/>
        <w:rPr>
          <w:rFonts w:cs="Arial"/>
          <w:bCs/>
          <w:lang w:val="sk-SK"/>
        </w:rPr>
      </w:pPr>
      <w:r w:rsidRPr="00EC6B78">
        <w:rPr>
          <w:rFonts w:cs="Arial"/>
          <w:bCs/>
          <w:lang w:val="sk-SK"/>
        </w:rPr>
        <w:t xml:space="preserve">Plnenie ukazovateľov v rámci prioritnej osi 4 je uvedené v Prílohe č. 2, ktorá je okrem aktuálneho napĺňania ukazovateľov za jednotlivé roky doplnená taktiež o deklarované cieľové hodnoty projektov v zmysle uzatvorených zmlúv o NFP. Zoznam CORE ukazovateľov reportovaných EK prostredníctvom SFC2007 v rámci </w:t>
      </w:r>
      <w:r w:rsidR="00AB6D93">
        <w:rPr>
          <w:rFonts w:cs="Arial"/>
          <w:bCs/>
          <w:lang w:val="sk-SK"/>
        </w:rPr>
        <w:t>Záverečnej</w:t>
      </w:r>
      <w:r w:rsidR="00AB6D93" w:rsidRPr="00EC6B78">
        <w:rPr>
          <w:rFonts w:cs="Arial"/>
          <w:bCs/>
          <w:lang w:val="sk-SK"/>
        </w:rPr>
        <w:t xml:space="preserve"> </w:t>
      </w:r>
      <w:r w:rsidRPr="00EC6B78">
        <w:rPr>
          <w:rFonts w:cs="Arial"/>
          <w:bCs/>
          <w:lang w:val="sk-SK"/>
        </w:rPr>
        <w:t>správy je súčasťou Prílohy č. 11.</w:t>
      </w:r>
    </w:p>
    <w:p w14:paraId="29556C6D" w14:textId="5587CA9B" w:rsidR="008A5121" w:rsidRDefault="008A5121" w:rsidP="008A5121">
      <w:pPr>
        <w:pStyle w:val="Zkladntextb"/>
        <w:spacing w:before="120" w:after="120" w:line="240" w:lineRule="auto"/>
        <w:ind w:left="0"/>
        <w:jc w:val="both"/>
        <w:rPr>
          <w:rFonts w:cs="Arial"/>
          <w:bCs/>
          <w:lang w:val="sk-SK"/>
        </w:rPr>
      </w:pPr>
      <w:r>
        <w:rPr>
          <w:rFonts w:cs="Arial"/>
          <w:bCs/>
          <w:lang w:val="sk-SK"/>
        </w:rPr>
        <w:t>Napĺňanie hodnôt ukazovateľov je závislé od typu monitorovaného ukazovateľa. Kým v prípade ukazovateľov typu výsledok je príslušný ukazovateľ naplnený po samotnej realizácii p</w:t>
      </w:r>
      <w:r w:rsidR="005D36B8">
        <w:rPr>
          <w:rFonts w:cs="Arial"/>
          <w:bCs/>
          <w:lang w:val="sk-SK"/>
        </w:rPr>
        <w:t>rojektu (napríklad ukazovatele</w:t>
      </w:r>
      <w:r>
        <w:rPr>
          <w:rFonts w:cs="Arial"/>
          <w:bCs/>
          <w:lang w:val="sk-SK"/>
        </w:rPr>
        <w:t> počte vybudovaných prípadne zmodernizovaných zariadení na nakladanie s odpa</w:t>
      </w:r>
      <w:r w:rsidR="00BF3C39">
        <w:rPr>
          <w:rFonts w:cs="Arial"/>
          <w:bCs/>
          <w:lang w:val="sk-SK"/>
        </w:rPr>
        <w:t>d</w:t>
      </w:r>
      <w:r>
        <w:rPr>
          <w:rFonts w:cs="Arial"/>
          <w:bCs/>
          <w:lang w:val="sk-SK"/>
        </w:rPr>
        <w:t xml:space="preserve">mi), v prípade ukazovateľov typu dopad (ukazovatele o množstvách odpadov), je ich napĺňanie vykazované až z následných monitorovacích správ rok po finančnom ukončení realizácie projektu. </w:t>
      </w:r>
      <w:r w:rsidRPr="002A35B4">
        <w:rPr>
          <w:rFonts w:cs="Arial"/>
          <w:bCs/>
          <w:lang w:val="sk-SK"/>
        </w:rPr>
        <w:t xml:space="preserve">Z uvedeného vyplýva, že v prípade projektu ukončeného v roku </w:t>
      </w:r>
      <w:r w:rsidR="00A605C9" w:rsidRPr="002A35B4">
        <w:rPr>
          <w:rFonts w:cs="Arial"/>
          <w:bCs/>
          <w:lang w:val="sk-SK"/>
        </w:rPr>
        <w:t>2015</w:t>
      </w:r>
      <w:r w:rsidRPr="002A35B4">
        <w:rPr>
          <w:rFonts w:cs="Arial"/>
          <w:bCs/>
          <w:lang w:val="sk-SK"/>
        </w:rPr>
        <w:t xml:space="preserve">, je možné vykázať ukazovateľ typu výsledok až v priebehu roka </w:t>
      </w:r>
      <w:r w:rsidR="00A605C9" w:rsidRPr="002A35B4">
        <w:rPr>
          <w:rFonts w:cs="Arial"/>
          <w:bCs/>
          <w:lang w:val="sk-SK"/>
        </w:rPr>
        <w:t>2016</w:t>
      </w:r>
      <w:r w:rsidRPr="002A35B4">
        <w:rPr>
          <w:rFonts w:cs="Arial"/>
          <w:bCs/>
          <w:lang w:val="sk-SK"/>
        </w:rPr>
        <w:t>. To môže</w:t>
      </w:r>
      <w:r>
        <w:rPr>
          <w:rFonts w:cs="Arial"/>
          <w:bCs/>
          <w:lang w:val="sk-SK"/>
        </w:rPr>
        <w:t xml:space="preserve"> byť jednou z príčin nenapĺňanie cieľových hodnôt ukazovateľov typu dopad, </w:t>
      </w:r>
      <w:r w:rsidR="00865FE5">
        <w:rPr>
          <w:rFonts w:cs="Arial"/>
          <w:bCs/>
          <w:lang w:val="sk-SK"/>
        </w:rPr>
        <w:t xml:space="preserve">vo vzťahu k napĺňaniu cieľových hodnôt </w:t>
      </w:r>
      <w:r>
        <w:rPr>
          <w:rFonts w:cs="Arial"/>
          <w:bCs/>
          <w:lang w:val="sk-SK"/>
        </w:rPr>
        <w:t>zazmluvnených projektov.</w:t>
      </w:r>
    </w:p>
    <w:p w14:paraId="4D2D6B83" w14:textId="5ED8C3FB" w:rsidR="008A5121" w:rsidRDefault="008A5121" w:rsidP="008A5121">
      <w:pPr>
        <w:pStyle w:val="Zkladntextb"/>
        <w:spacing w:before="120" w:after="120" w:line="240" w:lineRule="auto"/>
        <w:ind w:left="0"/>
        <w:jc w:val="both"/>
        <w:rPr>
          <w:rFonts w:cs="Arial"/>
          <w:bCs/>
          <w:lang w:val="sk-SK"/>
        </w:rPr>
      </w:pPr>
      <w:r>
        <w:rPr>
          <w:rFonts w:cs="Arial"/>
          <w:bCs/>
          <w:lang w:val="sk-SK"/>
        </w:rPr>
        <w:t xml:space="preserve">V priebehu programového obdobia v ojedinelých prípadoch dochádza k poklesu hodnoty merateľného ukazovateľa. Medzi </w:t>
      </w:r>
      <w:r w:rsidR="001072C7">
        <w:rPr>
          <w:rFonts w:cs="Arial"/>
          <w:bCs/>
          <w:lang w:val="sk-SK"/>
        </w:rPr>
        <w:t>najvýznamnejšie</w:t>
      </w:r>
      <w:r>
        <w:rPr>
          <w:rFonts w:cs="Arial"/>
          <w:bCs/>
          <w:lang w:val="sk-SK"/>
        </w:rPr>
        <w:t xml:space="preserve"> dôvody poklesu hodnoty ukazovateľa na úrovni programu patrí mimoriadne ukončovanie projektov a formálne chyby v zadávaní hodnôt ukazovateľov v monitorovacích správach. Zároveň v prípade dopadových ukazovateľov týkajúcich sa množstva odpadov ich napĺňanie závisí od množstva vyprodukovaných odpadov v SR, ktoré má kolísavý charakter a závisí </w:t>
      </w:r>
      <w:r w:rsidR="00AF4DE9">
        <w:rPr>
          <w:rFonts w:cs="Arial"/>
          <w:bCs/>
          <w:lang w:val="sk-SK"/>
        </w:rPr>
        <w:t xml:space="preserve">od </w:t>
      </w:r>
      <w:r>
        <w:rPr>
          <w:rFonts w:cs="Arial"/>
          <w:bCs/>
          <w:lang w:val="sk-SK"/>
        </w:rPr>
        <w:t xml:space="preserve">rôznych socioekomonických parametrov.   </w:t>
      </w:r>
    </w:p>
    <w:p w14:paraId="14D5301F" w14:textId="07A93F41" w:rsidR="000823BC" w:rsidRPr="00EC6B78" w:rsidRDefault="000823BC" w:rsidP="000823BC">
      <w:pPr>
        <w:pStyle w:val="Zkladntextb"/>
        <w:spacing w:before="120" w:after="120" w:line="240" w:lineRule="auto"/>
        <w:ind w:left="0"/>
        <w:jc w:val="both"/>
        <w:rPr>
          <w:rFonts w:cs="Arial"/>
          <w:bCs/>
          <w:lang w:val="sk-SK"/>
        </w:rPr>
      </w:pPr>
      <w:r>
        <w:rPr>
          <w:rFonts w:cs="Arial"/>
          <w:bCs/>
          <w:lang w:val="sk-SK"/>
        </w:rPr>
        <w:t xml:space="preserve">Ukazovatele pre </w:t>
      </w:r>
      <w:r w:rsidR="00B217FA">
        <w:rPr>
          <w:rFonts w:cs="Arial"/>
          <w:bCs/>
          <w:lang w:val="sk-SK"/>
        </w:rPr>
        <w:t>prioritnú</w:t>
      </w:r>
      <w:r>
        <w:rPr>
          <w:rFonts w:cs="Arial"/>
          <w:bCs/>
          <w:lang w:val="sk-SK"/>
        </w:rPr>
        <w:t xml:space="preserve"> os 4 boli</w:t>
      </w:r>
      <w:r w:rsidRPr="00EC6B78">
        <w:rPr>
          <w:rFonts w:cs="Arial"/>
          <w:bCs/>
          <w:lang w:val="sk-SK"/>
        </w:rPr>
        <w:t xml:space="preserve"> vyhodnotené na základe doručených </w:t>
      </w:r>
      <w:r>
        <w:rPr>
          <w:rFonts w:cs="Arial"/>
          <w:bCs/>
          <w:lang w:val="sk-SK"/>
        </w:rPr>
        <w:t xml:space="preserve">záverečných a následných </w:t>
      </w:r>
      <w:r w:rsidRPr="00EC6B78">
        <w:rPr>
          <w:rFonts w:cs="Arial"/>
          <w:bCs/>
          <w:lang w:val="sk-SK"/>
        </w:rPr>
        <w:t xml:space="preserve">monitorovacích správ projektu od žiadateľov tak, ako im to vyplýva zo zmluvy o poskytnutí NFP. V rámci prioritnej osi 4 bolo </w:t>
      </w:r>
      <w:r w:rsidRPr="00912C87">
        <w:rPr>
          <w:rFonts w:cs="Arial"/>
          <w:bCs/>
          <w:lang w:val="sk-SK"/>
        </w:rPr>
        <w:t>k 31.</w:t>
      </w:r>
      <w:r w:rsidR="00AF4DE9">
        <w:rPr>
          <w:rFonts w:cs="Arial"/>
          <w:bCs/>
          <w:lang w:val="sk-SK"/>
        </w:rPr>
        <w:t xml:space="preserve"> </w:t>
      </w:r>
      <w:r>
        <w:rPr>
          <w:rFonts w:cs="Arial"/>
          <w:bCs/>
          <w:lang w:val="sk-SK"/>
        </w:rPr>
        <w:t>10</w:t>
      </w:r>
      <w:r w:rsidRPr="00912C87">
        <w:rPr>
          <w:rFonts w:cs="Arial"/>
          <w:bCs/>
          <w:lang w:val="sk-SK"/>
        </w:rPr>
        <w:t>.</w:t>
      </w:r>
      <w:r w:rsidR="00AF4DE9">
        <w:rPr>
          <w:rFonts w:cs="Arial"/>
          <w:bCs/>
          <w:lang w:val="sk-SK"/>
        </w:rPr>
        <w:t xml:space="preserve"> </w:t>
      </w:r>
      <w:r>
        <w:rPr>
          <w:rFonts w:cs="Arial"/>
          <w:bCs/>
          <w:lang w:val="sk-SK"/>
        </w:rPr>
        <w:t>2016</w:t>
      </w:r>
      <w:r w:rsidRPr="00D00E7C">
        <w:rPr>
          <w:rFonts w:cs="Arial"/>
          <w:bCs/>
          <w:lang w:val="sk-SK"/>
        </w:rPr>
        <w:t xml:space="preserve"> </w:t>
      </w:r>
      <w:r w:rsidRPr="00EC6B78">
        <w:rPr>
          <w:rFonts w:cs="Arial"/>
          <w:bCs/>
          <w:lang w:val="sk-SK"/>
        </w:rPr>
        <w:t xml:space="preserve">na RO </w:t>
      </w:r>
      <w:r w:rsidRPr="000823BC">
        <w:rPr>
          <w:rFonts w:cs="Arial"/>
          <w:bCs/>
          <w:lang w:val="sk-SK"/>
        </w:rPr>
        <w:t xml:space="preserve">doručených </w:t>
      </w:r>
      <w:r w:rsidR="00AF4DE9">
        <w:rPr>
          <w:rFonts w:cs="Arial"/>
          <w:bCs/>
          <w:lang w:val="sk-SK"/>
        </w:rPr>
        <w:t>1935</w:t>
      </w:r>
      <w:r w:rsidRPr="009D13DD">
        <w:rPr>
          <w:rFonts w:cs="Arial"/>
          <w:bCs/>
          <w:lang w:val="sk-SK"/>
        </w:rPr>
        <w:t xml:space="preserve"> monitorovacích správ projektu, z toho 940 priebežných, 288 záverečných a </w:t>
      </w:r>
      <w:r w:rsidR="00AF4DE9">
        <w:rPr>
          <w:rFonts w:cs="Arial"/>
          <w:bCs/>
          <w:lang w:val="sk-SK"/>
        </w:rPr>
        <w:t>707</w:t>
      </w:r>
      <w:r w:rsidRPr="009D13DD">
        <w:rPr>
          <w:rFonts w:cs="Arial"/>
          <w:bCs/>
          <w:lang w:val="sk-SK"/>
        </w:rPr>
        <w:t xml:space="preserve"> následných.</w:t>
      </w:r>
      <w:r w:rsidRPr="00EC6B78">
        <w:rPr>
          <w:rFonts w:cs="Arial"/>
          <w:bCs/>
          <w:lang w:val="sk-SK"/>
        </w:rPr>
        <w:t xml:space="preserve"> </w:t>
      </w:r>
    </w:p>
    <w:p w14:paraId="6282593A" w14:textId="4A34B566" w:rsidR="008A5121" w:rsidRPr="00EC6B78" w:rsidRDefault="000823BC" w:rsidP="000823BC">
      <w:pPr>
        <w:pStyle w:val="Zkladntextb"/>
        <w:spacing w:before="120" w:after="120" w:line="240" w:lineRule="auto"/>
        <w:ind w:left="0"/>
        <w:jc w:val="both"/>
        <w:rPr>
          <w:rFonts w:cs="Arial"/>
          <w:bCs/>
          <w:lang w:val="sk-SK"/>
        </w:rPr>
      </w:pPr>
      <w:r>
        <w:rPr>
          <w:rFonts w:cs="Arial"/>
          <w:bCs/>
          <w:lang w:val="sk-SK"/>
        </w:rPr>
        <w:t>Analýza napĺňania jednotlivých ukazovateľov prioritnej osi 4 je uvedená nižšie.</w:t>
      </w:r>
    </w:p>
    <w:p w14:paraId="0C45744A" w14:textId="77777777" w:rsidR="002416B1" w:rsidRPr="0020746A" w:rsidRDefault="002416B1" w:rsidP="00123376">
      <w:pPr>
        <w:pStyle w:val="Zkladntextb"/>
        <w:spacing w:before="240" w:after="120" w:line="240" w:lineRule="auto"/>
        <w:ind w:left="0"/>
        <w:jc w:val="both"/>
        <w:rPr>
          <w:rFonts w:cs="Arial"/>
          <w:b/>
          <w:sz w:val="22"/>
          <w:szCs w:val="22"/>
        </w:rPr>
      </w:pPr>
      <w:r w:rsidRPr="008E1ACB">
        <w:rPr>
          <w:rFonts w:cs="Arial"/>
          <w:b/>
          <w:sz w:val="22"/>
          <w:szCs w:val="22"/>
        </w:rPr>
        <w:t>3.4.1.2 Finančná implementácia v rámci prioritnej osi 4</w:t>
      </w:r>
    </w:p>
    <w:p w14:paraId="5F8AFADF" w14:textId="0222C2E8" w:rsidR="00B73A86" w:rsidRDefault="000823BC" w:rsidP="00912C87">
      <w:pPr>
        <w:spacing w:before="120" w:after="120"/>
        <w:jc w:val="both"/>
        <w:rPr>
          <w:rFonts w:ascii="Arial" w:hAnsi="Arial" w:cs="Arial"/>
          <w:sz w:val="20"/>
          <w:szCs w:val="20"/>
        </w:rPr>
      </w:pPr>
      <w:r w:rsidRPr="00E21C60">
        <w:rPr>
          <w:rFonts w:ascii="Arial" w:hAnsi="Arial" w:cs="Arial"/>
          <w:sz w:val="20"/>
          <w:szCs w:val="20"/>
        </w:rPr>
        <w:t>Čerpanie prostriedkov</w:t>
      </w:r>
      <w:r w:rsidR="00865FE5">
        <w:rPr>
          <w:rFonts w:ascii="Arial" w:hAnsi="Arial" w:cs="Arial"/>
          <w:sz w:val="20"/>
          <w:szCs w:val="20"/>
        </w:rPr>
        <w:t xml:space="preserve"> z Kohézneho fondu vykazované</w:t>
      </w:r>
      <w:r w:rsidR="00865FE5" w:rsidRPr="00865FE5">
        <w:rPr>
          <w:rFonts w:ascii="Arial" w:hAnsi="Arial" w:cs="Arial"/>
          <w:sz w:val="20"/>
          <w:szCs w:val="20"/>
        </w:rPr>
        <w:t xml:space="preserve"> na základe schválených súhrnných žiadostí o platbu znížené o nezrovnalosti</w:t>
      </w:r>
      <w:r w:rsidRPr="00E21C60">
        <w:rPr>
          <w:rFonts w:ascii="Arial" w:hAnsi="Arial" w:cs="Arial"/>
          <w:sz w:val="20"/>
          <w:szCs w:val="20"/>
        </w:rPr>
        <w:t xml:space="preserve"> </w:t>
      </w:r>
      <w:r w:rsidR="00865FE5">
        <w:rPr>
          <w:rFonts w:ascii="Arial" w:hAnsi="Arial" w:cs="Arial"/>
          <w:sz w:val="20"/>
          <w:szCs w:val="20"/>
        </w:rPr>
        <w:t xml:space="preserve">predstavuje </w:t>
      </w:r>
      <w:r w:rsidR="00C62965" w:rsidRPr="009F7CC0">
        <w:rPr>
          <w:rFonts w:ascii="Arial" w:hAnsi="Arial" w:cs="Arial"/>
          <w:sz w:val="20"/>
          <w:szCs w:val="20"/>
        </w:rPr>
        <w:t xml:space="preserve">k </w:t>
      </w:r>
      <w:r w:rsidRPr="009F7CC0">
        <w:rPr>
          <w:rFonts w:ascii="Arial" w:hAnsi="Arial" w:cs="Arial"/>
          <w:sz w:val="20"/>
          <w:szCs w:val="20"/>
        </w:rPr>
        <w:t>31.</w:t>
      </w:r>
      <w:r w:rsidR="006161E9">
        <w:rPr>
          <w:rFonts w:ascii="Arial" w:hAnsi="Arial" w:cs="Arial"/>
          <w:sz w:val="20"/>
          <w:szCs w:val="20"/>
        </w:rPr>
        <w:t xml:space="preserve"> 10</w:t>
      </w:r>
      <w:r w:rsidRPr="009F7CC0">
        <w:rPr>
          <w:rFonts w:ascii="Arial" w:hAnsi="Arial" w:cs="Arial"/>
          <w:sz w:val="20"/>
          <w:szCs w:val="20"/>
        </w:rPr>
        <w:t>.</w:t>
      </w:r>
      <w:r w:rsidR="006161E9">
        <w:rPr>
          <w:rFonts w:ascii="Arial" w:hAnsi="Arial" w:cs="Arial"/>
          <w:sz w:val="20"/>
          <w:szCs w:val="20"/>
        </w:rPr>
        <w:t xml:space="preserve"> </w:t>
      </w:r>
      <w:r w:rsidRPr="009F7CC0">
        <w:rPr>
          <w:rFonts w:ascii="Arial" w:hAnsi="Arial" w:cs="Arial"/>
          <w:sz w:val="20"/>
          <w:szCs w:val="20"/>
        </w:rPr>
        <w:t>2016</w:t>
      </w:r>
      <w:r w:rsidR="00865FE5" w:rsidRPr="009F7CC0">
        <w:rPr>
          <w:rFonts w:ascii="Arial" w:hAnsi="Arial" w:cs="Arial"/>
          <w:sz w:val="20"/>
          <w:szCs w:val="20"/>
        </w:rPr>
        <w:t xml:space="preserve"> </w:t>
      </w:r>
      <w:r w:rsidRPr="009F7CC0">
        <w:rPr>
          <w:rFonts w:ascii="Arial" w:hAnsi="Arial" w:cs="Arial"/>
          <w:sz w:val="20"/>
          <w:szCs w:val="20"/>
        </w:rPr>
        <w:t>sumu 339</w:t>
      </w:r>
      <w:r w:rsidR="006161E9">
        <w:rPr>
          <w:rFonts w:ascii="Arial" w:hAnsi="Arial" w:cs="Arial"/>
          <w:sz w:val="20"/>
          <w:szCs w:val="20"/>
        </w:rPr>
        <w:t>,</w:t>
      </w:r>
      <w:r w:rsidR="00AF4DE9">
        <w:rPr>
          <w:rFonts w:ascii="Arial" w:hAnsi="Arial" w:cs="Arial"/>
          <w:sz w:val="20"/>
          <w:szCs w:val="20"/>
        </w:rPr>
        <w:t>24</w:t>
      </w:r>
      <w:r w:rsidR="006161E9">
        <w:rPr>
          <w:rFonts w:ascii="Arial" w:hAnsi="Arial" w:cs="Arial"/>
          <w:sz w:val="20"/>
          <w:szCs w:val="20"/>
        </w:rPr>
        <w:t xml:space="preserve"> mil.</w:t>
      </w:r>
      <w:r w:rsidR="00366C2D" w:rsidRPr="009F7CC0">
        <w:rPr>
          <w:rFonts w:ascii="Arial" w:hAnsi="Arial" w:cs="Arial"/>
          <w:sz w:val="20"/>
          <w:szCs w:val="20"/>
        </w:rPr>
        <w:t>€</w:t>
      </w:r>
      <w:r w:rsidRPr="009F7CC0">
        <w:rPr>
          <w:rFonts w:ascii="Arial" w:hAnsi="Arial" w:cs="Arial"/>
          <w:sz w:val="20"/>
          <w:szCs w:val="20"/>
        </w:rPr>
        <w:t>, čo je 95,20 %</w:t>
      </w:r>
      <w:r w:rsidRPr="00E21C60">
        <w:rPr>
          <w:rFonts w:ascii="Arial" w:hAnsi="Arial" w:cs="Arial"/>
          <w:sz w:val="20"/>
          <w:szCs w:val="20"/>
        </w:rPr>
        <w:t xml:space="preserve"> zo záväzku na prioritnú os na roky 2007 </w:t>
      </w:r>
      <w:r>
        <w:rPr>
          <w:rFonts w:ascii="Arial" w:hAnsi="Arial" w:cs="Arial"/>
          <w:sz w:val="20"/>
          <w:szCs w:val="20"/>
        </w:rPr>
        <w:t>–</w:t>
      </w:r>
      <w:r w:rsidRPr="00E21C60">
        <w:rPr>
          <w:rFonts w:ascii="Arial" w:hAnsi="Arial" w:cs="Arial"/>
          <w:sz w:val="20"/>
          <w:szCs w:val="20"/>
        </w:rPr>
        <w:t xml:space="preserve"> 2013</w:t>
      </w:r>
      <w:r>
        <w:rPr>
          <w:rFonts w:ascii="Arial" w:hAnsi="Arial" w:cs="Arial"/>
          <w:sz w:val="20"/>
          <w:szCs w:val="20"/>
        </w:rPr>
        <w:t>.</w:t>
      </w:r>
    </w:p>
    <w:p w14:paraId="7E76B2D8" w14:textId="4B974F95" w:rsidR="002416B1" w:rsidRPr="00E21C60" w:rsidRDefault="002416B1" w:rsidP="00912C87">
      <w:pPr>
        <w:spacing w:before="120" w:after="120"/>
        <w:jc w:val="both"/>
        <w:rPr>
          <w:rFonts w:ascii="Arial" w:hAnsi="Arial" w:cs="Arial"/>
          <w:sz w:val="20"/>
          <w:szCs w:val="20"/>
          <w:highlight w:val="yellow"/>
        </w:rPr>
      </w:pPr>
      <w:r w:rsidRPr="00E21C60">
        <w:rPr>
          <w:rFonts w:ascii="Arial" w:hAnsi="Arial" w:cs="Arial"/>
          <w:sz w:val="20"/>
          <w:szCs w:val="20"/>
        </w:rPr>
        <w:t>Tab</w:t>
      </w:r>
      <w:r w:rsidR="00980416" w:rsidRPr="00E21C60">
        <w:rPr>
          <w:rFonts w:ascii="Arial" w:hAnsi="Arial" w:cs="Arial"/>
          <w:sz w:val="20"/>
          <w:szCs w:val="20"/>
        </w:rPr>
        <w:t>uľka</w:t>
      </w:r>
      <w:r w:rsidRPr="00E21C60">
        <w:rPr>
          <w:rFonts w:ascii="Arial" w:hAnsi="Arial" w:cs="Arial"/>
          <w:sz w:val="20"/>
          <w:szCs w:val="20"/>
        </w:rPr>
        <w:t xml:space="preserve"> č. </w:t>
      </w:r>
      <w:r w:rsidR="005F03D4">
        <w:rPr>
          <w:rFonts w:ascii="Arial" w:hAnsi="Arial" w:cs="Arial"/>
          <w:sz w:val="20"/>
          <w:szCs w:val="20"/>
        </w:rPr>
        <w:t>5</w:t>
      </w:r>
      <w:r w:rsidR="007B1CB9">
        <w:rPr>
          <w:rFonts w:ascii="Arial" w:hAnsi="Arial" w:cs="Arial"/>
          <w:sz w:val="20"/>
          <w:szCs w:val="20"/>
        </w:rPr>
        <w:t>7</w:t>
      </w:r>
      <w:r w:rsidRPr="00E21C60">
        <w:rPr>
          <w:rFonts w:ascii="Arial" w:hAnsi="Arial" w:cs="Arial"/>
          <w:sz w:val="20"/>
          <w:szCs w:val="20"/>
        </w:rPr>
        <w:t>: Čerpanie prostriedkov prioritnej osi 4 k 31.</w:t>
      </w:r>
      <w:r w:rsidR="006161E9">
        <w:rPr>
          <w:rFonts w:ascii="Arial" w:hAnsi="Arial" w:cs="Arial"/>
          <w:sz w:val="20"/>
          <w:szCs w:val="20"/>
        </w:rPr>
        <w:t xml:space="preserve"> 10</w:t>
      </w:r>
      <w:r w:rsidRPr="00E21C60">
        <w:rPr>
          <w:rFonts w:ascii="Arial" w:hAnsi="Arial" w:cs="Arial"/>
          <w:sz w:val="20"/>
          <w:szCs w:val="20"/>
        </w:rPr>
        <w:t>.</w:t>
      </w:r>
      <w:r w:rsidR="006161E9">
        <w:rPr>
          <w:rFonts w:ascii="Arial" w:hAnsi="Arial" w:cs="Arial"/>
          <w:sz w:val="20"/>
          <w:szCs w:val="20"/>
        </w:rPr>
        <w:t xml:space="preserve"> </w:t>
      </w:r>
      <w:r w:rsidR="00B73A86" w:rsidRPr="00E21C60">
        <w:rPr>
          <w:rFonts w:ascii="Arial" w:hAnsi="Arial" w:cs="Arial"/>
          <w:sz w:val="20"/>
          <w:szCs w:val="20"/>
        </w:rPr>
        <w:t>201</w:t>
      </w:r>
      <w:r w:rsidR="00963B10">
        <w:rPr>
          <w:rFonts w:ascii="Arial" w:hAnsi="Arial" w:cs="Arial"/>
          <w:sz w:val="20"/>
          <w:szCs w:val="20"/>
        </w:rPr>
        <w:t>6</w:t>
      </w:r>
    </w:p>
    <w:tbl>
      <w:tblPr>
        <w:tblW w:w="8921" w:type="dxa"/>
        <w:jc w:val="center"/>
        <w:tblLayout w:type="fixed"/>
        <w:tblCellMar>
          <w:left w:w="70" w:type="dxa"/>
          <w:right w:w="70" w:type="dxa"/>
        </w:tblCellMar>
        <w:tblLook w:val="0000" w:firstRow="0" w:lastRow="0" w:firstColumn="0" w:lastColumn="0" w:noHBand="0" w:noVBand="0"/>
      </w:tblPr>
      <w:tblGrid>
        <w:gridCol w:w="2684"/>
        <w:gridCol w:w="3118"/>
        <w:gridCol w:w="1499"/>
        <w:gridCol w:w="1620"/>
      </w:tblGrid>
      <w:tr w:rsidR="00CF7816" w:rsidRPr="00E21C60" w14:paraId="074EBF8C" w14:textId="77777777" w:rsidTr="007D7B08">
        <w:trPr>
          <w:trHeight w:val="585"/>
          <w:jc w:val="center"/>
        </w:trPr>
        <w:tc>
          <w:tcPr>
            <w:tcW w:w="2684"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14:paraId="2AB81543" w14:textId="77777777" w:rsidR="00CF7816" w:rsidRPr="00123376" w:rsidRDefault="00CF7816">
            <w:pPr>
              <w:jc w:val="both"/>
              <w:rPr>
                <w:rFonts w:ascii="Arial" w:hAnsi="Arial" w:cs="Arial"/>
                <w:sz w:val="16"/>
                <w:szCs w:val="16"/>
              </w:rPr>
            </w:pPr>
            <w:r w:rsidRPr="00123376">
              <w:rPr>
                <w:rFonts w:ascii="Arial" w:hAnsi="Arial" w:cs="Arial"/>
                <w:sz w:val="16"/>
                <w:szCs w:val="16"/>
              </w:rPr>
              <w:t> </w:t>
            </w:r>
          </w:p>
        </w:tc>
        <w:tc>
          <w:tcPr>
            <w:tcW w:w="3118" w:type="dxa"/>
            <w:vMerge w:val="restart"/>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73146A80" w14:textId="77777777" w:rsidR="00CF7816" w:rsidRPr="00123376" w:rsidRDefault="00CF7816">
            <w:pPr>
              <w:autoSpaceDE w:val="0"/>
              <w:autoSpaceDN w:val="0"/>
              <w:spacing w:before="240" w:after="60"/>
              <w:jc w:val="center"/>
              <w:outlineLvl w:val="7"/>
              <w:rPr>
                <w:rFonts w:ascii="Arial" w:hAnsi="Arial" w:cs="Arial"/>
                <w:sz w:val="16"/>
                <w:szCs w:val="16"/>
              </w:rPr>
            </w:pPr>
            <w:r w:rsidRPr="00123376">
              <w:rPr>
                <w:rFonts w:ascii="Arial" w:eastAsia="EUAlbertina-Regular-Identity-H" w:hAnsi="Arial" w:cs="Arial"/>
                <w:sz w:val="16"/>
                <w:szCs w:val="16"/>
              </w:rPr>
              <w:t xml:space="preserve">Záväzok </w:t>
            </w:r>
            <w:r w:rsidRPr="00123376">
              <w:rPr>
                <w:rFonts w:ascii="Arial" w:eastAsia="EUAlbertina-Regular-Identity-H" w:hAnsi="Arial" w:cs="Arial"/>
                <w:sz w:val="16"/>
                <w:szCs w:val="16"/>
              </w:rPr>
              <w:br/>
              <w:t>2007</w:t>
            </w:r>
            <w:r w:rsidRPr="00E21C60">
              <w:rPr>
                <w:rFonts w:ascii="Arial" w:eastAsia="EUAlbertina-Regular-Identity-H" w:hAnsi="Arial" w:cs="Arial"/>
                <w:sz w:val="16"/>
                <w:szCs w:val="16"/>
              </w:rPr>
              <w:t xml:space="preserve"> </w:t>
            </w:r>
            <w:r w:rsidRPr="00123376">
              <w:rPr>
                <w:rFonts w:ascii="Arial" w:eastAsia="EUAlbertina-Regular-Identity-H" w:hAnsi="Arial" w:cs="Arial"/>
                <w:sz w:val="16"/>
                <w:szCs w:val="16"/>
              </w:rPr>
              <w:t>-</w:t>
            </w:r>
            <w:r w:rsidRPr="00E21C60">
              <w:rPr>
                <w:rFonts w:ascii="Arial" w:eastAsia="EUAlbertina-Regular-Identity-H" w:hAnsi="Arial" w:cs="Arial"/>
                <w:sz w:val="16"/>
                <w:szCs w:val="16"/>
              </w:rPr>
              <w:t xml:space="preserve"> </w:t>
            </w:r>
            <w:r w:rsidRPr="00123376">
              <w:rPr>
                <w:rFonts w:ascii="Arial" w:eastAsia="EUAlbertina-Regular-Identity-H" w:hAnsi="Arial" w:cs="Arial"/>
                <w:sz w:val="16"/>
                <w:szCs w:val="16"/>
              </w:rPr>
              <w:t>2013</w:t>
            </w:r>
            <w:r w:rsidRPr="00123376">
              <w:rPr>
                <w:rFonts w:ascii="Arial" w:eastAsia="EUAlbertina-Regular-Identity-H" w:hAnsi="Arial" w:cs="Arial"/>
                <w:sz w:val="16"/>
                <w:szCs w:val="16"/>
              </w:rPr>
              <w:br/>
              <w:t xml:space="preserve"> za EÚ zdroje</w:t>
            </w:r>
            <w:r w:rsidRPr="00123376">
              <w:rPr>
                <w:rFonts w:ascii="Arial" w:eastAsia="EUAlbertina-Regular-Identity-H" w:hAnsi="Arial" w:cs="Arial"/>
                <w:sz w:val="16"/>
                <w:szCs w:val="16"/>
              </w:rPr>
              <w:br/>
            </w:r>
            <w:r w:rsidRPr="00123376">
              <w:rPr>
                <w:rFonts w:ascii="Arial" w:hAnsi="Arial" w:cs="Arial"/>
                <w:sz w:val="16"/>
                <w:szCs w:val="16"/>
              </w:rPr>
              <w:t>v €</w:t>
            </w:r>
          </w:p>
        </w:tc>
        <w:tc>
          <w:tcPr>
            <w:tcW w:w="3119" w:type="dxa"/>
            <w:gridSpan w:val="2"/>
            <w:tcBorders>
              <w:top w:val="single" w:sz="8" w:space="0" w:color="auto"/>
              <w:left w:val="nil"/>
              <w:bottom w:val="single" w:sz="4" w:space="0" w:color="auto"/>
              <w:right w:val="single" w:sz="8" w:space="0" w:color="000000"/>
            </w:tcBorders>
            <w:shd w:val="clear" w:color="auto" w:fill="C2D69B" w:themeFill="accent3" w:themeFillTint="99"/>
            <w:vAlign w:val="center"/>
          </w:tcPr>
          <w:p w14:paraId="746FFD21" w14:textId="77777777" w:rsidR="00CF7816" w:rsidRPr="00123376" w:rsidRDefault="00CF7816">
            <w:pPr>
              <w:autoSpaceDE w:val="0"/>
              <w:autoSpaceDN w:val="0"/>
              <w:spacing w:before="240" w:after="60"/>
              <w:jc w:val="center"/>
              <w:outlineLvl w:val="7"/>
              <w:rPr>
                <w:rFonts w:ascii="Arial" w:hAnsi="Arial" w:cs="Arial"/>
                <w:sz w:val="16"/>
                <w:szCs w:val="16"/>
              </w:rPr>
            </w:pPr>
            <w:r w:rsidRPr="00123376">
              <w:rPr>
                <w:rFonts w:ascii="Arial" w:hAnsi="Arial" w:cs="Arial"/>
                <w:sz w:val="16"/>
                <w:szCs w:val="16"/>
              </w:rPr>
              <w:t xml:space="preserve">Čerpanie prostriedkov kumulatívne </w:t>
            </w:r>
            <w:r w:rsidRPr="00123376">
              <w:rPr>
                <w:rFonts w:ascii="Arial" w:hAnsi="Arial" w:cs="Arial"/>
                <w:sz w:val="16"/>
                <w:szCs w:val="16"/>
              </w:rPr>
              <w:br/>
              <w:t>(EU zdroje) v €</w:t>
            </w:r>
          </w:p>
        </w:tc>
      </w:tr>
      <w:tr w:rsidR="00CF7816" w:rsidRPr="00E21C60" w14:paraId="41B10414" w14:textId="77777777" w:rsidTr="007D7B08">
        <w:trPr>
          <w:trHeight w:val="480"/>
          <w:jc w:val="center"/>
        </w:trPr>
        <w:tc>
          <w:tcPr>
            <w:tcW w:w="2684" w:type="dxa"/>
            <w:vMerge/>
            <w:tcBorders>
              <w:top w:val="single" w:sz="8" w:space="0" w:color="auto"/>
              <w:left w:val="single" w:sz="8" w:space="0" w:color="auto"/>
              <w:bottom w:val="single" w:sz="4" w:space="0" w:color="auto"/>
              <w:right w:val="single" w:sz="4" w:space="0" w:color="auto"/>
            </w:tcBorders>
            <w:shd w:val="clear" w:color="auto" w:fill="auto"/>
            <w:vAlign w:val="center"/>
          </w:tcPr>
          <w:p w14:paraId="73170857" w14:textId="77777777" w:rsidR="00CF7816" w:rsidRPr="00123376" w:rsidRDefault="00CF7816">
            <w:pPr>
              <w:jc w:val="both"/>
              <w:rPr>
                <w:rFonts w:ascii="Arial" w:hAnsi="Arial" w:cs="Arial"/>
                <w:sz w:val="16"/>
                <w:szCs w:val="16"/>
              </w:rPr>
            </w:pPr>
          </w:p>
        </w:tc>
        <w:tc>
          <w:tcPr>
            <w:tcW w:w="3118" w:type="dxa"/>
            <w:vMerge/>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55A7F16F" w14:textId="77777777" w:rsidR="00CF7816" w:rsidRPr="00123376" w:rsidRDefault="00CF7816">
            <w:pPr>
              <w:jc w:val="center"/>
              <w:rPr>
                <w:rFonts w:ascii="Arial" w:hAnsi="Arial" w:cs="Arial"/>
                <w:sz w:val="16"/>
                <w:szCs w:val="16"/>
              </w:rPr>
            </w:pPr>
          </w:p>
        </w:tc>
        <w:tc>
          <w:tcPr>
            <w:tcW w:w="1499" w:type="dxa"/>
            <w:tcBorders>
              <w:top w:val="nil"/>
              <w:left w:val="nil"/>
              <w:bottom w:val="single" w:sz="4" w:space="0" w:color="auto"/>
              <w:right w:val="single" w:sz="4" w:space="0" w:color="auto"/>
            </w:tcBorders>
            <w:shd w:val="clear" w:color="auto" w:fill="C2D69B" w:themeFill="accent3" w:themeFillTint="99"/>
            <w:noWrap/>
            <w:vAlign w:val="center"/>
          </w:tcPr>
          <w:p w14:paraId="0F8F6D42" w14:textId="77777777" w:rsidR="00CF7816" w:rsidRPr="00123376" w:rsidRDefault="00CF7816">
            <w:pPr>
              <w:jc w:val="center"/>
              <w:rPr>
                <w:rFonts w:ascii="Arial" w:hAnsi="Arial" w:cs="Arial"/>
                <w:sz w:val="16"/>
                <w:szCs w:val="16"/>
              </w:rPr>
            </w:pPr>
            <w:r w:rsidRPr="00123376">
              <w:rPr>
                <w:rFonts w:ascii="Arial" w:hAnsi="Arial" w:cs="Arial"/>
                <w:sz w:val="16"/>
                <w:szCs w:val="16"/>
              </w:rPr>
              <w:t>Celkom</w:t>
            </w:r>
          </w:p>
        </w:tc>
        <w:tc>
          <w:tcPr>
            <w:tcW w:w="1620" w:type="dxa"/>
            <w:tcBorders>
              <w:top w:val="nil"/>
              <w:left w:val="nil"/>
              <w:bottom w:val="single" w:sz="4" w:space="0" w:color="auto"/>
              <w:right w:val="single" w:sz="8" w:space="0" w:color="auto"/>
            </w:tcBorders>
            <w:shd w:val="clear" w:color="auto" w:fill="C2D69B" w:themeFill="accent3" w:themeFillTint="99"/>
            <w:vAlign w:val="center"/>
          </w:tcPr>
          <w:p w14:paraId="0C5F35DA" w14:textId="77777777" w:rsidR="00CF7816" w:rsidRPr="00123376" w:rsidRDefault="00CF7816" w:rsidP="008A1902">
            <w:pPr>
              <w:autoSpaceDE w:val="0"/>
              <w:autoSpaceDN w:val="0"/>
              <w:jc w:val="center"/>
              <w:outlineLvl w:val="7"/>
              <w:rPr>
                <w:rFonts w:ascii="Arial" w:hAnsi="Arial" w:cs="Arial"/>
                <w:sz w:val="16"/>
                <w:szCs w:val="16"/>
              </w:rPr>
            </w:pPr>
            <w:r w:rsidRPr="00123376">
              <w:rPr>
                <w:rFonts w:ascii="Arial" w:hAnsi="Arial" w:cs="Arial"/>
                <w:sz w:val="16"/>
                <w:szCs w:val="16"/>
              </w:rPr>
              <w:t>% zo záväzku</w:t>
            </w:r>
          </w:p>
          <w:p w14:paraId="3BA19A80" w14:textId="77777777" w:rsidR="00CF7816" w:rsidRPr="00123376" w:rsidRDefault="00CF7816">
            <w:pPr>
              <w:jc w:val="center"/>
              <w:rPr>
                <w:rFonts w:ascii="Arial" w:hAnsi="Arial" w:cs="Arial"/>
                <w:sz w:val="16"/>
                <w:szCs w:val="16"/>
              </w:rPr>
            </w:pPr>
            <w:r w:rsidRPr="00123376">
              <w:rPr>
                <w:rFonts w:ascii="Arial" w:hAnsi="Arial" w:cs="Arial"/>
                <w:sz w:val="16"/>
                <w:szCs w:val="16"/>
              </w:rPr>
              <w:t>2007 - 2013</w:t>
            </w:r>
          </w:p>
        </w:tc>
      </w:tr>
      <w:tr w:rsidR="00CF7816" w:rsidRPr="00E21C60" w14:paraId="0174A950" w14:textId="77777777" w:rsidTr="00CF7816">
        <w:trPr>
          <w:trHeight w:val="255"/>
          <w:jc w:val="center"/>
        </w:trPr>
        <w:tc>
          <w:tcPr>
            <w:tcW w:w="2684" w:type="dxa"/>
            <w:tcBorders>
              <w:top w:val="single" w:sz="4" w:space="0" w:color="auto"/>
              <w:left w:val="single" w:sz="8" w:space="0" w:color="auto"/>
              <w:bottom w:val="single" w:sz="4" w:space="0" w:color="auto"/>
              <w:right w:val="single" w:sz="4" w:space="0" w:color="auto"/>
            </w:tcBorders>
            <w:shd w:val="clear" w:color="auto" w:fill="auto"/>
            <w:noWrap/>
            <w:vAlign w:val="center"/>
          </w:tcPr>
          <w:p w14:paraId="3EF65C77" w14:textId="77777777" w:rsidR="00CF7816" w:rsidRPr="00123376" w:rsidRDefault="00CF7816" w:rsidP="00E01BB1">
            <w:pPr>
              <w:autoSpaceDE w:val="0"/>
              <w:autoSpaceDN w:val="0"/>
              <w:spacing w:before="240" w:after="60"/>
              <w:jc w:val="center"/>
              <w:outlineLvl w:val="7"/>
              <w:rPr>
                <w:rFonts w:ascii="Arial" w:hAnsi="Arial" w:cs="Arial"/>
                <w:sz w:val="16"/>
                <w:szCs w:val="16"/>
              </w:rPr>
            </w:pPr>
            <w:r w:rsidRPr="00123376">
              <w:rPr>
                <w:rFonts w:ascii="Arial" w:hAnsi="Arial" w:cs="Arial"/>
                <w:sz w:val="16"/>
                <w:szCs w:val="16"/>
              </w:rPr>
              <w:t>Prioritná os 4</w:t>
            </w:r>
          </w:p>
        </w:tc>
        <w:tc>
          <w:tcPr>
            <w:tcW w:w="3118" w:type="dxa"/>
            <w:tcBorders>
              <w:top w:val="nil"/>
              <w:left w:val="nil"/>
              <w:bottom w:val="single" w:sz="4" w:space="0" w:color="auto"/>
              <w:right w:val="single" w:sz="4" w:space="0" w:color="auto"/>
            </w:tcBorders>
            <w:shd w:val="clear" w:color="auto" w:fill="auto"/>
            <w:noWrap/>
            <w:vAlign w:val="center"/>
          </w:tcPr>
          <w:p w14:paraId="0C461BF9" w14:textId="6F3A2D3E" w:rsidR="00CF7816" w:rsidRPr="009F7CC0" w:rsidRDefault="00CF7816" w:rsidP="00E01BB1">
            <w:pPr>
              <w:jc w:val="center"/>
              <w:rPr>
                <w:rFonts w:ascii="Arial" w:hAnsi="Arial" w:cs="Arial"/>
                <w:sz w:val="16"/>
                <w:szCs w:val="16"/>
              </w:rPr>
            </w:pPr>
            <w:r w:rsidRPr="009F7CC0">
              <w:rPr>
                <w:rFonts w:ascii="Arial" w:eastAsia="EUAlbertina-Regular-Identity-H" w:hAnsi="Arial" w:cs="Arial"/>
                <w:sz w:val="16"/>
                <w:szCs w:val="16"/>
              </w:rPr>
              <w:t>356 360 000,00</w:t>
            </w:r>
          </w:p>
        </w:tc>
        <w:tc>
          <w:tcPr>
            <w:tcW w:w="1499" w:type="dxa"/>
            <w:tcBorders>
              <w:top w:val="nil"/>
              <w:left w:val="nil"/>
              <w:bottom w:val="single" w:sz="4" w:space="0" w:color="auto"/>
              <w:right w:val="single" w:sz="4" w:space="0" w:color="auto"/>
            </w:tcBorders>
            <w:shd w:val="clear" w:color="auto" w:fill="auto"/>
            <w:noWrap/>
            <w:vAlign w:val="center"/>
          </w:tcPr>
          <w:p w14:paraId="281B9576" w14:textId="11AFE65B" w:rsidR="00CF7816" w:rsidRPr="009F7CC0" w:rsidRDefault="006C6C7E" w:rsidP="006161E9">
            <w:pPr>
              <w:jc w:val="center"/>
              <w:rPr>
                <w:rFonts w:ascii="Arial" w:hAnsi="Arial" w:cs="Arial"/>
                <w:color w:val="000000"/>
                <w:sz w:val="16"/>
                <w:szCs w:val="16"/>
              </w:rPr>
            </w:pPr>
            <w:r w:rsidRPr="009F7CC0">
              <w:rPr>
                <w:rFonts w:ascii="Arial" w:eastAsia="EUAlbertina-Regular-Identity-H" w:hAnsi="Arial" w:cs="Arial"/>
                <w:sz w:val="16"/>
                <w:szCs w:val="16"/>
              </w:rPr>
              <w:t>339 </w:t>
            </w:r>
            <w:r w:rsidR="00543371">
              <w:rPr>
                <w:rFonts w:ascii="Arial" w:eastAsia="EUAlbertina-Regular-Identity-H" w:hAnsi="Arial" w:cs="Arial"/>
                <w:sz w:val="16"/>
                <w:szCs w:val="16"/>
              </w:rPr>
              <w:t>242</w:t>
            </w:r>
            <w:r w:rsidR="006161E9">
              <w:rPr>
                <w:rFonts w:ascii="Arial" w:eastAsia="EUAlbertina-Regular-Identity-H" w:hAnsi="Arial" w:cs="Arial"/>
                <w:sz w:val="16"/>
                <w:szCs w:val="16"/>
              </w:rPr>
              <w:t> 270,88</w:t>
            </w:r>
          </w:p>
        </w:tc>
        <w:tc>
          <w:tcPr>
            <w:tcW w:w="1620" w:type="dxa"/>
            <w:tcBorders>
              <w:top w:val="nil"/>
              <w:left w:val="nil"/>
              <w:bottom w:val="single" w:sz="4" w:space="0" w:color="auto"/>
              <w:right w:val="single" w:sz="8" w:space="0" w:color="auto"/>
            </w:tcBorders>
            <w:shd w:val="clear" w:color="auto" w:fill="auto"/>
            <w:noWrap/>
            <w:vAlign w:val="center"/>
          </w:tcPr>
          <w:p w14:paraId="45419EC4" w14:textId="1D6370CE" w:rsidR="00CF7816" w:rsidRPr="009F7CC0" w:rsidRDefault="000376EF" w:rsidP="006C6C7E">
            <w:pPr>
              <w:jc w:val="center"/>
              <w:rPr>
                <w:rFonts w:ascii="Arial" w:hAnsi="Arial" w:cs="Arial"/>
                <w:color w:val="000000"/>
                <w:sz w:val="16"/>
                <w:szCs w:val="16"/>
              </w:rPr>
            </w:pPr>
            <w:r w:rsidRPr="009F7CC0">
              <w:rPr>
                <w:rFonts w:ascii="Arial" w:eastAsia="EUAlbertina-Regular-Identity-H" w:hAnsi="Arial" w:cs="Arial"/>
                <w:sz w:val="16"/>
                <w:szCs w:val="16"/>
              </w:rPr>
              <w:t>95,</w:t>
            </w:r>
            <w:r w:rsidR="006C6C7E" w:rsidRPr="009F7CC0">
              <w:rPr>
                <w:rFonts w:ascii="Arial" w:eastAsia="EUAlbertina-Regular-Identity-H" w:hAnsi="Arial" w:cs="Arial"/>
                <w:sz w:val="16"/>
                <w:szCs w:val="16"/>
              </w:rPr>
              <w:t>20</w:t>
            </w:r>
            <w:r w:rsidR="00CF7816" w:rsidRPr="009F7CC0">
              <w:rPr>
                <w:rFonts w:ascii="Arial" w:eastAsia="EUAlbertina-Regular-Identity-H" w:hAnsi="Arial" w:cs="Arial"/>
                <w:sz w:val="16"/>
                <w:szCs w:val="16"/>
              </w:rPr>
              <w:t>%</w:t>
            </w:r>
          </w:p>
        </w:tc>
      </w:tr>
    </w:tbl>
    <w:p w14:paraId="739008F3" w14:textId="77777777" w:rsidR="002416B1" w:rsidRPr="00123376" w:rsidRDefault="002416B1" w:rsidP="00123376">
      <w:pPr>
        <w:pStyle w:val="Zkladntextb"/>
        <w:spacing w:after="0" w:line="240" w:lineRule="auto"/>
        <w:ind w:left="0"/>
        <w:rPr>
          <w:rFonts w:cs="Arial"/>
          <w:sz w:val="16"/>
          <w:szCs w:val="16"/>
          <w:lang w:val="sk-SK"/>
        </w:rPr>
      </w:pPr>
      <w:r w:rsidRPr="00123376">
        <w:rPr>
          <w:rFonts w:cs="Arial"/>
          <w:sz w:val="16"/>
          <w:szCs w:val="16"/>
          <w:lang w:val="sk-SK"/>
        </w:rPr>
        <w:t>Zdroj: CO</w:t>
      </w:r>
    </w:p>
    <w:p w14:paraId="77B43688" w14:textId="77777777" w:rsidR="004D4FE1" w:rsidRPr="00123376" w:rsidRDefault="004D4FE1">
      <w:pPr>
        <w:jc w:val="both"/>
        <w:rPr>
          <w:rFonts w:ascii="Arial" w:hAnsi="Arial" w:cs="Arial"/>
          <w:sz w:val="16"/>
          <w:szCs w:val="16"/>
        </w:rPr>
      </w:pPr>
      <w:r w:rsidRPr="00123376">
        <w:rPr>
          <w:rFonts w:ascii="Arial" w:hAnsi="Arial" w:cs="Arial"/>
          <w:i/>
          <w:sz w:val="16"/>
          <w:szCs w:val="16"/>
        </w:rPr>
        <w:t xml:space="preserve">Pozn.: </w:t>
      </w:r>
      <w:r w:rsidRPr="00123376">
        <w:rPr>
          <w:rFonts w:ascii="Arial" w:hAnsi="Arial" w:cs="Arial"/>
          <w:bCs/>
          <w:i/>
          <w:sz w:val="16"/>
          <w:szCs w:val="16"/>
        </w:rPr>
        <w:t>prehľad výdavkov schválených CO znížených o nezrovnalosti</w:t>
      </w:r>
    </w:p>
    <w:p w14:paraId="54B1A767" w14:textId="503BD929" w:rsidR="009A7459" w:rsidRPr="00C62965" w:rsidRDefault="00024A04" w:rsidP="00123376">
      <w:pPr>
        <w:pStyle w:val="Zkladntextb"/>
        <w:spacing w:before="120" w:after="120" w:line="240" w:lineRule="auto"/>
        <w:ind w:left="0"/>
        <w:jc w:val="both"/>
        <w:rPr>
          <w:rFonts w:cs="Arial"/>
          <w:lang w:val="sk-SK"/>
        </w:rPr>
      </w:pPr>
      <w:r w:rsidRPr="00590529">
        <w:rPr>
          <w:rFonts w:cs="Arial"/>
          <w:lang w:val="sk-SK"/>
        </w:rPr>
        <w:t xml:space="preserve">Počas implementácie OP ŽP k 31.10.2016 došlo v rámci projektov prioritnej osi 4 k vráteniu finančných prostriedkov v 69 prípadoch. </w:t>
      </w:r>
    </w:p>
    <w:p w14:paraId="3E6FFE99" w14:textId="77777777" w:rsidR="002416B1" w:rsidRPr="00D641FF" w:rsidRDefault="002416B1" w:rsidP="00123376">
      <w:pPr>
        <w:pStyle w:val="Nadpis3"/>
        <w:spacing w:after="120"/>
        <w:jc w:val="both"/>
        <w:rPr>
          <w:rFonts w:cs="Arial"/>
        </w:rPr>
      </w:pPr>
      <w:bookmarkStart w:id="85" w:name="_Toc466914537"/>
      <w:r w:rsidRPr="00D641FF">
        <w:rPr>
          <w:rFonts w:cs="Arial"/>
        </w:rPr>
        <w:t>3.4.2 Závažné problémy, ktoré sa vyskytli</w:t>
      </w:r>
      <w:r w:rsidR="000E22B9" w:rsidRPr="00D641FF">
        <w:rPr>
          <w:rFonts w:cs="Arial"/>
        </w:rPr>
        <w:t>,</w:t>
      </w:r>
      <w:r w:rsidRPr="00D641FF">
        <w:rPr>
          <w:rFonts w:cs="Arial"/>
        </w:rPr>
        <w:t xml:space="preserve"> a opatrenia prijaté na ich </w:t>
      </w:r>
      <w:r w:rsidR="000E22B9" w:rsidRPr="00D641FF">
        <w:rPr>
          <w:rFonts w:cs="Arial"/>
        </w:rPr>
        <w:t>odstránenie</w:t>
      </w:r>
      <w:bookmarkEnd w:id="85"/>
    </w:p>
    <w:p w14:paraId="698707CD" w14:textId="5CBDC34F" w:rsidR="002416B1" w:rsidRPr="00E21C60" w:rsidRDefault="000F16E1" w:rsidP="00123376">
      <w:pPr>
        <w:spacing w:before="240" w:after="120"/>
        <w:jc w:val="both"/>
        <w:rPr>
          <w:rFonts w:ascii="Arial" w:hAnsi="Arial" w:cs="Arial"/>
          <w:iCs/>
          <w:sz w:val="20"/>
          <w:szCs w:val="20"/>
        </w:rPr>
      </w:pPr>
      <w:r>
        <w:rPr>
          <w:rFonts w:ascii="Arial" w:hAnsi="Arial" w:cs="Arial"/>
          <w:sz w:val="20"/>
          <w:szCs w:val="20"/>
        </w:rPr>
        <w:t xml:space="preserve">Implementáciu prioritnej osi 4 Odpadové hospodárstvo negatívnym spôsobom ovplyvnil </w:t>
      </w:r>
      <w:r w:rsidRPr="00E21C60">
        <w:rPr>
          <w:rFonts w:ascii="Arial" w:hAnsi="Arial" w:cs="Arial"/>
          <w:sz w:val="20"/>
          <w:szCs w:val="20"/>
        </w:rPr>
        <w:t>zdĺhav</w:t>
      </w:r>
      <w:r>
        <w:rPr>
          <w:rFonts w:ascii="Arial" w:hAnsi="Arial" w:cs="Arial"/>
          <w:sz w:val="20"/>
          <w:szCs w:val="20"/>
        </w:rPr>
        <w:t>ý</w:t>
      </w:r>
      <w:r w:rsidRPr="00E21C60">
        <w:rPr>
          <w:rFonts w:ascii="Arial" w:hAnsi="Arial" w:cs="Arial"/>
          <w:sz w:val="20"/>
          <w:szCs w:val="20"/>
        </w:rPr>
        <w:t xml:space="preserve"> proces prípravy legislatívnych pravidiel v oblasti riešenia problematiky odstraňovania environmentálnych záťaží</w:t>
      </w:r>
      <w:r>
        <w:rPr>
          <w:rFonts w:ascii="Arial" w:hAnsi="Arial" w:cs="Arial"/>
          <w:sz w:val="20"/>
          <w:szCs w:val="20"/>
        </w:rPr>
        <w:t>.</w:t>
      </w:r>
      <w:r w:rsidR="00EC430F" w:rsidRPr="00E21C60">
        <w:rPr>
          <w:rFonts w:ascii="Arial" w:hAnsi="Arial" w:cs="Arial"/>
          <w:sz w:val="20"/>
          <w:szCs w:val="20"/>
        </w:rPr>
        <w:t xml:space="preserve"> </w:t>
      </w:r>
      <w:r w:rsidR="002416B1" w:rsidRPr="00E21C60">
        <w:rPr>
          <w:rFonts w:ascii="Arial" w:hAnsi="Arial" w:cs="Arial"/>
          <w:iCs/>
          <w:sz w:val="20"/>
          <w:szCs w:val="20"/>
        </w:rPr>
        <w:t xml:space="preserve">Základným predpokladom pre vyhlásenie </w:t>
      </w:r>
      <w:r w:rsidR="00EC430F" w:rsidRPr="00E21C60">
        <w:rPr>
          <w:rFonts w:ascii="Arial" w:hAnsi="Arial" w:cs="Arial"/>
          <w:iCs/>
          <w:sz w:val="20"/>
          <w:szCs w:val="20"/>
        </w:rPr>
        <w:t xml:space="preserve">výziev </w:t>
      </w:r>
      <w:r w:rsidR="002416B1" w:rsidRPr="00E21C60">
        <w:rPr>
          <w:rFonts w:ascii="Arial" w:hAnsi="Arial" w:cs="Arial"/>
          <w:iCs/>
          <w:sz w:val="20"/>
          <w:szCs w:val="20"/>
        </w:rPr>
        <w:t xml:space="preserve">na predkladanie žiadostí o NFP v rámci prioritnej osi 4 Odpadové hospodárstvo, operačný cieľ 4.4 Riešenie problematiky </w:t>
      </w:r>
      <w:r w:rsidR="002416B1" w:rsidRPr="00E21C60">
        <w:rPr>
          <w:rFonts w:ascii="Arial" w:hAnsi="Arial" w:cs="Arial"/>
          <w:iCs/>
          <w:sz w:val="20"/>
          <w:szCs w:val="20"/>
        </w:rPr>
        <w:lastRenderedPageBreak/>
        <w:t>environmentálnych záťaží vrátane ich odstraňovania bolo prijatie základnej právnej úpravy v oblasti environmentálnych záťaží</w:t>
      </w:r>
      <w:r w:rsidR="000A6563">
        <w:rPr>
          <w:rFonts w:ascii="Arial" w:hAnsi="Arial" w:cs="Arial"/>
          <w:iCs/>
          <w:sz w:val="20"/>
          <w:szCs w:val="20"/>
        </w:rPr>
        <w:t xml:space="preserve">. Uvedené </w:t>
      </w:r>
      <w:r w:rsidR="002416B1" w:rsidRPr="00E21C60">
        <w:rPr>
          <w:rFonts w:ascii="Arial" w:hAnsi="Arial" w:cs="Arial"/>
          <w:iCs/>
          <w:sz w:val="20"/>
          <w:szCs w:val="20"/>
        </w:rPr>
        <w:t>bolo zabezpečené zákonom č. 409/2011 Z.</w:t>
      </w:r>
      <w:r w:rsidR="00A852DC" w:rsidRPr="00E21C60">
        <w:rPr>
          <w:rFonts w:ascii="Arial" w:hAnsi="Arial" w:cs="Arial"/>
          <w:iCs/>
          <w:sz w:val="20"/>
          <w:szCs w:val="20"/>
        </w:rPr>
        <w:t xml:space="preserve"> </w:t>
      </w:r>
      <w:r w:rsidR="002416B1" w:rsidRPr="00E21C60">
        <w:rPr>
          <w:rFonts w:ascii="Arial" w:hAnsi="Arial" w:cs="Arial"/>
          <w:iCs/>
          <w:sz w:val="20"/>
          <w:szCs w:val="20"/>
        </w:rPr>
        <w:t>z. o niektorých opatreniach na úseku environmentálnej záťaže a o zmene a doplnení niektorých zákonov, ktorý bol zverejnený v </w:t>
      </w:r>
      <w:r w:rsidR="00F45C08">
        <w:rPr>
          <w:rFonts w:ascii="Arial" w:hAnsi="Arial" w:cs="Arial"/>
          <w:iCs/>
          <w:sz w:val="20"/>
          <w:szCs w:val="20"/>
        </w:rPr>
        <w:t>Z</w:t>
      </w:r>
      <w:r w:rsidR="002416B1" w:rsidRPr="00E21C60">
        <w:rPr>
          <w:rFonts w:ascii="Arial" w:hAnsi="Arial" w:cs="Arial"/>
          <w:iCs/>
          <w:sz w:val="20"/>
          <w:szCs w:val="20"/>
        </w:rPr>
        <w:t>bierke zákonov dňa 21.</w:t>
      </w:r>
      <w:r w:rsidR="00AF4DE9">
        <w:rPr>
          <w:rFonts w:ascii="Arial" w:hAnsi="Arial" w:cs="Arial"/>
          <w:iCs/>
          <w:sz w:val="20"/>
          <w:szCs w:val="20"/>
        </w:rPr>
        <w:t xml:space="preserve"> </w:t>
      </w:r>
      <w:r w:rsidR="002416B1" w:rsidRPr="00E21C60">
        <w:rPr>
          <w:rFonts w:ascii="Arial" w:hAnsi="Arial" w:cs="Arial"/>
          <w:iCs/>
          <w:sz w:val="20"/>
          <w:szCs w:val="20"/>
        </w:rPr>
        <w:t>10.</w:t>
      </w:r>
      <w:r w:rsidR="00AF4DE9">
        <w:rPr>
          <w:rFonts w:ascii="Arial" w:hAnsi="Arial" w:cs="Arial"/>
          <w:iCs/>
          <w:sz w:val="20"/>
          <w:szCs w:val="20"/>
        </w:rPr>
        <w:t xml:space="preserve"> </w:t>
      </w:r>
      <w:r w:rsidR="002416B1" w:rsidRPr="00E21C60">
        <w:rPr>
          <w:rFonts w:ascii="Arial" w:hAnsi="Arial" w:cs="Arial"/>
          <w:iCs/>
          <w:sz w:val="20"/>
          <w:szCs w:val="20"/>
        </w:rPr>
        <w:t>2011 a účinnosť nadobudol dňa 01.</w:t>
      </w:r>
      <w:r w:rsidR="00AF4DE9">
        <w:rPr>
          <w:rFonts w:ascii="Arial" w:hAnsi="Arial" w:cs="Arial"/>
          <w:iCs/>
          <w:sz w:val="20"/>
          <w:szCs w:val="20"/>
        </w:rPr>
        <w:t xml:space="preserve"> </w:t>
      </w:r>
      <w:r w:rsidR="002416B1" w:rsidRPr="00E21C60">
        <w:rPr>
          <w:rFonts w:ascii="Arial" w:hAnsi="Arial" w:cs="Arial"/>
          <w:iCs/>
          <w:sz w:val="20"/>
          <w:szCs w:val="20"/>
        </w:rPr>
        <w:t>01.</w:t>
      </w:r>
      <w:r w:rsidR="00AF4DE9">
        <w:rPr>
          <w:rFonts w:ascii="Arial" w:hAnsi="Arial" w:cs="Arial"/>
          <w:iCs/>
          <w:sz w:val="20"/>
          <w:szCs w:val="20"/>
        </w:rPr>
        <w:t xml:space="preserve"> </w:t>
      </w:r>
      <w:r w:rsidR="002416B1" w:rsidRPr="00E21C60">
        <w:rPr>
          <w:rFonts w:ascii="Arial" w:hAnsi="Arial" w:cs="Arial"/>
          <w:iCs/>
          <w:sz w:val="20"/>
          <w:szCs w:val="20"/>
        </w:rPr>
        <w:t>2012. Predmetným zákonom boli ustanovené a) práva a povinnosti osôb pri identifikácii environmentálnej záťaže; b) spôsob určenia povinnej osoby na úseku environmentálnej záťaže; c) práva a povinnosti pôvodcu environmentálnej záťaže, povinnej osoby a ministerstva, ktorého pôsobnosť súvisí s činnosťou, ktorá viedla k vzniku environmentálnej záťaže; d) pôsobnosť orgánov štátnej správy na úseku environmentálnej záťaže, ako aj e) sankcie za porušenie povinností podľa tohto zákona.</w:t>
      </w:r>
    </w:p>
    <w:p w14:paraId="7C43239A" w14:textId="597C9361" w:rsidR="00677AF1" w:rsidRPr="00E21C60" w:rsidRDefault="002416B1" w:rsidP="00123376">
      <w:pPr>
        <w:spacing w:before="120" w:after="120"/>
        <w:jc w:val="both"/>
        <w:rPr>
          <w:rFonts w:ascii="Arial" w:hAnsi="Arial" w:cs="Arial"/>
          <w:iCs/>
          <w:sz w:val="20"/>
          <w:szCs w:val="20"/>
        </w:rPr>
      </w:pPr>
      <w:r w:rsidRPr="00E21C60">
        <w:rPr>
          <w:rFonts w:ascii="Arial" w:hAnsi="Arial" w:cs="Arial"/>
          <w:iCs/>
          <w:sz w:val="20"/>
          <w:szCs w:val="20"/>
        </w:rPr>
        <w:t>Po schválení predmetného zákona bolo možné vypracovať dokumentáciu k</w:t>
      </w:r>
      <w:r w:rsidR="00EC430F" w:rsidRPr="00E21C60">
        <w:rPr>
          <w:rFonts w:ascii="Arial" w:hAnsi="Arial" w:cs="Arial"/>
          <w:iCs/>
          <w:sz w:val="20"/>
          <w:szCs w:val="20"/>
        </w:rPr>
        <w:t> vyhláseniu výzvy</w:t>
      </w:r>
      <w:r w:rsidRPr="00E21C60">
        <w:rPr>
          <w:rFonts w:ascii="Arial" w:hAnsi="Arial" w:cs="Arial"/>
          <w:iCs/>
          <w:sz w:val="20"/>
          <w:szCs w:val="20"/>
        </w:rPr>
        <w:t xml:space="preserve"> v rámci operačného cieľa 4.4 a</w:t>
      </w:r>
      <w:r w:rsidR="007D337C">
        <w:rPr>
          <w:rFonts w:ascii="Arial" w:hAnsi="Arial" w:cs="Arial"/>
          <w:iCs/>
          <w:sz w:val="20"/>
          <w:szCs w:val="20"/>
        </w:rPr>
        <w:t> </w:t>
      </w:r>
      <w:r w:rsidRPr="00E21C60">
        <w:rPr>
          <w:rFonts w:ascii="Arial" w:hAnsi="Arial" w:cs="Arial"/>
          <w:iCs/>
          <w:sz w:val="20"/>
          <w:szCs w:val="20"/>
        </w:rPr>
        <w:t>následn</w:t>
      </w:r>
      <w:r w:rsidR="007D337C">
        <w:rPr>
          <w:rFonts w:ascii="Arial" w:hAnsi="Arial" w:cs="Arial"/>
          <w:iCs/>
          <w:sz w:val="20"/>
          <w:szCs w:val="20"/>
        </w:rPr>
        <w:t>e</w:t>
      </w:r>
      <w:r w:rsidRPr="00E21C60">
        <w:rPr>
          <w:rFonts w:ascii="Arial" w:hAnsi="Arial" w:cs="Arial"/>
          <w:iCs/>
          <w:sz w:val="20"/>
          <w:szCs w:val="20"/>
        </w:rPr>
        <w:t xml:space="preserve"> </w:t>
      </w:r>
      <w:r w:rsidR="007D337C">
        <w:rPr>
          <w:rFonts w:ascii="Arial" w:hAnsi="Arial" w:cs="Arial"/>
          <w:iCs/>
          <w:sz w:val="20"/>
          <w:szCs w:val="20"/>
        </w:rPr>
        <w:t>ju aj zverejniť</w:t>
      </w:r>
      <w:r w:rsidRPr="00E21C60">
        <w:rPr>
          <w:rFonts w:ascii="Arial" w:hAnsi="Arial" w:cs="Arial"/>
          <w:iCs/>
          <w:sz w:val="20"/>
          <w:szCs w:val="20"/>
        </w:rPr>
        <w:t>. V</w:t>
      </w:r>
      <w:r w:rsidR="00677AF1" w:rsidRPr="00E21C60">
        <w:rPr>
          <w:rFonts w:ascii="Arial" w:hAnsi="Arial" w:cs="Arial"/>
          <w:iCs/>
          <w:sz w:val="20"/>
          <w:szCs w:val="20"/>
        </w:rPr>
        <w:t xml:space="preserve"> roku 2011 bola </w:t>
      </w:r>
      <w:r w:rsidRPr="00E21C60">
        <w:rPr>
          <w:rFonts w:ascii="Arial" w:hAnsi="Arial" w:cs="Arial"/>
          <w:iCs/>
          <w:sz w:val="20"/>
          <w:szCs w:val="20"/>
        </w:rPr>
        <w:t xml:space="preserve">vyhlásená výzva zameraná na podrobný prieskum pravdepodobných environmentálnych záťaží a prieskum environmentálnych záťaží, vrátane vypracovania analýz rizika, štúdií uskutočniteľnosti a programov sanácie na Slovensku, vybudovanie monitorovacích systémov pre najrizikovejšie environmentálne záťaže, ako aj prácu s verejnosťou, osvetu a propagáciu aktivít týkajúcich sa sanácie environmentálnych záťaží. </w:t>
      </w:r>
      <w:r w:rsidR="00677AF1" w:rsidRPr="00E21C60">
        <w:rPr>
          <w:rFonts w:ascii="Arial" w:hAnsi="Arial" w:cs="Arial"/>
          <w:iCs/>
          <w:sz w:val="20"/>
          <w:szCs w:val="20"/>
        </w:rPr>
        <w:t>Koncom roka 2012 bola vyhlásená výzva na</w:t>
      </w:r>
      <w:r w:rsidRPr="00E21C60">
        <w:rPr>
          <w:rFonts w:ascii="Arial" w:hAnsi="Arial" w:cs="Arial"/>
          <w:iCs/>
          <w:sz w:val="20"/>
          <w:szCs w:val="20"/>
        </w:rPr>
        <w:t xml:space="preserve"> sanáciu environmentálnych </w:t>
      </w:r>
      <w:r w:rsidR="004207D5" w:rsidRPr="00E21C60">
        <w:rPr>
          <w:rFonts w:ascii="Arial" w:hAnsi="Arial" w:cs="Arial"/>
          <w:iCs/>
          <w:sz w:val="20"/>
          <w:szCs w:val="20"/>
        </w:rPr>
        <w:t>záťaží,</w:t>
      </w:r>
      <w:r w:rsidR="00EC430F" w:rsidRPr="00E21C60">
        <w:rPr>
          <w:rFonts w:ascii="Arial" w:hAnsi="Arial" w:cs="Arial"/>
          <w:iCs/>
          <w:sz w:val="20"/>
          <w:szCs w:val="20"/>
        </w:rPr>
        <w:t xml:space="preserve"> </w:t>
      </w:r>
      <w:r w:rsidR="00677AF1" w:rsidRPr="00E21C60">
        <w:rPr>
          <w:rFonts w:ascii="Arial" w:hAnsi="Arial" w:cs="Arial"/>
          <w:iCs/>
          <w:sz w:val="20"/>
          <w:szCs w:val="20"/>
        </w:rPr>
        <w:t xml:space="preserve">predstavujúcich vysoké riziko pre ľudské zdravie a životné prostredie, v súlade s určenými prioritami, najmä so Štátnym programom sanácie environmentálnych záťaží (na obdobie 2010 – 2015), schváleným uznesením vlády </w:t>
      </w:r>
      <w:r w:rsidR="00F45C08">
        <w:rPr>
          <w:rFonts w:ascii="Arial" w:hAnsi="Arial" w:cs="Arial"/>
          <w:iCs/>
          <w:sz w:val="20"/>
          <w:szCs w:val="20"/>
        </w:rPr>
        <w:t>SR</w:t>
      </w:r>
      <w:r w:rsidR="00677AF1" w:rsidRPr="00E21C60">
        <w:rPr>
          <w:rFonts w:ascii="Arial" w:hAnsi="Arial" w:cs="Arial"/>
          <w:iCs/>
          <w:sz w:val="20"/>
          <w:szCs w:val="20"/>
        </w:rPr>
        <w:t xml:space="preserve"> č. 153/2010</w:t>
      </w:r>
      <w:r w:rsidR="007D337C">
        <w:rPr>
          <w:rFonts w:ascii="Arial" w:hAnsi="Arial" w:cs="Arial"/>
          <w:iCs/>
          <w:sz w:val="20"/>
          <w:szCs w:val="20"/>
        </w:rPr>
        <w:t>.</w:t>
      </w:r>
      <w:r w:rsidR="00677AF1" w:rsidRPr="00E21C60">
        <w:rPr>
          <w:rFonts w:ascii="Arial" w:hAnsi="Arial" w:cs="Arial"/>
          <w:iCs/>
          <w:sz w:val="20"/>
          <w:szCs w:val="20"/>
        </w:rPr>
        <w:t xml:space="preserve"> V rámci predmetnej výzvy </w:t>
      </w:r>
      <w:r w:rsidR="00AF4DE9">
        <w:rPr>
          <w:rFonts w:ascii="Arial" w:hAnsi="Arial" w:cs="Arial"/>
          <w:iCs/>
          <w:sz w:val="20"/>
          <w:szCs w:val="20"/>
        </w:rPr>
        <w:t>boli</w:t>
      </w:r>
      <w:r w:rsidR="00677AF1" w:rsidRPr="00E21C60">
        <w:rPr>
          <w:rFonts w:ascii="Arial" w:hAnsi="Arial" w:cs="Arial"/>
          <w:iCs/>
          <w:sz w:val="20"/>
          <w:szCs w:val="20"/>
        </w:rPr>
        <w:t xml:space="preserve"> oprávnenými žiadateľmi príslušné ministerstvá</w:t>
      </w:r>
      <w:r w:rsidR="00D20795" w:rsidRPr="00E21C60">
        <w:rPr>
          <w:rFonts w:ascii="Arial" w:hAnsi="Arial" w:cs="Arial"/>
          <w:iCs/>
          <w:sz w:val="20"/>
          <w:szCs w:val="20"/>
        </w:rPr>
        <w:t xml:space="preserve">, ktoré </w:t>
      </w:r>
      <w:r w:rsidR="00677AF1" w:rsidRPr="00E21C60">
        <w:rPr>
          <w:rFonts w:ascii="Arial" w:hAnsi="Arial" w:cs="Arial"/>
          <w:iCs/>
          <w:sz w:val="20"/>
          <w:szCs w:val="20"/>
        </w:rPr>
        <w:t xml:space="preserve"> v</w:t>
      </w:r>
      <w:r w:rsidR="00F45C08">
        <w:rPr>
          <w:rFonts w:ascii="Arial" w:hAnsi="Arial" w:cs="Arial"/>
          <w:iCs/>
          <w:sz w:val="20"/>
          <w:szCs w:val="20"/>
        </w:rPr>
        <w:t> súlade s</w:t>
      </w:r>
      <w:r w:rsidR="00F45C08" w:rsidRPr="00E21C60">
        <w:rPr>
          <w:rFonts w:ascii="Arial" w:hAnsi="Arial" w:cs="Arial"/>
          <w:iCs/>
          <w:sz w:val="20"/>
          <w:szCs w:val="20"/>
        </w:rPr>
        <w:t xml:space="preserve"> </w:t>
      </w:r>
      <w:r w:rsidR="00677AF1" w:rsidRPr="00E21C60">
        <w:rPr>
          <w:rFonts w:ascii="Arial" w:hAnsi="Arial" w:cs="Arial"/>
          <w:iCs/>
          <w:sz w:val="20"/>
          <w:szCs w:val="20"/>
        </w:rPr>
        <w:t>§ 5 ods. 7 zákona č. 409/2011 Z. z.</w:t>
      </w:r>
      <w:r w:rsidR="00D20795" w:rsidRPr="00E21C60">
        <w:rPr>
          <w:rFonts w:ascii="Arial" w:hAnsi="Arial" w:cs="Arial"/>
          <w:iCs/>
          <w:sz w:val="20"/>
          <w:szCs w:val="20"/>
        </w:rPr>
        <w:t xml:space="preserve"> ma</w:t>
      </w:r>
      <w:r w:rsidR="00AF4DE9">
        <w:rPr>
          <w:rFonts w:ascii="Arial" w:hAnsi="Arial" w:cs="Arial"/>
          <w:iCs/>
          <w:sz w:val="20"/>
          <w:szCs w:val="20"/>
        </w:rPr>
        <w:t>li</w:t>
      </w:r>
      <w:r w:rsidR="00D20795" w:rsidRPr="00E21C60">
        <w:rPr>
          <w:rFonts w:ascii="Arial" w:hAnsi="Arial" w:cs="Arial"/>
          <w:iCs/>
          <w:sz w:val="20"/>
          <w:szCs w:val="20"/>
        </w:rPr>
        <w:t xml:space="preserve"> zabezpečiť </w:t>
      </w:r>
      <w:r w:rsidR="004207D5" w:rsidRPr="00E21C60">
        <w:rPr>
          <w:rFonts w:ascii="Arial" w:hAnsi="Arial" w:cs="Arial"/>
          <w:iCs/>
          <w:sz w:val="20"/>
          <w:szCs w:val="20"/>
        </w:rPr>
        <w:t>vykonanie povinností povinnej osoby v</w:t>
      </w:r>
      <w:r w:rsidR="00BE312F" w:rsidRPr="00E21C60">
        <w:rPr>
          <w:rFonts w:ascii="Arial" w:hAnsi="Arial" w:cs="Arial"/>
          <w:iCs/>
          <w:sz w:val="20"/>
          <w:szCs w:val="20"/>
        </w:rPr>
        <w:t> </w:t>
      </w:r>
      <w:r w:rsidR="004207D5" w:rsidRPr="00E21C60">
        <w:rPr>
          <w:rFonts w:ascii="Arial" w:hAnsi="Arial" w:cs="Arial"/>
          <w:iCs/>
          <w:sz w:val="20"/>
          <w:szCs w:val="20"/>
        </w:rPr>
        <w:t>prípadoch</w:t>
      </w:r>
      <w:r w:rsidR="00BE312F" w:rsidRPr="00E21C60">
        <w:rPr>
          <w:rFonts w:ascii="Arial" w:hAnsi="Arial" w:cs="Arial"/>
          <w:iCs/>
          <w:sz w:val="20"/>
          <w:szCs w:val="20"/>
        </w:rPr>
        <w:t>,</w:t>
      </w:r>
      <w:r w:rsidR="004207D5" w:rsidRPr="00E21C60">
        <w:rPr>
          <w:rFonts w:ascii="Arial" w:hAnsi="Arial" w:cs="Arial"/>
          <w:iCs/>
          <w:sz w:val="20"/>
          <w:szCs w:val="20"/>
        </w:rPr>
        <w:t xml:space="preserve"> </w:t>
      </w:r>
      <w:r w:rsidR="00895A58" w:rsidRPr="00E21C60">
        <w:rPr>
          <w:rFonts w:ascii="Arial" w:hAnsi="Arial" w:cs="Arial"/>
          <w:iCs/>
          <w:sz w:val="20"/>
          <w:szCs w:val="20"/>
        </w:rPr>
        <w:t>ak povinnú osobu nie je možné určiť</w:t>
      </w:r>
      <w:r w:rsidR="00BE312F" w:rsidRPr="00E21C60">
        <w:rPr>
          <w:rFonts w:ascii="Arial" w:hAnsi="Arial" w:cs="Arial"/>
          <w:iCs/>
          <w:sz w:val="20"/>
          <w:szCs w:val="20"/>
        </w:rPr>
        <w:t>.</w:t>
      </w:r>
      <w:r w:rsidR="00895A58" w:rsidRPr="00E21C60">
        <w:rPr>
          <w:rFonts w:ascii="Arial" w:hAnsi="Arial" w:cs="Arial"/>
          <w:iCs/>
          <w:sz w:val="20"/>
          <w:szCs w:val="20"/>
        </w:rPr>
        <w:t xml:space="preserve"> </w:t>
      </w:r>
      <w:r w:rsidR="000F16E1" w:rsidRPr="000F16E1">
        <w:rPr>
          <w:rFonts w:ascii="Arial" w:hAnsi="Arial" w:cs="Arial"/>
          <w:iCs/>
          <w:sz w:val="20"/>
          <w:szCs w:val="20"/>
        </w:rPr>
        <w:t>V decembri 2013 a decembri 2014 boli vyhlásené výzvy, zamerané na prieskum prioritných pravdepodobných environmentálnych záťaží v Slovenskej republike, ako aj na prácu s verejnosťou, osvetu a propagáciu aktivít týkajúcich sa sanácie environmentálnych záťaží.</w:t>
      </w:r>
    </w:p>
    <w:p w14:paraId="36B9CCDF" w14:textId="77777777" w:rsidR="00EF0B04" w:rsidRPr="00123376" w:rsidRDefault="00EF0B04" w:rsidP="00123376">
      <w:pPr>
        <w:pStyle w:val="Zkladntextb"/>
        <w:spacing w:before="240" w:after="120" w:line="240" w:lineRule="auto"/>
        <w:ind w:left="0"/>
        <w:jc w:val="both"/>
        <w:rPr>
          <w:rFonts w:cs="Arial"/>
          <w:b/>
          <w:i/>
          <w:sz w:val="24"/>
          <w:szCs w:val="24"/>
          <w:lang w:val="sk-SK"/>
        </w:rPr>
      </w:pPr>
      <w:r w:rsidRPr="00143CCF">
        <w:rPr>
          <w:rFonts w:cs="Arial"/>
          <w:b/>
          <w:i/>
          <w:sz w:val="24"/>
          <w:szCs w:val="24"/>
          <w:lang w:val="sk-SK"/>
        </w:rPr>
        <w:t>Kvalitatívna analýza dosiahnutých výsledkov na úrovni prioritnej osi 4</w:t>
      </w:r>
    </w:p>
    <w:p w14:paraId="113E6B68" w14:textId="02B65EF2" w:rsidR="008A5121" w:rsidRPr="00F45C08" w:rsidRDefault="000823BC" w:rsidP="008A5121">
      <w:pPr>
        <w:pStyle w:val="Zkladntextb"/>
        <w:spacing w:before="120" w:after="120" w:line="240" w:lineRule="auto"/>
        <w:ind w:left="0"/>
        <w:jc w:val="both"/>
        <w:rPr>
          <w:rFonts w:cs="Arial"/>
          <w:iCs/>
          <w:lang w:val="sk-SK"/>
        </w:rPr>
      </w:pPr>
      <w:r>
        <w:rPr>
          <w:rFonts w:cs="Arial"/>
          <w:iCs/>
          <w:lang w:val="sk-SK"/>
        </w:rPr>
        <w:t xml:space="preserve">V rámci prioritnej osi 4 bolo prijatých 1 543 žiadostí o NFP, čo je najviac </w:t>
      </w:r>
      <w:r w:rsidR="00C62965">
        <w:rPr>
          <w:rFonts w:cs="Arial"/>
          <w:iCs/>
          <w:lang w:val="sk-SK"/>
        </w:rPr>
        <w:t>spomedzi ostatných prioritných osí</w:t>
      </w:r>
      <w:r w:rsidR="00865FE5">
        <w:rPr>
          <w:rFonts w:cs="Arial"/>
          <w:iCs/>
          <w:lang w:val="sk-SK"/>
        </w:rPr>
        <w:t xml:space="preserve"> </w:t>
      </w:r>
      <w:r>
        <w:rPr>
          <w:rFonts w:cs="Arial"/>
          <w:iCs/>
          <w:lang w:val="sk-SK"/>
        </w:rPr>
        <w:t>OP ŽP. Vyplýva to predovšetkým zo širokej škály oprávnených prijímateľov, ktorými boli subjekty verejného a súkromného sektora, ako aj zo širokého rozsahu oprávnených aktivít. Vysoký počet prijatých žiadostí dokazuje vhodne zvolenú stratégiu OP ŽP, zameranú na riešenie najvýznamnejších problémov v oblasti odpadového hospodárstva Slovenskej republiky. Implementácia prioritnej osi 4 v rámci programového obdobia 2007 – 201</w:t>
      </w:r>
      <w:r w:rsidR="00BF3C39">
        <w:rPr>
          <w:rFonts w:cs="Arial"/>
          <w:iCs/>
          <w:lang w:val="sk-SK"/>
        </w:rPr>
        <w:t>3</w:t>
      </w:r>
      <w:r>
        <w:rPr>
          <w:rFonts w:cs="Arial"/>
          <w:iCs/>
          <w:lang w:val="sk-SK"/>
        </w:rPr>
        <w:t xml:space="preserve"> však narážala na množstvo problémov, ktoré sa následne odzrkadľovali v pomalom náraste zazmluvňovania a čerpania finančných prostriedkov alokovaných na riešenie problematiky odpadového hospodárstva. </w:t>
      </w:r>
      <w:r w:rsidRPr="00C85499">
        <w:rPr>
          <w:rFonts w:cs="Arial"/>
          <w:iCs/>
          <w:lang w:val="sk-SK"/>
        </w:rPr>
        <w:t>Realizáciou opatrení vyplývajúcich z Akčného plánu na zrýchlenie čerpania a implementácie OP ŽP nastal výrazný posun v zazmluvňovaní a konečnom dôsledku aj čerpaní operačného programu. V rámci prioritnej osi 4 medzi najvýraznejšie faktory vplývajúce na zazmluvňovanie, čerpanie a implementáciu boli predovšetkým kvalita predložených žiadostí o NFP, investičný charakter projektov, zdĺhavý a komplikovaný proces verejného obstarávania</w:t>
      </w:r>
      <w:r w:rsidR="00C62965">
        <w:rPr>
          <w:rFonts w:cs="Arial"/>
          <w:iCs/>
          <w:lang w:val="sk-SK"/>
        </w:rPr>
        <w:t>,</w:t>
      </w:r>
      <w:r w:rsidRPr="00AE6F43">
        <w:rPr>
          <w:rFonts w:cs="Arial"/>
          <w:iCs/>
          <w:lang w:val="sk-SK"/>
        </w:rPr>
        <w:t xml:space="preserve"> ako aj nedostatočná</w:t>
      </w:r>
      <w:r w:rsidRPr="00C85499">
        <w:rPr>
          <w:rFonts w:cs="Arial"/>
          <w:iCs/>
          <w:lang w:val="sk-SK"/>
        </w:rPr>
        <w:t xml:space="preserve"> úroveň zazmluvňovania finančných prostriedkov v dôsledku úspor na projektoch</w:t>
      </w:r>
      <w:r>
        <w:rPr>
          <w:rFonts w:cs="Arial"/>
          <w:iCs/>
          <w:lang w:val="sk-SK"/>
        </w:rPr>
        <w:t>. Uplatnením možnosti nadkontrahovania v rámci prioritnej osi 4, ako jedného z</w:t>
      </w:r>
      <w:r w:rsidR="0017427E">
        <w:rPr>
          <w:rFonts w:cs="Arial"/>
          <w:iCs/>
          <w:lang w:val="sk-SK"/>
        </w:rPr>
        <w:t>o súboru</w:t>
      </w:r>
      <w:r>
        <w:rPr>
          <w:rFonts w:cs="Arial"/>
          <w:iCs/>
          <w:lang w:val="sk-SK"/>
        </w:rPr>
        <w:t> opatrení akčného plánu, bolo možné zvý</w:t>
      </w:r>
      <w:r w:rsidR="00F3275D">
        <w:rPr>
          <w:rFonts w:cs="Arial"/>
          <w:iCs/>
          <w:lang w:val="sk-SK"/>
        </w:rPr>
        <w:t>šiť úroveň zazmluvňovania na 107</w:t>
      </w:r>
      <w:r>
        <w:rPr>
          <w:rFonts w:cs="Arial"/>
          <w:iCs/>
          <w:lang w:val="sk-SK"/>
        </w:rPr>
        <w:t>,</w:t>
      </w:r>
      <w:r w:rsidR="00F3275D">
        <w:rPr>
          <w:rFonts w:cs="Arial"/>
          <w:iCs/>
          <w:lang w:val="sk-SK"/>
        </w:rPr>
        <w:t>16</w:t>
      </w:r>
      <w:r>
        <w:rPr>
          <w:rFonts w:cs="Arial"/>
          <w:iCs/>
          <w:lang w:val="sk-SK"/>
        </w:rPr>
        <w:t xml:space="preserve"> %. Súbor ďalších opatrení počínajúc aplikovaním podmienky vyhlásenia VO na hlavné aktivity už v čase predloženia žiadosti o NFP a aplikáciou prvkov krízového manažmentu končiac, bolo možné dosiahnuť úroveň čerpania </w:t>
      </w:r>
      <w:r w:rsidR="00F3275D">
        <w:rPr>
          <w:rFonts w:cs="Arial"/>
          <w:iCs/>
          <w:lang w:val="sk-SK"/>
        </w:rPr>
        <w:t>98,34</w:t>
      </w:r>
      <w:r w:rsidR="00C62965">
        <w:rPr>
          <w:rFonts w:cs="Arial"/>
          <w:iCs/>
          <w:lang w:val="sk-SK"/>
        </w:rPr>
        <w:t xml:space="preserve"> </w:t>
      </w:r>
      <w:r>
        <w:rPr>
          <w:rFonts w:cs="Arial"/>
          <w:iCs/>
          <w:lang w:val="sk-SK"/>
        </w:rPr>
        <w:t>%.</w:t>
      </w:r>
    </w:p>
    <w:p w14:paraId="22AB1CB8" w14:textId="31626946" w:rsidR="008A5121" w:rsidRPr="008A1902" w:rsidRDefault="008A5121" w:rsidP="008A5121">
      <w:pPr>
        <w:pStyle w:val="Zkladntextb"/>
        <w:spacing w:before="120" w:after="0" w:line="240" w:lineRule="auto"/>
        <w:ind w:left="0"/>
        <w:jc w:val="both"/>
        <w:rPr>
          <w:rFonts w:cs="Arial"/>
          <w:lang w:val="sk-SK"/>
        </w:rPr>
      </w:pPr>
      <w:r w:rsidRPr="008A1902">
        <w:rPr>
          <w:rFonts w:cs="Arial"/>
          <w:lang w:val="sk-SK"/>
        </w:rPr>
        <w:t xml:space="preserve">Tabuľka č. </w:t>
      </w:r>
      <w:r>
        <w:rPr>
          <w:rFonts w:cs="Arial"/>
          <w:lang w:val="sk-SK"/>
        </w:rPr>
        <w:t>5</w:t>
      </w:r>
      <w:r w:rsidR="007B1CB9">
        <w:rPr>
          <w:rFonts w:cs="Arial"/>
          <w:lang w:val="sk-SK"/>
        </w:rPr>
        <w:t>8</w:t>
      </w:r>
      <w:r w:rsidRPr="008A1902">
        <w:rPr>
          <w:rFonts w:cs="Arial"/>
          <w:lang w:val="sk-SK"/>
        </w:rPr>
        <w:t>: Zhodnotenie úrovne podľa HT</w:t>
      </w:r>
    </w:p>
    <w:tbl>
      <w:tblPr>
        <w:tblW w:w="9155" w:type="dxa"/>
        <w:tblInd w:w="55" w:type="dxa"/>
        <w:tblCellMar>
          <w:left w:w="70" w:type="dxa"/>
          <w:right w:w="70" w:type="dxa"/>
        </w:tblCellMar>
        <w:tblLook w:val="04A0" w:firstRow="1" w:lastRow="0" w:firstColumn="1" w:lastColumn="0" w:noHBand="0" w:noVBand="1"/>
      </w:tblPr>
      <w:tblGrid>
        <w:gridCol w:w="1998"/>
        <w:gridCol w:w="425"/>
        <w:gridCol w:w="882"/>
        <w:gridCol w:w="1249"/>
        <w:gridCol w:w="1676"/>
        <w:gridCol w:w="1249"/>
        <w:gridCol w:w="1676"/>
      </w:tblGrid>
      <w:tr w:rsidR="008A5121" w:rsidRPr="00E21C60" w14:paraId="704B0007" w14:textId="77777777" w:rsidTr="00F3275D">
        <w:trPr>
          <w:trHeight w:val="1140"/>
        </w:trPr>
        <w:tc>
          <w:tcPr>
            <w:tcW w:w="1998" w:type="dxa"/>
            <w:tcBorders>
              <w:top w:val="single" w:sz="8" w:space="0" w:color="auto"/>
              <w:left w:val="single" w:sz="8" w:space="0" w:color="auto"/>
              <w:bottom w:val="single" w:sz="8" w:space="0" w:color="auto"/>
              <w:right w:val="single" w:sz="8" w:space="0" w:color="auto"/>
            </w:tcBorders>
            <w:shd w:val="clear" w:color="auto" w:fill="C2D69B" w:themeFill="accent3" w:themeFillTint="99"/>
            <w:noWrap/>
            <w:vAlign w:val="center"/>
            <w:hideMark/>
          </w:tcPr>
          <w:p w14:paraId="19799191"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Prioritná téma</w:t>
            </w:r>
          </w:p>
        </w:tc>
        <w:tc>
          <w:tcPr>
            <w:tcW w:w="425"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67D22F88"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Op.</w:t>
            </w:r>
            <w:r w:rsidRPr="00E21C60">
              <w:rPr>
                <w:rFonts w:ascii="Arial" w:hAnsi="Arial" w:cs="Arial"/>
                <w:b/>
                <w:bCs/>
                <w:color w:val="000000"/>
                <w:sz w:val="16"/>
                <w:szCs w:val="16"/>
              </w:rPr>
              <w:br/>
              <w:t>cieľ</w:t>
            </w:r>
          </w:p>
        </w:tc>
        <w:tc>
          <w:tcPr>
            <w:tcW w:w="882"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57655AB"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Celková alokácia</w:t>
            </w:r>
          </w:p>
          <w:p w14:paraId="27C12BC2"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249"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38B87284"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Suma zazmluvnená (EÚ zdroje)</w:t>
            </w:r>
          </w:p>
          <w:p w14:paraId="170DFEE8"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676"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EF8D2AA"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Podiel zazmluvnených projektov na celkovej alokácii</w:t>
            </w:r>
          </w:p>
        </w:tc>
        <w:tc>
          <w:tcPr>
            <w:tcW w:w="1249"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7AB68910" w14:textId="1B2ED89E"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Suma čerpaná</w:t>
            </w:r>
            <w:r w:rsidR="006D1921">
              <w:rPr>
                <w:rFonts w:ascii="Arial" w:hAnsi="Arial" w:cs="Arial"/>
                <w:b/>
                <w:bCs/>
                <w:color w:val="000000"/>
                <w:sz w:val="16"/>
                <w:szCs w:val="16"/>
              </w:rPr>
              <w:t xml:space="preserve"> </w:t>
            </w:r>
            <w:r w:rsidR="00984E56">
              <w:rPr>
                <w:rFonts w:ascii="Arial" w:hAnsi="Arial" w:cs="Arial"/>
                <w:b/>
                <w:bCs/>
                <w:color w:val="000000"/>
                <w:sz w:val="16"/>
                <w:szCs w:val="16"/>
              </w:rPr>
              <w:t xml:space="preserve">pri </w:t>
            </w:r>
            <w:r w:rsidR="006D1921">
              <w:rPr>
                <w:rFonts w:ascii="Arial" w:hAnsi="Arial" w:cs="Arial"/>
                <w:b/>
                <w:bCs/>
                <w:color w:val="000000"/>
                <w:sz w:val="16"/>
                <w:szCs w:val="16"/>
              </w:rPr>
              <w:t>riadne ukončených projekto</w:t>
            </w:r>
            <w:r w:rsidR="00984E56">
              <w:rPr>
                <w:rFonts w:ascii="Arial" w:hAnsi="Arial" w:cs="Arial"/>
                <w:b/>
                <w:bCs/>
                <w:color w:val="000000"/>
                <w:sz w:val="16"/>
                <w:szCs w:val="16"/>
              </w:rPr>
              <w:t>ch</w:t>
            </w:r>
            <w:r w:rsidRPr="00E21C60">
              <w:rPr>
                <w:rFonts w:ascii="Arial" w:hAnsi="Arial" w:cs="Arial"/>
                <w:b/>
                <w:bCs/>
                <w:color w:val="000000"/>
                <w:sz w:val="16"/>
                <w:szCs w:val="16"/>
              </w:rPr>
              <w:t xml:space="preserve">  (EÚ zdroje)</w:t>
            </w:r>
          </w:p>
          <w:p w14:paraId="47B52BB0"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676"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C59E8F7"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Podiel čerpania projektov na celkovej alokácii</w:t>
            </w:r>
          </w:p>
        </w:tc>
      </w:tr>
      <w:tr w:rsidR="00EB074F" w:rsidRPr="00E21C60" w14:paraId="542B44FB" w14:textId="77777777" w:rsidTr="00F3275D">
        <w:trPr>
          <w:trHeight w:val="450"/>
        </w:trPr>
        <w:tc>
          <w:tcPr>
            <w:tcW w:w="1998"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084D0482" w14:textId="77777777" w:rsidR="00EB074F" w:rsidRPr="00E21C60" w:rsidRDefault="00EB074F" w:rsidP="00EB074F">
            <w:pPr>
              <w:rPr>
                <w:rFonts w:ascii="Arial" w:hAnsi="Arial" w:cs="Arial"/>
                <w:color w:val="000000"/>
                <w:sz w:val="16"/>
                <w:szCs w:val="16"/>
              </w:rPr>
            </w:pPr>
            <w:r w:rsidRPr="00E21C60">
              <w:rPr>
                <w:rFonts w:ascii="Arial" w:hAnsi="Arial" w:cs="Arial"/>
                <w:color w:val="000000"/>
                <w:sz w:val="16"/>
                <w:szCs w:val="16"/>
              </w:rPr>
              <w:t xml:space="preserve">HT 44 Hospodárenie </w:t>
            </w:r>
          </w:p>
          <w:p w14:paraId="0DB29B5D" w14:textId="77777777" w:rsidR="00EB074F" w:rsidRPr="00E21C60" w:rsidRDefault="00EB074F" w:rsidP="00EB074F">
            <w:pPr>
              <w:rPr>
                <w:rFonts w:ascii="Arial" w:hAnsi="Arial" w:cs="Arial"/>
                <w:color w:val="000000"/>
                <w:sz w:val="16"/>
                <w:szCs w:val="16"/>
              </w:rPr>
            </w:pPr>
            <w:r w:rsidRPr="00E21C60">
              <w:rPr>
                <w:rFonts w:ascii="Arial" w:hAnsi="Arial" w:cs="Arial"/>
                <w:color w:val="000000"/>
                <w:sz w:val="16"/>
                <w:szCs w:val="16"/>
              </w:rPr>
              <w:t>s domácim a priemyselným odpadom</w:t>
            </w:r>
          </w:p>
        </w:tc>
        <w:tc>
          <w:tcPr>
            <w:tcW w:w="425" w:type="dxa"/>
            <w:tcBorders>
              <w:top w:val="nil"/>
              <w:left w:val="nil"/>
              <w:bottom w:val="nil"/>
              <w:right w:val="single" w:sz="8" w:space="0" w:color="auto"/>
            </w:tcBorders>
            <w:shd w:val="clear" w:color="auto" w:fill="auto"/>
            <w:vAlign w:val="center"/>
            <w:hideMark/>
          </w:tcPr>
          <w:p w14:paraId="17FEF1BD" w14:textId="77777777" w:rsidR="00EB074F" w:rsidRPr="00E21C60" w:rsidRDefault="00EB074F" w:rsidP="00EB074F">
            <w:pPr>
              <w:jc w:val="center"/>
              <w:rPr>
                <w:rFonts w:ascii="Arial" w:hAnsi="Arial" w:cs="Arial"/>
                <w:color w:val="000000"/>
                <w:sz w:val="16"/>
                <w:szCs w:val="16"/>
              </w:rPr>
            </w:pPr>
            <w:r w:rsidRPr="00E21C60">
              <w:rPr>
                <w:rFonts w:ascii="Arial" w:hAnsi="Arial" w:cs="Arial"/>
                <w:color w:val="000000"/>
                <w:sz w:val="16"/>
                <w:szCs w:val="16"/>
              </w:rPr>
              <w:t>4.1</w:t>
            </w:r>
          </w:p>
          <w:p w14:paraId="2A8CA6EB" w14:textId="77777777" w:rsidR="00EB074F" w:rsidRPr="00E21C60" w:rsidRDefault="00EB074F" w:rsidP="00EB074F">
            <w:pPr>
              <w:jc w:val="center"/>
              <w:rPr>
                <w:rFonts w:ascii="Arial" w:hAnsi="Arial" w:cs="Arial"/>
                <w:color w:val="000000"/>
                <w:sz w:val="16"/>
                <w:szCs w:val="16"/>
              </w:rPr>
            </w:pPr>
            <w:r w:rsidRPr="00E21C60">
              <w:rPr>
                <w:rFonts w:ascii="Arial" w:hAnsi="Arial" w:cs="Arial"/>
                <w:color w:val="000000"/>
                <w:sz w:val="16"/>
                <w:szCs w:val="16"/>
              </w:rPr>
              <w:t>+</w:t>
            </w:r>
          </w:p>
          <w:p w14:paraId="70EC553E" w14:textId="77777777" w:rsidR="00EB074F" w:rsidRPr="00E21C60" w:rsidRDefault="00EB074F" w:rsidP="00EB074F">
            <w:pPr>
              <w:jc w:val="center"/>
              <w:rPr>
                <w:rFonts w:ascii="Arial" w:hAnsi="Arial" w:cs="Arial"/>
                <w:color w:val="000000"/>
                <w:sz w:val="16"/>
                <w:szCs w:val="16"/>
              </w:rPr>
            </w:pPr>
            <w:r w:rsidRPr="00E21C60">
              <w:rPr>
                <w:rFonts w:ascii="Arial" w:hAnsi="Arial" w:cs="Arial"/>
                <w:color w:val="000000"/>
                <w:sz w:val="16"/>
                <w:szCs w:val="16"/>
              </w:rPr>
              <w:t>4.2</w:t>
            </w:r>
          </w:p>
        </w:tc>
        <w:tc>
          <w:tcPr>
            <w:tcW w:w="88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358F1D7E" w14:textId="6AB6AF35"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294 030 100</w:t>
            </w:r>
          </w:p>
        </w:tc>
        <w:tc>
          <w:tcPr>
            <w:tcW w:w="1249"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4E6B28E3" w14:textId="6F38D9D8" w:rsidR="00EB074F" w:rsidRPr="00EB074F" w:rsidRDefault="00EB074F" w:rsidP="00B039B7">
            <w:pPr>
              <w:jc w:val="center"/>
              <w:rPr>
                <w:rFonts w:ascii="Arial" w:hAnsi="Arial" w:cs="Arial"/>
                <w:bCs/>
                <w:color w:val="000000"/>
                <w:sz w:val="16"/>
                <w:szCs w:val="16"/>
              </w:rPr>
            </w:pPr>
            <w:r w:rsidRPr="00EB074F">
              <w:rPr>
                <w:rFonts w:ascii="Arial" w:hAnsi="Arial" w:cs="Arial"/>
                <w:bCs/>
                <w:color w:val="000000"/>
                <w:sz w:val="16"/>
                <w:szCs w:val="16"/>
              </w:rPr>
              <w:t>315 551 33</w:t>
            </w:r>
            <w:r w:rsidR="00B039B7">
              <w:rPr>
                <w:rFonts w:ascii="Arial" w:hAnsi="Arial" w:cs="Arial"/>
                <w:bCs/>
                <w:color w:val="000000"/>
                <w:sz w:val="16"/>
                <w:szCs w:val="16"/>
              </w:rPr>
              <w:t>4</w:t>
            </w:r>
          </w:p>
        </w:tc>
        <w:tc>
          <w:tcPr>
            <w:tcW w:w="1676"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000C7C90" w14:textId="4D311382"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107,32%</w:t>
            </w:r>
          </w:p>
        </w:tc>
        <w:tc>
          <w:tcPr>
            <w:tcW w:w="1249"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7A134998" w14:textId="730A395D" w:rsidR="00EB074F" w:rsidRPr="00EB074F" w:rsidRDefault="00EB074F" w:rsidP="00B039B7">
            <w:pPr>
              <w:jc w:val="center"/>
              <w:rPr>
                <w:rFonts w:ascii="Arial" w:hAnsi="Arial" w:cs="Arial"/>
                <w:bCs/>
                <w:color w:val="000000"/>
                <w:sz w:val="16"/>
                <w:szCs w:val="16"/>
              </w:rPr>
            </w:pPr>
            <w:r w:rsidRPr="00EB074F">
              <w:rPr>
                <w:rFonts w:ascii="Arial" w:hAnsi="Arial" w:cs="Arial"/>
                <w:bCs/>
                <w:color w:val="000000"/>
                <w:sz w:val="16"/>
                <w:szCs w:val="16"/>
              </w:rPr>
              <w:t>289 820 323</w:t>
            </w:r>
          </w:p>
        </w:tc>
        <w:tc>
          <w:tcPr>
            <w:tcW w:w="1676"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50FB4FA5" w14:textId="0980AE47" w:rsidR="00EB074F" w:rsidRPr="00EB074F" w:rsidRDefault="00EB074F" w:rsidP="00EB074F">
            <w:pPr>
              <w:jc w:val="center"/>
              <w:rPr>
                <w:rFonts w:ascii="Arial" w:hAnsi="Arial" w:cs="Arial"/>
                <w:bCs/>
                <w:color w:val="000000"/>
                <w:sz w:val="16"/>
                <w:szCs w:val="16"/>
              </w:rPr>
            </w:pPr>
            <w:r w:rsidRPr="00EB074F">
              <w:rPr>
                <w:rFonts w:ascii="Arial" w:hAnsi="Arial" w:cs="Arial"/>
                <w:bCs/>
                <w:color w:val="000000"/>
                <w:sz w:val="16"/>
                <w:szCs w:val="16"/>
              </w:rPr>
              <w:t>98,57%</w:t>
            </w:r>
          </w:p>
        </w:tc>
      </w:tr>
      <w:tr w:rsidR="000823BC" w:rsidRPr="00E21C60" w14:paraId="4C241067" w14:textId="77777777" w:rsidTr="00F3275D">
        <w:trPr>
          <w:trHeight w:val="465"/>
        </w:trPr>
        <w:tc>
          <w:tcPr>
            <w:tcW w:w="1998" w:type="dxa"/>
            <w:vMerge/>
            <w:tcBorders>
              <w:top w:val="nil"/>
              <w:left w:val="single" w:sz="8" w:space="0" w:color="auto"/>
              <w:bottom w:val="single" w:sz="8" w:space="0" w:color="000000"/>
              <w:right w:val="single" w:sz="8" w:space="0" w:color="auto"/>
            </w:tcBorders>
            <w:vAlign w:val="center"/>
            <w:hideMark/>
          </w:tcPr>
          <w:p w14:paraId="1B023B6F" w14:textId="77777777" w:rsidR="000823BC" w:rsidRPr="00E21C60" w:rsidRDefault="000823BC" w:rsidP="00EC5EAF">
            <w:pPr>
              <w:rPr>
                <w:rFonts w:ascii="Arial" w:hAnsi="Arial" w:cs="Arial"/>
                <w:color w:val="000000"/>
                <w:sz w:val="16"/>
                <w:szCs w:val="16"/>
              </w:rPr>
            </w:pPr>
          </w:p>
        </w:tc>
        <w:tc>
          <w:tcPr>
            <w:tcW w:w="425" w:type="dxa"/>
            <w:tcBorders>
              <w:top w:val="nil"/>
              <w:left w:val="nil"/>
              <w:bottom w:val="single" w:sz="8" w:space="0" w:color="auto"/>
              <w:right w:val="single" w:sz="8" w:space="0" w:color="auto"/>
            </w:tcBorders>
            <w:shd w:val="clear" w:color="auto" w:fill="auto"/>
            <w:vAlign w:val="center"/>
            <w:hideMark/>
          </w:tcPr>
          <w:p w14:paraId="3FAEDA88"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w:t>
            </w:r>
          </w:p>
          <w:p w14:paraId="320258A4"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4.3</w:t>
            </w:r>
          </w:p>
          <w:p w14:paraId="1F0F5F20"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w:t>
            </w:r>
          </w:p>
          <w:p w14:paraId="2BC11668"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lastRenderedPageBreak/>
              <w:t>4.5</w:t>
            </w:r>
          </w:p>
        </w:tc>
        <w:tc>
          <w:tcPr>
            <w:tcW w:w="882" w:type="dxa"/>
            <w:vMerge/>
            <w:tcBorders>
              <w:top w:val="nil"/>
              <w:left w:val="single" w:sz="8" w:space="0" w:color="auto"/>
              <w:bottom w:val="single" w:sz="8" w:space="0" w:color="000000"/>
              <w:right w:val="single" w:sz="8" w:space="0" w:color="auto"/>
            </w:tcBorders>
            <w:vAlign w:val="center"/>
            <w:hideMark/>
          </w:tcPr>
          <w:p w14:paraId="29856E12" w14:textId="77777777" w:rsidR="000823BC" w:rsidRPr="00E21C60" w:rsidRDefault="000823BC" w:rsidP="009D13DD">
            <w:pPr>
              <w:jc w:val="center"/>
              <w:rPr>
                <w:rFonts w:ascii="Arial" w:hAnsi="Arial" w:cs="Arial"/>
                <w:color w:val="000000"/>
                <w:sz w:val="16"/>
                <w:szCs w:val="16"/>
              </w:rPr>
            </w:pPr>
          </w:p>
        </w:tc>
        <w:tc>
          <w:tcPr>
            <w:tcW w:w="1249" w:type="dxa"/>
            <w:vMerge/>
            <w:tcBorders>
              <w:top w:val="nil"/>
              <w:left w:val="single" w:sz="8" w:space="0" w:color="auto"/>
              <w:bottom w:val="single" w:sz="8" w:space="0" w:color="000000"/>
              <w:right w:val="single" w:sz="8" w:space="0" w:color="auto"/>
            </w:tcBorders>
            <w:vAlign w:val="center"/>
            <w:hideMark/>
          </w:tcPr>
          <w:p w14:paraId="7EDC7DA7" w14:textId="77777777" w:rsidR="000823BC" w:rsidRPr="00E21C60" w:rsidRDefault="000823BC" w:rsidP="009D13DD">
            <w:pPr>
              <w:jc w:val="center"/>
              <w:rPr>
                <w:rFonts w:ascii="Arial" w:hAnsi="Arial" w:cs="Arial"/>
                <w:color w:val="000000"/>
                <w:sz w:val="16"/>
                <w:szCs w:val="16"/>
              </w:rPr>
            </w:pPr>
          </w:p>
        </w:tc>
        <w:tc>
          <w:tcPr>
            <w:tcW w:w="1676" w:type="dxa"/>
            <w:vMerge/>
            <w:tcBorders>
              <w:top w:val="nil"/>
              <w:left w:val="single" w:sz="8" w:space="0" w:color="auto"/>
              <w:bottom w:val="single" w:sz="8" w:space="0" w:color="000000"/>
              <w:right w:val="single" w:sz="8" w:space="0" w:color="auto"/>
            </w:tcBorders>
            <w:vAlign w:val="center"/>
            <w:hideMark/>
          </w:tcPr>
          <w:p w14:paraId="6BCD7D0E" w14:textId="77777777" w:rsidR="000823BC" w:rsidRPr="00E21C60" w:rsidRDefault="000823BC" w:rsidP="009D13DD">
            <w:pPr>
              <w:jc w:val="center"/>
              <w:rPr>
                <w:rFonts w:ascii="Arial" w:hAnsi="Arial" w:cs="Arial"/>
                <w:color w:val="000000"/>
                <w:sz w:val="16"/>
                <w:szCs w:val="16"/>
              </w:rPr>
            </w:pPr>
          </w:p>
        </w:tc>
        <w:tc>
          <w:tcPr>
            <w:tcW w:w="1249" w:type="dxa"/>
            <w:vMerge/>
            <w:tcBorders>
              <w:top w:val="nil"/>
              <w:left w:val="single" w:sz="8" w:space="0" w:color="auto"/>
              <w:bottom w:val="single" w:sz="8" w:space="0" w:color="000000"/>
              <w:right w:val="single" w:sz="8" w:space="0" w:color="auto"/>
            </w:tcBorders>
            <w:vAlign w:val="center"/>
            <w:hideMark/>
          </w:tcPr>
          <w:p w14:paraId="454378FF" w14:textId="77777777" w:rsidR="000823BC" w:rsidRPr="00E21C60" w:rsidRDefault="000823BC" w:rsidP="009D13DD">
            <w:pPr>
              <w:jc w:val="center"/>
              <w:rPr>
                <w:rFonts w:ascii="Arial" w:hAnsi="Arial" w:cs="Arial"/>
                <w:color w:val="000000"/>
                <w:sz w:val="16"/>
                <w:szCs w:val="16"/>
              </w:rPr>
            </w:pPr>
          </w:p>
        </w:tc>
        <w:tc>
          <w:tcPr>
            <w:tcW w:w="1676" w:type="dxa"/>
            <w:vMerge/>
            <w:tcBorders>
              <w:top w:val="nil"/>
              <w:left w:val="single" w:sz="8" w:space="0" w:color="auto"/>
              <w:bottom w:val="single" w:sz="8" w:space="0" w:color="000000"/>
              <w:right w:val="single" w:sz="8" w:space="0" w:color="auto"/>
            </w:tcBorders>
            <w:vAlign w:val="center"/>
            <w:hideMark/>
          </w:tcPr>
          <w:p w14:paraId="4885B2AA" w14:textId="77777777" w:rsidR="000823BC" w:rsidRPr="00E21C60" w:rsidRDefault="000823BC" w:rsidP="009D13DD">
            <w:pPr>
              <w:jc w:val="center"/>
              <w:rPr>
                <w:rFonts w:ascii="Arial" w:hAnsi="Arial" w:cs="Arial"/>
                <w:color w:val="000000"/>
                <w:sz w:val="16"/>
                <w:szCs w:val="16"/>
              </w:rPr>
            </w:pPr>
          </w:p>
        </w:tc>
      </w:tr>
      <w:tr w:rsidR="00F3275D" w:rsidRPr="00E21C60" w14:paraId="707F9D0F" w14:textId="77777777" w:rsidTr="00F3275D">
        <w:trPr>
          <w:trHeight w:val="690"/>
        </w:trPr>
        <w:tc>
          <w:tcPr>
            <w:tcW w:w="1998" w:type="dxa"/>
            <w:tcBorders>
              <w:top w:val="nil"/>
              <w:left w:val="single" w:sz="8" w:space="0" w:color="auto"/>
              <w:bottom w:val="single" w:sz="8" w:space="0" w:color="auto"/>
              <w:right w:val="single" w:sz="8" w:space="0" w:color="auto"/>
            </w:tcBorders>
            <w:shd w:val="clear" w:color="000000" w:fill="EAF1DD"/>
            <w:vAlign w:val="center"/>
            <w:hideMark/>
          </w:tcPr>
          <w:p w14:paraId="1E9627CC" w14:textId="77777777" w:rsidR="00F3275D" w:rsidRPr="00E21C60" w:rsidRDefault="00F3275D" w:rsidP="00EB074F">
            <w:pPr>
              <w:rPr>
                <w:rFonts w:ascii="Arial" w:hAnsi="Arial" w:cs="Arial"/>
                <w:color w:val="000000"/>
                <w:sz w:val="16"/>
                <w:szCs w:val="16"/>
              </w:rPr>
            </w:pPr>
            <w:r w:rsidRPr="00E21C60">
              <w:rPr>
                <w:rFonts w:ascii="Arial" w:hAnsi="Arial" w:cs="Arial"/>
                <w:color w:val="000000"/>
                <w:sz w:val="16"/>
                <w:szCs w:val="16"/>
              </w:rPr>
              <w:lastRenderedPageBreak/>
              <w:t xml:space="preserve">HT 50 Ozdravovanie priemyselných lokalít </w:t>
            </w:r>
          </w:p>
          <w:p w14:paraId="01817190" w14:textId="77777777" w:rsidR="00F3275D" w:rsidRPr="00E21C60" w:rsidRDefault="00F3275D" w:rsidP="00EB074F">
            <w:pPr>
              <w:rPr>
                <w:rFonts w:ascii="Arial" w:hAnsi="Arial" w:cs="Arial"/>
                <w:color w:val="000000"/>
                <w:sz w:val="16"/>
                <w:szCs w:val="16"/>
              </w:rPr>
            </w:pPr>
            <w:r w:rsidRPr="00E21C60">
              <w:rPr>
                <w:rFonts w:ascii="Arial" w:hAnsi="Arial" w:cs="Arial"/>
                <w:color w:val="000000"/>
                <w:sz w:val="16"/>
                <w:szCs w:val="16"/>
              </w:rPr>
              <w:t>a kontaminovanej pôdy</w:t>
            </w:r>
          </w:p>
        </w:tc>
        <w:tc>
          <w:tcPr>
            <w:tcW w:w="425" w:type="dxa"/>
            <w:tcBorders>
              <w:top w:val="nil"/>
              <w:left w:val="nil"/>
              <w:bottom w:val="single" w:sz="8" w:space="0" w:color="auto"/>
              <w:right w:val="single" w:sz="8" w:space="0" w:color="auto"/>
            </w:tcBorders>
            <w:shd w:val="clear" w:color="auto" w:fill="auto"/>
            <w:vAlign w:val="center"/>
            <w:hideMark/>
          </w:tcPr>
          <w:p w14:paraId="5DEE5A7B" w14:textId="77777777" w:rsidR="00F3275D" w:rsidRPr="00E21C60" w:rsidRDefault="00F3275D" w:rsidP="00EB074F">
            <w:pPr>
              <w:jc w:val="center"/>
              <w:rPr>
                <w:rFonts w:ascii="Arial" w:hAnsi="Arial" w:cs="Arial"/>
                <w:color w:val="000000"/>
                <w:sz w:val="16"/>
                <w:szCs w:val="16"/>
              </w:rPr>
            </w:pPr>
            <w:r w:rsidRPr="00E21C60">
              <w:rPr>
                <w:rFonts w:ascii="Arial" w:hAnsi="Arial" w:cs="Arial"/>
                <w:color w:val="000000"/>
                <w:sz w:val="16"/>
                <w:szCs w:val="16"/>
              </w:rPr>
              <w:t>4.4</w:t>
            </w:r>
          </w:p>
        </w:tc>
        <w:tc>
          <w:tcPr>
            <w:tcW w:w="882" w:type="dxa"/>
            <w:tcBorders>
              <w:top w:val="nil"/>
              <w:left w:val="nil"/>
              <w:bottom w:val="single" w:sz="8" w:space="0" w:color="auto"/>
              <w:right w:val="single" w:sz="8" w:space="0" w:color="auto"/>
            </w:tcBorders>
            <w:shd w:val="clear" w:color="auto" w:fill="auto"/>
            <w:noWrap/>
            <w:vAlign w:val="center"/>
            <w:hideMark/>
          </w:tcPr>
          <w:p w14:paraId="1C12113B" w14:textId="59CA4E11" w:rsidR="00F3275D" w:rsidRPr="00EB074F" w:rsidRDefault="00F3275D" w:rsidP="00EB074F">
            <w:pPr>
              <w:jc w:val="center"/>
              <w:rPr>
                <w:rFonts w:ascii="Arial" w:hAnsi="Arial" w:cs="Arial"/>
                <w:bCs/>
                <w:color w:val="000000"/>
                <w:sz w:val="16"/>
                <w:szCs w:val="16"/>
              </w:rPr>
            </w:pPr>
            <w:r w:rsidRPr="00D15470">
              <w:rPr>
                <w:rFonts w:ascii="Arial" w:hAnsi="Arial" w:cs="Arial"/>
                <w:bCs/>
                <w:color w:val="000000"/>
                <w:sz w:val="16"/>
                <w:szCs w:val="16"/>
              </w:rPr>
              <w:t>62</w:t>
            </w:r>
            <w:r>
              <w:rPr>
                <w:rFonts w:ascii="Arial" w:hAnsi="Arial" w:cs="Arial"/>
                <w:bCs/>
                <w:color w:val="000000"/>
                <w:sz w:val="16"/>
                <w:szCs w:val="16"/>
              </w:rPr>
              <w:t> </w:t>
            </w:r>
            <w:r w:rsidRPr="00D15470">
              <w:rPr>
                <w:rFonts w:ascii="Arial" w:hAnsi="Arial" w:cs="Arial"/>
                <w:bCs/>
                <w:color w:val="000000"/>
                <w:sz w:val="16"/>
                <w:szCs w:val="16"/>
              </w:rPr>
              <w:t>329</w:t>
            </w:r>
            <w:r>
              <w:rPr>
                <w:rFonts w:ascii="Arial" w:hAnsi="Arial" w:cs="Arial"/>
                <w:bCs/>
                <w:color w:val="000000"/>
                <w:sz w:val="16"/>
                <w:szCs w:val="16"/>
              </w:rPr>
              <w:t xml:space="preserve"> </w:t>
            </w:r>
            <w:r w:rsidRPr="00D15470">
              <w:rPr>
                <w:rFonts w:ascii="Arial" w:hAnsi="Arial" w:cs="Arial"/>
                <w:bCs/>
                <w:color w:val="000000"/>
                <w:sz w:val="16"/>
                <w:szCs w:val="16"/>
              </w:rPr>
              <w:t>900</w:t>
            </w:r>
          </w:p>
        </w:tc>
        <w:tc>
          <w:tcPr>
            <w:tcW w:w="1249" w:type="dxa"/>
            <w:tcBorders>
              <w:top w:val="nil"/>
              <w:left w:val="nil"/>
              <w:bottom w:val="single" w:sz="8" w:space="0" w:color="auto"/>
              <w:right w:val="single" w:sz="8" w:space="0" w:color="auto"/>
            </w:tcBorders>
            <w:shd w:val="clear" w:color="auto" w:fill="auto"/>
            <w:noWrap/>
            <w:vAlign w:val="center"/>
            <w:hideMark/>
          </w:tcPr>
          <w:p w14:paraId="7C2BBCA0" w14:textId="6A479566" w:rsidR="00F3275D" w:rsidRPr="00EB074F" w:rsidRDefault="00F3275D" w:rsidP="00B039B7">
            <w:pPr>
              <w:jc w:val="center"/>
              <w:rPr>
                <w:rFonts w:ascii="Arial" w:hAnsi="Arial" w:cs="Arial"/>
                <w:bCs/>
                <w:color w:val="000000"/>
                <w:sz w:val="16"/>
                <w:szCs w:val="16"/>
              </w:rPr>
            </w:pPr>
            <w:r w:rsidRPr="00D15470">
              <w:rPr>
                <w:rFonts w:ascii="Arial" w:hAnsi="Arial" w:cs="Arial"/>
                <w:bCs/>
                <w:color w:val="000000"/>
                <w:sz w:val="16"/>
                <w:szCs w:val="16"/>
              </w:rPr>
              <w:t>66</w:t>
            </w:r>
            <w:r>
              <w:rPr>
                <w:rFonts w:ascii="Arial" w:hAnsi="Arial" w:cs="Arial"/>
                <w:bCs/>
                <w:color w:val="000000"/>
                <w:sz w:val="16"/>
                <w:szCs w:val="16"/>
              </w:rPr>
              <w:t> </w:t>
            </w:r>
            <w:r w:rsidRPr="00D15470">
              <w:rPr>
                <w:rFonts w:ascii="Arial" w:hAnsi="Arial" w:cs="Arial"/>
                <w:bCs/>
                <w:color w:val="000000"/>
                <w:sz w:val="16"/>
                <w:szCs w:val="16"/>
              </w:rPr>
              <w:t>325</w:t>
            </w:r>
            <w:r>
              <w:rPr>
                <w:rFonts w:ascii="Arial" w:hAnsi="Arial" w:cs="Arial"/>
                <w:bCs/>
                <w:color w:val="000000"/>
                <w:sz w:val="16"/>
                <w:szCs w:val="16"/>
              </w:rPr>
              <w:t xml:space="preserve"> </w:t>
            </w:r>
            <w:r w:rsidRPr="00D15470">
              <w:rPr>
                <w:rFonts w:ascii="Arial" w:hAnsi="Arial" w:cs="Arial"/>
                <w:bCs/>
                <w:color w:val="000000"/>
                <w:sz w:val="16"/>
                <w:szCs w:val="16"/>
              </w:rPr>
              <w:t>52</w:t>
            </w:r>
            <w:r w:rsidR="00B039B7">
              <w:rPr>
                <w:rFonts w:ascii="Arial" w:hAnsi="Arial" w:cs="Arial"/>
                <w:bCs/>
                <w:color w:val="000000"/>
                <w:sz w:val="16"/>
                <w:szCs w:val="16"/>
              </w:rPr>
              <w:t>5</w:t>
            </w:r>
          </w:p>
        </w:tc>
        <w:tc>
          <w:tcPr>
            <w:tcW w:w="1676" w:type="dxa"/>
            <w:tcBorders>
              <w:top w:val="nil"/>
              <w:left w:val="nil"/>
              <w:bottom w:val="single" w:sz="8" w:space="0" w:color="auto"/>
              <w:right w:val="single" w:sz="8" w:space="0" w:color="auto"/>
            </w:tcBorders>
            <w:shd w:val="clear" w:color="auto" w:fill="auto"/>
            <w:noWrap/>
            <w:vAlign w:val="center"/>
            <w:hideMark/>
          </w:tcPr>
          <w:p w14:paraId="34F04F2B" w14:textId="69B503AD" w:rsidR="00F3275D" w:rsidRPr="00EB074F" w:rsidRDefault="00F3275D" w:rsidP="00EB074F">
            <w:pPr>
              <w:jc w:val="center"/>
              <w:rPr>
                <w:rFonts w:ascii="Arial" w:hAnsi="Arial" w:cs="Arial"/>
                <w:bCs/>
                <w:color w:val="000000"/>
                <w:sz w:val="16"/>
                <w:szCs w:val="16"/>
              </w:rPr>
            </w:pPr>
            <w:r w:rsidRPr="00D15470">
              <w:rPr>
                <w:rFonts w:ascii="Arial" w:hAnsi="Arial" w:cs="Arial"/>
                <w:bCs/>
                <w:color w:val="000000"/>
                <w:sz w:val="16"/>
                <w:szCs w:val="16"/>
              </w:rPr>
              <w:t>106,41</w:t>
            </w:r>
            <w:r>
              <w:rPr>
                <w:rFonts w:ascii="Arial" w:hAnsi="Arial" w:cs="Arial"/>
                <w:bCs/>
                <w:color w:val="000000"/>
                <w:sz w:val="16"/>
                <w:szCs w:val="16"/>
              </w:rPr>
              <w:t xml:space="preserve"> </w:t>
            </w:r>
            <w:r w:rsidRPr="00D15470">
              <w:rPr>
                <w:rFonts w:ascii="Arial" w:hAnsi="Arial" w:cs="Arial"/>
                <w:bCs/>
                <w:color w:val="000000"/>
                <w:sz w:val="16"/>
                <w:szCs w:val="16"/>
              </w:rPr>
              <w:t>%</w:t>
            </w:r>
          </w:p>
        </w:tc>
        <w:tc>
          <w:tcPr>
            <w:tcW w:w="1249" w:type="dxa"/>
            <w:tcBorders>
              <w:top w:val="nil"/>
              <w:left w:val="nil"/>
              <w:bottom w:val="single" w:sz="8" w:space="0" w:color="auto"/>
              <w:right w:val="single" w:sz="8" w:space="0" w:color="auto"/>
            </w:tcBorders>
            <w:shd w:val="clear" w:color="auto" w:fill="auto"/>
            <w:noWrap/>
            <w:vAlign w:val="center"/>
            <w:hideMark/>
          </w:tcPr>
          <w:p w14:paraId="021A0702" w14:textId="573B6A8E" w:rsidR="00F3275D" w:rsidRPr="00EB074F" w:rsidRDefault="00F3275D" w:rsidP="00B039B7">
            <w:pPr>
              <w:jc w:val="center"/>
              <w:rPr>
                <w:rFonts w:ascii="Arial" w:hAnsi="Arial" w:cs="Arial"/>
                <w:bCs/>
                <w:color w:val="000000"/>
                <w:sz w:val="16"/>
                <w:szCs w:val="16"/>
              </w:rPr>
            </w:pPr>
            <w:r w:rsidRPr="00D15470">
              <w:rPr>
                <w:rFonts w:ascii="Arial" w:hAnsi="Arial" w:cs="Arial"/>
                <w:bCs/>
                <w:color w:val="000000"/>
                <w:sz w:val="16"/>
                <w:szCs w:val="16"/>
              </w:rPr>
              <w:t>60 623 506</w:t>
            </w:r>
          </w:p>
        </w:tc>
        <w:tc>
          <w:tcPr>
            <w:tcW w:w="1676" w:type="dxa"/>
            <w:tcBorders>
              <w:top w:val="nil"/>
              <w:left w:val="nil"/>
              <w:bottom w:val="single" w:sz="8" w:space="0" w:color="auto"/>
              <w:right w:val="single" w:sz="8" w:space="0" w:color="auto"/>
            </w:tcBorders>
            <w:shd w:val="clear" w:color="auto" w:fill="auto"/>
            <w:noWrap/>
            <w:vAlign w:val="center"/>
            <w:hideMark/>
          </w:tcPr>
          <w:p w14:paraId="3B8B77CC" w14:textId="61036A0C" w:rsidR="00F3275D" w:rsidRPr="00EB074F" w:rsidRDefault="00F3275D" w:rsidP="00EB074F">
            <w:pPr>
              <w:jc w:val="center"/>
              <w:rPr>
                <w:rFonts w:ascii="Arial" w:hAnsi="Arial" w:cs="Arial"/>
                <w:bCs/>
                <w:color w:val="000000"/>
                <w:sz w:val="16"/>
                <w:szCs w:val="16"/>
              </w:rPr>
            </w:pPr>
            <w:r w:rsidRPr="00D15470">
              <w:rPr>
                <w:rFonts w:ascii="Arial" w:hAnsi="Arial" w:cs="Arial"/>
                <w:bCs/>
                <w:color w:val="000000"/>
                <w:sz w:val="16"/>
                <w:szCs w:val="16"/>
              </w:rPr>
              <w:t>97,26</w:t>
            </w:r>
            <w:r>
              <w:rPr>
                <w:rFonts w:ascii="Arial" w:hAnsi="Arial" w:cs="Arial"/>
                <w:bCs/>
                <w:color w:val="000000"/>
                <w:sz w:val="16"/>
                <w:szCs w:val="16"/>
              </w:rPr>
              <w:t xml:space="preserve"> </w:t>
            </w:r>
            <w:r w:rsidRPr="00D15470">
              <w:rPr>
                <w:rFonts w:ascii="Arial" w:hAnsi="Arial" w:cs="Arial"/>
                <w:bCs/>
                <w:color w:val="000000"/>
                <w:sz w:val="16"/>
                <w:szCs w:val="16"/>
              </w:rPr>
              <w:t>%</w:t>
            </w:r>
          </w:p>
        </w:tc>
      </w:tr>
      <w:tr w:rsidR="00F3275D" w:rsidRPr="00E21C60" w14:paraId="0BA164D1" w14:textId="77777777" w:rsidTr="00EB074F">
        <w:trPr>
          <w:trHeight w:val="240"/>
        </w:trPr>
        <w:tc>
          <w:tcPr>
            <w:tcW w:w="2423" w:type="dxa"/>
            <w:gridSpan w:val="2"/>
            <w:tcBorders>
              <w:top w:val="single" w:sz="8" w:space="0" w:color="auto"/>
              <w:left w:val="single" w:sz="8" w:space="0" w:color="auto"/>
              <w:bottom w:val="single" w:sz="8" w:space="0" w:color="auto"/>
              <w:right w:val="single" w:sz="8" w:space="0" w:color="000000"/>
            </w:tcBorders>
            <w:shd w:val="clear" w:color="000000" w:fill="EAF1DD"/>
            <w:vAlign w:val="center"/>
            <w:hideMark/>
          </w:tcPr>
          <w:p w14:paraId="6AB93205" w14:textId="77777777" w:rsidR="00F3275D" w:rsidRPr="00E21C60" w:rsidRDefault="00F3275D" w:rsidP="00EB074F">
            <w:pPr>
              <w:rPr>
                <w:rFonts w:ascii="Arial" w:hAnsi="Arial" w:cs="Arial"/>
                <w:b/>
                <w:bCs/>
                <w:color w:val="000000"/>
                <w:sz w:val="16"/>
                <w:szCs w:val="16"/>
              </w:rPr>
            </w:pPr>
            <w:r w:rsidRPr="00E21C60">
              <w:rPr>
                <w:rFonts w:ascii="Arial" w:hAnsi="Arial" w:cs="Arial"/>
                <w:b/>
                <w:bCs/>
                <w:color w:val="000000"/>
                <w:sz w:val="16"/>
                <w:szCs w:val="16"/>
              </w:rPr>
              <w:t>Spolu</w:t>
            </w:r>
          </w:p>
        </w:tc>
        <w:tc>
          <w:tcPr>
            <w:tcW w:w="882" w:type="dxa"/>
            <w:tcBorders>
              <w:top w:val="nil"/>
              <w:left w:val="nil"/>
              <w:bottom w:val="single" w:sz="8" w:space="0" w:color="auto"/>
              <w:right w:val="single" w:sz="8" w:space="0" w:color="auto"/>
            </w:tcBorders>
            <w:shd w:val="clear" w:color="000000" w:fill="EAF1DD"/>
            <w:noWrap/>
            <w:hideMark/>
          </w:tcPr>
          <w:p w14:paraId="5DC0E778" w14:textId="4AD6B3E3" w:rsidR="00F3275D" w:rsidRPr="00EB074F" w:rsidRDefault="00F3275D" w:rsidP="00EB074F">
            <w:pPr>
              <w:jc w:val="center"/>
              <w:rPr>
                <w:rFonts w:ascii="Arial" w:hAnsi="Arial" w:cs="Arial"/>
                <w:b/>
                <w:bCs/>
                <w:color w:val="000000"/>
                <w:sz w:val="16"/>
                <w:szCs w:val="16"/>
              </w:rPr>
            </w:pPr>
            <w:r w:rsidRPr="00EB074F">
              <w:rPr>
                <w:rFonts w:ascii="Arial" w:hAnsi="Arial" w:cs="Arial"/>
                <w:b/>
                <w:bCs/>
                <w:color w:val="000000"/>
                <w:sz w:val="16"/>
                <w:szCs w:val="16"/>
              </w:rPr>
              <w:t>356 360 000</w:t>
            </w:r>
          </w:p>
        </w:tc>
        <w:tc>
          <w:tcPr>
            <w:tcW w:w="1249" w:type="dxa"/>
            <w:tcBorders>
              <w:top w:val="nil"/>
              <w:left w:val="nil"/>
              <w:bottom w:val="single" w:sz="8" w:space="0" w:color="auto"/>
              <w:right w:val="single" w:sz="8" w:space="0" w:color="auto"/>
            </w:tcBorders>
            <w:shd w:val="clear" w:color="000000" w:fill="EAF1DD"/>
            <w:noWrap/>
            <w:hideMark/>
          </w:tcPr>
          <w:p w14:paraId="4C7CD7E3" w14:textId="40D85E00" w:rsidR="00F3275D" w:rsidRPr="00EB074F" w:rsidRDefault="00F3275D" w:rsidP="00EB074F">
            <w:pPr>
              <w:jc w:val="center"/>
              <w:rPr>
                <w:rFonts w:ascii="Arial" w:hAnsi="Arial" w:cs="Arial"/>
                <w:b/>
                <w:bCs/>
                <w:color w:val="000000"/>
                <w:sz w:val="16"/>
                <w:szCs w:val="16"/>
              </w:rPr>
            </w:pPr>
            <w:r w:rsidRPr="00EB074F">
              <w:rPr>
                <w:rFonts w:ascii="Arial" w:hAnsi="Arial" w:cs="Arial"/>
                <w:b/>
                <w:bCs/>
                <w:color w:val="000000"/>
                <w:sz w:val="16"/>
                <w:szCs w:val="16"/>
              </w:rPr>
              <w:t>381 876 858</w:t>
            </w:r>
          </w:p>
        </w:tc>
        <w:tc>
          <w:tcPr>
            <w:tcW w:w="1676" w:type="dxa"/>
            <w:tcBorders>
              <w:top w:val="nil"/>
              <w:left w:val="nil"/>
              <w:bottom w:val="single" w:sz="8" w:space="0" w:color="auto"/>
              <w:right w:val="single" w:sz="8" w:space="0" w:color="auto"/>
            </w:tcBorders>
            <w:shd w:val="clear" w:color="000000" w:fill="EAF1DD"/>
            <w:noWrap/>
            <w:hideMark/>
          </w:tcPr>
          <w:p w14:paraId="6C72EB84" w14:textId="210504E4" w:rsidR="00F3275D" w:rsidRPr="00EB074F" w:rsidRDefault="00F3275D" w:rsidP="00EB074F">
            <w:pPr>
              <w:jc w:val="center"/>
              <w:rPr>
                <w:rFonts w:ascii="Arial" w:hAnsi="Arial" w:cs="Arial"/>
                <w:b/>
                <w:bCs/>
                <w:color w:val="000000"/>
                <w:sz w:val="16"/>
                <w:szCs w:val="16"/>
              </w:rPr>
            </w:pPr>
            <w:r w:rsidRPr="00EB074F">
              <w:rPr>
                <w:rFonts w:ascii="Arial" w:hAnsi="Arial" w:cs="Arial"/>
                <w:b/>
                <w:bCs/>
                <w:color w:val="000000"/>
                <w:sz w:val="16"/>
                <w:szCs w:val="16"/>
              </w:rPr>
              <w:t>107,16</w:t>
            </w:r>
            <w:r>
              <w:rPr>
                <w:rFonts w:ascii="Arial" w:hAnsi="Arial" w:cs="Arial"/>
                <w:b/>
                <w:bCs/>
                <w:color w:val="000000"/>
                <w:sz w:val="16"/>
                <w:szCs w:val="16"/>
              </w:rPr>
              <w:t xml:space="preserve"> </w:t>
            </w:r>
            <w:r w:rsidRPr="00EB074F">
              <w:rPr>
                <w:rFonts w:ascii="Arial" w:hAnsi="Arial" w:cs="Arial"/>
                <w:b/>
                <w:bCs/>
                <w:color w:val="000000"/>
                <w:sz w:val="16"/>
                <w:szCs w:val="16"/>
              </w:rPr>
              <w:t>%</w:t>
            </w:r>
          </w:p>
        </w:tc>
        <w:tc>
          <w:tcPr>
            <w:tcW w:w="1249" w:type="dxa"/>
            <w:tcBorders>
              <w:top w:val="nil"/>
              <w:left w:val="nil"/>
              <w:bottom w:val="single" w:sz="8" w:space="0" w:color="auto"/>
              <w:right w:val="single" w:sz="8" w:space="0" w:color="auto"/>
            </w:tcBorders>
            <w:shd w:val="clear" w:color="000000" w:fill="EAF1DD"/>
            <w:noWrap/>
            <w:hideMark/>
          </w:tcPr>
          <w:p w14:paraId="0FC20ECF" w14:textId="1D73B722" w:rsidR="00F3275D" w:rsidRPr="00EB074F" w:rsidRDefault="00F3275D" w:rsidP="00B039B7">
            <w:pPr>
              <w:jc w:val="center"/>
              <w:rPr>
                <w:rFonts w:ascii="Arial" w:hAnsi="Arial" w:cs="Arial"/>
                <w:b/>
                <w:bCs/>
                <w:color w:val="000000"/>
                <w:sz w:val="16"/>
                <w:szCs w:val="16"/>
              </w:rPr>
            </w:pPr>
            <w:r w:rsidRPr="00EB074F">
              <w:rPr>
                <w:rFonts w:ascii="Arial" w:hAnsi="Arial" w:cs="Arial"/>
                <w:b/>
                <w:bCs/>
                <w:color w:val="000000"/>
                <w:sz w:val="16"/>
                <w:szCs w:val="16"/>
              </w:rPr>
              <w:t>350 443</w:t>
            </w:r>
            <w:r>
              <w:rPr>
                <w:rFonts w:ascii="Arial" w:hAnsi="Arial" w:cs="Arial"/>
                <w:b/>
                <w:bCs/>
                <w:color w:val="000000"/>
                <w:sz w:val="16"/>
                <w:szCs w:val="16"/>
              </w:rPr>
              <w:t> </w:t>
            </w:r>
            <w:r w:rsidRPr="00EB074F">
              <w:rPr>
                <w:rFonts w:ascii="Arial" w:hAnsi="Arial" w:cs="Arial"/>
                <w:b/>
                <w:bCs/>
                <w:color w:val="000000"/>
                <w:sz w:val="16"/>
                <w:szCs w:val="16"/>
              </w:rPr>
              <w:t>829</w:t>
            </w:r>
          </w:p>
        </w:tc>
        <w:tc>
          <w:tcPr>
            <w:tcW w:w="1676" w:type="dxa"/>
            <w:tcBorders>
              <w:top w:val="nil"/>
              <w:left w:val="nil"/>
              <w:bottom w:val="single" w:sz="8" w:space="0" w:color="auto"/>
              <w:right w:val="single" w:sz="8" w:space="0" w:color="auto"/>
            </w:tcBorders>
            <w:shd w:val="clear" w:color="000000" w:fill="EAF1DD"/>
            <w:noWrap/>
            <w:hideMark/>
          </w:tcPr>
          <w:p w14:paraId="22BEC53C" w14:textId="373CA457" w:rsidR="00F3275D" w:rsidRPr="00EB074F" w:rsidRDefault="00F3275D" w:rsidP="00EB074F">
            <w:pPr>
              <w:jc w:val="center"/>
              <w:rPr>
                <w:rFonts w:ascii="Arial" w:hAnsi="Arial" w:cs="Arial"/>
                <w:b/>
                <w:bCs/>
                <w:color w:val="000000"/>
                <w:sz w:val="16"/>
                <w:szCs w:val="16"/>
              </w:rPr>
            </w:pPr>
            <w:r>
              <w:rPr>
                <w:rFonts w:ascii="Arial" w:hAnsi="Arial" w:cs="Arial"/>
                <w:b/>
                <w:bCs/>
                <w:color w:val="000000"/>
                <w:sz w:val="16"/>
                <w:szCs w:val="16"/>
              </w:rPr>
              <w:t>98,34 %</w:t>
            </w:r>
          </w:p>
        </w:tc>
      </w:tr>
    </w:tbl>
    <w:p w14:paraId="49A56D7B" w14:textId="77777777" w:rsidR="008A5121" w:rsidRPr="00123376" w:rsidRDefault="008A5121" w:rsidP="008A5121">
      <w:pPr>
        <w:pStyle w:val="Zkladntextb"/>
        <w:spacing w:after="0" w:line="240" w:lineRule="auto"/>
        <w:ind w:left="0"/>
        <w:jc w:val="both"/>
        <w:rPr>
          <w:rFonts w:cs="Arial"/>
          <w:sz w:val="16"/>
          <w:szCs w:val="16"/>
          <w:lang w:val="sk-SK"/>
        </w:rPr>
      </w:pPr>
      <w:r w:rsidRPr="00123376">
        <w:rPr>
          <w:rFonts w:cs="Arial"/>
          <w:sz w:val="16"/>
          <w:szCs w:val="16"/>
          <w:lang w:val="sk-SK"/>
        </w:rPr>
        <w:t>Zdroj: RO, ITMS</w:t>
      </w:r>
    </w:p>
    <w:p w14:paraId="6A65F36E" w14:textId="5A60124D" w:rsidR="008A5121" w:rsidRPr="00E21C60" w:rsidRDefault="008A5121" w:rsidP="008A5121">
      <w:pPr>
        <w:spacing w:before="120" w:after="120"/>
        <w:jc w:val="both"/>
        <w:rPr>
          <w:rFonts w:ascii="Arial" w:hAnsi="Arial" w:cs="Arial"/>
          <w:iCs/>
          <w:sz w:val="20"/>
          <w:szCs w:val="20"/>
        </w:rPr>
      </w:pPr>
      <w:r w:rsidRPr="00123376">
        <w:rPr>
          <w:rFonts w:ascii="Arial" w:hAnsi="Arial" w:cs="Arial"/>
          <w:iCs/>
          <w:sz w:val="20"/>
          <w:szCs w:val="20"/>
        </w:rPr>
        <w:t xml:space="preserve">Stav dosahovania plánovaných hodnôt ukazovateľov v rámci intervencií </w:t>
      </w:r>
      <w:r w:rsidRPr="00E21C60">
        <w:rPr>
          <w:rFonts w:ascii="Arial" w:hAnsi="Arial" w:cs="Arial"/>
          <w:iCs/>
          <w:sz w:val="20"/>
          <w:szCs w:val="20"/>
        </w:rPr>
        <w:t>prioritnej osi</w:t>
      </w:r>
      <w:r w:rsidRPr="00123376">
        <w:rPr>
          <w:rFonts w:ascii="Arial" w:hAnsi="Arial" w:cs="Arial"/>
          <w:iCs/>
          <w:sz w:val="20"/>
          <w:szCs w:val="20"/>
        </w:rPr>
        <w:t xml:space="preserve"> 4 je výrazne nejednotný. Úspešnosť napĺňania hodnôt ukazovateľov sa pohybuje od 0</w:t>
      </w:r>
      <w:r>
        <w:rPr>
          <w:rFonts w:ascii="Arial" w:hAnsi="Arial" w:cs="Arial"/>
          <w:iCs/>
          <w:sz w:val="20"/>
          <w:szCs w:val="20"/>
        </w:rPr>
        <w:t xml:space="preserve"> </w:t>
      </w:r>
      <w:r w:rsidRPr="00123376">
        <w:rPr>
          <w:rFonts w:ascii="Arial" w:hAnsi="Arial" w:cs="Arial"/>
          <w:iCs/>
          <w:sz w:val="20"/>
          <w:szCs w:val="20"/>
        </w:rPr>
        <w:t xml:space="preserve">% po </w:t>
      </w:r>
      <w:r>
        <w:rPr>
          <w:rFonts w:ascii="Arial" w:hAnsi="Arial" w:cs="Arial"/>
          <w:iCs/>
          <w:sz w:val="20"/>
          <w:szCs w:val="20"/>
        </w:rPr>
        <w:t>niekoľko násobné</w:t>
      </w:r>
      <w:r w:rsidRPr="00123376">
        <w:rPr>
          <w:rFonts w:ascii="Arial" w:hAnsi="Arial" w:cs="Arial"/>
          <w:iCs/>
          <w:sz w:val="20"/>
          <w:szCs w:val="20"/>
        </w:rPr>
        <w:t xml:space="preserve"> prekročenie plánovanej hodnoty. Napĺňanie plánovaných hodnôt ukazovateľov </w:t>
      </w:r>
      <w:r w:rsidR="00082743">
        <w:rPr>
          <w:rFonts w:ascii="Arial" w:hAnsi="Arial" w:cs="Arial"/>
          <w:iCs/>
          <w:sz w:val="20"/>
          <w:szCs w:val="20"/>
        </w:rPr>
        <w:t>bolo v priebehu programového obdobia</w:t>
      </w:r>
      <w:r w:rsidRPr="00123376">
        <w:rPr>
          <w:rFonts w:ascii="Arial" w:hAnsi="Arial" w:cs="Arial"/>
          <w:iCs/>
          <w:sz w:val="20"/>
          <w:szCs w:val="20"/>
        </w:rPr>
        <w:t xml:space="preserve"> ovplyvnené úrovňou napredovania realizácie projektov a skutočnosťou, že </w:t>
      </w:r>
      <w:r w:rsidR="00082743">
        <w:rPr>
          <w:rFonts w:ascii="Arial" w:hAnsi="Arial" w:cs="Arial"/>
          <w:iCs/>
          <w:sz w:val="20"/>
          <w:szCs w:val="20"/>
        </w:rPr>
        <w:t>plnenie cieľových hodnôt</w:t>
      </w:r>
      <w:r w:rsidRPr="00123376">
        <w:rPr>
          <w:rFonts w:ascii="Arial" w:hAnsi="Arial" w:cs="Arial"/>
          <w:iCs/>
          <w:sz w:val="20"/>
          <w:szCs w:val="20"/>
        </w:rPr>
        <w:t xml:space="preserve"> ukazovateľov</w:t>
      </w:r>
      <w:r w:rsidR="00082743">
        <w:rPr>
          <w:rFonts w:ascii="Arial" w:hAnsi="Arial" w:cs="Arial"/>
          <w:iCs/>
          <w:sz w:val="20"/>
          <w:szCs w:val="20"/>
        </w:rPr>
        <w:t xml:space="preserve"> typu dopad</w:t>
      </w:r>
      <w:r w:rsidRPr="00123376">
        <w:rPr>
          <w:rFonts w:ascii="Arial" w:hAnsi="Arial" w:cs="Arial"/>
          <w:iCs/>
          <w:sz w:val="20"/>
          <w:szCs w:val="20"/>
        </w:rPr>
        <w:t xml:space="preserve"> je možné očakávať až p</w:t>
      </w:r>
      <w:r w:rsidR="00082743">
        <w:rPr>
          <w:rFonts w:ascii="Arial" w:hAnsi="Arial" w:cs="Arial"/>
          <w:iCs/>
          <w:sz w:val="20"/>
          <w:szCs w:val="20"/>
        </w:rPr>
        <w:t>o skončení realizácie projektov. Z analýzy hodnôt ukazovateľov zazmluvnených</w:t>
      </w:r>
      <w:r w:rsidRPr="00123376">
        <w:rPr>
          <w:rFonts w:ascii="Arial" w:hAnsi="Arial" w:cs="Arial"/>
          <w:iCs/>
          <w:sz w:val="20"/>
          <w:szCs w:val="20"/>
        </w:rPr>
        <w:t xml:space="preserve"> </w:t>
      </w:r>
      <w:r w:rsidR="00082743">
        <w:rPr>
          <w:rFonts w:ascii="Arial" w:hAnsi="Arial" w:cs="Arial"/>
          <w:iCs/>
          <w:sz w:val="20"/>
          <w:szCs w:val="20"/>
        </w:rPr>
        <w:t>projektov</w:t>
      </w:r>
      <w:r w:rsidRPr="00123376">
        <w:rPr>
          <w:rFonts w:ascii="Arial" w:hAnsi="Arial" w:cs="Arial"/>
          <w:iCs/>
          <w:sz w:val="20"/>
          <w:szCs w:val="20"/>
        </w:rPr>
        <w:t xml:space="preserve"> </w:t>
      </w:r>
      <w:r w:rsidR="00082743">
        <w:rPr>
          <w:rFonts w:ascii="Arial" w:hAnsi="Arial" w:cs="Arial"/>
          <w:iCs/>
          <w:sz w:val="20"/>
          <w:szCs w:val="20"/>
        </w:rPr>
        <w:t xml:space="preserve">vyplýva, že </w:t>
      </w:r>
      <w:r w:rsidRPr="00123376">
        <w:rPr>
          <w:rFonts w:ascii="Arial" w:hAnsi="Arial" w:cs="Arial"/>
          <w:iCs/>
          <w:sz w:val="20"/>
          <w:szCs w:val="20"/>
        </w:rPr>
        <w:t>majú stanovené ciele, ktorými by mali zabezpečiť naplnenie stanovených hodnôt ukazovateľov</w:t>
      </w:r>
      <w:r>
        <w:rPr>
          <w:rFonts w:ascii="Arial" w:hAnsi="Arial" w:cs="Arial"/>
          <w:iCs/>
          <w:sz w:val="20"/>
          <w:szCs w:val="20"/>
        </w:rPr>
        <w:t>, s výnimkou ukazovateľov týkajúcich sa nakladania s nebezpečným odpadom</w:t>
      </w:r>
      <w:r w:rsidR="00082743">
        <w:rPr>
          <w:rFonts w:ascii="Arial" w:hAnsi="Arial" w:cs="Arial"/>
          <w:iCs/>
          <w:sz w:val="20"/>
          <w:szCs w:val="20"/>
        </w:rPr>
        <w:t xml:space="preserve"> p</w:t>
      </w:r>
      <w:r w:rsidR="00082743" w:rsidRPr="00082743">
        <w:rPr>
          <w:rFonts w:ascii="Arial" w:hAnsi="Arial" w:cs="Arial"/>
          <w:iCs/>
          <w:sz w:val="20"/>
          <w:szCs w:val="20"/>
        </w:rPr>
        <w:t>očt</w:t>
      </w:r>
      <w:r w:rsidR="00082743">
        <w:rPr>
          <w:rFonts w:ascii="Arial" w:hAnsi="Arial" w:cs="Arial"/>
          <w:iCs/>
          <w:sz w:val="20"/>
          <w:szCs w:val="20"/>
        </w:rPr>
        <w:t>u</w:t>
      </w:r>
      <w:r w:rsidR="00082743" w:rsidRPr="00082743">
        <w:rPr>
          <w:rFonts w:ascii="Arial" w:hAnsi="Arial" w:cs="Arial"/>
          <w:iCs/>
          <w:sz w:val="20"/>
          <w:szCs w:val="20"/>
        </w:rPr>
        <w:t xml:space="preserve"> vybudovaných alebo zmodernizovaných zariadení na energetické zhodnocovanie odpadov</w:t>
      </w:r>
      <w:r w:rsidR="00082743">
        <w:rPr>
          <w:rFonts w:ascii="Arial" w:hAnsi="Arial" w:cs="Arial"/>
          <w:iCs/>
          <w:sz w:val="20"/>
          <w:szCs w:val="20"/>
        </w:rPr>
        <w:t>,</w:t>
      </w:r>
      <w:r>
        <w:rPr>
          <w:rFonts w:ascii="Arial" w:hAnsi="Arial" w:cs="Arial"/>
          <w:iCs/>
          <w:sz w:val="20"/>
          <w:szCs w:val="20"/>
        </w:rPr>
        <w:t xml:space="preserve"> </w:t>
      </w:r>
      <w:r w:rsidR="00082743">
        <w:rPr>
          <w:rFonts w:ascii="Arial" w:hAnsi="Arial" w:cs="Arial"/>
          <w:iCs/>
          <w:sz w:val="20"/>
          <w:szCs w:val="20"/>
        </w:rPr>
        <w:t>počtu</w:t>
      </w:r>
      <w:r>
        <w:rPr>
          <w:rFonts w:ascii="Arial" w:hAnsi="Arial" w:cs="Arial"/>
          <w:iCs/>
          <w:sz w:val="20"/>
          <w:szCs w:val="20"/>
        </w:rPr>
        <w:t xml:space="preserve"> sano</w:t>
      </w:r>
      <w:r w:rsidR="00082743">
        <w:rPr>
          <w:rFonts w:ascii="Arial" w:hAnsi="Arial" w:cs="Arial"/>
          <w:iCs/>
          <w:sz w:val="20"/>
          <w:szCs w:val="20"/>
        </w:rPr>
        <w:t>vaných environmentálnych záťaží</w:t>
      </w:r>
      <w:r>
        <w:rPr>
          <w:rFonts w:ascii="Arial" w:hAnsi="Arial" w:cs="Arial"/>
          <w:iCs/>
          <w:sz w:val="20"/>
          <w:szCs w:val="20"/>
        </w:rPr>
        <w:t xml:space="preserve">. </w:t>
      </w:r>
      <w:r w:rsidR="00082743">
        <w:rPr>
          <w:rFonts w:ascii="Arial" w:hAnsi="Arial" w:cs="Arial"/>
          <w:iCs/>
          <w:sz w:val="20"/>
          <w:szCs w:val="20"/>
        </w:rPr>
        <w:t>Z uvedeného vyplýva, že pri troch ukazovateľoch prioritnej osi 4 bude odchýlka vo vzťahu k cieľovej hodnote viac ako 25%. Ide o ukazovatele na projekty</w:t>
      </w:r>
      <w:r>
        <w:rPr>
          <w:rFonts w:ascii="Arial" w:hAnsi="Arial" w:cs="Arial"/>
          <w:iCs/>
          <w:sz w:val="20"/>
          <w:szCs w:val="20"/>
        </w:rPr>
        <w:t>, ktoré sú z hľadiska prípravy a realizácie veľmi náročné.</w:t>
      </w:r>
    </w:p>
    <w:p w14:paraId="6438A471" w14:textId="2C202D71" w:rsidR="008A5121" w:rsidRPr="00E21C60" w:rsidRDefault="008A5121" w:rsidP="008A5121">
      <w:pPr>
        <w:pStyle w:val="Zkladntextb"/>
        <w:spacing w:before="120" w:after="0" w:line="240" w:lineRule="auto"/>
        <w:ind w:left="0"/>
        <w:jc w:val="both"/>
        <w:rPr>
          <w:rFonts w:cs="Arial"/>
          <w:lang w:val="sk-SK"/>
        </w:rPr>
      </w:pPr>
      <w:r w:rsidRPr="00E21C60">
        <w:rPr>
          <w:rFonts w:cs="Arial"/>
          <w:lang w:val="sk-SK"/>
        </w:rPr>
        <w:t xml:space="preserve">Tabuľka č. </w:t>
      </w:r>
      <w:r>
        <w:rPr>
          <w:rFonts w:cs="Arial"/>
          <w:lang w:val="sk-SK"/>
        </w:rPr>
        <w:t>5</w:t>
      </w:r>
      <w:r w:rsidR="007B1CB9">
        <w:rPr>
          <w:rFonts w:cs="Arial"/>
          <w:lang w:val="sk-SK"/>
        </w:rPr>
        <w:t>9</w:t>
      </w:r>
      <w:r w:rsidRPr="00E21C60">
        <w:rPr>
          <w:rFonts w:cs="Arial"/>
          <w:lang w:val="sk-SK"/>
        </w:rPr>
        <w:t>: Fyzický pokrok intervencií prioritnej osi 4 k 31.</w:t>
      </w:r>
      <w:r w:rsidR="00963B10">
        <w:rPr>
          <w:rFonts w:cs="Arial"/>
          <w:lang w:val="sk-SK"/>
        </w:rPr>
        <w:t>10</w:t>
      </w:r>
      <w:r w:rsidRPr="00E21C60">
        <w:rPr>
          <w:rFonts w:cs="Arial"/>
          <w:lang w:val="sk-SK"/>
        </w:rPr>
        <w:t>.201</w:t>
      </w:r>
      <w:r w:rsidR="00963B10">
        <w:rPr>
          <w:rFonts w:cs="Arial"/>
          <w:lang w:val="sk-SK"/>
        </w:rPr>
        <w:t>6</w:t>
      </w:r>
    </w:p>
    <w:tbl>
      <w:tblPr>
        <w:tblW w:w="9344" w:type="dxa"/>
        <w:tblInd w:w="55" w:type="dxa"/>
        <w:tblLayout w:type="fixed"/>
        <w:tblCellMar>
          <w:left w:w="70" w:type="dxa"/>
          <w:right w:w="70" w:type="dxa"/>
        </w:tblCellMar>
        <w:tblLook w:val="04A0" w:firstRow="1" w:lastRow="0" w:firstColumn="1" w:lastColumn="0" w:noHBand="0" w:noVBand="1"/>
      </w:tblPr>
      <w:tblGrid>
        <w:gridCol w:w="656"/>
        <w:gridCol w:w="1568"/>
        <w:gridCol w:w="910"/>
        <w:gridCol w:w="850"/>
        <w:gridCol w:w="922"/>
        <w:gridCol w:w="672"/>
        <w:gridCol w:w="861"/>
        <w:gridCol w:w="861"/>
        <w:gridCol w:w="1022"/>
        <w:gridCol w:w="1022"/>
      </w:tblGrid>
      <w:tr w:rsidR="0008447E" w:rsidRPr="00E21C60" w14:paraId="72AEB023" w14:textId="77777777" w:rsidTr="0008447E">
        <w:trPr>
          <w:trHeight w:val="1350"/>
        </w:trPr>
        <w:tc>
          <w:tcPr>
            <w:tcW w:w="656" w:type="dxa"/>
            <w:tcBorders>
              <w:top w:val="single" w:sz="4" w:space="0" w:color="auto"/>
              <w:left w:val="single" w:sz="4" w:space="0" w:color="auto"/>
              <w:bottom w:val="nil"/>
              <w:right w:val="single" w:sz="4" w:space="0" w:color="auto"/>
            </w:tcBorders>
            <w:shd w:val="clear" w:color="auto" w:fill="C2D69B" w:themeFill="accent3" w:themeFillTint="99"/>
            <w:vAlign w:val="center"/>
            <w:hideMark/>
          </w:tcPr>
          <w:p w14:paraId="6C0968F3"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Typ</w:t>
            </w:r>
            <w:r w:rsidRPr="00E21C60">
              <w:rPr>
                <w:rFonts w:ascii="Arial" w:hAnsi="Arial" w:cs="Arial"/>
                <w:b/>
                <w:bCs/>
                <w:color w:val="000000"/>
                <w:sz w:val="16"/>
                <w:szCs w:val="16"/>
              </w:rPr>
              <w:br/>
              <w:t>inter-</w:t>
            </w:r>
            <w:r w:rsidRPr="00E21C60">
              <w:rPr>
                <w:rFonts w:ascii="Arial" w:hAnsi="Arial" w:cs="Arial"/>
                <w:b/>
                <w:bCs/>
                <w:color w:val="000000"/>
                <w:sz w:val="16"/>
                <w:szCs w:val="16"/>
              </w:rPr>
              <w:br/>
              <w:t>vencie (op. cieľ)</w:t>
            </w:r>
          </w:p>
        </w:tc>
        <w:tc>
          <w:tcPr>
            <w:tcW w:w="1568" w:type="dxa"/>
            <w:tcBorders>
              <w:top w:val="single" w:sz="4" w:space="0" w:color="auto"/>
              <w:left w:val="nil"/>
              <w:bottom w:val="nil"/>
              <w:right w:val="single" w:sz="4" w:space="0" w:color="auto"/>
            </w:tcBorders>
            <w:shd w:val="clear" w:color="auto" w:fill="C2D69B" w:themeFill="accent3" w:themeFillTint="99"/>
            <w:vAlign w:val="center"/>
            <w:hideMark/>
          </w:tcPr>
          <w:p w14:paraId="400C33AE"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Názov merateľného ukazovateľa (MU)</w:t>
            </w:r>
          </w:p>
        </w:tc>
        <w:tc>
          <w:tcPr>
            <w:tcW w:w="910" w:type="dxa"/>
            <w:tcBorders>
              <w:top w:val="single" w:sz="4" w:space="0" w:color="auto"/>
              <w:left w:val="nil"/>
              <w:bottom w:val="nil"/>
              <w:right w:val="single" w:sz="4" w:space="0" w:color="auto"/>
            </w:tcBorders>
            <w:shd w:val="clear" w:color="auto" w:fill="C2D69B" w:themeFill="accent3" w:themeFillTint="99"/>
            <w:vAlign w:val="center"/>
            <w:hideMark/>
          </w:tcPr>
          <w:p w14:paraId="2F27685D"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Merná jednotka (MJ)</w:t>
            </w:r>
          </w:p>
        </w:tc>
        <w:tc>
          <w:tcPr>
            <w:tcW w:w="850" w:type="dxa"/>
            <w:tcBorders>
              <w:top w:val="single" w:sz="4" w:space="0" w:color="auto"/>
              <w:left w:val="nil"/>
              <w:bottom w:val="single" w:sz="4" w:space="0" w:color="auto"/>
              <w:right w:val="single" w:sz="4" w:space="0" w:color="auto"/>
            </w:tcBorders>
            <w:shd w:val="clear" w:color="auto" w:fill="C2D69B" w:themeFill="accent3" w:themeFillTint="99"/>
            <w:vAlign w:val="center"/>
          </w:tcPr>
          <w:p w14:paraId="15DB7C92" w14:textId="77777777" w:rsidR="008A5121" w:rsidRPr="00E21C60" w:rsidRDefault="008A5121" w:rsidP="00EC5EAF">
            <w:pPr>
              <w:jc w:val="center"/>
              <w:rPr>
                <w:rFonts w:ascii="Arial" w:hAnsi="Arial" w:cs="Arial"/>
                <w:b/>
                <w:bCs/>
                <w:color w:val="000000"/>
                <w:sz w:val="16"/>
                <w:szCs w:val="16"/>
              </w:rPr>
            </w:pPr>
            <w:r w:rsidRPr="006C1B85">
              <w:rPr>
                <w:rFonts w:ascii="Arial" w:hAnsi="Arial" w:cs="Arial"/>
                <w:b/>
                <w:bCs/>
                <w:color w:val="000000"/>
                <w:sz w:val="16"/>
                <w:szCs w:val="16"/>
              </w:rPr>
              <w:t>Východisková hodnota OP</w:t>
            </w:r>
          </w:p>
        </w:tc>
        <w:tc>
          <w:tcPr>
            <w:tcW w:w="92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046BD24"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Cieľ OP</w:t>
            </w:r>
          </w:p>
        </w:tc>
        <w:tc>
          <w:tcPr>
            <w:tcW w:w="672" w:type="dxa"/>
            <w:tcBorders>
              <w:top w:val="single" w:sz="4" w:space="0" w:color="auto"/>
              <w:left w:val="nil"/>
              <w:bottom w:val="single" w:sz="4" w:space="0" w:color="auto"/>
              <w:right w:val="single" w:sz="8" w:space="0" w:color="auto"/>
            </w:tcBorders>
            <w:shd w:val="clear" w:color="auto" w:fill="C2D69B" w:themeFill="accent3" w:themeFillTint="99"/>
            <w:vAlign w:val="center"/>
            <w:hideMark/>
          </w:tcPr>
          <w:p w14:paraId="54D2C839" w14:textId="4F7BDB4D" w:rsidR="008A5121" w:rsidRPr="00E21C60" w:rsidRDefault="008A5121" w:rsidP="00EC5EAF">
            <w:pPr>
              <w:jc w:val="center"/>
              <w:rPr>
                <w:rFonts w:ascii="Arial" w:hAnsi="Arial" w:cs="Arial"/>
                <w:b/>
                <w:bCs/>
                <w:color w:val="000000"/>
                <w:sz w:val="16"/>
                <w:szCs w:val="16"/>
              </w:rPr>
            </w:pPr>
            <w:r w:rsidRPr="009D13DD">
              <w:rPr>
                <w:rFonts w:ascii="Arial" w:hAnsi="Arial" w:cs="Arial"/>
                <w:b/>
                <w:bCs/>
                <w:color w:val="000000"/>
                <w:sz w:val="16"/>
                <w:szCs w:val="16"/>
              </w:rPr>
              <w:t>Stav k 31.12.</w:t>
            </w:r>
            <w:r w:rsidRPr="009D13DD">
              <w:rPr>
                <w:rFonts w:ascii="Arial" w:hAnsi="Arial" w:cs="Arial"/>
                <w:b/>
                <w:bCs/>
                <w:color w:val="000000"/>
                <w:sz w:val="16"/>
                <w:szCs w:val="16"/>
              </w:rPr>
              <w:br/>
              <w:t>201</w:t>
            </w:r>
            <w:r w:rsidR="0079563B" w:rsidRPr="009D13DD">
              <w:rPr>
                <w:rFonts w:ascii="Arial" w:hAnsi="Arial" w:cs="Arial"/>
                <w:b/>
                <w:bCs/>
                <w:color w:val="000000"/>
                <w:sz w:val="16"/>
                <w:szCs w:val="16"/>
              </w:rPr>
              <w:t>5</w:t>
            </w:r>
          </w:p>
        </w:tc>
        <w:tc>
          <w:tcPr>
            <w:tcW w:w="861"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tcPr>
          <w:p w14:paraId="35580AC0" w14:textId="5350FD13"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Stav k 31.</w:t>
            </w:r>
            <w:r w:rsidR="0079563B">
              <w:rPr>
                <w:rFonts w:ascii="Arial" w:hAnsi="Arial" w:cs="Arial"/>
                <w:b/>
                <w:bCs/>
                <w:color w:val="000000"/>
                <w:sz w:val="16"/>
                <w:szCs w:val="16"/>
              </w:rPr>
              <w:t>10</w:t>
            </w:r>
            <w:r w:rsidRPr="00E21C60">
              <w:rPr>
                <w:rFonts w:ascii="Arial" w:hAnsi="Arial" w:cs="Arial"/>
                <w:b/>
                <w:bCs/>
                <w:color w:val="000000"/>
                <w:sz w:val="16"/>
                <w:szCs w:val="16"/>
              </w:rPr>
              <w:t>.</w:t>
            </w:r>
            <w:r w:rsidRPr="00E21C60">
              <w:rPr>
                <w:rFonts w:ascii="Arial" w:hAnsi="Arial" w:cs="Arial"/>
                <w:b/>
                <w:bCs/>
                <w:color w:val="000000"/>
                <w:sz w:val="16"/>
                <w:szCs w:val="16"/>
              </w:rPr>
              <w:br/>
            </w:r>
            <w:r>
              <w:rPr>
                <w:rFonts w:ascii="Arial" w:hAnsi="Arial" w:cs="Arial"/>
                <w:b/>
                <w:bCs/>
                <w:color w:val="000000"/>
                <w:sz w:val="16"/>
                <w:szCs w:val="16"/>
              </w:rPr>
              <w:t>2016</w:t>
            </w:r>
          </w:p>
        </w:tc>
        <w:tc>
          <w:tcPr>
            <w:tcW w:w="861" w:type="dxa"/>
            <w:tcBorders>
              <w:top w:val="single" w:sz="4" w:space="0" w:color="auto"/>
              <w:left w:val="single" w:sz="8" w:space="0" w:color="auto"/>
              <w:bottom w:val="single" w:sz="4" w:space="0" w:color="auto"/>
              <w:right w:val="single" w:sz="4" w:space="0" w:color="auto"/>
            </w:tcBorders>
            <w:shd w:val="clear" w:color="auto" w:fill="C2D69B" w:themeFill="accent3" w:themeFillTint="99"/>
            <w:vAlign w:val="center"/>
            <w:hideMark/>
          </w:tcPr>
          <w:p w14:paraId="0DA12BA3"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Cieľ zazmluv-</w:t>
            </w:r>
            <w:r w:rsidRPr="00E21C60">
              <w:rPr>
                <w:rFonts w:ascii="Arial" w:hAnsi="Arial" w:cs="Arial"/>
                <w:b/>
                <w:bCs/>
                <w:color w:val="000000"/>
                <w:sz w:val="16"/>
                <w:szCs w:val="16"/>
              </w:rPr>
              <w:br/>
              <w:t>nených projektov</w:t>
            </w:r>
          </w:p>
        </w:tc>
        <w:tc>
          <w:tcPr>
            <w:tcW w:w="1022"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B13D56B" w14:textId="35376A81"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Úspešnosť plnenia</w:t>
            </w:r>
            <w:r w:rsidR="00301DCD">
              <w:rPr>
                <w:rFonts w:ascii="Arial" w:hAnsi="Arial" w:cs="Arial"/>
                <w:b/>
                <w:bCs/>
                <w:color w:val="000000"/>
                <w:sz w:val="16"/>
                <w:szCs w:val="16"/>
              </w:rPr>
              <w:t xml:space="preserve"> k 31.10.2016</w:t>
            </w:r>
            <w:r w:rsidRPr="00E21C60">
              <w:rPr>
                <w:rFonts w:ascii="Arial" w:hAnsi="Arial" w:cs="Arial"/>
                <w:b/>
                <w:bCs/>
                <w:color w:val="000000"/>
                <w:sz w:val="16"/>
                <w:szCs w:val="16"/>
              </w:rPr>
              <w:t xml:space="preserve"> (%)</w:t>
            </w:r>
          </w:p>
        </w:tc>
        <w:tc>
          <w:tcPr>
            <w:tcW w:w="1022"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2EF5578" w14:textId="77777777" w:rsidR="008A5121" w:rsidRPr="00E21C60" w:rsidRDefault="008A5121" w:rsidP="00EC5EAF">
            <w:pPr>
              <w:jc w:val="center"/>
              <w:rPr>
                <w:rFonts w:ascii="Arial" w:hAnsi="Arial" w:cs="Arial"/>
                <w:b/>
                <w:bCs/>
                <w:color w:val="000000"/>
                <w:sz w:val="16"/>
                <w:szCs w:val="16"/>
              </w:rPr>
            </w:pPr>
            <w:r w:rsidRPr="00E21C60">
              <w:rPr>
                <w:rFonts w:ascii="Arial" w:hAnsi="Arial" w:cs="Arial"/>
                <w:b/>
                <w:bCs/>
                <w:color w:val="000000"/>
                <w:sz w:val="16"/>
                <w:szCs w:val="16"/>
              </w:rPr>
              <w:t>Úspešnosť plnenia zazmluv-</w:t>
            </w:r>
            <w:r w:rsidRPr="00E21C60">
              <w:rPr>
                <w:rFonts w:ascii="Arial" w:hAnsi="Arial" w:cs="Arial"/>
                <w:b/>
                <w:bCs/>
                <w:color w:val="000000"/>
                <w:sz w:val="16"/>
                <w:szCs w:val="16"/>
              </w:rPr>
              <w:br/>
              <w:t>nených projektov (%)</w:t>
            </w:r>
          </w:p>
        </w:tc>
      </w:tr>
      <w:tr w:rsidR="0008447E" w:rsidRPr="00E21C60" w14:paraId="3958CFBE" w14:textId="77777777" w:rsidTr="0008447E">
        <w:trPr>
          <w:trHeight w:val="900"/>
        </w:trPr>
        <w:tc>
          <w:tcPr>
            <w:tcW w:w="65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2A81CDC"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4.1</w:t>
            </w:r>
          </w:p>
        </w:tc>
        <w:tc>
          <w:tcPr>
            <w:tcW w:w="1568" w:type="dxa"/>
            <w:tcBorders>
              <w:top w:val="single" w:sz="4" w:space="0" w:color="auto"/>
              <w:left w:val="nil"/>
              <w:bottom w:val="single" w:sz="4" w:space="0" w:color="auto"/>
              <w:right w:val="single" w:sz="4" w:space="0" w:color="auto"/>
            </w:tcBorders>
            <w:shd w:val="clear" w:color="000000" w:fill="FFFFFF"/>
            <w:vAlign w:val="center"/>
            <w:hideMark/>
          </w:tcPr>
          <w:p w14:paraId="7667FE35"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Množstvo vyseparovaných komunálnych odpadov (spolu za projekty)</w:t>
            </w:r>
          </w:p>
        </w:tc>
        <w:tc>
          <w:tcPr>
            <w:tcW w:w="910" w:type="dxa"/>
            <w:tcBorders>
              <w:top w:val="single" w:sz="4" w:space="0" w:color="auto"/>
              <w:left w:val="nil"/>
              <w:bottom w:val="single" w:sz="4" w:space="0" w:color="auto"/>
              <w:right w:val="single" w:sz="4" w:space="0" w:color="auto"/>
            </w:tcBorders>
            <w:shd w:val="clear" w:color="000000" w:fill="FFFFFF"/>
            <w:vAlign w:val="center"/>
            <w:hideMark/>
          </w:tcPr>
          <w:p w14:paraId="0E9032BD"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t/rok</w:t>
            </w:r>
          </w:p>
        </w:tc>
        <w:tc>
          <w:tcPr>
            <w:tcW w:w="850" w:type="dxa"/>
            <w:tcBorders>
              <w:top w:val="single" w:sz="4" w:space="0" w:color="auto"/>
              <w:left w:val="nil"/>
              <w:bottom w:val="single" w:sz="4" w:space="0" w:color="auto"/>
              <w:right w:val="single" w:sz="4" w:space="0" w:color="auto"/>
            </w:tcBorders>
            <w:vAlign w:val="center"/>
          </w:tcPr>
          <w:p w14:paraId="4CF73D53"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286</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F869A0"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97 000</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2BF8FC1D" w14:textId="3B7424CE" w:rsidR="000823BC" w:rsidRPr="00E21C60" w:rsidRDefault="000823BC" w:rsidP="00EC5EAF">
            <w:pPr>
              <w:jc w:val="right"/>
              <w:rPr>
                <w:rFonts w:ascii="Arial" w:hAnsi="Arial" w:cs="Arial"/>
                <w:color w:val="000000"/>
                <w:sz w:val="16"/>
                <w:szCs w:val="16"/>
              </w:rPr>
            </w:pPr>
            <w:r w:rsidRPr="009A4F25">
              <w:rPr>
                <w:rFonts w:ascii="Arial" w:hAnsi="Arial" w:cs="Arial"/>
                <w:color w:val="000000"/>
                <w:sz w:val="16"/>
                <w:szCs w:val="16"/>
              </w:rPr>
              <w:t>84205,74</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09ECA7F9" w14:textId="77777777" w:rsidR="000823BC" w:rsidRPr="00D509CF" w:rsidRDefault="000823BC" w:rsidP="00EC5EAF">
            <w:pPr>
              <w:jc w:val="center"/>
              <w:rPr>
                <w:rFonts w:ascii="Arial" w:hAnsi="Arial" w:cs="Arial"/>
                <w:color w:val="000000"/>
                <w:sz w:val="16"/>
                <w:szCs w:val="16"/>
              </w:rPr>
            </w:pPr>
            <w:r>
              <w:rPr>
                <w:rFonts w:ascii="Arial" w:hAnsi="Arial" w:cs="Arial"/>
                <w:color w:val="000000"/>
                <w:sz w:val="16"/>
                <w:szCs w:val="16"/>
              </w:rPr>
              <w:t>85663,452</w:t>
            </w:r>
          </w:p>
        </w:tc>
        <w:tc>
          <w:tcPr>
            <w:tcW w:w="861" w:type="dxa"/>
            <w:tcBorders>
              <w:top w:val="nil"/>
              <w:left w:val="single" w:sz="8" w:space="0" w:color="auto"/>
              <w:bottom w:val="single" w:sz="4" w:space="0" w:color="auto"/>
              <w:right w:val="single" w:sz="4" w:space="0" w:color="auto"/>
            </w:tcBorders>
            <w:shd w:val="clear" w:color="auto" w:fill="auto"/>
            <w:vAlign w:val="center"/>
            <w:hideMark/>
          </w:tcPr>
          <w:p w14:paraId="56F4C137" w14:textId="77777777" w:rsidR="000823BC" w:rsidRPr="00E21C60" w:rsidRDefault="000823BC" w:rsidP="00EC5EAF">
            <w:pPr>
              <w:jc w:val="right"/>
              <w:rPr>
                <w:rFonts w:ascii="Arial" w:hAnsi="Arial" w:cs="Arial"/>
                <w:color w:val="000000"/>
                <w:sz w:val="16"/>
                <w:szCs w:val="16"/>
              </w:rPr>
            </w:pPr>
            <w:r>
              <w:rPr>
                <w:rFonts w:ascii="Arial" w:hAnsi="Arial" w:cs="Arial"/>
                <w:color w:val="000000"/>
                <w:sz w:val="16"/>
                <w:szCs w:val="16"/>
              </w:rPr>
              <w:t>101788,584</w:t>
            </w:r>
          </w:p>
        </w:tc>
        <w:tc>
          <w:tcPr>
            <w:tcW w:w="1022" w:type="dxa"/>
            <w:tcBorders>
              <w:top w:val="nil"/>
              <w:left w:val="nil"/>
              <w:bottom w:val="single" w:sz="4" w:space="0" w:color="auto"/>
              <w:right w:val="single" w:sz="4" w:space="0" w:color="auto"/>
            </w:tcBorders>
            <w:shd w:val="clear" w:color="000000" w:fill="EBF1DE"/>
            <w:vAlign w:val="center"/>
          </w:tcPr>
          <w:p w14:paraId="06A538F2" w14:textId="42281854"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88,57%</w:t>
            </w:r>
          </w:p>
        </w:tc>
        <w:tc>
          <w:tcPr>
            <w:tcW w:w="1022" w:type="dxa"/>
            <w:tcBorders>
              <w:top w:val="nil"/>
              <w:left w:val="nil"/>
              <w:bottom w:val="single" w:sz="4" w:space="0" w:color="auto"/>
              <w:right w:val="single" w:sz="4" w:space="0" w:color="auto"/>
            </w:tcBorders>
            <w:shd w:val="clear" w:color="auto" w:fill="auto"/>
            <w:vAlign w:val="center"/>
          </w:tcPr>
          <w:p w14:paraId="0B8646DA" w14:textId="173A236A"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105,25%</w:t>
            </w:r>
          </w:p>
        </w:tc>
      </w:tr>
      <w:tr w:rsidR="0008447E" w:rsidRPr="00E21C60" w14:paraId="0ACAB239" w14:textId="77777777" w:rsidTr="0008447E">
        <w:trPr>
          <w:trHeight w:val="1125"/>
        </w:trPr>
        <w:tc>
          <w:tcPr>
            <w:tcW w:w="656" w:type="dxa"/>
            <w:vMerge/>
            <w:tcBorders>
              <w:top w:val="single" w:sz="4" w:space="0" w:color="auto"/>
              <w:left w:val="single" w:sz="4" w:space="0" w:color="auto"/>
              <w:bottom w:val="single" w:sz="4" w:space="0" w:color="auto"/>
              <w:right w:val="single" w:sz="4" w:space="0" w:color="auto"/>
            </w:tcBorders>
            <w:vAlign w:val="center"/>
            <w:hideMark/>
          </w:tcPr>
          <w:p w14:paraId="1F268EDB" w14:textId="77777777" w:rsidR="000823BC" w:rsidRPr="00E21C60" w:rsidRDefault="000823BC" w:rsidP="00EC5EAF">
            <w:pPr>
              <w:rPr>
                <w:rFonts w:ascii="Arial" w:hAnsi="Arial" w:cs="Arial"/>
                <w:color w:val="000000"/>
                <w:sz w:val="16"/>
                <w:szCs w:val="16"/>
              </w:rPr>
            </w:pPr>
          </w:p>
        </w:tc>
        <w:tc>
          <w:tcPr>
            <w:tcW w:w="1568" w:type="dxa"/>
            <w:tcBorders>
              <w:top w:val="nil"/>
              <w:left w:val="nil"/>
              <w:bottom w:val="single" w:sz="4" w:space="0" w:color="auto"/>
              <w:right w:val="single" w:sz="4" w:space="0" w:color="auto"/>
            </w:tcBorders>
            <w:shd w:val="clear" w:color="000000" w:fill="FFFFFF"/>
            <w:vAlign w:val="center"/>
            <w:hideMark/>
          </w:tcPr>
          <w:p w14:paraId="25433171"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Počet vybudovaných alebo zmodernizovaných zariadení na separovaný zber</w:t>
            </w:r>
          </w:p>
        </w:tc>
        <w:tc>
          <w:tcPr>
            <w:tcW w:w="910" w:type="dxa"/>
            <w:tcBorders>
              <w:top w:val="nil"/>
              <w:left w:val="nil"/>
              <w:bottom w:val="single" w:sz="4" w:space="0" w:color="auto"/>
              <w:right w:val="single" w:sz="4" w:space="0" w:color="auto"/>
            </w:tcBorders>
            <w:shd w:val="clear" w:color="000000" w:fill="FFFFFF"/>
            <w:vAlign w:val="center"/>
            <w:hideMark/>
          </w:tcPr>
          <w:p w14:paraId="1DCC7346"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počet</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476F1940"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9</w:t>
            </w:r>
          </w:p>
        </w:tc>
        <w:tc>
          <w:tcPr>
            <w:tcW w:w="922" w:type="dxa"/>
            <w:tcBorders>
              <w:top w:val="nil"/>
              <w:left w:val="single" w:sz="4" w:space="0" w:color="auto"/>
              <w:bottom w:val="single" w:sz="4" w:space="0" w:color="auto"/>
              <w:right w:val="single" w:sz="4" w:space="0" w:color="auto"/>
            </w:tcBorders>
            <w:shd w:val="clear" w:color="000000" w:fill="FFFFFF"/>
            <w:vAlign w:val="center"/>
            <w:hideMark/>
          </w:tcPr>
          <w:p w14:paraId="0C287768"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50</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07798B61" w14:textId="71B4D5BD" w:rsidR="000823BC" w:rsidRPr="00E21C60" w:rsidRDefault="000823BC" w:rsidP="00EC5EAF">
            <w:pPr>
              <w:jc w:val="right"/>
              <w:rPr>
                <w:rFonts w:ascii="Arial" w:hAnsi="Arial" w:cs="Arial"/>
                <w:color w:val="000000"/>
                <w:sz w:val="16"/>
                <w:szCs w:val="16"/>
              </w:rPr>
            </w:pPr>
            <w:r>
              <w:rPr>
                <w:rFonts w:ascii="Arial" w:hAnsi="Arial" w:cs="Arial"/>
                <w:color w:val="000000"/>
                <w:sz w:val="16"/>
                <w:szCs w:val="16"/>
              </w:rPr>
              <w:t>234</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5CE4BD5C" w14:textId="7B455C41" w:rsidR="000823BC" w:rsidRPr="00D509CF" w:rsidRDefault="00301DCD" w:rsidP="00EC5EAF">
            <w:pPr>
              <w:jc w:val="center"/>
              <w:rPr>
                <w:rFonts w:ascii="Arial" w:hAnsi="Arial" w:cs="Arial"/>
                <w:color w:val="000000"/>
                <w:sz w:val="16"/>
                <w:szCs w:val="16"/>
              </w:rPr>
            </w:pPr>
            <w:r>
              <w:rPr>
                <w:rFonts w:ascii="Arial" w:hAnsi="Arial" w:cs="Arial"/>
                <w:color w:val="000000"/>
                <w:sz w:val="16"/>
                <w:szCs w:val="16"/>
              </w:rPr>
              <w:t>234</w:t>
            </w:r>
          </w:p>
        </w:tc>
        <w:tc>
          <w:tcPr>
            <w:tcW w:w="861" w:type="dxa"/>
            <w:tcBorders>
              <w:top w:val="nil"/>
              <w:left w:val="single" w:sz="8" w:space="0" w:color="auto"/>
              <w:bottom w:val="single" w:sz="4" w:space="0" w:color="auto"/>
              <w:right w:val="single" w:sz="4" w:space="0" w:color="auto"/>
            </w:tcBorders>
            <w:shd w:val="clear" w:color="auto" w:fill="auto"/>
            <w:vAlign w:val="center"/>
            <w:hideMark/>
          </w:tcPr>
          <w:p w14:paraId="4E416A4E" w14:textId="77777777" w:rsidR="000823BC" w:rsidRPr="00E21C60" w:rsidRDefault="000823BC" w:rsidP="00EC5EAF">
            <w:pPr>
              <w:jc w:val="right"/>
              <w:rPr>
                <w:rFonts w:ascii="Arial" w:hAnsi="Arial" w:cs="Arial"/>
                <w:color w:val="000000"/>
                <w:sz w:val="16"/>
                <w:szCs w:val="16"/>
              </w:rPr>
            </w:pPr>
            <w:r>
              <w:rPr>
                <w:rFonts w:ascii="Arial" w:hAnsi="Arial" w:cs="Arial"/>
                <w:color w:val="000000"/>
                <w:sz w:val="16"/>
                <w:szCs w:val="16"/>
              </w:rPr>
              <w:t>236</w:t>
            </w:r>
          </w:p>
        </w:tc>
        <w:tc>
          <w:tcPr>
            <w:tcW w:w="1022" w:type="dxa"/>
            <w:tcBorders>
              <w:top w:val="nil"/>
              <w:left w:val="nil"/>
              <w:bottom w:val="single" w:sz="4" w:space="0" w:color="auto"/>
              <w:right w:val="single" w:sz="4" w:space="0" w:color="auto"/>
            </w:tcBorders>
            <w:shd w:val="clear" w:color="000000" w:fill="EBF1DE"/>
            <w:vAlign w:val="center"/>
          </w:tcPr>
          <w:p w14:paraId="3E982427" w14:textId="2EF11FB4" w:rsidR="000823BC" w:rsidRPr="00E21C60" w:rsidRDefault="000823BC" w:rsidP="00301DCD">
            <w:pPr>
              <w:jc w:val="center"/>
              <w:rPr>
                <w:rFonts w:ascii="Arial" w:hAnsi="Arial" w:cs="Arial"/>
                <w:color w:val="000000"/>
                <w:sz w:val="16"/>
                <w:szCs w:val="16"/>
              </w:rPr>
            </w:pPr>
            <w:r>
              <w:rPr>
                <w:rFonts w:ascii="Arial" w:hAnsi="Arial" w:cs="Arial"/>
                <w:color w:val="000000"/>
                <w:sz w:val="16"/>
                <w:szCs w:val="16"/>
              </w:rPr>
              <w:t>57</w:t>
            </w:r>
            <w:r w:rsidR="00301DCD">
              <w:rPr>
                <w:rFonts w:ascii="Arial" w:hAnsi="Arial" w:cs="Arial"/>
                <w:color w:val="000000"/>
                <w:sz w:val="16"/>
                <w:szCs w:val="16"/>
              </w:rPr>
              <w:t>0,73</w:t>
            </w:r>
            <w:r>
              <w:rPr>
                <w:rFonts w:ascii="Arial" w:hAnsi="Arial" w:cs="Arial"/>
                <w:color w:val="000000"/>
                <w:sz w:val="16"/>
                <w:szCs w:val="16"/>
              </w:rPr>
              <w:t>%</w:t>
            </w:r>
          </w:p>
        </w:tc>
        <w:tc>
          <w:tcPr>
            <w:tcW w:w="1022" w:type="dxa"/>
            <w:tcBorders>
              <w:top w:val="nil"/>
              <w:left w:val="nil"/>
              <w:bottom w:val="single" w:sz="4" w:space="0" w:color="auto"/>
              <w:right w:val="single" w:sz="4" w:space="0" w:color="auto"/>
            </w:tcBorders>
            <w:shd w:val="clear" w:color="auto" w:fill="auto"/>
            <w:vAlign w:val="center"/>
          </w:tcPr>
          <w:p w14:paraId="6DAFC2A2" w14:textId="77071E89"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575,61%</w:t>
            </w:r>
          </w:p>
        </w:tc>
      </w:tr>
      <w:tr w:rsidR="0008447E" w:rsidRPr="00E21C60" w14:paraId="2ED18981" w14:textId="77777777" w:rsidTr="0008447E">
        <w:trPr>
          <w:trHeight w:val="900"/>
        </w:trPr>
        <w:tc>
          <w:tcPr>
            <w:tcW w:w="656" w:type="dxa"/>
            <w:vMerge w:val="restart"/>
            <w:tcBorders>
              <w:top w:val="nil"/>
              <w:left w:val="single" w:sz="4" w:space="0" w:color="auto"/>
              <w:bottom w:val="single" w:sz="4" w:space="0" w:color="auto"/>
              <w:right w:val="single" w:sz="4" w:space="0" w:color="auto"/>
            </w:tcBorders>
            <w:shd w:val="clear" w:color="000000" w:fill="FFFFFF"/>
            <w:vAlign w:val="center"/>
            <w:hideMark/>
          </w:tcPr>
          <w:p w14:paraId="1D23E171"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4.2</w:t>
            </w:r>
          </w:p>
        </w:tc>
        <w:tc>
          <w:tcPr>
            <w:tcW w:w="1568" w:type="dxa"/>
            <w:tcBorders>
              <w:top w:val="nil"/>
              <w:left w:val="nil"/>
              <w:bottom w:val="single" w:sz="4" w:space="0" w:color="auto"/>
              <w:right w:val="single" w:sz="4" w:space="0" w:color="auto"/>
            </w:tcBorders>
            <w:shd w:val="clear" w:color="000000" w:fill="FFFFFF"/>
            <w:vAlign w:val="center"/>
            <w:hideMark/>
          </w:tcPr>
          <w:p w14:paraId="048C7064"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Množstvo materiálovo zhodnotených odpadov (spolu za projekty)</w:t>
            </w:r>
          </w:p>
        </w:tc>
        <w:tc>
          <w:tcPr>
            <w:tcW w:w="910" w:type="dxa"/>
            <w:tcBorders>
              <w:top w:val="nil"/>
              <w:left w:val="nil"/>
              <w:bottom w:val="single" w:sz="4" w:space="0" w:color="auto"/>
              <w:right w:val="single" w:sz="4" w:space="0" w:color="auto"/>
            </w:tcBorders>
            <w:shd w:val="clear" w:color="000000" w:fill="FFFFFF"/>
            <w:vAlign w:val="center"/>
            <w:hideMark/>
          </w:tcPr>
          <w:p w14:paraId="1AC0529E"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t/rok</w:t>
            </w:r>
          </w:p>
        </w:tc>
        <w:tc>
          <w:tcPr>
            <w:tcW w:w="850" w:type="dxa"/>
            <w:tcBorders>
              <w:top w:val="single" w:sz="4" w:space="0" w:color="auto"/>
              <w:left w:val="nil"/>
              <w:bottom w:val="single" w:sz="4" w:space="0" w:color="auto"/>
              <w:right w:val="single" w:sz="4" w:space="0" w:color="auto"/>
            </w:tcBorders>
            <w:vAlign w:val="center"/>
          </w:tcPr>
          <w:p w14:paraId="5F2E4A44"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105000</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DE40EDD"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198 590</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011AE6F1" w14:textId="4178AADF" w:rsidR="000823BC" w:rsidRPr="00E21C60" w:rsidRDefault="000823BC" w:rsidP="00EC5EAF">
            <w:pPr>
              <w:jc w:val="right"/>
              <w:rPr>
                <w:rFonts w:ascii="Arial" w:hAnsi="Arial" w:cs="Arial"/>
                <w:color w:val="000000"/>
                <w:sz w:val="16"/>
                <w:szCs w:val="16"/>
              </w:rPr>
            </w:pPr>
            <w:r w:rsidRPr="009A4F25">
              <w:rPr>
                <w:rFonts w:ascii="Arial" w:hAnsi="Arial" w:cs="Arial"/>
                <w:color w:val="000000"/>
                <w:sz w:val="16"/>
                <w:szCs w:val="16"/>
              </w:rPr>
              <w:t>654994,39</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001A56F0" w14:textId="77777777" w:rsidR="000823BC" w:rsidRPr="00D509CF" w:rsidRDefault="000823BC" w:rsidP="00EC5EAF">
            <w:pPr>
              <w:jc w:val="center"/>
              <w:rPr>
                <w:rFonts w:ascii="Arial" w:hAnsi="Arial" w:cs="Arial"/>
                <w:color w:val="000000"/>
                <w:sz w:val="16"/>
                <w:szCs w:val="16"/>
              </w:rPr>
            </w:pPr>
            <w:r>
              <w:rPr>
                <w:rFonts w:ascii="Arial" w:hAnsi="Arial" w:cs="Arial"/>
                <w:color w:val="000000"/>
                <w:sz w:val="16"/>
                <w:szCs w:val="16"/>
              </w:rPr>
              <w:t>668986,54</w:t>
            </w:r>
          </w:p>
        </w:tc>
        <w:tc>
          <w:tcPr>
            <w:tcW w:w="861" w:type="dxa"/>
            <w:tcBorders>
              <w:top w:val="nil"/>
              <w:left w:val="single" w:sz="8" w:space="0" w:color="auto"/>
              <w:bottom w:val="single" w:sz="4" w:space="0" w:color="auto"/>
              <w:right w:val="single" w:sz="4" w:space="0" w:color="auto"/>
            </w:tcBorders>
            <w:shd w:val="clear" w:color="auto" w:fill="auto"/>
            <w:vAlign w:val="center"/>
            <w:hideMark/>
          </w:tcPr>
          <w:p w14:paraId="0D85EF30" w14:textId="77777777" w:rsidR="000823BC" w:rsidRPr="00E21C60" w:rsidRDefault="000823BC" w:rsidP="00EC5EAF">
            <w:pPr>
              <w:jc w:val="right"/>
              <w:rPr>
                <w:rFonts w:ascii="Arial" w:hAnsi="Arial" w:cs="Arial"/>
                <w:color w:val="000000"/>
                <w:sz w:val="16"/>
                <w:szCs w:val="16"/>
              </w:rPr>
            </w:pPr>
            <w:r>
              <w:rPr>
                <w:rFonts w:ascii="Arial" w:hAnsi="Arial" w:cs="Arial"/>
                <w:color w:val="000000"/>
                <w:sz w:val="16"/>
                <w:szCs w:val="16"/>
              </w:rPr>
              <w:t>858533,524</w:t>
            </w:r>
          </w:p>
        </w:tc>
        <w:tc>
          <w:tcPr>
            <w:tcW w:w="1022" w:type="dxa"/>
            <w:tcBorders>
              <w:top w:val="nil"/>
              <w:left w:val="nil"/>
              <w:bottom w:val="single" w:sz="4" w:space="0" w:color="auto"/>
              <w:right w:val="single" w:sz="4" w:space="0" w:color="auto"/>
            </w:tcBorders>
            <w:shd w:val="clear" w:color="000000" w:fill="EBF1DE"/>
            <w:vAlign w:val="center"/>
          </w:tcPr>
          <w:p w14:paraId="6635B3AD" w14:textId="672B6FFE"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714,81%</w:t>
            </w:r>
          </w:p>
        </w:tc>
        <w:tc>
          <w:tcPr>
            <w:tcW w:w="1022" w:type="dxa"/>
            <w:tcBorders>
              <w:top w:val="nil"/>
              <w:left w:val="nil"/>
              <w:bottom w:val="single" w:sz="4" w:space="0" w:color="auto"/>
              <w:right w:val="single" w:sz="4" w:space="0" w:color="auto"/>
            </w:tcBorders>
            <w:shd w:val="clear" w:color="auto" w:fill="auto"/>
            <w:vAlign w:val="center"/>
          </w:tcPr>
          <w:p w14:paraId="353AE0DF" w14:textId="087457A4"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917,33%</w:t>
            </w:r>
          </w:p>
        </w:tc>
      </w:tr>
      <w:tr w:rsidR="0008447E" w:rsidRPr="00E21C60" w14:paraId="4FAE5442" w14:textId="77777777" w:rsidTr="0008447E">
        <w:trPr>
          <w:trHeight w:val="1575"/>
        </w:trPr>
        <w:tc>
          <w:tcPr>
            <w:tcW w:w="656" w:type="dxa"/>
            <w:vMerge/>
            <w:tcBorders>
              <w:top w:val="nil"/>
              <w:left w:val="single" w:sz="4" w:space="0" w:color="auto"/>
              <w:bottom w:val="single" w:sz="4" w:space="0" w:color="auto"/>
              <w:right w:val="single" w:sz="4" w:space="0" w:color="auto"/>
            </w:tcBorders>
            <w:vAlign w:val="center"/>
            <w:hideMark/>
          </w:tcPr>
          <w:p w14:paraId="3794E012" w14:textId="77777777" w:rsidR="000823BC" w:rsidRPr="00E21C60" w:rsidRDefault="000823BC" w:rsidP="00EC5EAF">
            <w:pPr>
              <w:rPr>
                <w:rFonts w:ascii="Arial" w:hAnsi="Arial" w:cs="Arial"/>
                <w:color w:val="000000"/>
                <w:sz w:val="16"/>
                <w:szCs w:val="16"/>
              </w:rPr>
            </w:pPr>
          </w:p>
        </w:tc>
        <w:tc>
          <w:tcPr>
            <w:tcW w:w="1568" w:type="dxa"/>
            <w:tcBorders>
              <w:top w:val="single" w:sz="4" w:space="0" w:color="auto"/>
              <w:left w:val="nil"/>
              <w:bottom w:val="single" w:sz="4" w:space="0" w:color="auto"/>
              <w:right w:val="single" w:sz="4" w:space="0" w:color="auto"/>
            </w:tcBorders>
            <w:shd w:val="clear" w:color="000000" w:fill="FFFFFF"/>
            <w:vAlign w:val="center"/>
            <w:hideMark/>
          </w:tcPr>
          <w:p w14:paraId="6564F3F2"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Počet vybudovaných alebo zmodernizovaných zariadení na materiálové zhodnocovanie odpadov</w:t>
            </w:r>
          </w:p>
        </w:tc>
        <w:tc>
          <w:tcPr>
            <w:tcW w:w="910" w:type="dxa"/>
            <w:tcBorders>
              <w:top w:val="single" w:sz="4" w:space="0" w:color="auto"/>
              <w:left w:val="nil"/>
              <w:bottom w:val="single" w:sz="4" w:space="0" w:color="auto"/>
              <w:right w:val="single" w:sz="4" w:space="0" w:color="auto"/>
            </w:tcBorders>
            <w:shd w:val="clear" w:color="000000" w:fill="FFFFFF"/>
            <w:vAlign w:val="center"/>
            <w:hideMark/>
          </w:tcPr>
          <w:p w14:paraId="6CEF69D9"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počet</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37BC88FE"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12</w:t>
            </w:r>
          </w:p>
        </w:tc>
        <w:tc>
          <w:tcPr>
            <w:tcW w:w="92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6E045F9"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42</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74E94928" w14:textId="4D40068D" w:rsidR="000823BC" w:rsidRPr="00E21C60" w:rsidRDefault="000823BC" w:rsidP="00EC5EAF">
            <w:pPr>
              <w:jc w:val="right"/>
              <w:rPr>
                <w:rFonts w:ascii="Arial" w:hAnsi="Arial" w:cs="Arial"/>
                <w:color w:val="000000"/>
                <w:sz w:val="16"/>
                <w:szCs w:val="16"/>
              </w:rPr>
            </w:pPr>
            <w:r>
              <w:rPr>
                <w:rFonts w:ascii="Arial" w:hAnsi="Arial" w:cs="Arial"/>
                <w:color w:val="000000"/>
                <w:sz w:val="16"/>
                <w:szCs w:val="16"/>
              </w:rPr>
              <w:t>119</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34A86C5B" w14:textId="77777777" w:rsidR="000823BC" w:rsidRPr="00D509CF" w:rsidRDefault="000823BC" w:rsidP="00EC5EAF">
            <w:pPr>
              <w:jc w:val="center"/>
              <w:rPr>
                <w:rFonts w:ascii="Arial" w:hAnsi="Arial" w:cs="Arial"/>
                <w:color w:val="000000"/>
                <w:sz w:val="16"/>
                <w:szCs w:val="16"/>
              </w:rPr>
            </w:pPr>
            <w:r>
              <w:rPr>
                <w:rFonts w:ascii="Arial" w:hAnsi="Arial" w:cs="Arial"/>
                <w:color w:val="000000"/>
                <w:sz w:val="16"/>
                <w:szCs w:val="16"/>
              </w:rPr>
              <w:t>119</w:t>
            </w:r>
          </w:p>
        </w:tc>
        <w:tc>
          <w:tcPr>
            <w:tcW w:w="861" w:type="dxa"/>
            <w:tcBorders>
              <w:top w:val="single" w:sz="4" w:space="0" w:color="auto"/>
              <w:left w:val="single" w:sz="8" w:space="0" w:color="auto"/>
              <w:bottom w:val="single" w:sz="4" w:space="0" w:color="auto"/>
              <w:right w:val="single" w:sz="4" w:space="0" w:color="auto"/>
            </w:tcBorders>
            <w:shd w:val="clear" w:color="000000" w:fill="FFFFFF"/>
            <w:vAlign w:val="center"/>
            <w:hideMark/>
          </w:tcPr>
          <w:p w14:paraId="3C51BD65" w14:textId="77777777" w:rsidR="000823BC" w:rsidRPr="00E21C60" w:rsidRDefault="000823BC" w:rsidP="00EC5EAF">
            <w:pPr>
              <w:jc w:val="right"/>
              <w:rPr>
                <w:rFonts w:ascii="Arial" w:hAnsi="Arial" w:cs="Arial"/>
                <w:color w:val="000000"/>
                <w:sz w:val="16"/>
                <w:szCs w:val="16"/>
              </w:rPr>
            </w:pPr>
            <w:r>
              <w:rPr>
                <w:rFonts w:ascii="Arial" w:hAnsi="Arial" w:cs="Arial"/>
                <w:color w:val="000000"/>
                <w:sz w:val="16"/>
                <w:szCs w:val="16"/>
              </w:rPr>
              <w:t>119</w:t>
            </w:r>
          </w:p>
        </w:tc>
        <w:tc>
          <w:tcPr>
            <w:tcW w:w="1022" w:type="dxa"/>
            <w:tcBorders>
              <w:top w:val="single" w:sz="4" w:space="0" w:color="auto"/>
              <w:left w:val="nil"/>
              <w:bottom w:val="single" w:sz="4" w:space="0" w:color="auto"/>
              <w:right w:val="single" w:sz="4" w:space="0" w:color="auto"/>
            </w:tcBorders>
            <w:shd w:val="clear" w:color="000000" w:fill="EBF1DE"/>
            <w:vAlign w:val="center"/>
          </w:tcPr>
          <w:p w14:paraId="26DB9978" w14:textId="7252E56C"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396,67%</w:t>
            </w:r>
          </w:p>
        </w:tc>
        <w:tc>
          <w:tcPr>
            <w:tcW w:w="1022" w:type="dxa"/>
            <w:tcBorders>
              <w:top w:val="single" w:sz="4" w:space="0" w:color="auto"/>
              <w:left w:val="nil"/>
              <w:bottom w:val="single" w:sz="4" w:space="0" w:color="auto"/>
              <w:right w:val="single" w:sz="4" w:space="0" w:color="auto"/>
            </w:tcBorders>
            <w:shd w:val="clear" w:color="auto" w:fill="auto"/>
            <w:vAlign w:val="center"/>
          </w:tcPr>
          <w:p w14:paraId="519B58E6" w14:textId="71385EEF"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396,67%</w:t>
            </w:r>
          </w:p>
        </w:tc>
      </w:tr>
      <w:tr w:rsidR="0008447E" w:rsidRPr="00E21C60" w14:paraId="6E40ECF3" w14:textId="77777777" w:rsidTr="0008447E">
        <w:trPr>
          <w:trHeight w:val="900"/>
        </w:trPr>
        <w:tc>
          <w:tcPr>
            <w:tcW w:w="656" w:type="dxa"/>
            <w:vMerge/>
            <w:tcBorders>
              <w:top w:val="nil"/>
              <w:left w:val="single" w:sz="4" w:space="0" w:color="auto"/>
              <w:bottom w:val="single" w:sz="4" w:space="0" w:color="auto"/>
              <w:right w:val="single" w:sz="4" w:space="0" w:color="auto"/>
            </w:tcBorders>
            <w:vAlign w:val="center"/>
            <w:hideMark/>
          </w:tcPr>
          <w:p w14:paraId="6DE3469C" w14:textId="77777777" w:rsidR="000823BC" w:rsidRPr="00E21C60" w:rsidRDefault="000823BC" w:rsidP="00EC5EAF">
            <w:pPr>
              <w:rPr>
                <w:rFonts w:ascii="Arial" w:hAnsi="Arial" w:cs="Arial"/>
                <w:color w:val="000000"/>
                <w:sz w:val="16"/>
                <w:szCs w:val="16"/>
              </w:rPr>
            </w:pPr>
          </w:p>
        </w:tc>
        <w:tc>
          <w:tcPr>
            <w:tcW w:w="1568" w:type="dxa"/>
            <w:tcBorders>
              <w:top w:val="nil"/>
              <w:left w:val="nil"/>
              <w:bottom w:val="single" w:sz="4" w:space="0" w:color="auto"/>
              <w:right w:val="single" w:sz="4" w:space="0" w:color="auto"/>
            </w:tcBorders>
            <w:shd w:val="clear" w:color="000000" w:fill="FFFFFF"/>
            <w:vAlign w:val="center"/>
            <w:hideMark/>
          </w:tcPr>
          <w:p w14:paraId="4318B852"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Množstvo energeticky zhodnotených odpadov (spolu za projekty)</w:t>
            </w:r>
          </w:p>
        </w:tc>
        <w:tc>
          <w:tcPr>
            <w:tcW w:w="910" w:type="dxa"/>
            <w:tcBorders>
              <w:top w:val="nil"/>
              <w:left w:val="nil"/>
              <w:bottom w:val="single" w:sz="4" w:space="0" w:color="auto"/>
              <w:right w:val="single" w:sz="4" w:space="0" w:color="auto"/>
            </w:tcBorders>
            <w:shd w:val="clear" w:color="000000" w:fill="FFFFFF"/>
            <w:vAlign w:val="center"/>
            <w:hideMark/>
          </w:tcPr>
          <w:p w14:paraId="2663FFFA"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t/rok</w:t>
            </w:r>
          </w:p>
        </w:tc>
        <w:tc>
          <w:tcPr>
            <w:tcW w:w="850" w:type="dxa"/>
            <w:tcBorders>
              <w:top w:val="single" w:sz="4" w:space="0" w:color="auto"/>
              <w:left w:val="nil"/>
              <w:bottom w:val="single" w:sz="4" w:space="0" w:color="auto"/>
              <w:right w:val="single" w:sz="4" w:space="0" w:color="auto"/>
            </w:tcBorders>
            <w:vAlign w:val="center"/>
          </w:tcPr>
          <w:p w14:paraId="655FD9A8"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2040</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92DF8F2"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46 926</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63B41981" w14:textId="2C482B63" w:rsidR="000823BC" w:rsidRPr="00E21C60" w:rsidRDefault="000823BC" w:rsidP="00EC5EAF">
            <w:pPr>
              <w:jc w:val="right"/>
              <w:rPr>
                <w:rFonts w:ascii="Arial" w:hAnsi="Arial" w:cs="Arial"/>
                <w:color w:val="000000"/>
                <w:sz w:val="16"/>
                <w:szCs w:val="16"/>
              </w:rPr>
            </w:pPr>
            <w:r w:rsidRPr="009A4F25">
              <w:rPr>
                <w:rFonts w:ascii="Arial" w:hAnsi="Arial" w:cs="Arial"/>
                <w:color w:val="000000"/>
                <w:sz w:val="16"/>
                <w:szCs w:val="16"/>
              </w:rPr>
              <w:t>82</w:t>
            </w:r>
            <w:r>
              <w:rPr>
                <w:rFonts w:ascii="Arial" w:hAnsi="Arial" w:cs="Arial"/>
                <w:color w:val="000000"/>
                <w:sz w:val="16"/>
                <w:szCs w:val="16"/>
              </w:rPr>
              <w:t xml:space="preserve"> </w:t>
            </w:r>
            <w:r w:rsidRPr="009A4F25">
              <w:rPr>
                <w:rFonts w:ascii="Arial" w:hAnsi="Arial" w:cs="Arial"/>
                <w:color w:val="000000"/>
                <w:sz w:val="16"/>
                <w:szCs w:val="16"/>
              </w:rPr>
              <w:t>470</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0F434F8B" w14:textId="77777777" w:rsidR="000823BC" w:rsidRPr="00D509CF" w:rsidRDefault="000823BC" w:rsidP="00EC5EAF">
            <w:pPr>
              <w:jc w:val="center"/>
              <w:rPr>
                <w:rFonts w:ascii="Arial" w:hAnsi="Arial" w:cs="Arial"/>
                <w:color w:val="000000"/>
                <w:sz w:val="16"/>
                <w:szCs w:val="16"/>
              </w:rPr>
            </w:pPr>
            <w:r>
              <w:rPr>
                <w:rFonts w:ascii="Arial" w:hAnsi="Arial" w:cs="Arial"/>
                <w:color w:val="000000"/>
                <w:sz w:val="16"/>
                <w:szCs w:val="16"/>
              </w:rPr>
              <w:t>50688</w:t>
            </w:r>
          </w:p>
        </w:tc>
        <w:tc>
          <w:tcPr>
            <w:tcW w:w="861" w:type="dxa"/>
            <w:tcBorders>
              <w:top w:val="nil"/>
              <w:left w:val="single" w:sz="8" w:space="0" w:color="auto"/>
              <w:bottom w:val="single" w:sz="4" w:space="0" w:color="auto"/>
              <w:right w:val="single" w:sz="4" w:space="0" w:color="auto"/>
            </w:tcBorders>
            <w:shd w:val="clear" w:color="000000" w:fill="FFFFFF"/>
            <w:vAlign w:val="center"/>
            <w:hideMark/>
          </w:tcPr>
          <w:p w14:paraId="244F4DA2" w14:textId="77777777" w:rsidR="000823BC" w:rsidRPr="00E21C60" w:rsidRDefault="000823BC" w:rsidP="00EC5EAF">
            <w:pPr>
              <w:jc w:val="right"/>
              <w:rPr>
                <w:rFonts w:ascii="Arial" w:hAnsi="Arial" w:cs="Arial"/>
                <w:color w:val="000000"/>
                <w:sz w:val="16"/>
                <w:szCs w:val="16"/>
              </w:rPr>
            </w:pPr>
            <w:r w:rsidRPr="00D509CF">
              <w:rPr>
                <w:rFonts w:ascii="Arial" w:hAnsi="Arial" w:cs="Arial"/>
                <w:color w:val="000000"/>
                <w:sz w:val="16"/>
                <w:szCs w:val="16"/>
              </w:rPr>
              <w:t>160</w:t>
            </w:r>
            <w:r>
              <w:rPr>
                <w:rFonts w:ascii="Arial" w:hAnsi="Arial" w:cs="Arial"/>
                <w:color w:val="000000"/>
                <w:sz w:val="16"/>
                <w:szCs w:val="16"/>
              </w:rPr>
              <w:t> </w:t>
            </w:r>
            <w:r w:rsidRPr="00D509CF">
              <w:rPr>
                <w:rFonts w:ascii="Arial" w:hAnsi="Arial" w:cs="Arial"/>
                <w:color w:val="000000"/>
                <w:sz w:val="16"/>
                <w:szCs w:val="16"/>
              </w:rPr>
              <w:t>156</w:t>
            </w:r>
            <w:r>
              <w:rPr>
                <w:rFonts w:ascii="Arial" w:hAnsi="Arial" w:cs="Arial"/>
                <w:color w:val="000000"/>
                <w:sz w:val="16"/>
                <w:szCs w:val="16"/>
              </w:rPr>
              <w:t>,11</w:t>
            </w:r>
          </w:p>
        </w:tc>
        <w:tc>
          <w:tcPr>
            <w:tcW w:w="1022" w:type="dxa"/>
            <w:tcBorders>
              <w:top w:val="nil"/>
              <w:left w:val="nil"/>
              <w:bottom w:val="single" w:sz="4" w:space="0" w:color="auto"/>
              <w:right w:val="single" w:sz="4" w:space="0" w:color="auto"/>
            </w:tcBorders>
            <w:shd w:val="clear" w:color="000000" w:fill="EBF1DE"/>
            <w:vAlign w:val="center"/>
          </w:tcPr>
          <w:p w14:paraId="1161F3EE" w14:textId="1A9EFD06"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112,93%</w:t>
            </w:r>
          </w:p>
        </w:tc>
        <w:tc>
          <w:tcPr>
            <w:tcW w:w="1022" w:type="dxa"/>
            <w:tcBorders>
              <w:top w:val="nil"/>
              <w:left w:val="nil"/>
              <w:bottom w:val="single" w:sz="4" w:space="0" w:color="auto"/>
              <w:right w:val="single" w:sz="4" w:space="0" w:color="auto"/>
            </w:tcBorders>
            <w:shd w:val="clear" w:color="auto" w:fill="auto"/>
            <w:vAlign w:val="center"/>
          </w:tcPr>
          <w:p w14:paraId="75D7AE26" w14:textId="605D8EF1"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356,81%</w:t>
            </w:r>
          </w:p>
        </w:tc>
      </w:tr>
      <w:tr w:rsidR="0008447E" w:rsidRPr="00E21C60" w14:paraId="03C5CCF5" w14:textId="77777777" w:rsidTr="0008447E">
        <w:trPr>
          <w:trHeight w:val="1575"/>
        </w:trPr>
        <w:tc>
          <w:tcPr>
            <w:tcW w:w="656" w:type="dxa"/>
            <w:vMerge/>
            <w:tcBorders>
              <w:top w:val="nil"/>
              <w:left w:val="single" w:sz="4" w:space="0" w:color="auto"/>
              <w:bottom w:val="single" w:sz="4" w:space="0" w:color="auto"/>
              <w:right w:val="single" w:sz="4" w:space="0" w:color="auto"/>
            </w:tcBorders>
            <w:vAlign w:val="center"/>
            <w:hideMark/>
          </w:tcPr>
          <w:p w14:paraId="4BCF1DF0" w14:textId="77777777" w:rsidR="000823BC" w:rsidRPr="00E21C60" w:rsidRDefault="000823BC" w:rsidP="00EC5EAF">
            <w:pPr>
              <w:rPr>
                <w:rFonts w:ascii="Arial" w:hAnsi="Arial" w:cs="Arial"/>
                <w:color w:val="000000"/>
                <w:sz w:val="16"/>
                <w:szCs w:val="16"/>
              </w:rPr>
            </w:pPr>
          </w:p>
        </w:tc>
        <w:tc>
          <w:tcPr>
            <w:tcW w:w="1568" w:type="dxa"/>
            <w:tcBorders>
              <w:top w:val="nil"/>
              <w:left w:val="nil"/>
              <w:bottom w:val="single" w:sz="4" w:space="0" w:color="auto"/>
              <w:right w:val="single" w:sz="4" w:space="0" w:color="auto"/>
            </w:tcBorders>
            <w:shd w:val="clear" w:color="000000" w:fill="FFFFFF"/>
            <w:vAlign w:val="center"/>
            <w:hideMark/>
          </w:tcPr>
          <w:p w14:paraId="63BC5D2C"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Počet vybudovaných alebo zmodernizovaných zariadení na energetické zhodnocovanie odpadov</w:t>
            </w:r>
          </w:p>
        </w:tc>
        <w:tc>
          <w:tcPr>
            <w:tcW w:w="910" w:type="dxa"/>
            <w:tcBorders>
              <w:top w:val="nil"/>
              <w:left w:val="nil"/>
              <w:bottom w:val="single" w:sz="4" w:space="0" w:color="auto"/>
              <w:right w:val="single" w:sz="4" w:space="0" w:color="auto"/>
            </w:tcBorders>
            <w:shd w:val="clear" w:color="000000" w:fill="FFFFFF"/>
            <w:vAlign w:val="center"/>
            <w:hideMark/>
          </w:tcPr>
          <w:p w14:paraId="4C4F4AC8"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počet</w:t>
            </w:r>
          </w:p>
        </w:tc>
        <w:tc>
          <w:tcPr>
            <w:tcW w:w="850" w:type="dxa"/>
            <w:tcBorders>
              <w:top w:val="single" w:sz="4" w:space="0" w:color="auto"/>
              <w:left w:val="nil"/>
              <w:bottom w:val="single" w:sz="4" w:space="0" w:color="auto"/>
              <w:right w:val="single" w:sz="4" w:space="0" w:color="auto"/>
            </w:tcBorders>
            <w:vAlign w:val="center"/>
          </w:tcPr>
          <w:p w14:paraId="18F4C6C8"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3</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7A9E42"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12</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5815F4E9" w14:textId="67B53879" w:rsidR="000823BC" w:rsidRPr="00E21C60" w:rsidRDefault="000823BC" w:rsidP="00EC5EAF">
            <w:pPr>
              <w:jc w:val="right"/>
              <w:rPr>
                <w:rFonts w:ascii="Arial" w:hAnsi="Arial" w:cs="Arial"/>
                <w:color w:val="000000"/>
                <w:sz w:val="16"/>
                <w:szCs w:val="16"/>
              </w:rPr>
            </w:pPr>
            <w:r>
              <w:rPr>
                <w:rFonts w:ascii="Arial" w:hAnsi="Arial" w:cs="Arial"/>
                <w:color w:val="000000"/>
                <w:sz w:val="16"/>
                <w:szCs w:val="16"/>
              </w:rPr>
              <w:t>6</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5D616B8E" w14:textId="77777777" w:rsidR="000823BC" w:rsidRPr="00D509CF" w:rsidRDefault="000823BC" w:rsidP="00EC5EAF">
            <w:pPr>
              <w:jc w:val="center"/>
              <w:rPr>
                <w:rFonts w:ascii="Arial" w:hAnsi="Arial" w:cs="Arial"/>
                <w:color w:val="000000"/>
                <w:sz w:val="16"/>
                <w:szCs w:val="16"/>
              </w:rPr>
            </w:pPr>
            <w:r>
              <w:rPr>
                <w:rFonts w:ascii="Arial" w:hAnsi="Arial" w:cs="Arial"/>
                <w:color w:val="000000"/>
                <w:sz w:val="16"/>
                <w:szCs w:val="16"/>
              </w:rPr>
              <w:t>6</w:t>
            </w:r>
          </w:p>
        </w:tc>
        <w:tc>
          <w:tcPr>
            <w:tcW w:w="861" w:type="dxa"/>
            <w:tcBorders>
              <w:top w:val="nil"/>
              <w:left w:val="single" w:sz="8" w:space="0" w:color="auto"/>
              <w:bottom w:val="single" w:sz="4" w:space="0" w:color="auto"/>
              <w:right w:val="single" w:sz="4" w:space="0" w:color="auto"/>
            </w:tcBorders>
            <w:shd w:val="clear" w:color="000000" w:fill="FFFFFF"/>
            <w:vAlign w:val="center"/>
            <w:hideMark/>
          </w:tcPr>
          <w:p w14:paraId="7D6814E1" w14:textId="77777777" w:rsidR="000823BC" w:rsidRPr="00E21C60" w:rsidRDefault="000823BC" w:rsidP="00EC5EAF">
            <w:pPr>
              <w:jc w:val="right"/>
              <w:rPr>
                <w:rFonts w:ascii="Arial" w:hAnsi="Arial" w:cs="Arial"/>
                <w:color w:val="000000"/>
                <w:sz w:val="16"/>
                <w:szCs w:val="16"/>
              </w:rPr>
            </w:pPr>
            <w:r w:rsidRPr="00D509CF">
              <w:rPr>
                <w:rFonts w:ascii="Arial" w:hAnsi="Arial" w:cs="Arial"/>
                <w:color w:val="000000"/>
                <w:sz w:val="16"/>
                <w:szCs w:val="16"/>
              </w:rPr>
              <w:t>6</w:t>
            </w:r>
          </w:p>
        </w:tc>
        <w:tc>
          <w:tcPr>
            <w:tcW w:w="1022" w:type="dxa"/>
            <w:tcBorders>
              <w:top w:val="nil"/>
              <w:left w:val="nil"/>
              <w:bottom w:val="single" w:sz="4" w:space="0" w:color="auto"/>
              <w:right w:val="single" w:sz="4" w:space="0" w:color="auto"/>
            </w:tcBorders>
            <w:shd w:val="clear" w:color="000000" w:fill="EBF1DE"/>
            <w:vAlign w:val="center"/>
          </w:tcPr>
          <w:p w14:paraId="1CF5E3F7" w14:textId="0041A37F"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66,67%</w:t>
            </w:r>
          </w:p>
        </w:tc>
        <w:tc>
          <w:tcPr>
            <w:tcW w:w="1022" w:type="dxa"/>
            <w:tcBorders>
              <w:top w:val="nil"/>
              <w:left w:val="nil"/>
              <w:bottom w:val="single" w:sz="4" w:space="0" w:color="auto"/>
              <w:right w:val="single" w:sz="4" w:space="0" w:color="auto"/>
            </w:tcBorders>
            <w:shd w:val="clear" w:color="auto" w:fill="auto"/>
            <w:vAlign w:val="center"/>
          </w:tcPr>
          <w:p w14:paraId="203747AF" w14:textId="712A00D9"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66,67%</w:t>
            </w:r>
          </w:p>
        </w:tc>
      </w:tr>
      <w:tr w:rsidR="0008447E" w:rsidRPr="00E21C60" w14:paraId="38B9F3C0" w14:textId="77777777" w:rsidTr="0008447E">
        <w:trPr>
          <w:trHeight w:val="1350"/>
        </w:trPr>
        <w:tc>
          <w:tcPr>
            <w:tcW w:w="656" w:type="dxa"/>
            <w:vMerge w:val="restart"/>
            <w:tcBorders>
              <w:top w:val="nil"/>
              <w:left w:val="single" w:sz="4" w:space="0" w:color="auto"/>
              <w:bottom w:val="single" w:sz="4" w:space="0" w:color="auto"/>
              <w:right w:val="single" w:sz="4" w:space="0" w:color="auto"/>
            </w:tcBorders>
            <w:shd w:val="clear" w:color="000000" w:fill="FFFFFF"/>
            <w:vAlign w:val="center"/>
            <w:hideMark/>
          </w:tcPr>
          <w:p w14:paraId="56549850"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4.3</w:t>
            </w:r>
          </w:p>
        </w:tc>
        <w:tc>
          <w:tcPr>
            <w:tcW w:w="1568" w:type="dxa"/>
            <w:tcBorders>
              <w:top w:val="nil"/>
              <w:left w:val="nil"/>
              <w:bottom w:val="single" w:sz="4" w:space="0" w:color="auto"/>
              <w:right w:val="single" w:sz="4" w:space="0" w:color="auto"/>
            </w:tcBorders>
            <w:shd w:val="clear" w:color="000000" w:fill="FFFFFF"/>
            <w:vAlign w:val="center"/>
            <w:hideMark/>
          </w:tcPr>
          <w:p w14:paraId="06640F94"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Podiel zhodnotených NO v rámci projektov na celkovom vyprodukovanom množstve NO v rámci SR</w:t>
            </w:r>
          </w:p>
        </w:tc>
        <w:tc>
          <w:tcPr>
            <w:tcW w:w="910" w:type="dxa"/>
            <w:tcBorders>
              <w:top w:val="nil"/>
              <w:left w:val="nil"/>
              <w:bottom w:val="single" w:sz="4" w:space="0" w:color="auto"/>
              <w:right w:val="single" w:sz="4" w:space="0" w:color="auto"/>
            </w:tcBorders>
            <w:shd w:val="clear" w:color="000000" w:fill="FFFFFF"/>
            <w:vAlign w:val="center"/>
            <w:hideMark/>
          </w:tcPr>
          <w:p w14:paraId="47B6646D"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3B378443" w14:textId="77777777" w:rsidR="000823BC" w:rsidRPr="004E581A" w:rsidRDefault="000823BC" w:rsidP="00EC5EAF">
            <w:pPr>
              <w:jc w:val="center"/>
              <w:rPr>
                <w:rFonts w:ascii="Arial" w:hAnsi="Arial" w:cs="Arial"/>
                <w:color w:val="000000"/>
                <w:sz w:val="16"/>
                <w:szCs w:val="16"/>
              </w:rPr>
            </w:pPr>
            <w:r w:rsidRPr="004E581A">
              <w:rPr>
                <w:rFonts w:ascii="Arial" w:hAnsi="Arial" w:cs="Arial"/>
                <w:color w:val="000000"/>
                <w:sz w:val="16"/>
                <w:szCs w:val="16"/>
              </w:rPr>
              <w:t>0,00%</w:t>
            </w:r>
          </w:p>
        </w:tc>
        <w:tc>
          <w:tcPr>
            <w:tcW w:w="922" w:type="dxa"/>
            <w:tcBorders>
              <w:top w:val="nil"/>
              <w:left w:val="single" w:sz="4" w:space="0" w:color="auto"/>
              <w:bottom w:val="single" w:sz="4" w:space="0" w:color="auto"/>
              <w:right w:val="single" w:sz="4" w:space="0" w:color="auto"/>
            </w:tcBorders>
            <w:shd w:val="clear" w:color="000000" w:fill="FFFFFF"/>
            <w:vAlign w:val="center"/>
            <w:hideMark/>
          </w:tcPr>
          <w:p w14:paraId="5BD9CFEF"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5,00</w:t>
            </w:r>
            <w:r>
              <w:rPr>
                <w:rFonts w:ascii="Arial" w:hAnsi="Arial" w:cs="Arial"/>
                <w:color w:val="000000"/>
                <w:sz w:val="16"/>
                <w:szCs w:val="16"/>
              </w:rPr>
              <w:t xml:space="preserve"> </w:t>
            </w:r>
            <w:r w:rsidRPr="00E21C60">
              <w:rPr>
                <w:rFonts w:ascii="Arial" w:hAnsi="Arial" w:cs="Arial"/>
                <w:color w:val="000000"/>
                <w:sz w:val="16"/>
                <w:szCs w:val="16"/>
              </w:rPr>
              <w:t>%</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4E0AFC9C" w14:textId="12183F34" w:rsidR="000823BC" w:rsidRPr="00E21C60" w:rsidRDefault="000823BC" w:rsidP="00EC5EAF">
            <w:pPr>
              <w:jc w:val="right"/>
              <w:rPr>
                <w:rFonts w:ascii="Arial" w:hAnsi="Arial" w:cs="Arial"/>
                <w:color w:val="000000"/>
                <w:sz w:val="16"/>
                <w:szCs w:val="16"/>
              </w:rPr>
            </w:pPr>
            <w:r w:rsidRPr="00D509CF">
              <w:rPr>
                <w:rFonts w:ascii="Arial" w:hAnsi="Arial" w:cs="Arial"/>
                <w:sz w:val="16"/>
                <w:szCs w:val="16"/>
              </w:rPr>
              <w:t>0</w:t>
            </w:r>
            <w:r>
              <w:rPr>
                <w:rFonts w:ascii="Arial" w:hAnsi="Arial" w:cs="Arial"/>
                <w:sz w:val="16"/>
                <w:szCs w:val="16"/>
              </w:rPr>
              <w:t>,40%</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1689BF05" w14:textId="14E40B08" w:rsidR="000823BC" w:rsidRDefault="000823BC" w:rsidP="00EC5EAF">
            <w:pPr>
              <w:jc w:val="center"/>
              <w:rPr>
                <w:rFonts w:ascii="Arial" w:hAnsi="Arial" w:cs="Arial"/>
                <w:sz w:val="16"/>
                <w:szCs w:val="16"/>
              </w:rPr>
            </w:pPr>
            <w:r>
              <w:rPr>
                <w:rFonts w:ascii="Arial" w:hAnsi="Arial" w:cs="Arial"/>
                <w:sz w:val="16"/>
                <w:szCs w:val="16"/>
              </w:rPr>
              <w:t>0,47</w:t>
            </w:r>
            <w:r w:rsidR="00984E56">
              <w:rPr>
                <w:rFonts w:ascii="Arial" w:hAnsi="Arial" w:cs="Arial"/>
                <w:sz w:val="16"/>
                <w:szCs w:val="16"/>
              </w:rPr>
              <w:t>%</w:t>
            </w:r>
          </w:p>
        </w:tc>
        <w:tc>
          <w:tcPr>
            <w:tcW w:w="861" w:type="dxa"/>
            <w:tcBorders>
              <w:top w:val="single" w:sz="4" w:space="0" w:color="auto"/>
              <w:left w:val="single" w:sz="8" w:space="0" w:color="auto"/>
              <w:bottom w:val="single" w:sz="4" w:space="0" w:color="auto"/>
              <w:right w:val="single" w:sz="4" w:space="0" w:color="auto"/>
            </w:tcBorders>
            <w:shd w:val="clear" w:color="000000" w:fill="FFFFFF" w:themeFill="background1"/>
            <w:vAlign w:val="center"/>
            <w:hideMark/>
          </w:tcPr>
          <w:p w14:paraId="3D71EE32" w14:textId="77777777" w:rsidR="000823BC" w:rsidRPr="00E21C60" w:rsidRDefault="000823BC" w:rsidP="00EC5EAF">
            <w:pPr>
              <w:jc w:val="right"/>
              <w:rPr>
                <w:rFonts w:ascii="Arial" w:hAnsi="Arial" w:cs="Arial"/>
                <w:color w:val="000000"/>
                <w:sz w:val="16"/>
                <w:szCs w:val="16"/>
              </w:rPr>
            </w:pPr>
            <w:r>
              <w:rPr>
                <w:rFonts w:ascii="Arial" w:hAnsi="Arial" w:cs="Arial"/>
                <w:sz w:val="16"/>
                <w:szCs w:val="16"/>
              </w:rPr>
              <w:t>1,94%</w:t>
            </w:r>
          </w:p>
        </w:tc>
        <w:tc>
          <w:tcPr>
            <w:tcW w:w="1022" w:type="dxa"/>
            <w:tcBorders>
              <w:top w:val="single" w:sz="4" w:space="0" w:color="auto"/>
              <w:left w:val="nil"/>
              <w:bottom w:val="single" w:sz="4" w:space="0" w:color="auto"/>
              <w:right w:val="single" w:sz="4" w:space="0" w:color="auto"/>
            </w:tcBorders>
            <w:shd w:val="clear" w:color="auto" w:fill="EAF1DD" w:themeFill="accent3" w:themeFillTint="33"/>
            <w:vAlign w:val="center"/>
          </w:tcPr>
          <w:p w14:paraId="56CBC3A9" w14:textId="473D5933" w:rsidR="000823BC" w:rsidRPr="00E21C60" w:rsidRDefault="00664C25" w:rsidP="00EC5EAF">
            <w:pPr>
              <w:jc w:val="center"/>
              <w:rPr>
                <w:rFonts w:ascii="Arial" w:hAnsi="Arial" w:cs="Arial"/>
                <w:color w:val="000000"/>
                <w:sz w:val="16"/>
                <w:szCs w:val="16"/>
              </w:rPr>
            </w:pPr>
            <w:r>
              <w:rPr>
                <w:rFonts w:ascii="Arial" w:hAnsi="Arial" w:cs="Arial"/>
                <w:color w:val="000000"/>
                <w:sz w:val="16"/>
                <w:szCs w:val="16"/>
              </w:rPr>
              <w:t>8</w:t>
            </w:r>
            <w:r w:rsidR="000823BC">
              <w:rPr>
                <w:rFonts w:ascii="Arial" w:hAnsi="Arial" w:cs="Arial"/>
                <w:color w:val="000000"/>
                <w:sz w:val="16"/>
                <w:szCs w:val="16"/>
              </w:rPr>
              <w:t>%</w:t>
            </w:r>
          </w:p>
        </w:tc>
        <w:tc>
          <w:tcPr>
            <w:tcW w:w="1022" w:type="dxa"/>
            <w:tcBorders>
              <w:top w:val="single" w:sz="4" w:space="0" w:color="auto"/>
              <w:left w:val="nil"/>
              <w:bottom w:val="single" w:sz="4" w:space="0" w:color="auto"/>
              <w:right w:val="single" w:sz="4" w:space="0" w:color="auto"/>
            </w:tcBorders>
            <w:shd w:val="clear" w:color="000000" w:fill="FFFFFF" w:themeFill="background1"/>
            <w:vAlign w:val="center"/>
          </w:tcPr>
          <w:p w14:paraId="621E1FE1" w14:textId="144798C2"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38,80%</w:t>
            </w:r>
          </w:p>
        </w:tc>
      </w:tr>
      <w:tr w:rsidR="0008447E" w:rsidRPr="00E21C60" w14:paraId="0EC86CBB" w14:textId="77777777" w:rsidTr="0008447E">
        <w:trPr>
          <w:trHeight w:val="1350"/>
        </w:trPr>
        <w:tc>
          <w:tcPr>
            <w:tcW w:w="656" w:type="dxa"/>
            <w:vMerge/>
            <w:tcBorders>
              <w:top w:val="nil"/>
              <w:left w:val="single" w:sz="4" w:space="0" w:color="auto"/>
              <w:bottom w:val="single" w:sz="4" w:space="0" w:color="auto"/>
              <w:right w:val="single" w:sz="4" w:space="0" w:color="auto"/>
            </w:tcBorders>
            <w:vAlign w:val="center"/>
            <w:hideMark/>
          </w:tcPr>
          <w:p w14:paraId="50C8CDA3" w14:textId="77777777" w:rsidR="000823BC" w:rsidRPr="00E21C60" w:rsidRDefault="000823BC" w:rsidP="00EC5EAF">
            <w:pPr>
              <w:rPr>
                <w:rFonts w:ascii="Arial" w:hAnsi="Arial" w:cs="Arial"/>
                <w:color w:val="000000"/>
                <w:sz w:val="16"/>
                <w:szCs w:val="16"/>
              </w:rPr>
            </w:pPr>
          </w:p>
        </w:tc>
        <w:tc>
          <w:tcPr>
            <w:tcW w:w="1568" w:type="dxa"/>
            <w:tcBorders>
              <w:top w:val="nil"/>
              <w:left w:val="nil"/>
              <w:bottom w:val="single" w:sz="4" w:space="0" w:color="auto"/>
              <w:right w:val="single" w:sz="4" w:space="0" w:color="auto"/>
            </w:tcBorders>
            <w:shd w:val="clear" w:color="000000" w:fill="FFFFFF"/>
            <w:vAlign w:val="center"/>
            <w:hideMark/>
          </w:tcPr>
          <w:p w14:paraId="4285CB98"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Podiel zneškodnených NO v rámci projektov na celkovom vyprodukovanom množstve NO v rámci SR</w:t>
            </w:r>
          </w:p>
        </w:tc>
        <w:tc>
          <w:tcPr>
            <w:tcW w:w="910" w:type="dxa"/>
            <w:tcBorders>
              <w:top w:val="nil"/>
              <w:left w:val="nil"/>
              <w:bottom w:val="single" w:sz="4" w:space="0" w:color="auto"/>
              <w:right w:val="single" w:sz="4" w:space="0" w:color="auto"/>
            </w:tcBorders>
            <w:shd w:val="clear" w:color="000000" w:fill="FFFFFF"/>
            <w:vAlign w:val="center"/>
            <w:hideMark/>
          </w:tcPr>
          <w:p w14:paraId="21E056D8"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36706107" w14:textId="77777777" w:rsidR="000823BC" w:rsidRPr="004E581A" w:rsidRDefault="000823BC" w:rsidP="00EC5EAF">
            <w:pPr>
              <w:jc w:val="center"/>
              <w:rPr>
                <w:rFonts w:ascii="Arial" w:hAnsi="Arial" w:cs="Arial"/>
                <w:color w:val="000000"/>
                <w:sz w:val="16"/>
                <w:szCs w:val="16"/>
              </w:rPr>
            </w:pPr>
            <w:r w:rsidRPr="004E581A">
              <w:rPr>
                <w:rFonts w:ascii="Arial" w:hAnsi="Arial" w:cs="Arial"/>
                <w:color w:val="000000"/>
                <w:sz w:val="16"/>
                <w:szCs w:val="16"/>
              </w:rPr>
              <w:t>0,00%</w:t>
            </w:r>
          </w:p>
        </w:tc>
        <w:tc>
          <w:tcPr>
            <w:tcW w:w="922" w:type="dxa"/>
            <w:tcBorders>
              <w:top w:val="nil"/>
              <w:left w:val="single" w:sz="4" w:space="0" w:color="auto"/>
              <w:bottom w:val="single" w:sz="4" w:space="0" w:color="auto"/>
              <w:right w:val="single" w:sz="4" w:space="0" w:color="auto"/>
            </w:tcBorders>
            <w:shd w:val="clear" w:color="000000" w:fill="FFFFFF"/>
            <w:vAlign w:val="center"/>
            <w:hideMark/>
          </w:tcPr>
          <w:p w14:paraId="10472B1A"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4,00</w:t>
            </w:r>
            <w:r>
              <w:rPr>
                <w:rFonts w:ascii="Arial" w:hAnsi="Arial" w:cs="Arial"/>
                <w:color w:val="000000"/>
                <w:sz w:val="16"/>
                <w:szCs w:val="16"/>
              </w:rPr>
              <w:t xml:space="preserve"> </w:t>
            </w:r>
            <w:r w:rsidRPr="00E21C60">
              <w:rPr>
                <w:rFonts w:ascii="Arial" w:hAnsi="Arial" w:cs="Arial"/>
                <w:color w:val="000000"/>
                <w:sz w:val="16"/>
                <w:szCs w:val="16"/>
              </w:rPr>
              <w:t>%</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154D4AF5" w14:textId="1793D2EB" w:rsidR="000823BC" w:rsidRPr="00E21C60" w:rsidRDefault="000823BC" w:rsidP="00EC5EAF">
            <w:pPr>
              <w:jc w:val="right"/>
              <w:rPr>
                <w:rFonts w:ascii="Arial" w:hAnsi="Arial" w:cs="Arial"/>
                <w:color w:val="000000"/>
                <w:sz w:val="16"/>
                <w:szCs w:val="16"/>
              </w:rPr>
            </w:pPr>
            <w:r w:rsidRPr="00D509CF">
              <w:rPr>
                <w:rFonts w:ascii="Arial" w:hAnsi="Arial" w:cs="Arial"/>
                <w:sz w:val="16"/>
                <w:szCs w:val="16"/>
              </w:rPr>
              <w:t>0,00%</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5141498F" w14:textId="1F9284B3" w:rsidR="000823BC" w:rsidRPr="00D509CF" w:rsidRDefault="000823BC" w:rsidP="00EC5EAF">
            <w:pPr>
              <w:jc w:val="center"/>
              <w:rPr>
                <w:rFonts w:ascii="Arial" w:hAnsi="Arial" w:cs="Arial"/>
                <w:sz w:val="16"/>
                <w:szCs w:val="16"/>
              </w:rPr>
            </w:pPr>
            <w:r>
              <w:rPr>
                <w:rFonts w:ascii="Arial" w:hAnsi="Arial" w:cs="Arial"/>
                <w:sz w:val="16"/>
                <w:szCs w:val="16"/>
              </w:rPr>
              <w:t>0,00</w:t>
            </w:r>
            <w:r w:rsidR="00984E56">
              <w:rPr>
                <w:rFonts w:ascii="Arial" w:hAnsi="Arial" w:cs="Arial"/>
                <w:sz w:val="16"/>
                <w:szCs w:val="16"/>
              </w:rPr>
              <w:t>%</w:t>
            </w:r>
          </w:p>
        </w:tc>
        <w:tc>
          <w:tcPr>
            <w:tcW w:w="861" w:type="dxa"/>
            <w:tcBorders>
              <w:top w:val="nil"/>
              <w:left w:val="single" w:sz="8" w:space="0" w:color="auto"/>
              <w:bottom w:val="single" w:sz="4" w:space="0" w:color="auto"/>
              <w:right w:val="single" w:sz="4" w:space="0" w:color="auto"/>
            </w:tcBorders>
            <w:shd w:val="clear" w:color="000000" w:fill="FFFFFF"/>
            <w:vAlign w:val="center"/>
            <w:hideMark/>
          </w:tcPr>
          <w:p w14:paraId="50AFC166" w14:textId="77777777" w:rsidR="000823BC" w:rsidRPr="00E21C60" w:rsidRDefault="000823BC" w:rsidP="00EC5EAF">
            <w:pPr>
              <w:jc w:val="right"/>
              <w:rPr>
                <w:rFonts w:ascii="Arial" w:hAnsi="Arial" w:cs="Arial"/>
                <w:color w:val="000000"/>
                <w:sz w:val="16"/>
                <w:szCs w:val="16"/>
              </w:rPr>
            </w:pPr>
            <w:r w:rsidRPr="00D509CF">
              <w:rPr>
                <w:rFonts w:ascii="Arial" w:hAnsi="Arial" w:cs="Arial"/>
                <w:sz w:val="16"/>
                <w:szCs w:val="16"/>
              </w:rPr>
              <w:t>0,</w:t>
            </w:r>
            <w:r>
              <w:rPr>
                <w:rFonts w:ascii="Arial" w:hAnsi="Arial" w:cs="Arial"/>
                <w:sz w:val="16"/>
                <w:szCs w:val="16"/>
              </w:rPr>
              <w:t>0</w:t>
            </w:r>
            <w:r w:rsidRPr="00D509CF">
              <w:rPr>
                <w:rFonts w:ascii="Arial" w:hAnsi="Arial" w:cs="Arial"/>
                <w:sz w:val="16"/>
                <w:szCs w:val="16"/>
              </w:rPr>
              <w:t>%</w:t>
            </w:r>
          </w:p>
        </w:tc>
        <w:tc>
          <w:tcPr>
            <w:tcW w:w="1022" w:type="dxa"/>
            <w:tcBorders>
              <w:top w:val="nil"/>
              <w:left w:val="nil"/>
              <w:bottom w:val="single" w:sz="4" w:space="0" w:color="auto"/>
              <w:right w:val="single" w:sz="4" w:space="0" w:color="auto"/>
            </w:tcBorders>
            <w:shd w:val="clear" w:color="000000" w:fill="EBF1DE"/>
            <w:vAlign w:val="center"/>
          </w:tcPr>
          <w:p w14:paraId="019B46B7" w14:textId="19BC0E70"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0,00%</w:t>
            </w:r>
          </w:p>
        </w:tc>
        <w:tc>
          <w:tcPr>
            <w:tcW w:w="1022" w:type="dxa"/>
            <w:tcBorders>
              <w:top w:val="nil"/>
              <w:left w:val="nil"/>
              <w:bottom w:val="single" w:sz="4" w:space="0" w:color="auto"/>
              <w:right w:val="single" w:sz="4" w:space="0" w:color="auto"/>
            </w:tcBorders>
            <w:shd w:val="clear" w:color="auto" w:fill="auto"/>
            <w:vAlign w:val="center"/>
          </w:tcPr>
          <w:p w14:paraId="3CF49A18" w14:textId="5E82AEDC"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0,00%</w:t>
            </w:r>
          </w:p>
        </w:tc>
      </w:tr>
      <w:tr w:rsidR="0008447E" w:rsidRPr="00E21C60" w14:paraId="59141A8A" w14:textId="77777777" w:rsidTr="0008447E">
        <w:trPr>
          <w:trHeight w:val="1125"/>
        </w:trPr>
        <w:tc>
          <w:tcPr>
            <w:tcW w:w="656" w:type="dxa"/>
            <w:vMerge/>
            <w:tcBorders>
              <w:top w:val="nil"/>
              <w:left w:val="single" w:sz="4" w:space="0" w:color="auto"/>
              <w:bottom w:val="single" w:sz="4" w:space="0" w:color="auto"/>
              <w:right w:val="single" w:sz="4" w:space="0" w:color="auto"/>
            </w:tcBorders>
            <w:vAlign w:val="center"/>
            <w:hideMark/>
          </w:tcPr>
          <w:p w14:paraId="39FFF0FD" w14:textId="77777777" w:rsidR="000823BC" w:rsidRPr="00E21C60" w:rsidRDefault="000823BC" w:rsidP="00EC5EAF">
            <w:pPr>
              <w:rPr>
                <w:rFonts w:ascii="Arial" w:hAnsi="Arial" w:cs="Arial"/>
                <w:color w:val="000000"/>
                <w:sz w:val="16"/>
                <w:szCs w:val="16"/>
              </w:rPr>
            </w:pPr>
          </w:p>
        </w:tc>
        <w:tc>
          <w:tcPr>
            <w:tcW w:w="1568" w:type="dxa"/>
            <w:tcBorders>
              <w:top w:val="nil"/>
              <w:left w:val="nil"/>
              <w:bottom w:val="single" w:sz="4" w:space="0" w:color="auto"/>
              <w:right w:val="single" w:sz="4" w:space="0" w:color="auto"/>
            </w:tcBorders>
            <w:shd w:val="clear" w:color="000000" w:fill="FFFFFF"/>
            <w:vAlign w:val="center"/>
            <w:hideMark/>
          </w:tcPr>
          <w:p w14:paraId="2ACCF673"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Počet vybudovaných zariadení na nakladanie s nebezpečnými odpadmi</w:t>
            </w:r>
          </w:p>
        </w:tc>
        <w:tc>
          <w:tcPr>
            <w:tcW w:w="910" w:type="dxa"/>
            <w:tcBorders>
              <w:top w:val="nil"/>
              <w:left w:val="nil"/>
              <w:bottom w:val="single" w:sz="4" w:space="0" w:color="auto"/>
              <w:right w:val="single" w:sz="4" w:space="0" w:color="auto"/>
            </w:tcBorders>
            <w:shd w:val="clear" w:color="000000" w:fill="FFFFFF"/>
            <w:vAlign w:val="center"/>
            <w:hideMark/>
          </w:tcPr>
          <w:p w14:paraId="141759C5"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počet</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5EDB92B0"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3</w:t>
            </w:r>
          </w:p>
        </w:tc>
        <w:tc>
          <w:tcPr>
            <w:tcW w:w="922" w:type="dxa"/>
            <w:tcBorders>
              <w:top w:val="nil"/>
              <w:left w:val="single" w:sz="4" w:space="0" w:color="auto"/>
              <w:bottom w:val="single" w:sz="4" w:space="0" w:color="auto"/>
              <w:right w:val="single" w:sz="4" w:space="0" w:color="auto"/>
            </w:tcBorders>
            <w:shd w:val="clear" w:color="000000" w:fill="FFFFFF"/>
            <w:vAlign w:val="center"/>
            <w:hideMark/>
          </w:tcPr>
          <w:p w14:paraId="289745A7"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15</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4E57D7BB" w14:textId="1D0F4F99" w:rsidR="000823BC" w:rsidRPr="00E21C60" w:rsidRDefault="000823BC" w:rsidP="00EC5EAF">
            <w:pPr>
              <w:jc w:val="right"/>
              <w:rPr>
                <w:rFonts w:ascii="Arial" w:hAnsi="Arial" w:cs="Arial"/>
                <w:color w:val="000000"/>
                <w:sz w:val="16"/>
                <w:szCs w:val="16"/>
              </w:rPr>
            </w:pPr>
            <w:r>
              <w:rPr>
                <w:rFonts w:ascii="Arial" w:hAnsi="Arial" w:cs="Arial"/>
                <w:sz w:val="16"/>
                <w:szCs w:val="16"/>
              </w:rPr>
              <w:t>9</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1AFC0664" w14:textId="77777777" w:rsidR="000823BC" w:rsidRPr="00D509CF" w:rsidRDefault="000823BC" w:rsidP="00EC5EAF">
            <w:pPr>
              <w:jc w:val="center"/>
              <w:rPr>
                <w:rFonts w:ascii="Arial" w:hAnsi="Arial" w:cs="Arial"/>
                <w:sz w:val="16"/>
                <w:szCs w:val="16"/>
              </w:rPr>
            </w:pPr>
            <w:r>
              <w:rPr>
                <w:rFonts w:ascii="Arial" w:hAnsi="Arial" w:cs="Arial"/>
                <w:sz w:val="16"/>
                <w:szCs w:val="16"/>
              </w:rPr>
              <w:t>9</w:t>
            </w:r>
          </w:p>
        </w:tc>
        <w:tc>
          <w:tcPr>
            <w:tcW w:w="861" w:type="dxa"/>
            <w:tcBorders>
              <w:top w:val="nil"/>
              <w:left w:val="single" w:sz="8" w:space="0" w:color="auto"/>
              <w:bottom w:val="single" w:sz="4" w:space="0" w:color="auto"/>
              <w:right w:val="single" w:sz="4" w:space="0" w:color="auto"/>
            </w:tcBorders>
            <w:shd w:val="clear" w:color="000000" w:fill="FFFFFF"/>
            <w:vAlign w:val="center"/>
            <w:hideMark/>
          </w:tcPr>
          <w:p w14:paraId="518DDB8E" w14:textId="77777777" w:rsidR="000823BC" w:rsidRPr="00E21C60" w:rsidRDefault="000823BC" w:rsidP="00EC5EAF">
            <w:pPr>
              <w:jc w:val="right"/>
              <w:rPr>
                <w:rFonts w:ascii="Arial" w:hAnsi="Arial" w:cs="Arial"/>
                <w:color w:val="000000"/>
                <w:sz w:val="16"/>
                <w:szCs w:val="16"/>
              </w:rPr>
            </w:pPr>
            <w:r>
              <w:rPr>
                <w:rFonts w:ascii="Arial" w:hAnsi="Arial" w:cs="Arial"/>
                <w:sz w:val="16"/>
                <w:szCs w:val="16"/>
              </w:rPr>
              <w:t>9</w:t>
            </w:r>
          </w:p>
        </w:tc>
        <w:tc>
          <w:tcPr>
            <w:tcW w:w="1022" w:type="dxa"/>
            <w:tcBorders>
              <w:top w:val="nil"/>
              <w:left w:val="nil"/>
              <w:bottom w:val="single" w:sz="4" w:space="0" w:color="auto"/>
              <w:right w:val="single" w:sz="4" w:space="0" w:color="auto"/>
            </w:tcBorders>
            <w:shd w:val="clear" w:color="000000" w:fill="EBF1DE"/>
            <w:vAlign w:val="center"/>
          </w:tcPr>
          <w:p w14:paraId="4A2CBD63" w14:textId="567B1566"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75,00%</w:t>
            </w:r>
          </w:p>
        </w:tc>
        <w:tc>
          <w:tcPr>
            <w:tcW w:w="1022" w:type="dxa"/>
            <w:tcBorders>
              <w:top w:val="nil"/>
              <w:left w:val="nil"/>
              <w:bottom w:val="single" w:sz="4" w:space="0" w:color="auto"/>
              <w:right w:val="single" w:sz="4" w:space="0" w:color="auto"/>
            </w:tcBorders>
            <w:shd w:val="clear" w:color="auto" w:fill="auto"/>
            <w:vAlign w:val="center"/>
          </w:tcPr>
          <w:p w14:paraId="316A60E6" w14:textId="4AF0BDF9"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75,00%</w:t>
            </w:r>
          </w:p>
        </w:tc>
      </w:tr>
      <w:tr w:rsidR="0008447E" w:rsidRPr="00E21C60" w14:paraId="56A04716" w14:textId="77777777" w:rsidTr="0008447E">
        <w:trPr>
          <w:trHeight w:val="675"/>
        </w:trPr>
        <w:tc>
          <w:tcPr>
            <w:tcW w:w="656" w:type="dxa"/>
            <w:vMerge w:val="restart"/>
            <w:tcBorders>
              <w:top w:val="nil"/>
              <w:left w:val="single" w:sz="4" w:space="0" w:color="auto"/>
              <w:bottom w:val="single" w:sz="4" w:space="0" w:color="auto"/>
              <w:right w:val="single" w:sz="4" w:space="0" w:color="auto"/>
            </w:tcBorders>
            <w:shd w:val="clear" w:color="000000" w:fill="FFFFFF"/>
            <w:vAlign w:val="center"/>
            <w:hideMark/>
          </w:tcPr>
          <w:p w14:paraId="734B08CE"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4.4</w:t>
            </w:r>
          </w:p>
        </w:tc>
        <w:tc>
          <w:tcPr>
            <w:tcW w:w="1568" w:type="dxa"/>
            <w:tcBorders>
              <w:top w:val="nil"/>
              <w:left w:val="nil"/>
              <w:bottom w:val="single" w:sz="4" w:space="0" w:color="auto"/>
              <w:right w:val="single" w:sz="4" w:space="0" w:color="auto"/>
            </w:tcBorders>
            <w:shd w:val="clear" w:color="000000" w:fill="FFFFFF"/>
            <w:vAlign w:val="center"/>
            <w:hideMark/>
          </w:tcPr>
          <w:p w14:paraId="209DBD86"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Počet sanovaných environmentálnych záťaží</w:t>
            </w:r>
          </w:p>
        </w:tc>
        <w:tc>
          <w:tcPr>
            <w:tcW w:w="910" w:type="dxa"/>
            <w:tcBorders>
              <w:top w:val="nil"/>
              <w:left w:val="nil"/>
              <w:bottom w:val="single" w:sz="4" w:space="0" w:color="auto"/>
              <w:right w:val="single" w:sz="4" w:space="0" w:color="auto"/>
            </w:tcBorders>
            <w:shd w:val="clear" w:color="000000" w:fill="FFFFFF"/>
            <w:vAlign w:val="center"/>
            <w:hideMark/>
          </w:tcPr>
          <w:p w14:paraId="5E7C8CBA"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počet</w:t>
            </w:r>
          </w:p>
        </w:tc>
        <w:tc>
          <w:tcPr>
            <w:tcW w:w="850" w:type="dxa"/>
            <w:tcBorders>
              <w:top w:val="single" w:sz="4" w:space="0" w:color="auto"/>
              <w:left w:val="nil"/>
              <w:bottom w:val="single" w:sz="4" w:space="0" w:color="auto"/>
              <w:right w:val="single" w:sz="4" w:space="0" w:color="auto"/>
            </w:tcBorders>
            <w:vAlign w:val="center"/>
          </w:tcPr>
          <w:p w14:paraId="6B2FAD9C"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0</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F24250C"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23</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48ADFC13" w14:textId="6F6D6C55" w:rsidR="000823BC" w:rsidRPr="00E21C60" w:rsidRDefault="000823BC" w:rsidP="00EC5EAF">
            <w:pPr>
              <w:jc w:val="right"/>
              <w:rPr>
                <w:rFonts w:ascii="Arial" w:hAnsi="Arial" w:cs="Arial"/>
                <w:color w:val="000000"/>
                <w:sz w:val="16"/>
                <w:szCs w:val="16"/>
              </w:rPr>
            </w:pPr>
            <w:r>
              <w:rPr>
                <w:rFonts w:ascii="Arial" w:hAnsi="Arial" w:cs="Arial"/>
                <w:sz w:val="16"/>
                <w:szCs w:val="16"/>
              </w:rPr>
              <w:t>19</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55AC4004" w14:textId="77777777" w:rsidR="000823BC" w:rsidRPr="00D509CF" w:rsidRDefault="000823BC" w:rsidP="00EC5EAF">
            <w:pPr>
              <w:jc w:val="center"/>
              <w:rPr>
                <w:rFonts w:ascii="Arial" w:hAnsi="Arial" w:cs="Arial"/>
                <w:sz w:val="16"/>
                <w:szCs w:val="16"/>
              </w:rPr>
            </w:pPr>
            <w:r>
              <w:rPr>
                <w:rFonts w:ascii="Arial" w:hAnsi="Arial" w:cs="Arial"/>
                <w:sz w:val="16"/>
                <w:szCs w:val="16"/>
              </w:rPr>
              <w:t>19</w:t>
            </w:r>
          </w:p>
        </w:tc>
        <w:tc>
          <w:tcPr>
            <w:tcW w:w="861" w:type="dxa"/>
            <w:tcBorders>
              <w:top w:val="nil"/>
              <w:left w:val="single" w:sz="8" w:space="0" w:color="auto"/>
              <w:bottom w:val="single" w:sz="4" w:space="0" w:color="auto"/>
              <w:right w:val="single" w:sz="4" w:space="0" w:color="auto"/>
            </w:tcBorders>
            <w:shd w:val="clear" w:color="000000" w:fill="FFFFFF"/>
            <w:vAlign w:val="center"/>
            <w:hideMark/>
          </w:tcPr>
          <w:p w14:paraId="4C20AE7F" w14:textId="77777777" w:rsidR="000823BC" w:rsidRPr="00E21C60" w:rsidRDefault="000823BC" w:rsidP="00EC5EAF">
            <w:pPr>
              <w:jc w:val="right"/>
              <w:rPr>
                <w:rFonts w:ascii="Arial" w:hAnsi="Arial" w:cs="Arial"/>
                <w:color w:val="000000"/>
                <w:sz w:val="16"/>
                <w:szCs w:val="16"/>
              </w:rPr>
            </w:pPr>
            <w:r>
              <w:rPr>
                <w:rFonts w:ascii="Arial" w:hAnsi="Arial" w:cs="Arial"/>
                <w:sz w:val="16"/>
                <w:szCs w:val="16"/>
              </w:rPr>
              <w:t>19</w:t>
            </w:r>
          </w:p>
        </w:tc>
        <w:tc>
          <w:tcPr>
            <w:tcW w:w="1022" w:type="dxa"/>
            <w:tcBorders>
              <w:top w:val="nil"/>
              <w:left w:val="nil"/>
              <w:bottom w:val="single" w:sz="4" w:space="0" w:color="auto"/>
              <w:right w:val="single" w:sz="4" w:space="0" w:color="auto"/>
            </w:tcBorders>
            <w:shd w:val="clear" w:color="000000" w:fill="EBF1DE"/>
            <w:vAlign w:val="center"/>
          </w:tcPr>
          <w:p w14:paraId="1CD31E32" w14:textId="10B4E415"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82,61%</w:t>
            </w:r>
          </w:p>
        </w:tc>
        <w:tc>
          <w:tcPr>
            <w:tcW w:w="1022" w:type="dxa"/>
            <w:tcBorders>
              <w:top w:val="nil"/>
              <w:left w:val="nil"/>
              <w:bottom w:val="single" w:sz="4" w:space="0" w:color="auto"/>
              <w:right w:val="single" w:sz="4" w:space="0" w:color="auto"/>
            </w:tcBorders>
            <w:shd w:val="clear" w:color="auto" w:fill="auto"/>
            <w:vAlign w:val="center"/>
          </w:tcPr>
          <w:p w14:paraId="6A3A38C1" w14:textId="069EBF51"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82,61%</w:t>
            </w:r>
          </w:p>
        </w:tc>
      </w:tr>
      <w:tr w:rsidR="0008447E" w:rsidRPr="00E21C60" w14:paraId="17C9A6CD" w14:textId="77777777" w:rsidTr="0008447E">
        <w:trPr>
          <w:trHeight w:val="900"/>
        </w:trPr>
        <w:tc>
          <w:tcPr>
            <w:tcW w:w="656" w:type="dxa"/>
            <w:vMerge/>
            <w:tcBorders>
              <w:top w:val="nil"/>
              <w:left w:val="single" w:sz="4" w:space="0" w:color="auto"/>
              <w:bottom w:val="single" w:sz="4" w:space="0" w:color="auto"/>
              <w:right w:val="single" w:sz="4" w:space="0" w:color="auto"/>
            </w:tcBorders>
            <w:vAlign w:val="center"/>
            <w:hideMark/>
          </w:tcPr>
          <w:p w14:paraId="5DD40450" w14:textId="77777777" w:rsidR="000823BC" w:rsidRPr="00E21C60" w:rsidRDefault="000823BC" w:rsidP="00EC5EAF">
            <w:pPr>
              <w:rPr>
                <w:rFonts w:ascii="Arial" w:hAnsi="Arial" w:cs="Arial"/>
                <w:color w:val="000000"/>
                <w:sz w:val="16"/>
                <w:szCs w:val="16"/>
              </w:rPr>
            </w:pPr>
          </w:p>
        </w:tc>
        <w:tc>
          <w:tcPr>
            <w:tcW w:w="1568" w:type="dxa"/>
            <w:tcBorders>
              <w:top w:val="nil"/>
              <w:left w:val="nil"/>
              <w:bottom w:val="single" w:sz="4" w:space="0" w:color="auto"/>
              <w:right w:val="single" w:sz="4" w:space="0" w:color="auto"/>
            </w:tcBorders>
            <w:shd w:val="clear" w:color="000000" w:fill="FFFFFF"/>
            <w:vAlign w:val="center"/>
            <w:hideMark/>
          </w:tcPr>
          <w:p w14:paraId="29B64B6D"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Veľkosť zrekultivovanej a sanovanej plochy (spolu za projekty)</w:t>
            </w:r>
          </w:p>
        </w:tc>
        <w:tc>
          <w:tcPr>
            <w:tcW w:w="910" w:type="dxa"/>
            <w:tcBorders>
              <w:top w:val="nil"/>
              <w:left w:val="nil"/>
              <w:bottom w:val="single" w:sz="4" w:space="0" w:color="auto"/>
              <w:right w:val="single" w:sz="4" w:space="0" w:color="auto"/>
            </w:tcBorders>
            <w:shd w:val="clear" w:color="000000" w:fill="FFFFFF"/>
            <w:vAlign w:val="center"/>
            <w:hideMark/>
          </w:tcPr>
          <w:p w14:paraId="517870AF"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km</w:t>
            </w:r>
            <w:r w:rsidRPr="00E21C60">
              <w:rPr>
                <w:rFonts w:ascii="Arial" w:hAnsi="Arial" w:cs="Arial"/>
                <w:i/>
                <w:iCs/>
                <w:color w:val="000000"/>
                <w:sz w:val="16"/>
                <w:szCs w:val="16"/>
                <w:vertAlign w:val="superscript"/>
              </w:rPr>
              <w:t>2</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1487CC7C"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0</w:t>
            </w:r>
          </w:p>
        </w:tc>
        <w:tc>
          <w:tcPr>
            <w:tcW w:w="922" w:type="dxa"/>
            <w:tcBorders>
              <w:top w:val="nil"/>
              <w:left w:val="single" w:sz="4" w:space="0" w:color="auto"/>
              <w:bottom w:val="single" w:sz="4" w:space="0" w:color="auto"/>
              <w:right w:val="single" w:sz="4" w:space="0" w:color="auto"/>
            </w:tcBorders>
            <w:shd w:val="clear" w:color="000000" w:fill="FFFFFF"/>
            <w:vAlign w:val="center"/>
            <w:hideMark/>
          </w:tcPr>
          <w:p w14:paraId="38BC5B88"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0,27</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2D1049DF" w14:textId="53E1EB38" w:rsidR="000823BC" w:rsidRPr="00E21C60" w:rsidRDefault="000823BC" w:rsidP="00EC5EAF">
            <w:pPr>
              <w:jc w:val="right"/>
              <w:rPr>
                <w:rFonts w:ascii="Arial" w:hAnsi="Arial" w:cs="Arial"/>
                <w:color w:val="000000"/>
                <w:sz w:val="16"/>
                <w:szCs w:val="16"/>
              </w:rPr>
            </w:pPr>
            <w:r w:rsidRPr="00D509CF">
              <w:rPr>
                <w:rFonts w:ascii="Arial" w:hAnsi="Arial" w:cs="Arial"/>
                <w:sz w:val="16"/>
                <w:szCs w:val="16"/>
              </w:rPr>
              <w:t>0</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64EEC534" w14:textId="77777777" w:rsidR="000823BC" w:rsidRPr="00D509CF" w:rsidRDefault="000823BC" w:rsidP="00EC5EAF">
            <w:pPr>
              <w:jc w:val="center"/>
              <w:rPr>
                <w:rFonts w:ascii="Arial" w:hAnsi="Arial" w:cs="Arial"/>
                <w:sz w:val="16"/>
                <w:szCs w:val="16"/>
              </w:rPr>
            </w:pPr>
            <w:r>
              <w:rPr>
                <w:rFonts w:ascii="Arial" w:hAnsi="Arial" w:cs="Arial"/>
                <w:sz w:val="16"/>
                <w:szCs w:val="16"/>
              </w:rPr>
              <w:t>0,0</w:t>
            </w:r>
          </w:p>
        </w:tc>
        <w:tc>
          <w:tcPr>
            <w:tcW w:w="861" w:type="dxa"/>
            <w:tcBorders>
              <w:top w:val="nil"/>
              <w:left w:val="single" w:sz="8" w:space="0" w:color="auto"/>
              <w:bottom w:val="single" w:sz="4" w:space="0" w:color="auto"/>
              <w:right w:val="single" w:sz="4" w:space="0" w:color="auto"/>
            </w:tcBorders>
            <w:shd w:val="clear" w:color="000000" w:fill="FFFFFF"/>
            <w:vAlign w:val="center"/>
            <w:hideMark/>
          </w:tcPr>
          <w:p w14:paraId="371049E3" w14:textId="77777777" w:rsidR="000823BC" w:rsidRPr="00E21C60" w:rsidRDefault="000823BC" w:rsidP="00EC5EAF">
            <w:pPr>
              <w:jc w:val="right"/>
              <w:rPr>
                <w:rFonts w:ascii="Arial" w:hAnsi="Arial" w:cs="Arial"/>
                <w:color w:val="000000"/>
                <w:sz w:val="16"/>
                <w:szCs w:val="16"/>
              </w:rPr>
            </w:pPr>
            <w:r>
              <w:rPr>
                <w:rFonts w:ascii="Arial" w:hAnsi="Arial" w:cs="Arial"/>
                <w:sz w:val="16"/>
                <w:szCs w:val="16"/>
              </w:rPr>
              <w:t>0,7258</w:t>
            </w:r>
          </w:p>
        </w:tc>
        <w:tc>
          <w:tcPr>
            <w:tcW w:w="1022" w:type="dxa"/>
            <w:tcBorders>
              <w:top w:val="nil"/>
              <w:left w:val="nil"/>
              <w:bottom w:val="single" w:sz="4" w:space="0" w:color="auto"/>
              <w:right w:val="single" w:sz="4" w:space="0" w:color="auto"/>
            </w:tcBorders>
            <w:shd w:val="clear" w:color="000000" w:fill="EBF1DE"/>
            <w:vAlign w:val="center"/>
          </w:tcPr>
          <w:p w14:paraId="06EF55D2" w14:textId="131E370F"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0,00%</w:t>
            </w:r>
          </w:p>
        </w:tc>
        <w:tc>
          <w:tcPr>
            <w:tcW w:w="1022" w:type="dxa"/>
            <w:tcBorders>
              <w:top w:val="nil"/>
              <w:left w:val="nil"/>
              <w:bottom w:val="single" w:sz="4" w:space="0" w:color="auto"/>
              <w:right w:val="single" w:sz="4" w:space="0" w:color="auto"/>
            </w:tcBorders>
            <w:shd w:val="clear" w:color="auto" w:fill="auto"/>
            <w:vAlign w:val="center"/>
          </w:tcPr>
          <w:p w14:paraId="26BC104A" w14:textId="0932E982"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268,81%</w:t>
            </w:r>
          </w:p>
        </w:tc>
      </w:tr>
      <w:tr w:rsidR="0008447E" w:rsidRPr="00E21C60" w14:paraId="7B263177" w14:textId="77777777" w:rsidTr="0008447E">
        <w:trPr>
          <w:trHeight w:val="675"/>
        </w:trPr>
        <w:tc>
          <w:tcPr>
            <w:tcW w:w="656" w:type="dxa"/>
            <w:vMerge w:val="restart"/>
            <w:tcBorders>
              <w:top w:val="nil"/>
              <w:left w:val="single" w:sz="4" w:space="0" w:color="auto"/>
              <w:bottom w:val="single" w:sz="4" w:space="0" w:color="auto"/>
              <w:right w:val="single" w:sz="4" w:space="0" w:color="auto"/>
            </w:tcBorders>
            <w:shd w:val="clear" w:color="000000" w:fill="FFFFFF"/>
            <w:vAlign w:val="center"/>
            <w:hideMark/>
          </w:tcPr>
          <w:p w14:paraId="2E10B7A1"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4.5</w:t>
            </w:r>
          </w:p>
        </w:tc>
        <w:tc>
          <w:tcPr>
            <w:tcW w:w="1568" w:type="dxa"/>
            <w:tcBorders>
              <w:top w:val="nil"/>
              <w:left w:val="nil"/>
              <w:bottom w:val="single" w:sz="4" w:space="0" w:color="auto"/>
              <w:right w:val="single" w:sz="4" w:space="0" w:color="auto"/>
            </w:tcBorders>
            <w:shd w:val="clear" w:color="000000" w:fill="FFFFFF"/>
            <w:vAlign w:val="center"/>
            <w:hideMark/>
          </w:tcPr>
          <w:p w14:paraId="526154F5"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Počet uzatvorených a zrekultivovaných skládok</w:t>
            </w:r>
          </w:p>
        </w:tc>
        <w:tc>
          <w:tcPr>
            <w:tcW w:w="910" w:type="dxa"/>
            <w:tcBorders>
              <w:top w:val="nil"/>
              <w:left w:val="nil"/>
              <w:bottom w:val="single" w:sz="4" w:space="0" w:color="auto"/>
              <w:right w:val="single" w:sz="4" w:space="0" w:color="auto"/>
            </w:tcBorders>
            <w:shd w:val="clear" w:color="000000" w:fill="FFFFFF"/>
            <w:vAlign w:val="center"/>
            <w:hideMark/>
          </w:tcPr>
          <w:p w14:paraId="7B05210E"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počet</w:t>
            </w:r>
          </w:p>
        </w:tc>
        <w:tc>
          <w:tcPr>
            <w:tcW w:w="850" w:type="dxa"/>
            <w:tcBorders>
              <w:top w:val="single" w:sz="4" w:space="0" w:color="auto"/>
              <w:left w:val="nil"/>
              <w:bottom w:val="single" w:sz="4" w:space="0" w:color="auto"/>
              <w:right w:val="single" w:sz="4" w:space="0" w:color="auto"/>
            </w:tcBorders>
            <w:vAlign w:val="center"/>
          </w:tcPr>
          <w:p w14:paraId="0ED1FF10"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24</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932CEB9"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57</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1D3154BE" w14:textId="1D09A461" w:rsidR="000823BC" w:rsidRPr="00E21C60" w:rsidRDefault="000823BC" w:rsidP="00EC5EAF">
            <w:pPr>
              <w:jc w:val="right"/>
              <w:rPr>
                <w:rFonts w:ascii="Arial" w:hAnsi="Arial" w:cs="Arial"/>
                <w:color w:val="000000"/>
                <w:sz w:val="16"/>
                <w:szCs w:val="16"/>
              </w:rPr>
            </w:pPr>
            <w:r>
              <w:rPr>
                <w:rFonts w:ascii="Arial" w:hAnsi="Arial" w:cs="Arial"/>
                <w:sz w:val="16"/>
                <w:szCs w:val="16"/>
              </w:rPr>
              <w:t>48</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088CC615" w14:textId="77777777" w:rsidR="000823BC" w:rsidRPr="00D509CF" w:rsidRDefault="000823BC" w:rsidP="00EC5EAF">
            <w:pPr>
              <w:jc w:val="center"/>
              <w:rPr>
                <w:rFonts w:ascii="Arial" w:hAnsi="Arial" w:cs="Arial"/>
                <w:sz w:val="16"/>
                <w:szCs w:val="16"/>
              </w:rPr>
            </w:pPr>
            <w:r>
              <w:rPr>
                <w:rFonts w:ascii="Arial" w:hAnsi="Arial" w:cs="Arial"/>
                <w:sz w:val="16"/>
                <w:szCs w:val="16"/>
              </w:rPr>
              <w:t>49</w:t>
            </w:r>
          </w:p>
        </w:tc>
        <w:tc>
          <w:tcPr>
            <w:tcW w:w="861" w:type="dxa"/>
            <w:tcBorders>
              <w:top w:val="nil"/>
              <w:left w:val="single" w:sz="8" w:space="0" w:color="auto"/>
              <w:bottom w:val="single" w:sz="4" w:space="0" w:color="auto"/>
              <w:right w:val="single" w:sz="4" w:space="0" w:color="auto"/>
            </w:tcBorders>
            <w:shd w:val="clear" w:color="000000" w:fill="FFFFFF"/>
            <w:vAlign w:val="center"/>
            <w:hideMark/>
          </w:tcPr>
          <w:p w14:paraId="1B97CAEE" w14:textId="77777777" w:rsidR="000823BC" w:rsidRPr="00E21C60" w:rsidRDefault="000823BC" w:rsidP="00EC5EAF">
            <w:pPr>
              <w:jc w:val="right"/>
              <w:rPr>
                <w:rFonts w:ascii="Arial" w:hAnsi="Arial" w:cs="Arial"/>
                <w:color w:val="000000"/>
                <w:sz w:val="16"/>
                <w:szCs w:val="16"/>
              </w:rPr>
            </w:pPr>
            <w:r w:rsidRPr="00D509CF">
              <w:rPr>
                <w:rFonts w:ascii="Arial" w:hAnsi="Arial" w:cs="Arial"/>
                <w:sz w:val="16"/>
                <w:szCs w:val="16"/>
              </w:rPr>
              <w:t>49</w:t>
            </w:r>
          </w:p>
        </w:tc>
        <w:tc>
          <w:tcPr>
            <w:tcW w:w="1022" w:type="dxa"/>
            <w:tcBorders>
              <w:top w:val="nil"/>
              <w:left w:val="nil"/>
              <w:bottom w:val="single" w:sz="4" w:space="0" w:color="auto"/>
              <w:right w:val="single" w:sz="4" w:space="0" w:color="auto"/>
            </w:tcBorders>
            <w:shd w:val="clear" w:color="000000" w:fill="EBF1DE"/>
            <w:vAlign w:val="center"/>
          </w:tcPr>
          <w:p w14:paraId="2950C1E3" w14:textId="0134D667"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148,48%</w:t>
            </w:r>
          </w:p>
        </w:tc>
        <w:tc>
          <w:tcPr>
            <w:tcW w:w="1022" w:type="dxa"/>
            <w:tcBorders>
              <w:top w:val="nil"/>
              <w:left w:val="nil"/>
              <w:bottom w:val="single" w:sz="4" w:space="0" w:color="auto"/>
              <w:right w:val="single" w:sz="4" w:space="0" w:color="auto"/>
            </w:tcBorders>
            <w:shd w:val="clear" w:color="auto" w:fill="auto"/>
            <w:vAlign w:val="center"/>
          </w:tcPr>
          <w:p w14:paraId="1A2AE880" w14:textId="6311ED68"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148,48%</w:t>
            </w:r>
          </w:p>
        </w:tc>
      </w:tr>
      <w:tr w:rsidR="0008447E" w:rsidRPr="00E21C60" w14:paraId="099A48C2" w14:textId="77777777" w:rsidTr="0008447E">
        <w:trPr>
          <w:trHeight w:val="675"/>
        </w:trPr>
        <w:tc>
          <w:tcPr>
            <w:tcW w:w="656" w:type="dxa"/>
            <w:vMerge/>
            <w:tcBorders>
              <w:top w:val="nil"/>
              <w:left w:val="single" w:sz="4" w:space="0" w:color="auto"/>
              <w:bottom w:val="single" w:sz="4" w:space="0" w:color="auto"/>
              <w:right w:val="single" w:sz="4" w:space="0" w:color="auto"/>
            </w:tcBorders>
            <w:vAlign w:val="center"/>
            <w:hideMark/>
          </w:tcPr>
          <w:p w14:paraId="0344A090" w14:textId="77777777" w:rsidR="000823BC" w:rsidRPr="00E21C60" w:rsidRDefault="000823BC" w:rsidP="00EC5EAF">
            <w:pPr>
              <w:rPr>
                <w:rFonts w:ascii="Arial" w:hAnsi="Arial" w:cs="Arial"/>
                <w:color w:val="000000"/>
                <w:sz w:val="16"/>
                <w:szCs w:val="16"/>
              </w:rPr>
            </w:pPr>
          </w:p>
        </w:tc>
        <w:tc>
          <w:tcPr>
            <w:tcW w:w="1568" w:type="dxa"/>
            <w:tcBorders>
              <w:top w:val="nil"/>
              <w:left w:val="nil"/>
              <w:bottom w:val="single" w:sz="4" w:space="0" w:color="auto"/>
              <w:right w:val="single" w:sz="4" w:space="0" w:color="auto"/>
            </w:tcBorders>
            <w:shd w:val="clear" w:color="000000" w:fill="FFFFFF"/>
            <w:vAlign w:val="center"/>
            <w:hideMark/>
          </w:tcPr>
          <w:p w14:paraId="7AD0713A"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Veľkosť zrekultivovanej a sanovanej plochy</w:t>
            </w:r>
          </w:p>
        </w:tc>
        <w:tc>
          <w:tcPr>
            <w:tcW w:w="910" w:type="dxa"/>
            <w:tcBorders>
              <w:top w:val="nil"/>
              <w:left w:val="nil"/>
              <w:bottom w:val="single" w:sz="4" w:space="0" w:color="auto"/>
              <w:right w:val="single" w:sz="4" w:space="0" w:color="auto"/>
            </w:tcBorders>
            <w:shd w:val="clear" w:color="000000" w:fill="FFFFFF"/>
            <w:vAlign w:val="center"/>
            <w:hideMark/>
          </w:tcPr>
          <w:p w14:paraId="2994B1C3"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km</w:t>
            </w:r>
            <w:r w:rsidRPr="00E21C60">
              <w:rPr>
                <w:rFonts w:ascii="Arial" w:hAnsi="Arial" w:cs="Arial"/>
                <w:i/>
                <w:iCs/>
                <w:color w:val="000000"/>
                <w:sz w:val="16"/>
                <w:szCs w:val="16"/>
                <w:vertAlign w:val="superscript"/>
              </w:rPr>
              <w:t>2</w:t>
            </w:r>
          </w:p>
        </w:tc>
        <w:tc>
          <w:tcPr>
            <w:tcW w:w="850" w:type="dxa"/>
            <w:tcBorders>
              <w:top w:val="single" w:sz="4" w:space="0" w:color="auto"/>
              <w:left w:val="nil"/>
              <w:bottom w:val="single" w:sz="4" w:space="0" w:color="auto"/>
              <w:right w:val="single" w:sz="4" w:space="0" w:color="auto"/>
            </w:tcBorders>
            <w:vAlign w:val="center"/>
          </w:tcPr>
          <w:p w14:paraId="487461A0" w14:textId="77777777" w:rsidR="000823BC" w:rsidRPr="004E581A" w:rsidRDefault="000823BC" w:rsidP="00EC5EAF">
            <w:pPr>
              <w:jc w:val="center"/>
              <w:rPr>
                <w:rFonts w:ascii="Arial" w:hAnsi="Arial" w:cs="Arial"/>
                <w:color w:val="000000"/>
                <w:sz w:val="16"/>
                <w:szCs w:val="16"/>
              </w:rPr>
            </w:pPr>
            <w:r w:rsidRPr="004E581A">
              <w:rPr>
                <w:rFonts w:ascii="Arial" w:hAnsi="Arial" w:cs="Arial"/>
                <w:color w:val="000000"/>
                <w:sz w:val="16"/>
                <w:szCs w:val="16"/>
              </w:rPr>
              <w:t>0,32</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3D22485"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1,00</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1FCFE3A7" w14:textId="15F3D955" w:rsidR="000823BC" w:rsidRPr="00E21C60" w:rsidRDefault="000823BC" w:rsidP="00EC5EAF">
            <w:pPr>
              <w:jc w:val="right"/>
              <w:rPr>
                <w:rFonts w:ascii="Arial" w:hAnsi="Arial" w:cs="Arial"/>
                <w:color w:val="000000"/>
                <w:sz w:val="16"/>
                <w:szCs w:val="16"/>
              </w:rPr>
            </w:pPr>
            <w:r>
              <w:rPr>
                <w:rFonts w:ascii="Arial" w:hAnsi="Arial" w:cs="Arial"/>
                <w:sz w:val="16"/>
                <w:szCs w:val="16"/>
              </w:rPr>
              <w:t>1,15</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055D2F46" w14:textId="77777777" w:rsidR="000823BC" w:rsidRPr="00D509CF" w:rsidRDefault="000823BC" w:rsidP="00EC5EAF">
            <w:pPr>
              <w:jc w:val="center"/>
              <w:rPr>
                <w:rFonts w:ascii="Arial" w:hAnsi="Arial" w:cs="Arial"/>
                <w:sz w:val="16"/>
                <w:szCs w:val="16"/>
              </w:rPr>
            </w:pPr>
            <w:r>
              <w:rPr>
                <w:rFonts w:ascii="Arial" w:hAnsi="Arial" w:cs="Arial"/>
                <w:sz w:val="16"/>
                <w:szCs w:val="16"/>
              </w:rPr>
              <w:t>1,0626</w:t>
            </w:r>
          </w:p>
        </w:tc>
        <w:tc>
          <w:tcPr>
            <w:tcW w:w="861" w:type="dxa"/>
            <w:tcBorders>
              <w:top w:val="nil"/>
              <w:left w:val="single" w:sz="8" w:space="0" w:color="auto"/>
              <w:bottom w:val="single" w:sz="4" w:space="0" w:color="auto"/>
              <w:right w:val="single" w:sz="4" w:space="0" w:color="auto"/>
            </w:tcBorders>
            <w:shd w:val="clear" w:color="000000" w:fill="FFFFFF"/>
            <w:vAlign w:val="center"/>
            <w:hideMark/>
          </w:tcPr>
          <w:p w14:paraId="62EB4D58" w14:textId="77777777" w:rsidR="000823BC" w:rsidRPr="00E21C60" w:rsidRDefault="000823BC" w:rsidP="00EC5EAF">
            <w:pPr>
              <w:jc w:val="right"/>
              <w:rPr>
                <w:rFonts w:ascii="Arial" w:hAnsi="Arial" w:cs="Arial"/>
                <w:color w:val="000000"/>
                <w:sz w:val="16"/>
                <w:szCs w:val="16"/>
              </w:rPr>
            </w:pPr>
            <w:r w:rsidRPr="00D509CF">
              <w:rPr>
                <w:rFonts w:ascii="Arial" w:hAnsi="Arial" w:cs="Arial"/>
                <w:sz w:val="16"/>
                <w:szCs w:val="16"/>
              </w:rPr>
              <w:t>1,</w:t>
            </w:r>
            <w:r>
              <w:rPr>
                <w:rFonts w:ascii="Arial" w:hAnsi="Arial" w:cs="Arial"/>
                <w:sz w:val="16"/>
                <w:szCs w:val="16"/>
              </w:rPr>
              <w:t>8148</w:t>
            </w:r>
          </w:p>
        </w:tc>
        <w:tc>
          <w:tcPr>
            <w:tcW w:w="1022" w:type="dxa"/>
            <w:tcBorders>
              <w:top w:val="nil"/>
              <w:left w:val="nil"/>
              <w:bottom w:val="single" w:sz="4" w:space="0" w:color="auto"/>
              <w:right w:val="single" w:sz="4" w:space="0" w:color="auto"/>
            </w:tcBorders>
            <w:shd w:val="clear" w:color="000000" w:fill="EBF1DE"/>
            <w:vAlign w:val="center"/>
          </w:tcPr>
          <w:p w14:paraId="78031CA8" w14:textId="41CD8D44"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156,26%</w:t>
            </w:r>
          </w:p>
        </w:tc>
        <w:tc>
          <w:tcPr>
            <w:tcW w:w="1022" w:type="dxa"/>
            <w:tcBorders>
              <w:top w:val="nil"/>
              <w:left w:val="nil"/>
              <w:bottom w:val="single" w:sz="4" w:space="0" w:color="auto"/>
              <w:right w:val="single" w:sz="4" w:space="0" w:color="auto"/>
            </w:tcBorders>
            <w:shd w:val="clear" w:color="auto" w:fill="auto"/>
            <w:vAlign w:val="center"/>
          </w:tcPr>
          <w:p w14:paraId="2A6F4441" w14:textId="05B150E2"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266,88%</w:t>
            </w:r>
          </w:p>
        </w:tc>
      </w:tr>
      <w:tr w:rsidR="0008447E" w:rsidRPr="00E21C60" w14:paraId="69868D7E" w14:textId="77777777" w:rsidTr="0008447E">
        <w:trPr>
          <w:trHeight w:val="675"/>
        </w:trPr>
        <w:tc>
          <w:tcPr>
            <w:tcW w:w="656" w:type="dxa"/>
            <w:vMerge w:val="restart"/>
            <w:tcBorders>
              <w:top w:val="nil"/>
              <w:left w:val="single" w:sz="4" w:space="0" w:color="auto"/>
              <w:bottom w:val="single" w:sz="4" w:space="0" w:color="auto"/>
              <w:right w:val="single" w:sz="4" w:space="0" w:color="auto"/>
            </w:tcBorders>
            <w:shd w:val="clear" w:color="000000" w:fill="FFFFFF"/>
            <w:vAlign w:val="center"/>
            <w:hideMark/>
          </w:tcPr>
          <w:p w14:paraId="7EE5F777"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N/A</w:t>
            </w:r>
          </w:p>
        </w:tc>
        <w:tc>
          <w:tcPr>
            <w:tcW w:w="1568" w:type="dxa"/>
            <w:tcBorders>
              <w:top w:val="nil"/>
              <w:left w:val="nil"/>
              <w:bottom w:val="single" w:sz="4" w:space="0" w:color="auto"/>
              <w:right w:val="single" w:sz="4" w:space="0" w:color="auto"/>
            </w:tcBorders>
            <w:shd w:val="clear" w:color="000000" w:fill="FFFFFF"/>
            <w:vAlign w:val="center"/>
            <w:hideMark/>
          </w:tcPr>
          <w:p w14:paraId="57538AE3"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Počet novovytvorených pracovných miest</w:t>
            </w:r>
          </w:p>
        </w:tc>
        <w:tc>
          <w:tcPr>
            <w:tcW w:w="910" w:type="dxa"/>
            <w:tcBorders>
              <w:top w:val="nil"/>
              <w:left w:val="nil"/>
              <w:bottom w:val="single" w:sz="4" w:space="0" w:color="auto"/>
              <w:right w:val="single" w:sz="4" w:space="0" w:color="auto"/>
            </w:tcBorders>
            <w:shd w:val="clear" w:color="000000" w:fill="FFFFFF"/>
            <w:vAlign w:val="center"/>
            <w:hideMark/>
          </w:tcPr>
          <w:p w14:paraId="3B040DA4"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počet</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258C2AFD" w14:textId="77777777" w:rsidR="000823BC" w:rsidRPr="004E581A" w:rsidRDefault="000823BC" w:rsidP="00EC5EAF">
            <w:pPr>
              <w:jc w:val="center"/>
              <w:rPr>
                <w:rFonts w:ascii="Arial" w:hAnsi="Arial" w:cs="Arial"/>
                <w:iCs/>
                <w:color w:val="000000"/>
                <w:sz w:val="16"/>
                <w:szCs w:val="16"/>
              </w:rPr>
            </w:pPr>
            <w:r w:rsidRPr="000308DA">
              <w:rPr>
                <w:rFonts w:ascii="Arial" w:hAnsi="Arial" w:cs="Arial"/>
                <w:color w:val="000000"/>
                <w:sz w:val="16"/>
                <w:szCs w:val="16"/>
              </w:rPr>
              <w:t>0</w:t>
            </w:r>
          </w:p>
        </w:tc>
        <w:tc>
          <w:tcPr>
            <w:tcW w:w="922" w:type="dxa"/>
            <w:tcBorders>
              <w:top w:val="nil"/>
              <w:left w:val="single" w:sz="4" w:space="0" w:color="auto"/>
              <w:bottom w:val="single" w:sz="4" w:space="0" w:color="auto"/>
              <w:right w:val="single" w:sz="4" w:space="0" w:color="auto"/>
            </w:tcBorders>
            <w:shd w:val="clear" w:color="000000" w:fill="FFFFFF"/>
            <w:vAlign w:val="center"/>
            <w:hideMark/>
          </w:tcPr>
          <w:p w14:paraId="0D5A00A8" w14:textId="77777777" w:rsidR="000823BC" w:rsidRPr="00123376" w:rsidRDefault="000823BC" w:rsidP="00EC5EAF">
            <w:pPr>
              <w:jc w:val="right"/>
              <w:rPr>
                <w:rFonts w:ascii="Arial" w:hAnsi="Arial" w:cs="Arial"/>
                <w:iCs/>
                <w:color w:val="000000"/>
                <w:sz w:val="16"/>
                <w:szCs w:val="16"/>
              </w:rPr>
            </w:pPr>
            <w:r w:rsidRPr="00123376">
              <w:rPr>
                <w:rFonts w:ascii="Arial" w:hAnsi="Arial" w:cs="Arial"/>
                <w:iCs/>
                <w:color w:val="000000"/>
                <w:sz w:val="16"/>
                <w:szCs w:val="16"/>
              </w:rPr>
              <w:t>105</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50D7F137" w14:textId="46E55F48" w:rsidR="000823BC" w:rsidRPr="00123376" w:rsidRDefault="000823BC" w:rsidP="00EC5EAF">
            <w:pPr>
              <w:jc w:val="right"/>
              <w:rPr>
                <w:rFonts w:ascii="Arial" w:hAnsi="Arial" w:cs="Arial"/>
                <w:iCs/>
                <w:color w:val="000000"/>
                <w:sz w:val="16"/>
                <w:szCs w:val="16"/>
              </w:rPr>
            </w:pPr>
            <w:r>
              <w:rPr>
                <w:rFonts w:ascii="Arial" w:hAnsi="Arial" w:cs="Arial"/>
                <w:sz w:val="16"/>
                <w:szCs w:val="16"/>
              </w:rPr>
              <w:t>137</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074DB010" w14:textId="77777777" w:rsidR="000823BC" w:rsidRPr="00D509CF" w:rsidRDefault="000823BC" w:rsidP="00EC5EAF">
            <w:pPr>
              <w:jc w:val="center"/>
              <w:rPr>
                <w:rFonts w:ascii="Arial" w:hAnsi="Arial" w:cs="Arial"/>
                <w:sz w:val="16"/>
                <w:szCs w:val="16"/>
              </w:rPr>
            </w:pPr>
            <w:r>
              <w:rPr>
                <w:rFonts w:ascii="Arial" w:hAnsi="Arial" w:cs="Arial"/>
                <w:sz w:val="16"/>
                <w:szCs w:val="16"/>
              </w:rPr>
              <w:t>136</w:t>
            </w:r>
          </w:p>
        </w:tc>
        <w:tc>
          <w:tcPr>
            <w:tcW w:w="861" w:type="dxa"/>
            <w:tcBorders>
              <w:top w:val="nil"/>
              <w:left w:val="single" w:sz="8" w:space="0" w:color="auto"/>
              <w:bottom w:val="single" w:sz="4" w:space="0" w:color="auto"/>
              <w:right w:val="single" w:sz="4" w:space="0" w:color="auto"/>
            </w:tcBorders>
            <w:shd w:val="clear" w:color="auto" w:fill="auto"/>
            <w:vAlign w:val="center"/>
            <w:hideMark/>
          </w:tcPr>
          <w:p w14:paraId="4A680A90" w14:textId="77777777" w:rsidR="000823BC" w:rsidRPr="00123376" w:rsidRDefault="000823BC" w:rsidP="00EC5EAF">
            <w:pPr>
              <w:jc w:val="right"/>
              <w:rPr>
                <w:rFonts w:ascii="Arial" w:hAnsi="Arial" w:cs="Arial"/>
                <w:iCs/>
                <w:color w:val="000000"/>
                <w:sz w:val="16"/>
                <w:szCs w:val="16"/>
              </w:rPr>
            </w:pPr>
            <w:r>
              <w:rPr>
                <w:rFonts w:ascii="Arial" w:hAnsi="Arial" w:cs="Arial"/>
                <w:sz w:val="16"/>
                <w:szCs w:val="16"/>
              </w:rPr>
              <w:t>225</w:t>
            </w:r>
          </w:p>
        </w:tc>
        <w:tc>
          <w:tcPr>
            <w:tcW w:w="1022" w:type="dxa"/>
            <w:tcBorders>
              <w:top w:val="nil"/>
              <w:left w:val="nil"/>
              <w:bottom w:val="single" w:sz="4" w:space="0" w:color="auto"/>
              <w:right w:val="single" w:sz="4" w:space="0" w:color="auto"/>
            </w:tcBorders>
            <w:shd w:val="clear" w:color="000000" w:fill="EBF1DE"/>
            <w:vAlign w:val="center"/>
          </w:tcPr>
          <w:p w14:paraId="146A0B5C" w14:textId="7E78A625"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129,52%</w:t>
            </w:r>
          </w:p>
        </w:tc>
        <w:tc>
          <w:tcPr>
            <w:tcW w:w="1022" w:type="dxa"/>
            <w:tcBorders>
              <w:top w:val="nil"/>
              <w:left w:val="nil"/>
              <w:bottom w:val="single" w:sz="4" w:space="0" w:color="auto"/>
              <w:right w:val="single" w:sz="4" w:space="0" w:color="auto"/>
            </w:tcBorders>
            <w:shd w:val="clear" w:color="auto" w:fill="auto"/>
            <w:vAlign w:val="center"/>
          </w:tcPr>
          <w:p w14:paraId="4342821E" w14:textId="758AD48C"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214,29%</w:t>
            </w:r>
          </w:p>
        </w:tc>
      </w:tr>
      <w:tr w:rsidR="0008447E" w:rsidRPr="00E21C60" w14:paraId="7E00400B" w14:textId="77777777" w:rsidTr="0008447E">
        <w:trPr>
          <w:trHeight w:val="900"/>
        </w:trPr>
        <w:tc>
          <w:tcPr>
            <w:tcW w:w="656" w:type="dxa"/>
            <w:vMerge/>
            <w:tcBorders>
              <w:top w:val="nil"/>
              <w:left w:val="single" w:sz="4" w:space="0" w:color="auto"/>
              <w:bottom w:val="single" w:sz="4" w:space="0" w:color="auto"/>
              <w:right w:val="single" w:sz="4" w:space="0" w:color="auto"/>
            </w:tcBorders>
            <w:vAlign w:val="center"/>
            <w:hideMark/>
          </w:tcPr>
          <w:p w14:paraId="69EEF762" w14:textId="77777777" w:rsidR="000823BC" w:rsidRPr="00E21C60" w:rsidRDefault="000823BC" w:rsidP="00EC5EAF">
            <w:pPr>
              <w:rPr>
                <w:rFonts w:ascii="Arial" w:hAnsi="Arial" w:cs="Arial"/>
                <w:color w:val="000000"/>
                <w:sz w:val="16"/>
                <w:szCs w:val="16"/>
              </w:rPr>
            </w:pPr>
          </w:p>
        </w:tc>
        <w:tc>
          <w:tcPr>
            <w:tcW w:w="1568" w:type="dxa"/>
            <w:tcBorders>
              <w:top w:val="nil"/>
              <w:left w:val="nil"/>
              <w:bottom w:val="single" w:sz="4" w:space="0" w:color="auto"/>
              <w:right w:val="single" w:sz="4" w:space="0" w:color="auto"/>
            </w:tcBorders>
            <w:shd w:val="clear" w:color="000000" w:fill="FFFFFF"/>
            <w:vAlign w:val="center"/>
            <w:hideMark/>
          </w:tcPr>
          <w:p w14:paraId="0F9557ED"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Počet projektov priamej investičnej podpory malých a stredných podnikov</w:t>
            </w:r>
          </w:p>
        </w:tc>
        <w:tc>
          <w:tcPr>
            <w:tcW w:w="910" w:type="dxa"/>
            <w:tcBorders>
              <w:top w:val="nil"/>
              <w:left w:val="nil"/>
              <w:bottom w:val="single" w:sz="4" w:space="0" w:color="auto"/>
              <w:right w:val="single" w:sz="4" w:space="0" w:color="auto"/>
            </w:tcBorders>
            <w:shd w:val="clear" w:color="000000" w:fill="FFFFFF"/>
            <w:vAlign w:val="center"/>
            <w:hideMark/>
          </w:tcPr>
          <w:p w14:paraId="6F5AD318"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počet</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0A61422C" w14:textId="77777777" w:rsidR="000823BC" w:rsidRPr="004E581A" w:rsidRDefault="000823BC" w:rsidP="00EC5EAF">
            <w:pPr>
              <w:jc w:val="center"/>
              <w:rPr>
                <w:rFonts w:ascii="Arial" w:hAnsi="Arial" w:cs="Arial"/>
                <w:iCs/>
                <w:color w:val="000000"/>
                <w:sz w:val="16"/>
                <w:szCs w:val="16"/>
              </w:rPr>
            </w:pPr>
            <w:r w:rsidRPr="000308DA">
              <w:rPr>
                <w:rFonts w:ascii="Arial" w:hAnsi="Arial" w:cs="Arial"/>
                <w:color w:val="000000"/>
                <w:sz w:val="16"/>
                <w:szCs w:val="16"/>
              </w:rPr>
              <w:t>0</w:t>
            </w:r>
          </w:p>
        </w:tc>
        <w:tc>
          <w:tcPr>
            <w:tcW w:w="922" w:type="dxa"/>
            <w:tcBorders>
              <w:top w:val="nil"/>
              <w:left w:val="single" w:sz="4" w:space="0" w:color="auto"/>
              <w:bottom w:val="single" w:sz="4" w:space="0" w:color="auto"/>
              <w:right w:val="single" w:sz="4" w:space="0" w:color="auto"/>
            </w:tcBorders>
            <w:shd w:val="clear" w:color="000000" w:fill="FFFFFF"/>
            <w:vAlign w:val="center"/>
            <w:hideMark/>
          </w:tcPr>
          <w:p w14:paraId="50344E9A" w14:textId="77777777" w:rsidR="000823BC" w:rsidRPr="00123376" w:rsidRDefault="000823BC" w:rsidP="00EC5EAF">
            <w:pPr>
              <w:jc w:val="right"/>
              <w:rPr>
                <w:rFonts w:ascii="Arial" w:hAnsi="Arial" w:cs="Arial"/>
                <w:iCs/>
                <w:color w:val="000000"/>
                <w:sz w:val="16"/>
                <w:szCs w:val="16"/>
              </w:rPr>
            </w:pPr>
            <w:r w:rsidRPr="00123376">
              <w:rPr>
                <w:rFonts w:ascii="Arial" w:hAnsi="Arial" w:cs="Arial"/>
                <w:iCs/>
                <w:color w:val="000000"/>
                <w:sz w:val="16"/>
                <w:szCs w:val="16"/>
              </w:rPr>
              <w:t>30</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01B841C4" w14:textId="688518FB" w:rsidR="000823BC" w:rsidRPr="00123376" w:rsidRDefault="000823BC" w:rsidP="00EC5EAF">
            <w:pPr>
              <w:jc w:val="right"/>
              <w:rPr>
                <w:rFonts w:ascii="Arial" w:hAnsi="Arial" w:cs="Arial"/>
                <w:iCs/>
                <w:color w:val="000000"/>
                <w:sz w:val="16"/>
                <w:szCs w:val="16"/>
              </w:rPr>
            </w:pPr>
            <w:r w:rsidRPr="00D509CF">
              <w:rPr>
                <w:rFonts w:ascii="Arial" w:hAnsi="Arial" w:cs="Arial"/>
                <w:sz w:val="16"/>
                <w:szCs w:val="16"/>
              </w:rPr>
              <w:t>38</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14BFAB30" w14:textId="77777777" w:rsidR="000823BC" w:rsidRPr="00D509CF" w:rsidRDefault="000823BC" w:rsidP="00EC5EAF">
            <w:pPr>
              <w:jc w:val="center"/>
              <w:rPr>
                <w:rFonts w:ascii="Arial" w:hAnsi="Arial" w:cs="Arial"/>
                <w:sz w:val="16"/>
                <w:szCs w:val="16"/>
              </w:rPr>
            </w:pPr>
            <w:r>
              <w:rPr>
                <w:rFonts w:ascii="Arial" w:hAnsi="Arial" w:cs="Arial"/>
                <w:sz w:val="16"/>
                <w:szCs w:val="16"/>
              </w:rPr>
              <w:t>33</w:t>
            </w:r>
          </w:p>
        </w:tc>
        <w:tc>
          <w:tcPr>
            <w:tcW w:w="861" w:type="dxa"/>
            <w:tcBorders>
              <w:top w:val="nil"/>
              <w:left w:val="single" w:sz="8" w:space="0" w:color="auto"/>
              <w:bottom w:val="single" w:sz="4" w:space="0" w:color="auto"/>
              <w:right w:val="single" w:sz="4" w:space="0" w:color="auto"/>
            </w:tcBorders>
            <w:shd w:val="clear" w:color="auto" w:fill="auto"/>
            <w:vAlign w:val="center"/>
            <w:hideMark/>
          </w:tcPr>
          <w:p w14:paraId="1816FFA6" w14:textId="77777777" w:rsidR="000823BC" w:rsidRPr="00123376" w:rsidRDefault="000823BC" w:rsidP="00EC5EAF">
            <w:pPr>
              <w:jc w:val="right"/>
              <w:rPr>
                <w:rFonts w:ascii="Arial" w:hAnsi="Arial" w:cs="Arial"/>
                <w:iCs/>
                <w:color w:val="000000"/>
                <w:sz w:val="16"/>
                <w:szCs w:val="16"/>
              </w:rPr>
            </w:pPr>
            <w:r>
              <w:rPr>
                <w:rFonts w:ascii="Arial" w:hAnsi="Arial" w:cs="Arial"/>
                <w:sz w:val="16"/>
                <w:szCs w:val="16"/>
              </w:rPr>
              <w:t>38</w:t>
            </w:r>
          </w:p>
        </w:tc>
        <w:tc>
          <w:tcPr>
            <w:tcW w:w="1022" w:type="dxa"/>
            <w:tcBorders>
              <w:top w:val="nil"/>
              <w:left w:val="nil"/>
              <w:bottom w:val="single" w:sz="4" w:space="0" w:color="auto"/>
              <w:right w:val="single" w:sz="4" w:space="0" w:color="auto"/>
            </w:tcBorders>
            <w:shd w:val="clear" w:color="000000" w:fill="EBF1DE"/>
            <w:vAlign w:val="center"/>
          </w:tcPr>
          <w:p w14:paraId="455A380E" w14:textId="6A08E97B"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110,00%</w:t>
            </w:r>
          </w:p>
        </w:tc>
        <w:tc>
          <w:tcPr>
            <w:tcW w:w="1022" w:type="dxa"/>
            <w:tcBorders>
              <w:top w:val="nil"/>
              <w:left w:val="nil"/>
              <w:bottom w:val="single" w:sz="4" w:space="0" w:color="auto"/>
              <w:right w:val="single" w:sz="4" w:space="0" w:color="auto"/>
            </w:tcBorders>
            <w:shd w:val="clear" w:color="auto" w:fill="auto"/>
            <w:vAlign w:val="center"/>
          </w:tcPr>
          <w:p w14:paraId="31254621" w14:textId="72F1FFCD"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126,67%</w:t>
            </w:r>
          </w:p>
        </w:tc>
      </w:tr>
      <w:tr w:rsidR="0008447E" w:rsidRPr="00E21C60" w14:paraId="234A94CD" w14:textId="77777777" w:rsidTr="0008447E">
        <w:trPr>
          <w:trHeight w:val="1350"/>
        </w:trPr>
        <w:tc>
          <w:tcPr>
            <w:tcW w:w="656" w:type="dxa"/>
            <w:vMerge/>
            <w:tcBorders>
              <w:top w:val="nil"/>
              <w:left w:val="single" w:sz="4" w:space="0" w:color="auto"/>
              <w:bottom w:val="single" w:sz="4" w:space="0" w:color="auto"/>
              <w:right w:val="single" w:sz="4" w:space="0" w:color="auto"/>
            </w:tcBorders>
            <w:vAlign w:val="center"/>
            <w:hideMark/>
          </w:tcPr>
          <w:p w14:paraId="6AA5E0F3" w14:textId="77777777" w:rsidR="000823BC" w:rsidRPr="00E21C60" w:rsidRDefault="000823BC" w:rsidP="00EC5EAF">
            <w:pPr>
              <w:rPr>
                <w:rFonts w:ascii="Arial" w:hAnsi="Arial" w:cs="Arial"/>
                <w:color w:val="000000"/>
                <w:sz w:val="16"/>
                <w:szCs w:val="16"/>
              </w:rPr>
            </w:pPr>
          </w:p>
        </w:tc>
        <w:tc>
          <w:tcPr>
            <w:tcW w:w="1568" w:type="dxa"/>
            <w:tcBorders>
              <w:top w:val="single" w:sz="4" w:space="0" w:color="auto"/>
              <w:left w:val="nil"/>
              <w:bottom w:val="single" w:sz="4" w:space="0" w:color="auto"/>
              <w:right w:val="single" w:sz="4" w:space="0" w:color="auto"/>
            </w:tcBorders>
            <w:shd w:val="clear" w:color="000000" w:fill="FFFFFF"/>
            <w:vAlign w:val="center"/>
            <w:hideMark/>
          </w:tcPr>
          <w:p w14:paraId="78B3CD53"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Počet vytvorených pracovných miest (brutto, na plný úväzok) priamej investičnej podpory MSP</w:t>
            </w:r>
          </w:p>
        </w:tc>
        <w:tc>
          <w:tcPr>
            <w:tcW w:w="910" w:type="dxa"/>
            <w:tcBorders>
              <w:top w:val="single" w:sz="4" w:space="0" w:color="auto"/>
              <w:left w:val="nil"/>
              <w:bottom w:val="single" w:sz="4" w:space="0" w:color="auto"/>
              <w:right w:val="single" w:sz="4" w:space="0" w:color="auto"/>
            </w:tcBorders>
            <w:shd w:val="clear" w:color="000000" w:fill="FFFFFF"/>
            <w:vAlign w:val="center"/>
            <w:hideMark/>
          </w:tcPr>
          <w:p w14:paraId="24D8DD71"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počet</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2EB40E4B" w14:textId="77777777" w:rsidR="000823BC" w:rsidRPr="004E581A" w:rsidRDefault="000823BC" w:rsidP="00EC5EAF">
            <w:pPr>
              <w:jc w:val="center"/>
              <w:rPr>
                <w:rFonts w:ascii="Arial" w:hAnsi="Arial" w:cs="Arial"/>
                <w:iCs/>
                <w:color w:val="000000"/>
                <w:sz w:val="16"/>
                <w:szCs w:val="16"/>
              </w:rPr>
            </w:pPr>
            <w:r w:rsidRPr="000308DA">
              <w:rPr>
                <w:rFonts w:ascii="Arial" w:hAnsi="Arial" w:cs="Arial"/>
                <w:color w:val="000000"/>
                <w:sz w:val="16"/>
                <w:szCs w:val="16"/>
              </w:rPr>
              <w:t>0</w:t>
            </w:r>
          </w:p>
        </w:tc>
        <w:tc>
          <w:tcPr>
            <w:tcW w:w="92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C952FB5" w14:textId="77777777" w:rsidR="000823BC" w:rsidRPr="00123376" w:rsidRDefault="000823BC" w:rsidP="00EC5EAF">
            <w:pPr>
              <w:jc w:val="right"/>
              <w:rPr>
                <w:rFonts w:ascii="Arial" w:hAnsi="Arial" w:cs="Arial"/>
                <w:iCs/>
                <w:color w:val="000000"/>
                <w:sz w:val="16"/>
                <w:szCs w:val="16"/>
              </w:rPr>
            </w:pPr>
            <w:r w:rsidRPr="00123376">
              <w:rPr>
                <w:rFonts w:ascii="Arial" w:hAnsi="Arial" w:cs="Arial"/>
                <w:iCs/>
                <w:color w:val="000000"/>
                <w:sz w:val="16"/>
                <w:szCs w:val="16"/>
              </w:rPr>
              <w:t>25</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12541224" w14:textId="551C4E7E" w:rsidR="000823BC" w:rsidRPr="00123376" w:rsidRDefault="000823BC" w:rsidP="00EC5EAF">
            <w:pPr>
              <w:jc w:val="right"/>
              <w:rPr>
                <w:rFonts w:ascii="Arial" w:hAnsi="Arial" w:cs="Arial"/>
                <w:iCs/>
                <w:color w:val="000000"/>
                <w:sz w:val="16"/>
                <w:szCs w:val="16"/>
              </w:rPr>
            </w:pPr>
            <w:r>
              <w:rPr>
                <w:rFonts w:ascii="Arial" w:hAnsi="Arial" w:cs="Arial"/>
                <w:sz w:val="16"/>
                <w:szCs w:val="16"/>
              </w:rPr>
              <w:t>47</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3E48AB52" w14:textId="77777777" w:rsidR="000823BC" w:rsidRPr="00D509CF" w:rsidRDefault="000823BC" w:rsidP="00EC5EAF">
            <w:pPr>
              <w:jc w:val="center"/>
              <w:rPr>
                <w:rFonts w:ascii="Arial" w:hAnsi="Arial" w:cs="Arial"/>
                <w:sz w:val="16"/>
                <w:szCs w:val="16"/>
              </w:rPr>
            </w:pPr>
            <w:r>
              <w:rPr>
                <w:rFonts w:ascii="Arial" w:hAnsi="Arial" w:cs="Arial"/>
                <w:sz w:val="16"/>
                <w:szCs w:val="16"/>
              </w:rPr>
              <w:t>42</w:t>
            </w:r>
          </w:p>
        </w:tc>
        <w:tc>
          <w:tcPr>
            <w:tcW w:w="861"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04E14421" w14:textId="77777777" w:rsidR="000823BC" w:rsidRPr="00123376" w:rsidRDefault="000823BC" w:rsidP="00EC5EAF">
            <w:pPr>
              <w:jc w:val="right"/>
              <w:rPr>
                <w:rFonts w:ascii="Arial" w:hAnsi="Arial" w:cs="Arial"/>
                <w:iCs/>
                <w:color w:val="000000"/>
                <w:sz w:val="16"/>
                <w:szCs w:val="16"/>
              </w:rPr>
            </w:pPr>
            <w:r w:rsidRPr="00D509CF">
              <w:rPr>
                <w:rFonts w:ascii="Arial" w:hAnsi="Arial" w:cs="Arial"/>
                <w:sz w:val="16"/>
                <w:szCs w:val="16"/>
              </w:rPr>
              <w:t>87</w:t>
            </w:r>
          </w:p>
        </w:tc>
        <w:tc>
          <w:tcPr>
            <w:tcW w:w="1022" w:type="dxa"/>
            <w:tcBorders>
              <w:top w:val="single" w:sz="4" w:space="0" w:color="auto"/>
              <w:left w:val="nil"/>
              <w:bottom w:val="single" w:sz="4" w:space="0" w:color="auto"/>
              <w:right w:val="single" w:sz="4" w:space="0" w:color="auto"/>
            </w:tcBorders>
            <w:shd w:val="clear" w:color="000000" w:fill="EBF1DE"/>
            <w:vAlign w:val="center"/>
          </w:tcPr>
          <w:p w14:paraId="50FF6993" w14:textId="48EF5FCC"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168,00%</w:t>
            </w:r>
          </w:p>
        </w:tc>
        <w:tc>
          <w:tcPr>
            <w:tcW w:w="1022" w:type="dxa"/>
            <w:tcBorders>
              <w:top w:val="single" w:sz="4" w:space="0" w:color="auto"/>
              <w:left w:val="nil"/>
              <w:bottom w:val="single" w:sz="4" w:space="0" w:color="auto"/>
              <w:right w:val="single" w:sz="4" w:space="0" w:color="auto"/>
            </w:tcBorders>
            <w:shd w:val="clear" w:color="auto" w:fill="auto"/>
            <w:vAlign w:val="center"/>
          </w:tcPr>
          <w:p w14:paraId="71820018" w14:textId="223AE669"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348,00%</w:t>
            </w:r>
          </w:p>
        </w:tc>
      </w:tr>
      <w:tr w:rsidR="0008447E" w:rsidRPr="00E21C60" w14:paraId="618B7902" w14:textId="77777777" w:rsidTr="0008447E">
        <w:trPr>
          <w:trHeight w:val="675"/>
        </w:trPr>
        <w:tc>
          <w:tcPr>
            <w:tcW w:w="656" w:type="dxa"/>
            <w:vMerge/>
            <w:tcBorders>
              <w:top w:val="nil"/>
              <w:left w:val="single" w:sz="4" w:space="0" w:color="auto"/>
              <w:bottom w:val="single" w:sz="4" w:space="0" w:color="auto"/>
              <w:right w:val="single" w:sz="4" w:space="0" w:color="auto"/>
            </w:tcBorders>
            <w:vAlign w:val="center"/>
            <w:hideMark/>
          </w:tcPr>
          <w:p w14:paraId="7F3B4E84" w14:textId="77777777" w:rsidR="000823BC" w:rsidRPr="00E21C60" w:rsidRDefault="000823BC" w:rsidP="00EC5EAF">
            <w:pPr>
              <w:rPr>
                <w:rFonts w:ascii="Arial" w:hAnsi="Arial" w:cs="Arial"/>
                <w:color w:val="000000"/>
                <w:sz w:val="16"/>
                <w:szCs w:val="16"/>
              </w:rPr>
            </w:pPr>
          </w:p>
        </w:tc>
        <w:tc>
          <w:tcPr>
            <w:tcW w:w="1568" w:type="dxa"/>
            <w:tcBorders>
              <w:top w:val="nil"/>
              <w:left w:val="nil"/>
              <w:bottom w:val="single" w:sz="4" w:space="0" w:color="auto"/>
              <w:right w:val="single" w:sz="4" w:space="0" w:color="auto"/>
            </w:tcBorders>
            <w:shd w:val="clear" w:color="000000" w:fill="FFFFFF"/>
            <w:vAlign w:val="center"/>
            <w:hideMark/>
          </w:tcPr>
          <w:p w14:paraId="21401A30"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Počet projektov v oblasti odpadového hospodárstva</w:t>
            </w:r>
            <w:r>
              <w:rPr>
                <w:rFonts w:ascii="Arial" w:hAnsi="Arial" w:cs="Arial"/>
                <w:color w:val="000000"/>
                <w:sz w:val="16"/>
                <w:szCs w:val="16"/>
              </w:rPr>
              <w:t>*</w:t>
            </w:r>
          </w:p>
        </w:tc>
        <w:tc>
          <w:tcPr>
            <w:tcW w:w="910" w:type="dxa"/>
            <w:tcBorders>
              <w:top w:val="nil"/>
              <w:left w:val="nil"/>
              <w:bottom w:val="single" w:sz="4" w:space="0" w:color="auto"/>
              <w:right w:val="single" w:sz="4" w:space="0" w:color="auto"/>
            </w:tcBorders>
            <w:shd w:val="clear" w:color="000000" w:fill="FFFFFF"/>
            <w:vAlign w:val="center"/>
            <w:hideMark/>
          </w:tcPr>
          <w:p w14:paraId="33395D0F" w14:textId="77777777"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počet</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3AB3D613" w14:textId="77777777" w:rsidR="000823BC" w:rsidRPr="004E581A" w:rsidRDefault="000823BC" w:rsidP="00EC5EAF">
            <w:pPr>
              <w:jc w:val="center"/>
              <w:rPr>
                <w:rFonts w:ascii="Arial" w:hAnsi="Arial" w:cs="Arial"/>
                <w:iCs/>
                <w:color w:val="000000"/>
                <w:sz w:val="16"/>
                <w:szCs w:val="16"/>
              </w:rPr>
            </w:pPr>
            <w:r w:rsidRPr="000308DA">
              <w:rPr>
                <w:rFonts w:ascii="Arial" w:hAnsi="Arial" w:cs="Arial"/>
                <w:color w:val="000000"/>
                <w:sz w:val="16"/>
                <w:szCs w:val="16"/>
              </w:rPr>
              <w:t>0</w:t>
            </w:r>
          </w:p>
        </w:tc>
        <w:tc>
          <w:tcPr>
            <w:tcW w:w="922" w:type="dxa"/>
            <w:tcBorders>
              <w:top w:val="nil"/>
              <w:left w:val="single" w:sz="4" w:space="0" w:color="auto"/>
              <w:bottom w:val="single" w:sz="4" w:space="0" w:color="auto"/>
              <w:right w:val="single" w:sz="4" w:space="0" w:color="auto"/>
            </w:tcBorders>
            <w:shd w:val="clear" w:color="000000" w:fill="FFFFFF"/>
            <w:vAlign w:val="center"/>
            <w:hideMark/>
          </w:tcPr>
          <w:p w14:paraId="202877A3" w14:textId="77777777" w:rsidR="000823BC" w:rsidRPr="00123376" w:rsidRDefault="000823BC" w:rsidP="00EC5EAF">
            <w:pPr>
              <w:jc w:val="right"/>
              <w:rPr>
                <w:rFonts w:ascii="Arial" w:hAnsi="Arial" w:cs="Arial"/>
                <w:iCs/>
                <w:color w:val="000000"/>
                <w:sz w:val="16"/>
                <w:szCs w:val="16"/>
              </w:rPr>
            </w:pPr>
            <w:r w:rsidRPr="00123376">
              <w:rPr>
                <w:rFonts w:ascii="Arial" w:hAnsi="Arial" w:cs="Arial"/>
                <w:iCs/>
                <w:color w:val="000000"/>
                <w:sz w:val="16"/>
                <w:szCs w:val="16"/>
              </w:rPr>
              <w:t>235</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4B826ECC" w14:textId="39FC1489" w:rsidR="000823BC" w:rsidRPr="00123376" w:rsidRDefault="000823BC" w:rsidP="00EC5EAF">
            <w:pPr>
              <w:jc w:val="right"/>
              <w:rPr>
                <w:rFonts w:ascii="Arial" w:hAnsi="Arial" w:cs="Arial"/>
                <w:iCs/>
                <w:color w:val="000000"/>
                <w:sz w:val="16"/>
                <w:szCs w:val="16"/>
              </w:rPr>
            </w:pPr>
            <w:r>
              <w:rPr>
                <w:rFonts w:ascii="Arial" w:hAnsi="Arial" w:cs="Arial"/>
                <w:sz w:val="16"/>
                <w:szCs w:val="16"/>
              </w:rPr>
              <w:t>267</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65E165FE" w14:textId="7359FA0E" w:rsidR="000823BC" w:rsidRPr="00D509CF" w:rsidRDefault="00301DCD" w:rsidP="00EC5EAF">
            <w:pPr>
              <w:jc w:val="center"/>
              <w:rPr>
                <w:rFonts w:ascii="Arial" w:hAnsi="Arial" w:cs="Arial"/>
                <w:sz w:val="16"/>
                <w:szCs w:val="16"/>
              </w:rPr>
            </w:pPr>
            <w:r>
              <w:rPr>
                <w:rFonts w:ascii="Arial" w:hAnsi="Arial" w:cs="Arial"/>
                <w:sz w:val="16"/>
                <w:szCs w:val="16"/>
              </w:rPr>
              <w:t>265</w:t>
            </w:r>
          </w:p>
        </w:tc>
        <w:tc>
          <w:tcPr>
            <w:tcW w:w="861" w:type="dxa"/>
            <w:tcBorders>
              <w:top w:val="nil"/>
              <w:left w:val="single" w:sz="8" w:space="0" w:color="auto"/>
              <w:bottom w:val="single" w:sz="4" w:space="0" w:color="auto"/>
              <w:right w:val="single" w:sz="4" w:space="0" w:color="auto"/>
            </w:tcBorders>
            <w:shd w:val="clear" w:color="auto" w:fill="auto"/>
            <w:vAlign w:val="center"/>
            <w:hideMark/>
          </w:tcPr>
          <w:p w14:paraId="1312B1F8" w14:textId="77777777" w:rsidR="000823BC" w:rsidRPr="00123376" w:rsidRDefault="000823BC" w:rsidP="00EC5EAF">
            <w:pPr>
              <w:jc w:val="right"/>
              <w:rPr>
                <w:rFonts w:ascii="Arial" w:hAnsi="Arial" w:cs="Arial"/>
                <w:iCs/>
                <w:color w:val="000000"/>
                <w:sz w:val="16"/>
                <w:szCs w:val="16"/>
              </w:rPr>
            </w:pPr>
            <w:r>
              <w:rPr>
                <w:rFonts w:ascii="Arial" w:hAnsi="Arial" w:cs="Arial"/>
                <w:sz w:val="16"/>
                <w:szCs w:val="16"/>
              </w:rPr>
              <w:t>265</w:t>
            </w:r>
          </w:p>
        </w:tc>
        <w:tc>
          <w:tcPr>
            <w:tcW w:w="1022" w:type="dxa"/>
            <w:tcBorders>
              <w:top w:val="nil"/>
              <w:left w:val="nil"/>
              <w:bottom w:val="single" w:sz="4" w:space="0" w:color="auto"/>
              <w:right w:val="single" w:sz="4" w:space="0" w:color="auto"/>
            </w:tcBorders>
            <w:shd w:val="clear" w:color="000000" w:fill="EBF1DE"/>
            <w:vAlign w:val="center"/>
          </w:tcPr>
          <w:p w14:paraId="4F4231C3" w14:textId="2F930976" w:rsidR="000823BC" w:rsidRPr="00E21C60" w:rsidRDefault="00301DCD" w:rsidP="00301DCD">
            <w:pPr>
              <w:jc w:val="center"/>
              <w:rPr>
                <w:rFonts w:ascii="Arial" w:hAnsi="Arial" w:cs="Arial"/>
                <w:color w:val="000000"/>
                <w:sz w:val="16"/>
                <w:szCs w:val="16"/>
              </w:rPr>
            </w:pPr>
            <w:r>
              <w:rPr>
                <w:rFonts w:ascii="Arial" w:hAnsi="Arial" w:cs="Arial"/>
                <w:color w:val="000000"/>
                <w:sz w:val="16"/>
                <w:szCs w:val="16"/>
              </w:rPr>
              <w:t>112</w:t>
            </w:r>
            <w:r w:rsidR="000823BC">
              <w:rPr>
                <w:rFonts w:ascii="Arial" w:hAnsi="Arial" w:cs="Arial"/>
                <w:color w:val="000000"/>
                <w:sz w:val="16"/>
                <w:szCs w:val="16"/>
              </w:rPr>
              <w:t>,</w:t>
            </w:r>
            <w:r>
              <w:rPr>
                <w:rFonts w:ascii="Arial" w:hAnsi="Arial" w:cs="Arial"/>
                <w:color w:val="000000"/>
                <w:sz w:val="16"/>
                <w:szCs w:val="16"/>
              </w:rPr>
              <w:t>77</w:t>
            </w:r>
            <w:r w:rsidR="000823BC">
              <w:rPr>
                <w:rFonts w:ascii="Arial" w:hAnsi="Arial" w:cs="Arial"/>
                <w:color w:val="000000"/>
                <w:sz w:val="16"/>
                <w:szCs w:val="16"/>
              </w:rPr>
              <w:t>%</w:t>
            </w:r>
          </w:p>
        </w:tc>
        <w:tc>
          <w:tcPr>
            <w:tcW w:w="1022" w:type="dxa"/>
            <w:tcBorders>
              <w:top w:val="nil"/>
              <w:left w:val="nil"/>
              <w:bottom w:val="single" w:sz="4" w:space="0" w:color="auto"/>
              <w:right w:val="single" w:sz="4" w:space="0" w:color="auto"/>
            </w:tcBorders>
            <w:shd w:val="clear" w:color="auto" w:fill="auto"/>
            <w:vAlign w:val="center"/>
          </w:tcPr>
          <w:p w14:paraId="397BE84C" w14:textId="23756922"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112,77%</w:t>
            </w:r>
          </w:p>
        </w:tc>
      </w:tr>
      <w:tr w:rsidR="0008447E" w:rsidRPr="00E21C60" w14:paraId="1A93FB76" w14:textId="77777777" w:rsidTr="0008447E">
        <w:trPr>
          <w:trHeight w:val="300"/>
        </w:trPr>
        <w:tc>
          <w:tcPr>
            <w:tcW w:w="656" w:type="dxa"/>
            <w:vMerge/>
            <w:tcBorders>
              <w:top w:val="nil"/>
              <w:left w:val="single" w:sz="4" w:space="0" w:color="auto"/>
              <w:bottom w:val="single" w:sz="4" w:space="0" w:color="auto"/>
              <w:right w:val="single" w:sz="4" w:space="0" w:color="auto"/>
            </w:tcBorders>
            <w:vAlign w:val="center"/>
            <w:hideMark/>
          </w:tcPr>
          <w:p w14:paraId="3EAE33EB" w14:textId="77777777" w:rsidR="000823BC" w:rsidRPr="00E21C60" w:rsidRDefault="000823BC" w:rsidP="00EC5EAF">
            <w:pPr>
              <w:rPr>
                <w:rFonts w:ascii="Arial" w:hAnsi="Arial" w:cs="Arial"/>
                <w:color w:val="000000"/>
                <w:sz w:val="16"/>
                <w:szCs w:val="16"/>
              </w:rPr>
            </w:pPr>
          </w:p>
        </w:tc>
        <w:tc>
          <w:tcPr>
            <w:tcW w:w="1568" w:type="dxa"/>
            <w:tcBorders>
              <w:top w:val="nil"/>
              <w:left w:val="nil"/>
              <w:bottom w:val="single" w:sz="4" w:space="0" w:color="auto"/>
              <w:right w:val="single" w:sz="4" w:space="0" w:color="auto"/>
            </w:tcBorders>
            <w:shd w:val="clear" w:color="auto" w:fill="auto"/>
            <w:vAlign w:val="center"/>
            <w:hideMark/>
          </w:tcPr>
          <w:p w14:paraId="3C0A9151" w14:textId="77777777" w:rsidR="000823BC" w:rsidRPr="00E21C60" w:rsidRDefault="000823BC" w:rsidP="00EC5EAF">
            <w:pPr>
              <w:rPr>
                <w:rFonts w:ascii="Arial" w:hAnsi="Arial" w:cs="Arial"/>
                <w:color w:val="000000"/>
                <w:sz w:val="16"/>
                <w:szCs w:val="16"/>
              </w:rPr>
            </w:pPr>
            <w:r w:rsidRPr="00E21C60">
              <w:rPr>
                <w:rFonts w:ascii="Arial" w:hAnsi="Arial" w:cs="Arial"/>
                <w:color w:val="000000"/>
                <w:sz w:val="16"/>
                <w:szCs w:val="16"/>
              </w:rPr>
              <w:t>Vyvolané investície</w:t>
            </w:r>
          </w:p>
        </w:tc>
        <w:tc>
          <w:tcPr>
            <w:tcW w:w="910" w:type="dxa"/>
            <w:tcBorders>
              <w:top w:val="nil"/>
              <w:left w:val="nil"/>
              <w:bottom w:val="single" w:sz="4" w:space="0" w:color="auto"/>
              <w:right w:val="single" w:sz="4" w:space="0" w:color="auto"/>
            </w:tcBorders>
            <w:shd w:val="clear" w:color="000000" w:fill="FFFFFF"/>
            <w:vAlign w:val="center"/>
            <w:hideMark/>
          </w:tcPr>
          <w:p w14:paraId="7C75AD2F" w14:textId="6F4D385F" w:rsidR="000823BC" w:rsidRPr="00E21C60" w:rsidRDefault="000823BC" w:rsidP="00EC5EAF">
            <w:pPr>
              <w:jc w:val="center"/>
              <w:rPr>
                <w:rFonts w:ascii="Arial" w:hAnsi="Arial" w:cs="Arial"/>
                <w:color w:val="000000"/>
                <w:sz w:val="16"/>
                <w:szCs w:val="16"/>
              </w:rPr>
            </w:pPr>
            <w:r w:rsidRPr="00E21C60">
              <w:rPr>
                <w:rFonts w:ascii="Arial" w:hAnsi="Arial" w:cs="Arial"/>
                <w:color w:val="000000"/>
                <w:sz w:val="16"/>
                <w:szCs w:val="16"/>
              </w:rPr>
              <w:t xml:space="preserve">mil. </w:t>
            </w:r>
            <w:r w:rsidR="00366C2D">
              <w:rPr>
                <w:rFonts w:ascii="Arial" w:hAnsi="Arial" w:cs="Arial"/>
                <w:color w:val="000000"/>
                <w:sz w:val="16"/>
                <w:szCs w:val="16"/>
              </w:rPr>
              <w:t>€</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4981DF55" w14:textId="77777777" w:rsidR="000823BC" w:rsidRPr="004E581A" w:rsidRDefault="000823BC" w:rsidP="00EC5EAF">
            <w:pPr>
              <w:jc w:val="center"/>
              <w:rPr>
                <w:rFonts w:ascii="Arial" w:hAnsi="Arial" w:cs="Arial"/>
                <w:color w:val="000000"/>
                <w:sz w:val="16"/>
                <w:szCs w:val="16"/>
              </w:rPr>
            </w:pPr>
            <w:r w:rsidRPr="000308DA">
              <w:rPr>
                <w:rFonts w:ascii="Arial" w:hAnsi="Arial" w:cs="Arial"/>
                <w:color w:val="000000"/>
                <w:sz w:val="16"/>
                <w:szCs w:val="16"/>
              </w:rPr>
              <w:t>0</w:t>
            </w:r>
          </w:p>
        </w:tc>
        <w:tc>
          <w:tcPr>
            <w:tcW w:w="922" w:type="dxa"/>
            <w:tcBorders>
              <w:top w:val="nil"/>
              <w:left w:val="single" w:sz="4" w:space="0" w:color="auto"/>
              <w:bottom w:val="single" w:sz="4" w:space="0" w:color="auto"/>
              <w:right w:val="single" w:sz="4" w:space="0" w:color="auto"/>
            </w:tcBorders>
            <w:shd w:val="clear" w:color="000000" w:fill="FFFFFF"/>
            <w:vAlign w:val="center"/>
            <w:hideMark/>
          </w:tcPr>
          <w:p w14:paraId="16619214" w14:textId="77777777" w:rsidR="000823BC" w:rsidRPr="00E21C60" w:rsidRDefault="000823BC" w:rsidP="00EC5EAF">
            <w:pPr>
              <w:jc w:val="right"/>
              <w:rPr>
                <w:rFonts w:ascii="Arial" w:hAnsi="Arial" w:cs="Arial"/>
                <w:color w:val="000000"/>
                <w:sz w:val="16"/>
                <w:szCs w:val="16"/>
              </w:rPr>
            </w:pPr>
            <w:r w:rsidRPr="00E21C60">
              <w:rPr>
                <w:rFonts w:ascii="Arial" w:hAnsi="Arial" w:cs="Arial"/>
                <w:color w:val="000000"/>
                <w:sz w:val="16"/>
                <w:szCs w:val="16"/>
              </w:rPr>
              <w:t>50,00</w:t>
            </w:r>
          </w:p>
        </w:tc>
        <w:tc>
          <w:tcPr>
            <w:tcW w:w="672" w:type="dxa"/>
            <w:tcBorders>
              <w:top w:val="single" w:sz="4" w:space="0" w:color="auto"/>
              <w:left w:val="nil"/>
              <w:bottom w:val="single" w:sz="4" w:space="0" w:color="auto"/>
              <w:right w:val="single" w:sz="8" w:space="0" w:color="auto"/>
            </w:tcBorders>
            <w:shd w:val="clear" w:color="auto" w:fill="auto"/>
            <w:vAlign w:val="center"/>
            <w:hideMark/>
          </w:tcPr>
          <w:p w14:paraId="382DC6B5" w14:textId="16ACA0AB" w:rsidR="000823BC" w:rsidRPr="00E21C60" w:rsidRDefault="000823BC" w:rsidP="00EC5EAF">
            <w:pPr>
              <w:jc w:val="right"/>
              <w:rPr>
                <w:rFonts w:ascii="Arial" w:hAnsi="Arial" w:cs="Arial"/>
                <w:color w:val="000000"/>
                <w:sz w:val="16"/>
                <w:szCs w:val="16"/>
              </w:rPr>
            </w:pPr>
            <w:r>
              <w:rPr>
                <w:rFonts w:ascii="Arial" w:hAnsi="Arial" w:cs="Arial"/>
                <w:sz w:val="16"/>
                <w:szCs w:val="16"/>
              </w:rPr>
              <w:t>40,97</w:t>
            </w:r>
          </w:p>
        </w:tc>
        <w:tc>
          <w:tcPr>
            <w:tcW w:w="861" w:type="dxa"/>
            <w:tcBorders>
              <w:top w:val="single" w:sz="8" w:space="0" w:color="auto"/>
              <w:left w:val="single" w:sz="8" w:space="0" w:color="auto"/>
              <w:bottom w:val="single" w:sz="8" w:space="0" w:color="auto"/>
              <w:right w:val="single" w:sz="8" w:space="0" w:color="auto"/>
            </w:tcBorders>
            <w:shd w:val="clear" w:color="auto" w:fill="EAF1DD" w:themeFill="accent3" w:themeFillTint="33"/>
            <w:vAlign w:val="center"/>
          </w:tcPr>
          <w:p w14:paraId="4F2CE57F" w14:textId="77777777" w:rsidR="000823BC" w:rsidRPr="00D509CF" w:rsidRDefault="000823BC" w:rsidP="00EC5EAF">
            <w:pPr>
              <w:jc w:val="center"/>
              <w:rPr>
                <w:rFonts w:ascii="Arial" w:hAnsi="Arial" w:cs="Arial"/>
                <w:sz w:val="16"/>
                <w:szCs w:val="16"/>
              </w:rPr>
            </w:pPr>
            <w:r>
              <w:rPr>
                <w:rFonts w:ascii="Arial" w:hAnsi="Arial" w:cs="Arial"/>
                <w:sz w:val="16"/>
                <w:szCs w:val="16"/>
              </w:rPr>
              <w:t>41,8</w:t>
            </w:r>
          </w:p>
        </w:tc>
        <w:tc>
          <w:tcPr>
            <w:tcW w:w="861" w:type="dxa"/>
            <w:tcBorders>
              <w:top w:val="nil"/>
              <w:left w:val="single" w:sz="8" w:space="0" w:color="auto"/>
              <w:bottom w:val="single" w:sz="4" w:space="0" w:color="auto"/>
              <w:right w:val="single" w:sz="4" w:space="0" w:color="auto"/>
            </w:tcBorders>
            <w:shd w:val="clear" w:color="auto" w:fill="auto"/>
            <w:vAlign w:val="center"/>
            <w:hideMark/>
          </w:tcPr>
          <w:p w14:paraId="086D0784" w14:textId="77777777" w:rsidR="000823BC" w:rsidRPr="00E21C60" w:rsidRDefault="000823BC" w:rsidP="00EC5EAF">
            <w:pPr>
              <w:jc w:val="right"/>
              <w:rPr>
                <w:rFonts w:ascii="Arial" w:hAnsi="Arial" w:cs="Arial"/>
                <w:color w:val="000000"/>
                <w:sz w:val="16"/>
                <w:szCs w:val="16"/>
              </w:rPr>
            </w:pPr>
            <w:r>
              <w:rPr>
                <w:rFonts w:ascii="Arial" w:hAnsi="Arial" w:cs="Arial"/>
                <w:sz w:val="16"/>
                <w:szCs w:val="16"/>
              </w:rPr>
              <w:t>46,54</w:t>
            </w:r>
          </w:p>
        </w:tc>
        <w:tc>
          <w:tcPr>
            <w:tcW w:w="1022" w:type="dxa"/>
            <w:tcBorders>
              <w:top w:val="nil"/>
              <w:left w:val="nil"/>
              <w:bottom w:val="single" w:sz="4" w:space="0" w:color="auto"/>
              <w:right w:val="single" w:sz="4" w:space="0" w:color="auto"/>
            </w:tcBorders>
            <w:shd w:val="clear" w:color="000000" w:fill="EBF1DE"/>
            <w:vAlign w:val="center"/>
          </w:tcPr>
          <w:p w14:paraId="59C60647" w14:textId="6A4F073B"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83,60%</w:t>
            </w:r>
          </w:p>
        </w:tc>
        <w:tc>
          <w:tcPr>
            <w:tcW w:w="1022" w:type="dxa"/>
            <w:tcBorders>
              <w:top w:val="nil"/>
              <w:left w:val="nil"/>
              <w:bottom w:val="single" w:sz="4" w:space="0" w:color="auto"/>
              <w:right w:val="single" w:sz="4" w:space="0" w:color="auto"/>
            </w:tcBorders>
            <w:shd w:val="clear" w:color="auto" w:fill="auto"/>
            <w:vAlign w:val="center"/>
          </w:tcPr>
          <w:p w14:paraId="1CEBBBE5" w14:textId="74D54004" w:rsidR="000823BC" w:rsidRPr="00E21C60" w:rsidRDefault="000823BC" w:rsidP="00EC5EAF">
            <w:pPr>
              <w:jc w:val="center"/>
              <w:rPr>
                <w:rFonts w:ascii="Arial" w:hAnsi="Arial" w:cs="Arial"/>
                <w:color w:val="000000"/>
                <w:sz w:val="16"/>
                <w:szCs w:val="16"/>
              </w:rPr>
            </w:pPr>
            <w:r>
              <w:rPr>
                <w:rFonts w:ascii="Arial" w:hAnsi="Arial" w:cs="Arial"/>
                <w:color w:val="000000"/>
                <w:sz w:val="16"/>
                <w:szCs w:val="16"/>
              </w:rPr>
              <w:t>93,08%</w:t>
            </w:r>
          </w:p>
        </w:tc>
      </w:tr>
    </w:tbl>
    <w:p w14:paraId="3A22AB58" w14:textId="77777777" w:rsidR="008A5121" w:rsidRDefault="008A5121" w:rsidP="008A5121">
      <w:pPr>
        <w:pStyle w:val="Zkladntextb"/>
        <w:spacing w:after="0" w:line="240" w:lineRule="auto"/>
        <w:ind w:left="0"/>
        <w:jc w:val="both"/>
        <w:rPr>
          <w:rFonts w:cs="Arial"/>
          <w:sz w:val="16"/>
          <w:szCs w:val="16"/>
          <w:lang w:val="sk-SK"/>
        </w:rPr>
      </w:pPr>
    </w:p>
    <w:p w14:paraId="5F1421C3" w14:textId="77777777" w:rsidR="008A5121" w:rsidRDefault="008A5121" w:rsidP="008A5121">
      <w:pPr>
        <w:pStyle w:val="Zkladntextb"/>
        <w:spacing w:after="0" w:line="240" w:lineRule="auto"/>
        <w:ind w:left="0"/>
        <w:jc w:val="both"/>
        <w:rPr>
          <w:rFonts w:cs="Arial"/>
          <w:sz w:val="16"/>
          <w:szCs w:val="16"/>
          <w:lang w:val="sk-SK"/>
        </w:rPr>
      </w:pPr>
      <w:r w:rsidRPr="00932DFF">
        <w:rPr>
          <w:rFonts w:cs="Arial"/>
          <w:sz w:val="16"/>
          <w:szCs w:val="16"/>
          <w:lang w:val="sk-SK"/>
        </w:rPr>
        <w:t>*</w:t>
      </w:r>
      <w:r>
        <w:rPr>
          <w:rFonts w:cs="Arial"/>
          <w:sz w:val="16"/>
          <w:szCs w:val="16"/>
          <w:lang w:val="sk-SK"/>
        </w:rPr>
        <w:t xml:space="preserve"> indikátor uvádza počet projektov v oblasti odpadového hospodárstva (prioritná téma HT 44), bez projektov v oblasti odstraňovania environmentálnych záťaží (prioritná téma HT 50) </w:t>
      </w:r>
    </w:p>
    <w:p w14:paraId="22602B08" w14:textId="77777777" w:rsidR="008A5121" w:rsidRPr="00E21C60" w:rsidRDefault="008A5121" w:rsidP="008A5121">
      <w:pPr>
        <w:pStyle w:val="Zkladntextb"/>
        <w:spacing w:after="0" w:line="240" w:lineRule="auto"/>
        <w:ind w:left="0"/>
        <w:jc w:val="both"/>
        <w:rPr>
          <w:rFonts w:cs="Arial"/>
          <w:sz w:val="16"/>
          <w:szCs w:val="16"/>
          <w:lang w:val="sk-SK"/>
        </w:rPr>
      </w:pPr>
      <w:r w:rsidRPr="00E21C60">
        <w:rPr>
          <w:rFonts w:cs="Arial"/>
          <w:sz w:val="16"/>
          <w:szCs w:val="16"/>
          <w:lang w:val="sk-SK"/>
        </w:rPr>
        <w:t>Zdroj: RO, ITMS</w:t>
      </w:r>
    </w:p>
    <w:p w14:paraId="5E5F88AD" w14:textId="1902B2E8" w:rsidR="008A5121" w:rsidRPr="00BE63A8" w:rsidRDefault="008A5121" w:rsidP="008A5121">
      <w:pPr>
        <w:pStyle w:val="Zkladntextb"/>
        <w:spacing w:before="120" w:after="120" w:line="240" w:lineRule="auto"/>
        <w:ind w:left="0"/>
        <w:jc w:val="both"/>
        <w:rPr>
          <w:rFonts w:cs="Arial"/>
          <w:szCs w:val="22"/>
          <w:lang w:val="sk-SK"/>
        </w:rPr>
      </w:pPr>
      <w:r w:rsidRPr="00E21C60">
        <w:rPr>
          <w:rFonts w:cs="Arial"/>
          <w:lang w:val="sk-SK"/>
        </w:rPr>
        <w:lastRenderedPageBreak/>
        <w:t>Vo všeobecnosti môžeme uviesť</w:t>
      </w:r>
      <w:r w:rsidRPr="00B46ED6">
        <w:rPr>
          <w:rFonts w:cs="Arial"/>
          <w:lang w:val="sk-SK"/>
        </w:rPr>
        <w:t xml:space="preserve">, že k 31. </w:t>
      </w:r>
      <w:r w:rsidR="00CA1A6C" w:rsidRPr="00B46ED6">
        <w:rPr>
          <w:rFonts w:cs="Arial"/>
          <w:lang w:val="sk-SK"/>
        </w:rPr>
        <w:t>10</w:t>
      </w:r>
      <w:r w:rsidRPr="00B46ED6">
        <w:rPr>
          <w:rFonts w:cs="Arial"/>
          <w:lang w:val="sk-SK"/>
        </w:rPr>
        <w:t>. 2016 z osemnástich ukazovateľov charakterizujúcich</w:t>
      </w:r>
      <w:r>
        <w:rPr>
          <w:rFonts w:cs="Arial"/>
          <w:lang w:val="sk-SK"/>
        </w:rPr>
        <w:t xml:space="preserve"> dosahovanie cieľov v rámci prioritnej osi 4, desať</w:t>
      </w:r>
      <w:r w:rsidRPr="00E21C60">
        <w:rPr>
          <w:rFonts w:cs="Arial"/>
          <w:lang w:val="sk-SK"/>
        </w:rPr>
        <w:t xml:space="preserve"> ukazovateľov dosahuje cieľové hodnoty </w:t>
      </w:r>
      <w:r>
        <w:rPr>
          <w:rFonts w:cs="Arial"/>
          <w:lang w:val="sk-SK"/>
        </w:rPr>
        <w:t xml:space="preserve">stanovené </w:t>
      </w:r>
      <w:r w:rsidRPr="00E21C60">
        <w:rPr>
          <w:rFonts w:cs="Arial"/>
          <w:lang w:val="sk-SK"/>
        </w:rPr>
        <w:t>v OP ŽP</w:t>
      </w:r>
      <w:r>
        <w:rPr>
          <w:rFonts w:cs="Arial"/>
          <w:lang w:val="sk-SK"/>
        </w:rPr>
        <w:t>. R</w:t>
      </w:r>
      <w:r w:rsidRPr="00E21C60">
        <w:rPr>
          <w:rFonts w:cs="Arial"/>
          <w:lang w:val="sk-SK"/>
        </w:rPr>
        <w:t xml:space="preserve">ealizáciou </w:t>
      </w:r>
      <w:r w:rsidRPr="00BE63A8">
        <w:rPr>
          <w:rFonts w:cs="Arial"/>
          <w:lang w:val="sk-SK"/>
        </w:rPr>
        <w:t>zazmluvnených projektov dôjde k naplneniu, resp. prekročeniu cieľo</w:t>
      </w:r>
      <w:r w:rsidRPr="00160254">
        <w:rPr>
          <w:rFonts w:cs="Arial"/>
          <w:lang w:val="sk-SK"/>
        </w:rPr>
        <w:t>vej hodnoty</w:t>
      </w:r>
      <w:r w:rsidRPr="00BE63A8">
        <w:rPr>
          <w:rFonts w:cs="Arial"/>
          <w:lang w:val="sk-SK"/>
        </w:rPr>
        <w:t xml:space="preserve"> pri ďalších dvoch ukazovateľoch. Najmarkantnejšie </w:t>
      </w:r>
      <w:r w:rsidRPr="00BE63A8">
        <w:rPr>
          <w:rFonts w:cs="Arial"/>
          <w:szCs w:val="28"/>
          <w:lang w:val="sk-SK"/>
        </w:rPr>
        <w:t>prekročenie cieľovej hodnoty je pri ukazovateľoch „Počet vybudovaných alebo zmodernizovaných zariadení na separovaný zber“, „Počet vybudovaných alebo zmodernizovaných zariadení na materiálové zhodnocovanie odpadov“ a „Množstvo materiálovo zhodnotených odpadov (spolu za projekty)“. Prekročenie cieľov hodnoty ukazovateľa „Počet vybudovaných alebo zmodernizovaných zariadení na separovaný zber“ (</w:t>
      </w:r>
      <w:r w:rsidR="002C47DB">
        <w:rPr>
          <w:rFonts w:cs="Arial"/>
          <w:szCs w:val="28"/>
          <w:lang w:val="sk-SK"/>
        </w:rPr>
        <w:t>570</w:t>
      </w:r>
      <w:r w:rsidRPr="00BE63A8">
        <w:rPr>
          <w:rFonts w:cs="Arial"/>
          <w:szCs w:val="28"/>
          <w:lang w:val="sk-SK"/>
        </w:rPr>
        <w:t>,</w:t>
      </w:r>
      <w:r w:rsidR="002C47DB">
        <w:rPr>
          <w:rFonts w:cs="Arial"/>
          <w:szCs w:val="28"/>
          <w:lang w:val="sk-SK"/>
        </w:rPr>
        <w:t>73</w:t>
      </w:r>
      <w:r w:rsidR="002C47DB" w:rsidRPr="00BE63A8">
        <w:rPr>
          <w:rFonts w:cs="Arial"/>
          <w:szCs w:val="28"/>
          <w:lang w:val="sk-SK"/>
        </w:rPr>
        <w:t xml:space="preserve"> </w:t>
      </w:r>
      <w:r w:rsidRPr="00BE63A8">
        <w:rPr>
          <w:rFonts w:cs="Arial"/>
          <w:szCs w:val="28"/>
          <w:lang w:val="sk-SK"/>
        </w:rPr>
        <w:t>%) je spôsobené započítaním vybudovaných zberných miest (kontajnerových stojísk) do hodnoty ukazovateľa, pričom pri stanovení cieľovej hodnoty sa počítalo iba s vybudovanými zbernými dvormi.</w:t>
      </w:r>
      <w:r w:rsidRPr="00BE63A8">
        <w:rPr>
          <w:rFonts w:cs="Arial"/>
          <w:lang w:val="sk-SK"/>
        </w:rPr>
        <w:t xml:space="preserve"> Niekoľkonásobné prekročenie cieľovej hodnoty ukazovateľov týkajúcich sa realizácie projektov v oblasti materiálového a energetického zhodnocovania odpadov vyplýva predovšetkým z vysokej absorpčnej kapacity žiadateľov o NFP. Zároveň,  podpora v rámci prioritnej osi 4 sa zameriavala, v zmysle hierarchie odpadového hospodárstva stanovenej v zákone č. 223/2001 Z. z. o odpadoch a o zmene a doplnení niektorých zákonov v znení neskorších predpisov, predovšetkým na projekty zhodnocovania (recyklácie) nie nebezpečných a nebezpečných odpadov. Najviac podporených projektov v oblasti zhodnocovania odpadov predstavujú zariadenia na zhodnocovanie biologicky rozložiteľných odpadov – kompostárne. Podporou uvedených projektov OP ŽP prispieva k zníženiu množstva biologicky rozložiteľných odpadov, </w:t>
      </w:r>
      <w:r w:rsidR="00082743" w:rsidRPr="00BE63A8">
        <w:rPr>
          <w:rFonts w:cs="Arial"/>
          <w:lang w:val="sk-SK"/>
        </w:rPr>
        <w:t>ktoré</w:t>
      </w:r>
      <w:r w:rsidRPr="00BE63A8">
        <w:rPr>
          <w:rFonts w:cs="Arial"/>
          <w:lang w:val="sk-SK"/>
        </w:rPr>
        <w:t xml:space="preserve"> by boli inak zneškodnené skládkovaním.   </w:t>
      </w:r>
    </w:p>
    <w:p w14:paraId="120B4C96" w14:textId="23E9FCA3" w:rsidR="008A5121" w:rsidRDefault="008A5121" w:rsidP="008A5121">
      <w:pPr>
        <w:pStyle w:val="Zkladntextb"/>
        <w:spacing w:before="120" w:after="120" w:line="240" w:lineRule="auto"/>
        <w:ind w:left="0"/>
        <w:jc w:val="both"/>
        <w:rPr>
          <w:rFonts w:cs="Arial"/>
          <w:szCs w:val="22"/>
          <w:lang w:val="sk-SK"/>
        </w:rPr>
      </w:pPr>
      <w:r w:rsidRPr="00B46ED6">
        <w:rPr>
          <w:rFonts w:cs="Arial"/>
          <w:szCs w:val="22"/>
          <w:lang w:val="sk-SK"/>
        </w:rPr>
        <w:t>K 31.</w:t>
      </w:r>
      <w:r w:rsidR="00AF4DE9">
        <w:rPr>
          <w:rFonts w:cs="Arial"/>
          <w:szCs w:val="22"/>
          <w:lang w:val="sk-SK"/>
        </w:rPr>
        <w:t xml:space="preserve"> </w:t>
      </w:r>
      <w:r w:rsidR="00CA1A6C" w:rsidRPr="00B46ED6">
        <w:rPr>
          <w:rFonts w:cs="Arial"/>
          <w:szCs w:val="22"/>
          <w:lang w:val="sk-SK"/>
        </w:rPr>
        <w:t>10</w:t>
      </w:r>
      <w:r w:rsidRPr="00B46ED6">
        <w:rPr>
          <w:rFonts w:cs="Arial"/>
          <w:szCs w:val="22"/>
          <w:lang w:val="sk-SK"/>
        </w:rPr>
        <w:t>.</w:t>
      </w:r>
      <w:r w:rsidR="00AF4DE9">
        <w:rPr>
          <w:rFonts w:cs="Arial"/>
          <w:szCs w:val="22"/>
          <w:lang w:val="sk-SK"/>
        </w:rPr>
        <w:t xml:space="preserve"> </w:t>
      </w:r>
      <w:r w:rsidRPr="00B46ED6">
        <w:rPr>
          <w:rFonts w:cs="Arial"/>
          <w:szCs w:val="22"/>
          <w:lang w:val="sk-SK"/>
        </w:rPr>
        <w:t>2016</w:t>
      </w:r>
      <w:r w:rsidRPr="00BE63A8">
        <w:rPr>
          <w:rFonts w:cs="Arial"/>
          <w:szCs w:val="22"/>
          <w:lang w:val="sk-SK"/>
        </w:rPr>
        <w:t xml:space="preserve"> boli úspešne naplnené cieľové hodnoty ukazovateľov „Počet uzatvorených a zrekultivovaných skládok“, „Veľkosť zrekultivovanej a sanovanej plochy“ v rámci operačného cieľa 4.5 (celkovo pokrývajúc operačný ciel 4.4 a 4.5 bol </w:t>
      </w:r>
      <w:r w:rsidR="00366E1A">
        <w:rPr>
          <w:rFonts w:cs="Arial"/>
          <w:szCs w:val="22"/>
          <w:lang w:val="sk-SK"/>
        </w:rPr>
        <w:t>cieľ</w:t>
      </w:r>
      <w:r w:rsidRPr="00BE63A8">
        <w:rPr>
          <w:rFonts w:cs="Arial"/>
          <w:szCs w:val="22"/>
          <w:lang w:val="sk-SK"/>
        </w:rPr>
        <w:t xml:space="preserve"> core indikátora 29 naplnený na 83,67%),„Počet projektov v oblasti odpadového hospodárstva“, „Množstvo energeticky zhodnotených odpadov (spolu za projekty)“, „Počet novovytvorených pracovných miest“, „Počet projektov priamej investičnej podpory malých a stredných podnikov“ a  „Počet vytvorených pracovných miest (brutto, na plný úväzok) priamej investičnej podpory MSP“. Ako</w:t>
      </w:r>
      <w:r w:rsidR="00AF4DE9">
        <w:rPr>
          <w:rFonts w:cs="Arial"/>
          <w:szCs w:val="22"/>
          <w:lang w:val="sk-SK"/>
        </w:rPr>
        <w:t xml:space="preserve"> vyplýva</w:t>
      </w:r>
      <w:r w:rsidRPr="00BE63A8">
        <w:rPr>
          <w:rFonts w:cs="Arial"/>
          <w:szCs w:val="22"/>
          <w:lang w:val="sk-SK"/>
        </w:rPr>
        <w:t xml:space="preserve"> </w:t>
      </w:r>
      <w:r w:rsidRPr="00080CFA">
        <w:rPr>
          <w:rFonts w:cs="Arial"/>
          <w:szCs w:val="22"/>
          <w:lang w:val="sk-SK"/>
        </w:rPr>
        <w:t>z tabuľky 5</w:t>
      </w:r>
      <w:r w:rsidR="00D92FB1">
        <w:rPr>
          <w:rFonts w:cs="Arial"/>
          <w:szCs w:val="22"/>
          <w:lang w:val="sk-SK"/>
        </w:rPr>
        <w:t>9</w:t>
      </w:r>
      <w:r w:rsidR="00AF4DE9">
        <w:rPr>
          <w:rFonts w:cs="Arial"/>
          <w:szCs w:val="22"/>
          <w:lang w:val="sk-SK"/>
        </w:rPr>
        <w:t>,</w:t>
      </w:r>
      <w:r w:rsidRPr="00BE63A8">
        <w:rPr>
          <w:rFonts w:cs="Arial"/>
          <w:szCs w:val="22"/>
          <w:lang w:val="sk-SK"/>
        </w:rPr>
        <w:t xml:space="preserve"> intervencie v oblasti odpadového hospodárstva úspešne prispievajú k vytváraniu nových pracovných miest u prijímateľov. Realizovaním zazmluvnených projektov sa dosiahnu cieľové hodnoty ďalších ukazovateľov</w:t>
      </w:r>
      <w:r w:rsidR="00366E1A">
        <w:rPr>
          <w:rFonts w:cs="Arial"/>
          <w:szCs w:val="22"/>
          <w:lang w:val="sk-SK"/>
        </w:rPr>
        <w:t>,</w:t>
      </w:r>
      <w:r w:rsidRPr="00BE63A8">
        <w:rPr>
          <w:rFonts w:cs="Arial"/>
          <w:szCs w:val="22"/>
          <w:lang w:val="sk-SK"/>
        </w:rPr>
        <w:t xml:space="preserve"> a to konkrétne ukazovateľa „Množstvo vyseparovaných komunálnych odpadov (spolu za projekty)“, „Veľkosť zrekultivovanej a sanovanej plochy (spolu za projekty)“ za projekty v rámci operačného cieľa 4.4 a k naplneniu cieľovej hodnoty sa priblíži merateľný ukazovateľ „Vyvolané investície“</w:t>
      </w:r>
      <w:r>
        <w:rPr>
          <w:rFonts w:cs="Arial"/>
          <w:szCs w:val="22"/>
          <w:lang w:val="sk-SK"/>
        </w:rPr>
        <w:t xml:space="preserve"> (na 93,08</w:t>
      </w:r>
      <w:r w:rsidR="00366E1A">
        <w:rPr>
          <w:rFonts w:cs="Arial"/>
          <w:szCs w:val="22"/>
          <w:lang w:val="sk-SK"/>
        </w:rPr>
        <w:t xml:space="preserve"> </w:t>
      </w:r>
      <w:r>
        <w:rPr>
          <w:rFonts w:cs="Arial"/>
          <w:szCs w:val="22"/>
          <w:lang w:val="sk-SK"/>
        </w:rPr>
        <w:t xml:space="preserve">%)  </w:t>
      </w:r>
    </w:p>
    <w:p w14:paraId="345D6CDC" w14:textId="17978405" w:rsidR="00242D05" w:rsidRDefault="008A5121" w:rsidP="008A5121">
      <w:pPr>
        <w:pStyle w:val="Zkladntextb"/>
        <w:spacing w:before="120" w:after="120" w:line="240" w:lineRule="auto"/>
        <w:ind w:left="0"/>
        <w:jc w:val="both"/>
        <w:rPr>
          <w:rFonts w:cs="Arial"/>
          <w:szCs w:val="22"/>
          <w:lang w:val="sk-SK"/>
        </w:rPr>
      </w:pPr>
      <w:r w:rsidRPr="00123376">
        <w:rPr>
          <w:rFonts w:cs="Arial"/>
          <w:szCs w:val="22"/>
          <w:lang w:val="sk-SK"/>
        </w:rPr>
        <w:t xml:space="preserve">V </w:t>
      </w:r>
      <w:r w:rsidR="00366E1A">
        <w:rPr>
          <w:rFonts w:cs="Arial"/>
          <w:szCs w:val="22"/>
          <w:lang w:val="sk-SK"/>
        </w:rPr>
        <w:t>štyroch</w:t>
      </w:r>
      <w:r w:rsidRPr="00123376">
        <w:rPr>
          <w:rFonts w:cs="Arial"/>
          <w:szCs w:val="22"/>
          <w:lang w:val="sk-SK"/>
        </w:rPr>
        <w:t xml:space="preserve"> prípadoch existuje predpoklad, že nebudú dosiahnuté cieľové hodnoty</w:t>
      </w:r>
      <w:r>
        <w:rPr>
          <w:rFonts w:cs="Arial"/>
          <w:szCs w:val="22"/>
          <w:lang w:val="sk-SK"/>
        </w:rPr>
        <w:t xml:space="preserve"> stanovené v OP ŽP</w:t>
      </w:r>
      <w:r w:rsidRPr="00123376">
        <w:rPr>
          <w:rFonts w:cs="Arial"/>
          <w:szCs w:val="22"/>
          <w:lang w:val="sk-SK"/>
        </w:rPr>
        <w:t>.</w:t>
      </w:r>
      <w:r>
        <w:rPr>
          <w:rFonts w:cs="Arial"/>
          <w:szCs w:val="22"/>
          <w:lang w:val="sk-SK"/>
        </w:rPr>
        <w:t xml:space="preserve"> Aj keď hodnota ukazovateľa </w:t>
      </w:r>
      <w:r w:rsidR="005130F3">
        <w:rPr>
          <w:rFonts w:cs="Arial"/>
          <w:i/>
          <w:szCs w:val="22"/>
          <w:lang w:val="sk-SK"/>
        </w:rPr>
        <w:t>„</w:t>
      </w:r>
      <w:r w:rsidR="005130F3" w:rsidRPr="00912C87">
        <w:rPr>
          <w:rFonts w:cs="Arial"/>
          <w:i/>
          <w:szCs w:val="22"/>
          <w:lang w:val="sk-SK"/>
        </w:rPr>
        <w:t>Počet vybudovaných alebo zmodernizovaných zariadení na energetické zhodnocovanie odpadov</w:t>
      </w:r>
      <w:r w:rsidR="005130F3">
        <w:rPr>
          <w:rFonts w:cs="Arial"/>
          <w:i/>
          <w:szCs w:val="22"/>
          <w:lang w:val="sk-SK"/>
        </w:rPr>
        <w:t xml:space="preserve">“ </w:t>
      </w:r>
      <w:r>
        <w:rPr>
          <w:rFonts w:cs="Arial"/>
          <w:szCs w:val="22"/>
          <w:lang w:val="sk-SK"/>
        </w:rPr>
        <w:t>dosiahne realizáciou všetkých zazmluvnených projektov úroveň 66,67 %, cieľová hodnota ukazovateľa „</w:t>
      </w:r>
      <w:r w:rsidRPr="0025170E">
        <w:rPr>
          <w:rFonts w:cs="Arial"/>
          <w:szCs w:val="22"/>
          <w:lang w:val="sk-SK"/>
        </w:rPr>
        <w:t>Množstvo energeticky zhodnotených odpadov (spolu za projekty)</w:t>
      </w:r>
      <w:r>
        <w:rPr>
          <w:rFonts w:cs="Arial"/>
          <w:szCs w:val="22"/>
          <w:lang w:val="sk-SK"/>
        </w:rPr>
        <w:t>“ bude prekročená a dosiahne hodnotu 160 156 ton, čo je n</w:t>
      </w:r>
      <w:r w:rsidR="00E61DA0">
        <w:rPr>
          <w:rFonts w:cs="Arial"/>
          <w:szCs w:val="22"/>
          <w:lang w:val="sk-SK"/>
        </w:rPr>
        <w:t>aplnenie cieľa OP ŽP na 356,81%.</w:t>
      </w:r>
      <w:r>
        <w:rPr>
          <w:rFonts w:cs="Arial"/>
          <w:szCs w:val="22"/>
          <w:lang w:val="sk-SK"/>
        </w:rPr>
        <w:t xml:space="preserve"> </w:t>
      </w:r>
      <w:r w:rsidR="00E61DA0">
        <w:rPr>
          <w:rFonts w:cs="Arial"/>
          <w:szCs w:val="22"/>
          <w:lang w:val="sk-SK"/>
        </w:rPr>
        <w:t>Môžeme konštatovať, že</w:t>
      </w:r>
      <w:r>
        <w:rPr>
          <w:rFonts w:cs="Arial"/>
          <w:szCs w:val="22"/>
          <w:lang w:val="sk-SK"/>
        </w:rPr>
        <w:t xml:space="preserve"> vybudovaním menšieho počtu zariadení energeticky zhodnotíme väčšie množstvo odpadu ako sa predpokladalo pri stanovovaní </w:t>
      </w:r>
      <w:r w:rsidRPr="00B46ED6">
        <w:rPr>
          <w:rFonts w:cs="Arial"/>
          <w:szCs w:val="22"/>
          <w:lang w:val="sk-SK"/>
        </w:rPr>
        <w:t>cieľov OP ŽP. K </w:t>
      </w:r>
      <w:r w:rsidR="00EB074F" w:rsidRPr="00B46ED6">
        <w:rPr>
          <w:rFonts w:cs="Arial"/>
          <w:szCs w:val="22"/>
          <w:lang w:val="sk-SK"/>
        </w:rPr>
        <w:t>31.</w:t>
      </w:r>
      <w:r w:rsidR="00AF4DE9">
        <w:rPr>
          <w:rFonts w:cs="Arial"/>
          <w:szCs w:val="22"/>
          <w:lang w:val="sk-SK"/>
        </w:rPr>
        <w:t xml:space="preserve"> </w:t>
      </w:r>
      <w:r w:rsidR="00EB074F" w:rsidRPr="00B46ED6">
        <w:rPr>
          <w:rFonts w:cs="Arial"/>
          <w:szCs w:val="22"/>
          <w:lang w:val="sk-SK"/>
        </w:rPr>
        <w:t>10</w:t>
      </w:r>
      <w:r w:rsidR="001F3FF9" w:rsidRPr="00B46ED6">
        <w:rPr>
          <w:rFonts w:cs="Arial"/>
          <w:szCs w:val="22"/>
          <w:lang w:val="sk-SK"/>
        </w:rPr>
        <w:t>.</w:t>
      </w:r>
      <w:r w:rsidR="00AF4DE9">
        <w:rPr>
          <w:rFonts w:cs="Arial"/>
          <w:szCs w:val="22"/>
          <w:lang w:val="sk-SK"/>
        </w:rPr>
        <w:t xml:space="preserve"> </w:t>
      </w:r>
      <w:r w:rsidRPr="00B46ED6">
        <w:rPr>
          <w:rFonts w:cs="Arial"/>
          <w:szCs w:val="22"/>
          <w:lang w:val="sk-SK"/>
        </w:rPr>
        <w:t xml:space="preserve">2016 je cieľová hodnota ukazovateľa „Množstvo energeticky zhodnotených odpadov (spolu za projekty)“ naplnená na </w:t>
      </w:r>
      <w:r w:rsidR="00AF4DE9">
        <w:rPr>
          <w:rFonts w:cs="Arial"/>
          <w:szCs w:val="22"/>
          <w:lang w:val="sk-SK"/>
        </w:rPr>
        <w:t xml:space="preserve">          </w:t>
      </w:r>
      <w:r w:rsidRPr="00B46ED6">
        <w:rPr>
          <w:rFonts w:cs="Arial"/>
          <w:szCs w:val="22"/>
          <w:lang w:val="sk-SK"/>
        </w:rPr>
        <w:t>112, 93 %.Výpočet hodnoty ukazovateľov</w:t>
      </w:r>
      <w:r w:rsidR="005130F3" w:rsidRPr="00B46ED6">
        <w:rPr>
          <w:rFonts w:cs="Arial"/>
          <w:szCs w:val="22"/>
          <w:lang w:val="sk-SK"/>
        </w:rPr>
        <w:t xml:space="preserve"> „</w:t>
      </w:r>
      <w:r w:rsidR="005130F3" w:rsidRPr="00B46ED6">
        <w:rPr>
          <w:rFonts w:cs="Arial"/>
          <w:i/>
          <w:szCs w:val="22"/>
          <w:lang w:val="sk-SK"/>
        </w:rPr>
        <w:t>Podiel zneškodnených nebezpečných odpadov v rámci projektov na celkovom vyprodukovanom množstve nebezpečných odpadov v rámci SR“ a „Podiel zhodnotených nebezpečných odpadov v rámci projektov na celkovom vyprodukovanom množstve nebezpečných odpadov v rámci SR“</w:t>
      </w:r>
      <w:r w:rsidRPr="00B46ED6">
        <w:rPr>
          <w:rFonts w:cs="Arial"/>
          <w:szCs w:val="22"/>
          <w:lang w:val="sk-SK"/>
        </w:rPr>
        <w:t xml:space="preserve"> je ovplyvnený vývojom štatistického ukazovateľa  „Celkové množstvo vyprodukovaných nebezpečných odpadov v rámci SR“, čo má za následok, že plánovaná hodnota sa mení v závislosti od výšky vyprodukovaného množstva nebezpečných odpadov v SR. V oblasti nakladania s odpadmi boli predložené žiadosti o NFP, ktoré sa zameriavali predovšetkým na zhodnocovanie nebezpečných odpadov. Zameranie sa žiadateľov na nakladanie s nebezpečnými odpadmi negatívne ovplyvňuje okrem iných skutočností predovšetkým problematická príprava žiadostí o NFP, najmä komplikovaný proces posudzovania vplyvov na životné prostredie. </w:t>
      </w:r>
      <w:r w:rsidR="005130F3" w:rsidRPr="00B46ED6">
        <w:rPr>
          <w:rFonts w:cs="Arial"/>
          <w:szCs w:val="22"/>
          <w:lang w:val="sk-SK"/>
        </w:rPr>
        <w:t>K </w:t>
      </w:r>
      <w:r w:rsidR="001F3FF9" w:rsidRPr="00B46ED6">
        <w:rPr>
          <w:rFonts w:cs="Arial"/>
          <w:szCs w:val="22"/>
          <w:lang w:val="sk-SK"/>
        </w:rPr>
        <w:t>31.</w:t>
      </w:r>
      <w:r w:rsidR="00AF4DE9">
        <w:rPr>
          <w:rFonts w:cs="Arial"/>
          <w:szCs w:val="22"/>
          <w:lang w:val="sk-SK"/>
        </w:rPr>
        <w:t xml:space="preserve"> </w:t>
      </w:r>
      <w:r w:rsidR="00EB074F" w:rsidRPr="00B46ED6">
        <w:rPr>
          <w:rFonts w:cs="Arial"/>
          <w:szCs w:val="22"/>
          <w:lang w:val="sk-SK"/>
        </w:rPr>
        <w:t>10</w:t>
      </w:r>
      <w:r w:rsidR="005130F3" w:rsidRPr="00B46ED6">
        <w:rPr>
          <w:rFonts w:cs="Arial"/>
          <w:szCs w:val="22"/>
          <w:lang w:val="sk-SK"/>
        </w:rPr>
        <w:t>.</w:t>
      </w:r>
      <w:r w:rsidR="00AF4DE9">
        <w:rPr>
          <w:rFonts w:cs="Arial"/>
          <w:szCs w:val="22"/>
          <w:lang w:val="sk-SK"/>
        </w:rPr>
        <w:t xml:space="preserve"> </w:t>
      </w:r>
      <w:r w:rsidR="005130F3" w:rsidRPr="00B46ED6">
        <w:rPr>
          <w:rFonts w:cs="Arial"/>
          <w:szCs w:val="22"/>
          <w:lang w:val="sk-SK"/>
        </w:rPr>
        <w:t>2016</w:t>
      </w:r>
      <w:r w:rsidR="005130F3">
        <w:rPr>
          <w:rFonts w:cs="Arial"/>
          <w:szCs w:val="22"/>
          <w:lang w:val="sk-SK"/>
        </w:rPr>
        <w:t xml:space="preserve"> bola hodnota ukazovateľa „</w:t>
      </w:r>
      <w:r w:rsidR="005130F3" w:rsidRPr="00912C87">
        <w:rPr>
          <w:rFonts w:cs="Arial"/>
          <w:i/>
          <w:szCs w:val="22"/>
          <w:lang w:val="sk-SK"/>
        </w:rPr>
        <w:t>Počet vybudovaných zariadení na nakladanie s nebezpečnými odpadmi“</w:t>
      </w:r>
      <w:r>
        <w:rPr>
          <w:rFonts w:cs="Arial"/>
          <w:szCs w:val="22"/>
          <w:lang w:val="sk-SK"/>
        </w:rPr>
        <w:t xml:space="preserve"> čo predstavuje naplnenie cieľovej hodnoty ukazovateľa OP ŽP na 75 %. Cieľová hodnota 12 vybudovaných zariadení nebude dosiahnutá, predovšetkým z dôvodu náročnej prípravy žiadosti o NFP a povinnosť realizovať proces posudzovania vplyvov na životné prostredie.</w:t>
      </w:r>
      <w:r w:rsidR="00E61DA0">
        <w:rPr>
          <w:rFonts w:cs="Arial"/>
          <w:szCs w:val="22"/>
          <w:lang w:val="sk-SK"/>
        </w:rPr>
        <w:t xml:space="preserve"> </w:t>
      </w:r>
      <w:r>
        <w:rPr>
          <w:rFonts w:cs="Arial"/>
          <w:szCs w:val="22"/>
          <w:lang w:val="sk-SK"/>
        </w:rPr>
        <w:t>Realizácia projektov v oblasti sanácie environmentálnych záťaží bola, tak ako to je uvedené v</w:t>
      </w:r>
      <w:r w:rsidR="005130F3">
        <w:rPr>
          <w:rFonts w:cs="Arial"/>
          <w:szCs w:val="22"/>
          <w:lang w:val="sk-SK"/>
        </w:rPr>
        <w:t> predchádzajúcej kapitole</w:t>
      </w:r>
      <w:r>
        <w:rPr>
          <w:rFonts w:cs="Arial"/>
          <w:szCs w:val="22"/>
          <w:lang w:val="sk-SK"/>
        </w:rPr>
        <w:t xml:space="preserve">, ovplyvnená absenciou legislatívnych pravidiel. Až koncom roka 2012 bola vyhlásená prvá výzva na sanáciu environmentálnych záťaží. Z uvedeného dôvodu, ako aj z dôvodu náročnej prípravy </w:t>
      </w:r>
      <w:r>
        <w:rPr>
          <w:rFonts w:cs="Arial"/>
          <w:szCs w:val="22"/>
          <w:lang w:val="sk-SK"/>
        </w:rPr>
        <w:lastRenderedPageBreak/>
        <w:t xml:space="preserve">a realizácie projektov sanácie environmentálnych záťaží nebude dosiahnutí cieľ stanovený v OP ŽP – 23 sanovaných </w:t>
      </w:r>
      <w:r w:rsidR="006F6815">
        <w:rPr>
          <w:rFonts w:cs="Arial"/>
          <w:szCs w:val="22"/>
          <w:lang w:val="sk-SK"/>
        </w:rPr>
        <w:t>environmentálnych</w:t>
      </w:r>
      <w:r>
        <w:rPr>
          <w:rFonts w:cs="Arial"/>
          <w:szCs w:val="22"/>
          <w:lang w:val="sk-SK"/>
        </w:rPr>
        <w:t xml:space="preserve"> záťaží, ale realizovaním zazmluvnených projektov bol naplnený na 82,6 % (19 sanovaných environmentálnych záťaží). Realizáciou zazmluvnených projektov sanácií sa sanuje a rekultivuje plocha o veľkosti 0,7258 km</w:t>
      </w:r>
      <w:r w:rsidRPr="00CE0728">
        <w:rPr>
          <w:rFonts w:cs="Arial"/>
          <w:szCs w:val="22"/>
          <w:vertAlign w:val="superscript"/>
          <w:lang w:val="sk-SK"/>
        </w:rPr>
        <w:t>2</w:t>
      </w:r>
      <w:r>
        <w:rPr>
          <w:rFonts w:cs="Arial"/>
          <w:szCs w:val="22"/>
          <w:lang w:val="sk-SK"/>
        </w:rPr>
        <w:t xml:space="preserve"> čo predstavuje naplnenie cieľa OP ŽP na 268,81 %.</w:t>
      </w:r>
    </w:p>
    <w:p w14:paraId="0C800DF0" w14:textId="77777777" w:rsidR="00A100A1" w:rsidRPr="00A100A1" w:rsidRDefault="00A100A1" w:rsidP="009D13DD">
      <w:pPr>
        <w:pStyle w:val="Nadpis2"/>
        <w:spacing w:after="120"/>
        <w:jc w:val="both"/>
      </w:pPr>
      <w:bookmarkStart w:id="86" w:name="_Toc466914538"/>
      <w:r w:rsidRPr="00A100A1">
        <w:t>3.5. Prioritná os 5 Ochrana a regenerácia prírodného prostredia a krajiny</w:t>
      </w:r>
      <w:bookmarkEnd w:id="86"/>
    </w:p>
    <w:p w14:paraId="27A35B59" w14:textId="77777777" w:rsidR="00A100A1" w:rsidRPr="00A100A1" w:rsidRDefault="00A100A1" w:rsidP="00323187">
      <w:pPr>
        <w:pStyle w:val="Nadpis3"/>
      </w:pPr>
      <w:bookmarkStart w:id="87" w:name="_Toc466914539"/>
      <w:r w:rsidRPr="00A100A1">
        <w:t>3.5.1 Dosiahnutie cieľov a analýza dosiahnutého pokroku</w:t>
      </w:r>
      <w:bookmarkEnd w:id="87"/>
    </w:p>
    <w:p w14:paraId="40F430C9" w14:textId="150EA9D0" w:rsidR="00A100A1" w:rsidRPr="00F60A6B" w:rsidRDefault="00A100A1" w:rsidP="00A100A1">
      <w:pPr>
        <w:spacing w:before="120" w:after="120"/>
        <w:jc w:val="both"/>
        <w:rPr>
          <w:rFonts w:ascii="Arial" w:hAnsi="Arial" w:cs="Arial"/>
          <w:sz w:val="20"/>
          <w:szCs w:val="20"/>
        </w:rPr>
      </w:pPr>
      <w:r w:rsidRPr="00A100A1">
        <w:rPr>
          <w:rFonts w:ascii="Arial" w:hAnsi="Arial" w:cs="Arial"/>
          <w:sz w:val="20"/>
          <w:szCs w:val="20"/>
        </w:rPr>
        <w:t xml:space="preserve">Cieľom prioritnej osi </w:t>
      </w:r>
      <w:r w:rsidR="006F6815">
        <w:rPr>
          <w:rFonts w:ascii="Arial" w:hAnsi="Arial" w:cs="Arial"/>
          <w:sz w:val="20"/>
          <w:szCs w:val="20"/>
        </w:rPr>
        <w:t xml:space="preserve">5 </w:t>
      </w:r>
      <w:r w:rsidR="00D63066">
        <w:rPr>
          <w:rFonts w:ascii="Arial" w:hAnsi="Arial" w:cs="Arial"/>
          <w:sz w:val="20"/>
          <w:szCs w:val="20"/>
        </w:rPr>
        <w:t xml:space="preserve">bolo </w:t>
      </w:r>
      <w:r w:rsidRPr="00A100A1">
        <w:rPr>
          <w:rFonts w:ascii="Arial" w:hAnsi="Arial" w:cs="Arial"/>
          <w:sz w:val="20"/>
          <w:szCs w:val="20"/>
        </w:rPr>
        <w:t xml:space="preserve">dobudovanie sústavy chránených území Natura 2000 a infraštruktúry ochrany prírody SR v zmysle právnych predpisov EÚ a SR. Prioritná os </w:t>
      </w:r>
      <w:r w:rsidR="00D63066">
        <w:rPr>
          <w:rFonts w:ascii="Arial" w:hAnsi="Arial" w:cs="Arial"/>
          <w:sz w:val="20"/>
          <w:szCs w:val="20"/>
        </w:rPr>
        <w:t>bola</w:t>
      </w:r>
      <w:r w:rsidRPr="00A100A1">
        <w:rPr>
          <w:rFonts w:ascii="Arial" w:hAnsi="Arial" w:cs="Arial"/>
          <w:sz w:val="20"/>
          <w:szCs w:val="20"/>
        </w:rPr>
        <w:t xml:space="preserve"> zameraná na dosiahnutie alebo zachovanie priaznivého stavu druhov a biotopov európskeho významu</w:t>
      </w:r>
      <w:r w:rsidR="0001154E">
        <w:rPr>
          <w:rFonts w:ascii="Arial" w:hAnsi="Arial" w:cs="Arial"/>
          <w:sz w:val="20"/>
          <w:szCs w:val="20"/>
        </w:rPr>
        <w:t>, posilnenie biodiverzity</w:t>
      </w:r>
      <w:r w:rsidR="006F6815">
        <w:rPr>
          <w:rFonts w:ascii="Arial" w:hAnsi="Arial" w:cs="Arial"/>
          <w:sz w:val="20"/>
          <w:szCs w:val="20"/>
        </w:rPr>
        <w:t>,</w:t>
      </w:r>
      <w:r w:rsidR="0001154E">
        <w:rPr>
          <w:rFonts w:ascii="Arial" w:hAnsi="Arial" w:cs="Arial"/>
          <w:sz w:val="20"/>
          <w:szCs w:val="20"/>
        </w:rPr>
        <w:t xml:space="preserve"> a to</w:t>
      </w:r>
      <w:r w:rsidRPr="00A100A1">
        <w:rPr>
          <w:rFonts w:ascii="Arial" w:hAnsi="Arial" w:cs="Arial"/>
          <w:sz w:val="20"/>
          <w:szCs w:val="20"/>
        </w:rPr>
        <w:t xml:space="preserve"> najmä prostredníctvom sústavy Natura 2000, materiálne a personálne dobudovanie oprávnených organizácií a monitoring stavu zmien krajiny, ako aj na zlepšovanie environmentálneho povedomia verejnosti a </w:t>
      </w:r>
      <w:r w:rsidRPr="00F60A6B">
        <w:rPr>
          <w:rFonts w:ascii="Arial" w:hAnsi="Arial" w:cs="Arial"/>
          <w:sz w:val="20"/>
          <w:szCs w:val="20"/>
        </w:rPr>
        <w:t>vlastníkov územia.</w:t>
      </w:r>
    </w:p>
    <w:p w14:paraId="7300657C" w14:textId="4C99E682" w:rsidR="00A100A1" w:rsidRPr="00A100A1" w:rsidRDefault="00A100A1" w:rsidP="00A100A1">
      <w:pPr>
        <w:spacing w:before="120" w:after="120"/>
        <w:jc w:val="both"/>
        <w:rPr>
          <w:rFonts w:ascii="Arial" w:hAnsi="Arial" w:cs="Arial"/>
          <w:sz w:val="20"/>
          <w:szCs w:val="20"/>
        </w:rPr>
      </w:pPr>
      <w:r w:rsidRPr="00F60A6B">
        <w:rPr>
          <w:rFonts w:ascii="Arial" w:hAnsi="Arial" w:cs="Arial"/>
          <w:sz w:val="20"/>
          <w:szCs w:val="20"/>
        </w:rPr>
        <w:t xml:space="preserve">Prioritná os 5 </w:t>
      </w:r>
      <w:r w:rsidR="00F60A6B" w:rsidRPr="00F60A6B">
        <w:rPr>
          <w:rFonts w:ascii="Arial" w:hAnsi="Arial" w:cs="Arial"/>
          <w:sz w:val="20"/>
          <w:szCs w:val="20"/>
        </w:rPr>
        <w:t>bola</w:t>
      </w:r>
      <w:r w:rsidRPr="00F60A6B">
        <w:rPr>
          <w:rFonts w:ascii="Arial" w:hAnsi="Arial" w:cs="Arial"/>
          <w:sz w:val="20"/>
          <w:szCs w:val="20"/>
        </w:rPr>
        <w:t xml:space="preserve"> financovaná</w:t>
      </w:r>
      <w:r w:rsidRPr="00A100A1">
        <w:rPr>
          <w:rFonts w:ascii="Arial" w:hAnsi="Arial" w:cs="Arial"/>
          <w:sz w:val="20"/>
          <w:szCs w:val="20"/>
        </w:rPr>
        <w:t xml:space="preserve"> z Európskeho fondu regionálneho rozvoja a svojou alokáciou tvorí 2,79 % z celkovej alokácie (zdroje EÚ + ŠR) na operačný program (</w:t>
      </w:r>
      <w:r w:rsidRPr="00A62D79">
        <w:rPr>
          <w:rFonts w:ascii="Arial" w:hAnsi="Arial" w:cs="Arial"/>
          <w:sz w:val="20"/>
          <w:szCs w:val="20"/>
        </w:rPr>
        <w:t>po revízi</w:t>
      </w:r>
      <w:r w:rsidR="00A62D79">
        <w:rPr>
          <w:rFonts w:ascii="Arial" w:hAnsi="Arial" w:cs="Arial"/>
          <w:sz w:val="20"/>
          <w:szCs w:val="20"/>
        </w:rPr>
        <w:t>i</w:t>
      </w:r>
      <w:r w:rsidRPr="00A62D79">
        <w:rPr>
          <w:rFonts w:ascii="Arial" w:hAnsi="Arial" w:cs="Arial"/>
          <w:sz w:val="20"/>
          <w:szCs w:val="20"/>
        </w:rPr>
        <w:t xml:space="preserve"> OP ŽP na verziu 5.0).</w:t>
      </w:r>
      <w:r w:rsidRPr="00A100A1">
        <w:rPr>
          <w:rFonts w:ascii="Arial" w:hAnsi="Arial" w:cs="Arial"/>
          <w:sz w:val="20"/>
          <w:szCs w:val="20"/>
        </w:rPr>
        <w:t xml:space="preserve"> </w:t>
      </w:r>
    </w:p>
    <w:p w14:paraId="00E45327" w14:textId="791D98AB" w:rsidR="00FB6D6F" w:rsidRPr="006C6ABC" w:rsidRDefault="00FB6D6F" w:rsidP="00FB6D6F">
      <w:pPr>
        <w:autoSpaceDE w:val="0"/>
        <w:autoSpaceDN w:val="0"/>
        <w:adjustRightInd w:val="0"/>
        <w:spacing w:before="120" w:after="120"/>
        <w:jc w:val="both"/>
        <w:rPr>
          <w:rFonts w:ascii="Arial" w:hAnsi="Arial" w:cs="Arial"/>
          <w:sz w:val="20"/>
          <w:szCs w:val="20"/>
        </w:rPr>
      </w:pPr>
      <w:r w:rsidRPr="006C6ABC">
        <w:rPr>
          <w:rFonts w:ascii="Arial" w:hAnsi="Arial" w:cs="Arial"/>
          <w:sz w:val="20"/>
          <w:szCs w:val="20"/>
        </w:rPr>
        <w:t xml:space="preserve">Príklady úspešných projektov prioritnej osi </w:t>
      </w:r>
      <w:r w:rsidR="00120A4F">
        <w:rPr>
          <w:rFonts w:ascii="Arial" w:hAnsi="Arial" w:cs="Arial"/>
          <w:sz w:val="20"/>
          <w:szCs w:val="20"/>
        </w:rPr>
        <w:t>5</w:t>
      </w:r>
      <w:r w:rsidRPr="006C6ABC">
        <w:rPr>
          <w:rFonts w:ascii="Arial" w:hAnsi="Arial" w:cs="Arial"/>
          <w:sz w:val="20"/>
          <w:szCs w:val="20"/>
        </w:rPr>
        <w:t xml:space="preserve">, </w:t>
      </w:r>
      <w:r w:rsidRPr="00EC1B17">
        <w:rPr>
          <w:rFonts w:ascii="Arial" w:hAnsi="Arial" w:cs="Arial"/>
          <w:sz w:val="20"/>
          <w:szCs w:val="20"/>
        </w:rPr>
        <w:t xml:space="preserve">finančne aj fyzicky ukončených, sú uvedené na webovom sídle OP ŽP </w:t>
      </w:r>
      <w:hyperlink r:id="rId28" w:history="1">
        <w:r w:rsidRPr="0093280D">
          <w:rPr>
            <w:rStyle w:val="Hypertextovprepojenie"/>
            <w:rFonts w:ascii="Arial" w:hAnsi="Arial" w:cs="Arial"/>
            <w:sz w:val="20"/>
            <w:szCs w:val="20"/>
          </w:rPr>
          <w:t>www.opzp.sk</w:t>
        </w:r>
      </w:hyperlink>
      <w:r>
        <w:rPr>
          <w:rFonts w:ascii="Arial" w:hAnsi="Arial" w:cs="Arial"/>
          <w:sz w:val="20"/>
          <w:szCs w:val="20"/>
        </w:rPr>
        <w:t xml:space="preserve"> v časti </w:t>
      </w:r>
      <w:r w:rsidRPr="000E2934">
        <w:rPr>
          <w:rFonts w:ascii="Arial" w:hAnsi="Arial" w:cs="Arial"/>
          <w:sz w:val="20"/>
          <w:szCs w:val="20"/>
        </w:rPr>
        <w:t>Hlavná stránka &gt; Projekty &gt; Mapa vzorových úspešne realizovaných projektov OPŽP</w:t>
      </w:r>
      <w:r>
        <w:rPr>
          <w:rFonts w:ascii="Arial" w:hAnsi="Arial" w:cs="Arial"/>
          <w:sz w:val="20"/>
          <w:szCs w:val="20"/>
        </w:rPr>
        <w:t xml:space="preserve"> </w:t>
      </w:r>
      <w:r w:rsidRPr="00EC1B17">
        <w:rPr>
          <w:rFonts w:ascii="Arial" w:hAnsi="Arial" w:cs="Arial"/>
          <w:sz w:val="20"/>
          <w:szCs w:val="20"/>
        </w:rPr>
        <w:t xml:space="preserve">a tiež sú súčasťou </w:t>
      </w:r>
      <w:r w:rsidRPr="000E2934">
        <w:rPr>
          <w:rFonts w:ascii="Arial" w:hAnsi="Arial" w:cs="Arial"/>
          <w:sz w:val="20"/>
          <w:szCs w:val="20"/>
        </w:rPr>
        <w:t>Prílohy č. 10</w:t>
      </w:r>
      <w:r w:rsidRPr="00EC1B17">
        <w:rPr>
          <w:rFonts w:ascii="Arial" w:hAnsi="Arial" w:cs="Arial"/>
          <w:sz w:val="20"/>
          <w:szCs w:val="20"/>
        </w:rPr>
        <w:t xml:space="preserve"> </w:t>
      </w:r>
      <w:r>
        <w:rPr>
          <w:rFonts w:ascii="Arial" w:hAnsi="Arial" w:cs="Arial"/>
          <w:sz w:val="20"/>
          <w:szCs w:val="20"/>
        </w:rPr>
        <w:t>záverečnej</w:t>
      </w:r>
      <w:r w:rsidRPr="00EC1B17">
        <w:rPr>
          <w:rFonts w:ascii="Arial" w:hAnsi="Arial" w:cs="Arial"/>
          <w:sz w:val="20"/>
          <w:szCs w:val="20"/>
        </w:rPr>
        <w:t xml:space="preserve"> správy.</w:t>
      </w:r>
    </w:p>
    <w:p w14:paraId="1454B09B" w14:textId="77777777" w:rsidR="00A100A1" w:rsidRPr="009D13DD" w:rsidRDefault="00A100A1" w:rsidP="009D13DD">
      <w:pPr>
        <w:pStyle w:val="Nadpis8"/>
        <w:rPr>
          <w:b/>
          <w:i w:val="0"/>
          <w:iCs w:val="0"/>
        </w:rPr>
      </w:pPr>
      <w:r w:rsidRPr="009D13DD">
        <w:rPr>
          <w:b/>
        </w:rPr>
        <w:t>3.5.1.1 Stav fyzického pokroku prioritnej osi 5</w:t>
      </w:r>
    </w:p>
    <w:p w14:paraId="1007EEB9" w14:textId="7F76BFF8" w:rsidR="00A100A1" w:rsidRPr="00A100A1" w:rsidRDefault="00A100A1" w:rsidP="00A100A1">
      <w:pPr>
        <w:spacing w:before="120" w:after="120"/>
        <w:jc w:val="both"/>
        <w:rPr>
          <w:rFonts w:ascii="Arial" w:hAnsi="Arial" w:cs="Arial"/>
          <w:sz w:val="20"/>
          <w:szCs w:val="20"/>
        </w:rPr>
      </w:pPr>
      <w:r w:rsidRPr="00A100A1">
        <w:rPr>
          <w:rFonts w:ascii="Arial" w:hAnsi="Arial" w:cs="Arial"/>
          <w:sz w:val="20"/>
          <w:szCs w:val="20"/>
        </w:rPr>
        <w:t xml:space="preserve">V rámci prioritnej osi 5 Ochrana a regenerácia prírodného prostredia a krajiny bolo od začiatku programového obdobia k 31. </w:t>
      </w:r>
      <w:r w:rsidR="00D51D48">
        <w:rPr>
          <w:rFonts w:ascii="Arial" w:hAnsi="Arial" w:cs="Arial"/>
          <w:sz w:val="20"/>
          <w:szCs w:val="20"/>
        </w:rPr>
        <w:t>12</w:t>
      </w:r>
      <w:r w:rsidRPr="00A100A1">
        <w:rPr>
          <w:rFonts w:ascii="Arial" w:hAnsi="Arial" w:cs="Arial"/>
          <w:sz w:val="20"/>
          <w:szCs w:val="20"/>
        </w:rPr>
        <w:t>. 201</w:t>
      </w:r>
      <w:r w:rsidR="00D51D48">
        <w:rPr>
          <w:rFonts w:ascii="Arial" w:hAnsi="Arial" w:cs="Arial"/>
          <w:sz w:val="20"/>
          <w:szCs w:val="20"/>
        </w:rPr>
        <w:t>5</w:t>
      </w:r>
      <w:r w:rsidRPr="00A100A1">
        <w:rPr>
          <w:rFonts w:ascii="Arial" w:hAnsi="Arial" w:cs="Arial"/>
          <w:sz w:val="20"/>
          <w:szCs w:val="20"/>
        </w:rPr>
        <w:t xml:space="preserve"> vyhlásených päť výziev na predkladanie žiadostí o NFP v celkovej alokácii 80 706 623 </w:t>
      </w:r>
      <w:r w:rsidR="005D2549" w:rsidRPr="005D2549">
        <w:rPr>
          <w:rFonts w:ascii="Arial" w:hAnsi="Arial" w:cs="Arial"/>
          <w:sz w:val="20"/>
          <w:szCs w:val="20"/>
        </w:rPr>
        <w:t>€</w:t>
      </w:r>
      <w:r w:rsidRPr="00A100A1">
        <w:rPr>
          <w:rFonts w:ascii="Arial" w:hAnsi="Arial" w:cs="Arial"/>
          <w:sz w:val="20"/>
          <w:szCs w:val="20"/>
        </w:rPr>
        <w:t xml:space="preserve">, pričom v priebehu roka 2015 nebola vyhlásená žiadna výzva v rámci tejto prioritnej osi. </w:t>
      </w:r>
    </w:p>
    <w:p w14:paraId="1B5DDC77" w14:textId="0ED5D68E" w:rsidR="00A100A1" w:rsidRPr="00A100A1" w:rsidRDefault="00A100A1" w:rsidP="00A100A1">
      <w:pPr>
        <w:rPr>
          <w:rFonts w:ascii="Arial" w:hAnsi="Arial" w:cs="Arial"/>
          <w:sz w:val="20"/>
          <w:szCs w:val="20"/>
        </w:rPr>
      </w:pPr>
      <w:r w:rsidRPr="00A100A1">
        <w:rPr>
          <w:rFonts w:ascii="Arial" w:hAnsi="Arial" w:cs="Arial"/>
          <w:sz w:val="20"/>
          <w:szCs w:val="20"/>
        </w:rPr>
        <w:t xml:space="preserve">Tabuľka č. </w:t>
      </w:r>
      <w:r w:rsidR="007B1CB9">
        <w:rPr>
          <w:rFonts w:ascii="Arial" w:hAnsi="Arial" w:cs="Arial"/>
          <w:sz w:val="20"/>
          <w:szCs w:val="20"/>
        </w:rPr>
        <w:t>60</w:t>
      </w:r>
      <w:r w:rsidRPr="00A100A1">
        <w:rPr>
          <w:rFonts w:ascii="Arial" w:hAnsi="Arial" w:cs="Arial"/>
          <w:sz w:val="20"/>
          <w:szCs w:val="20"/>
        </w:rPr>
        <w:t xml:space="preserve">: Prehľad výziev prioritnej osi 5 </w:t>
      </w:r>
      <w:r w:rsidR="00B60A54" w:rsidRPr="00B60A54">
        <w:rPr>
          <w:rFonts w:ascii="Arial" w:hAnsi="Arial" w:cs="Arial"/>
          <w:sz w:val="20"/>
          <w:szCs w:val="20"/>
        </w:rPr>
        <w:t>od 01.01.2015 do 31.12.2015</w:t>
      </w:r>
    </w:p>
    <w:tbl>
      <w:tblPr>
        <w:tblW w:w="9080" w:type="dxa"/>
        <w:tblInd w:w="55" w:type="dxa"/>
        <w:tblCellMar>
          <w:left w:w="70" w:type="dxa"/>
          <w:right w:w="70" w:type="dxa"/>
        </w:tblCellMar>
        <w:tblLook w:val="04A0" w:firstRow="1" w:lastRow="0" w:firstColumn="1" w:lastColumn="0" w:noHBand="0" w:noVBand="1"/>
      </w:tblPr>
      <w:tblGrid>
        <w:gridCol w:w="1560"/>
        <w:gridCol w:w="1880"/>
        <w:gridCol w:w="1880"/>
        <w:gridCol w:w="1880"/>
        <w:gridCol w:w="1880"/>
      </w:tblGrid>
      <w:tr w:rsidR="00A100A1" w:rsidRPr="00A100A1" w14:paraId="663C18CF" w14:textId="77777777" w:rsidTr="007D7B08">
        <w:trPr>
          <w:trHeight w:val="690"/>
        </w:trPr>
        <w:tc>
          <w:tcPr>
            <w:tcW w:w="1560"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hideMark/>
          </w:tcPr>
          <w:p w14:paraId="7ADF8FFA" w14:textId="77777777" w:rsidR="00A100A1" w:rsidRPr="009D13DD" w:rsidRDefault="00A100A1" w:rsidP="00A100A1">
            <w:pPr>
              <w:jc w:val="center"/>
              <w:rPr>
                <w:rFonts w:ascii="Arial" w:hAnsi="Arial" w:cs="Arial"/>
                <w:b/>
                <w:bCs/>
                <w:color w:val="000000"/>
                <w:sz w:val="16"/>
                <w:szCs w:val="16"/>
              </w:rPr>
            </w:pPr>
            <w:r w:rsidRPr="009D13DD">
              <w:rPr>
                <w:rFonts w:ascii="Arial" w:hAnsi="Arial" w:cs="Arial"/>
                <w:b/>
                <w:bCs/>
                <w:color w:val="000000"/>
                <w:sz w:val="16"/>
                <w:szCs w:val="16"/>
              </w:rPr>
              <w:t>Opatrenie</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6DA36659" w14:textId="77777777" w:rsidR="00A100A1" w:rsidRPr="009D13DD" w:rsidRDefault="00A100A1" w:rsidP="00A100A1">
            <w:pPr>
              <w:jc w:val="center"/>
              <w:rPr>
                <w:rFonts w:ascii="Arial" w:hAnsi="Arial" w:cs="Arial"/>
                <w:b/>
                <w:bCs/>
                <w:color w:val="000000"/>
                <w:sz w:val="16"/>
                <w:szCs w:val="16"/>
              </w:rPr>
            </w:pPr>
            <w:r w:rsidRPr="009D13DD">
              <w:rPr>
                <w:rFonts w:ascii="Arial" w:hAnsi="Arial" w:cs="Arial"/>
                <w:b/>
                <w:bCs/>
                <w:color w:val="000000"/>
                <w:sz w:val="16"/>
                <w:szCs w:val="16"/>
              </w:rPr>
              <w:t>Typ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309A6057" w14:textId="77777777" w:rsidR="00A100A1" w:rsidRPr="009D13DD" w:rsidRDefault="00A100A1" w:rsidP="00A100A1">
            <w:pPr>
              <w:jc w:val="center"/>
              <w:rPr>
                <w:rFonts w:ascii="Arial" w:hAnsi="Arial" w:cs="Arial"/>
                <w:b/>
                <w:bCs/>
                <w:color w:val="000000"/>
                <w:sz w:val="16"/>
                <w:szCs w:val="16"/>
              </w:rPr>
            </w:pPr>
            <w:r w:rsidRPr="009D13DD">
              <w:rPr>
                <w:rFonts w:ascii="Arial" w:hAnsi="Arial" w:cs="Arial"/>
                <w:b/>
                <w:bCs/>
                <w:color w:val="000000"/>
                <w:sz w:val="16"/>
                <w:szCs w:val="16"/>
              </w:rPr>
              <w:t>Dátum vyhlásenia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D6EB4C3" w14:textId="77777777" w:rsidR="00A100A1" w:rsidRPr="009D13DD" w:rsidRDefault="00A100A1" w:rsidP="00A100A1">
            <w:pPr>
              <w:jc w:val="center"/>
              <w:rPr>
                <w:rFonts w:ascii="Arial" w:hAnsi="Arial" w:cs="Arial"/>
                <w:b/>
                <w:bCs/>
                <w:color w:val="000000"/>
                <w:sz w:val="16"/>
                <w:szCs w:val="16"/>
              </w:rPr>
            </w:pPr>
            <w:r w:rsidRPr="009D13DD">
              <w:rPr>
                <w:rFonts w:ascii="Arial" w:hAnsi="Arial" w:cs="Arial"/>
                <w:b/>
                <w:bCs/>
                <w:color w:val="000000"/>
                <w:sz w:val="16"/>
                <w:szCs w:val="16"/>
              </w:rPr>
              <w:t xml:space="preserve">Dátum uzávierky prijímania žiadostí </w:t>
            </w:r>
            <w:r w:rsidRPr="009D13DD">
              <w:rPr>
                <w:rFonts w:ascii="Arial" w:hAnsi="Arial" w:cs="Arial"/>
                <w:b/>
                <w:bCs/>
                <w:color w:val="000000"/>
                <w:sz w:val="16"/>
                <w:szCs w:val="16"/>
              </w:rPr>
              <w:br/>
              <w:t>o NFP</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B195770" w14:textId="77777777" w:rsidR="00A100A1" w:rsidRPr="009D13DD" w:rsidRDefault="00A100A1" w:rsidP="00A100A1">
            <w:pPr>
              <w:jc w:val="center"/>
              <w:rPr>
                <w:rFonts w:ascii="Arial" w:hAnsi="Arial" w:cs="Arial"/>
                <w:b/>
                <w:bCs/>
                <w:color w:val="000000"/>
                <w:sz w:val="16"/>
                <w:szCs w:val="16"/>
              </w:rPr>
            </w:pPr>
            <w:r w:rsidRPr="009D13DD">
              <w:rPr>
                <w:rFonts w:ascii="Arial" w:hAnsi="Arial" w:cs="Arial"/>
                <w:b/>
                <w:bCs/>
                <w:color w:val="000000"/>
                <w:sz w:val="16"/>
                <w:szCs w:val="16"/>
              </w:rPr>
              <w:t>Alokácia FP na výzvu (EÚ zdroje) v €</w:t>
            </w:r>
          </w:p>
        </w:tc>
      </w:tr>
      <w:tr w:rsidR="00A100A1" w:rsidRPr="00A100A1" w14:paraId="0F1DEEC0" w14:textId="77777777" w:rsidTr="009D13DD">
        <w:trPr>
          <w:trHeight w:val="315"/>
        </w:trPr>
        <w:tc>
          <w:tcPr>
            <w:tcW w:w="1560" w:type="dxa"/>
            <w:tcBorders>
              <w:top w:val="nil"/>
              <w:left w:val="single" w:sz="8" w:space="0" w:color="auto"/>
              <w:bottom w:val="single" w:sz="4" w:space="0" w:color="auto"/>
              <w:right w:val="single" w:sz="8" w:space="0" w:color="auto"/>
            </w:tcBorders>
            <w:shd w:val="clear" w:color="auto" w:fill="FFFFFF" w:themeFill="background1"/>
            <w:noWrap/>
            <w:vAlign w:val="center"/>
          </w:tcPr>
          <w:p w14:paraId="2A90B516" w14:textId="1E43B720" w:rsidR="00A100A1" w:rsidRPr="009D13DD" w:rsidRDefault="001A0D88" w:rsidP="009D13DD">
            <w:pPr>
              <w:jc w:val="center"/>
              <w:rPr>
                <w:rFonts w:ascii="Arial" w:hAnsi="Arial" w:cs="Arial"/>
                <w:sz w:val="16"/>
                <w:szCs w:val="16"/>
              </w:rPr>
            </w:pPr>
            <w:r>
              <w:rPr>
                <w:rFonts w:ascii="Arial" w:hAnsi="Arial" w:cs="Arial"/>
                <w:sz w:val="16"/>
                <w:szCs w:val="16"/>
              </w:rPr>
              <w:t>-</w:t>
            </w:r>
          </w:p>
        </w:tc>
        <w:tc>
          <w:tcPr>
            <w:tcW w:w="1880" w:type="dxa"/>
            <w:tcBorders>
              <w:top w:val="nil"/>
              <w:left w:val="nil"/>
              <w:bottom w:val="single" w:sz="4" w:space="0" w:color="auto"/>
              <w:right w:val="single" w:sz="4" w:space="0" w:color="auto"/>
            </w:tcBorders>
            <w:shd w:val="clear" w:color="000000" w:fill="FFFFFF"/>
            <w:noWrap/>
            <w:vAlign w:val="center"/>
          </w:tcPr>
          <w:p w14:paraId="0C7FD873" w14:textId="26D4F708" w:rsidR="00A100A1" w:rsidRPr="009D13DD" w:rsidRDefault="001A0D88" w:rsidP="009D13DD">
            <w:pPr>
              <w:jc w:val="center"/>
              <w:rPr>
                <w:rFonts w:ascii="Arial" w:hAnsi="Arial" w:cs="Arial"/>
                <w:sz w:val="16"/>
                <w:szCs w:val="16"/>
              </w:rPr>
            </w:pPr>
            <w:r>
              <w:rPr>
                <w:rFonts w:ascii="Arial" w:hAnsi="Arial" w:cs="Arial"/>
                <w:sz w:val="16"/>
                <w:szCs w:val="16"/>
              </w:rPr>
              <w:t>-</w:t>
            </w:r>
          </w:p>
        </w:tc>
        <w:tc>
          <w:tcPr>
            <w:tcW w:w="1880" w:type="dxa"/>
            <w:tcBorders>
              <w:top w:val="nil"/>
              <w:left w:val="nil"/>
              <w:bottom w:val="single" w:sz="4" w:space="0" w:color="auto"/>
              <w:right w:val="single" w:sz="4" w:space="0" w:color="auto"/>
            </w:tcBorders>
            <w:shd w:val="clear" w:color="000000" w:fill="FFFFFF"/>
            <w:noWrap/>
            <w:vAlign w:val="center"/>
          </w:tcPr>
          <w:p w14:paraId="1F9F63E2" w14:textId="5315AE6B" w:rsidR="00A100A1" w:rsidRPr="009D13DD" w:rsidRDefault="001A0D88" w:rsidP="009D13DD">
            <w:pPr>
              <w:jc w:val="center"/>
              <w:rPr>
                <w:rFonts w:ascii="Arial" w:hAnsi="Arial" w:cs="Arial"/>
                <w:sz w:val="16"/>
                <w:szCs w:val="16"/>
              </w:rPr>
            </w:pPr>
            <w:r>
              <w:rPr>
                <w:rFonts w:ascii="Arial" w:hAnsi="Arial" w:cs="Arial"/>
                <w:sz w:val="16"/>
                <w:szCs w:val="16"/>
              </w:rPr>
              <w:t>-</w:t>
            </w:r>
          </w:p>
        </w:tc>
        <w:tc>
          <w:tcPr>
            <w:tcW w:w="1880" w:type="dxa"/>
            <w:tcBorders>
              <w:top w:val="nil"/>
              <w:left w:val="nil"/>
              <w:bottom w:val="single" w:sz="4" w:space="0" w:color="auto"/>
              <w:right w:val="single" w:sz="4" w:space="0" w:color="auto"/>
            </w:tcBorders>
            <w:shd w:val="clear" w:color="000000" w:fill="FFFFFF"/>
            <w:noWrap/>
            <w:vAlign w:val="center"/>
          </w:tcPr>
          <w:p w14:paraId="40C7A01B" w14:textId="01D127C6" w:rsidR="00A100A1" w:rsidRPr="009D13DD" w:rsidRDefault="001A0D88" w:rsidP="009D13DD">
            <w:pPr>
              <w:jc w:val="center"/>
              <w:rPr>
                <w:rFonts w:ascii="Arial" w:hAnsi="Arial" w:cs="Arial"/>
                <w:sz w:val="16"/>
                <w:szCs w:val="16"/>
              </w:rPr>
            </w:pPr>
            <w:r>
              <w:rPr>
                <w:rFonts w:ascii="Arial" w:hAnsi="Arial" w:cs="Arial"/>
                <w:sz w:val="16"/>
                <w:szCs w:val="16"/>
              </w:rPr>
              <w:t>-</w:t>
            </w:r>
          </w:p>
        </w:tc>
        <w:tc>
          <w:tcPr>
            <w:tcW w:w="1880" w:type="dxa"/>
            <w:tcBorders>
              <w:top w:val="nil"/>
              <w:left w:val="nil"/>
              <w:bottom w:val="single" w:sz="4" w:space="0" w:color="auto"/>
              <w:right w:val="single" w:sz="4" w:space="0" w:color="auto"/>
            </w:tcBorders>
            <w:shd w:val="clear" w:color="000000" w:fill="FFFFFF"/>
            <w:noWrap/>
            <w:vAlign w:val="center"/>
          </w:tcPr>
          <w:p w14:paraId="4555FED4" w14:textId="4FEF95CB" w:rsidR="00A100A1" w:rsidRPr="009D13DD" w:rsidRDefault="001A0D88" w:rsidP="009D13DD">
            <w:pPr>
              <w:jc w:val="center"/>
              <w:rPr>
                <w:rFonts w:ascii="Arial" w:hAnsi="Arial" w:cs="Arial"/>
                <w:sz w:val="16"/>
                <w:szCs w:val="16"/>
              </w:rPr>
            </w:pPr>
            <w:r>
              <w:rPr>
                <w:rFonts w:ascii="Arial" w:hAnsi="Arial" w:cs="Arial"/>
                <w:sz w:val="16"/>
                <w:szCs w:val="16"/>
              </w:rPr>
              <w:t>-</w:t>
            </w:r>
          </w:p>
        </w:tc>
      </w:tr>
      <w:tr w:rsidR="00A100A1" w:rsidRPr="00A100A1" w14:paraId="1AB1F12E" w14:textId="77777777" w:rsidTr="009D13DD">
        <w:trPr>
          <w:trHeight w:val="315"/>
        </w:trPr>
        <w:tc>
          <w:tcPr>
            <w:tcW w:w="7200" w:type="dxa"/>
            <w:gridSpan w:val="4"/>
            <w:tcBorders>
              <w:top w:val="single" w:sz="4" w:space="0" w:color="auto"/>
              <w:left w:val="single" w:sz="8" w:space="0" w:color="auto"/>
              <w:bottom w:val="single" w:sz="8" w:space="0" w:color="auto"/>
              <w:right w:val="single" w:sz="8" w:space="0" w:color="000000"/>
            </w:tcBorders>
            <w:shd w:val="clear" w:color="auto" w:fill="auto"/>
            <w:vAlign w:val="center"/>
            <w:hideMark/>
          </w:tcPr>
          <w:p w14:paraId="1A08E76C" w14:textId="77777777" w:rsidR="00A100A1" w:rsidRPr="009D13DD" w:rsidRDefault="00A100A1" w:rsidP="001A0D88">
            <w:pPr>
              <w:rPr>
                <w:rFonts w:ascii="Arial" w:hAnsi="Arial" w:cs="Arial"/>
                <w:b/>
                <w:bCs/>
                <w:color w:val="000000"/>
                <w:sz w:val="16"/>
                <w:szCs w:val="16"/>
              </w:rPr>
            </w:pPr>
            <w:r w:rsidRPr="009D13DD">
              <w:rPr>
                <w:rFonts w:ascii="Arial" w:hAnsi="Arial" w:cs="Arial"/>
                <w:b/>
                <w:bCs/>
                <w:color w:val="000000"/>
                <w:sz w:val="16"/>
                <w:szCs w:val="16"/>
              </w:rPr>
              <w:t>Spolu za prioritu</w:t>
            </w:r>
          </w:p>
        </w:tc>
        <w:tc>
          <w:tcPr>
            <w:tcW w:w="1880" w:type="dxa"/>
            <w:tcBorders>
              <w:top w:val="single" w:sz="4" w:space="0" w:color="auto"/>
              <w:left w:val="nil"/>
              <w:bottom w:val="single" w:sz="8" w:space="0" w:color="auto"/>
              <w:right w:val="single" w:sz="8" w:space="0" w:color="auto"/>
            </w:tcBorders>
            <w:shd w:val="clear" w:color="auto" w:fill="auto"/>
            <w:noWrap/>
            <w:vAlign w:val="center"/>
            <w:hideMark/>
          </w:tcPr>
          <w:p w14:paraId="62A2CD7C" w14:textId="355275CD" w:rsidR="00A100A1" w:rsidRPr="009D13DD" w:rsidRDefault="001A0D88" w:rsidP="009D13DD">
            <w:pPr>
              <w:jc w:val="center"/>
              <w:rPr>
                <w:rFonts w:ascii="Arial" w:hAnsi="Arial" w:cs="Arial"/>
                <w:b/>
                <w:color w:val="000000"/>
                <w:sz w:val="16"/>
                <w:szCs w:val="16"/>
              </w:rPr>
            </w:pPr>
            <w:r>
              <w:rPr>
                <w:rFonts w:ascii="Arial" w:hAnsi="Arial" w:cs="Arial"/>
                <w:b/>
                <w:color w:val="000000"/>
                <w:sz w:val="16"/>
                <w:szCs w:val="16"/>
              </w:rPr>
              <w:t>-</w:t>
            </w:r>
          </w:p>
        </w:tc>
      </w:tr>
    </w:tbl>
    <w:p w14:paraId="377E311A" w14:textId="77777777" w:rsidR="00A100A1" w:rsidRPr="00A100A1" w:rsidRDefault="00A100A1" w:rsidP="00A100A1">
      <w:pPr>
        <w:rPr>
          <w:rFonts w:ascii="Arial" w:hAnsi="Arial" w:cs="Arial"/>
          <w:b/>
          <w:sz w:val="16"/>
          <w:szCs w:val="16"/>
          <w:highlight w:val="yellow"/>
        </w:rPr>
      </w:pPr>
      <w:r w:rsidRPr="00A100A1">
        <w:rPr>
          <w:rFonts w:ascii="Arial" w:hAnsi="Arial" w:cs="Arial"/>
          <w:sz w:val="16"/>
          <w:szCs w:val="16"/>
        </w:rPr>
        <w:t>Zdroj: RO, ITMS</w:t>
      </w:r>
    </w:p>
    <w:p w14:paraId="7F2E7F8B" w14:textId="07F1EED6" w:rsidR="00A100A1" w:rsidRPr="00A100A1" w:rsidRDefault="00A100A1" w:rsidP="00A100A1">
      <w:pPr>
        <w:spacing w:before="120" w:after="120"/>
        <w:jc w:val="both"/>
        <w:rPr>
          <w:rFonts w:ascii="Arial" w:hAnsi="Arial" w:cs="Arial"/>
          <w:sz w:val="20"/>
          <w:szCs w:val="20"/>
        </w:rPr>
      </w:pPr>
      <w:r w:rsidRPr="00A100A1">
        <w:rPr>
          <w:rFonts w:ascii="Arial" w:hAnsi="Arial" w:cs="Arial"/>
          <w:sz w:val="20"/>
          <w:szCs w:val="20"/>
        </w:rPr>
        <w:t>V rámci prioritnej osi 5 bolo k 31.</w:t>
      </w:r>
      <w:r w:rsidR="00D51D48">
        <w:rPr>
          <w:rFonts w:ascii="Arial" w:hAnsi="Arial" w:cs="Arial"/>
          <w:sz w:val="20"/>
          <w:szCs w:val="20"/>
        </w:rPr>
        <w:t>12</w:t>
      </w:r>
      <w:r w:rsidRPr="00A100A1">
        <w:rPr>
          <w:rFonts w:ascii="Arial" w:hAnsi="Arial" w:cs="Arial"/>
          <w:sz w:val="20"/>
          <w:szCs w:val="20"/>
        </w:rPr>
        <w:t>.201</w:t>
      </w:r>
      <w:r w:rsidR="00D51D48">
        <w:rPr>
          <w:rFonts w:ascii="Arial" w:hAnsi="Arial" w:cs="Arial"/>
          <w:sz w:val="20"/>
          <w:szCs w:val="20"/>
        </w:rPr>
        <w:t>5</w:t>
      </w:r>
      <w:r w:rsidRPr="00A100A1">
        <w:rPr>
          <w:rFonts w:ascii="Arial" w:hAnsi="Arial" w:cs="Arial"/>
          <w:sz w:val="20"/>
          <w:szCs w:val="20"/>
        </w:rPr>
        <w:t xml:space="preserve"> prijatých celkovo 66 žiadostí o NFP v objeme požadovaného príspevku 86 987</w:t>
      </w:r>
      <w:r w:rsidR="004959AE">
        <w:rPr>
          <w:rFonts w:ascii="Arial" w:hAnsi="Arial" w:cs="Arial"/>
          <w:sz w:val="20"/>
          <w:szCs w:val="20"/>
        </w:rPr>
        <w:t> </w:t>
      </w:r>
      <w:r w:rsidRPr="00A100A1">
        <w:rPr>
          <w:rFonts w:ascii="Arial" w:hAnsi="Arial" w:cs="Arial"/>
          <w:sz w:val="20"/>
          <w:szCs w:val="20"/>
        </w:rPr>
        <w:t>58</w:t>
      </w:r>
      <w:r w:rsidR="00120A4F">
        <w:rPr>
          <w:rFonts w:ascii="Arial" w:hAnsi="Arial" w:cs="Arial"/>
          <w:sz w:val="20"/>
          <w:szCs w:val="20"/>
        </w:rPr>
        <w:t>2</w:t>
      </w:r>
      <w:r w:rsidRPr="00A100A1">
        <w:rPr>
          <w:rFonts w:ascii="Arial" w:hAnsi="Arial" w:cs="Arial"/>
          <w:sz w:val="20"/>
          <w:szCs w:val="20"/>
        </w:rPr>
        <w:t xml:space="preserve"> </w:t>
      </w:r>
      <w:r w:rsidR="005D2549" w:rsidRPr="005D2549">
        <w:rPr>
          <w:rFonts w:ascii="Arial" w:hAnsi="Arial" w:cs="Arial"/>
          <w:sz w:val="20"/>
          <w:szCs w:val="20"/>
        </w:rPr>
        <w:t>€</w:t>
      </w:r>
      <w:r w:rsidRPr="00A100A1">
        <w:rPr>
          <w:rFonts w:ascii="Arial" w:hAnsi="Arial" w:cs="Arial"/>
          <w:sz w:val="20"/>
          <w:szCs w:val="20"/>
        </w:rPr>
        <w:t>, z toho bolo schválených 46 žiadostí o NFP vo výške schváleného</w:t>
      </w:r>
      <w:r w:rsidR="00D51D48">
        <w:rPr>
          <w:rFonts w:ascii="Arial" w:hAnsi="Arial" w:cs="Arial"/>
          <w:sz w:val="20"/>
          <w:szCs w:val="20"/>
        </w:rPr>
        <w:t> </w:t>
      </w:r>
      <w:r w:rsidRPr="00A100A1">
        <w:rPr>
          <w:rFonts w:ascii="Arial" w:hAnsi="Arial" w:cs="Arial"/>
          <w:sz w:val="20"/>
          <w:szCs w:val="20"/>
        </w:rPr>
        <w:t xml:space="preserve">NFP </w:t>
      </w:r>
      <w:r w:rsidRPr="00A100A1">
        <w:rPr>
          <w:rFonts w:ascii="Arial" w:hAnsi="Arial" w:cs="Arial"/>
          <w:sz w:val="20"/>
          <w:szCs w:val="20"/>
        </w:rPr>
        <w:br/>
        <w:t>65 998 08</w:t>
      </w:r>
      <w:r w:rsidR="00120A4F">
        <w:rPr>
          <w:rFonts w:ascii="Arial" w:hAnsi="Arial" w:cs="Arial"/>
          <w:sz w:val="20"/>
          <w:szCs w:val="20"/>
        </w:rPr>
        <w:t>6</w:t>
      </w:r>
      <w:r w:rsidR="00D51D48">
        <w:rPr>
          <w:rFonts w:ascii="Arial" w:hAnsi="Arial" w:cs="Arial"/>
          <w:sz w:val="20"/>
          <w:szCs w:val="20"/>
        </w:rPr>
        <w:t> </w:t>
      </w:r>
      <w:r w:rsidR="005D2549" w:rsidRPr="005D2549">
        <w:rPr>
          <w:rFonts w:ascii="Arial" w:hAnsi="Arial" w:cs="Arial"/>
          <w:sz w:val="20"/>
          <w:szCs w:val="20"/>
        </w:rPr>
        <w:t>€</w:t>
      </w:r>
      <w:r w:rsidRPr="00A100A1">
        <w:rPr>
          <w:rFonts w:ascii="Arial" w:hAnsi="Arial" w:cs="Arial"/>
          <w:sz w:val="20"/>
          <w:szCs w:val="20"/>
        </w:rPr>
        <w:t>. Z uvedeného počtu bolo 42 projektov zazmluvnených vo výške 60 375 88</w:t>
      </w:r>
      <w:r w:rsidR="00120A4F">
        <w:rPr>
          <w:rFonts w:ascii="Arial" w:hAnsi="Arial" w:cs="Arial"/>
          <w:sz w:val="20"/>
          <w:szCs w:val="20"/>
        </w:rPr>
        <w:t>9</w:t>
      </w:r>
      <w:r w:rsidRPr="00A100A1">
        <w:rPr>
          <w:rFonts w:ascii="Arial" w:hAnsi="Arial" w:cs="Arial"/>
          <w:sz w:val="20"/>
          <w:szCs w:val="20"/>
        </w:rPr>
        <w:t xml:space="preserve"> </w:t>
      </w:r>
      <w:r w:rsidR="005D2549" w:rsidRPr="005D2549">
        <w:rPr>
          <w:rFonts w:ascii="Arial" w:hAnsi="Arial" w:cs="Arial"/>
          <w:sz w:val="20"/>
          <w:szCs w:val="20"/>
        </w:rPr>
        <w:t>€</w:t>
      </w:r>
      <w:r w:rsidRPr="00A100A1">
        <w:rPr>
          <w:rFonts w:ascii="Arial" w:hAnsi="Arial" w:cs="Arial"/>
          <w:sz w:val="20"/>
          <w:szCs w:val="20"/>
        </w:rPr>
        <w:t xml:space="preserve">. Riadne ukončených bolo 42 projektov vo výške čerpaných prostriedkov </w:t>
      </w:r>
      <w:r w:rsidR="00223B41" w:rsidRPr="00223B41">
        <w:rPr>
          <w:rFonts w:ascii="Arial" w:hAnsi="Arial" w:cs="Arial"/>
          <w:sz w:val="20"/>
          <w:szCs w:val="20"/>
        </w:rPr>
        <w:t>54 114 4</w:t>
      </w:r>
      <w:r w:rsidR="00120A4F">
        <w:rPr>
          <w:rFonts w:ascii="Arial" w:hAnsi="Arial" w:cs="Arial"/>
          <w:sz w:val="20"/>
          <w:szCs w:val="20"/>
        </w:rPr>
        <w:t>40</w:t>
      </w:r>
      <w:r w:rsidR="00223B41" w:rsidRPr="00223B41">
        <w:rPr>
          <w:rFonts w:ascii="Arial" w:hAnsi="Arial" w:cs="Arial"/>
          <w:sz w:val="20"/>
          <w:szCs w:val="20"/>
        </w:rPr>
        <w:t xml:space="preserve"> </w:t>
      </w:r>
      <w:r w:rsidR="005D2549" w:rsidRPr="005D2549">
        <w:rPr>
          <w:rFonts w:ascii="Arial" w:hAnsi="Arial" w:cs="Arial"/>
          <w:sz w:val="20"/>
          <w:szCs w:val="20"/>
        </w:rPr>
        <w:t>€</w:t>
      </w:r>
      <w:r w:rsidRPr="00A100A1">
        <w:rPr>
          <w:rFonts w:ascii="Arial" w:hAnsi="Arial" w:cs="Arial"/>
          <w:sz w:val="20"/>
          <w:szCs w:val="20"/>
        </w:rPr>
        <w:t xml:space="preserve"> a 4 projekty boli mimoriadne ukončené dohodou o ukončení zmluvného vzťahu z dôvodu problematického zabezpečenia odborných podkladov od externých inštitúcií, potrebných pre úspešnú realizáciu projektu a v jednom prípade nedošlo k realizácii žiadnej aktivity v zmysle zmluvy o poskytnutí NFP.</w:t>
      </w:r>
    </w:p>
    <w:p w14:paraId="409D7D90" w14:textId="77777777" w:rsidR="0008447E" w:rsidRDefault="0008447E">
      <w:pPr>
        <w:rPr>
          <w:rFonts w:ascii="Arial" w:hAnsi="Arial" w:cs="Arial"/>
          <w:sz w:val="20"/>
          <w:szCs w:val="20"/>
        </w:rPr>
      </w:pPr>
      <w:r>
        <w:rPr>
          <w:rFonts w:ascii="Arial" w:hAnsi="Arial" w:cs="Arial"/>
          <w:sz w:val="20"/>
          <w:szCs w:val="20"/>
        </w:rPr>
        <w:br w:type="page"/>
      </w:r>
    </w:p>
    <w:p w14:paraId="6BA745C6" w14:textId="31D9DD7C" w:rsidR="00A100A1" w:rsidRPr="00A100A1" w:rsidRDefault="00A100A1" w:rsidP="00A100A1">
      <w:pPr>
        <w:jc w:val="both"/>
        <w:rPr>
          <w:rFonts w:ascii="Arial" w:hAnsi="Arial" w:cs="Arial"/>
          <w:sz w:val="20"/>
          <w:szCs w:val="20"/>
        </w:rPr>
      </w:pPr>
      <w:r w:rsidRPr="00A100A1">
        <w:rPr>
          <w:rFonts w:ascii="Arial" w:hAnsi="Arial" w:cs="Arial"/>
          <w:sz w:val="20"/>
          <w:szCs w:val="20"/>
        </w:rPr>
        <w:lastRenderedPageBreak/>
        <w:t>Tabuľka č. 6</w:t>
      </w:r>
      <w:r w:rsidR="007B1CB9">
        <w:rPr>
          <w:rFonts w:ascii="Arial" w:hAnsi="Arial" w:cs="Arial"/>
          <w:sz w:val="20"/>
          <w:szCs w:val="20"/>
        </w:rPr>
        <w:t>1</w:t>
      </w:r>
      <w:r w:rsidRPr="00A100A1">
        <w:rPr>
          <w:rFonts w:ascii="Arial" w:hAnsi="Arial" w:cs="Arial"/>
          <w:sz w:val="20"/>
          <w:szCs w:val="20"/>
        </w:rPr>
        <w:t>a: Sledovanie pokroku v implementácii prioritnej osi 5 k 31.10.2016</w:t>
      </w:r>
    </w:p>
    <w:tbl>
      <w:tblPr>
        <w:tblW w:w="9180" w:type="dxa"/>
        <w:tblInd w:w="55" w:type="dxa"/>
        <w:tblCellMar>
          <w:left w:w="70" w:type="dxa"/>
          <w:right w:w="70" w:type="dxa"/>
        </w:tblCellMar>
        <w:tblLook w:val="04A0" w:firstRow="1" w:lastRow="0" w:firstColumn="1" w:lastColumn="0" w:noHBand="0" w:noVBand="1"/>
      </w:tblPr>
      <w:tblGrid>
        <w:gridCol w:w="1880"/>
        <w:gridCol w:w="1460"/>
        <w:gridCol w:w="1460"/>
        <w:gridCol w:w="1460"/>
        <w:gridCol w:w="1460"/>
        <w:gridCol w:w="1460"/>
      </w:tblGrid>
      <w:tr w:rsidR="00A100A1" w:rsidRPr="00A100A1" w14:paraId="2ADDE951"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B2CBE8F"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Prioritná téma</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E9730B7"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Počet prijatých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934C23C"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Počet schválených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80C44E7"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Počet zazmluvnených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9BC01E0"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Počet riadne ukončených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CA0AB71"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Počet mimoriadne ukončených projektov</w:t>
            </w:r>
          </w:p>
        </w:tc>
      </w:tr>
      <w:tr w:rsidR="00A100A1" w:rsidRPr="00A100A1" w14:paraId="6429B4D9" w14:textId="77777777" w:rsidTr="00001084">
        <w:trPr>
          <w:trHeight w:val="1125"/>
        </w:trPr>
        <w:tc>
          <w:tcPr>
            <w:tcW w:w="18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4C850C" w14:textId="77777777" w:rsidR="00A100A1" w:rsidRPr="00A100A1" w:rsidRDefault="00A100A1" w:rsidP="00A100A1">
            <w:pPr>
              <w:rPr>
                <w:rFonts w:ascii="Arial" w:hAnsi="Arial" w:cs="Arial"/>
                <w:color w:val="000000"/>
                <w:sz w:val="16"/>
                <w:szCs w:val="16"/>
              </w:rPr>
            </w:pPr>
            <w:r w:rsidRPr="00A100A1">
              <w:rPr>
                <w:rFonts w:ascii="Arial" w:hAnsi="Arial" w:cs="Arial"/>
                <w:color w:val="000000"/>
                <w:sz w:val="16"/>
                <w:szCs w:val="16"/>
              </w:rPr>
              <w:t xml:space="preserve">54 - Iné opatrenia </w:t>
            </w:r>
            <w:r w:rsidRPr="00A100A1">
              <w:rPr>
                <w:rFonts w:ascii="Arial" w:hAnsi="Arial" w:cs="Arial"/>
                <w:color w:val="000000"/>
                <w:sz w:val="16"/>
                <w:szCs w:val="16"/>
              </w:rPr>
              <w:br/>
              <w:t xml:space="preserve">na zachovanie životného prostredia </w:t>
            </w:r>
            <w:r w:rsidRPr="00A100A1">
              <w:rPr>
                <w:rFonts w:ascii="Arial" w:hAnsi="Arial" w:cs="Arial"/>
                <w:color w:val="000000"/>
                <w:sz w:val="16"/>
                <w:szCs w:val="16"/>
              </w:rPr>
              <w:br/>
              <w:t>a predchádzanie rizikám</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14:paraId="7898CECF"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27 (vrátane 13)</w:t>
            </w:r>
            <w:r w:rsidRPr="00A100A1">
              <w:rPr>
                <w:rFonts w:ascii="Arial" w:hAnsi="Arial" w:cs="Arial"/>
                <w:color w:val="000000"/>
                <w:sz w:val="16"/>
                <w:szCs w:val="16"/>
                <w:vertAlign w:val="superscript"/>
              </w:rPr>
              <w:t>2</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14:paraId="1942D6E9"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19 (vrátane 9)</w:t>
            </w:r>
            <w:r w:rsidRPr="00A100A1">
              <w:rPr>
                <w:rFonts w:ascii="Arial" w:hAnsi="Arial" w:cs="Arial"/>
                <w:color w:val="000000"/>
                <w:sz w:val="16"/>
                <w:szCs w:val="16"/>
                <w:vertAlign w:val="superscript"/>
              </w:rPr>
              <w:t>2</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14:paraId="343B57ED"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18 (vrátane 9)</w:t>
            </w:r>
            <w:r w:rsidRPr="00A100A1">
              <w:rPr>
                <w:rFonts w:ascii="Arial" w:hAnsi="Arial" w:cs="Arial"/>
                <w:color w:val="000000"/>
                <w:sz w:val="16"/>
                <w:szCs w:val="16"/>
                <w:vertAlign w:val="superscript"/>
              </w:rPr>
              <w:t>2</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14:paraId="63A8EA2D" w14:textId="77777777" w:rsidR="00A100A1" w:rsidRPr="00A100A1" w:rsidRDefault="00A100A1" w:rsidP="00A100A1">
            <w:pPr>
              <w:jc w:val="center"/>
              <w:rPr>
                <w:rFonts w:ascii="Arial" w:hAnsi="Arial" w:cs="Arial"/>
                <w:sz w:val="16"/>
                <w:szCs w:val="16"/>
              </w:rPr>
            </w:pPr>
            <w:r w:rsidRPr="00A100A1">
              <w:rPr>
                <w:rFonts w:ascii="Arial" w:hAnsi="Arial" w:cs="Arial"/>
                <w:sz w:val="16"/>
                <w:szCs w:val="16"/>
              </w:rPr>
              <w:t>18 (vrátane 9)</w:t>
            </w:r>
            <w:r w:rsidRPr="00A100A1">
              <w:rPr>
                <w:rFonts w:ascii="Arial" w:hAnsi="Arial" w:cs="Arial"/>
                <w:sz w:val="16"/>
                <w:szCs w:val="16"/>
                <w:vertAlign w:val="superscript"/>
              </w:rPr>
              <w:t>2</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14:paraId="622C9A56" w14:textId="77777777" w:rsidR="00A100A1" w:rsidRPr="00A100A1" w:rsidRDefault="00A100A1" w:rsidP="00A100A1">
            <w:pPr>
              <w:jc w:val="center"/>
              <w:rPr>
                <w:rFonts w:ascii="Arial" w:hAnsi="Arial" w:cs="Arial"/>
                <w:sz w:val="16"/>
                <w:szCs w:val="16"/>
              </w:rPr>
            </w:pPr>
            <w:r w:rsidRPr="00A100A1">
              <w:rPr>
                <w:rFonts w:ascii="Arial" w:hAnsi="Arial" w:cs="Arial"/>
                <w:sz w:val="16"/>
                <w:szCs w:val="16"/>
              </w:rPr>
              <w:t>1</w:t>
            </w:r>
          </w:p>
        </w:tc>
      </w:tr>
      <w:tr w:rsidR="00A100A1" w:rsidRPr="00A100A1" w14:paraId="6CE65868" w14:textId="77777777" w:rsidTr="00001084">
        <w:trPr>
          <w:trHeight w:val="1125"/>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2F0BE058" w14:textId="77777777" w:rsidR="00A100A1" w:rsidRPr="00A100A1" w:rsidRDefault="00A100A1" w:rsidP="00A100A1">
            <w:pPr>
              <w:rPr>
                <w:rFonts w:ascii="Arial" w:hAnsi="Arial" w:cs="Arial"/>
                <w:color w:val="000000"/>
                <w:sz w:val="16"/>
                <w:szCs w:val="16"/>
              </w:rPr>
            </w:pPr>
            <w:r w:rsidRPr="00A100A1">
              <w:rPr>
                <w:rFonts w:ascii="Arial" w:hAnsi="Arial" w:cs="Arial"/>
                <w:color w:val="000000"/>
                <w:sz w:val="16"/>
                <w:szCs w:val="16"/>
              </w:rPr>
              <w:t xml:space="preserve">51 - Podpora biodiverzity </w:t>
            </w:r>
            <w:r w:rsidRPr="00A100A1">
              <w:rPr>
                <w:rFonts w:ascii="Arial" w:hAnsi="Arial" w:cs="Arial"/>
                <w:color w:val="000000"/>
                <w:sz w:val="16"/>
                <w:szCs w:val="16"/>
              </w:rPr>
              <w:br/>
              <w:t xml:space="preserve">a ochrana prírody </w:t>
            </w:r>
            <w:r w:rsidRPr="00A100A1">
              <w:rPr>
                <w:rFonts w:ascii="Arial" w:hAnsi="Arial" w:cs="Arial"/>
                <w:color w:val="000000"/>
                <w:sz w:val="16"/>
                <w:szCs w:val="16"/>
              </w:rPr>
              <w:br/>
              <w:t>(vrátane NATURA 2000)</w:t>
            </w:r>
          </w:p>
        </w:tc>
        <w:tc>
          <w:tcPr>
            <w:tcW w:w="1460" w:type="dxa"/>
            <w:tcBorders>
              <w:top w:val="nil"/>
              <w:left w:val="nil"/>
              <w:bottom w:val="single" w:sz="4" w:space="0" w:color="auto"/>
              <w:right w:val="single" w:sz="4" w:space="0" w:color="auto"/>
            </w:tcBorders>
            <w:shd w:val="clear" w:color="auto" w:fill="auto"/>
            <w:noWrap/>
            <w:vAlign w:val="center"/>
            <w:hideMark/>
          </w:tcPr>
          <w:p w14:paraId="75AA5EF1"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52 (vrátane 13)</w:t>
            </w:r>
            <w:r w:rsidRPr="00A100A1">
              <w:rPr>
                <w:rFonts w:ascii="Arial" w:hAnsi="Arial" w:cs="Arial"/>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24092EA0"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36 (vrátane 9)</w:t>
            </w:r>
            <w:r w:rsidRPr="00A100A1">
              <w:rPr>
                <w:rFonts w:ascii="Arial" w:hAnsi="Arial" w:cs="Arial"/>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0F4E7955"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33 (vrátane 9)</w:t>
            </w:r>
            <w:r w:rsidRPr="00A100A1">
              <w:rPr>
                <w:rFonts w:ascii="Arial" w:hAnsi="Arial" w:cs="Arial"/>
                <w:color w:val="000000"/>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5091771D" w14:textId="77777777" w:rsidR="00A100A1" w:rsidRPr="00A100A1" w:rsidRDefault="00A100A1" w:rsidP="00A100A1">
            <w:pPr>
              <w:jc w:val="center"/>
              <w:rPr>
                <w:rFonts w:ascii="Arial" w:hAnsi="Arial" w:cs="Arial"/>
                <w:sz w:val="16"/>
                <w:szCs w:val="16"/>
              </w:rPr>
            </w:pPr>
            <w:r w:rsidRPr="00A100A1">
              <w:rPr>
                <w:rFonts w:ascii="Arial" w:hAnsi="Arial" w:cs="Arial"/>
                <w:sz w:val="16"/>
                <w:szCs w:val="16"/>
              </w:rPr>
              <w:t>33 (vrátane 9)</w:t>
            </w:r>
            <w:r w:rsidRPr="00A100A1">
              <w:rPr>
                <w:rFonts w:ascii="Arial" w:hAnsi="Arial" w:cs="Arial"/>
                <w:sz w:val="16"/>
                <w:szCs w:val="16"/>
                <w:vertAlign w:val="superscript"/>
              </w:rPr>
              <w:t>2</w:t>
            </w:r>
          </w:p>
        </w:tc>
        <w:tc>
          <w:tcPr>
            <w:tcW w:w="1460" w:type="dxa"/>
            <w:tcBorders>
              <w:top w:val="nil"/>
              <w:left w:val="nil"/>
              <w:bottom w:val="single" w:sz="4" w:space="0" w:color="auto"/>
              <w:right w:val="single" w:sz="4" w:space="0" w:color="auto"/>
            </w:tcBorders>
            <w:shd w:val="clear" w:color="auto" w:fill="auto"/>
            <w:noWrap/>
            <w:vAlign w:val="center"/>
            <w:hideMark/>
          </w:tcPr>
          <w:p w14:paraId="77936714" w14:textId="77777777" w:rsidR="00A100A1" w:rsidRPr="00A100A1" w:rsidRDefault="00A100A1" w:rsidP="00A100A1">
            <w:pPr>
              <w:jc w:val="center"/>
              <w:rPr>
                <w:rFonts w:ascii="Arial" w:hAnsi="Arial" w:cs="Arial"/>
                <w:sz w:val="16"/>
                <w:szCs w:val="16"/>
              </w:rPr>
            </w:pPr>
            <w:r w:rsidRPr="00A100A1">
              <w:rPr>
                <w:rFonts w:ascii="Arial" w:hAnsi="Arial" w:cs="Arial"/>
                <w:sz w:val="16"/>
                <w:szCs w:val="16"/>
              </w:rPr>
              <w:t>3</w:t>
            </w:r>
          </w:p>
        </w:tc>
      </w:tr>
      <w:tr w:rsidR="00A100A1" w:rsidRPr="00A100A1" w14:paraId="6C7FE9FF" w14:textId="77777777" w:rsidTr="00001084">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5BDA8E95" w14:textId="77777777" w:rsidR="00A100A1" w:rsidRPr="00A100A1" w:rsidRDefault="00A100A1" w:rsidP="00A100A1">
            <w:pPr>
              <w:rPr>
                <w:rFonts w:ascii="Arial" w:hAnsi="Arial" w:cs="Arial"/>
                <w:b/>
                <w:bCs/>
                <w:color w:val="000000"/>
                <w:sz w:val="16"/>
                <w:szCs w:val="16"/>
              </w:rPr>
            </w:pPr>
            <w:r w:rsidRPr="00A100A1">
              <w:rPr>
                <w:rFonts w:ascii="Arial" w:hAnsi="Arial" w:cs="Arial"/>
                <w:b/>
                <w:bCs/>
                <w:color w:val="000000"/>
                <w:sz w:val="16"/>
                <w:szCs w:val="16"/>
              </w:rPr>
              <w:t>Celkom</w:t>
            </w:r>
          </w:p>
        </w:tc>
        <w:tc>
          <w:tcPr>
            <w:tcW w:w="1460" w:type="dxa"/>
            <w:tcBorders>
              <w:top w:val="nil"/>
              <w:left w:val="nil"/>
              <w:bottom w:val="single" w:sz="4" w:space="0" w:color="auto"/>
              <w:right w:val="single" w:sz="4" w:space="0" w:color="auto"/>
            </w:tcBorders>
            <w:shd w:val="clear" w:color="000000" w:fill="EBF1DE"/>
            <w:noWrap/>
            <w:vAlign w:val="center"/>
            <w:hideMark/>
          </w:tcPr>
          <w:p w14:paraId="6A9CCD42"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66</w:t>
            </w:r>
          </w:p>
        </w:tc>
        <w:tc>
          <w:tcPr>
            <w:tcW w:w="1460" w:type="dxa"/>
            <w:tcBorders>
              <w:top w:val="nil"/>
              <w:left w:val="nil"/>
              <w:bottom w:val="single" w:sz="4" w:space="0" w:color="auto"/>
              <w:right w:val="single" w:sz="4" w:space="0" w:color="auto"/>
            </w:tcBorders>
            <w:shd w:val="clear" w:color="000000" w:fill="EBF1DE"/>
            <w:noWrap/>
            <w:vAlign w:val="center"/>
            <w:hideMark/>
          </w:tcPr>
          <w:p w14:paraId="1C7B42BB"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46</w:t>
            </w:r>
          </w:p>
        </w:tc>
        <w:tc>
          <w:tcPr>
            <w:tcW w:w="1460" w:type="dxa"/>
            <w:tcBorders>
              <w:top w:val="nil"/>
              <w:left w:val="nil"/>
              <w:bottom w:val="single" w:sz="4" w:space="0" w:color="auto"/>
              <w:right w:val="single" w:sz="4" w:space="0" w:color="auto"/>
            </w:tcBorders>
            <w:shd w:val="clear" w:color="000000" w:fill="EBF1DE"/>
            <w:noWrap/>
            <w:vAlign w:val="center"/>
            <w:hideMark/>
          </w:tcPr>
          <w:p w14:paraId="3FBBCD09"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42</w:t>
            </w:r>
          </w:p>
        </w:tc>
        <w:tc>
          <w:tcPr>
            <w:tcW w:w="1460" w:type="dxa"/>
            <w:tcBorders>
              <w:top w:val="nil"/>
              <w:left w:val="nil"/>
              <w:bottom w:val="single" w:sz="4" w:space="0" w:color="auto"/>
              <w:right w:val="single" w:sz="4" w:space="0" w:color="auto"/>
            </w:tcBorders>
            <w:shd w:val="clear" w:color="000000" w:fill="EBF1DE"/>
            <w:noWrap/>
            <w:vAlign w:val="center"/>
            <w:hideMark/>
          </w:tcPr>
          <w:p w14:paraId="22B5A897" w14:textId="77777777" w:rsidR="00A100A1" w:rsidRPr="00A100A1" w:rsidRDefault="00A100A1" w:rsidP="00A100A1">
            <w:pPr>
              <w:jc w:val="center"/>
              <w:rPr>
                <w:rFonts w:ascii="Arial" w:hAnsi="Arial" w:cs="Arial"/>
                <w:b/>
                <w:bCs/>
                <w:sz w:val="16"/>
                <w:szCs w:val="16"/>
              </w:rPr>
            </w:pPr>
            <w:r w:rsidRPr="00A100A1">
              <w:rPr>
                <w:rFonts w:ascii="Arial" w:hAnsi="Arial" w:cs="Arial"/>
                <w:b/>
                <w:bCs/>
                <w:sz w:val="16"/>
                <w:szCs w:val="16"/>
              </w:rPr>
              <w:t>42</w:t>
            </w:r>
          </w:p>
        </w:tc>
        <w:tc>
          <w:tcPr>
            <w:tcW w:w="1460" w:type="dxa"/>
            <w:tcBorders>
              <w:top w:val="nil"/>
              <w:left w:val="nil"/>
              <w:bottom w:val="single" w:sz="4" w:space="0" w:color="auto"/>
              <w:right w:val="single" w:sz="4" w:space="0" w:color="auto"/>
            </w:tcBorders>
            <w:shd w:val="clear" w:color="000000" w:fill="EBF1DE"/>
            <w:noWrap/>
            <w:vAlign w:val="center"/>
            <w:hideMark/>
          </w:tcPr>
          <w:p w14:paraId="2E1165EC" w14:textId="77777777" w:rsidR="00A100A1" w:rsidRPr="00A100A1" w:rsidRDefault="00A100A1" w:rsidP="00A100A1">
            <w:pPr>
              <w:jc w:val="center"/>
              <w:rPr>
                <w:rFonts w:ascii="Arial" w:hAnsi="Arial" w:cs="Arial"/>
                <w:b/>
                <w:bCs/>
                <w:sz w:val="16"/>
                <w:szCs w:val="16"/>
              </w:rPr>
            </w:pPr>
            <w:r w:rsidRPr="00A100A1">
              <w:rPr>
                <w:rFonts w:ascii="Arial" w:hAnsi="Arial" w:cs="Arial"/>
                <w:b/>
                <w:bCs/>
                <w:sz w:val="16"/>
                <w:szCs w:val="16"/>
              </w:rPr>
              <w:t>4</w:t>
            </w:r>
          </w:p>
        </w:tc>
      </w:tr>
    </w:tbl>
    <w:p w14:paraId="0240BE9F" w14:textId="77777777" w:rsidR="00A100A1" w:rsidRPr="00A100A1" w:rsidRDefault="00A100A1" w:rsidP="00A100A1">
      <w:pPr>
        <w:rPr>
          <w:rFonts w:ascii="Arial" w:hAnsi="Arial" w:cs="Arial"/>
          <w:sz w:val="20"/>
          <w:szCs w:val="20"/>
        </w:rPr>
      </w:pPr>
    </w:p>
    <w:p w14:paraId="08DD8B4B" w14:textId="7C6DB06E" w:rsidR="00A100A1" w:rsidRPr="00A100A1" w:rsidRDefault="00A100A1" w:rsidP="00A100A1">
      <w:pPr>
        <w:spacing w:before="120"/>
        <w:jc w:val="both"/>
        <w:rPr>
          <w:rFonts w:ascii="Arial" w:hAnsi="Arial" w:cs="Arial"/>
          <w:sz w:val="20"/>
          <w:szCs w:val="20"/>
        </w:rPr>
      </w:pPr>
      <w:r w:rsidRPr="00A100A1">
        <w:rPr>
          <w:rFonts w:ascii="Arial" w:hAnsi="Arial" w:cs="Arial"/>
          <w:sz w:val="20"/>
          <w:szCs w:val="20"/>
        </w:rPr>
        <w:t>Tabuľka č. 6</w:t>
      </w:r>
      <w:r w:rsidR="007B1CB9">
        <w:rPr>
          <w:rFonts w:ascii="Arial" w:hAnsi="Arial" w:cs="Arial"/>
          <w:sz w:val="20"/>
          <w:szCs w:val="20"/>
        </w:rPr>
        <w:t>1</w:t>
      </w:r>
      <w:r w:rsidRPr="00A100A1">
        <w:rPr>
          <w:rFonts w:ascii="Arial" w:hAnsi="Arial" w:cs="Arial"/>
          <w:sz w:val="20"/>
          <w:szCs w:val="20"/>
        </w:rPr>
        <w:t>b: Finančné vyjadrenie pokroku v implementácii prioritnej osi 5 k 31.10.2016 (v €)</w:t>
      </w:r>
    </w:p>
    <w:tbl>
      <w:tblPr>
        <w:tblW w:w="9200" w:type="dxa"/>
        <w:tblInd w:w="55" w:type="dxa"/>
        <w:tblCellMar>
          <w:left w:w="70" w:type="dxa"/>
          <w:right w:w="70" w:type="dxa"/>
        </w:tblCellMar>
        <w:tblLook w:val="04A0" w:firstRow="1" w:lastRow="0" w:firstColumn="1" w:lastColumn="0" w:noHBand="0" w:noVBand="1"/>
      </w:tblPr>
      <w:tblGrid>
        <w:gridCol w:w="1880"/>
        <w:gridCol w:w="1180"/>
        <w:gridCol w:w="1180"/>
        <w:gridCol w:w="1180"/>
        <w:gridCol w:w="1400"/>
        <w:gridCol w:w="1200"/>
        <w:gridCol w:w="1180"/>
      </w:tblGrid>
      <w:tr w:rsidR="00A100A1" w:rsidRPr="00A100A1" w14:paraId="43AB375A"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6357233"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Prioritná téma</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B6AD09B"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Alokácia za zdroj EÚ+ŠR</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BD19CCF"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 xml:space="preserve">Výška žiadaného príspevku (NFP)  </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3796428"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 xml:space="preserve">Výška schváleného príspevku (NFP) </w:t>
            </w:r>
          </w:p>
        </w:tc>
        <w:tc>
          <w:tcPr>
            <w:tcW w:w="14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303F36C"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Výška zazmluvnených prostriedkov (NFP)</w:t>
            </w:r>
          </w:p>
        </w:tc>
        <w:tc>
          <w:tcPr>
            <w:tcW w:w="12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99E6C79"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Výška riadne ukončených projektov</w:t>
            </w:r>
            <w:r w:rsidRPr="00A100A1">
              <w:rPr>
                <w:rFonts w:ascii="Arial" w:hAnsi="Arial" w:cs="Arial"/>
                <w:b/>
                <w:bCs/>
                <w:color w:val="000000"/>
                <w:sz w:val="16"/>
                <w:szCs w:val="16"/>
                <w:vertAlign w:val="superscript"/>
              </w:rPr>
              <w:t>1</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DB4298F"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Výška mimoriadne ukončených projektov</w:t>
            </w:r>
          </w:p>
        </w:tc>
      </w:tr>
      <w:tr w:rsidR="0032447E" w:rsidRPr="00A100A1" w14:paraId="6481C853" w14:textId="77777777" w:rsidTr="0032447E">
        <w:trPr>
          <w:trHeight w:val="1125"/>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1A7760D3" w14:textId="77777777" w:rsidR="0032447E" w:rsidRPr="00A100A1" w:rsidRDefault="0032447E" w:rsidP="0032447E">
            <w:pPr>
              <w:rPr>
                <w:rFonts w:ascii="Arial" w:hAnsi="Arial" w:cs="Arial"/>
                <w:color w:val="000000"/>
                <w:sz w:val="16"/>
                <w:szCs w:val="16"/>
              </w:rPr>
            </w:pPr>
            <w:r w:rsidRPr="00A100A1">
              <w:rPr>
                <w:rFonts w:ascii="Arial" w:hAnsi="Arial" w:cs="Arial"/>
                <w:color w:val="000000"/>
                <w:sz w:val="16"/>
                <w:szCs w:val="16"/>
              </w:rPr>
              <w:t xml:space="preserve">54 - Iné opatrenia </w:t>
            </w:r>
            <w:r w:rsidRPr="00A100A1">
              <w:rPr>
                <w:rFonts w:ascii="Arial" w:hAnsi="Arial" w:cs="Arial"/>
                <w:color w:val="000000"/>
                <w:sz w:val="16"/>
                <w:szCs w:val="16"/>
              </w:rPr>
              <w:br/>
              <w:t xml:space="preserve">na zachovanie životného prostredia </w:t>
            </w:r>
            <w:r w:rsidRPr="00A100A1">
              <w:rPr>
                <w:rFonts w:ascii="Arial" w:hAnsi="Arial" w:cs="Arial"/>
                <w:color w:val="000000"/>
                <w:sz w:val="16"/>
                <w:szCs w:val="16"/>
              </w:rPr>
              <w:br/>
              <w:t>a predchádzanie rizikám</w:t>
            </w:r>
          </w:p>
        </w:tc>
        <w:tc>
          <w:tcPr>
            <w:tcW w:w="1180" w:type="dxa"/>
            <w:tcBorders>
              <w:top w:val="nil"/>
              <w:left w:val="nil"/>
              <w:bottom w:val="single" w:sz="4" w:space="0" w:color="auto"/>
              <w:right w:val="single" w:sz="4" w:space="0" w:color="auto"/>
            </w:tcBorders>
            <w:shd w:val="clear" w:color="auto" w:fill="auto"/>
            <w:vAlign w:val="center"/>
            <w:hideMark/>
          </w:tcPr>
          <w:p w14:paraId="70CA2C0E" w14:textId="08083489"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16 037 454</w:t>
            </w:r>
          </w:p>
        </w:tc>
        <w:tc>
          <w:tcPr>
            <w:tcW w:w="1180" w:type="dxa"/>
            <w:tcBorders>
              <w:top w:val="nil"/>
              <w:left w:val="nil"/>
              <w:bottom w:val="single" w:sz="4" w:space="0" w:color="auto"/>
              <w:right w:val="single" w:sz="4" w:space="0" w:color="auto"/>
            </w:tcBorders>
            <w:shd w:val="clear" w:color="auto" w:fill="auto"/>
            <w:noWrap/>
            <w:vAlign w:val="center"/>
            <w:hideMark/>
          </w:tcPr>
          <w:p w14:paraId="17091823" w14:textId="0C5555DB"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24 776 150</w:t>
            </w:r>
          </w:p>
        </w:tc>
        <w:tc>
          <w:tcPr>
            <w:tcW w:w="1180" w:type="dxa"/>
            <w:tcBorders>
              <w:top w:val="nil"/>
              <w:left w:val="nil"/>
              <w:bottom w:val="single" w:sz="4" w:space="0" w:color="auto"/>
              <w:right w:val="single" w:sz="4" w:space="0" w:color="auto"/>
            </w:tcBorders>
            <w:shd w:val="clear" w:color="auto" w:fill="auto"/>
            <w:noWrap/>
            <w:vAlign w:val="center"/>
            <w:hideMark/>
          </w:tcPr>
          <w:p w14:paraId="52EFC4B7" w14:textId="59189648"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17 703 243</w:t>
            </w:r>
          </w:p>
        </w:tc>
        <w:tc>
          <w:tcPr>
            <w:tcW w:w="1400" w:type="dxa"/>
            <w:tcBorders>
              <w:top w:val="nil"/>
              <w:left w:val="nil"/>
              <w:bottom w:val="single" w:sz="4" w:space="0" w:color="auto"/>
              <w:right w:val="single" w:sz="4" w:space="0" w:color="auto"/>
            </w:tcBorders>
            <w:shd w:val="clear" w:color="auto" w:fill="auto"/>
            <w:noWrap/>
            <w:vAlign w:val="center"/>
            <w:hideMark/>
          </w:tcPr>
          <w:p w14:paraId="535A7DB1" w14:textId="357C485B"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16 438 618</w:t>
            </w:r>
          </w:p>
        </w:tc>
        <w:tc>
          <w:tcPr>
            <w:tcW w:w="1200" w:type="dxa"/>
            <w:tcBorders>
              <w:top w:val="nil"/>
              <w:left w:val="nil"/>
              <w:bottom w:val="single" w:sz="4" w:space="0" w:color="auto"/>
              <w:right w:val="single" w:sz="4" w:space="0" w:color="auto"/>
            </w:tcBorders>
            <w:shd w:val="clear" w:color="auto" w:fill="auto"/>
            <w:noWrap/>
            <w:vAlign w:val="center"/>
            <w:hideMark/>
          </w:tcPr>
          <w:p w14:paraId="5194C7A4" w14:textId="26C41257"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14 363 844</w:t>
            </w:r>
          </w:p>
        </w:tc>
        <w:tc>
          <w:tcPr>
            <w:tcW w:w="1180" w:type="dxa"/>
            <w:tcBorders>
              <w:top w:val="nil"/>
              <w:left w:val="nil"/>
              <w:bottom w:val="single" w:sz="4" w:space="0" w:color="auto"/>
              <w:right w:val="single" w:sz="4" w:space="0" w:color="auto"/>
            </w:tcBorders>
            <w:shd w:val="clear" w:color="auto" w:fill="auto"/>
            <w:noWrap/>
            <w:vAlign w:val="center"/>
            <w:hideMark/>
          </w:tcPr>
          <w:p w14:paraId="53BBBE56" w14:textId="674BC46D"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1 264 626</w:t>
            </w:r>
          </w:p>
        </w:tc>
      </w:tr>
      <w:tr w:rsidR="0032447E" w:rsidRPr="00A100A1" w14:paraId="26F6E25A" w14:textId="77777777" w:rsidTr="0032447E">
        <w:trPr>
          <w:trHeight w:val="1125"/>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61EF053F" w14:textId="77777777" w:rsidR="0032447E" w:rsidRPr="00A100A1" w:rsidRDefault="0032447E" w:rsidP="0032447E">
            <w:pPr>
              <w:rPr>
                <w:rFonts w:ascii="Arial" w:hAnsi="Arial" w:cs="Arial"/>
                <w:color w:val="000000"/>
                <w:sz w:val="16"/>
                <w:szCs w:val="16"/>
              </w:rPr>
            </w:pPr>
            <w:r w:rsidRPr="00A100A1">
              <w:rPr>
                <w:rFonts w:ascii="Arial" w:hAnsi="Arial" w:cs="Arial"/>
                <w:color w:val="000000"/>
                <w:sz w:val="16"/>
                <w:szCs w:val="16"/>
              </w:rPr>
              <w:t xml:space="preserve">51 - Podpora biodiverzity </w:t>
            </w:r>
            <w:r w:rsidRPr="00A100A1">
              <w:rPr>
                <w:rFonts w:ascii="Arial" w:hAnsi="Arial" w:cs="Arial"/>
                <w:color w:val="000000"/>
                <w:sz w:val="16"/>
                <w:szCs w:val="16"/>
              </w:rPr>
              <w:br/>
              <w:t xml:space="preserve">a ochrana prírody </w:t>
            </w:r>
            <w:r w:rsidRPr="00A100A1">
              <w:rPr>
                <w:rFonts w:ascii="Arial" w:hAnsi="Arial" w:cs="Arial"/>
                <w:color w:val="000000"/>
                <w:sz w:val="16"/>
                <w:szCs w:val="16"/>
              </w:rPr>
              <w:br/>
              <w:t>(vrátane NATURA 2000)</w:t>
            </w:r>
          </w:p>
        </w:tc>
        <w:tc>
          <w:tcPr>
            <w:tcW w:w="1180" w:type="dxa"/>
            <w:tcBorders>
              <w:top w:val="nil"/>
              <w:left w:val="nil"/>
              <w:bottom w:val="single" w:sz="4" w:space="0" w:color="auto"/>
              <w:right w:val="single" w:sz="4" w:space="0" w:color="auto"/>
            </w:tcBorders>
            <w:shd w:val="clear" w:color="auto" w:fill="auto"/>
            <w:noWrap/>
            <w:vAlign w:val="center"/>
            <w:hideMark/>
          </w:tcPr>
          <w:p w14:paraId="29A92DB6" w14:textId="70E4D62A"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43 676 587</w:t>
            </w:r>
          </w:p>
        </w:tc>
        <w:tc>
          <w:tcPr>
            <w:tcW w:w="1180" w:type="dxa"/>
            <w:tcBorders>
              <w:top w:val="nil"/>
              <w:left w:val="nil"/>
              <w:bottom w:val="single" w:sz="4" w:space="0" w:color="auto"/>
              <w:right w:val="single" w:sz="4" w:space="0" w:color="auto"/>
            </w:tcBorders>
            <w:shd w:val="clear" w:color="auto" w:fill="auto"/>
            <w:noWrap/>
            <w:vAlign w:val="center"/>
            <w:hideMark/>
          </w:tcPr>
          <w:p w14:paraId="5A4B6134" w14:textId="0E34A24F"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62 211 432</w:t>
            </w:r>
          </w:p>
        </w:tc>
        <w:tc>
          <w:tcPr>
            <w:tcW w:w="1180" w:type="dxa"/>
            <w:tcBorders>
              <w:top w:val="nil"/>
              <w:left w:val="nil"/>
              <w:bottom w:val="single" w:sz="4" w:space="0" w:color="auto"/>
              <w:right w:val="single" w:sz="4" w:space="0" w:color="auto"/>
            </w:tcBorders>
            <w:shd w:val="clear" w:color="auto" w:fill="auto"/>
            <w:noWrap/>
            <w:vAlign w:val="center"/>
            <w:hideMark/>
          </w:tcPr>
          <w:p w14:paraId="18DCE9AD" w14:textId="7A246FF9"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48 294 843</w:t>
            </w:r>
          </w:p>
        </w:tc>
        <w:tc>
          <w:tcPr>
            <w:tcW w:w="1400" w:type="dxa"/>
            <w:tcBorders>
              <w:top w:val="nil"/>
              <w:left w:val="nil"/>
              <w:bottom w:val="single" w:sz="4" w:space="0" w:color="auto"/>
              <w:right w:val="single" w:sz="4" w:space="0" w:color="auto"/>
            </w:tcBorders>
            <w:shd w:val="clear" w:color="auto" w:fill="auto"/>
            <w:noWrap/>
            <w:vAlign w:val="center"/>
            <w:hideMark/>
          </w:tcPr>
          <w:p w14:paraId="6DFD46E5" w14:textId="0E0CE7E9"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43 937 271</w:t>
            </w:r>
          </w:p>
        </w:tc>
        <w:tc>
          <w:tcPr>
            <w:tcW w:w="1200" w:type="dxa"/>
            <w:tcBorders>
              <w:top w:val="nil"/>
              <w:left w:val="nil"/>
              <w:bottom w:val="single" w:sz="4" w:space="0" w:color="auto"/>
              <w:right w:val="single" w:sz="4" w:space="0" w:color="auto"/>
            </w:tcBorders>
            <w:shd w:val="clear" w:color="auto" w:fill="auto"/>
            <w:noWrap/>
            <w:vAlign w:val="center"/>
            <w:hideMark/>
          </w:tcPr>
          <w:p w14:paraId="2895B01C" w14:textId="76D14129"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39 750 596</w:t>
            </w:r>
          </w:p>
        </w:tc>
        <w:tc>
          <w:tcPr>
            <w:tcW w:w="1180" w:type="dxa"/>
            <w:tcBorders>
              <w:top w:val="nil"/>
              <w:left w:val="nil"/>
              <w:bottom w:val="single" w:sz="4" w:space="0" w:color="auto"/>
              <w:right w:val="single" w:sz="4" w:space="0" w:color="auto"/>
            </w:tcBorders>
            <w:shd w:val="clear" w:color="auto" w:fill="auto"/>
            <w:noWrap/>
            <w:vAlign w:val="center"/>
            <w:hideMark/>
          </w:tcPr>
          <w:p w14:paraId="1191F1D3" w14:textId="0D5EFB2F"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4 355 014</w:t>
            </w:r>
          </w:p>
        </w:tc>
      </w:tr>
      <w:tr w:rsidR="0032447E" w:rsidRPr="00A100A1" w14:paraId="598673BA" w14:textId="77777777" w:rsidTr="0032447E">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68566119" w14:textId="77777777" w:rsidR="0032447E" w:rsidRPr="00A100A1" w:rsidRDefault="0032447E" w:rsidP="0032447E">
            <w:pPr>
              <w:rPr>
                <w:rFonts w:ascii="Arial" w:hAnsi="Arial" w:cs="Arial"/>
                <w:b/>
                <w:bCs/>
                <w:color w:val="000000"/>
                <w:sz w:val="16"/>
                <w:szCs w:val="16"/>
              </w:rPr>
            </w:pPr>
            <w:r w:rsidRPr="00A100A1">
              <w:rPr>
                <w:rFonts w:ascii="Arial" w:hAnsi="Arial" w:cs="Arial"/>
                <w:b/>
                <w:bCs/>
                <w:color w:val="000000"/>
                <w:sz w:val="16"/>
                <w:szCs w:val="16"/>
              </w:rPr>
              <w:t>Celkom</w:t>
            </w:r>
          </w:p>
        </w:tc>
        <w:tc>
          <w:tcPr>
            <w:tcW w:w="1180" w:type="dxa"/>
            <w:tcBorders>
              <w:top w:val="nil"/>
              <w:left w:val="nil"/>
              <w:bottom w:val="single" w:sz="4" w:space="0" w:color="auto"/>
              <w:right w:val="single" w:sz="4" w:space="0" w:color="auto"/>
            </w:tcBorders>
            <w:shd w:val="clear" w:color="000000" w:fill="EBF1DE"/>
            <w:noWrap/>
            <w:vAlign w:val="center"/>
            <w:hideMark/>
          </w:tcPr>
          <w:p w14:paraId="54D7E415" w14:textId="6C5D8156" w:rsidR="0032447E" w:rsidRPr="00A100A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59 714 041</w:t>
            </w:r>
          </w:p>
        </w:tc>
        <w:tc>
          <w:tcPr>
            <w:tcW w:w="1180" w:type="dxa"/>
            <w:tcBorders>
              <w:top w:val="nil"/>
              <w:left w:val="nil"/>
              <w:bottom w:val="single" w:sz="4" w:space="0" w:color="auto"/>
              <w:right w:val="single" w:sz="4" w:space="0" w:color="auto"/>
            </w:tcBorders>
            <w:shd w:val="clear" w:color="000000" w:fill="EBF1DE"/>
            <w:noWrap/>
            <w:vAlign w:val="center"/>
            <w:hideMark/>
          </w:tcPr>
          <w:p w14:paraId="7955D7F6" w14:textId="236F3A2C" w:rsidR="0032447E" w:rsidRPr="00A100A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86 987 582</w:t>
            </w:r>
          </w:p>
        </w:tc>
        <w:tc>
          <w:tcPr>
            <w:tcW w:w="1180" w:type="dxa"/>
            <w:tcBorders>
              <w:top w:val="nil"/>
              <w:left w:val="nil"/>
              <w:bottom w:val="single" w:sz="4" w:space="0" w:color="auto"/>
              <w:right w:val="single" w:sz="4" w:space="0" w:color="auto"/>
            </w:tcBorders>
            <w:shd w:val="clear" w:color="000000" w:fill="EBF1DE"/>
            <w:noWrap/>
            <w:vAlign w:val="center"/>
            <w:hideMark/>
          </w:tcPr>
          <w:p w14:paraId="6D4AEC81" w14:textId="06D34DBD" w:rsidR="0032447E" w:rsidRPr="00A100A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65 998 086</w:t>
            </w:r>
          </w:p>
        </w:tc>
        <w:tc>
          <w:tcPr>
            <w:tcW w:w="1400" w:type="dxa"/>
            <w:tcBorders>
              <w:top w:val="nil"/>
              <w:left w:val="nil"/>
              <w:bottom w:val="single" w:sz="4" w:space="0" w:color="auto"/>
              <w:right w:val="single" w:sz="4" w:space="0" w:color="auto"/>
            </w:tcBorders>
            <w:shd w:val="clear" w:color="000000" w:fill="EBF1DE"/>
            <w:noWrap/>
            <w:vAlign w:val="center"/>
            <w:hideMark/>
          </w:tcPr>
          <w:p w14:paraId="6E5FFFAE" w14:textId="5E027A5E" w:rsidR="0032447E" w:rsidRPr="00A100A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60 375 889</w:t>
            </w:r>
          </w:p>
        </w:tc>
        <w:tc>
          <w:tcPr>
            <w:tcW w:w="1200" w:type="dxa"/>
            <w:tcBorders>
              <w:top w:val="nil"/>
              <w:left w:val="nil"/>
              <w:bottom w:val="single" w:sz="4" w:space="0" w:color="auto"/>
              <w:right w:val="single" w:sz="4" w:space="0" w:color="auto"/>
            </w:tcBorders>
            <w:shd w:val="clear" w:color="000000" w:fill="EBF1DE"/>
            <w:noWrap/>
            <w:vAlign w:val="center"/>
            <w:hideMark/>
          </w:tcPr>
          <w:p w14:paraId="73E0A8EC" w14:textId="2202A456" w:rsidR="0032447E" w:rsidRPr="00A100A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54 114 440</w:t>
            </w:r>
          </w:p>
        </w:tc>
        <w:tc>
          <w:tcPr>
            <w:tcW w:w="1180" w:type="dxa"/>
            <w:tcBorders>
              <w:top w:val="nil"/>
              <w:left w:val="nil"/>
              <w:bottom w:val="single" w:sz="4" w:space="0" w:color="auto"/>
              <w:right w:val="single" w:sz="4" w:space="0" w:color="auto"/>
            </w:tcBorders>
            <w:shd w:val="clear" w:color="000000" w:fill="EBF1DE"/>
            <w:noWrap/>
            <w:vAlign w:val="center"/>
            <w:hideMark/>
          </w:tcPr>
          <w:p w14:paraId="0CBD6989" w14:textId="4642BF76" w:rsidR="0032447E" w:rsidRPr="0032447E"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5 619 640</w:t>
            </w:r>
          </w:p>
        </w:tc>
      </w:tr>
    </w:tbl>
    <w:p w14:paraId="161280F0" w14:textId="77777777" w:rsidR="00A100A1" w:rsidRPr="00A100A1" w:rsidRDefault="00A100A1" w:rsidP="00A100A1">
      <w:pPr>
        <w:jc w:val="both"/>
        <w:rPr>
          <w:rFonts w:ascii="Arial" w:hAnsi="Arial" w:cs="Arial"/>
          <w:sz w:val="16"/>
          <w:szCs w:val="16"/>
        </w:rPr>
      </w:pPr>
      <w:r w:rsidRPr="00A100A1">
        <w:rPr>
          <w:rFonts w:ascii="Arial" w:hAnsi="Arial" w:cs="Arial"/>
          <w:sz w:val="16"/>
          <w:szCs w:val="16"/>
        </w:rPr>
        <w:t>Zdroj: RO, ITMS</w:t>
      </w:r>
    </w:p>
    <w:tbl>
      <w:tblPr>
        <w:tblW w:w="9371" w:type="dxa"/>
        <w:tblCellMar>
          <w:left w:w="70" w:type="dxa"/>
          <w:right w:w="70" w:type="dxa"/>
        </w:tblCellMar>
        <w:tblLook w:val="04A0" w:firstRow="1" w:lastRow="0" w:firstColumn="1" w:lastColumn="0" w:noHBand="0" w:noVBand="1"/>
      </w:tblPr>
      <w:tblGrid>
        <w:gridCol w:w="9371"/>
      </w:tblGrid>
      <w:tr w:rsidR="00A100A1" w:rsidRPr="00A100A1" w14:paraId="326CC98D" w14:textId="77777777" w:rsidTr="00001084">
        <w:trPr>
          <w:trHeight w:val="270"/>
        </w:trPr>
        <w:tc>
          <w:tcPr>
            <w:tcW w:w="9371" w:type="dxa"/>
            <w:noWrap/>
            <w:vAlign w:val="bottom"/>
          </w:tcPr>
          <w:p w14:paraId="5EE92CE9" w14:textId="77777777" w:rsidR="00A100A1" w:rsidRPr="00A100A1" w:rsidRDefault="00A100A1" w:rsidP="00A100A1">
            <w:pPr>
              <w:rPr>
                <w:rFonts w:ascii="Arial" w:hAnsi="Arial" w:cs="Arial"/>
                <w:i/>
                <w:sz w:val="16"/>
                <w:szCs w:val="16"/>
              </w:rPr>
            </w:pPr>
            <w:r w:rsidRPr="00A100A1">
              <w:rPr>
                <w:rFonts w:ascii="Arial" w:hAnsi="Arial" w:cs="Arial"/>
                <w:i/>
                <w:sz w:val="16"/>
                <w:szCs w:val="16"/>
              </w:rPr>
              <w:t>1 Objem čerpaných prostriedkov NFP</w:t>
            </w:r>
          </w:p>
        </w:tc>
      </w:tr>
      <w:tr w:rsidR="00A100A1" w:rsidRPr="00A100A1" w14:paraId="5F1F4700" w14:textId="77777777" w:rsidTr="00001084">
        <w:trPr>
          <w:trHeight w:val="270"/>
        </w:trPr>
        <w:tc>
          <w:tcPr>
            <w:tcW w:w="9371" w:type="dxa"/>
            <w:noWrap/>
            <w:vAlign w:val="bottom"/>
          </w:tcPr>
          <w:p w14:paraId="127CF713" w14:textId="77777777" w:rsidR="00A100A1" w:rsidRPr="00A100A1" w:rsidRDefault="00A100A1" w:rsidP="00A100A1">
            <w:pPr>
              <w:rPr>
                <w:rFonts w:ascii="Arial" w:hAnsi="Arial" w:cs="Arial"/>
                <w:i/>
                <w:sz w:val="16"/>
                <w:szCs w:val="16"/>
              </w:rPr>
            </w:pPr>
            <w:r w:rsidRPr="00A100A1">
              <w:rPr>
                <w:rFonts w:ascii="Arial" w:hAnsi="Arial" w:cs="Arial"/>
                <w:i/>
                <w:sz w:val="16"/>
                <w:szCs w:val="16"/>
              </w:rPr>
              <w:t>2 počet vrátane - vyjadruje počet projektov, ktoré prispievajú k naplneniu oboch tém</w:t>
            </w:r>
          </w:p>
        </w:tc>
      </w:tr>
      <w:tr w:rsidR="00A100A1" w:rsidRPr="00A100A1" w14:paraId="1C152395" w14:textId="77777777" w:rsidTr="00001084">
        <w:trPr>
          <w:trHeight w:val="270"/>
        </w:trPr>
        <w:tc>
          <w:tcPr>
            <w:tcW w:w="9371" w:type="dxa"/>
            <w:noWrap/>
            <w:vAlign w:val="bottom"/>
          </w:tcPr>
          <w:p w14:paraId="4DF3C68E" w14:textId="77777777" w:rsidR="00A100A1" w:rsidRPr="00A100A1" w:rsidRDefault="00A100A1" w:rsidP="00A100A1">
            <w:pPr>
              <w:spacing w:after="120"/>
              <w:rPr>
                <w:rFonts w:ascii="Arial" w:hAnsi="Arial" w:cs="Arial"/>
                <w:b/>
                <w:bCs/>
                <w:sz w:val="18"/>
                <w:szCs w:val="18"/>
                <w:vertAlign w:val="superscript"/>
              </w:rPr>
            </w:pPr>
            <w:r w:rsidRPr="00A100A1">
              <w:rPr>
                <w:rFonts w:ascii="Arial" w:hAnsi="Arial" w:cs="Arial"/>
                <w:i/>
                <w:sz w:val="16"/>
                <w:szCs w:val="16"/>
              </w:rPr>
              <w:t>Údaje o zazmluvnených projektoch zahŕňajú projekty, ktoré mali k 31.12.2015 účinnú zmluvu o poskytnutí NFP a boli v realizácii alebo riadne ukončené. Údaje nezahŕňajú mimoriadne ukončené projekty.</w:t>
            </w:r>
          </w:p>
        </w:tc>
      </w:tr>
    </w:tbl>
    <w:p w14:paraId="7211670B" w14:textId="67643C31" w:rsidR="00A100A1" w:rsidRPr="00A100A1" w:rsidRDefault="00FB6D6F" w:rsidP="00A100A1">
      <w:pPr>
        <w:spacing w:before="120" w:after="120"/>
        <w:jc w:val="both"/>
        <w:rPr>
          <w:rFonts w:ascii="Arial" w:hAnsi="Arial" w:cs="Arial"/>
          <w:sz w:val="20"/>
          <w:szCs w:val="20"/>
        </w:rPr>
      </w:pPr>
      <w:r w:rsidRPr="001A6CAA">
        <w:rPr>
          <w:rFonts w:ascii="Arial" w:hAnsi="Arial" w:cs="Arial"/>
          <w:sz w:val="20"/>
          <w:szCs w:val="20"/>
        </w:rPr>
        <w:t xml:space="preserve">Zoznam schválených projektov s objemom zazmluvnených prostriedkov k 31.12.2015 je zverejnený na webovom sídle </w:t>
      </w:r>
      <w:hyperlink r:id="rId29" w:history="1">
        <w:r w:rsidRPr="0093280D">
          <w:rPr>
            <w:rStyle w:val="Hypertextovprepojenie"/>
            <w:rFonts w:ascii="Arial" w:hAnsi="Arial" w:cs="Arial"/>
            <w:sz w:val="20"/>
            <w:szCs w:val="20"/>
          </w:rPr>
          <w:t>www.opzp.sk</w:t>
        </w:r>
      </w:hyperlink>
      <w:r w:rsidRPr="001A6CAA">
        <w:rPr>
          <w:rFonts w:ascii="Arial" w:hAnsi="Arial" w:cs="Arial"/>
          <w:sz w:val="20"/>
          <w:szCs w:val="20"/>
        </w:rPr>
        <w:t xml:space="preserve"> v časti Hlavná stránka &gt; Projekty &gt; Zoznamy OPŽP &gt; Zoznam prijímateľov z OPŽP. Zoznam schválených projektov s uvedením stavu k 31.</w:t>
      </w:r>
      <w:r w:rsidR="00473D0F">
        <w:rPr>
          <w:rFonts w:ascii="Arial" w:hAnsi="Arial" w:cs="Arial"/>
          <w:sz w:val="20"/>
          <w:szCs w:val="20"/>
        </w:rPr>
        <w:t>10</w:t>
      </w:r>
      <w:r w:rsidRPr="001A6CAA">
        <w:rPr>
          <w:rFonts w:ascii="Arial" w:hAnsi="Arial" w:cs="Arial"/>
          <w:sz w:val="20"/>
          <w:szCs w:val="20"/>
        </w:rPr>
        <w:t>.201</w:t>
      </w:r>
      <w:r w:rsidR="00473D0F">
        <w:rPr>
          <w:rFonts w:ascii="Arial" w:hAnsi="Arial" w:cs="Arial"/>
          <w:sz w:val="20"/>
          <w:szCs w:val="20"/>
        </w:rPr>
        <w:t>6</w:t>
      </w:r>
      <w:r w:rsidRPr="001A6CAA">
        <w:rPr>
          <w:rFonts w:ascii="Arial" w:hAnsi="Arial" w:cs="Arial"/>
          <w:sz w:val="20"/>
          <w:szCs w:val="20"/>
        </w:rPr>
        <w:t xml:space="preserve"> je súčasťou Prílohy č. 9.</w:t>
      </w:r>
      <w:r w:rsidRPr="00495C74">
        <w:rPr>
          <w:rFonts w:ascii="Arial" w:hAnsi="Arial" w:cs="Arial"/>
          <w:sz w:val="20"/>
          <w:szCs w:val="20"/>
        </w:rPr>
        <w:t xml:space="preserve"> </w:t>
      </w:r>
    </w:p>
    <w:p w14:paraId="20AAF76D" w14:textId="77777777" w:rsidR="00A100A1" w:rsidRPr="00A100A1" w:rsidRDefault="00A100A1" w:rsidP="00A100A1">
      <w:pPr>
        <w:spacing w:before="240" w:after="120"/>
        <w:rPr>
          <w:rFonts w:ascii="Arial" w:hAnsi="Arial" w:cs="Arial"/>
          <w:b/>
          <w:sz w:val="20"/>
          <w:szCs w:val="20"/>
        </w:rPr>
      </w:pPr>
      <w:r w:rsidRPr="00A100A1">
        <w:rPr>
          <w:rFonts w:ascii="Arial" w:hAnsi="Arial" w:cs="Arial"/>
          <w:b/>
          <w:sz w:val="20"/>
          <w:szCs w:val="20"/>
        </w:rPr>
        <w:t>Plnenie fyzických ukazovateľov</w:t>
      </w:r>
    </w:p>
    <w:p w14:paraId="59E2CFC3" w14:textId="3E102912" w:rsidR="00A100A1" w:rsidRPr="00935BA5" w:rsidRDefault="00A100A1" w:rsidP="00A100A1">
      <w:pPr>
        <w:spacing w:before="120" w:after="120"/>
        <w:jc w:val="both"/>
        <w:rPr>
          <w:rFonts w:ascii="Arial" w:hAnsi="Arial" w:cs="Arial"/>
          <w:sz w:val="20"/>
          <w:szCs w:val="20"/>
          <w:lang w:eastAsia="cs-CZ"/>
        </w:rPr>
      </w:pPr>
      <w:r w:rsidRPr="00A100A1">
        <w:rPr>
          <w:rFonts w:ascii="Arial" w:hAnsi="Arial" w:cs="Arial"/>
          <w:sz w:val="20"/>
          <w:szCs w:val="20"/>
          <w:lang w:eastAsia="cs-CZ"/>
        </w:rPr>
        <w:t xml:space="preserve">Plnenie ukazovateľov za prioritnú os 5 je uvedené v Prílohe č. 2 správy, ktorá obsahuje taktiež cieľové hodnoty ukazovateľov stanovené prijímateľmi na základe uzatvorených zmlúv. Ukazovatele sú vyhodnocované na základe doručených monitorovacích správ projektu od žiadateľov tak, ako im to vyplýva zo zmluvy o poskytnutí NFP. V rámci prioritnej osi 5 </w:t>
      </w:r>
      <w:r w:rsidRPr="00A100A1">
        <w:rPr>
          <w:rFonts w:ascii="Arial" w:hAnsi="Arial" w:cs="Arial"/>
          <w:sz w:val="20"/>
          <w:szCs w:val="20"/>
        </w:rPr>
        <w:t xml:space="preserve">počas implementácie OP ŽP k 31.10.2016 bolo </w:t>
      </w:r>
      <w:r w:rsidRPr="00A100A1">
        <w:rPr>
          <w:rFonts w:ascii="Arial" w:hAnsi="Arial" w:cs="Arial"/>
          <w:sz w:val="20"/>
          <w:szCs w:val="20"/>
          <w:lang w:eastAsia="cs-CZ"/>
        </w:rPr>
        <w:t xml:space="preserve">na RO doručených </w:t>
      </w:r>
      <w:r w:rsidR="00E55B5C">
        <w:rPr>
          <w:rFonts w:ascii="Arial" w:hAnsi="Arial" w:cs="Arial"/>
          <w:sz w:val="20"/>
          <w:szCs w:val="20"/>
          <w:lang w:eastAsia="cs-CZ"/>
        </w:rPr>
        <w:t>407</w:t>
      </w:r>
      <w:r w:rsidR="00E55B5C" w:rsidRPr="00A100A1">
        <w:rPr>
          <w:rFonts w:ascii="Arial" w:hAnsi="Arial" w:cs="Arial"/>
          <w:sz w:val="20"/>
          <w:szCs w:val="20"/>
          <w:lang w:eastAsia="cs-CZ"/>
        </w:rPr>
        <w:t xml:space="preserve"> </w:t>
      </w:r>
      <w:r w:rsidRPr="00A100A1">
        <w:rPr>
          <w:rFonts w:ascii="Arial" w:hAnsi="Arial" w:cs="Arial"/>
          <w:sz w:val="20"/>
          <w:szCs w:val="20"/>
          <w:lang w:eastAsia="cs-CZ"/>
        </w:rPr>
        <w:t xml:space="preserve">monitorovacích správ projektu, z toho </w:t>
      </w:r>
      <w:r w:rsidR="00E55B5C">
        <w:rPr>
          <w:rFonts w:ascii="Arial" w:hAnsi="Arial" w:cs="Arial"/>
          <w:sz w:val="20"/>
          <w:szCs w:val="20"/>
          <w:lang w:eastAsia="cs-CZ"/>
        </w:rPr>
        <w:t>302</w:t>
      </w:r>
      <w:r w:rsidR="00E55B5C" w:rsidRPr="00A100A1">
        <w:rPr>
          <w:rFonts w:ascii="Arial" w:hAnsi="Arial" w:cs="Arial"/>
          <w:sz w:val="20"/>
          <w:szCs w:val="20"/>
          <w:lang w:eastAsia="cs-CZ"/>
        </w:rPr>
        <w:t xml:space="preserve"> </w:t>
      </w:r>
      <w:r w:rsidRPr="00A100A1">
        <w:rPr>
          <w:rFonts w:ascii="Arial" w:hAnsi="Arial" w:cs="Arial"/>
          <w:sz w:val="20"/>
          <w:szCs w:val="20"/>
          <w:lang w:eastAsia="cs-CZ"/>
        </w:rPr>
        <w:t xml:space="preserve">priebežných, 42 záverečných a </w:t>
      </w:r>
      <w:r w:rsidR="00E55B5C">
        <w:rPr>
          <w:rFonts w:ascii="Arial" w:hAnsi="Arial" w:cs="Arial"/>
          <w:sz w:val="20"/>
          <w:szCs w:val="20"/>
          <w:lang w:eastAsia="cs-CZ"/>
        </w:rPr>
        <w:t>63</w:t>
      </w:r>
      <w:r w:rsidR="00E55B5C" w:rsidRPr="00A100A1">
        <w:rPr>
          <w:rFonts w:ascii="Arial" w:hAnsi="Arial" w:cs="Arial"/>
          <w:sz w:val="20"/>
          <w:szCs w:val="20"/>
          <w:lang w:eastAsia="cs-CZ"/>
        </w:rPr>
        <w:t xml:space="preserve"> </w:t>
      </w:r>
      <w:r w:rsidRPr="00A100A1">
        <w:rPr>
          <w:rFonts w:ascii="Arial" w:hAnsi="Arial" w:cs="Arial"/>
          <w:sz w:val="20"/>
          <w:szCs w:val="20"/>
          <w:lang w:eastAsia="cs-CZ"/>
        </w:rPr>
        <w:t>následných</w:t>
      </w:r>
      <w:r w:rsidR="00F87E09">
        <w:rPr>
          <w:rFonts w:ascii="Arial" w:hAnsi="Arial" w:cs="Arial"/>
          <w:sz w:val="20"/>
          <w:szCs w:val="20"/>
          <w:lang w:eastAsia="cs-CZ"/>
        </w:rPr>
        <w:t>,</w:t>
      </w:r>
      <w:r w:rsidRPr="00A100A1">
        <w:rPr>
          <w:rFonts w:ascii="Arial" w:hAnsi="Arial" w:cs="Arial"/>
          <w:sz w:val="20"/>
          <w:szCs w:val="20"/>
          <w:lang w:eastAsia="cs-CZ"/>
        </w:rPr>
        <w:t xml:space="preserve"> na základe ktorých bolo vyhodnotené plnenie ukazovateľov</w:t>
      </w:r>
      <w:r w:rsidR="00F87E09">
        <w:rPr>
          <w:rFonts w:ascii="Arial" w:hAnsi="Arial" w:cs="Arial"/>
          <w:sz w:val="20"/>
          <w:szCs w:val="20"/>
          <w:lang w:eastAsia="cs-CZ"/>
        </w:rPr>
        <w:t>.</w:t>
      </w:r>
      <w:r w:rsidR="00D128A5">
        <w:rPr>
          <w:rFonts w:ascii="Arial" w:hAnsi="Arial" w:cs="Arial"/>
          <w:sz w:val="20"/>
          <w:szCs w:val="20"/>
          <w:lang w:eastAsia="cs-CZ"/>
        </w:rPr>
        <w:t xml:space="preserve"> </w:t>
      </w:r>
      <w:r w:rsidRPr="00A100A1">
        <w:rPr>
          <w:rFonts w:ascii="Arial" w:hAnsi="Arial" w:cs="Arial"/>
          <w:sz w:val="20"/>
          <w:szCs w:val="20"/>
          <w:lang w:eastAsia="cs-CZ"/>
        </w:rPr>
        <w:t xml:space="preserve">K 31.10.2016 bolo zrealizovaných </w:t>
      </w:r>
      <w:r w:rsidRPr="00A100A1">
        <w:rPr>
          <w:rFonts w:ascii="Arial" w:hAnsi="Arial" w:cs="Arial"/>
          <w:b/>
          <w:sz w:val="20"/>
          <w:szCs w:val="20"/>
          <w:lang w:eastAsia="cs-CZ"/>
        </w:rPr>
        <w:t>547</w:t>
      </w:r>
      <w:r w:rsidRPr="00A100A1">
        <w:rPr>
          <w:rFonts w:ascii="Arial" w:hAnsi="Arial" w:cs="Arial"/>
          <w:sz w:val="20"/>
          <w:szCs w:val="20"/>
          <w:lang w:eastAsia="cs-CZ"/>
        </w:rPr>
        <w:t xml:space="preserve"> podujatí zameraných na zvýšenie informovanosti, propagáciu, výchovu k ochrane prírody a vzdelávanie, bolo dobudovaných/zrekonštruovaných </w:t>
      </w:r>
      <w:r w:rsidRPr="00A100A1">
        <w:rPr>
          <w:rFonts w:ascii="Arial" w:hAnsi="Arial" w:cs="Arial"/>
          <w:b/>
          <w:sz w:val="20"/>
          <w:szCs w:val="20"/>
          <w:lang w:eastAsia="cs-CZ"/>
        </w:rPr>
        <w:t xml:space="preserve">90 </w:t>
      </w:r>
      <w:r w:rsidRPr="00A100A1">
        <w:rPr>
          <w:rFonts w:ascii="Arial" w:hAnsi="Arial" w:cs="Arial"/>
          <w:sz w:val="20"/>
          <w:szCs w:val="20"/>
          <w:lang w:eastAsia="cs-CZ"/>
        </w:rPr>
        <w:t xml:space="preserve">zariadení pre účely ochrany prírody a krajiny na 4,35 %-tách plochy z celkového počtu chránených území, pre ktoré </w:t>
      </w:r>
      <w:r w:rsidRPr="00935BA5">
        <w:rPr>
          <w:rFonts w:ascii="Arial" w:hAnsi="Arial" w:cs="Arial"/>
          <w:sz w:val="20"/>
          <w:szCs w:val="20"/>
          <w:lang w:eastAsia="cs-CZ"/>
        </w:rPr>
        <w:t>boli vybudované alebo zrekonštruované zariadenia.</w:t>
      </w:r>
    </w:p>
    <w:p w14:paraId="6D494A66" w14:textId="27E3A3ED" w:rsidR="00A100A1" w:rsidRPr="00A100A1" w:rsidRDefault="00A100A1" w:rsidP="00A100A1">
      <w:pPr>
        <w:spacing w:before="120" w:after="120"/>
        <w:jc w:val="both"/>
        <w:rPr>
          <w:rFonts w:ascii="Arial" w:hAnsi="Arial" w:cs="Arial"/>
          <w:sz w:val="20"/>
          <w:szCs w:val="20"/>
          <w:lang w:eastAsia="cs-CZ"/>
        </w:rPr>
      </w:pPr>
      <w:r w:rsidRPr="00935BA5">
        <w:rPr>
          <w:rFonts w:ascii="Arial" w:hAnsi="Arial" w:cs="Arial"/>
          <w:sz w:val="20"/>
          <w:szCs w:val="20"/>
          <w:lang w:eastAsia="cs-CZ"/>
        </w:rPr>
        <w:lastRenderedPageBreak/>
        <w:t xml:space="preserve">Zoznam CORE ukazovateľov reportovaných EK prostredníctvom SFC2007 v rámci </w:t>
      </w:r>
      <w:r w:rsidR="00F06B73" w:rsidRPr="00935BA5">
        <w:rPr>
          <w:rFonts w:ascii="Arial" w:hAnsi="Arial" w:cs="Arial"/>
          <w:sz w:val="20"/>
          <w:szCs w:val="20"/>
          <w:lang w:eastAsia="cs-CZ"/>
        </w:rPr>
        <w:t xml:space="preserve">záverečnej </w:t>
      </w:r>
      <w:r w:rsidRPr="00935BA5">
        <w:rPr>
          <w:rFonts w:ascii="Arial" w:hAnsi="Arial" w:cs="Arial"/>
          <w:sz w:val="20"/>
          <w:szCs w:val="20"/>
          <w:lang w:eastAsia="cs-CZ"/>
        </w:rPr>
        <w:t xml:space="preserve">správy o vykonávaní OP ŽP je súčasťou Prílohy č. 11. </w:t>
      </w:r>
    </w:p>
    <w:p w14:paraId="2FB80DBD" w14:textId="77777777" w:rsidR="00A100A1" w:rsidRPr="00A100A1" w:rsidRDefault="00A100A1" w:rsidP="00A100A1">
      <w:pPr>
        <w:spacing w:before="120" w:after="120"/>
        <w:jc w:val="both"/>
        <w:rPr>
          <w:rFonts w:ascii="Arial" w:hAnsi="Arial" w:cs="Arial"/>
          <w:sz w:val="20"/>
          <w:szCs w:val="20"/>
        </w:rPr>
      </w:pPr>
      <w:r w:rsidRPr="00A100A1">
        <w:rPr>
          <w:rFonts w:ascii="Arial" w:hAnsi="Arial" w:cs="Arial"/>
          <w:sz w:val="20"/>
          <w:szCs w:val="20"/>
        </w:rPr>
        <w:t>CORE ukazovateľ Počet novovytvorených pracovných miest vykazuje k 31.10.2016 hodnotu 0.</w:t>
      </w:r>
    </w:p>
    <w:p w14:paraId="42F3C7AE" w14:textId="0937DE02" w:rsidR="00A100A1" w:rsidRPr="00A100A1" w:rsidRDefault="00A100A1" w:rsidP="00A100A1">
      <w:pPr>
        <w:spacing w:before="120" w:after="120"/>
        <w:jc w:val="both"/>
        <w:rPr>
          <w:rFonts w:ascii="Arial" w:hAnsi="Arial" w:cs="Arial"/>
          <w:sz w:val="20"/>
          <w:szCs w:val="20"/>
          <w:lang w:eastAsia="cs-CZ"/>
        </w:rPr>
      </w:pPr>
      <w:r w:rsidRPr="00A100A1">
        <w:rPr>
          <w:rFonts w:ascii="Arial" w:hAnsi="Arial" w:cs="Arial"/>
          <w:sz w:val="20"/>
          <w:szCs w:val="20"/>
          <w:lang w:eastAsia="cs-CZ"/>
        </w:rPr>
        <w:t>Napĺňanie relevantných fyzických ukazovateľov vypovedá o príspevku projektov k napĺňaniu jednotlivých cieľov prioritnej osi, medzi ktoré patrí najmä dobudovanie sústavy chránených území Natura 2000 a infraštruktúry ochrany prírody SR v zmysle právnych predpisov EÚ. Realizácia projektov financovaných v rámci operačných cieľov 5.1, 5.2 a 5.3 prispieva</w:t>
      </w:r>
      <w:r w:rsidR="00A95EDA">
        <w:rPr>
          <w:rFonts w:ascii="Arial" w:hAnsi="Arial" w:cs="Arial"/>
          <w:sz w:val="20"/>
          <w:szCs w:val="20"/>
          <w:lang w:eastAsia="cs-CZ"/>
        </w:rPr>
        <w:t>la</w:t>
      </w:r>
      <w:r w:rsidRPr="00A100A1">
        <w:rPr>
          <w:rFonts w:ascii="Arial" w:hAnsi="Arial" w:cs="Arial"/>
          <w:sz w:val="20"/>
          <w:szCs w:val="20"/>
          <w:lang w:eastAsia="cs-CZ"/>
        </w:rPr>
        <w:t xml:space="preserve"> teda k zabezpečeniu plnenia právnych predpisov EÚ, z ktorých vychádza budovanie sústavy Natura 2000, a to: smernice Rady </w:t>
      </w:r>
      <w:r w:rsidRPr="00A100A1">
        <w:rPr>
          <w:rFonts w:ascii="Arial" w:hAnsi="Arial" w:cs="Arial"/>
          <w:bCs/>
          <w:sz w:val="20"/>
          <w:szCs w:val="20"/>
          <w:lang w:eastAsia="cs-CZ"/>
        </w:rPr>
        <w:t>2009/147/ES</w:t>
      </w:r>
      <w:r w:rsidRPr="00A100A1">
        <w:rPr>
          <w:rFonts w:ascii="Arial" w:hAnsi="Arial" w:cs="Arial"/>
          <w:sz w:val="20"/>
          <w:szCs w:val="20"/>
          <w:lang w:eastAsia="cs-CZ"/>
        </w:rPr>
        <w:t xml:space="preserve"> z 2. apríla 1979 o ochrane voľne žijúceho vtáctva v platnom znení, smernice Rady 1992/43/EHS z 21. mája 1992 o ochrane prirodzených biotopov a voľne žijúcich živočíchov v platnom znení a smernice Rady 99/22/ES z 29. marca 1999 o chove voľne žijúcich živočíchov v zoologických záhradách. </w:t>
      </w:r>
    </w:p>
    <w:p w14:paraId="1D4024A5" w14:textId="09B0C0DC" w:rsidR="00A100A1" w:rsidRPr="00021D46" w:rsidRDefault="00A100A1" w:rsidP="009D13DD">
      <w:pPr>
        <w:pStyle w:val="Nadpis8"/>
        <w:rPr>
          <w:rFonts w:ascii="Arial" w:hAnsi="Arial" w:cs="Arial"/>
          <w:b/>
          <w:i w:val="0"/>
          <w:iCs w:val="0"/>
          <w:sz w:val="22"/>
        </w:rPr>
      </w:pPr>
      <w:r w:rsidRPr="00021D46">
        <w:rPr>
          <w:rFonts w:ascii="Arial" w:hAnsi="Arial" w:cs="Arial"/>
          <w:b/>
          <w:sz w:val="22"/>
        </w:rPr>
        <w:t>Finančná implementácia v rámci prioritnej osi 5</w:t>
      </w:r>
    </w:p>
    <w:p w14:paraId="40CA9DE4" w14:textId="639AC46B" w:rsidR="00A100A1" w:rsidRPr="00A100A1" w:rsidRDefault="00A100A1" w:rsidP="00A100A1">
      <w:pPr>
        <w:spacing w:before="120" w:after="120"/>
        <w:jc w:val="both"/>
        <w:rPr>
          <w:rFonts w:ascii="Arial" w:hAnsi="Arial" w:cs="Arial"/>
          <w:sz w:val="20"/>
          <w:szCs w:val="20"/>
        </w:rPr>
      </w:pPr>
      <w:r w:rsidRPr="009D13DD">
        <w:rPr>
          <w:rFonts w:ascii="Arial" w:hAnsi="Arial" w:cs="Arial"/>
          <w:sz w:val="20"/>
          <w:szCs w:val="20"/>
        </w:rPr>
        <w:t xml:space="preserve">K 31.10.2016 bolo vyčerpaných viac ako </w:t>
      </w:r>
      <w:r w:rsidRPr="009F7CC0">
        <w:rPr>
          <w:rFonts w:ascii="Arial" w:hAnsi="Arial" w:cs="Arial"/>
          <w:sz w:val="20"/>
          <w:szCs w:val="20"/>
        </w:rPr>
        <w:t>4</w:t>
      </w:r>
      <w:r w:rsidR="00636E0B" w:rsidRPr="009F7CC0">
        <w:rPr>
          <w:rFonts w:ascii="Arial" w:hAnsi="Arial" w:cs="Arial"/>
          <w:sz w:val="20"/>
          <w:szCs w:val="20"/>
        </w:rPr>
        <w:t>5</w:t>
      </w:r>
      <w:r w:rsidR="006161E9">
        <w:rPr>
          <w:rFonts w:ascii="Arial" w:hAnsi="Arial" w:cs="Arial"/>
          <w:sz w:val="20"/>
          <w:szCs w:val="20"/>
        </w:rPr>
        <w:t>,03</w:t>
      </w:r>
      <w:r w:rsidRPr="009F7CC0">
        <w:rPr>
          <w:rFonts w:ascii="Arial" w:hAnsi="Arial" w:cs="Arial"/>
          <w:sz w:val="20"/>
          <w:szCs w:val="20"/>
        </w:rPr>
        <w:t xml:space="preserve"> mil</w:t>
      </w:r>
      <w:r w:rsidR="006161E9">
        <w:rPr>
          <w:rFonts w:ascii="Arial" w:hAnsi="Arial" w:cs="Arial"/>
          <w:sz w:val="20"/>
          <w:szCs w:val="20"/>
        </w:rPr>
        <w:t>.</w:t>
      </w:r>
      <w:r w:rsidR="00FC0195" w:rsidRPr="009F7CC0">
        <w:rPr>
          <w:rFonts w:ascii="Arial" w:hAnsi="Arial" w:cs="Arial"/>
          <w:sz w:val="20"/>
          <w:szCs w:val="20"/>
        </w:rPr>
        <w:t xml:space="preserve">€ </w:t>
      </w:r>
      <w:r w:rsidRPr="009F7CC0">
        <w:rPr>
          <w:rFonts w:ascii="Arial" w:hAnsi="Arial" w:cs="Arial"/>
          <w:sz w:val="20"/>
          <w:szCs w:val="20"/>
        </w:rPr>
        <w:t>(EÚ</w:t>
      </w:r>
      <w:r w:rsidR="00636E0B" w:rsidRPr="009F7CC0">
        <w:rPr>
          <w:rFonts w:ascii="Arial" w:hAnsi="Arial" w:cs="Arial"/>
          <w:sz w:val="20"/>
          <w:szCs w:val="20"/>
        </w:rPr>
        <w:t xml:space="preserve"> zdroje</w:t>
      </w:r>
      <w:r w:rsidRPr="009F7CC0">
        <w:rPr>
          <w:rFonts w:ascii="Arial" w:hAnsi="Arial" w:cs="Arial"/>
          <w:sz w:val="20"/>
          <w:szCs w:val="20"/>
        </w:rPr>
        <w:t xml:space="preserve">), čo predstavuje </w:t>
      </w:r>
      <w:r w:rsidR="00636E0B" w:rsidRPr="009F7CC0">
        <w:rPr>
          <w:rFonts w:ascii="Arial" w:hAnsi="Arial" w:cs="Arial"/>
          <w:sz w:val="20"/>
          <w:szCs w:val="20"/>
        </w:rPr>
        <w:t>88</w:t>
      </w:r>
      <w:r w:rsidRPr="009F7CC0">
        <w:rPr>
          <w:rFonts w:ascii="Arial" w:hAnsi="Arial" w:cs="Arial"/>
          <w:sz w:val="20"/>
          <w:szCs w:val="20"/>
        </w:rPr>
        <w:t>,</w:t>
      </w:r>
      <w:r w:rsidR="00636E0B" w:rsidRPr="009F7CC0">
        <w:rPr>
          <w:rFonts w:ascii="Arial" w:hAnsi="Arial" w:cs="Arial"/>
          <w:sz w:val="20"/>
          <w:szCs w:val="20"/>
        </w:rPr>
        <w:t>7</w:t>
      </w:r>
      <w:r w:rsidR="006161E9">
        <w:rPr>
          <w:rFonts w:ascii="Arial" w:hAnsi="Arial" w:cs="Arial"/>
          <w:sz w:val="20"/>
          <w:szCs w:val="20"/>
        </w:rPr>
        <w:t>2</w:t>
      </w:r>
      <w:r w:rsidRPr="009F7CC0">
        <w:rPr>
          <w:rFonts w:ascii="Arial" w:hAnsi="Arial" w:cs="Arial"/>
          <w:sz w:val="20"/>
          <w:szCs w:val="20"/>
        </w:rPr>
        <w:t xml:space="preserve"> % </w:t>
      </w:r>
      <w:r w:rsidRPr="009D13DD">
        <w:rPr>
          <w:rFonts w:ascii="Arial" w:hAnsi="Arial" w:cs="Arial"/>
          <w:sz w:val="20"/>
          <w:szCs w:val="20"/>
        </w:rPr>
        <w:t>zo záväzku na prioritnú os</w:t>
      </w:r>
      <w:r w:rsidR="00BC2FC3" w:rsidRPr="009D13DD">
        <w:rPr>
          <w:rFonts w:ascii="Arial" w:hAnsi="Arial" w:cs="Arial"/>
          <w:sz w:val="20"/>
          <w:szCs w:val="20"/>
        </w:rPr>
        <w:t xml:space="preserve"> 5</w:t>
      </w:r>
      <w:r w:rsidRPr="009D13DD">
        <w:rPr>
          <w:rFonts w:ascii="Arial" w:hAnsi="Arial" w:cs="Arial"/>
          <w:sz w:val="20"/>
          <w:szCs w:val="20"/>
        </w:rPr>
        <w:t xml:space="preserve"> na celé programové obdobie.</w:t>
      </w:r>
    </w:p>
    <w:p w14:paraId="38180666" w14:textId="52295A0A" w:rsidR="00A100A1" w:rsidRPr="00A100A1" w:rsidRDefault="00A100A1" w:rsidP="00A100A1">
      <w:pPr>
        <w:jc w:val="both"/>
        <w:rPr>
          <w:rFonts w:ascii="Arial" w:hAnsi="Arial" w:cs="Arial"/>
          <w:sz w:val="20"/>
          <w:szCs w:val="20"/>
        </w:rPr>
      </w:pPr>
      <w:r w:rsidRPr="00A100A1">
        <w:rPr>
          <w:rFonts w:ascii="Arial" w:hAnsi="Arial" w:cs="Arial"/>
          <w:sz w:val="20"/>
          <w:szCs w:val="20"/>
          <w:lang w:val="en-US"/>
        </w:rPr>
        <w:t>Tabuľka č. 6</w:t>
      </w:r>
      <w:r w:rsidR="007B1CB9">
        <w:rPr>
          <w:rFonts w:ascii="Arial" w:hAnsi="Arial" w:cs="Arial"/>
          <w:sz w:val="20"/>
          <w:szCs w:val="20"/>
          <w:lang w:val="en-US"/>
        </w:rPr>
        <w:t>2</w:t>
      </w:r>
      <w:r w:rsidRPr="00A100A1">
        <w:rPr>
          <w:rFonts w:ascii="Arial" w:hAnsi="Arial" w:cs="Arial"/>
          <w:sz w:val="20"/>
          <w:szCs w:val="20"/>
          <w:lang w:val="en-US"/>
        </w:rPr>
        <w:t xml:space="preserve">: </w:t>
      </w:r>
      <w:r w:rsidRPr="00A100A1">
        <w:rPr>
          <w:rFonts w:ascii="Arial" w:hAnsi="Arial" w:cs="Arial"/>
          <w:sz w:val="20"/>
          <w:szCs w:val="20"/>
        </w:rPr>
        <w:t>Čerpanie prostriedkov prioritnej osi</w:t>
      </w:r>
      <w:r w:rsidRPr="00A100A1">
        <w:rPr>
          <w:rFonts w:ascii="Arial" w:hAnsi="Arial" w:cs="Arial"/>
          <w:sz w:val="20"/>
          <w:szCs w:val="20"/>
          <w:lang w:val="en-US"/>
        </w:rPr>
        <w:t xml:space="preserve"> 5 k </w:t>
      </w:r>
      <w:r w:rsidRPr="009F7CC0">
        <w:rPr>
          <w:rFonts w:ascii="Arial" w:hAnsi="Arial" w:cs="Arial"/>
          <w:sz w:val="20"/>
          <w:szCs w:val="20"/>
          <w:lang w:val="en-US"/>
        </w:rPr>
        <w:t>31.</w:t>
      </w:r>
      <w:r w:rsidR="006161E9">
        <w:rPr>
          <w:rFonts w:ascii="Arial" w:hAnsi="Arial" w:cs="Arial"/>
          <w:sz w:val="20"/>
          <w:szCs w:val="20"/>
          <w:lang w:val="en-US"/>
        </w:rPr>
        <w:t xml:space="preserve"> 10</w:t>
      </w:r>
      <w:r w:rsidRPr="009F7CC0">
        <w:rPr>
          <w:rFonts w:ascii="Arial" w:hAnsi="Arial" w:cs="Arial"/>
          <w:sz w:val="20"/>
          <w:szCs w:val="20"/>
          <w:lang w:val="en-US"/>
        </w:rPr>
        <w:t>.</w:t>
      </w:r>
      <w:r w:rsidR="006161E9">
        <w:rPr>
          <w:rFonts w:ascii="Arial" w:hAnsi="Arial" w:cs="Arial"/>
          <w:sz w:val="20"/>
          <w:szCs w:val="20"/>
          <w:lang w:val="en-US"/>
        </w:rPr>
        <w:t xml:space="preserve"> </w:t>
      </w:r>
      <w:r w:rsidRPr="009F7CC0">
        <w:rPr>
          <w:rFonts w:ascii="Arial" w:hAnsi="Arial" w:cs="Arial"/>
          <w:sz w:val="20"/>
          <w:szCs w:val="20"/>
          <w:lang w:val="en-US"/>
        </w:rPr>
        <w:t>2016</w:t>
      </w:r>
    </w:p>
    <w:tbl>
      <w:tblPr>
        <w:tblW w:w="8931" w:type="dxa"/>
        <w:jc w:val="center"/>
        <w:tblLayout w:type="fixed"/>
        <w:tblCellMar>
          <w:left w:w="70" w:type="dxa"/>
          <w:right w:w="70" w:type="dxa"/>
        </w:tblCellMar>
        <w:tblLook w:val="0000" w:firstRow="0" w:lastRow="0" w:firstColumn="0" w:lastColumn="0" w:noHBand="0" w:noVBand="0"/>
      </w:tblPr>
      <w:tblGrid>
        <w:gridCol w:w="2684"/>
        <w:gridCol w:w="3118"/>
        <w:gridCol w:w="1499"/>
        <w:gridCol w:w="1630"/>
      </w:tblGrid>
      <w:tr w:rsidR="00CF7816" w:rsidRPr="00A100A1" w14:paraId="6C417EF6" w14:textId="77777777" w:rsidTr="007D7B08">
        <w:trPr>
          <w:trHeight w:val="585"/>
          <w:jc w:val="center"/>
        </w:trPr>
        <w:tc>
          <w:tcPr>
            <w:tcW w:w="2684"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14:paraId="0CBA5757" w14:textId="77777777" w:rsidR="00CF7816" w:rsidRPr="00A100A1" w:rsidRDefault="00CF7816" w:rsidP="00A100A1">
            <w:pPr>
              <w:jc w:val="both"/>
              <w:rPr>
                <w:rFonts w:ascii="Arial" w:hAnsi="Arial" w:cs="Arial"/>
                <w:sz w:val="16"/>
                <w:szCs w:val="16"/>
              </w:rPr>
            </w:pPr>
            <w:r w:rsidRPr="00A100A1">
              <w:rPr>
                <w:rFonts w:ascii="Arial" w:hAnsi="Arial" w:cs="Arial"/>
                <w:sz w:val="16"/>
                <w:szCs w:val="16"/>
              </w:rPr>
              <w:t> </w:t>
            </w:r>
          </w:p>
        </w:tc>
        <w:tc>
          <w:tcPr>
            <w:tcW w:w="3118" w:type="dxa"/>
            <w:vMerge w:val="restart"/>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63B567BD" w14:textId="77777777" w:rsidR="00CF7816" w:rsidRPr="00A100A1" w:rsidRDefault="00CF7816" w:rsidP="00A100A1">
            <w:pPr>
              <w:autoSpaceDE w:val="0"/>
              <w:autoSpaceDN w:val="0"/>
              <w:spacing w:before="240" w:after="60"/>
              <w:jc w:val="center"/>
              <w:outlineLvl w:val="7"/>
              <w:rPr>
                <w:rFonts w:ascii="Arial" w:hAnsi="Arial" w:cs="Arial"/>
                <w:sz w:val="16"/>
                <w:szCs w:val="16"/>
              </w:rPr>
            </w:pPr>
            <w:r w:rsidRPr="00A100A1">
              <w:rPr>
                <w:rFonts w:ascii="Arial" w:eastAsia="EUAlbertina-Regular-Identity-H" w:hAnsi="Arial" w:cs="Arial"/>
                <w:sz w:val="16"/>
                <w:szCs w:val="16"/>
              </w:rPr>
              <w:t xml:space="preserve">Záväzok </w:t>
            </w:r>
            <w:r w:rsidRPr="00A100A1">
              <w:rPr>
                <w:rFonts w:ascii="Arial" w:eastAsia="EUAlbertina-Regular-Identity-H" w:hAnsi="Arial" w:cs="Arial"/>
                <w:sz w:val="16"/>
                <w:szCs w:val="16"/>
              </w:rPr>
              <w:br/>
              <w:t>2007 - 2013</w:t>
            </w:r>
            <w:r w:rsidRPr="00A100A1">
              <w:rPr>
                <w:rFonts w:ascii="Arial" w:eastAsia="EUAlbertina-Regular-Identity-H" w:hAnsi="Arial" w:cs="Arial"/>
                <w:sz w:val="16"/>
                <w:szCs w:val="16"/>
              </w:rPr>
              <w:br/>
              <w:t xml:space="preserve"> za EÚ zdroje</w:t>
            </w:r>
            <w:r w:rsidRPr="00A100A1">
              <w:rPr>
                <w:rFonts w:ascii="Arial" w:eastAsia="EUAlbertina-Regular-Identity-H" w:hAnsi="Arial" w:cs="Arial"/>
                <w:sz w:val="16"/>
                <w:szCs w:val="16"/>
              </w:rPr>
              <w:br/>
            </w:r>
            <w:r w:rsidRPr="00A100A1">
              <w:rPr>
                <w:rFonts w:ascii="Arial" w:hAnsi="Arial" w:cs="Arial"/>
                <w:sz w:val="16"/>
                <w:szCs w:val="16"/>
              </w:rPr>
              <w:t>v €</w:t>
            </w:r>
          </w:p>
        </w:tc>
        <w:tc>
          <w:tcPr>
            <w:tcW w:w="3129" w:type="dxa"/>
            <w:gridSpan w:val="2"/>
            <w:tcBorders>
              <w:top w:val="single" w:sz="8" w:space="0" w:color="auto"/>
              <w:left w:val="nil"/>
              <w:bottom w:val="single" w:sz="4" w:space="0" w:color="auto"/>
              <w:right w:val="single" w:sz="8" w:space="0" w:color="000000"/>
            </w:tcBorders>
            <w:shd w:val="clear" w:color="auto" w:fill="C2D69B" w:themeFill="accent3" w:themeFillTint="99"/>
            <w:vAlign w:val="center"/>
          </w:tcPr>
          <w:p w14:paraId="3C24D664" w14:textId="77777777" w:rsidR="00CF7816" w:rsidRPr="00CF7816" w:rsidRDefault="00CF7816" w:rsidP="00A100A1">
            <w:pPr>
              <w:autoSpaceDE w:val="0"/>
              <w:autoSpaceDN w:val="0"/>
              <w:spacing w:before="240" w:after="60"/>
              <w:jc w:val="center"/>
              <w:outlineLvl w:val="7"/>
              <w:rPr>
                <w:rFonts w:ascii="Arial" w:hAnsi="Arial" w:cs="Arial"/>
                <w:sz w:val="16"/>
                <w:szCs w:val="16"/>
              </w:rPr>
            </w:pPr>
            <w:r w:rsidRPr="00CF7816">
              <w:rPr>
                <w:rFonts w:ascii="Arial" w:hAnsi="Arial" w:cs="Arial"/>
                <w:sz w:val="16"/>
                <w:szCs w:val="16"/>
              </w:rPr>
              <w:t xml:space="preserve">Čerpanie prostriedkov kumulatívne </w:t>
            </w:r>
            <w:r w:rsidRPr="00CF7816">
              <w:rPr>
                <w:rFonts w:ascii="Arial" w:hAnsi="Arial" w:cs="Arial"/>
                <w:sz w:val="16"/>
                <w:szCs w:val="16"/>
              </w:rPr>
              <w:br/>
              <w:t>(EÚ zdroje) v €</w:t>
            </w:r>
          </w:p>
        </w:tc>
      </w:tr>
      <w:tr w:rsidR="00CF7816" w:rsidRPr="00A100A1" w14:paraId="324AD80E" w14:textId="77777777" w:rsidTr="007D7B08">
        <w:trPr>
          <w:trHeight w:val="480"/>
          <w:jc w:val="center"/>
        </w:trPr>
        <w:tc>
          <w:tcPr>
            <w:tcW w:w="2684" w:type="dxa"/>
            <w:vMerge/>
            <w:tcBorders>
              <w:top w:val="single" w:sz="8" w:space="0" w:color="auto"/>
              <w:left w:val="single" w:sz="8" w:space="0" w:color="auto"/>
              <w:bottom w:val="single" w:sz="4" w:space="0" w:color="auto"/>
              <w:right w:val="single" w:sz="4" w:space="0" w:color="auto"/>
            </w:tcBorders>
            <w:shd w:val="clear" w:color="auto" w:fill="auto"/>
            <w:vAlign w:val="center"/>
          </w:tcPr>
          <w:p w14:paraId="27B08BE5" w14:textId="77777777" w:rsidR="00CF7816" w:rsidRPr="00A100A1" w:rsidRDefault="00CF7816" w:rsidP="00A100A1">
            <w:pPr>
              <w:jc w:val="both"/>
              <w:rPr>
                <w:rFonts w:ascii="Arial" w:hAnsi="Arial" w:cs="Arial"/>
                <w:sz w:val="16"/>
                <w:szCs w:val="16"/>
              </w:rPr>
            </w:pPr>
          </w:p>
        </w:tc>
        <w:tc>
          <w:tcPr>
            <w:tcW w:w="3118" w:type="dxa"/>
            <w:vMerge/>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3AF392A7" w14:textId="77777777" w:rsidR="00CF7816" w:rsidRPr="00A100A1" w:rsidRDefault="00CF7816" w:rsidP="00A100A1">
            <w:pPr>
              <w:jc w:val="center"/>
              <w:rPr>
                <w:rFonts w:ascii="Arial" w:hAnsi="Arial" w:cs="Arial"/>
                <w:sz w:val="16"/>
                <w:szCs w:val="16"/>
              </w:rPr>
            </w:pPr>
          </w:p>
        </w:tc>
        <w:tc>
          <w:tcPr>
            <w:tcW w:w="1499" w:type="dxa"/>
            <w:tcBorders>
              <w:top w:val="nil"/>
              <w:left w:val="nil"/>
              <w:bottom w:val="single" w:sz="4" w:space="0" w:color="auto"/>
              <w:right w:val="single" w:sz="4" w:space="0" w:color="auto"/>
            </w:tcBorders>
            <w:shd w:val="clear" w:color="auto" w:fill="C2D69B" w:themeFill="accent3" w:themeFillTint="99"/>
            <w:noWrap/>
            <w:vAlign w:val="center"/>
          </w:tcPr>
          <w:p w14:paraId="3BA4DC1A" w14:textId="77777777" w:rsidR="00CF7816" w:rsidRPr="00CF7816" w:rsidRDefault="00CF7816" w:rsidP="00A100A1">
            <w:pPr>
              <w:jc w:val="center"/>
              <w:rPr>
                <w:rFonts w:ascii="Arial" w:hAnsi="Arial" w:cs="Arial"/>
                <w:sz w:val="16"/>
                <w:szCs w:val="16"/>
              </w:rPr>
            </w:pPr>
            <w:r w:rsidRPr="00CF7816">
              <w:rPr>
                <w:rFonts w:ascii="Arial" w:hAnsi="Arial" w:cs="Arial"/>
                <w:sz w:val="16"/>
                <w:szCs w:val="16"/>
              </w:rPr>
              <w:t>Celkom</w:t>
            </w:r>
          </w:p>
        </w:tc>
        <w:tc>
          <w:tcPr>
            <w:tcW w:w="1630" w:type="dxa"/>
            <w:tcBorders>
              <w:top w:val="nil"/>
              <w:left w:val="nil"/>
              <w:bottom w:val="single" w:sz="4" w:space="0" w:color="auto"/>
              <w:right w:val="single" w:sz="8" w:space="0" w:color="auto"/>
            </w:tcBorders>
            <w:shd w:val="clear" w:color="auto" w:fill="C2D69B" w:themeFill="accent3" w:themeFillTint="99"/>
            <w:vAlign w:val="center"/>
          </w:tcPr>
          <w:p w14:paraId="3E9CB39A" w14:textId="77777777" w:rsidR="00CF7816" w:rsidRPr="00CF7816" w:rsidRDefault="00CF7816" w:rsidP="00A100A1">
            <w:pPr>
              <w:autoSpaceDE w:val="0"/>
              <w:autoSpaceDN w:val="0"/>
              <w:spacing w:before="240" w:after="60"/>
              <w:jc w:val="center"/>
              <w:outlineLvl w:val="7"/>
              <w:rPr>
                <w:rFonts w:ascii="Arial" w:hAnsi="Arial" w:cs="Arial"/>
                <w:sz w:val="16"/>
                <w:szCs w:val="16"/>
              </w:rPr>
            </w:pPr>
            <w:r w:rsidRPr="00CF7816">
              <w:rPr>
                <w:rFonts w:ascii="Arial" w:hAnsi="Arial" w:cs="Arial"/>
                <w:sz w:val="16"/>
                <w:szCs w:val="16"/>
              </w:rPr>
              <w:t>% zo záväzku</w:t>
            </w:r>
          </w:p>
          <w:p w14:paraId="1CA2F2D7" w14:textId="77777777" w:rsidR="00CF7816" w:rsidRPr="00CF7816" w:rsidRDefault="00CF7816" w:rsidP="00A100A1">
            <w:pPr>
              <w:jc w:val="center"/>
              <w:rPr>
                <w:rFonts w:ascii="Arial" w:hAnsi="Arial" w:cs="Arial"/>
                <w:sz w:val="16"/>
                <w:szCs w:val="16"/>
              </w:rPr>
            </w:pPr>
            <w:r w:rsidRPr="00CF7816">
              <w:rPr>
                <w:rFonts w:ascii="Arial" w:hAnsi="Arial" w:cs="Arial"/>
                <w:sz w:val="16"/>
                <w:szCs w:val="16"/>
              </w:rPr>
              <w:t>2007 - 2013</w:t>
            </w:r>
          </w:p>
        </w:tc>
      </w:tr>
      <w:tr w:rsidR="00CF7816" w:rsidRPr="00A100A1" w14:paraId="73C3A6D3" w14:textId="77777777" w:rsidTr="00CF7816">
        <w:trPr>
          <w:trHeight w:val="255"/>
          <w:jc w:val="center"/>
        </w:trPr>
        <w:tc>
          <w:tcPr>
            <w:tcW w:w="2684"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C4F6288" w14:textId="77777777" w:rsidR="00CF7816" w:rsidRPr="00A100A1" w:rsidRDefault="00CF7816" w:rsidP="00A100A1">
            <w:pPr>
              <w:autoSpaceDE w:val="0"/>
              <w:autoSpaceDN w:val="0"/>
              <w:spacing w:before="120" w:after="120"/>
              <w:jc w:val="center"/>
              <w:outlineLvl w:val="7"/>
              <w:rPr>
                <w:rFonts w:ascii="Arial" w:hAnsi="Arial" w:cs="Arial"/>
                <w:sz w:val="16"/>
                <w:szCs w:val="16"/>
              </w:rPr>
            </w:pPr>
            <w:r w:rsidRPr="00A100A1">
              <w:rPr>
                <w:rFonts w:ascii="Arial" w:hAnsi="Arial" w:cs="Arial"/>
                <w:sz w:val="16"/>
                <w:szCs w:val="16"/>
              </w:rPr>
              <w:t>Prioritná os 5</w:t>
            </w:r>
          </w:p>
        </w:tc>
        <w:tc>
          <w:tcPr>
            <w:tcW w:w="3118" w:type="dxa"/>
            <w:tcBorders>
              <w:top w:val="nil"/>
              <w:left w:val="nil"/>
              <w:bottom w:val="single" w:sz="4" w:space="0" w:color="auto"/>
              <w:right w:val="single" w:sz="4" w:space="0" w:color="auto"/>
            </w:tcBorders>
            <w:shd w:val="clear" w:color="auto" w:fill="auto"/>
            <w:noWrap/>
            <w:vAlign w:val="center"/>
          </w:tcPr>
          <w:p w14:paraId="0C83E642" w14:textId="77777777" w:rsidR="00CF7816" w:rsidRPr="00A100A1" w:rsidRDefault="00CF7816" w:rsidP="00A100A1">
            <w:pPr>
              <w:jc w:val="center"/>
              <w:rPr>
                <w:rFonts w:ascii="Arial" w:hAnsi="Arial" w:cs="Arial"/>
                <w:sz w:val="16"/>
                <w:szCs w:val="16"/>
              </w:rPr>
            </w:pPr>
            <w:r w:rsidRPr="00A100A1">
              <w:rPr>
                <w:rFonts w:ascii="Arial" w:hAnsi="Arial" w:cs="Arial"/>
                <w:color w:val="000000"/>
                <w:sz w:val="16"/>
                <w:szCs w:val="16"/>
              </w:rPr>
              <w:t>50 756 934,85</w:t>
            </w:r>
          </w:p>
        </w:tc>
        <w:tc>
          <w:tcPr>
            <w:tcW w:w="1499" w:type="dxa"/>
            <w:tcBorders>
              <w:top w:val="nil"/>
              <w:left w:val="nil"/>
              <w:bottom w:val="single" w:sz="4" w:space="0" w:color="auto"/>
              <w:right w:val="single" w:sz="4" w:space="0" w:color="auto"/>
            </w:tcBorders>
            <w:shd w:val="clear" w:color="auto" w:fill="auto"/>
            <w:noWrap/>
            <w:vAlign w:val="center"/>
          </w:tcPr>
          <w:p w14:paraId="137E8FA5" w14:textId="55E54DA2" w:rsidR="00CF7816" w:rsidRPr="00CF7816" w:rsidRDefault="006C6C7E" w:rsidP="006161E9">
            <w:pPr>
              <w:jc w:val="center"/>
              <w:rPr>
                <w:rFonts w:ascii="Arial" w:hAnsi="Arial" w:cs="Arial"/>
                <w:color w:val="000000"/>
                <w:sz w:val="16"/>
                <w:szCs w:val="16"/>
              </w:rPr>
            </w:pPr>
            <w:r>
              <w:rPr>
                <w:rFonts w:ascii="Arial" w:hAnsi="Arial" w:cs="Arial"/>
                <w:color w:val="000000"/>
                <w:sz w:val="16"/>
                <w:szCs w:val="16"/>
              </w:rPr>
              <w:t>45</w:t>
            </w:r>
            <w:r w:rsidR="006161E9">
              <w:rPr>
                <w:rFonts w:ascii="Arial" w:hAnsi="Arial" w:cs="Arial"/>
                <w:color w:val="000000"/>
                <w:sz w:val="16"/>
                <w:szCs w:val="16"/>
              </w:rPr>
              <w:t> 032 430,85</w:t>
            </w:r>
          </w:p>
        </w:tc>
        <w:tc>
          <w:tcPr>
            <w:tcW w:w="1630" w:type="dxa"/>
            <w:tcBorders>
              <w:top w:val="nil"/>
              <w:left w:val="nil"/>
              <w:bottom w:val="single" w:sz="4" w:space="0" w:color="auto"/>
              <w:right w:val="single" w:sz="8" w:space="0" w:color="auto"/>
            </w:tcBorders>
            <w:shd w:val="clear" w:color="auto" w:fill="auto"/>
            <w:noWrap/>
            <w:vAlign w:val="center"/>
          </w:tcPr>
          <w:p w14:paraId="7959594C" w14:textId="58E012CC" w:rsidR="00CF7816" w:rsidRPr="00CF7816" w:rsidRDefault="006C6C7E" w:rsidP="006161E9">
            <w:pPr>
              <w:jc w:val="center"/>
              <w:rPr>
                <w:rFonts w:ascii="Arial" w:hAnsi="Arial" w:cs="Arial"/>
                <w:color w:val="000000"/>
                <w:sz w:val="16"/>
                <w:szCs w:val="16"/>
              </w:rPr>
            </w:pPr>
            <w:r>
              <w:rPr>
                <w:rFonts w:ascii="Arial" w:hAnsi="Arial" w:cs="Arial"/>
                <w:color w:val="000000"/>
                <w:sz w:val="16"/>
                <w:szCs w:val="16"/>
              </w:rPr>
              <w:t>88,7</w:t>
            </w:r>
            <w:r w:rsidR="006161E9">
              <w:rPr>
                <w:rFonts w:ascii="Arial" w:hAnsi="Arial" w:cs="Arial"/>
                <w:color w:val="000000"/>
                <w:sz w:val="16"/>
                <w:szCs w:val="16"/>
              </w:rPr>
              <w:t>2</w:t>
            </w:r>
            <w:r>
              <w:rPr>
                <w:rFonts w:ascii="Arial" w:hAnsi="Arial" w:cs="Arial"/>
                <w:color w:val="000000"/>
                <w:sz w:val="16"/>
                <w:szCs w:val="16"/>
              </w:rPr>
              <w:t xml:space="preserve"> </w:t>
            </w:r>
            <w:r w:rsidR="00CF7816" w:rsidRPr="00CF7816">
              <w:rPr>
                <w:rFonts w:ascii="Arial" w:hAnsi="Arial" w:cs="Arial"/>
                <w:color w:val="000000"/>
                <w:sz w:val="16"/>
                <w:szCs w:val="16"/>
              </w:rPr>
              <w:t>%</w:t>
            </w:r>
          </w:p>
        </w:tc>
      </w:tr>
    </w:tbl>
    <w:p w14:paraId="33E3F459" w14:textId="77777777" w:rsidR="00A100A1" w:rsidRPr="00A100A1" w:rsidRDefault="00A100A1" w:rsidP="00A100A1">
      <w:pPr>
        <w:rPr>
          <w:rFonts w:ascii="Arial" w:hAnsi="Arial" w:cs="Arial"/>
          <w:sz w:val="16"/>
          <w:szCs w:val="16"/>
        </w:rPr>
      </w:pPr>
      <w:r w:rsidRPr="00A100A1">
        <w:rPr>
          <w:rFonts w:ascii="Arial" w:hAnsi="Arial" w:cs="Arial"/>
          <w:sz w:val="16"/>
          <w:szCs w:val="16"/>
        </w:rPr>
        <w:t>Zdroj: CO</w:t>
      </w:r>
    </w:p>
    <w:p w14:paraId="34DE19A3" w14:textId="022CAC2F" w:rsidR="00942D01" w:rsidRDefault="00A100A1" w:rsidP="00A100A1">
      <w:pPr>
        <w:spacing w:after="120"/>
        <w:jc w:val="both"/>
        <w:rPr>
          <w:rFonts w:ascii="Arial" w:hAnsi="Arial" w:cs="Arial"/>
          <w:bCs/>
          <w:i/>
          <w:sz w:val="16"/>
          <w:szCs w:val="16"/>
        </w:rPr>
      </w:pPr>
      <w:r w:rsidRPr="00A100A1">
        <w:rPr>
          <w:rFonts w:ascii="Arial" w:hAnsi="Arial" w:cs="Arial"/>
          <w:i/>
          <w:sz w:val="16"/>
          <w:szCs w:val="16"/>
        </w:rPr>
        <w:t xml:space="preserve">Pozn.: </w:t>
      </w:r>
      <w:r w:rsidRPr="00A100A1">
        <w:rPr>
          <w:rFonts w:ascii="Arial" w:hAnsi="Arial" w:cs="Arial"/>
          <w:bCs/>
          <w:i/>
          <w:sz w:val="16"/>
          <w:szCs w:val="16"/>
        </w:rPr>
        <w:t>prehľad výdavkov schválených CO znížených o</w:t>
      </w:r>
      <w:r w:rsidR="00942D01">
        <w:rPr>
          <w:rFonts w:ascii="Arial" w:hAnsi="Arial" w:cs="Arial"/>
          <w:bCs/>
          <w:i/>
          <w:sz w:val="16"/>
          <w:szCs w:val="16"/>
        </w:rPr>
        <w:t> </w:t>
      </w:r>
      <w:r w:rsidRPr="00A100A1">
        <w:rPr>
          <w:rFonts w:ascii="Arial" w:hAnsi="Arial" w:cs="Arial"/>
          <w:bCs/>
          <w:i/>
          <w:sz w:val="16"/>
          <w:szCs w:val="16"/>
        </w:rPr>
        <w:t>nezrovnalosti</w:t>
      </w:r>
    </w:p>
    <w:p w14:paraId="0A23F8F4" w14:textId="76B223E5" w:rsidR="00A577E9" w:rsidRPr="00A577E9" w:rsidRDefault="00A577E9" w:rsidP="00A577E9">
      <w:pPr>
        <w:spacing w:before="120" w:after="120"/>
        <w:jc w:val="both"/>
        <w:rPr>
          <w:rFonts w:ascii="Arial" w:hAnsi="Arial" w:cs="Arial"/>
          <w:sz w:val="20"/>
          <w:szCs w:val="20"/>
        </w:rPr>
      </w:pPr>
      <w:r w:rsidRPr="00A100A1">
        <w:rPr>
          <w:rFonts w:ascii="Arial" w:hAnsi="Arial" w:cs="Arial"/>
          <w:sz w:val="20"/>
          <w:szCs w:val="20"/>
        </w:rPr>
        <w:t xml:space="preserve">Počas implementácie OP ŽP k 31.10.2016 došlo v rámci projektov prioritnej osi 5 k vráteniu finančných prostriedkov v 8 prípadoch. </w:t>
      </w:r>
    </w:p>
    <w:p w14:paraId="2FBEE9A3" w14:textId="77777777" w:rsidR="00A100A1" w:rsidRPr="00A100A1" w:rsidRDefault="00A100A1" w:rsidP="009D13DD">
      <w:pPr>
        <w:pStyle w:val="Nadpis3"/>
      </w:pPr>
      <w:bookmarkStart w:id="88" w:name="_Toc466914540"/>
      <w:r w:rsidRPr="00A100A1">
        <w:t>3.5.2 Závažné problémy, ktoré sa vyskytli, a opatrenia prijaté na ich odstránenie</w:t>
      </w:r>
      <w:bookmarkEnd w:id="88"/>
    </w:p>
    <w:p w14:paraId="1E24F418" w14:textId="25EE52B1" w:rsidR="00813BB9" w:rsidRDefault="00813BB9" w:rsidP="00813BB9">
      <w:pPr>
        <w:spacing w:before="120"/>
        <w:jc w:val="both"/>
        <w:rPr>
          <w:rFonts w:ascii="Arial" w:hAnsi="Arial" w:cs="Arial"/>
          <w:sz w:val="20"/>
          <w:szCs w:val="20"/>
        </w:rPr>
      </w:pPr>
      <w:r>
        <w:rPr>
          <w:rFonts w:ascii="Arial" w:hAnsi="Arial" w:cs="Arial"/>
          <w:sz w:val="20"/>
          <w:szCs w:val="20"/>
        </w:rPr>
        <w:t>Úroveň čerpania alokácie v rámci prioritnej osi 5 bola výrazne vyššia v porovnaní s napĺňaním plánovaných hodnôt merateľných ukazovateľov stanovených v</w:t>
      </w:r>
      <w:r w:rsidR="00F61258">
        <w:rPr>
          <w:rFonts w:ascii="Arial" w:hAnsi="Arial" w:cs="Arial"/>
          <w:sz w:val="20"/>
          <w:szCs w:val="20"/>
        </w:rPr>
        <w:t> operačnom programe</w:t>
      </w:r>
      <w:r w:rsidR="007A134D">
        <w:rPr>
          <w:rFonts w:ascii="Arial" w:hAnsi="Arial" w:cs="Arial"/>
          <w:sz w:val="20"/>
          <w:szCs w:val="20"/>
        </w:rPr>
        <w:t>.</w:t>
      </w:r>
      <w:r>
        <w:rPr>
          <w:rFonts w:ascii="Arial" w:hAnsi="Arial" w:cs="Arial"/>
          <w:sz w:val="20"/>
          <w:szCs w:val="20"/>
        </w:rPr>
        <w:t xml:space="preserve"> </w:t>
      </w:r>
    </w:p>
    <w:p w14:paraId="0AB50ACC" w14:textId="77777777" w:rsidR="00813BB9" w:rsidRDefault="00813BB9" w:rsidP="00813BB9">
      <w:pPr>
        <w:spacing w:before="240" w:after="120"/>
        <w:jc w:val="both"/>
        <w:rPr>
          <w:rFonts w:ascii="Arial" w:hAnsi="Arial" w:cs="Arial"/>
          <w:sz w:val="20"/>
          <w:szCs w:val="20"/>
        </w:rPr>
      </w:pPr>
      <w:r>
        <w:rPr>
          <w:rFonts w:ascii="Arial" w:hAnsi="Arial" w:cs="Arial"/>
          <w:sz w:val="20"/>
          <w:szCs w:val="20"/>
        </w:rPr>
        <w:t>P</w:t>
      </w:r>
      <w:r w:rsidRPr="00A100A1">
        <w:rPr>
          <w:rFonts w:ascii="Arial" w:hAnsi="Arial" w:cs="Arial"/>
          <w:sz w:val="20"/>
          <w:szCs w:val="20"/>
        </w:rPr>
        <w:t>roblémy</w:t>
      </w:r>
      <w:r w:rsidRPr="00D47C96">
        <w:rPr>
          <w:rFonts w:ascii="Arial" w:hAnsi="Arial" w:cs="Arial"/>
          <w:sz w:val="20"/>
          <w:szCs w:val="20"/>
        </w:rPr>
        <w:t xml:space="preserve"> </w:t>
      </w:r>
      <w:r w:rsidRPr="00A100A1">
        <w:rPr>
          <w:rFonts w:ascii="Arial" w:hAnsi="Arial" w:cs="Arial"/>
          <w:sz w:val="20"/>
          <w:szCs w:val="20"/>
        </w:rPr>
        <w:t>boli zaznamenané s plnením niektorých merateľných ukazovateľov výstupu a výsled</w:t>
      </w:r>
      <w:r>
        <w:rPr>
          <w:rFonts w:ascii="Arial" w:hAnsi="Arial" w:cs="Arial"/>
          <w:sz w:val="20"/>
          <w:szCs w:val="20"/>
        </w:rPr>
        <w:t>ku v rámci operačného cieľa 5.1.</w:t>
      </w:r>
      <w:r w:rsidRPr="00A100A1">
        <w:rPr>
          <w:rFonts w:ascii="Arial" w:hAnsi="Arial" w:cs="Arial"/>
          <w:sz w:val="20"/>
          <w:szCs w:val="20"/>
        </w:rPr>
        <w:t xml:space="preserve"> </w:t>
      </w:r>
      <w:r>
        <w:rPr>
          <w:rFonts w:ascii="Arial" w:hAnsi="Arial" w:cs="Arial"/>
          <w:sz w:val="20"/>
          <w:szCs w:val="20"/>
        </w:rPr>
        <w:t xml:space="preserve">Nízke naplnenie merateľných ukazovateľov bolo spôsobené najmä tým, že </w:t>
      </w:r>
      <w:r w:rsidRPr="00A100A1">
        <w:rPr>
          <w:rFonts w:ascii="Arial" w:hAnsi="Arial" w:cs="Arial"/>
          <w:sz w:val="20"/>
          <w:szCs w:val="20"/>
        </w:rPr>
        <w:t xml:space="preserve">prijímatelia predkladali vo väčšej miere projekty zamerané na operačné ciele 5.2 a 5.3, prípadne na kombináciu všetkých troch operačných cieľov s nižším zameraním na plnenie ukazovateľov </w:t>
      </w:r>
      <w:r>
        <w:rPr>
          <w:rFonts w:ascii="Arial" w:hAnsi="Arial" w:cs="Arial"/>
          <w:sz w:val="20"/>
          <w:szCs w:val="20"/>
        </w:rPr>
        <w:t>v rámci operačného cieľa 5.1</w:t>
      </w:r>
      <w:r w:rsidRPr="00A100A1">
        <w:rPr>
          <w:rFonts w:ascii="Arial" w:hAnsi="Arial" w:cs="Arial"/>
          <w:sz w:val="20"/>
          <w:szCs w:val="20"/>
        </w:rPr>
        <w:t>.</w:t>
      </w:r>
    </w:p>
    <w:p w14:paraId="5E6BF1EC" w14:textId="5B413DF7" w:rsidR="00813BB9" w:rsidRPr="00B058AF" w:rsidRDefault="00120A4F" w:rsidP="00813BB9">
      <w:pPr>
        <w:spacing w:before="120"/>
        <w:jc w:val="both"/>
        <w:rPr>
          <w:rFonts w:ascii="Arial" w:hAnsi="Arial" w:cs="Arial"/>
          <w:sz w:val="20"/>
          <w:szCs w:val="20"/>
        </w:rPr>
      </w:pPr>
      <w:r>
        <w:rPr>
          <w:rFonts w:ascii="Arial" w:hAnsi="Arial" w:cs="Arial"/>
          <w:sz w:val="20"/>
          <w:szCs w:val="20"/>
        </w:rPr>
        <w:t xml:space="preserve">Nižší </w:t>
      </w:r>
      <w:r w:rsidR="001600A4">
        <w:rPr>
          <w:rFonts w:ascii="Arial" w:hAnsi="Arial" w:cs="Arial"/>
          <w:sz w:val="20"/>
          <w:szCs w:val="20"/>
        </w:rPr>
        <w:t>počet predložených ŽoNFP</w:t>
      </w:r>
      <w:r>
        <w:rPr>
          <w:rFonts w:ascii="Arial" w:hAnsi="Arial" w:cs="Arial"/>
          <w:sz w:val="20"/>
          <w:szCs w:val="20"/>
        </w:rPr>
        <w:t xml:space="preserve"> v rámci operačného cieľa 5.1 bol spôsobený tým, že počas programového obdobia 2007</w:t>
      </w:r>
      <w:r w:rsidR="00824841">
        <w:rPr>
          <w:rFonts w:ascii="Arial" w:hAnsi="Arial" w:cs="Arial"/>
          <w:sz w:val="20"/>
          <w:szCs w:val="20"/>
        </w:rPr>
        <w:t xml:space="preserve"> </w:t>
      </w:r>
      <w:r>
        <w:rPr>
          <w:rFonts w:ascii="Arial" w:hAnsi="Arial" w:cs="Arial"/>
          <w:sz w:val="20"/>
          <w:szCs w:val="20"/>
        </w:rPr>
        <w:t>-</w:t>
      </w:r>
      <w:r w:rsidR="00824841">
        <w:rPr>
          <w:rFonts w:ascii="Arial" w:hAnsi="Arial" w:cs="Arial"/>
          <w:sz w:val="20"/>
          <w:szCs w:val="20"/>
        </w:rPr>
        <w:t xml:space="preserve"> </w:t>
      </w:r>
      <w:r>
        <w:rPr>
          <w:rFonts w:ascii="Arial" w:hAnsi="Arial" w:cs="Arial"/>
          <w:sz w:val="20"/>
          <w:szCs w:val="20"/>
        </w:rPr>
        <w:t>2013 dochádzalo k postupnému vyhlasovaniu území sústavy Natura 2000</w:t>
      </w:r>
      <w:r w:rsidR="001F3655">
        <w:rPr>
          <w:rFonts w:ascii="Arial" w:hAnsi="Arial" w:cs="Arial"/>
          <w:sz w:val="20"/>
          <w:szCs w:val="20"/>
        </w:rPr>
        <w:t>, ktoré bolo zložité vzhľadom na potrebu ich prerokovania s dotknutými subjektmi a vlastníkmi riešených území. N</w:t>
      </w:r>
      <w:r>
        <w:rPr>
          <w:rFonts w:ascii="Arial" w:hAnsi="Arial" w:cs="Arial"/>
          <w:sz w:val="20"/>
          <w:szCs w:val="20"/>
        </w:rPr>
        <w:t xml:space="preserve">ásledne </w:t>
      </w:r>
      <w:r w:rsidR="001F3655">
        <w:rPr>
          <w:rFonts w:ascii="Arial" w:hAnsi="Arial" w:cs="Arial"/>
          <w:sz w:val="20"/>
          <w:szCs w:val="20"/>
        </w:rPr>
        <w:t xml:space="preserve">po vyhlásení území sústavy Natura  2000 dochádzalo </w:t>
      </w:r>
      <w:r>
        <w:rPr>
          <w:rFonts w:ascii="Arial" w:hAnsi="Arial" w:cs="Arial"/>
          <w:sz w:val="20"/>
          <w:szCs w:val="20"/>
        </w:rPr>
        <w:t>k vypracovaniu a schvaľovaniu dokumentov starostlivosti o predmetné územia</w:t>
      </w:r>
      <w:r w:rsidR="00BC4664">
        <w:rPr>
          <w:rFonts w:ascii="Arial" w:hAnsi="Arial" w:cs="Arial"/>
          <w:sz w:val="20"/>
          <w:szCs w:val="20"/>
        </w:rPr>
        <w:t>, ktoré predstavovali kľúčový prvok pre implementáciu takto zameraných projektov</w:t>
      </w:r>
      <w:r>
        <w:rPr>
          <w:rFonts w:ascii="Arial" w:hAnsi="Arial" w:cs="Arial"/>
          <w:sz w:val="20"/>
          <w:szCs w:val="20"/>
        </w:rPr>
        <w:t xml:space="preserve">. </w:t>
      </w:r>
      <w:r w:rsidR="00145087">
        <w:rPr>
          <w:rFonts w:ascii="Arial" w:hAnsi="Arial" w:cs="Arial"/>
          <w:sz w:val="20"/>
          <w:szCs w:val="20"/>
        </w:rPr>
        <w:t>Vypracovanie dokumentov starostlivosti bol</w:t>
      </w:r>
      <w:r w:rsidR="001600A4">
        <w:rPr>
          <w:rFonts w:ascii="Arial" w:hAnsi="Arial" w:cs="Arial"/>
          <w:sz w:val="20"/>
          <w:szCs w:val="20"/>
        </w:rPr>
        <w:t>o</w:t>
      </w:r>
      <w:r w:rsidR="00145087">
        <w:rPr>
          <w:rFonts w:ascii="Arial" w:hAnsi="Arial" w:cs="Arial"/>
          <w:sz w:val="20"/>
          <w:szCs w:val="20"/>
        </w:rPr>
        <w:t xml:space="preserve"> administratívne </w:t>
      </w:r>
      <w:r w:rsidR="00BC4664">
        <w:rPr>
          <w:rFonts w:ascii="Arial" w:hAnsi="Arial" w:cs="Arial"/>
          <w:sz w:val="20"/>
          <w:szCs w:val="20"/>
        </w:rPr>
        <w:t xml:space="preserve"> náročn</w:t>
      </w:r>
      <w:r w:rsidR="001600A4">
        <w:rPr>
          <w:rFonts w:ascii="Arial" w:hAnsi="Arial" w:cs="Arial"/>
          <w:sz w:val="20"/>
          <w:szCs w:val="20"/>
        </w:rPr>
        <w:t>é</w:t>
      </w:r>
      <w:r w:rsidR="00BC4664">
        <w:rPr>
          <w:rFonts w:ascii="Arial" w:hAnsi="Arial" w:cs="Arial"/>
          <w:sz w:val="20"/>
          <w:szCs w:val="20"/>
        </w:rPr>
        <w:t xml:space="preserve"> a</w:t>
      </w:r>
      <w:r w:rsidR="00145087">
        <w:rPr>
          <w:rFonts w:ascii="Arial" w:hAnsi="Arial" w:cs="Arial"/>
          <w:sz w:val="20"/>
          <w:szCs w:val="20"/>
        </w:rPr>
        <w:t> </w:t>
      </w:r>
      <w:r w:rsidR="00BC4664">
        <w:rPr>
          <w:rFonts w:ascii="Arial" w:hAnsi="Arial" w:cs="Arial"/>
          <w:sz w:val="20"/>
          <w:szCs w:val="20"/>
        </w:rPr>
        <w:t>zdĺhav</w:t>
      </w:r>
      <w:r w:rsidR="001600A4">
        <w:rPr>
          <w:rFonts w:ascii="Arial" w:hAnsi="Arial" w:cs="Arial"/>
          <w:sz w:val="20"/>
          <w:szCs w:val="20"/>
        </w:rPr>
        <w:t>é</w:t>
      </w:r>
      <w:r w:rsidR="00145087">
        <w:rPr>
          <w:rFonts w:ascii="Arial" w:hAnsi="Arial" w:cs="Arial"/>
          <w:sz w:val="20"/>
          <w:szCs w:val="20"/>
        </w:rPr>
        <w:t xml:space="preserve">, čo sa </w:t>
      </w:r>
      <w:r w:rsidR="001600A4">
        <w:rPr>
          <w:rFonts w:ascii="Arial" w:hAnsi="Arial" w:cs="Arial"/>
          <w:sz w:val="20"/>
          <w:szCs w:val="20"/>
        </w:rPr>
        <w:t xml:space="preserve">v konečnom dôsledku </w:t>
      </w:r>
      <w:r w:rsidR="00145087">
        <w:rPr>
          <w:rFonts w:ascii="Arial" w:hAnsi="Arial" w:cs="Arial"/>
          <w:sz w:val="20"/>
          <w:szCs w:val="20"/>
        </w:rPr>
        <w:t>negatívne prejavilo na napĺňaní ukazovateľov</w:t>
      </w:r>
      <w:r w:rsidR="001600A4">
        <w:rPr>
          <w:rFonts w:ascii="Arial" w:hAnsi="Arial" w:cs="Arial"/>
          <w:sz w:val="20"/>
          <w:szCs w:val="20"/>
        </w:rPr>
        <w:t xml:space="preserve"> v rámci operačného cieľa 5.1</w:t>
      </w:r>
      <w:r w:rsidR="00BC4664">
        <w:rPr>
          <w:rFonts w:ascii="Arial" w:hAnsi="Arial" w:cs="Arial"/>
          <w:sz w:val="20"/>
          <w:szCs w:val="20"/>
        </w:rPr>
        <w:t xml:space="preserve">. </w:t>
      </w:r>
      <w:r w:rsidR="00813BB9" w:rsidRPr="00A100A1">
        <w:rPr>
          <w:rFonts w:ascii="Arial" w:hAnsi="Arial" w:cs="Arial"/>
          <w:sz w:val="20"/>
          <w:szCs w:val="20"/>
        </w:rPr>
        <w:t>Vzhľadom na nízku úroveň napĺňania niektorých merateľných ukazovateľov pristúpil riadiaci orgán k vyhláseniu špecifickej výzvy (výzva</w:t>
      </w:r>
      <w:r w:rsidR="00813BB9">
        <w:rPr>
          <w:rFonts w:ascii="Arial" w:hAnsi="Arial" w:cs="Arial"/>
          <w:sz w:val="20"/>
          <w:szCs w:val="20"/>
        </w:rPr>
        <w:t xml:space="preserve"> </w:t>
      </w:r>
      <w:r w:rsidR="00813BB9" w:rsidRPr="00A100A1">
        <w:rPr>
          <w:rFonts w:ascii="Arial" w:hAnsi="Arial" w:cs="Arial"/>
          <w:sz w:val="20"/>
          <w:szCs w:val="20"/>
        </w:rPr>
        <w:t>OPŽP-PO5-12-1</w:t>
      </w:r>
      <w:r w:rsidR="00FC0195">
        <w:rPr>
          <w:rFonts w:ascii="Arial" w:hAnsi="Arial" w:cs="Arial"/>
          <w:sz w:val="20"/>
          <w:szCs w:val="20"/>
        </w:rPr>
        <w:t>,</w:t>
      </w:r>
      <w:r w:rsidR="00813BB9" w:rsidRPr="00A100A1">
        <w:rPr>
          <w:rFonts w:ascii="Arial" w:hAnsi="Arial" w:cs="Arial"/>
          <w:sz w:val="20"/>
          <w:szCs w:val="20"/>
        </w:rPr>
        <w:t xml:space="preserve"> s termínom uzavretia 20.</w:t>
      </w:r>
      <w:r w:rsidR="00FC0195">
        <w:rPr>
          <w:rFonts w:ascii="Arial" w:hAnsi="Arial" w:cs="Arial"/>
          <w:sz w:val="20"/>
          <w:szCs w:val="20"/>
        </w:rPr>
        <w:t xml:space="preserve"> </w:t>
      </w:r>
      <w:r w:rsidR="00813BB9" w:rsidRPr="00A100A1">
        <w:rPr>
          <w:rFonts w:ascii="Arial" w:hAnsi="Arial" w:cs="Arial"/>
          <w:sz w:val="20"/>
          <w:szCs w:val="20"/>
        </w:rPr>
        <w:t>03.</w:t>
      </w:r>
      <w:r w:rsidR="00FC0195">
        <w:rPr>
          <w:rFonts w:ascii="Arial" w:hAnsi="Arial" w:cs="Arial"/>
          <w:sz w:val="20"/>
          <w:szCs w:val="20"/>
        </w:rPr>
        <w:t xml:space="preserve"> </w:t>
      </w:r>
      <w:r w:rsidR="00813BB9" w:rsidRPr="00A100A1">
        <w:rPr>
          <w:rFonts w:ascii="Arial" w:hAnsi="Arial" w:cs="Arial"/>
          <w:sz w:val="20"/>
          <w:szCs w:val="20"/>
        </w:rPr>
        <w:t>2013</w:t>
      </w:r>
      <w:r w:rsidR="00813BB9">
        <w:rPr>
          <w:rFonts w:ascii="Arial" w:hAnsi="Arial" w:cs="Arial"/>
          <w:sz w:val="20"/>
          <w:szCs w:val="20"/>
        </w:rPr>
        <w:t xml:space="preserve">) </w:t>
      </w:r>
      <w:r w:rsidR="00813BB9" w:rsidRPr="00A100A1">
        <w:rPr>
          <w:rFonts w:ascii="Arial" w:hAnsi="Arial" w:cs="Arial"/>
          <w:sz w:val="20"/>
          <w:szCs w:val="20"/>
        </w:rPr>
        <w:t>zameranej na napĺňanie najmenej naplnených ukazovateľov.</w:t>
      </w:r>
      <w:r w:rsidR="00813BB9" w:rsidRPr="00B058AF">
        <w:rPr>
          <w:rFonts w:ascii="Arial" w:hAnsi="Arial" w:cs="Arial"/>
          <w:sz w:val="20"/>
          <w:szCs w:val="20"/>
        </w:rPr>
        <w:t xml:space="preserve"> </w:t>
      </w:r>
      <w:r w:rsidR="00813BB9">
        <w:rPr>
          <w:rFonts w:ascii="Arial" w:hAnsi="Arial" w:cs="Arial"/>
          <w:sz w:val="20"/>
          <w:szCs w:val="20"/>
        </w:rPr>
        <w:t xml:space="preserve">Schválených bolo 6 predložených projektov, </w:t>
      </w:r>
      <w:r w:rsidR="00813BB9" w:rsidRPr="00A100A1">
        <w:rPr>
          <w:rFonts w:ascii="Arial" w:hAnsi="Arial" w:cs="Arial"/>
          <w:sz w:val="20"/>
          <w:szCs w:val="20"/>
        </w:rPr>
        <w:t xml:space="preserve">ktorých realizácia prebiehala až do </w:t>
      </w:r>
      <w:r w:rsidR="00FC0195">
        <w:rPr>
          <w:rFonts w:ascii="Arial" w:hAnsi="Arial" w:cs="Arial"/>
          <w:sz w:val="20"/>
          <w:szCs w:val="20"/>
        </w:rPr>
        <w:t xml:space="preserve">konca </w:t>
      </w:r>
      <w:r w:rsidR="00813BB9" w:rsidRPr="00A100A1">
        <w:rPr>
          <w:rFonts w:ascii="Arial" w:hAnsi="Arial" w:cs="Arial"/>
          <w:sz w:val="20"/>
          <w:szCs w:val="20"/>
        </w:rPr>
        <w:t>roku 2015</w:t>
      </w:r>
      <w:r w:rsidR="00813BB9">
        <w:rPr>
          <w:rFonts w:ascii="Arial" w:hAnsi="Arial" w:cs="Arial"/>
          <w:sz w:val="20"/>
          <w:szCs w:val="20"/>
        </w:rPr>
        <w:t xml:space="preserve">. </w:t>
      </w:r>
      <w:r w:rsidR="00813BB9" w:rsidRPr="00A100A1">
        <w:rPr>
          <w:rFonts w:ascii="Arial" w:hAnsi="Arial" w:cs="Arial"/>
          <w:sz w:val="20"/>
          <w:szCs w:val="20"/>
        </w:rPr>
        <w:t xml:space="preserve">Úspešnosť realizovaných projektov z predmetnej výzvy napomohla k plneniu daných ukazovateľov, </w:t>
      </w:r>
      <w:r w:rsidR="00813BB9" w:rsidRPr="00A100A1">
        <w:rPr>
          <w:rFonts w:ascii="Arial" w:hAnsi="Arial" w:cs="Arial"/>
          <w:sz w:val="20"/>
          <w:szCs w:val="20"/>
        </w:rPr>
        <w:lastRenderedPageBreak/>
        <w:t>avšak vzhľadom na nízku alokáciu a krátke časové obdobie realizácie schválených projektov, uvedené ukazovatele v rámci prioritnej osi 5 neboli naplnené v dostatočnej miere.</w:t>
      </w:r>
    </w:p>
    <w:p w14:paraId="6E2CE551" w14:textId="299BD01A" w:rsidR="00813BB9" w:rsidRDefault="00813BB9" w:rsidP="00813BB9">
      <w:pPr>
        <w:spacing w:before="120"/>
        <w:jc w:val="both"/>
        <w:rPr>
          <w:rFonts w:ascii="Arial" w:hAnsi="Arial" w:cs="Arial"/>
          <w:sz w:val="20"/>
          <w:szCs w:val="20"/>
        </w:rPr>
      </w:pPr>
      <w:r>
        <w:rPr>
          <w:rFonts w:ascii="Arial" w:hAnsi="Arial" w:cs="Arial"/>
          <w:sz w:val="20"/>
          <w:szCs w:val="20"/>
        </w:rPr>
        <w:t>K zvýšeniu naplnenia hodnôt</w:t>
      </w:r>
      <w:r w:rsidRPr="00376CB6">
        <w:rPr>
          <w:rFonts w:ascii="Arial" w:hAnsi="Arial" w:cs="Arial"/>
          <w:sz w:val="20"/>
          <w:szCs w:val="20"/>
        </w:rPr>
        <w:t xml:space="preserve"> </w:t>
      </w:r>
      <w:r>
        <w:rPr>
          <w:rFonts w:ascii="Arial" w:hAnsi="Arial" w:cs="Arial"/>
          <w:sz w:val="20"/>
          <w:szCs w:val="20"/>
        </w:rPr>
        <w:t>merateľných ukazovateľov</w:t>
      </w:r>
      <w:r w:rsidRPr="00376CB6">
        <w:rPr>
          <w:rFonts w:ascii="Arial" w:hAnsi="Arial" w:cs="Arial"/>
          <w:sz w:val="20"/>
          <w:szCs w:val="20"/>
        </w:rPr>
        <w:t xml:space="preserve"> </w:t>
      </w:r>
      <w:r w:rsidR="00FC0195">
        <w:rPr>
          <w:rFonts w:ascii="Arial" w:hAnsi="Arial" w:cs="Arial"/>
          <w:sz w:val="20"/>
          <w:szCs w:val="20"/>
        </w:rPr>
        <w:t>výsledku</w:t>
      </w:r>
      <w:r>
        <w:rPr>
          <w:rFonts w:ascii="Arial" w:hAnsi="Arial" w:cs="Arial"/>
          <w:sz w:val="20"/>
          <w:szCs w:val="20"/>
        </w:rPr>
        <w:t xml:space="preserve"> výrazne prispejú projekty, ktoré ukončili realizáciu aktivít v roku 2015 a finančne boli uzavreté až v roku 2016. Až v prvej následnej monitorovacej správe bude viditeľné naplnenie </w:t>
      </w:r>
      <w:r w:rsidR="0008270F">
        <w:rPr>
          <w:rFonts w:ascii="Arial" w:hAnsi="Arial" w:cs="Arial"/>
          <w:sz w:val="20"/>
          <w:szCs w:val="20"/>
        </w:rPr>
        <w:t xml:space="preserve">dopadových </w:t>
      </w:r>
      <w:r>
        <w:rPr>
          <w:rFonts w:ascii="Arial" w:hAnsi="Arial" w:cs="Arial"/>
          <w:sz w:val="20"/>
          <w:szCs w:val="20"/>
        </w:rPr>
        <w:t>ukazovateľov v rámci týchto projektov. Predpokladaný termín predloženia následných monitorovacích správ pri týchto projektoch je až v prvej polovici roku 2017.</w:t>
      </w:r>
    </w:p>
    <w:p w14:paraId="4B66348F" w14:textId="77777777" w:rsidR="00813BB9" w:rsidRPr="00A100A1" w:rsidRDefault="00813BB9" w:rsidP="00813BB9">
      <w:pPr>
        <w:spacing w:before="120"/>
        <w:jc w:val="both"/>
        <w:rPr>
          <w:rFonts w:ascii="Arial" w:hAnsi="Arial" w:cs="Arial"/>
          <w:sz w:val="20"/>
          <w:szCs w:val="20"/>
        </w:rPr>
      </w:pPr>
      <w:r>
        <w:rPr>
          <w:rFonts w:ascii="Arial" w:hAnsi="Arial" w:cs="Arial"/>
          <w:sz w:val="20"/>
          <w:szCs w:val="20"/>
        </w:rPr>
        <w:t xml:space="preserve">Aj napriek uvedeným skutočnostiam, však môžeme zhodnotiť, že </w:t>
      </w:r>
      <w:r w:rsidRPr="00A100A1">
        <w:rPr>
          <w:rFonts w:ascii="Arial" w:hAnsi="Arial" w:cs="Arial"/>
          <w:sz w:val="20"/>
          <w:szCs w:val="20"/>
        </w:rPr>
        <w:t>úspešnou realizáciou všetkých zazmluvnených projektov sa nedosiahlo stanovené plnenie ukazovateľov</w:t>
      </w:r>
      <w:r>
        <w:rPr>
          <w:rFonts w:ascii="Arial" w:hAnsi="Arial" w:cs="Arial"/>
          <w:sz w:val="20"/>
          <w:szCs w:val="20"/>
        </w:rPr>
        <w:t>.</w:t>
      </w:r>
    </w:p>
    <w:p w14:paraId="42BACD0A" w14:textId="77777777" w:rsidR="00A100A1" w:rsidRPr="00A100A1" w:rsidRDefault="00A100A1" w:rsidP="00A100A1">
      <w:pPr>
        <w:spacing w:before="240" w:after="120"/>
        <w:jc w:val="both"/>
        <w:rPr>
          <w:rFonts w:ascii="Arial" w:hAnsi="Arial" w:cs="Arial"/>
          <w:b/>
          <w:i/>
        </w:rPr>
      </w:pPr>
      <w:r w:rsidRPr="00A100A1">
        <w:rPr>
          <w:rFonts w:ascii="Arial" w:hAnsi="Arial" w:cs="Arial"/>
          <w:b/>
          <w:i/>
        </w:rPr>
        <w:t>Kvalitatívna analýza dosiahnutých výsledkov na úrovni prioritnej osi 5</w:t>
      </w:r>
    </w:p>
    <w:p w14:paraId="1358CA3C" w14:textId="40A010B0" w:rsidR="00A100A1" w:rsidRPr="00A100A1" w:rsidRDefault="00A100A1" w:rsidP="00A100A1">
      <w:pPr>
        <w:jc w:val="both"/>
        <w:rPr>
          <w:rFonts w:ascii="Arial" w:hAnsi="Arial" w:cs="Arial"/>
          <w:sz w:val="20"/>
          <w:szCs w:val="20"/>
          <w:lang w:val="en-US"/>
        </w:rPr>
      </w:pPr>
      <w:r w:rsidRPr="00A100A1">
        <w:rPr>
          <w:rFonts w:ascii="Arial" w:hAnsi="Arial" w:cs="Arial"/>
          <w:sz w:val="20"/>
          <w:szCs w:val="20"/>
          <w:lang w:val="en-US"/>
        </w:rPr>
        <w:t>Tabuľka č. 6</w:t>
      </w:r>
      <w:r w:rsidR="007B1CB9">
        <w:rPr>
          <w:rFonts w:ascii="Arial" w:hAnsi="Arial" w:cs="Arial"/>
          <w:sz w:val="20"/>
          <w:szCs w:val="20"/>
          <w:lang w:val="en-US"/>
        </w:rPr>
        <w:t>3</w:t>
      </w:r>
      <w:r w:rsidRPr="00A100A1">
        <w:rPr>
          <w:rFonts w:ascii="Arial" w:hAnsi="Arial" w:cs="Arial"/>
          <w:sz w:val="20"/>
          <w:szCs w:val="20"/>
          <w:lang w:val="en-US"/>
        </w:rPr>
        <w:t>: Zhodnotenie úrovne podľa HT</w:t>
      </w:r>
    </w:p>
    <w:tbl>
      <w:tblPr>
        <w:tblW w:w="9020" w:type="dxa"/>
        <w:tblInd w:w="55" w:type="dxa"/>
        <w:tblCellMar>
          <w:left w:w="70" w:type="dxa"/>
          <w:right w:w="70" w:type="dxa"/>
        </w:tblCellMar>
        <w:tblLook w:val="04A0" w:firstRow="1" w:lastRow="0" w:firstColumn="1" w:lastColumn="0" w:noHBand="0" w:noVBand="1"/>
      </w:tblPr>
      <w:tblGrid>
        <w:gridCol w:w="2421"/>
        <w:gridCol w:w="529"/>
        <w:gridCol w:w="1054"/>
        <w:gridCol w:w="1235"/>
        <w:gridCol w:w="1323"/>
        <w:gridCol w:w="1230"/>
        <w:gridCol w:w="1228"/>
      </w:tblGrid>
      <w:tr w:rsidR="00A100A1" w:rsidRPr="00A100A1" w14:paraId="2DE2DE8C" w14:textId="77777777" w:rsidTr="007D7B08">
        <w:trPr>
          <w:trHeight w:val="1140"/>
        </w:trPr>
        <w:tc>
          <w:tcPr>
            <w:tcW w:w="2421" w:type="dxa"/>
            <w:tcBorders>
              <w:top w:val="single" w:sz="8" w:space="0" w:color="auto"/>
              <w:left w:val="single" w:sz="8" w:space="0" w:color="auto"/>
              <w:bottom w:val="single" w:sz="8" w:space="0" w:color="auto"/>
              <w:right w:val="single" w:sz="8" w:space="0" w:color="auto"/>
            </w:tcBorders>
            <w:shd w:val="clear" w:color="auto" w:fill="C2D69B" w:themeFill="accent3" w:themeFillTint="99"/>
            <w:noWrap/>
            <w:vAlign w:val="center"/>
            <w:hideMark/>
          </w:tcPr>
          <w:p w14:paraId="50530BDB"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Prioritná téma</w:t>
            </w:r>
          </w:p>
        </w:tc>
        <w:tc>
          <w:tcPr>
            <w:tcW w:w="529"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CFAA2E8"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Op.</w:t>
            </w:r>
            <w:r w:rsidRPr="00A100A1">
              <w:rPr>
                <w:rFonts w:ascii="Arial" w:hAnsi="Arial" w:cs="Arial"/>
                <w:b/>
                <w:bCs/>
                <w:color w:val="000000"/>
                <w:sz w:val="16"/>
                <w:szCs w:val="16"/>
              </w:rPr>
              <w:br/>
              <w:t>cieľ</w:t>
            </w:r>
          </w:p>
        </w:tc>
        <w:tc>
          <w:tcPr>
            <w:tcW w:w="1054"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64869A8"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Celková alokácia</w:t>
            </w:r>
          </w:p>
          <w:p w14:paraId="330A47E5"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v €</w:t>
            </w:r>
          </w:p>
        </w:tc>
        <w:tc>
          <w:tcPr>
            <w:tcW w:w="1235"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C74EB51"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Suma zazmluvnená (EÚ zdroje)</w:t>
            </w:r>
          </w:p>
          <w:p w14:paraId="1C745513"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v €</w:t>
            </w:r>
          </w:p>
        </w:tc>
        <w:tc>
          <w:tcPr>
            <w:tcW w:w="1323"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35F07ACB"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 xml:space="preserve">Podiel zazmluvnených projektov </w:t>
            </w:r>
          </w:p>
          <w:p w14:paraId="65A37CC2"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na celkovej alokácii</w:t>
            </w:r>
          </w:p>
        </w:tc>
        <w:tc>
          <w:tcPr>
            <w:tcW w:w="123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4BF61576" w14:textId="3CD644A6"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Suma čerpaná</w:t>
            </w:r>
            <w:r w:rsidR="00824841">
              <w:rPr>
                <w:rFonts w:ascii="Arial" w:hAnsi="Arial" w:cs="Arial"/>
                <w:b/>
                <w:bCs/>
                <w:color w:val="000000"/>
                <w:sz w:val="16"/>
                <w:szCs w:val="16"/>
              </w:rPr>
              <w:t xml:space="preserve"> pri </w:t>
            </w:r>
            <w:r w:rsidR="006D1921">
              <w:rPr>
                <w:rFonts w:ascii="Arial" w:hAnsi="Arial" w:cs="Arial"/>
                <w:b/>
                <w:bCs/>
                <w:color w:val="000000"/>
                <w:sz w:val="16"/>
                <w:szCs w:val="16"/>
              </w:rPr>
              <w:t xml:space="preserve"> riadne ukončených projektov</w:t>
            </w:r>
          </w:p>
          <w:p w14:paraId="3AA23ACA"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(EÚ zdroje)</w:t>
            </w:r>
          </w:p>
          <w:p w14:paraId="7CB638F0"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v €</w:t>
            </w:r>
          </w:p>
        </w:tc>
        <w:tc>
          <w:tcPr>
            <w:tcW w:w="122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75B33C0E"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 xml:space="preserve">Podiel čerpania projektov </w:t>
            </w:r>
          </w:p>
          <w:p w14:paraId="7813E270"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na celkovej alokácii</w:t>
            </w:r>
          </w:p>
        </w:tc>
      </w:tr>
      <w:tr w:rsidR="00A100A1" w:rsidRPr="00A100A1" w14:paraId="6FF0D282" w14:textId="77777777" w:rsidTr="00001084">
        <w:trPr>
          <w:trHeight w:val="690"/>
        </w:trPr>
        <w:tc>
          <w:tcPr>
            <w:tcW w:w="2421" w:type="dxa"/>
            <w:tcBorders>
              <w:top w:val="nil"/>
              <w:left w:val="single" w:sz="8" w:space="0" w:color="auto"/>
              <w:bottom w:val="single" w:sz="8" w:space="0" w:color="auto"/>
              <w:right w:val="single" w:sz="8" w:space="0" w:color="auto"/>
            </w:tcBorders>
            <w:shd w:val="clear" w:color="000000" w:fill="EAF1DD"/>
            <w:vAlign w:val="center"/>
            <w:hideMark/>
          </w:tcPr>
          <w:p w14:paraId="73805E13" w14:textId="77777777" w:rsidR="00A100A1" w:rsidRPr="00A100A1" w:rsidRDefault="00A100A1" w:rsidP="00A100A1">
            <w:pPr>
              <w:rPr>
                <w:rFonts w:ascii="Arial" w:hAnsi="Arial" w:cs="Arial"/>
                <w:color w:val="000000"/>
                <w:sz w:val="16"/>
                <w:szCs w:val="16"/>
              </w:rPr>
            </w:pPr>
            <w:r w:rsidRPr="00A100A1">
              <w:rPr>
                <w:rFonts w:ascii="Arial" w:hAnsi="Arial" w:cs="Arial"/>
                <w:color w:val="000000"/>
                <w:sz w:val="16"/>
                <w:szCs w:val="16"/>
              </w:rPr>
              <w:t>HT 51  Podpora biodiverzity a ochrana prírody (vrátane Natura 2000)</w:t>
            </w:r>
          </w:p>
        </w:tc>
        <w:tc>
          <w:tcPr>
            <w:tcW w:w="529" w:type="dxa"/>
            <w:tcBorders>
              <w:top w:val="nil"/>
              <w:left w:val="nil"/>
              <w:bottom w:val="single" w:sz="8" w:space="0" w:color="auto"/>
              <w:right w:val="single" w:sz="8" w:space="0" w:color="auto"/>
            </w:tcBorders>
            <w:shd w:val="clear" w:color="auto" w:fill="auto"/>
            <w:vAlign w:val="center"/>
            <w:hideMark/>
          </w:tcPr>
          <w:p w14:paraId="1EA5E81B"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5.1</w:t>
            </w:r>
          </w:p>
          <w:p w14:paraId="5DC6082F"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w:t>
            </w:r>
          </w:p>
          <w:p w14:paraId="1134CBA5"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5.3</w:t>
            </w:r>
          </w:p>
        </w:tc>
        <w:tc>
          <w:tcPr>
            <w:tcW w:w="1054" w:type="dxa"/>
            <w:tcBorders>
              <w:top w:val="nil"/>
              <w:left w:val="nil"/>
              <w:bottom w:val="single" w:sz="8" w:space="0" w:color="auto"/>
              <w:right w:val="single" w:sz="8" w:space="0" w:color="auto"/>
            </w:tcBorders>
            <w:shd w:val="clear" w:color="auto" w:fill="auto"/>
            <w:noWrap/>
            <w:vAlign w:val="center"/>
            <w:hideMark/>
          </w:tcPr>
          <w:p w14:paraId="317520E1"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37 125 099</w:t>
            </w:r>
          </w:p>
        </w:tc>
        <w:tc>
          <w:tcPr>
            <w:tcW w:w="1235" w:type="dxa"/>
            <w:tcBorders>
              <w:top w:val="nil"/>
              <w:left w:val="nil"/>
              <w:bottom w:val="single" w:sz="8" w:space="0" w:color="auto"/>
              <w:right w:val="single" w:sz="8" w:space="0" w:color="auto"/>
            </w:tcBorders>
            <w:shd w:val="clear" w:color="auto" w:fill="auto"/>
            <w:noWrap/>
            <w:vAlign w:val="center"/>
            <w:hideMark/>
          </w:tcPr>
          <w:p w14:paraId="757B2A75"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37 346 680</w:t>
            </w:r>
          </w:p>
        </w:tc>
        <w:tc>
          <w:tcPr>
            <w:tcW w:w="1323" w:type="dxa"/>
            <w:tcBorders>
              <w:top w:val="nil"/>
              <w:left w:val="nil"/>
              <w:bottom w:val="single" w:sz="8" w:space="0" w:color="auto"/>
              <w:right w:val="single" w:sz="8" w:space="0" w:color="auto"/>
            </w:tcBorders>
            <w:shd w:val="clear" w:color="auto" w:fill="auto"/>
            <w:noWrap/>
            <w:vAlign w:val="center"/>
            <w:hideMark/>
          </w:tcPr>
          <w:p w14:paraId="1118B8BA"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100,60 %</w:t>
            </w:r>
          </w:p>
        </w:tc>
        <w:tc>
          <w:tcPr>
            <w:tcW w:w="1230" w:type="dxa"/>
            <w:tcBorders>
              <w:top w:val="nil"/>
              <w:left w:val="nil"/>
              <w:bottom w:val="single" w:sz="8" w:space="0" w:color="auto"/>
              <w:right w:val="single" w:sz="8" w:space="0" w:color="auto"/>
            </w:tcBorders>
            <w:shd w:val="clear" w:color="auto" w:fill="auto"/>
            <w:noWrap/>
            <w:vAlign w:val="center"/>
          </w:tcPr>
          <w:p w14:paraId="7C737289" w14:textId="4C7601B5" w:rsidR="00A100A1" w:rsidRPr="00A100A1" w:rsidRDefault="00935BA5" w:rsidP="00A100A1">
            <w:pPr>
              <w:jc w:val="center"/>
              <w:rPr>
                <w:rFonts w:ascii="Arial" w:hAnsi="Arial" w:cs="Arial"/>
                <w:color w:val="000000"/>
                <w:sz w:val="16"/>
                <w:szCs w:val="16"/>
                <w:highlight w:val="yellow"/>
              </w:rPr>
            </w:pPr>
            <w:r w:rsidRPr="00935BA5">
              <w:rPr>
                <w:rFonts w:ascii="Arial" w:hAnsi="Arial" w:cs="Arial"/>
                <w:color w:val="000000"/>
                <w:sz w:val="16"/>
                <w:szCs w:val="16"/>
              </w:rPr>
              <w:t>33 788 006</w:t>
            </w:r>
          </w:p>
        </w:tc>
        <w:tc>
          <w:tcPr>
            <w:tcW w:w="1228" w:type="dxa"/>
            <w:tcBorders>
              <w:top w:val="nil"/>
              <w:left w:val="nil"/>
              <w:bottom w:val="single" w:sz="8" w:space="0" w:color="auto"/>
              <w:right w:val="single" w:sz="8" w:space="0" w:color="auto"/>
            </w:tcBorders>
            <w:shd w:val="clear" w:color="auto" w:fill="auto"/>
            <w:noWrap/>
            <w:vAlign w:val="center"/>
          </w:tcPr>
          <w:p w14:paraId="73FDF019" w14:textId="2D342B29" w:rsidR="00A100A1" w:rsidRPr="00A100A1" w:rsidRDefault="00935BA5" w:rsidP="00A100A1">
            <w:pPr>
              <w:jc w:val="center"/>
              <w:rPr>
                <w:rFonts w:ascii="Arial" w:hAnsi="Arial" w:cs="Arial"/>
                <w:color w:val="000000"/>
                <w:sz w:val="16"/>
                <w:szCs w:val="16"/>
                <w:highlight w:val="yellow"/>
              </w:rPr>
            </w:pPr>
            <w:r w:rsidRPr="00935BA5">
              <w:rPr>
                <w:rFonts w:ascii="Arial" w:hAnsi="Arial" w:cs="Arial"/>
                <w:color w:val="000000"/>
                <w:sz w:val="16"/>
                <w:szCs w:val="16"/>
              </w:rPr>
              <w:t>91,01 %</w:t>
            </w:r>
          </w:p>
        </w:tc>
      </w:tr>
      <w:tr w:rsidR="00A100A1" w:rsidRPr="00A100A1" w14:paraId="60A3940B" w14:textId="77777777" w:rsidTr="00001084">
        <w:trPr>
          <w:trHeight w:val="690"/>
        </w:trPr>
        <w:tc>
          <w:tcPr>
            <w:tcW w:w="2421" w:type="dxa"/>
            <w:tcBorders>
              <w:top w:val="nil"/>
              <w:left w:val="single" w:sz="8" w:space="0" w:color="auto"/>
              <w:bottom w:val="single" w:sz="8" w:space="0" w:color="auto"/>
              <w:right w:val="single" w:sz="8" w:space="0" w:color="auto"/>
            </w:tcBorders>
            <w:shd w:val="clear" w:color="000000" w:fill="EAF1DD"/>
            <w:vAlign w:val="center"/>
            <w:hideMark/>
          </w:tcPr>
          <w:p w14:paraId="04C8C6EE" w14:textId="77777777" w:rsidR="00A100A1" w:rsidRPr="00A100A1" w:rsidRDefault="00A100A1" w:rsidP="00A100A1">
            <w:pPr>
              <w:rPr>
                <w:rFonts w:ascii="Arial" w:hAnsi="Arial" w:cs="Arial"/>
                <w:color w:val="000000"/>
                <w:sz w:val="16"/>
                <w:szCs w:val="16"/>
              </w:rPr>
            </w:pPr>
            <w:r w:rsidRPr="00A100A1">
              <w:rPr>
                <w:rFonts w:ascii="Arial" w:hAnsi="Arial" w:cs="Arial"/>
                <w:color w:val="000000"/>
                <w:sz w:val="16"/>
                <w:szCs w:val="16"/>
              </w:rPr>
              <w:t>HT 54 Iné opatrenia na zachovanie ŽP a predchádzanie rizikám</w:t>
            </w:r>
          </w:p>
        </w:tc>
        <w:tc>
          <w:tcPr>
            <w:tcW w:w="529" w:type="dxa"/>
            <w:tcBorders>
              <w:top w:val="nil"/>
              <w:left w:val="nil"/>
              <w:bottom w:val="single" w:sz="8" w:space="0" w:color="auto"/>
              <w:right w:val="single" w:sz="8" w:space="0" w:color="auto"/>
            </w:tcBorders>
            <w:shd w:val="clear" w:color="auto" w:fill="auto"/>
            <w:vAlign w:val="center"/>
            <w:hideMark/>
          </w:tcPr>
          <w:p w14:paraId="25845C20"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5.2</w:t>
            </w:r>
          </w:p>
        </w:tc>
        <w:tc>
          <w:tcPr>
            <w:tcW w:w="1054" w:type="dxa"/>
            <w:tcBorders>
              <w:top w:val="nil"/>
              <w:left w:val="nil"/>
              <w:bottom w:val="single" w:sz="8" w:space="0" w:color="auto"/>
              <w:right w:val="single" w:sz="8" w:space="0" w:color="auto"/>
            </w:tcBorders>
            <w:shd w:val="clear" w:color="auto" w:fill="auto"/>
            <w:noWrap/>
            <w:vAlign w:val="center"/>
            <w:hideMark/>
          </w:tcPr>
          <w:p w14:paraId="61CEEBEC"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13 631 836</w:t>
            </w:r>
          </w:p>
        </w:tc>
        <w:tc>
          <w:tcPr>
            <w:tcW w:w="1235" w:type="dxa"/>
            <w:tcBorders>
              <w:top w:val="nil"/>
              <w:left w:val="nil"/>
              <w:bottom w:val="single" w:sz="8" w:space="0" w:color="auto"/>
              <w:right w:val="single" w:sz="8" w:space="0" w:color="auto"/>
            </w:tcBorders>
            <w:shd w:val="clear" w:color="auto" w:fill="auto"/>
            <w:noWrap/>
            <w:vAlign w:val="center"/>
            <w:hideMark/>
          </w:tcPr>
          <w:p w14:paraId="5A3DB4B1"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13 972 825</w:t>
            </w:r>
          </w:p>
        </w:tc>
        <w:tc>
          <w:tcPr>
            <w:tcW w:w="1323" w:type="dxa"/>
            <w:tcBorders>
              <w:top w:val="nil"/>
              <w:left w:val="nil"/>
              <w:bottom w:val="single" w:sz="8" w:space="0" w:color="auto"/>
              <w:right w:val="single" w:sz="8" w:space="0" w:color="auto"/>
            </w:tcBorders>
            <w:shd w:val="clear" w:color="auto" w:fill="auto"/>
            <w:noWrap/>
            <w:vAlign w:val="center"/>
            <w:hideMark/>
          </w:tcPr>
          <w:p w14:paraId="0C49E317" w14:textId="77777777" w:rsidR="00A100A1" w:rsidRPr="00A100A1" w:rsidRDefault="00A100A1" w:rsidP="00A100A1">
            <w:pPr>
              <w:jc w:val="center"/>
              <w:rPr>
                <w:rFonts w:ascii="Arial" w:hAnsi="Arial" w:cs="Arial"/>
                <w:color w:val="000000"/>
                <w:sz w:val="16"/>
                <w:szCs w:val="16"/>
              </w:rPr>
            </w:pPr>
            <w:r w:rsidRPr="00A100A1">
              <w:rPr>
                <w:rFonts w:ascii="Arial" w:hAnsi="Arial" w:cs="Arial"/>
                <w:color w:val="000000"/>
                <w:sz w:val="16"/>
                <w:szCs w:val="16"/>
              </w:rPr>
              <w:t>102,50 %</w:t>
            </w:r>
          </w:p>
        </w:tc>
        <w:tc>
          <w:tcPr>
            <w:tcW w:w="1230" w:type="dxa"/>
            <w:tcBorders>
              <w:top w:val="nil"/>
              <w:left w:val="nil"/>
              <w:bottom w:val="single" w:sz="8" w:space="0" w:color="auto"/>
              <w:right w:val="single" w:sz="8" w:space="0" w:color="auto"/>
            </w:tcBorders>
            <w:shd w:val="clear" w:color="auto" w:fill="auto"/>
            <w:noWrap/>
            <w:vAlign w:val="center"/>
          </w:tcPr>
          <w:p w14:paraId="09999558" w14:textId="77777777" w:rsidR="00A100A1" w:rsidRPr="00A100A1" w:rsidRDefault="00A100A1" w:rsidP="00A100A1">
            <w:pPr>
              <w:jc w:val="center"/>
              <w:rPr>
                <w:rFonts w:ascii="Arial" w:hAnsi="Arial" w:cs="Arial"/>
                <w:color w:val="000000"/>
                <w:sz w:val="16"/>
                <w:szCs w:val="16"/>
                <w:highlight w:val="yellow"/>
              </w:rPr>
            </w:pPr>
            <w:r w:rsidRPr="00A100A1">
              <w:rPr>
                <w:rFonts w:ascii="Arial" w:hAnsi="Arial" w:cs="Arial"/>
                <w:color w:val="000000"/>
                <w:sz w:val="16"/>
                <w:szCs w:val="16"/>
              </w:rPr>
              <w:t>12 209 267</w:t>
            </w:r>
          </w:p>
        </w:tc>
        <w:tc>
          <w:tcPr>
            <w:tcW w:w="1228" w:type="dxa"/>
            <w:tcBorders>
              <w:top w:val="nil"/>
              <w:left w:val="nil"/>
              <w:bottom w:val="single" w:sz="8" w:space="0" w:color="auto"/>
              <w:right w:val="single" w:sz="8" w:space="0" w:color="auto"/>
            </w:tcBorders>
            <w:shd w:val="clear" w:color="auto" w:fill="auto"/>
            <w:noWrap/>
            <w:vAlign w:val="center"/>
          </w:tcPr>
          <w:p w14:paraId="6402F5FB" w14:textId="77777777" w:rsidR="00A100A1" w:rsidRPr="00A100A1" w:rsidRDefault="00A100A1" w:rsidP="00A100A1">
            <w:pPr>
              <w:jc w:val="center"/>
              <w:rPr>
                <w:rFonts w:ascii="Arial" w:hAnsi="Arial" w:cs="Arial"/>
                <w:color w:val="000000"/>
                <w:sz w:val="16"/>
                <w:szCs w:val="16"/>
                <w:highlight w:val="yellow"/>
              </w:rPr>
            </w:pPr>
            <w:r w:rsidRPr="00A100A1">
              <w:rPr>
                <w:rFonts w:ascii="Arial" w:hAnsi="Arial" w:cs="Arial"/>
                <w:color w:val="000000"/>
                <w:sz w:val="16"/>
                <w:szCs w:val="16"/>
              </w:rPr>
              <w:t>89,56 %</w:t>
            </w:r>
          </w:p>
        </w:tc>
      </w:tr>
      <w:tr w:rsidR="00A100A1" w:rsidRPr="00A100A1" w14:paraId="3E772C4A" w14:textId="77777777" w:rsidTr="00001084">
        <w:trPr>
          <w:trHeight w:val="240"/>
        </w:trPr>
        <w:tc>
          <w:tcPr>
            <w:tcW w:w="2950" w:type="dxa"/>
            <w:gridSpan w:val="2"/>
            <w:tcBorders>
              <w:top w:val="single" w:sz="8" w:space="0" w:color="auto"/>
              <w:left w:val="single" w:sz="8" w:space="0" w:color="auto"/>
              <w:bottom w:val="single" w:sz="8" w:space="0" w:color="auto"/>
              <w:right w:val="single" w:sz="8" w:space="0" w:color="000000"/>
            </w:tcBorders>
            <w:shd w:val="clear" w:color="000000" w:fill="EAF1DD"/>
            <w:vAlign w:val="center"/>
            <w:hideMark/>
          </w:tcPr>
          <w:p w14:paraId="7E735F7B" w14:textId="77777777" w:rsidR="00A100A1" w:rsidRPr="00A100A1" w:rsidRDefault="00A100A1" w:rsidP="00A100A1">
            <w:pPr>
              <w:rPr>
                <w:rFonts w:ascii="Arial" w:hAnsi="Arial" w:cs="Arial"/>
                <w:b/>
                <w:bCs/>
                <w:color w:val="000000"/>
                <w:sz w:val="16"/>
                <w:szCs w:val="16"/>
              </w:rPr>
            </w:pPr>
            <w:r w:rsidRPr="00A100A1">
              <w:rPr>
                <w:rFonts w:ascii="Arial" w:hAnsi="Arial" w:cs="Arial"/>
                <w:b/>
                <w:bCs/>
                <w:color w:val="000000"/>
                <w:sz w:val="16"/>
                <w:szCs w:val="16"/>
              </w:rPr>
              <w:t>Spolu</w:t>
            </w:r>
          </w:p>
        </w:tc>
        <w:tc>
          <w:tcPr>
            <w:tcW w:w="1054" w:type="dxa"/>
            <w:tcBorders>
              <w:top w:val="nil"/>
              <w:left w:val="nil"/>
              <w:bottom w:val="single" w:sz="8" w:space="0" w:color="auto"/>
              <w:right w:val="single" w:sz="8" w:space="0" w:color="auto"/>
            </w:tcBorders>
            <w:shd w:val="clear" w:color="000000" w:fill="EAF1DD"/>
            <w:noWrap/>
            <w:vAlign w:val="center"/>
            <w:hideMark/>
          </w:tcPr>
          <w:p w14:paraId="2B22EAB2"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50 756 935</w:t>
            </w:r>
          </w:p>
        </w:tc>
        <w:tc>
          <w:tcPr>
            <w:tcW w:w="1235" w:type="dxa"/>
            <w:tcBorders>
              <w:top w:val="nil"/>
              <w:left w:val="nil"/>
              <w:bottom w:val="single" w:sz="8" w:space="0" w:color="auto"/>
              <w:right w:val="single" w:sz="8" w:space="0" w:color="auto"/>
            </w:tcBorders>
            <w:shd w:val="clear" w:color="000000" w:fill="EAF1DD"/>
            <w:noWrap/>
            <w:vAlign w:val="center"/>
            <w:hideMark/>
          </w:tcPr>
          <w:p w14:paraId="75926FA0"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51 319 505</w:t>
            </w:r>
          </w:p>
        </w:tc>
        <w:tc>
          <w:tcPr>
            <w:tcW w:w="1323" w:type="dxa"/>
            <w:tcBorders>
              <w:top w:val="nil"/>
              <w:left w:val="nil"/>
              <w:bottom w:val="single" w:sz="8" w:space="0" w:color="auto"/>
              <w:right w:val="single" w:sz="8" w:space="0" w:color="auto"/>
            </w:tcBorders>
            <w:shd w:val="clear" w:color="000000" w:fill="EAF1DD"/>
            <w:noWrap/>
            <w:vAlign w:val="center"/>
            <w:hideMark/>
          </w:tcPr>
          <w:p w14:paraId="0DD1397A" w14:textId="77777777" w:rsidR="00A100A1" w:rsidRPr="00A100A1" w:rsidRDefault="00A100A1" w:rsidP="00A100A1">
            <w:pPr>
              <w:jc w:val="center"/>
              <w:rPr>
                <w:rFonts w:ascii="Arial" w:hAnsi="Arial" w:cs="Arial"/>
                <w:b/>
                <w:bCs/>
                <w:color w:val="000000"/>
                <w:sz w:val="16"/>
                <w:szCs w:val="16"/>
              </w:rPr>
            </w:pPr>
            <w:r w:rsidRPr="00A100A1">
              <w:rPr>
                <w:rFonts w:ascii="Arial" w:hAnsi="Arial" w:cs="Arial"/>
                <w:b/>
                <w:bCs/>
                <w:color w:val="000000"/>
                <w:sz w:val="16"/>
                <w:szCs w:val="16"/>
              </w:rPr>
              <w:t>101,11 %</w:t>
            </w:r>
          </w:p>
        </w:tc>
        <w:tc>
          <w:tcPr>
            <w:tcW w:w="1230" w:type="dxa"/>
            <w:tcBorders>
              <w:top w:val="nil"/>
              <w:left w:val="nil"/>
              <w:bottom w:val="single" w:sz="8" w:space="0" w:color="auto"/>
              <w:right w:val="single" w:sz="8" w:space="0" w:color="auto"/>
            </w:tcBorders>
            <w:shd w:val="clear" w:color="000000" w:fill="EAF1DD"/>
            <w:noWrap/>
            <w:vAlign w:val="center"/>
          </w:tcPr>
          <w:p w14:paraId="2E96A39C" w14:textId="0D1AC2F0" w:rsidR="00A100A1" w:rsidRPr="00A100A1" w:rsidRDefault="00935BA5" w:rsidP="00A100A1">
            <w:pPr>
              <w:jc w:val="center"/>
              <w:rPr>
                <w:rFonts w:ascii="Arial" w:hAnsi="Arial" w:cs="Arial"/>
                <w:b/>
                <w:bCs/>
                <w:color w:val="000000"/>
                <w:sz w:val="16"/>
                <w:szCs w:val="16"/>
                <w:highlight w:val="yellow"/>
              </w:rPr>
            </w:pPr>
            <w:r w:rsidRPr="00935BA5">
              <w:rPr>
                <w:rFonts w:ascii="Arial" w:hAnsi="Arial" w:cs="Arial"/>
                <w:b/>
                <w:color w:val="000000"/>
                <w:sz w:val="16"/>
                <w:szCs w:val="16"/>
              </w:rPr>
              <w:t>45 997 273</w:t>
            </w:r>
          </w:p>
        </w:tc>
        <w:tc>
          <w:tcPr>
            <w:tcW w:w="1228" w:type="dxa"/>
            <w:tcBorders>
              <w:top w:val="nil"/>
              <w:left w:val="nil"/>
              <w:bottom w:val="single" w:sz="8" w:space="0" w:color="auto"/>
              <w:right w:val="single" w:sz="8" w:space="0" w:color="auto"/>
            </w:tcBorders>
            <w:shd w:val="clear" w:color="000000" w:fill="EAF1DD"/>
            <w:noWrap/>
            <w:vAlign w:val="center"/>
          </w:tcPr>
          <w:p w14:paraId="640F6A8A" w14:textId="7F6EB25D" w:rsidR="00A100A1" w:rsidRPr="00A100A1" w:rsidRDefault="00A100A1" w:rsidP="00935BA5">
            <w:pPr>
              <w:jc w:val="center"/>
              <w:rPr>
                <w:rFonts w:ascii="Arial" w:hAnsi="Arial" w:cs="Arial"/>
                <w:b/>
                <w:bCs/>
                <w:color w:val="000000"/>
                <w:sz w:val="16"/>
                <w:szCs w:val="16"/>
                <w:highlight w:val="yellow"/>
              </w:rPr>
            </w:pPr>
            <w:r w:rsidRPr="00A100A1">
              <w:rPr>
                <w:rFonts w:ascii="Arial" w:hAnsi="Arial" w:cs="Arial"/>
                <w:b/>
                <w:bCs/>
                <w:color w:val="000000"/>
                <w:sz w:val="16"/>
                <w:szCs w:val="16"/>
              </w:rPr>
              <w:t>90,</w:t>
            </w:r>
            <w:r w:rsidR="00935BA5">
              <w:rPr>
                <w:rFonts w:ascii="Arial" w:hAnsi="Arial" w:cs="Arial"/>
                <w:b/>
                <w:bCs/>
                <w:color w:val="000000"/>
                <w:sz w:val="16"/>
                <w:szCs w:val="16"/>
              </w:rPr>
              <w:t>62</w:t>
            </w:r>
            <w:r w:rsidRPr="00A100A1">
              <w:rPr>
                <w:rFonts w:ascii="Arial" w:hAnsi="Arial" w:cs="Arial"/>
                <w:b/>
                <w:bCs/>
                <w:color w:val="000000"/>
                <w:sz w:val="16"/>
                <w:szCs w:val="16"/>
              </w:rPr>
              <w:t xml:space="preserve"> %</w:t>
            </w:r>
          </w:p>
        </w:tc>
      </w:tr>
    </w:tbl>
    <w:p w14:paraId="7CEAEBE5" w14:textId="77777777" w:rsidR="00A100A1" w:rsidRPr="00A100A1" w:rsidRDefault="00A100A1" w:rsidP="00A100A1">
      <w:pPr>
        <w:jc w:val="both"/>
        <w:rPr>
          <w:rFonts w:ascii="Arial" w:hAnsi="Arial" w:cs="Arial"/>
          <w:sz w:val="16"/>
          <w:szCs w:val="16"/>
          <w:lang w:val="en-US"/>
        </w:rPr>
      </w:pPr>
      <w:r w:rsidRPr="00A100A1">
        <w:rPr>
          <w:rFonts w:ascii="Arial" w:hAnsi="Arial" w:cs="Arial"/>
          <w:sz w:val="16"/>
          <w:szCs w:val="16"/>
        </w:rPr>
        <w:t>Zdroj: RO, ITMS</w:t>
      </w:r>
    </w:p>
    <w:p w14:paraId="06CEBAC3" w14:textId="77777777" w:rsidR="00021D46" w:rsidRDefault="00021D46" w:rsidP="00021D46">
      <w:pPr>
        <w:rPr>
          <w:rFonts w:cs="Arial"/>
        </w:rPr>
      </w:pPr>
    </w:p>
    <w:p w14:paraId="590D7267" w14:textId="2687B002" w:rsidR="00A100A1" w:rsidRDefault="00A100A1" w:rsidP="00021D46">
      <w:pPr>
        <w:rPr>
          <w:rFonts w:ascii="Arial" w:hAnsi="Arial" w:cs="Arial"/>
          <w:sz w:val="20"/>
          <w:szCs w:val="20"/>
        </w:rPr>
      </w:pPr>
      <w:r w:rsidRPr="00A100A1">
        <w:rPr>
          <w:rFonts w:ascii="Arial" w:hAnsi="Arial" w:cs="Arial"/>
          <w:sz w:val="20"/>
          <w:szCs w:val="20"/>
        </w:rPr>
        <w:t>Tabuľka č. 6</w:t>
      </w:r>
      <w:r w:rsidR="007B1CB9">
        <w:rPr>
          <w:rFonts w:ascii="Arial" w:hAnsi="Arial" w:cs="Arial"/>
          <w:sz w:val="20"/>
          <w:szCs w:val="20"/>
        </w:rPr>
        <w:t>4</w:t>
      </w:r>
      <w:r w:rsidRPr="00A100A1">
        <w:rPr>
          <w:rFonts w:ascii="Arial" w:hAnsi="Arial" w:cs="Arial"/>
          <w:sz w:val="20"/>
          <w:szCs w:val="20"/>
        </w:rPr>
        <w:t>: Fyzický pokrok intervencií prioritnej osi 5 k 31.10.2016</w:t>
      </w:r>
    </w:p>
    <w:tbl>
      <w:tblPr>
        <w:tblW w:w="9072" w:type="dxa"/>
        <w:tblInd w:w="-5" w:type="dxa"/>
        <w:tblLayout w:type="fixed"/>
        <w:tblCellMar>
          <w:left w:w="70" w:type="dxa"/>
          <w:right w:w="70" w:type="dxa"/>
        </w:tblCellMar>
        <w:tblLook w:val="04A0" w:firstRow="1" w:lastRow="0" w:firstColumn="1" w:lastColumn="0" w:noHBand="0" w:noVBand="1"/>
      </w:tblPr>
      <w:tblGrid>
        <w:gridCol w:w="682"/>
        <w:gridCol w:w="1489"/>
        <w:gridCol w:w="786"/>
        <w:gridCol w:w="891"/>
        <w:gridCol w:w="809"/>
        <w:gridCol w:w="813"/>
        <w:gridCol w:w="819"/>
        <w:gridCol w:w="819"/>
        <w:gridCol w:w="971"/>
        <w:gridCol w:w="993"/>
      </w:tblGrid>
      <w:tr w:rsidR="002D6D78" w:rsidRPr="00A100A1" w14:paraId="24ADD33E" w14:textId="77777777" w:rsidTr="007D7B08">
        <w:trPr>
          <w:trHeight w:val="1351"/>
        </w:trPr>
        <w:tc>
          <w:tcPr>
            <w:tcW w:w="682" w:type="dxa"/>
            <w:tcBorders>
              <w:top w:val="single" w:sz="4" w:space="0" w:color="auto"/>
              <w:left w:val="single" w:sz="4" w:space="0" w:color="auto"/>
              <w:bottom w:val="nil"/>
              <w:right w:val="single" w:sz="4" w:space="0" w:color="auto"/>
            </w:tcBorders>
            <w:shd w:val="clear" w:color="auto" w:fill="C2D69B" w:themeFill="accent3" w:themeFillTint="99"/>
            <w:vAlign w:val="center"/>
            <w:hideMark/>
          </w:tcPr>
          <w:p w14:paraId="45BDD1A9" w14:textId="77777777" w:rsidR="00AF4E38" w:rsidRPr="00A100A1" w:rsidRDefault="00AF4E38" w:rsidP="006F27DB">
            <w:pPr>
              <w:jc w:val="center"/>
              <w:rPr>
                <w:rFonts w:ascii="Arial" w:hAnsi="Arial" w:cs="Arial"/>
                <w:b/>
                <w:bCs/>
                <w:color w:val="000000"/>
                <w:sz w:val="16"/>
                <w:szCs w:val="16"/>
              </w:rPr>
            </w:pPr>
            <w:r w:rsidRPr="00A100A1">
              <w:rPr>
                <w:rFonts w:ascii="Arial" w:hAnsi="Arial" w:cs="Arial"/>
                <w:b/>
                <w:bCs/>
                <w:color w:val="000000"/>
                <w:sz w:val="16"/>
                <w:szCs w:val="16"/>
              </w:rPr>
              <w:t>Typ</w:t>
            </w:r>
            <w:r w:rsidRPr="00A100A1">
              <w:rPr>
                <w:rFonts w:ascii="Arial" w:hAnsi="Arial" w:cs="Arial"/>
                <w:b/>
                <w:bCs/>
                <w:color w:val="000000"/>
                <w:sz w:val="16"/>
                <w:szCs w:val="16"/>
              </w:rPr>
              <w:br/>
              <w:t>inter-</w:t>
            </w:r>
            <w:r w:rsidRPr="00A100A1">
              <w:rPr>
                <w:rFonts w:ascii="Arial" w:hAnsi="Arial" w:cs="Arial"/>
                <w:b/>
                <w:bCs/>
                <w:color w:val="000000"/>
                <w:sz w:val="16"/>
                <w:szCs w:val="16"/>
              </w:rPr>
              <w:br/>
              <w:t>vencie (op. cieľ)</w:t>
            </w:r>
          </w:p>
        </w:tc>
        <w:tc>
          <w:tcPr>
            <w:tcW w:w="1489" w:type="dxa"/>
            <w:tcBorders>
              <w:top w:val="single" w:sz="4" w:space="0" w:color="auto"/>
              <w:left w:val="nil"/>
              <w:bottom w:val="nil"/>
              <w:right w:val="single" w:sz="4" w:space="0" w:color="auto"/>
            </w:tcBorders>
            <w:shd w:val="clear" w:color="auto" w:fill="C2D69B" w:themeFill="accent3" w:themeFillTint="99"/>
            <w:vAlign w:val="center"/>
            <w:hideMark/>
          </w:tcPr>
          <w:p w14:paraId="1E2113CB" w14:textId="77777777" w:rsidR="00AF4E38" w:rsidRPr="00A100A1" w:rsidRDefault="00AF4E38" w:rsidP="006F27DB">
            <w:pPr>
              <w:jc w:val="center"/>
              <w:rPr>
                <w:rFonts w:ascii="Arial" w:hAnsi="Arial" w:cs="Arial"/>
                <w:b/>
                <w:bCs/>
                <w:color w:val="000000"/>
                <w:sz w:val="16"/>
                <w:szCs w:val="16"/>
              </w:rPr>
            </w:pPr>
            <w:r w:rsidRPr="00A100A1">
              <w:rPr>
                <w:rFonts w:ascii="Arial" w:hAnsi="Arial" w:cs="Arial"/>
                <w:b/>
                <w:bCs/>
                <w:color w:val="000000"/>
                <w:sz w:val="16"/>
                <w:szCs w:val="16"/>
              </w:rPr>
              <w:t>Názov merateľného ukazovateľa (MU)</w:t>
            </w:r>
          </w:p>
        </w:tc>
        <w:tc>
          <w:tcPr>
            <w:tcW w:w="786" w:type="dxa"/>
            <w:tcBorders>
              <w:top w:val="single" w:sz="4" w:space="0" w:color="auto"/>
              <w:left w:val="nil"/>
              <w:bottom w:val="nil"/>
              <w:right w:val="single" w:sz="4" w:space="0" w:color="auto"/>
            </w:tcBorders>
            <w:shd w:val="clear" w:color="auto" w:fill="C2D69B" w:themeFill="accent3" w:themeFillTint="99"/>
            <w:vAlign w:val="center"/>
            <w:hideMark/>
          </w:tcPr>
          <w:p w14:paraId="76010C96" w14:textId="77777777" w:rsidR="00AF4E38" w:rsidRPr="00A100A1" w:rsidRDefault="00AF4E38" w:rsidP="006F27DB">
            <w:pPr>
              <w:jc w:val="center"/>
              <w:rPr>
                <w:rFonts w:ascii="Arial" w:hAnsi="Arial" w:cs="Arial"/>
                <w:b/>
                <w:bCs/>
                <w:color w:val="000000"/>
                <w:sz w:val="16"/>
                <w:szCs w:val="16"/>
              </w:rPr>
            </w:pPr>
            <w:r w:rsidRPr="00A100A1">
              <w:rPr>
                <w:rFonts w:ascii="Arial" w:hAnsi="Arial" w:cs="Arial"/>
                <w:b/>
                <w:bCs/>
                <w:color w:val="000000"/>
                <w:sz w:val="16"/>
                <w:szCs w:val="16"/>
              </w:rPr>
              <w:t>Merná jednotka (MJ)</w:t>
            </w:r>
          </w:p>
        </w:tc>
        <w:tc>
          <w:tcPr>
            <w:tcW w:w="891" w:type="dxa"/>
            <w:tcBorders>
              <w:top w:val="single" w:sz="4" w:space="0" w:color="auto"/>
              <w:left w:val="nil"/>
              <w:bottom w:val="single" w:sz="4" w:space="0" w:color="auto"/>
              <w:right w:val="single" w:sz="4" w:space="0" w:color="auto"/>
            </w:tcBorders>
            <w:shd w:val="clear" w:color="auto" w:fill="C2D69B" w:themeFill="accent3" w:themeFillTint="99"/>
            <w:vAlign w:val="center"/>
          </w:tcPr>
          <w:p w14:paraId="214CDF63" w14:textId="77777777" w:rsidR="00AF4E38" w:rsidRPr="00A100A1" w:rsidRDefault="00AF4E38" w:rsidP="006F27DB">
            <w:pPr>
              <w:jc w:val="center"/>
              <w:rPr>
                <w:rFonts w:ascii="Arial" w:hAnsi="Arial" w:cs="Arial"/>
                <w:b/>
                <w:bCs/>
                <w:color w:val="000000"/>
                <w:sz w:val="16"/>
                <w:szCs w:val="16"/>
              </w:rPr>
            </w:pPr>
            <w:r w:rsidRPr="00A100A1">
              <w:rPr>
                <w:rFonts w:ascii="Arial" w:hAnsi="Arial" w:cs="Arial"/>
                <w:b/>
                <w:bCs/>
                <w:color w:val="000000"/>
                <w:sz w:val="16"/>
                <w:szCs w:val="16"/>
              </w:rPr>
              <w:t>Východisková hodnota OP</w:t>
            </w:r>
          </w:p>
        </w:tc>
        <w:tc>
          <w:tcPr>
            <w:tcW w:w="809"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D22AD69" w14:textId="77777777" w:rsidR="00AF4E38" w:rsidRPr="00A100A1" w:rsidRDefault="00AF4E38" w:rsidP="006F27DB">
            <w:pPr>
              <w:jc w:val="center"/>
              <w:rPr>
                <w:rFonts w:ascii="Arial" w:hAnsi="Arial" w:cs="Arial"/>
                <w:b/>
                <w:bCs/>
                <w:color w:val="000000"/>
                <w:sz w:val="16"/>
                <w:szCs w:val="16"/>
              </w:rPr>
            </w:pPr>
            <w:r w:rsidRPr="00A100A1">
              <w:rPr>
                <w:rFonts w:ascii="Arial" w:hAnsi="Arial" w:cs="Arial"/>
                <w:b/>
                <w:bCs/>
                <w:color w:val="000000"/>
                <w:sz w:val="16"/>
                <w:szCs w:val="16"/>
              </w:rPr>
              <w:t>Cieľ OP</w:t>
            </w:r>
          </w:p>
        </w:tc>
        <w:tc>
          <w:tcPr>
            <w:tcW w:w="813" w:type="dxa"/>
            <w:tcBorders>
              <w:top w:val="single" w:sz="4" w:space="0" w:color="auto"/>
              <w:left w:val="nil"/>
              <w:bottom w:val="nil"/>
              <w:right w:val="single" w:sz="4" w:space="0" w:color="auto"/>
            </w:tcBorders>
            <w:shd w:val="clear" w:color="auto" w:fill="C2D69B" w:themeFill="accent3" w:themeFillTint="99"/>
            <w:vAlign w:val="center"/>
            <w:hideMark/>
          </w:tcPr>
          <w:p w14:paraId="566363D1" w14:textId="77777777" w:rsidR="00AF4E38" w:rsidRPr="00A100A1" w:rsidRDefault="00AF4E38" w:rsidP="006F27DB">
            <w:pPr>
              <w:jc w:val="center"/>
              <w:rPr>
                <w:rFonts w:ascii="Arial" w:hAnsi="Arial" w:cs="Arial"/>
                <w:b/>
                <w:bCs/>
                <w:color w:val="000000"/>
                <w:sz w:val="16"/>
                <w:szCs w:val="16"/>
              </w:rPr>
            </w:pPr>
            <w:r w:rsidRPr="001F30FF">
              <w:rPr>
                <w:rFonts w:ascii="Arial" w:hAnsi="Arial" w:cs="Arial"/>
                <w:b/>
                <w:bCs/>
                <w:color w:val="000000"/>
                <w:sz w:val="16"/>
                <w:szCs w:val="16"/>
              </w:rPr>
              <w:t>Stav k 31.12.</w:t>
            </w:r>
            <w:r w:rsidRPr="001F30FF">
              <w:rPr>
                <w:rFonts w:ascii="Arial" w:hAnsi="Arial" w:cs="Arial"/>
                <w:b/>
                <w:bCs/>
                <w:color w:val="000000"/>
                <w:sz w:val="16"/>
                <w:szCs w:val="16"/>
              </w:rPr>
              <w:br/>
              <w:t>2015</w:t>
            </w:r>
          </w:p>
        </w:tc>
        <w:tc>
          <w:tcPr>
            <w:tcW w:w="819" w:type="dxa"/>
            <w:tcBorders>
              <w:top w:val="single" w:sz="4" w:space="0" w:color="auto"/>
              <w:left w:val="nil"/>
              <w:bottom w:val="single" w:sz="4" w:space="0" w:color="auto"/>
              <w:right w:val="single" w:sz="4" w:space="0" w:color="auto"/>
            </w:tcBorders>
            <w:shd w:val="clear" w:color="auto" w:fill="C2D69B" w:themeFill="accent3" w:themeFillTint="99"/>
            <w:vAlign w:val="center"/>
          </w:tcPr>
          <w:p w14:paraId="3DF93E7D" w14:textId="77777777" w:rsidR="00AF4E38" w:rsidRPr="00A100A1" w:rsidRDefault="00AF4E38" w:rsidP="006F27DB">
            <w:pPr>
              <w:jc w:val="center"/>
              <w:rPr>
                <w:rFonts w:ascii="Arial" w:hAnsi="Arial" w:cs="Arial"/>
                <w:b/>
                <w:bCs/>
                <w:color w:val="000000"/>
                <w:sz w:val="16"/>
                <w:szCs w:val="16"/>
              </w:rPr>
            </w:pPr>
            <w:r w:rsidRPr="00A100A1">
              <w:rPr>
                <w:rFonts w:ascii="Arial" w:hAnsi="Arial" w:cs="Arial"/>
                <w:b/>
                <w:bCs/>
                <w:color w:val="000000"/>
                <w:sz w:val="16"/>
                <w:szCs w:val="16"/>
              </w:rPr>
              <w:t>Stav k 31.10.</w:t>
            </w:r>
            <w:r w:rsidRPr="00A100A1">
              <w:rPr>
                <w:rFonts w:ascii="Arial" w:hAnsi="Arial" w:cs="Arial"/>
                <w:b/>
                <w:bCs/>
                <w:color w:val="000000"/>
                <w:sz w:val="16"/>
                <w:szCs w:val="16"/>
              </w:rPr>
              <w:br/>
              <w:t>2016</w:t>
            </w:r>
          </w:p>
        </w:tc>
        <w:tc>
          <w:tcPr>
            <w:tcW w:w="819"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DDF1B07" w14:textId="77777777" w:rsidR="00AF4E38" w:rsidRPr="00A100A1" w:rsidRDefault="00AF4E38" w:rsidP="006F27DB">
            <w:pPr>
              <w:jc w:val="center"/>
              <w:rPr>
                <w:rFonts w:ascii="Arial" w:hAnsi="Arial" w:cs="Arial"/>
                <w:b/>
                <w:bCs/>
                <w:color w:val="000000"/>
                <w:sz w:val="16"/>
                <w:szCs w:val="16"/>
              </w:rPr>
            </w:pPr>
            <w:r w:rsidRPr="00A100A1">
              <w:rPr>
                <w:rFonts w:ascii="Arial" w:hAnsi="Arial" w:cs="Arial"/>
                <w:b/>
                <w:bCs/>
                <w:color w:val="000000"/>
                <w:sz w:val="16"/>
                <w:szCs w:val="16"/>
              </w:rPr>
              <w:t>Cieľ zazmluv-</w:t>
            </w:r>
            <w:r w:rsidRPr="00A100A1">
              <w:rPr>
                <w:rFonts w:ascii="Arial" w:hAnsi="Arial" w:cs="Arial"/>
                <w:b/>
                <w:bCs/>
                <w:color w:val="000000"/>
                <w:sz w:val="16"/>
                <w:szCs w:val="16"/>
              </w:rPr>
              <w:br/>
              <w:t>nených projektov</w:t>
            </w:r>
          </w:p>
        </w:tc>
        <w:tc>
          <w:tcPr>
            <w:tcW w:w="971"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31C9850" w14:textId="77777777" w:rsidR="00AF4E38" w:rsidRPr="00A100A1" w:rsidRDefault="00AF4E38" w:rsidP="006F27DB">
            <w:pPr>
              <w:jc w:val="center"/>
              <w:rPr>
                <w:rFonts w:ascii="Arial" w:hAnsi="Arial" w:cs="Arial"/>
                <w:b/>
                <w:bCs/>
                <w:color w:val="000000"/>
                <w:sz w:val="16"/>
                <w:szCs w:val="16"/>
              </w:rPr>
            </w:pPr>
            <w:r w:rsidRPr="00A100A1">
              <w:rPr>
                <w:rFonts w:ascii="Arial" w:hAnsi="Arial" w:cs="Arial"/>
                <w:b/>
                <w:bCs/>
                <w:color w:val="000000"/>
                <w:sz w:val="16"/>
                <w:szCs w:val="16"/>
              </w:rPr>
              <w:t>Úspešnosť plnenia (%)</w:t>
            </w:r>
          </w:p>
        </w:tc>
        <w:tc>
          <w:tcPr>
            <w:tcW w:w="993"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B0BF474" w14:textId="77777777" w:rsidR="00AF4E38" w:rsidRPr="00A100A1" w:rsidRDefault="00AF4E38" w:rsidP="006F27DB">
            <w:pPr>
              <w:jc w:val="center"/>
              <w:rPr>
                <w:rFonts w:ascii="Arial" w:hAnsi="Arial" w:cs="Arial"/>
                <w:b/>
                <w:bCs/>
                <w:color w:val="000000"/>
                <w:sz w:val="16"/>
                <w:szCs w:val="16"/>
              </w:rPr>
            </w:pPr>
            <w:r w:rsidRPr="00A100A1">
              <w:rPr>
                <w:rFonts w:ascii="Arial" w:hAnsi="Arial" w:cs="Arial"/>
                <w:b/>
                <w:bCs/>
                <w:color w:val="000000"/>
                <w:sz w:val="16"/>
                <w:szCs w:val="16"/>
              </w:rPr>
              <w:t>Úspešnosť plnenia zazmluv-</w:t>
            </w:r>
            <w:r w:rsidRPr="00A100A1">
              <w:rPr>
                <w:rFonts w:ascii="Arial" w:hAnsi="Arial" w:cs="Arial"/>
                <w:b/>
                <w:bCs/>
                <w:color w:val="000000"/>
                <w:sz w:val="16"/>
                <w:szCs w:val="16"/>
              </w:rPr>
              <w:br/>
              <w:t>nených projektov (%)</w:t>
            </w:r>
          </w:p>
        </w:tc>
      </w:tr>
      <w:tr w:rsidR="0008447E" w:rsidRPr="00A100A1" w14:paraId="699FA3B1" w14:textId="77777777" w:rsidTr="0008447E">
        <w:trPr>
          <w:trHeight w:val="675"/>
        </w:trPr>
        <w:tc>
          <w:tcPr>
            <w:tcW w:w="68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3A8F9DA" w14:textId="77777777" w:rsidR="00835F5C" w:rsidRDefault="00835F5C" w:rsidP="006F27DB">
            <w:pPr>
              <w:jc w:val="center"/>
              <w:rPr>
                <w:rFonts w:ascii="Arial" w:hAnsi="Arial" w:cs="Arial"/>
                <w:color w:val="000000"/>
                <w:sz w:val="16"/>
                <w:szCs w:val="16"/>
              </w:rPr>
            </w:pPr>
          </w:p>
          <w:p w14:paraId="42B73399" w14:textId="77777777" w:rsidR="00835F5C" w:rsidRDefault="00835F5C" w:rsidP="006F27DB">
            <w:pPr>
              <w:jc w:val="center"/>
              <w:rPr>
                <w:rFonts w:ascii="Arial" w:hAnsi="Arial" w:cs="Arial"/>
                <w:color w:val="000000"/>
                <w:sz w:val="16"/>
                <w:szCs w:val="16"/>
              </w:rPr>
            </w:pPr>
          </w:p>
          <w:p w14:paraId="3B8DC7D7" w14:textId="77777777" w:rsidR="00AF4E38" w:rsidRPr="00A100A1" w:rsidRDefault="00AF4E38" w:rsidP="006F27DB">
            <w:pPr>
              <w:jc w:val="center"/>
              <w:rPr>
                <w:rFonts w:ascii="Arial" w:hAnsi="Arial" w:cs="Arial"/>
                <w:color w:val="000000"/>
                <w:sz w:val="16"/>
                <w:szCs w:val="16"/>
              </w:rPr>
            </w:pPr>
            <w:r w:rsidRPr="00813BB9">
              <w:rPr>
                <w:rFonts w:ascii="Arial" w:hAnsi="Arial" w:cs="Arial"/>
                <w:color w:val="000000"/>
                <w:sz w:val="16"/>
                <w:szCs w:val="16"/>
              </w:rPr>
              <w:t>5.1</w:t>
            </w:r>
          </w:p>
        </w:tc>
        <w:tc>
          <w:tcPr>
            <w:tcW w:w="1489" w:type="dxa"/>
            <w:tcBorders>
              <w:top w:val="single" w:sz="4" w:space="0" w:color="auto"/>
              <w:left w:val="nil"/>
              <w:bottom w:val="single" w:sz="4" w:space="0" w:color="auto"/>
              <w:right w:val="single" w:sz="4" w:space="0" w:color="auto"/>
            </w:tcBorders>
            <w:shd w:val="clear" w:color="000000" w:fill="FFFFFF"/>
            <w:vAlign w:val="center"/>
            <w:hideMark/>
          </w:tcPr>
          <w:p w14:paraId="49386689" w14:textId="77777777" w:rsidR="00AF4E38" w:rsidRPr="00A100A1" w:rsidRDefault="00AF4E38" w:rsidP="006F27DB">
            <w:pPr>
              <w:rPr>
                <w:rFonts w:ascii="Arial" w:hAnsi="Arial" w:cs="Arial"/>
                <w:color w:val="000000"/>
                <w:sz w:val="16"/>
                <w:szCs w:val="16"/>
              </w:rPr>
            </w:pPr>
            <w:r w:rsidRPr="00A100A1">
              <w:rPr>
                <w:rFonts w:ascii="Arial" w:hAnsi="Arial" w:cs="Arial"/>
                <w:color w:val="000000"/>
                <w:sz w:val="16"/>
                <w:szCs w:val="16"/>
              </w:rPr>
              <w:t>Počet vypracovaných dokumentov starostlivosti o územia</w:t>
            </w:r>
          </w:p>
        </w:tc>
        <w:tc>
          <w:tcPr>
            <w:tcW w:w="786" w:type="dxa"/>
            <w:tcBorders>
              <w:top w:val="single" w:sz="4" w:space="0" w:color="auto"/>
              <w:left w:val="nil"/>
              <w:bottom w:val="single" w:sz="4" w:space="0" w:color="auto"/>
              <w:right w:val="single" w:sz="4" w:space="0" w:color="auto"/>
            </w:tcBorders>
            <w:shd w:val="clear" w:color="000000" w:fill="FFFFFF"/>
            <w:vAlign w:val="center"/>
            <w:hideMark/>
          </w:tcPr>
          <w:p w14:paraId="13C27109"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počet</w:t>
            </w:r>
          </w:p>
        </w:tc>
        <w:tc>
          <w:tcPr>
            <w:tcW w:w="891" w:type="dxa"/>
            <w:tcBorders>
              <w:top w:val="single" w:sz="4" w:space="0" w:color="auto"/>
              <w:left w:val="nil"/>
              <w:bottom w:val="single" w:sz="4" w:space="0" w:color="auto"/>
              <w:right w:val="single" w:sz="4" w:space="0" w:color="auto"/>
            </w:tcBorders>
            <w:shd w:val="clear" w:color="000000" w:fill="FFFFFF"/>
            <w:vAlign w:val="center"/>
          </w:tcPr>
          <w:p w14:paraId="257722E3"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7</w:t>
            </w:r>
          </w:p>
        </w:tc>
        <w:tc>
          <w:tcPr>
            <w:tcW w:w="809" w:type="dxa"/>
            <w:tcBorders>
              <w:top w:val="nil"/>
              <w:left w:val="single" w:sz="4" w:space="0" w:color="auto"/>
              <w:bottom w:val="single" w:sz="4" w:space="0" w:color="auto"/>
              <w:right w:val="single" w:sz="4" w:space="0" w:color="auto"/>
            </w:tcBorders>
            <w:shd w:val="clear" w:color="000000" w:fill="FFFFFF"/>
            <w:vAlign w:val="center"/>
            <w:hideMark/>
          </w:tcPr>
          <w:p w14:paraId="66823647"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420</w:t>
            </w:r>
          </w:p>
        </w:tc>
        <w:tc>
          <w:tcPr>
            <w:tcW w:w="813" w:type="dxa"/>
            <w:tcBorders>
              <w:top w:val="single" w:sz="4" w:space="0" w:color="auto"/>
              <w:left w:val="nil"/>
              <w:bottom w:val="single" w:sz="4" w:space="0" w:color="auto"/>
              <w:right w:val="single" w:sz="4" w:space="0" w:color="auto"/>
            </w:tcBorders>
            <w:shd w:val="clear" w:color="auto" w:fill="FFFFFF" w:themeFill="background1"/>
            <w:vAlign w:val="center"/>
          </w:tcPr>
          <w:p w14:paraId="2C693D80" w14:textId="77777777" w:rsidR="00AF4E38" w:rsidRPr="00A100A1" w:rsidRDefault="00AF4E38" w:rsidP="0008447E">
            <w:pPr>
              <w:jc w:val="center"/>
              <w:rPr>
                <w:rFonts w:ascii="Arial" w:hAnsi="Arial" w:cs="Arial"/>
                <w:color w:val="000000"/>
                <w:sz w:val="16"/>
                <w:szCs w:val="16"/>
              </w:rPr>
            </w:pPr>
            <w:r>
              <w:rPr>
                <w:rFonts w:ascii="Arial" w:hAnsi="Arial" w:cs="Arial"/>
                <w:color w:val="000000"/>
                <w:sz w:val="16"/>
                <w:szCs w:val="16"/>
              </w:rPr>
              <w:t>194</w:t>
            </w:r>
          </w:p>
        </w:tc>
        <w:tc>
          <w:tcPr>
            <w:tcW w:w="819" w:type="dxa"/>
            <w:tcBorders>
              <w:top w:val="nil"/>
              <w:left w:val="nil"/>
              <w:bottom w:val="single" w:sz="4" w:space="0" w:color="auto"/>
              <w:right w:val="single" w:sz="4" w:space="0" w:color="auto"/>
            </w:tcBorders>
            <w:shd w:val="clear" w:color="auto" w:fill="EAF1DD" w:themeFill="accent3" w:themeFillTint="33"/>
            <w:vAlign w:val="center"/>
          </w:tcPr>
          <w:p w14:paraId="5C692D11"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194</w:t>
            </w:r>
          </w:p>
        </w:tc>
        <w:tc>
          <w:tcPr>
            <w:tcW w:w="819" w:type="dxa"/>
            <w:tcBorders>
              <w:top w:val="nil"/>
              <w:left w:val="single" w:sz="4" w:space="0" w:color="auto"/>
              <w:bottom w:val="single" w:sz="4" w:space="0" w:color="auto"/>
              <w:right w:val="single" w:sz="4" w:space="0" w:color="auto"/>
            </w:tcBorders>
            <w:shd w:val="clear" w:color="000000" w:fill="FFFFFF"/>
            <w:vAlign w:val="center"/>
          </w:tcPr>
          <w:p w14:paraId="49F2CFA6"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182</w:t>
            </w:r>
          </w:p>
        </w:tc>
        <w:tc>
          <w:tcPr>
            <w:tcW w:w="971" w:type="dxa"/>
            <w:tcBorders>
              <w:top w:val="nil"/>
              <w:left w:val="nil"/>
              <w:bottom w:val="single" w:sz="4" w:space="0" w:color="auto"/>
              <w:right w:val="single" w:sz="4" w:space="0" w:color="auto"/>
            </w:tcBorders>
            <w:shd w:val="clear" w:color="000000" w:fill="EBF1DE"/>
            <w:vAlign w:val="center"/>
          </w:tcPr>
          <w:p w14:paraId="0314F16B"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46,97 %</w:t>
            </w:r>
          </w:p>
        </w:tc>
        <w:tc>
          <w:tcPr>
            <w:tcW w:w="993" w:type="dxa"/>
            <w:tcBorders>
              <w:top w:val="nil"/>
              <w:left w:val="nil"/>
              <w:bottom w:val="single" w:sz="4" w:space="0" w:color="auto"/>
              <w:right w:val="single" w:sz="4" w:space="0" w:color="auto"/>
            </w:tcBorders>
            <w:shd w:val="clear" w:color="auto" w:fill="auto"/>
            <w:vAlign w:val="center"/>
          </w:tcPr>
          <w:p w14:paraId="557E4EBE"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44,07 %</w:t>
            </w:r>
          </w:p>
        </w:tc>
      </w:tr>
      <w:tr w:rsidR="0008447E" w:rsidRPr="00A100A1" w14:paraId="0357AE0D" w14:textId="77777777" w:rsidTr="0008447E">
        <w:trPr>
          <w:trHeight w:val="1126"/>
        </w:trPr>
        <w:tc>
          <w:tcPr>
            <w:tcW w:w="682" w:type="dxa"/>
            <w:vMerge/>
            <w:tcBorders>
              <w:top w:val="single" w:sz="4" w:space="0" w:color="auto"/>
              <w:left w:val="single" w:sz="4" w:space="0" w:color="auto"/>
              <w:bottom w:val="single" w:sz="4" w:space="0" w:color="auto"/>
              <w:right w:val="single" w:sz="4" w:space="0" w:color="auto"/>
            </w:tcBorders>
            <w:vAlign w:val="center"/>
            <w:hideMark/>
          </w:tcPr>
          <w:p w14:paraId="2C57B7E3" w14:textId="77777777" w:rsidR="00AF4E38" w:rsidRPr="00A100A1" w:rsidRDefault="00AF4E38" w:rsidP="006F27DB">
            <w:pPr>
              <w:rPr>
                <w:rFonts w:ascii="Arial" w:hAnsi="Arial" w:cs="Arial"/>
                <w:color w:val="000000"/>
                <w:sz w:val="16"/>
                <w:szCs w:val="16"/>
              </w:rPr>
            </w:pPr>
          </w:p>
        </w:tc>
        <w:tc>
          <w:tcPr>
            <w:tcW w:w="1489" w:type="dxa"/>
            <w:tcBorders>
              <w:top w:val="nil"/>
              <w:left w:val="nil"/>
              <w:bottom w:val="single" w:sz="4" w:space="0" w:color="auto"/>
              <w:right w:val="single" w:sz="4" w:space="0" w:color="auto"/>
            </w:tcBorders>
            <w:shd w:val="clear" w:color="000000" w:fill="FFFFFF"/>
            <w:vAlign w:val="center"/>
            <w:hideMark/>
          </w:tcPr>
          <w:p w14:paraId="3C36393C" w14:textId="77777777" w:rsidR="00AF4E38" w:rsidRPr="00A100A1" w:rsidRDefault="00AF4E38" w:rsidP="006F27DB">
            <w:pPr>
              <w:rPr>
                <w:rFonts w:ascii="Arial" w:hAnsi="Arial" w:cs="Arial"/>
                <w:color w:val="000000"/>
                <w:sz w:val="16"/>
                <w:szCs w:val="16"/>
              </w:rPr>
            </w:pPr>
            <w:r w:rsidRPr="00A100A1">
              <w:rPr>
                <w:rFonts w:ascii="Arial" w:hAnsi="Arial" w:cs="Arial"/>
                <w:color w:val="000000"/>
                <w:sz w:val="16"/>
                <w:szCs w:val="16"/>
              </w:rPr>
              <w:t>Percento z celkovej výmery CHÚ, ktoré majú vypracované dokumenty starostlivosti</w:t>
            </w:r>
          </w:p>
        </w:tc>
        <w:tc>
          <w:tcPr>
            <w:tcW w:w="786" w:type="dxa"/>
            <w:tcBorders>
              <w:top w:val="nil"/>
              <w:left w:val="nil"/>
              <w:bottom w:val="single" w:sz="4" w:space="0" w:color="auto"/>
              <w:right w:val="single" w:sz="4" w:space="0" w:color="auto"/>
            </w:tcBorders>
            <w:shd w:val="clear" w:color="000000" w:fill="FFFFFF"/>
            <w:vAlign w:val="center"/>
            <w:hideMark/>
          </w:tcPr>
          <w:p w14:paraId="073E8E5D"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w:t>
            </w:r>
          </w:p>
        </w:tc>
        <w:tc>
          <w:tcPr>
            <w:tcW w:w="891" w:type="dxa"/>
            <w:tcBorders>
              <w:top w:val="single" w:sz="4" w:space="0" w:color="auto"/>
              <w:left w:val="nil"/>
              <w:bottom w:val="single" w:sz="4" w:space="0" w:color="auto"/>
              <w:right w:val="single" w:sz="4" w:space="0" w:color="auto"/>
            </w:tcBorders>
            <w:shd w:val="clear" w:color="000000" w:fill="FFFFFF"/>
            <w:vAlign w:val="center"/>
          </w:tcPr>
          <w:p w14:paraId="05E837EB"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1,00%</w:t>
            </w:r>
          </w:p>
        </w:tc>
        <w:tc>
          <w:tcPr>
            <w:tcW w:w="809" w:type="dxa"/>
            <w:tcBorders>
              <w:top w:val="nil"/>
              <w:left w:val="single" w:sz="4" w:space="0" w:color="auto"/>
              <w:bottom w:val="single" w:sz="4" w:space="0" w:color="auto"/>
              <w:right w:val="single" w:sz="4" w:space="0" w:color="auto"/>
            </w:tcBorders>
            <w:shd w:val="clear" w:color="000000" w:fill="FFFFFF"/>
            <w:vAlign w:val="center"/>
            <w:hideMark/>
          </w:tcPr>
          <w:p w14:paraId="38B5D357"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60,00 %</w:t>
            </w:r>
          </w:p>
        </w:tc>
        <w:tc>
          <w:tcPr>
            <w:tcW w:w="813" w:type="dxa"/>
            <w:tcBorders>
              <w:top w:val="nil"/>
              <w:left w:val="nil"/>
              <w:bottom w:val="single" w:sz="4" w:space="0" w:color="auto"/>
              <w:right w:val="single" w:sz="4" w:space="0" w:color="auto"/>
            </w:tcBorders>
            <w:shd w:val="clear" w:color="auto" w:fill="FFFFFF" w:themeFill="background1"/>
            <w:vAlign w:val="center"/>
          </w:tcPr>
          <w:p w14:paraId="32798773"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0,00 %</w:t>
            </w:r>
          </w:p>
        </w:tc>
        <w:tc>
          <w:tcPr>
            <w:tcW w:w="819" w:type="dxa"/>
            <w:tcBorders>
              <w:top w:val="nil"/>
              <w:left w:val="nil"/>
              <w:bottom w:val="single" w:sz="4" w:space="0" w:color="auto"/>
              <w:right w:val="single" w:sz="4" w:space="0" w:color="auto"/>
            </w:tcBorders>
            <w:shd w:val="clear" w:color="auto" w:fill="EAF1DD" w:themeFill="accent3" w:themeFillTint="33"/>
            <w:vAlign w:val="center"/>
          </w:tcPr>
          <w:p w14:paraId="7B4E0E41"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0,00 %</w:t>
            </w:r>
          </w:p>
        </w:tc>
        <w:tc>
          <w:tcPr>
            <w:tcW w:w="819" w:type="dxa"/>
            <w:tcBorders>
              <w:top w:val="nil"/>
              <w:left w:val="single" w:sz="4" w:space="0" w:color="auto"/>
              <w:bottom w:val="single" w:sz="4" w:space="0" w:color="auto"/>
              <w:right w:val="single" w:sz="4" w:space="0" w:color="auto"/>
            </w:tcBorders>
            <w:shd w:val="clear" w:color="auto" w:fill="FFFFFF" w:themeFill="background1"/>
            <w:vAlign w:val="center"/>
          </w:tcPr>
          <w:p w14:paraId="7C85DEC0"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118,21 %</w:t>
            </w:r>
          </w:p>
        </w:tc>
        <w:tc>
          <w:tcPr>
            <w:tcW w:w="971" w:type="dxa"/>
            <w:tcBorders>
              <w:top w:val="nil"/>
              <w:left w:val="nil"/>
              <w:bottom w:val="single" w:sz="4" w:space="0" w:color="auto"/>
              <w:right w:val="single" w:sz="4" w:space="0" w:color="auto"/>
            </w:tcBorders>
            <w:shd w:val="clear" w:color="auto" w:fill="EAF1DD" w:themeFill="accent3" w:themeFillTint="33"/>
            <w:vAlign w:val="center"/>
          </w:tcPr>
          <w:p w14:paraId="36BF77CB"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0,00 %</w:t>
            </w:r>
          </w:p>
        </w:tc>
        <w:tc>
          <w:tcPr>
            <w:tcW w:w="993" w:type="dxa"/>
            <w:tcBorders>
              <w:top w:val="nil"/>
              <w:left w:val="nil"/>
              <w:bottom w:val="single" w:sz="4" w:space="0" w:color="auto"/>
              <w:right w:val="single" w:sz="4" w:space="0" w:color="auto"/>
            </w:tcBorders>
            <w:shd w:val="clear" w:color="auto" w:fill="FFFFFF" w:themeFill="background1"/>
            <w:vAlign w:val="center"/>
          </w:tcPr>
          <w:p w14:paraId="6A636CF4"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200,36 %</w:t>
            </w:r>
          </w:p>
        </w:tc>
      </w:tr>
      <w:tr w:rsidR="0008447E" w:rsidRPr="00A100A1" w14:paraId="6909A92C" w14:textId="77777777" w:rsidTr="0008447E">
        <w:trPr>
          <w:trHeight w:val="675"/>
        </w:trPr>
        <w:tc>
          <w:tcPr>
            <w:tcW w:w="682" w:type="dxa"/>
            <w:vMerge/>
            <w:tcBorders>
              <w:top w:val="single" w:sz="4" w:space="0" w:color="auto"/>
              <w:left w:val="single" w:sz="4" w:space="0" w:color="auto"/>
              <w:bottom w:val="single" w:sz="4" w:space="0" w:color="auto"/>
              <w:right w:val="single" w:sz="4" w:space="0" w:color="auto"/>
            </w:tcBorders>
            <w:vAlign w:val="center"/>
            <w:hideMark/>
          </w:tcPr>
          <w:p w14:paraId="55BCE14B" w14:textId="77777777" w:rsidR="00AF4E38" w:rsidRPr="00A100A1" w:rsidRDefault="00AF4E38" w:rsidP="006F27DB">
            <w:pPr>
              <w:rPr>
                <w:rFonts w:ascii="Arial" w:hAnsi="Arial" w:cs="Arial"/>
                <w:color w:val="000000"/>
                <w:sz w:val="16"/>
                <w:szCs w:val="16"/>
              </w:rPr>
            </w:pPr>
          </w:p>
        </w:tc>
        <w:tc>
          <w:tcPr>
            <w:tcW w:w="1489" w:type="dxa"/>
            <w:tcBorders>
              <w:top w:val="nil"/>
              <w:left w:val="nil"/>
              <w:bottom w:val="single" w:sz="4" w:space="0" w:color="auto"/>
              <w:right w:val="single" w:sz="4" w:space="0" w:color="auto"/>
            </w:tcBorders>
            <w:shd w:val="clear" w:color="000000" w:fill="FFFFFF"/>
            <w:vAlign w:val="center"/>
            <w:hideMark/>
          </w:tcPr>
          <w:p w14:paraId="4A1BD968" w14:textId="77777777" w:rsidR="00AF4E38" w:rsidRPr="00A100A1" w:rsidRDefault="00AF4E38" w:rsidP="006F27DB">
            <w:pPr>
              <w:rPr>
                <w:rFonts w:ascii="Arial" w:hAnsi="Arial" w:cs="Arial"/>
                <w:color w:val="000000"/>
                <w:sz w:val="16"/>
                <w:szCs w:val="16"/>
              </w:rPr>
            </w:pPr>
            <w:r w:rsidRPr="00A100A1">
              <w:rPr>
                <w:rFonts w:ascii="Arial" w:hAnsi="Arial" w:cs="Arial"/>
                <w:color w:val="000000"/>
                <w:sz w:val="16"/>
                <w:szCs w:val="16"/>
              </w:rPr>
              <w:t>Počet realizovaných dokumentov starostlivosti o územia</w:t>
            </w:r>
          </w:p>
        </w:tc>
        <w:tc>
          <w:tcPr>
            <w:tcW w:w="786" w:type="dxa"/>
            <w:tcBorders>
              <w:top w:val="nil"/>
              <w:left w:val="nil"/>
              <w:bottom w:val="single" w:sz="4" w:space="0" w:color="auto"/>
              <w:right w:val="single" w:sz="4" w:space="0" w:color="auto"/>
            </w:tcBorders>
            <w:shd w:val="clear" w:color="000000" w:fill="FFFFFF"/>
            <w:vAlign w:val="center"/>
            <w:hideMark/>
          </w:tcPr>
          <w:p w14:paraId="2970387C"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počet</w:t>
            </w:r>
          </w:p>
        </w:tc>
        <w:tc>
          <w:tcPr>
            <w:tcW w:w="891" w:type="dxa"/>
            <w:tcBorders>
              <w:top w:val="single" w:sz="4" w:space="0" w:color="auto"/>
              <w:left w:val="nil"/>
              <w:bottom w:val="single" w:sz="4" w:space="0" w:color="auto"/>
              <w:right w:val="single" w:sz="4" w:space="0" w:color="auto"/>
            </w:tcBorders>
            <w:shd w:val="clear" w:color="000000" w:fill="FFFFFF"/>
            <w:vAlign w:val="center"/>
          </w:tcPr>
          <w:p w14:paraId="5133AE62"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7</w:t>
            </w:r>
          </w:p>
        </w:tc>
        <w:tc>
          <w:tcPr>
            <w:tcW w:w="809" w:type="dxa"/>
            <w:tcBorders>
              <w:top w:val="nil"/>
              <w:left w:val="single" w:sz="4" w:space="0" w:color="auto"/>
              <w:bottom w:val="single" w:sz="4" w:space="0" w:color="auto"/>
              <w:right w:val="single" w:sz="4" w:space="0" w:color="auto"/>
            </w:tcBorders>
            <w:shd w:val="clear" w:color="000000" w:fill="FFFFFF"/>
            <w:vAlign w:val="center"/>
            <w:hideMark/>
          </w:tcPr>
          <w:p w14:paraId="46B5CE6D"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280</w:t>
            </w:r>
          </w:p>
        </w:tc>
        <w:tc>
          <w:tcPr>
            <w:tcW w:w="813" w:type="dxa"/>
            <w:tcBorders>
              <w:top w:val="nil"/>
              <w:left w:val="nil"/>
              <w:bottom w:val="single" w:sz="4" w:space="0" w:color="auto"/>
              <w:right w:val="single" w:sz="4" w:space="0" w:color="auto"/>
            </w:tcBorders>
            <w:shd w:val="clear" w:color="auto" w:fill="FFFFFF" w:themeFill="background1"/>
            <w:vAlign w:val="center"/>
          </w:tcPr>
          <w:p w14:paraId="47BD09DB" w14:textId="77777777" w:rsidR="00AF4E38" w:rsidRPr="00A100A1" w:rsidRDefault="00AF4E38" w:rsidP="0008447E">
            <w:pPr>
              <w:jc w:val="center"/>
              <w:rPr>
                <w:rFonts w:ascii="Arial" w:hAnsi="Arial" w:cs="Arial"/>
                <w:color w:val="000000"/>
                <w:sz w:val="16"/>
                <w:szCs w:val="16"/>
              </w:rPr>
            </w:pPr>
            <w:r>
              <w:rPr>
                <w:rFonts w:ascii="Arial" w:hAnsi="Arial" w:cs="Arial"/>
                <w:color w:val="000000"/>
                <w:sz w:val="16"/>
                <w:szCs w:val="16"/>
              </w:rPr>
              <w:t>6</w:t>
            </w:r>
          </w:p>
        </w:tc>
        <w:tc>
          <w:tcPr>
            <w:tcW w:w="819" w:type="dxa"/>
            <w:tcBorders>
              <w:top w:val="nil"/>
              <w:left w:val="nil"/>
              <w:bottom w:val="single" w:sz="4" w:space="0" w:color="auto"/>
              <w:right w:val="single" w:sz="4" w:space="0" w:color="auto"/>
            </w:tcBorders>
            <w:shd w:val="clear" w:color="auto" w:fill="EAF1DD" w:themeFill="accent3" w:themeFillTint="33"/>
            <w:vAlign w:val="center"/>
          </w:tcPr>
          <w:p w14:paraId="3A3003BB"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54</w:t>
            </w:r>
          </w:p>
        </w:tc>
        <w:tc>
          <w:tcPr>
            <w:tcW w:w="819" w:type="dxa"/>
            <w:tcBorders>
              <w:top w:val="nil"/>
              <w:left w:val="single" w:sz="4" w:space="0" w:color="auto"/>
              <w:bottom w:val="single" w:sz="4" w:space="0" w:color="auto"/>
              <w:right w:val="single" w:sz="4" w:space="0" w:color="auto"/>
            </w:tcBorders>
            <w:shd w:val="clear" w:color="000000" w:fill="FFFFFF"/>
            <w:vAlign w:val="center"/>
          </w:tcPr>
          <w:p w14:paraId="5F0BE95C"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54</w:t>
            </w:r>
          </w:p>
        </w:tc>
        <w:tc>
          <w:tcPr>
            <w:tcW w:w="971" w:type="dxa"/>
            <w:tcBorders>
              <w:top w:val="nil"/>
              <w:left w:val="nil"/>
              <w:bottom w:val="single" w:sz="4" w:space="0" w:color="auto"/>
              <w:right w:val="single" w:sz="4" w:space="0" w:color="auto"/>
            </w:tcBorders>
            <w:shd w:val="clear" w:color="000000" w:fill="EBF1DE"/>
            <w:vAlign w:val="center"/>
          </w:tcPr>
          <w:p w14:paraId="670452C0"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19,78 %</w:t>
            </w:r>
          </w:p>
        </w:tc>
        <w:tc>
          <w:tcPr>
            <w:tcW w:w="993" w:type="dxa"/>
            <w:tcBorders>
              <w:top w:val="nil"/>
              <w:left w:val="nil"/>
              <w:bottom w:val="single" w:sz="4" w:space="0" w:color="auto"/>
              <w:right w:val="single" w:sz="4" w:space="0" w:color="auto"/>
            </w:tcBorders>
            <w:shd w:val="clear" w:color="auto" w:fill="auto"/>
            <w:vAlign w:val="center"/>
          </w:tcPr>
          <w:p w14:paraId="2BE771E8"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19,78 %</w:t>
            </w:r>
          </w:p>
        </w:tc>
      </w:tr>
      <w:tr w:rsidR="0008447E" w:rsidRPr="00A100A1" w14:paraId="31EF2995" w14:textId="77777777" w:rsidTr="0008447E">
        <w:trPr>
          <w:trHeight w:val="1126"/>
        </w:trPr>
        <w:tc>
          <w:tcPr>
            <w:tcW w:w="682" w:type="dxa"/>
            <w:vMerge/>
            <w:tcBorders>
              <w:top w:val="single" w:sz="4" w:space="0" w:color="auto"/>
              <w:left w:val="single" w:sz="4" w:space="0" w:color="auto"/>
              <w:bottom w:val="single" w:sz="4" w:space="0" w:color="auto"/>
              <w:right w:val="single" w:sz="4" w:space="0" w:color="auto"/>
            </w:tcBorders>
            <w:vAlign w:val="center"/>
            <w:hideMark/>
          </w:tcPr>
          <w:p w14:paraId="32ABD94C" w14:textId="77777777" w:rsidR="00AF4E38" w:rsidRPr="00A100A1" w:rsidRDefault="00AF4E38" w:rsidP="006F27DB">
            <w:pPr>
              <w:rPr>
                <w:rFonts w:ascii="Arial" w:hAnsi="Arial" w:cs="Arial"/>
                <w:color w:val="000000"/>
                <w:sz w:val="16"/>
                <w:szCs w:val="16"/>
              </w:rPr>
            </w:pPr>
          </w:p>
        </w:tc>
        <w:tc>
          <w:tcPr>
            <w:tcW w:w="1489" w:type="dxa"/>
            <w:tcBorders>
              <w:top w:val="nil"/>
              <w:left w:val="nil"/>
              <w:bottom w:val="single" w:sz="4" w:space="0" w:color="auto"/>
              <w:right w:val="single" w:sz="4" w:space="0" w:color="auto"/>
            </w:tcBorders>
            <w:shd w:val="clear" w:color="000000" w:fill="FFFFFF"/>
            <w:vAlign w:val="center"/>
            <w:hideMark/>
          </w:tcPr>
          <w:p w14:paraId="05BC0A0F" w14:textId="77777777" w:rsidR="00AF4E38" w:rsidRPr="00A100A1" w:rsidRDefault="00AF4E38" w:rsidP="006F27DB">
            <w:pPr>
              <w:rPr>
                <w:rFonts w:ascii="Arial" w:hAnsi="Arial" w:cs="Arial"/>
                <w:color w:val="000000"/>
                <w:sz w:val="16"/>
                <w:szCs w:val="16"/>
              </w:rPr>
            </w:pPr>
            <w:r w:rsidRPr="00A100A1">
              <w:rPr>
                <w:rFonts w:ascii="Arial" w:hAnsi="Arial" w:cs="Arial"/>
                <w:color w:val="000000"/>
                <w:sz w:val="16"/>
                <w:szCs w:val="16"/>
              </w:rPr>
              <w:t>Počet chránených druhov, ktoré majú vypracované dokumenty starostlivosti</w:t>
            </w:r>
          </w:p>
        </w:tc>
        <w:tc>
          <w:tcPr>
            <w:tcW w:w="786" w:type="dxa"/>
            <w:tcBorders>
              <w:top w:val="nil"/>
              <w:left w:val="nil"/>
              <w:bottom w:val="single" w:sz="4" w:space="0" w:color="auto"/>
              <w:right w:val="single" w:sz="4" w:space="0" w:color="auto"/>
            </w:tcBorders>
            <w:shd w:val="clear" w:color="000000" w:fill="FFFFFF"/>
            <w:vAlign w:val="center"/>
            <w:hideMark/>
          </w:tcPr>
          <w:p w14:paraId="19DAA5F0"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počet</w:t>
            </w:r>
          </w:p>
        </w:tc>
        <w:tc>
          <w:tcPr>
            <w:tcW w:w="891" w:type="dxa"/>
            <w:tcBorders>
              <w:top w:val="single" w:sz="4" w:space="0" w:color="auto"/>
              <w:left w:val="nil"/>
              <w:bottom w:val="single" w:sz="4" w:space="0" w:color="auto"/>
              <w:right w:val="single" w:sz="4" w:space="0" w:color="auto"/>
            </w:tcBorders>
            <w:shd w:val="clear" w:color="000000" w:fill="FFFFFF"/>
            <w:vAlign w:val="center"/>
          </w:tcPr>
          <w:p w14:paraId="741C9C69"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15</w:t>
            </w:r>
          </w:p>
        </w:tc>
        <w:tc>
          <w:tcPr>
            <w:tcW w:w="809" w:type="dxa"/>
            <w:tcBorders>
              <w:top w:val="nil"/>
              <w:left w:val="single" w:sz="4" w:space="0" w:color="auto"/>
              <w:bottom w:val="single" w:sz="4" w:space="0" w:color="auto"/>
              <w:right w:val="single" w:sz="4" w:space="0" w:color="auto"/>
            </w:tcBorders>
            <w:shd w:val="clear" w:color="000000" w:fill="FFFFFF"/>
            <w:vAlign w:val="center"/>
            <w:hideMark/>
          </w:tcPr>
          <w:p w14:paraId="08A95924"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35</w:t>
            </w:r>
          </w:p>
        </w:tc>
        <w:tc>
          <w:tcPr>
            <w:tcW w:w="813" w:type="dxa"/>
            <w:tcBorders>
              <w:top w:val="nil"/>
              <w:left w:val="nil"/>
              <w:bottom w:val="single" w:sz="4" w:space="0" w:color="auto"/>
              <w:right w:val="single" w:sz="4" w:space="0" w:color="auto"/>
            </w:tcBorders>
            <w:shd w:val="clear" w:color="auto" w:fill="FFFFFF" w:themeFill="background1"/>
            <w:vAlign w:val="center"/>
          </w:tcPr>
          <w:p w14:paraId="63CD6A41"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0</w:t>
            </w:r>
          </w:p>
        </w:tc>
        <w:tc>
          <w:tcPr>
            <w:tcW w:w="819" w:type="dxa"/>
            <w:tcBorders>
              <w:top w:val="nil"/>
              <w:left w:val="nil"/>
              <w:bottom w:val="single" w:sz="4" w:space="0" w:color="auto"/>
              <w:right w:val="single" w:sz="4" w:space="0" w:color="auto"/>
            </w:tcBorders>
            <w:shd w:val="clear" w:color="auto" w:fill="EAF1DD" w:themeFill="accent3" w:themeFillTint="33"/>
            <w:vAlign w:val="center"/>
          </w:tcPr>
          <w:p w14:paraId="5A7237F2"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0</w:t>
            </w:r>
          </w:p>
        </w:tc>
        <w:tc>
          <w:tcPr>
            <w:tcW w:w="819" w:type="dxa"/>
            <w:tcBorders>
              <w:top w:val="nil"/>
              <w:left w:val="single" w:sz="4" w:space="0" w:color="auto"/>
              <w:bottom w:val="single" w:sz="4" w:space="0" w:color="auto"/>
              <w:right w:val="single" w:sz="4" w:space="0" w:color="auto"/>
            </w:tcBorders>
            <w:shd w:val="clear" w:color="000000" w:fill="FFFFFF"/>
            <w:vAlign w:val="center"/>
          </w:tcPr>
          <w:p w14:paraId="6AD9342D"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84</w:t>
            </w:r>
          </w:p>
        </w:tc>
        <w:tc>
          <w:tcPr>
            <w:tcW w:w="971" w:type="dxa"/>
            <w:tcBorders>
              <w:top w:val="nil"/>
              <w:left w:val="nil"/>
              <w:bottom w:val="single" w:sz="4" w:space="0" w:color="auto"/>
              <w:right w:val="single" w:sz="4" w:space="0" w:color="auto"/>
            </w:tcBorders>
            <w:shd w:val="clear" w:color="000000" w:fill="EBF1DE"/>
            <w:vAlign w:val="center"/>
          </w:tcPr>
          <w:p w14:paraId="29B38674"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0,00 %</w:t>
            </w:r>
          </w:p>
        </w:tc>
        <w:tc>
          <w:tcPr>
            <w:tcW w:w="993" w:type="dxa"/>
            <w:tcBorders>
              <w:top w:val="nil"/>
              <w:left w:val="nil"/>
              <w:bottom w:val="single" w:sz="4" w:space="0" w:color="auto"/>
              <w:right w:val="single" w:sz="4" w:space="0" w:color="auto"/>
            </w:tcBorders>
            <w:shd w:val="clear" w:color="auto" w:fill="auto"/>
            <w:vAlign w:val="center"/>
          </w:tcPr>
          <w:p w14:paraId="6739DD64"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420,00 %</w:t>
            </w:r>
          </w:p>
        </w:tc>
      </w:tr>
      <w:tr w:rsidR="0008447E" w:rsidRPr="00A100A1" w14:paraId="1B289073" w14:textId="77777777" w:rsidTr="0008447E">
        <w:trPr>
          <w:trHeight w:val="1351"/>
        </w:trPr>
        <w:tc>
          <w:tcPr>
            <w:tcW w:w="682" w:type="dxa"/>
            <w:vMerge w:val="restart"/>
            <w:tcBorders>
              <w:top w:val="nil"/>
              <w:left w:val="single" w:sz="4" w:space="0" w:color="auto"/>
              <w:bottom w:val="single" w:sz="4" w:space="0" w:color="auto"/>
              <w:right w:val="single" w:sz="4" w:space="0" w:color="auto"/>
            </w:tcBorders>
            <w:shd w:val="clear" w:color="000000" w:fill="FFFFFF"/>
            <w:vAlign w:val="center"/>
            <w:hideMark/>
          </w:tcPr>
          <w:p w14:paraId="3F1B1451"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lastRenderedPageBreak/>
              <w:t>5.2</w:t>
            </w:r>
          </w:p>
        </w:tc>
        <w:tc>
          <w:tcPr>
            <w:tcW w:w="1489" w:type="dxa"/>
            <w:tcBorders>
              <w:top w:val="nil"/>
              <w:left w:val="nil"/>
              <w:bottom w:val="single" w:sz="4" w:space="0" w:color="auto"/>
              <w:right w:val="single" w:sz="4" w:space="0" w:color="auto"/>
            </w:tcBorders>
            <w:shd w:val="clear" w:color="000000" w:fill="FFFFFF"/>
            <w:vAlign w:val="center"/>
            <w:hideMark/>
          </w:tcPr>
          <w:p w14:paraId="0CE74371" w14:textId="77777777" w:rsidR="00AF4E38" w:rsidRPr="00A100A1" w:rsidRDefault="00AF4E38" w:rsidP="006F27DB">
            <w:pPr>
              <w:rPr>
                <w:rFonts w:ascii="Arial" w:hAnsi="Arial" w:cs="Arial"/>
                <w:color w:val="000000"/>
                <w:sz w:val="16"/>
                <w:szCs w:val="16"/>
              </w:rPr>
            </w:pPr>
            <w:r w:rsidRPr="00A100A1">
              <w:rPr>
                <w:rFonts w:ascii="Arial" w:hAnsi="Arial" w:cs="Arial"/>
                <w:color w:val="000000"/>
                <w:sz w:val="16"/>
                <w:szCs w:val="16"/>
              </w:rPr>
              <w:t>Počet vybudovaných alebo zrekonštruovaných zariadení pre účely ochrany prírody a krajiny</w:t>
            </w:r>
          </w:p>
        </w:tc>
        <w:tc>
          <w:tcPr>
            <w:tcW w:w="786" w:type="dxa"/>
            <w:tcBorders>
              <w:top w:val="nil"/>
              <w:left w:val="nil"/>
              <w:bottom w:val="single" w:sz="4" w:space="0" w:color="auto"/>
              <w:right w:val="single" w:sz="4" w:space="0" w:color="auto"/>
            </w:tcBorders>
            <w:shd w:val="clear" w:color="000000" w:fill="FFFFFF"/>
            <w:vAlign w:val="center"/>
            <w:hideMark/>
          </w:tcPr>
          <w:p w14:paraId="1F12FBA0"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počet</w:t>
            </w:r>
          </w:p>
        </w:tc>
        <w:tc>
          <w:tcPr>
            <w:tcW w:w="891" w:type="dxa"/>
            <w:tcBorders>
              <w:top w:val="single" w:sz="4" w:space="0" w:color="auto"/>
              <w:left w:val="nil"/>
              <w:bottom w:val="single" w:sz="4" w:space="0" w:color="auto"/>
              <w:right w:val="single" w:sz="4" w:space="0" w:color="auto"/>
            </w:tcBorders>
            <w:shd w:val="clear" w:color="000000" w:fill="FFFFFF"/>
            <w:vAlign w:val="center"/>
          </w:tcPr>
          <w:p w14:paraId="364BFE18"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23</w:t>
            </w:r>
          </w:p>
        </w:tc>
        <w:tc>
          <w:tcPr>
            <w:tcW w:w="809" w:type="dxa"/>
            <w:tcBorders>
              <w:top w:val="nil"/>
              <w:left w:val="single" w:sz="4" w:space="0" w:color="auto"/>
              <w:bottom w:val="single" w:sz="4" w:space="0" w:color="auto"/>
              <w:right w:val="single" w:sz="4" w:space="0" w:color="auto"/>
            </w:tcBorders>
            <w:shd w:val="clear" w:color="000000" w:fill="FFFFFF"/>
            <w:vAlign w:val="center"/>
            <w:hideMark/>
          </w:tcPr>
          <w:p w14:paraId="1C5FB7D0"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62</w:t>
            </w:r>
          </w:p>
        </w:tc>
        <w:tc>
          <w:tcPr>
            <w:tcW w:w="813" w:type="dxa"/>
            <w:tcBorders>
              <w:top w:val="nil"/>
              <w:left w:val="nil"/>
              <w:bottom w:val="single" w:sz="4" w:space="0" w:color="auto"/>
              <w:right w:val="single" w:sz="4" w:space="0" w:color="auto"/>
            </w:tcBorders>
            <w:shd w:val="clear" w:color="auto" w:fill="FFFFFF" w:themeFill="background1"/>
            <w:vAlign w:val="center"/>
          </w:tcPr>
          <w:p w14:paraId="1F1B58EB" w14:textId="77777777" w:rsidR="00AF4E38" w:rsidRPr="00A100A1" w:rsidRDefault="00AF4E38" w:rsidP="0008447E">
            <w:pPr>
              <w:jc w:val="center"/>
              <w:rPr>
                <w:rFonts w:ascii="Arial" w:hAnsi="Arial" w:cs="Arial"/>
                <w:color w:val="000000"/>
                <w:sz w:val="16"/>
                <w:szCs w:val="16"/>
              </w:rPr>
            </w:pPr>
            <w:r>
              <w:rPr>
                <w:rFonts w:ascii="Arial" w:hAnsi="Arial" w:cs="Arial"/>
                <w:color w:val="000000"/>
                <w:sz w:val="16"/>
                <w:szCs w:val="16"/>
              </w:rPr>
              <w:t>82</w:t>
            </w:r>
          </w:p>
        </w:tc>
        <w:tc>
          <w:tcPr>
            <w:tcW w:w="819" w:type="dxa"/>
            <w:tcBorders>
              <w:top w:val="nil"/>
              <w:left w:val="nil"/>
              <w:bottom w:val="single" w:sz="4" w:space="0" w:color="auto"/>
              <w:right w:val="single" w:sz="4" w:space="0" w:color="auto"/>
            </w:tcBorders>
            <w:shd w:val="clear" w:color="auto" w:fill="EAF1DD" w:themeFill="accent3" w:themeFillTint="33"/>
            <w:vAlign w:val="center"/>
          </w:tcPr>
          <w:p w14:paraId="772EE53E"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90</w:t>
            </w:r>
          </w:p>
        </w:tc>
        <w:tc>
          <w:tcPr>
            <w:tcW w:w="819" w:type="dxa"/>
            <w:tcBorders>
              <w:top w:val="nil"/>
              <w:left w:val="single" w:sz="4" w:space="0" w:color="auto"/>
              <w:bottom w:val="single" w:sz="4" w:space="0" w:color="auto"/>
              <w:right w:val="single" w:sz="4" w:space="0" w:color="auto"/>
            </w:tcBorders>
            <w:shd w:val="clear" w:color="000000" w:fill="FFFFFF"/>
            <w:vAlign w:val="center"/>
          </w:tcPr>
          <w:p w14:paraId="5D1D6C5D"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88</w:t>
            </w:r>
          </w:p>
        </w:tc>
        <w:tc>
          <w:tcPr>
            <w:tcW w:w="971" w:type="dxa"/>
            <w:tcBorders>
              <w:top w:val="nil"/>
              <w:left w:val="nil"/>
              <w:bottom w:val="single" w:sz="4" w:space="0" w:color="auto"/>
              <w:right w:val="single" w:sz="4" w:space="0" w:color="auto"/>
            </w:tcBorders>
            <w:shd w:val="clear" w:color="000000" w:fill="EBF1DE"/>
            <w:vAlign w:val="center"/>
          </w:tcPr>
          <w:p w14:paraId="4CD31AE7"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230,77 %</w:t>
            </w:r>
          </w:p>
        </w:tc>
        <w:tc>
          <w:tcPr>
            <w:tcW w:w="993" w:type="dxa"/>
            <w:tcBorders>
              <w:top w:val="nil"/>
              <w:left w:val="nil"/>
              <w:bottom w:val="single" w:sz="4" w:space="0" w:color="auto"/>
              <w:right w:val="single" w:sz="4" w:space="0" w:color="auto"/>
            </w:tcBorders>
            <w:shd w:val="clear" w:color="auto" w:fill="auto"/>
            <w:vAlign w:val="center"/>
          </w:tcPr>
          <w:p w14:paraId="59BBF811"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225,64 %</w:t>
            </w:r>
          </w:p>
        </w:tc>
      </w:tr>
      <w:tr w:rsidR="0008447E" w:rsidRPr="00A100A1" w14:paraId="71DD9FC6" w14:textId="77777777" w:rsidTr="0008447E">
        <w:trPr>
          <w:trHeight w:val="1351"/>
        </w:trPr>
        <w:tc>
          <w:tcPr>
            <w:tcW w:w="682" w:type="dxa"/>
            <w:vMerge/>
            <w:tcBorders>
              <w:top w:val="nil"/>
              <w:left w:val="single" w:sz="4" w:space="0" w:color="auto"/>
              <w:bottom w:val="single" w:sz="4" w:space="0" w:color="auto"/>
              <w:right w:val="single" w:sz="4" w:space="0" w:color="auto"/>
            </w:tcBorders>
            <w:vAlign w:val="center"/>
            <w:hideMark/>
          </w:tcPr>
          <w:p w14:paraId="7E3A514F" w14:textId="77777777" w:rsidR="00AF4E38" w:rsidRPr="00A100A1" w:rsidRDefault="00AF4E38" w:rsidP="006F27DB">
            <w:pPr>
              <w:rPr>
                <w:rFonts w:ascii="Arial" w:hAnsi="Arial" w:cs="Arial"/>
                <w:color w:val="000000"/>
                <w:sz w:val="16"/>
                <w:szCs w:val="16"/>
              </w:rPr>
            </w:pPr>
          </w:p>
        </w:tc>
        <w:tc>
          <w:tcPr>
            <w:tcW w:w="1489" w:type="dxa"/>
            <w:tcBorders>
              <w:top w:val="single" w:sz="4" w:space="0" w:color="auto"/>
              <w:left w:val="nil"/>
              <w:bottom w:val="single" w:sz="4" w:space="0" w:color="auto"/>
              <w:right w:val="single" w:sz="4" w:space="0" w:color="auto"/>
            </w:tcBorders>
            <w:shd w:val="clear" w:color="000000" w:fill="FFFFFF"/>
            <w:vAlign w:val="center"/>
            <w:hideMark/>
          </w:tcPr>
          <w:p w14:paraId="1E4E331F" w14:textId="77777777" w:rsidR="00AF4E38" w:rsidRPr="00A100A1" w:rsidRDefault="00AF4E38" w:rsidP="006F27DB">
            <w:pPr>
              <w:rPr>
                <w:rFonts w:ascii="Arial" w:hAnsi="Arial" w:cs="Arial"/>
                <w:color w:val="000000"/>
                <w:sz w:val="16"/>
                <w:szCs w:val="16"/>
              </w:rPr>
            </w:pPr>
            <w:r w:rsidRPr="00A100A1">
              <w:rPr>
                <w:rFonts w:ascii="Arial" w:hAnsi="Arial" w:cs="Arial"/>
                <w:color w:val="000000"/>
                <w:sz w:val="16"/>
                <w:szCs w:val="16"/>
              </w:rPr>
              <w:t>Percento z celkového počtu chránených území, pre ktoré boli vybudované alebo zrekonštruované zariadenia</w:t>
            </w:r>
          </w:p>
        </w:tc>
        <w:tc>
          <w:tcPr>
            <w:tcW w:w="786" w:type="dxa"/>
            <w:tcBorders>
              <w:top w:val="single" w:sz="4" w:space="0" w:color="auto"/>
              <w:left w:val="nil"/>
              <w:bottom w:val="single" w:sz="4" w:space="0" w:color="auto"/>
              <w:right w:val="single" w:sz="4" w:space="0" w:color="auto"/>
            </w:tcBorders>
            <w:shd w:val="clear" w:color="000000" w:fill="FFFFFF"/>
            <w:vAlign w:val="center"/>
            <w:hideMark/>
          </w:tcPr>
          <w:p w14:paraId="390BE3A2"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w:t>
            </w:r>
          </w:p>
        </w:tc>
        <w:tc>
          <w:tcPr>
            <w:tcW w:w="891" w:type="dxa"/>
            <w:tcBorders>
              <w:top w:val="single" w:sz="4" w:space="0" w:color="auto"/>
              <w:left w:val="nil"/>
              <w:bottom w:val="single" w:sz="4" w:space="0" w:color="auto"/>
              <w:right w:val="single" w:sz="4" w:space="0" w:color="auto"/>
            </w:tcBorders>
            <w:shd w:val="clear" w:color="000000" w:fill="FFFFFF"/>
            <w:vAlign w:val="center"/>
          </w:tcPr>
          <w:p w14:paraId="1828A09C"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20,00%</w:t>
            </w:r>
          </w:p>
        </w:tc>
        <w:tc>
          <w:tcPr>
            <w:tcW w:w="8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9A64395"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80,00 %</w:t>
            </w:r>
          </w:p>
        </w:tc>
        <w:tc>
          <w:tcPr>
            <w:tcW w:w="813" w:type="dxa"/>
            <w:tcBorders>
              <w:top w:val="single" w:sz="4" w:space="0" w:color="auto"/>
              <w:left w:val="nil"/>
              <w:bottom w:val="single" w:sz="4" w:space="0" w:color="auto"/>
              <w:right w:val="single" w:sz="4" w:space="0" w:color="auto"/>
            </w:tcBorders>
            <w:shd w:val="clear" w:color="auto" w:fill="FFFFFF" w:themeFill="background1"/>
            <w:vAlign w:val="center"/>
          </w:tcPr>
          <w:p w14:paraId="2A7B8CD6"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4,35</w:t>
            </w:r>
          </w:p>
        </w:tc>
        <w:tc>
          <w:tcPr>
            <w:tcW w:w="819" w:type="dxa"/>
            <w:tcBorders>
              <w:top w:val="single" w:sz="4" w:space="0" w:color="auto"/>
              <w:left w:val="nil"/>
              <w:bottom w:val="single" w:sz="4" w:space="0" w:color="auto"/>
              <w:right w:val="single" w:sz="4" w:space="0" w:color="auto"/>
            </w:tcBorders>
            <w:shd w:val="clear" w:color="auto" w:fill="EAF1DD" w:themeFill="accent3" w:themeFillTint="33"/>
            <w:vAlign w:val="center"/>
          </w:tcPr>
          <w:p w14:paraId="60D6C22F"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4,35</w:t>
            </w:r>
          </w:p>
        </w:tc>
        <w:tc>
          <w:tcPr>
            <w:tcW w:w="8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E47A1D"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26,09 %</w:t>
            </w:r>
          </w:p>
        </w:tc>
        <w:tc>
          <w:tcPr>
            <w:tcW w:w="971" w:type="dxa"/>
            <w:tcBorders>
              <w:top w:val="single" w:sz="4" w:space="0" w:color="auto"/>
              <w:left w:val="nil"/>
              <w:bottom w:val="single" w:sz="4" w:space="0" w:color="auto"/>
              <w:right w:val="single" w:sz="4" w:space="0" w:color="auto"/>
            </w:tcBorders>
            <w:shd w:val="clear" w:color="auto" w:fill="EAF1DD" w:themeFill="accent3" w:themeFillTint="33"/>
            <w:vAlign w:val="center"/>
          </w:tcPr>
          <w:p w14:paraId="3D2D79BC"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7,25 %</w:t>
            </w:r>
          </w:p>
        </w:tc>
        <w:tc>
          <w:tcPr>
            <w:tcW w:w="993" w:type="dxa"/>
            <w:tcBorders>
              <w:top w:val="single" w:sz="4" w:space="0" w:color="auto"/>
              <w:left w:val="nil"/>
              <w:bottom w:val="single" w:sz="4" w:space="0" w:color="auto"/>
              <w:right w:val="single" w:sz="4" w:space="0" w:color="auto"/>
            </w:tcBorders>
            <w:shd w:val="clear" w:color="auto" w:fill="FFFFFF" w:themeFill="background1"/>
            <w:vAlign w:val="center"/>
          </w:tcPr>
          <w:p w14:paraId="14A3FAEA"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4,35 %</w:t>
            </w:r>
          </w:p>
        </w:tc>
      </w:tr>
      <w:tr w:rsidR="0008447E" w:rsidRPr="00A100A1" w14:paraId="0172E33A" w14:textId="77777777" w:rsidTr="0008447E">
        <w:trPr>
          <w:trHeight w:val="1801"/>
        </w:trPr>
        <w:tc>
          <w:tcPr>
            <w:tcW w:w="682" w:type="dxa"/>
            <w:vMerge w:val="restart"/>
            <w:tcBorders>
              <w:top w:val="nil"/>
              <w:left w:val="single" w:sz="4" w:space="0" w:color="auto"/>
              <w:bottom w:val="single" w:sz="4" w:space="0" w:color="auto"/>
              <w:right w:val="single" w:sz="4" w:space="0" w:color="auto"/>
            </w:tcBorders>
            <w:shd w:val="clear" w:color="000000" w:fill="FFFFFF"/>
            <w:vAlign w:val="center"/>
            <w:hideMark/>
          </w:tcPr>
          <w:p w14:paraId="5E4754AE"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5.3</w:t>
            </w:r>
          </w:p>
        </w:tc>
        <w:tc>
          <w:tcPr>
            <w:tcW w:w="1489" w:type="dxa"/>
            <w:tcBorders>
              <w:top w:val="nil"/>
              <w:left w:val="nil"/>
              <w:bottom w:val="single" w:sz="4" w:space="0" w:color="auto"/>
              <w:right w:val="single" w:sz="4" w:space="0" w:color="auto"/>
            </w:tcBorders>
            <w:shd w:val="clear" w:color="000000" w:fill="FFFFFF"/>
            <w:vAlign w:val="center"/>
            <w:hideMark/>
          </w:tcPr>
          <w:p w14:paraId="71888AD3" w14:textId="77777777" w:rsidR="00AF4E38" w:rsidRPr="00A100A1" w:rsidRDefault="00AF4E38" w:rsidP="006F27DB">
            <w:pPr>
              <w:rPr>
                <w:rFonts w:ascii="Arial" w:hAnsi="Arial" w:cs="Arial"/>
                <w:color w:val="000000"/>
                <w:sz w:val="16"/>
                <w:szCs w:val="16"/>
              </w:rPr>
            </w:pPr>
            <w:r w:rsidRPr="00A100A1">
              <w:rPr>
                <w:rFonts w:ascii="Arial" w:hAnsi="Arial" w:cs="Arial"/>
                <w:color w:val="000000"/>
                <w:sz w:val="16"/>
                <w:szCs w:val="16"/>
              </w:rPr>
              <w:t>Počet zrealizovaných aktivít (podujatí) zameraných na zvýšenie informovanosti, propagáciu, výchovu k ochrane prírody a vzdelávanie</w:t>
            </w:r>
          </w:p>
        </w:tc>
        <w:tc>
          <w:tcPr>
            <w:tcW w:w="786" w:type="dxa"/>
            <w:tcBorders>
              <w:top w:val="nil"/>
              <w:left w:val="nil"/>
              <w:bottom w:val="single" w:sz="4" w:space="0" w:color="auto"/>
              <w:right w:val="single" w:sz="4" w:space="0" w:color="auto"/>
            </w:tcBorders>
            <w:shd w:val="clear" w:color="000000" w:fill="FFFFFF"/>
            <w:vAlign w:val="center"/>
            <w:hideMark/>
          </w:tcPr>
          <w:p w14:paraId="1E42A4E9"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počet</w:t>
            </w:r>
          </w:p>
        </w:tc>
        <w:tc>
          <w:tcPr>
            <w:tcW w:w="891" w:type="dxa"/>
            <w:tcBorders>
              <w:top w:val="single" w:sz="4" w:space="0" w:color="auto"/>
              <w:left w:val="nil"/>
              <w:bottom w:val="single" w:sz="4" w:space="0" w:color="auto"/>
              <w:right w:val="single" w:sz="4" w:space="0" w:color="auto"/>
            </w:tcBorders>
            <w:shd w:val="clear" w:color="000000" w:fill="FFFFFF"/>
            <w:vAlign w:val="center"/>
          </w:tcPr>
          <w:p w14:paraId="7DBD339E"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130</w:t>
            </w:r>
          </w:p>
        </w:tc>
        <w:tc>
          <w:tcPr>
            <w:tcW w:w="809" w:type="dxa"/>
            <w:tcBorders>
              <w:top w:val="nil"/>
              <w:left w:val="single" w:sz="4" w:space="0" w:color="auto"/>
              <w:bottom w:val="single" w:sz="4" w:space="0" w:color="auto"/>
              <w:right w:val="single" w:sz="4" w:space="0" w:color="auto"/>
            </w:tcBorders>
            <w:shd w:val="clear" w:color="000000" w:fill="FFFFFF"/>
            <w:vAlign w:val="center"/>
            <w:hideMark/>
          </w:tcPr>
          <w:p w14:paraId="5E721E58"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2 000</w:t>
            </w:r>
          </w:p>
        </w:tc>
        <w:tc>
          <w:tcPr>
            <w:tcW w:w="813" w:type="dxa"/>
            <w:tcBorders>
              <w:top w:val="nil"/>
              <w:left w:val="nil"/>
              <w:bottom w:val="single" w:sz="4" w:space="0" w:color="auto"/>
              <w:right w:val="single" w:sz="4" w:space="0" w:color="auto"/>
            </w:tcBorders>
            <w:shd w:val="clear" w:color="auto" w:fill="FFFFFF" w:themeFill="background1"/>
            <w:vAlign w:val="center"/>
          </w:tcPr>
          <w:p w14:paraId="5B03102D" w14:textId="77777777" w:rsidR="00AF4E38" w:rsidRPr="00A100A1" w:rsidRDefault="00AF4E38" w:rsidP="0008447E">
            <w:pPr>
              <w:jc w:val="center"/>
              <w:rPr>
                <w:rFonts w:ascii="Arial" w:hAnsi="Arial" w:cs="Arial"/>
                <w:color w:val="000000"/>
                <w:sz w:val="16"/>
                <w:szCs w:val="16"/>
              </w:rPr>
            </w:pPr>
            <w:r>
              <w:rPr>
                <w:rFonts w:ascii="Arial" w:hAnsi="Arial" w:cs="Arial"/>
                <w:color w:val="000000"/>
                <w:sz w:val="16"/>
                <w:szCs w:val="16"/>
              </w:rPr>
              <w:t>514</w:t>
            </w:r>
          </w:p>
        </w:tc>
        <w:tc>
          <w:tcPr>
            <w:tcW w:w="819" w:type="dxa"/>
            <w:tcBorders>
              <w:top w:val="nil"/>
              <w:left w:val="nil"/>
              <w:bottom w:val="single" w:sz="4" w:space="0" w:color="auto"/>
              <w:right w:val="single" w:sz="4" w:space="0" w:color="auto"/>
            </w:tcBorders>
            <w:shd w:val="clear" w:color="auto" w:fill="EAF1DD" w:themeFill="accent3" w:themeFillTint="33"/>
            <w:vAlign w:val="center"/>
          </w:tcPr>
          <w:p w14:paraId="1F907201"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547</w:t>
            </w:r>
          </w:p>
        </w:tc>
        <w:tc>
          <w:tcPr>
            <w:tcW w:w="819" w:type="dxa"/>
            <w:tcBorders>
              <w:top w:val="nil"/>
              <w:left w:val="single" w:sz="4" w:space="0" w:color="auto"/>
              <w:bottom w:val="single" w:sz="4" w:space="0" w:color="auto"/>
              <w:right w:val="single" w:sz="4" w:space="0" w:color="auto"/>
            </w:tcBorders>
            <w:shd w:val="clear" w:color="auto" w:fill="FFFFFF" w:themeFill="background1"/>
            <w:vAlign w:val="center"/>
          </w:tcPr>
          <w:p w14:paraId="03725A2C"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508</w:t>
            </w:r>
          </w:p>
        </w:tc>
        <w:tc>
          <w:tcPr>
            <w:tcW w:w="971" w:type="dxa"/>
            <w:tcBorders>
              <w:top w:val="nil"/>
              <w:left w:val="nil"/>
              <w:bottom w:val="single" w:sz="4" w:space="0" w:color="auto"/>
              <w:right w:val="single" w:sz="4" w:space="0" w:color="auto"/>
            </w:tcBorders>
            <w:shd w:val="clear" w:color="000000" w:fill="EBF1DE"/>
            <w:vAlign w:val="center"/>
          </w:tcPr>
          <w:p w14:paraId="54F9FA3D"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29,25 %</w:t>
            </w:r>
          </w:p>
        </w:tc>
        <w:tc>
          <w:tcPr>
            <w:tcW w:w="993" w:type="dxa"/>
            <w:tcBorders>
              <w:top w:val="nil"/>
              <w:left w:val="nil"/>
              <w:bottom w:val="single" w:sz="4" w:space="0" w:color="auto"/>
              <w:right w:val="single" w:sz="4" w:space="0" w:color="auto"/>
            </w:tcBorders>
            <w:shd w:val="clear" w:color="auto" w:fill="auto"/>
            <w:vAlign w:val="center"/>
          </w:tcPr>
          <w:p w14:paraId="1501CF1A"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27,17 %</w:t>
            </w:r>
          </w:p>
        </w:tc>
      </w:tr>
      <w:tr w:rsidR="0008447E" w:rsidRPr="00A100A1" w14:paraId="7D04E77A" w14:textId="77777777" w:rsidTr="0008447E">
        <w:trPr>
          <w:trHeight w:val="450"/>
        </w:trPr>
        <w:tc>
          <w:tcPr>
            <w:tcW w:w="682" w:type="dxa"/>
            <w:vMerge/>
            <w:tcBorders>
              <w:top w:val="nil"/>
              <w:left w:val="single" w:sz="4" w:space="0" w:color="auto"/>
              <w:bottom w:val="single" w:sz="4" w:space="0" w:color="auto"/>
              <w:right w:val="single" w:sz="4" w:space="0" w:color="auto"/>
            </w:tcBorders>
            <w:vAlign w:val="center"/>
            <w:hideMark/>
          </w:tcPr>
          <w:p w14:paraId="2F83E630" w14:textId="77777777" w:rsidR="00AF4E38" w:rsidRPr="00A100A1" w:rsidRDefault="00AF4E38" w:rsidP="006F27DB">
            <w:pPr>
              <w:rPr>
                <w:rFonts w:ascii="Arial" w:hAnsi="Arial" w:cs="Arial"/>
                <w:color w:val="000000"/>
                <w:sz w:val="16"/>
                <w:szCs w:val="16"/>
              </w:rPr>
            </w:pPr>
          </w:p>
        </w:tc>
        <w:tc>
          <w:tcPr>
            <w:tcW w:w="1489" w:type="dxa"/>
            <w:tcBorders>
              <w:top w:val="nil"/>
              <w:left w:val="nil"/>
              <w:bottom w:val="single" w:sz="4" w:space="0" w:color="auto"/>
              <w:right w:val="single" w:sz="4" w:space="0" w:color="auto"/>
            </w:tcBorders>
            <w:shd w:val="clear" w:color="000000" w:fill="FFFFFF"/>
            <w:vAlign w:val="center"/>
            <w:hideMark/>
          </w:tcPr>
          <w:p w14:paraId="7222892A" w14:textId="77777777" w:rsidR="00AF4E38" w:rsidRPr="00A100A1" w:rsidRDefault="00AF4E38" w:rsidP="006F27DB">
            <w:pPr>
              <w:rPr>
                <w:rFonts w:ascii="Arial" w:hAnsi="Arial" w:cs="Arial"/>
                <w:color w:val="000000"/>
                <w:sz w:val="16"/>
                <w:szCs w:val="16"/>
              </w:rPr>
            </w:pPr>
            <w:r w:rsidRPr="00A100A1">
              <w:rPr>
                <w:rFonts w:ascii="Arial" w:hAnsi="Arial" w:cs="Arial"/>
                <w:color w:val="000000"/>
                <w:sz w:val="16"/>
                <w:szCs w:val="16"/>
              </w:rPr>
              <w:t>Počet informovaných subjektov</w:t>
            </w:r>
          </w:p>
        </w:tc>
        <w:tc>
          <w:tcPr>
            <w:tcW w:w="786" w:type="dxa"/>
            <w:tcBorders>
              <w:top w:val="nil"/>
              <w:left w:val="nil"/>
              <w:bottom w:val="single" w:sz="4" w:space="0" w:color="auto"/>
              <w:right w:val="single" w:sz="4" w:space="0" w:color="auto"/>
            </w:tcBorders>
            <w:shd w:val="clear" w:color="000000" w:fill="FFFFFF"/>
            <w:vAlign w:val="center"/>
            <w:hideMark/>
          </w:tcPr>
          <w:p w14:paraId="31F511C6"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počet</w:t>
            </w:r>
          </w:p>
        </w:tc>
        <w:tc>
          <w:tcPr>
            <w:tcW w:w="891" w:type="dxa"/>
            <w:tcBorders>
              <w:top w:val="single" w:sz="4" w:space="0" w:color="auto"/>
              <w:left w:val="nil"/>
              <w:bottom w:val="single" w:sz="4" w:space="0" w:color="auto"/>
              <w:right w:val="single" w:sz="4" w:space="0" w:color="auto"/>
            </w:tcBorders>
            <w:shd w:val="clear" w:color="000000" w:fill="FFFFFF"/>
            <w:vAlign w:val="center"/>
          </w:tcPr>
          <w:p w14:paraId="21B79E64"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3000</w:t>
            </w:r>
          </w:p>
        </w:tc>
        <w:tc>
          <w:tcPr>
            <w:tcW w:w="809" w:type="dxa"/>
            <w:tcBorders>
              <w:top w:val="nil"/>
              <w:left w:val="single" w:sz="4" w:space="0" w:color="auto"/>
              <w:bottom w:val="single" w:sz="4" w:space="0" w:color="auto"/>
              <w:right w:val="single" w:sz="4" w:space="0" w:color="auto"/>
            </w:tcBorders>
            <w:shd w:val="clear" w:color="000000" w:fill="FFFFFF"/>
            <w:vAlign w:val="center"/>
            <w:hideMark/>
          </w:tcPr>
          <w:p w14:paraId="1C44246B"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16 000</w:t>
            </w:r>
          </w:p>
        </w:tc>
        <w:tc>
          <w:tcPr>
            <w:tcW w:w="813" w:type="dxa"/>
            <w:tcBorders>
              <w:top w:val="nil"/>
              <w:left w:val="nil"/>
              <w:bottom w:val="single" w:sz="4" w:space="0" w:color="auto"/>
              <w:right w:val="single" w:sz="4" w:space="0" w:color="auto"/>
            </w:tcBorders>
            <w:shd w:val="clear" w:color="auto" w:fill="FFFFFF" w:themeFill="background1"/>
            <w:vAlign w:val="center"/>
          </w:tcPr>
          <w:p w14:paraId="7D35D849" w14:textId="77777777" w:rsidR="00AF4E38" w:rsidRPr="00A100A1" w:rsidRDefault="00AF4E38" w:rsidP="0008447E">
            <w:pPr>
              <w:jc w:val="center"/>
              <w:rPr>
                <w:rFonts w:ascii="Arial" w:hAnsi="Arial" w:cs="Arial"/>
                <w:color w:val="000000"/>
                <w:sz w:val="16"/>
                <w:szCs w:val="16"/>
              </w:rPr>
            </w:pPr>
            <w:r>
              <w:rPr>
                <w:rFonts w:ascii="Arial" w:hAnsi="Arial" w:cs="Arial"/>
                <w:color w:val="000000"/>
                <w:sz w:val="16"/>
                <w:szCs w:val="16"/>
              </w:rPr>
              <w:t>53 121</w:t>
            </w:r>
          </w:p>
        </w:tc>
        <w:tc>
          <w:tcPr>
            <w:tcW w:w="819" w:type="dxa"/>
            <w:tcBorders>
              <w:top w:val="nil"/>
              <w:left w:val="nil"/>
              <w:bottom w:val="single" w:sz="4" w:space="0" w:color="auto"/>
              <w:right w:val="single" w:sz="4" w:space="0" w:color="auto"/>
            </w:tcBorders>
            <w:shd w:val="clear" w:color="auto" w:fill="EAF1DD" w:themeFill="accent3" w:themeFillTint="33"/>
            <w:vAlign w:val="center"/>
          </w:tcPr>
          <w:p w14:paraId="15B76A4C"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53 709</w:t>
            </w:r>
          </w:p>
        </w:tc>
        <w:tc>
          <w:tcPr>
            <w:tcW w:w="819" w:type="dxa"/>
            <w:tcBorders>
              <w:top w:val="nil"/>
              <w:left w:val="single" w:sz="4" w:space="0" w:color="auto"/>
              <w:bottom w:val="single" w:sz="4" w:space="0" w:color="auto"/>
              <w:right w:val="single" w:sz="4" w:space="0" w:color="auto"/>
            </w:tcBorders>
            <w:shd w:val="clear" w:color="auto" w:fill="FFFFFF" w:themeFill="background1"/>
            <w:vAlign w:val="center"/>
          </w:tcPr>
          <w:p w14:paraId="3875B02A"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146 270</w:t>
            </w:r>
          </w:p>
        </w:tc>
        <w:tc>
          <w:tcPr>
            <w:tcW w:w="971" w:type="dxa"/>
            <w:tcBorders>
              <w:top w:val="nil"/>
              <w:left w:val="nil"/>
              <w:bottom w:val="single" w:sz="4" w:space="0" w:color="auto"/>
              <w:right w:val="single" w:sz="4" w:space="0" w:color="auto"/>
            </w:tcBorders>
            <w:shd w:val="clear" w:color="000000" w:fill="EBF1DE"/>
            <w:vAlign w:val="center"/>
          </w:tcPr>
          <w:p w14:paraId="15F40AD6"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413,15 %</w:t>
            </w:r>
          </w:p>
        </w:tc>
        <w:tc>
          <w:tcPr>
            <w:tcW w:w="993" w:type="dxa"/>
            <w:tcBorders>
              <w:top w:val="nil"/>
              <w:left w:val="nil"/>
              <w:bottom w:val="single" w:sz="4" w:space="0" w:color="auto"/>
              <w:right w:val="single" w:sz="4" w:space="0" w:color="auto"/>
            </w:tcBorders>
            <w:shd w:val="clear" w:color="auto" w:fill="auto"/>
            <w:vAlign w:val="center"/>
          </w:tcPr>
          <w:p w14:paraId="4E506379"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1 125,15 %</w:t>
            </w:r>
          </w:p>
        </w:tc>
      </w:tr>
      <w:tr w:rsidR="0008447E" w:rsidRPr="00A100A1" w14:paraId="77D1A319" w14:textId="77777777" w:rsidTr="0008447E">
        <w:trPr>
          <w:trHeight w:val="675"/>
        </w:trPr>
        <w:tc>
          <w:tcPr>
            <w:tcW w:w="682" w:type="dxa"/>
            <w:tcBorders>
              <w:top w:val="nil"/>
              <w:left w:val="single" w:sz="4" w:space="0" w:color="auto"/>
              <w:bottom w:val="single" w:sz="4" w:space="0" w:color="auto"/>
              <w:right w:val="single" w:sz="4" w:space="0" w:color="auto"/>
            </w:tcBorders>
            <w:shd w:val="clear" w:color="000000" w:fill="FFFFFF"/>
            <w:vAlign w:val="center"/>
            <w:hideMark/>
          </w:tcPr>
          <w:p w14:paraId="4031414F"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N/A</w:t>
            </w:r>
          </w:p>
        </w:tc>
        <w:tc>
          <w:tcPr>
            <w:tcW w:w="1489" w:type="dxa"/>
            <w:tcBorders>
              <w:top w:val="nil"/>
              <w:left w:val="nil"/>
              <w:bottom w:val="single" w:sz="4" w:space="0" w:color="auto"/>
              <w:right w:val="single" w:sz="4" w:space="0" w:color="auto"/>
            </w:tcBorders>
            <w:shd w:val="clear" w:color="000000" w:fill="FFFFFF"/>
            <w:vAlign w:val="center"/>
            <w:hideMark/>
          </w:tcPr>
          <w:p w14:paraId="3CA355A2" w14:textId="77777777" w:rsidR="00AF4E38" w:rsidRPr="00A100A1" w:rsidRDefault="00AF4E38" w:rsidP="006F27DB">
            <w:pPr>
              <w:rPr>
                <w:rFonts w:ascii="Arial" w:hAnsi="Arial" w:cs="Arial"/>
                <w:color w:val="000000"/>
                <w:sz w:val="16"/>
                <w:szCs w:val="16"/>
              </w:rPr>
            </w:pPr>
            <w:r w:rsidRPr="00A100A1">
              <w:rPr>
                <w:rFonts w:ascii="Arial" w:hAnsi="Arial" w:cs="Arial"/>
                <w:color w:val="000000"/>
                <w:sz w:val="16"/>
                <w:szCs w:val="16"/>
              </w:rPr>
              <w:t>Počet novovytvorených pracovných miest</w:t>
            </w:r>
          </w:p>
        </w:tc>
        <w:tc>
          <w:tcPr>
            <w:tcW w:w="786" w:type="dxa"/>
            <w:tcBorders>
              <w:top w:val="nil"/>
              <w:left w:val="nil"/>
              <w:bottom w:val="single" w:sz="4" w:space="0" w:color="auto"/>
              <w:right w:val="single" w:sz="4" w:space="0" w:color="auto"/>
            </w:tcBorders>
            <w:shd w:val="clear" w:color="000000" w:fill="FFFFFF"/>
            <w:vAlign w:val="center"/>
            <w:hideMark/>
          </w:tcPr>
          <w:p w14:paraId="6118EAD6"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počet</w:t>
            </w:r>
          </w:p>
        </w:tc>
        <w:tc>
          <w:tcPr>
            <w:tcW w:w="891" w:type="dxa"/>
            <w:tcBorders>
              <w:top w:val="single" w:sz="4" w:space="0" w:color="auto"/>
              <w:left w:val="nil"/>
              <w:bottom w:val="single" w:sz="4" w:space="0" w:color="auto"/>
              <w:right w:val="single" w:sz="4" w:space="0" w:color="auto"/>
            </w:tcBorders>
            <w:shd w:val="clear" w:color="000000" w:fill="FFFFFF"/>
            <w:vAlign w:val="center"/>
          </w:tcPr>
          <w:p w14:paraId="13F5FC6C"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0</w:t>
            </w:r>
          </w:p>
        </w:tc>
        <w:tc>
          <w:tcPr>
            <w:tcW w:w="809" w:type="dxa"/>
            <w:tcBorders>
              <w:top w:val="nil"/>
              <w:left w:val="single" w:sz="4" w:space="0" w:color="auto"/>
              <w:bottom w:val="single" w:sz="4" w:space="0" w:color="auto"/>
              <w:right w:val="single" w:sz="4" w:space="0" w:color="auto"/>
            </w:tcBorders>
            <w:shd w:val="clear" w:color="000000" w:fill="FFFFFF"/>
            <w:vAlign w:val="center"/>
            <w:hideMark/>
          </w:tcPr>
          <w:p w14:paraId="5EE16531"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3</w:t>
            </w:r>
          </w:p>
        </w:tc>
        <w:tc>
          <w:tcPr>
            <w:tcW w:w="813" w:type="dxa"/>
            <w:tcBorders>
              <w:top w:val="nil"/>
              <w:left w:val="nil"/>
              <w:bottom w:val="single" w:sz="4" w:space="0" w:color="auto"/>
              <w:right w:val="single" w:sz="4" w:space="0" w:color="auto"/>
            </w:tcBorders>
            <w:shd w:val="clear" w:color="auto" w:fill="FFFFFF" w:themeFill="background1"/>
            <w:vAlign w:val="center"/>
          </w:tcPr>
          <w:p w14:paraId="07F3FE38"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0</w:t>
            </w:r>
          </w:p>
        </w:tc>
        <w:tc>
          <w:tcPr>
            <w:tcW w:w="819" w:type="dxa"/>
            <w:tcBorders>
              <w:top w:val="nil"/>
              <w:left w:val="nil"/>
              <w:bottom w:val="single" w:sz="4" w:space="0" w:color="auto"/>
              <w:right w:val="single" w:sz="4" w:space="0" w:color="auto"/>
            </w:tcBorders>
            <w:shd w:val="clear" w:color="auto" w:fill="EAF1DD" w:themeFill="accent3" w:themeFillTint="33"/>
            <w:vAlign w:val="center"/>
          </w:tcPr>
          <w:p w14:paraId="366C4FA9"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0</w:t>
            </w:r>
          </w:p>
          <w:p w14:paraId="7438CB67" w14:textId="77777777" w:rsidR="00AF4E38" w:rsidRPr="00A100A1" w:rsidRDefault="00AF4E38" w:rsidP="00A1711A">
            <w:pPr>
              <w:jc w:val="center"/>
              <w:rPr>
                <w:rFonts w:ascii="Arial" w:hAnsi="Arial" w:cs="Arial"/>
                <w:color w:val="000000"/>
                <w:sz w:val="16"/>
                <w:szCs w:val="16"/>
              </w:rPr>
            </w:pPr>
          </w:p>
        </w:tc>
        <w:tc>
          <w:tcPr>
            <w:tcW w:w="819" w:type="dxa"/>
            <w:tcBorders>
              <w:top w:val="nil"/>
              <w:left w:val="single" w:sz="4" w:space="0" w:color="auto"/>
              <w:bottom w:val="single" w:sz="4" w:space="0" w:color="auto"/>
              <w:right w:val="single" w:sz="4" w:space="0" w:color="auto"/>
            </w:tcBorders>
            <w:shd w:val="clear" w:color="000000" w:fill="FFFFFF"/>
            <w:vAlign w:val="center"/>
          </w:tcPr>
          <w:p w14:paraId="41E0136C" w14:textId="77777777" w:rsidR="00AF4E38" w:rsidRPr="00A100A1" w:rsidRDefault="00AF4E38" w:rsidP="0008447E">
            <w:pPr>
              <w:jc w:val="center"/>
              <w:rPr>
                <w:rFonts w:ascii="Arial" w:hAnsi="Arial" w:cs="Arial"/>
                <w:color w:val="000000"/>
                <w:sz w:val="16"/>
                <w:szCs w:val="16"/>
              </w:rPr>
            </w:pPr>
            <w:r w:rsidRPr="00A100A1">
              <w:rPr>
                <w:rFonts w:ascii="Arial" w:hAnsi="Arial" w:cs="Arial"/>
                <w:color w:val="000000"/>
                <w:sz w:val="16"/>
                <w:szCs w:val="16"/>
              </w:rPr>
              <w:t>0</w:t>
            </w:r>
          </w:p>
        </w:tc>
        <w:tc>
          <w:tcPr>
            <w:tcW w:w="971" w:type="dxa"/>
            <w:tcBorders>
              <w:top w:val="nil"/>
              <w:left w:val="nil"/>
              <w:bottom w:val="single" w:sz="4" w:space="0" w:color="auto"/>
              <w:right w:val="single" w:sz="4" w:space="0" w:color="auto"/>
            </w:tcBorders>
            <w:shd w:val="clear" w:color="000000" w:fill="EBF1DE"/>
            <w:vAlign w:val="center"/>
          </w:tcPr>
          <w:p w14:paraId="4C55EA61" w14:textId="77777777" w:rsidR="00AF4E38" w:rsidRPr="00A100A1" w:rsidRDefault="00AF4E38" w:rsidP="008955D1">
            <w:pPr>
              <w:jc w:val="center"/>
              <w:rPr>
                <w:rFonts w:ascii="Arial" w:hAnsi="Arial" w:cs="Arial"/>
                <w:color w:val="000000"/>
                <w:sz w:val="16"/>
                <w:szCs w:val="16"/>
              </w:rPr>
            </w:pPr>
            <w:r w:rsidRPr="00A100A1">
              <w:rPr>
                <w:rFonts w:ascii="Arial" w:hAnsi="Arial" w:cs="Arial"/>
                <w:color w:val="000000"/>
                <w:sz w:val="16"/>
                <w:szCs w:val="16"/>
              </w:rPr>
              <w:t>0,00 %</w:t>
            </w:r>
          </w:p>
        </w:tc>
        <w:tc>
          <w:tcPr>
            <w:tcW w:w="993" w:type="dxa"/>
            <w:tcBorders>
              <w:top w:val="nil"/>
              <w:left w:val="nil"/>
              <w:bottom w:val="single" w:sz="4" w:space="0" w:color="auto"/>
              <w:right w:val="single" w:sz="4" w:space="0" w:color="auto"/>
            </w:tcBorders>
            <w:shd w:val="clear" w:color="auto" w:fill="auto"/>
            <w:vAlign w:val="center"/>
          </w:tcPr>
          <w:p w14:paraId="170D6468" w14:textId="77777777" w:rsidR="00AF4E38" w:rsidRPr="00A100A1" w:rsidRDefault="00AF4E38" w:rsidP="006F27DB">
            <w:pPr>
              <w:jc w:val="center"/>
              <w:rPr>
                <w:rFonts w:ascii="Arial" w:hAnsi="Arial" w:cs="Arial"/>
                <w:color w:val="000000"/>
                <w:sz w:val="16"/>
                <w:szCs w:val="16"/>
              </w:rPr>
            </w:pPr>
            <w:r w:rsidRPr="00A100A1">
              <w:rPr>
                <w:rFonts w:ascii="Arial" w:hAnsi="Arial" w:cs="Arial"/>
                <w:color w:val="000000"/>
                <w:sz w:val="16"/>
                <w:szCs w:val="16"/>
              </w:rPr>
              <w:t>0,00 %</w:t>
            </w:r>
          </w:p>
        </w:tc>
      </w:tr>
    </w:tbl>
    <w:p w14:paraId="31F5F2EB" w14:textId="77777777" w:rsidR="00A100A1" w:rsidRPr="00A100A1" w:rsidRDefault="00A100A1" w:rsidP="00A100A1">
      <w:pPr>
        <w:jc w:val="both"/>
        <w:rPr>
          <w:rFonts w:ascii="Arial" w:hAnsi="Arial" w:cs="Arial"/>
          <w:sz w:val="16"/>
          <w:szCs w:val="16"/>
          <w:lang w:val="en-US"/>
        </w:rPr>
      </w:pPr>
      <w:r w:rsidRPr="00A100A1">
        <w:rPr>
          <w:rFonts w:ascii="Arial" w:hAnsi="Arial" w:cs="Arial"/>
          <w:sz w:val="16"/>
          <w:szCs w:val="16"/>
        </w:rPr>
        <w:t>Zdroj: RO, ITMS</w:t>
      </w:r>
    </w:p>
    <w:p w14:paraId="4A4EF9F0" w14:textId="05615853" w:rsidR="00813BB9" w:rsidRPr="00A100A1" w:rsidRDefault="00813BB9" w:rsidP="00813BB9">
      <w:pPr>
        <w:spacing w:before="120"/>
        <w:jc w:val="both"/>
        <w:rPr>
          <w:rFonts w:ascii="Arial" w:hAnsi="Arial" w:cs="Arial"/>
          <w:sz w:val="20"/>
          <w:szCs w:val="20"/>
        </w:rPr>
      </w:pPr>
      <w:r w:rsidRPr="00A100A1">
        <w:rPr>
          <w:rFonts w:ascii="Arial" w:hAnsi="Arial" w:cs="Arial"/>
          <w:sz w:val="20"/>
          <w:szCs w:val="20"/>
        </w:rPr>
        <w:t xml:space="preserve">Na základe uvedeného prehľadu </w:t>
      </w:r>
      <w:r>
        <w:rPr>
          <w:rFonts w:ascii="Arial" w:hAnsi="Arial" w:cs="Arial"/>
          <w:sz w:val="20"/>
          <w:szCs w:val="20"/>
        </w:rPr>
        <w:t>(Tabuľka č. 6</w:t>
      </w:r>
      <w:r w:rsidR="00DE018D">
        <w:rPr>
          <w:rFonts w:ascii="Arial" w:hAnsi="Arial" w:cs="Arial"/>
          <w:sz w:val="20"/>
          <w:szCs w:val="20"/>
        </w:rPr>
        <w:t>2</w:t>
      </w:r>
      <w:r>
        <w:rPr>
          <w:rFonts w:ascii="Arial" w:hAnsi="Arial" w:cs="Arial"/>
          <w:sz w:val="20"/>
          <w:szCs w:val="20"/>
        </w:rPr>
        <w:t xml:space="preserve"> a č. 6</w:t>
      </w:r>
      <w:r w:rsidR="00DE018D">
        <w:rPr>
          <w:rFonts w:ascii="Arial" w:hAnsi="Arial" w:cs="Arial"/>
          <w:sz w:val="20"/>
          <w:szCs w:val="20"/>
        </w:rPr>
        <w:t>3</w:t>
      </w:r>
      <w:r>
        <w:rPr>
          <w:rFonts w:ascii="Arial" w:hAnsi="Arial" w:cs="Arial"/>
          <w:sz w:val="20"/>
          <w:szCs w:val="20"/>
        </w:rPr>
        <w:t xml:space="preserve">) </w:t>
      </w:r>
      <w:r w:rsidRPr="00A100A1">
        <w:rPr>
          <w:rFonts w:ascii="Arial" w:hAnsi="Arial" w:cs="Arial"/>
          <w:sz w:val="20"/>
          <w:szCs w:val="20"/>
        </w:rPr>
        <w:t>je zrejmé</w:t>
      </w:r>
      <w:r>
        <w:rPr>
          <w:rFonts w:ascii="Arial" w:hAnsi="Arial" w:cs="Arial"/>
          <w:sz w:val="20"/>
          <w:szCs w:val="20"/>
        </w:rPr>
        <w:t>, že</w:t>
      </w:r>
      <w:r w:rsidRPr="00A100A1">
        <w:rPr>
          <w:rFonts w:ascii="Arial" w:hAnsi="Arial" w:cs="Arial"/>
          <w:sz w:val="20"/>
          <w:szCs w:val="20"/>
        </w:rPr>
        <w:t xml:space="preserve"> </w:t>
      </w:r>
      <w:r>
        <w:rPr>
          <w:rFonts w:ascii="Arial" w:hAnsi="Arial" w:cs="Arial"/>
          <w:sz w:val="20"/>
          <w:szCs w:val="20"/>
        </w:rPr>
        <w:t>ú</w:t>
      </w:r>
      <w:r w:rsidRPr="00A100A1">
        <w:rPr>
          <w:rFonts w:ascii="Arial" w:hAnsi="Arial" w:cs="Arial"/>
          <w:sz w:val="20"/>
          <w:szCs w:val="20"/>
        </w:rPr>
        <w:t>roveň zazmluvnenia alokácie prioritnej témy HT54</w:t>
      </w:r>
      <w:r>
        <w:rPr>
          <w:rFonts w:ascii="Arial" w:hAnsi="Arial" w:cs="Arial"/>
          <w:sz w:val="20"/>
          <w:szCs w:val="20"/>
        </w:rPr>
        <w:t xml:space="preserve"> (operačný cieľ 5.2)</w:t>
      </w:r>
      <w:r w:rsidRPr="00A100A1">
        <w:rPr>
          <w:rFonts w:ascii="Arial" w:hAnsi="Arial" w:cs="Arial"/>
          <w:sz w:val="20"/>
          <w:szCs w:val="20"/>
        </w:rPr>
        <w:t xml:space="preserve"> predstavuje 102,5 %, pričom hodnoty merateľných ukazovateľov stanovené v operačnom programe pre operačný cieľ 5.2 </w:t>
      </w:r>
      <w:r>
        <w:rPr>
          <w:rFonts w:ascii="Arial" w:hAnsi="Arial" w:cs="Arial"/>
          <w:sz w:val="20"/>
          <w:szCs w:val="20"/>
        </w:rPr>
        <w:t xml:space="preserve">dosahujú </w:t>
      </w:r>
      <w:r w:rsidRPr="00A100A1">
        <w:rPr>
          <w:rFonts w:ascii="Arial" w:hAnsi="Arial" w:cs="Arial"/>
          <w:sz w:val="20"/>
          <w:szCs w:val="20"/>
        </w:rPr>
        <w:t>v prípade ukazovateľa „</w:t>
      </w:r>
      <w:r w:rsidRPr="00B058AF">
        <w:rPr>
          <w:rFonts w:ascii="Arial" w:hAnsi="Arial" w:cs="Arial"/>
          <w:sz w:val="20"/>
          <w:szCs w:val="20"/>
        </w:rPr>
        <w:t>Percento z celkového počtu chránených území, pre ktoré boli vybudované alebo zrekonštruované zariadenia</w:t>
      </w:r>
      <w:r w:rsidRPr="00A100A1">
        <w:rPr>
          <w:rFonts w:ascii="Arial" w:hAnsi="Arial" w:cs="Arial"/>
          <w:sz w:val="20"/>
          <w:szCs w:val="20"/>
        </w:rPr>
        <w:t xml:space="preserve">“ </w:t>
      </w:r>
      <w:r>
        <w:rPr>
          <w:rFonts w:ascii="Arial" w:hAnsi="Arial" w:cs="Arial"/>
          <w:sz w:val="20"/>
          <w:szCs w:val="20"/>
        </w:rPr>
        <w:t xml:space="preserve">hodnotu </w:t>
      </w:r>
      <w:r w:rsidRPr="00A100A1">
        <w:rPr>
          <w:rFonts w:ascii="Arial" w:hAnsi="Arial" w:cs="Arial"/>
          <w:sz w:val="20"/>
          <w:szCs w:val="20"/>
        </w:rPr>
        <w:t>4,35 %, a v prípade ukazovateľa „Počet vybudovaných alebo zrekonštruovaných zariadení pre účely ochrany prírody a krajiny“</w:t>
      </w:r>
      <w:r>
        <w:rPr>
          <w:rFonts w:ascii="Arial" w:hAnsi="Arial" w:cs="Arial"/>
          <w:sz w:val="20"/>
          <w:szCs w:val="20"/>
        </w:rPr>
        <w:t xml:space="preserve"> </w:t>
      </w:r>
      <w:r w:rsidRPr="00A100A1">
        <w:rPr>
          <w:rFonts w:ascii="Arial" w:hAnsi="Arial" w:cs="Arial"/>
          <w:sz w:val="20"/>
          <w:szCs w:val="20"/>
        </w:rPr>
        <w:t xml:space="preserve">hodnotu 90, čím bola plánovaná hodnota stanovená v operačnom programe splnená na 230,77 %. </w:t>
      </w:r>
      <w:r w:rsidRPr="00813BB9">
        <w:rPr>
          <w:rFonts w:ascii="Arial" w:hAnsi="Arial" w:cs="Arial"/>
          <w:sz w:val="20"/>
          <w:szCs w:val="20"/>
        </w:rPr>
        <w:t>Ukazovateľ „Percento z celkového počtu chránených území, pre ktoré boli vybudované alebo zrekonštruované zariadenia“ vykazuje</w:t>
      </w:r>
      <w:r>
        <w:rPr>
          <w:rFonts w:ascii="Arial" w:hAnsi="Arial" w:cs="Arial"/>
          <w:sz w:val="20"/>
          <w:szCs w:val="20"/>
        </w:rPr>
        <w:t xml:space="preserve"> nízku</w:t>
      </w:r>
      <w:r w:rsidRPr="00A100A1">
        <w:rPr>
          <w:rFonts w:ascii="Arial" w:hAnsi="Arial" w:cs="Arial"/>
          <w:sz w:val="20"/>
          <w:szCs w:val="20"/>
        </w:rPr>
        <w:t xml:space="preserve"> mieru naplnenia, čo je spôsobené tým, že v rámci jedného územia bolo realizovaných viac projektov, resp. aktivít pri rovnakej ploche územia (napr. ZOO Bojnice)</w:t>
      </w:r>
      <w:r w:rsidR="00FC0195">
        <w:rPr>
          <w:rFonts w:ascii="Arial" w:hAnsi="Arial" w:cs="Arial"/>
          <w:sz w:val="20"/>
          <w:szCs w:val="20"/>
        </w:rPr>
        <w:t>.</w:t>
      </w:r>
    </w:p>
    <w:p w14:paraId="52D74940" w14:textId="77777777" w:rsidR="00813BB9" w:rsidRDefault="00813BB9" w:rsidP="00813BB9">
      <w:pPr>
        <w:rPr>
          <w:rFonts w:cs="Arial"/>
        </w:rPr>
      </w:pPr>
    </w:p>
    <w:p w14:paraId="2821FDA9" w14:textId="77777777" w:rsidR="00813BB9" w:rsidRDefault="00813BB9" w:rsidP="00813BB9">
      <w:pPr>
        <w:jc w:val="both"/>
        <w:rPr>
          <w:rFonts w:ascii="Arial" w:hAnsi="Arial" w:cs="Arial"/>
          <w:sz w:val="20"/>
          <w:szCs w:val="20"/>
        </w:rPr>
      </w:pPr>
      <w:r w:rsidRPr="00944164">
        <w:rPr>
          <w:rFonts w:ascii="Arial" w:hAnsi="Arial" w:cs="Arial"/>
          <w:sz w:val="20"/>
          <w:szCs w:val="20"/>
        </w:rPr>
        <w:t>Úroveň zazmluvnenia alokácie prioritnej témy HT51</w:t>
      </w:r>
      <w:r>
        <w:rPr>
          <w:rFonts w:ascii="Arial" w:hAnsi="Arial" w:cs="Arial"/>
          <w:sz w:val="20"/>
          <w:szCs w:val="20"/>
        </w:rPr>
        <w:t xml:space="preserve"> (operačný cieľ 5.1+5.3)</w:t>
      </w:r>
      <w:r w:rsidRPr="00944164">
        <w:rPr>
          <w:rFonts w:ascii="Arial" w:hAnsi="Arial" w:cs="Arial"/>
          <w:sz w:val="20"/>
          <w:szCs w:val="20"/>
        </w:rPr>
        <w:t xml:space="preserve"> v rámci prioritnej osi 5 predstavuje 100,60 %, pričom hodnoty merateľných ukazovateľov stanovené v operačnom programe pre operačný cieľ 5.3 dosahujú v prípade ukazovateľa “Počet informovaných subjektov“ hodnotu 413,15 % a v prípade ukazovateľa „Počet realizovaných aktivít (podujatí) zameraných na zvýšenie informovanosti, propagáciu, výchovu k ochrane prírody a vzdelávanie“ hodnotu 29,25 %. </w:t>
      </w:r>
    </w:p>
    <w:p w14:paraId="4E850FB4" w14:textId="3045AA63" w:rsidR="00813BB9" w:rsidRDefault="00813BB9" w:rsidP="00590529">
      <w:pPr>
        <w:jc w:val="both"/>
        <w:rPr>
          <w:rFonts w:ascii="Arial" w:hAnsi="Arial" w:cs="Arial"/>
          <w:sz w:val="20"/>
          <w:szCs w:val="20"/>
        </w:rPr>
      </w:pPr>
      <w:r w:rsidRPr="00944164">
        <w:rPr>
          <w:rFonts w:ascii="Arial" w:hAnsi="Arial" w:cs="Arial"/>
          <w:sz w:val="20"/>
          <w:szCs w:val="20"/>
        </w:rPr>
        <w:t xml:space="preserve">Z uvedených ukazovateľov vyplýva, že aktivity v oblasti zvyšovania informovanosti boli síce realizované v nižšom počte ako sa predpokladalo, ale boli realizované pre vyšší počet subjektov. </w:t>
      </w:r>
      <w:r>
        <w:rPr>
          <w:rFonts w:ascii="Arial" w:hAnsi="Arial" w:cs="Arial"/>
          <w:sz w:val="20"/>
          <w:szCs w:val="20"/>
        </w:rPr>
        <w:t xml:space="preserve">V </w:t>
      </w:r>
      <w:r w:rsidRPr="00944164">
        <w:rPr>
          <w:rFonts w:ascii="Arial" w:hAnsi="Arial" w:cs="Arial"/>
          <w:sz w:val="20"/>
          <w:szCs w:val="20"/>
        </w:rPr>
        <w:t xml:space="preserve">rámci operačného cieľa </w:t>
      </w:r>
      <w:r>
        <w:rPr>
          <w:rFonts w:ascii="Arial" w:hAnsi="Arial" w:cs="Arial"/>
          <w:sz w:val="20"/>
          <w:szCs w:val="20"/>
        </w:rPr>
        <w:t xml:space="preserve">5.3 </w:t>
      </w:r>
      <w:r w:rsidRPr="00944164">
        <w:rPr>
          <w:rFonts w:ascii="Arial" w:hAnsi="Arial" w:cs="Arial"/>
          <w:sz w:val="20"/>
          <w:szCs w:val="20"/>
        </w:rPr>
        <w:t>možno považovať</w:t>
      </w:r>
      <w:r>
        <w:rPr>
          <w:rFonts w:ascii="Arial" w:hAnsi="Arial" w:cs="Arial"/>
          <w:sz w:val="20"/>
          <w:szCs w:val="20"/>
        </w:rPr>
        <w:t xml:space="preserve"> výsledok</w:t>
      </w:r>
      <w:r w:rsidRPr="00944164">
        <w:rPr>
          <w:rFonts w:ascii="Arial" w:hAnsi="Arial" w:cs="Arial"/>
          <w:sz w:val="20"/>
          <w:szCs w:val="20"/>
        </w:rPr>
        <w:t xml:space="preserve"> za vyhovujúci, nakoľko aj napriek nižšiemu počtu zrealizovaných aktivít bol informovaný mnohonásobne väčší počet subjektov, ako bolo plánované v operačnom programe.</w:t>
      </w:r>
    </w:p>
    <w:p w14:paraId="276E906F" w14:textId="77777777" w:rsidR="00813BB9" w:rsidRDefault="00813BB9" w:rsidP="00A100A1">
      <w:pPr>
        <w:spacing w:before="120"/>
        <w:jc w:val="both"/>
        <w:rPr>
          <w:rFonts w:ascii="Arial" w:hAnsi="Arial" w:cs="Arial"/>
          <w:sz w:val="20"/>
          <w:szCs w:val="20"/>
        </w:rPr>
      </w:pPr>
    </w:p>
    <w:p w14:paraId="77A79009" w14:textId="77777777" w:rsidR="007E17CC" w:rsidRDefault="007E17CC" w:rsidP="007E17CC">
      <w:pPr>
        <w:keepNext/>
        <w:spacing w:before="240" w:after="120"/>
        <w:outlineLvl w:val="1"/>
        <w:rPr>
          <w:rFonts w:ascii="Arial" w:hAnsi="Arial" w:cs="Arial"/>
          <w:b/>
          <w:bCs/>
          <w:iCs/>
          <w:sz w:val="28"/>
          <w:szCs w:val="28"/>
        </w:rPr>
      </w:pPr>
      <w:bookmarkStart w:id="89" w:name="_Toc466914541"/>
      <w:r w:rsidRPr="007E17CC">
        <w:rPr>
          <w:rFonts w:ascii="Arial" w:hAnsi="Arial" w:cs="Arial"/>
          <w:b/>
          <w:bCs/>
          <w:iCs/>
          <w:sz w:val="28"/>
          <w:szCs w:val="28"/>
        </w:rPr>
        <w:t>3.6. Prioritná os 6 Technická pomoc</w:t>
      </w:r>
      <w:bookmarkEnd w:id="89"/>
    </w:p>
    <w:p w14:paraId="5FC01C08" w14:textId="77777777" w:rsidR="00446CFD" w:rsidRPr="00C70251" w:rsidRDefault="00446CFD" w:rsidP="005B6861">
      <w:pPr>
        <w:pStyle w:val="Nadpis3"/>
      </w:pPr>
      <w:bookmarkStart w:id="90" w:name="_Toc466914542"/>
      <w:r w:rsidRPr="00C70251">
        <w:t>3.6.1 Dosiahnutie cieľov a analýza dosiahnutého pokroku</w:t>
      </w:r>
      <w:bookmarkEnd w:id="90"/>
    </w:p>
    <w:p w14:paraId="68003B37" w14:textId="77777777" w:rsidR="00446CFD" w:rsidRPr="00C70251" w:rsidRDefault="00446CFD" w:rsidP="00446CFD">
      <w:pPr>
        <w:spacing w:before="120" w:after="120"/>
        <w:jc w:val="both"/>
        <w:rPr>
          <w:rFonts w:ascii="Arial" w:hAnsi="Arial" w:cs="Arial"/>
          <w:sz w:val="20"/>
          <w:szCs w:val="20"/>
        </w:rPr>
      </w:pPr>
      <w:r w:rsidRPr="00C70251">
        <w:rPr>
          <w:rFonts w:ascii="Arial" w:hAnsi="Arial" w:cs="Arial"/>
          <w:sz w:val="20"/>
          <w:szCs w:val="20"/>
        </w:rPr>
        <w:t xml:space="preserve">Špecifickým cieľom prioritnej osi 6 Technická pomoc </w:t>
      </w:r>
      <w:r>
        <w:rPr>
          <w:rFonts w:ascii="Arial" w:hAnsi="Arial" w:cs="Arial"/>
          <w:sz w:val="20"/>
          <w:szCs w:val="20"/>
        </w:rPr>
        <w:t>bolo</w:t>
      </w:r>
      <w:r w:rsidRPr="00C70251">
        <w:rPr>
          <w:rFonts w:ascii="Arial" w:hAnsi="Arial" w:cs="Arial"/>
          <w:sz w:val="20"/>
          <w:szCs w:val="20"/>
        </w:rPr>
        <w:t xml:space="preserve"> zabezpečenie efektívneho procesu riadenia a implementácie OP ŽP v súlade s nárokmi kladenými na administratívne štruktúry zodpovedné za </w:t>
      </w:r>
      <w:r w:rsidRPr="00C70251">
        <w:rPr>
          <w:rFonts w:ascii="Arial" w:hAnsi="Arial" w:cs="Arial"/>
          <w:sz w:val="20"/>
          <w:szCs w:val="20"/>
        </w:rPr>
        <w:lastRenderedPageBreak/>
        <w:t>realizáciu operačného programu, a to prostredníctvom podpory prípravných, riadiacich, monitorovacích, hodnotiacich, informačných a kontrolných aktivít</w:t>
      </w:r>
      <w:r>
        <w:rPr>
          <w:rFonts w:ascii="Arial" w:hAnsi="Arial" w:cs="Arial"/>
          <w:sz w:val="20"/>
          <w:szCs w:val="20"/>
        </w:rPr>
        <w:t>,</w:t>
      </w:r>
      <w:r w:rsidRPr="00C70251">
        <w:rPr>
          <w:rFonts w:ascii="Arial" w:hAnsi="Arial" w:cs="Arial"/>
          <w:sz w:val="20"/>
          <w:szCs w:val="20"/>
        </w:rPr>
        <w:t xml:space="preserve"> týkajúcich sa OP ŽP spolu s aktivitami slúžiacimi na posilnenie administratívnych kapacít, ktoré zabezpečujú programovanie, riadenie, implementáciu, finančné riadenie, hodnotenie a monitorovanie, kontrolu a audit OP ŽP.</w:t>
      </w:r>
    </w:p>
    <w:p w14:paraId="6BECA4CA" w14:textId="024B492E" w:rsidR="00446CFD" w:rsidRPr="00C70251" w:rsidRDefault="00446CFD" w:rsidP="00446CFD">
      <w:pPr>
        <w:spacing w:before="120" w:after="120"/>
        <w:jc w:val="both"/>
        <w:rPr>
          <w:rFonts w:ascii="Arial" w:hAnsi="Arial" w:cs="Arial"/>
          <w:sz w:val="20"/>
          <w:szCs w:val="20"/>
        </w:rPr>
      </w:pPr>
      <w:r w:rsidRPr="00C70251">
        <w:rPr>
          <w:rFonts w:ascii="Arial" w:hAnsi="Arial" w:cs="Arial"/>
          <w:sz w:val="20"/>
          <w:szCs w:val="20"/>
        </w:rPr>
        <w:t xml:space="preserve">Prioritná os 6 </w:t>
      </w:r>
      <w:r>
        <w:rPr>
          <w:rFonts w:ascii="Arial" w:hAnsi="Arial" w:cs="Arial"/>
          <w:sz w:val="20"/>
          <w:szCs w:val="20"/>
        </w:rPr>
        <w:t>bola</w:t>
      </w:r>
      <w:r w:rsidRPr="00C70251">
        <w:rPr>
          <w:rFonts w:ascii="Arial" w:hAnsi="Arial" w:cs="Arial"/>
          <w:sz w:val="20"/>
          <w:szCs w:val="20"/>
        </w:rPr>
        <w:t xml:space="preserve"> financovaná z Kohézneho fondu a svojou alokáciou 57 176 470 </w:t>
      </w:r>
      <w:r w:rsidR="005F2C07" w:rsidRPr="00590529">
        <w:rPr>
          <w:rFonts w:ascii="Arial" w:hAnsi="Arial" w:cs="Arial"/>
          <w:sz w:val="20"/>
          <w:szCs w:val="20"/>
        </w:rPr>
        <w:t xml:space="preserve">€ </w:t>
      </w:r>
      <w:r w:rsidRPr="00C70251">
        <w:rPr>
          <w:rFonts w:ascii="Arial" w:hAnsi="Arial" w:cs="Arial"/>
          <w:sz w:val="20"/>
          <w:szCs w:val="20"/>
        </w:rPr>
        <w:t>(zdroje EÚ + ŠR) tvor</w:t>
      </w:r>
      <w:r>
        <w:rPr>
          <w:rFonts w:ascii="Arial" w:hAnsi="Arial" w:cs="Arial"/>
          <w:sz w:val="20"/>
          <w:szCs w:val="20"/>
        </w:rPr>
        <w:t>ila</w:t>
      </w:r>
      <w:r w:rsidRPr="00C70251">
        <w:rPr>
          <w:rFonts w:ascii="Arial" w:hAnsi="Arial" w:cs="Arial"/>
          <w:sz w:val="20"/>
          <w:szCs w:val="20"/>
        </w:rPr>
        <w:t xml:space="preserve"> 2,67 % </w:t>
      </w:r>
      <w:r>
        <w:rPr>
          <w:rFonts w:ascii="Arial" w:hAnsi="Arial" w:cs="Arial"/>
          <w:sz w:val="20"/>
          <w:szCs w:val="20"/>
        </w:rPr>
        <w:t xml:space="preserve">z </w:t>
      </w:r>
      <w:r w:rsidRPr="00C70251">
        <w:rPr>
          <w:rFonts w:ascii="Arial" w:hAnsi="Arial" w:cs="Arial"/>
          <w:sz w:val="20"/>
          <w:szCs w:val="20"/>
        </w:rPr>
        <w:t xml:space="preserve">celkovej alokácie na operačný program </w:t>
      </w:r>
      <w:r w:rsidR="006F6815">
        <w:rPr>
          <w:rFonts w:ascii="Arial" w:hAnsi="Arial" w:cs="Arial"/>
          <w:sz w:val="20"/>
          <w:szCs w:val="20"/>
        </w:rPr>
        <w:t>(</w:t>
      </w:r>
      <w:r w:rsidRPr="00C70251">
        <w:rPr>
          <w:rFonts w:ascii="Arial" w:hAnsi="Arial" w:cs="Arial"/>
          <w:sz w:val="20"/>
          <w:szCs w:val="20"/>
        </w:rPr>
        <w:t xml:space="preserve">po revízii OP ŽP na verziu </w:t>
      </w:r>
      <w:r w:rsidR="006F6815">
        <w:rPr>
          <w:rFonts w:ascii="Arial" w:hAnsi="Arial" w:cs="Arial"/>
          <w:sz w:val="20"/>
          <w:szCs w:val="20"/>
        </w:rPr>
        <w:t>5</w:t>
      </w:r>
      <w:r w:rsidRPr="00C70251">
        <w:rPr>
          <w:rFonts w:ascii="Arial" w:hAnsi="Arial" w:cs="Arial"/>
          <w:sz w:val="20"/>
          <w:szCs w:val="20"/>
        </w:rPr>
        <w:t>.0</w:t>
      </w:r>
      <w:r w:rsidR="006F6815">
        <w:rPr>
          <w:rFonts w:ascii="Arial" w:hAnsi="Arial" w:cs="Arial"/>
          <w:sz w:val="20"/>
          <w:szCs w:val="20"/>
        </w:rPr>
        <w:t>)</w:t>
      </w:r>
      <w:r w:rsidRPr="00C70251">
        <w:rPr>
          <w:rFonts w:ascii="Arial" w:hAnsi="Arial" w:cs="Arial"/>
          <w:sz w:val="20"/>
          <w:szCs w:val="20"/>
        </w:rPr>
        <w:t xml:space="preserve">. </w:t>
      </w:r>
      <w:r>
        <w:rPr>
          <w:rFonts w:ascii="Arial" w:hAnsi="Arial" w:cs="Arial"/>
          <w:sz w:val="20"/>
          <w:szCs w:val="20"/>
        </w:rPr>
        <w:t xml:space="preserve">                </w:t>
      </w:r>
      <w:r w:rsidRPr="00C70251">
        <w:rPr>
          <w:rFonts w:ascii="Arial" w:hAnsi="Arial" w:cs="Arial"/>
          <w:sz w:val="20"/>
          <w:szCs w:val="20"/>
        </w:rPr>
        <w:t xml:space="preserve">Podiel  čerpania  </w:t>
      </w:r>
      <w:r>
        <w:rPr>
          <w:rFonts w:ascii="Arial" w:hAnsi="Arial" w:cs="Arial"/>
          <w:sz w:val="20"/>
          <w:szCs w:val="20"/>
        </w:rPr>
        <w:t>47 073 227,95</w:t>
      </w:r>
      <w:r w:rsidRPr="00C70251">
        <w:rPr>
          <w:rFonts w:ascii="Arial" w:hAnsi="Arial" w:cs="Arial"/>
          <w:sz w:val="20"/>
          <w:szCs w:val="20"/>
        </w:rPr>
        <w:t xml:space="preserve"> </w:t>
      </w:r>
      <w:r w:rsidR="000560D9" w:rsidRPr="000560D9">
        <w:rPr>
          <w:rFonts w:ascii="Arial" w:hAnsi="Arial" w:cs="Arial"/>
          <w:sz w:val="20"/>
          <w:szCs w:val="20"/>
        </w:rPr>
        <w:t>€</w:t>
      </w:r>
      <w:r w:rsidRPr="00C70251">
        <w:rPr>
          <w:rFonts w:ascii="Arial" w:hAnsi="Arial" w:cs="Arial"/>
          <w:sz w:val="20"/>
          <w:szCs w:val="20"/>
        </w:rPr>
        <w:t xml:space="preserve"> na čerpaní alokácie na prioritnú os 6 predstav</w:t>
      </w:r>
      <w:r>
        <w:rPr>
          <w:rFonts w:ascii="Arial" w:hAnsi="Arial" w:cs="Arial"/>
          <w:sz w:val="20"/>
          <w:szCs w:val="20"/>
        </w:rPr>
        <w:t>ovalo</w:t>
      </w:r>
      <w:r w:rsidRPr="00C70251">
        <w:rPr>
          <w:rFonts w:ascii="Arial" w:hAnsi="Arial" w:cs="Arial"/>
          <w:sz w:val="20"/>
          <w:szCs w:val="20"/>
        </w:rPr>
        <w:t xml:space="preserve"> k 3</w:t>
      </w:r>
      <w:r>
        <w:rPr>
          <w:rFonts w:ascii="Arial" w:hAnsi="Arial" w:cs="Arial"/>
          <w:sz w:val="20"/>
          <w:szCs w:val="20"/>
        </w:rPr>
        <w:t>1</w:t>
      </w:r>
      <w:r w:rsidRPr="00C70251">
        <w:rPr>
          <w:rFonts w:ascii="Arial" w:hAnsi="Arial" w:cs="Arial"/>
          <w:sz w:val="20"/>
          <w:szCs w:val="20"/>
        </w:rPr>
        <w:t>. 0</w:t>
      </w:r>
      <w:r>
        <w:rPr>
          <w:rFonts w:ascii="Arial" w:hAnsi="Arial" w:cs="Arial"/>
          <w:sz w:val="20"/>
          <w:szCs w:val="20"/>
        </w:rPr>
        <w:t>8</w:t>
      </w:r>
      <w:r w:rsidRPr="00C70251">
        <w:rPr>
          <w:rFonts w:ascii="Arial" w:hAnsi="Arial" w:cs="Arial"/>
          <w:sz w:val="20"/>
          <w:szCs w:val="20"/>
        </w:rPr>
        <w:t>. 2016  9</w:t>
      </w:r>
      <w:r>
        <w:rPr>
          <w:rFonts w:ascii="Arial" w:hAnsi="Arial" w:cs="Arial"/>
          <w:sz w:val="20"/>
          <w:szCs w:val="20"/>
        </w:rPr>
        <w:t>6</w:t>
      </w:r>
      <w:r w:rsidRPr="00C70251">
        <w:rPr>
          <w:rFonts w:ascii="Arial" w:hAnsi="Arial" w:cs="Arial"/>
          <w:sz w:val="20"/>
          <w:szCs w:val="20"/>
        </w:rPr>
        <w:t>,</w:t>
      </w:r>
      <w:r>
        <w:rPr>
          <w:rFonts w:ascii="Arial" w:hAnsi="Arial" w:cs="Arial"/>
          <w:sz w:val="20"/>
          <w:szCs w:val="20"/>
        </w:rPr>
        <w:t>86</w:t>
      </w:r>
      <w:r w:rsidRPr="00C70251">
        <w:rPr>
          <w:rFonts w:ascii="Arial" w:hAnsi="Arial" w:cs="Arial"/>
          <w:sz w:val="20"/>
          <w:szCs w:val="20"/>
        </w:rPr>
        <w:t xml:space="preserve"> % (zdroje EÚ).</w:t>
      </w:r>
    </w:p>
    <w:p w14:paraId="707AC43A" w14:textId="26CD1DB5" w:rsidR="00446CFD" w:rsidRPr="00C70251" w:rsidRDefault="00446CFD" w:rsidP="00446CFD">
      <w:pPr>
        <w:spacing w:before="120" w:after="120"/>
        <w:jc w:val="both"/>
        <w:rPr>
          <w:rFonts w:ascii="Arial" w:hAnsi="Arial" w:cs="Arial"/>
          <w:sz w:val="20"/>
          <w:szCs w:val="20"/>
        </w:rPr>
      </w:pPr>
      <w:r w:rsidRPr="00C70251">
        <w:rPr>
          <w:rFonts w:ascii="Arial" w:hAnsi="Arial" w:cs="Arial"/>
          <w:sz w:val="20"/>
          <w:szCs w:val="20"/>
        </w:rPr>
        <w:t xml:space="preserve">Zoznamy projektov technickej pomoci sú zverejnené </w:t>
      </w:r>
      <w:r w:rsidR="00FB6D6F">
        <w:rPr>
          <w:rFonts w:ascii="Arial" w:hAnsi="Arial" w:cs="Arial"/>
          <w:sz w:val="20"/>
          <w:szCs w:val="20"/>
        </w:rPr>
        <w:t>na</w:t>
      </w:r>
      <w:r w:rsidR="00FB6D6F" w:rsidRPr="001A6CAA">
        <w:rPr>
          <w:rFonts w:ascii="Arial" w:hAnsi="Arial" w:cs="Arial"/>
          <w:sz w:val="20"/>
          <w:szCs w:val="20"/>
        </w:rPr>
        <w:t xml:space="preserve"> webovom sídle </w:t>
      </w:r>
      <w:hyperlink r:id="rId30" w:history="1">
        <w:r w:rsidR="00FB6D6F" w:rsidRPr="0093280D">
          <w:rPr>
            <w:rStyle w:val="Hypertextovprepojenie"/>
            <w:rFonts w:ascii="Arial" w:hAnsi="Arial" w:cs="Arial"/>
            <w:sz w:val="20"/>
            <w:szCs w:val="20"/>
          </w:rPr>
          <w:t>www.opzp.sk</w:t>
        </w:r>
      </w:hyperlink>
      <w:r w:rsidR="00FB6D6F">
        <w:rPr>
          <w:rFonts w:ascii="Arial" w:hAnsi="Arial" w:cs="Arial"/>
          <w:sz w:val="20"/>
          <w:szCs w:val="20"/>
        </w:rPr>
        <w:t xml:space="preserve"> </w:t>
      </w:r>
      <w:r w:rsidR="00FB6D6F" w:rsidRPr="00FB6D6F">
        <w:rPr>
          <w:rFonts w:ascii="Arial" w:hAnsi="Arial" w:cs="Arial"/>
          <w:sz w:val="20"/>
          <w:szCs w:val="20"/>
        </w:rPr>
        <w:t>Hlavná stránka &gt; Projekty &gt; Projekty technickej pomoci</w:t>
      </w:r>
      <w:r w:rsidR="00FB6D6F">
        <w:rPr>
          <w:rFonts w:ascii="Arial" w:hAnsi="Arial" w:cs="Arial"/>
          <w:sz w:val="20"/>
          <w:szCs w:val="20"/>
        </w:rPr>
        <w:t xml:space="preserve"> a</w:t>
      </w:r>
      <w:r>
        <w:rPr>
          <w:rFonts w:ascii="Arial" w:hAnsi="Arial" w:cs="Arial"/>
          <w:sz w:val="20"/>
          <w:szCs w:val="20"/>
        </w:rPr>
        <w:t xml:space="preserve"> tiež </w:t>
      </w:r>
      <w:r w:rsidRPr="00C70251">
        <w:rPr>
          <w:rFonts w:ascii="Arial" w:hAnsi="Arial" w:cs="Arial"/>
          <w:sz w:val="20"/>
          <w:szCs w:val="20"/>
        </w:rPr>
        <w:t>v</w:t>
      </w:r>
      <w:r w:rsidR="00FB6D6F">
        <w:rPr>
          <w:rFonts w:ascii="Arial" w:hAnsi="Arial" w:cs="Arial"/>
          <w:sz w:val="20"/>
          <w:szCs w:val="20"/>
        </w:rPr>
        <w:t xml:space="preserve"> rámci zoznamov prijímateľov </w:t>
      </w:r>
      <w:r w:rsidR="00FB6D6F" w:rsidRPr="001A6CAA">
        <w:rPr>
          <w:rFonts w:ascii="Arial" w:hAnsi="Arial" w:cs="Arial"/>
          <w:sz w:val="20"/>
          <w:szCs w:val="20"/>
        </w:rPr>
        <w:t>v časti Hlavná stránka &gt; Projekty &gt; Zoznamy OPŽP &gt; Zoznam prijímateľov z OPŽP.</w:t>
      </w:r>
      <w:r w:rsidR="00473D0F" w:rsidRPr="00473D0F">
        <w:rPr>
          <w:rFonts w:ascii="Arial" w:hAnsi="Arial" w:cs="Arial"/>
          <w:sz w:val="20"/>
          <w:szCs w:val="20"/>
        </w:rPr>
        <w:t xml:space="preserve"> </w:t>
      </w:r>
      <w:r w:rsidR="00473D0F" w:rsidRPr="00C70251">
        <w:rPr>
          <w:rFonts w:ascii="Arial" w:hAnsi="Arial" w:cs="Arial"/>
          <w:sz w:val="20"/>
          <w:szCs w:val="20"/>
        </w:rPr>
        <w:t xml:space="preserve">Zoznam schválených projektov prioritnej osi 6 </w:t>
      </w:r>
      <w:r w:rsidR="00473D0F">
        <w:rPr>
          <w:rFonts w:ascii="Arial" w:hAnsi="Arial" w:cs="Arial"/>
          <w:sz w:val="20"/>
          <w:szCs w:val="20"/>
        </w:rPr>
        <w:t xml:space="preserve">so stavom k 31.10.2016 </w:t>
      </w:r>
      <w:r w:rsidR="00473D0F" w:rsidRPr="00C70251">
        <w:rPr>
          <w:rFonts w:ascii="Arial" w:hAnsi="Arial" w:cs="Arial"/>
          <w:sz w:val="20"/>
          <w:szCs w:val="20"/>
        </w:rPr>
        <w:t xml:space="preserve">je </w:t>
      </w:r>
      <w:r w:rsidR="00473D0F">
        <w:rPr>
          <w:rFonts w:ascii="Arial" w:hAnsi="Arial" w:cs="Arial"/>
          <w:sz w:val="20"/>
          <w:szCs w:val="20"/>
        </w:rPr>
        <w:t xml:space="preserve">uvedený v </w:t>
      </w:r>
      <w:r w:rsidR="00473D0F" w:rsidRPr="00C70251">
        <w:rPr>
          <w:rFonts w:ascii="Arial" w:hAnsi="Arial" w:cs="Arial"/>
          <w:sz w:val="20"/>
          <w:szCs w:val="20"/>
        </w:rPr>
        <w:t>Príloh</w:t>
      </w:r>
      <w:r w:rsidR="00473D0F">
        <w:rPr>
          <w:rFonts w:ascii="Arial" w:hAnsi="Arial" w:cs="Arial"/>
          <w:sz w:val="20"/>
          <w:szCs w:val="20"/>
        </w:rPr>
        <w:t>e</w:t>
      </w:r>
      <w:r w:rsidR="00473D0F" w:rsidRPr="00C70251">
        <w:rPr>
          <w:rFonts w:ascii="Arial" w:hAnsi="Arial" w:cs="Arial"/>
          <w:sz w:val="20"/>
          <w:szCs w:val="20"/>
        </w:rPr>
        <w:t xml:space="preserve"> č. 9.</w:t>
      </w:r>
    </w:p>
    <w:p w14:paraId="30C6E62C" w14:textId="77777777" w:rsidR="00446CFD" w:rsidRPr="00C70251" w:rsidRDefault="00446CFD" w:rsidP="00446CFD">
      <w:pPr>
        <w:spacing w:before="240" w:after="120"/>
        <w:outlineLvl w:val="7"/>
        <w:rPr>
          <w:rFonts w:ascii="Arial" w:hAnsi="Arial" w:cs="Arial"/>
          <w:b/>
          <w:i/>
          <w:iCs/>
        </w:rPr>
      </w:pPr>
      <w:r w:rsidRPr="00C70251">
        <w:rPr>
          <w:rFonts w:ascii="Arial" w:hAnsi="Arial" w:cs="Arial"/>
          <w:b/>
          <w:i/>
          <w:iCs/>
        </w:rPr>
        <w:t>3.6.1.1 Stav fyzického pokroku prioritnej osi 6</w:t>
      </w:r>
    </w:p>
    <w:p w14:paraId="5978FEA0" w14:textId="2CDC8852" w:rsidR="00446CFD" w:rsidRPr="00C70251" w:rsidRDefault="00446CFD" w:rsidP="00446CFD">
      <w:pPr>
        <w:spacing w:after="120"/>
        <w:jc w:val="both"/>
        <w:rPr>
          <w:rFonts w:ascii="Arial" w:hAnsi="Arial" w:cs="Arial"/>
          <w:sz w:val="20"/>
          <w:highlight w:val="red"/>
        </w:rPr>
      </w:pPr>
      <w:r w:rsidRPr="00C70251">
        <w:rPr>
          <w:rFonts w:ascii="Arial" w:eastAsia="Calibri" w:hAnsi="Arial" w:cs="Arial"/>
          <w:bCs/>
          <w:sz w:val="20"/>
        </w:rPr>
        <w:t>V roku 2015 bolo vyhlásené 1 písomné vyzvanie na predkladanie žiadostí o NFP OPŽP-PO6-15-1, dňa 10.02.2015. Indikatívna výška finančných prostriedkov</w:t>
      </w:r>
      <w:r w:rsidRPr="00C70251">
        <w:rPr>
          <w:rFonts w:ascii="Arial" w:eastAsia="Calibri" w:hAnsi="Arial" w:cs="Arial"/>
          <w:b/>
          <w:bCs/>
          <w:sz w:val="20"/>
        </w:rPr>
        <w:t xml:space="preserve"> </w:t>
      </w:r>
      <w:r w:rsidRPr="00C70251">
        <w:rPr>
          <w:rFonts w:ascii="Arial" w:eastAsia="Calibri" w:hAnsi="Arial" w:cs="Arial"/>
          <w:bCs/>
          <w:sz w:val="20"/>
        </w:rPr>
        <w:t xml:space="preserve">určených na vyčerpanie v rámci písomného vyzvania predstavovala 14 037 371,00 </w:t>
      </w:r>
      <w:r w:rsidR="000560D9" w:rsidRPr="000560D9">
        <w:rPr>
          <w:rFonts w:ascii="Arial" w:eastAsia="Calibri" w:hAnsi="Arial" w:cs="Arial"/>
          <w:bCs/>
          <w:sz w:val="20"/>
        </w:rPr>
        <w:t>€</w:t>
      </w:r>
      <w:r w:rsidRPr="00C70251">
        <w:rPr>
          <w:rFonts w:ascii="Arial" w:eastAsia="Calibri" w:hAnsi="Arial" w:cs="Arial"/>
          <w:bCs/>
          <w:sz w:val="20"/>
        </w:rPr>
        <w:t xml:space="preserve"> z Kohézneho fondu a tomu zodpovedajúca výška spolufinancovania zo štátneho rozpočtu podľa typu prijímateľa v zmysle Stratégie financovania štrukturálnych fondov a Kohézneho fondu na programové obdobie 2007 – 2013 v platnom znení.  K termínu uzavretia písomného vyzvania</w:t>
      </w:r>
      <w:r>
        <w:rPr>
          <w:rFonts w:ascii="Arial" w:eastAsia="Calibri" w:hAnsi="Arial" w:cs="Arial"/>
          <w:bCs/>
          <w:sz w:val="20"/>
        </w:rPr>
        <w:t xml:space="preserve"> </w:t>
      </w:r>
      <w:r w:rsidRPr="00C70251">
        <w:rPr>
          <w:rFonts w:ascii="Arial" w:eastAsia="Calibri" w:hAnsi="Arial" w:cs="Arial"/>
          <w:bCs/>
          <w:sz w:val="20"/>
        </w:rPr>
        <w:t xml:space="preserve">31. 12. 2015 bolo predložených 6 žiadostí o NFP, pričom všetky </w:t>
      </w:r>
      <w:r>
        <w:rPr>
          <w:rFonts w:ascii="Arial" w:eastAsia="Calibri" w:hAnsi="Arial" w:cs="Arial"/>
          <w:bCs/>
          <w:sz w:val="20"/>
        </w:rPr>
        <w:t xml:space="preserve">žiadosti </w:t>
      </w:r>
      <w:r w:rsidRPr="00C70251">
        <w:rPr>
          <w:rFonts w:ascii="Arial" w:eastAsia="Calibri" w:hAnsi="Arial" w:cs="Arial"/>
          <w:bCs/>
          <w:sz w:val="20"/>
        </w:rPr>
        <w:t xml:space="preserve">splnili podmienky kontroly formálnej správnosti, podmienky odborného hodnotenia a následne aj výberové kritériá. Celková výška schváleného NFP žiadostí bola 15 017 783,71 </w:t>
      </w:r>
      <w:r w:rsidR="000560D9" w:rsidRPr="000560D9">
        <w:rPr>
          <w:rFonts w:ascii="Arial" w:eastAsia="Calibri" w:hAnsi="Arial" w:cs="Arial"/>
          <w:bCs/>
          <w:sz w:val="20"/>
        </w:rPr>
        <w:t>€</w:t>
      </w:r>
      <w:r w:rsidRPr="00C70251">
        <w:rPr>
          <w:rFonts w:ascii="Arial" w:eastAsia="Calibri" w:hAnsi="Arial" w:cs="Arial"/>
          <w:bCs/>
          <w:sz w:val="20"/>
        </w:rPr>
        <w:t xml:space="preserve">, výška zazmluvneného NFP bola 15 017 783,71 </w:t>
      </w:r>
      <w:r w:rsidR="000560D9" w:rsidRPr="000560D9">
        <w:rPr>
          <w:rFonts w:ascii="Arial" w:eastAsia="Calibri" w:hAnsi="Arial" w:cs="Arial"/>
          <w:bCs/>
          <w:sz w:val="20"/>
        </w:rPr>
        <w:t>€</w:t>
      </w:r>
      <w:r w:rsidRPr="00C70251">
        <w:rPr>
          <w:rFonts w:ascii="Arial" w:eastAsia="Calibri" w:hAnsi="Arial" w:cs="Arial"/>
          <w:bCs/>
          <w:sz w:val="20"/>
        </w:rPr>
        <w:t xml:space="preserve"> a čerpanie </w:t>
      </w:r>
      <w:r>
        <w:rPr>
          <w:rFonts w:ascii="Arial" w:eastAsia="Calibri" w:hAnsi="Arial" w:cs="Arial"/>
          <w:bCs/>
          <w:sz w:val="20"/>
        </w:rPr>
        <w:t xml:space="preserve">k 31. 12. 2015 </w:t>
      </w:r>
      <w:r w:rsidRPr="00C70251">
        <w:rPr>
          <w:rFonts w:ascii="Arial" w:eastAsia="Calibri" w:hAnsi="Arial" w:cs="Arial"/>
          <w:bCs/>
          <w:sz w:val="20"/>
        </w:rPr>
        <w:t xml:space="preserve">predstavovalo 14 089 643,90 </w:t>
      </w:r>
      <w:r w:rsidR="000560D9" w:rsidRPr="000560D9">
        <w:rPr>
          <w:rFonts w:ascii="Arial" w:eastAsia="Calibri" w:hAnsi="Arial" w:cs="Arial"/>
          <w:bCs/>
          <w:sz w:val="20"/>
        </w:rPr>
        <w:t>€</w:t>
      </w:r>
      <w:r w:rsidRPr="00C70251">
        <w:rPr>
          <w:rFonts w:ascii="Arial" w:eastAsia="Calibri" w:hAnsi="Arial" w:cs="Arial"/>
          <w:bCs/>
          <w:sz w:val="20"/>
        </w:rPr>
        <w:t>. Prijímateľmi boli MŽP SR a SAŽP ako SORO.</w:t>
      </w:r>
    </w:p>
    <w:p w14:paraId="11CD1566" w14:textId="77777777" w:rsidR="00446CFD" w:rsidRPr="00C70251" w:rsidRDefault="00446CFD" w:rsidP="00446CFD">
      <w:pPr>
        <w:rPr>
          <w:rFonts w:ascii="Arial" w:hAnsi="Arial" w:cs="Arial"/>
          <w:sz w:val="20"/>
          <w:szCs w:val="20"/>
        </w:rPr>
      </w:pPr>
    </w:p>
    <w:p w14:paraId="03BA924C" w14:textId="1BBF5BA0" w:rsidR="00446CFD" w:rsidRPr="00C70251" w:rsidRDefault="00446CFD" w:rsidP="00446CFD">
      <w:pPr>
        <w:rPr>
          <w:rFonts w:ascii="Arial" w:hAnsi="Arial" w:cs="Arial"/>
          <w:sz w:val="20"/>
          <w:szCs w:val="20"/>
        </w:rPr>
      </w:pPr>
      <w:r w:rsidRPr="00C70251">
        <w:rPr>
          <w:rFonts w:ascii="Arial" w:hAnsi="Arial" w:cs="Arial"/>
          <w:sz w:val="20"/>
          <w:szCs w:val="20"/>
        </w:rPr>
        <w:t>Tabuľka č. 6</w:t>
      </w:r>
      <w:r w:rsidR="007B1CB9">
        <w:rPr>
          <w:rFonts w:ascii="Arial" w:hAnsi="Arial" w:cs="Arial"/>
          <w:sz w:val="20"/>
          <w:szCs w:val="20"/>
        </w:rPr>
        <w:t>5</w:t>
      </w:r>
      <w:r w:rsidRPr="00C70251">
        <w:rPr>
          <w:rFonts w:ascii="Arial" w:hAnsi="Arial" w:cs="Arial"/>
          <w:sz w:val="20"/>
          <w:szCs w:val="20"/>
        </w:rPr>
        <w:t>: Prehľad písomných vyzvaní prioritnej osi 6 od 01. 01. 2015 do 31. 12. 2015</w:t>
      </w:r>
    </w:p>
    <w:tbl>
      <w:tblPr>
        <w:tblW w:w="9080" w:type="dxa"/>
        <w:tblInd w:w="55" w:type="dxa"/>
        <w:tblCellMar>
          <w:left w:w="70" w:type="dxa"/>
          <w:right w:w="70" w:type="dxa"/>
        </w:tblCellMar>
        <w:tblLook w:val="04A0" w:firstRow="1" w:lastRow="0" w:firstColumn="1" w:lastColumn="0" w:noHBand="0" w:noVBand="1"/>
      </w:tblPr>
      <w:tblGrid>
        <w:gridCol w:w="1560"/>
        <w:gridCol w:w="1880"/>
        <w:gridCol w:w="1880"/>
        <w:gridCol w:w="1880"/>
        <w:gridCol w:w="1880"/>
      </w:tblGrid>
      <w:tr w:rsidR="00446CFD" w:rsidRPr="00C70251" w14:paraId="428D333B" w14:textId="77777777" w:rsidTr="007D7B08">
        <w:trPr>
          <w:trHeight w:val="690"/>
        </w:trPr>
        <w:tc>
          <w:tcPr>
            <w:tcW w:w="1560"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hideMark/>
          </w:tcPr>
          <w:p w14:paraId="278B0F7B"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Opatrenie</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CDD990F"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Typ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7C4590D7"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Dátum vyhlásenia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3D27162"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 xml:space="preserve">Dátum uzávierky prijímania žiadostí </w:t>
            </w:r>
            <w:r w:rsidRPr="00C70251">
              <w:rPr>
                <w:rFonts w:ascii="Arial" w:hAnsi="Arial" w:cs="Arial"/>
                <w:b/>
                <w:bCs/>
                <w:color w:val="000000"/>
                <w:sz w:val="16"/>
                <w:szCs w:val="16"/>
              </w:rPr>
              <w:br/>
              <w:t>o NFP</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B547806"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Alokácia FP na výzvu (EÚ zdroje) v €</w:t>
            </w:r>
          </w:p>
        </w:tc>
      </w:tr>
      <w:tr w:rsidR="00446CFD" w:rsidRPr="00C70251" w14:paraId="28F124E6" w14:textId="77777777" w:rsidTr="00EA4DD3">
        <w:trPr>
          <w:trHeight w:val="315"/>
        </w:trPr>
        <w:tc>
          <w:tcPr>
            <w:tcW w:w="1560" w:type="dxa"/>
            <w:tcBorders>
              <w:top w:val="nil"/>
              <w:left w:val="single" w:sz="8" w:space="0" w:color="auto"/>
              <w:bottom w:val="single" w:sz="8" w:space="0" w:color="auto"/>
              <w:right w:val="single" w:sz="8" w:space="0" w:color="auto"/>
            </w:tcBorders>
            <w:shd w:val="clear" w:color="auto" w:fill="auto"/>
            <w:noWrap/>
            <w:vAlign w:val="center"/>
            <w:hideMark/>
          </w:tcPr>
          <w:p w14:paraId="3DF328FD"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6</w:t>
            </w:r>
          </w:p>
        </w:tc>
        <w:tc>
          <w:tcPr>
            <w:tcW w:w="1880" w:type="dxa"/>
            <w:tcBorders>
              <w:top w:val="nil"/>
              <w:left w:val="nil"/>
              <w:bottom w:val="single" w:sz="8" w:space="0" w:color="auto"/>
              <w:right w:val="single" w:sz="8" w:space="0" w:color="auto"/>
            </w:tcBorders>
            <w:shd w:val="clear" w:color="auto" w:fill="auto"/>
            <w:noWrap/>
            <w:vAlign w:val="center"/>
            <w:hideMark/>
          </w:tcPr>
          <w:p w14:paraId="3478417C"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OPŽP-PO6-15-1</w:t>
            </w:r>
          </w:p>
        </w:tc>
        <w:tc>
          <w:tcPr>
            <w:tcW w:w="1880" w:type="dxa"/>
            <w:tcBorders>
              <w:top w:val="nil"/>
              <w:left w:val="nil"/>
              <w:bottom w:val="single" w:sz="8" w:space="0" w:color="auto"/>
              <w:right w:val="single" w:sz="8" w:space="0" w:color="auto"/>
            </w:tcBorders>
            <w:shd w:val="clear" w:color="auto" w:fill="auto"/>
            <w:noWrap/>
            <w:vAlign w:val="center"/>
            <w:hideMark/>
          </w:tcPr>
          <w:p w14:paraId="04750825"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12. 02. 2015</w:t>
            </w:r>
          </w:p>
        </w:tc>
        <w:tc>
          <w:tcPr>
            <w:tcW w:w="1880" w:type="dxa"/>
            <w:tcBorders>
              <w:top w:val="nil"/>
              <w:left w:val="nil"/>
              <w:bottom w:val="single" w:sz="8" w:space="0" w:color="auto"/>
              <w:right w:val="single" w:sz="8" w:space="0" w:color="auto"/>
            </w:tcBorders>
            <w:shd w:val="clear" w:color="auto" w:fill="auto"/>
            <w:noWrap/>
            <w:vAlign w:val="center"/>
            <w:hideMark/>
          </w:tcPr>
          <w:p w14:paraId="18C61B9B"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31.12. 2015</w:t>
            </w:r>
          </w:p>
        </w:tc>
        <w:tc>
          <w:tcPr>
            <w:tcW w:w="1880" w:type="dxa"/>
            <w:tcBorders>
              <w:top w:val="nil"/>
              <w:left w:val="nil"/>
              <w:bottom w:val="single" w:sz="8" w:space="0" w:color="auto"/>
              <w:right w:val="single" w:sz="8" w:space="0" w:color="auto"/>
            </w:tcBorders>
            <w:shd w:val="clear" w:color="auto" w:fill="auto"/>
            <w:noWrap/>
            <w:vAlign w:val="center"/>
            <w:hideMark/>
          </w:tcPr>
          <w:p w14:paraId="031DCA93" w14:textId="70F30824"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14 037 371</w:t>
            </w:r>
          </w:p>
        </w:tc>
      </w:tr>
      <w:tr w:rsidR="00446CFD" w:rsidRPr="00C70251" w14:paraId="3F3D91FD" w14:textId="77777777" w:rsidTr="00EA4DD3">
        <w:trPr>
          <w:trHeight w:val="315"/>
        </w:trPr>
        <w:tc>
          <w:tcPr>
            <w:tcW w:w="7200"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14:paraId="46214793" w14:textId="77777777" w:rsidR="00446CFD" w:rsidRPr="00C70251" w:rsidRDefault="00446CFD" w:rsidP="00EA4DD3">
            <w:pPr>
              <w:rPr>
                <w:rFonts w:ascii="Arial" w:hAnsi="Arial" w:cs="Arial"/>
                <w:b/>
                <w:bCs/>
                <w:color w:val="000000"/>
                <w:sz w:val="16"/>
                <w:szCs w:val="16"/>
              </w:rPr>
            </w:pPr>
            <w:r w:rsidRPr="00C70251">
              <w:rPr>
                <w:rFonts w:ascii="Arial" w:hAnsi="Arial" w:cs="Arial"/>
                <w:b/>
                <w:bCs/>
                <w:color w:val="000000"/>
                <w:sz w:val="16"/>
                <w:szCs w:val="16"/>
              </w:rPr>
              <w:t>Spolu za prioritu</w:t>
            </w:r>
          </w:p>
        </w:tc>
        <w:tc>
          <w:tcPr>
            <w:tcW w:w="1880" w:type="dxa"/>
            <w:tcBorders>
              <w:top w:val="nil"/>
              <w:left w:val="nil"/>
              <w:bottom w:val="single" w:sz="8" w:space="0" w:color="auto"/>
              <w:right w:val="single" w:sz="8" w:space="0" w:color="auto"/>
            </w:tcBorders>
            <w:shd w:val="clear" w:color="auto" w:fill="auto"/>
            <w:noWrap/>
            <w:vAlign w:val="center"/>
            <w:hideMark/>
          </w:tcPr>
          <w:p w14:paraId="05C3AFD8" w14:textId="368C3DFF"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14 037 371</w:t>
            </w:r>
          </w:p>
        </w:tc>
      </w:tr>
    </w:tbl>
    <w:p w14:paraId="38166A4E" w14:textId="77777777" w:rsidR="00446CFD" w:rsidRPr="00C70251" w:rsidRDefault="00446CFD" w:rsidP="00446CFD">
      <w:pPr>
        <w:jc w:val="both"/>
        <w:rPr>
          <w:rFonts w:ascii="Arial" w:hAnsi="Arial" w:cs="Arial"/>
          <w:bCs/>
          <w:sz w:val="16"/>
          <w:szCs w:val="16"/>
          <w:highlight w:val="cyan"/>
        </w:rPr>
      </w:pPr>
      <w:r w:rsidRPr="00C70251">
        <w:rPr>
          <w:rFonts w:ascii="Arial" w:hAnsi="Arial" w:cs="Arial"/>
          <w:sz w:val="16"/>
          <w:szCs w:val="16"/>
        </w:rPr>
        <w:t>Zdroj: RO, ITMS</w:t>
      </w:r>
    </w:p>
    <w:p w14:paraId="4EF9128B" w14:textId="77777777" w:rsidR="00446CFD" w:rsidRDefault="00446CFD" w:rsidP="00446CFD">
      <w:pPr>
        <w:spacing w:before="120" w:after="120"/>
        <w:jc w:val="both"/>
        <w:rPr>
          <w:rFonts w:ascii="Arial" w:hAnsi="Arial" w:cs="Arial"/>
          <w:bCs/>
          <w:sz w:val="20"/>
          <w:szCs w:val="20"/>
        </w:rPr>
      </w:pPr>
    </w:p>
    <w:p w14:paraId="49507DE9" w14:textId="63197E88" w:rsidR="00446CFD" w:rsidRDefault="00AA289C" w:rsidP="00446CFD">
      <w:pPr>
        <w:jc w:val="both"/>
        <w:rPr>
          <w:rFonts w:ascii="Arial" w:hAnsi="Arial" w:cs="Arial"/>
          <w:bCs/>
          <w:sz w:val="20"/>
          <w:szCs w:val="20"/>
        </w:rPr>
      </w:pPr>
      <w:r w:rsidRPr="00AA289C">
        <w:rPr>
          <w:rFonts w:ascii="Arial" w:hAnsi="Arial" w:cs="Arial"/>
          <w:bCs/>
          <w:sz w:val="20"/>
          <w:szCs w:val="20"/>
        </w:rPr>
        <w:t>Celkovo bolo k 31.12.2015 na MŽP SR v rámci Prioritnej osi 6 Technická pomoc vyhlásených 7 oznamov o možnosti predkladať žiadosti o NFP a písomných vyzvaní na predkladanie žiadostí o NFP v celkovej alokácii 57 176 470 € (zdroj EÚ+ŠR). Zaregistrovaných bolo 30 žiadostí o NFP vo výške požadovaného NFP 77 886 978 €, z toho 29 žiadostí o NFP bolo schválených</w:t>
      </w:r>
      <w:r>
        <w:rPr>
          <w:rFonts w:ascii="Arial" w:hAnsi="Arial" w:cs="Arial"/>
          <w:bCs/>
          <w:sz w:val="20"/>
          <w:szCs w:val="20"/>
        </w:rPr>
        <w:t xml:space="preserve"> vo výške schváleného príspevku </w:t>
      </w:r>
      <w:r w:rsidRPr="00AA289C">
        <w:rPr>
          <w:rFonts w:ascii="Arial" w:hAnsi="Arial" w:cs="Arial"/>
          <w:bCs/>
          <w:sz w:val="20"/>
          <w:szCs w:val="20"/>
        </w:rPr>
        <w:t>77 881 164 € a 1 žiadosť o NFP bola po registrácii stiahnutá žiadateľom. Zazmluvnených bolo 29 projektov vo výške 76 531 164 € a riadne ukončených bolo 29 projektov s výškou príspevku 5</w:t>
      </w:r>
      <w:r>
        <w:rPr>
          <w:rFonts w:ascii="Arial" w:hAnsi="Arial" w:cs="Arial"/>
          <w:bCs/>
          <w:sz w:val="20"/>
          <w:szCs w:val="20"/>
        </w:rPr>
        <w:t>8</w:t>
      </w:r>
      <w:r w:rsidRPr="00AA289C">
        <w:rPr>
          <w:rFonts w:ascii="Arial" w:hAnsi="Arial" w:cs="Arial"/>
          <w:bCs/>
          <w:sz w:val="20"/>
          <w:szCs w:val="20"/>
        </w:rPr>
        <w:t xml:space="preserve"> 054 499,00 €. V rámci toho 10 projektov bolo mimoriadne ukončených v súvislosti s delimitáciou MŽP SR a zmenou IČO prijímateľa. Následne došlo k vytvoreniu následníckych projektov.</w:t>
      </w:r>
    </w:p>
    <w:p w14:paraId="26C66173" w14:textId="77777777" w:rsidR="00AA289C" w:rsidRPr="00C70251" w:rsidRDefault="00AA289C" w:rsidP="00446CFD">
      <w:pPr>
        <w:jc w:val="both"/>
        <w:rPr>
          <w:rFonts w:ascii="Arial" w:hAnsi="Arial" w:cs="Arial"/>
          <w:bCs/>
          <w:sz w:val="20"/>
          <w:szCs w:val="20"/>
        </w:rPr>
      </w:pPr>
    </w:p>
    <w:p w14:paraId="2FFB41B7" w14:textId="5D16972D" w:rsidR="00446CFD" w:rsidRPr="00C70251" w:rsidRDefault="00446CFD" w:rsidP="00446CFD">
      <w:pPr>
        <w:jc w:val="both"/>
        <w:rPr>
          <w:rFonts w:ascii="Arial" w:hAnsi="Arial" w:cs="Arial"/>
          <w:bCs/>
          <w:sz w:val="20"/>
          <w:szCs w:val="20"/>
        </w:rPr>
      </w:pPr>
      <w:r w:rsidRPr="00C70251">
        <w:rPr>
          <w:rFonts w:ascii="Arial" w:hAnsi="Arial" w:cs="Arial"/>
          <w:bCs/>
          <w:sz w:val="20"/>
          <w:szCs w:val="20"/>
        </w:rPr>
        <w:t>Tabuľka č. 6</w:t>
      </w:r>
      <w:r w:rsidR="007B1CB9">
        <w:rPr>
          <w:rFonts w:ascii="Arial" w:hAnsi="Arial" w:cs="Arial"/>
          <w:bCs/>
          <w:sz w:val="20"/>
          <w:szCs w:val="20"/>
        </w:rPr>
        <w:t>6</w:t>
      </w:r>
      <w:r w:rsidRPr="00C70251">
        <w:rPr>
          <w:rFonts w:ascii="Arial" w:hAnsi="Arial" w:cs="Arial"/>
          <w:bCs/>
          <w:sz w:val="20"/>
          <w:szCs w:val="20"/>
        </w:rPr>
        <w:t>a: Sledovanie pokroku v implementácii prioritnej osi 6 k </w:t>
      </w:r>
      <w:r w:rsidR="001F3FF9" w:rsidRPr="0032447E">
        <w:rPr>
          <w:rFonts w:ascii="Arial" w:hAnsi="Arial" w:cs="Arial"/>
          <w:bCs/>
          <w:sz w:val="20"/>
          <w:szCs w:val="20"/>
        </w:rPr>
        <w:t>3</w:t>
      </w:r>
      <w:r w:rsidR="0032447E">
        <w:rPr>
          <w:rFonts w:ascii="Arial" w:hAnsi="Arial" w:cs="Arial"/>
          <w:bCs/>
          <w:sz w:val="20"/>
          <w:szCs w:val="20"/>
        </w:rPr>
        <w:t>1</w:t>
      </w:r>
      <w:r w:rsidR="001F3FF9" w:rsidRPr="0032447E">
        <w:rPr>
          <w:rFonts w:ascii="Arial" w:hAnsi="Arial" w:cs="Arial"/>
          <w:bCs/>
          <w:sz w:val="20"/>
          <w:szCs w:val="20"/>
        </w:rPr>
        <w:t>.</w:t>
      </w:r>
      <w:r w:rsidR="0032447E">
        <w:rPr>
          <w:rFonts w:ascii="Arial" w:hAnsi="Arial" w:cs="Arial"/>
          <w:bCs/>
          <w:sz w:val="20"/>
          <w:szCs w:val="20"/>
        </w:rPr>
        <w:t>10</w:t>
      </w:r>
      <w:r w:rsidR="001F3FF9" w:rsidRPr="0032447E">
        <w:rPr>
          <w:rFonts w:ascii="Arial" w:hAnsi="Arial" w:cs="Arial"/>
          <w:bCs/>
          <w:sz w:val="20"/>
          <w:szCs w:val="20"/>
        </w:rPr>
        <w:t>.</w:t>
      </w:r>
      <w:r w:rsidRPr="0032447E">
        <w:rPr>
          <w:rFonts w:ascii="Arial" w:hAnsi="Arial" w:cs="Arial"/>
          <w:bCs/>
          <w:sz w:val="20"/>
          <w:szCs w:val="20"/>
        </w:rPr>
        <w:t>2016</w:t>
      </w:r>
    </w:p>
    <w:tbl>
      <w:tblPr>
        <w:tblW w:w="9180" w:type="dxa"/>
        <w:tblInd w:w="55" w:type="dxa"/>
        <w:tblCellMar>
          <w:left w:w="70" w:type="dxa"/>
          <w:right w:w="70" w:type="dxa"/>
        </w:tblCellMar>
        <w:tblLook w:val="04A0" w:firstRow="1" w:lastRow="0" w:firstColumn="1" w:lastColumn="0" w:noHBand="0" w:noVBand="1"/>
      </w:tblPr>
      <w:tblGrid>
        <w:gridCol w:w="1880"/>
        <w:gridCol w:w="1460"/>
        <w:gridCol w:w="1460"/>
        <w:gridCol w:w="1460"/>
        <w:gridCol w:w="1460"/>
        <w:gridCol w:w="1460"/>
      </w:tblGrid>
      <w:tr w:rsidR="00446CFD" w:rsidRPr="00C70251" w14:paraId="111C8DD2"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514DCCD"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Prioritná téma</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C677DB7"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Počet prijatých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94E95C5"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Počet schválených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6D47A8F"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Počet zazmluvnených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06EB18B"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Počet riadne ukončených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19DE30F"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Počet mimoriadne ukončených projektov</w:t>
            </w:r>
          </w:p>
        </w:tc>
      </w:tr>
      <w:tr w:rsidR="00446CFD" w:rsidRPr="00C70251" w14:paraId="7260EED2" w14:textId="77777777" w:rsidTr="00EA4DD3">
        <w:trPr>
          <w:trHeight w:val="675"/>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0F796854" w14:textId="77777777" w:rsidR="00446CFD" w:rsidRPr="00C70251" w:rsidRDefault="00446CFD" w:rsidP="00EA4DD3">
            <w:pPr>
              <w:rPr>
                <w:rFonts w:ascii="Arial" w:hAnsi="Arial" w:cs="Arial"/>
                <w:color w:val="000000"/>
                <w:sz w:val="16"/>
                <w:szCs w:val="16"/>
              </w:rPr>
            </w:pPr>
            <w:r w:rsidRPr="00C70251">
              <w:rPr>
                <w:rFonts w:ascii="Arial" w:hAnsi="Arial" w:cs="Arial"/>
                <w:color w:val="000000"/>
                <w:sz w:val="16"/>
                <w:szCs w:val="16"/>
              </w:rPr>
              <w:t xml:space="preserve">86 - Hodnotenie </w:t>
            </w:r>
            <w:r w:rsidRPr="00C70251">
              <w:rPr>
                <w:rFonts w:ascii="Arial" w:hAnsi="Arial" w:cs="Arial"/>
                <w:color w:val="000000"/>
                <w:sz w:val="16"/>
                <w:szCs w:val="16"/>
              </w:rPr>
              <w:br/>
              <w:t xml:space="preserve">a štúdie, informácie </w:t>
            </w:r>
            <w:r w:rsidRPr="00C70251">
              <w:rPr>
                <w:rFonts w:ascii="Arial" w:hAnsi="Arial" w:cs="Arial"/>
                <w:color w:val="000000"/>
                <w:sz w:val="16"/>
                <w:szCs w:val="16"/>
              </w:rPr>
              <w:br/>
              <w:t>a komunikácia</w:t>
            </w:r>
          </w:p>
        </w:tc>
        <w:tc>
          <w:tcPr>
            <w:tcW w:w="1460" w:type="dxa"/>
            <w:tcBorders>
              <w:top w:val="nil"/>
              <w:left w:val="nil"/>
              <w:bottom w:val="single" w:sz="4" w:space="0" w:color="auto"/>
              <w:right w:val="single" w:sz="4" w:space="0" w:color="auto"/>
            </w:tcBorders>
            <w:shd w:val="clear" w:color="auto" w:fill="auto"/>
            <w:noWrap/>
            <w:vAlign w:val="center"/>
            <w:hideMark/>
          </w:tcPr>
          <w:p w14:paraId="3FA40EBB"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7</w:t>
            </w:r>
          </w:p>
        </w:tc>
        <w:tc>
          <w:tcPr>
            <w:tcW w:w="1460" w:type="dxa"/>
            <w:tcBorders>
              <w:top w:val="nil"/>
              <w:left w:val="nil"/>
              <w:bottom w:val="single" w:sz="4" w:space="0" w:color="auto"/>
              <w:right w:val="single" w:sz="4" w:space="0" w:color="auto"/>
            </w:tcBorders>
            <w:shd w:val="clear" w:color="auto" w:fill="auto"/>
            <w:noWrap/>
            <w:vAlign w:val="center"/>
            <w:hideMark/>
          </w:tcPr>
          <w:p w14:paraId="13D60493"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7</w:t>
            </w:r>
          </w:p>
        </w:tc>
        <w:tc>
          <w:tcPr>
            <w:tcW w:w="1460" w:type="dxa"/>
            <w:tcBorders>
              <w:top w:val="nil"/>
              <w:left w:val="nil"/>
              <w:bottom w:val="single" w:sz="4" w:space="0" w:color="auto"/>
              <w:right w:val="single" w:sz="4" w:space="0" w:color="auto"/>
            </w:tcBorders>
            <w:shd w:val="clear" w:color="auto" w:fill="auto"/>
            <w:noWrap/>
            <w:vAlign w:val="center"/>
            <w:hideMark/>
          </w:tcPr>
          <w:p w14:paraId="147A351A"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7</w:t>
            </w:r>
          </w:p>
        </w:tc>
        <w:tc>
          <w:tcPr>
            <w:tcW w:w="1460" w:type="dxa"/>
            <w:tcBorders>
              <w:top w:val="nil"/>
              <w:left w:val="nil"/>
              <w:bottom w:val="single" w:sz="4" w:space="0" w:color="auto"/>
              <w:right w:val="single" w:sz="4" w:space="0" w:color="auto"/>
            </w:tcBorders>
            <w:shd w:val="clear" w:color="auto" w:fill="auto"/>
            <w:noWrap/>
            <w:vAlign w:val="center"/>
            <w:hideMark/>
          </w:tcPr>
          <w:p w14:paraId="2F53D4AD"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7</w:t>
            </w:r>
          </w:p>
        </w:tc>
        <w:tc>
          <w:tcPr>
            <w:tcW w:w="1460" w:type="dxa"/>
            <w:tcBorders>
              <w:top w:val="nil"/>
              <w:left w:val="nil"/>
              <w:bottom w:val="single" w:sz="4" w:space="0" w:color="auto"/>
              <w:right w:val="single" w:sz="4" w:space="0" w:color="auto"/>
            </w:tcBorders>
            <w:shd w:val="clear" w:color="auto" w:fill="auto"/>
            <w:noWrap/>
            <w:vAlign w:val="center"/>
            <w:hideMark/>
          </w:tcPr>
          <w:p w14:paraId="3E12CD76"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0</w:t>
            </w:r>
          </w:p>
        </w:tc>
      </w:tr>
      <w:tr w:rsidR="00446CFD" w:rsidRPr="00C70251" w14:paraId="320245A9" w14:textId="77777777" w:rsidTr="00EA4DD3">
        <w:trPr>
          <w:trHeight w:val="9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0BB6EF05" w14:textId="77777777" w:rsidR="00446CFD" w:rsidRPr="00C70251" w:rsidRDefault="00446CFD" w:rsidP="00EA4DD3">
            <w:pPr>
              <w:rPr>
                <w:rFonts w:ascii="Arial" w:hAnsi="Arial" w:cs="Arial"/>
                <w:color w:val="000000"/>
                <w:sz w:val="16"/>
                <w:szCs w:val="16"/>
              </w:rPr>
            </w:pPr>
            <w:r w:rsidRPr="00C70251">
              <w:rPr>
                <w:rFonts w:ascii="Arial" w:hAnsi="Arial" w:cs="Arial"/>
                <w:color w:val="000000"/>
                <w:sz w:val="16"/>
                <w:szCs w:val="16"/>
              </w:rPr>
              <w:lastRenderedPageBreak/>
              <w:t xml:space="preserve">85 - Príprava, vykonávanie, monitorovanie </w:t>
            </w:r>
            <w:r w:rsidRPr="00C70251">
              <w:rPr>
                <w:rFonts w:ascii="Arial" w:hAnsi="Arial" w:cs="Arial"/>
                <w:color w:val="000000"/>
                <w:sz w:val="16"/>
                <w:szCs w:val="16"/>
              </w:rPr>
              <w:br/>
              <w:t>a kontrola</w:t>
            </w:r>
          </w:p>
        </w:tc>
        <w:tc>
          <w:tcPr>
            <w:tcW w:w="1460" w:type="dxa"/>
            <w:tcBorders>
              <w:top w:val="nil"/>
              <w:left w:val="nil"/>
              <w:bottom w:val="single" w:sz="4" w:space="0" w:color="auto"/>
              <w:right w:val="single" w:sz="4" w:space="0" w:color="auto"/>
            </w:tcBorders>
            <w:shd w:val="clear" w:color="auto" w:fill="auto"/>
            <w:noWrap/>
            <w:vAlign w:val="center"/>
            <w:hideMark/>
          </w:tcPr>
          <w:p w14:paraId="03FC48B2"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22</w:t>
            </w:r>
          </w:p>
        </w:tc>
        <w:tc>
          <w:tcPr>
            <w:tcW w:w="1460" w:type="dxa"/>
            <w:tcBorders>
              <w:top w:val="nil"/>
              <w:left w:val="nil"/>
              <w:bottom w:val="single" w:sz="4" w:space="0" w:color="auto"/>
              <w:right w:val="single" w:sz="4" w:space="0" w:color="auto"/>
            </w:tcBorders>
            <w:shd w:val="clear" w:color="auto" w:fill="auto"/>
            <w:noWrap/>
            <w:vAlign w:val="center"/>
            <w:hideMark/>
          </w:tcPr>
          <w:p w14:paraId="007D78C9"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22</w:t>
            </w:r>
          </w:p>
        </w:tc>
        <w:tc>
          <w:tcPr>
            <w:tcW w:w="1460" w:type="dxa"/>
            <w:tcBorders>
              <w:top w:val="nil"/>
              <w:left w:val="nil"/>
              <w:bottom w:val="single" w:sz="4" w:space="0" w:color="auto"/>
              <w:right w:val="single" w:sz="4" w:space="0" w:color="auto"/>
            </w:tcBorders>
            <w:shd w:val="clear" w:color="auto" w:fill="auto"/>
            <w:noWrap/>
            <w:vAlign w:val="center"/>
            <w:hideMark/>
          </w:tcPr>
          <w:p w14:paraId="688F5942"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22</w:t>
            </w:r>
          </w:p>
        </w:tc>
        <w:tc>
          <w:tcPr>
            <w:tcW w:w="1460" w:type="dxa"/>
            <w:tcBorders>
              <w:top w:val="nil"/>
              <w:left w:val="nil"/>
              <w:bottom w:val="single" w:sz="4" w:space="0" w:color="auto"/>
              <w:right w:val="single" w:sz="4" w:space="0" w:color="auto"/>
            </w:tcBorders>
            <w:shd w:val="clear" w:color="auto" w:fill="auto"/>
            <w:noWrap/>
            <w:vAlign w:val="center"/>
            <w:hideMark/>
          </w:tcPr>
          <w:p w14:paraId="5E60398E"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22</w:t>
            </w:r>
          </w:p>
        </w:tc>
        <w:tc>
          <w:tcPr>
            <w:tcW w:w="1460" w:type="dxa"/>
            <w:tcBorders>
              <w:top w:val="nil"/>
              <w:left w:val="nil"/>
              <w:bottom w:val="single" w:sz="4" w:space="0" w:color="auto"/>
              <w:right w:val="single" w:sz="4" w:space="0" w:color="auto"/>
            </w:tcBorders>
            <w:shd w:val="clear" w:color="auto" w:fill="auto"/>
            <w:noWrap/>
            <w:vAlign w:val="center"/>
            <w:hideMark/>
          </w:tcPr>
          <w:p w14:paraId="2C8CD634" w14:textId="77777777" w:rsidR="00446CFD" w:rsidRPr="00C70251" w:rsidRDefault="00446CFD" w:rsidP="00EA4DD3">
            <w:pPr>
              <w:jc w:val="center"/>
              <w:rPr>
                <w:rFonts w:ascii="Arial" w:hAnsi="Arial" w:cs="Arial"/>
                <w:color w:val="000000"/>
                <w:sz w:val="16"/>
                <w:szCs w:val="16"/>
              </w:rPr>
            </w:pPr>
            <w:r w:rsidRPr="00C70251">
              <w:rPr>
                <w:rFonts w:ascii="Arial" w:hAnsi="Arial" w:cs="Arial"/>
                <w:color w:val="000000"/>
                <w:sz w:val="16"/>
                <w:szCs w:val="16"/>
              </w:rPr>
              <w:t>0</w:t>
            </w:r>
          </w:p>
        </w:tc>
      </w:tr>
      <w:tr w:rsidR="00446CFD" w:rsidRPr="00C70251" w14:paraId="3D57E595" w14:textId="77777777" w:rsidTr="00EA4DD3">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1C3723C9" w14:textId="77777777" w:rsidR="00446CFD" w:rsidRPr="00C70251" w:rsidRDefault="00446CFD" w:rsidP="00EA4DD3">
            <w:pPr>
              <w:rPr>
                <w:rFonts w:ascii="Arial" w:hAnsi="Arial" w:cs="Arial"/>
                <w:b/>
                <w:bCs/>
                <w:color w:val="000000"/>
                <w:sz w:val="16"/>
                <w:szCs w:val="16"/>
              </w:rPr>
            </w:pPr>
            <w:r w:rsidRPr="00C70251">
              <w:rPr>
                <w:rFonts w:ascii="Arial" w:hAnsi="Arial" w:cs="Arial"/>
                <w:b/>
                <w:bCs/>
                <w:color w:val="000000"/>
                <w:sz w:val="16"/>
                <w:szCs w:val="16"/>
              </w:rPr>
              <w:t>Celkom</w:t>
            </w:r>
          </w:p>
        </w:tc>
        <w:tc>
          <w:tcPr>
            <w:tcW w:w="1460" w:type="dxa"/>
            <w:tcBorders>
              <w:top w:val="nil"/>
              <w:left w:val="nil"/>
              <w:bottom w:val="single" w:sz="4" w:space="0" w:color="auto"/>
              <w:right w:val="single" w:sz="4" w:space="0" w:color="auto"/>
            </w:tcBorders>
            <w:shd w:val="clear" w:color="000000" w:fill="EBF1DE"/>
            <w:noWrap/>
            <w:vAlign w:val="center"/>
            <w:hideMark/>
          </w:tcPr>
          <w:p w14:paraId="0A64A320"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29</w:t>
            </w:r>
          </w:p>
        </w:tc>
        <w:tc>
          <w:tcPr>
            <w:tcW w:w="1460" w:type="dxa"/>
            <w:tcBorders>
              <w:top w:val="nil"/>
              <w:left w:val="nil"/>
              <w:bottom w:val="single" w:sz="4" w:space="0" w:color="auto"/>
              <w:right w:val="single" w:sz="4" w:space="0" w:color="auto"/>
            </w:tcBorders>
            <w:shd w:val="clear" w:color="000000" w:fill="EBF1DE"/>
            <w:noWrap/>
            <w:vAlign w:val="center"/>
            <w:hideMark/>
          </w:tcPr>
          <w:p w14:paraId="51D2B294"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29</w:t>
            </w:r>
          </w:p>
        </w:tc>
        <w:tc>
          <w:tcPr>
            <w:tcW w:w="1460" w:type="dxa"/>
            <w:tcBorders>
              <w:top w:val="nil"/>
              <w:left w:val="nil"/>
              <w:bottom w:val="single" w:sz="4" w:space="0" w:color="auto"/>
              <w:right w:val="single" w:sz="4" w:space="0" w:color="auto"/>
            </w:tcBorders>
            <w:shd w:val="clear" w:color="000000" w:fill="EBF1DE"/>
            <w:noWrap/>
            <w:vAlign w:val="center"/>
            <w:hideMark/>
          </w:tcPr>
          <w:p w14:paraId="1B19BB33"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29</w:t>
            </w:r>
          </w:p>
        </w:tc>
        <w:tc>
          <w:tcPr>
            <w:tcW w:w="1460" w:type="dxa"/>
            <w:tcBorders>
              <w:top w:val="nil"/>
              <w:left w:val="nil"/>
              <w:bottom w:val="single" w:sz="4" w:space="0" w:color="auto"/>
              <w:right w:val="single" w:sz="4" w:space="0" w:color="auto"/>
            </w:tcBorders>
            <w:shd w:val="clear" w:color="000000" w:fill="EBF1DE"/>
            <w:noWrap/>
            <w:vAlign w:val="center"/>
            <w:hideMark/>
          </w:tcPr>
          <w:p w14:paraId="452F486D"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29</w:t>
            </w:r>
          </w:p>
        </w:tc>
        <w:tc>
          <w:tcPr>
            <w:tcW w:w="1460" w:type="dxa"/>
            <w:tcBorders>
              <w:top w:val="nil"/>
              <w:left w:val="nil"/>
              <w:bottom w:val="single" w:sz="4" w:space="0" w:color="auto"/>
              <w:right w:val="single" w:sz="4" w:space="0" w:color="auto"/>
            </w:tcBorders>
            <w:shd w:val="clear" w:color="000000" w:fill="EBF1DE"/>
            <w:noWrap/>
            <w:vAlign w:val="center"/>
            <w:hideMark/>
          </w:tcPr>
          <w:p w14:paraId="41FA6094"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0</w:t>
            </w:r>
          </w:p>
        </w:tc>
      </w:tr>
    </w:tbl>
    <w:p w14:paraId="700F5A78" w14:textId="77777777" w:rsidR="00446CFD" w:rsidRPr="00C70251" w:rsidRDefault="00446CFD" w:rsidP="00446CFD">
      <w:pPr>
        <w:spacing w:before="120"/>
        <w:jc w:val="both"/>
        <w:rPr>
          <w:rFonts w:ascii="Arial" w:hAnsi="Arial" w:cs="Arial"/>
          <w:bCs/>
          <w:sz w:val="20"/>
          <w:szCs w:val="20"/>
        </w:rPr>
      </w:pPr>
    </w:p>
    <w:p w14:paraId="180EA987" w14:textId="4A77C1E4" w:rsidR="00446CFD" w:rsidRPr="00C70251" w:rsidRDefault="00446CFD" w:rsidP="00446CFD">
      <w:pPr>
        <w:spacing w:before="120"/>
        <w:jc w:val="both"/>
        <w:rPr>
          <w:rFonts w:ascii="Arial" w:hAnsi="Arial" w:cs="Arial"/>
          <w:bCs/>
          <w:sz w:val="20"/>
          <w:szCs w:val="20"/>
        </w:rPr>
      </w:pPr>
      <w:r w:rsidRPr="00C70251">
        <w:rPr>
          <w:rFonts w:ascii="Arial" w:hAnsi="Arial" w:cs="Arial"/>
          <w:bCs/>
          <w:sz w:val="20"/>
          <w:szCs w:val="20"/>
        </w:rPr>
        <w:t>Tabuľka č. 6</w:t>
      </w:r>
      <w:r w:rsidR="007B1CB9">
        <w:rPr>
          <w:rFonts w:ascii="Arial" w:hAnsi="Arial" w:cs="Arial"/>
          <w:bCs/>
          <w:sz w:val="20"/>
          <w:szCs w:val="20"/>
        </w:rPr>
        <w:t>6</w:t>
      </w:r>
      <w:r w:rsidRPr="00C70251">
        <w:rPr>
          <w:rFonts w:ascii="Arial" w:hAnsi="Arial" w:cs="Arial"/>
          <w:bCs/>
          <w:sz w:val="20"/>
          <w:szCs w:val="20"/>
        </w:rPr>
        <w:t>b: Finančné vyjadrenie pokroku v implementácii prioritnej osi 6 k</w:t>
      </w:r>
      <w:r w:rsidR="0032447E">
        <w:rPr>
          <w:rFonts w:ascii="Arial" w:hAnsi="Arial" w:cs="Arial"/>
          <w:bCs/>
          <w:sz w:val="20"/>
          <w:szCs w:val="20"/>
        </w:rPr>
        <w:t> 31.10.2016</w:t>
      </w:r>
      <w:r w:rsidRPr="00C70251">
        <w:rPr>
          <w:rFonts w:ascii="Arial" w:hAnsi="Arial" w:cs="Arial"/>
          <w:bCs/>
          <w:sz w:val="20"/>
          <w:szCs w:val="20"/>
        </w:rPr>
        <w:t xml:space="preserve"> (v €)</w:t>
      </w:r>
    </w:p>
    <w:tbl>
      <w:tblPr>
        <w:tblW w:w="9200" w:type="dxa"/>
        <w:tblInd w:w="55" w:type="dxa"/>
        <w:tblCellMar>
          <w:left w:w="70" w:type="dxa"/>
          <w:right w:w="70" w:type="dxa"/>
        </w:tblCellMar>
        <w:tblLook w:val="04A0" w:firstRow="1" w:lastRow="0" w:firstColumn="1" w:lastColumn="0" w:noHBand="0" w:noVBand="1"/>
      </w:tblPr>
      <w:tblGrid>
        <w:gridCol w:w="1880"/>
        <w:gridCol w:w="1180"/>
        <w:gridCol w:w="1180"/>
        <w:gridCol w:w="1180"/>
        <w:gridCol w:w="1400"/>
        <w:gridCol w:w="1200"/>
        <w:gridCol w:w="1180"/>
      </w:tblGrid>
      <w:tr w:rsidR="00446CFD" w:rsidRPr="00C70251" w14:paraId="298CCB22"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58A644E"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Prioritná téma</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936CA05"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Alokácia za zdroj EÚ+ŠR</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5F0F8CF"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 xml:space="preserve">Výška žiadaného príspevku (NFP)  </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885F29D"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 xml:space="preserve">Výška schváleného príspevku (NFP) </w:t>
            </w:r>
          </w:p>
        </w:tc>
        <w:tc>
          <w:tcPr>
            <w:tcW w:w="14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5B973EF"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Výška zazmluvnených prostriedkov (NFP)</w:t>
            </w:r>
          </w:p>
        </w:tc>
        <w:tc>
          <w:tcPr>
            <w:tcW w:w="12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6A17E40"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Výška riadne ukončených projektov</w:t>
            </w:r>
            <w:r w:rsidRPr="00C70251">
              <w:rPr>
                <w:rFonts w:ascii="Arial" w:hAnsi="Arial" w:cs="Arial"/>
                <w:b/>
                <w:bCs/>
                <w:color w:val="000000"/>
                <w:sz w:val="16"/>
                <w:szCs w:val="16"/>
                <w:vertAlign w:val="superscript"/>
              </w:rPr>
              <w:t>1</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C7542B4"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Výška mimoriadne ukončených projektov</w:t>
            </w:r>
          </w:p>
        </w:tc>
      </w:tr>
      <w:tr w:rsidR="0032447E" w:rsidRPr="00C70251" w14:paraId="311B7C31" w14:textId="77777777" w:rsidTr="0032447E">
        <w:trPr>
          <w:trHeight w:val="675"/>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1959A5BB" w14:textId="77777777" w:rsidR="0032447E" w:rsidRPr="00C70251" w:rsidRDefault="0032447E" w:rsidP="0032447E">
            <w:pPr>
              <w:rPr>
                <w:rFonts w:ascii="Arial" w:hAnsi="Arial" w:cs="Arial"/>
                <w:color w:val="000000"/>
                <w:sz w:val="16"/>
                <w:szCs w:val="16"/>
              </w:rPr>
            </w:pPr>
            <w:r w:rsidRPr="00C70251">
              <w:rPr>
                <w:rFonts w:ascii="Arial" w:hAnsi="Arial" w:cs="Arial"/>
                <w:color w:val="000000"/>
                <w:sz w:val="16"/>
                <w:szCs w:val="16"/>
              </w:rPr>
              <w:t xml:space="preserve">86 - Hodnotenie </w:t>
            </w:r>
            <w:r w:rsidRPr="00C70251">
              <w:rPr>
                <w:rFonts w:ascii="Arial" w:hAnsi="Arial" w:cs="Arial"/>
                <w:color w:val="000000"/>
                <w:sz w:val="16"/>
                <w:szCs w:val="16"/>
              </w:rPr>
              <w:br/>
              <w:t xml:space="preserve">a štúdie, informácie </w:t>
            </w:r>
            <w:r w:rsidRPr="00C70251">
              <w:rPr>
                <w:rFonts w:ascii="Arial" w:hAnsi="Arial" w:cs="Arial"/>
                <w:color w:val="000000"/>
                <w:sz w:val="16"/>
                <w:szCs w:val="16"/>
              </w:rPr>
              <w:br/>
              <w:t>a komunikácia</w:t>
            </w:r>
          </w:p>
        </w:tc>
        <w:tc>
          <w:tcPr>
            <w:tcW w:w="1180" w:type="dxa"/>
            <w:tcBorders>
              <w:top w:val="nil"/>
              <w:left w:val="nil"/>
              <w:bottom w:val="single" w:sz="4" w:space="0" w:color="auto"/>
              <w:right w:val="single" w:sz="4" w:space="0" w:color="auto"/>
            </w:tcBorders>
            <w:shd w:val="clear" w:color="auto" w:fill="auto"/>
            <w:vAlign w:val="center"/>
            <w:hideMark/>
          </w:tcPr>
          <w:p w14:paraId="1F37AA43" w14:textId="52A6A9FE"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18 941 176</w:t>
            </w:r>
          </w:p>
        </w:tc>
        <w:tc>
          <w:tcPr>
            <w:tcW w:w="11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8B9013" w14:textId="11BAFF69"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24 183 764</w:t>
            </w:r>
          </w:p>
        </w:tc>
        <w:tc>
          <w:tcPr>
            <w:tcW w:w="1180" w:type="dxa"/>
            <w:tcBorders>
              <w:top w:val="single" w:sz="4" w:space="0" w:color="auto"/>
              <w:left w:val="nil"/>
              <w:bottom w:val="single" w:sz="4" w:space="0" w:color="auto"/>
              <w:right w:val="single" w:sz="4" w:space="0" w:color="auto"/>
            </w:tcBorders>
            <w:shd w:val="clear" w:color="auto" w:fill="auto"/>
            <w:noWrap/>
            <w:vAlign w:val="center"/>
          </w:tcPr>
          <w:p w14:paraId="46230A89" w14:textId="66F71BB8"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24 181 730</w:t>
            </w:r>
          </w:p>
        </w:tc>
        <w:tc>
          <w:tcPr>
            <w:tcW w:w="1400" w:type="dxa"/>
            <w:tcBorders>
              <w:top w:val="single" w:sz="4" w:space="0" w:color="auto"/>
              <w:left w:val="nil"/>
              <w:bottom w:val="single" w:sz="4" w:space="0" w:color="auto"/>
              <w:right w:val="single" w:sz="4" w:space="0" w:color="auto"/>
            </w:tcBorders>
            <w:shd w:val="clear" w:color="auto" w:fill="auto"/>
            <w:noWrap/>
            <w:vAlign w:val="center"/>
          </w:tcPr>
          <w:p w14:paraId="4957F73F" w14:textId="65EE0D71"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22 844 618</w:t>
            </w:r>
          </w:p>
        </w:tc>
        <w:tc>
          <w:tcPr>
            <w:tcW w:w="1200" w:type="dxa"/>
            <w:tcBorders>
              <w:top w:val="single" w:sz="4" w:space="0" w:color="auto"/>
              <w:left w:val="nil"/>
              <w:bottom w:val="single" w:sz="4" w:space="0" w:color="auto"/>
              <w:right w:val="single" w:sz="4" w:space="0" w:color="auto"/>
            </w:tcBorders>
            <w:shd w:val="clear" w:color="auto" w:fill="auto"/>
            <w:noWrap/>
            <w:vAlign w:val="center"/>
          </w:tcPr>
          <w:p w14:paraId="4EB4FEAF" w14:textId="5D3A2217"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20 708 367</w:t>
            </w:r>
          </w:p>
        </w:tc>
        <w:tc>
          <w:tcPr>
            <w:tcW w:w="1180" w:type="dxa"/>
            <w:tcBorders>
              <w:top w:val="single" w:sz="4" w:space="0" w:color="auto"/>
              <w:left w:val="nil"/>
              <w:bottom w:val="single" w:sz="4" w:space="0" w:color="auto"/>
              <w:right w:val="single" w:sz="4" w:space="0" w:color="auto"/>
            </w:tcBorders>
            <w:shd w:val="clear" w:color="auto" w:fill="auto"/>
            <w:noWrap/>
            <w:vAlign w:val="center"/>
          </w:tcPr>
          <w:p w14:paraId="109B4E67" w14:textId="5A2B79A0"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0</w:t>
            </w:r>
          </w:p>
        </w:tc>
      </w:tr>
      <w:tr w:rsidR="0032447E" w:rsidRPr="00C70251" w14:paraId="4D745754" w14:textId="77777777" w:rsidTr="0032447E">
        <w:trPr>
          <w:trHeight w:val="9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0678352D" w14:textId="77777777" w:rsidR="0032447E" w:rsidRPr="00C70251" w:rsidRDefault="0032447E" w:rsidP="0032447E">
            <w:pPr>
              <w:rPr>
                <w:rFonts w:ascii="Arial" w:hAnsi="Arial" w:cs="Arial"/>
                <w:color w:val="000000"/>
                <w:sz w:val="16"/>
                <w:szCs w:val="16"/>
              </w:rPr>
            </w:pPr>
            <w:r w:rsidRPr="00C70251">
              <w:rPr>
                <w:rFonts w:ascii="Arial" w:hAnsi="Arial" w:cs="Arial"/>
                <w:color w:val="000000"/>
                <w:sz w:val="16"/>
                <w:szCs w:val="16"/>
              </w:rPr>
              <w:t xml:space="preserve">85 - Príprava, vykonávanie, monitorovanie </w:t>
            </w:r>
            <w:r w:rsidRPr="00C70251">
              <w:rPr>
                <w:rFonts w:ascii="Arial" w:hAnsi="Arial" w:cs="Arial"/>
                <w:color w:val="000000"/>
                <w:sz w:val="16"/>
                <w:szCs w:val="16"/>
              </w:rPr>
              <w:br/>
              <w:t>a kontrola</w:t>
            </w:r>
          </w:p>
        </w:tc>
        <w:tc>
          <w:tcPr>
            <w:tcW w:w="1180" w:type="dxa"/>
            <w:tcBorders>
              <w:top w:val="nil"/>
              <w:left w:val="nil"/>
              <w:bottom w:val="single" w:sz="4" w:space="0" w:color="auto"/>
              <w:right w:val="single" w:sz="4" w:space="0" w:color="auto"/>
            </w:tcBorders>
            <w:shd w:val="clear" w:color="auto" w:fill="auto"/>
            <w:noWrap/>
            <w:vAlign w:val="center"/>
            <w:hideMark/>
          </w:tcPr>
          <w:p w14:paraId="4C9CBCDD" w14:textId="0CA330EF"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38 235 294</w:t>
            </w:r>
          </w:p>
        </w:tc>
        <w:tc>
          <w:tcPr>
            <w:tcW w:w="11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0648FF" w14:textId="681FE5C7"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53 703 214</w:t>
            </w:r>
          </w:p>
        </w:tc>
        <w:tc>
          <w:tcPr>
            <w:tcW w:w="1180" w:type="dxa"/>
            <w:tcBorders>
              <w:top w:val="single" w:sz="4" w:space="0" w:color="auto"/>
              <w:left w:val="nil"/>
              <w:bottom w:val="single" w:sz="4" w:space="0" w:color="auto"/>
              <w:right w:val="single" w:sz="4" w:space="0" w:color="auto"/>
            </w:tcBorders>
            <w:shd w:val="clear" w:color="auto" w:fill="auto"/>
            <w:noWrap/>
            <w:vAlign w:val="center"/>
          </w:tcPr>
          <w:p w14:paraId="702B28E3" w14:textId="7A219165"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53 699 434</w:t>
            </w:r>
          </w:p>
        </w:tc>
        <w:tc>
          <w:tcPr>
            <w:tcW w:w="1400" w:type="dxa"/>
            <w:tcBorders>
              <w:top w:val="single" w:sz="4" w:space="0" w:color="auto"/>
              <w:left w:val="nil"/>
              <w:bottom w:val="single" w:sz="4" w:space="0" w:color="auto"/>
              <w:right w:val="single" w:sz="4" w:space="0" w:color="auto"/>
            </w:tcBorders>
            <w:shd w:val="clear" w:color="auto" w:fill="auto"/>
            <w:noWrap/>
            <w:vAlign w:val="center"/>
          </w:tcPr>
          <w:p w14:paraId="42CC8CE4" w14:textId="7D31920E"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53 686 546</w:t>
            </w:r>
          </w:p>
        </w:tc>
        <w:tc>
          <w:tcPr>
            <w:tcW w:w="1200" w:type="dxa"/>
            <w:tcBorders>
              <w:top w:val="single" w:sz="4" w:space="0" w:color="auto"/>
              <w:left w:val="nil"/>
              <w:bottom w:val="single" w:sz="4" w:space="0" w:color="auto"/>
              <w:right w:val="single" w:sz="4" w:space="0" w:color="auto"/>
            </w:tcBorders>
            <w:shd w:val="clear" w:color="auto" w:fill="auto"/>
            <w:noWrap/>
            <w:vAlign w:val="center"/>
          </w:tcPr>
          <w:p w14:paraId="3C45ED8E" w14:textId="7FB4E2FD"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37 346 132</w:t>
            </w:r>
          </w:p>
        </w:tc>
        <w:tc>
          <w:tcPr>
            <w:tcW w:w="1180" w:type="dxa"/>
            <w:tcBorders>
              <w:top w:val="single" w:sz="4" w:space="0" w:color="auto"/>
              <w:left w:val="nil"/>
              <w:bottom w:val="single" w:sz="4" w:space="0" w:color="auto"/>
              <w:right w:val="single" w:sz="4" w:space="0" w:color="auto"/>
            </w:tcBorders>
            <w:shd w:val="clear" w:color="auto" w:fill="auto"/>
            <w:noWrap/>
            <w:vAlign w:val="center"/>
          </w:tcPr>
          <w:p w14:paraId="61B73B8C" w14:textId="78F7E09B"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0</w:t>
            </w:r>
          </w:p>
        </w:tc>
      </w:tr>
      <w:tr w:rsidR="0032447E" w:rsidRPr="00C70251" w14:paraId="5578D54F" w14:textId="77777777" w:rsidTr="0032447E">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034719D2" w14:textId="77777777" w:rsidR="0032447E" w:rsidRPr="00C70251" w:rsidRDefault="0032447E" w:rsidP="0032447E">
            <w:pPr>
              <w:rPr>
                <w:rFonts w:ascii="Arial" w:hAnsi="Arial" w:cs="Arial"/>
                <w:b/>
                <w:bCs/>
                <w:color w:val="000000"/>
                <w:sz w:val="16"/>
                <w:szCs w:val="16"/>
              </w:rPr>
            </w:pPr>
            <w:r w:rsidRPr="00C70251">
              <w:rPr>
                <w:rFonts w:ascii="Arial" w:hAnsi="Arial" w:cs="Arial"/>
                <w:b/>
                <w:bCs/>
                <w:color w:val="000000"/>
                <w:sz w:val="16"/>
                <w:szCs w:val="16"/>
              </w:rPr>
              <w:t>Celkom</w:t>
            </w:r>
          </w:p>
        </w:tc>
        <w:tc>
          <w:tcPr>
            <w:tcW w:w="1180" w:type="dxa"/>
            <w:tcBorders>
              <w:top w:val="nil"/>
              <w:left w:val="nil"/>
              <w:bottom w:val="single" w:sz="4" w:space="0" w:color="auto"/>
              <w:right w:val="single" w:sz="4" w:space="0" w:color="auto"/>
            </w:tcBorders>
            <w:shd w:val="clear" w:color="000000" w:fill="EBF1DE"/>
            <w:noWrap/>
            <w:vAlign w:val="center"/>
            <w:hideMark/>
          </w:tcPr>
          <w:p w14:paraId="59B63AC5" w14:textId="441A2069"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57 176 470</w:t>
            </w:r>
          </w:p>
        </w:tc>
        <w:tc>
          <w:tcPr>
            <w:tcW w:w="11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F97B39" w14:textId="56542504"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77 886 978</w:t>
            </w:r>
          </w:p>
        </w:tc>
        <w:tc>
          <w:tcPr>
            <w:tcW w:w="1180" w:type="dxa"/>
            <w:tcBorders>
              <w:top w:val="single" w:sz="4" w:space="0" w:color="auto"/>
              <w:left w:val="nil"/>
              <w:bottom w:val="single" w:sz="4" w:space="0" w:color="auto"/>
              <w:right w:val="single" w:sz="4" w:space="0" w:color="auto"/>
            </w:tcBorders>
            <w:shd w:val="clear" w:color="auto" w:fill="auto"/>
            <w:noWrap/>
            <w:vAlign w:val="center"/>
          </w:tcPr>
          <w:p w14:paraId="03F91A85" w14:textId="7476D47D"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77 881 164</w:t>
            </w:r>
          </w:p>
        </w:tc>
        <w:tc>
          <w:tcPr>
            <w:tcW w:w="1400" w:type="dxa"/>
            <w:tcBorders>
              <w:top w:val="single" w:sz="4" w:space="0" w:color="auto"/>
              <w:left w:val="nil"/>
              <w:bottom w:val="single" w:sz="4" w:space="0" w:color="auto"/>
              <w:right w:val="single" w:sz="4" w:space="0" w:color="auto"/>
            </w:tcBorders>
            <w:shd w:val="clear" w:color="auto" w:fill="auto"/>
            <w:noWrap/>
            <w:vAlign w:val="center"/>
          </w:tcPr>
          <w:p w14:paraId="067B0782" w14:textId="7FF0A1CD"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76 531 164</w:t>
            </w:r>
          </w:p>
        </w:tc>
        <w:tc>
          <w:tcPr>
            <w:tcW w:w="1200" w:type="dxa"/>
            <w:tcBorders>
              <w:top w:val="single" w:sz="4" w:space="0" w:color="auto"/>
              <w:left w:val="nil"/>
              <w:bottom w:val="single" w:sz="4" w:space="0" w:color="auto"/>
              <w:right w:val="single" w:sz="4" w:space="0" w:color="auto"/>
            </w:tcBorders>
            <w:shd w:val="clear" w:color="auto" w:fill="auto"/>
            <w:noWrap/>
            <w:vAlign w:val="center"/>
          </w:tcPr>
          <w:p w14:paraId="38DBB9A1" w14:textId="2FB6EFF2"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58 054 499</w:t>
            </w:r>
          </w:p>
        </w:tc>
        <w:tc>
          <w:tcPr>
            <w:tcW w:w="1180" w:type="dxa"/>
            <w:tcBorders>
              <w:top w:val="single" w:sz="4" w:space="0" w:color="auto"/>
              <w:left w:val="nil"/>
              <w:bottom w:val="single" w:sz="4" w:space="0" w:color="auto"/>
              <w:right w:val="single" w:sz="4" w:space="0" w:color="auto"/>
            </w:tcBorders>
            <w:shd w:val="clear" w:color="auto" w:fill="auto"/>
            <w:noWrap/>
            <w:vAlign w:val="center"/>
          </w:tcPr>
          <w:p w14:paraId="606D2031" w14:textId="1A44A63B"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0</w:t>
            </w:r>
          </w:p>
        </w:tc>
      </w:tr>
    </w:tbl>
    <w:p w14:paraId="179C2BEA" w14:textId="77777777" w:rsidR="00446CFD" w:rsidRPr="00C70251" w:rsidRDefault="00446CFD" w:rsidP="00446CFD">
      <w:pPr>
        <w:jc w:val="both"/>
        <w:rPr>
          <w:rFonts w:ascii="Arial" w:hAnsi="Arial" w:cs="Arial"/>
          <w:bCs/>
          <w:sz w:val="16"/>
          <w:szCs w:val="16"/>
        </w:rPr>
      </w:pPr>
      <w:r w:rsidRPr="00C70251">
        <w:rPr>
          <w:rFonts w:ascii="Arial" w:hAnsi="Arial" w:cs="Arial"/>
          <w:bCs/>
          <w:sz w:val="16"/>
          <w:szCs w:val="16"/>
        </w:rPr>
        <w:t>Zdroj: RO, ITMS</w:t>
      </w:r>
    </w:p>
    <w:p w14:paraId="5D4D7F48" w14:textId="77777777" w:rsidR="00446CFD" w:rsidRPr="00C70251" w:rsidRDefault="00446CFD" w:rsidP="00446CFD">
      <w:pPr>
        <w:spacing w:before="240" w:after="120"/>
        <w:rPr>
          <w:rFonts w:ascii="Arial" w:hAnsi="Arial" w:cs="Arial"/>
          <w:b/>
          <w:sz w:val="20"/>
          <w:szCs w:val="20"/>
        </w:rPr>
      </w:pPr>
      <w:r w:rsidRPr="00C70251">
        <w:rPr>
          <w:rFonts w:ascii="Arial" w:hAnsi="Arial" w:cs="Arial"/>
          <w:b/>
          <w:sz w:val="20"/>
          <w:szCs w:val="20"/>
        </w:rPr>
        <w:t>Plnenie fyzických ukazovateľov</w:t>
      </w:r>
    </w:p>
    <w:p w14:paraId="66418018" w14:textId="33062450" w:rsidR="001B1CAE" w:rsidRDefault="001B1CAE" w:rsidP="001B1CAE">
      <w:pPr>
        <w:spacing w:before="120" w:after="120"/>
        <w:jc w:val="both"/>
        <w:rPr>
          <w:rFonts w:ascii="Arial" w:hAnsi="Arial" w:cs="Arial"/>
          <w:sz w:val="20"/>
          <w:szCs w:val="20"/>
          <w:lang w:eastAsia="cs-CZ"/>
        </w:rPr>
      </w:pPr>
      <w:r w:rsidRPr="00663502">
        <w:rPr>
          <w:rFonts w:ascii="Arial" w:hAnsi="Arial" w:cs="Arial"/>
          <w:sz w:val="20"/>
          <w:szCs w:val="20"/>
          <w:lang w:eastAsia="cs-CZ"/>
        </w:rPr>
        <w:t xml:space="preserve">V rámci prioritnej osi </w:t>
      </w:r>
      <w:r>
        <w:rPr>
          <w:rFonts w:ascii="Arial" w:hAnsi="Arial" w:cs="Arial"/>
          <w:sz w:val="20"/>
          <w:szCs w:val="20"/>
          <w:lang w:eastAsia="cs-CZ"/>
        </w:rPr>
        <w:t>6</w:t>
      </w:r>
      <w:r w:rsidRPr="00663502">
        <w:rPr>
          <w:rFonts w:ascii="Arial" w:hAnsi="Arial" w:cs="Arial"/>
          <w:sz w:val="20"/>
          <w:szCs w:val="20"/>
          <w:lang w:eastAsia="cs-CZ"/>
        </w:rPr>
        <w:t xml:space="preserve"> bolo k 31.</w:t>
      </w:r>
      <w:r w:rsidR="00AF4DE9">
        <w:rPr>
          <w:rFonts w:ascii="Arial" w:hAnsi="Arial" w:cs="Arial"/>
          <w:sz w:val="20"/>
          <w:szCs w:val="20"/>
          <w:lang w:eastAsia="cs-CZ"/>
        </w:rPr>
        <w:t xml:space="preserve"> </w:t>
      </w:r>
      <w:r w:rsidRPr="00663502">
        <w:rPr>
          <w:rFonts w:ascii="Arial" w:hAnsi="Arial" w:cs="Arial"/>
          <w:sz w:val="20"/>
          <w:szCs w:val="20"/>
          <w:lang w:eastAsia="cs-CZ"/>
        </w:rPr>
        <w:t>10.</w:t>
      </w:r>
      <w:r w:rsidR="00AF4DE9">
        <w:rPr>
          <w:rFonts w:ascii="Arial" w:hAnsi="Arial" w:cs="Arial"/>
          <w:sz w:val="20"/>
          <w:szCs w:val="20"/>
          <w:lang w:eastAsia="cs-CZ"/>
        </w:rPr>
        <w:t xml:space="preserve"> </w:t>
      </w:r>
      <w:r w:rsidRPr="00663502">
        <w:rPr>
          <w:rFonts w:ascii="Arial" w:hAnsi="Arial" w:cs="Arial"/>
          <w:sz w:val="20"/>
          <w:szCs w:val="20"/>
          <w:lang w:eastAsia="cs-CZ"/>
        </w:rPr>
        <w:t xml:space="preserve">2016 na RO doručených </w:t>
      </w:r>
      <w:r w:rsidRPr="00C70251">
        <w:rPr>
          <w:rFonts w:ascii="Arial" w:hAnsi="Arial" w:cs="Arial"/>
          <w:sz w:val="20"/>
          <w:szCs w:val="20"/>
          <w:lang w:eastAsia="cs-CZ"/>
        </w:rPr>
        <w:t>53 monitorovacích správ, z toho 24 priebežných a 29 záverečných</w:t>
      </w:r>
      <w:r>
        <w:rPr>
          <w:rFonts w:ascii="Arial" w:hAnsi="Arial" w:cs="Arial"/>
          <w:sz w:val="20"/>
          <w:szCs w:val="20"/>
          <w:lang w:eastAsia="cs-CZ"/>
        </w:rPr>
        <w:t xml:space="preserve">. </w:t>
      </w:r>
      <w:r w:rsidRPr="00663502">
        <w:rPr>
          <w:rFonts w:ascii="Arial" w:hAnsi="Arial" w:cs="Arial"/>
          <w:sz w:val="20"/>
          <w:szCs w:val="20"/>
          <w:lang w:eastAsia="cs-CZ"/>
        </w:rPr>
        <w:t xml:space="preserve">Ukazovatele pre prioritnú os </w:t>
      </w:r>
      <w:r>
        <w:rPr>
          <w:rFonts w:ascii="Arial" w:hAnsi="Arial" w:cs="Arial"/>
          <w:sz w:val="20"/>
          <w:szCs w:val="20"/>
          <w:lang w:eastAsia="cs-CZ"/>
        </w:rPr>
        <w:t>6</w:t>
      </w:r>
      <w:r w:rsidRPr="00663502">
        <w:rPr>
          <w:rFonts w:ascii="Arial" w:hAnsi="Arial" w:cs="Arial"/>
          <w:sz w:val="20"/>
          <w:szCs w:val="20"/>
          <w:lang w:eastAsia="cs-CZ"/>
        </w:rPr>
        <w:t xml:space="preserve"> boli vyhodnotené na základe doručených záverečných a následných monitorovacích správ projektu od žiadateľov tak, ako im to vyplýva zo zmluvy o poskytnutí NFP.</w:t>
      </w:r>
    </w:p>
    <w:p w14:paraId="79DBFE05" w14:textId="77777777" w:rsidR="001B1CAE" w:rsidRDefault="001B1CAE" w:rsidP="001B1CAE">
      <w:pPr>
        <w:spacing w:before="120" w:after="120"/>
        <w:jc w:val="both"/>
        <w:rPr>
          <w:rFonts w:ascii="Arial" w:hAnsi="Arial" w:cs="Arial"/>
          <w:sz w:val="20"/>
          <w:szCs w:val="20"/>
          <w:lang w:eastAsia="cs-CZ"/>
        </w:rPr>
      </w:pPr>
      <w:r w:rsidRPr="00C70251">
        <w:rPr>
          <w:rFonts w:ascii="Arial" w:hAnsi="Arial" w:cs="Arial"/>
          <w:sz w:val="20"/>
          <w:szCs w:val="20"/>
          <w:lang w:eastAsia="cs-CZ"/>
        </w:rPr>
        <w:t>K 31. 1</w:t>
      </w:r>
      <w:r>
        <w:rPr>
          <w:rFonts w:ascii="Arial" w:hAnsi="Arial" w:cs="Arial"/>
          <w:sz w:val="20"/>
          <w:szCs w:val="20"/>
          <w:lang w:eastAsia="cs-CZ"/>
        </w:rPr>
        <w:t>2</w:t>
      </w:r>
      <w:r w:rsidRPr="00C70251">
        <w:rPr>
          <w:rFonts w:ascii="Arial" w:hAnsi="Arial" w:cs="Arial"/>
          <w:sz w:val="20"/>
          <w:szCs w:val="20"/>
          <w:lang w:eastAsia="cs-CZ"/>
        </w:rPr>
        <w:t>. 201</w:t>
      </w:r>
      <w:r>
        <w:rPr>
          <w:rFonts w:ascii="Arial" w:hAnsi="Arial" w:cs="Arial"/>
          <w:sz w:val="20"/>
          <w:szCs w:val="20"/>
          <w:lang w:eastAsia="cs-CZ"/>
        </w:rPr>
        <w:t>5</w:t>
      </w:r>
      <w:r w:rsidRPr="00C70251">
        <w:rPr>
          <w:rFonts w:ascii="Arial" w:hAnsi="Arial" w:cs="Arial"/>
          <w:sz w:val="20"/>
          <w:szCs w:val="20"/>
          <w:lang w:eastAsia="cs-CZ"/>
        </w:rPr>
        <w:t xml:space="preserve"> bolo zrealizovaných 294 akcií na informovanie verejnosti o OP ŽP, 228 zamestnancom boli platy hradené z Technickej pomoci, z toho bolo 99 mužov a 129 žien. Počet novovytvorených pracovných miest </w:t>
      </w:r>
      <w:r>
        <w:rPr>
          <w:rFonts w:ascii="Arial" w:hAnsi="Arial" w:cs="Arial"/>
          <w:sz w:val="20"/>
          <w:szCs w:val="20"/>
          <w:lang w:eastAsia="cs-CZ"/>
        </w:rPr>
        <w:t>predstavoval</w:t>
      </w:r>
      <w:r w:rsidRPr="00C70251">
        <w:rPr>
          <w:rFonts w:ascii="Arial" w:hAnsi="Arial" w:cs="Arial"/>
          <w:sz w:val="20"/>
          <w:szCs w:val="20"/>
          <w:lang w:eastAsia="cs-CZ"/>
        </w:rPr>
        <w:t xml:space="preserve">  hodnotu 78 miest.</w:t>
      </w:r>
    </w:p>
    <w:p w14:paraId="07ACF5D7" w14:textId="77777777" w:rsidR="001B1CAE" w:rsidRPr="00C70251" w:rsidRDefault="001B1CAE" w:rsidP="001B1CAE">
      <w:pPr>
        <w:spacing w:before="120" w:after="120"/>
        <w:jc w:val="both"/>
        <w:rPr>
          <w:rFonts w:ascii="Arial" w:hAnsi="Arial" w:cs="Arial"/>
          <w:sz w:val="20"/>
          <w:szCs w:val="20"/>
          <w:lang w:eastAsia="cs-CZ"/>
        </w:rPr>
      </w:pPr>
      <w:r w:rsidRPr="00663502">
        <w:rPr>
          <w:rFonts w:ascii="Arial" w:hAnsi="Arial" w:cs="Arial"/>
          <w:sz w:val="20"/>
          <w:szCs w:val="20"/>
          <w:lang w:eastAsia="cs-CZ"/>
        </w:rPr>
        <w:t>Plnenie ukazovateľov na úrovni OP ŽP za prioritnú os 6 je uvedené v Prílo</w:t>
      </w:r>
      <w:r>
        <w:rPr>
          <w:rFonts w:ascii="Arial" w:hAnsi="Arial" w:cs="Arial"/>
          <w:sz w:val="20"/>
          <w:szCs w:val="20"/>
          <w:lang w:eastAsia="cs-CZ"/>
        </w:rPr>
        <w:t xml:space="preserve">he č. 2 Záverečnej správy a analýza napĺňania jednotlivých ukazovateľov prioritnej osi 6 </w:t>
      </w:r>
      <w:r w:rsidRPr="00663502">
        <w:rPr>
          <w:rFonts w:ascii="Arial" w:hAnsi="Arial" w:cs="Arial"/>
          <w:sz w:val="20"/>
          <w:szCs w:val="20"/>
          <w:lang w:eastAsia="cs-CZ"/>
        </w:rPr>
        <w:t>je uveden</w:t>
      </w:r>
      <w:r>
        <w:rPr>
          <w:rFonts w:ascii="Arial" w:hAnsi="Arial" w:cs="Arial"/>
          <w:sz w:val="20"/>
          <w:szCs w:val="20"/>
          <w:lang w:eastAsia="cs-CZ"/>
        </w:rPr>
        <w:t>á</w:t>
      </w:r>
      <w:r w:rsidRPr="00663502">
        <w:rPr>
          <w:rFonts w:ascii="Arial" w:hAnsi="Arial" w:cs="Arial"/>
          <w:sz w:val="20"/>
          <w:szCs w:val="20"/>
          <w:lang w:eastAsia="cs-CZ"/>
        </w:rPr>
        <w:t xml:space="preserve"> v kapitole 3.6.3 Kvalitatívna analýza dosiahnutých výsledkov na úrovni prioritnej osi  6.</w:t>
      </w:r>
    </w:p>
    <w:p w14:paraId="1B44513E" w14:textId="77777777" w:rsidR="00446CFD" w:rsidRPr="00C70251" w:rsidRDefault="00446CFD" w:rsidP="00446CFD">
      <w:pPr>
        <w:spacing w:before="240" w:after="120"/>
        <w:outlineLvl w:val="7"/>
        <w:rPr>
          <w:rFonts w:ascii="Arial" w:hAnsi="Arial" w:cs="Arial"/>
          <w:b/>
          <w:i/>
          <w:iCs/>
        </w:rPr>
      </w:pPr>
      <w:r w:rsidRPr="00C70251">
        <w:rPr>
          <w:rFonts w:ascii="Arial" w:hAnsi="Arial" w:cs="Arial"/>
          <w:b/>
          <w:i/>
          <w:iCs/>
        </w:rPr>
        <w:t>3.6.1.2 Finančná implementácia v rámci prioritnej osi 6</w:t>
      </w:r>
    </w:p>
    <w:p w14:paraId="26ED76EA" w14:textId="1B2D843E" w:rsidR="00446CFD" w:rsidRPr="000B0FB0" w:rsidRDefault="00446CFD" w:rsidP="00446CFD">
      <w:pPr>
        <w:spacing w:before="120" w:after="120"/>
        <w:jc w:val="both"/>
        <w:rPr>
          <w:rFonts w:ascii="Arial" w:hAnsi="Arial" w:cs="Arial"/>
          <w:sz w:val="20"/>
          <w:szCs w:val="20"/>
        </w:rPr>
      </w:pPr>
      <w:r w:rsidRPr="000B0FB0">
        <w:rPr>
          <w:rFonts w:ascii="Arial" w:hAnsi="Arial" w:cs="Arial"/>
          <w:sz w:val="20"/>
          <w:szCs w:val="20"/>
        </w:rPr>
        <w:t xml:space="preserve">Čerpanie prostriedkov z Kohézneho fondu pre prioritnú os </w:t>
      </w:r>
      <w:r>
        <w:rPr>
          <w:rFonts w:ascii="Arial" w:hAnsi="Arial" w:cs="Arial"/>
          <w:sz w:val="20"/>
          <w:szCs w:val="20"/>
        </w:rPr>
        <w:t>6</w:t>
      </w:r>
      <w:r w:rsidRPr="000B0FB0">
        <w:rPr>
          <w:rFonts w:ascii="Arial" w:hAnsi="Arial" w:cs="Arial"/>
          <w:sz w:val="20"/>
          <w:szCs w:val="20"/>
        </w:rPr>
        <w:t xml:space="preserve"> predstavovalo k </w:t>
      </w:r>
      <w:r w:rsidR="001F3FF9" w:rsidRPr="009F7CC0">
        <w:rPr>
          <w:rFonts w:ascii="Arial" w:hAnsi="Arial" w:cs="Arial"/>
          <w:sz w:val="20"/>
          <w:szCs w:val="20"/>
        </w:rPr>
        <w:t>31.</w:t>
      </w:r>
      <w:r w:rsidR="00AF4DE9">
        <w:rPr>
          <w:rFonts w:ascii="Arial" w:hAnsi="Arial" w:cs="Arial"/>
          <w:sz w:val="20"/>
          <w:szCs w:val="20"/>
        </w:rPr>
        <w:t xml:space="preserve"> </w:t>
      </w:r>
      <w:r w:rsidR="006161E9">
        <w:rPr>
          <w:rFonts w:ascii="Arial" w:hAnsi="Arial" w:cs="Arial"/>
          <w:sz w:val="20"/>
          <w:szCs w:val="20"/>
        </w:rPr>
        <w:t>10</w:t>
      </w:r>
      <w:r w:rsidR="001F3FF9" w:rsidRPr="009F7CC0">
        <w:rPr>
          <w:rFonts w:ascii="Arial" w:hAnsi="Arial" w:cs="Arial"/>
          <w:sz w:val="20"/>
          <w:szCs w:val="20"/>
        </w:rPr>
        <w:t>.</w:t>
      </w:r>
      <w:r w:rsidR="00AF4DE9">
        <w:rPr>
          <w:rFonts w:ascii="Arial" w:hAnsi="Arial" w:cs="Arial"/>
          <w:sz w:val="20"/>
          <w:szCs w:val="20"/>
        </w:rPr>
        <w:t xml:space="preserve"> </w:t>
      </w:r>
      <w:r w:rsidRPr="009F7CC0">
        <w:rPr>
          <w:rFonts w:ascii="Arial" w:hAnsi="Arial" w:cs="Arial"/>
          <w:sz w:val="20"/>
          <w:szCs w:val="20"/>
        </w:rPr>
        <w:t xml:space="preserve">2016 </w:t>
      </w:r>
      <w:r w:rsidRPr="009F7CC0">
        <w:rPr>
          <w:rFonts w:ascii="Arial" w:hAnsi="Arial" w:cs="Arial"/>
          <w:sz w:val="20"/>
          <w:szCs w:val="20"/>
        </w:rPr>
        <w:br/>
        <w:t>sumu 47</w:t>
      </w:r>
      <w:r w:rsidR="006161E9">
        <w:rPr>
          <w:rFonts w:ascii="Arial" w:hAnsi="Arial" w:cs="Arial"/>
          <w:sz w:val="20"/>
          <w:szCs w:val="20"/>
        </w:rPr>
        <w:t>,07 mil.</w:t>
      </w:r>
      <w:r w:rsidR="000560D9" w:rsidRPr="009F7CC0">
        <w:rPr>
          <w:rFonts w:ascii="Arial" w:hAnsi="Arial" w:cs="Arial"/>
          <w:sz w:val="20"/>
          <w:szCs w:val="20"/>
        </w:rPr>
        <w:t>€</w:t>
      </w:r>
      <w:r w:rsidRPr="009F7CC0">
        <w:rPr>
          <w:rFonts w:ascii="Arial" w:hAnsi="Arial" w:cs="Arial"/>
          <w:sz w:val="20"/>
          <w:szCs w:val="20"/>
        </w:rPr>
        <w:t>, čo je 96,86 % zo záväzku na prioritnú os na roky 2007 – 2013.</w:t>
      </w:r>
    </w:p>
    <w:p w14:paraId="7EF7BC1B" w14:textId="53EC6A99" w:rsidR="00446CFD" w:rsidRPr="00C70251" w:rsidRDefault="00446CFD" w:rsidP="00446CFD">
      <w:pPr>
        <w:keepNext/>
        <w:spacing w:after="120"/>
        <w:jc w:val="both"/>
        <w:rPr>
          <w:rFonts w:ascii="Arial" w:hAnsi="Arial" w:cs="Arial"/>
          <w:sz w:val="20"/>
          <w:szCs w:val="20"/>
        </w:rPr>
      </w:pPr>
      <w:r w:rsidRPr="00C70251">
        <w:rPr>
          <w:rFonts w:ascii="Arial" w:hAnsi="Arial" w:cs="Arial"/>
          <w:sz w:val="20"/>
          <w:szCs w:val="20"/>
        </w:rPr>
        <w:t>Tabuľka č. 6</w:t>
      </w:r>
      <w:r w:rsidR="007B1CB9">
        <w:rPr>
          <w:rFonts w:ascii="Arial" w:hAnsi="Arial" w:cs="Arial"/>
          <w:sz w:val="20"/>
          <w:szCs w:val="20"/>
        </w:rPr>
        <w:t>7</w:t>
      </w:r>
      <w:r w:rsidRPr="00C70251">
        <w:rPr>
          <w:rFonts w:ascii="Arial" w:hAnsi="Arial" w:cs="Arial"/>
          <w:sz w:val="20"/>
          <w:szCs w:val="20"/>
        </w:rPr>
        <w:t xml:space="preserve">: Čerpanie prostriedkov prioritnej osi 6 k 31. </w:t>
      </w:r>
      <w:r w:rsidR="006161E9">
        <w:rPr>
          <w:rFonts w:ascii="Arial" w:hAnsi="Arial" w:cs="Arial"/>
          <w:sz w:val="20"/>
          <w:szCs w:val="20"/>
        </w:rPr>
        <w:t>10</w:t>
      </w:r>
      <w:r w:rsidRPr="00C70251">
        <w:rPr>
          <w:rFonts w:ascii="Arial" w:hAnsi="Arial" w:cs="Arial"/>
          <w:sz w:val="20"/>
          <w:szCs w:val="20"/>
        </w:rPr>
        <w:t>. 2016</w:t>
      </w:r>
    </w:p>
    <w:tbl>
      <w:tblPr>
        <w:tblW w:w="8921" w:type="dxa"/>
        <w:jc w:val="center"/>
        <w:tblLayout w:type="fixed"/>
        <w:tblCellMar>
          <w:left w:w="70" w:type="dxa"/>
          <w:right w:w="70" w:type="dxa"/>
        </w:tblCellMar>
        <w:tblLook w:val="0000" w:firstRow="0" w:lastRow="0" w:firstColumn="0" w:lastColumn="0" w:noHBand="0" w:noVBand="0"/>
      </w:tblPr>
      <w:tblGrid>
        <w:gridCol w:w="2542"/>
        <w:gridCol w:w="3205"/>
        <w:gridCol w:w="1392"/>
        <w:gridCol w:w="1782"/>
      </w:tblGrid>
      <w:tr w:rsidR="00446CFD" w:rsidRPr="00C70251" w14:paraId="733F9D97" w14:textId="77777777" w:rsidTr="007D7B08">
        <w:trPr>
          <w:trHeight w:val="585"/>
          <w:jc w:val="center"/>
        </w:trPr>
        <w:tc>
          <w:tcPr>
            <w:tcW w:w="2542"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14:paraId="00F8547E" w14:textId="77777777" w:rsidR="00446CFD" w:rsidRPr="00C70251" w:rsidRDefault="00446CFD" w:rsidP="00EA4DD3">
            <w:pPr>
              <w:keepNext/>
              <w:jc w:val="both"/>
              <w:rPr>
                <w:rFonts w:ascii="Arial" w:hAnsi="Arial" w:cs="Arial"/>
                <w:sz w:val="16"/>
                <w:szCs w:val="16"/>
              </w:rPr>
            </w:pPr>
            <w:r w:rsidRPr="00C70251">
              <w:rPr>
                <w:rFonts w:ascii="Arial" w:hAnsi="Arial" w:cs="Arial"/>
                <w:sz w:val="16"/>
                <w:szCs w:val="16"/>
              </w:rPr>
              <w:t> </w:t>
            </w:r>
          </w:p>
        </w:tc>
        <w:tc>
          <w:tcPr>
            <w:tcW w:w="3205" w:type="dxa"/>
            <w:vMerge w:val="restart"/>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51CE22D7" w14:textId="77777777" w:rsidR="00446CFD" w:rsidRPr="00C70251" w:rsidRDefault="00446CFD" w:rsidP="00EA4DD3">
            <w:pPr>
              <w:keepNext/>
              <w:autoSpaceDE w:val="0"/>
              <w:autoSpaceDN w:val="0"/>
              <w:spacing w:before="240" w:after="60"/>
              <w:jc w:val="center"/>
              <w:outlineLvl w:val="7"/>
              <w:rPr>
                <w:rFonts w:ascii="Arial" w:hAnsi="Arial" w:cs="Arial"/>
                <w:sz w:val="16"/>
                <w:szCs w:val="16"/>
              </w:rPr>
            </w:pPr>
            <w:r w:rsidRPr="00C70251">
              <w:rPr>
                <w:rFonts w:ascii="Arial" w:eastAsia="EUAlbertina-Regular-Identity-H" w:hAnsi="Arial" w:cs="Arial"/>
                <w:sz w:val="16"/>
                <w:szCs w:val="16"/>
              </w:rPr>
              <w:t xml:space="preserve">Záväzok </w:t>
            </w:r>
            <w:r w:rsidRPr="00C70251">
              <w:rPr>
                <w:rFonts w:ascii="Arial" w:eastAsia="EUAlbertina-Regular-Identity-H" w:hAnsi="Arial" w:cs="Arial"/>
                <w:sz w:val="16"/>
                <w:szCs w:val="16"/>
              </w:rPr>
              <w:br/>
              <w:t>2007 - 2013</w:t>
            </w:r>
            <w:r w:rsidRPr="00C70251">
              <w:rPr>
                <w:rFonts w:ascii="Arial" w:eastAsia="EUAlbertina-Regular-Identity-H" w:hAnsi="Arial" w:cs="Arial"/>
                <w:sz w:val="16"/>
                <w:szCs w:val="16"/>
              </w:rPr>
              <w:br/>
              <w:t xml:space="preserve"> za EÚ zdroje</w:t>
            </w:r>
            <w:r w:rsidRPr="00C70251">
              <w:rPr>
                <w:rFonts w:ascii="Arial" w:eastAsia="EUAlbertina-Regular-Identity-H" w:hAnsi="Arial" w:cs="Arial"/>
                <w:sz w:val="16"/>
                <w:szCs w:val="16"/>
              </w:rPr>
              <w:br/>
            </w:r>
            <w:r w:rsidRPr="00C70251">
              <w:rPr>
                <w:rFonts w:ascii="Arial" w:hAnsi="Arial" w:cs="Arial"/>
                <w:sz w:val="16"/>
                <w:szCs w:val="16"/>
              </w:rPr>
              <w:t>v €</w:t>
            </w:r>
          </w:p>
        </w:tc>
        <w:tc>
          <w:tcPr>
            <w:tcW w:w="3174" w:type="dxa"/>
            <w:gridSpan w:val="2"/>
            <w:tcBorders>
              <w:top w:val="single" w:sz="8" w:space="0" w:color="auto"/>
              <w:left w:val="nil"/>
              <w:bottom w:val="single" w:sz="4" w:space="0" w:color="auto"/>
              <w:right w:val="single" w:sz="8" w:space="0" w:color="000000"/>
            </w:tcBorders>
            <w:shd w:val="clear" w:color="auto" w:fill="C2D69B" w:themeFill="accent3" w:themeFillTint="99"/>
            <w:vAlign w:val="center"/>
          </w:tcPr>
          <w:p w14:paraId="6C1B6D5E" w14:textId="77777777" w:rsidR="00446CFD" w:rsidRPr="00C70251" w:rsidRDefault="00446CFD" w:rsidP="00EA4DD3">
            <w:pPr>
              <w:keepNext/>
              <w:autoSpaceDE w:val="0"/>
              <w:autoSpaceDN w:val="0"/>
              <w:spacing w:before="240" w:after="60"/>
              <w:jc w:val="center"/>
              <w:outlineLvl w:val="7"/>
              <w:rPr>
                <w:rFonts w:ascii="Arial" w:hAnsi="Arial" w:cs="Arial"/>
                <w:sz w:val="16"/>
                <w:szCs w:val="16"/>
              </w:rPr>
            </w:pPr>
            <w:r w:rsidRPr="00C70251">
              <w:rPr>
                <w:rFonts w:ascii="Arial" w:hAnsi="Arial" w:cs="Arial"/>
                <w:sz w:val="16"/>
                <w:szCs w:val="16"/>
              </w:rPr>
              <w:t xml:space="preserve">Čerpanie prostriedkov kumulatívne </w:t>
            </w:r>
            <w:r w:rsidRPr="00C70251">
              <w:rPr>
                <w:rFonts w:ascii="Arial" w:hAnsi="Arial" w:cs="Arial"/>
                <w:sz w:val="16"/>
                <w:szCs w:val="16"/>
              </w:rPr>
              <w:br/>
              <w:t>(EU zdroje) v €</w:t>
            </w:r>
          </w:p>
        </w:tc>
      </w:tr>
      <w:tr w:rsidR="00446CFD" w:rsidRPr="00C70251" w14:paraId="227DC09D" w14:textId="77777777" w:rsidTr="007D7B08">
        <w:trPr>
          <w:trHeight w:val="480"/>
          <w:jc w:val="center"/>
        </w:trPr>
        <w:tc>
          <w:tcPr>
            <w:tcW w:w="2542" w:type="dxa"/>
            <w:vMerge/>
            <w:tcBorders>
              <w:top w:val="single" w:sz="8" w:space="0" w:color="auto"/>
              <w:left w:val="single" w:sz="8" w:space="0" w:color="auto"/>
              <w:bottom w:val="single" w:sz="4" w:space="0" w:color="auto"/>
              <w:right w:val="single" w:sz="4" w:space="0" w:color="auto"/>
            </w:tcBorders>
            <w:shd w:val="clear" w:color="auto" w:fill="auto"/>
            <w:vAlign w:val="center"/>
          </w:tcPr>
          <w:p w14:paraId="6A8DA02A" w14:textId="77777777" w:rsidR="00446CFD" w:rsidRPr="00C70251" w:rsidRDefault="00446CFD" w:rsidP="00EA4DD3">
            <w:pPr>
              <w:keepNext/>
              <w:jc w:val="both"/>
              <w:rPr>
                <w:rFonts w:ascii="Arial" w:hAnsi="Arial" w:cs="Arial"/>
                <w:sz w:val="16"/>
                <w:szCs w:val="16"/>
              </w:rPr>
            </w:pPr>
          </w:p>
        </w:tc>
        <w:tc>
          <w:tcPr>
            <w:tcW w:w="3205" w:type="dxa"/>
            <w:vMerge/>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56466444" w14:textId="77777777" w:rsidR="00446CFD" w:rsidRPr="00C70251" w:rsidRDefault="00446CFD" w:rsidP="00EA4DD3">
            <w:pPr>
              <w:keepNext/>
              <w:jc w:val="center"/>
              <w:rPr>
                <w:rFonts w:ascii="Arial" w:hAnsi="Arial" w:cs="Arial"/>
                <w:sz w:val="16"/>
                <w:szCs w:val="16"/>
              </w:rPr>
            </w:pPr>
          </w:p>
        </w:tc>
        <w:tc>
          <w:tcPr>
            <w:tcW w:w="1392" w:type="dxa"/>
            <w:tcBorders>
              <w:top w:val="nil"/>
              <w:left w:val="nil"/>
              <w:bottom w:val="single" w:sz="4" w:space="0" w:color="auto"/>
              <w:right w:val="single" w:sz="4" w:space="0" w:color="auto"/>
            </w:tcBorders>
            <w:shd w:val="clear" w:color="auto" w:fill="C2D69B" w:themeFill="accent3" w:themeFillTint="99"/>
            <w:noWrap/>
            <w:vAlign w:val="center"/>
          </w:tcPr>
          <w:p w14:paraId="65816BF4" w14:textId="77777777" w:rsidR="00446CFD" w:rsidRPr="00C70251" w:rsidRDefault="00446CFD" w:rsidP="00EA4DD3">
            <w:pPr>
              <w:keepNext/>
              <w:jc w:val="center"/>
              <w:rPr>
                <w:rFonts w:ascii="Arial" w:hAnsi="Arial" w:cs="Arial"/>
                <w:sz w:val="16"/>
                <w:szCs w:val="16"/>
              </w:rPr>
            </w:pPr>
            <w:r w:rsidRPr="00C70251">
              <w:rPr>
                <w:rFonts w:ascii="Arial" w:hAnsi="Arial" w:cs="Arial"/>
                <w:sz w:val="16"/>
                <w:szCs w:val="16"/>
              </w:rPr>
              <w:t>Celkom</w:t>
            </w:r>
          </w:p>
        </w:tc>
        <w:tc>
          <w:tcPr>
            <w:tcW w:w="1782" w:type="dxa"/>
            <w:tcBorders>
              <w:top w:val="nil"/>
              <w:left w:val="nil"/>
              <w:bottom w:val="single" w:sz="4" w:space="0" w:color="auto"/>
              <w:right w:val="single" w:sz="8" w:space="0" w:color="auto"/>
            </w:tcBorders>
            <w:shd w:val="clear" w:color="auto" w:fill="C2D69B" w:themeFill="accent3" w:themeFillTint="99"/>
            <w:vAlign w:val="center"/>
          </w:tcPr>
          <w:p w14:paraId="31175505" w14:textId="77777777" w:rsidR="00446CFD" w:rsidRPr="00C70251" w:rsidRDefault="00446CFD" w:rsidP="00EA4DD3">
            <w:pPr>
              <w:keepNext/>
              <w:autoSpaceDE w:val="0"/>
              <w:autoSpaceDN w:val="0"/>
              <w:spacing w:before="240" w:after="60"/>
              <w:jc w:val="center"/>
              <w:outlineLvl w:val="7"/>
              <w:rPr>
                <w:rFonts w:ascii="Arial" w:hAnsi="Arial" w:cs="Arial"/>
                <w:sz w:val="16"/>
                <w:szCs w:val="16"/>
              </w:rPr>
            </w:pPr>
            <w:r w:rsidRPr="00C70251">
              <w:rPr>
                <w:rFonts w:ascii="Arial" w:hAnsi="Arial" w:cs="Arial"/>
                <w:sz w:val="16"/>
                <w:szCs w:val="16"/>
              </w:rPr>
              <w:t>% zo záväzku</w:t>
            </w:r>
          </w:p>
          <w:p w14:paraId="67257170" w14:textId="77777777" w:rsidR="00446CFD" w:rsidRPr="00C70251" w:rsidRDefault="00446CFD" w:rsidP="00EA4DD3">
            <w:pPr>
              <w:keepNext/>
              <w:jc w:val="center"/>
              <w:rPr>
                <w:rFonts w:ascii="Arial" w:hAnsi="Arial" w:cs="Arial"/>
                <w:sz w:val="16"/>
                <w:szCs w:val="16"/>
              </w:rPr>
            </w:pPr>
            <w:r w:rsidRPr="00C70251">
              <w:rPr>
                <w:rFonts w:ascii="Arial" w:hAnsi="Arial" w:cs="Arial"/>
                <w:sz w:val="16"/>
                <w:szCs w:val="16"/>
              </w:rPr>
              <w:t>2007 - 2013</w:t>
            </w:r>
          </w:p>
        </w:tc>
      </w:tr>
      <w:tr w:rsidR="00446CFD" w:rsidRPr="00C70251" w14:paraId="28742FA8" w14:textId="77777777" w:rsidTr="00EA4DD3">
        <w:trPr>
          <w:trHeight w:val="255"/>
          <w:jc w:val="center"/>
        </w:trPr>
        <w:tc>
          <w:tcPr>
            <w:tcW w:w="2542" w:type="dxa"/>
            <w:tcBorders>
              <w:top w:val="single" w:sz="4" w:space="0" w:color="auto"/>
              <w:left w:val="single" w:sz="8" w:space="0" w:color="auto"/>
              <w:bottom w:val="single" w:sz="4" w:space="0" w:color="auto"/>
              <w:right w:val="single" w:sz="4" w:space="0" w:color="auto"/>
            </w:tcBorders>
            <w:shd w:val="clear" w:color="auto" w:fill="auto"/>
            <w:noWrap/>
            <w:vAlign w:val="center"/>
          </w:tcPr>
          <w:p w14:paraId="4D53023A" w14:textId="77777777" w:rsidR="00446CFD" w:rsidRPr="00C70251" w:rsidRDefault="00446CFD" w:rsidP="00EA4DD3">
            <w:pPr>
              <w:keepNext/>
              <w:autoSpaceDE w:val="0"/>
              <w:autoSpaceDN w:val="0"/>
              <w:jc w:val="center"/>
              <w:outlineLvl w:val="7"/>
              <w:rPr>
                <w:rFonts w:ascii="Arial" w:hAnsi="Arial" w:cs="Arial"/>
                <w:sz w:val="16"/>
                <w:szCs w:val="16"/>
              </w:rPr>
            </w:pPr>
            <w:r w:rsidRPr="00C70251">
              <w:rPr>
                <w:rFonts w:ascii="Arial" w:hAnsi="Arial" w:cs="Arial"/>
                <w:sz w:val="16"/>
                <w:szCs w:val="16"/>
              </w:rPr>
              <w:t>Prioritná os 6</w:t>
            </w:r>
          </w:p>
        </w:tc>
        <w:tc>
          <w:tcPr>
            <w:tcW w:w="3205" w:type="dxa"/>
            <w:tcBorders>
              <w:top w:val="nil"/>
              <w:left w:val="nil"/>
              <w:bottom w:val="single" w:sz="4" w:space="0" w:color="auto"/>
              <w:right w:val="single" w:sz="4" w:space="0" w:color="auto"/>
            </w:tcBorders>
            <w:shd w:val="clear" w:color="auto" w:fill="auto"/>
            <w:noWrap/>
            <w:vAlign w:val="center"/>
          </w:tcPr>
          <w:p w14:paraId="048957F2" w14:textId="77777777" w:rsidR="00446CFD" w:rsidRPr="00C70251" w:rsidRDefault="00446CFD" w:rsidP="00EA4DD3">
            <w:pPr>
              <w:keepNext/>
              <w:jc w:val="center"/>
              <w:rPr>
                <w:rFonts w:ascii="Arial" w:hAnsi="Arial" w:cs="Arial"/>
                <w:sz w:val="16"/>
                <w:szCs w:val="16"/>
              </w:rPr>
            </w:pPr>
            <w:r w:rsidRPr="00C70251">
              <w:rPr>
                <w:rFonts w:ascii="Arial" w:hAnsi="Arial" w:cs="Arial"/>
                <w:sz w:val="16"/>
                <w:szCs w:val="16"/>
              </w:rPr>
              <w:t>48 600 000,00</w:t>
            </w:r>
          </w:p>
        </w:tc>
        <w:tc>
          <w:tcPr>
            <w:tcW w:w="1392" w:type="dxa"/>
            <w:tcBorders>
              <w:top w:val="nil"/>
              <w:left w:val="nil"/>
              <w:bottom w:val="single" w:sz="4" w:space="0" w:color="auto"/>
              <w:right w:val="single" w:sz="4" w:space="0" w:color="auto"/>
            </w:tcBorders>
            <w:shd w:val="clear" w:color="auto" w:fill="auto"/>
            <w:noWrap/>
            <w:vAlign w:val="center"/>
          </w:tcPr>
          <w:p w14:paraId="23FF8F78" w14:textId="77777777" w:rsidR="00446CFD" w:rsidRPr="00C70251" w:rsidRDefault="00446CFD" w:rsidP="00EA4DD3">
            <w:pPr>
              <w:keepNext/>
              <w:jc w:val="center"/>
              <w:rPr>
                <w:rFonts w:ascii="Arial" w:hAnsi="Arial" w:cs="Arial"/>
                <w:color w:val="000000"/>
                <w:sz w:val="16"/>
                <w:szCs w:val="16"/>
              </w:rPr>
            </w:pPr>
            <w:r w:rsidRPr="00C70251">
              <w:rPr>
                <w:rFonts w:ascii="Arial" w:hAnsi="Arial" w:cs="Arial"/>
                <w:sz w:val="16"/>
                <w:szCs w:val="16"/>
              </w:rPr>
              <w:t>47 073 227,95</w:t>
            </w:r>
          </w:p>
        </w:tc>
        <w:tc>
          <w:tcPr>
            <w:tcW w:w="1782" w:type="dxa"/>
            <w:tcBorders>
              <w:top w:val="nil"/>
              <w:left w:val="nil"/>
              <w:bottom w:val="single" w:sz="4" w:space="0" w:color="auto"/>
              <w:right w:val="single" w:sz="8" w:space="0" w:color="auto"/>
            </w:tcBorders>
            <w:shd w:val="clear" w:color="auto" w:fill="auto"/>
            <w:noWrap/>
            <w:vAlign w:val="center"/>
          </w:tcPr>
          <w:p w14:paraId="1E2FBD0C" w14:textId="2652D49E" w:rsidR="00446CFD" w:rsidRPr="00C70251" w:rsidRDefault="00446CFD" w:rsidP="00EA4DD3">
            <w:pPr>
              <w:keepNext/>
              <w:jc w:val="center"/>
              <w:rPr>
                <w:rFonts w:ascii="Arial" w:hAnsi="Arial" w:cs="Arial"/>
                <w:color w:val="000000"/>
                <w:sz w:val="16"/>
                <w:szCs w:val="16"/>
              </w:rPr>
            </w:pPr>
            <w:r w:rsidRPr="00C70251">
              <w:rPr>
                <w:rFonts w:ascii="Arial" w:hAnsi="Arial" w:cs="Arial"/>
                <w:sz w:val="16"/>
                <w:szCs w:val="16"/>
              </w:rPr>
              <w:t>96,8</w:t>
            </w:r>
            <w:r w:rsidR="006161E9">
              <w:rPr>
                <w:rFonts w:ascii="Arial" w:hAnsi="Arial" w:cs="Arial"/>
                <w:sz w:val="16"/>
                <w:szCs w:val="16"/>
              </w:rPr>
              <w:t>5</w:t>
            </w:r>
            <w:r w:rsidRPr="00C70251">
              <w:rPr>
                <w:rFonts w:ascii="Arial" w:hAnsi="Arial" w:cs="Arial"/>
                <w:sz w:val="16"/>
                <w:szCs w:val="16"/>
              </w:rPr>
              <w:t xml:space="preserve"> %</w:t>
            </w:r>
          </w:p>
        </w:tc>
      </w:tr>
    </w:tbl>
    <w:p w14:paraId="0C54FFA6" w14:textId="77777777" w:rsidR="00446CFD" w:rsidRPr="00C70251" w:rsidRDefault="00446CFD" w:rsidP="00446CFD">
      <w:pPr>
        <w:rPr>
          <w:rFonts w:ascii="Arial" w:hAnsi="Arial" w:cs="Arial"/>
          <w:sz w:val="16"/>
          <w:szCs w:val="16"/>
        </w:rPr>
      </w:pPr>
      <w:r w:rsidRPr="00C70251">
        <w:rPr>
          <w:rFonts w:ascii="Arial" w:hAnsi="Arial" w:cs="Arial"/>
          <w:sz w:val="16"/>
          <w:szCs w:val="16"/>
        </w:rPr>
        <w:t>Zdroj: CO</w:t>
      </w:r>
    </w:p>
    <w:p w14:paraId="07E025E0" w14:textId="24F12F98" w:rsidR="008716D3" w:rsidRDefault="00446CFD" w:rsidP="00446CFD">
      <w:pPr>
        <w:spacing w:before="120" w:after="120"/>
        <w:jc w:val="both"/>
        <w:rPr>
          <w:rFonts w:ascii="Arial" w:hAnsi="Arial" w:cs="Arial"/>
          <w:sz w:val="18"/>
          <w:szCs w:val="18"/>
        </w:rPr>
      </w:pPr>
      <w:r w:rsidRPr="00F62531">
        <w:rPr>
          <w:rFonts w:ascii="Arial" w:hAnsi="Arial" w:cs="Arial"/>
          <w:i/>
          <w:sz w:val="18"/>
          <w:szCs w:val="18"/>
        </w:rPr>
        <w:t xml:space="preserve">Pozn.: </w:t>
      </w:r>
      <w:r w:rsidRPr="00C70251">
        <w:rPr>
          <w:rFonts w:ascii="Arial" w:hAnsi="Arial" w:cs="Arial"/>
          <w:i/>
          <w:sz w:val="18"/>
          <w:szCs w:val="18"/>
        </w:rPr>
        <w:t xml:space="preserve">prehľad výdavkov schválených CO </w:t>
      </w:r>
      <w:r w:rsidRPr="00F62531">
        <w:rPr>
          <w:rFonts w:ascii="Arial" w:hAnsi="Arial" w:cs="Arial"/>
          <w:i/>
          <w:sz w:val="18"/>
          <w:szCs w:val="18"/>
        </w:rPr>
        <w:t>znížených o</w:t>
      </w:r>
      <w:r w:rsidR="008716D3">
        <w:rPr>
          <w:rFonts w:ascii="Arial" w:hAnsi="Arial" w:cs="Arial"/>
          <w:i/>
          <w:sz w:val="18"/>
          <w:szCs w:val="18"/>
        </w:rPr>
        <w:t> </w:t>
      </w:r>
      <w:r w:rsidRPr="00C70251">
        <w:rPr>
          <w:rFonts w:ascii="Arial" w:hAnsi="Arial" w:cs="Arial"/>
          <w:i/>
          <w:sz w:val="18"/>
          <w:szCs w:val="18"/>
        </w:rPr>
        <w:t>nezrovnalost</w:t>
      </w:r>
      <w:r w:rsidRPr="00F62531">
        <w:rPr>
          <w:rFonts w:ascii="Arial" w:hAnsi="Arial" w:cs="Arial"/>
          <w:i/>
          <w:sz w:val="18"/>
          <w:szCs w:val="18"/>
        </w:rPr>
        <w:t>i</w:t>
      </w:r>
    </w:p>
    <w:p w14:paraId="652DF6A1" w14:textId="1E4B58E5" w:rsidR="008716D3" w:rsidRPr="00021D46" w:rsidRDefault="008716D3" w:rsidP="00446CFD">
      <w:pPr>
        <w:spacing w:before="120" w:after="120"/>
        <w:jc w:val="both"/>
        <w:rPr>
          <w:rFonts w:ascii="Arial" w:hAnsi="Arial" w:cs="Arial"/>
          <w:sz w:val="20"/>
          <w:szCs w:val="20"/>
        </w:rPr>
      </w:pPr>
      <w:r w:rsidRPr="00944164">
        <w:rPr>
          <w:rFonts w:ascii="Arial" w:hAnsi="Arial" w:cs="Arial"/>
          <w:sz w:val="20"/>
          <w:szCs w:val="20"/>
        </w:rPr>
        <w:t xml:space="preserve">Počas implementácie OP ŽP k 31. 10. 2016 došlo v rámci projektov prioritnej osi 6 k vráteniu finančných prostriedkov v 16 prípadoch. </w:t>
      </w:r>
    </w:p>
    <w:p w14:paraId="3CDBBA3B" w14:textId="77777777" w:rsidR="00446CFD" w:rsidRPr="00C70251" w:rsidRDefault="00446CFD" w:rsidP="005B6861">
      <w:pPr>
        <w:pStyle w:val="Nadpis3"/>
      </w:pPr>
      <w:bookmarkStart w:id="91" w:name="_Toc466914543"/>
      <w:r w:rsidRPr="00C70251">
        <w:lastRenderedPageBreak/>
        <w:t>3.6.2 Závažné problémy, ktoré sa vyskytli, a opatrenia prijaté na ich odstránenie</w:t>
      </w:r>
      <w:bookmarkEnd w:id="91"/>
    </w:p>
    <w:p w14:paraId="54844DFD" w14:textId="77777777" w:rsidR="00446CFD" w:rsidRPr="000F0572" w:rsidRDefault="00446CFD" w:rsidP="00446CFD">
      <w:pPr>
        <w:spacing w:before="120" w:after="200"/>
        <w:jc w:val="both"/>
        <w:rPr>
          <w:rFonts w:ascii="Arial" w:eastAsia="Calibri" w:hAnsi="Arial" w:cs="Arial"/>
          <w:sz w:val="20"/>
          <w:szCs w:val="20"/>
        </w:rPr>
      </w:pPr>
      <w:r w:rsidRPr="000F0572">
        <w:rPr>
          <w:rFonts w:ascii="Arial" w:eastAsia="Calibri" w:hAnsi="Arial" w:cs="Arial"/>
          <w:sz w:val="20"/>
          <w:szCs w:val="20"/>
        </w:rPr>
        <w:t xml:space="preserve">Závažné problémy sa počas implementácie prioritnej osi nevyskytli. Vyskytli sa len menej závažné problémy spôsobené aktuálnou potrebou vykonania zmien  v projektoch (úprava časového rámca, presun finančných prostriedkov medzi skupinami výdavkov a pod.). Jedným z problémov bolo nevyhlásenie plánovaných verejných obstarávaní z časových a administratívnych dôvodov. Tieto zmeny nemali vplyv na úspešnú realizáciu projektu a dosiahnutie stanovených cieľov.  </w:t>
      </w:r>
    </w:p>
    <w:p w14:paraId="26F8B2B0" w14:textId="15F18D60" w:rsidR="00446CFD" w:rsidRPr="005B6861" w:rsidRDefault="00446CFD" w:rsidP="00446CFD">
      <w:pPr>
        <w:spacing w:before="120" w:after="120"/>
        <w:jc w:val="both"/>
        <w:rPr>
          <w:rFonts w:ascii="Arial" w:hAnsi="Arial" w:cs="Arial"/>
          <w:b/>
          <w:i/>
        </w:rPr>
      </w:pPr>
      <w:r w:rsidRPr="00C70251">
        <w:rPr>
          <w:rFonts w:ascii="Arial" w:hAnsi="Arial" w:cs="Arial"/>
          <w:b/>
          <w:i/>
        </w:rPr>
        <w:t>Kvalitatívna analýza dosiahnutých výsledkov na úrovni prioritne</w:t>
      </w:r>
      <w:r w:rsidR="005B6861">
        <w:rPr>
          <w:rFonts w:ascii="Arial" w:hAnsi="Arial" w:cs="Arial"/>
          <w:b/>
          <w:i/>
        </w:rPr>
        <w:t>j osi 6</w:t>
      </w:r>
    </w:p>
    <w:p w14:paraId="700B14E3" w14:textId="77777777" w:rsidR="0052752F" w:rsidRPr="0052752F" w:rsidRDefault="0052752F" w:rsidP="0052752F">
      <w:pPr>
        <w:spacing w:before="120"/>
        <w:jc w:val="both"/>
        <w:rPr>
          <w:rFonts w:ascii="Arial" w:hAnsi="Arial" w:cs="Arial"/>
          <w:sz w:val="20"/>
          <w:szCs w:val="20"/>
        </w:rPr>
      </w:pPr>
      <w:r w:rsidRPr="0052752F">
        <w:rPr>
          <w:rFonts w:ascii="Arial" w:hAnsi="Arial" w:cs="Arial"/>
          <w:sz w:val="20"/>
          <w:szCs w:val="20"/>
        </w:rPr>
        <w:t xml:space="preserve">V rámci prioritnej témy 85 Príprava, vykonávanie, monitorovanie a kontrola bolo k 31. 10. 2016 vyčerpaných 31 744 211,00 € z KF, čo predstavuje 97,67 % z alokácie na uvedenú tému, v rámci témy 86 Hodnotenie a štúdie, informácie a komunikácia sa vyčerpalo 17 602 112,00 €, čo predstavuje   109,33 % z alokácie na prioritnú tému. </w:t>
      </w:r>
    </w:p>
    <w:p w14:paraId="742D4657" w14:textId="77777777" w:rsidR="0052752F" w:rsidRPr="0052752F" w:rsidRDefault="0052752F" w:rsidP="0052752F">
      <w:pPr>
        <w:spacing w:before="120"/>
        <w:jc w:val="both"/>
        <w:rPr>
          <w:rFonts w:ascii="Arial" w:hAnsi="Arial" w:cs="Arial"/>
          <w:sz w:val="20"/>
          <w:szCs w:val="20"/>
        </w:rPr>
      </w:pPr>
      <w:r w:rsidRPr="0052752F">
        <w:rPr>
          <w:rFonts w:ascii="Arial" w:hAnsi="Arial" w:cs="Arial"/>
          <w:sz w:val="20"/>
          <w:szCs w:val="20"/>
        </w:rPr>
        <w:t>V rámci prioritnej témy 85 bola zazmluvnená suma projektov na úrovni 140,41 % hodnoty celkovej alokácie. Pri prioritnej téme 86 bola zazmluvnená suma projektov na úrovni 120,61 % celkovej alokácie.</w:t>
      </w:r>
    </w:p>
    <w:p w14:paraId="1B369DCE" w14:textId="3017079A" w:rsidR="0052752F" w:rsidRDefault="0052752F" w:rsidP="0052752F">
      <w:pPr>
        <w:spacing w:before="120"/>
        <w:jc w:val="both"/>
        <w:rPr>
          <w:rFonts w:ascii="Arial" w:hAnsi="Arial" w:cs="Arial"/>
          <w:sz w:val="20"/>
          <w:szCs w:val="20"/>
        </w:rPr>
      </w:pPr>
      <w:r w:rsidRPr="0052752F">
        <w:rPr>
          <w:rFonts w:ascii="Arial" w:hAnsi="Arial" w:cs="Arial"/>
          <w:sz w:val="20"/>
          <w:szCs w:val="20"/>
        </w:rPr>
        <w:t xml:space="preserve">Celková úroveň zazmluvnenia prioritnej osi 6 voči alokácii na danú prioritnú os bola 133,85 % </w:t>
      </w:r>
      <w:r>
        <w:rPr>
          <w:rFonts w:ascii="Arial" w:hAnsi="Arial" w:cs="Arial"/>
          <w:sz w:val="20"/>
          <w:szCs w:val="20"/>
        </w:rPr>
        <w:t xml:space="preserve">            </w:t>
      </w:r>
      <w:r w:rsidRPr="0052752F">
        <w:rPr>
          <w:rFonts w:ascii="Arial" w:hAnsi="Arial" w:cs="Arial"/>
          <w:sz w:val="20"/>
          <w:szCs w:val="20"/>
        </w:rPr>
        <w:t>a vyplatené prostriedky prijímateľom tvorili 101,54 % z celkovej alokácie na danú prioritnú os.</w:t>
      </w:r>
    </w:p>
    <w:p w14:paraId="2DD757E8" w14:textId="4C060037" w:rsidR="00446CFD" w:rsidRPr="00C70251" w:rsidRDefault="00446CFD" w:rsidP="00446CFD">
      <w:pPr>
        <w:spacing w:before="120"/>
        <w:jc w:val="both"/>
        <w:rPr>
          <w:rFonts w:ascii="Arial" w:hAnsi="Arial" w:cs="Arial"/>
          <w:sz w:val="20"/>
          <w:szCs w:val="20"/>
        </w:rPr>
      </w:pPr>
      <w:r w:rsidRPr="00C70251">
        <w:rPr>
          <w:rFonts w:ascii="Arial" w:hAnsi="Arial" w:cs="Arial"/>
          <w:sz w:val="20"/>
          <w:szCs w:val="20"/>
        </w:rPr>
        <w:t>Tabuľka č. 6</w:t>
      </w:r>
      <w:r w:rsidR="007B1CB9">
        <w:rPr>
          <w:rFonts w:ascii="Arial" w:hAnsi="Arial" w:cs="Arial"/>
          <w:sz w:val="20"/>
          <w:szCs w:val="20"/>
        </w:rPr>
        <w:t>8</w:t>
      </w:r>
      <w:r w:rsidRPr="00C70251">
        <w:rPr>
          <w:rFonts w:ascii="Arial" w:hAnsi="Arial" w:cs="Arial"/>
          <w:sz w:val="20"/>
          <w:szCs w:val="20"/>
        </w:rPr>
        <w:t>: Zhodnotenie úrovne podľa HT</w:t>
      </w:r>
    </w:p>
    <w:tbl>
      <w:tblPr>
        <w:tblW w:w="9155" w:type="dxa"/>
        <w:tblInd w:w="55" w:type="dxa"/>
        <w:tblCellMar>
          <w:left w:w="70" w:type="dxa"/>
          <w:right w:w="70" w:type="dxa"/>
        </w:tblCellMar>
        <w:tblLook w:val="04A0" w:firstRow="1" w:lastRow="0" w:firstColumn="1" w:lastColumn="0" w:noHBand="0" w:noVBand="1"/>
      </w:tblPr>
      <w:tblGrid>
        <w:gridCol w:w="2345"/>
        <w:gridCol w:w="1418"/>
        <w:gridCol w:w="1519"/>
        <w:gridCol w:w="1403"/>
        <w:gridCol w:w="1235"/>
        <w:gridCol w:w="1235"/>
      </w:tblGrid>
      <w:tr w:rsidR="00446CFD" w:rsidRPr="00C70251" w14:paraId="2D72A270" w14:textId="77777777" w:rsidTr="007D7B08">
        <w:trPr>
          <w:trHeight w:val="1140"/>
        </w:trPr>
        <w:tc>
          <w:tcPr>
            <w:tcW w:w="2345" w:type="dxa"/>
            <w:tcBorders>
              <w:top w:val="single" w:sz="8" w:space="0" w:color="auto"/>
              <w:left w:val="single" w:sz="8" w:space="0" w:color="auto"/>
              <w:bottom w:val="single" w:sz="8" w:space="0" w:color="auto"/>
              <w:right w:val="single" w:sz="8" w:space="0" w:color="000000"/>
            </w:tcBorders>
            <w:shd w:val="clear" w:color="auto" w:fill="C2D69B" w:themeFill="accent3" w:themeFillTint="99"/>
            <w:noWrap/>
            <w:vAlign w:val="center"/>
            <w:hideMark/>
          </w:tcPr>
          <w:p w14:paraId="395438BF"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Prioritná téma</w:t>
            </w:r>
          </w:p>
        </w:tc>
        <w:tc>
          <w:tcPr>
            <w:tcW w:w="141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6F11CC94"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Celková alokácia (zdroj EÚ)</w:t>
            </w:r>
          </w:p>
          <w:p w14:paraId="18E237C3"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v €</w:t>
            </w:r>
          </w:p>
        </w:tc>
        <w:tc>
          <w:tcPr>
            <w:tcW w:w="1519"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39820031"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Suma zazmluvnená (EÚ zdroje)</w:t>
            </w:r>
          </w:p>
          <w:p w14:paraId="4B4E3529"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v €</w:t>
            </w:r>
          </w:p>
        </w:tc>
        <w:tc>
          <w:tcPr>
            <w:tcW w:w="1403"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25A4C2D"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Podiel zazmluvnených projektov na celkovej alokácii</w:t>
            </w:r>
          </w:p>
        </w:tc>
        <w:tc>
          <w:tcPr>
            <w:tcW w:w="1235"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D290B81" w14:textId="2C515691"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Suma čerpaná</w:t>
            </w:r>
            <w:r w:rsidR="006D1921">
              <w:rPr>
                <w:rFonts w:ascii="Arial" w:hAnsi="Arial" w:cs="Arial"/>
                <w:b/>
                <w:bCs/>
                <w:color w:val="000000"/>
                <w:sz w:val="16"/>
                <w:szCs w:val="16"/>
              </w:rPr>
              <w:t xml:space="preserve"> riadne ukončených projektov</w:t>
            </w:r>
            <w:r w:rsidRPr="00C70251">
              <w:rPr>
                <w:rFonts w:ascii="Arial" w:hAnsi="Arial" w:cs="Arial"/>
                <w:b/>
                <w:bCs/>
                <w:color w:val="000000"/>
                <w:sz w:val="16"/>
                <w:szCs w:val="16"/>
              </w:rPr>
              <w:t xml:space="preserve">  (EÚ zdroje)</w:t>
            </w:r>
          </w:p>
          <w:p w14:paraId="1AAB0D56"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v €</w:t>
            </w:r>
          </w:p>
        </w:tc>
        <w:tc>
          <w:tcPr>
            <w:tcW w:w="1235"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F2B5BEF" w14:textId="77777777" w:rsidR="00446CFD" w:rsidRPr="00C70251" w:rsidRDefault="00446CFD" w:rsidP="00EA4DD3">
            <w:pPr>
              <w:jc w:val="center"/>
              <w:rPr>
                <w:rFonts w:ascii="Arial" w:hAnsi="Arial" w:cs="Arial"/>
                <w:b/>
                <w:bCs/>
                <w:color w:val="000000"/>
                <w:sz w:val="16"/>
                <w:szCs w:val="16"/>
              </w:rPr>
            </w:pPr>
            <w:r w:rsidRPr="00C70251">
              <w:rPr>
                <w:rFonts w:ascii="Arial" w:hAnsi="Arial" w:cs="Arial"/>
                <w:b/>
                <w:bCs/>
                <w:color w:val="000000"/>
                <w:sz w:val="16"/>
                <w:szCs w:val="16"/>
              </w:rPr>
              <w:t>Podiel čerpania projektov na celkovej alokácii</w:t>
            </w:r>
          </w:p>
        </w:tc>
      </w:tr>
      <w:tr w:rsidR="0032447E" w:rsidRPr="00C70251" w14:paraId="31B007A9" w14:textId="77777777" w:rsidTr="0032447E">
        <w:trPr>
          <w:trHeight w:val="465"/>
        </w:trPr>
        <w:tc>
          <w:tcPr>
            <w:tcW w:w="2345" w:type="dxa"/>
            <w:tcBorders>
              <w:top w:val="single" w:sz="8" w:space="0" w:color="auto"/>
              <w:left w:val="single" w:sz="8" w:space="0" w:color="auto"/>
              <w:bottom w:val="single" w:sz="8" w:space="0" w:color="auto"/>
              <w:right w:val="single" w:sz="8" w:space="0" w:color="000000"/>
            </w:tcBorders>
            <w:shd w:val="clear" w:color="000000" w:fill="EAF1DD"/>
            <w:vAlign w:val="center"/>
            <w:hideMark/>
          </w:tcPr>
          <w:p w14:paraId="21CE6886" w14:textId="77777777" w:rsidR="0032447E" w:rsidRPr="00C70251" w:rsidRDefault="0032447E" w:rsidP="0032447E">
            <w:pPr>
              <w:rPr>
                <w:rFonts w:ascii="Arial" w:hAnsi="Arial" w:cs="Arial"/>
                <w:color w:val="000000"/>
                <w:sz w:val="16"/>
                <w:szCs w:val="16"/>
              </w:rPr>
            </w:pPr>
            <w:r w:rsidRPr="00C70251">
              <w:rPr>
                <w:rFonts w:ascii="Arial" w:hAnsi="Arial" w:cs="Arial"/>
                <w:color w:val="000000"/>
                <w:sz w:val="16"/>
                <w:szCs w:val="16"/>
              </w:rPr>
              <w:t>HT 85 Príprava, vykonávanie, monitorovanie a kontrola</w:t>
            </w:r>
          </w:p>
        </w:tc>
        <w:tc>
          <w:tcPr>
            <w:tcW w:w="1418" w:type="dxa"/>
            <w:tcBorders>
              <w:top w:val="nil"/>
              <w:left w:val="nil"/>
              <w:bottom w:val="single" w:sz="8" w:space="0" w:color="auto"/>
              <w:right w:val="single" w:sz="8" w:space="0" w:color="auto"/>
            </w:tcBorders>
            <w:shd w:val="clear" w:color="auto" w:fill="auto"/>
            <w:noWrap/>
            <w:vAlign w:val="center"/>
            <w:hideMark/>
          </w:tcPr>
          <w:p w14:paraId="068C9B40" w14:textId="22513E01"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32 500 000</w:t>
            </w:r>
          </w:p>
        </w:tc>
        <w:tc>
          <w:tcPr>
            <w:tcW w:w="1519" w:type="dxa"/>
            <w:tcBorders>
              <w:top w:val="nil"/>
              <w:left w:val="nil"/>
              <w:bottom w:val="single" w:sz="8" w:space="0" w:color="auto"/>
              <w:right w:val="single" w:sz="8" w:space="0" w:color="auto"/>
            </w:tcBorders>
            <w:shd w:val="clear" w:color="auto" w:fill="auto"/>
            <w:noWrap/>
            <w:vAlign w:val="center"/>
          </w:tcPr>
          <w:p w14:paraId="572C7C19" w14:textId="21C4604A"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45 633 564</w:t>
            </w:r>
          </w:p>
        </w:tc>
        <w:tc>
          <w:tcPr>
            <w:tcW w:w="1403" w:type="dxa"/>
            <w:tcBorders>
              <w:top w:val="nil"/>
              <w:left w:val="nil"/>
              <w:bottom w:val="single" w:sz="8" w:space="0" w:color="auto"/>
              <w:right w:val="single" w:sz="8" w:space="0" w:color="auto"/>
            </w:tcBorders>
            <w:shd w:val="clear" w:color="auto" w:fill="auto"/>
            <w:noWrap/>
            <w:vAlign w:val="center"/>
          </w:tcPr>
          <w:p w14:paraId="60A1AA64" w14:textId="1DD50307"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140,41%</w:t>
            </w:r>
          </w:p>
        </w:tc>
        <w:tc>
          <w:tcPr>
            <w:tcW w:w="1235" w:type="dxa"/>
            <w:tcBorders>
              <w:top w:val="nil"/>
              <w:left w:val="nil"/>
              <w:bottom w:val="single" w:sz="8" w:space="0" w:color="auto"/>
              <w:right w:val="single" w:sz="8" w:space="0" w:color="auto"/>
            </w:tcBorders>
            <w:shd w:val="clear" w:color="auto" w:fill="auto"/>
            <w:noWrap/>
            <w:vAlign w:val="center"/>
          </w:tcPr>
          <w:p w14:paraId="25A97831" w14:textId="0FE1F405"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31 744 211</w:t>
            </w:r>
          </w:p>
        </w:tc>
        <w:tc>
          <w:tcPr>
            <w:tcW w:w="1235" w:type="dxa"/>
            <w:tcBorders>
              <w:top w:val="nil"/>
              <w:left w:val="nil"/>
              <w:bottom w:val="single" w:sz="8" w:space="0" w:color="auto"/>
              <w:right w:val="single" w:sz="8" w:space="0" w:color="auto"/>
            </w:tcBorders>
            <w:shd w:val="clear" w:color="auto" w:fill="auto"/>
            <w:noWrap/>
            <w:vAlign w:val="center"/>
          </w:tcPr>
          <w:p w14:paraId="2504514F" w14:textId="6A5B1A70"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97,67%</w:t>
            </w:r>
          </w:p>
        </w:tc>
      </w:tr>
      <w:tr w:rsidR="0032447E" w:rsidRPr="00C70251" w14:paraId="49004D9C" w14:textId="77777777" w:rsidTr="0032447E">
        <w:trPr>
          <w:trHeight w:val="465"/>
        </w:trPr>
        <w:tc>
          <w:tcPr>
            <w:tcW w:w="2345" w:type="dxa"/>
            <w:tcBorders>
              <w:top w:val="single" w:sz="8" w:space="0" w:color="auto"/>
              <w:left w:val="single" w:sz="8" w:space="0" w:color="auto"/>
              <w:bottom w:val="single" w:sz="8" w:space="0" w:color="auto"/>
              <w:right w:val="single" w:sz="8" w:space="0" w:color="000000"/>
            </w:tcBorders>
            <w:shd w:val="clear" w:color="000000" w:fill="EAF1DD"/>
            <w:vAlign w:val="center"/>
            <w:hideMark/>
          </w:tcPr>
          <w:p w14:paraId="4922AE91" w14:textId="77777777" w:rsidR="0032447E" w:rsidRPr="00C70251" w:rsidRDefault="0032447E" w:rsidP="0032447E">
            <w:pPr>
              <w:rPr>
                <w:rFonts w:ascii="Arial" w:hAnsi="Arial" w:cs="Arial"/>
                <w:color w:val="000000"/>
                <w:sz w:val="16"/>
                <w:szCs w:val="16"/>
              </w:rPr>
            </w:pPr>
            <w:r w:rsidRPr="00C70251">
              <w:rPr>
                <w:rFonts w:ascii="Arial" w:hAnsi="Arial" w:cs="Arial"/>
                <w:color w:val="000000"/>
                <w:sz w:val="16"/>
                <w:szCs w:val="16"/>
              </w:rPr>
              <w:t>HT 86 Hodnotenie a štúdie, informácie a komunikácia</w:t>
            </w:r>
          </w:p>
        </w:tc>
        <w:tc>
          <w:tcPr>
            <w:tcW w:w="1418" w:type="dxa"/>
            <w:tcBorders>
              <w:top w:val="nil"/>
              <w:left w:val="nil"/>
              <w:bottom w:val="single" w:sz="8" w:space="0" w:color="auto"/>
              <w:right w:val="single" w:sz="8" w:space="0" w:color="auto"/>
            </w:tcBorders>
            <w:shd w:val="clear" w:color="auto" w:fill="auto"/>
            <w:noWrap/>
            <w:vAlign w:val="center"/>
            <w:hideMark/>
          </w:tcPr>
          <w:p w14:paraId="528FD827" w14:textId="1FCF1825"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16 100 000</w:t>
            </w:r>
          </w:p>
        </w:tc>
        <w:tc>
          <w:tcPr>
            <w:tcW w:w="1519" w:type="dxa"/>
            <w:tcBorders>
              <w:top w:val="nil"/>
              <w:left w:val="nil"/>
              <w:bottom w:val="single" w:sz="8" w:space="0" w:color="auto"/>
              <w:right w:val="single" w:sz="8" w:space="0" w:color="auto"/>
            </w:tcBorders>
            <w:shd w:val="clear" w:color="auto" w:fill="auto"/>
            <w:noWrap/>
            <w:vAlign w:val="center"/>
          </w:tcPr>
          <w:p w14:paraId="73642416" w14:textId="6CF75FCC"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19 417 925</w:t>
            </w:r>
          </w:p>
        </w:tc>
        <w:tc>
          <w:tcPr>
            <w:tcW w:w="1403" w:type="dxa"/>
            <w:tcBorders>
              <w:top w:val="nil"/>
              <w:left w:val="nil"/>
              <w:bottom w:val="single" w:sz="8" w:space="0" w:color="auto"/>
              <w:right w:val="single" w:sz="8" w:space="0" w:color="auto"/>
            </w:tcBorders>
            <w:shd w:val="clear" w:color="auto" w:fill="auto"/>
            <w:noWrap/>
            <w:vAlign w:val="center"/>
          </w:tcPr>
          <w:p w14:paraId="63C94A9D" w14:textId="01CD31A0"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120,61%</w:t>
            </w:r>
          </w:p>
        </w:tc>
        <w:tc>
          <w:tcPr>
            <w:tcW w:w="1235" w:type="dxa"/>
            <w:tcBorders>
              <w:top w:val="nil"/>
              <w:left w:val="nil"/>
              <w:bottom w:val="single" w:sz="8" w:space="0" w:color="auto"/>
              <w:right w:val="single" w:sz="8" w:space="0" w:color="auto"/>
            </w:tcBorders>
            <w:shd w:val="clear" w:color="auto" w:fill="auto"/>
            <w:noWrap/>
            <w:vAlign w:val="center"/>
          </w:tcPr>
          <w:p w14:paraId="0B0FBD7F" w14:textId="37F56E17"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17 602 112</w:t>
            </w:r>
          </w:p>
        </w:tc>
        <w:tc>
          <w:tcPr>
            <w:tcW w:w="1235" w:type="dxa"/>
            <w:tcBorders>
              <w:top w:val="nil"/>
              <w:left w:val="nil"/>
              <w:bottom w:val="single" w:sz="8" w:space="0" w:color="auto"/>
              <w:right w:val="single" w:sz="8" w:space="0" w:color="auto"/>
            </w:tcBorders>
            <w:shd w:val="clear" w:color="auto" w:fill="auto"/>
            <w:noWrap/>
            <w:vAlign w:val="center"/>
          </w:tcPr>
          <w:p w14:paraId="7B09FB72" w14:textId="5D8D2D37"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109,33%</w:t>
            </w:r>
          </w:p>
        </w:tc>
      </w:tr>
      <w:tr w:rsidR="0032447E" w:rsidRPr="00C70251" w14:paraId="33905F4B" w14:textId="77777777" w:rsidTr="0032447E">
        <w:trPr>
          <w:trHeight w:val="240"/>
        </w:trPr>
        <w:tc>
          <w:tcPr>
            <w:tcW w:w="2345" w:type="dxa"/>
            <w:tcBorders>
              <w:top w:val="nil"/>
              <w:left w:val="single" w:sz="8" w:space="0" w:color="auto"/>
              <w:bottom w:val="single" w:sz="8" w:space="0" w:color="auto"/>
              <w:right w:val="single" w:sz="8" w:space="0" w:color="000000"/>
            </w:tcBorders>
            <w:shd w:val="clear" w:color="000000" w:fill="EAF1DD"/>
            <w:vAlign w:val="center"/>
            <w:hideMark/>
          </w:tcPr>
          <w:p w14:paraId="2BAE23A1" w14:textId="77777777" w:rsidR="0032447E" w:rsidRPr="00C70251" w:rsidRDefault="0032447E" w:rsidP="0032447E">
            <w:pPr>
              <w:rPr>
                <w:rFonts w:ascii="Arial" w:hAnsi="Arial" w:cs="Arial"/>
                <w:b/>
                <w:bCs/>
                <w:color w:val="000000"/>
                <w:sz w:val="16"/>
                <w:szCs w:val="16"/>
              </w:rPr>
            </w:pPr>
            <w:r w:rsidRPr="00C70251">
              <w:rPr>
                <w:rFonts w:ascii="Arial" w:hAnsi="Arial" w:cs="Arial"/>
                <w:b/>
                <w:bCs/>
                <w:color w:val="000000"/>
                <w:sz w:val="16"/>
                <w:szCs w:val="16"/>
              </w:rPr>
              <w:t>Spolu</w:t>
            </w:r>
          </w:p>
        </w:tc>
        <w:tc>
          <w:tcPr>
            <w:tcW w:w="1418" w:type="dxa"/>
            <w:tcBorders>
              <w:top w:val="nil"/>
              <w:left w:val="nil"/>
              <w:bottom w:val="single" w:sz="8" w:space="0" w:color="auto"/>
              <w:right w:val="single" w:sz="8" w:space="0" w:color="auto"/>
            </w:tcBorders>
            <w:shd w:val="clear" w:color="000000" w:fill="EAF1DD"/>
            <w:noWrap/>
            <w:vAlign w:val="center"/>
            <w:hideMark/>
          </w:tcPr>
          <w:p w14:paraId="529995AE" w14:textId="588ABFF5"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48 600 000</w:t>
            </w:r>
          </w:p>
        </w:tc>
        <w:tc>
          <w:tcPr>
            <w:tcW w:w="1519" w:type="dxa"/>
            <w:tcBorders>
              <w:top w:val="nil"/>
              <w:left w:val="nil"/>
              <w:bottom w:val="single" w:sz="8" w:space="0" w:color="auto"/>
              <w:right w:val="single" w:sz="8" w:space="0" w:color="auto"/>
            </w:tcBorders>
            <w:shd w:val="clear" w:color="000000" w:fill="EAF1DD"/>
            <w:noWrap/>
            <w:vAlign w:val="center"/>
          </w:tcPr>
          <w:p w14:paraId="691004E8" w14:textId="4EB1FDEC"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65 051 489</w:t>
            </w:r>
          </w:p>
        </w:tc>
        <w:tc>
          <w:tcPr>
            <w:tcW w:w="1403" w:type="dxa"/>
            <w:tcBorders>
              <w:top w:val="nil"/>
              <w:left w:val="nil"/>
              <w:bottom w:val="single" w:sz="8" w:space="0" w:color="auto"/>
              <w:right w:val="single" w:sz="8" w:space="0" w:color="auto"/>
            </w:tcBorders>
            <w:shd w:val="clear" w:color="000000" w:fill="EAF1DD"/>
            <w:noWrap/>
            <w:vAlign w:val="center"/>
          </w:tcPr>
          <w:p w14:paraId="26992A2D" w14:textId="1895D65C"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133,85%</w:t>
            </w:r>
          </w:p>
        </w:tc>
        <w:tc>
          <w:tcPr>
            <w:tcW w:w="1235" w:type="dxa"/>
            <w:tcBorders>
              <w:top w:val="nil"/>
              <w:left w:val="nil"/>
              <w:bottom w:val="single" w:sz="8" w:space="0" w:color="auto"/>
              <w:right w:val="single" w:sz="8" w:space="0" w:color="auto"/>
            </w:tcBorders>
            <w:shd w:val="clear" w:color="000000" w:fill="EAF1DD"/>
            <w:noWrap/>
            <w:vAlign w:val="center"/>
          </w:tcPr>
          <w:p w14:paraId="5CF3B76B" w14:textId="7D0F4ABA"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49 346 323</w:t>
            </w:r>
          </w:p>
        </w:tc>
        <w:tc>
          <w:tcPr>
            <w:tcW w:w="1235" w:type="dxa"/>
            <w:tcBorders>
              <w:top w:val="nil"/>
              <w:left w:val="nil"/>
              <w:bottom w:val="single" w:sz="8" w:space="0" w:color="auto"/>
              <w:right w:val="single" w:sz="8" w:space="0" w:color="auto"/>
            </w:tcBorders>
            <w:shd w:val="clear" w:color="000000" w:fill="EAF1DD"/>
            <w:noWrap/>
            <w:vAlign w:val="center"/>
          </w:tcPr>
          <w:p w14:paraId="0CD0711F" w14:textId="390E8E21" w:rsidR="0032447E" w:rsidRPr="00C70251"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101,54%</w:t>
            </w:r>
          </w:p>
        </w:tc>
      </w:tr>
    </w:tbl>
    <w:p w14:paraId="44A4A074" w14:textId="77777777" w:rsidR="00446CFD" w:rsidRPr="00C70251" w:rsidRDefault="00446CFD" w:rsidP="00446CFD">
      <w:pPr>
        <w:jc w:val="both"/>
        <w:rPr>
          <w:rFonts w:ascii="Arial" w:hAnsi="Arial" w:cs="Arial"/>
          <w:sz w:val="16"/>
          <w:szCs w:val="16"/>
        </w:rPr>
      </w:pPr>
      <w:r w:rsidRPr="00C70251">
        <w:rPr>
          <w:rFonts w:ascii="Arial" w:hAnsi="Arial" w:cs="Arial"/>
          <w:sz w:val="16"/>
          <w:szCs w:val="16"/>
        </w:rPr>
        <w:t>Zdroj: RO, ITMS</w:t>
      </w:r>
    </w:p>
    <w:p w14:paraId="7AAC64AB" w14:textId="77777777" w:rsidR="00446CFD" w:rsidRDefault="00446CFD" w:rsidP="00446CFD">
      <w:pPr>
        <w:spacing w:before="120" w:after="120"/>
        <w:jc w:val="both"/>
        <w:rPr>
          <w:rFonts w:ascii="Arial" w:hAnsi="Arial" w:cs="Arial"/>
          <w:iCs/>
          <w:sz w:val="20"/>
          <w:szCs w:val="20"/>
        </w:rPr>
      </w:pPr>
    </w:p>
    <w:p w14:paraId="429EEEDB" w14:textId="4B9E062F" w:rsidR="00446CFD" w:rsidRPr="00C70251" w:rsidRDefault="00446CFD" w:rsidP="00446CFD">
      <w:pPr>
        <w:spacing w:before="120" w:after="120"/>
        <w:jc w:val="both"/>
        <w:rPr>
          <w:rFonts w:ascii="Arial" w:hAnsi="Arial" w:cs="Arial"/>
          <w:iCs/>
          <w:sz w:val="20"/>
          <w:szCs w:val="20"/>
        </w:rPr>
      </w:pPr>
      <w:r w:rsidRPr="00C70251">
        <w:rPr>
          <w:rFonts w:ascii="Arial" w:hAnsi="Arial" w:cs="Arial"/>
          <w:iCs/>
          <w:sz w:val="20"/>
          <w:szCs w:val="20"/>
        </w:rPr>
        <w:t>Stav dosahovania plánovaných hodnôt ukazovateľov v rámci intervencií prioritnej osi 6 bol ku koncu sledovaného obdobia vysoko prevýšený pri každom sledo</w:t>
      </w:r>
      <w:r w:rsidR="00DE018D">
        <w:rPr>
          <w:rFonts w:ascii="Arial" w:hAnsi="Arial" w:cs="Arial"/>
          <w:iCs/>
          <w:sz w:val="20"/>
          <w:szCs w:val="20"/>
        </w:rPr>
        <w:t>vanom ukazovateli (pozri tabuľku</w:t>
      </w:r>
      <w:r w:rsidRPr="00C70251">
        <w:rPr>
          <w:rFonts w:ascii="Arial" w:hAnsi="Arial" w:cs="Arial"/>
          <w:iCs/>
          <w:sz w:val="20"/>
          <w:szCs w:val="20"/>
        </w:rPr>
        <w:t xml:space="preserve"> nižšie). Plnenie ukazovateľa</w:t>
      </w:r>
      <w:r w:rsidRPr="00C70251">
        <w:rPr>
          <w:rFonts w:ascii="Arial" w:hAnsi="Arial" w:cs="Arial"/>
          <w:sz w:val="20"/>
          <w:szCs w:val="20"/>
        </w:rPr>
        <w:t xml:space="preserve"> „Počet novovytvorených pracovných miest“ bolo k 31.</w:t>
      </w:r>
      <w:r w:rsidR="00AF4DE9">
        <w:rPr>
          <w:rFonts w:ascii="Arial" w:hAnsi="Arial" w:cs="Arial"/>
          <w:sz w:val="20"/>
          <w:szCs w:val="20"/>
        </w:rPr>
        <w:t xml:space="preserve"> </w:t>
      </w:r>
      <w:r w:rsidRPr="00C70251">
        <w:rPr>
          <w:rFonts w:ascii="Arial" w:hAnsi="Arial" w:cs="Arial"/>
          <w:sz w:val="20"/>
          <w:szCs w:val="20"/>
        </w:rPr>
        <w:t>12.</w:t>
      </w:r>
      <w:r w:rsidR="00AF4DE9">
        <w:rPr>
          <w:rFonts w:ascii="Arial" w:hAnsi="Arial" w:cs="Arial"/>
          <w:sz w:val="20"/>
          <w:szCs w:val="20"/>
        </w:rPr>
        <w:t xml:space="preserve"> </w:t>
      </w:r>
      <w:r w:rsidRPr="00C70251">
        <w:rPr>
          <w:rFonts w:ascii="Arial" w:hAnsi="Arial" w:cs="Arial"/>
          <w:sz w:val="20"/>
          <w:szCs w:val="20"/>
        </w:rPr>
        <w:t>2015 prekročen</w:t>
      </w:r>
      <w:r w:rsidR="00AF4DE9">
        <w:rPr>
          <w:rFonts w:ascii="Arial" w:hAnsi="Arial" w:cs="Arial"/>
          <w:sz w:val="20"/>
          <w:szCs w:val="20"/>
        </w:rPr>
        <w:t>é</w:t>
      </w:r>
      <w:r w:rsidRPr="00C70251">
        <w:rPr>
          <w:rFonts w:ascii="Arial" w:hAnsi="Arial" w:cs="Arial"/>
          <w:sz w:val="20"/>
          <w:szCs w:val="20"/>
        </w:rPr>
        <w:t xml:space="preserve"> </w:t>
      </w:r>
      <w:r w:rsidRPr="00C70251">
        <w:rPr>
          <w:rFonts w:ascii="Arial" w:hAnsi="Arial" w:cs="Arial"/>
          <w:sz w:val="20"/>
          <w:szCs w:val="20"/>
          <w:highlight w:val="yellow"/>
        </w:rPr>
        <w:br/>
      </w:r>
      <w:r w:rsidRPr="00C70251">
        <w:rPr>
          <w:rFonts w:ascii="Arial" w:hAnsi="Arial" w:cs="Arial"/>
          <w:sz w:val="20"/>
          <w:szCs w:val="20"/>
        </w:rPr>
        <w:t>o 37 pracovných miest s hodnotou plnenia 190,24 %</w:t>
      </w:r>
      <w:r w:rsidR="00E54D12">
        <w:rPr>
          <w:rFonts w:ascii="Arial" w:hAnsi="Arial" w:cs="Arial"/>
          <w:sz w:val="20"/>
          <w:szCs w:val="20"/>
        </w:rPr>
        <w:t>.</w:t>
      </w:r>
      <w:r w:rsidRPr="00304084">
        <w:rPr>
          <w:rFonts w:ascii="Arial" w:hAnsi="Arial" w:cs="Arial"/>
          <w:sz w:val="20"/>
          <w:szCs w:val="20"/>
        </w:rPr>
        <w:t xml:space="preserve"> </w:t>
      </w:r>
      <w:r w:rsidRPr="00C70251">
        <w:rPr>
          <w:rFonts w:ascii="Arial" w:hAnsi="Arial" w:cs="Arial"/>
          <w:sz w:val="20"/>
          <w:szCs w:val="20"/>
        </w:rPr>
        <w:t xml:space="preserve">Viac ako 7 násobne bol </w:t>
      </w:r>
      <w:r>
        <w:rPr>
          <w:rFonts w:ascii="Arial" w:hAnsi="Arial" w:cs="Arial"/>
          <w:sz w:val="20"/>
          <w:szCs w:val="20"/>
        </w:rPr>
        <w:t>prekročený</w:t>
      </w:r>
      <w:r w:rsidRPr="00C70251">
        <w:rPr>
          <w:rFonts w:ascii="Arial" w:hAnsi="Arial" w:cs="Arial"/>
          <w:sz w:val="20"/>
          <w:szCs w:val="20"/>
        </w:rPr>
        <w:t xml:space="preserve"> ukazovateľ „Počet zrealizovaných akcií na informovanie verejnosti o OP ŽP“, pričom naplnená hodnota bola prekročená z dôvodu, že cieľová hodnota ukazovateľa v</w:t>
      </w:r>
      <w:r>
        <w:rPr>
          <w:rFonts w:ascii="Arial" w:hAnsi="Arial" w:cs="Arial"/>
          <w:sz w:val="20"/>
          <w:szCs w:val="20"/>
        </w:rPr>
        <w:t> operačnom programe</w:t>
      </w:r>
      <w:r w:rsidRPr="00C70251">
        <w:rPr>
          <w:rFonts w:ascii="Arial" w:hAnsi="Arial" w:cs="Arial"/>
          <w:sz w:val="20"/>
          <w:szCs w:val="20"/>
        </w:rPr>
        <w:t xml:space="preserve"> odzrkadľovala len údaje za RO, nie za všetky oprávnené subjekty v rámci prioritnej osi 6</w:t>
      </w:r>
      <w:r>
        <w:rPr>
          <w:rFonts w:ascii="Arial" w:hAnsi="Arial" w:cs="Arial"/>
          <w:sz w:val="20"/>
          <w:szCs w:val="20"/>
        </w:rPr>
        <w:t xml:space="preserve"> (REPIS</w:t>
      </w:r>
      <w:r w:rsidR="001B1CAE">
        <w:rPr>
          <w:rFonts w:ascii="Arial" w:hAnsi="Arial" w:cs="Arial"/>
          <w:sz w:val="20"/>
          <w:szCs w:val="20"/>
        </w:rPr>
        <w:t>-y</w:t>
      </w:r>
      <w:r>
        <w:rPr>
          <w:rFonts w:ascii="Arial" w:hAnsi="Arial" w:cs="Arial"/>
          <w:sz w:val="20"/>
          <w:szCs w:val="20"/>
        </w:rPr>
        <w:t>, SORO)</w:t>
      </w:r>
      <w:r w:rsidRPr="00C70251">
        <w:rPr>
          <w:rFonts w:ascii="Arial" w:hAnsi="Arial" w:cs="Arial"/>
          <w:sz w:val="20"/>
          <w:szCs w:val="20"/>
        </w:rPr>
        <w:t>.</w:t>
      </w:r>
      <w:r>
        <w:rPr>
          <w:rFonts w:ascii="Arial" w:hAnsi="Arial" w:cs="Arial"/>
          <w:sz w:val="20"/>
          <w:szCs w:val="20"/>
        </w:rPr>
        <w:t xml:space="preserve"> Podrobný prehľad informačných aktivít je uvedený v kapitole Informovanie a publicita.</w:t>
      </w:r>
      <w:r w:rsidRPr="00C70251">
        <w:rPr>
          <w:rFonts w:ascii="Arial" w:hAnsi="Arial" w:cs="Arial"/>
          <w:sz w:val="20"/>
          <w:szCs w:val="20"/>
        </w:rPr>
        <w:t xml:space="preserve"> Pri ukazovateli „Počet zamestnancov, ktorých platy sú hradené z TA“ bolo vykazované taktiež prevyšujúce plnenie s hodnotou 152,00 %. K 31.12.2015</w:t>
      </w:r>
      <w:r>
        <w:rPr>
          <w:rFonts w:ascii="Arial" w:hAnsi="Arial" w:cs="Arial"/>
          <w:sz w:val="20"/>
          <w:szCs w:val="20"/>
        </w:rPr>
        <w:t xml:space="preserve"> </w:t>
      </w:r>
      <w:r w:rsidRPr="00C70251">
        <w:rPr>
          <w:rFonts w:ascii="Arial" w:hAnsi="Arial" w:cs="Arial"/>
          <w:sz w:val="20"/>
          <w:szCs w:val="20"/>
        </w:rPr>
        <w:t>bolo z</w:t>
      </w:r>
      <w:r>
        <w:rPr>
          <w:rFonts w:ascii="Arial" w:hAnsi="Arial" w:cs="Arial"/>
          <w:sz w:val="20"/>
          <w:szCs w:val="20"/>
        </w:rPr>
        <w:t> technickej pomoci</w:t>
      </w:r>
      <w:r w:rsidRPr="00C70251">
        <w:rPr>
          <w:rFonts w:ascii="Arial" w:hAnsi="Arial" w:cs="Arial"/>
          <w:sz w:val="20"/>
          <w:szCs w:val="20"/>
        </w:rPr>
        <w:t xml:space="preserve"> </w:t>
      </w:r>
      <w:r>
        <w:rPr>
          <w:rFonts w:ascii="Arial" w:hAnsi="Arial" w:cs="Arial"/>
          <w:sz w:val="20"/>
          <w:szCs w:val="20"/>
        </w:rPr>
        <w:t>financovaných</w:t>
      </w:r>
      <w:r w:rsidRPr="00C70251">
        <w:rPr>
          <w:rFonts w:ascii="Arial" w:hAnsi="Arial" w:cs="Arial"/>
          <w:sz w:val="20"/>
          <w:szCs w:val="20"/>
        </w:rPr>
        <w:t xml:space="preserve"> 228 zamestnancov, z toho 129 žien a 99 mužov.</w:t>
      </w:r>
      <w:r>
        <w:rPr>
          <w:rFonts w:ascii="Arial" w:hAnsi="Arial" w:cs="Arial"/>
          <w:sz w:val="20"/>
          <w:szCs w:val="20"/>
        </w:rPr>
        <w:t xml:space="preserve"> Tento ukazovateľ úzko súvisí s ukazovateľom </w:t>
      </w:r>
      <w:r w:rsidRPr="00705E02">
        <w:rPr>
          <w:rFonts w:ascii="Arial" w:hAnsi="Arial" w:cs="Arial"/>
          <w:sz w:val="20"/>
          <w:szCs w:val="20"/>
        </w:rPr>
        <w:t>„Počet novovytvorených pracovných miest“</w:t>
      </w:r>
      <w:r>
        <w:rPr>
          <w:rFonts w:ascii="Arial" w:hAnsi="Arial" w:cs="Arial"/>
          <w:sz w:val="20"/>
          <w:szCs w:val="20"/>
        </w:rPr>
        <w:t>.</w:t>
      </w:r>
    </w:p>
    <w:p w14:paraId="663E0F6A" w14:textId="3AB98284" w:rsidR="00446CFD" w:rsidRDefault="00446CFD" w:rsidP="00446CFD">
      <w:pPr>
        <w:spacing w:before="120" w:after="120"/>
        <w:jc w:val="both"/>
        <w:rPr>
          <w:rFonts w:ascii="Arial" w:hAnsi="Arial" w:cs="Arial"/>
          <w:sz w:val="20"/>
          <w:szCs w:val="20"/>
        </w:rPr>
      </w:pPr>
      <w:r w:rsidRPr="00C64BA1">
        <w:rPr>
          <w:rFonts w:ascii="Arial" w:hAnsi="Arial" w:cs="Arial"/>
          <w:iCs/>
          <w:sz w:val="20"/>
          <w:szCs w:val="20"/>
        </w:rPr>
        <w:t xml:space="preserve">Prekročenie naplnených hodnôt uvedených ukazovateľov vyplýva zo skutočnosti, že ukazovatele stanovené v operačnom programe korešpondujú s hodnotami schválenými uznesením vlády SR </w:t>
      </w:r>
      <w:r w:rsidRPr="00C64BA1">
        <w:rPr>
          <w:rFonts w:ascii="Arial" w:hAnsi="Arial" w:cs="Arial"/>
          <w:iCs/>
          <w:sz w:val="20"/>
          <w:szCs w:val="20"/>
        </w:rPr>
        <w:br/>
        <w:t>č. 396/2007, kde bol v rámci administratívnych kapacít schválený počet zamestnancov, podieľajúcich sa na implementácii OP ŽP, vo výške 160. Uvedená skutočnosť bola premietnutá do projektov technickej pomoci, kde boli cieľové hodnoty merateľných ukazovateľov stanovené v súlade s uznesením vlády</w:t>
      </w:r>
      <w:r w:rsidRPr="00C64BA1">
        <w:rPr>
          <w:rFonts w:ascii="Arial" w:hAnsi="Arial" w:cs="Arial"/>
          <w:i/>
          <w:iCs/>
          <w:sz w:val="20"/>
          <w:szCs w:val="20"/>
        </w:rPr>
        <w:t xml:space="preserve">. </w:t>
      </w:r>
      <w:r w:rsidRPr="00C70251">
        <w:rPr>
          <w:rFonts w:ascii="Arial" w:hAnsi="Arial" w:cs="Arial"/>
          <w:sz w:val="20"/>
          <w:szCs w:val="20"/>
        </w:rPr>
        <w:t>Proces</w:t>
      </w:r>
      <w:r w:rsidR="00F57B50">
        <w:rPr>
          <w:rFonts w:ascii="Arial" w:hAnsi="Arial" w:cs="Arial"/>
          <w:sz w:val="20"/>
          <w:szCs w:val="20"/>
        </w:rPr>
        <w:t>om</w:t>
      </w:r>
      <w:r w:rsidRPr="00C70251">
        <w:rPr>
          <w:rFonts w:ascii="Arial" w:hAnsi="Arial" w:cs="Arial"/>
          <w:sz w:val="20"/>
          <w:szCs w:val="20"/>
        </w:rPr>
        <w:t xml:space="preserve"> navyšovania novovytvorených pracovných miest </w:t>
      </w:r>
      <w:r w:rsidR="00F57B50">
        <w:rPr>
          <w:rFonts w:ascii="Arial" w:hAnsi="Arial" w:cs="Arial"/>
          <w:sz w:val="20"/>
          <w:szCs w:val="20"/>
        </w:rPr>
        <w:t xml:space="preserve">sa </w:t>
      </w:r>
      <w:r w:rsidRPr="00C70251">
        <w:rPr>
          <w:rFonts w:ascii="Arial" w:hAnsi="Arial" w:cs="Arial"/>
          <w:sz w:val="20"/>
          <w:szCs w:val="20"/>
        </w:rPr>
        <w:t xml:space="preserve">podrobne </w:t>
      </w:r>
      <w:r w:rsidR="00B540A4">
        <w:rPr>
          <w:rFonts w:ascii="Arial" w:hAnsi="Arial" w:cs="Arial"/>
          <w:sz w:val="20"/>
          <w:szCs w:val="20"/>
        </w:rPr>
        <w:t>zaoberá</w:t>
      </w:r>
      <w:r w:rsidR="00B540A4" w:rsidRPr="00C70251">
        <w:rPr>
          <w:rFonts w:ascii="Arial" w:hAnsi="Arial" w:cs="Arial"/>
          <w:sz w:val="20"/>
          <w:szCs w:val="20"/>
        </w:rPr>
        <w:t xml:space="preserve"> </w:t>
      </w:r>
      <w:r w:rsidRPr="00C70251">
        <w:rPr>
          <w:rFonts w:ascii="Arial" w:hAnsi="Arial" w:cs="Arial"/>
          <w:sz w:val="20"/>
          <w:szCs w:val="20"/>
        </w:rPr>
        <w:t>kapitola Administratívne kapacity.</w:t>
      </w:r>
    </w:p>
    <w:p w14:paraId="025BCE34" w14:textId="6EDE4807" w:rsidR="00446CFD" w:rsidRDefault="00446CFD" w:rsidP="00021D46">
      <w:pPr>
        <w:spacing w:before="120" w:after="120"/>
        <w:jc w:val="both"/>
        <w:rPr>
          <w:rFonts w:ascii="Arial" w:hAnsi="Arial" w:cs="Arial"/>
          <w:sz w:val="20"/>
          <w:szCs w:val="20"/>
        </w:rPr>
      </w:pPr>
      <w:r w:rsidRPr="00C70251">
        <w:rPr>
          <w:rFonts w:ascii="Arial" w:hAnsi="Arial" w:cs="Arial"/>
          <w:sz w:val="20"/>
          <w:szCs w:val="20"/>
        </w:rPr>
        <w:lastRenderedPageBreak/>
        <w:t xml:space="preserve">V nadväznosti </w:t>
      </w:r>
      <w:r>
        <w:rPr>
          <w:rFonts w:ascii="Arial" w:hAnsi="Arial" w:cs="Arial"/>
          <w:sz w:val="20"/>
          <w:szCs w:val="20"/>
        </w:rPr>
        <w:t xml:space="preserve">na </w:t>
      </w:r>
      <w:r w:rsidRPr="00C70251">
        <w:rPr>
          <w:rFonts w:ascii="Arial" w:hAnsi="Arial" w:cs="Arial"/>
          <w:sz w:val="20"/>
          <w:szCs w:val="20"/>
        </w:rPr>
        <w:t>percentuáln</w:t>
      </w:r>
      <w:r>
        <w:rPr>
          <w:rFonts w:ascii="Arial" w:hAnsi="Arial" w:cs="Arial"/>
          <w:sz w:val="20"/>
          <w:szCs w:val="20"/>
        </w:rPr>
        <w:t>e hodnoty</w:t>
      </w:r>
      <w:r w:rsidRPr="00C70251">
        <w:rPr>
          <w:rFonts w:ascii="Arial" w:hAnsi="Arial" w:cs="Arial"/>
          <w:sz w:val="20"/>
          <w:szCs w:val="20"/>
        </w:rPr>
        <w:t xml:space="preserve"> plnenia jednotlivých ukazovateľov prioritnej osi 6 je možné celkovo vyhodnotiť napĺňanie ukazovateľov ako úspešné.</w:t>
      </w:r>
    </w:p>
    <w:p w14:paraId="17026202" w14:textId="3376D3A2" w:rsidR="00446CFD" w:rsidRPr="00C70251" w:rsidRDefault="00446CFD" w:rsidP="00446CFD">
      <w:pPr>
        <w:spacing w:before="120"/>
        <w:jc w:val="both"/>
        <w:rPr>
          <w:rFonts w:ascii="Arial" w:hAnsi="Arial" w:cs="Arial"/>
          <w:sz w:val="20"/>
          <w:szCs w:val="20"/>
        </w:rPr>
      </w:pPr>
      <w:r w:rsidRPr="00C70251">
        <w:rPr>
          <w:rFonts w:ascii="Arial" w:hAnsi="Arial" w:cs="Arial"/>
          <w:sz w:val="20"/>
          <w:szCs w:val="20"/>
        </w:rPr>
        <w:t xml:space="preserve">Tabuľka č. </w:t>
      </w:r>
      <w:r w:rsidR="00EE50CC">
        <w:rPr>
          <w:rFonts w:ascii="Arial" w:hAnsi="Arial" w:cs="Arial"/>
          <w:sz w:val="20"/>
          <w:szCs w:val="20"/>
        </w:rPr>
        <w:t>6</w:t>
      </w:r>
      <w:r w:rsidR="007B1CB9">
        <w:rPr>
          <w:rFonts w:ascii="Arial" w:hAnsi="Arial" w:cs="Arial"/>
          <w:sz w:val="20"/>
          <w:szCs w:val="20"/>
        </w:rPr>
        <w:t>9</w:t>
      </w:r>
      <w:r w:rsidRPr="00C70251">
        <w:rPr>
          <w:rFonts w:ascii="Arial" w:hAnsi="Arial" w:cs="Arial"/>
          <w:sz w:val="20"/>
          <w:szCs w:val="20"/>
        </w:rPr>
        <w:t>: Fyzický pokrok intervencií prioritnej osi 6 k 31.10.2016</w:t>
      </w:r>
    </w:p>
    <w:p w14:paraId="51769449" w14:textId="77777777" w:rsidR="00446CFD" w:rsidRPr="00C70251" w:rsidRDefault="00446CFD" w:rsidP="00446CFD">
      <w:pPr>
        <w:jc w:val="both"/>
        <w:rPr>
          <w:rFonts w:ascii="Arial" w:hAnsi="Arial" w:cs="Arial"/>
          <w:sz w:val="16"/>
          <w:szCs w:val="16"/>
        </w:rPr>
      </w:pPr>
    </w:p>
    <w:tbl>
      <w:tblPr>
        <w:tblW w:w="9155" w:type="dxa"/>
        <w:tblInd w:w="55" w:type="dxa"/>
        <w:tblLayout w:type="fixed"/>
        <w:tblCellMar>
          <w:left w:w="70" w:type="dxa"/>
          <w:right w:w="70" w:type="dxa"/>
        </w:tblCellMar>
        <w:tblLook w:val="04A0" w:firstRow="1" w:lastRow="0" w:firstColumn="1" w:lastColumn="0" w:noHBand="0" w:noVBand="1"/>
      </w:tblPr>
      <w:tblGrid>
        <w:gridCol w:w="662"/>
        <w:gridCol w:w="1512"/>
        <w:gridCol w:w="837"/>
        <w:gridCol w:w="832"/>
        <w:gridCol w:w="995"/>
        <w:gridCol w:w="692"/>
        <w:gridCol w:w="692"/>
        <w:gridCol w:w="861"/>
        <w:gridCol w:w="1036"/>
        <w:gridCol w:w="1036"/>
      </w:tblGrid>
      <w:tr w:rsidR="00446CFD" w:rsidRPr="007D7B08" w14:paraId="4E3289C3" w14:textId="77777777" w:rsidTr="00EA4DD3">
        <w:trPr>
          <w:trHeight w:val="1350"/>
        </w:trPr>
        <w:tc>
          <w:tcPr>
            <w:tcW w:w="662" w:type="dxa"/>
            <w:tcBorders>
              <w:top w:val="single" w:sz="4" w:space="0" w:color="auto"/>
              <w:left w:val="single" w:sz="4" w:space="0" w:color="auto"/>
              <w:bottom w:val="nil"/>
              <w:right w:val="single" w:sz="4" w:space="0" w:color="auto"/>
            </w:tcBorders>
            <w:shd w:val="clear" w:color="000000" w:fill="D8E4BC"/>
            <w:vAlign w:val="center"/>
            <w:hideMark/>
          </w:tcPr>
          <w:p w14:paraId="4D238FC8" w14:textId="77777777" w:rsidR="00446CFD" w:rsidRPr="007D7B08" w:rsidRDefault="00446CFD" w:rsidP="00EA4DD3">
            <w:pPr>
              <w:jc w:val="center"/>
              <w:rPr>
                <w:rFonts w:ascii="Arial" w:hAnsi="Arial" w:cs="Arial"/>
                <w:b/>
                <w:bCs/>
                <w:color w:val="000000"/>
                <w:sz w:val="16"/>
                <w:szCs w:val="16"/>
              </w:rPr>
            </w:pPr>
            <w:r w:rsidRPr="007D7B08">
              <w:rPr>
                <w:rFonts w:ascii="Arial" w:hAnsi="Arial" w:cs="Arial"/>
                <w:b/>
                <w:bCs/>
                <w:color w:val="000000"/>
                <w:sz w:val="16"/>
                <w:szCs w:val="16"/>
              </w:rPr>
              <w:t>Typ</w:t>
            </w:r>
            <w:r w:rsidRPr="007D7B08">
              <w:rPr>
                <w:rFonts w:ascii="Arial" w:hAnsi="Arial" w:cs="Arial"/>
                <w:b/>
                <w:bCs/>
                <w:color w:val="000000"/>
                <w:sz w:val="16"/>
                <w:szCs w:val="16"/>
              </w:rPr>
              <w:br/>
              <w:t>inter-</w:t>
            </w:r>
            <w:r w:rsidRPr="007D7B08">
              <w:rPr>
                <w:rFonts w:ascii="Arial" w:hAnsi="Arial" w:cs="Arial"/>
                <w:b/>
                <w:bCs/>
                <w:color w:val="000000"/>
                <w:sz w:val="16"/>
                <w:szCs w:val="16"/>
              </w:rPr>
              <w:br/>
              <w:t>vencie (op. cieľ)</w:t>
            </w:r>
          </w:p>
        </w:tc>
        <w:tc>
          <w:tcPr>
            <w:tcW w:w="1512" w:type="dxa"/>
            <w:tcBorders>
              <w:top w:val="single" w:sz="4" w:space="0" w:color="auto"/>
              <w:left w:val="nil"/>
              <w:bottom w:val="single" w:sz="4" w:space="0" w:color="auto"/>
              <w:right w:val="single" w:sz="4" w:space="0" w:color="auto"/>
            </w:tcBorders>
            <w:shd w:val="clear" w:color="000000" w:fill="D8E4BC"/>
            <w:vAlign w:val="center"/>
            <w:hideMark/>
          </w:tcPr>
          <w:p w14:paraId="684FCEA2" w14:textId="77777777" w:rsidR="00446CFD" w:rsidRPr="007D7B08" w:rsidRDefault="00446CFD" w:rsidP="00EA4DD3">
            <w:pPr>
              <w:jc w:val="center"/>
              <w:rPr>
                <w:rFonts w:ascii="Arial" w:hAnsi="Arial" w:cs="Arial"/>
                <w:b/>
                <w:bCs/>
                <w:color w:val="000000"/>
                <w:sz w:val="16"/>
                <w:szCs w:val="16"/>
              </w:rPr>
            </w:pPr>
            <w:r w:rsidRPr="007D7B08">
              <w:rPr>
                <w:rFonts w:ascii="Arial" w:hAnsi="Arial" w:cs="Arial"/>
                <w:b/>
                <w:bCs/>
                <w:color w:val="000000"/>
                <w:sz w:val="16"/>
                <w:szCs w:val="16"/>
              </w:rPr>
              <w:t>Názov merateľného ukazovateľa (MU)</w:t>
            </w:r>
          </w:p>
        </w:tc>
        <w:tc>
          <w:tcPr>
            <w:tcW w:w="837" w:type="dxa"/>
            <w:tcBorders>
              <w:top w:val="single" w:sz="4" w:space="0" w:color="auto"/>
              <w:left w:val="nil"/>
              <w:bottom w:val="single" w:sz="4" w:space="0" w:color="auto"/>
              <w:right w:val="single" w:sz="4" w:space="0" w:color="auto"/>
            </w:tcBorders>
            <w:shd w:val="clear" w:color="000000" w:fill="D8E4BC"/>
            <w:vAlign w:val="center"/>
            <w:hideMark/>
          </w:tcPr>
          <w:p w14:paraId="58B71B08" w14:textId="77777777" w:rsidR="00446CFD" w:rsidRPr="007D7B08" w:rsidRDefault="00446CFD" w:rsidP="00EA4DD3">
            <w:pPr>
              <w:jc w:val="center"/>
              <w:rPr>
                <w:rFonts w:ascii="Arial" w:hAnsi="Arial" w:cs="Arial"/>
                <w:b/>
                <w:bCs/>
                <w:color w:val="000000"/>
                <w:sz w:val="16"/>
                <w:szCs w:val="16"/>
              </w:rPr>
            </w:pPr>
            <w:r w:rsidRPr="007D7B08">
              <w:rPr>
                <w:rFonts w:ascii="Arial" w:hAnsi="Arial" w:cs="Arial"/>
                <w:b/>
                <w:bCs/>
                <w:color w:val="000000"/>
                <w:sz w:val="16"/>
                <w:szCs w:val="16"/>
              </w:rPr>
              <w:t>Merná jednotka (MJ)</w:t>
            </w:r>
          </w:p>
        </w:tc>
        <w:tc>
          <w:tcPr>
            <w:tcW w:w="832" w:type="dxa"/>
            <w:tcBorders>
              <w:top w:val="single" w:sz="4" w:space="0" w:color="auto"/>
              <w:left w:val="nil"/>
              <w:bottom w:val="single" w:sz="4" w:space="0" w:color="auto"/>
              <w:right w:val="single" w:sz="4" w:space="0" w:color="auto"/>
            </w:tcBorders>
            <w:shd w:val="clear" w:color="000000" w:fill="D8E4BC"/>
            <w:vAlign w:val="center"/>
          </w:tcPr>
          <w:p w14:paraId="0394D741" w14:textId="77777777" w:rsidR="00446CFD" w:rsidRPr="007D7B08" w:rsidRDefault="00446CFD" w:rsidP="00EA4DD3">
            <w:pPr>
              <w:jc w:val="center"/>
              <w:rPr>
                <w:rFonts w:ascii="Arial" w:hAnsi="Arial" w:cs="Arial"/>
                <w:b/>
                <w:bCs/>
                <w:color w:val="000000"/>
                <w:sz w:val="16"/>
                <w:szCs w:val="16"/>
              </w:rPr>
            </w:pPr>
            <w:r w:rsidRPr="007D7B08">
              <w:rPr>
                <w:rFonts w:ascii="Arial" w:hAnsi="Arial" w:cs="Arial"/>
                <w:b/>
                <w:bCs/>
                <w:color w:val="000000"/>
                <w:sz w:val="16"/>
                <w:szCs w:val="16"/>
              </w:rPr>
              <w:t>Východisková hodnota OP</w:t>
            </w:r>
          </w:p>
        </w:tc>
        <w:tc>
          <w:tcPr>
            <w:tcW w:w="995" w:type="dxa"/>
            <w:tcBorders>
              <w:top w:val="single" w:sz="4" w:space="0" w:color="auto"/>
              <w:left w:val="single" w:sz="4" w:space="0" w:color="auto"/>
              <w:bottom w:val="single" w:sz="4" w:space="0" w:color="auto"/>
              <w:right w:val="single" w:sz="4" w:space="0" w:color="auto"/>
            </w:tcBorders>
            <w:shd w:val="clear" w:color="000000" w:fill="D8E4BC"/>
            <w:vAlign w:val="center"/>
            <w:hideMark/>
          </w:tcPr>
          <w:p w14:paraId="001287D3" w14:textId="77777777" w:rsidR="00446CFD" w:rsidRPr="007D7B08" w:rsidRDefault="00446CFD" w:rsidP="00EA4DD3">
            <w:pPr>
              <w:jc w:val="center"/>
              <w:rPr>
                <w:rFonts w:ascii="Arial" w:hAnsi="Arial" w:cs="Arial"/>
                <w:b/>
                <w:bCs/>
                <w:color w:val="000000"/>
                <w:sz w:val="16"/>
                <w:szCs w:val="16"/>
              </w:rPr>
            </w:pPr>
            <w:r w:rsidRPr="007D7B08">
              <w:rPr>
                <w:rFonts w:ascii="Arial" w:hAnsi="Arial" w:cs="Arial"/>
                <w:b/>
                <w:bCs/>
                <w:color w:val="000000"/>
                <w:sz w:val="16"/>
                <w:szCs w:val="16"/>
              </w:rPr>
              <w:t>Cieľ OP</w:t>
            </w:r>
          </w:p>
        </w:tc>
        <w:tc>
          <w:tcPr>
            <w:tcW w:w="692" w:type="dxa"/>
            <w:tcBorders>
              <w:top w:val="single" w:sz="4" w:space="0" w:color="auto"/>
              <w:left w:val="nil"/>
              <w:bottom w:val="single" w:sz="4" w:space="0" w:color="auto"/>
              <w:right w:val="single" w:sz="4" w:space="0" w:color="auto"/>
            </w:tcBorders>
            <w:shd w:val="clear" w:color="000000" w:fill="D8E4BC"/>
            <w:vAlign w:val="center"/>
            <w:hideMark/>
          </w:tcPr>
          <w:p w14:paraId="61F14766" w14:textId="77777777" w:rsidR="00446CFD" w:rsidRPr="007D7B08" w:rsidRDefault="00446CFD" w:rsidP="00EA4DD3">
            <w:pPr>
              <w:jc w:val="center"/>
              <w:rPr>
                <w:rFonts w:ascii="Arial" w:hAnsi="Arial" w:cs="Arial"/>
                <w:b/>
                <w:bCs/>
                <w:color w:val="000000"/>
                <w:sz w:val="16"/>
                <w:szCs w:val="16"/>
              </w:rPr>
            </w:pPr>
            <w:r w:rsidRPr="007D7B08">
              <w:rPr>
                <w:rFonts w:ascii="Arial" w:hAnsi="Arial" w:cs="Arial"/>
                <w:b/>
                <w:bCs/>
                <w:color w:val="000000"/>
                <w:sz w:val="16"/>
                <w:szCs w:val="16"/>
              </w:rPr>
              <w:t>Stav k 31.12.</w:t>
            </w:r>
            <w:r w:rsidRPr="007D7B08">
              <w:rPr>
                <w:rFonts w:ascii="Arial" w:hAnsi="Arial" w:cs="Arial"/>
                <w:b/>
                <w:bCs/>
                <w:color w:val="000000"/>
                <w:sz w:val="16"/>
                <w:szCs w:val="16"/>
              </w:rPr>
              <w:br/>
              <w:t>2015</w:t>
            </w:r>
          </w:p>
        </w:tc>
        <w:tc>
          <w:tcPr>
            <w:tcW w:w="692" w:type="dxa"/>
            <w:tcBorders>
              <w:top w:val="single" w:sz="4" w:space="0" w:color="auto"/>
              <w:left w:val="nil"/>
              <w:bottom w:val="single" w:sz="4" w:space="0" w:color="auto"/>
              <w:right w:val="single" w:sz="4" w:space="0" w:color="auto"/>
            </w:tcBorders>
            <w:shd w:val="clear" w:color="000000" w:fill="D8E4BC"/>
            <w:vAlign w:val="center"/>
            <w:hideMark/>
          </w:tcPr>
          <w:p w14:paraId="004CF22C" w14:textId="77777777" w:rsidR="00446CFD" w:rsidRPr="007D7B08" w:rsidRDefault="00446CFD" w:rsidP="00EA4DD3">
            <w:pPr>
              <w:jc w:val="center"/>
              <w:rPr>
                <w:rFonts w:ascii="Arial" w:hAnsi="Arial" w:cs="Arial"/>
                <w:b/>
                <w:bCs/>
                <w:color w:val="000000"/>
                <w:sz w:val="16"/>
                <w:szCs w:val="16"/>
              </w:rPr>
            </w:pPr>
            <w:r w:rsidRPr="007D7B08">
              <w:rPr>
                <w:rFonts w:ascii="Arial" w:hAnsi="Arial" w:cs="Arial"/>
                <w:b/>
                <w:bCs/>
                <w:color w:val="000000"/>
                <w:sz w:val="16"/>
                <w:szCs w:val="16"/>
              </w:rPr>
              <w:t>Stav k 31.10.</w:t>
            </w:r>
            <w:r w:rsidRPr="007D7B08">
              <w:rPr>
                <w:rFonts w:ascii="Arial" w:hAnsi="Arial" w:cs="Arial"/>
                <w:b/>
                <w:bCs/>
                <w:color w:val="000000"/>
                <w:sz w:val="16"/>
                <w:szCs w:val="16"/>
              </w:rPr>
              <w:br/>
              <w:t>2016</w:t>
            </w:r>
          </w:p>
        </w:tc>
        <w:tc>
          <w:tcPr>
            <w:tcW w:w="861" w:type="dxa"/>
            <w:tcBorders>
              <w:top w:val="single" w:sz="4" w:space="0" w:color="auto"/>
              <w:left w:val="nil"/>
              <w:bottom w:val="single" w:sz="4" w:space="0" w:color="auto"/>
              <w:right w:val="single" w:sz="4" w:space="0" w:color="auto"/>
            </w:tcBorders>
            <w:shd w:val="clear" w:color="000000" w:fill="D8E4BC"/>
            <w:vAlign w:val="center"/>
            <w:hideMark/>
          </w:tcPr>
          <w:p w14:paraId="22F32221" w14:textId="77777777" w:rsidR="00446CFD" w:rsidRPr="007D7B08" w:rsidRDefault="00446CFD" w:rsidP="00EA4DD3">
            <w:pPr>
              <w:jc w:val="center"/>
              <w:rPr>
                <w:rFonts w:ascii="Arial" w:hAnsi="Arial" w:cs="Arial"/>
                <w:b/>
                <w:bCs/>
                <w:color w:val="000000"/>
                <w:sz w:val="16"/>
                <w:szCs w:val="16"/>
              </w:rPr>
            </w:pPr>
            <w:r w:rsidRPr="007D7B08">
              <w:rPr>
                <w:rFonts w:ascii="Arial" w:hAnsi="Arial" w:cs="Arial"/>
                <w:b/>
                <w:bCs/>
                <w:color w:val="000000"/>
                <w:sz w:val="16"/>
                <w:szCs w:val="16"/>
              </w:rPr>
              <w:t>Cieľ zazmluv-</w:t>
            </w:r>
            <w:r w:rsidRPr="007D7B08">
              <w:rPr>
                <w:rFonts w:ascii="Arial" w:hAnsi="Arial" w:cs="Arial"/>
                <w:b/>
                <w:bCs/>
                <w:color w:val="000000"/>
                <w:sz w:val="16"/>
                <w:szCs w:val="16"/>
              </w:rPr>
              <w:br/>
              <w:t>nených projektov</w:t>
            </w:r>
          </w:p>
        </w:tc>
        <w:tc>
          <w:tcPr>
            <w:tcW w:w="1036" w:type="dxa"/>
            <w:tcBorders>
              <w:top w:val="single" w:sz="4" w:space="0" w:color="auto"/>
              <w:left w:val="nil"/>
              <w:bottom w:val="single" w:sz="4" w:space="0" w:color="auto"/>
              <w:right w:val="single" w:sz="4" w:space="0" w:color="auto"/>
            </w:tcBorders>
            <w:shd w:val="clear" w:color="000000" w:fill="D8E4BC"/>
            <w:vAlign w:val="center"/>
            <w:hideMark/>
          </w:tcPr>
          <w:p w14:paraId="647122E8" w14:textId="77777777" w:rsidR="00446CFD" w:rsidRPr="007D7B08" w:rsidRDefault="00446CFD" w:rsidP="00EA4DD3">
            <w:pPr>
              <w:jc w:val="center"/>
              <w:rPr>
                <w:rFonts w:ascii="Arial" w:hAnsi="Arial" w:cs="Arial"/>
                <w:b/>
                <w:bCs/>
                <w:color w:val="000000"/>
                <w:sz w:val="16"/>
                <w:szCs w:val="16"/>
              </w:rPr>
            </w:pPr>
            <w:r w:rsidRPr="007D7B08">
              <w:rPr>
                <w:rFonts w:ascii="Arial" w:hAnsi="Arial" w:cs="Arial"/>
                <w:b/>
                <w:bCs/>
                <w:color w:val="000000"/>
                <w:sz w:val="16"/>
                <w:szCs w:val="16"/>
              </w:rPr>
              <w:t>Úspešnosť plnenia (%)</w:t>
            </w:r>
          </w:p>
        </w:tc>
        <w:tc>
          <w:tcPr>
            <w:tcW w:w="1036" w:type="dxa"/>
            <w:tcBorders>
              <w:top w:val="single" w:sz="4" w:space="0" w:color="auto"/>
              <w:left w:val="nil"/>
              <w:bottom w:val="single" w:sz="4" w:space="0" w:color="auto"/>
              <w:right w:val="single" w:sz="4" w:space="0" w:color="auto"/>
            </w:tcBorders>
            <w:shd w:val="clear" w:color="000000" w:fill="D8E4BC"/>
            <w:vAlign w:val="center"/>
            <w:hideMark/>
          </w:tcPr>
          <w:p w14:paraId="6354FB1E" w14:textId="77777777" w:rsidR="00446CFD" w:rsidRPr="007D7B08" w:rsidRDefault="00446CFD" w:rsidP="00EA4DD3">
            <w:pPr>
              <w:jc w:val="center"/>
              <w:rPr>
                <w:rFonts w:ascii="Arial" w:hAnsi="Arial" w:cs="Arial"/>
                <w:b/>
                <w:bCs/>
                <w:color w:val="000000"/>
                <w:sz w:val="16"/>
                <w:szCs w:val="16"/>
              </w:rPr>
            </w:pPr>
            <w:r w:rsidRPr="007D7B08">
              <w:rPr>
                <w:rFonts w:ascii="Arial" w:hAnsi="Arial" w:cs="Arial"/>
                <w:b/>
                <w:bCs/>
                <w:color w:val="000000"/>
                <w:sz w:val="16"/>
                <w:szCs w:val="16"/>
              </w:rPr>
              <w:t>Úspešnosť plnenia zazmluv-</w:t>
            </w:r>
            <w:r w:rsidRPr="007D7B08">
              <w:rPr>
                <w:rFonts w:ascii="Arial" w:hAnsi="Arial" w:cs="Arial"/>
                <w:b/>
                <w:bCs/>
                <w:color w:val="000000"/>
                <w:sz w:val="16"/>
                <w:szCs w:val="16"/>
              </w:rPr>
              <w:br/>
              <w:t>nených projektov (%)</w:t>
            </w:r>
          </w:p>
        </w:tc>
      </w:tr>
      <w:tr w:rsidR="00446CFD" w:rsidRPr="007D7B08" w14:paraId="589DCCBE" w14:textId="77777777" w:rsidTr="0008447E">
        <w:trPr>
          <w:trHeight w:val="675"/>
        </w:trPr>
        <w:tc>
          <w:tcPr>
            <w:tcW w:w="6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3DBCBD8"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6.1</w:t>
            </w:r>
          </w:p>
        </w:tc>
        <w:tc>
          <w:tcPr>
            <w:tcW w:w="151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27D452" w14:textId="77777777" w:rsidR="00446CFD" w:rsidRPr="007D7B08" w:rsidRDefault="00446CFD" w:rsidP="00EA4DD3">
            <w:pPr>
              <w:rPr>
                <w:rFonts w:ascii="Arial" w:hAnsi="Arial" w:cs="Arial"/>
                <w:color w:val="000000"/>
                <w:sz w:val="16"/>
                <w:szCs w:val="16"/>
              </w:rPr>
            </w:pPr>
            <w:r w:rsidRPr="007D7B08">
              <w:rPr>
                <w:rFonts w:ascii="Arial" w:hAnsi="Arial" w:cs="Arial"/>
                <w:color w:val="000000"/>
                <w:sz w:val="16"/>
                <w:szCs w:val="16"/>
              </w:rPr>
              <w:t>Počet novovytvorených pracovných miest</w:t>
            </w:r>
          </w:p>
        </w:tc>
        <w:tc>
          <w:tcPr>
            <w:tcW w:w="837" w:type="dxa"/>
            <w:tcBorders>
              <w:top w:val="single" w:sz="4" w:space="0" w:color="auto"/>
              <w:left w:val="nil"/>
              <w:bottom w:val="single" w:sz="4" w:space="0" w:color="auto"/>
              <w:right w:val="single" w:sz="4" w:space="0" w:color="auto"/>
            </w:tcBorders>
            <w:shd w:val="clear" w:color="auto" w:fill="auto"/>
            <w:vAlign w:val="center"/>
            <w:hideMark/>
          </w:tcPr>
          <w:p w14:paraId="6D08FFC4"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počet</w:t>
            </w:r>
          </w:p>
        </w:tc>
        <w:tc>
          <w:tcPr>
            <w:tcW w:w="832" w:type="dxa"/>
            <w:tcBorders>
              <w:top w:val="single" w:sz="4" w:space="0" w:color="auto"/>
              <w:left w:val="nil"/>
              <w:bottom w:val="single" w:sz="4" w:space="0" w:color="auto"/>
              <w:right w:val="single" w:sz="4" w:space="0" w:color="auto"/>
            </w:tcBorders>
            <w:vAlign w:val="center"/>
          </w:tcPr>
          <w:p w14:paraId="0D48E1F7"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0</w:t>
            </w: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11799A" w14:textId="77777777" w:rsidR="00446CFD" w:rsidRPr="007D7B08" w:rsidRDefault="00446CFD" w:rsidP="0008447E">
            <w:pPr>
              <w:jc w:val="center"/>
              <w:rPr>
                <w:rFonts w:ascii="Arial" w:hAnsi="Arial" w:cs="Arial"/>
                <w:color w:val="000000"/>
                <w:sz w:val="16"/>
                <w:szCs w:val="16"/>
              </w:rPr>
            </w:pPr>
            <w:r w:rsidRPr="007D7B08">
              <w:rPr>
                <w:rFonts w:ascii="Arial" w:hAnsi="Arial" w:cs="Arial"/>
                <w:color w:val="000000"/>
                <w:sz w:val="16"/>
                <w:szCs w:val="16"/>
              </w:rPr>
              <w:t>41</w:t>
            </w:r>
          </w:p>
        </w:tc>
        <w:tc>
          <w:tcPr>
            <w:tcW w:w="692" w:type="dxa"/>
            <w:tcBorders>
              <w:top w:val="single" w:sz="4" w:space="0" w:color="auto"/>
              <w:left w:val="nil"/>
              <w:bottom w:val="single" w:sz="4" w:space="0" w:color="auto"/>
              <w:right w:val="single" w:sz="4" w:space="0" w:color="auto"/>
            </w:tcBorders>
            <w:shd w:val="clear" w:color="000000" w:fill="EBF1DE"/>
            <w:vAlign w:val="center"/>
            <w:hideMark/>
          </w:tcPr>
          <w:p w14:paraId="7972DD9C" w14:textId="77777777" w:rsidR="00446CFD" w:rsidRPr="007D7B08" w:rsidRDefault="00446CFD" w:rsidP="0008447E">
            <w:pPr>
              <w:jc w:val="center"/>
              <w:rPr>
                <w:rFonts w:ascii="Arial" w:hAnsi="Arial" w:cs="Arial"/>
                <w:color w:val="000000"/>
                <w:sz w:val="16"/>
                <w:szCs w:val="16"/>
              </w:rPr>
            </w:pPr>
            <w:r w:rsidRPr="007D7B08">
              <w:rPr>
                <w:rFonts w:ascii="Arial" w:hAnsi="Arial" w:cs="Arial"/>
                <w:color w:val="000000"/>
                <w:sz w:val="16"/>
                <w:szCs w:val="16"/>
              </w:rPr>
              <w:t>78</w:t>
            </w:r>
          </w:p>
        </w:tc>
        <w:tc>
          <w:tcPr>
            <w:tcW w:w="692" w:type="dxa"/>
            <w:tcBorders>
              <w:top w:val="single" w:sz="4" w:space="0" w:color="auto"/>
              <w:left w:val="nil"/>
              <w:bottom w:val="single" w:sz="4" w:space="0" w:color="auto"/>
              <w:right w:val="single" w:sz="4" w:space="0" w:color="auto"/>
            </w:tcBorders>
            <w:shd w:val="clear" w:color="000000" w:fill="EBF1DE"/>
            <w:vAlign w:val="center"/>
          </w:tcPr>
          <w:p w14:paraId="46ACB39D" w14:textId="77777777" w:rsidR="00446CFD" w:rsidRPr="007D7B08" w:rsidRDefault="00446CFD" w:rsidP="0008447E">
            <w:pPr>
              <w:jc w:val="center"/>
              <w:rPr>
                <w:rFonts w:ascii="Arial" w:hAnsi="Arial" w:cs="Arial"/>
                <w:color w:val="000000"/>
                <w:sz w:val="16"/>
                <w:szCs w:val="16"/>
              </w:rPr>
            </w:pPr>
            <w:r w:rsidRPr="007D7B08">
              <w:rPr>
                <w:rFonts w:ascii="Arial" w:hAnsi="Arial" w:cs="Arial"/>
                <w:color w:val="000000"/>
                <w:sz w:val="16"/>
                <w:szCs w:val="16"/>
              </w:rPr>
              <w:t>N/A</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A73774F"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N/A</w:t>
            </w:r>
          </w:p>
        </w:tc>
        <w:tc>
          <w:tcPr>
            <w:tcW w:w="1036" w:type="dxa"/>
            <w:tcBorders>
              <w:top w:val="single" w:sz="4" w:space="0" w:color="auto"/>
              <w:left w:val="nil"/>
              <w:bottom w:val="single" w:sz="4" w:space="0" w:color="auto"/>
              <w:right w:val="single" w:sz="4" w:space="0" w:color="auto"/>
            </w:tcBorders>
            <w:shd w:val="clear" w:color="000000" w:fill="EBF1DE"/>
            <w:vAlign w:val="center"/>
            <w:hideMark/>
          </w:tcPr>
          <w:p w14:paraId="6AB4F367"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 xml:space="preserve"> 190,24 %</w:t>
            </w:r>
          </w:p>
        </w:tc>
        <w:tc>
          <w:tcPr>
            <w:tcW w:w="1036" w:type="dxa"/>
            <w:tcBorders>
              <w:top w:val="single" w:sz="4" w:space="0" w:color="auto"/>
              <w:left w:val="nil"/>
              <w:bottom w:val="single" w:sz="4" w:space="0" w:color="auto"/>
              <w:right w:val="single" w:sz="4" w:space="0" w:color="auto"/>
            </w:tcBorders>
            <w:shd w:val="clear" w:color="auto" w:fill="auto"/>
            <w:vAlign w:val="center"/>
            <w:hideMark/>
          </w:tcPr>
          <w:p w14:paraId="3AEAB13A"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N/A</w:t>
            </w:r>
          </w:p>
        </w:tc>
      </w:tr>
      <w:tr w:rsidR="00446CFD" w:rsidRPr="007D7B08" w14:paraId="10E20EA1" w14:textId="77777777" w:rsidTr="0008447E">
        <w:trPr>
          <w:trHeight w:val="675"/>
        </w:trPr>
        <w:tc>
          <w:tcPr>
            <w:tcW w:w="662" w:type="dxa"/>
            <w:vMerge/>
            <w:tcBorders>
              <w:top w:val="single" w:sz="4" w:space="0" w:color="auto"/>
              <w:left w:val="single" w:sz="4" w:space="0" w:color="auto"/>
              <w:bottom w:val="single" w:sz="4" w:space="0" w:color="auto"/>
              <w:right w:val="single" w:sz="4" w:space="0" w:color="auto"/>
            </w:tcBorders>
            <w:vAlign w:val="center"/>
            <w:hideMark/>
          </w:tcPr>
          <w:p w14:paraId="38C48A96" w14:textId="77777777" w:rsidR="00446CFD" w:rsidRPr="007D7B08" w:rsidRDefault="00446CFD" w:rsidP="00EA4DD3">
            <w:pPr>
              <w:rPr>
                <w:rFonts w:ascii="Arial" w:hAnsi="Arial" w:cs="Arial"/>
                <w:color w:val="000000"/>
                <w:sz w:val="16"/>
                <w:szCs w:val="16"/>
              </w:rPr>
            </w:pPr>
          </w:p>
        </w:tc>
        <w:tc>
          <w:tcPr>
            <w:tcW w:w="1512" w:type="dxa"/>
            <w:tcBorders>
              <w:top w:val="single" w:sz="4" w:space="0" w:color="auto"/>
              <w:left w:val="nil"/>
              <w:bottom w:val="single" w:sz="4" w:space="0" w:color="auto"/>
              <w:right w:val="single" w:sz="4" w:space="0" w:color="auto"/>
            </w:tcBorders>
            <w:shd w:val="clear" w:color="auto" w:fill="auto"/>
            <w:vAlign w:val="center"/>
            <w:hideMark/>
          </w:tcPr>
          <w:p w14:paraId="6705761B" w14:textId="77777777" w:rsidR="00446CFD" w:rsidRPr="007D7B08" w:rsidRDefault="00446CFD" w:rsidP="00EA4DD3">
            <w:pPr>
              <w:rPr>
                <w:rFonts w:ascii="Arial" w:hAnsi="Arial" w:cs="Arial"/>
                <w:color w:val="000000"/>
                <w:sz w:val="16"/>
                <w:szCs w:val="16"/>
              </w:rPr>
            </w:pPr>
            <w:r w:rsidRPr="007D7B08">
              <w:rPr>
                <w:rFonts w:ascii="Arial" w:hAnsi="Arial" w:cs="Arial"/>
                <w:color w:val="000000"/>
                <w:sz w:val="16"/>
                <w:szCs w:val="16"/>
              </w:rPr>
              <w:t>Počet zrealizovaných akcií na informovanie verejnosti o OP ŽP</w:t>
            </w:r>
          </w:p>
        </w:tc>
        <w:tc>
          <w:tcPr>
            <w:tcW w:w="837" w:type="dxa"/>
            <w:tcBorders>
              <w:top w:val="single" w:sz="4" w:space="0" w:color="auto"/>
              <w:left w:val="nil"/>
              <w:bottom w:val="single" w:sz="4" w:space="0" w:color="auto"/>
              <w:right w:val="single" w:sz="4" w:space="0" w:color="auto"/>
            </w:tcBorders>
            <w:shd w:val="clear" w:color="auto" w:fill="auto"/>
            <w:vAlign w:val="center"/>
            <w:hideMark/>
          </w:tcPr>
          <w:p w14:paraId="5790CCF0"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počet</w:t>
            </w:r>
          </w:p>
        </w:tc>
        <w:tc>
          <w:tcPr>
            <w:tcW w:w="832" w:type="dxa"/>
            <w:tcBorders>
              <w:top w:val="single" w:sz="4" w:space="0" w:color="auto"/>
              <w:left w:val="nil"/>
              <w:bottom w:val="single" w:sz="4" w:space="0" w:color="auto"/>
              <w:right w:val="single" w:sz="4" w:space="0" w:color="auto"/>
            </w:tcBorders>
            <w:vAlign w:val="center"/>
          </w:tcPr>
          <w:p w14:paraId="6912F8F0"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0</w:t>
            </w: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E502A8" w14:textId="77777777" w:rsidR="00446CFD" w:rsidRPr="007D7B08" w:rsidRDefault="00446CFD" w:rsidP="0008447E">
            <w:pPr>
              <w:jc w:val="center"/>
              <w:rPr>
                <w:rFonts w:ascii="Arial" w:hAnsi="Arial" w:cs="Arial"/>
                <w:color w:val="000000"/>
                <w:sz w:val="16"/>
                <w:szCs w:val="16"/>
              </w:rPr>
            </w:pPr>
            <w:r w:rsidRPr="007D7B08">
              <w:rPr>
                <w:rFonts w:ascii="Arial" w:hAnsi="Arial" w:cs="Arial"/>
                <w:color w:val="000000"/>
                <w:sz w:val="16"/>
                <w:szCs w:val="16"/>
              </w:rPr>
              <w:t>40</w:t>
            </w:r>
          </w:p>
        </w:tc>
        <w:tc>
          <w:tcPr>
            <w:tcW w:w="692" w:type="dxa"/>
            <w:tcBorders>
              <w:top w:val="single" w:sz="4" w:space="0" w:color="auto"/>
              <w:left w:val="nil"/>
              <w:bottom w:val="single" w:sz="4" w:space="0" w:color="auto"/>
              <w:right w:val="single" w:sz="4" w:space="0" w:color="auto"/>
            </w:tcBorders>
            <w:shd w:val="clear" w:color="000000" w:fill="EBF1DE"/>
            <w:vAlign w:val="center"/>
            <w:hideMark/>
          </w:tcPr>
          <w:p w14:paraId="47A396FC" w14:textId="77777777" w:rsidR="00446CFD" w:rsidRPr="007D7B08" w:rsidRDefault="00446CFD" w:rsidP="0008447E">
            <w:pPr>
              <w:jc w:val="center"/>
              <w:rPr>
                <w:rFonts w:ascii="Arial" w:hAnsi="Arial" w:cs="Arial"/>
                <w:color w:val="000000"/>
                <w:sz w:val="16"/>
                <w:szCs w:val="16"/>
              </w:rPr>
            </w:pPr>
            <w:r w:rsidRPr="007D7B08">
              <w:rPr>
                <w:rFonts w:ascii="Arial" w:hAnsi="Arial" w:cs="Arial"/>
                <w:color w:val="000000"/>
                <w:sz w:val="16"/>
                <w:szCs w:val="16"/>
              </w:rPr>
              <w:t>294</w:t>
            </w:r>
          </w:p>
        </w:tc>
        <w:tc>
          <w:tcPr>
            <w:tcW w:w="692" w:type="dxa"/>
            <w:tcBorders>
              <w:top w:val="single" w:sz="4" w:space="0" w:color="auto"/>
              <w:left w:val="nil"/>
              <w:bottom w:val="single" w:sz="4" w:space="0" w:color="auto"/>
              <w:right w:val="single" w:sz="4" w:space="0" w:color="auto"/>
            </w:tcBorders>
            <w:shd w:val="clear" w:color="000000" w:fill="EBF1DE"/>
            <w:vAlign w:val="center"/>
          </w:tcPr>
          <w:p w14:paraId="69E424F9" w14:textId="77777777" w:rsidR="00446CFD" w:rsidRPr="007D7B08" w:rsidRDefault="00446CFD" w:rsidP="0008447E">
            <w:pPr>
              <w:jc w:val="center"/>
              <w:rPr>
                <w:rFonts w:ascii="Arial" w:hAnsi="Arial" w:cs="Arial"/>
                <w:color w:val="000000"/>
                <w:sz w:val="16"/>
                <w:szCs w:val="16"/>
              </w:rPr>
            </w:pPr>
            <w:r w:rsidRPr="007D7B08">
              <w:rPr>
                <w:rFonts w:ascii="Arial" w:hAnsi="Arial" w:cs="Arial"/>
                <w:color w:val="000000"/>
                <w:sz w:val="16"/>
                <w:szCs w:val="16"/>
              </w:rPr>
              <w:t>N/A</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6B6615"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N/A</w:t>
            </w:r>
          </w:p>
        </w:tc>
        <w:tc>
          <w:tcPr>
            <w:tcW w:w="1036" w:type="dxa"/>
            <w:tcBorders>
              <w:top w:val="single" w:sz="4" w:space="0" w:color="auto"/>
              <w:left w:val="nil"/>
              <w:bottom w:val="single" w:sz="4" w:space="0" w:color="auto"/>
              <w:right w:val="single" w:sz="4" w:space="0" w:color="auto"/>
            </w:tcBorders>
            <w:shd w:val="clear" w:color="000000" w:fill="EBF1DE"/>
            <w:vAlign w:val="center"/>
            <w:hideMark/>
          </w:tcPr>
          <w:p w14:paraId="6338169B"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 xml:space="preserve"> 735,00 %</w:t>
            </w:r>
          </w:p>
        </w:tc>
        <w:tc>
          <w:tcPr>
            <w:tcW w:w="1036" w:type="dxa"/>
            <w:tcBorders>
              <w:top w:val="single" w:sz="4" w:space="0" w:color="auto"/>
              <w:left w:val="nil"/>
              <w:bottom w:val="single" w:sz="4" w:space="0" w:color="auto"/>
              <w:right w:val="single" w:sz="4" w:space="0" w:color="auto"/>
            </w:tcBorders>
            <w:shd w:val="clear" w:color="auto" w:fill="auto"/>
            <w:vAlign w:val="center"/>
            <w:hideMark/>
          </w:tcPr>
          <w:p w14:paraId="79C8368F"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N/A</w:t>
            </w:r>
          </w:p>
        </w:tc>
      </w:tr>
      <w:tr w:rsidR="00446CFD" w:rsidRPr="007D7B08" w14:paraId="378CB384" w14:textId="77777777" w:rsidTr="0008447E">
        <w:trPr>
          <w:trHeight w:val="675"/>
        </w:trPr>
        <w:tc>
          <w:tcPr>
            <w:tcW w:w="662" w:type="dxa"/>
            <w:vMerge/>
            <w:tcBorders>
              <w:top w:val="single" w:sz="4" w:space="0" w:color="auto"/>
              <w:left w:val="single" w:sz="4" w:space="0" w:color="auto"/>
              <w:bottom w:val="single" w:sz="4" w:space="0" w:color="auto"/>
              <w:right w:val="single" w:sz="4" w:space="0" w:color="auto"/>
            </w:tcBorders>
            <w:vAlign w:val="center"/>
            <w:hideMark/>
          </w:tcPr>
          <w:p w14:paraId="4B57E192" w14:textId="77777777" w:rsidR="00446CFD" w:rsidRPr="007D7B08" w:rsidRDefault="00446CFD" w:rsidP="00EA4DD3">
            <w:pPr>
              <w:rPr>
                <w:rFonts w:ascii="Arial" w:hAnsi="Arial" w:cs="Arial"/>
                <w:color w:val="000000"/>
                <w:sz w:val="16"/>
                <w:szCs w:val="16"/>
              </w:rPr>
            </w:pPr>
          </w:p>
        </w:tc>
        <w:tc>
          <w:tcPr>
            <w:tcW w:w="1512" w:type="dxa"/>
            <w:tcBorders>
              <w:top w:val="nil"/>
              <w:left w:val="nil"/>
              <w:bottom w:val="single" w:sz="4" w:space="0" w:color="auto"/>
              <w:right w:val="single" w:sz="4" w:space="0" w:color="auto"/>
            </w:tcBorders>
            <w:shd w:val="clear" w:color="auto" w:fill="auto"/>
            <w:vAlign w:val="center"/>
            <w:hideMark/>
          </w:tcPr>
          <w:p w14:paraId="057588E4" w14:textId="77777777" w:rsidR="00446CFD" w:rsidRPr="007D7B08" w:rsidRDefault="00446CFD" w:rsidP="00EA4DD3">
            <w:pPr>
              <w:rPr>
                <w:rFonts w:ascii="Arial" w:hAnsi="Arial" w:cs="Arial"/>
                <w:color w:val="000000"/>
                <w:sz w:val="16"/>
                <w:szCs w:val="16"/>
              </w:rPr>
            </w:pPr>
            <w:r w:rsidRPr="007D7B08">
              <w:rPr>
                <w:rFonts w:ascii="Arial" w:hAnsi="Arial" w:cs="Arial"/>
                <w:color w:val="000000"/>
                <w:sz w:val="16"/>
                <w:szCs w:val="16"/>
              </w:rPr>
              <w:t>Počet zamestnancov, ktorých platy sú hradené z TA</w:t>
            </w:r>
          </w:p>
        </w:tc>
        <w:tc>
          <w:tcPr>
            <w:tcW w:w="837" w:type="dxa"/>
            <w:tcBorders>
              <w:top w:val="nil"/>
              <w:left w:val="nil"/>
              <w:bottom w:val="single" w:sz="4" w:space="0" w:color="auto"/>
              <w:right w:val="single" w:sz="4" w:space="0" w:color="auto"/>
            </w:tcBorders>
            <w:shd w:val="clear" w:color="auto" w:fill="auto"/>
            <w:vAlign w:val="center"/>
            <w:hideMark/>
          </w:tcPr>
          <w:p w14:paraId="0911470F"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počet</w:t>
            </w:r>
          </w:p>
        </w:tc>
        <w:tc>
          <w:tcPr>
            <w:tcW w:w="832" w:type="dxa"/>
            <w:tcBorders>
              <w:top w:val="single" w:sz="4" w:space="0" w:color="auto"/>
              <w:left w:val="nil"/>
              <w:bottom w:val="single" w:sz="4" w:space="0" w:color="auto"/>
              <w:right w:val="single" w:sz="4" w:space="0" w:color="auto"/>
            </w:tcBorders>
            <w:vAlign w:val="center"/>
          </w:tcPr>
          <w:p w14:paraId="76DFAEB6"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103</w:t>
            </w:r>
          </w:p>
        </w:tc>
        <w:tc>
          <w:tcPr>
            <w:tcW w:w="995" w:type="dxa"/>
            <w:tcBorders>
              <w:top w:val="nil"/>
              <w:left w:val="single" w:sz="4" w:space="0" w:color="auto"/>
              <w:bottom w:val="single" w:sz="4" w:space="0" w:color="auto"/>
              <w:right w:val="single" w:sz="4" w:space="0" w:color="auto"/>
            </w:tcBorders>
            <w:shd w:val="clear" w:color="auto" w:fill="auto"/>
            <w:vAlign w:val="center"/>
            <w:hideMark/>
          </w:tcPr>
          <w:p w14:paraId="7E3E7905" w14:textId="77777777" w:rsidR="00446CFD" w:rsidRPr="007D7B08" w:rsidRDefault="00446CFD" w:rsidP="0008447E">
            <w:pPr>
              <w:jc w:val="center"/>
              <w:rPr>
                <w:rFonts w:ascii="Arial" w:hAnsi="Arial" w:cs="Arial"/>
                <w:color w:val="000000"/>
                <w:sz w:val="16"/>
                <w:szCs w:val="16"/>
              </w:rPr>
            </w:pPr>
            <w:r w:rsidRPr="007D7B08">
              <w:rPr>
                <w:rFonts w:ascii="Arial" w:hAnsi="Arial" w:cs="Arial"/>
                <w:color w:val="000000"/>
                <w:sz w:val="16"/>
                <w:szCs w:val="16"/>
              </w:rPr>
              <w:t>150</w:t>
            </w:r>
          </w:p>
        </w:tc>
        <w:tc>
          <w:tcPr>
            <w:tcW w:w="692" w:type="dxa"/>
            <w:tcBorders>
              <w:top w:val="nil"/>
              <w:left w:val="nil"/>
              <w:bottom w:val="single" w:sz="4" w:space="0" w:color="auto"/>
              <w:right w:val="single" w:sz="4" w:space="0" w:color="auto"/>
            </w:tcBorders>
            <w:shd w:val="clear" w:color="000000" w:fill="EBF1DE"/>
            <w:vAlign w:val="center"/>
            <w:hideMark/>
          </w:tcPr>
          <w:p w14:paraId="3DB5AD3A" w14:textId="77777777" w:rsidR="00446CFD" w:rsidRPr="007D7B08" w:rsidRDefault="00446CFD" w:rsidP="0008447E">
            <w:pPr>
              <w:jc w:val="center"/>
              <w:rPr>
                <w:rFonts w:ascii="Arial" w:hAnsi="Arial" w:cs="Arial"/>
                <w:color w:val="000000"/>
                <w:sz w:val="16"/>
                <w:szCs w:val="16"/>
              </w:rPr>
            </w:pPr>
            <w:r w:rsidRPr="007D7B08">
              <w:rPr>
                <w:rFonts w:ascii="Arial" w:hAnsi="Arial" w:cs="Arial"/>
                <w:color w:val="000000"/>
                <w:sz w:val="16"/>
                <w:szCs w:val="16"/>
              </w:rPr>
              <w:t>228*</w:t>
            </w:r>
          </w:p>
        </w:tc>
        <w:tc>
          <w:tcPr>
            <w:tcW w:w="692" w:type="dxa"/>
            <w:tcBorders>
              <w:top w:val="nil"/>
              <w:left w:val="nil"/>
              <w:bottom w:val="single" w:sz="4" w:space="0" w:color="auto"/>
              <w:right w:val="single" w:sz="4" w:space="0" w:color="auto"/>
            </w:tcBorders>
            <w:shd w:val="clear" w:color="000000" w:fill="EBF1DE"/>
            <w:vAlign w:val="center"/>
          </w:tcPr>
          <w:p w14:paraId="7DC36002" w14:textId="77777777" w:rsidR="00446CFD" w:rsidRPr="007D7B08" w:rsidRDefault="00446CFD" w:rsidP="0008447E">
            <w:pPr>
              <w:jc w:val="center"/>
              <w:rPr>
                <w:rFonts w:ascii="Arial" w:hAnsi="Arial" w:cs="Arial"/>
                <w:color w:val="000000"/>
                <w:sz w:val="16"/>
                <w:szCs w:val="16"/>
              </w:rPr>
            </w:pPr>
            <w:r w:rsidRPr="007D7B08">
              <w:rPr>
                <w:rFonts w:ascii="Arial" w:hAnsi="Arial" w:cs="Arial"/>
                <w:color w:val="000000"/>
                <w:sz w:val="16"/>
                <w:szCs w:val="16"/>
              </w:rPr>
              <w:t>N/A</w:t>
            </w:r>
          </w:p>
        </w:tc>
        <w:tc>
          <w:tcPr>
            <w:tcW w:w="861" w:type="dxa"/>
            <w:tcBorders>
              <w:top w:val="nil"/>
              <w:left w:val="nil"/>
              <w:bottom w:val="single" w:sz="4" w:space="0" w:color="auto"/>
              <w:right w:val="single" w:sz="4" w:space="0" w:color="auto"/>
            </w:tcBorders>
            <w:shd w:val="clear" w:color="auto" w:fill="auto"/>
            <w:vAlign w:val="center"/>
            <w:hideMark/>
          </w:tcPr>
          <w:p w14:paraId="4B473A0A"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N/A</w:t>
            </w:r>
          </w:p>
        </w:tc>
        <w:tc>
          <w:tcPr>
            <w:tcW w:w="1036" w:type="dxa"/>
            <w:tcBorders>
              <w:top w:val="nil"/>
              <w:left w:val="nil"/>
              <w:bottom w:val="single" w:sz="4" w:space="0" w:color="auto"/>
              <w:right w:val="single" w:sz="4" w:space="0" w:color="auto"/>
            </w:tcBorders>
            <w:shd w:val="clear" w:color="000000" w:fill="EBF1DE"/>
            <w:vAlign w:val="center"/>
            <w:hideMark/>
          </w:tcPr>
          <w:p w14:paraId="068A81A8"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152,00 %</w:t>
            </w:r>
          </w:p>
        </w:tc>
        <w:tc>
          <w:tcPr>
            <w:tcW w:w="1036" w:type="dxa"/>
            <w:tcBorders>
              <w:top w:val="nil"/>
              <w:left w:val="nil"/>
              <w:bottom w:val="single" w:sz="4" w:space="0" w:color="auto"/>
              <w:right w:val="single" w:sz="4" w:space="0" w:color="auto"/>
            </w:tcBorders>
            <w:shd w:val="clear" w:color="auto" w:fill="auto"/>
            <w:vAlign w:val="center"/>
            <w:hideMark/>
          </w:tcPr>
          <w:p w14:paraId="0A9CAC5A" w14:textId="77777777" w:rsidR="00446CFD" w:rsidRPr="007D7B08" w:rsidRDefault="00446CFD" w:rsidP="00EA4DD3">
            <w:pPr>
              <w:jc w:val="center"/>
              <w:rPr>
                <w:rFonts w:ascii="Arial" w:hAnsi="Arial" w:cs="Arial"/>
                <w:color w:val="000000"/>
                <w:sz w:val="16"/>
                <w:szCs w:val="16"/>
              </w:rPr>
            </w:pPr>
            <w:r w:rsidRPr="007D7B08">
              <w:rPr>
                <w:rFonts w:ascii="Arial" w:hAnsi="Arial" w:cs="Arial"/>
                <w:color w:val="000000"/>
                <w:sz w:val="16"/>
                <w:szCs w:val="16"/>
              </w:rPr>
              <w:t>N/A</w:t>
            </w:r>
          </w:p>
        </w:tc>
      </w:tr>
      <w:tr w:rsidR="00446CFD" w:rsidRPr="007D7B08" w14:paraId="2A214C4D" w14:textId="77777777" w:rsidTr="0008447E">
        <w:trPr>
          <w:trHeight w:val="675"/>
        </w:trPr>
        <w:tc>
          <w:tcPr>
            <w:tcW w:w="662" w:type="dxa"/>
            <w:tcBorders>
              <w:top w:val="single" w:sz="4" w:space="0" w:color="auto"/>
              <w:left w:val="single" w:sz="4" w:space="0" w:color="auto"/>
              <w:bottom w:val="single" w:sz="4" w:space="0" w:color="auto"/>
              <w:right w:val="single" w:sz="4" w:space="0" w:color="auto"/>
            </w:tcBorders>
            <w:vAlign w:val="center"/>
          </w:tcPr>
          <w:p w14:paraId="2BCF98FC" w14:textId="77777777" w:rsidR="00446CFD" w:rsidRPr="007D7B08" w:rsidRDefault="00446CFD" w:rsidP="00EA4DD3">
            <w:pPr>
              <w:rPr>
                <w:rFonts w:ascii="Arial" w:hAnsi="Arial" w:cs="Arial"/>
                <w:color w:val="000000"/>
                <w:sz w:val="16"/>
                <w:szCs w:val="16"/>
              </w:rPr>
            </w:pPr>
            <w:r w:rsidRPr="007D7B08">
              <w:rPr>
                <w:rFonts w:ascii="Arial" w:hAnsi="Arial" w:cs="Arial"/>
                <w:color w:val="000000"/>
                <w:sz w:val="16"/>
                <w:szCs w:val="16"/>
              </w:rPr>
              <w:t>6.1</w:t>
            </w:r>
          </w:p>
        </w:tc>
        <w:tc>
          <w:tcPr>
            <w:tcW w:w="1512" w:type="dxa"/>
            <w:tcBorders>
              <w:top w:val="single" w:sz="4" w:space="0" w:color="auto"/>
              <w:left w:val="nil"/>
              <w:bottom w:val="single" w:sz="4" w:space="0" w:color="auto"/>
              <w:right w:val="single" w:sz="4" w:space="0" w:color="auto"/>
            </w:tcBorders>
            <w:shd w:val="clear" w:color="auto" w:fill="auto"/>
            <w:vAlign w:val="center"/>
          </w:tcPr>
          <w:p w14:paraId="562CC0B4" w14:textId="77777777" w:rsidR="00446CFD" w:rsidRPr="007D7B08" w:rsidRDefault="00446CFD" w:rsidP="00EA4DD3">
            <w:pPr>
              <w:rPr>
                <w:rFonts w:ascii="Arial" w:hAnsi="Arial" w:cs="Arial"/>
                <w:i/>
                <w:color w:val="000000"/>
                <w:sz w:val="16"/>
                <w:szCs w:val="16"/>
              </w:rPr>
            </w:pPr>
            <w:r w:rsidRPr="007D7B08">
              <w:rPr>
                <w:rFonts w:ascii="Arial" w:hAnsi="Arial" w:cs="Arial"/>
                <w:i/>
                <w:color w:val="000000"/>
                <w:sz w:val="16"/>
                <w:szCs w:val="16"/>
              </w:rPr>
              <w:t>Počet zamestnancov, ktorých platy sú hradené z TA - muži</w:t>
            </w:r>
          </w:p>
        </w:tc>
        <w:tc>
          <w:tcPr>
            <w:tcW w:w="837" w:type="dxa"/>
            <w:tcBorders>
              <w:top w:val="single" w:sz="4" w:space="0" w:color="auto"/>
              <w:left w:val="nil"/>
              <w:bottom w:val="single" w:sz="4" w:space="0" w:color="auto"/>
              <w:right w:val="single" w:sz="4" w:space="0" w:color="auto"/>
            </w:tcBorders>
            <w:shd w:val="clear" w:color="auto" w:fill="auto"/>
            <w:vAlign w:val="center"/>
          </w:tcPr>
          <w:p w14:paraId="0DE9AC56" w14:textId="77777777" w:rsidR="00446CFD" w:rsidRPr="007D7B08" w:rsidRDefault="00446CFD" w:rsidP="00EA4DD3">
            <w:pPr>
              <w:jc w:val="center"/>
              <w:rPr>
                <w:rFonts w:ascii="Arial" w:hAnsi="Arial" w:cs="Arial"/>
                <w:i/>
                <w:color w:val="000000"/>
                <w:sz w:val="16"/>
                <w:szCs w:val="16"/>
              </w:rPr>
            </w:pPr>
            <w:r w:rsidRPr="007D7B08">
              <w:rPr>
                <w:rFonts w:ascii="Arial" w:hAnsi="Arial" w:cs="Arial"/>
                <w:i/>
                <w:color w:val="000000"/>
                <w:sz w:val="16"/>
                <w:szCs w:val="16"/>
              </w:rPr>
              <w:t>počet</w:t>
            </w:r>
          </w:p>
        </w:tc>
        <w:tc>
          <w:tcPr>
            <w:tcW w:w="832" w:type="dxa"/>
            <w:tcBorders>
              <w:top w:val="single" w:sz="4" w:space="0" w:color="auto"/>
              <w:left w:val="nil"/>
              <w:bottom w:val="single" w:sz="4" w:space="0" w:color="auto"/>
              <w:right w:val="single" w:sz="4" w:space="0" w:color="auto"/>
            </w:tcBorders>
            <w:vAlign w:val="center"/>
          </w:tcPr>
          <w:p w14:paraId="588504C8" w14:textId="77777777" w:rsidR="00446CFD" w:rsidRPr="007D7B08" w:rsidRDefault="00446CFD" w:rsidP="00EA4DD3">
            <w:pPr>
              <w:jc w:val="center"/>
              <w:rPr>
                <w:rFonts w:ascii="Arial" w:hAnsi="Arial" w:cs="Arial"/>
                <w:i/>
                <w:color w:val="000000"/>
                <w:sz w:val="16"/>
                <w:szCs w:val="16"/>
              </w:rPr>
            </w:pPr>
            <w:r w:rsidRPr="007D7B08">
              <w:rPr>
                <w:rFonts w:ascii="Arial" w:hAnsi="Arial" w:cs="Arial"/>
                <w:i/>
                <w:color w:val="000000"/>
                <w:sz w:val="16"/>
                <w:szCs w:val="16"/>
              </w:rPr>
              <w:t>51</w:t>
            </w: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tcPr>
          <w:p w14:paraId="02154693" w14:textId="77777777" w:rsidR="00446CFD" w:rsidRPr="007D7B08" w:rsidRDefault="00446CFD" w:rsidP="0008447E">
            <w:pPr>
              <w:jc w:val="center"/>
              <w:rPr>
                <w:rFonts w:ascii="Arial" w:hAnsi="Arial" w:cs="Arial"/>
                <w:i/>
                <w:color w:val="000000"/>
                <w:sz w:val="16"/>
                <w:szCs w:val="16"/>
              </w:rPr>
            </w:pPr>
            <w:r w:rsidRPr="007D7B08">
              <w:rPr>
                <w:rFonts w:ascii="Arial" w:hAnsi="Arial" w:cs="Arial"/>
                <w:i/>
                <w:color w:val="000000"/>
                <w:sz w:val="16"/>
                <w:szCs w:val="16"/>
              </w:rPr>
              <w:t>75</w:t>
            </w:r>
          </w:p>
        </w:tc>
        <w:tc>
          <w:tcPr>
            <w:tcW w:w="692" w:type="dxa"/>
            <w:tcBorders>
              <w:top w:val="single" w:sz="4" w:space="0" w:color="auto"/>
              <w:left w:val="nil"/>
              <w:bottom w:val="single" w:sz="4" w:space="0" w:color="auto"/>
              <w:right w:val="single" w:sz="4" w:space="0" w:color="auto"/>
            </w:tcBorders>
            <w:shd w:val="clear" w:color="000000" w:fill="EBF1DE"/>
            <w:vAlign w:val="center"/>
          </w:tcPr>
          <w:p w14:paraId="054127AF" w14:textId="77777777" w:rsidR="00446CFD" w:rsidRPr="007D7B08" w:rsidDel="00592A53" w:rsidRDefault="00446CFD" w:rsidP="0008447E">
            <w:pPr>
              <w:jc w:val="center"/>
              <w:rPr>
                <w:rFonts w:ascii="Arial" w:hAnsi="Arial" w:cs="Arial"/>
                <w:i/>
                <w:color w:val="000000"/>
                <w:sz w:val="16"/>
                <w:szCs w:val="16"/>
              </w:rPr>
            </w:pPr>
            <w:r w:rsidRPr="007D7B08">
              <w:rPr>
                <w:rFonts w:ascii="Arial" w:hAnsi="Arial" w:cs="Arial"/>
                <w:i/>
                <w:color w:val="000000"/>
                <w:sz w:val="16"/>
                <w:szCs w:val="16"/>
              </w:rPr>
              <w:t>99*</w:t>
            </w:r>
          </w:p>
        </w:tc>
        <w:tc>
          <w:tcPr>
            <w:tcW w:w="692" w:type="dxa"/>
            <w:tcBorders>
              <w:top w:val="single" w:sz="4" w:space="0" w:color="auto"/>
              <w:left w:val="nil"/>
              <w:bottom w:val="single" w:sz="4" w:space="0" w:color="auto"/>
              <w:right w:val="single" w:sz="4" w:space="0" w:color="auto"/>
            </w:tcBorders>
            <w:shd w:val="clear" w:color="000000" w:fill="EBF1DE"/>
            <w:vAlign w:val="center"/>
          </w:tcPr>
          <w:p w14:paraId="2F9C137C" w14:textId="77777777" w:rsidR="00446CFD" w:rsidRPr="007D7B08" w:rsidDel="00231A18" w:rsidRDefault="00446CFD" w:rsidP="0008447E">
            <w:pPr>
              <w:jc w:val="center"/>
              <w:rPr>
                <w:rFonts w:ascii="Arial" w:hAnsi="Arial" w:cs="Arial"/>
                <w:i/>
                <w:color w:val="000000"/>
                <w:sz w:val="16"/>
                <w:szCs w:val="16"/>
              </w:rPr>
            </w:pPr>
            <w:r w:rsidRPr="007D7B08">
              <w:rPr>
                <w:rFonts w:ascii="Arial" w:hAnsi="Arial" w:cs="Arial"/>
                <w:i/>
                <w:color w:val="000000"/>
                <w:sz w:val="16"/>
                <w:szCs w:val="16"/>
              </w:rPr>
              <w:t>N/A</w:t>
            </w:r>
          </w:p>
        </w:tc>
        <w:tc>
          <w:tcPr>
            <w:tcW w:w="861" w:type="dxa"/>
            <w:tcBorders>
              <w:top w:val="single" w:sz="4" w:space="0" w:color="auto"/>
              <w:left w:val="nil"/>
              <w:bottom w:val="single" w:sz="4" w:space="0" w:color="auto"/>
              <w:right w:val="single" w:sz="4" w:space="0" w:color="auto"/>
            </w:tcBorders>
            <w:shd w:val="clear" w:color="auto" w:fill="auto"/>
            <w:vAlign w:val="center"/>
          </w:tcPr>
          <w:p w14:paraId="11A43B48" w14:textId="77777777" w:rsidR="00446CFD" w:rsidRPr="007D7B08" w:rsidRDefault="00446CFD" w:rsidP="00EA4DD3">
            <w:pPr>
              <w:jc w:val="center"/>
              <w:rPr>
                <w:rFonts w:ascii="Arial" w:hAnsi="Arial" w:cs="Arial"/>
                <w:i/>
                <w:color w:val="000000"/>
                <w:sz w:val="16"/>
                <w:szCs w:val="16"/>
              </w:rPr>
            </w:pPr>
            <w:r w:rsidRPr="007D7B08">
              <w:rPr>
                <w:rFonts w:ascii="Arial" w:hAnsi="Arial" w:cs="Arial"/>
                <w:i/>
                <w:color w:val="000000"/>
                <w:sz w:val="16"/>
                <w:szCs w:val="16"/>
              </w:rPr>
              <w:t>N/A</w:t>
            </w:r>
          </w:p>
        </w:tc>
        <w:tc>
          <w:tcPr>
            <w:tcW w:w="1036" w:type="dxa"/>
            <w:tcBorders>
              <w:top w:val="single" w:sz="4" w:space="0" w:color="auto"/>
              <w:left w:val="nil"/>
              <w:bottom w:val="single" w:sz="4" w:space="0" w:color="auto"/>
              <w:right w:val="single" w:sz="4" w:space="0" w:color="auto"/>
            </w:tcBorders>
            <w:shd w:val="clear" w:color="000000" w:fill="EBF1DE"/>
            <w:vAlign w:val="center"/>
          </w:tcPr>
          <w:p w14:paraId="6482E912" w14:textId="77777777" w:rsidR="00446CFD" w:rsidRPr="007D7B08" w:rsidDel="00231A18" w:rsidRDefault="00446CFD" w:rsidP="00EA4DD3">
            <w:pPr>
              <w:jc w:val="center"/>
              <w:rPr>
                <w:rFonts w:ascii="Arial" w:hAnsi="Arial" w:cs="Arial"/>
                <w:i/>
                <w:color w:val="000000"/>
                <w:sz w:val="16"/>
                <w:szCs w:val="16"/>
              </w:rPr>
            </w:pPr>
            <w:r w:rsidRPr="007D7B08">
              <w:rPr>
                <w:rFonts w:ascii="Arial" w:hAnsi="Arial" w:cs="Arial"/>
                <w:i/>
                <w:color w:val="000000"/>
                <w:sz w:val="16"/>
                <w:szCs w:val="16"/>
              </w:rPr>
              <w:t>132,00 %</w:t>
            </w:r>
          </w:p>
        </w:tc>
        <w:tc>
          <w:tcPr>
            <w:tcW w:w="1036" w:type="dxa"/>
            <w:tcBorders>
              <w:top w:val="single" w:sz="4" w:space="0" w:color="auto"/>
              <w:left w:val="nil"/>
              <w:bottom w:val="single" w:sz="4" w:space="0" w:color="auto"/>
              <w:right w:val="single" w:sz="4" w:space="0" w:color="auto"/>
            </w:tcBorders>
            <w:shd w:val="clear" w:color="auto" w:fill="auto"/>
            <w:vAlign w:val="center"/>
          </w:tcPr>
          <w:p w14:paraId="0D344AAB" w14:textId="77777777" w:rsidR="00446CFD" w:rsidRPr="007D7B08" w:rsidRDefault="00446CFD" w:rsidP="00EA4DD3">
            <w:pPr>
              <w:jc w:val="center"/>
              <w:rPr>
                <w:rFonts w:ascii="Arial" w:hAnsi="Arial" w:cs="Arial"/>
                <w:i/>
                <w:color w:val="000000"/>
                <w:sz w:val="16"/>
                <w:szCs w:val="16"/>
              </w:rPr>
            </w:pPr>
            <w:r w:rsidRPr="007D7B08">
              <w:rPr>
                <w:rFonts w:ascii="Arial" w:hAnsi="Arial" w:cs="Arial"/>
                <w:i/>
                <w:color w:val="000000"/>
                <w:sz w:val="16"/>
                <w:szCs w:val="16"/>
              </w:rPr>
              <w:t>N/A</w:t>
            </w:r>
          </w:p>
        </w:tc>
      </w:tr>
      <w:tr w:rsidR="00446CFD" w:rsidRPr="007D7B08" w14:paraId="699EC942" w14:textId="77777777" w:rsidTr="0008447E">
        <w:trPr>
          <w:trHeight w:val="675"/>
        </w:trPr>
        <w:tc>
          <w:tcPr>
            <w:tcW w:w="662" w:type="dxa"/>
            <w:tcBorders>
              <w:top w:val="single" w:sz="4" w:space="0" w:color="auto"/>
              <w:left w:val="single" w:sz="4" w:space="0" w:color="auto"/>
              <w:bottom w:val="single" w:sz="4" w:space="0" w:color="auto"/>
              <w:right w:val="single" w:sz="4" w:space="0" w:color="auto"/>
            </w:tcBorders>
            <w:vAlign w:val="center"/>
          </w:tcPr>
          <w:p w14:paraId="5A78F911" w14:textId="77777777" w:rsidR="00446CFD" w:rsidRPr="007D7B08" w:rsidRDefault="00446CFD" w:rsidP="00EA4DD3">
            <w:pPr>
              <w:rPr>
                <w:rFonts w:ascii="Arial" w:hAnsi="Arial" w:cs="Arial"/>
                <w:color w:val="000000"/>
                <w:sz w:val="16"/>
                <w:szCs w:val="16"/>
              </w:rPr>
            </w:pPr>
            <w:r w:rsidRPr="007D7B08">
              <w:rPr>
                <w:rFonts w:ascii="Arial" w:hAnsi="Arial" w:cs="Arial"/>
                <w:color w:val="000000"/>
                <w:sz w:val="16"/>
                <w:szCs w:val="16"/>
              </w:rPr>
              <w:t>6.1</w:t>
            </w:r>
          </w:p>
        </w:tc>
        <w:tc>
          <w:tcPr>
            <w:tcW w:w="1512" w:type="dxa"/>
            <w:tcBorders>
              <w:top w:val="single" w:sz="4" w:space="0" w:color="auto"/>
              <w:left w:val="nil"/>
              <w:bottom w:val="single" w:sz="4" w:space="0" w:color="auto"/>
              <w:right w:val="single" w:sz="4" w:space="0" w:color="auto"/>
            </w:tcBorders>
            <w:shd w:val="clear" w:color="auto" w:fill="auto"/>
            <w:vAlign w:val="center"/>
          </w:tcPr>
          <w:p w14:paraId="6DF7EBDF" w14:textId="77777777" w:rsidR="00446CFD" w:rsidRPr="007D7B08" w:rsidRDefault="00446CFD" w:rsidP="00EA4DD3">
            <w:pPr>
              <w:rPr>
                <w:rFonts w:ascii="Arial" w:hAnsi="Arial" w:cs="Arial"/>
                <w:i/>
                <w:color w:val="000000"/>
                <w:sz w:val="16"/>
                <w:szCs w:val="16"/>
              </w:rPr>
            </w:pPr>
            <w:r w:rsidRPr="007D7B08">
              <w:rPr>
                <w:rFonts w:ascii="Arial" w:hAnsi="Arial" w:cs="Arial"/>
                <w:i/>
                <w:color w:val="000000"/>
                <w:sz w:val="16"/>
                <w:szCs w:val="16"/>
              </w:rPr>
              <w:t>Počet zamestnancov, ktorých platy sú hradené z TA - ženy</w:t>
            </w:r>
          </w:p>
        </w:tc>
        <w:tc>
          <w:tcPr>
            <w:tcW w:w="837" w:type="dxa"/>
            <w:tcBorders>
              <w:top w:val="single" w:sz="4" w:space="0" w:color="auto"/>
              <w:left w:val="nil"/>
              <w:bottom w:val="single" w:sz="4" w:space="0" w:color="auto"/>
              <w:right w:val="single" w:sz="4" w:space="0" w:color="auto"/>
            </w:tcBorders>
            <w:shd w:val="clear" w:color="auto" w:fill="auto"/>
            <w:vAlign w:val="center"/>
          </w:tcPr>
          <w:p w14:paraId="5B20BD06" w14:textId="77777777" w:rsidR="00446CFD" w:rsidRPr="007D7B08" w:rsidRDefault="00446CFD" w:rsidP="00EA4DD3">
            <w:pPr>
              <w:jc w:val="center"/>
              <w:rPr>
                <w:rFonts w:ascii="Arial" w:hAnsi="Arial" w:cs="Arial"/>
                <w:i/>
                <w:color w:val="000000"/>
                <w:sz w:val="16"/>
                <w:szCs w:val="16"/>
              </w:rPr>
            </w:pPr>
            <w:r w:rsidRPr="007D7B08">
              <w:rPr>
                <w:rFonts w:ascii="Arial" w:hAnsi="Arial" w:cs="Arial"/>
                <w:i/>
                <w:color w:val="000000"/>
                <w:sz w:val="16"/>
                <w:szCs w:val="16"/>
              </w:rPr>
              <w:t>počet</w:t>
            </w:r>
          </w:p>
        </w:tc>
        <w:tc>
          <w:tcPr>
            <w:tcW w:w="832" w:type="dxa"/>
            <w:tcBorders>
              <w:top w:val="single" w:sz="4" w:space="0" w:color="auto"/>
              <w:left w:val="nil"/>
              <w:bottom w:val="single" w:sz="4" w:space="0" w:color="auto"/>
              <w:right w:val="single" w:sz="4" w:space="0" w:color="auto"/>
            </w:tcBorders>
            <w:vAlign w:val="center"/>
          </w:tcPr>
          <w:p w14:paraId="1200887E" w14:textId="77777777" w:rsidR="00446CFD" w:rsidRPr="007D7B08" w:rsidRDefault="00446CFD" w:rsidP="00EA4DD3">
            <w:pPr>
              <w:jc w:val="center"/>
              <w:rPr>
                <w:rFonts w:ascii="Arial" w:hAnsi="Arial" w:cs="Arial"/>
                <w:i/>
                <w:color w:val="000000"/>
                <w:sz w:val="16"/>
                <w:szCs w:val="16"/>
              </w:rPr>
            </w:pPr>
            <w:r w:rsidRPr="007D7B08">
              <w:rPr>
                <w:rFonts w:ascii="Arial" w:hAnsi="Arial" w:cs="Arial"/>
                <w:i/>
                <w:color w:val="000000"/>
                <w:sz w:val="16"/>
                <w:szCs w:val="16"/>
              </w:rPr>
              <w:t>52</w:t>
            </w: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tcPr>
          <w:p w14:paraId="3981002C" w14:textId="77777777" w:rsidR="00446CFD" w:rsidRPr="007D7B08" w:rsidRDefault="00446CFD" w:rsidP="0008447E">
            <w:pPr>
              <w:jc w:val="center"/>
              <w:rPr>
                <w:rFonts w:ascii="Arial" w:hAnsi="Arial" w:cs="Arial"/>
                <w:i/>
                <w:color w:val="000000"/>
                <w:sz w:val="16"/>
                <w:szCs w:val="16"/>
              </w:rPr>
            </w:pPr>
            <w:r w:rsidRPr="007D7B08">
              <w:rPr>
                <w:rFonts w:ascii="Arial" w:hAnsi="Arial" w:cs="Arial"/>
                <w:i/>
                <w:color w:val="000000"/>
                <w:sz w:val="16"/>
                <w:szCs w:val="16"/>
              </w:rPr>
              <w:t>75</w:t>
            </w:r>
          </w:p>
        </w:tc>
        <w:tc>
          <w:tcPr>
            <w:tcW w:w="692" w:type="dxa"/>
            <w:tcBorders>
              <w:top w:val="single" w:sz="4" w:space="0" w:color="auto"/>
              <w:left w:val="nil"/>
              <w:bottom w:val="single" w:sz="4" w:space="0" w:color="auto"/>
              <w:right w:val="single" w:sz="4" w:space="0" w:color="auto"/>
            </w:tcBorders>
            <w:shd w:val="clear" w:color="000000" w:fill="EBF1DE"/>
            <w:vAlign w:val="center"/>
          </w:tcPr>
          <w:p w14:paraId="24F06CE1" w14:textId="77777777" w:rsidR="00446CFD" w:rsidRPr="007D7B08" w:rsidDel="00592A53" w:rsidRDefault="00446CFD" w:rsidP="0008447E">
            <w:pPr>
              <w:jc w:val="center"/>
              <w:rPr>
                <w:rFonts w:ascii="Arial" w:hAnsi="Arial" w:cs="Arial"/>
                <w:i/>
                <w:color w:val="000000"/>
                <w:sz w:val="16"/>
                <w:szCs w:val="16"/>
              </w:rPr>
            </w:pPr>
            <w:r w:rsidRPr="007D7B08">
              <w:rPr>
                <w:rFonts w:ascii="Arial" w:hAnsi="Arial" w:cs="Arial"/>
                <w:i/>
                <w:color w:val="000000"/>
                <w:sz w:val="16"/>
                <w:szCs w:val="16"/>
              </w:rPr>
              <w:t>129*</w:t>
            </w:r>
          </w:p>
        </w:tc>
        <w:tc>
          <w:tcPr>
            <w:tcW w:w="692" w:type="dxa"/>
            <w:tcBorders>
              <w:top w:val="single" w:sz="4" w:space="0" w:color="auto"/>
              <w:left w:val="nil"/>
              <w:bottom w:val="single" w:sz="4" w:space="0" w:color="auto"/>
              <w:right w:val="single" w:sz="4" w:space="0" w:color="auto"/>
            </w:tcBorders>
            <w:shd w:val="clear" w:color="000000" w:fill="EBF1DE"/>
            <w:vAlign w:val="center"/>
          </w:tcPr>
          <w:p w14:paraId="368DC5DC" w14:textId="77777777" w:rsidR="00446CFD" w:rsidRPr="007D7B08" w:rsidDel="00231A18" w:rsidRDefault="00446CFD" w:rsidP="0008447E">
            <w:pPr>
              <w:jc w:val="center"/>
              <w:rPr>
                <w:rFonts w:ascii="Arial" w:hAnsi="Arial" w:cs="Arial"/>
                <w:i/>
                <w:color w:val="000000"/>
                <w:sz w:val="16"/>
                <w:szCs w:val="16"/>
              </w:rPr>
            </w:pPr>
            <w:r w:rsidRPr="007D7B08">
              <w:rPr>
                <w:rFonts w:ascii="Arial" w:hAnsi="Arial" w:cs="Arial"/>
                <w:i/>
                <w:color w:val="000000"/>
                <w:sz w:val="16"/>
                <w:szCs w:val="16"/>
              </w:rPr>
              <w:t>N/A</w:t>
            </w:r>
          </w:p>
        </w:tc>
        <w:tc>
          <w:tcPr>
            <w:tcW w:w="861" w:type="dxa"/>
            <w:tcBorders>
              <w:top w:val="single" w:sz="4" w:space="0" w:color="auto"/>
              <w:left w:val="nil"/>
              <w:bottom w:val="single" w:sz="4" w:space="0" w:color="auto"/>
              <w:right w:val="single" w:sz="4" w:space="0" w:color="auto"/>
            </w:tcBorders>
            <w:shd w:val="clear" w:color="auto" w:fill="auto"/>
            <w:vAlign w:val="center"/>
          </w:tcPr>
          <w:p w14:paraId="77EC65C1" w14:textId="77777777" w:rsidR="00446CFD" w:rsidRPr="007D7B08" w:rsidRDefault="00446CFD" w:rsidP="00EA4DD3">
            <w:pPr>
              <w:jc w:val="center"/>
              <w:rPr>
                <w:rFonts w:ascii="Arial" w:hAnsi="Arial" w:cs="Arial"/>
                <w:i/>
                <w:color w:val="000000"/>
                <w:sz w:val="16"/>
                <w:szCs w:val="16"/>
              </w:rPr>
            </w:pPr>
            <w:r w:rsidRPr="007D7B08">
              <w:rPr>
                <w:rFonts w:ascii="Arial" w:hAnsi="Arial" w:cs="Arial"/>
                <w:i/>
                <w:color w:val="000000"/>
                <w:sz w:val="16"/>
                <w:szCs w:val="16"/>
              </w:rPr>
              <w:t>N/A</w:t>
            </w:r>
          </w:p>
        </w:tc>
        <w:tc>
          <w:tcPr>
            <w:tcW w:w="1036" w:type="dxa"/>
            <w:tcBorders>
              <w:top w:val="single" w:sz="4" w:space="0" w:color="auto"/>
              <w:left w:val="nil"/>
              <w:bottom w:val="single" w:sz="4" w:space="0" w:color="auto"/>
              <w:right w:val="single" w:sz="4" w:space="0" w:color="auto"/>
            </w:tcBorders>
            <w:shd w:val="clear" w:color="000000" w:fill="EBF1DE"/>
            <w:vAlign w:val="center"/>
          </w:tcPr>
          <w:p w14:paraId="43089F57" w14:textId="77777777" w:rsidR="00446CFD" w:rsidRPr="007D7B08" w:rsidDel="00231A18" w:rsidRDefault="00446CFD" w:rsidP="00EA4DD3">
            <w:pPr>
              <w:jc w:val="center"/>
              <w:rPr>
                <w:rFonts w:ascii="Arial" w:hAnsi="Arial" w:cs="Arial"/>
                <w:i/>
                <w:color w:val="000000"/>
                <w:sz w:val="16"/>
                <w:szCs w:val="16"/>
              </w:rPr>
            </w:pPr>
            <w:r w:rsidRPr="007D7B08">
              <w:rPr>
                <w:rFonts w:ascii="Arial" w:hAnsi="Arial" w:cs="Arial"/>
                <w:i/>
                <w:color w:val="000000"/>
                <w:sz w:val="16"/>
                <w:szCs w:val="16"/>
              </w:rPr>
              <w:t>172,00 %</w:t>
            </w:r>
          </w:p>
        </w:tc>
        <w:tc>
          <w:tcPr>
            <w:tcW w:w="1036" w:type="dxa"/>
            <w:tcBorders>
              <w:top w:val="single" w:sz="4" w:space="0" w:color="auto"/>
              <w:left w:val="nil"/>
              <w:bottom w:val="single" w:sz="4" w:space="0" w:color="auto"/>
              <w:right w:val="single" w:sz="4" w:space="0" w:color="auto"/>
            </w:tcBorders>
            <w:shd w:val="clear" w:color="auto" w:fill="auto"/>
            <w:vAlign w:val="center"/>
          </w:tcPr>
          <w:p w14:paraId="3CD59AC2" w14:textId="77777777" w:rsidR="00446CFD" w:rsidRPr="007D7B08" w:rsidRDefault="00446CFD" w:rsidP="00EA4DD3">
            <w:pPr>
              <w:jc w:val="center"/>
              <w:rPr>
                <w:rFonts w:ascii="Arial" w:hAnsi="Arial" w:cs="Arial"/>
                <w:i/>
                <w:color w:val="000000"/>
                <w:sz w:val="16"/>
                <w:szCs w:val="16"/>
              </w:rPr>
            </w:pPr>
            <w:r w:rsidRPr="007D7B08">
              <w:rPr>
                <w:rFonts w:ascii="Arial" w:hAnsi="Arial" w:cs="Arial"/>
                <w:i/>
                <w:color w:val="000000"/>
                <w:sz w:val="16"/>
                <w:szCs w:val="16"/>
              </w:rPr>
              <w:t>N/A</w:t>
            </w:r>
          </w:p>
        </w:tc>
      </w:tr>
    </w:tbl>
    <w:p w14:paraId="0B9BDF71" w14:textId="77777777" w:rsidR="00446CFD" w:rsidRPr="00C70251" w:rsidRDefault="00446CFD" w:rsidP="00446CFD">
      <w:pPr>
        <w:jc w:val="both"/>
        <w:rPr>
          <w:rFonts w:ascii="Arial" w:hAnsi="Arial" w:cs="Arial"/>
          <w:sz w:val="16"/>
          <w:szCs w:val="16"/>
        </w:rPr>
      </w:pPr>
      <w:r w:rsidRPr="00C70251">
        <w:rPr>
          <w:rFonts w:ascii="Arial" w:hAnsi="Arial" w:cs="Arial"/>
          <w:sz w:val="16"/>
          <w:szCs w:val="16"/>
        </w:rPr>
        <w:t>* Vrátane SORO</w:t>
      </w:r>
    </w:p>
    <w:p w14:paraId="75D7AC31" w14:textId="77777777" w:rsidR="00446CFD" w:rsidRPr="00C70251" w:rsidRDefault="00446CFD" w:rsidP="00446CFD">
      <w:pPr>
        <w:jc w:val="both"/>
        <w:rPr>
          <w:rFonts w:ascii="Arial" w:hAnsi="Arial" w:cs="Arial"/>
          <w:sz w:val="16"/>
          <w:szCs w:val="16"/>
        </w:rPr>
      </w:pPr>
      <w:r w:rsidRPr="00C70251">
        <w:rPr>
          <w:rFonts w:ascii="Arial" w:hAnsi="Arial" w:cs="Arial"/>
          <w:sz w:val="16"/>
          <w:szCs w:val="16"/>
        </w:rPr>
        <w:t>Zdroj: RO,SORO, ITMS</w:t>
      </w:r>
    </w:p>
    <w:p w14:paraId="6DF5D234" w14:textId="77777777" w:rsidR="00446CFD" w:rsidRPr="00C70251" w:rsidRDefault="00446CFD" w:rsidP="00446CFD">
      <w:pPr>
        <w:spacing w:before="120" w:after="120"/>
        <w:jc w:val="both"/>
        <w:rPr>
          <w:rFonts w:ascii="Arial" w:hAnsi="Arial" w:cs="Arial"/>
          <w:sz w:val="20"/>
          <w:szCs w:val="20"/>
        </w:rPr>
      </w:pPr>
    </w:p>
    <w:p w14:paraId="0A8DFF38" w14:textId="67EDB63F" w:rsidR="00446CFD" w:rsidRPr="00C70251" w:rsidRDefault="00446CFD" w:rsidP="00446CFD">
      <w:pPr>
        <w:jc w:val="both"/>
        <w:rPr>
          <w:rFonts w:ascii="Arial" w:eastAsia="Calibri" w:hAnsi="Arial" w:cs="Arial"/>
          <w:sz w:val="20"/>
          <w:szCs w:val="20"/>
        </w:rPr>
      </w:pPr>
      <w:r w:rsidRPr="00C70251">
        <w:rPr>
          <w:rFonts w:ascii="Arial" w:eastAsia="Calibri" w:hAnsi="Arial" w:cs="Arial"/>
          <w:sz w:val="20"/>
          <w:szCs w:val="20"/>
        </w:rPr>
        <w:t xml:space="preserve">Technická pomoc </w:t>
      </w:r>
      <w:r w:rsidR="002C108B">
        <w:rPr>
          <w:rFonts w:ascii="Arial" w:eastAsia="Calibri" w:hAnsi="Arial" w:cs="Arial"/>
          <w:sz w:val="20"/>
          <w:szCs w:val="20"/>
        </w:rPr>
        <w:t>ako</w:t>
      </w:r>
      <w:r w:rsidRPr="00C70251">
        <w:rPr>
          <w:rFonts w:ascii="Arial" w:eastAsia="Calibri" w:hAnsi="Arial" w:cs="Arial"/>
          <w:sz w:val="20"/>
          <w:szCs w:val="20"/>
        </w:rPr>
        <w:t xml:space="preserve"> osobitn</w:t>
      </w:r>
      <w:r w:rsidR="002C108B">
        <w:rPr>
          <w:rFonts w:ascii="Arial" w:eastAsia="Calibri" w:hAnsi="Arial" w:cs="Arial"/>
          <w:sz w:val="20"/>
          <w:szCs w:val="20"/>
        </w:rPr>
        <w:t>á</w:t>
      </w:r>
      <w:r w:rsidRPr="00C70251">
        <w:rPr>
          <w:rFonts w:ascii="Arial" w:eastAsia="Calibri" w:hAnsi="Arial" w:cs="Arial"/>
          <w:sz w:val="20"/>
          <w:szCs w:val="20"/>
        </w:rPr>
        <w:t xml:space="preserve"> prioritn</w:t>
      </w:r>
      <w:r w:rsidR="002C108B">
        <w:rPr>
          <w:rFonts w:ascii="Arial" w:eastAsia="Calibri" w:hAnsi="Arial" w:cs="Arial"/>
          <w:sz w:val="20"/>
          <w:szCs w:val="20"/>
        </w:rPr>
        <w:t>á</w:t>
      </w:r>
      <w:r w:rsidRPr="00C70251">
        <w:rPr>
          <w:rFonts w:ascii="Arial" w:eastAsia="Calibri" w:hAnsi="Arial" w:cs="Arial"/>
          <w:sz w:val="20"/>
          <w:szCs w:val="20"/>
        </w:rPr>
        <w:t xml:space="preserve"> os OP ŽP, podporova</w:t>
      </w:r>
      <w:r w:rsidR="002C108B">
        <w:rPr>
          <w:rFonts w:ascii="Arial" w:eastAsia="Calibri" w:hAnsi="Arial" w:cs="Arial"/>
          <w:sz w:val="20"/>
          <w:szCs w:val="20"/>
        </w:rPr>
        <w:t>la</w:t>
      </w:r>
      <w:r w:rsidRPr="00C70251">
        <w:rPr>
          <w:rFonts w:ascii="Arial" w:eastAsia="Calibri" w:hAnsi="Arial" w:cs="Arial"/>
          <w:sz w:val="20"/>
          <w:szCs w:val="20"/>
        </w:rPr>
        <w:t xml:space="preserve"> realizáciu ostatných prioritných osí a aktivít uvedených v operačnom programe. </w:t>
      </w:r>
      <w:r w:rsidR="002C108B">
        <w:rPr>
          <w:rFonts w:ascii="Arial" w:eastAsia="Calibri" w:hAnsi="Arial" w:cs="Arial"/>
          <w:sz w:val="20"/>
          <w:szCs w:val="20"/>
        </w:rPr>
        <w:t xml:space="preserve">Výsledkom bola </w:t>
      </w:r>
      <w:r w:rsidRPr="00C70251">
        <w:rPr>
          <w:rFonts w:ascii="Arial" w:eastAsia="Calibri" w:hAnsi="Arial" w:cs="Arial"/>
          <w:sz w:val="20"/>
          <w:szCs w:val="20"/>
        </w:rPr>
        <w:t>podpor</w:t>
      </w:r>
      <w:r w:rsidR="002C108B">
        <w:rPr>
          <w:rFonts w:ascii="Arial" w:eastAsia="Calibri" w:hAnsi="Arial" w:cs="Arial"/>
          <w:sz w:val="20"/>
          <w:szCs w:val="20"/>
        </w:rPr>
        <w:t>a</w:t>
      </w:r>
      <w:r w:rsidRPr="00C70251">
        <w:rPr>
          <w:rFonts w:ascii="Arial" w:eastAsia="Calibri" w:hAnsi="Arial" w:cs="Arial"/>
          <w:sz w:val="20"/>
          <w:szCs w:val="20"/>
        </w:rPr>
        <w:t xml:space="preserve"> činností a funkcií orgánov podieľajúcich sa na riadení a implementácii OP ŽP (riadiaceho orgánu, platobnej jednotky, orgánov kontroly a auditu) a ich administratívnych kapacít, poskytovanie podpory na prípravu projektov, ako aj na informovanie verejnosti, propagáciu a výmenu skúseností. Efektívna implementácia operačného programu závisí od schopnosti orgánov, ktoré sú zapojené do implementácie vykonávať svoje funkcie v súlade s povinnosťami vyplývajúcimi z nariadení EÚ.</w:t>
      </w:r>
    </w:p>
    <w:p w14:paraId="0484B13C" w14:textId="77777777" w:rsidR="00446CFD" w:rsidRDefault="00446CFD" w:rsidP="00446CFD">
      <w:pPr>
        <w:jc w:val="both"/>
      </w:pPr>
      <w:r w:rsidRPr="00157279">
        <w:rPr>
          <w:rFonts w:ascii="Arial" w:hAnsi="Arial" w:cs="Arial"/>
          <w:sz w:val="20"/>
          <w:szCs w:val="20"/>
        </w:rPr>
        <w:t>V nadväznosti na čerpanie finančných prostriedkov v rámci jednotlivých prioritných tém prioritnej osi 6  a na percentuálnu úspešnosť plnenia jednotlivých ukazovateľov prioritnej osi 6 je možné celkovo vyhodnotiť naplnenie cieľov prioritnej osi 6 ako úspešné</w:t>
      </w:r>
      <w:r>
        <w:rPr>
          <w:rFonts w:ascii="Arial" w:hAnsi="Arial" w:cs="Arial"/>
          <w:sz w:val="20"/>
          <w:szCs w:val="20"/>
        </w:rPr>
        <w:t>.</w:t>
      </w:r>
    </w:p>
    <w:p w14:paraId="08C868E6" w14:textId="77777777" w:rsidR="002416B1" w:rsidRPr="0020746A" w:rsidRDefault="002416B1" w:rsidP="00123376">
      <w:pPr>
        <w:pStyle w:val="Nadpis2"/>
        <w:spacing w:after="120"/>
        <w:jc w:val="both"/>
        <w:rPr>
          <w:rFonts w:cs="Arial"/>
        </w:rPr>
      </w:pPr>
      <w:bookmarkStart w:id="92" w:name="_Toc466914544"/>
      <w:r w:rsidRPr="008E1ACB">
        <w:rPr>
          <w:rFonts w:cs="Arial"/>
        </w:rPr>
        <w:t xml:space="preserve">3.7. Prioritná os 7 Budovanie </w:t>
      </w:r>
      <w:bookmarkStart w:id="93" w:name="OLE_LINK38"/>
      <w:bookmarkStart w:id="94" w:name="OLE_LINK45"/>
      <w:r w:rsidRPr="008E1ACB">
        <w:rPr>
          <w:rFonts w:cs="Arial"/>
        </w:rPr>
        <w:t>povodňového varovného a</w:t>
      </w:r>
      <w:r w:rsidR="00917016" w:rsidRPr="00123376">
        <w:rPr>
          <w:rFonts w:cs="Arial"/>
        </w:rPr>
        <w:t> </w:t>
      </w:r>
      <w:r w:rsidRPr="008E1ACB">
        <w:rPr>
          <w:rFonts w:cs="Arial"/>
        </w:rPr>
        <w:t>predpovedného</w:t>
      </w:r>
      <w:r w:rsidR="00917016" w:rsidRPr="00123376">
        <w:rPr>
          <w:rFonts w:cs="Arial"/>
        </w:rPr>
        <w:t> </w:t>
      </w:r>
      <w:r w:rsidRPr="0020746A">
        <w:rPr>
          <w:rFonts w:cs="Arial"/>
        </w:rPr>
        <w:t>systému</w:t>
      </w:r>
      <w:bookmarkEnd w:id="93"/>
      <w:bookmarkEnd w:id="94"/>
      <w:bookmarkEnd w:id="92"/>
    </w:p>
    <w:p w14:paraId="0B6CEB77" w14:textId="77777777" w:rsidR="002416B1" w:rsidRPr="0020746A" w:rsidRDefault="002416B1" w:rsidP="00123376">
      <w:pPr>
        <w:pStyle w:val="Nadpis3"/>
        <w:spacing w:after="120"/>
        <w:jc w:val="both"/>
        <w:rPr>
          <w:rFonts w:cs="Arial"/>
        </w:rPr>
      </w:pPr>
      <w:bookmarkStart w:id="95" w:name="_Toc466914545"/>
      <w:r w:rsidRPr="008E1ACB">
        <w:rPr>
          <w:rFonts w:cs="Arial"/>
        </w:rPr>
        <w:t>3.7.1 Dosiahnutie cieľov a analýza dosiahnutého pokroku</w:t>
      </w:r>
      <w:bookmarkEnd w:id="95"/>
    </w:p>
    <w:p w14:paraId="6C91F8A3" w14:textId="0918EF86" w:rsidR="00945C88" w:rsidRPr="00E21C60" w:rsidRDefault="00945C88" w:rsidP="00123376">
      <w:pPr>
        <w:spacing w:before="120" w:after="120"/>
        <w:jc w:val="both"/>
        <w:rPr>
          <w:rFonts w:ascii="Arial" w:hAnsi="Arial" w:cs="Arial"/>
          <w:sz w:val="20"/>
          <w:szCs w:val="20"/>
        </w:rPr>
      </w:pPr>
      <w:r w:rsidRPr="00E21C60">
        <w:rPr>
          <w:rFonts w:ascii="Arial" w:hAnsi="Arial" w:cs="Arial"/>
          <w:sz w:val="20"/>
          <w:szCs w:val="20"/>
        </w:rPr>
        <w:t xml:space="preserve">Cieľom prioritnej osi </w:t>
      </w:r>
      <w:r w:rsidR="00B540A4">
        <w:rPr>
          <w:rFonts w:ascii="Arial" w:hAnsi="Arial" w:cs="Arial"/>
          <w:sz w:val="20"/>
          <w:szCs w:val="20"/>
        </w:rPr>
        <w:t xml:space="preserve">7 </w:t>
      </w:r>
      <w:r w:rsidR="00BD6AD5">
        <w:rPr>
          <w:rFonts w:ascii="Arial" w:hAnsi="Arial" w:cs="Arial"/>
          <w:sz w:val="20"/>
          <w:szCs w:val="20"/>
        </w:rPr>
        <w:t>bolo</w:t>
      </w:r>
      <w:r w:rsidRPr="00E21C60">
        <w:rPr>
          <w:rFonts w:ascii="Arial" w:hAnsi="Arial" w:cs="Arial"/>
          <w:sz w:val="20"/>
          <w:szCs w:val="20"/>
        </w:rPr>
        <w:t xml:space="preserve"> zabezpečenie prevencie a zníženie rizika ohrozenia obyvateľstva povodňami a vzniku povodňových škôd.</w:t>
      </w:r>
    </w:p>
    <w:p w14:paraId="36FC7F33" w14:textId="77777777" w:rsidR="002416B1" w:rsidRPr="00E21C60" w:rsidRDefault="002416B1" w:rsidP="00123376">
      <w:pPr>
        <w:pStyle w:val="Nadpis8"/>
        <w:spacing w:after="120"/>
        <w:jc w:val="both"/>
        <w:rPr>
          <w:rFonts w:ascii="Arial" w:hAnsi="Arial" w:cs="Arial"/>
          <w:b/>
          <w:sz w:val="22"/>
          <w:szCs w:val="22"/>
        </w:rPr>
      </w:pPr>
      <w:r w:rsidRPr="00E21C60">
        <w:rPr>
          <w:rFonts w:ascii="Arial" w:hAnsi="Arial" w:cs="Arial"/>
          <w:b/>
          <w:sz w:val="22"/>
          <w:szCs w:val="22"/>
        </w:rPr>
        <w:t>3.7.1.1 Stav fyzického pokroku prioritnej osi 7</w:t>
      </w:r>
    </w:p>
    <w:p w14:paraId="0FA89648" w14:textId="0D12A49D" w:rsidR="00AA4037" w:rsidRPr="00E21C60" w:rsidRDefault="002416B1" w:rsidP="00123376">
      <w:pPr>
        <w:autoSpaceDE w:val="0"/>
        <w:autoSpaceDN w:val="0"/>
        <w:adjustRightInd w:val="0"/>
        <w:spacing w:before="120" w:after="120"/>
        <w:jc w:val="both"/>
        <w:rPr>
          <w:rFonts w:ascii="Arial" w:hAnsi="Arial" w:cs="Arial"/>
          <w:sz w:val="20"/>
          <w:szCs w:val="20"/>
        </w:rPr>
      </w:pPr>
      <w:r w:rsidRPr="00E21C60">
        <w:rPr>
          <w:rFonts w:ascii="Arial" w:hAnsi="Arial" w:cs="Arial"/>
          <w:sz w:val="20"/>
          <w:szCs w:val="20"/>
        </w:rPr>
        <w:t xml:space="preserve">Prioritná os 7 </w:t>
      </w:r>
      <w:r w:rsidR="00BD6AD5">
        <w:rPr>
          <w:rFonts w:ascii="Arial" w:hAnsi="Arial" w:cs="Arial"/>
          <w:sz w:val="20"/>
          <w:szCs w:val="20"/>
        </w:rPr>
        <w:t xml:space="preserve">bola </w:t>
      </w:r>
      <w:r w:rsidRPr="00E21C60">
        <w:rPr>
          <w:rFonts w:ascii="Arial" w:hAnsi="Arial" w:cs="Arial"/>
          <w:sz w:val="20"/>
          <w:szCs w:val="20"/>
        </w:rPr>
        <w:t xml:space="preserve">financovaná z Európskeho fondu regionálneho rozvoja a svojou alokáciou </w:t>
      </w:r>
      <w:r w:rsidR="00BD6AD5">
        <w:rPr>
          <w:rFonts w:ascii="Arial" w:hAnsi="Arial" w:cs="Arial"/>
          <w:sz w:val="20"/>
          <w:szCs w:val="20"/>
        </w:rPr>
        <w:t>tvorila</w:t>
      </w:r>
      <w:r w:rsidRPr="00E21C60">
        <w:rPr>
          <w:rFonts w:ascii="Arial" w:hAnsi="Arial" w:cs="Arial"/>
          <w:sz w:val="20"/>
          <w:szCs w:val="20"/>
        </w:rPr>
        <w:t xml:space="preserve"> 1,1</w:t>
      </w:r>
      <w:r w:rsidR="00F57B50">
        <w:rPr>
          <w:rFonts w:ascii="Arial" w:hAnsi="Arial" w:cs="Arial"/>
          <w:sz w:val="20"/>
          <w:szCs w:val="20"/>
        </w:rPr>
        <w:t> </w:t>
      </w:r>
      <w:r w:rsidRPr="00E21C60">
        <w:rPr>
          <w:rFonts w:ascii="Arial" w:hAnsi="Arial" w:cs="Arial"/>
          <w:sz w:val="20"/>
          <w:szCs w:val="20"/>
        </w:rPr>
        <w:t xml:space="preserve">% celkovej alokácie na </w:t>
      </w:r>
      <w:r w:rsidR="00BD6AD5">
        <w:rPr>
          <w:rFonts w:ascii="Arial" w:hAnsi="Arial" w:cs="Arial"/>
          <w:sz w:val="20"/>
          <w:szCs w:val="20"/>
        </w:rPr>
        <w:t>OP ŽP</w:t>
      </w:r>
      <w:r w:rsidR="00A62D79">
        <w:rPr>
          <w:rFonts w:ascii="Arial" w:hAnsi="Arial" w:cs="Arial"/>
          <w:sz w:val="20"/>
          <w:szCs w:val="20"/>
        </w:rPr>
        <w:t xml:space="preserve"> </w:t>
      </w:r>
      <w:r w:rsidR="00A62D79" w:rsidRPr="00A100A1">
        <w:rPr>
          <w:rFonts w:ascii="Arial" w:hAnsi="Arial" w:cs="Arial"/>
          <w:sz w:val="20"/>
          <w:szCs w:val="20"/>
        </w:rPr>
        <w:t>(</w:t>
      </w:r>
      <w:r w:rsidR="00A62D79" w:rsidRPr="00A62D79">
        <w:rPr>
          <w:rFonts w:ascii="Arial" w:hAnsi="Arial" w:cs="Arial"/>
          <w:sz w:val="20"/>
          <w:szCs w:val="20"/>
        </w:rPr>
        <w:t>po revízi</w:t>
      </w:r>
      <w:r w:rsidR="00A62D79">
        <w:rPr>
          <w:rFonts w:ascii="Arial" w:hAnsi="Arial" w:cs="Arial"/>
          <w:sz w:val="20"/>
          <w:szCs w:val="20"/>
        </w:rPr>
        <w:t>i</w:t>
      </w:r>
      <w:r w:rsidR="00A62D79" w:rsidRPr="00A62D79">
        <w:rPr>
          <w:rFonts w:ascii="Arial" w:hAnsi="Arial" w:cs="Arial"/>
          <w:sz w:val="20"/>
          <w:szCs w:val="20"/>
        </w:rPr>
        <w:t xml:space="preserve"> OP ŽP na verziu 5.0)</w:t>
      </w:r>
      <w:r w:rsidRPr="00E21C60">
        <w:rPr>
          <w:rFonts w:ascii="Arial" w:hAnsi="Arial" w:cs="Arial"/>
          <w:sz w:val="20"/>
          <w:szCs w:val="20"/>
        </w:rPr>
        <w:t>.</w:t>
      </w:r>
      <w:r w:rsidR="00E75B4E" w:rsidRPr="00E21C60">
        <w:rPr>
          <w:rFonts w:ascii="Arial" w:hAnsi="Arial" w:cs="Arial"/>
          <w:sz w:val="20"/>
          <w:szCs w:val="20"/>
        </w:rPr>
        <w:t xml:space="preserve"> </w:t>
      </w:r>
    </w:p>
    <w:p w14:paraId="0BC3EFCE" w14:textId="1CF24534" w:rsidR="00762301" w:rsidRPr="00762301" w:rsidRDefault="00762301" w:rsidP="00762301">
      <w:pPr>
        <w:autoSpaceDE w:val="0"/>
        <w:autoSpaceDN w:val="0"/>
        <w:adjustRightInd w:val="0"/>
        <w:spacing w:before="120" w:after="120"/>
        <w:jc w:val="both"/>
        <w:rPr>
          <w:rFonts w:ascii="Arial" w:hAnsi="Arial" w:cs="Arial"/>
          <w:bCs/>
          <w:sz w:val="20"/>
          <w:szCs w:val="20"/>
        </w:rPr>
      </w:pPr>
      <w:r w:rsidRPr="00762301">
        <w:rPr>
          <w:rFonts w:ascii="Arial" w:hAnsi="Arial" w:cs="Arial"/>
          <w:sz w:val="20"/>
          <w:szCs w:val="20"/>
        </w:rPr>
        <w:lastRenderedPageBreak/>
        <w:t xml:space="preserve">V roku 2015 nebola v rámci tejto prioritnej osi vyhlásená žiadna výzva. </w:t>
      </w:r>
      <w:r w:rsidRPr="00762301">
        <w:rPr>
          <w:rFonts w:ascii="Arial" w:hAnsi="Arial" w:cs="Arial"/>
          <w:bCs/>
          <w:sz w:val="20"/>
          <w:szCs w:val="20"/>
        </w:rPr>
        <w:t>S cieľom zabezpečiť komplexnú ochranu územia SR pred povodňami bola v rámci prioritnej osi 7 vyhlásená jedna výzva s kódom OPŽP-PO7-12-1 a to v roku 2012 (</w:t>
      </w:r>
      <w:r w:rsidRPr="00762301">
        <w:rPr>
          <w:rFonts w:ascii="Arial" w:hAnsi="Arial" w:cs="Arial"/>
          <w:sz w:val="20"/>
          <w:szCs w:val="20"/>
        </w:rPr>
        <w:t xml:space="preserve">dňa 31. 10. 2012 </w:t>
      </w:r>
      <w:r w:rsidRPr="00762301">
        <w:rPr>
          <w:rFonts w:ascii="Arial" w:hAnsi="Arial" w:cs="Arial"/>
          <w:bCs/>
          <w:sz w:val="20"/>
          <w:szCs w:val="20"/>
        </w:rPr>
        <w:t>s termínom uzavretia 31.</w:t>
      </w:r>
      <w:r w:rsidR="00AF4DE9">
        <w:rPr>
          <w:rFonts w:ascii="Arial" w:hAnsi="Arial" w:cs="Arial"/>
          <w:bCs/>
          <w:sz w:val="20"/>
          <w:szCs w:val="20"/>
        </w:rPr>
        <w:t xml:space="preserve"> </w:t>
      </w:r>
      <w:r w:rsidRPr="00762301">
        <w:rPr>
          <w:rFonts w:ascii="Arial" w:hAnsi="Arial" w:cs="Arial"/>
          <w:bCs/>
          <w:sz w:val="20"/>
          <w:szCs w:val="20"/>
        </w:rPr>
        <w:t>07.</w:t>
      </w:r>
      <w:r w:rsidR="00AF4DE9">
        <w:rPr>
          <w:rFonts w:ascii="Arial" w:hAnsi="Arial" w:cs="Arial"/>
          <w:bCs/>
          <w:sz w:val="20"/>
          <w:szCs w:val="20"/>
        </w:rPr>
        <w:t xml:space="preserve"> </w:t>
      </w:r>
      <w:r w:rsidRPr="00762301">
        <w:rPr>
          <w:rFonts w:ascii="Arial" w:hAnsi="Arial" w:cs="Arial"/>
          <w:bCs/>
          <w:sz w:val="20"/>
          <w:szCs w:val="20"/>
        </w:rPr>
        <w:t xml:space="preserve">2013). </w:t>
      </w:r>
    </w:p>
    <w:p w14:paraId="76D3684E" w14:textId="77777777" w:rsidR="00762301" w:rsidRPr="00762301" w:rsidRDefault="00762301" w:rsidP="00762301">
      <w:pPr>
        <w:autoSpaceDE w:val="0"/>
        <w:autoSpaceDN w:val="0"/>
        <w:adjustRightInd w:val="0"/>
        <w:spacing w:before="120" w:after="120"/>
        <w:jc w:val="both"/>
        <w:rPr>
          <w:rFonts w:ascii="Arial" w:hAnsi="Arial" w:cs="Arial"/>
          <w:sz w:val="20"/>
          <w:szCs w:val="20"/>
        </w:rPr>
      </w:pPr>
      <w:r w:rsidRPr="00762301">
        <w:rPr>
          <w:rFonts w:ascii="Arial" w:hAnsi="Arial" w:cs="Arial"/>
          <w:bCs/>
          <w:sz w:val="20"/>
          <w:szCs w:val="20"/>
        </w:rPr>
        <w:t>V rámci výzvy bola predložená 1 žiadosť o NFP, pričom táto žiadosť bola aj schválená. Predmetom výzvy ako aj implementácie PO 7 bola realizácia projektu povodňového varovného a predpovedného systému (ďalej len „projekt POVAPSYS“) na území SR.</w:t>
      </w:r>
    </w:p>
    <w:p w14:paraId="27557A90" w14:textId="18CAB7B5" w:rsidR="00762301" w:rsidRDefault="00762301" w:rsidP="00123376">
      <w:pPr>
        <w:rPr>
          <w:rFonts w:ascii="Arial" w:hAnsi="Arial" w:cs="Arial"/>
          <w:sz w:val="20"/>
          <w:szCs w:val="20"/>
        </w:rPr>
      </w:pPr>
    </w:p>
    <w:p w14:paraId="1ACA6DDD" w14:textId="0E20FABE" w:rsidR="002416B1" w:rsidRPr="00E21C60" w:rsidRDefault="002416B1" w:rsidP="00123376">
      <w:pPr>
        <w:rPr>
          <w:rFonts w:ascii="Arial" w:hAnsi="Arial" w:cs="Arial"/>
          <w:sz w:val="20"/>
          <w:szCs w:val="20"/>
        </w:rPr>
      </w:pPr>
      <w:r w:rsidRPr="00E21C60">
        <w:rPr>
          <w:rFonts w:ascii="Arial" w:hAnsi="Arial" w:cs="Arial"/>
          <w:sz w:val="20"/>
          <w:szCs w:val="20"/>
        </w:rPr>
        <w:t>Tab</w:t>
      </w:r>
      <w:r w:rsidR="00374977" w:rsidRPr="00E21C60">
        <w:rPr>
          <w:rFonts w:ascii="Arial" w:hAnsi="Arial" w:cs="Arial"/>
          <w:sz w:val="20"/>
          <w:szCs w:val="20"/>
        </w:rPr>
        <w:t>uľka</w:t>
      </w:r>
      <w:r w:rsidRPr="00E21C60">
        <w:rPr>
          <w:rFonts w:ascii="Arial" w:hAnsi="Arial" w:cs="Arial"/>
          <w:sz w:val="20"/>
          <w:szCs w:val="20"/>
        </w:rPr>
        <w:t xml:space="preserve"> č. </w:t>
      </w:r>
      <w:r w:rsidR="007B1CB9">
        <w:rPr>
          <w:rFonts w:ascii="Arial" w:hAnsi="Arial" w:cs="Arial"/>
          <w:sz w:val="20"/>
          <w:szCs w:val="20"/>
        </w:rPr>
        <w:t>70</w:t>
      </w:r>
      <w:r w:rsidRPr="00E21C60">
        <w:rPr>
          <w:rFonts w:ascii="Arial" w:hAnsi="Arial" w:cs="Arial"/>
          <w:sz w:val="20"/>
          <w:szCs w:val="20"/>
        </w:rPr>
        <w:t xml:space="preserve">: </w:t>
      </w:r>
      <w:r w:rsidR="00BA5987" w:rsidRPr="00E21C60">
        <w:rPr>
          <w:rFonts w:ascii="Arial" w:hAnsi="Arial" w:cs="Arial"/>
          <w:sz w:val="20"/>
          <w:szCs w:val="20"/>
        </w:rPr>
        <w:t xml:space="preserve">Prehľad </w:t>
      </w:r>
      <w:r w:rsidRPr="00E21C60">
        <w:rPr>
          <w:rFonts w:ascii="Arial" w:hAnsi="Arial" w:cs="Arial"/>
          <w:sz w:val="20"/>
          <w:szCs w:val="20"/>
        </w:rPr>
        <w:t xml:space="preserve">výziev prioritnej osi 7 </w:t>
      </w:r>
      <w:r w:rsidR="00BB53AB" w:rsidRPr="00E21C60">
        <w:rPr>
          <w:rFonts w:ascii="Arial" w:hAnsi="Arial" w:cs="Arial"/>
          <w:sz w:val="20"/>
          <w:szCs w:val="20"/>
        </w:rPr>
        <w:t>od</w:t>
      </w:r>
      <w:r w:rsidRPr="00E21C60">
        <w:rPr>
          <w:rFonts w:ascii="Arial" w:hAnsi="Arial" w:cs="Arial"/>
          <w:sz w:val="20"/>
          <w:szCs w:val="20"/>
        </w:rPr>
        <w:t xml:space="preserve"> 01.01.</w:t>
      </w:r>
      <w:r w:rsidR="00D57554" w:rsidRPr="00E21C60">
        <w:rPr>
          <w:rFonts w:ascii="Arial" w:hAnsi="Arial" w:cs="Arial"/>
          <w:sz w:val="20"/>
          <w:szCs w:val="20"/>
        </w:rPr>
        <w:t>201</w:t>
      </w:r>
      <w:r w:rsidR="00D57554">
        <w:rPr>
          <w:rFonts w:ascii="Arial" w:hAnsi="Arial" w:cs="Arial"/>
          <w:sz w:val="20"/>
          <w:szCs w:val="20"/>
        </w:rPr>
        <w:t>5</w:t>
      </w:r>
      <w:r w:rsidR="00D57554" w:rsidRPr="00E21C60">
        <w:rPr>
          <w:rFonts w:ascii="Arial" w:hAnsi="Arial" w:cs="Arial"/>
          <w:sz w:val="20"/>
          <w:szCs w:val="20"/>
        </w:rPr>
        <w:t xml:space="preserve"> </w:t>
      </w:r>
      <w:r w:rsidR="00BB53AB" w:rsidRPr="00E21C60">
        <w:rPr>
          <w:rFonts w:ascii="Arial" w:hAnsi="Arial" w:cs="Arial"/>
          <w:sz w:val="20"/>
          <w:szCs w:val="20"/>
        </w:rPr>
        <w:t>do</w:t>
      </w:r>
      <w:r w:rsidRPr="00E21C60">
        <w:rPr>
          <w:rFonts w:ascii="Arial" w:hAnsi="Arial" w:cs="Arial"/>
          <w:sz w:val="20"/>
          <w:szCs w:val="20"/>
        </w:rPr>
        <w:t xml:space="preserve"> 31.12.</w:t>
      </w:r>
      <w:r w:rsidR="00D57554" w:rsidRPr="00E21C60">
        <w:rPr>
          <w:rFonts w:ascii="Arial" w:hAnsi="Arial" w:cs="Arial"/>
          <w:sz w:val="20"/>
          <w:szCs w:val="20"/>
        </w:rPr>
        <w:t>201</w:t>
      </w:r>
      <w:r w:rsidR="00D57554">
        <w:rPr>
          <w:rFonts w:ascii="Arial" w:hAnsi="Arial" w:cs="Arial"/>
          <w:sz w:val="20"/>
          <w:szCs w:val="20"/>
        </w:rPr>
        <w:t>5</w:t>
      </w:r>
    </w:p>
    <w:tbl>
      <w:tblPr>
        <w:tblW w:w="9080" w:type="dxa"/>
        <w:tblInd w:w="55" w:type="dxa"/>
        <w:tblCellMar>
          <w:left w:w="70" w:type="dxa"/>
          <w:right w:w="70" w:type="dxa"/>
        </w:tblCellMar>
        <w:tblLook w:val="04A0" w:firstRow="1" w:lastRow="0" w:firstColumn="1" w:lastColumn="0" w:noHBand="0" w:noVBand="1"/>
      </w:tblPr>
      <w:tblGrid>
        <w:gridCol w:w="1560"/>
        <w:gridCol w:w="1880"/>
        <w:gridCol w:w="1880"/>
        <w:gridCol w:w="1880"/>
        <w:gridCol w:w="1880"/>
      </w:tblGrid>
      <w:tr w:rsidR="00697062" w:rsidRPr="00E21C60" w14:paraId="7538B676" w14:textId="77777777" w:rsidTr="007D7B08">
        <w:trPr>
          <w:trHeight w:val="690"/>
        </w:trPr>
        <w:tc>
          <w:tcPr>
            <w:tcW w:w="1560" w:type="dxa"/>
            <w:tcBorders>
              <w:top w:val="single" w:sz="8" w:space="0" w:color="auto"/>
              <w:left w:val="single" w:sz="8" w:space="0" w:color="auto"/>
              <w:bottom w:val="single" w:sz="8" w:space="0" w:color="auto"/>
              <w:right w:val="single" w:sz="8" w:space="0" w:color="auto"/>
            </w:tcBorders>
            <w:shd w:val="clear" w:color="auto" w:fill="C2D69B" w:themeFill="accent3" w:themeFillTint="99"/>
            <w:vAlign w:val="center"/>
            <w:hideMark/>
          </w:tcPr>
          <w:p w14:paraId="62E5746D" w14:textId="77777777" w:rsidR="00697062" w:rsidRPr="00E21C60" w:rsidRDefault="00697062">
            <w:pPr>
              <w:jc w:val="center"/>
              <w:rPr>
                <w:rFonts w:ascii="Arial" w:hAnsi="Arial" w:cs="Arial"/>
                <w:b/>
                <w:bCs/>
                <w:color w:val="000000"/>
                <w:sz w:val="16"/>
                <w:szCs w:val="16"/>
              </w:rPr>
            </w:pPr>
            <w:r w:rsidRPr="00E21C60">
              <w:rPr>
                <w:rFonts w:ascii="Arial" w:hAnsi="Arial" w:cs="Arial"/>
                <w:b/>
                <w:bCs/>
                <w:color w:val="000000"/>
                <w:sz w:val="16"/>
                <w:szCs w:val="16"/>
              </w:rPr>
              <w:t>Opatrenie</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7B05BD5" w14:textId="77777777" w:rsidR="00697062" w:rsidRPr="00E21C60" w:rsidRDefault="00697062">
            <w:pPr>
              <w:jc w:val="center"/>
              <w:rPr>
                <w:rFonts w:ascii="Arial" w:hAnsi="Arial" w:cs="Arial"/>
                <w:b/>
                <w:bCs/>
                <w:color w:val="000000"/>
                <w:sz w:val="16"/>
                <w:szCs w:val="16"/>
              </w:rPr>
            </w:pPr>
            <w:r w:rsidRPr="00E21C60">
              <w:rPr>
                <w:rFonts w:ascii="Arial" w:hAnsi="Arial" w:cs="Arial"/>
                <w:b/>
                <w:bCs/>
                <w:color w:val="000000"/>
                <w:sz w:val="16"/>
                <w:szCs w:val="16"/>
              </w:rPr>
              <w:t>Typ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63BFB2DF" w14:textId="77777777" w:rsidR="00697062" w:rsidRPr="00E21C60" w:rsidRDefault="00697062">
            <w:pPr>
              <w:jc w:val="center"/>
              <w:rPr>
                <w:rFonts w:ascii="Arial" w:hAnsi="Arial" w:cs="Arial"/>
                <w:b/>
                <w:bCs/>
                <w:color w:val="000000"/>
                <w:sz w:val="16"/>
                <w:szCs w:val="16"/>
              </w:rPr>
            </w:pPr>
            <w:r w:rsidRPr="00E21C60">
              <w:rPr>
                <w:rFonts w:ascii="Arial" w:hAnsi="Arial" w:cs="Arial"/>
                <w:b/>
                <w:bCs/>
                <w:color w:val="000000"/>
                <w:sz w:val="16"/>
                <w:szCs w:val="16"/>
              </w:rPr>
              <w:t>Dátum vyhlásenia výzvy</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4C3E1391" w14:textId="77777777" w:rsidR="00697062" w:rsidRPr="00E21C60" w:rsidRDefault="00697062">
            <w:pPr>
              <w:jc w:val="center"/>
              <w:rPr>
                <w:rFonts w:ascii="Arial" w:hAnsi="Arial" w:cs="Arial"/>
                <w:b/>
                <w:bCs/>
                <w:color w:val="000000"/>
                <w:sz w:val="16"/>
                <w:szCs w:val="16"/>
              </w:rPr>
            </w:pPr>
            <w:r w:rsidRPr="00E21C60">
              <w:rPr>
                <w:rFonts w:ascii="Arial" w:hAnsi="Arial" w:cs="Arial"/>
                <w:b/>
                <w:bCs/>
                <w:color w:val="000000"/>
                <w:sz w:val="16"/>
                <w:szCs w:val="16"/>
              </w:rPr>
              <w:t xml:space="preserve">Dátum uzávierky prijímania žiadostí </w:t>
            </w:r>
            <w:r w:rsidRPr="00E21C60">
              <w:rPr>
                <w:rFonts w:ascii="Arial" w:hAnsi="Arial" w:cs="Arial"/>
                <w:b/>
                <w:bCs/>
                <w:color w:val="000000"/>
                <w:sz w:val="16"/>
                <w:szCs w:val="16"/>
              </w:rPr>
              <w:br/>
              <w:t>o NFP</w:t>
            </w:r>
          </w:p>
        </w:tc>
        <w:tc>
          <w:tcPr>
            <w:tcW w:w="188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4817380" w14:textId="77777777" w:rsidR="00697062" w:rsidRPr="00E21C60" w:rsidRDefault="00697062">
            <w:pPr>
              <w:jc w:val="center"/>
              <w:rPr>
                <w:rFonts w:ascii="Arial" w:hAnsi="Arial" w:cs="Arial"/>
                <w:b/>
                <w:bCs/>
                <w:color w:val="000000"/>
                <w:sz w:val="16"/>
                <w:szCs w:val="16"/>
              </w:rPr>
            </w:pPr>
            <w:r w:rsidRPr="00E21C60">
              <w:rPr>
                <w:rFonts w:ascii="Arial" w:hAnsi="Arial" w:cs="Arial"/>
                <w:b/>
                <w:bCs/>
                <w:color w:val="000000"/>
                <w:sz w:val="16"/>
                <w:szCs w:val="16"/>
              </w:rPr>
              <w:t>Alokácia FP na výzvu (</w:t>
            </w:r>
            <w:r w:rsidR="00C87F8D">
              <w:rPr>
                <w:rFonts w:ascii="Arial" w:hAnsi="Arial" w:cs="Arial"/>
                <w:b/>
                <w:bCs/>
                <w:color w:val="000000"/>
                <w:sz w:val="16"/>
                <w:szCs w:val="16"/>
              </w:rPr>
              <w:t>EÚ zdroje</w:t>
            </w:r>
            <w:r w:rsidRPr="00E21C60">
              <w:rPr>
                <w:rFonts w:ascii="Arial" w:hAnsi="Arial" w:cs="Arial"/>
                <w:b/>
                <w:bCs/>
                <w:color w:val="000000"/>
                <w:sz w:val="16"/>
                <w:szCs w:val="16"/>
              </w:rPr>
              <w:t>) v €</w:t>
            </w:r>
          </w:p>
        </w:tc>
      </w:tr>
      <w:tr w:rsidR="00697062" w:rsidRPr="00E21C60" w14:paraId="41617333" w14:textId="77777777" w:rsidTr="00697062">
        <w:trPr>
          <w:trHeight w:val="315"/>
        </w:trPr>
        <w:tc>
          <w:tcPr>
            <w:tcW w:w="1560" w:type="dxa"/>
            <w:tcBorders>
              <w:top w:val="nil"/>
              <w:left w:val="single" w:sz="8" w:space="0" w:color="auto"/>
              <w:bottom w:val="single" w:sz="8" w:space="0" w:color="auto"/>
              <w:right w:val="single" w:sz="8" w:space="0" w:color="auto"/>
            </w:tcBorders>
            <w:shd w:val="clear" w:color="auto" w:fill="auto"/>
            <w:noWrap/>
            <w:vAlign w:val="center"/>
            <w:hideMark/>
          </w:tcPr>
          <w:p w14:paraId="1BBCB937" w14:textId="77777777" w:rsidR="00697062" w:rsidRPr="00E21C60" w:rsidRDefault="00697062">
            <w:pPr>
              <w:jc w:val="center"/>
              <w:rPr>
                <w:rFonts w:ascii="Arial" w:hAnsi="Arial" w:cs="Arial"/>
                <w:color w:val="000000"/>
                <w:sz w:val="16"/>
                <w:szCs w:val="16"/>
              </w:rPr>
            </w:pPr>
            <w:r w:rsidRPr="00E21C60">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321A3FA2" w14:textId="77777777" w:rsidR="00697062" w:rsidRPr="00E21C60" w:rsidRDefault="00697062">
            <w:pPr>
              <w:jc w:val="center"/>
              <w:rPr>
                <w:rFonts w:ascii="Arial" w:hAnsi="Arial" w:cs="Arial"/>
                <w:color w:val="000000"/>
                <w:sz w:val="16"/>
                <w:szCs w:val="16"/>
              </w:rPr>
            </w:pPr>
            <w:r w:rsidRPr="00E21C60">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3407FCB9" w14:textId="77777777" w:rsidR="00697062" w:rsidRPr="00E21C60" w:rsidRDefault="00697062">
            <w:pPr>
              <w:jc w:val="center"/>
              <w:rPr>
                <w:rFonts w:ascii="Arial" w:hAnsi="Arial" w:cs="Arial"/>
                <w:color w:val="000000"/>
                <w:sz w:val="16"/>
                <w:szCs w:val="16"/>
              </w:rPr>
            </w:pPr>
            <w:r w:rsidRPr="00E21C60">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31771B00" w14:textId="77777777" w:rsidR="00697062" w:rsidRPr="00E21C60" w:rsidRDefault="00697062">
            <w:pPr>
              <w:jc w:val="center"/>
              <w:rPr>
                <w:rFonts w:ascii="Arial" w:hAnsi="Arial" w:cs="Arial"/>
                <w:color w:val="000000"/>
                <w:sz w:val="16"/>
                <w:szCs w:val="16"/>
              </w:rPr>
            </w:pPr>
            <w:r w:rsidRPr="00E21C60">
              <w:rPr>
                <w:rFonts w:ascii="Arial" w:hAnsi="Arial" w:cs="Arial"/>
                <w:color w:val="000000"/>
                <w:sz w:val="16"/>
                <w:szCs w:val="16"/>
              </w:rPr>
              <w:t>-</w:t>
            </w:r>
          </w:p>
        </w:tc>
        <w:tc>
          <w:tcPr>
            <w:tcW w:w="1880" w:type="dxa"/>
            <w:tcBorders>
              <w:top w:val="nil"/>
              <w:left w:val="nil"/>
              <w:bottom w:val="single" w:sz="8" w:space="0" w:color="auto"/>
              <w:right w:val="single" w:sz="8" w:space="0" w:color="auto"/>
            </w:tcBorders>
            <w:shd w:val="clear" w:color="auto" w:fill="auto"/>
            <w:noWrap/>
            <w:vAlign w:val="center"/>
            <w:hideMark/>
          </w:tcPr>
          <w:p w14:paraId="4153A804" w14:textId="77777777" w:rsidR="00697062" w:rsidRPr="00E21C60" w:rsidRDefault="00697062">
            <w:pPr>
              <w:jc w:val="center"/>
              <w:rPr>
                <w:rFonts w:ascii="Arial" w:hAnsi="Arial" w:cs="Arial"/>
                <w:color w:val="000000"/>
                <w:sz w:val="16"/>
                <w:szCs w:val="16"/>
              </w:rPr>
            </w:pPr>
            <w:r w:rsidRPr="00E21C60">
              <w:rPr>
                <w:rFonts w:ascii="Arial" w:hAnsi="Arial" w:cs="Arial"/>
                <w:color w:val="000000"/>
                <w:sz w:val="16"/>
                <w:szCs w:val="16"/>
              </w:rPr>
              <w:t>-</w:t>
            </w:r>
          </w:p>
        </w:tc>
      </w:tr>
      <w:tr w:rsidR="00697062" w:rsidRPr="00E21C60" w14:paraId="0406662C" w14:textId="77777777" w:rsidTr="00697062">
        <w:trPr>
          <w:trHeight w:val="315"/>
        </w:trPr>
        <w:tc>
          <w:tcPr>
            <w:tcW w:w="7200"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14:paraId="528D4BE2" w14:textId="77777777" w:rsidR="00697062" w:rsidRPr="00E21C60" w:rsidRDefault="00697062">
            <w:pPr>
              <w:rPr>
                <w:rFonts w:ascii="Arial" w:hAnsi="Arial" w:cs="Arial"/>
                <w:b/>
                <w:bCs/>
                <w:color w:val="000000"/>
                <w:sz w:val="16"/>
                <w:szCs w:val="16"/>
              </w:rPr>
            </w:pPr>
            <w:r w:rsidRPr="00E21C60">
              <w:rPr>
                <w:rFonts w:ascii="Arial" w:hAnsi="Arial" w:cs="Arial"/>
                <w:b/>
                <w:bCs/>
                <w:color w:val="000000"/>
                <w:sz w:val="16"/>
                <w:szCs w:val="16"/>
              </w:rPr>
              <w:t>Spolu za prioritu</w:t>
            </w:r>
          </w:p>
        </w:tc>
        <w:tc>
          <w:tcPr>
            <w:tcW w:w="1880" w:type="dxa"/>
            <w:tcBorders>
              <w:top w:val="nil"/>
              <w:left w:val="nil"/>
              <w:bottom w:val="single" w:sz="8" w:space="0" w:color="auto"/>
              <w:right w:val="single" w:sz="8" w:space="0" w:color="auto"/>
            </w:tcBorders>
            <w:shd w:val="clear" w:color="auto" w:fill="auto"/>
            <w:noWrap/>
            <w:vAlign w:val="center"/>
            <w:hideMark/>
          </w:tcPr>
          <w:p w14:paraId="11A50D92" w14:textId="77777777" w:rsidR="00697062" w:rsidRPr="00E21C60" w:rsidRDefault="00697062">
            <w:pPr>
              <w:jc w:val="center"/>
              <w:rPr>
                <w:rFonts w:ascii="Arial" w:hAnsi="Arial" w:cs="Arial"/>
                <w:color w:val="000000"/>
                <w:sz w:val="16"/>
                <w:szCs w:val="16"/>
              </w:rPr>
            </w:pPr>
            <w:r w:rsidRPr="00E21C60">
              <w:rPr>
                <w:rFonts w:ascii="Arial" w:hAnsi="Arial" w:cs="Arial"/>
                <w:color w:val="000000"/>
                <w:sz w:val="16"/>
                <w:szCs w:val="16"/>
              </w:rPr>
              <w:t>-</w:t>
            </w:r>
          </w:p>
        </w:tc>
      </w:tr>
    </w:tbl>
    <w:p w14:paraId="048A4815" w14:textId="77777777" w:rsidR="002416B1" w:rsidRDefault="00000CC9">
      <w:pPr>
        <w:rPr>
          <w:rFonts w:ascii="Arial" w:hAnsi="Arial" w:cs="Arial"/>
          <w:sz w:val="16"/>
          <w:szCs w:val="16"/>
        </w:rPr>
      </w:pPr>
      <w:r w:rsidRPr="00123376">
        <w:rPr>
          <w:rFonts w:ascii="Arial" w:hAnsi="Arial" w:cs="Arial"/>
          <w:sz w:val="16"/>
          <w:szCs w:val="16"/>
        </w:rPr>
        <w:t>Zdroj: RO, ITMS</w:t>
      </w:r>
    </w:p>
    <w:p w14:paraId="1A6DCE82" w14:textId="77777777" w:rsidR="001F3FF9" w:rsidRPr="00123376" w:rsidRDefault="001F3FF9">
      <w:pPr>
        <w:rPr>
          <w:rFonts w:ascii="Arial" w:hAnsi="Arial" w:cs="Arial"/>
          <w:sz w:val="16"/>
          <w:szCs w:val="16"/>
        </w:rPr>
      </w:pPr>
    </w:p>
    <w:p w14:paraId="47FBF38B" w14:textId="0C3E643C" w:rsidR="00614729" w:rsidRPr="008E1ACB" w:rsidRDefault="00614729" w:rsidP="00123376">
      <w:pPr>
        <w:spacing w:before="120"/>
        <w:jc w:val="both"/>
        <w:rPr>
          <w:rFonts w:cs="Arial"/>
        </w:rPr>
      </w:pPr>
      <w:r w:rsidRPr="00123376">
        <w:rPr>
          <w:rFonts w:ascii="Arial" w:hAnsi="Arial" w:cs="Arial"/>
          <w:sz w:val="20"/>
          <w:szCs w:val="20"/>
        </w:rPr>
        <w:t xml:space="preserve">Tabuľka č. </w:t>
      </w:r>
      <w:r w:rsidR="00670044" w:rsidRPr="00123376">
        <w:rPr>
          <w:rFonts w:ascii="Arial" w:hAnsi="Arial" w:cs="Arial"/>
          <w:sz w:val="20"/>
          <w:szCs w:val="20"/>
        </w:rPr>
        <w:t>7</w:t>
      </w:r>
      <w:r w:rsidR="007B1CB9">
        <w:rPr>
          <w:rFonts w:ascii="Arial" w:hAnsi="Arial" w:cs="Arial"/>
          <w:sz w:val="20"/>
          <w:szCs w:val="20"/>
        </w:rPr>
        <w:t>1</w:t>
      </w:r>
      <w:r w:rsidR="00670044" w:rsidRPr="00123376">
        <w:rPr>
          <w:rFonts w:ascii="Arial" w:hAnsi="Arial" w:cs="Arial"/>
          <w:sz w:val="20"/>
          <w:szCs w:val="20"/>
        </w:rPr>
        <w:t>a</w:t>
      </w:r>
      <w:r w:rsidRPr="00123376">
        <w:rPr>
          <w:rFonts w:ascii="Arial" w:hAnsi="Arial" w:cs="Arial"/>
          <w:sz w:val="20"/>
          <w:szCs w:val="20"/>
        </w:rPr>
        <w:t xml:space="preserve">: Sledovanie pokroku v implementácii prioritnej osi 7 k </w:t>
      </w:r>
      <w:r w:rsidR="00402945">
        <w:rPr>
          <w:rFonts w:ascii="Arial" w:hAnsi="Arial" w:cs="Arial"/>
          <w:sz w:val="20"/>
          <w:szCs w:val="20"/>
        </w:rPr>
        <w:t>31. 10. 2016</w:t>
      </w:r>
    </w:p>
    <w:tbl>
      <w:tblPr>
        <w:tblW w:w="9180" w:type="dxa"/>
        <w:tblInd w:w="55" w:type="dxa"/>
        <w:tblCellMar>
          <w:left w:w="70" w:type="dxa"/>
          <w:right w:w="70" w:type="dxa"/>
        </w:tblCellMar>
        <w:tblLook w:val="04A0" w:firstRow="1" w:lastRow="0" w:firstColumn="1" w:lastColumn="0" w:noHBand="0" w:noVBand="1"/>
      </w:tblPr>
      <w:tblGrid>
        <w:gridCol w:w="1880"/>
        <w:gridCol w:w="1460"/>
        <w:gridCol w:w="1460"/>
        <w:gridCol w:w="1460"/>
        <w:gridCol w:w="1460"/>
        <w:gridCol w:w="1460"/>
      </w:tblGrid>
      <w:tr w:rsidR="00614729" w:rsidRPr="00E21C60" w14:paraId="30EB2A79"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7BAF1E4" w14:textId="77777777" w:rsidR="00614729" w:rsidRPr="00E21C60" w:rsidRDefault="0079794E">
            <w:pPr>
              <w:jc w:val="center"/>
              <w:rPr>
                <w:rFonts w:ascii="Arial" w:hAnsi="Arial" w:cs="Arial"/>
                <w:b/>
                <w:bCs/>
                <w:color w:val="000000"/>
                <w:sz w:val="16"/>
                <w:szCs w:val="16"/>
              </w:rPr>
            </w:pPr>
            <w:r>
              <w:rPr>
                <w:rFonts w:ascii="Arial" w:hAnsi="Arial" w:cs="Arial"/>
                <w:b/>
                <w:bCs/>
                <w:color w:val="000000"/>
                <w:sz w:val="16"/>
                <w:szCs w:val="16"/>
              </w:rPr>
              <w:t>Prioritná</w:t>
            </w:r>
            <w:r w:rsidRPr="00E21C60">
              <w:rPr>
                <w:rFonts w:ascii="Arial" w:hAnsi="Arial" w:cs="Arial"/>
                <w:b/>
                <w:bCs/>
                <w:color w:val="000000"/>
                <w:sz w:val="16"/>
                <w:szCs w:val="16"/>
              </w:rPr>
              <w:t xml:space="preserve"> </w:t>
            </w:r>
            <w:r w:rsidR="00614729" w:rsidRPr="00E21C60">
              <w:rPr>
                <w:rFonts w:ascii="Arial" w:hAnsi="Arial" w:cs="Arial"/>
                <w:b/>
                <w:bCs/>
                <w:color w:val="000000"/>
                <w:sz w:val="16"/>
                <w:szCs w:val="16"/>
              </w:rPr>
              <w:t>téma</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9DE7BDD" w14:textId="77777777" w:rsidR="00614729" w:rsidRPr="00E21C60" w:rsidRDefault="00614729">
            <w:pPr>
              <w:jc w:val="center"/>
              <w:rPr>
                <w:rFonts w:ascii="Arial" w:hAnsi="Arial" w:cs="Arial"/>
                <w:b/>
                <w:bCs/>
                <w:color w:val="000000"/>
                <w:sz w:val="16"/>
                <w:szCs w:val="16"/>
              </w:rPr>
            </w:pPr>
            <w:r w:rsidRPr="00E21C60">
              <w:rPr>
                <w:rFonts w:ascii="Arial" w:hAnsi="Arial" w:cs="Arial"/>
                <w:b/>
                <w:bCs/>
                <w:color w:val="000000"/>
                <w:sz w:val="16"/>
                <w:szCs w:val="16"/>
              </w:rPr>
              <w:t>Počet prijatých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742A46C" w14:textId="77777777" w:rsidR="00614729" w:rsidRPr="00E21C60" w:rsidRDefault="00614729">
            <w:pPr>
              <w:jc w:val="center"/>
              <w:rPr>
                <w:rFonts w:ascii="Arial" w:hAnsi="Arial" w:cs="Arial"/>
                <w:b/>
                <w:bCs/>
                <w:color w:val="000000"/>
                <w:sz w:val="16"/>
                <w:szCs w:val="16"/>
              </w:rPr>
            </w:pPr>
            <w:r w:rsidRPr="00E21C60">
              <w:rPr>
                <w:rFonts w:ascii="Arial" w:hAnsi="Arial" w:cs="Arial"/>
                <w:b/>
                <w:bCs/>
                <w:color w:val="000000"/>
                <w:sz w:val="16"/>
                <w:szCs w:val="16"/>
              </w:rPr>
              <w:t>Počet schválených ŽoNFP</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2AACCF4" w14:textId="77777777" w:rsidR="00614729" w:rsidRPr="00E21C60" w:rsidRDefault="00614729">
            <w:pPr>
              <w:jc w:val="center"/>
              <w:rPr>
                <w:rFonts w:ascii="Arial" w:hAnsi="Arial" w:cs="Arial"/>
                <w:b/>
                <w:bCs/>
                <w:color w:val="000000"/>
                <w:sz w:val="16"/>
                <w:szCs w:val="16"/>
              </w:rPr>
            </w:pPr>
            <w:r w:rsidRPr="00E21C60">
              <w:rPr>
                <w:rFonts w:ascii="Arial" w:hAnsi="Arial" w:cs="Arial"/>
                <w:b/>
                <w:bCs/>
                <w:color w:val="000000"/>
                <w:sz w:val="16"/>
                <w:szCs w:val="16"/>
              </w:rPr>
              <w:t>Počet zazmluvnených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D858115" w14:textId="77777777" w:rsidR="00614729" w:rsidRPr="00E21C60" w:rsidRDefault="00614729">
            <w:pPr>
              <w:jc w:val="center"/>
              <w:rPr>
                <w:rFonts w:ascii="Arial" w:hAnsi="Arial" w:cs="Arial"/>
                <w:b/>
                <w:bCs/>
                <w:color w:val="000000"/>
                <w:sz w:val="16"/>
                <w:szCs w:val="16"/>
              </w:rPr>
            </w:pPr>
            <w:r w:rsidRPr="00E21C60">
              <w:rPr>
                <w:rFonts w:ascii="Arial" w:hAnsi="Arial" w:cs="Arial"/>
                <w:b/>
                <w:bCs/>
                <w:color w:val="000000"/>
                <w:sz w:val="16"/>
                <w:szCs w:val="16"/>
              </w:rPr>
              <w:t>Počet riadne ukončených projektov</w:t>
            </w:r>
          </w:p>
        </w:tc>
        <w:tc>
          <w:tcPr>
            <w:tcW w:w="14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5B5F7AC" w14:textId="77777777" w:rsidR="00614729" w:rsidRPr="00E21C60" w:rsidRDefault="00614729">
            <w:pPr>
              <w:jc w:val="center"/>
              <w:rPr>
                <w:rFonts w:ascii="Arial" w:hAnsi="Arial" w:cs="Arial"/>
                <w:b/>
                <w:bCs/>
                <w:color w:val="000000"/>
                <w:sz w:val="16"/>
                <w:szCs w:val="16"/>
              </w:rPr>
            </w:pPr>
            <w:r w:rsidRPr="00E21C60">
              <w:rPr>
                <w:rFonts w:ascii="Arial" w:hAnsi="Arial" w:cs="Arial"/>
                <w:b/>
                <w:bCs/>
                <w:color w:val="000000"/>
                <w:sz w:val="16"/>
                <w:szCs w:val="16"/>
              </w:rPr>
              <w:t>Počet mimoriadne ukončených projektov</w:t>
            </w:r>
          </w:p>
        </w:tc>
      </w:tr>
      <w:tr w:rsidR="00614729" w:rsidRPr="00E21C60" w14:paraId="67E8459A" w14:textId="77777777" w:rsidTr="00614729">
        <w:trPr>
          <w:trHeight w:val="18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48C92525" w14:textId="77777777" w:rsidR="00614729" w:rsidRPr="00E21C60" w:rsidRDefault="00614729">
            <w:pPr>
              <w:rPr>
                <w:rFonts w:ascii="Arial" w:hAnsi="Arial" w:cs="Arial"/>
                <w:color w:val="000000"/>
                <w:sz w:val="16"/>
                <w:szCs w:val="16"/>
              </w:rPr>
            </w:pPr>
            <w:r w:rsidRPr="00E21C60">
              <w:rPr>
                <w:rFonts w:ascii="Arial" w:hAnsi="Arial" w:cs="Arial"/>
                <w:color w:val="000000"/>
                <w:sz w:val="16"/>
                <w:szCs w:val="16"/>
              </w:rPr>
              <w:t xml:space="preserve">53 - Predchádzanie rizikám (vrátane návrhu a realizácie plánov </w:t>
            </w:r>
          </w:p>
          <w:p w14:paraId="67A2D754" w14:textId="77777777" w:rsidR="00614729" w:rsidRPr="00E21C60" w:rsidRDefault="00614729">
            <w:pPr>
              <w:rPr>
                <w:rFonts w:ascii="Arial" w:hAnsi="Arial" w:cs="Arial"/>
                <w:color w:val="000000"/>
                <w:sz w:val="16"/>
                <w:szCs w:val="16"/>
              </w:rPr>
            </w:pPr>
            <w:r w:rsidRPr="00E21C60">
              <w:rPr>
                <w:rFonts w:ascii="Arial" w:hAnsi="Arial" w:cs="Arial"/>
                <w:color w:val="000000"/>
                <w:sz w:val="16"/>
                <w:szCs w:val="16"/>
              </w:rPr>
              <w:t xml:space="preserve">a opatrení na predchádzanie prírodným </w:t>
            </w:r>
          </w:p>
          <w:p w14:paraId="6D2B9804" w14:textId="77777777" w:rsidR="00614729" w:rsidRPr="00E21C60" w:rsidRDefault="00614729">
            <w:pPr>
              <w:rPr>
                <w:rFonts w:ascii="Arial" w:hAnsi="Arial" w:cs="Arial"/>
                <w:color w:val="000000"/>
                <w:sz w:val="16"/>
                <w:szCs w:val="16"/>
              </w:rPr>
            </w:pPr>
            <w:r w:rsidRPr="00E21C60">
              <w:rPr>
                <w:rFonts w:ascii="Arial" w:hAnsi="Arial" w:cs="Arial"/>
                <w:color w:val="000000"/>
                <w:sz w:val="16"/>
                <w:szCs w:val="16"/>
              </w:rPr>
              <w:t>a technologickým rizikám a ich riadenie)</w:t>
            </w:r>
          </w:p>
        </w:tc>
        <w:tc>
          <w:tcPr>
            <w:tcW w:w="1460" w:type="dxa"/>
            <w:tcBorders>
              <w:top w:val="nil"/>
              <w:left w:val="nil"/>
              <w:bottom w:val="single" w:sz="4" w:space="0" w:color="auto"/>
              <w:right w:val="single" w:sz="4" w:space="0" w:color="auto"/>
            </w:tcBorders>
            <w:shd w:val="clear" w:color="auto" w:fill="auto"/>
            <w:noWrap/>
            <w:vAlign w:val="center"/>
            <w:hideMark/>
          </w:tcPr>
          <w:p w14:paraId="3C73BDE0" w14:textId="77777777" w:rsidR="00614729" w:rsidRPr="00E21C60" w:rsidRDefault="00614729">
            <w:pPr>
              <w:jc w:val="center"/>
              <w:rPr>
                <w:rFonts w:ascii="Arial" w:hAnsi="Arial" w:cs="Arial"/>
                <w:color w:val="000000"/>
                <w:sz w:val="16"/>
                <w:szCs w:val="16"/>
              </w:rPr>
            </w:pPr>
            <w:r w:rsidRPr="00E21C60">
              <w:rPr>
                <w:rFonts w:ascii="Arial" w:hAnsi="Arial" w:cs="Arial"/>
                <w:color w:val="000000"/>
                <w:sz w:val="16"/>
                <w:szCs w:val="16"/>
              </w:rPr>
              <w:t>1</w:t>
            </w:r>
          </w:p>
        </w:tc>
        <w:tc>
          <w:tcPr>
            <w:tcW w:w="1460" w:type="dxa"/>
            <w:tcBorders>
              <w:top w:val="nil"/>
              <w:left w:val="nil"/>
              <w:bottom w:val="single" w:sz="4" w:space="0" w:color="auto"/>
              <w:right w:val="single" w:sz="4" w:space="0" w:color="auto"/>
            </w:tcBorders>
            <w:shd w:val="clear" w:color="auto" w:fill="auto"/>
            <w:noWrap/>
            <w:vAlign w:val="center"/>
            <w:hideMark/>
          </w:tcPr>
          <w:p w14:paraId="3F480DEC" w14:textId="77777777" w:rsidR="00614729" w:rsidRPr="00E21C60" w:rsidRDefault="00614729">
            <w:pPr>
              <w:jc w:val="center"/>
              <w:rPr>
                <w:rFonts w:ascii="Arial" w:hAnsi="Arial" w:cs="Arial"/>
                <w:color w:val="000000"/>
                <w:sz w:val="16"/>
                <w:szCs w:val="16"/>
              </w:rPr>
            </w:pPr>
            <w:r w:rsidRPr="00E21C60">
              <w:rPr>
                <w:rFonts w:ascii="Arial" w:hAnsi="Arial" w:cs="Arial"/>
                <w:color w:val="000000"/>
                <w:sz w:val="16"/>
                <w:szCs w:val="16"/>
              </w:rPr>
              <w:t>1</w:t>
            </w:r>
          </w:p>
        </w:tc>
        <w:tc>
          <w:tcPr>
            <w:tcW w:w="1460" w:type="dxa"/>
            <w:tcBorders>
              <w:top w:val="nil"/>
              <w:left w:val="nil"/>
              <w:bottom w:val="single" w:sz="4" w:space="0" w:color="auto"/>
              <w:right w:val="single" w:sz="4" w:space="0" w:color="auto"/>
            </w:tcBorders>
            <w:shd w:val="clear" w:color="auto" w:fill="auto"/>
            <w:noWrap/>
            <w:vAlign w:val="center"/>
            <w:hideMark/>
          </w:tcPr>
          <w:p w14:paraId="4A4ADE84" w14:textId="0EA784C9" w:rsidR="00614729" w:rsidRPr="00E21C60" w:rsidRDefault="00F73C97">
            <w:pPr>
              <w:jc w:val="center"/>
              <w:rPr>
                <w:rFonts w:ascii="Arial" w:hAnsi="Arial" w:cs="Arial"/>
                <w:color w:val="000000"/>
                <w:sz w:val="16"/>
                <w:szCs w:val="16"/>
              </w:rPr>
            </w:pPr>
            <w:r>
              <w:rPr>
                <w:rFonts w:ascii="Arial" w:hAnsi="Arial" w:cs="Arial"/>
                <w:color w:val="000000"/>
                <w:sz w:val="16"/>
                <w:szCs w:val="16"/>
              </w:rPr>
              <w:t>1</w:t>
            </w:r>
          </w:p>
        </w:tc>
        <w:tc>
          <w:tcPr>
            <w:tcW w:w="1460" w:type="dxa"/>
            <w:tcBorders>
              <w:top w:val="nil"/>
              <w:left w:val="nil"/>
              <w:bottom w:val="single" w:sz="4" w:space="0" w:color="auto"/>
              <w:right w:val="single" w:sz="4" w:space="0" w:color="auto"/>
            </w:tcBorders>
            <w:shd w:val="clear" w:color="auto" w:fill="auto"/>
            <w:noWrap/>
            <w:vAlign w:val="center"/>
            <w:hideMark/>
          </w:tcPr>
          <w:p w14:paraId="3547483E" w14:textId="456C2A4F" w:rsidR="00614729" w:rsidRPr="00E21C60" w:rsidRDefault="0032447E">
            <w:pPr>
              <w:jc w:val="center"/>
              <w:rPr>
                <w:rFonts w:ascii="Arial" w:hAnsi="Arial" w:cs="Arial"/>
                <w:color w:val="000000"/>
                <w:sz w:val="16"/>
                <w:szCs w:val="16"/>
              </w:rPr>
            </w:pPr>
            <w:r>
              <w:rPr>
                <w:rFonts w:ascii="Arial" w:hAnsi="Arial" w:cs="Arial"/>
                <w:color w:val="000000"/>
                <w:sz w:val="16"/>
                <w:szCs w:val="16"/>
              </w:rPr>
              <w:t>1</w:t>
            </w:r>
          </w:p>
        </w:tc>
        <w:tc>
          <w:tcPr>
            <w:tcW w:w="1460" w:type="dxa"/>
            <w:tcBorders>
              <w:top w:val="nil"/>
              <w:left w:val="nil"/>
              <w:bottom w:val="single" w:sz="4" w:space="0" w:color="auto"/>
              <w:right w:val="single" w:sz="4" w:space="0" w:color="auto"/>
            </w:tcBorders>
            <w:shd w:val="clear" w:color="auto" w:fill="auto"/>
            <w:noWrap/>
            <w:vAlign w:val="center"/>
            <w:hideMark/>
          </w:tcPr>
          <w:p w14:paraId="0AAB47A5" w14:textId="77777777" w:rsidR="00614729" w:rsidRPr="00E21C60" w:rsidRDefault="00614729">
            <w:pPr>
              <w:jc w:val="center"/>
              <w:rPr>
                <w:rFonts w:ascii="Arial" w:hAnsi="Arial" w:cs="Arial"/>
                <w:color w:val="000000"/>
                <w:sz w:val="16"/>
                <w:szCs w:val="16"/>
              </w:rPr>
            </w:pPr>
            <w:r w:rsidRPr="00E21C60">
              <w:rPr>
                <w:rFonts w:ascii="Arial" w:hAnsi="Arial" w:cs="Arial"/>
                <w:color w:val="000000"/>
                <w:sz w:val="16"/>
                <w:szCs w:val="16"/>
              </w:rPr>
              <w:t>0</w:t>
            </w:r>
          </w:p>
        </w:tc>
      </w:tr>
      <w:tr w:rsidR="00614729" w:rsidRPr="00E21C60" w14:paraId="7CACB5A5" w14:textId="77777777" w:rsidTr="00614729">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54C31BC8" w14:textId="77777777" w:rsidR="00614729" w:rsidRPr="00E21C60" w:rsidRDefault="00614729">
            <w:pPr>
              <w:rPr>
                <w:rFonts w:ascii="Arial" w:hAnsi="Arial" w:cs="Arial"/>
                <w:b/>
                <w:bCs/>
                <w:color w:val="000000"/>
                <w:sz w:val="16"/>
                <w:szCs w:val="16"/>
              </w:rPr>
            </w:pPr>
            <w:r w:rsidRPr="00E21C60">
              <w:rPr>
                <w:rFonts w:ascii="Arial" w:hAnsi="Arial" w:cs="Arial"/>
                <w:b/>
                <w:bCs/>
                <w:color w:val="000000"/>
                <w:sz w:val="16"/>
                <w:szCs w:val="16"/>
              </w:rPr>
              <w:t>Celkom</w:t>
            </w:r>
          </w:p>
        </w:tc>
        <w:tc>
          <w:tcPr>
            <w:tcW w:w="1460" w:type="dxa"/>
            <w:tcBorders>
              <w:top w:val="nil"/>
              <w:left w:val="nil"/>
              <w:bottom w:val="single" w:sz="4" w:space="0" w:color="auto"/>
              <w:right w:val="single" w:sz="4" w:space="0" w:color="auto"/>
            </w:tcBorders>
            <w:shd w:val="clear" w:color="000000" w:fill="EBF1DE"/>
            <w:noWrap/>
            <w:vAlign w:val="center"/>
            <w:hideMark/>
          </w:tcPr>
          <w:p w14:paraId="5C0DA4A4" w14:textId="77777777" w:rsidR="00614729" w:rsidRPr="00E21C60" w:rsidRDefault="00614729">
            <w:pPr>
              <w:jc w:val="center"/>
              <w:rPr>
                <w:rFonts w:ascii="Arial" w:hAnsi="Arial" w:cs="Arial"/>
                <w:b/>
                <w:bCs/>
                <w:color w:val="000000"/>
                <w:sz w:val="16"/>
                <w:szCs w:val="16"/>
              </w:rPr>
            </w:pPr>
            <w:r w:rsidRPr="00E21C60">
              <w:rPr>
                <w:rFonts w:ascii="Arial" w:hAnsi="Arial" w:cs="Arial"/>
                <w:b/>
                <w:bCs/>
                <w:color w:val="000000"/>
                <w:sz w:val="16"/>
                <w:szCs w:val="16"/>
              </w:rPr>
              <w:t>1</w:t>
            </w:r>
          </w:p>
        </w:tc>
        <w:tc>
          <w:tcPr>
            <w:tcW w:w="1460" w:type="dxa"/>
            <w:tcBorders>
              <w:top w:val="nil"/>
              <w:left w:val="nil"/>
              <w:bottom w:val="single" w:sz="4" w:space="0" w:color="auto"/>
              <w:right w:val="single" w:sz="4" w:space="0" w:color="auto"/>
            </w:tcBorders>
            <w:shd w:val="clear" w:color="000000" w:fill="EBF1DE"/>
            <w:noWrap/>
            <w:vAlign w:val="center"/>
            <w:hideMark/>
          </w:tcPr>
          <w:p w14:paraId="12721161" w14:textId="77777777" w:rsidR="00614729" w:rsidRPr="00E21C60" w:rsidRDefault="00614729">
            <w:pPr>
              <w:jc w:val="center"/>
              <w:rPr>
                <w:rFonts w:ascii="Arial" w:hAnsi="Arial" w:cs="Arial"/>
                <w:b/>
                <w:bCs/>
                <w:color w:val="000000"/>
                <w:sz w:val="16"/>
                <w:szCs w:val="16"/>
              </w:rPr>
            </w:pPr>
            <w:r w:rsidRPr="00E21C60">
              <w:rPr>
                <w:rFonts w:ascii="Arial" w:hAnsi="Arial" w:cs="Arial"/>
                <w:b/>
                <w:bCs/>
                <w:color w:val="000000"/>
                <w:sz w:val="16"/>
                <w:szCs w:val="16"/>
              </w:rPr>
              <w:t>1</w:t>
            </w:r>
          </w:p>
        </w:tc>
        <w:tc>
          <w:tcPr>
            <w:tcW w:w="1460" w:type="dxa"/>
            <w:tcBorders>
              <w:top w:val="nil"/>
              <w:left w:val="nil"/>
              <w:bottom w:val="single" w:sz="4" w:space="0" w:color="auto"/>
              <w:right w:val="single" w:sz="4" w:space="0" w:color="auto"/>
            </w:tcBorders>
            <w:shd w:val="clear" w:color="000000" w:fill="EBF1DE"/>
            <w:noWrap/>
            <w:vAlign w:val="center"/>
            <w:hideMark/>
          </w:tcPr>
          <w:p w14:paraId="3D117BFF" w14:textId="4B9DD09C" w:rsidR="00614729" w:rsidRPr="00E21C60" w:rsidRDefault="00F73C97">
            <w:pPr>
              <w:jc w:val="center"/>
              <w:rPr>
                <w:rFonts w:ascii="Arial" w:hAnsi="Arial" w:cs="Arial"/>
                <w:b/>
                <w:bCs/>
                <w:color w:val="000000"/>
                <w:sz w:val="16"/>
                <w:szCs w:val="16"/>
              </w:rPr>
            </w:pPr>
            <w:r>
              <w:rPr>
                <w:rFonts w:ascii="Arial" w:hAnsi="Arial" w:cs="Arial"/>
                <w:b/>
                <w:bCs/>
                <w:color w:val="000000"/>
                <w:sz w:val="16"/>
                <w:szCs w:val="16"/>
              </w:rPr>
              <w:t>1</w:t>
            </w:r>
          </w:p>
        </w:tc>
        <w:tc>
          <w:tcPr>
            <w:tcW w:w="1460" w:type="dxa"/>
            <w:tcBorders>
              <w:top w:val="nil"/>
              <w:left w:val="nil"/>
              <w:bottom w:val="single" w:sz="4" w:space="0" w:color="auto"/>
              <w:right w:val="single" w:sz="4" w:space="0" w:color="auto"/>
            </w:tcBorders>
            <w:shd w:val="clear" w:color="000000" w:fill="EBF1DE"/>
            <w:noWrap/>
            <w:vAlign w:val="center"/>
            <w:hideMark/>
          </w:tcPr>
          <w:p w14:paraId="62CEC398" w14:textId="4E737D76" w:rsidR="00614729" w:rsidRPr="00E21C60" w:rsidRDefault="0032447E">
            <w:pPr>
              <w:jc w:val="center"/>
              <w:rPr>
                <w:rFonts w:ascii="Arial" w:hAnsi="Arial" w:cs="Arial"/>
                <w:b/>
                <w:bCs/>
                <w:color w:val="000000"/>
                <w:sz w:val="16"/>
                <w:szCs w:val="16"/>
              </w:rPr>
            </w:pPr>
            <w:r>
              <w:rPr>
                <w:rFonts w:ascii="Arial" w:hAnsi="Arial" w:cs="Arial"/>
                <w:b/>
                <w:bCs/>
                <w:color w:val="000000"/>
                <w:sz w:val="16"/>
                <w:szCs w:val="16"/>
              </w:rPr>
              <w:t>1</w:t>
            </w:r>
          </w:p>
        </w:tc>
        <w:tc>
          <w:tcPr>
            <w:tcW w:w="1460" w:type="dxa"/>
            <w:tcBorders>
              <w:top w:val="nil"/>
              <w:left w:val="nil"/>
              <w:bottom w:val="single" w:sz="4" w:space="0" w:color="auto"/>
              <w:right w:val="single" w:sz="4" w:space="0" w:color="auto"/>
            </w:tcBorders>
            <w:shd w:val="clear" w:color="000000" w:fill="EBF1DE"/>
            <w:noWrap/>
            <w:vAlign w:val="center"/>
            <w:hideMark/>
          </w:tcPr>
          <w:p w14:paraId="313295E1" w14:textId="77777777" w:rsidR="00614729" w:rsidRPr="00E21C60" w:rsidRDefault="00614729">
            <w:pPr>
              <w:jc w:val="center"/>
              <w:rPr>
                <w:rFonts w:ascii="Arial" w:hAnsi="Arial" w:cs="Arial"/>
                <w:b/>
                <w:bCs/>
                <w:color w:val="000000"/>
                <w:sz w:val="16"/>
                <w:szCs w:val="16"/>
              </w:rPr>
            </w:pPr>
            <w:r w:rsidRPr="00E21C60">
              <w:rPr>
                <w:rFonts w:ascii="Arial" w:hAnsi="Arial" w:cs="Arial"/>
                <w:b/>
                <w:bCs/>
                <w:color w:val="000000"/>
                <w:sz w:val="16"/>
                <w:szCs w:val="16"/>
              </w:rPr>
              <w:t>0</w:t>
            </w:r>
          </w:p>
        </w:tc>
      </w:tr>
    </w:tbl>
    <w:p w14:paraId="08C18424" w14:textId="7539E724" w:rsidR="00614729" w:rsidRPr="00E21C60" w:rsidRDefault="00614729" w:rsidP="008A1902">
      <w:pPr>
        <w:pStyle w:val="Zkladntextb"/>
        <w:keepNext/>
        <w:spacing w:before="120" w:after="0" w:line="240" w:lineRule="auto"/>
        <w:ind w:left="0"/>
        <w:jc w:val="both"/>
        <w:rPr>
          <w:rFonts w:cs="Arial"/>
          <w:lang w:val="sk-SK"/>
        </w:rPr>
      </w:pPr>
      <w:r w:rsidRPr="00E21C60">
        <w:rPr>
          <w:rFonts w:cs="Arial"/>
          <w:lang w:val="sk-SK"/>
        </w:rPr>
        <w:t xml:space="preserve">Tabuľka č. </w:t>
      </w:r>
      <w:r w:rsidR="00670044" w:rsidRPr="00E21C60">
        <w:rPr>
          <w:rFonts w:cs="Arial"/>
          <w:lang w:val="sk-SK"/>
        </w:rPr>
        <w:t>7</w:t>
      </w:r>
      <w:r w:rsidR="007B1CB9">
        <w:rPr>
          <w:rFonts w:cs="Arial"/>
          <w:lang w:val="sk-SK"/>
        </w:rPr>
        <w:t>1</w:t>
      </w:r>
      <w:r w:rsidR="00670044" w:rsidRPr="00E21C60">
        <w:rPr>
          <w:rFonts w:cs="Arial"/>
          <w:lang w:val="sk-SK"/>
        </w:rPr>
        <w:t>b</w:t>
      </w:r>
      <w:r w:rsidRPr="00E21C60">
        <w:rPr>
          <w:rFonts w:cs="Arial"/>
          <w:lang w:val="sk-SK"/>
        </w:rPr>
        <w:t xml:space="preserve">: Finančné vyjadrenie pokroku v implementácii prioritnej osi 7 k </w:t>
      </w:r>
      <w:r w:rsidR="00402945">
        <w:rPr>
          <w:rFonts w:cs="Arial"/>
          <w:lang w:val="sk-SK"/>
        </w:rPr>
        <w:t>31. 10. 2016</w:t>
      </w:r>
      <w:r w:rsidRPr="00E21C60">
        <w:rPr>
          <w:rFonts w:cs="Arial"/>
          <w:lang w:val="sk-SK"/>
        </w:rPr>
        <w:t xml:space="preserve"> (v €)</w:t>
      </w:r>
    </w:p>
    <w:tbl>
      <w:tblPr>
        <w:tblW w:w="9200" w:type="dxa"/>
        <w:tblInd w:w="55" w:type="dxa"/>
        <w:tblCellMar>
          <w:left w:w="70" w:type="dxa"/>
          <w:right w:w="70" w:type="dxa"/>
        </w:tblCellMar>
        <w:tblLook w:val="04A0" w:firstRow="1" w:lastRow="0" w:firstColumn="1" w:lastColumn="0" w:noHBand="0" w:noVBand="1"/>
      </w:tblPr>
      <w:tblGrid>
        <w:gridCol w:w="1880"/>
        <w:gridCol w:w="1180"/>
        <w:gridCol w:w="1180"/>
        <w:gridCol w:w="1180"/>
        <w:gridCol w:w="1400"/>
        <w:gridCol w:w="1200"/>
        <w:gridCol w:w="1180"/>
      </w:tblGrid>
      <w:tr w:rsidR="00614729" w:rsidRPr="00E21C60" w14:paraId="23FB19A4" w14:textId="77777777" w:rsidTr="007D7B08">
        <w:trPr>
          <w:trHeight w:val="900"/>
        </w:trPr>
        <w:tc>
          <w:tcPr>
            <w:tcW w:w="188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2F6FCAC" w14:textId="77777777" w:rsidR="00614729" w:rsidRPr="00E21C60" w:rsidRDefault="0079794E" w:rsidP="008A1902">
            <w:pPr>
              <w:keepNext/>
              <w:jc w:val="center"/>
              <w:rPr>
                <w:rFonts w:ascii="Arial" w:hAnsi="Arial" w:cs="Arial"/>
                <w:b/>
                <w:bCs/>
                <w:color w:val="000000"/>
                <w:sz w:val="16"/>
                <w:szCs w:val="16"/>
              </w:rPr>
            </w:pPr>
            <w:r>
              <w:rPr>
                <w:rFonts w:ascii="Arial" w:hAnsi="Arial" w:cs="Arial"/>
                <w:b/>
                <w:bCs/>
                <w:color w:val="000000"/>
                <w:sz w:val="16"/>
                <w:szCs w:val="16"/>
              </w:rPr>
              <w:t>Prioritná</w:t>
            </w:r>
            <w:r w:rsidRPr="00E21C60">
              <w:rPr>
                <w:rFonts w:ascii="Arial" w:hAnsi="Arial" w:cs="Arial"/>
                <w:b/>
                <w:bCs/>
                <w:color w:val="000000"/>
                <w:sz w:val="16"/>
                <w:szCs w:val="16"/>
              </w:rPr>
              <w:t xml:space="preserve"> </w:t>
            </w:r>
            <w:r w:rsidR="00614729" w:rsidRPr="00E21C60">
              <w:rPr>
                <w:rFonts w:ascii="Arial" w:hAnsi="Arial" w:cs="Arial"/>
                <w:b/>
                <w:bCs/>
                <w:color w:val="000000"/>
                <w:sz w:val="16"/>
                <w:szCs w:val="16"/>
              </w:rPr>
              <w:t>téma</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84810AC" w14:textId="77777777" w:rsidR="00614729" w:rsidRPr="00E21C60" w:rsidRDefault="00614729" w:rsidP="008A1902">
            <w:pPr>
              <w:keepNext/>
              <w:jc w:val="center"/>
              <w:rPr>
                <w:rFonts w:ascii="Arial" w:hAnsi="Arial" w:cs="Arial"/>
                <w:b/>
                <w:bCs/>
                <w:color w:val="000000"/>
                <w:sz w:val="16"/>
                <w:szCs w:val="16"/>
              </w:rPr>
            </w:pPr>
            <w:r w:rsidRPr="00E21C60">
              <w:rPr>
                <w:rFonts w:ascii="Arial" w:hAnsi="Arial" w:cs="Arial"/>
                <w:b/>
                <w:bCs/>
                <w:color w:val="000000"/>
                <w:sz w:val="16"/>
                <w:szCs w:val="16"/>
              </w:rPr>
              <w:t>Alokácia za zdroj EÚ+ŠR</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FB48D8C" w14:textId="77777777" w:rsidR="00614729" w:rsidRPr="00E21C60" w:rsidRDefault="00614729" w:rsidP="008A1902">
            <w:pPr>
              <w:keepNext/>
              <w:jc w:val="center"/>
              <w:rPr>
                <w:rFonts w:ascii="Arial" w:hAnsi="Arial" w:cs="Arial"/>
                <w:b/>
                <w:bCs/>
                <w:color w:val="000000"/>
                <w:sz w:val="16"/>
                <w:szCs w:val="16"/>
              </w:rPr>
            </w:pPr>
            <w:r w:rsidRPr="00E21C60">
              <w:rPr>
                <w:rFonts w:ascii="Arial" w:hAnsi="Arial" w:cs="Arial"/>
                <w:b/>
                <w:bCs/>
                <w:color w:val="000000"/>
                <w:sz w:val="16"/>
                <w:szCs w:val="16"/>
              </w:rPr>
              <w:t xml:space="preserve">Výška žiadaného príspevku (NFP)  </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CA71664" w14:textId="77777777" w:rsidR="00614729" w:rsidRPr="00E21C60" w:rsidRDefault="00614729" w:rsidP="008A1902">
            <w:pPr>
              <w:keepNext/>
              <w:jc w:val="center"/>
              <w:rPr>
                <w:rFonts w:ascii="Arial" w:hAnsi="Arial" w:cs="Arial"/>
                <w:b/>
                <w:bCs/>
                <w:color w:val="000000"/>
                <w:sz w:val="16"/>
                <w:szCs w:val="16"/>
              </w:rPr>
            </w:pPr>
            <w:r w:rsidRPr="00E21C60">
              <w:rPr>
                <w:rFonts w:ascii="Arial" w:hAnsi="Arial" w:cs="Arial"/>
                <w:b/>
                <w:bCs/>
                <w:color w:val="000000"/>
                <w:sz w:val="16"/>
                <w:szCs w:val="16"/>
              </w:rPr>
              <w:t xml:space="preserve">Výška schváleného príspevku (NFP) </w:t>
            </w:r>
          </w:p>
        </w:tc>
        <w:tc>
          <w:tcPr>
            <w:tcW w:w="14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112CEB3" w14:textId="77777777" w:rsidR="00614729" w:rsidRPr="00E21C60" w:rsidRDefault="00614729" w:rsidP="008A1902">
            <w:pPr>
              <w:keepNext/>
              <w:jc w:val="center"/>
              <w:rPr>
                <w:rFonts w:ascii="Arial" w:hAnsi="Arial" w:cs="Arial"/>
                <w:b/>
                <w:bCs/>
                <w:color w:val="000000"/>
                <w:sz w:val="16"/>
                <w:szCs w:val="16"/>
              </w:rPr>
            </w:pPr>
            <w:r w:rsidRPr="00E21C60">
              <w:rPr>
                <w:rFonts w:ascii="Arial" w:hAnsi="Arial" w:cs="Arial"/>
                <w:b/>
                <w:bCs/>
                <w:color w:val="000000"/>
                <w:sz w:val="16"/>
                <w:szCs w:val="16"/>
              </w:rPr>
              <w:t>Výška zazmluvnených prostriedkov (NFP)</w:t>
            </w:r>
          </w:p>
        </w:tc>
        <w:tc>
          <w:tcPr>
            <w:tcW w:w="120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99070BB" w14:textId="77777777" w:rsidR="00614729" w:rsidRPr="00E21C60" w:rsidRDefault="00614729" w:rsidP="008A1902">
            <w:pPr>
              <w:keepNext/>
              <w:jc w:val="center"/>
              <w:rPr>
                <w:rFonts w:ascii="Arial" w:hAnsi="Arial" w:cs="Arial"/>
                <w:b/>
                <w:bCs/>
                <w:color w:val="000000"/>
                <w:sz w:val="16"/>
                <w:szCs w:val="16"/>
              </w:rPr>
            </w:pPr>
            <w:r w:rsidRPr="00E21C60">
              <w:rPr>
                <w:rFonts w:ascii="Arial" w:hAnsi="Arial" w:cs="Arial"/>
                <w:b/>
                <w:bCs/>
                <w:color w:val="000000"/>
                <w:sz w:val="16"/>
                <w:szCs w:val="16"/>
              </w:rPr>
              <w:t xml:space="preserve">Výška riadne ukončených projektov </w:t>
            </w:r>
            <w:r w:rsidRPr="00E21C60">
              <w:rPr>
                <w:rFonts w:ascii="Arial" w:hAnsi="Arial" w:cs="Arial"/>
                <w:b/>
                <w:bCs/>
                <w:color w:val="000000"/>
                <w:sz w:val="16"/>
                <w:szCs w:val="16"/>
                <w:vertAlign w:val="superscript"/>
              </w:rPr>
              <w:t>1</w:t>
            </w:r>
          </w:p>
        </w:tc>
        <w:tc>
          <w:tcPr>
            <w:tcW w:w="11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541AF9D" w14:textId="77777777" w:rsidR="00614729" w:rsidRPr="00E21C60" w:rsidRDefault="00614729" w:rsidP="008A1902">
            <w:pPr>
              <w:keepNext/>
              <w:jc w:val="center"/>
              <w:rPr>
                <w:rFonts w:ascii="Arial" w:hAnsi="Arial" w:cs="Arial"/>
                <w:b/>
                <w:bCs/>
                <w:color w:val="000000"/>
                <w:sz w:val="16"/>
                <w:szCs w:val="16"/>
              </w:rPr>
            </w:pPr>
            <w:r w:rsidRPr="00E21C60">
              <w:rPr>
                <w:rFonts w:ascii="Arial" w:hAnsi="Arial" w:cs="Arial"/>
                <w:b/>
                <w:bCs/>
                <w:color w:val="000000"/>
                <w:sz w:val="16"/>
                <w:szCs w:val="16"/>
              </w:rPr>
              <w:t>Výška mimoriadne ukončených projektov</w:t>
            </w:r>
          </w:p>
        </w:tc>
      </w:tr>
      <w:tr w:rsidR="0032447E" w:rsidRPr="00E21C60" w14:paraId="3FD6B119" w14:textId="77777777" w:rsidTr="0032447E">
        <w:trPr>
          <w:trHeight w:val="1800"/>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731368DD" w14:textId="77777777" w:rsidR="0032447E" w:rsidRPr="00E21C60" w:rsidRDefault="0032447E" w:rsidP="0032447E">
            <w:pPr>
              <w:keepNext/>
              <w:rPr>
                <w:rFonts w:ascii="Arial" w:hAnsi="Arial" w:cs="Arial"/>
                <w:color w:val="000000"/>
                <w:sz w:val="16"/>
                <w:szCs w:val="16"/>
              </w:rPr>
            </w:pPr>
            <w:r w:rsidRPr="00E21C60">
              <w:rPr>
                <w:rFonts w:ascii="Arial" w:hAnsi="Arial" w:cs="Arial"/>
                <w:color w:val="000000"/>
                <w:sz w:val="16"/>
                <w:szCs w:val="16"/>
              </w:rPr>
              <w:t xml:space="preserve">53 - Predchádzanie rizikám (vrátane návrhu a realizácie plánov </w:t>
            </w:r>
          </w:p>
          <w:p w14:paraId="4AAAE0A5" w14:textId="77777777" w:rsidR="0032447E" w:rsidRPr="00E21C60" w:rsidRDefault="0032447E" w:rsidP="0032447E">
            <w:pPr>
              <w:keepNext/>
              <w:rPr>
                <w:rFonts w:ascii="Arial" w:hAnsi="Arial" w:cs="Arial"/>
                <w:color w:val="000000"/>
                <w:sz w:val="16"/>
                <w:szCs w:val="16"/>
              </w:rPr>
            </w:pPr>
            <w:r w:rsidRPr="00E21C60">
              <w:rPr>
                <w:rFonts w:ascii="Arial" w:hAnsi="Arial" w:cs="Arial"/>
                <w:color w:val="000000"/>
                <w:sz w:val="16"/>
                <w:szCs w:val="16"/>
              </w:rPr>
              <w:t xml:space="preserve">a opatrení na predchádzanie prírodným </w:t>
            </w:r>
          </w:p>
          <w:p w14:paraId="1878E53F" w14:textId="77777777" w:rsidR="0032447E" w:rsidRPr="00E21C60" w:rsidRDefault="0032447E" w:rsidP="0032447E">
            <w:pPr>
              <w:keepNext/>
              <w:rPr>
                <w:rFonts w:ascii="Arial" w:hAnsi="Arial" w:cs="Arial"/>
                <w:color w:val="000000"/>
                <w:sz w:val="16"/>
                <w:szCs w:val="16"/>
              </w:rPr>
            </w:pPr>
            <w:r w:rsidRPr="00E21C60">
              <w:rPr>
                <w:rFonts w:ascii="Arial" w:hAnsi="Arial" w:cs="Arial"/>
                <w:color w:val="000000"/>
                <w:sz w:val="16"/>
                <w:szCs w:val="16"/>
              </w:rPr>
              <w:t>a technologickým rizikám a ich riadenie)</w:t>
            </w:r>
          </w:p>
        </w:tc>
        <w:tc>
          <w:tcPr>
            <w:tcW w:w="1180" w:type="dxa"/>
            <w:tcBorders>
              <w:top w:val="nil"/>
              <w:left w:val="nil"/>
              <w:bottom w:val="single" w:sz="4" w:space="0" w:color="auto"/>
              <w:right w:val="single" w:sz="4" w:space="0" w:color="auto"/>
            </w:tcBorders>
            <w:shd w:val="clear" w:color="auto" w:fill="auto"/>
            <w:noWrap/>
            <w:vAlign w:val="center"/>
            <w:hideMark/>
          </w:tcPr>
          <w:p w14:paraId="70FF6A6A" w14:textId="072BE6AE" w:rsidR="0032447E" w:rsidRPr="0032447E" w:rsidRDefault="0032447E" w:rsidP="0032447E">
            <w:pPr>
              <w:keepNext/>
              <w:jc w:val="right"/>
              <w:rPr>
                <w:rFonts w:ascii="Arial" w:hAnsi="Arial" w:cs="Arial"/>
                <w:bCs/>
                <w:color w:val="000000"/>
                <w:sz w:val="16"/>
                <w:szCs w:val="16"/>
              </w:rPr>
            </w:pPr>
            <w:r w:rsidRPr="0032447E">
              <w:rPr>
                <w:rFonts w:ascii="Arial" w:hAnsi="Arial" w:cs="Arial"/>
                <w:bCs/>
                <w:color w:val="000000"/>
                <w:sz w:val="16"/>
                <w:szCs w:val="16"/>
              </w:rPr>
              <w:t>23 529 412</w:t>
            </w:r>
          </w:p>
        </w:tc>
        <w:tc>
          <w:tcPr>
            <w:tcW w:w="1180" w:type="dxa"/>
            <w:tcBorders>
              <w:top w:val="nil"/>
              <w:left w:val="nil"/>
              <w:bottom w:val="single" w:sz="4" w:space="0" w:color="auto"/>
              <w:right w:val="single" w:sz="4" w:space="0" w:color="auto"/>
            </w:tcBorders>
            <w:shd w:val="clear" w:color="auto" w:fill="auto"/>
            <w:noWrap/>
            <w:vAlign w:val="center"/>
            <w:hideMark/>
          </w:tcPr>
          <w:p w14:paraId="11A25E1F" w14:textId="5EFAA931" w:rsidR="0032447E" w:rsidRPr="0032447E" w:rsidRDefault="0032447E" w:rsidP="0032447E">
            <w:pPr>
              <w:keepNext/>
              <w:jc w:val="right"/>
              <w:rPr>
                <w:rFonts w:ascii="Arial" w:hAnsi="Arial" w:cs="Arial"/>
                <w:bCs/>
                <w:color w:val="000000"/>
                <w:sz w:val="16"/>
                <w:szCs w:val="16"/>
              </w:rPr>
            </w:pPr>
            <w:r w:rsidRPr="0032447E">
              <w:rPr>
                <w:rFonts w:ascii="Arial" w:hAnsi="Arial" w:cs="Arial"/>
                <w:bCs/>
                <w:color w:val="000000"/>
                <w:sz w:val="16"/>
                <w:szCs w:val="16"/>
              </w:rPr>
              <w:t>26 502 936</w:t>
            </w:r>
          </w:p>
        </w:tc>
        <w:tc>
          <w:tcPr>
            <w:tcW w:w="1180" w:type="dxa"/>
            <w:tcBorders>
              <w:top w:val="nil"/>
              <w:left w:val="nil"/>
              <w:bottom w:val="single" w:sz="4" w:space="0" w:color="auto"/>
              <w:right w:val="single" w:sz="4" w:space="0" w:color="auto"/>
            </w:tcBorders>
            <w:shd w:val="clear" w:color="auto" w:fill="auto"/>
            <w:noWrap/>
            <w:vAlign w:val="center"/>
            <w:hideMark/>
          </w:tcPr>
          <w:p w14:paraId="1D01773F" w14:textId="2D377681" w:rsidR="0032447E" w:rsidRPr="0032447E" w:rsidRDefault="0032447E" w:rsidP="0032447E">
            <w:pPr>
              <w:keepNext/>
              <w:jc w:val="right"/>
              <w:rPr>
                <w:rFonts w:ascii="Arial" w:hAnsi="Arial" w:cs="Arial"/>
                <w:bCs/>
                <w:color w:val="000000"/>
                <w:sz w:val="16"/>
                <w:szCs w:val="16"/>
              </w:rPr>
            </w:pPr>
            <w:r w:rsidRPr="0032447E">
              <w:rPr>
                <w:rFonts w:ascii="Arial" w:hAnsi="Arial" w:cs="Arial"/>
                <w:bCs/>
                <w:color w:val="000000"/>
                <w:sz w:val="16"/>
                <w:szCs w:val="16"/>
              </w:rPr>
              <w:t>23 529 306</w:t>
            </w:r>
          </w:p>
        </w:tc>
        <w:tc>
          <w:tcPr>
            <w:tcW w:w="1400" w:type="dxa"/>
            <w:tcBorders>
              <w:top w:val="nil"/>
              <w:left w:val="nil"/>
              <w:bottom w:val="single" w:sz="4" w:space="0" w:color="auto"/>
              <w:right w:val="single" w:sz="4" w:space="0" w:color="auto"/>
            </w:tcBorders>
            <w:shd w:val="clear" w:color="auto" w:fill="auto"/>
            <w:noWrap/>
            <w:vAlign w:val="center"/>
            <w:hideMark/>
          </w:tcPr>
          <w:p w14:paraId="5C487743" w14:textId="384DB2F6" w:rsidR="0032447E" w:rsidRPr="0032447E" w:rsidRDefault="0032447E" w:rsidP="0032447E">
            <w:pPr>
              <w:keepNext/>
              <w:jc w:val="right"/>
              <w:rPr>
                <w:rFonts w:ascii="Arial" w:hAnsi="Arial" w:cs="Arial"/>
                <w:bCs/>
                <w:color w:val="000000"/>
                <w:sz w:val="16"/>
                <w:szCs w:val="16"/>
              </w:rPr>
            </w:pPr>
            <w:r w:rsidRPr="0032447E">
              <w:rPr>
                <w:rFonts w:ascii="Arial" w:hAnsi="Arial" w:cs="Arial"/>
                <w:bCs/>
                <w:color w:val="000000"/>
                <w:sz w:val="16"/>
                <w:szCs w:val="16"/>
              </w:rPr>
              <w:t>23 529 306</w:t>
            </w:r>
          </w:p>
        </w:tc>
        <w:tc>
          <w:tcPr>
            <w:tcW w:w="1200" w:type="dxa"/>
            <w:tcBorders>
              <w:top w:val="nil"/>
              <w:left w:val="nil"/>
              <w:bottom w:val="single" w:sz="4" w:space="0" w:color="auto"/>
              <w:right w:val="single" w:sz="4" w:space="0" w:color="auto"/>
            </w:tcBorders>
            <w:shd w:val="clear" w:color="auto" w:fill="auto"/>
            <w:noWrap/>
            <w:vAlign w:val="center"/>
            <w:hideMark/>
          </w:tcPr>
          <w:p w14:paraId="63143B33" w14:textId="25758CB1" w:rsidR="0032447E" w:rsidRPr="0032447E" w:rsidRDefault="0032447E" w:rsidP="00B039B7">
            <w:pPr>
              <w:keepNext/>
              <w:jc w:val="right"/>
              <w:rPr>
                <w:rFonts w:ascii="Arial" w:hAnsi="Arial" w:cs="Arial"/>
                <w:bCs/>
                <w:color w:val="000000"/>
                <w:sz w:val="16"/>
                <w:szCs w:val="16"/>
              </w:rPr>
            </w:pPr>
            <w:r w:rsidRPr="0032447E">
              <w:rPr>
                <w:rFonts w:ascii="Arial" w:hAnsi="Arial" w:cs="Arial"/>
                <w:bCs/>
                <w:color w:val="000000"/>
                <w:sz w:val="16"/>
                <w:szCs w:val="16"/>
              </w:rPr>
              <w:t xml:space="preserve"> 19 728 985 </w:t>
            </w:r>
          </w:p>
        </w:tc>
        <w:tc>
          <w:tcPr>
            <w:tcW w:w="1180" w:type="dxa"/>
            <w:tcBorders>
              <w:top w:val="nil"/>
              <w:left w:val="nil"/>
              <w:bottom w:val="single" w:sz="4" w:space="0" w:color="auto"/>
              <w:right w:val="single" w:sz="4" w:space="0" w:color="auto"/>
            </w:tcBorders>
            <w:shd w:val="clear" w:color="auto" w:fill="auto"/>
            <w:noWrap/>
            <w:vAlign w:val="center"/>
            <w:hideMark/>
          </w:tcPr>
          <w:p w14:paraId="1A300904" w14:textId="5255DC40" w:rsidR="0032447E" w:rsidRPr="0032447E" w:rsidRDefault="0032447E" w:rsidP="0032447E">
            <w:pPr>
              <w:keepNext/>
              <w:jc w:val="right"/>
              <w:rPr>
                <w:rFonts w:ascii="Arial" w:hAnsi="Arial" w:cs="Arial"/>
                <w:bCs/>
                <w:color w:val="000000"/>
                <w:sz w:val="16"/>
                <w:szCs w:val="16"/>
              </w:rPr>
            </w:pPr>
            <w:r w:rsidRPr="0032447E">
              <w:rPr>
                <w:rFonts w:ascii="Arial" w:hAnsi="Arial" w:cs="Arial"/>
                <w:bCs/>
                <w:color w:val="000000"/>
                <w:sz w:val="16"/>
                <w:szCs w:val="16"/>
              </w:rPr>
              <w:t>0</w:t>
            </w:r>
          </w:p>
        </w:tc>
      </w:tr>
      <w:tr w:rsidR="0032447E" w:rsidRPr="00E21C60" w14:paraId="0241C370" w14:textId="77777777" w:rsidTr="0032447E">
        <w:trPr>
          <w:trHeight w:val="300"/>
        </w:trPr>
        <w:tc>
          <w:tcPr>
            <w:tcW w:w="1880" w:type="dxa"/>
            <w:tcBorders>
              <w:top w:val="nil"/>
              <w:left w:val="single" w:sz="4" w:space="0" w:color="auto"/>
              <w:bottom w:val="single" w:sz="4" w:space="0" w:color="auto"/>
              <w:right w:val="single" w:sz="4" w:space="0" w:color="auto"/>
            </w:tcBorders>
            <w:shd w:val="clear" w:color="000000" w:fill="EBF1DE"/>
            <w:vAlign w:val="center"/>
            <w:hideMark/>
          </w:tcPr>
          <w:p w14:paraId="2A54F356" w14:textId="77777777" w:rsidR="0032447E" w:rsidRPr="00E21C60" w:rsidRDefault="0032447E" w:rsidP="0032447E">
            <w:pPr>
              <w:rPr>
                <w:rFonts w:ascii="Arial" w:hAnsi="Arial" w:cs="Arial"/>
                <w:b/>
                <w:bCs/>
                <w:color w:val="000000"/>
                <w:sz w:val="16"/>
                <w:szCs w:val="16"/>
              </w:rPr>
            </w:pPr>
            <w:r w:rsidRPr="00E21C60">
              <w:rPr>
                <w:rFonts w:ascii="Arial" w:hAnsi="Arial" w:cs="Arial"/>
                <w:b/>
                <w:bCs/>
                <w:color w:val="000000"/>
                <w:sz w:val="16"/>
                <w:szCs w:val="16"/>
              </w:rPr>
              <w:t>Celkom</w:t>
            </w:r>
          </w:p>
        </w:tc>
        <w:tc>
          <w:tcPr>
            <w:tcW w:w="1180" w:type="dxa"/>
            <w:tcBorders>
              <w:top w:val="nil"/>
              <w:left w:val="nil"/>
              <w:bottom w:val="single" w:sz="4" w:space="0" w:color="auto"/>
              <w:right w:val="single" w:sz="4" w:space="0" w:color="auto"/>
            </w:tcBorders>
            <w:shd w:val="clear" w:color="000000" w:fill="EBF1DE"/>
            <w:noWrap/>
            <w:vAlign w:val="center"/>
            <w:hideMark/>
          </w:tcPr>
          <w:p w14:paraId="1807E942" w14:textId="7B42CFC0" w:rsidR="0032447E" w:rsidRPr="00E21C60" w:rsidRDefault="0032447E" w:rsidP="0032447E">
            <w:pPr>
              <w:keepNext/>
              <w:jc w:val="right"/>
              <w:rPr>
                <w:rFonts w:ascii="Arial" w:hAnsi="Arial" w:cs="Arial"/>
                <w:b/>
                <w:bCs/>
                <w:color w:val="000000"/>
                <w:sz w:val="16"/>
                <w:szCs w:val="16"/>
              </w:rPr>
            </w:pPr>
            <w:r w:rsidRPr="0032447E">
              <w:rPr>
                <w:rFonts w:ascii="Arial" w:hAnsi="Arial" w:cs="Arial"/>
                <w:b/>
                <w:bCs/>
                <w:color w:val="000000"/>
                <w:sz w:val="16"/>
                <w:szCs w:val="16"/>
              </w:rPr>
              <w:t>23 529 412</w:t>
            </w:r>
          </w:p>
        </w:tc>
        <w:tc>
          <w:tcPr>
            <w:tcW w:w="1180" w:type="dxa"/>
            <w:tcBorders>
              <w:top w:val="nil"/>
              <w:left w:val="nil"/>
              <w:bottom w:val="single" w:sz="4" w:space="0" w:color="auto"/>
              <w:right w:val="single" w:sz="4" w:space="0" w:color="auto"/>
            </w:tcBorders>
            <w:shd w:val="clear" w:color="000000" w:fill="EBF1DE"/>
            <w:noWrap/>
            <w:vAlign w:val="center"/>
            <w:hideMark/>
          </w:tcPr>
          <w:p w14:paraId="028C599A" w14:textId="35907515" w:rsidR="0032447E" w:rsidRPr="00E21C60" w:rsidRDefault="0032447E" w:rsidP="0032447E">
            <w:pPr>
              <w:keepNext/>
              <w:jc w:val="right"/>
              <w:rPr>
                <w:rFonts w:ascii="Arial" w:hAnsi="Arial" w:cs="Arial"/>
                <w:b/>
                <w:bCs/>
                <w:color w:val="000000"/>
                <w:sz w:val="16"/>
                <w:szCs w:val="16"/>
              </w:rPr>
            </w:pPr>
            <w:r w:rsidRPr="0032447E">
              <w:rPr>
                <w:rFonts w:ascii="Arial" w:hAnsi="Arial" w:cs="Arial"/>
                <w:b/>
                <w:bCs/>
                <w:color w:val="000000"/>
                <w:sz w:val="16"/>
                <w:szCs w:val="16"/>
              </w:rPr>
              <w:t>26 502 936</w:t>
            </w:r>
          </w:p>
        </w:tc>
        <w:tc>
          <w:tcPr>
            <w:tcW w:w="1180" w:type="dxa"/>
            <w:tcBorders>
              <w:top w:val="nil"/>
              <w:left w:val="nil"/>
              <w:bottom w:val="single" w:sz="4" w:space="0" w:color="auto"/>
              <w:right w:val="single" w:sz="4" w:space="0" w:color="auto"/>
            </w:tcBorders>
            <w:shd w:val="clear" w:color="000000" w:fill="EBF1DE"/>
            <w:noWrap/>
            <w:vAlign w:val="center"/>
            <w:hideMark/>
          </w:tcPr>
          <w:p w14:paraId="5D562D81" w14:textId="50DFDE64" w:rsidR="0032447E" w:rsidRPr="00E21C60" w:rsidRDefault="0032447E" w:rsidP="0032447E">
            <w:pPr>
              <w:keepNext/>
              <w:jc w:val="right"/>
              <w:rPr>
                <w:rFonts w:ascii="Arial" w:hAnsi="Arial" w:cs="Arial"/>
                <w:b/>
                <w:bCs/>
                <w:color w:val="000000"/>
                <w:sz w:val="16"/>
                <w:szCs w:val="16"/>
              </w:rPr>
            </w:pPr>
            <w:r w:rsidRPr="0032447E">
              <w:rPr>
                <w:rFonts w:ascii="Arial" w:hAnsi="Arial" w:cs="Arial"/>
                <w:b/>
                <w:bCs/>
                <w:color w:val="000000"/>
                <w:sz w:val="16"/>
                <w:szCs w:val="16"/>
              </w:rPr>
              <w:t>23 529 306</w:t>
            </w:r>
          </w:p>
        </w:tc>
        <w:tc>
          <w:tcPr>
            <w:tcW w:w="1400" w:type="dxa"/>
            <w:tcBorders>
              <w:top w:val="nil"/>
              <w:left w:val="nil"/>
              <w:bottom w:val="single" w:sz="4" w:space="0" w:color="auto"/>
              <w:right w:val="single" w:sz="4" w:space="0" w:color="auto"/>
            </w:tcBorders>
            <w:shd w:val="clear" w:color="000000" w:fill="EBF1DE"/>
            <w:noWrap/>
            <w:vAlign w:val="center"/>
            <w:hideMark/>
          </w:tcPr>
          <w:p w14:paraId="4E1C8F6C" w14:textId="02459C45" w:rsidR="0032447E" w:rsidRPr="00E21C60" w:rsidRDefault="0032447E" w:rsidP="0032447E">
            <w:pPr>
              <w:keepNext/>
              <w:jc w:val="right"/>
              <w:rPr>
                <w:rFonts w:ascii="Arial" w:hAnsi="Arial" w:cs="Arial"/>
                <w:b/>
                <w:bCs/>
                <w:color w:val="000000"/>
                <w:sz w:val="16"/>
                <w:szCs w:val="16"/>
              </w:rPr>
            </w:pPr>
            <w:r w:rsidRPr="0032447E">
              <w:rPr>
                <w:rFonts w:ascii="Arial" w:hAnsi="Arial" w:cs="Arial"/>
                <w:b/>
                <w:bCs/>
                <w:color w:val="000000"/>
                <w:sz w:val="16"/>
                <w:szCs w:val="16"/>
              </w:rPr>
              <w:t>23 529 306</w:t>
            </w:r>
          </w:p>
        </w:tc>
        <w:tc>
          <w:tcPr>
            <w:tcW w:w="1200" w:type="dxa"/>
            <w:tcBorders>
              <w:top w:val="nil"/>
              <w:left w:val="nil"/>
              <w:bottom w:val="single" w:sz="4" w:space="0" w:color="auto"/>
              <w:right w:val="single" w:sz="4" w:space="0" w:color="auto"/>
            </w:tcBorders>
            <w:shd w:val="clear" w:color="000000" w:fill="EBF1DE"/>
            <w:noWrap/>
            <w:vAlign w:val="center"/>
            <w:hideMark/>
          </w:tcPr>
          <w:p w14:paraId="38B6FFBF" w14:textId="29A33B2B" w:rsidR="0032447E" w:rsidRPr="00E21C60" w:rsidRDefault="0032447E" w:rsidP="0032447E">
            <w:pPr>
              <w:keepNext/>
              <w:jc w:val="right"/>
              <w:rPr>
                <w:rFonts w:ascii="Arial" w:hAnsi="Arial" w:cs="Arial"/>
                <w:b/>
                <w:bCs/>
                <w:color w:val="000000"/>
                <w:sz w:val="16"/>
                <w:szCs w:val="16"/>
              </w:rPr>
            </w:pPr>
            <w:r w:rsidRPr="0032447E">
              <w:rPr>
                <w:rFonts w:ascii="Arial" w:hAnsi="Arial" w:cs="Arial"/>
                <w:b/>
                <w:bCs/>
                <w:color w:val="000000"/>
                <w:sz w:val="16"/>
                <w:szCs w:val="16"/>
              </w:rPr>
              <w:t xml:space="preserve"> 19 728 985   </w:t>
            </w:r>
          </w:p>
        </w:tc>
        <w:tc>
          <w:tcPr>
            <w:tcW w:w="1180" w:type="dxa"/>
            <w:tcBorders>
              <w:top w:val="nil"/>
              <w:left w:val="nil"/>
              <w:bottom w:val="single" w:sz="4" w:space="0" w:color="auto"/>
              <w:right w:val="single" w:sz="4" w:space="0" w:color="auto"/>
            </w:tcBorders>
            <w:shd w:val="clear" w:color="000000" w:fill="EBF1DE"/>
            <w:noWrap/>
            <w:vAlign w:val="center"/>
            <w:hideMark/>
          </w:tcPr>
          <w:p w14:paraId="5F7E103C" w14:textId="64072C22" w:rsidR="0032447E" w:rsidRPr="00E21C60" w:rsidRDefault="0032447E" w:rsidP="0032447E">
            <w:pPr>
              <w:keepNext/>
              <w:jc w:val="right"/>
              <w:rPr>
                <w:rFonts w:ascii="Arial" w:hAnsi="Arial" w:cs="Arial"/>
                <w:b/>
                <w:bCs/>
                <w:color w:val="000000"/>
                <w:sz w:val="16"/>
                <w:szCs w:val="16"/>
              </w:rPr>
            </w:pPr>
            <w:r w:rsidRPr="0032447E">
              <w:rPr>
                <w:rFonts w:ascii="Arial" w:hAnsi="Arial" w:cs="Arial"/>
                <w:b/>
                <w:bCs/>
                <w:color w:val="000000"/>
                <w:sz w:val="16"/>
                <w:szCs w:val="16"/>
              </w:rPr>
              <w:t>0</w:t>
            </w:r>
          </w:p>
        </w:tc>
      </w:tr>
    </w:tbl>
    <w:p w14:paraId="2FF359E8" w14:textId="77777777" w:rsidR="00614729" w:rsidRDefault="0008024D" w:rsidP="008A1902">
      <w:pPr>
        <w:jc w:val="both"/>
        <w:rPr>
          <w:rFonts w:ascii="Arial" w:hAnsi="Arial" w:cs="Arial"/>
          <w:sz w:val="16"/>
          <w:szCs w:val="16"/>
        </w:rPr>
      </w:pPr>
      <w:r w:rsidRPr="00123376">
        <w:rPr>
          <w:rFonts w:ascii="Arial" w:hAnsi="Arial" w:cs="Arial"/>
          <w:sz w:val="16"/>
          <w:szCs w:val="16"/>
        </w:rPr>
        <w:t>Zdroj: RO, ITMS</w:t>
      </w:r>
    </w:p>
    <w:p w14:paraId="25CCF84B" w14:textId="342B4D32" w:rsidR="003401C8" w:rsidRPr="00E21C60" w:rsidRDefault="003401C8">
      <w:pPr>
        <w:spacing w:after="120"/>
        <w:jc w:val="both"/>
        <w:rPr>
          <w:rFonts w:ascii="Arial" w:hAnsi="Arial" w:cs="Arial"/>
          <w:sz w:val="20"/>
          <w:szCs w:val="20"/>
        </w:rPr>
      </w:pPr>
      <w:r>
        <w:rPr>
          <w:rFonts w:ascii="Arial" w:hAnsi="Arial" w:cs="Arial"/>
          <w:sz w:val="16"/>
          <w:szCs w:val="16"/>
        </w:rPr>
        <w:t xml:space="preserve">Pozn: </w:t>
      </w:r>
      <w:r w:rsidRPr="003401C8">
        <w:rPr>
          <w:rFonts w:ascii="Arial" w:hAnsi="Arial" w:cs="Arial"/>
          <w:sz w:val="16"/>
          <w:szCs w:val="16"/>
        </w:rPr>
        <w:t>K zazmluvneniu schválenej žiadosti</w:t>
      </w:r>
      <w:r>
        <w:rPr>
          <w:rFonts w:ascii="Arial" w:hAnsi="Arial" w:cs="Arial"/>
          <w:sz w:val="16"/>
          <w:szCs w:val="16"/>
        </w:rPr>
        <w:t xml:space="preserve"> („</w:t>
      </w:r>
      <w:r w:rsidRPr="003401C8">
        <w:rPr>
          <w:rFonts w:ascii="Arial" w:hAnsi="Arial" w:cs="Arial"/>
          <w:sz w:val="16"/>
          <w:szCs w:val="16"/>
        </w:rPr>
        <w:t>projekt POVAPSYS</w:t>
      </w:r>
      <w:r>
        <w:rPr>
          <w:rFonts w:ascii="Arial" w:hAnsi="Arial" w:cs="Arial"/>
          <w:sz w:val="16"/>
          <w:szCs w:val="16"/>
        </w:rPr>
        <w:t>“)</w:t>
      </w:r>
      <w:r w:rsidRPr="003401C8">
        <w:rPr>
          <w:rFonts w:ascii="Arial" w:hAnsi="Arial" w:cs="Arial"/>
          <w:sz w:val="16"/>
          <w:szCs w:val="16"/>
        </w:rPr>
        <w:t xml:space="preserve"> došlo 18.12.2013</w:t>
      </w:r>
      <w:r w:rsidR="00031481">
        <w:rPr>
          <w:rFonts w:ascii="Arial" w:hAnsi="Arial" w:cs="Arial"/>
          <w:sz w:val="16"/>
          <w:szCs w:val="16"/>
        </w:rPr>
        <w:t xml:space="preserve"> s dátumom účinnosti 24.</w:t>
      </w:r>
      <w:r w:rsidR="0000294D">
        <w:rPr>
          <w:rFonts w:ascii="Arial" w:hAnsi="Arial" w:cs="Arial"/>
          <w:sz w:val="16"/>
          <w:szCs w:val="16"/>
        </w:rPr>
        <w:t>12.</w:t>
      </w:r>
      <w:r w:rsidR="00031481">
        <w:rPr>
          <w:rFonts w:ascii="Arial" w:hAnsi="Arial" w:cs="Arial"/>
          <w:sz w:val="16"/>
          <w:szCs w:val="16"/>
        </w:rPr>
        <w:t>2013</w:t>
      </w:r>
      <w:r w:rsidR="00BF3C39">
        <w:rPr>
          <w:rFonts w:ascii="Arial" w:hAnsi="Arial" w:cs="Arial"/>
          <w:sz w:val="16"/>
          <w:szCs w:val="16"/>
        </w:rPr>
        <w:t>.</w:t>
      </w:r>
    </w:p>
    <w:p w14:paraId="435E2C03" w14:textId="77777777" w:rsidR="002416B1" w:rsidRPr="00E21C60" w:rsidRDefault="002416B1" w:rsidP="00123376">
      <w:pPr>
        <w:spacing w:before="240" w:after="120"/>
        <w:jc w:val="both"/>
        <w:rPr>
          <w:rFonts w:ascii="Arial" w:hAnsi="Arial" w:cs="Arial"/>
          <w:b/>
          <w:sz w:val="20"/>
          <w:szCs w:val="20"/>
        </w:rPr>
      </w:pPr>
      <w:r w:rsidRPr="00E21C60">
        <w:rPr>
          <w:rFonts w:ascii="Arial" w:hAnsi="Arial" w:cs="Arial"/>
          <w:b/>
          <w:sz w:val="20"/>
          <w:szCs w:val="20"/>
        </w:rPr>
        <w:t>Plnenie fyzických ukazovateľov</w:t>
      </w:r>
    </w:p>
    <w:p w14:paraId="0ECB55F8" w14:textId="33CF40E3" w:rsidR="002416B1" w:rsidRDefault="00762301" w:rsidP="00123376">
      <w:pPr>
        <w:spacing w:before="120" w:after="120"/>
        <w:jc w:val="both"/>
        <w:rPr>
          <w:rFonts w:ascii="Arial" w:hAnsi="Arial" w:cs="Arial"/>
          <w:sz w:val="20"/>
          <w:szCs w:val="20"/>
        </w:rPr>
      </w:pPr>
      <w:r w:rsidRPr="00762301">
        <w:rPr>
          <w:rFonts w:ascii="Arial" w:hAnsi="Arial" w:cs="Arial"/>
          <w:sz w:val="20"/>
          <w:szCs w:val="20"/>
        </w:rPr>
        <w:t>Realizácia aktivít projektu sa začala vo februári 2013. Plánovaný termín ukončenia realizácie aktivít projektu bol 31.</w:t>
      </w:r>
      <w:r w:rsidR="00AF4DE9">
        <w:rPr>
          <w:rFonts w:ascii="Arial" w:hAnsi="Arial" w:cs="Arial"/>
          <w:sz w:val="20"/>
          <w:szCs w:val="20"/>
        </w:rPr>
        <w:t xml:space="preserve"> </w:t>
      </w:r>
      <w:r w:rsidRPr="00762301">
        <w:rPr>
          <w:rFonts w:ascii="Arial" w:hAnsi="Arial" w:cs="Arial"/>
          <w:sz w:val="20"/>
          <w:szCs w:val="20"/>
        </w:rPr>
        <w:t>12.</w:t>
      </w:r>
      <w:r w:rsidR="00AF4DE9">
        <w:rPr>
          <w:rFonts w:ascii="Arial" w:hAnsi="Arial" w:cs="Arial"/>
          <w:sz w:val="20"/>
          <w:szCs w:val="20"/>
        </w:rPr>
        <w:t xml:space="preserve"> </w:t>
      </w:r>
      <w:r w:rsidRPr="00762301">
        <w:rPr>
          <w:rFonts w:ascii="Arial" w:hAnsi="Arial" w:cs="Arial"/>
          <w:sz w:val="20"/>
          <w:szCs w:val="20"/>
        </w:rPr>
        <w:t>2015. Na základe zmeny projektu z iniciatívy Poskytovateľa bol projekt predĺžený do 30.</w:t>
      </w:r>
      <w:r w:rsidR="00AF4DE9">
        <w:rPr>
          <w:rFonts w:ascii="Arial" w:hAnsi="Arial" w:cs="Arial"/>
          <w:sz w:val="20"/>
          <w:szCs w:val="20"/>
        </w:rPr>
        <w:t xml:space="preserve"> </w:t>
      </w:r>
      <w:r w:rsidRPr="00762301">
        <w:rPr>
          <w:rFonts w:ascii="Arial" w:hAnsi="Arial" w:cs="Arial"/>
          <w:sz w:val="20"/>
          <w:szCs w:val="20"/>
        </w:rPr>
        <w:t>06.</w:t>
      </w:r>
      <w:r w:rsidR="00AF4DE9">
        <w:rPr>
          <w:rFonts w:ascii="Arial" w:hAnsi="Arial" w:cs="Arial"/>
          <w:sz w:val="20"/>
          <w:szCs w:val="20"/>
        </w:rPr>
        <w:t xml:space="preserve"> </w:t>
      </w:r>
      <w:r w:rsidRPr="00762301">
        <w:rPr>
          <w:rFonts w:ascii="Arial" w:hAnsi="Arial" w:cs="Arial"/>
          <w:sz w:val="20"/>
          <w:szCs w:val="20"/>
        </w:rPr>
        <w:t>2016. Projekt bol ku dňu 30.</w:t>
      </w:r>
      <w:r w:rsidR="00AF4DE9">
        <w:rPr>
          <w:rFonts w:ascii="Arial" w:hAnsi="Arial" w:cs="Arial"/>
          <w:sz w:val="20"/>
          <w:szCs w:val="20"/>
        </w:rPr>
        <w:t xml:space="preserve"> </w:t>
      </w:r>
      <w:r w:rsidRPr="00762301">
        <w:rPr>
          <w:rFonts w:ascii="Arial" w:hAnsi="Arial" w:cs="Arial"/>
          <w:sz w:val="20"/>
          <w:szCs w:val="20"/>
        </w:rPr>
        <w:t>06.</w:t>
      </w:r>
      <w:r w:rsidR="00AF4DE9">
        <w:rPr>
          <w:rFonts w:ascii="Arial" w:hAnsi="Arial" w:cs="Arial"/>
          <w:sz w:val="20"/>
          <w:szCs w:val="20"/>
        </w:rPr>
        <w:t xml:space="preserve"> </w:t>
      </w:r>
      <w:r w:rsidRPr="00762301">
        <w:rPr>
          <w:rFonts w:ascii="Arial" w:hAnsi="Arial" w:cs="Arial"/>
          <w:sz w:val="20"/>
          <w:szCs w:val="20"/>
        </w:rPr>
        <w:t>2016 zrealizovaný a finančne ukončený. Záverečná monitorovacia správa bola schválená dňa 25.</w:t>
      </w:r>
      <w:r w:rsidR="00AF4DE9">
        <w:rPr>
          <w:rFonts w:ascii="Arial" w:hAnsi="Arial" w:cs="Arial"/>
          <w:sz w:val="20"/>
          <w:szCs w:val="20"/>
        </w:rPr>
        <w:t xml:space="preserve"> </w:t>
      </w:r>
      <w:r w:rsidRPr="00762301">
        <w:rPr>
          <w:rFonts w:ascii="Arial" w:hAnsi="Arial" w:cs="Arial"/>
          <w:sz w:val="20"/>
          <w:szCs w:val="20"/>
        </w:rPr>
        <w:t>10.</w:t>
      </w:r>
      <w:r w:rsidR="00AF4DE9">
        <w:rPr>
          <w:rFonts w:ascii="Arial" w:hAnsi="Arial" w:cs="Arial"/>
          <w:sz w:val="20"/>
          <w:szCs w:val="20"/>
        </w:rPr>
        <w:t xml:space="preserve"> </w:t>
      </w:r>
      <w:r w:rsidRPr="00762301">
        <w:rPr>
          <w:rFonts w:ascii="Arial" w:hAnsi="Arial" w:cs="Arial"/>
          <w:sz w:val="20"/>
          <w:szCs w:val="20"/>
        </w:rPr>
        <w:t xml:space="preserve">2016 a projekt bol úspešne ukončený dňa </w:t>
      </w:r>
      <w:r w:rsidR="00AF4DE9">
        <w:rPr>
          <w:rFonts w:ascii="Arial" w:hAnsi="Arial" w:cs="Arial"/>
          <w:sz w:val="20"/>
          <w:szCs w:val="20"/>
        </w:rPr>
        <w:t xml:space="preserve">             </w:t>
      </w:r>
      <w:r w:rsidRPr="00762301">
        <w:rPr>
          <w:rFonts w:ascii="Arial" w:hAnsi="Arial" w:cs="Arial"/>
          <w:sz w:val="20"/>
          <w:szCs w:val="20"/>
        </w:rPr>
        <w:t>26.</w:t>
      </w:r>
      <w:r w:rsidR="00AF4DE9">
        <w:rPr>
          <w:rFonts w:ascii="Arial" w:hAnsi="Arial" w:cs="Arial"/>
          <w:sz w:val="20"/>
          <w:szCs w:val="20"/>
        </w:rPr>
        <w:t xml:space="preserve"> </w:t>
      </w:r>
      <w:r w:rsidRPr="00762301">
        <w:rPr>
          <w:rFonts w:ascii="Arial" w:hAnsi="Arial" w:cs="Arial"/>
          <w:sz w:val="20"/>
          <w:szCs w:val="20"/>
        </w:rPr>
        <w:t>10.</w:t>
      </w:r>
      <w:r w:rsidR="00AF4DE9">
        <w:rPr>
          <w:rFonts w:ascii="Arial" w:hAnsi="Arial" w:cs="Arial"/>
          <w:sz w:val="20"/>
          <w:szCs w:val="20"/>
        </w:rPr>
        <w:t xml:space="preserve"> </w:t>
      </w:r>
      <w:r w:rsidRPr="00762301">
        <w:rPr>
          <w:rFonts w:ascii="Arial" w:hAnsi="Arial" w:cs="Arial"/>
          <w:sz w:val="20"/>
          <w:szCs w:val="20"/>
        </w:rPr>
        <w:t>2016.</w:t>
      </w:r>
    </w:p>
    <w:p w14:paraId="4A7E7D40" w14:textId="77777777" w:rsidR="007B1CB9" w:rsidRPr="00D641FF" w:rsidRDefault="007B1CB9" w:rsidP="00123376">
      <w:pPr>
        <w:spacing w:before="120" w:after="120"/>
        <w:jc w:val="both"/>
        <w:rPr>
          <w:rFonts w:ascii="Arial" w:hAnsi="Arial" w:cs="Arial"/>
          <w:sz w:val="20"/>
          <w:szCs w:val="20"/>
        </w:rPr>
      </w:pPr>
    </w:p>
    <w:p w14:paraId="29ADCDA2" w14:textId="77777777" w:rsidR="002416B1" w:rsidRPr="00CE0728" w:rsidRDefault="002416B1" w:rsidP="00123376">
      <w:pPr>
        <w:pStyle w:val="Nadpis8"/>
        <w:spacing w:after="120"/>
        <w:jc w:val="both"/>
        <w:rPr>
          <w:rFonts w:ascii="Arial" w:hAnsi="Arial" w:cs="Arial"/>
          <w:b/>
          <w:sz w:val="22"/>
          <w:szCs w:val="22"/>
        </w:rPr>
      </w:pPr>
      <w:r w:rsidRPr="00CE0728">
        <w:rPr>
          <w:rFonts w:ascii="Arial" w:hAnsi="Arial" w:cs="Arial"/>
          <w:b/>
          <w:sz w:val="22"/>
          <w:szCs w:val="22"/>
        </w:rPr>
        <w:t>3.7.1.2 Finančná implementácia v rámci prioritnej osi 7</w:t>
      </w:r>
    </w:p>
    <w:p w14:paraId="1F3FADAF" w14:textId="77777777" w:rsidR="006161E9" w:rsidRDefault="006161E9" w:rsidP="008A1902">
      <w:pPr>
        <w:pStyle w:val="Zkladntextb"/>
        <w:keepNext/>
        <w:spacing w:after="0" w:line="240" w:lineRule="auto"/>
        <w:ind w:left="0"/>
        <w:jc w:val="both"/>
        <w:rPr>
          <w:rFonts w:cs="Arial"/>
        </w:rPr>
      </w:pPr>
      <w:r w:rsidRPr="00C925FD">
        <w:rPr>
          <w:rFonts w:cs="Arial"/>
        </w:rPr>
        <w:lastRenderedPageBreak/>
        <w:t xml:space="preserve">K 31. 10. 2016 bolo z </w:t>
      </w:r>
      <w:r>
        <w:rPr>
          <w:rFonts w:cs="Arial"/>
        </w:rPr>
        <w:t>ERDF</w:t>
      </w:r>
      <w:r w:rsidRPr="00C925FD">
        <w:rPr>
          <w:rFonts w:cs="Arial"/>
        </w:rPr>
        <w:t xml:space="preserve"> za prioritnú os </w:t>
      </w:r>
      <w:r>
        <w:rPr>
          <w:rFonts w:cs="Arial"/>
        </w:rPr>
        <w:t>7</w:t>
      </w:r>
      <w:r w:rsidRPr="00C925FD">
        <w:rPr>
          <w:rFonts w:cs="Arial"/>
        </w:rPr>
        <w:t xml:space="preserve"> vyčerpaných </w:t>
      </w:r>
      <w:r>
        <w:rPr>
          <w:rFonts w:cs="Arial"/>
        </w:rPr>
        <w:t>16,77</w:t>
      </w:r>
      <w:r w:rsidRPr="00C925FD">
        <w:rPr>
          <w:rFonts w:cs="Arial"/>
        </w:rPr>
        <w:t xml:space="preserve"> mil</w:t>
      </w:r>
      <w:r>
        <w:rPr>
          <w:rFonts w:cs="Arial"/>
        </w:rPr>
        <w:t>.</w:t>
      </w:r>
      <w:r w:rsidRPr="00C925FD">
        <w:rPr>
          <w:rFonts w:cs="Arial"/>
        </w:rPr>
        <w:t xml:space="preserve"> €, čo predstavuje </w:t>
      </w:r>
      <w:r>
        <w:rPr>
          <w:rFonts w:cs="Arial"/>
        </w:rPr>
        <w:t>83,85</w:t>
      </w:r>
      <w:r w:rsidRPr="00C925FD">
        <w:rPr>
          <w:rFonts w:cs="Arial"/>
        </w:rPr>
        <w:t xml:space="preserve"> % z celkového záväzku na prioritnú os na toto programové obdobie. </w:t>
      </w:r>
    </w:p>
    <w:p w14:paraId="60185B5F" w14:textId="77777777" w:rsidR="006161E9" w:rsidRDefault="006161E9" w:rsidP="008A1902">
      <w:pPr>
        <w:pStyle w:val="Zkladntextb"/>
        <w:keepNext/>
        <w:spacing w:after="0" w:line="240" w:lineRule="auto"/>
        <w:ind w:left="0"/>
        <w:jc w:val="both"/>
        <w:rPr>
          <w:rFonts w:cs="Arial"/>
        </w:rPr>
      </w:pPr>
    </w:p>
    <w:p w14:paraId="73281B87" w14:textId="6B318388" w:rsidR="008B4F38" w:rsidRPr="00D641FF" w:rsidRDefault="008B4F38" w:rsidP="008A1902">
      <w:pPr>
        <w:pStyle w:val="Zkladntextb"/>
        <w:keepNext/>
        <w:spacing w:after="0" w:line="240" w:lineRule="auto"/>
        <w:ind w:left="0"/>
        <w:jc w:val="both"/>
        <w:rPr>
          <w:rFonts w:cs="Arial"/>
          <w:lang w:val="sk-SK"/>
        </w:rPr>
      </w:pPr>
      <w:r w:rsidRPr="009F7CC0">
        <w:rPr>
          <w:rFonts w:cs="Arial"/>
          <w:lang w:val="sk-SK"/>
        </w:rPr>
        <w:t xml:space="preserve">Tabuľka č. </w:t>
      </w:r>
      <w:r w:rsidR="00670044" w:rsidRPr="009F7CC0">
        <w:rPr>
          <w:rFonts w:cs="Arial"/>
          <w:lang w:val="sk-SK"/>
        </w:rPr>
        <w:t>7</w:t>
      </w:r>
      <w:r w:rsidR="007B1CB9">
        <w:rPr>
          <w:rFonts w:cs="Arial"/>
          <w:lang w:val="sk-SK"/>
        </w:rPr>
        <w:t>2</w:t>
      </w:r>
      <w:r w:rsidRPr="009F7CC0">
        <w:rPr>
          <w:rFonts w:cs="Arial"/>
          <w:lang w:val="sk-SK"/>
        </w:rPr>
        <w:t>: Čerpanie prostriedkov prioritnej osi 7 k 31.</w:t>
      </w:r>
      <w:r w:rsidR="000376EF" w:rsidRPr="009F7CC0">
        <w:rPr>
          <w:rFonts w:cs="Arial"/>
          <w:lang w:val="sk-SK"/>
        </w:rPr>
        <w:t>08</w:t>
      </w:r>
      <w:r w:rsidRPr="009F7CC0">
        <w:rPr>
          <w:rFonts w:cs="Arial"/>
          <w:lang w:val="sk-SK"/>
        </w:rPr>
        <w:t>.201</w:t>
      </w:r>
      <w:r w:rsidR="000376EF" w:rsidRPr="009F7CC0">
        <w:rPr>
          <w:rFonts w:cs="Arial"/>
          <w:lang w:val="sk-SK"/>
        </w:rPr>
        <w:t>6</w:t>
      </w:r>
    </w:p>
    <w:tbl>
      <w:tblPr>
        <w:tblW w:w="8931" w:type="dxa"/>
        <w:jc w:val="center"/>
        <w:tblLayout w:type="fixed"/>
        <w:tblCellMar>
          <w:left w:w="70" w:type="dxa"/>
          <w:right w:w="70" w:type="dxa"/>
        </w:tblCellMar>
        <w:tblLook w:val="0000" w:firstRow="0" w:lastRow="0" w:firstColumn="0" w:lastColumn="0" w:noHBand="0" w:noVBand="0"/>
      </w:tblPr>
      <w:tblGrid>
        <w:gridCol w:w="2684"/>
        <w:gridCol w:w="3073"/>
        <w:gridCol w:w="1392"/>
        <w:gridCol w:w="1782"/>
      </w:tblGrid>
      <w:tr w:rsidR="000376EF" w:rsidRPr="00E21C60" w14:paraId="5370F2D9" w14:textId="77777777" w:rsidTr="007D7B08">
        <w:trPr>
          <w:trHeight w:val="585"/>
          <w:jc w:val="center"/>
        </w:trPr>
        <w:tc>
          <w:tcPr>
            <w:tcW w:w="2684"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14:paraId="64B4FD35" w14:textId="77777777" w:rsidR="000376EF" w:rsidRPr="00E21C60" w:rsidRDefault="000376EF" w:rsidP="008A1902">
            <w:pPr>
              <w:keepNext/>
              <w:jc w:val="both"/>
              <w:rPr>
                <w:rFonts w:ascii="Arial" w:hAnsi="Arial" w:cs="Arial"/>
                <w:sz w:val="16"/>
                <w:szCs w:val="16"/>
              </w:rPr>
            </w:pPr>
            <w:r w:rsidRPr="00E21C60">
              <w:rPr>
                <w:rFonts w:ascii="Arial" w:hAnsi="Arial" w:cs="Arial"/>
                <w:sz w:val="16"/>
                <w:szCs w:val="16"/>
              </w:rPr>
              <w:t> </w:t>
            </w:r>
          </w:p>
        </w:tc>
        <w:tc>
          <w:tcPr>
            <w:tcW w:w="3073" w:type="dxa"/>
            <w:vMerge w:val="restart"/>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0E62BB24" w14:textId="77777777" w:rsidR="000376EF" w:rsidRPr="00E21C60" w:rsidRDefault="000376EF" w:rsidP="008A1902">
            <w:pPr>
              <w:keepNext/>
              <w:jc w:val="center"/>
              <w:rPr>
                <w:rFonts w:ascii="Arial" w:hAnsi="Arial" w:cs="Arial"/>
                <w:sz w:val="16"/>
                <w:szCs w:val="16"/>
              </w:rPr>
            </w:pPr>
            <w:r w:rsidRPr="00E21C60">
              <w:rPr>
                <w:rFonts w:ascii="Arial" w:eastAsia="EUAlbertina-Regular-Identity-H" w:hAnsi="Arial" w:cs="Arial"/>
                <w:sz w:val="16"/>
                <w:szCs w:val="16"/>
              </w:rPr>
              <w:t xml:space="preserve">Záväzok </w:t>
            </w:r>
            <w:r w:rsidRPr="00E21C60">
              <w:rPr>
                <w:rFonts w:ascii="Arial" w:eastAsia="EUAlbertina-Regular-Identity-H" w:hAnsi="Arial" w:cs="Arial"/>
                <w:sz w:val="16"/>
                <w:szCs w:val="16"/>
              </w:rPr>
              <w:br/>
              <w:t>2007 - 2013</w:t>
            </w:r>
            <w:r w:rsidRPr="00E21C60">
              <w:rPr>
                <w:rFonts w:ascii="Arial" w:eastAsia="EUAlbertina-Regular-Identity-H" w:hAnsi="Arial" w:cs="Arial"/>
                <w:sz w:val="16"/>
                <w:szCs w:val="16"/>
              </w:rPr>
              <w:br/>
              <w:t xml:space="preserve"> za EÚ zdroje</w:t>
            </w:r>
            <w:r w:rsidRPr="00E21C60">
              <w:rPr>
                <w:rFonts w:ascii="Arial" w:eastAsia="EUAlbertina-Regular-Identity-H" w:hAnsi="Arial" w:cs="Arial"/>
                <w:sz w:val="16"/>
                <w:szCs w:val="16"/>
              </w:rPr>
              <w:br/>
            </w:r>
            <w:r w:rsidRPr="00E21C60">
              <w:rPr>
                <w:rFonts w:ascii="Arial" w:hAnsi="Arial" w:cs="Arial"/>
                <w:sz w:val="16"/>
                <w:szCs w:val="16"/>
              </w:rPr>
              <w:t>v €</w:t>
            </w:r>
          </w:p>
        </w:tc>
        <w:tc>
          <w:tcPr>
            <w:tcW w:w="3174" w:type="dxa"/>
            <w:gridSpan w:val="2"/>
            <w:tcBorders>
              <w:top w:val="single" w:sz="8" w:space="0" w:color="auto"/>
              <w:left w:val="nil"/>
              <w:bottom w:val="single" w:sz="4" w:space="0" w:color="auto"/>
              <w:right w:val="single" w:sz="8" w:space="0" w:color="000000"/>
            </w:tcBorders>
            <w:shd w:val="clear" w:color="auto" w:fill="C2D69B" w:themeFill="accent3" w:themeFillTint="99"/>
            <w:vAlign w:val="center"/>
          </w:tcPr>
          <w:p w14:paraId="009AF335" w14:textId="77777777" w:rsidR="000376EF" w:rsidRPr="00E21C60" w:rsidRDefault="000376EF" w:rsidP="008A1902">
            <w:pPr>
              <w:keepNext/>
              <w:jc w:val="center"/>
              <w:rPr>
                <w:rFonts w:ascii="Arial" w:hAnsi="Arial" w:cs="Arial"/>
                <w:sz w:val="16"/>
                <w:szCs w:val="16"/>
              </w:rPr>
            </w:pPr>
            <w:r w:rsidRPr="00E21C60">
              <w:rPr>
                <w:rFonts w:ascii="Arial" w:hAnsi="Arial" w:cs="Arial"/>
                <w:sz w:val="16"/>
                <w:szCs w:val="16"/>
              </w:rPr>
              <w:t xml:space="preserve">Čerpanie prostriedkov kumulatívne </w:t>
            </w:r>
            <w:r w:rsidRPr="00E21C60">
              <w:rPr>
                <w:rFonts w:ascii="Arial" w:hAnsi="Arial" w:cs="Arial"/>
                <w:sz w:val="16"/>
                <w:szCs w:val="16"/>
              </w:rPr>
              <w:br/>
              <w:t>(EU zdroje) v €</w:t>
            </w:r>
          </w:p>
        </w:tc>
      </w:tr>
      <w:tr w:rsidR="000376EF" w:rsidRPr="00E21C60" w14:paraId="3A1188C1" w14:textId="77777777" w:rsidTr="007D7B08">
        <w:trPr>
          <w:trHeight w:val="480"/>
          <w:jc w:val="center"/>
        </w:trPr>
        <w:tc>
          <w:tcPr>
            <w:tcW w:w="2684" w:type="dxa"/>
            <w:vMerge/>
            <w:tcBorders>
              <w:top w:val="single" w:sz="8" w:space="0" w:color="auto"/>
              <w:left w:val="single" w:sz="8" w:space="0" w:color="auto"/>
              <w:bottom w:val="single" w:sz="4" w:space="0" w:color="auto"/>
              <w:right w:val="single" w:sz="4" w:space="0" w:color="auto"/>
            </w:tcBorders>
            <w:shd w:val="clear" w:color="auto" w:fill="auto"/>
            <w:vAlign w:val="center"/>
          </w:tcPr>
          <w:p w14:paraId="2F214A52" w14:textId="77777777" w:rsidR="000376EF" w:rsidRPr="00E21C60" w:rsidRDefault="000376EF" w:rsidP="008A1902">
            <w:pPr>
              <w:keepNext/>
              <w:jc w:val="both"/>
              <w:rPr>
                <w:rFonts w:ascii="Arial" w:hAnsi="Arial" w:cs="Arial"/>
                <w:sz w:val="16"/>
                <w:szCs w:val="16"/>
              </w:rPr>
            </w:pPr>
          </w:p>
        </w:tc>
        <w:tc>
          <w:tcPr>
            <w:tcW w:w="3073" w:type="dxa"/>
            <w:vMerge/>
            <w:tcBorders>
              <w:top w:val="single" w:sz="8" w:space="0" w:color="auto"/>
              <w:left w:val="single" w:sz="4" w:space="0" w:color="auto"/>
              <w:bottom w:val="single" w:sz="4" w:space="0" w:color="auto"/>
              <w:right w:val="single" w:sz="4" w:space="0" w:color="auto"/>
            </w:tcBorders>
            <w:shd w:val="clear" w:color="auto" w:fill="C2D69B" w:themeFill="accent3" w:themeFillTint="99"/>
            <w:vAlign w:val="center"/>
          </w:tcPr>
          <w:p w14:paraId="2B2D08C7" w14:textId="77777777" w:rsidR="000376EF" w:rsidRPr="00E21C60" w:rsidRDefault="000376EF" w:rsidP="008A1902">
            <w:pPr>
              <w:keepNext/>
              <w:jc w:val="center"/>
              <w:rPr>
                <w:rFonts w:ascii="Arial" w:hAnsi="Arial" w:cs="Arial"/>
                <w:sz w:val="16"/>
                <w:szCs w:val="16"/>
              </w:rPr>
            </w:pPr>
          </w:p>
        </w:tc>
        <w:tc>
          <w:tcPr>
            <w:tcW w:w="1392" w:type="dxa"/>
            <w:tcBorders>
              <w:top w:val="nil"/>
              <w:left w:val="nil"/>
              <w:bottom w:val="single" w:sz="4" w:space="0" w:color="auto"/>
              <w:right w:val="single" w:sz="4" w:space="0" w:color="auto"/>
            </w:tcBorders>
            <w:shd w:val="clear" w:color="auto" w:fill="C2D69B" w:themeFill="accent3" w:themeFillTint="99"/>
            <w:noWrap/>
            <w:vAlign w:val="center"/>
          </w:tcPr>
          <w:p w14:paraId="305FE382" w14:textId="77777777" w:rsidR="000376EF" w:rsidRPr="00E21C60" w:rsidRDefault="000376EF" w:rsidP="008A1902">
            <w:pPr>
              <w:keepNext/>
              <w:jc w:val="center"/>
              <w:rPr>
                <w:rFonts w:ascii="Arial" w:hAnsi="Arial" w:cs="Arial"/>
                <w:sz w:val="16"/>
                <w:szCs w:val="16"/>
              </w:rPr>
            </w:pPr>
            <w:r w:rsidRPr="00E21C60">
              <w:rPr>
                <w:rFonts w:ascii="Arial" w:hAnsi="Arial" w:cs="Arial"/>
                <w:sz w:val="16"/>
                <w:szCs w:val="16"/>
              </w:rPr>
              <w:t>Celkom</w:t>
            </w:r>
          </w:p>
        </w:tc>
        <w:tc>
          <w:tcPr>
            <w:tcW w:w="1782" w:type="dxa"/>
            <w:tcBorders>
              <w:top w:val="nil"/>
              <w:left w:val="nil"/>
              <w:bottom w:val="single" w:sz="4" w:space="0" w:color="auto"/>
              <w:right w:val="single" w:sz="8" w:space="0" w:color="auto"/>
            </w:tcBorders>
            <w:shd w:val="clear" w:color="auto" w:fill="C2D69B" w:themeFill="accent3" w:themeFillTint="99"/>
            <w:vAlign w:val="center"/>
          </w:tcPr>
          <w:p w14:paraId="69A7CB04" w14:textId="77777777" w:rsidR="000376EF" w:rsidRPr="00E21C60" w:rsidRDefault="000376EF" w:rsidP="008A1902">
            <w:pPr>
              <w:keepNext/>
              <w:jc w:val="center"/>
              <w:rPr>
                <w:rFonts w:ascii="Arial" w:hAnsi="Arial" w:cs="Arial"/>
                <w:sz w:val="16"/>
                <w:szCs w:val="16"/>
              </w:rPr>
            </w:pPr>
            <w:r w:rsidRPr="00E21C60">
              <w:rPr>
                <w:rFonts w:ascii="Arial" w:hAnsi="Arial" w:cs="Arial"/>
                <w:sz w:val="16"/>
                <w:szCs w:val="16"/>
              </w:rPr>
              <w:t>% zo záväzku</w:t>
            </w:r>
          </w:p>
          <w:p w14:paraId="65243BA8" w14:textId="77777777" w:rsidR="000376EF" w:rsidRPr="00E21C60" w:rsidRDefault="000376EF" w:rsidP="008A1902">
            <w:pPr>
              <w:keepNext/>
              <w:jc w:val="center"/>
              <w:rPr>
                <w:rFonts w:ascii="Arial" w:hAnsi="Arial" w:cs="Arial"/>
                <w:sz w:val="16"/>
                <w:szCs w:val="16"/>
              </w:rPr>
            </w:pPr>
            <w:r w:rsidRPr="00E21C60">
              <w:rPr>
                <w:rFonts w:ascii="Arial" w:hAnsi="Arial" w:cs="Arial"/>
                <w:sz w:val="16"/>
                <w:szCs w:val="16"/>
              </w:rPr>
              <w:t>2007 - 2013</w:t>
            </w:r>
          </w:p>
        </w:tc>
      </w:tr>
      <w:tr w:rsidR="000376EF" w:rsidRPr="00E21C60" w14:paraId="78F34C5C" w14:textId="77777777" w:rsidTr="000376EF">
        <w:trPr>
          <w:trHeight w:val="255"/>
          <w:jc w:val="center"/>
        </w:trPr>
        <w:tc>
          <w:tcPr>
            <w:tcW w:w="2684" w:type="dxa"/>
            <w:tcBorders>
              <w:top w:val="single" w:sz="4" w:space="0" w:color="auto"/>
              <w:left w:val="single" w:sz="8" w:space="0" w:color="auto"/>
              <w:bottom w:val="single" w:sz="4" w:space="0" w:color="auto"/>
              <w:right w:val="single" w:sz="4" w:space="0" w:color="auto"/>
            </w:tcBorders>
            <w:shd w:val="clear" w:color="auto" w:fill="auto"/>
            <w:noWrap/>
            <w:vAlign w:val="center"/>
          </w:tcPr>
          <w:p w14:paraId="4DB81D18" w14:textId="77777777" w:rsidR="000376EF" w:rsidRPr="00E21C60" w:rsidRDefault="000376EF" w:rsidP="008A1902">
            <w:pPr>
              <w:keepNext/>
              <w:jc w:val="center"/>
              <w:rPr>
                <w:rFonts w:ascii="Arial" w:hAnsi="Arial" w:cs="Arial"/>
                <w:sz w:val="16"/>
                <w:szCs w:val="16"/>
              </w:rPr>
            </w:pPr>
            <w:r w:rsidRPr="00E21C60">
              <w:rPr>
                <w:rFonts w:ascii="Arial" w:hAnsi="Arial" w:cs="Arial"/>
                <w:sz w:val="16"/>
                <w:szCs w:val="16"/>
              </w:rPr>
              <w:t>Prioritná os 7</w:t>
            </w:r>
          </w:p>
        </w:tc>
        <w:tc>
          <w:tcPr>
            <w:tcW w:w="3073" w:type="dxa"/>
            <w:tcBorders>
              <w:top w:val="nil"/>
              <w:left w:val="nil"/>
              <w:bottom w:val="single" w:sz="4" w:space="0" w:color="auto"/>
              <w:right w:val="single" w:sz="4" w:space="0" w:color="auto"/>
            </w:tcBorders>
            <w:shd w:val="clear" w:color="auto" w:fill="auto"/>
            <w:noWrap/>
            <w:vAlign w:val="center"/>
          </w:tcPr>
          <w:p w14:paraId="2B40F86A" w14:textId="77777777" w:rsidR="000376EF" w:rsidRPr="00E21C60" w:rsidRDefault="000376EF" w:rsidP="008A1902">
            <w:pPr>
              <w:keepNext/>
              <w:jc w:val="center"/>
              <w:rPr>
                <w:rFonts w:ascii="Arial" w:hAnsi="Arial" w:cs="Arial"/>
                <w:sz w:val="16"/>
                <w:szCs w:val="16"/>
              </w:rPr>
            </w:pPr>
            <w:r w:rsidRPr="00E21C60">
              <w:rPr>
                <w:rFonts w:ascii="Arial" w:hAnsi="Arial" w:cs="Arial"/>
                <w:color w:val="000000"/>
                <w:sz w:val="16"/>
                <w:szCs w:val="16"/>
              </w:rPr>
              <w:t>20 000 000</w:t>
            </w:r>
          </w:p>
        </w:tc>
        <w:tc>
          <w:tcPr>
            <w:tcW w:w="1392" w:type="dxa"/>
            <w:tcBorders>
              <w:top w:val="nil"/>
              <w:left w:val="nil"/>
              <w:bottom w:val="single" w:sz="4" w:space="0" w:color="auto"/>
              <w:right w:val="single" w:sz="4" w:space="0" w:color="auto"/>
            </w:tcBorders>
            <w:shd w:val="clear" w:color="auto" w:fill="auto"/>
            <w:noWrap/>
            <w:vAlign w:val="center"/>
          </w:tcPr>
          <w:p w14:paraId="7351B4F3" w14:textId="4E84B595" w:rsidR="000376EF" w:rsidRPr="00E21C60" w:rsidRDefault="000376EF" w:rsidP="008A1902">
            <w:pPr>
              <w:keepNext/>
              <w:jc w:val="center"/>
              <w:rPr>
                <w:rFonts w:ascii="Arial" w:hAnsi="Arial" w:cs="Arial"/>
                <w:color w:val="000000"/>
                <w:sz w:val="16"/>
                <w:szCs w:val="16"/>
              </w:rPr>
            </w:pPr>
            <w:r>
              <w:rPr>
                <w:rFonts w:ascii="Arial" w:hAnsi="Arial" w:cs="Arial"/>
                <w:color w:val="000000"/>
                <w:sz w:val="16"/>
                <w:szCs w:val="16"/>
              </w:rPr>
              <w:t>16 769 637,</w:t>
            </w:r>
            <w:r w:rsidR="006161E9">
              <w:rPr>
                <w:rFonts w:ascii="Arial" w:hAnsi="Arial" w:cs="Arial"/>
                <w:color w:val="000000"/>
                <w:sz w:val="16"/>
                <w:szCs w:val="16"/>
              </w:rPr>
              <w:t>61</w:t>
            </w:r>
          </w:p>
        </w:tc>
        <w:tc>
          <w:tcPr>
            <w:tcW w:w="1782" w:type="dxa"/>
            <w:tcBorders>
              <w:top w:val="nil"/>
              <w:left w:val="nil"/>
              <w:bottom w:val="single" w:sz="4" w:space="0" w:color="auto"/>
              <w:right w:val="single" w:sz="8" w:space="0" w:color="auto"/>
            </w:tcBorders>
            <w:shd w:val="clear" w:color="auto" w:fill="auto"/>
            <w:noWrap/>
            <w:vAlign w:val="center"/>
          </w:tcPr>
          <w:p w14:paraId="2097C1D2" w14:textId="7DEDFB2F" w:rsidR="000376EF" w:rsidRPr="00E21C60" w:rsidRDefault="000376EF" w:rsidP="008A1902">
            <w:pPr>
              <w:keepNext/>
              <w:jc w:val="center"/>
              <w:rPr>
                <w:rFonts w:ascii="Arial" w:hAnsi="Arial" w:cs="Arial"/>
                <w:color w:val="000000"/>
                <w:sz w:val="16"/>
                <w:szCs w:val="16"/>
              </w:rPr>
            </w:pPr>
            <w:r>
              <w:rPr>
                <w:rFonts w:ascii="Arial" w:hAnsi="Arial" w:cs="Arial"/>
                <w:color w:val="000000"/>
                <w:sz w:val="16"/>
                <w:szCs w:val="16"/>
              </w:rPr>
              <w:t xml:space="preserve">83,85 </w:t>
            </w:r>
            <w:r w:rsidRPr="00123376">
              <w:rPr>
                <w:rFonts w:ascii="Arial" w:hAnsi="Arial" w:cs="Arial"/>
                <w:color w:val="000000"/>
                <w:sz w:val="16"/>
                <w:szCs w:val="16"/>
              </w:rPr>
              <w:t>%</w:t>
            </w:r>
          </w:p>
        </w:tc>
      </w:tr>
    </w:tbl>
    <w:p w14:paraId="7C3D4995" w14:textId="6669A93D" w:rsidR="0000294D" w:rsidRPr="00021D46" w:rsidRDefault="008B4F38" w:rsidP="00021D46">
      <w:pPr>
        <w:pStyle w:val="Zkladntextb"/>
        <w:spacing w:after="120" w:line="240" w:lineRule="auto"/>
        <w:ind w:left="0"/>
        <w:rPr>
          <w:rFonts w:cs="Arial"/>
          <w:sz w:val="16"/>
          <w:szCs w:val="16"/>
          <w:lang w:val="sk-SK"/>
        </w:rPr>
      </w:pPr>
      <w:r w:rsidRPr="00CE0728">
        <w:rPr>
          <w:rFonts w:cs="Arial"/>
          <w:sz w:val="16"/>
          <w:szCs w:val="16"/>
          <w:lang w:val="sk-SK"/>
        </w:rPr>
        <w:t>Zdroj: CO</w:t>
      </w:r>
    </w:p>
    <w:p w14:paraId="54297E4B" w14:textId="28944F43" w:rsidR="00F90B3C" w:rsidRPr="00021D46" w:rsidRDefault="00626B18" w:rsidP="00021D46">
      <w:pPr>
        <w:pStyle w:val="Nadpis3"/>
        <w:spacing w:after="120"/>
        <w:jc w:val="both"/>
        <w:rPr>
          <w:rFonts w:cs="Arial"/>
        </w:rPr>
      </w:pPr>
      <w:bookmarkStart w:id="96" w:name="_Toc466914546"/>
      <w:r w:rsidRPr="00D641FF">
        <w:rPr>
          <w:rFonts w:cs="Arial"/>
        </w:rPr>
        <w:t>3.7.2 Závažné problémy, ktoré sa vyskytli, a opatrenia prijaté na ich odstránenie</w:t>
      </w:r>
      <w:bookmarkEnd w:id="96"/>
    </w:p>
    <w:p w14:paraId="2CEF7F99" w14:textId="77777777" w:rsidR="00762301" w:rsidRPr="00762301" w:rsidRDefault="00762301" w:rsidP="00762301">
      <w:pPr>
        <w:jc w:val="both"/>
        <w:rPr>
          <w:rFonts w:ascii="Arial" w:hAnsi="Arial" w:cs="Arial"/>
          <w:sz w:val="20"/>
          <w:szCs w:val="20"/>
        </w:rPr>
      </w:pPr>
      <w:r w:rsidRPr="00762301">
        <w:rPr>
          <w:rFonts w:ascii="Arial" w:hAnsi="Arial" w:cs="Arial"/>
          <w:sz w:val="20"/>
          <w:szCs w:val="20"/>
        </w:rPr>
        <w:t>V rámci projektu POVAPSYS bola financovaná aj dodávka stavebných prác na dvoch meteorologických rádiolokátoroch. Prijímateľ v rámci záverečnej ŽoP nepredložil právoplatné kolaudačné rozhodnutie na jeden z rádiolokátorov, a to na stavbu Veže meteorologického rádiolokátora Španí Laz (ďalej len „Rozhodnutie“). O povinnosti predloženia právoplatných kolaudačných rozhodnutí najneskôr pri predložení záverečnej Žiadosti o platbu bol Prijímateľ informovaný od začiatku projektu - táto povinnosť bola uvedená v Zmluve o poskytnutí NFP.</w:t>
      </w:r>
    </w:p>
    <w:p w14:paraId="47196AA3" w14:textId="658FEA5F" w:rsidR="000103EF" w:rsidRPr="007B1CB9" w:rsidRDefault="00762301" w:rsidP="007B1CB9">
      <w:pPr>
        <w:jc w:val="both"/>
        <w:rPr>
          <w:rFonts w:ascii="Arial" w:hAnsi="Arial" w:cs="Arial"/>
          <w:sz w:val="20"/>
          <w:szCs w:val="20"/>
        </w:rPr>
      </w:pPr>
      <w:r w:rsidRPr="00762301">
        <w:rPr>
          <w:rFonts w:ascii="Arial" w:hAnsi="Arial" w:cs="Arial"/>
          <w:sz w:val="20"/>
          <w:szCs w:val="20"/>
        </w:rPr>
        <w:t>Na základe skutočnosti, že pri predložení záverečnej ŽoP ako aj v rámci vykonanej kontroly na mieste bolo zrejmé, že Prijímateľ nie je schopný túto povinnosť dodržať, sa Poskytovateľ  rozhodol vyjsť maximálne v ústrety a v záujme úspešného ukončenia tohto projektu Poskytovateľ inicioval a schválil Zmenu p</w:t>
      </w:r>
      <w:r>
        <w:rPr>
          <w:rFonts w:ascii="Arial" w:hAnsi="Arial" w:cs="Arial"/>
          <w:sz w:val="20"/>
          <w:szCs w:val="20"/>
        </w:rPr>
        <w:t xml:space="preserve">rojektu zo strany Poskytovateľa, </w:t>
      </w:r>
      <w:r w:rsidRPr="00762301">
        <w:rPr>
          <w:rFonts w:ascii="Arial" w:hAnsi="Arial" w:cs="Arial"/>
          <w:sz w:val="20"/>
          <w:szCs w:val="20"/>
        </w:rPr>
        <w:t>v ktorej predĺžil termín realizácie projektu až do 06/2016 a súčasne posunul povinnosť predloženia právoplatných kolaudačných rozhodnutí na termín - najneskôr s predložením záverečnej Monitorovacej správy. Poskytovateľ následne vypracoval návrh Dodatku č.1 k Zmluve o poskytnutí NFP č. 001/7.1 MP/2013 a zabezpečil jeho uzavretie. Prijímateľ predložil záverečnú MS dňa 15.</w:t>
      </w:r>
      <w:r w:rsidR="00AF4DE9">
        <w:rPr>
          <w:rFonts w:ascii="Arial" w:hAnsi="Arial" w:cs="Arial"/>
          <w:sz w:val="20"/>
          <w:szCs w:val="20"/>
        </w:rPr>
        <w:t xml:space="preserve"> </w:t>
      </w:r>
      <w:r w:rsidRPr="00762301">
        <w:rPr>
          <w:rFonts w:ascii="Arial" w:hAnsi="Arial" w:cs="Arial"/>
          <w:sz w:val="20"/>
          <w:szCs w:val="20"/>
        </w:rPr>
        <w:t>07.</w:t>
      </w:r>
      <w:r w:rsidR="00AF4DE9">
        <w:rPr>
          <w:rFonts w:ascii="Arial" w:hAnsi="Arial" w:cs="Arial"/>
          <w:sz w:val="20"/>
          <w:szCs w:val="20"/>
        </w:rPr>
        <w:t xml:space="preserve"> </w:t>
      </w:r>
      <w:r w:rsidRPr="00762301">
        <w:rPr>
          <w:rFonts w:ascii="Arial" w:hAnsi="Arial" w:cs="Arial"/>
          <w:sz w:val="20"/>
          <w:szCs w:val="20"/>
        </w:rPr>
        <w:t>2016, 1. doplnenie záverečnej MS dňa 05.08.2016 a 2. doplnenie až</w:t>
      </w:r>
      <w:r w:rsidR="00AF4DE9">
        <w:rPr>
          <w:rFonts w:ascii="Arial" w:hAnsi="Arial" w:cs="Arial"/>
          <w:sz w:val="20"/>
          <w:szCs w:val="20"/>
        </w:rPr>
        <w:t xml:space="preserve">      </w:t>
      </w:r>
      <w:r w:rsidRPr="00762301">
        <w:rPr>
          <w:rFonts w:ascii="Arial" w:hAnsi="Arial" w:cs="Arial"/>
          <w:sz w:val="20"/>
          <w:szCs w:val="20"/>
        </w:rPr>
        <w:t xml:space="preserve"> 21.</w:t>
      </w:r>
      <w:r w:rsidR="00AF4DE9">
        <w:rPr>
          <w:rFonts w:ascii="Arial" w:hAnsi="Arial" w:cs="Arial"/>
          <w:sz w:val="20"/>
          <w:szCs w:val="20"/>
        </w:rPr>
        <w:t xml:space="preserve"> </w:t>
      </w:r>
      <w:r w:rsidRPr="00762301">
        <w:rPr>
          <w:rFonts w:ascii="Arial" w:hAnsi="Arial" w:cs="Arial"/>
          <w:sz w:val="20"/>
          <w:szCs w:val="20"/>
        </w:rPr>
        <w:t>10.</w:t>
      </w:r>
      <w:r w:rsidR="00AF4DE9">
        <w:rPr>
          <w:rFonts w:ascii="Arial" w:hAnsi="Arial" w:cs="Arial"/>
          <w:sz w:val="20"/>
          <w:szCs w:val="20"/>
        </w:rPr>
        <w:t xml:space="preserve"> </w:t>
      </w:r>
      <w:r w:rsidRPr="00762301">
        <w:rPr>
          <w:rFonts w:ascii="Arial" w:hAnsi="Arial" w:cs="Arial"/>
          <w:sz w:val="20"/>
          <w:szCs w:val="20"/>
        </w:rPr>
        <w:t xml:space="preserve">2016, kde predložil právoplatné </w:t>
      </w:r>
      <w:r w:rsidRPr="00762301">
        <w:rPr>
          <w:rFonts w:ascii="Arial" w:hAnsi="Arial" w:cs="Arial"/>
          <w:i/>
          <w:sz w:val="20"/>
          <w:szCs w:val="20"/>
        </w:rPr>
        <w:t>Rozhodnutie o povolení trvalého užívania stavby Meteorologický rádiolokátor Španí Laz zo dňa 20.</w:t>
      </w:r>
      <w:r w:rsidR="00AF4DE9">
        <w:rPr>
          <w:rFonts w:ascii="Arial" w:hAnsi="Arial" w:cs="Arial"/>
          <w:i/>
          <w:sz w:val="20"/>
          <w:szCs w:val="20"/>
        </w:rPr>
        <w:t xml:space="preserve"> </w:t>
      </w:r>
      <w:r w:rsidRPr="00762301">
        <w:rPr>
          <w:rFonts w:ascii="Arial" w:hAnsi="Arial" w:cs="Arial"/>
          <w:i/>
          <w:sz w:val="20"/>
          <w:szCs w:val="20"/>
        </w:rPr>
        <w:t>09.</w:t>
      </w:r>
      <w:r w:rsidR="00AF4DE9">
        <w:rPr>
          <w:rFonts w:ascii="Arial" w:hAnsi="Arial" w:cs="Arial"/>
          <w:i/>
          <w:sz w:val="20"/>
          <w:szCs w:val="20"/>
        </w:rPr>
        <w:t xml:space="preserve"> </w:t>
      </w:r>
      <w:r w:rsidRPr="00762301">
        <w:rPr>
          <w:rFonts w:ascii="Arial" w:hAnsi="Arial" w:cs="Arial"/>
          <w:i/>
          <w:sz w:val="20"/>
          <w:szCs w:val="20"/>
        </w:rPr>
        <w:t>2016</w:t>
      </w:r>
      <w:r w:rsidRPr="00762301">
        <w:rPr>
          <w:rFonts w:ascii="Arial" w:hAnsi="Arial" w:cs="Arial"/>
          <w:sz w:val="20"/>
          <w:szCs w:val="20"/>
        </w:rPr>
        <w:t>. Záverečná monitorovacia správa bola schválená dňa 25.</w:t>
      </w:r>
      <w:r w:rsidR="00AF4DE9">
        <w:rPr>
          <w:rFonts w:ascii="Arial" w:hAnsi="Arial" w:cs="Arial"/>
          <w:sz w:val="20"/>
          <w:szCs w:val="20"/>
        </w:rPr>
        <w:t xml:space="preserve"> </w:t>
      </w:r>
      <w:r w:rsidRPr="00762301">
        <w:rPr>
          <w:rFonts w:ascii="Arial" w:hAnsi="Arial" w:cs="Arial"/>
          <w:sz w:val="20"/>
          <w:szCs w:val="20"/>
        </w:rPr>
        <w:t>10.</w:t>
      </w:r>
      <w:r w:rsidR="00AF4DE9">
        <w:rPr>
          <w:rFonts w:ascii="Arial" w:hAnsi="Arial" w:cs="Arial"/>
          <w:sz w:val="20"/>
          <w:szCs w:val="20"/>
        </w:rPr>
        <w:t xml:space="preserve"> </w:t>
      </w:r>
      <w:r w:rsidRPr="00762301">
        <w:rPr>
          <w:rFonts w:ascii="Arial" w:hAnsi="Arial" w:cs="Arial"/>
          <w:sz w:val="20"/>
          <w:szCs w:val="20"/>
        </w:rPr>
        <w:t>2016 a posun projektu do stavu ukončený bol vykonaný dňa 26.</w:t>
      </w:r>
      <w:r w:rsidR="00AF4DE9">
        <w:rPr>
          <w:rFonts w:ascii="Arial" w:hAnsi="Arial" w:cs="Arial"/>
          <w:sz w:val="20"/>
          <w:szCs w:val="20"/>
        </w:rPr>
        <w:t xml:space="preserve"> </w:t>
      </w:r>
      <w:r w:rsidRPr="00762301">
        <w:rPr>
          <w:rFonts w:ascii="Arial" w:hAnsi="Arial" w:cs="Arial"/>
          <w:sz w:val="20"/>
          <w:szCs w:val="20"/>
        </w:rPr>
        <w:t>10.</w:t>
      </w:r>
      <w:r w:rsidR="00AF4DE9">
        <w:rPr>
          <w:rFonts w:ascii="Arial" w:hAnsi="Arial" w:cs="Arial"/>
          <w:sz w:val="20"/>
          <w:szCs w:val="20"/>
        </w:rPr>
        <w:t xml:space="preserve"> </w:t>
      </w:r>
      <w:r w:rsidRPr="00762301">
        <w:rPr>
          <w:rFonts w:ascii="Arial" w:hAnsi="Arial" w:cs="Arial"/>
          <w:sz w:val="20"/>
          <w:szCs w:val="20"/>
        </w:rPr>
        <w:t>2016.</w:t>
      </w:r>
    </w:p>
    <w:p w14:paraId="36097BDC" w14:textId="77777777" w:rsidR="002416B1" w:rsidRPr="00123376" w:rsidRDefault="00726169" w:rsidP="008A1902">
      <w:pPr>
        <w:keepNext/>
        <w:spacing w:before="240" w:after="120"/>
        <w:rPr>
          <w:rFonts w:ascii="Arial" w:hAnsi="Arial" w:cs="Arial"/>
          <w:b/>
          <w:i/>
        </w:rPr>
      </w:pPr>
      <w:r w:rsidRPr="00123376">
        <w:rPr>
          <w:rFonts w:ascii="Arial" w:hAnsi="Arial" w:cs="Arial"/>
          <w:b/>
          <w:i/>
        </w:rPr>
        <w:t>Kvalitatívna analýza dosiahnutých výsledkov na úrovni prioritnej osi 7</w:t>
      </w:r>
    </w:p>
    <w:p w14:paraId="6A4C7E3A" w14:textId="67903E07" w:rsidR="002A14EB" w:rsidRDefault="002A14EB" w:rsidP="00846398">
      <w:pPr>
        <w:spacing w:before="120" w:after="120"/>
        <w:jc w:val="both"/>
        <w:rPr>
          <w:rFonts w:ascii="Arial" w:hAnsi="Arial" w:cs="Arial"/>
          <w:sz w:val="20"/>
          <w:szCs w:val="20"/>
        </w:rPr>
      </w:pPr>
      <w:r w:rsidRPr="002A14EB">
        <w:rPr>
          <w:rFonts w:ascii="Arial" w:hAnsi="Arial" w:cs="Arial"/>
          <w:sz w:val="20"/>
          <w:szCs w:val="20"/>
        </w:rPr>
        <w:t>V rámci prioritnej osi 7 bol za celé programové obdobie 2007 – 2013  predložený a schválený jeden projekt</w:t>
      </w:r>
      <w:r w:rsidR="00AF4DE9">
        <w:rPr>
          <w:rFonts w:ascii="Arial" w:hAnsi="Arial" w:cs="Arial"/>
          <w:sz w:val="20"/>
          <w:szCs w:val="20"/>
        </w:rPr>
        <w:t xml:space="preserve"> na</w:t>
      </w:r>
      <w:r w:rsidRPr="002A14EB">
        <w:rPr>
          <w:rFonts w:ascii="Arial" w:hAnsi="Arial" w:cs="Arial"/>
          <w:sz w:val="20"/>
          <w:szCs w:val="20"/>
        </w:rPr>
        <w:t xml:space="preserve"> komplexnú ochranu územia SR pred povodňami. Na projekte POVAPSYS bola dosiahnutá úspora výdavkov, v rámci verejných obstarávaní, na základe čoho nebola v sledovanom období k 31.10.2016 dosiahnutá celková plánovaná výška čerpania na projekte (83,85 %). Verejné obstarávanie bolo realizované na všetky oprávnené výdavky projektu. Termín ukončenia realizácie aktivít projektu bol predĺžený do 30.</w:t>
      </w:r>
      <w:r w:rsidR="00AF4DE9">
        <w:rPr>
          <w:rFonts w:ascii="Arial" w:hAnsi="Arial" w:cs="Arial"/>
          <w:sz w:val="20"/>
          <w:szCs w:val="20"/>
        </w:rPr>
        <w:t xml:space="preserve"> </w:t>
      </w:r>
      <w:r w:rsidRPr="002A14EB">
        <w:rPr>
          <w:rFonts w:ascii="Arial" w:hAnsi="Arial" w:cs="Arial"/>
          <w:sz w:val="20"/>
          <w:szCs w:val="20"/>
        </w:rPr>
        <w:t xml:space="preserve">06. 2016, pričom dôvody predĺženia projektu sú uvedené v kapitole vyššie. </w:t>
      </w:r>
    </w:p>
    <w:p w14:paraId="2CAE162D" w14:textId="68662569" w:rsidR="00D960A1" w:rsidRPr="00D960A1" w:rsidRDefault="00D960A1" w:rsidP="00D960A1">
      <w:pPr>
        <w:spacing w:before="120" w:after="120"/>
        <w:jc w:val="both"/>
        <w:rPr>
          <w:rFonts w:ascii="Arial" w:hAnsi="Arial" w:cs="Arial"/>
          <w:sz w:val="20"/>
          <w:szCs w:val="20"/>
        </w:rPr>
      </w:pPr>
      <w:r w:rsidRPr="00D960A1">
        <w:rPr>
          <w:rFonts w:ascii="Arial" w:hAnsi="Arial" w:cs="Arial"/>
          <w:sz w:val="20"/>
          <w:szCs w:val="20"/>
        </w:rPr>
        <w:t>Realizáciou projektu POVAPSYS došlo k zabezpečeniu vykonávania úloh SHMU v zákonom stanovenom rozsahu najmä pokiaľ ide lokalizáciu nebezpečných povodňových javov a včasné upozornenie kompetentných orgánov, zabezpečenie informácií pre zložky krízového manažmentu štátu. (</w:t>
      </w:r>
      <w:r w:rsidR="0000294D">
        <w:rPr>
          <w:rFonts w:ascii="Arial" w:hAnsi="Arial" w:cs="Arial"/>
          <w:sz w:val="20"/>
          <w:szCs w:val="20"/>
        </w:rPr>
        <w:t>z</w:t>
      </w:r>
      <w:r w:rsidRPr="00D960A1">
        <w:rPr>
          <w:rFonts w:ascii="Arial" w:hAnsi="Arial" w:cs="Arial"/>
          <w:sz w:val="20"/>
          <w:szCs w:val="20"/>
        </w:rPr>
        <w:t xml:space="preserve">ákon </w:t>
      </w:r>
      <w:r w:rsidR="0000294D">
        <w:rPr>
          <w:rFonts w:ascii="Arial" w:hAnsi="Arial" w:cs="Arial"/>
          <w:sz w:val="20"/>
          <w:szCs w:val="20"/>
        </w:rPr>
        <w:t xml:space="preserve">č. </w:t>
      </w:r>
      <w:r w:rsidRPr="00D960A1">
        <w:rPr>
          <w:rFonts w:ascii="Arial" w:hAnsi="Arial" w:cs="Arial"/>
          <w:sz w:val="20"/>
          <w:szCs w:val="20"/>
        </w:rPr>
        <w:t xml:space="preserve">7/2010 </w:t>
      </w:r>
      <w:r>
        <w:rPr>
          <w:rFonts w:ascii="Arial" w:hAnsi="Arial" w:cs="Arial"/>
          <w:sz w:val="20"/>
          <w:szCs w:val="20"/>
        </w:rPr>
        <w:t>Z.</w:t>
      </w:r>
      <w:r w:rsidR="0000294D">
        <w:rPr>
          <w:rFonts w:ascii="Arial" w:hAnsi="Arial" w:cs="Arial"/>
          <w:sz w:val="20"/>
          <w:szCs w:val="20"/>
        </w:rPr>
        <w:t xml:space="preserve"> </w:t>
      </w:r>
      <w:r>
        <w:rPr>
          <w:rFonts w:ascii="Arial" w:hAnsi="Arial" w:cs="Arial"/>
          <w:sz w:val="20"/>
          <w:szCs w:val="20"/>
        </w:rPr>
        <w:t xml:space="preserve">z. </w:t>
      </w:r>
      <w:r w:rsidRPr="00D960A1">
        <w:rPr>
          <w:rFonts w:ascii="Arial" w:hAnsi="Arial" w:cs="Arial"/>
          <w:sz w:val="20"/>
          <w:szCs w:val="20"/>
        </w:rPr>
        <w:t xml:space="preserve">o ochrane pred povodňami). </w:t>
      </w:r>
    </w:p>
    <w:p w14:paraId="2D958D32" w14:textId="764AF08E" w:rsidR="00D960A1" w:rsidRPr="00D960A1" w:rsidRDefault="00D960A1" w:rsidP="00D960A1">
      <w:pPr>
        <w:spacing w:before="120" w:after="120"/>
        <w:jc w:val="both"/>
        <w:rPr>
          <w:rFonts w:ascii="Arial" w:hAnsi="Arial" w:cs="Arial"/>
          <w:sz w:val="20"/>
          <w:szCs w:val="20"/>
        </w:rPr>
      </w:pPr>
      <w:r w:rsidRPr="00D960A1">
        <w:rPr>
          <w:rFonts w:ascii="Arial" w:hAnsi="Arial" w:cs="Arial"/>
          <w:sz w:val="20"/>
          <w:szCs w:val="20"/>
        </w:rPr>
        <w:t>Taktiež sa podarilo vyvinúť nástroje umožňujúce prostredníctvom hydrologických predpovedí, varovaní a výstrah výraznejšie znížiť škody spôsobené povodňami, predovšetkým straty na životoch, ujmy na zdraví a majetku občanov došlo k naplneniu cieľov stanovených nielen v projekte, ale aj k naplneniu cieľov prioritnej osi 7.</w:t>
      </w:r>
    </w:p>
    <w:p w14:paraId="0813A908" w14:textId="0EEF2B6D" w:rsidR="00D960A1" w:rsidRDefault="00D960A1" w:rsidP="00846398">
      <w:pPr>
        <w:spacing w:before="120" w:after="120"/>
        <w:jc w:val="both"/>
        <w:rPr>
          <w:rFonts w:ascii="Arial" w:hAnsi="Arial" w:cs="Arial"/>
          <w:sz w:val="20"/>
          <w:szCs w:val="20"/>
        </w:rPr>
      </w:pPr>
      <w:r w:rsidRPr="00D960A1">
        <w:rPr>
          <w:rFonts w:ascii="Arial" w:hAnsi="Arial" w:cs="Arial"/>
          <w:sz w:val="20"/>
          <w:szCs w:val="20"/>
        </w:rPr>
        <w:t>Ukazovateľ „Počet vydaných hydrologických predpovedí, varovaní a výstrah„ bude napĺňaný a vykazovaný v rámci následného monitorovacieho obdobia. Ukazovateľ  „Počet inštitúcií napojených na P</w:t>
      </w:r>
      <w:r>
        <w:rPr>
          <w:rFonts w:ascii="Arial" w:hAnsi="Arial" w:cs="Arial"/>
          <w:sz w:val="20"/>
          <w:szCs w:val="20"/>
        </w:rPr>
        <w:t xml:space="preserve">OVAPSYS“ bol naplnený na 100%. </w:t>
      </w:r>
      <w:r w:rsidRPr="00D960A1">
        <w:rPr>
          <w:rFonts w:ascii="Arial" w:hAnsi="Arial" w:cs="Arial"/>
          <w:sz w:val="20"/>
          <w:szCs w:val="20"/>
        </w:rPr>
        <w:t>Realizáciou aktivít projektu došlo k napojeniu Ministerstva vnútra SR</w:t>
      </w:r>
      <w:r w:rsidR="005254DE">
        <w:rPr>
          <w:rFonts w:ascii="Arial" w:hAnsi="Arial" w:cs="Arial"/>
          <w:sz w:val="20"/>
          <w:szCs w:val="20"/>
        </w:rPr>
        <w:t xml:space="preserve"> a</w:t>
      </w:r>
      <w:r w:rsidRPr="00D960A1">
        <w:rPr>
          <w:rFonts w:ascii="Arial" w:hAnsi="Arial" w:cs="Arial"/>
          <w:sz w:val="20"/>
          <w:szCs w:val="20"/>
        </w:rPr>
        <w:t xml:space="preserve"> </w:t>
      </w:r>
      <w:r>
        <w:rPr>
          <w:rFonts w:ascii="Arial" w:hAnsi="Arial" w:cs="Arial"/>
          <w:sz w:val="20"/>
          <w:szCs w:val="20"/>
        </w:rPr>
        <w:t>Slovenského vodohospodárskeho podnik</w:t>
      </w:r>
      <w:r w:rsidR="009F2E97">
        <w:rPr>
          <w:rFonts w:ascii="Arial" w:hAnsi="Arial" w:cs="Arial"/>
          <w:sz w:val="20"/>
          <w:szCs w:val="20"/>
        </w:rPr>
        <w:t>u</w:t>
      </w:r>
      <w:r>
        <w:rPr>
          <w:rFonts w:ascii="Arial" w:hAnsi="Arial" w:cs="Arial"/>
          <w:sz w:val="20"/>
          <w:szCs w:val="20"/>
        </w:rPr>
        <w:t xml:space="preserve"> š.p.</w:t>
      </w:r>
      <w:r w:rsidRPr="00D960A1">
        <w:rPr>
          <w:rFonts w:ascii="Arial" w:hAnsi="Arial" w:cs="Arial"/>
          <w:sz w:val="20"/>
          <w:szCs w:val="20"/>
        </w:rPr>
        <w:t xml:space="preserve">, čím sa zabezpečilo informovanie užívateľov o vydaných hydrometeorologických predpovediach a výstrahách na nebezpečenstvo povodne.  </w:t>
      </w:r>
    </w:p>
    <w:p w14:paraId="28F1CDDC" w14:textId="3EA684F0" w:rsidR="00762301" w:rsidRPr="00590529" w:rsidRDefault="0000294D" w:rsidP="00762301">
      <w:pPr>
        <w:spacing w:before="120" w:after="120"/>
        <w:jc w:val="both"/>
        <w:rPr>
          <w:rFonts w:ascii="Arial" w:eastAsia="Calibri" w:hAnsi="Arial" w:cs="Arial"/>
          <w:sz w:val="20"/>
          <w:szCs w:val="20"/>
        </w:rPr>
      </w:pPr>
      <w:r>
        <w:rPr>
          <w:rFonts w:ascii="Arial" w:eastAsia="Calibri" w:hAnsi="Arial" w:cs="Arial"/>
          <w:sz w:val="20"/>
          <w:szCs w:val="20"/>
        </w:rPr>
        <w:lastRenderedPageBreak/>
        <w:t>Projekt POVAPSYS bol ku dňu 30.</w:t>
      </w:r>
      <w:r w:rsidR="009F2E97">
        <w:rPr>
          <w:rFonts w:ascii="Arial" w:eastAsia="Calibri" w:hAnsi="Arial" w:cs="Arial"/>
          <w:sz w:val="20"/>
          <w:szCs w:val="20"/>
        </w:rPr>
        <w:t xml:space="preserve"> </w:t>
      </w:r>
      <w:r w:rsidR="00846398" w:rsidRPr="00846398">
        <w:rPr>
          <w:rFonts w:ascii="Arial" w:eastAsia="Calibri" w:hAnsi="Arial" w:cs="Arial"/>
          <w:sz w:val="20"/>
          <w:szCs w:val="20"/>
        </w:rPr>
        <w:t>6.</w:t>
      </w:r>
      <w:r w:rsidR="009F2E97">
        <w:rPr>
          <w:rFonts w:ascii="Arial" w:eastAsia="Calibri" w:hAnsi="Arial" w:cs="Arial"/>
          <w:sz w:val="20"/>
          <w:szCs w:val="20"/>
        </w:rPr>
        <w:t xml:space="preserve"> </w:t>
      </w:r>
      <w:r w:rsidR="00846398" w:rsidRPr="00846398">
        <w:rPr>
          <w:rFonts w:ascii="Arial" w:eastAsia="Calibri" w:hAnsi="Arial" w:cs="Arial"/>
          <w:sz w:val="20"/>
          <w:szCs w:val="20"/>
        </w:rPr>
        <w:t>2016 zrealizovaný a finančne ukončený. Záverečná monitorovacia správa bola schválená dňa 25.10.2016 a celkovo bol projekt úspešne ukončený dňa 26.10.2016.</w:t>
      </w:r>
    </w:p>
    <w:p w14:paraId="4F3BB32A" w14:textId="0861B2F1" w:rsidR="000103EF" w:rsidRDefault="000103EF" w:rsidP="008A1902">
      <w:pPr>
        <w:keepNext/>
        <w:spacing w:before="120" w:after="120"/>
        <w:jc w:val="both"/>
        <w:rPr>
          <w:rFonts w:ascii="Arial" w:hAnsi="Arial" w:cs="Arial"/>
          <w:sz w:val="20"/>
          <w:szCs w:val="20"/>
        </w:rPr>
      </w:pPr>
      <w:r w:rsidRPr="00590529">
        <w:rPr>
          <w:rFonts w:ascii="Arial" w:hAnsi="Arial" w:cs="Arial"/>
          <w:sz w:val="20"/>
          <w:szCs w:val="20"/>
        </w:rPr>
        <w:t>K</w:t>
      </w:r>
      <w:r w:rsidR="00701579" w:rsidRPr="00590529">
        <w:rPr>
          <w:rFonts w:ascii="Arial" w:hAnsi="Arial" w:cs="Arial"/>
          <w:sz w:val="20"/>
          <w:szCs w:val="20"/>
        </w:rPr>
        <w:t> 31.</w:t>
      </w:r>
      <w:r w:rsidR="009F2E97">
        <w:rPr>
          <w:rFonts w:ascii="Arial" w:hAnsi="Arial" w:cs="Arial"/>
          <w:sz w:val="20"/>
          <w:szCs w:val="20"/>
        </w:rPr>
        <w:t xml:space="preserve"> </w:t>
      </w:r>
      <w:r w:rsidR="00701579" w:rsidRPr="00590529">
        <w:rPr>
          <w:rFonts w:ascii="Arial" w:hAnsi="Arial" w:cs="Arial"/>
          <w:sz w:val="20"/>
          <w:szCs w:val="20"/>
        </w:rPr>
        <w:t>08. 2016</w:t>
      </w:r>
      <w:r w:rsidRPr="00851519">
        <w:rPr>
          <w:rFonts w:ascii="Arial" w:hAnsi="Arial" w:cs="Arial"/>
          <w:sz w:val="20"/>
          <w:szCs w:val="20"/>
        </w:rPr>
        <w:t xml:space="preserve"> z celkovej</w:t>
      </w:r>
      <w:r w:rsidRPr="000103EF">
        <w:rPr>
          <w:rFonts w:ascii="Arial" w:hAnsi="Arial" w:cs="Arial"/>
          <w:sz w:val="20"/>
          <w:szCs w:val="20"/>
        </w:rPr>
        <w:t xml:space="preserve"> zazmluvnenej sumy 19 999 910,16 </w:t>
      </w:r>
      <w:r w:rsidR="00366C2D">
        <w:rPr>
          <w:rFonts w:ascii="Arial" w:hAnsi="Arial" w:cs="Arial"/>
          <w:sz w:val="20"/>
          <w:szCs w:val="20"/>
        </w:rPr>
        <w:t>€</w:t>
      </w:r>
      <w:r w:rsidRPr="000103EF">
        <w:rPr>
          <w:rFonts w:ascii="Arial" w:hAnsi="Arial" w:cs="Arial"/>
          <w:sz w:val="20"/>
          <w:szCs w:val="20"/>
        </w:rPr>
        <w:t xml:space="preserve"> (ERDF) na úrovni PO 7, prioritnej témy HT53, </w:t>
      </w:r>
      <w:r w:rsidRPr="00701579">
        <w:rPr>
          <w:rFonts w:ascii="Arial" w:hAnsi="Arial" w:cs="Arial"/>
          <w:sz w:val="20"/>
          <w:szCs w:val="20"/>
        </w:rPr>
        <w:t xml:space="preserve">bolo vyčerpaných 16 769 637,61 </w:t>
      </w:r>
      <w:r w:rsidR="00366C2D">
        <w:rPr>
          <w:rFonts w:ascii="Arial" w:hAnsi="Arial" w:cs="Arial"/>
          <w:sz w:val="20"/>
          <w:szCs w:val="20"/>
        </w:rPr>
        <w:t>€</w:t>
      </w:r>
      <w:r w:rsidRPr="00701579">
        <w:rPr>
          <w:rFonts w:ascii="Arial" w:hAnsi="Arial" w:cs="Arial"/>
          <w:sz w:val="20"/>
          <w:szCs w:val="20"/>
        </w:rPr>
        <w:t xml:space="preserve"> (ERDF), čo predstavuje podiel čerpania 83,85 % na celkovej alokácii.</w:t>
      </w:r>
    </w:p>
    <w:p w14:paraId="07EA605F" w14:textId="0E8E3402" w:rsidR="00AC246A" w:rsidRPr="00E21C60" w:rsidRDefault="00AC246A" w:rsidP="00123376">
      <w:pPr>
        <w:spacing w:before="120"/>
        <w:rPr>
          <w:rFonts w:ascii="Arial" w:hAnsi="Arial" w:cs="Arial"/>
          <w:sz w:val="20"/>
          <w:szCs w:val="20"/>
        </w:rPr>
      </w:pPr>
      <w:r w:rsidRPr="00E21C60">
        <w:rPr>
          <w:rFonts w:ascii="Arial" w:hAnsi="Arial" w:cs="Arial"/>
          <w:sz w:val="20"/>
          <w:szCs w:val="20"/>
        </w:rPr>
        <w:t>Tab</w:t>
      </w:r>
      <w:r w:rsidR="00D01A26" w:rsidRPr="00E21C60">
        <w:rPr>
          <w:rFonts w:ascii="Arial" w:hAnsi="Arial" w:cs="Arial"/>
          <w:sz w:val="20"/>
          <w:szCs w:val="20"/>
        </w:rPr>
        <w:t>uľka</w:t>
      </w:r>
      <w:r w:rsidRPr="00E21C60">
        <w:rPr>
          <w:rFonts w:ascii="Arial" w:hAnsi="Arial" w:cs="Arial"/>
          <w:sz w:val="20"/>
          <w:szCs w:val="20"/>
        </w:rPr>
        <w:t xml:space="preserve"> č.</w:t>
      </w:r>
      <w:r w:rsidR="007976C6" w:rsidRPr="00E21C60">
        <w:rPr>
          <w:rFonts w:ascii="Arial" w:hAnsi="Arial" w:cs="Arial"/>
          <w:sz w:val="20"/>
          <w:szCs w:val="20"/>
        </w:rPr>
        <w:t xml:space="preserve"> </w:t>
      </w:r>
      <w:r w:rsidR="00670044" w:rsidRPr="00E21C60">
        <w:rPr>
          <w:rFonts w:ascii="Arial" w:hAnsi="Arial" w:cs="Arial"/>
          <w:sz w:val="20"/>
          <w:szCs w:val="20"/>
        </w:rPr>
        <w:t>7</w:t>
      </w:r>
      <w:r w:rsidR="007B1CB9">
        <w:rPr>
          <w:rFonts w:ascii="Arial" w:hAnsi="Arial" w:cs="Arial"/>
          <w:sz w:val="20"/>
          <w:szCs w:val="20"/>
        </w:rPr>
        <w:t>3</w:t>
      </w:r>
      <w:r w:rsidR="00D01A26" w:rsidRPr="00E21C60">
        <w:rPr>
          <w:rFonts w:ascii="Arial" w:hAnsi="Arial" w:cs="Arial"/>
          <w:sz w:val="20"/>
          <w:szCs w:val="20"/>
        </w:rPr>
        <w:t>:</w:t>
      </w:r>
      <w:r w:rsidR="00254D6C" w:rsidRPr="00E21C60">
        <w:rPr>
          <w:rFonts w:ascii="Arial" w:hAnsi="Arial" w:cs="Arial"/>
          <w:sz w:val="20"/>
          <w:szCs w:val="20"/>
        </w:rPr>
        <w:t xml:space="preserve"> </w:t>
      </w:r>
      <w:r w:rsidR="000B6E30" w:rsidRPr="00E21C60">
        <w:rPr>
          <w:rFonts w:ascii="Arial" w:hAnsi="Arial" w:cs="Arial"/>
          <w:sz w:val="20"/>
          <w:szCs w:val="20"/>
        </w:rPr>
        <w:t>Zhodnotenie úrovne podľa HT</w:t>
      </w:r>
      <w:r w:rsidR="00B82CF7">
        <w:rPr>
          <w:rFonts w:ascii="Arial" w:hAnsi="Arial" w:cs="Arial"/>
          <w:sz w:val="20"/>
          <w:szCs w:val="20"/>
        </w:rPr>
        <w:t xml:space="preserve"> </w:t>
      </w:r>
    </w:p>
    <w:tbl>
      <w:tblPr>
        <w:tblW w:w="9103" w:type="dxa"/>
        <w:tblInd w:w="55" w:type="dxa"/>
        <w:tblCellMar>
          <w:left w:w="70" w:type="dxa"/>
          <w:right w:w="70" w:type="dxa"/>
        </w:tblCellMar>
        <w:tblLook w:val="04A0" w:firstRow="1" w:lastRow="0" w:firstColumn="1" w:lastColumn="0" w:noHBand="0" w:noVBand="1"/>
      </w:tblPr>
      <w:tblGrid>
        <w:gridCol w:w="3000"/>
        <w:gridCol w:w="1060"/>
        <w:gridCol w:w="1240"/>
        <w:gridCol w:w="1323"/>
        <w:gridCol w:w="1240"/>
        <w:gridCol w:w="1240"/>
      </w:tblGrid>
      <w:tr w:rsidR="00BB0644" w:rsidRPr="00E21C60" w14:paraId="13D1962E" w14:textId="77777777" w:rsidTr="007D7B08">
        <w:trPr>
          <w:trHeight w:val="1140"/>
        </w:trPr>
        <w:tc>
          <w:tcPr>
            <w:tcW w:w="3000" w:type="dxa"/>
            <w:tcBorders>
              <w:top w:val="single" w:sz="8" w:space="0" w:color="auto"/>
              <w:left w:val="single" w:sz="8" w:space="0" w:color="auto"/>
              <w:bottom w:val="single" w:sz="8" w:space="0" w:color="auto"/>
              <w:right w:val="single" w:sz="8" w:space="0" w:color="000000"/>
            </w:tcBorders>
            <w:shd w:val="clear" w:color="auto" w:fill="C2D69B" w:themeFill="accent3" w:themeFillTint="99"/>
            <w:noWrap/>
            <w:vAlign w:val="center"/>
            <w:hideMark/>
          </w:tcPr>
          <w:p w14:paraId="457FDAB4" w14:textId="77777777" w:rsidR="00BB0644" w:rsidRPr="00E21C60" w:rsidRDefault="00BB0644">
            <w:pPr>
              <w:jc w:val="center"/>
              <w:rPr>
                <w:rFonts w:ascii="Arial" w:hAnsi="Arial" w:cs="Arial"/>
                <w:b/>
                <w:bCs/>
                <w:color w:val="000000"/>
                <w:sz w:val="16"/>
                <w:szCs w:val="16"/>
              </w:rPr>
            </w:pPr>
            <w:r w:rsidRPr="00E21C60">
              <w:rPr>
                <w:rFonts w:ascii="Arial" w:hAnsi="Arial" w:cs="Arial"/>
                <w:b/>
                <w:bCs/>
                <w:color w:val="000000"/>
                <w:sz w:val="16"/>
                <w:szCs w:val="16"/>
              </w:rPr>
              <w:t>Prioritná téma</w:t>
            </w:r>
          </w:p>
        </w:tc>
        <w:tc>
          <w:tcPr>
            <w:tcW w:w="106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4F5FC16" w14:textId="77777777" w:rsidR="00BB0644" w:rsidRPr="00E21C60" w:rsidRDefault="00BB0644">
            <w:pPr>
              <w:jc w:val="center"/>
              <w:rPr>
                <w:rFonts w:ascii="Arial" w:hAnsi="Arial" w:cs="Arial"/>
                <w:b/>
                <w:bCs/>
                <w:color w:val="000000"/>
                <w:sz w:val="16"/>
                <w:szCs w:val="16"/>
              </w:rPr>
            </w:pPr>
            <w:r w:rsidRPr="00E21C60">
              <w:rPr>
                <w:rFonts w:ascii="Arial" w:hAnsi="Arial" w:cs="Arial"/>
                <w:b/>
                <w:bCs/>
                <w:color w:val="000000"/>
                <w:sz w:val="16"/>
                <w:szCs w:val="16"/>
              </w:rPr>
              <w:t>Celková alokácia</w:t>
            </w:r>
          </w:p>
          <w:p w14:paraId="7BD4C9E1" w14:textId="77777777" w:rsidR="00BB0644" w:rsidRPr="00E21C60" w:rsidRDefault="00BB0644">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24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D51C08A" w14:textId="77777777" w:rsidR="00BB0644" w:rsidRPr="00E21C60" w:rsidRDefault="00BB0644">
            <w:pPr>
              <w:jc w:val="center"/>
              <w:rPr>
                <w:rFonts w:ascii="Arial" w:hAnsi="Arial" w:cs="Arial"/>
                <w:b/>
                <w:bCs/>
                <w:color w:val="000000"/>
                <w:sz w:val="16"/>
                <w:szCs w:val="16"/>
              </w:rPr>
            </w:pPr>
            <w:r w:rsidRPr="00E21C60">
              <w:rPr>
                <w:rFonts w:ascii="Arial" w:hAnsi="Arial" w:cs="Arial"/>
                <w:b/>
                <w:bCs/>
                <w:color w:val="000000"/>
                <w:sz w:val="16"/>
                <w:szCs w:val="16"/>
              </w:rPr>
              <w:t>Suma zazmluvnená (EÚ zdroje)</w:t>
            </w:r>
          </w:p>
          <w:p w14:paraId="34543517" w14:textId="77777777" w:rsidR="00BB0644" w:rsidRPr="00E21C60" w:rsidRDefault="00BB0644">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323"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D858DB9" w14:textId="77777777" w:rsidR="00BB0644" w:rsidRPr="00E21C60" w:rsidRDefault="00BB0644">
            <w:pPr>
              <w:jc w:val="center"/>
              <w:rPr>
                <w:rFonts w:ascii="Arial" w:hAnsi="Arial" w:cs="Arial"/>
                <w:b/>
                <w:bCs/>
                <w:color w:val="000000"/>
                <w:sz w:val="16"/>
                <w:szCs w:val="16"/>
              </w:rPr>
            </w:pPr>
            <w:r w:rsidRPr="00E21C60">
              <w:rPr>
                <w:rFonts w:ascii="Arial" w:hAnsi="Arial" w:cs="Arial"/>
                <w:b/>
                <w:bCs/>
                <w:color w:val="000000"/>
                <w:sz w:val="16"/>
                <w:szCs w:val="16"/>
              </w:rPr>
              <w:t>Podiel zazmluvnených projektov na celkovej alokácii</w:t>
            </w:r>
          </w:p>
        </w:tc>
        <w:tc>
          <w:tcPr>
            <w:tcW w:w="124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79AA7EF" w14:textId="4772CD6B" w:rsidR="00BB0644" w:rsidRPr="00E21C60" w:rsidRDefault="00BB0644">
            <w:pPr>
              <w:jc w:val="center"/>
              <w:rPr>
                <w:rFonts w:ascii="Arial" w:hAnsi="Arial" w:cs="Arial"/>
                <w:b/>
                <w:bCs/>
                <w:color w:val="000000"/>
                <w:sz w:val="16"/>
                <w:szCs w:val="16"/>
              </w:rPr>
            </w:pPr>
            <w:r w:rsidRPr="00E21C60">
              <w:rPr>
                <w:rFonts w:ascii="Arial" w:hAnsi="Arial" w:cs="Arial"/>
                <w:b/>
                <w:bCs/>
                <w:color w:val="000000"/>
                <w:sz w:val="16"/>
                <w:szCs w:val="16"/>
              </w:rPr>
              <w:t>Suma čerpaná</w:t>
            </w:r>
            <w:r w:rsidR="006D1921">
              <w:rPr>
                <w:rFonts w:ascii="Arial" w:hAnsi="Arial" w:cs="Arial"/>
                <w:b/>
                <w:bCs/>
                <w:color w:val="000000"/>
                <w:sz w:val="16"/>
                <w:szCs w:val="16"/>
              </w:rPr>
              <w:t xml:space="preserve"> riadne ukončených projektov</w:t>
            </w:r>
            <w:r w:rsidRPr="00E21C60">
              <w:rPr>
                <w:rFonts w:ascii="Arial" w:hAnsi="Arial" w:cs="Arial"/>
                <w:b/>
                <w:bCs/>
                <w:color w:val="000000"/>
                <w:sz w:val="16"/>
                <w:szCs w:val="16"/>
              </w:rPr>
              <w:t xml:space="preserve">  (EÚ zdroje)</w:t>
            </w:r>
          </w:p>
          <w:p w14:paraId="7329385D" w14:textId="77777777" w:rsidR="00BB0644" w:rsidRPr="00E21C60" w:rsidRDefault="00BB0644">
            <w:pPr>
              <w:jc w:val="center"/>
              <w:rPr>
                <w:rFonts w:ascii="Arial" w:hAnsi="Arial" w:cs="Arial"/>
                <w:b/>
                <w:bCs/>
                <w:color w:val="000000"/>
                <w:sz w:val="16"/>
                <w:szCs w:val="16"/>
              </w:rPr>
            </w:pPr>
            <w:r w:rsidRPr="00E21C60">
              <w:rPr>
                <w:rFonts w:ascii="Arial" w:hAnsi="Arial" w:cs="Arial"/>
                <w:b/>
                <w:bCs/>
                <w:color w:val="000000"/>
                <w:sz w:val="16"/>
                <w:szCs w:val="16"/>
              </w:rPr>
              <w:t>v €</w:t>
            </w:r>
          </w:p>
        </w:tc>
        <w:tc>
          <w:tcPr>
            <w:tcW w:w="124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F643F00" w14:textId="77777777" w:rsidR="00BB0644" w:rsidRPr="00E21C60" w:rsidRDefault="00BB0644">
            <w:pPr>
              <w:jc w:val="center"/>
              <w:rPr>
                <w:rFonts w:ascii="Arial" w:hAnsi="Arial" w:cs="Arial"/>
                <w:b/>
                <w:bCs/>
                <w:color w:val="000000"/>
                <w:sz w:val="16"/>
                <w:szCs w:val="16"/>
              </w:rPr>
            </w:pPr>
            <w:r w:rsidRPr="00E21C60">
              <w:rPr>
                <w:rFonts w:ascii="Arial" w:hAnsi="Arial" w:cs="Arial"/>
                <w:b/>
                <w:bCs/>
                <w:color w:val="000000"/>
                <w:sz w:val="16"/>
                <w:szCs w:val="16"/>
              </w:rPr>
              <w:t>Podiel čerpania projektov na celkovej alokácii</w:t>
            </w:r>
          </w:p>
        </w:tc>
      </w:tr>
      <w:tr w:rsidR="0032447E" w:rsidRPr="00E21C60" w14:paraId="425277B9" w14:textId="77777777" w:rsidTr="0032447E">
        <w:trPr>
          <w:trHeight w:val="465"/>
        </w:trPr>
        <w:tc>
          <w:tcPr>
            <w:tcW w:w="3000" w:type="dxa"/>
            <w:tcBorders>
              <w:top w:val="single" w:sz="8" w:space="0" w:color="auto"/>
              <w:left w:val="single" w:sz="8" w:space="0" w:color="auto"/>
              <w:bottom w:val="single" w:sz="8" w:space="0" w:color="auto"/>
              <w:right w:val="single" w:sz="8" w:space="0" w:color="000000"/>
            </w:tcBorders>
            <w:shd w:val="clear" w:color="000000" w:fill="EAF1DD"/>
            <w:vAlign w:val="center"/>
            <w:hideMark/>
          </w:tcPr>
          <w:p w14:paraId="6A7B1882" w14:textId="77777777" w:rsidR="0032447E" w:rsidRPr="00E21C60" w:rsidRDefault="0032447E" w:rsidP="0032447E">
            <w:pPr>
              <w:rPr>
                <w:rFonts w:ascii="Arial" w:hAnsi="Arial" w:cs="Arial"/>
                <w:color w:val="000000"/>
                <w:sz w:val="16"/>
                <w:szCs w:val="16"/>
              </w:rPr>
            </w:pPr>
            <w:r w:rsidRPr="00E21C60">
              <w:rPr>
                <w:rFonts w:ascii="Arial" w:hAnsi="Arial" w:cs="Arial"/>
                <w:color w:val="000000"/>
                <w:sz w:val="16"/>
                <w:szCs w:val="16"/>
              </w:rPr>
              <w:t>HT 53 Predchádzanie rizikám (vrátane návrhu a realizácie plánov a opatrení na predchádzanie prírodným a technologickým rizikám a ich riadenie)</w:t>
            </w:r>
          </w:p>
        </w:tc>
        <w:tc>
          <w:tcPr>
            <w:tcW w:w="1060" w:type="dxa"/>
            <w:tcBorders>
              <w:top w:val="nil"/>
              <w:left w:val="nil"/>
              <w:bottom w:val="single" w:sz="8" w:space="0" w:color="auto"/>
              <w:right w:val="single" w:sz="8" w:space="0" w:color="auto"/>
            </w:tcBorders>
            <w:shd w:val="clear" w:color="auto" w:fill="auto"/>
            <w:noWrap/>
            <w:vAlign w:val="center"/>
            <w:hideMark/>
          </w:tcPr>
          <w:p w14:paraId="0F681D1B" w14:textId="64ED83B7"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20 000 000</w:t>
            </w:r>
          </w:p>
        </w:tc>
        <w:tc>
          <w:tcPr>
            <w:tcW w:w="1240" w:type="dxa"/>
            <w:tcBorders>
              <w:top w:val="nil"/>
              <w:left w:val="nil"/>
              <w:bottom w:val="single" w:sz="8" w:space="0" w:color="auto"/>
              <w:right w:val="single" w:sz="8" w:space="0" w:color="auto"/>
            </w:tcBorders>
            <w:shd w:val="clear" w:color="auto" w:fill="auto"/>
            <w:noWrap/>
            <w:vAlign w:val="center"/>
            <w:hideMark/>
          </w:tcPr>
          <w:p w14:paraId="28313B2C" w14:textId="54370047" w:rsidR="0032447E" w:rsidRPr="0032447E" w:rsidRDefault="0032447E" w:rsidP="00543371">
            <w:pPr>
              <w:jc w:val="center"/>
              <w:rPr>
                <w:rFonts w:ascii="Arial" w:hAnsi="Arial" w:cs="Arial"/>
                <w:bCs/>
                <w:color w:val="000000"/>
                <w:sz w:val="16"/>
                <w:szCs w:val="16"/>
              </w:rPr>
            </w:pPr>
            <w:r w:rsidRPr="0032447E">
              <w:rPr>
                <w:rFonts w:ascii="Arial" w:hAnsi="Arial" w:cs="Arial"/>
                <w:bCs/>
                <w:color w:val="000000"/>
                <w:sz w:val="16"/>
                <w:szCs w:val="16"/>
              </w:rPr>
              <w:t>19 999 910</w:t>
            </w:r>
          </w:p>
        </w:tc>
        <w:tc>
          <w:tcPr>
            <w:tcW w:w="1323" w:type="dxa"/>
            <w:tcBorders>
              <w:top w:val="nil"/>
              <w:left w:val="nil"/>
              <w:bottom w:val="single" w:sz="8" w:space="0" w:color="auto"/>
              <w:right w:val="single" w:sz="8" w:space="0" w:color="auto"/>
            </w:tcBorders>
            <w:shd w:val="clear" w:color="auto" w:fill="auto"/>
            <w:noWrap/>
            <w:vAlign w:val="center"/>
            <w:hideMark/>
          </w:tcPr>
          <w:p w14:paraId="03B7E0D4" w14:textId="13BC8FA5"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99,99%</w:t>
            </w:r>
          </w:p>
        </w:tc>
        <w:tc>
          <w:tcPr>
            <w:tcW w:w="1240" w:type="dxa"/>
            <w:tcBorders>
              <w:top w:val="nil"/>
              <w:left w:val="nil"/>
              <w:bottom w:val="single" w:sz="8" w:space="0" w:color="auto"/>
              <w:right w:val="single" w:sz="8" w:space="0" w:color="auto"/>
            </w:tcBorders>
            <w:shd w:val="clear" w:color="auto" w:fill="auto"/>
            <w:noWrap/>
            <w:vAlign w:val="center"/>
            <w:hideMark/>
          </w:tcPr>
          <w:p w14:paraId="4038D053" w14:textId="5D1273E4" w:rsidR="0032447E" w:rsidRPr="0032447E" w:rsidRDefault="0032447E" w:rsidP="00543371">
            <w:pPr>
              <w:jc w:val="center"/>
              <w:rPr>
                <w:rFonts w:ascii="Arial" w:hAnsi="Arial" w:cs="Arial"/>
                <w:bCs/>
                <w:color w:val="000000"/>
                <w:sz w:val="16"/>
                <w:szCs w:val="16"/>
              </w:rPr>
            </w:pPr>
            <w:r w:rsidRPr="0032447E">
              <w:rPr>
                <w:rFonts w:ascii="Arial" w:hAnsi="Arial" w:cs="Arial"/>
                <w:bCs/>
                <w:color w:val="000000"/>
                <w:sz w:val="16"/>
                <w:szCs w:val="16"/>
              </w:rPr>
              <w:t>16 769 63</w:t>
            </w:r>
            <w:r w:rsidR="00543371">
              <w:rPr>
                <w:rFonts w:ascii="Arial" w:hAnsi="Arial" w:cs="Arial"/>
                <w:bCs/>
                <w:color w:val="000000"/>
                <w:sz w:val="16"/>
                <w:szCs w:val="16"/>
              </w:rPr>
              <w:t>8</w:t>
            </w:r>
          </w:p>
        </w:tc>
        <w:tc>
          <w:tcPr>
            <w:tcW w:w="1240" w:type="dxa"/>
            <w:tcBorders>
              <w:top w:val="nil"/>
              <w:left w:val="nil"/>
              <w:bottom w:val="single" w:sz="8" w:space="0" w:color="auto"/>
              <w:right w:val="single" w:sz="8" w:space="0" w:color="auto"/>
            </w:tcBorders>
            <w:shd w:val="clear" w:color="auto" w:fill="auto"/>
            <w:noWrap/>
            <w:vAlign w:val="center"/>
            <w:hideMark/>
          </w:tcPr>
          <w:p w14:paraId="5E9CD98A" w14:textId="0E53C8CE" w:rsidR="0032447E" w:rsidRPr="0032447E" w:rsidRDefault="0032447E" w:rsidP="0032447E">
            <w:pPr>
              <w:jc w:val="center"/>
              <w:rPr>
                <w:rFonts w:ascii="Arial" w:hAnsi="Arial" w:cs="Arial"/>
                <w:bCs/>
                <w:color w:val="000000"/>
                <w:sz w:val="16"/>
                <w:szCs w:val="16"/>
              </w:rPr>
            </w:pPr>
            <w:r w:rsidRPr="0032447E">
              <w:rPr>
                <w:rFonts w:ascii="Arial" w:hAnsi="Arial" w:cs="Arial"/>
                <w:bCs/>
                <w:color w:val="000000"/>
                <w:sz w:val="16"/>
                <w:szCs w:val="16"/>
              </w:rPr>
              <w:t>83,85%</w:t>
            </w:r>
          </w:p>
        </w:tc>
      </w:tr>
      <w:tr w:rsidR="0032447E" w:rsidRPr="00E21C60" w14:paraId="4D00791E" w14:textId="77777777" w:rsidTr="0032447E">
        <w:trPr>
          <w:trHeight w:val="240"/>
        </w:trPr>
        <w:tc>
          <w:tcPr>
            <w:tcW w:w="3000" w:type="dxa"/>
            <w:tcBorders>
              <w:top w:val="nil"/>
              <w:left w:val="single" w:sz="8" w:space="0" w:color="auto"/>
              <w:bottom w:val="single" w:sz="8" w:space="0" w:color="auto"/>
              <w:right w:val="single" w:sz="8" w:space="0" w:color="000000"/>
            </w:tcBorders>
            <w:shd w:val="clear" w:color="000000" w:fill="EAF1DD"/>
            <w:vAlign w:val="center"/>
            <w:hideMark/>
          </w:tcPr>
          <w:p w14:paraId="70C7BFF5" w14:textId="77777777" w:rsidR="0032447E" w:rsidRPr="00E21C60" w:rsidRDefault="0032447E" w:rsidP="0032447E">
            <w:pPr>
              <w:rPr>
                <w:rFonts w:ascii="Arial" w:hAnsi="Arial" w:cs="Arial"/>
                <w:b/>
                <w:bCs/>
                <w:color w:val="000000"/>
                <w:sz w:val="16"/>
                <w:szCs w:val="16"/>
              </w:rPr>
            </w:pPr>
            <w:r w:rsidRPr="00E21C60">
              <w:rPr>
                <w:rFonts w:ascii="Arial" w:hAnsi="Arial" w:cs="Arial"/>
                <w:b/>
                <w:bCs/>
                <w:color w:val="000000"/>
                <w:sz w:val="16"/>
                <w:szCs w:val="16"/>
              </w:rPr>
              <w:t>Spolu</w:t>
            </w:r>
          </w:p>
        </w:tc>
        <w:tc>
          <w:tcPr>
            <w:tcW w:w="1060" w:type="dxa"/>
            <w:tcBorders>
              <w:top w:val="nil"/>
              <w:left w:val="nil"/>
              <w:bottom w:val="single" w:sz="8" w:space="0" w:color="auto"/>
              <w:right w:val="single" w:sz="8" w:space="0" w:color="auto"/>
            </w:tcBorders>
            <w:shd w:val="clear" w:color="000000" w:fill="EAF1DD"/>
            <w:noWrap/>
            <w:vAlign w:val="center"/>
            <w:hideMark/>
          </w:tcPr>
          <w:p w14:paraId="3A1C0C58" w14:textId="1074F2D1" w:rsidR="0032447E" w:rsidRPr="00E21C60"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20 000 000</w:t>
            </w:r>
          </w:p>
        </w:tc>
        <w:tc>
          <w:tcPr>
            <w:tcW w:w="1240" w:type="dxa"/>
            <w:tcBorders>
              <w:top w:val="nil"/>
              <w:left w:val="nil"/>
              <w:bottom w:val="single" w:sz="8" w:space="0" w:color="auto"/>
              <w:right w:val="single" w:sz="8" w:space="0" w:color="auto"/>
            </w:tcBorders>
            <w:shd w:val="clear" w:color="000000" w:fill="EAF1DD"/>
            <w:noWrap/>
            <w:vAlign w:val="center"/>
            <w:hideMark/>
          </w:tcPr>
          <w:p w14:paraId="61126D00" w14:textId="27F4D256" w:rsidR="0032447E" w:rsidRPr="00E21C60" w:rsidRDefault="0032447E" w:rsidP="00543371">
            <w:pPr>
              <w:jc w:val="center"/>
              <w:rPr>
                <w:rFonts w:ascii="Arial" w:hAnsi="Arial" w:cs="Arial"/>
                <w:b/>
                <w:bCs/>
                <w:color w:val="000000"/>
                <w:sz w:val="16"/>
                <w:szCs w:val="16"/>
              </w:rPr>
            </w:pPr>
            <w:r w:rsidRPr="0032447E">
              <w:rPr>
                <w:rFonts w:ascii="Arial" w:hAnsi="Arial" w:cs="Arial"/>
                <w:b/>
                <w:bCs/>
                <w:color w:val="000000"/>
                <w:sz w:val="16"/>
                <w:szCs w:val="16"/>
              </w:rPr>
              <w:t>19 999 910</w:t>
            </w:r>
          </w:p>
        </w:tc>
        <w:tc>
          <w:tcPr>
            <w:tcW w:w="1323" w:type="dxa"/>
            <w:tcBorders>
              <w:top w:val="nil"/>
              <w:left w:val="nil"/>
              <w:bottom w:val="single" w:sz="8" w:space="0" w:color="auto"/>
              <w:right w:val="single" w:sz="8" w:space="0" w:color="auto"/>
            </w:tcBorders>
            <w:shd w:val="clear" w:color="000000" w:fill="EAF1DD"/>
            <w:noWrap/>
            <w:vAlign w:val="center"/>
            <w:hideMark/>
          </w:tcPr>
          <w:p w14:paraId="1AEC7B75" w14:textId="191F8A28" w:rsidR="0032447E" w:rsidRPr="00E21C60"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99,99%</w:t>
            </w:r>
          </w:p>
        </w:tc>
        <w:tc>
          <w:tcPr>
            <w:tcW w:w="1240" w:type="dxa"/>
            <w:tcBorders>
              <w:top w:val="nil"/>
              <w:left w:val="nil"/>
              <w:bottom w:val="single" w:sz="8" w:space="0" w:color="auto"/>
              <w:right w:val="single" w:sz="8" w:space="0" w:color="auto"/>
            </w:tcBorders>
            <w:shd w:val="clear" w:color="000000" w:fill="EAF1DD"/>
            <w:noWrap/>
            <w:vAlign w:val="center"/>
            <w:hideMark/>
          </w:tcPr>
          <w:p w14:paraId="7D4904E7" w14:textId="76360548" w:rsidR="0032447E" w:rsidRPr="0010344C" w:rsidRDefault="0032447E" w:rsidP="00543371">
            <w:pPr>
              <w:jc w:val="center"/>
              <w:rPr>
                <w:rFonts w:ascii="Arial" w:hAnsi="Arial" w:cs="Arial"/>
                <w:b/>
                <w:bCs/>
                <w:color w:val="000000"/>
                <w:sz w:val="16"/>
                <w:szCs w:val="16"/>
              </w:rPr>
            </w:pPr>
            <w:r w:rsidRPr="0032447E">
              <w:rPr>
                <w:rFonts w:ascii="Arial" w:hAnsi="Arial" w:cs="Arial"/>
                <w:b/>
                <w:bCs/>
                <w:color w:val="000000"/>
                <w:sz w:val="16"/>
                <w:szCs w:val="16"/>
              </w:rPr>
              <w:t>16 769 63</w:t>
            </w:r>
            <w:r w:rsidR="00543371">
              <w:rPr>
                <w:rFonts w:ascii="Arial" w:hAnsi="Arial" w:cs="Arial"/>
                <w:b/>
                <w:bCs/>
                <w:color w:val="000000"/>
                <w:sz w:val="16"/>
                <w:szCs w:val="16"/>
              </w:rPr>
              <w:t>8</w:t>
            </w:r>
          </w:p>
        </w:tc>
        <w:tc>
          <w:tcPr>
            <w:tcW w:w="1240" w:type="dxa"/>
            <w:tcBorders>
              <w:top w:val="nil"/>
              <w:left w:val="nil"/>
              <w:bottom w:val="single" w:sz="8" w:space="0" w:color="auto"/>
              <w:right w:val="single" w:sz="8" w:space="0" w:color="auto"/>
            </w:tcBorders>
            <w:shd w:val="clear" w:color="000000" w:fill="EAF1DD"/>
            <w:noWrap/>
            <w:vAlign w:val="center"/>
            <w:hideMark/>
          </w:tcPr>
          <w:p w14:paraId="754E041B" w14:textId="20CEFCB1" w:rsidR="0032447E" w:rsidRPr="005165D9" w:rsidRDefault="0032447E" w:rsidP="0032447E">
            <w:pPr>
              <w:jc w:val="center"/>
              <w:rPr>
                <w:rFonts w:ascii="Arial" w:hAnsi="Arial" w:cs="Arial"/>
                <w:b/>
                <w:bCs/>
                <w:color w:val="000000"/>
                <w:sz w:val="16"/>
                <w:szCs w:val="16"/>
              </w:rPr>
            </w:pPr>
            <w:r w:rsidRPr="0032447E">
              <w:rPr>
                <w:rFonts w:ascii="Arial" w:hAnsi="Arial" w:cs="Arial"/>
                <w:b/>
                <w:bCs/>
                <w:color w:val="000000"/>
                <w:sz w:val="16"/>
                <w:szCs w:val="16"/>
              </w:rPr>
              <w:t>83,85%</w:t>
            </w:r>
          </w:p>
        </w:tc>
      </w:tr>
    </w:tbl>
    <w:p w14:paraId="263350BD" w14:textId="77777777" w:rsidR="002B4B2F" w:rsidRDefault="002B4B2F" w:rsidP="00123376">
      <w:pPr>
        <w:rPr>
          <w:rFonts w:ascii="Arial" w:hAnsi="Arial" w:cs="Arial"/>
          <w:sz w:val="16"/>
          <w:szCs w:val="16"/>
        </w:rPr>
      </w:pPr>
      <w:r w:rsidRPr="00E21C60">
        <w:rPr>
          <w:rFonts w:ascii="Arial" w:hAnsi="Arial" w:cs="Arial"/>
          <w:sz w:val="16"/>
          <w:szCs w:val="16"/>
        </w:rPr>
        <w:t>Zdroj: RO, ITMS</w:t>
      </w:r>
    </w:p>
    <w:p w14:paraId="4092D66B" w14:textId="77777777" w:rsidR="00B82CF7" w:rsidRDefault="00B82CF7" w:rsidP="00123376">
      <w:pPr>
        <w:rPr>
          <w:rFonts w:ascii="Arial" w:hAnsi="Arial" w:cs="Arial"/>
          <w:sz w:val="16"/>
          <w:szCs w:val="16"/>
        </w:rPr>
      </w:pPr>
    </w:p>
    <w:p w14:paraId="19AD1829" w14:textId="11518227" w:rsidR="00875919" w:rsidRPr="00E21C60" w:rsidRDefault="00875919" w:rsidP="008A1902">
      <w:pPr>
        <w:pStyle w:val="Zkladntextb"/>
        <w:keepNext/>
        <w:spacing w:before="120" w:after="0" w:line="240" w:lineRule="auto"/>
        <w:ind w:left="0"/>
        <w:jc w:val="both"/>
        <w:rPr>
          <w:rFonts w:cs="Arial"/>
          <w:lang w:val="sk-SK"/>
        </w:rPr>
      </w:pPr>
      <w:r w:rsidRPr="00E21C60">
        <w:rPr>
          <w:rFonts w:cs="Arial"/>
          <w:lang w:val="sk-SK"/>
        </w:rPr>
        <w:t xml:space="preserve">Tabuľka č. </w:t>
      </w:r>
      <w:r w:rsidR="00670044" w:rsidRPr="00E21C60">
        <w:rPr>
          <w:rFonts w:cs="Arial"/>
          <w:lang w:val="sk-SK"/>
        </w:rPr>
        <w:t>7</w:t>
      </w:r>
      <w:r w:rsidR="007B1CB9">
        <w:rPr>
          <w:rFonts w:cs="Arial"/>
          <w:lang w:val="sk-SK"/>
        </w:rPr>
        <w:t>4</w:t>
      </w:r>
      <w:r w:rsidRPr="00E21C60">
        <w:rPr>
          <w:rFonts w:cs="Arial"/>
          <w:lang w:val="sk-SK"/>
        </w:rPr>
        <w:t>: Fyzický pokrok intervencií prioritnej osi 7 k 31.</w:t>
      </w:r>
      <w:r w:rsidR="00F204A5">
        <w:rPr>
          <w:rFonts w:cs="Arial"/>
          <w:lang w:val="sk-SK"/>
        </w:rPr>
        <w:t>10</w:t>
      </w:r>
      <w:r w:rsidRPr="00E21C60">
        <w:rPr>
          <w:rFonts w:cs="Arial"/>
          <w:lang w:val="sk-SK"/>
        </w:rPr>
        <w:t>.201</w:t>
      </w:r>
      <w:r w:rsidR="00F204A5">
        <w:rPr>
          <w:rFonts w:cs="Arial"/>
          <w:lang w:val="sk-SK"/>
        </w:rPr>
        <w:t>6</w:t>
      </w:r>
    </w:p>
    <w:tbl>
      <w:tblPr>
        <w:tblW w:w="8758" w:type="dxa"/>
        <w:tblInd w:w="55" w:type="dxa"/>
        <w:tblLayout w:type="fixed"/>
        <w:tblCellMar>
          <w:left w:w="70" w:type="dxa"/>
          <w:right w:w="70" w:type="dxa"/>
        </w:tblCellMar>
        <w:tblLook w:val="04A0" w:firstRow="1" w:lastRow="0" w:firstColumn="1" w:lastColumn="0" w:noHBand="0" w:noVBand="1"/>
      </w:tblPr>
      <w:tblGrid>
        <w:gridCol w:w="649"/>
        <w:gridCol w:w="1411"/>
        <w:gridCol w:w="814"/>
        <w:gridCol w:w="685"/>
        <w:gridCol w:w="870"/>
        <w:gridCol w:w="599"/>
        <w:gridCol w:w="861"/>
        <w:gridCol w:w="861"/>
        <w:gridCol w:w="1004"/>
        <w:gridCol w:w="1004"/>
      </w:tblGrid>
      <w:tr w:rsidR="000A4DF7" w:rsidRPr="00E21C60" w14:paraId="2590EFC9" w14:textId="77777777" w:rsidTr="007D7B08">
        <w:trPr>
          <w:trHeight w:val="1350"/>
        </w:trPr>
        <w:tc>
          <w:tcPr>
            <w:tcW w:w="649" w:type="dxa"/>
            <w:tcBorders>
              <w:top w:val="single" w:sz="4" w:space="0" w:color="auto"/>
              <w:left w:val="single" w:sz="4" w:space="0" w:color="auto"/>
              <w:bottom w:val="nil"/>
              <w:right w:val="single" w:sz="4" w:space="0" w:color="auto"/>
            </w:tcBorders>
            <w:shd w:val="clear" w:color="auto" w:fill="C2D69B" w:themeFill="accent3" w:themeFillTint="99"/>
            <w:vAlign w:val="center"/>
            <w:hideMark/>
          </w:tcPr>
          <w:p w14:paraId="2084AAE6" w14:textId="77777777" w:rsidR="000A4DF7" w:rsidRPr="00E21C60" w:rsidRDefault="000A4DF7" w:rsidP="008A1902">
            <w:pPr>
              <w:keepNext/>
              <w:jc w:val="center"/>
              <w:rPr>
                <w:rFonts w:ascii="Arial" w:hAnsi="Arial" w:cs="Arial"/>
                <w:b/>
                <w:bCs/>
                <w:color w:val="000000"/>
                <w:sz w:val="16"/>
                <w:szCs w:val="16"/>
              </w:rPr>
            </w:pPr>
            <w:r w:rsidRPr="00E21C60">
              <w:rPr>
                <w:rFonts w:ascii="Arial" w:hAnsi="Arial" w:cs="Arial"/>
                <w:b/>
                <w:bCs/>
                <w:color w:val="000000"/>
                <w:sz w:val="16"/>
                <w:szCs w:val="16"/>
              </w:rPr>
              <w:t>Typ</w:t>
            </w:r>
            <w:r w:rsidRPr="00E21C60">
              <w:rPr>
                <w:rFonts w:ascii="Arial" w:hAnsi="Arial" w:cs="Arial"/>
                <w:b/>
                <w:bCs/>
                <w:color w:val="000000"/>
                <w:sz w:val="16"/>
                <w:szCs w:val="16"/>
              </w:rPr>
              <w:br/>
              <w:t>inter-</w:t>
            </w:r>
            <w:r w:rsidRPr="00E21C60">
              <w:rPr>
                <w:rFonts w:ascii="Arial" w:hAnsi="Arial" w:cs="Arial"/>
                <w:b/>
                <w:bCs/>
                <w:color w:val="000000"/>
                <w:sz w:val="16"/>
                <w:szCs w:val="16"/>
              </w:rPr>
              <w:br/>
              <w:t>vencie (op. cieľ)</w:t>
            </w:r>
          </w:p>
        </w:tc>
        <w:tc>
          <w:tcPr>
            <w:tcW w:w="1411" w:type="dxa"/>
            <w:tcBorders>
              <w:top w:val="single" w:sz="4" w:space="0" w:color="auto"/>
              <w:left w:val="nil"/>
              <w:bottom w:val="nil"/>
              <w:right w:val="single" w:sz="4" w:space="0" w:color="auto"/>
            </w:tcBorders>
            <w:shd w:val="clear" w:color="auto" w:fill="C2D69B" w:themeFill="accent3" w:themeFillTint="99"/>
            <w:vAlign w:val="center"/>
            <w:hideMark/>
          </w:tcPr>
          <w:p w14:paraId="1C9CF068" w14:textId="77777777" w:rsidR="000A4DF7" w:rsidRPr="00E21C60" w:rsidRDefault="000A4DF7" w:rsidP="008A1902">
            <w:pPr>
              <w:keepNext/>
              <w:jc w:val="center"/>
              <w:rPr>
                <w:rFonts w:ascii="Arial" w:hAnsi="Arial" w:cs="Arial"/>
                <w:b/>
                <w:bCs/>
                <w:color w:val="000000"/>
                <w:sz w:val="16"/>
                <w:szCs w:val="16"/>
              </w:rPr>
            </w:pPr>
            <w:r w:rsidRPr="00E21C60">
              <w:rPr>
                <w:rFonts w:ascii="Arial" w:hAnsi="Arial" w:cs="Arial"/>
                <w:b/>
                <w:bCs/>
                <w:color w:val="000000"/>
                <w:sz w:val="16"/>
                <w:szCs w:val="16"/>
              </w:rPr>
              <w:t>Názov merateľného ukazovateľa (MU)</w:t>
            </w:r>
          </w:p>
        </w:tc>
        <w:tc>
          <w:tcPr>
            <w:tcW w:w="814" w:type="dxa"/>
            <w:tcBorders>
              <w:top w:val="single" w:sz="4" w:space="0" w:color="auto"/>
              <w:left w:val="nil"/>
              <w:bottom w:val="nil"/>
              <w:right w:val="single" w:sz="4" w:space="0" w:color="auto"/>
            </w:tcBorders>
            <w:shd w:val="clear" w:color="auto" w:fill="C2D69B" w:themeFill="accent3" w:themeFillTint="99"/>
            <w:vAlign w:val="center"/>
            <w:hideMark/>
          </w:tcPr>
          <w:p w14:paraId="4BBF77C2" w14:textId="77777777" w:rsidR="000A4DF7" w:rsidRPr="00E21C60" w:rsidRDefault="000A4DF7" w:rsidP="008A1902">
            <w:pPr>
              <w:keepNext/>
              <w:jc w:val="center"/>
              <w:rPr>
                <w:rFonts w:ascii="Arial" w:hAnsi="Arial" w:cs="Arial"/>
                <w:b/>
                <w:bCs/>
                <w:color w:val="000000"/>
                <w:sz w:val="16"/>
                <w:szCs w:val="16"/>
              </w:rPr>
            </w:pPr>
            <w:r w:rsidRPr="00E21C60">
              <w:rPr>
                <w:rFonts w:ascii="Arial" w:hAnsi="Arial" w:cs="Arial"/>
                <w:b/>
                <w:bCs/>
                <w:color w:val="000000"/>
                <w:sz w:val="16"/>
                <w:szCs w:val="16"/>
              </w:rPr>
              <w:t>Merná jednotka (MJ)</w:t>
            </w:r>
          </w:p>
        </w:tc>
        <w:tc>
          <w:tcPr>
            <w:tcW w:w="685" w:type="dxa"/>
            <w:tcBorders>
              <w:top w:val="single" w:sz="4" w:space="0" w:color="auto"/>
              <w:left w:val="nil"/>
              <w:bottom w:val="single" w:sz="4" w:space="0" w:color="auto"/>
              <w:right w:val="single" w:sz="4" w:space="0" w:color="auto"/>
            </w:tcBorders>
            <w:shd w:val="clear" w:color="auto" w:fill="C2D69B" w:themeFill="accent3" w:themeFillTint="99"/>
            <w:vAlign w:val="center"/>
          </w:tcPr>
          <w:p w14:paraId="2F15E5D6" w14:textId="77777777" w:rsidR="000A4DF7" w:rsidRPr="00E21C60" w:rsidRDefault="000A4DF7" w:rsidP="004E581A">
            <w:pPr>
              <w:keepNext/>
              <w:jc w:val="center"/>
              <w:rPr>
                <w:rFonts w:ascii="Arial" w:hAnsi="Arial" w:cs="Arial"/>
                <w:b/>
                <w:bCs/>
                <w:color w:val="000000"/>
                <w:sz w:val="16"/>
                <w:szCs w:val="16"/>
              </w:rPr>
            </w:pPr>
            <w:r>
              <w:rPr>
                <w:rFonts w:ascii="Arial" w:hAnsi="Arial" w:cs="Arial"/>
                <w:b/>
                <w:bCs/>
                <w:color w:val="000000"/>
                <w:sz w:val="16"/>
                <w:szCs w:val="16"/>
              </w:rPr>
              <w:t>Východisko</w:t>
            </w:r>
            <w:r w:rsidRPr="00F11B9B">
              <w:rPr>
                <w:rFonts w:ascii="Arial" w:hAnsi="Arial" w:cs="Arial"/>
                <w:b/>
                <w:bCs/>
                <w:color w:val="000000"/>
                <w:sz w:val="16"/>
                <w:szCs w:val="16"/>
              </w:rPr>
              <w:t xml:space="preserve"> OP</w:t>
            </w:r>
          </w:p>
        </w:tc>
        <w:tc>
          <w:tcPr>
            <w:tcW w:w="87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61F0833" w14:textId="77777777" w:rsidR="000A4DF7" w:rsidRPr="00E21C60" w:rsidRDefault="000A4DF7" w:rsidP="008A1902">
            <w:pPr>
              <w:keepNext/>
              <w:jc w:val="center"/>
              <w:rPr>
                <w:rFonts w:ascii="Arial" w:hAnsi="Arial" w:cs="Arial"/>
                <w:b/>
                <w:bCs/>
                <w:color w:val="000000"/>
                <w:sz w:val="16"/>
                <w:szCs w:val="16"/>
              </w:rPr>
            </w:pPr>
            <w:r w:rsidRPr="00E21C60">
              <w:rPr>
                <w:rFonts w:ascii="Arial" w:hAnsi="Arial" w:cs="Arial"/>
                <w:b/>
                <w:bCs/>
                <w:color w:val="000000"/>
                <w:sz w:val="16"/>
                <w:szCs w:val="16"/>
              </w:rPr>
              <w:t>Cieľ OP</w:t>
            </w:r>
          </w:p>
        </w:tc>
        <w:tc>
          <w:tcPr>
            <w:tcW w:w="599" w:type="dxa"/>
            <w:tcBorders>
              <w:top w:val="single" w:sz="4" w:space="0" w:color="auto"/>
              <w:left w:val="nil"/>
              <w:bottom w:val="single" w:sz="4" w:space="0" w:color="auto"/>
              <w:right w:val="single" w:sz="4" w:space="0" w:color="auto"/>
            </w:tcBorders>
            <w:shd w:val="clear" w:color="auto" w:fill="C2D69B" w:themeFill="accent3" w:themeFillTint="99"/>
          </w:tcPr>
          <w:p w14:paraId="7CDCBB19" w14:textId="77777777" w:rsidR="000A4DF7" w:rsidRDefault="000A4DF7" w:rsidP="00770D2F">
            <w:pPr>
              <w:keepNext/>
              <w:jc w:val="center"/>
              <w:rPr>
                <w:rFonts w:ascii="Arial" w:hAnsi="Arial" w:cs="Arial"/>
                <w:b/>
                <w:bCs/>
                <w:color w:val="000000"/>
                <w:sz w:val="16"/>
                <w:szCs w:val="16"/>
              </w:rPr>
            </w:pPr>
          </w:p>
          <w:p w14:paraId="3B0296C2" w14:textId="77777777" w:rsidR="000A4DF7" w:rsidRDefault="000A4DF7" w:rsidP="00770D2F">
            <w:pPr>
              <w:keepNext/>
              <w:jc w:val="center"/>
              <w:rPr>
                <w:rFonts w:ascii="Arial" w:hAnsi="Arial" w:cs="Arial"/>
                <w:b/>
                <w:bCs/>
                <w:color w:val="000000"/>
                <w:sz w:val="16"/>
                <w:szCs w:val="16"/>
              </w:rPr>
            </w:pPr>
          </w:p>
          <w:p w14:paraId="6D5E60DF" w14:textId="77777777" w:rsidR="000A4DF7" w:rsidRPr="000A4DF7" w:rsidRDefault="000A4DF7" w:rsidP="00770D2F">
            <w:pPr>
              <w:keepNext/>
              <w:jc w:val="center"/>
              <w:rPr>
                <w:rFonts w:ascii="Arial" w:hAnsi="Arial" w:cs="Arial"/>
                <w:b/>
                <w:bCs/>
                <w:color w:val="000000"/>
                <w:sz w:val="16"/>
                <w:szCs w:val="16"/>
              </w:rPr>
            </w:pPr>
            <w:r w:rsidRPr="000A4DF7">
              <w:rPr>
                <w:rFonts w:ascii="Arial" w:hAnsi="Arial" w:cs="Arial"/>
                <w:b/>
                <w:bCs/>
                <w:color w:val="000000"/>
                <w:sz w:val="16"/>
                <w:szCs w:val="16"/>
              </w:rPr>
              <w:t>Stav</w:t>
            </w:r>
            <w:r w:rsidRPr="00B7245A">
              <w:rPr>
                <w:rFonts w:ascii="Arial" w:hAnsi="Arial" w:cs="Arial"/>
                <w:b/>
                <w:bCs/>
                <w:color w:val="000000"/>
                <w:sz w:val="16"/>
                <w:szCs w:val="16"/>
                <w:highlight w:val="red"/>
              </w:rPr>
              <w:t xml:space="preserve"> </w:t>
            </w:r>
            <w:r w:rsidRPr="000A4DF7">
              <w:rPr>
                <w:rFonts w:ascii="Arial" w:hAnsi="Arial" w:cs="Arial"/>
                <w:b/>
                <w:bCs/>
                <w:color w:val="000000"/>
                <w:sz w:val="16"/>
                <w:szCs w:val="16"/>
              </w:rPr>
              <w:t>k 31.12.</w:t>
            </w:r>
          </w:p>
          <w:p w14:paraId="58B74764" w14:textId="103731CC" w:rsidR="000A4DF7" w:rsidRPr="00E21C60" w:rsidRDefault="000A4DF7" w:rsidP="00770D2F">
            <w:pPr>
              <w:keepNext/>
              <w:jc w:val="center"/>
              <w:rPr>
                <w:rFonts w:ascii="Arial" w:hAnsi="Arial" w:cs="Arial"/>
                <w:b/>
                <w:bCs/>
                <w:color w:val="000000"/>
                <w:sz w:val="16"/>
                <w:szCs w:val="16"/>
              </w:rPr>
            </w:pPr>
            <w:r w:rsidRPr="000A4DF7">
              <w:rPr>
                <w:rFonts w:ascii="Arial" w:hAnsi="Arial" w:cs="Arial"/>
                <w:b/>
                <w:bCs/>
                <w:color w:val="000000"/>
                <w:sz w:val="16"/>
                <w:szCs w:val="16"/>
              </w:rPr>
              <w:t>2015</w:t>
            </w:r>
          </w:p>
        </w:tc>
        <w:tc>
          <w:tcPr>
            <w:tcW w:w="86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7592049" w14:textId="77777777" w:rsidR="000A4DF7" w:rsidRDefault="000A4DF7" w:rsidP="008E3229">
            <w:pPr>
              <w:keepNext/>
              <w:jc w:val="center"/>
              <w:rPr>
                <w:rFonts w:ascii="Arial" w:hAnsi="Arial" w:cs="Arial"/>
                <w:b/>
                <w:bCs/>
                <w:color w:val="000000"/>
                <w:sz w:val="16"/>
                <w:szCs w:val="16"/>
              </w:rPr>
            </w:pPr>
          </w:p>
          <w:p w14:paraId="21385275" w14:textId="77777777" w:rsidR="000A4DF7" w:rsidRDefault="000A4DF7" w:rsidP="008E3229">
            <w:pPr>
              <w:keepNext/>
              <w:jc w:val="center"/>
              <w:rPr>
                <w:rFonts w:ascii="Arial" w:hAnsi="Arial" w:cs="Arial"/>
                <w:b/>
                <w:bCs/>
                <w:color w:val="000000"/>
                <w:sz w:val="16"/>
                <w:szCs w:val="16"/>
              </w:rPr>
            </w:pPr>
          </w:p>
          <w:p w14:paraId="59647CD3" w14:textId="224E914C" w:rsidR="000A4DF7" w:rsidRPr="00770D2F" w:rsidRDefault="000A4DF7" w:rsidP="008E3229">
            <w:pPr>
              <w:keepNext/>
              <w:jc w:val="center"/>
              <w:rPr>
                <w:rFonts w:ascii="Arial" w:hAnsi="Arial" w:cs="Arial"/>
                <w:b/>
                <w:bCs/>
                <w:color w:val="000000"/>
                <w:sz w:val="16"/>
                <w:szCs w:val="16"/>
              </w:rPr>
            </w:pPr>
            <w:r w:rsidRPr="00770D2F">
              <w:rPr>
                <w:rFonts w:ascii="Arial" w:hAnsi="Arial" w:cs="Arial"/>
                <w:b/>
                <w:bCs/>
                <w:color w:val="000000"/>
                <w:sz w:val="16"/>
                <w:szCs w:val="16"/>
              </w:rPr>
              <w:t>Stav k 3</w:t>
            </w:r>
            <w:r>
              <w:rPr>
                <w:rFonts w:ascii="Arial" w:hAnsi="Arial" w:cs="Arial"/>
                <w:b/>
                <w:bCs/>
                <w:color w:val="000000"/>
                <w:sz w:val="16"/>
                <w:szCs w:val="16"/>
              </w:rPr>
              <w:t>0</w:t>
            </w:r>
            <w:r w:rsidRPr="00770D2F">
              <w:rPr>
                <w:rFonts w:ascii="Arial" w:hAnsi="Arial" w:cs="Arial"/>
                <w:b/>
                <w:bCs/>
                <w:color w:val="000000"/>
                <w:sz w:val="16"/>
                <w:szCs w:val="16"/>
              </w:rPr>
              <w:t>.1</w:t>
            </w:r>
            <w:r>
              <w:rPr>
                <w:rFonts w:ascii="Arial" w:hAnsi="Arial" w:cs="Arial"/>
                <w:b/>
                <w:bCs/>
                <w:color w:val="000000"/>
                <w:sz w:val="16"/>
                <w:szCs w:val="16"/>
              </w:rPr>
              <w:t>0</w:t>
            </w:r>
            <w:r w:rsidRPr="00770D2F">
              <w:rPr>
                <w:rFonts w:ascii="Arial" w:hAnsi="Arial" w:cs="Arial"/>
                <w:b/>
                <w:bCs/>
                <w:color w:val="000000"/>
                <w:sz w:val="16"/>
                <w:szCs w:val="16"/>
              </w:rPr>
              <w:t>.</w:t>
            </w:r>
          </w:p>
          <w:p w14:paraId="30015CCE" w14:textId="4941C919" w:rsidR="000A4DF7" w:rsidRPr="00E21C60" w:rsidRDefault="000A4DF7" w:rsidP="008E3229">
            <w:pPr>
              <w:keepNext/>
              <w:jc w:val="center"/>
              <w:rPr>
                <w:rFonts w:ascii="Arial" w:hAnsi="Arial" w:cs="Arial"/>
                <w:b/>
                <w:bCs/>
                <w:color w:val="000000"/>
                <w:sz w:val="16"/>
                <w:szCs w:val="16"/>
              </w:rPr>
            </w:pPr>
            <w:r w:rsidRPr="00770D2F">
              <w:rPr>
                <w:rFonts w:ascii="Arial" w:hAnsi="Arial" w:cs="Arial"/>
                <w:b/>
                <w:bCs/>
                <w:color w:val="000000"/>
                <w:sz w:val="16"/>
                <w:szCs w:val="16"/>
              </w:rPr>
              <w:t>201</w:t>
            </w:r>
            <w:r>
              <w:rPr>
                <w:rFonts w:ascii="Arial" w:hAnsi="Arial" w:cs="Arial"/>
                <w:b/>
                <w:bCs/>
                <w:color w:val="000000"/>
                <w:sz w:val="16"/>
                <w:szCs w:val="16"/>
              </w:rPr>
              <w:t>6</w:t>
            </w:r>
          </w:p>
        </w:tc>
        <w:tc>
          <w:tcPr>
            <w:tcW w:w="861"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A3AB540" w14:textId="52A5EB48" w:rsidR="000A4DF7" w:rsidRPr="00E21C60" w:rsidRDefault="000A4DF7" w:rsidP="008A1902">
            <w:pPr>
              <w:keepNext/>
              <w:jc w:val="center"/>
              <w:rPr>
                <w:rFonts w:ascii="Arial" w:hAnsi="Arial" w:cs="Arial"/>
                <w:b/>
                <w:bCs/>
                <w:color w:val="000000"/>
                <w:sz w:val="16"/>
                <w:szCs w:val="16"/>
              </w:rPr>
            </w:pPr>
            <w:r w:rsidRPr="00E21C60">
              <w:rPr>
                <w:rFonts w:ascii="Arial" w:hAnsi="Arial" w:cs="Arial"/>
                <w:b/>
                <w:bCs/>
                <w:color w:val="000000"/>
                <w:sz w:val="16"/>
                <w:szCs w:val="16"/>
              </w:rPr>
              <w:t>Cieľ zazmluv-</w:t>
            </w:r>
            <w:r w:rsidRPr="00E21C60">
              <w:rPr>
                <w:rFonts w:ascii="Arial" w:hAnsi="Arial" w:cs="Arial"/>
                <w:b/>
                <w:bCs/>
                <w:color w:val="000000"/>
                <w:sz w:val="16"/>
                <w:szCs w:val="16"/>
              </w:rPr>
              <w:br/>
              <w:t>nených projektov</w:t>
            </w:r>
          </w:p>
        </w:tc>
        <w:tc>
          <w:tcPr>
            <w:tcW w:w="1004"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09481DA3" w14:textId="77777777" w:rsidR="000A4DF7" w:rsidRPr="00E21C60" w:rsidRDefault="000A4DF7" w:rsidP="008A1902">
            <w:pPr>
              <w:keepNext/>
              <w:jc w:val="center"/>
              <w:rPr>
                <w:rFonts w:ascii="Arial" w:hAnsi="Arial" w:cs="Arial"/>
                <w:b/>
                <w:bCs/>
                <w:color w:val="000000"/>
                <w:sz w:val="16"/>
                <w:szCs w:val="16"/>
              </w:rPr>
            </w:pPr>
            <w:r w:rsidRPr="00E21C60">
              <w:rPr>
                <w:rFonts w:ascii="Arial" w:hAnsi="Arial" w:cs="Arial"/>
                <w:b/>
                <w:bCs/>
                <w:color w:val="000000"/>
                <w:sz w:val="16"/>
                <w:szCs w:val="16"/>
              </w:rPr>
              <w:t>Úspešnosť plnenia (%)</w:t>
            </w:r>
          </w:p>
        </w:tc>
        <w:tc>
          <w:tcPr>
            <w:tcW w:w="1004"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EA5B156" w14:textId="77777777" w:rsidR="000A4DF7" w:rsidRPr="00E21C60" w:rsidRDefault="000A4DF7" w:rsidP="008A1902">
            <w:pPr>
              <w:keepNext/>
              <w:jc w:val="center"/>
              <w:rPr>
                <w:rFonts w:ascii="Arial" w:hAnsi="Arial" w:cs="Arial"/>
                <w:b/>
                <w:bCs/>
                <w:color w:val="000000"/>
                <w:sz w:val="16"/>
                <w:szCs w:val="16"/>
              </w:rPr>
            </w:pPr>
            <w:r w:rsidRPr="00E21C60">
              <w:rPr>
                <w:rFonts w:ascii="Arial" w:hAnsi="Arial" w:cs="Arial"/>
                <w:b/>
                <w:bCs/>
                <w:color w:val="000000"/>
                <w:sz w:val="16"/>
                <w:szCs w:val="16"/>
              </w:rPr>
              <w:t>Úspešnosť plnenia zazmluv-</w:t>
            </w:r>
            <w:r w:rsidRPr="00E21C60">
              <w:rPr>
                <w:rFonts w:ascii="Arial" w:hAnsi="Arial" w:cs="Arial"/>
                <w:b/>
                <w:bCs/>
                <w:color w:val="000000"/>
                <w:sz w:val="16"/>
                <w:szCs w:val="16"/>
              </w:rPr>
              <w:br/>
              <w:t>nených projektov (%)</w:t>
            </w:r>
          </w:p>
        </w:tc>
      </w:tr>
      <w:tr w:rsidR="0008447E" w:rsidRPr="00E21C60" w14:paraId="228BACAF" w14:textId="77777777" w:rsidTr="0008447E">
        <w:trPr>
          <w:trHeight w:val="675"/>
        </w:trPr>
        <w:tc>
          <w:tcPr>
            <w:tcW w:w="649" w:type="dxa"/>
            <w:vMerge w:val="restart"/>
            <w:tcBorders>
              <w:top w:val="single" w:sz="4" w:space="0" w:color="auto"/>
              <w:left w:val="single" w:sz="4" w:space="0" w:color="auto"/>
              <w:right w:val="single" w:sz="4" w:space="0" w:color="auto"/>
            </w:tcBorders>
            <w:shd w:val="clear" w:color="auto" w:fill="auto"/>
            <w:vAlign w:val="center"/>
            <w:hideMark/>
          </w:tcPr>
          <w:p w14:paraId="444BA6B2" w14:textId="77777777" w:rsidR="000A4DF7" w:rsidRPr="00E21C60" w:rsidRDefault="000A4DF7" w:rsidP="008A1902">
            <w:pPr>
              <w:keepNext/>
              <w:jc w:val="center"/>
              <w:rPr>
                <w:rFonts w:ascii="Arial" w:hAnsi="Arial" w:cs="Arial"/>
                <w:color w:val="000000"/>
                <w:sz w:val="16"/>
                <w:szCs w:val="16"/>
              </w:rPr>
            </w:pPr>
            <w:r w:rsidRPr="00E21C60">
              <w:rPr>
                <w:rFonts w:ascii="Arial" w:hAnsi="Arial" w:cs="Arial"/>
                <w:color w:val="000000"/>
                <w:sz w:val="16"/>
                <w:szCs w:val="16"/>
              </w:rPr>
              <w:t>7.1</w:t>
            </w:r>
          </w:p>
        </w:tc>
        <w:tc>
          <w:tcPr>
            <w:tcW w:w="1411" w:type="dxa"/>
            <w:tcBorders>
              <w:top w:val="single" w:sz="4" w:space="0" w:color="auto"/>
              <w:left w:val="nil"/>
              <w:bottom w:val="single" w:sz="4" w:space="0" w:color="auto"/>
              <w:right w:val="single" w:sz="4" w:space="0" w:color="auto"/>
            </w:tcBorders>
            <w:shd w:val="clear" w:color="auto" w:fill="auto"/>
            <w:vAlign w:val="center"/>
            <w:hideMark/>
          </w:tcPr>
          <w:p w14:paraId="2546C8BE" w14:textId="77777777" w:rsidR="000A4DF7" w:rsidRPr="00E21C60" w:rsidRDefault="000A4DF7" w:rsidP="008A1902">
            <w:pPr>
              <w:keepNext/>
              <w:rPr>
                <w:rFonts w:ascii="Arial" w:hAnsi="Arial" w:cs="Arial"/>
                <w:color w:val="000000"/>
                <w:sz w:val="16"/>
                <w:szCs w:val="16"/>
              </w:rPr>
            </w:pPr>
            <w:r w:rsidRPr="00123376">
              <w:rPr>
                <w:rFonts w:ascii="Arial" w:hAnsi="Arial" w:cs="Arial"/>
                <w:color w:val="000000"/>
                <w:sz w:val="16"/>
                <w:szCs w:val="16"/>
              </w:rPr>
              <w:t>Počet novovytvorených pracovných miest</w:t>
            </w:r>
          </w:p>
        </w:tc>
        <w:tc>
          <w:tcPr>
            <w:tcW w:w="814" w:type="dxa"/>
            <w:tcBorders>
              <w:top w:val="single" w:sz="4" w:space="0" w:color="auto"/>
              <w:left w:val="nil"/>
              <w:bottom w:val="single" w:sz="4" w:space="0" w:color="auto"/>
              <w:right w:val="single" w:sz="4" w:space="0" w:color="auto"/>
            </w:tcBorders>
            <w:shd w:val="clear" w:color="auto" w:fill="auto"/>
            <w:vAlign w:val="center"/>
            <w:hideMark/>
          </w:tcPr>
          <w:p w14:paraId="278FDED7" w14:textId="77777777" w:rsidR="000A4DF7" w:rsidRPr="00E21C60" w:rsidRDefault="000A4DF7" w:rsidP="008A1902">
            <w:pPr>
              <w:keepNext/>
              <w:jc w:val="center"/>
              <w:rPr>
                <w:rFonts w:ascii="Arial" w:hAnsi="Arial" w:cs="Arial"/>
                <w:color w:val="000000"/>
                <w:sz w:val="16"/>
                <w:szCs w:val="16"/>
              </w:rPr>
            </w:pPr>
            <w:r w:rsidRPr="00E21C60">
              <w:rPr>
                <w:rFonts w:ascii="Arial" w:hAnsi="Arial" w:cs="Arial"/>
                <w:color w:val="000000"/>
                <w:sz w:val="16"/>
                <w:szCs w:val="16"/>
              </w:rPr>
              <w:t>počet</w:t>
            </w:r>
          </w:p>
        </w:tc>
        <w:tc>
          <w:tcPr>
            <w:tcW w:w="685" w:type="dxa"/>
            <w:tcBorders>
              <w:top w:val="single" w:sz="4" w:space="0" w:color="auto"/>
              <w:left w:val="nil"/>
              <w:bottom w:val="single" w:sz="4" w:space="0" w:color="auto"/>
              <w:right w:val="single" w:sz="4" w:space="0" w:color="auto"/>
            </w:tcBorders>
            <w:vAlign w:val="center"/>
          </w:tcPr>
          <w:p w14:paraId="1319FA4A" w14:textId="77777777" w:rsidR="000A4DF7" w:rsidRPr="00E21C60" w:rsidRDefault="000A4DF7" w:rsidP="000308DA">
            <w:pPr>
              <w:keepNext/>
              <w:jc w:val="center"/>
              <w:rPr>
                <w:rFonts w:ascii="Arial" w:hAnsi="Arial" w:cs="Arial"/>
                <w:color w:val="000000"/>
                <w:sz w:val="16"/>
                <w:szCs w:val="16"/>
              </w:rPr>
            </w:pPr>
            <w:r>
              <w:rPr>
                <w:rFonts w:ascii="Arial" w:hAnsi="Arial" w:cs="Arial"/>
                <w:color w:val="000000"/>
                <w:sz w:val="16"/>
                <w:szCs w:val="16"/>
              </w:rPr>
              <w:t>0</w:t>
            </w:r>
          </w:p>
        </w:tc>
        <w:tc>
          <w:tcPr>
            <w:tcW w:w="870" w:type="dxa"/>
            <w:tcBorders>
              <w:top w:val="nil"/>
              <w:left w:val="single" w:sz="4" w:space="0" w:color="auto"/>
              <w:bottom w:val="single" w:sz="4" w:space="0" w:color="auto"/>
              <w:right w:val="single" w:sz="4" w:space="0" w:color="auto"/>
            </w:tcBorders>
            <w:shd w:val="clear" w:color="auto" w:fill="auto"/>
            <w:vAlign w:val="center"/>
            <w:hideMark/>
          </w:tcPr>
          <w:p w14:paraId="66A39E14" w14:textId="77777777" w:rsidR="000A4DF7" w:rsidRPr="00E21C60" w:rsidRDefault="000A4DF7" w:rsidP="0008447E">
            <w:pPr>
              <w:keepNext/>
              <w:jc w:val="center"/>
              <w:rPr>
                <w:rFonts w:ascii="Arial" w:hAnsi="Arial" w:cs="Arial"/>
                <w:color w:val="000000"/>
                <w:sz w:val="16"/>
                <w:szCs w:val="16"/>
              </w:rPr>
            </w:pPr>
            <w:r w:rsidRPr="00E21C60">
              <w:rPr>
                <w:rFonts w:ascii="Arial" w:hAnsi="Arial" w:cs="Arial"/>
                <w:color w:val="000000"/>
                <w:sz w:val="16"/>
                <w:szCs w:val="16"/>
              </w:rPr>
              <w:t>1</w:t>
            </w:r>
          </w:p>
        </w:tc>
        <w:tc>
          <w:tcPr>
            <w:tcW w:w="599" w:type="dxa"/>
            <w:tcBorders>
              <w:top w:val="single" w:sz="4" w:space="0" w:color="auto"/>
              <w:left w:val="nil"/>
              <w:bottom w:val="single" w:sz="4" w:space="0" w:color="auto"/>
              <w:right w:val="single" w:sz="4" w:space="0" w:color="auto"/>
            </w:tcBorders>
            <w:shd w:val="clear" w:color="auto" w:fill="auto"/>
            <w:vAlign w:val="center"/>
          </w:tcPr>
          <w:p w14:paraId="2D5F4907" w14:textId="77777777" w:rsidR="000A4DF7" w:rsidRPr="00E21C60" w:rsidRDefault="000A4DF7" w:rsidP="00125750">
            <w:pPr>
              <w:keepNext/>
              <w:jc w:val="center"/>
              <w:rPr>
                <w:rFonts w:ascii="Arial" w:hAnsi="Arial" w:cs="Arial"/>
                <w:color w:val="000000"/>
                <w:sz w:val="16"/>
                <w:szCs w:val="16"/>
              </w:rPr>
            </w:pPr>
            <w:r>
              <w:rPr>
                <w:rFonts w:ascii="Arial" w:hAnsi="Arial" w:cs="Arial"/>
                <w:color w:val="000000"/>
                <w:sz w:val="16"/>
                <w:szCs w:val="16"/>
              </w:rPr>
              <w:t>0</w:t>
            </w:r>
          </w:p>
        </w:tc>
        <w:tc>
          <w:tcPr>
            <w:tcW w:w="861" w:type="dxa"/>
            <w:tcBorders>
              <w:top w:val="nil"/>
              <w:left w:val="single" w:sz="4" w:space="0" w:color="auto"/>
              <w:bottom w:val="single" w:sz="4" w:space="0" w:color="auto"/>
              <w:right w:val="single" w:sz="4" w:space="0" w:color="auto"/>
            </w:tcBorders>
            <w:vAlign w:val="center"/>
          </w:tcPr>
          <w:p w14:paraId="415F52E4" w14:textId="7AFE20D1" w:rsidR="000A4DF7" w:rsidRDefault="000A4DF7" w:rsidP="0050452B">
            <w:pPr>
              <w:keepNext/>
              <w:jc w:val="center"/>
              <w:rPr>
                <w:rFonts w:ascii="Arial" w:hAnsi="Arial" w:cs="Arial"/>
                <w:color w:val="000000"/>
                <w:sz w:val="16"/>
                <w:szCs w:val="16"/>
              </w:rPr>
            </w:pPr>
            <w:r>
              <w:rPr>
                <w:rFonts w:ascii="Arial" w:hAnsi="Arial" w:cs="Arial"/>
                <w:color w:val="000000"/>
                <w:sz w:val="16"/>
                <w:szCs w:val="16"/>
              </w:rPr>
              <w:t>0</w:t>
            </w:r>
          </w:p>
        </w:tc>
        <w:tc>
          <w:tcPr>
            <w:tcW w:w="861" w:type="dxa"/>
            <w:tcBorders>
              <w:top w:val="nil"/>
              <w:left w:val="single" w:sz="4" w:space="0" w:color="auto"/>
              <w:bottom w:val="single" w:sz="4" w:space="0" w:color="auto"/>
              <w:right w:val="single" w:sz="4" w:space="0" w:color="auto"/>
            </w:tcBorders>
            <w:shd w:val="clear" w:color="auto" w:fill="auto"/>
            <w:vAlign w:val="center"/>
            <w:hideMark/>
          </w:tcPr>
          <w:p w14:paraId="3B8150C8" w14:textId="11758568" w:rsidR="000A4DF7" w:rsidRPr="00E21C60" w:rsidRDefault="00125750" w:rsidP="008A1902">
            <w:pPr>
              <w:keepNext/>
              <w:jc w:val="center"/>
              <w:rPr>
                <w:rFonts w:ascii="Arial" w:hAnsi="Arial" w:cs="Arial"/>
                <w:color w:val="000000"/>
                <w:sz w:val="16"/>
                <w:szCs w:val="16"/>
              </w:rPr>
            </w:pPr>
            <w:r>
              <w:rPr>
                <w:rFonts w:ascii="Arial" w:hAnsi="Arial" w:cs="Arial"/>
                <w:color w:val="000000"/>
                <w:sz w:val="16"/>
                <w:szCs w:val="16"/>
              </w:rPr>
              <w:t>0</w:t>
            </w:r>
          </w:p>
        </w:tc>
        <w:tc>
          <w:tcPr>
            <w:tcW w:w="1004" w:type="dxa"/>
            <w:tcBorders>
              <w:top w:val="nil"/>
              <w:left w:val="nil"/>
              <w:bottom w:val="single" w:sz="4" w:space="0" w:color="auto"/>
              <w:right w:val="single" w:sz="4" w:space="0" w:color="auto"/>
            </w:tcBorders>
            <w:shd w:val="clear" w:color="000000" w:fill="EBF1DE"/>
            <w:vAlign w:val="center"/>
            <w:hideMark/>
          </w:tcPr>
          <w:p w14:paraId="6B04EE2F" w14:textId="77777777" w:rsidR="000A4DF7" w:rsidRPr="00E21C60" w:rsidRDefault="000A4DF7" w:rsidP="008A1902">
            <w:pPr>
              <w:keepNext/>
              <w:jc w:val="center"/>
              <w:rPr>
                <w:rFonts w:ascii="Arial" w:hAnsi="Arial" w:cs="Arial"/>
                <w:color w:val="000000"/>
                <w:sz w:val="16"/>
                <w:szCs w:val="16"/>
              </w:rPr>
            </w:pPr>
            <w:r w:rsidRPr="00E21C60">
              <w:rPr>
                <w:rFonts w:ascii="Arial" w:hAnsi="Arial" w:cs="Arial"/>
                <w:color w:val="000000"/>
                <w:sz w:val="16"/>
                <w:szCs w:val="16"/>
              </w:rPr>
              <w:t>0</w:t>
            </w:r>
            <w:r>
              <w:rPr>
                <w:rFonts w:ascii="Arial" w:hAnsi="Arial" w:cs="Arial"/>
                <w:color w:val="000000"/>
                <w:sz w:val="16"/>
                <w:szCs w:val="16"/>
              </w:rPr>
              <w:t xml:space="preserve"> </w:t>
            </w:r>
            <w:r w:rsidRPr="00E21C60">
              <w:rPr>
                <w:rFonts w:ascii="Arial" w:hAnsi="Arial" w:cs="Arial"/>
                <w:color w:val="000000"/>
                <w:sz w:val="16"/>
                <w:szCs w:val="16"/>
              </w:rPr>
              <w:t>%</w:t>
            </w:r>
          </w:p>
        </w:tc>
        <w:tc>
          <w:tcPr>
            <w:tcW w:w="1004" w:type="dxa"/>
            <w:tcBorders>
              <w:top w:val="nil"/>
              <w:left w:val="nil"/>
              <w:bottom w:val="single" w:sz="4" w:space="0" w:color="auto"/>
              <w:right w:val="single" w:sz="4" w:space="0" w:color="auto"/>
            </w:tcBorders>
            <w:shd w:val="clear" w:color="auto" w:fill="auto"/>
            <w:vAlign w:val="center"/>
            <w:hideMark/>
          </w:tcPr>
          <w:p w14:paraId="37325FA2" w14:textId="0A8985F0" w:rsidR="000A4DF7" w:rsidRPr="00E21C60" w:rsidRDefault="000A4DF7" w:rsidP="008A1902">
            <w:pPr>
              <w:keepNext/>
              <w:jc w:val="center"/>
              <w:rPr>
                <w:rFonts w:ascii="Arial" w:hAnsi="Arial" w:cs="Arial"/>
                <w:color w:val="000000"/>
                <w:sz w:val="16"/>
                <w:szCs w:val="16"/>
              </w:rPr>
            </w:pPr>
            <w:r>
              <w:rPr>
                <w:rFonts w:ascii="Arial" w:hAnsi="Arial" w:cs="Arial"/>
                <w:color w:val="000000"/>
                <w:sz w:val="16"/>
                <w:szCs w:val="16"/>
              </w:rPr>
              <w:t>0%</w:t>
            </w:r>
          </w:p>
        </w:tc>
      </w:tr>
      <w:tr w:rsidR="000A4DF7" w:rsidRPr="00E21C60" w14:paraId="3DE79D82" w14:textId="77777777" w:rsidTr="000A4DF7">
        <w:trPr>
          <w:trHeight w:val="675"/>
        </w:trPr>
        <w:tc>
          <w:tcPr>
            <w:tcW w:w="649" w:type="dxa"/>
            <w:vMerge/>
            <w:tcBorders>
              <w:left w:val="single" w:sz="4" w:space="0" w:color="auto"/>
              <w:right w:val="single" w:sz="4" w:space="0" w:color="auto"/>
            </w:tcBorders>
            <w:vAlign w:val="center"/>
            <w:hideMark/>
          </w:tcPr>
          <w:p w14:paraId="636C7F74" w14:textId="77777777" w:rsidR="000A4DF7" w:rsidRPr="00E21C60" w:rsidRDefault="000A4DF7">
            <w:pPr>
              <w:rPr>
                <w:rFonts w:ascii="Arial" w:hAnsi="Arial" w:cs="Arial"/>
                <w:color w:val="000000"/>
                <w:sz w:val="16"/>
                <w:szCs w:val="16"/>
              </w:rPr>
            </w:pPr>
          </w:p>
        </w:tc>
        <w:tc>
          <w:tcPr>
            <w:tcW w:w="1411" w:type="dxa"/>
            <w:tcBorders>
              <w:top w:val="nil"/>
              <w:left w:val="nil"/>
              <w:bottom w:val="single" w:sz="4" w:space="0" w:color="auto"/>
              <w:right w:val="single" w:sz="4" w:space="0" w:color="auto"/>
            </w:tcBorders>
            <w:shd w:val="clear" w:color="auto" w:fill="auto"/>
            <w:vAlign w:val="center"/>
            <w:hideMark/>
          </w:tcPr>
          <w:p w14:paraId="546262BA" w14:textId="77777777" w:rsidR="000A4DF7" w:rsidRPr="00E21C60" w:rsidRDefault="000A4DF7">
            <w:pPr>
              <w:rPr>
                <w:rFonts w:ascii="Arial" w:hAnsi="Arial" w:cs="Arial"/>
                <w:color w:val="000000"/>
                <w:sz w:val="16"/>
                <w:szCs w:val="16"/>
              </w:rPr>
            </w:pPr>
            <w:r w:rsidRPr="00123376">
              <w:rPr>
                <w:rFonts w:ascii="Arial" w:hAnsi="Arial" w:cs="Arial"/>
                <w:color w:val="000000"/>
                <w:sz w:val="16"/>
                <w:szCs w:val="16"/>
              </w:rPr>
              <w:t>Počet vydaných hydrologických predpovedí, varovaní a výstrah</w:t>
            </w:r>
          </w:p>
        </w:tc>
        <w:tc>
          <w:tcPr>
            <w:tcW w:w="814" w:type="dxa"/>
            <w:tcBorders>
              <w:top w:val="nil"/>
              <w:left w:val="nil"/>
              <w:bottom w:val="single" w:sz="4" w:space="0" w:color="auto"/>
              <w:right w:val="single" w:sz="4" w:space="0" w:color="auto"/>
            </w:tcBorders>
            <w:shd w:val="clear" w:color="auto" w:fill="auto"/>
            <w:vAlign w:val="center"/>
            <w:hideMark/>
          </w:tcPr>
          <w:p w14:paraId="5D724E63" w14:textId="77777777" w:rsidR="000A4DF7" w:rsidRPr="00E21C60" w:rsidRDefault="000A4DF7">
            <w:pPr>
              <w:jc w:val="center"/>
              <w:rPr>
                <w:rFonts w:ascii="Arial" w:hAnsi="Arial" w:cs="Arial"/>
                <w:color w:val="000000"/>
                <w:sz w:val="16"/>
                <w:szCs w:val="16"/>
              </w:rPr>
            </w:pPr>
            <w:r w:rsidRPr="00E21C60">
              <w:rPr>
                <w:rFonts w:ascii="Arial" w:hAnsi="Arial" w:cs="Arial"/>
                <w:color w:val="000000"/>
                <w:sz w:val="16"/>
                <w:szCs w:val="16"/>
              </w:rPr>
              <w:t>počet</w:t>
            </w:r>
          </w:p>
        </w:tc>
        <w:tc>
          <w:tcPr>
            <w:tcW w:w="685" w:type="dxa"/>
            <w:tcBorders>
              <w:top w:val="single" w:sz="4" w:space="0" w:color="auto"/>
              <w:left w:val="nil"/>
              <w:bottom w:val="single" w:sz="4" w:space="0" w:color="auto"/>
              <w:right w:val="single" w:sz="4" w:space="0" w:color="auto"/>
            </w:tcBorders>
            <w:vAlign w:val="center"/>
          </w:tcPr>
          <w:p w14:paraId="4924E711" w14:textId="77777777" w:rsidR="000A4DF7" w:rsidRPr="00E21C60" w:rsidRDefault="000A4DF7" w:rsidP="000308DA">
            <w:pPr>
              <w:keepNext/>
              <w:jc w:val="center"/>
              <w:rPr>
                <w:rFonts w:ascii="Arial" w:hAnsi="Arial" w:cs="Arial"/>
                <w:color w:val="000000"/>
                <w:sz w:val="16"/>
                <w:szCs w:val="16"/>
              </w:rPr>
            </w:pPr>
            <w:r>
              <w:rPr>
                <w:rFonts w:ascii="Arial" w:hAnsi="Arial" w:cs="Arial"/>
                <w:color w:val="000000"/>
                <w:sz w:val="16"/>
                <w:szCs w:val="16"/>
              </w:rPr>
              <w:t>7 200</w:t>
            </w:r>
          </w:p>
        </w:tc>
        <w:tc>
          <w:tcPr>
            <w:tcW w:w="870" w:type="dxa"/>
            <w:tcBorders>
              <w:top w:val="nil"/>
              <w:left w:val="single" w:sz="4" w:space="0" w:color="auto"/>
              <w:bottom w:val="single" w:sz="4" w:space="0" w:color="auto"/>
              <w:right w:val="single" w:sz="4" w:space="0" w:color="auto"/>
            </w:tcBorders>
            <w:shd w:val="clear" w:color="auto" w:fill="auto"/>
            <w:vAlign w:val="center"/>
            <w:hideMark/>
          </w:tcPr>
          <w:p w14:paraId="27C148B3" w14:textId="77777777" w:rsidR="000A4DF7" w:rsidRPr="00E21C60" w:rsidRDefault="000A4DF7" w:rsidP="00590529">
            <w:pPr>
              <w:jc w:val="center"/>
              <w:rPr>
                <w:rFonts w:ascii="Arial" w:hAnsi="Arial" w:cs="Arial"/>
                <w:color w:val="000000"/>
                <w:sz w:val="16"/>
                <w:szCs w:val="16"/>
              </w:rPr>
            </w:pPr>
            <w:r w:rsidRPr="00E21C60">
              <w:rPr>
                <w:rFonts w:ascii="Arial" w:hAnsi="Arial" w:cs="Arial"/>
                <w:color w:val="000000"/>
                <w:sz w:val="16"/>
                <w:szCs w:val="16"/>
              </w:rPr>
              <w:t>15 000</w:t>
            </w:r>
          </w:p>
        </w:tc>
        <w:tc>
          <w:tcPr>
            <w:tcW w:w="599" w:type="dxa"/>
            <w:tcBorders>
              <w:top w:val="single" w:sz="4" w:space="0" w:color="auto"/>
              <w:left w:val="nil"/>
              <w:bottom w:val="single" w:sz="4" w:space="0" w:color="auto"/>
              <w:right w:val="single" w:sz="4" w:space="0" w:color="auto"/>
            </w:tcBorders>
            <w:shd w:val="clear" w:color="auto" w:fill="auto"/>
          </w:tcPr>
          <w:p w14:paraId="2C742A2C" w14:textId="77777777" w:rsidR="000A4DF7" w:rsidRDefault="000A4DF7" w:rsidP="00AB3787">
            <w:pPr>
              <w:keepNext/>
              <w:jc w:val="center"/>
              <w:rPr>
                <w:rFonts w:ascii="Arial" w:hAnsi="Arial" w:cs="Arial"/>
                <w:color w:val="000000"/>
                <w:sz w:val="16"/>
                <w:szCs w:val="16"/>
              </w:rPr>
            </w:pPr>
          </w:p>
          <w:p w14:paraId="7F82AD14" w14:textId="77777777" w:rsidR="000A4DF7" w:rsidRDefault="000A4DF7" w:rsidP="00AB3787">
            <w:pPr>
              <w:keepNext/>
              <w:jc w:val="center"/>
              <w:rPr>
                <w:rFonts w:ascii="Arial" w:hAnsi="Arial" w:cs="Arial"/>
                <w:color w:val="000000"/>
                <w:sz w:val="16"/>
                <w:szCs w:val="16"/>
              </w:rPr>
            </w:pPr>
          </w:p>
          <w:p w14:paraId="5336C2F6" w14:textId="77777777" w:rsidR="000A4DF7" w:rsidRPr="00E21C60" w:rsidRDefault="000A4DF7" w:rsidP="00AB3787">
            <w:pPr>
              <w:keepNext/>
              <w:jc w:val="center"/>
              <w:rPr>
                <w:rFonts w:ascii="Arial" w:hAnsi="Arial" w:cs="Arial"/>
                <w:color w:val="000000"/>
                <w:sz w:val="16"/>
                <w:szCs w:val="16"/>
              </w:rPr>
            </w:pPr>
            <w:r>
              <w:rPr>
                <w:rFonts w:ascii="Arial" w:hAnsi="Arial" w:cs="Arial"/>
                <w:color w:val="000000"/>
                <w:sz w:val="16"/>
                <w:szCs w:val="16"/>
              </w:rPr>
              <w:t>0</w:t>
            </w:r>
          </w:p>
        </w:tc>
        <w:tc>
          <w:tcPr>
            <w:tcW w:w="861" w:type="dxa"/>
            <w:tcBorders>
              <w:top w:val="nil"/>
              <w:left w:val="single" w:sz="4" w:space="0" w:color="auto"/>
              <w:bottom w:val="single" w:sz="4" w:space="0" w:color="auto"/>
              <w:right w:val="single" w:sz="4" w:space="0" w:color="auto"/>
            </w:tcBorders>
          </w:tcPr>
          <w:p w14:paraId="2050236D" w14:textId="77777777" w:rsidR="00762301" w:rsidRDefault="00762301" w:rsidP="008E3229">
            <w:pPr>
              <w:jc w:val="center"/>
              <w:rPr>
                <w:rFonts w:ascii="Arial" w:hAnsi="Arial" w:cs="Arial"/>
                <w:color w:val="000000"/>
                <w:sz w:val="16"/>
                <w:szCs w:val="16"/>
              </w:rPr>
            </w:pPr>
          </w:p>
          <w:p w14:paraId="3D6BCFF5" w14:textId="77777777" w:rsidR="00762301" w:rsidRDefault="00762301" w:rsidP="008E3229">
            <w:pPr>
              <w:jc w:val="center"/>
              <w:rPr>
                <w:rFonts w:ascii="Arial" w:hAnsi="Arial" w:cs="Arial"/>
                <w:color w:val="000000"/>
                <w:sz w:val="16"/>
                <w:szCs w:val="16"/>
              </w:rPr>
            </w:pPr>
          </w:p>
          <w:p w14:paraId="685F0106" w14:textId="124C7FE3" w:rsidR="000A4DF7" w:rsidRDefault="00762301" w:rsidP="008E3229">
            <w:pPr>
              <w:jc w:val="center"/>
              <w:rPr>
                <w:rFonts w:ascii="Arial" w:hAnsi="Arial" w:cs="Arial"/>
                <w:color w:val="000000"/>
                <w:sz w:val="16"/>
                <w:szCs w:val="16"/>
              </w:rPr>
            </w:pPr>
            <w:r>
              <w:rPr>
                <w:rFonts w:ascii="Arial" w:hAnsi="Arial" w:cs="Arial"/>
                <w:color w:val="000000"/>
                <w:sz w:val="16"/>
                <w:szCs w:val="16"/>
              </w:rPr>
              <w:t>0</w:t>
            </w:r>
          </w:p>
        </w:tc>
        <w:tc>
          <w:tcPr>
            <w:tcW w:w="861" w:type="dxa"/>
            <w:tcBorders>
              <w:top w:val="nil"/>
              <w:left w:val="single" w:sz="4" w:space="0" w:color="auto"/>
              <w:bottom w:val="single" w:sz="4" w:space="0" w:color="auto"/>
              <w:right w:val="single" w:sz="4" w:space="0" w:color="auto"/>
            </w:tcBorders>
            <w:shd w:val="clear" w:color="auto" w:fill="auto"/>
            <w:vAlign w:val="center"/>
            <w:hideMark/>
          </w:tcPr>
          <w:p w14:paraId="76E24A61" w14:textId="2E143666" w:rsidR="000A4DF7" w:rsidRPr="00E21C60" w:rsidRDefault="00762301">
            <w:pPr>
              <w:jc w:val="center"/>
              <w:rPr>
                <w:rFonts w:ascii="Arial" w:hAnsi="Arial" w:cs="Arial"/>
                <w:color w:val="000000"/>
                <w:sz w:val="16"/>
                <w:szCs w:val="16"/>
              </w:rPr>
            </w:pPr>
            <w:r>
              <w:rPr>
                <w:rFonts w:ascii="Arial" w:hAnsi="Arial" w:cs="Arial"/>
                <w:color w:val="000000"/>
                <w:sz w:val="16"/>
                <w:szCs w:val="16"/>
              </w:rPr>
              <w:t>7 800</w:t>
            </w:r>
          </w:p>
        </w:tc>
        <w:tc>
          <w:tcPr>
            <w:tcW w:w="1004" w:type="dxa"/>
            <w:tcBorders>
              <w:top w:val="nil"/>
              <w:left w:val="nil"/>
              <w:bottom w:val="single" w:sz="4" w:space="0" w:color="auto"/>
              <w:right w:val="single" w:sz="4" w:space="0" w:color="auto"/>
            </w:tcBorders>
            <w:shd w:val="clear" w:color="000000" w:fill="EBF1DE"/>
            <w:vAlign w:val="center"/>
            <w:hideMark/>
          </w:tcPr>
          <w:p w14:paraId="624C6478" w14:textId="77777777" w:rsidR="000A4DF7" w:rsidRPr="00E21C60" w:rsidRDefault="000A4DF7">
            <w:pPr>
              <w:jc w:val="center"/>
              <w:rPr>
                <w:rFonts w:ascii="Arial" w:hAnsi="Arial" w:cs="Arial"/>
                <w:color w:val="000000"/>
                <w:sz w:val="16"/>
                <w:szCs w:val="16"/>
              </w:rPr>
            </w:pPr>
            <w:r w:rsidRPr="00E21C60">
              <w:rPr>
                <w:rFonts w:ascii="Arial" w:hAnsi="Arial" w:cs="Arial"/>
                <w:color w:val="000000"/>
                <w:sz w:val="16"/>
                <w:szCs w:val="16"/>
              </w:rPr>
              <w:t>0</w:t>
            </w:r>
            <w:r>
              <w:rPr>
                <w:rFonts w:ascii="Arial" w:hAnsi="Arial" w:cs="Arial"/>
                <w:color w:val="000000"/>
                <w:sz w:val="16"/>
                <w:szCs w:val="16"/>
              </w:rPr>
              <w:t xml:space="preserve"> </w:t>
            </w:r>
            <w:r w:rsidRPr="00E21C60">
              <w:rPr>
                <w:rFonts w:ascii="Arial" w:hAnsi="Arial" w:cs="Arial"/>
                <w:color w:val="000000"/>
                <w:sz w:val="16"/>
                <w:szCs w:val="16"/>
              </w:rPr>
              <w:t>%</w:t>
            </w:r>
          </w:p>
        </w:tc>
        <w:tc>
          <w:tcPr>
            <w:tcW w:w="1004" w:type="dxa"/>
            <w:tcBorders>
              <w:top w:val="nil"/>
              <w:left w:val="nil"/>
              <w:bottom w:val="single" w:sz="4" w:space="0" w:color="auto"/>
              <w:right w:val="single" w:sz="4" w:space="0" w:color="auto"/>
            </w:tcBorders>
            <w:shd w:val="clear" w:color="auto" w:fill="auto"/>
            <w:vAlign w:val="center"/>
            <w:hideMark/>
          </w:tcPr>
          <w:p w14:paraId="27B74BE7" w14:textId="3F6B0136" w:rsidR="000A4DF7" w:rsidRPr="00E21C60" w:rsidRDefault="000A4DF7">
            <w:pPr>
              <w:jc w:val="center"/>
              <w:rPr>
                <w:rFonts w:ascii="Arial" w:hAnsi="Arial" w:cs="Arial"/>
                <w:color w:val="000000"/>
                <w:sz w:val="16"/>
                <w:szCs w:val="16"/>
              </w:rPr>
            </w:pPr>
            <w:r>
              <w:rPr>
                <w:rFonts w:ascii="Arial" w:hAnsi="Arial" w:cs="Arial"/>
                <w:color w:val="000000"/>
                <w:sz w:val="16"/>
                <w:szCs w:val="16"/>
              </w:rPr>
              <w:t>0%</w:t>
            </w:r>
          </w:p>
        </w:tc>
      </w:tr>
      <w:tr w:rsidR="000A4DF7" w:rsidRPr="00E21C60" w14:paraId="5E6BE4CD" w14:textId="77777777" w:rsidTr="000A4DF7">
        <w:trPr>
          <w:trHeight w:val="675"/>
        </w:trPr>
        <w:tc>
          <w:tcPr>
            <w:tcW w:w="649" w:type="dxa"/>
            <w:vMerge/>
            <w:tcBorders>
              <w:left w:val="single" w:sz="4" w:space="0" w:color="auto"/>
              <w:right w:val="single" w:sz="4" w:space="0" w:color="auto"/>
            </w:tcBorders>
            <w:vAlign w:val="center"/>
            <w:hideMark/>
          </w:tcPr>
          <w:p w14:paraId="79924DBA" w14:textId="77777777" w:rsidR="000A4DF7" w:rsidRPr="00E21C60" w:rsidRDefault="000A4DF7">
            <w:pPr>
              <w:rPr>
                <w:rFonts w:ascii="Arial" w:hAnsi="Arial" w:cs="Arial"/>
                <w:color w:val="000000"/>
                <w:sz w:val="16"/>
                <w:szCs w:val="16"/>
              </w:rPr>
            </w:pPr>
          </w:p>
        </w:tc>
        <w:tc>
          <w:tcPr>
            <w:tcW w:w="1411" w:type="dxa"/>
            <w:tcBorders>
              <w:top w:val="nil"/>
              <w:left w:val="nil"/>
              <w:bottom w:val="single" w:sz="4" w:space="0" w:color="auto"/>
              <w:right w:val="single" w:sz="4" w:space="0" w:color="auto"/>
            </w:tcBorders>
            <w:shd w:val="clear" w:color="auto" w:fill="auto"/>
            <w:vAlign w:val="center"/>
            <w:hideMark/>
          </w:tcPr>
          <w:p w14:paraId="7CBCE00A" w14:textId="77777777" w:rsidR="000A4DF7" w:rsidRPr="00E21C60" w:rsidRDefault="000A4DF7">
            <w:pPr>
              <w:rPr>
                <w:rFonts w:ascii="Arial" w:hAnsi="Arial" w:cs="Arial"/>
                <w:color w:val="000000"/>
                <w:sz w:val="16"/>
                <w:szCs w:val="16"/>
              </w:rPr>
            </w:pPr>
            <w:r w:rsidRPr="00123376">
              <w:rPr>
                <w:rFonts w:ascii="Arial" w:hAnsi="Arial" w:cs="Arial"/>
                <w:color w:val="000000"/>
                <w:sz w:val="16"/>
                <w:szCs w:val="16"/>
              </w:rPr>
              <w:t>Počet inštitúcií napojených na POVAPSYS</w:t>
            </w:r>
          </w:p>
        </w:tc>
        <w:tc>
          <w:tcPr>
            <w:tcW w:w="814" w:type="dxa"/>
            <w:tcBorders>
              <w:top w:val="nil"/>
              <w:left w:val="nil"/>
              <w:bottom w:val="single" w:sz="4" w:space="0" w:color="auto"/>
              <w:right w:val="single" w:sz="4" w:space="0" w:color="auto"/>
            </w:tcBorders>
            <w:shd w:val="clear" w:color="auto" w:fill="auto"/>
            <w:vAlign w:val="center"/>
            <w:hideMark/>
          </w:tcPr>
          <w:p w14:paraId="74EBC90E" w14:textId="77777777" w:rsidR="000A4DF7" w:rsidRPr="00E21C60" w:rsidRDefault="000A4DF7">
            <w:pPr>
              <w:jc w:val="center"/>
              <w:rPr>
                <w:rFonts w:ascii="Arial" w:hAnsi="Arial" w:cs="Arial"/>
                <w:color w:val="000000"/>
                <w:sz w:val="16"/>
                <w:szCs w:val="16"/>
              </w:rPr>
            </w:pPr>
            <w:r w:rsidRPr="00E21C60">
              <w:rPr>
                <w:rFonts w:ascii="Arial" w:hAnsi="Arial" w:cs="Arial"/>
                <w:color w:val="000000"/>
                <w:sz w:val="16"/>
                <w:szCs w:val="16"/>
              </w:rPr>
              <w:t>počet</w:t>
            </w:r>
          </w:p>
        </w:tc>
        <w:tc>
          <w:tcPr>
            <w:tcW w:w="685" w:type="dxa"/>
            <w:tcBorders>
              <w:top w:val="single" w:sz="4" w:space="0" w:color="auto"/>
              <w:left w:val="nil"/>
              <w:bottom w:val="single" w:sz="4" w:space="0" w:color="auto"/>
              <w:right w:val="single" w:sz="4" w:space="0" w:color="auto"/>
            </w:tcBorders>
            <w:vAlign w:val="center"/>
          </w:tcPr>
          <w:p w14:paraId="6EB3D6E6" w14:textId="77777777" w:rsidR="000A4DF7" w:rsidRPr="00E21C60" w:rsidRDefault="000A4DF7" w:rsidP="000308DA">
            <w:pPr>
              <w:keepNext/>
              <w:jc w:val="center"/>
              <w:rPr>
                <w:rFonts w:ascii="Arial" w:hAnsi="Arial" w:cs="Arial"/>
                <w:color w:val="000000"/>
                <w:sz w:val="16"/>
                <w:szCs w:val="16"/>
              </w:rPr>
            </w:pPr>
            <w:r>
              <w:rPr>
                <w:rFonts w:ascii="Arial" w:hAnsi="Arial" w:cs="Arial"/>
                <w:color w:val="000000"/>
                <w:sz w:val="16"/>
                <w:szCs w:val="16"/>
              </w:rPr>
              <w:t>1</w:t>
            </w:r>
          </w:p>
        </w:tc>
        <w:tc>
          <w:tcPr>
            <w:tcW w:w="870" w:type="dxa"/>
            <w:tcBorders>
              <w:top w:val="nil"/>
              <w:left w:val="single" w:sz="4" w:space="0" w:color="auto"/>
              <w:bottom w:val="single" w:sz="4" w:space="0" w:color="auto"/>
              <w:right w:val="single" w:sz="4" w:space="0" w:color="auto"/>
            </w:tcBorders>
            <w:shd w:val="clear" w:color="auto" w:fill="auto"/>
            <w:vAlign w:val="center"/>
            <w:hideMark/>
          </w:tcPr>
          <w:p w14:paraId="04482055" w14:textId="77777777" w:rsidR="000A4DF7" w:rsidRPr="00E21C60" w:rsidRDefault="000A4DF7" w:rsidP="00590529">
            <w:pPr>
              <w:jc w:val="center"/>
              <w:rPr>
                <w:rFonts w:ascii="Arial" w:hAnsi="Arial" w:cs="Arial"/>
                <w:color w:val="000000"/>
                <w:sz w:val="16"/>
                <w:szCs w:val="16"/>
              </w:rPr>
            </w:pPr>
            <w:r w:rsidRPr="00E21C60">
              <w:rPr>
                <w:rFonts w:ascii="Arial" w:hAnsi="Arial" w:cs="Arial"/>
                <w:color w:val="000000"/>
                <w:sz w:val="16"/>
                <w:szCs w:val="16"/>
              </w:rPr>
              <w:t>3</w:t>
            </w:r>
          </w:p>
        </w:tc>
        <w:tc>
          <w:tcPr>
            <w:tcW w:w="599" w:type="dxa"/>
            <w:tcBorders>
              <w:top w:val="single" w:sz="4" w:space="0" w:color="auto"/>
              <w:left w:val="nil"/>
              <w:bottom w:val="single" w:sz="4" w:space="0" w:color="auto"/>
              <w:right w:val="single" w:sz="4" w:space="0" w:color="auto"/>
            </w:tcBorders>
            <w:shd w:val="clear" w:color="auto" w:fill="auto"/>
          </w:tcPr>
          <w:p w14:paraId="15DF05E7" w14:textId="77777777" w:rsidR="00762301" w:rsidRDefault="00762301" w:rsidP="00762301">
            <w:pPr>
              <w:keepNext/>
              <w:jc w:val="center"/>
              <w:rPr>
                <w:rFonts w:ascii="Arial" w:hAnsi="Arial" w:cs="Arial"/>
                <w:color w:val="000000"/>
                <w:sz w:val="16"/>
                <w:szCs w:val="16"/>
              </w:rPr>
            </w:pPr>
          </w:p>
          <w:p w14:paraId="382FB8A6" w14:textId="00B657A0" w:rsidR="000A4DF7" w:rsidRPr="00E21C60" w:rsidRDefault="000A4DF7" w:rsidP="00762301">
            <w:pPr>
              <w:keepNext/>
              <w:jc w:val="center"/>
              <w:rPr>
                <w:rFonts w:ascii="Arial" w:hAnsi="Arial" w:cs="Arial"/>
                <w:color w:val="000000"/>
                <w:sz w:val="16"/>
                <w:szCs w:val="16"/>
              </w:rPr>
            </w:pPr>
            <w:r>
              <w:rPr>
                <w:rFonts w:ascii="Arial" w:hAnsi="Arial" w:cs="Arial"/>
                <w:color w:val="000000"/>
                <w:sz w:val="16"/>
                <w:szCs w:val="16"/>
              </w:rPr>
              <w:t>0</w:t>
            </w:r>
          </w:p>
        </w:tc>
        <w:tc>
          <w:tcPr>
            <w:tcW w:w="861" w:type="dxa"/>
            <w:tcBorders>
              <w:top w:val="nil"/>
              <w:left w:val="single" w:sz="4" w:space="0" w:color="auto"/>
              <w:bottom w:val="single" w:sz="4" w:space="0" w:color="auto"/>
              <w:right w:val="single" w:sz="4" w:space="0" w:color="auto"/>
            </w:tcBorders>
          </w:tcPr>
          <w:p w14:paraId="3BA1CDA3" w14:textId="77777777" w:rsidR="00851519" w:rsidRDefault="00851519" w:rsidP="00762301">
            <w:pPr>
              <w:keepNext/>
              <w:jc w:val="center"/>
              <w:rPr>
                <w:rFonts w:ascii="Arial" w:hAnsi="Arial" w:cs="Arial"/>
                <w:color w:val="000000"/>
                <w:sz w:val="16"/>
                <w:szCs w:val="16"/>
              </w:rPr>
            </w:pPr>
          </w:p>
          <w:p w14:paraId="2C64AF7B" w14:textId="3CDC3D1E" w:rsidR="000A4DF7" w:rsidRDefault="000A4DF7" w:rsidP="00762301">
            <w:pPr>
              <w:keepNext/>
              <w:jc w:val="center"/>
              <w:rPr>
                <w:rFonts w:ascii="Arial" w:hAnsi="Arial" w:cs="Arial"/>
                <w:color w:val="000000"/>
                <w:sz w:val="16"/>
                <w:szCs w:val="16"/>
              </w:rPr>
            </w:pPr>
            <w:r>
              <w:rPr>
                <w:rFonts w:ascii="Arial" w:hAnsi="Arial" w:cs="Arial"/>
                <w:color w:val="000000"/>
                <w:sz w:val="16"/>
                <w:szCs w:val="16"/>
              </w:rPr>
              <w:t>2</w:t>
            </w:r>
          </w:p>
        </w:tc>
        <w:tc>
          <w:tcPr>
            <w:tcW w:w="861" w:type="dxa"/>
            <w:tcBorders>
              <w:top w:val="nil"/>
              <w:left w:val="single" w:sz="4" w:space="0" w:color="auto"/>
              <w:bottom w:val="single" w:sz="4" w:space="0" w:color="auto"/>
              <w:right w:val="single" w:sz="4" w:space="0" w:color="auto"/>
            </w:tcBorders>
            <w:shd w:val="clear" w:color="auto" w:fill="auto"/>
            <w:vAlign w:val="center"/>
            <w:hideMark/>
          </w:tcPr>
          <w:p w14:paraId="19CB784C" w14:textId="11771356" w:rsidR="000A4DF7" w:rsidRPr="00E21C60" w:rsidRDefault="000A4DF7" w:rsidP="00762301">
            <w:pPr>
              <w:keepNext/>
              <w:jc w:val="center"/>
              <w:rPr>
                <w:rFonts w:ascii="Arial" w:hAnsi="Arial" w:cs="Arial"/>
                <w:color w:val="000000"/>
                <w:sz w:val="16"/>
                <w:szCs w:val="16"/>
              </w:rPr>
            </w:pPr>
            <w:r>
              <w:rPr>
                <w:rFonts w:ascii="Arial" w:hAnsi="Arial" w:cs="Arial"/>
                <w:color w:val="000000"/>
                <w:sz w:val="16"/>
                <w:szCs w:val="16"/>
              </w:rPr>
              <w:t>2</w:t>
            </w:r>
          </w:p>
        </w:tc>
        <w:tc>
          <w:tcPr>
            <w:tcW w:w="1004" w:type="dxa"/>
            <w:tcBorders>
              <w:top w:val="nil"/>
              <w:left w:val="nil"/>
              <w:bottom w:val="single" w:sz="4" w:space="0" w:color="auto"/>
              <w:right w:val="single" w:sz="4" w:space="0" w:color="auto"/>
            </w:tcBorders>
            <w:shd w:val="clear" w:color="000000" w:fill="EBF1DE"/>
            <w:vAlign w:val="center"/>
            <w:hideMark/>
          </w:tcPr>
          <w:p w14:paraId="2DD2CABC" w14:textId="68218316" w:rsidR="000A4DF7" w:rsidRPr="00E21C60" w:rsidRDefault="000A4DF7" w:rsidP="00762301">
            <w:pPr>
              <w:jc w:val="center"/>
              <w:rPr>
                <w:rFonts w:ascii="Arial" w:hAnsi="Arial" w:cs="Arial"/>
                <w:color w:val="000000"/>
                <w:sz w:val="16"/>
                <w:szCs w:val="16"/>
              </w:rPr>
            </w:pPr>
            <w:r>
              <w:rPr>
                <w:rFonts w:ascii="Arial" w:hAnsi="Arial" w:cs="Arial"/>
                <w:color w:val="000000"/>
                <w:sz w:val="16"/>
                <w:szCs w:val="16"/>
              </w:rPr>
              <w:t>10</w:t>
            </w:r>
            <w:r w:rsidRPr="00E21C60">
              <w:rPr>
                <w:rFonts w:ascii="Arial" w:hAnsi="Arial" w:cs="Arial"/>
                <w:color w:val="000000"/>
                <w:sz w:val="16"/>
                <w:szCs w:val="16"/>
              </w:rPr>
              <w:t>0</w:t>
            </w:r>
            <w:r>
              <w:rPr>
                <w:rFonts w:ascii="Arial" w:hAnsi="Arial" w:cs="Arial"/>
                <w:color w:val="000000"/>
                <w:sz w:val="16"/>
                <w:szCs w:val="16"/>
              </w:rPr>
              <w:t xml:space="preserve"> </w:t>
            </w:r>
            <w:r w:rsidRPr="00E21C60">
              <w:rPr>
                <w:rFonts w:ascii="Arial" w:hAnsi="Arial" w:cs="Arial"/>
                <w:color w:val="000000"/>
                <w:sz w:val="16"/>
                <w:szCs w:val="16"/>
              </w:rPr>
              <w:t>%</w:t>
            </w:r>
          </w:p>
        </w:tc>
        <w:tc>
          <w:tcPr>
            <w:tcW w:w="1004" w:type="dxa"/>
            <w:tcBorders>
              <w:top w:val="nil"/>
              <w:left w:val="nil"/>
              <w:bottom w:val="single" w:sz="4" w:space="0" w:color="auto"/>
              <w:right w:val="single" w:sz="4" w:space="0" w:color="auto"/>
            </w:tcBorders>
            <w:shd w:val="clear" w:color="auto" w:fill="auto"/>
            <w:vAlign w:val="center"/>
            <w:hideMark/>
          </w:tcPr>
          <w:p w14:paraId="0AB860F2" w14:textId="177D0D76" w:rsidR="000A4DF7" w:rsidRPr="00E21C60" w:rsidRDefault="000A4DF7" w:rsidP="00762301">
            <w:pPr>
              <w:jc w:val="center"/>
              <w:rPr>
                <w:rFonts w:ascii="Arial" w:hAnsi="Arial" w:cs="Arial"/>
                <w:color w:val="000000"/>
                <w:sz w:val="16"/>
                <w:szCs w:val="16"/>
              </w:rPr>
            </w:pPr>
            <w:r>
              <w:rPr>
                <w:rFonts w:ascii="Arial" w:hAnsi="Arial" w:cs="Arial"/>
                <w:color w:val="000000"/>
                <w:sz w:val="16"/>
                <w:szCs w:val="16"/>
              </w:rPr>
              <w:t>0%</w:t>
            </w:r>
          </w:p>
        </w:tc>
      </w:tr>
      <w:tr w:rsidR="000A4DF7" w:rsidRPr="00E21C60" w14:paraId="6AEC02EC" w14:textId="77777777" w:rsidTr="000A4DF7">
        <w:trPr>
          <w:trHeight w:val="675"/>
        </w:trPr>
        <w:tc>
          <w:tcPr>
            <w:tcW w:w="649" w:type="dxa"/>
            <w:vMerge/>
            <w:tcBorders>
              <w:left w:val="single" w:sz="4" w:space="0" w:color="auto"/>
              <w:bottom w:val="single" w:sz="4" w:space="0" w:color="auto"/>
              <w:right w:val="single" w:sz="4" w:space="0" w:color="auto"/>
            </w:tcBorders>
            <w:vAlign w:val="center"/>
          </w:tcPr>
          <w:p w14:paraId="6C3571D9" w14:textId="0F5349F4" w:rsidR="000A4DF7" w:rsidRPr="00E21C60" w:rsidRDefault="000A4DF7">
            <w:pPr>
              <w:rPr>
                <w:rFonts w:ascii="Arial" w:hAnsi="Arial" w:cs="Arial"/>
                <w:color w:val="000000"/>
                <w:sz w:val="16"/>
                <w:szCs w:val="16"/>
              </w:rPr>
            </w:pPr>
          </w:p>
        </w:tc>
        <w:tc>
          <w:tcPr>
            <w:tcW w:w="1411" w:type="dxa"/>
            <w:tcBorders>
              <w:top w:val="single" w:sz="4" w:space="0" w:color="auto"/>
              <w:left w:val="nil"/>
              <w:bottom w:val="single" w:sz="4" w:space="0" w:color="auto"/>
              <w:right w:val="single" w:sz="4" w:space="0" w:color="auto"/>
            </w:tcBorders>
            <w:shd w:val="clear" w:color="auto" w:fill="auto"/>
            <w:vAlign w:val="center"/>
          </w:tcPr>
          <w:p w14:paraId="595D88D1" w14:textId="77777777" w:rsidR="000A4DF7" w:rsidRPr="00E21C60" w:rsidRDefault="000A4DF7">
            <w:pPr>
              <w:rPr>
                <w:rFonts w:ascii="Arial" w:hAnsi="Arial" w:cs="Arial"/>
                <w:color w:val="000000"/>
                <w:sz w:val="16"/>
                <w:szCs w:val="16"/>
              </w:rPr>
            </w:pPr>
            <w:r w:rsidRPr="00123376">
              <w:rPr>
                <w:rFonts w:ascii="Arial" w:hAnsi="Arial" w:cs="Arial"/>
                <w:color w:val="000000"/>
                <w:sz w:val="16"/>
                <w:szCs w:val="16"/>
              </w:rPr>
              <w:t>Počet projektov na prevenciu rizík</w:t>
            </w:r>
          </w:p>
        </w:tc>
        <w:tc>
          <w:tcPr>
            <w:tcW w:w="814" w:type="dxa"/>
            <w:tcBorders>
              <w:top w:val="single" w:sz="4" w:space="0" w:color="auto"/>
              <w:left w:val="nil"/>
              <w:bottom w:val="single" w:sz="4" w:space="0" w:color="auto"/>
              <w:right w:val="single" w:sz="4" w:space="0" w:color="auto"/>
            </w:tcBorders>
            <w:shd w:val="clear" w:color="auto" w:fill="auto"/>
            <w:vAlign w:val="center"/>
          </w:tcPr>
          <w:p w14:paraId="7456A4D8" w14:textId="77777777" w:rsidR="000A4DF7" w:rsidRPr="00E21C60" w:rsidRDefault="000A4DF7">
            <w:pPr>
              <w:jc w:val="center"/>
              <w:rPr>
                <w:rFonts w:ascii="Arial" w:hAnsi="Arial" w:cs="Arial"/>
                <w:color w:val="000000"/>
                <w:sz w:val="16"/>
                <w:szCs w:val="16"/>
              </w:rPr>
            </w:pPr>
            <w:r w:rsidRPr="00E21C60">
              <w:rPr>
                <w:rFonts w:ascii="Arial" w:hAnsi="Arial" w:cs="Arial"/>
                <w:color w:val="000000"/>
                <w:sz w:val="16"/>
                <w:szCs w:val="16"/>
              </w:rPr>
              <w:t>počet</w:t>
            </w:r>
          </w:p>
        </w:tc>
        <w:tc>
          <w:tcPr>
            <w:tcW w:w="685" w:type="dxa"/>
            <w:tcBorders>
              <w:top w:val="single" w:sz="4" w:space="0" w:color="auto"/>
              <w:left w:val="nil"/>
              <w:bottom w:val="single" w:sz="4" w:space="0" w:color="auto"/>
              <w:right w:val="single" w:sz="4" w:space="0" w:color="auto"/>
            </w:tcBorders>
            <w:vAlign w:val="center"/>
          </w:tcPr>
          <w:p w14:paraId="62D894FC" w14:textId="77777777" w:rsidR="000A4DF7" w:rsidRPr="00E21C60" w:rsidRDefault="000A4DF7" w:rsidP="000308DA">
            <w:pPr>
              <w:keepNext/>
              <w:jc w:val="center"/>
              <w:rPr>
                <w:rFonts w:ascii="Arial" w:hAnsi="Arial" w:cs="Arial"/>
                <w:color w:val="000000"/>
                <w:sz w:val="16"/>
                <w:szCs w:val="16"/>
              </w:rPr>
            </w:pPr>
            <w:r>
              <w:rPr>
                <w:rFonts w:ascii="Arial" w:hAnsi="Arial" w:cs="Arial"/>
                <w:color w:val="000000"/>
                <w:sz w:val="16"/>
                <w:szCs w:val="16"/>
              </w:rPr>
              <w:t>0</w:t>
            </w:r>
          </w:p>
        </w:tc>
        <w:tc>
          <w:tcPr>
            <w:tcW w:w="870" w:type="dxa"/>
            <w:tcBorders>
              <w:top w:val="single" w:sz="4" w:space="0" w:color="auto"/>
              <w:left w:val="single" w:sz="4" w:space="0" w:color="auto"/>
              <w:bottom w:val="single" w:sz="4" w:space="0" w:color="auto"/>
              <w:right w:val="single" w:sz="4" w:space="0" w:color="auto"/>
            </w:tcBorders>
            <w:shd w:val="clear" w:color="auto" w:fill="auto"/>
            <w:vAlign w:val="center"/>
          </w:tcPr>
          <w:p w14:paraId="29D86C67" w14:textId="77777777" w:rsidR="000A4DF7" w:rsidRPr="00E21C60" w:rsidRDefault="000A4DF7" w:rsidP="00590529">
            <w:pPr>
              <w:jc w:val="center"/>
              <w:rPr>
                <w:rFonts w:ascii="Arial" w:hAnsi="Arial" w:cs="Arial"/>
                <w:color w:val="000000"/>
                <w:sz w:val="16"/>
                <w:szCs w:val="16"/>
              </w:rPr>
            </w:pPr>
            <w:r w:rsidRPr="00E21C60">
              <w:rPr>
                <w:rFonts w:ascii="Arial" w:hAnsi="Arial" w:cs="Arial"/>
                <w:color w:val="000000"/>
                <w:sz w:val="16"/>
                <w:szCs w:val="16"/>
              </w:rPr>
              <w:t>1</w:t>
            </w:r>
          </w:p>
        </w:tc>
        <w:tc>
          <w:tcPr>
            <w:tcW w:w="599" w:type="dxa"/>
            <w:tcBorders>
              <w:top w:val="single" w:sz="4" w:space="0" w:color="auto"/>
              <w:left w:val="nil"/>
              <w:bottom w:val="single" w:sz="4" w:space="0" w:color="auto"/>
              <w:right w:val="single" w:sz="4" w:space="0" w:color="auto"/>
            </w:tcBorders>
            <w:shd w:val="clear" w:color="auto" w:fill="auto"/>
          </w:tcPr>
          <w:p w14:paraId="00E78858" w14:textId="77777777" w:rsidR="000A4DF7" w:rsidRDefault="000A4DF7" w:rsidP="00762301">
            <w:pPr>
              <w:keepNext/>
              <w:jc w:val="center"/>
              <w:rPr>
                <w:rFonts w:ascii="Arial" w:hAnsi="Arial" w:cs="Arial"/>
                <w:color w:val="000000"/>
                <w:sz w:val="16"/>
                <w:szCs w:val="16"/>
              </w:rPr>
            </w:pPr>
          </w:p>
          <w:p w14:paraId="69353CE7" w14:textId="39E4C13E" w:rsidR="000A4DF7" w:rsidRPr="00E21C60" w:rsidRDefault="00762301" w:rsidP="00762301">
            <w:pPr>
              <w:keepNext/>
              <w:rPr>
                <w:rFonts w:ascii="Arial" w:hAnsi="Arial" w:cs="Arial"/>
                <w:color w:val="000000"/>
                <w:sz w:val="16"/>
                <w:szCs w:val="16"/>
              </w:rPr>
            </w:pPr>
            <w:r>
              <w:rPr>
                <w:rFonts w:ascii="Arial" w:hAnsi="Arial" w:cs="Arial"/>
                <w:color w:val="000000"/>
                <w:sz w:val="16"/>
                <w:szCs w:val="16"/>
              </w:rPr>
              <w:t xml:space="preserve">   </w:t>
            </w:r>
            <w:r w:rsidR="00851519">
              <w:rPr>
                <w:rFonts w:ascii="Arial" w:hAnsi="Arial" w:cs="Arial"/>
                <w:color w:val="000000"/>
                <w:sz w:val="16"/>
                <w:szCs w:val="16"/>
              </w:rPr>
              <w:t>1</w:t>
            </w:r>
          </w:p>
        </w:tc>
        <w:tc>
          <w:tcPr>
            <w:tcW w:w="861" w:type="dxa"/>
            <w:tcBorders>
              <w:top w:val="single" w:sz="4" w:space="0" w:color="auto"/>
              <w:left w:val="single" w:sz="4" w:space="0" w:color="auto"/>
              <w:bottom w:val="single" w:sz="4" w:space="0" w:color="auto"/>
              <w:right w:val="single" w:sz="4" w:space="0" w:color="auto"/>
            </w:tcBorders>
          </w:tcPr>
          <w:p w14:paraId="7FEE7599" w14:textId="5877BBA6" w:rsidR="00851519" w:rsidRDefault="00851519" w:rsidP="00762301">
            <w:pPr>
              <w:jc w:val="center"/>
              <w:rPr>
                <w:rFonts w:ascii="Arial" w:hAnsi="Arial" w:cs="Arial"/>
                <w:color w:val="000000"/>
                <w:sz w:val="16"/>
                <w:szCs w:val="16"/>
              </w:rPr>
            </w:pPr>
          </w:p>
          <w:p w14:paraId="577C7563" w14:textId="7A226EC8" w:rsidR="000A4DF7" w:rsidRDefault="00851519" w:rsidP="00762301">
            <w:pPr>
              <w:jc w:val="center"/>
              <w:rPr>
                <w:rFonts w:ascii="Arial" w:hAnsi="Arial" w:cs="Arial"/>
                <w:color w:val="000000"/>
                <w:sz w:val="16"/>
                <w:szCs w:val="16"/>
              </w:rPr>
            </w:pPr>
            <w:r>
              <w:rPr>
                <w:rFonts w:ascii="Arial" w:hAnsi="Arial" w:cs="Arial"/>
                <w:color w:val="000000"/>
                <w:sz w:val="16"/>
                <w:szCs w:val="16"/>
              </w:rPr>
              <w:t>1</w:t>
            </w:r>
          </w:p>
        </w:tc>
        <w:tc>
          <w:tcPr>
            <w:tcW w:w="861" w:type="dxa"/>
            <w:tcBorders>
              <w:top w:val="single" w:sz="4" w:space="0" w:color="auto"/>
              <w:left w:val="single" w:sz="4" w:space="0" w:color="auto"/>
              <w:bottom w:val="single" w:sz="4" w:space="0" w:color="auto"/>
              <w:right w:val="single" w:sz="4" w:space="0" w:color="auto"/>
            </w:tcBorders>
            <w:shd w:val="clear" w:color="auto" w:fill="auto"/>
            <w:vAlign w:val="center"/>
          </w:tcPr>
          <w:p w14:paraId="3A6E5D15" w14:textId="2DACCC3D" w:rsidR="000A4DF7" w:rsidRPr="00E21C60" w:rsidRDefault="000A4DF7" w:rsidP="00762301">
            <w:pPr>
              <w:jc w:val="center"/>
              <w:rPr>
                <w:rFonts w:ascii="Arial" w:hAnsi="Arial" w:cs="Arial"/>
                <w:color w:val="000000"/>
                <w:sz w:val="16"/>
                <w:szCs w:val="16"/>
              </w:rPr>
            </w:pPr>
            <w:r>
              <w:rPr>
                <w:rFonts w:ascii="Arial" w:hAnsi="Arial" w:cs="Arial"/>
                <w:color w:val="000000"/>
                <w:sz w:val="16"/>
                <w:szCs w:val="16"/>
              </w:rPr>
              <w:t>1</w:t>
            </w:r>
          </w:p>
        </w:tc>
        <w:tc>
          <w:tcPr>
            <w:tcW w:w="1004" w:type="dxa"/>
            <w:tcBorders>
              <w:top w:val="single" w:sz="4" w:space="0" w:color="auto"/>
              <w:left w:val="nil"/>
              <w:bottom w:val="single" w:sz="4" w:space="0" w:color="auto"/>
              <w:right w:val="single" w:sz="4" w:space="0" w:color="auto"/>
            </w:tcBorders>
            <w:shd w:val="clear" w:color="000000" w:fill="EBF1DE"/>
            <w:vAlign w:val="center"/>
          </w:tcPr>
          <w:p w14:paraId="36F5CF70" w14:textId="63618803" w:rsidR="000A4DF7" w:rsidRPr="00E21C60" w:rsidRDefault="000A4DF7" w:rsidP="00C37D63">
            <w:pPr>
              <w:jc w:val="center"/>
              <w:rPr>
                <w:rFonts w:ascii="Arial" w:hAnsi="Arial" w:cs="Arial"/>
                <w:color w:val="000000"/>
                <w:sz w:val="16"/>
                <w:szCs w:val="16"/>
              </w:rPr>
            </w:pPr>
            <w:r>
              <w:rPr>
                <w:rFonts w:ascii="Arial" w:hAnsi="Arial" w:cs="Arial"/>
                <w:color w:val="000000"/>
                <w:sz w:val="16"/>
                <w:szCs w:val="16"/>
              </w:rPr>
              <w:t>10</w:t>
            </w:r>
            <w:r w:rsidRPr="00E21C60">
              <w:rPr>
                <w:rFonts w:ascii="Arial" w:hAnsi="Arial" w:cs="Arial"/>
                <w:color w:val="000000"/>
                <w:sz w:val="16"/>
                <w:szCs w:val="16"/>
              </w:rPr>
              <w:t>0</w:t>
            </w:r>
            <w:r>
              <w:rPr>
                <w:rFonts w:ascii="Arial" w:hAnsi="Arial" w:cs="Arial"/>
                <w:color w:val="000000"/>
                <w:sz w:val="16"/>
                <w:szCs w:val="16"/>
              </w:rPr>
              <w:t xml:space="preserve"> </w:t>
            </w:r>
            <w:r w:rsidRPr="00E21C60">
              <w:rPr>
                <w:rFonts w:ascii="Arial" w:hAnsi="Arial" w:cs="Arial"/>
                <w:color w:val="000000"/>
                <w:sz w:val="16"/>
                <w:szCs w:val="16"/>
              </w:rPr>
              <w:t>%</w:t>
            </w:r>
          </w:p>
        </w:tc>
        <w:tc>
          <w:tcPr>
            <w:tcW w:w="1004" w:type="dxa"/>
            <w:tcBorders>
              <w:top w:val="single" w:sz="4" w:space="0" w:color="auto"/>
              <w:left w:val="nil"/>
              <w:bottom w:val="single" w:sz="4" w:space="0" w:color="auto"/>
              <w:right w:val="single" w:sz="4" w:space="0" w:color="auto"/>
            </w:tcBorders>
            <w:shd w:val="clear" w:color="auto" w:fill="auto"/>
            <w:vAlign w:val="center"/>
          </w:tcPr>
          <w:p w14:paraId="0F23C93E" w14:textId="72ADC024" w:rsidR="000A4DF7" w:rsidRPr="00E21C60" w:rsidRDefault="000A4DF7" w:rsidP="00143DD8">
            <w:pPr>
              <w:jc w:val="center"/>
              <w:rPr>
                <w:rFonts w:ascii="Arial" w:hAnsi="Arial" w:cs="Arial"/>
                <w:color w:val="000000"/>
                <w:sz w:val="16"/>
                <w:szCs w:val="16"/>
              </w:rPr>
            </w:pPr>
            <w:r>
              <w:rPr>
                <w:rFonts w:ascii="Arial" w:hAnsi="Arial" w:cs="Arial"/>
                <w:color w:val="000000"/>
                <w:sz w:val="16"/>
                <w:szCs w:val="16"/>
              </w:rPr>
              <w:t>100%</w:t>
            </w:r>
          </w:p>
        </w:tc>
      </w:tr>
    </w:tbl>
    <w:p w14:paraId="7B3908CC" w14:textId="1358348D" w:rsidR="00726169" w:rsidRPr="00123376" w:rsidRDefault="00000CC9" w:rsidP="00123376">
      <w:pPr>
        <w:rPr>
          <w:rFonts w:ascii="Arial" w:hAnsi="Arial" w:cs="Arial"/>
          <w:sz w:val="16"/>
          <w:szCs w:val="16"/>
        </w:rPr>
      </w:pPr>
      <w:r w:rsidRPr="00123376">
        <w:rPr>
          <w:rFonts w:ascii="Arial" w:hAnsi="Arial" w:cs="Arial"/>
          <w:sz w:val="16"/>
          <w:szCs w:val="16"/>
        </w:rPr>
        <w:t>Zdroj: RO, ITMS</w:t>
      </w:r>
    </w:p>
    <w:p w14:paraId="027BE454" w14:textId="648BB022" w:rsidR="00EC3B48" w:rsidRPr="00590529" w:rsidRDefault="00EC3B48" w:rsidP="00590529">
      <w:pPr>
        <w:spacing w:before="120" w:after="120"/>
        <w:jc w:val="both"/>
        <w:rPr>
          <w:rFonts w:cs="Arial"/>
          <w:sz w:val="20"/>
        </w:rPr>
      </w:pPr>
      <w:r w:rsidRPr="00EC3B48">
        <w:rPr>
          <w:rFonts w:ascii="Arial" w:hAnsi="Arial" w:cs="Arial"/>
          <w:sz w:val="20"/>
          <w:szCs w:val="20"/>
        </w:rPr>
        <w:t xml:space="preserve">Realizáciou zazmluvneného projektu POVAPSYS došlo k naplneniu dvoch </w:t>
      </w:r>
      <w:r w:rsidR="00F74255">
        <w:rPr>
          <w:rFonts w:ascii="Arial" w:hAnsi="Arial" w:cs="Arial"/>
          <w:sz w:val="20"/>
          <w:szCs w:val="20"/>
        </w:rPr>
        <w:t>ukazovateľov</w:t>
      </w:r>
      <w:r w:rsidRPr="00EC3B48">
        <w:rPr>
          <w:rFonts w:ascii="Arial" w:hAnsi="Arial" w:cs="Arial"/>
          <w:sz w:val="20"/>
          <w:szCs w:val="20"/>
        </w:rPr>
        <w:t xml:space="preserve"> „Počet inštitúcií napojených na POVAPSYS“ a „Počet projektov na prevenciu rizík“ na 100 %. </w:t>
      </w:r>
      <w:r w:rsidR="00F74255">
        <w:rPr>
          <w:rFonts w:ascii="Arial" w:hAnsi="Arial" w:cs="Arial"/>
          <w:sz w:val="20"/>
          <w:szCs w:val="20"/>
        </w:rPr>
        <w:t xml:space="preserve">Ukazovateľ </w:t>
      </w:r>
      <w:r w:rsidRPr="00EC3B48">
        <w:rPr>
          <w:rFonts w:ascii="Arial" w:hAnsi="Arial" w:cs="Arial"/>
          <w:sz w:val="20"/>
          <w:szCs w:val="20"/>
        </w:rPr>
        <w:t xml:space="preserve"> „Počet vydaných hydrologických predpovedí, varovaní a výstrah„ bude napĺňaný a vykazovaný v rámci následného monitorovacieho obdobia. V prípade </w:t>
      </w:r>
      <w:r w:rsidR="00F74255">
        <w:rPr>
          <w:rFonts w:ascii="Arial" w:hAnsi="Arial" w:cs="Arial"/>
          <w:sz w:val="20"/>
          <w:szCs w:val="20"/>
        </w:rPr>
        <w:t>ukazovateľa</w:t>
      </w:r>
      <w:r w:rsidRPr="00EC3B48">
        <w:rPr>
          <w:rFonts w:ascii="Arial" w:hAnsi="Arial" w:cs="Arial"/>
          <w:sz w:val="20"/>
          <w:szCs w:val="20"/>
        </w:rPr>
        <w:t xml:space="preserve"> „Počet novovytvorených pracovných miest“ sa nepredpokladá vytvorenie žiadneho pracovného miesta z dôvodu, že Prijímateľ v rámci Žiadosti o NFP neuvažoval a nenaplánoval v rámci projektu vytvorenie 1 pracovného miesta.</w:t>
      </w:r>
    </w:p>
    <w:p w14:paraId="72122E31" w14:textId="162874A3" w:rsidR="00B3318E" w:rsidRDefault="00B3318E">
      <w:pPr>
        <w:rPr>
          <w:rFonts w:ascii="Arial" w:hAnsi="Arial" w:cs="Arial"/>
          <w:b/>
          <w:caps/>
          <w:kern w:val="32"/>
          <w:sz w:val="32"/>
          <w:szCs w:val="20"/>
          <w:lang w:val="x-none" w:eastAsia="x-none"/>
        </w:rPr>
      </w:pPr>
      <w:r>
        <w:rPr>
          <w:rFonts w:cs="Arial"/>
        </w:rPr>
        <w:br w:type="page"/>
      </w:r>
    </w:p>
    <w:p w14:paraId="27E03418" w14:textId="77777777" w:rsidR="002416B1" w:rsidRPr="00123376" w:rsidRDefault="002416B1" w:rsidP="00123376">
      <w:pPr>
        <w:pStyle w:val="Nadpis1"/>
        <w:spacing w:after="120"/>
        <w:rPr>
          <w:rFonts w:cs="Arial"/>
          <w:lang w:val="sk-SK"/>
        </w:rPr>
      </w:pPr>
      <w:bookmarkStart w:id="97" w:name="_Toc466914547"/>
      <w:r w:rsidRPr="008E1ACB">
        <w:rPr>
          <w:rFonts w:cs="Arial"/>
        </w:rPr>
        <w:lastRenderedPageBreak/>
        <w:t>4. Horizontálne priority</w:t>
      </w:r>
      <w:bookmarkEnd w:id="97"/>
    </w:p>
    <w:p w14:paraId="5F3B3331" w14:textId="77777777" w:rsidR="002416B1" w:rsidRPr="0020746A" w:rsidRDefault="002416B1" w:rsidP="00123376">
      <w:pPr>
        <w:pStyle w:val="Nadpis2"/>
        <w:spacing w:after="120"/>
        <w:rPr>
          <w:rFonts w:cs="Arial"/>
        </w:rPr>
      </w:pPr>
      <w:bookmarkStart w:id="98" w:name="_Toc466914548"/>
      <w:r w:rsidRPr="008E1ACB">
        <w:rPr>
          <w:rFonts w:cs="Arial"/>
        </w:rPr>
        <w:t>4.1 Horizontálna priorita Informačná spoločnosť</w:t>
      </w:r>
      <w:bookmarkEnd w:id="98"/>
    </w:p>
    <w:p w14:paraId="7D27BAA9" w14:textId="3DD2C0C2" w:rsidR="00203875" w:rsidRDefault="00822E1A" w:rsidP="00912C87">
      <w:pPr>
        <w:spacing w:before="120" w:after="120"/>
        <w:jc w:val="both"/>
        <w:rPr>
          <w:rFonts w:ascii="Arial" w:hAnsi="Arial" w:cs="Arial"/>
          <w:sz w:val="20"/>
          <w:szCs w:val="20"/>
        </w:rPr>
      </w:pPr>
      <w:r w:rsidRPr="00E21C60">
        <w:rPr>
          <w:rFonts w:ascii="Arial" w:hAnsi="Arial" w:cs="Arial"/>
          <w:sz w:val="20"/>
          <w:szCs w:val="20"/>
        </w:rPr>
        <w:t xml:space="preserve">Hlavným cieľom horizontálnej priority Informačná spoločnosť (ďalej len „HP IS“) </w:t>
      </w:r>
      <w:r w:rsidR="005204E4">
        <w:rPr>
          <w:rFonts w:ascii="Arial" w:hAnsi="Arial" w:cs="Arial"/>
          <w:sz w:val="20"/>
          <w:szCs w:val="20"/>
        </w:rPr>
        <w:t>bola</w:t>
      </w:r>
      <w:r w:rsidR="005204E4" w:rsidRPr="00E21C60">
        <w:rPr>
          <w:rFonts w:ascii="Arial" w:hAnsi="Arial" w:cs="Arial"/>
          <w:sz w:val="20"/>
          <w:szCs w:val="20"/>
        </w:rPr>
        <w:t xml:space="preserve"> </w:t>
      </w:r>
      <w:r w:rsidRPr="00E21C60">
        <w:rPr>
          <w:rFonts w:ascii="Arial" w:hAnsi="Arial" w:cs="Arial"/>
          <w:sz w:val="20"/>
          <w:szCs w:val="20"/>
        </w:rPr>
        <w:t>podpora vyššej efektívnosti, transparentnosti a kvality implementácie priorít NSRR v dôsledku zavádzania a</w:t>
      </w:r>
      <w:r w:rsidR="00B93ADE" w:rsidRPr="00E21C60">
        <w:rPr>
          <w:rFonts w:ascii="Arial" w:hAnsi="Arial" w:cs="Arial"/>
          <w:sz w:val="20"/>
          <w:szCs w:val="20"/>
        </w:rPr>
        <w:t> </w:t>
      </w:r>
      <w:r w:rsidRPr="00E21C60">
        <w:rPr>
          <w:rFonts w:ascii="Arial" w:hAnsi="Arial" w:cs="Arial"/>
          <w:sz w:val="20"/>
          <w:szCs w:val="20"/>
        </w:rPr>
        <w:t>využívania</w:t>
      </w:r>
      <w:r w:rsidR="00B93ADE" w:rsidRPr="00E21C60">
        <w:rPr>
          <w:rFonts w:ascii="Arial" w:hAnsi="Arial" w:cs="Arial"/>
          <w:sz w:val="20"/>
          <w:szCs w:val="20"/>
        </w:rPr>
        <w:t> </w:t>
      </w:r>
      <w:r w:rsidRPr="00E21C60">
        <w:rPr>
          <w:rFonts w:ascii="Arial" w:hAnsi="Arial" w:cs="Arial"/>
          <w:sz w:val="20"/>
          <w:szCs w:val="20"/>
        </w:rPr>
        <w:t xml:space="preserve">prostriedkov IKT. Špecifické ciele HP IS </w:t>
      </w:r>
      <w:r w:rsidR="005204E4">
        <w:rPr>
          <w:rFonts w:ascii="Arial" w:hAnsi="Arial" w:cs="Arial"/>
          <w:sz w:val="20"/>
          <w:szCs w:val="20"/>
        </w:rPr>
        <w:t>boli</w:t>
      </w:r>
      <w:r w:rsidR="005204E4" w:rsidRPr="00E21C60">
        <w:rPr>
          <w:rFonts w:ascii="Arial" w:hAnsi="Arial" w:cs="Arial"/>
          <w:sz w:val="20"/>
          <w:szCs w:val="20"/>
        </w:rPr>
        <w:t xml:space="preserve"> </w:t>
      </w:r>
      <w:r w:rsidRPr="00E21C60">
        <w:rPr>
          <w:rFonts w:ascii="Arial" w:hAnsi="Arial" w:cs="Arial"/>
          <w:sz w:val="20"/>
          <w:szCs w:val="20"/>
        </w:rPr>
        <w:t>zamerané na informačnú gramotnosť, efektívnu elektronizáciu verejnej správy a širokú dostupnosť internet</w:t>
      </w:r>
      <w:r w:rsidR="0005628C" w:rsidRPr="00E21C60">
        <w:rPr>
          <w:rFonts w:ascii="Arial" w:hAnsi="Arial" w:cs="Arial"/>
          <w:sz w:val="20"/>
          <w:szCs w:val="20"/>
        </w:rPr>
        <w:t>u.</w:t>
      </w:r>
      <w:r w:rsidR="00FB4796">
        <w:rPr>
          <w:rFonts w:ascii="Arial" w:hAnsi="Arial" w:cs="Arial"/>
          <w:sz w:val="20"/>
          <w:szCs w:val="20"/>
        </w:rPr>
        <w:t xml:space="preserve"> </w:t>
      </w:r>
    </w:p>
    <w:p w14:paraId="2FDB460F" w14:textId="60346F02" w:rsidR="008904CA" w:rsidRPr="00123376" w:rsidRDefault="00563535" w:rsidP="00912C87">
      <w:pPr>
        <w:spacing w:before="120" w:after="120"/>
        <w:jc w:val="both"/>
        <w:rPr>
          <w:rFonts w:ascii="Arial" w:hAnsi="Arial" w:cs="Arial"/>
          <w:sz w:val="20"/>
          <w:szCs w:val="20"/>
        </w:rPr>
      </w:pPr>
      <w:r>
        <w:rPr>
          <w:rFonts w:ascii="Arial" w:hAnsi="Arial" w:cs="Arial"/>
          <w:sz w:val="20"/>
          <w:szCs w:val="20"/>
        </w:rPr>
        <w:t>K</w:t>
      </w:r>
      <w:r w:rsidR="008904CA" w:rsidRPr="00357F9B">
        <w:rPr>
          <w:rFonts w:ascii="Arial" w:hAnsi="Arial" w:cs="Arial"/>
          <w:sz w:val="20"/>
          <w:szCs w:val="20"/>
        </w:rPr>
        <w:t>oordinátori jednotlivých OP prostredníctvom ITMS monitorovali zazmluvnené projekty OP relevantné k HP IS</w:t>
      </w:r>
      <w:r w:rsidR="00EE68DA">
        <w:rPr>
          <w:rFonts w:ascii="Arial" w:hAnsi="Arial" w:cs="Arial"/>
          <w:sz w:val="20"/>
          <w:szCs w:val="20"/>
        </w:rPr>
        <w:t>,</w:t>
      </w:r>
      <w:r w:rsidR="00EE68DA" w:rsidRPr="00357F9B">
        <w:rPr>
          <w:rFonts w:ascii="Arial" w:hAnsi="Arial" w:cs="Arial"/>
          <w:sz w:val="20"/>
          <w:szCs w:val="20"/>
        </w:rPr>
        <w:t xml:space="preserve"> </w:t>
      </w:r>
      <w:r w:rsidR="00EE68DA">
        <w:rPr>
          <w:rFonts w:ascii="Arial" w:hAnsi="Arial" w:cs="Arial"/>
          <w:sz w:val="20"/>
          <w:szCs w:val="20"/>
        </w:rPr>
        <w:t>p</w:t>
      </w:r>
      <w:r w:rsidR="008904CA" w:rsidRPr="00357F9B">
        <w:rPr>
          <w:rFonts w:ascii="Arial" w:hAnsi="Arial" w:cs="Arial"/>
          <w:sz w:val="20"/>
          <w:szCs w:val="20"/>
        </w:rPr>
        <w:t>ri</w:t>
      </w:r>
      <w:r w:rsidR="00EE68DA">
        <w:rPr>
          <w:rFonts w:ascii="Arial" w:hAnsi="Arial" w:cs="Arial"/>
          <w:sz w:val="20"/>
          <w:szCs w:val="20"/>
        </w:rPr>
        <w:t>č</w:t>
      </w:r>
      <w:r w:rsidR="008904CA" w:rsidRPr="00357F9B">
        <w:rPr>
          <w:rFonts w:ascii="Arial" w:hAnsi="Arial" w:cs="Arial"/>
          <w:sz w:val="20"/>
          <w:szCs w:val="20"/>
        </w:rPr>
        <w:t xml:space="preserve">om využívali neverejnú časť ITMS (CORE) prostredníctvom definovanej role koordinátora HP7, ktorá umožňuje čítaciu funkciu informácií v ITMS. </w:t>
      </w:r>
    </w:p>
    <w:p w14:paraId="05EE42D2" w14:textId="680D39D7" w:rsidR="00931578" w:rsidRPr="00357F9B" w:rsidRDefault="00F93E08" w:rsidP="00123376">
      <w:pPr>
        <w:spacing w:before="120" w:after="120"/>
        <w:jc w:val="both"/>
        <w:rPr>
          <w:rFonts w:ascii="Arial" w:hAnsi="Arial" w:cs="Arial"/>
          <w:sz w:val="20"/>
          <w:szCs w:val="20"/>
        </w:rPr>
      </w:pPr>
      <w:r w:rsidRPr="006E5D4B">
        <w:rPr>
          <w:rFonts w:ascii="Arial" w:hAnsi="Arial" w:cs="Arial"/>
          <w:sz w:val="20"/>
          <w:szCs w:val="20"/>
        </w:rPr>
        <w:t xml:space="preserve">Zástupca koordinátora </w:t>
      </w:r>
      <w:r>
        <w:rPr>
          <w:rFonts w:ascii="Arial" w:hAnsi="Arial" w:cs="Arial"/>
          <w:sz w:val="20"/>
          <w:szCs w:val="20"/>
        </w:rPr>
        <w:t>z</w:t>
      </w:r>
      <w:r w:rsidRPr="006E5D4B">
        <w:rPr>
          <w:rFonts w:ascii="Arial" w:hAnsi="Arial" w:cs="Arial"/>
          <w:sz w:val="20"/>
          <w:szCs w:val="20"/>
        </w:rPr>
        <w:t>abezpečova</w:t>
      </w:r>
      <w:r>
        <w:rPr>
          <w:rFonts w:ascii="Arial" w:hAnsi="Arial" w:cs="Arial"/>
          <w:sz w:val="20"/>
          <w:szCs w:val="20"/>
        </w:rPr>
        <w:t>l</w:t>
      </w:r>
      <w:r w:rsidRPr="006E5D4B">
        <w:rPr>
          <w:rFonts w:ascii="Arial" w:hAnsi="Arial" w:cs="Arial"/>
          <w:sz w:val="20"/>
          <w:szCs w:val="20"/>
        </w:rPr>
        <w:t> </w:t>
      </w:r>
      <w:r>
        <w:rPr>
          <w:rFonts w:ascii="Arial" w:hAnsi="Arial" w:cs="Arial"/>
          <w:sz w:val="20"/>
          <w:szCs w:val="20"/>
        </w:rPr>
        <w:t>i</w:t>
      </w:r>
      <w:r w:rsidRPr="006E5D4B">
        <w:rPr>
          <w:rFonts w:ascii="Arial" w:hAnsi="Arial" w:cs="Arial"/>
          <w:sz w:val="20"/>
          <w:szCs w:val="20"/>
        </w:rPr>
        <w:t>nformovanie a publicit</w:t>
      </w:r>
      <w:r>
        <w:rPr>
          <w:rFonts w:ascii="Arial" w:hAnsi="Arial" w:cs="Arial"/>
          <w:sz w:val="20"/>
          <w:szCs w:val="20"/>
        </w:rPr>
        <w:t>u</w:t>
      </w:r>
      <w:r w:rsidRPr="006E5D4B">
        <w:rPr>
          <w:rFonts w:ascii="Arial" w:hAnsi="Arial" w:cs="Arial"/>
          <w:sz w:val="20"/>
          <w:szCs w:val="20"/>
        </w:rPr>
        <w:t xml:space="preserve"> </w:t>
      </w:r>
      <w:r>
        <w:rPr>
          <w:rFonts w:ascii="Arial" w:hAnsi="Arial" w:cs="Arial"/>
          <w:sz w:val="20"/>
          <w:szCs w:val="20"/>
        </w:rPr>
        <w:t>z</w:t>
      </w:r>
      <w:r w:rsidRPr="006E5D4B">
        <w:rPr>
          <w:rFonts w:ascii="Arial" w:hAnsi="Arial" w:cs="Arial"/>
          <w:sz w:val="20"/>
          <w:szCs w:val="20"/>
        </w:rPr>
        <w:t xml:space="preserve">verejňovaním </w:t>
      </w:r>
      <w:r>
        <w:rPr>
          <w:rFonts w:ascii="Arial" w:hAnsi="Arial" w:cs="Arial"/>
          <w:sz w:val="20"/>
          <w:szCs w:val="20"/>
        </w:rPr>
        <w:t>aktuálnych informácií</w:t>
      </w:r>
      <w:r w:rsidRPr="006E5D4B">
        <w:rPr>
          <w:rFonts w:ascii="Arial" w:hAnsi="Arial" w:cs="Arial"/>
          <w:sz w:val="20"/>
          <w:szCs w:val="20"/>
        </w:rPr>
        <w:t xml:space="preserve"> na webovom sídle  </w:t>
      </w:r>
      <w:hyperlink r:id="rId31" w:history="1">
        <w:r w:rsidR="007102C7" w:rsidRPr="00357F9B">
          <w:rPr>
            <w:rStyle w:val="Hypertextovprepojenie"/>
            <w:rFonts w:ascii="Arial" w:hAnsi="Arial" w:cs="Arial"/>
            <w:sz w:val="20"/>
            <w:szCs w:val="20"/>
          </w:rPr>
          <w:t>http://www.hpisahptur.gov.sk/</w:t>
        </w:r>
      </w:hyperlink>
      <w:r w:rsidR="007102C7" w:rsidRPr="00357F9B">
        <w:rPr>
          <w:rFonts w:ascii="Arial" w:hAnsi="Arial" w:cs="Arial"/>
          <w:sz w:val="20"/>
          <w:szCs w:val="20"/>
        </w:rPr>
        <w:t xml:space="preserve"> </w:t>
      </w:r>
      <w:r w:rsidR="00931578" w:rsidRPr="00357F9B">
        <w:rPr>
          <w:rFonts w:ascii="Arial" w:hAnsi="Arial" w:cs="Arial"/>
          <w:sz w:val="20"/>
          <w:szCs w:val="20"/>
        </w:rPr>
        <w:t>a poskytovaním telefonických a písomných informácií o implementácii HP IS pre CKO, RO, SORO, koordinátorov HP VÚC a prijímateľov NFP. Koordinátor administr</w:t>
      </w:r>
      <w:r w:rsidR="005204E4">
        <w:rPr>
          <w:rFonts w:ascii="Arial" w:hAnsi="Arial" w:cs="Arial"/>
          <w:sz w:val="20"/>
          <w:szCs w:val="20"/>
        </w:rPr>
        <w:t>oval</w:t>
      </w:r>
      <w:r w:rsidR="00931578" w:rsidRPr="00357F9B">
        <w:rPr>
          <w:rFonts w:ascii="Arial" w:hAnsi="Arial" w:cs="Arial"/>
          <w:sz w:val="20"/>
          <w:szCs w:val="20"/>
        </w:rPr>
        <w:t xml:space="preserve"> aj ďalšie webové sídla: stratégia Európa 2020 - </w:t>
      </w:r>
      <w:hyperlink r:id="rId32" w:history="1">
        <w:r w:rsidR="007102C7" w:rsidRPr="00357F9B">
          <w:rPr>
            <w:rStyle w:val="Hypertextovprepojenie"/>
            <w:rFonts w:ascii="Arial" w:hAnsi="Arial" w:cs="Arial"/>
            <w:sz w:val="20"/>
            <w:szCs w:val="20"/>
          </w:rPr>
          <w:t>http://www.eu2020.gov.sk/</w:t>
        </w:r>
      </w:hyperlink>
      <w:r w:rsidR="00931578" w:rsidRPr="00357F9B">
        <w:rPr>
          <w:rFonts w:ascii="Arial" w:hAnsi="Arial" w:cs="Arial"/>
          <w:sz w:val="20"/>
          <w:szCs w:val="20"/>
        </w:rPr>
        <w:t xml:space="preserve">,  Rada vlády SR pre Partnerskú dohodu SR na roky 2014 – 2020 - </w:t>
      </w:r>
      <w:hyperlink r:id="rId33" w:history="1">
        <w:r w:rsidR="007102C7" w:rsidRPr="00357F9B">
          <w:rPr>
            <w:rStyle w:val="Hypertextovprepojenie"/>
            <w:rFonts w:ascii="Arial" w:hAnsi="Arial" w:cs="Arial"/>
            <w:sz w:val="20"/>
            <w:szCs w:val="20"/>
          </w:rPr>
          <w:t>http://www.partnerskadohoda.gov.sk/</w:t>
        </w:r>
      </w:hyperlink>
      <w:r w:rsidR="00EE68DA">
        <w:rPr>
          <w:rFonts w:ascii="Arial" w:hAnsi="Arial" w:cs="Arial"/>
          <w:sz w:val="20"/>
          <w:szCs w:val="20"/>
        </w:rPr>
        <w:t xml:space="preserve"> </w:t>
      </w:r>
      <w:r w:rsidR="00EE68DA">
        <w:rPr>
          <w:rFonts w:ascii="Arial" w:hAnsi="Arial" w:cs="Arial"/>
          <w:sz w:val="20"/>
          <w:szCs w:val="20"/>
        </w:rPr>
        <w:br/>
        <w:t>a</w:t>
      </w:r>
      <w:r w:rsidR="00931578" w:rsidRPr="00357F9B">
        <w:rPr>
          <w:rFonts w:ascii="Arial" w:hAnsi="Arial" w:cs="Arial"/>
          <w:sz w:val="20"/>
          <w:szCs w:val="20"/>
        </w:rPr>
        <w:t xml:space="preserve"> Dunajská stratégia - </w:t>
      </w:r>
      <w:hyperlink r:id="rId34" w:history="1">
        <w:r w:rsidR="007102C7" w:rsidRPr="00357F9B">
          <w:rPr>
            <w:rStyle w:val="Hypertextovprepojenie"/>
            <w:rFonts w:ascii="Arial" w:hAnsi="Arial" w:cs="Arial"/>
            <w:sz w:val="20"/>
            <w:szCs w:val="20"/>
          </w:rPr>
          <w:t>http://dunajskastrategia.gov.sk/</w:t>
        </w:r>
      </w:hyperlink>
      <w:r w:rsidR="00931578" w:rsidRPr="00357F9B">
        <w:rPr>
          <w:rFonts w:ascii="Arial" w:hAnsi="Arial" w:cs="Arial"/>
          <w:sz w:val="20"/>
          <w:szCs w:val="20"/>
        </w:rPr>
        <w:t>.</w:t>
      </w:r>
    </w:p>
    <w:p w14:paraId="035865AA" w14:textId="77777777" w:rsidR="00E84E35" w:rsidRPr="00123376" w:rsidRDefault="00E84E35" w:rsidP="00123376">
      <w:pPr>
        <w:spacing w:before="240" w:after="120"/>
        <w:jc w:val="both"/>
        <w:rPr>
          <w:rFonts w:ascii="Arial" w:hAnsi="Arial" w:cs="Arial"/>
          <w:b/>
          <w:i/>
          <w:sz w:val="20"/>
          <w:szCs w:val="20"/>
        </w:rPr>
      </w:pPr>
      <w:r w:rsidRPr="00123376">
        <w:rPr>
          <w:rFonts w:ascii="Arial" w:hAnsi="Arial" w:cs="Arial"/>
          <w:b/>
          <w:i/>
          <w:sz w:val="20"/>
          <w:szCs w:val="20"/>
        </w:rPr>
        <w:t xml:space="preserve">Príspevok OP ŽP k napĺňaniu špecifických a čiastkových cieľov HP IS </w:t>
      </w:r>
    </w:p>
    <w:p w14:paraId="7140E6D9" w14:textId="5DF101E2" w:rsidR="002E1C4A" w:rsidRPr="00357F9B" w:rsidRDefault="001934FE" w:rsidP="00123376">
      <w:pPr>
        <w:spacing w:before="120" w:after="120"/>
        <w:jc w:val="both"/>
        <w:rPr>
          <w:rFonts w:ascii="Arial" w:hAnsi="Arial" w:cs="Arial"/>
          <w:sz w:val="20"/>
          <w:szCs w:val="20"/>
        </w:rPr>
      </w:pPr>
      <w:r w:rsidRPr="00357F9B">
        <w:rPr>
          <w:rFonts w:ascii="Arial" w:hAnsi="Arial" w:cs="Arial"/>
          <w:sz w:val="20"/>
          <w:szCs w:val="20"/>
        </w:rPr>
        <w:t xml:space="preserve">Nižšie uvedená tabuľka </w:t>
      </w:r>
      <w:r>
        <w:rPr>
          <w:rFonts w:ascii="Arial" w:hAnsi="Arial" w:cs="Arial"/>
          <w:sz w:val="20"/>
          <w:szCs w:val="20"/>
        </w:rPr>
        <w:t>sa zaoberá</w:t>
      </w:r>
      <w:r w:rsidRPr="00357F9B">
        <w:rPr>
          <w:rFonts w:ascii="Arial" w:hAnsi="Arial" w:cs="Arial"/>
          <w:sz w:val="20"/>
          <w:szCs w:val="20"/>
        </w:rPr>
        <w:t> príspevk</w:t>
      </w:r>
      <w:r>
        <w:rPr>
          <w:rFonts w:ascii="Arial" w:hAnsi="Arial" w:cs="Arial"/>
          <w:sz w:val="20"/>
          <w:szCs w:val="20"/>
        </w:rPr>
        <w:t>om</w:t>
      </w:r>
      <w:r w:rsidRPr="00357F9B">
        <w:rPr>
          <w:rFonts w:ascii="Arial" w:hAnsi="Arial" w:cs="Arial"/>
          <w:sz w:val="20"/>
          <w:szCs w:val="20"/>
        </w:rPr>
        <w:t xml:space="preserve"> zazmluvnených projektov k HP IS v rámci jednotlivých krajov (regiónov NUTS III). K 31.1</w:t>
      </w:r>
      <w:r>
        <w:rPr>
          <w:rFonts w:ascii="Arial" w:hAnsi="Arial" w:cs="Arial"/>
          <w:sz w:val="20"/>
          <w:szCs w:val="20"/>
        </w:rPr>
        <w:t>0</w:t>
      </w:r>
      <w:r w:rsidRPr="00357F9B">
        <w:rPr>
          <w:rFonts w:ascii="Arial" w:hAnsi="Arial" w:cs="Arial"/>
          <w:sz w:val="20"/>
          <w:szCs w:val="20"/>
        </w:rPr>
        <w:t>.201</w:t>
      </w:r>
      <w:r>
        <w:rPr>
          <w:rFonts w:ascii="Arial" w:hAnsi="Arial" w:cs="Arial"/>
          <w:sz w:val="20"/>
          <w:szCs w:val="20"/>
        </w:rPr>
        <w:t>6</w:t>
      </w:r>
      <w:r w:rsidRPr="00357F9B">
        <w:rPr>
          <w:rFonts w:ascii="Arial" w:hAnsi="Arial" w:cs="Arial"/>
          <w:sz w:val="20"/>
          <w:szCs w:val="20"/>
        </w:rPr>
        <w:t xml:space="preserve"> najviac zazmluvnených projektov s príspevkom k HP IS predstavovali projekty s územnou koncentráciou presahujúc</w:t>
      </w:r>
      <w:r w:rsidR="009F2E97">
        <w:rPr>
          <w:rFonts w:ascii="Arial" w:hAnsi="Arial" w:cs="Arial"/>
          <w:sz w:val="20"/>
          <w:szCs w:val="20"/>
        </w:rPr>
        <w:t>ou</w:t>
      </w:r>
      <w:r w:rsidRPr="00357F9B">
        <w:rPr>
          <w:rFonts w:ascii="Arial" w:hAnsi="Arial" w:cs="Arial"/>
          <w:sz w:val="20"/>
          <w:szCs w:val="20"/>
        </w:rPr>
        <w:t xml:space="preserve"> regionálne členenie </w:t>
      </w:r>
      <w:r w:rsidRPr="00C6535A">
        <w:rPr>
          <w:rFonts w:ascii="Arial" w:hAnsi="Arial" w:cs="Arial"/>
          <w:sz w:val="20"/>
          <w:szCs w:val="20"/>
        </w:rPr>
        <w:t xml:space="preserve">NUTS III </w:t>
      </w:r>
      <w:r w:rsidRPr="00C6535A">
        <w:rPr>
          <w:rFonts w:ascii="Arial" w:hAnsi="Arial" w:cs="Arial"/>
          <w:sz w:val="20"/>
          <w:szCs w:val="20"/>
        </w:rPr>
        <w:br/>
        <w:t>(1</w:t>
      </w:r>
      <w:r>
        <w:rPr>
          <w:rFonts w:ascii="Arial" w:hAnsi="Arial" w:cs="Arial"/>
          <w:sz w:val="20"/>
          <w:szCs w:val="20"/>
        </w:rPr>
        <w:t>5</w:t>
      </w:r>
      <w:r w:rsidRPr="00C6535A">
        <w:rPr>
          <w:rFonts w:ascii="Arial" w:hAnsi="Arial" w:cs="Arial"/>
          <w:sz w:val="20"/>
          <w:szCs w:val="20"/>
        </w:rPr>
        <w:t xml:space="preserve"> projektov).</w:t>
      </w:r>
      <w:r w:rsidRPr="00357F9B">
        <w:rPr>
          <w:rFonts w:ascii="Arial" w:hAnsi="Arial" w:cs="Arial"/>
          <w:sz w:val="20"/>
          <w:szCs w:val="20"/>
        </w:rPr>
        <w:t xml:space="preserve"> V rámci regiónov bolo najviac zazmluvnených projektov v Žilinskom </w:t>
      </w:r>
      <w:r>
        <w:rPr>
          <w:rFonts w:ascii="Arial" w:hAnsi="Arial" w:cs="Arial"/>
          <w:sz w:val="20"/>
          <w:szCs w:val="20"/>
        </w:rPr>
        <w:br/>
      </w:r>
      <w:r w:rsidRPr="00357F9B">
        <w:rPr>
          <w:rFonts w:ascii="Arial" w:hAnsi="Arial" w:cs="Arial"/>
          <w:sz w:val="20"/>
          <w:szCs w:val="20"/>
        </w:rPr>
        <w:t>(14 projektov), Prešovskom (9 projektov) a </w:t>
      </w:r>
      <w:r>
        <w:rPr>
          <w:rFonts w:ascii="Arial" w:hAnsi="Arial" w:cs="Arial"/>
          <w:sz w:val="20"/>
          <w:szCs w:val="20"/>
        </w:rPr>
        <w:t> </w:t>
      </w:r>
      <w:r w:rsidRPr="00357F9B">
        <w:rPr>
          <w:rFonts w:ascii="Arial" w:hAnsi="Arial" w:cs="Arial"/>
          <w:sz w:val="20"/>
          <w:szCs w:val="20"/>
        </w:rPr>
        <w:t>Banskobystrickom kraji (</w:t>
      </w:r>
      <w:r>
        <w:rPr>
          <w:rFonts w:ascii="Arial" w:hAnsi="Arial" w:cs="Arial"/>
          <w:sz w:val="20"/>
          <w:szCs w:val="20"/>
        </w:rPr>
        <w:t>7</w:t>
      </w:r>
      <w:r w:rsidRPr="00357F9B">
        <w:rPr>
          <w:rFonts w:ascii="Arial" w:hAnsi="Arial" w:cs="Arial"/>
          <w:sz w:val="20"/>
          <w:szCs w:val="20"/>
        </w:rPr>
        <w:t xml:space="preserve"> projektov). Najmenej projektov s príspevkom k HP IS sa realizovalo v Bratislavskom kraji (1 projekt).</w:t>
      </w:r>
      <w:r w:rsidRPr="00357F9B">
        <w:rPr>
          <w:rFonts w:ascii="Arial" w:hAnsi="Arial" w:cs="Arial"/>
          <w:sz w:val="20"/>
          <w:szCs w:val="20"/>
        </w:rPr>
        <w:tab/>
      </w:r>
    </w:p>
    <w:p w14:paraId="61E50698" w14:textId="78ECC08A" w:rsidR="002416B1" w:rsidRPr="00E21C60" w:rsidRDefault="002416B1" w:rsidP="00123376">
      <w:pPr>
        <w:spacing w:before="120"/>
        <w:jc w:val="both"/>
        <w:rPr>
          <w:rFonts w:ascii="Arial" w:hAnsi="Arial" w:cs="Arial"/>
          <w:sz w:val="20"/>
          <w:szCs w:val="20"/>
        </w:rPr>
      </w:pPr>
      <w:r w:rsidRPr="00E21C60">
        <w:rPr>
          <w:rFonts w:ascii="Arial" w:hAnsi="Arial" w:cs="Arial"/>
          <w:sz w:val="20"/>
          <w:szCs w:val="20"/>
        </w:rPr>
        <w:t>Tab</w:t>
      </w:r>
      <w:r w:rsidR="00317AB1" w:rsidRPr="00E21C60">
        <w:rPr>
          <w:rFonts w:ascii="Arial" w:hAnsi="Arial" w:cs="Arial"/>
          <w:sz w:val="20"/>
          <w:szCs w:val="20"/>
        </w:rPr>
        <w:t>uľka</w:t>
      </w:r>
      <w:r w:rsidRPr="00E21C60">
        <w:rPr>
          <w:rFonts w:ascii="Arial" w:hAnsi="Arial" w:cs="Arial"/>
          <w:sz w:val="20"/>
          <w:szCs w:val="20"/>
        </w:rPr>
        <w:t xml:space="preserve"> č. </w:t>
      </w:r>
      <w:r w:rsidR="00670044" w:rsidRPr="00E21C60">
        <w:rPr>
          <w:rFonts w:ascii="Arial" w:hAnsi="Arial" w:cs="Arial"/>
          <w:sz w:val="20"/>
          <w:szCs w:val="20"/>
        </w:rPr>
        <w:t>7</w:t>
      </w:r>
      <w:r w:rsidR="007B1CB9">
        <w:rPr>
          <w:rFonts w:ascii="Arial" w:hAnsi="Arial" w:cs="Arial"/>
          <w:sz w:val="20"/>
          <w:szCs w:val="20"/>
        </w:rPr>
        <w:t>5</w:t>
      </w:r>
      <w:r w:rsidRPr="00E21C60">
        <w:rPr>
          <w:rFonts w:ascii="Arial" w:hAnsi="Arial" w:cs="Arial"/>
          <w:sz w:val="20"/>
          <w:szCs w:val="20"/>
        </w:rPr>
        <w:t xml:space="preserve">: Stav </w:t>
      </w:r>
      <w:r w:rsidR="00B25D85">
        <w:rPr>
          <w:rFonts w:ascii="Arial" w:hAnsi="Arial" w:cs="Arial"/>
          <w:sz w:val="20"/>
          <w:szCs w:val="20"/>
        </w:rPr>
        <w:t>čerpania</w:t>
      </w:r>
      <w:r w:rsidR="002204AE" w:rsidRPr="00E21C60">
        <w:rPr>
          <w:rFonts w:ascii="Arial" w:hAnsi="Arial" w:cs="Arial"/>
          <w:sz w:val="20"/>
          <w:szCs w:val="20"/>
        </w:rPr>
        <w:t xml:space="preserve"> projektov s príspevkom k</w:t>
      </w:r>
      <w:r w:rsidRPr="00E21C60">
        <w:rPr>
          <w:rFonts w:ascii="Arial" w:hAnsi="Arial" w:cs="Arial"/>
          <w:sz w:val="20"/>
          <w:szCs w:val="20"/>
        </w:rPr>
        <w:t xml:space="preserve"> HP IS podľa NUTS III k 31.1</w:t>
      </w:r>
      <w:r w:rsidR="00B25D85">
        <w:rPr>
          <w:rFonts w:ascii="Arial" w:hAnsi="Arial" w:cs="Arial"/>
          <w:sz w:val="20"/>
          <w:szCs w:val="20"/>
        </w:rPr>
        <w:t>0</w:t>
      </w:r>
      <w:r w:rsidRPr="00E21C60">
        <w:rPr>
          <w:rFonts w:ascii="Arial" w:hAnsi="Arial" w:cs="Arial"/>
          <w:sz w:val="20"/>
          <w:szCs w:val="20"/>
        </w:rPr>
        <w:t>.</w:t>
      </w:r>
      <w:r w:rsidR="007B5551" w:rsidRPr="00E21C60">
        <w:rPr>
          <w:rFonts w:ascii="Arial" w:hAnsi="Arial" w:cs="Arial"/>
          <w:sz w:val="20"/>
          <w:szCs w:val="20"/>
        </w:rPr>
        <w:t>201</w:t>
      </w:r>
      <w:r w:rsidR="00B25D85">
        <w:rPr>
          <w:rFonts w:ascii="Arial" w:hAnsi="Arial" w:cs="Arial"/>
          <w:sz w:val="20"/>
          <w:szCs w:val="20"/>
        </w:rPr>
        <w:t>6</w:t>
      </w:r>
    </w:p>
    <w:tbl>
      <w:tblPr>
        <w:tblW w:w="9060" w:type="dxa"/>
        <w:tblInd w:w="55" w:type="dxa"/>
        <w:tblCellMar>
          <w:left w:w="70" w:type="dxa"/>
          <w:right w:w="70" w:type="dxa"/>
        </w:tblCellMar>
        <w:tblLook w:val="04A0" w:firstRow="1" w:lastRow="0" w:firstColumn="1" w:lastColumn="0" w:noHBand="0" w:noVBand="1"/>
      </w:tblPr>
      <w:tblGrid>
        <w:gridCol w:w="1660"/>
        <w:gridCol w:w="1480"/>
        <w:gridCol w:w="1480"/>
        <w:gridCol w:w="1480"/>
        <w:gridCol w:w="1480"/>
        <w:gridCol w:w="1480"/>
      </w:tblGrid>
      <w:tr w:rsidR="00D11A56" w:rsidRPr="00E21C60" w14:paraId="6991BA0E" w14:textId="77777777" w:rsidTr="007D7B08">
        <w:trPr>
          <w:trHeight w:val="1350"/>
        </w:trPr>
        <w:tc>
          <w:tcPr>
            <w:tcW w:w="166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A3AE77C"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Územie NUTS III</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0CF59F6" w14:textId="03791A51" w:rsidR="00D11A56" w:rsidRPr="00E21C60" w:rsidRDefault="00D11A56" w:rsidP="00B25D85">
            <w:pPr>
              <w:jc w:val="center"/>
              <w:rPr>
                <w:rFonts w:ascii="Arial" w:hAnsi="Arial" w:cs="Arial"/>
                <w:b/>
                <w:bCs/>
                <w:color w:val="000000"/>
                <w:sz w:val="16"/>
                <w:szCs w:val="16"/>
              </w:rPr>
            </w:pPr>
            <w:r w:rsidRPr="00E21C60">
              <w:rPr>
                <w:rFonts w:ascii="Arial" w:hAnsi="Arial" w:cs="Arial"/>
                <w:b/>
                <w:bCs/>
                <w:color w:val="000000"/>
                <w:sz w:val="16"/>
                <w:szCs w:val="16"/>
              </w:rPr>
              <w:t xml:space="preserve">Počet </w:t>
            </w:r>
            <w:r w:rsidR="00B25D85">
              <w:rPr>
                <w:rFonts w:ascii="Arial" w:hAnsi="Arial" w:cs="Arial"/>
                <w:b/>
                <w:bCs/>
                <w:color w:val="000000"/>
                <w:sz w:val="16"/>
                <w:szCs w:val="16"/>
              </w:rPr>
              <w:t>riadne ukončených</w:t>
            </w:r>
            <w:r w:rsidR="00B25D85" w:rsidRPr="00E21C60">
              <w:rPr>
                <w:rFonts w:ascii="Arial" w:hAnsi="Arial" w:cs="Arial"/>
                <w:b/>
                <w:bCs/>
                <w:color w:val="000000"/>
                <w:sz w:val="16"/>
                <w:szCs w:val="16"/>
              </w:rPr>
              <w:t xml:space="preserve"> </w:t>
            </w:r>
            <w:r w:rsidRPr="00E21C60">
              <w:rPr>
                <w:rFonts w:ascii="Arial" w:hAnsi="Arial" w:cs="Arial"/>
                <w:b/>
                <w:bCs/>
                <w:color w:val="000000"/>
                <w:sz w:val="16"/>
                <w:szCs w:val="16"/>
              </w:rPr>
              <w:t>projektov celkovo</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DBB0B03" w14:textId="57F34A2D" w:rsidR="00D11A56" w:rsidRPr="00E21C60" w:rsidRDefault="00D11A56" w:rsidP="007D449C">
            <w:pPr>
              <w:jc w:val="center"/>
              <w:rPr>
                <w:rFonts w:ascii="Arial" w:hAnsi="Arial" w:cs="Arial"/>
                <w:b/>
                <w:bCs/>
                <w:color w:val="000000"/>
                <w:sz w:val="16"/>
                <w:szCs w:val="16"/>
              </w:rPr>
            </w:pPr>
            <w:r w:rsidRPr="00E21C60">
              <w:rPr>
                <w:rFonts w:ascii="Arial" w:hAnsi="Arial" w:cs="Arial"/>
                <w:b/>
                <w:bCs/>
                <w:color w:val="000000"/>
                <w:sz w:val="16"/>
                <w:szCs w:val="16"/>
              </w:rPr>
              <w:t xml:space="preserve">Celková výška </w:t>
            </w:r>
            <w:r w:rsidR="007D449C">
              <w:rPr>
                <w:rFonts w:ascii="Arial" w:hAnsi="Arial" w:cs="Arial"/>
                <w:b/>
                <w:bCs/>
                <w:color w:val="000000"/>
                <w:sz w:val="16"/>
                <w:szCs w:val="16"/>
              </w:rPr>
              <w:t xml:space="preserve">čerpaných </w:t>
            </w:r>
            <w:r w:rsidRPr="00E21C60">
              <w:rPr>
                <w:rFonts w:ascii="Arial" w:hAnsi="Arial" w:cs="Arial"/>
                <w:b/>
                <w:bCs/>
                <w:color w:val="000000"/>
                <w:sz w:val="16"/>
                <w:szCs w:val="16"/>
              </w:rPr>
              <w:t>prostriedkov v €  (EU zdroje)</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BA220FF" w14:textId="3AB15D63" w:rsidR="00E84E35"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 xml:space="preserve">Počet </w:t>
            </w:r>
            <w:r w:rsidR="00B25D85">
              <w:rPr>
                <w:rFonts w:ascii="Arial" w:hAnsi="Arial" w:cs="Arial"/>
                <w:b/>
                <w:bCs/>
                <w:color w:val="000000"/>
                <w:sz w:val="16"/>
                <w:szCs w:val="16"/>
              </w:rPr>
              <w:t xml:space="preserve">riadne ukončených </w:t>
            </w:r>
            <w:r w:rsidR="00E84E35" w:rsidRPr="00E21C60">
              <w:rPr>
                <w:rFonts w:ascii="Arial" w:hAnsi="Arial" w:cs="Arial"/>
                <w:b/>
                <w:bCs/>
                <w:color w:val="000000"/>
                <w:sz w:val="16"/>
                <w:szCs w:val="16"/>
              </w:rPr>
              <w:t>projektov s príspevkom</w:t>
            </w:r>
          </w:p>
          <w:p w14:paraId="05D8A53E"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HP IS</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347DD64" w14:textId="7956118F" w:rsidR="00E84E35"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 xml:space="preserve">Výška </w:t>
            </w:r>
            <w:r w:rsidR="007D449C">
              <w:rPr>
                <w:rFonts w:ascii="Arial" w:hAnsi="Arial" w:cs="Arial"/>
                <w:b/>
                <w:bCs/>
                <w:color w:val="000000"/>
                <w:sz w:val="16"/>
                <w:szCs w:val="16"/>
              </w:rPr>
              <w:t>čerpaných</w:t>
            </w:r>
            <w:r w:rsidR="007D449C" w:rsidRPr="00E21C60">
              <w:rPr>
                <w:rFonts w:ascii="Arial" w:hAnsi="Arial" w:cs="Arial"/>
                <w:b/>
                <w:bCs/>
                <w:color w:val="000000"/>
                <w:sz w:val="16"/>
                <w:szCs w:val="16"/>
              </w:rPr>
              <w:t xml:space="preserve"> </w:t>
            </w:r>
            <w:r w:rsidR="00E84E35" w:rsidRPr="00E21C60">
              <w:rPr>
                <w:rFonts w:ascii="Arial" w:hAnsi="Arial" w:cs="Arial"/>
                <w:b/>
                <w:bCs/>
                <w:color w:val="000000"/>
                <w:sz w:val="16"/>
                <w:szCs w:val="16"/>
              </w:rPr>
              <w:t>prostriedkov v € s príspevkom</w:t>
            </w:r>
          </w:p>
          <w:p w14:paraId="57052310" w14:textId="77777777" w:rsidR="00E84E35" w:rsidRPr="00E21C60" w:rsidRDefault="00E84E35">
            <w:pPr>
              <w:jc w:val="center"/>
              <w:rPr>
                <w:rFonts w:ascii="Arial" w:hAnsi="Arial" w:cs="Arial"/>
                <w:b/>
                <w:bCs/>
                <w:color w:val="000000"/>
                <w:sz w:val="16"/>
                <w:szCs w:val="16"/>
              </w:rPr>
            </w:pPr>
            <w:r w:rsidRPr="00E21C60">
              <w:rPr>
                <w:rFonts w:ascii="Arial" w:hAnsi="Arial" w:cs="Arial"/>
                <w:b/>
                <w:bCs/>
                <w:color w:val="000000"/>
                <w:sz w:val="16"/>
                <w:szCs w:val="16"/>
              </w:rPr>
              <w:t>HP IS</w:t>
            </w:r>
          </w:p>
          <w:p w14:paraId="7B1EFF91"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(EU zdroje)</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F3F46F3" w14:textId="0E349982" w:rsidR="00D11A56" w:rsidRPr="00E21C60" w:rsidRDefault="00D11A56" w:rsidP="007D449C">
            <w:pPr>
              <w:jc w:val="center"/>
              <w:rPr>
                <w:rFonts w:ascii="Arial" w:hAnsi="Arial" w:cs="Arial"/>
                <w:b/>
                <w:bCs/>
                <w:color w:val="000000"/>
                <w:sz w:val="16"/>
                <w:szCs w:val="16"/>
              </w:rPr>
            </w:pPr>
            <w:r w:rsidRPr="00E21C60">
              <w:rPr>
                <w:rFonts w:ascii="Arial" w:hAnsi="Arial" w:cs="Arial"/>
                <w:b/>
                <w:bCs/>
                <w:color w:val="000000"/>
                <w:sz w:val="16"/>
                <w:szCs w:val="16"/>
              </w:rPr>
              <w:t xml:space="preserve">% </w:t>
            </w:r>
            <w:r w:rsidR="007D449C">
              <w:rPr>
                <w:rFonts w:ascii="Arial" w:hAnsi="Arial" w:cs="Arial"/>
                <w:b/>
                <w:bCs/>
                <w:color w:val="000000"/>
                <w:sz w:val="16"/>
                <w:szCs w:val="16"/>
              </w:rPr>
              <w:t>čerpania</w:t>
            </w:r>
            <w:r w:rsidR="007D449C" w:rsidRPr="00E21C60">
              <w:rPr>
                <w:rFonts w:ascii="Arial" w:hAnsi="Arial" w:cs="Arial"/>
                <w:b/>
                <w:bCs/>
                <w:color w:val="000000"/>
                <w:sz w:val="16"/>
                <w:szCs w:val="16"/>
              </w:rPr>
              <w:t xml:space="preserve"> </w:t>
            </w:r>
            <w:r w:rsidRPr="00E21C60">
              <w:rPr>
                <w:rFonts w:ascii="Arial" w:hAnsi="Arial" w:cs="Arial"/>
                <w:b/>
                <w:bCs/>
                <w:color w:val="000000"/>
                <w:sz w:val="16"/>
                <w:szCs w:val="16"/>
              </w:rPr>
              <w:t xml:space="preserve">k HP IS z celkového objemu </w:t>
            </w:r>
            <w:r w:rsidR="007D449C">
              <w:rPr>
                <w:rFonts w:ascii="Arial" w:hAnsi="Arial" w:cs="Arial"/>
                <w:b/>
                <w:bCs/>
                <w:color w:val="000000"/>
                <w:sz w:val="16"/>
                <w:szCs w:val="16"/>
              </w:rPr>
              <w:t>čerpaných</w:t>
            </w:r>
            <w:r w:rsidR="007D449C" w:rsidRPr="00E21C60">
              <w:rPr>
                <w:rFonts w:ascii="Arial" w:hAnsi="Arial" w:cs="Arial"/>
                <w:b/>
                <w:bCs/>
                <w:color w:val="000000"/>
                <w:sz w:val="16"/>
                <w:szCs w:val="16"/>
              </w:rPr>
              <w:t xml:space="preserve"> </w:t>
            </w:r>
            <w:r w:rsidRPr="00E21C60">
              <w:rPr>
                <w:rFonts w:ascii="Arial" w:hAnsi="Arial" w:cs="Arial"/>
                <w:b/>
                <w:bCs/>
                <w:color w:val="000000"/>
                <w:sz w:val="16"/>
                <w:szCs w:val="16"/>
              </w:rPr>
              <w:t>prostriedkov</w:t>
            </w:r>
          </w:p>
        </w:tc>
      </w:tr>
      <w:tr w:rsidR="00D11A56" w:rsidRPr="00E21C60" w14:paraId="68B9B612" w14:textId="77777777" w:rsidTr="00D11A56">
        <w:trPr>
          <w:trHeight w:val="450"/>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169BACF1"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A</w:t>
            </w:r>
          </w:p>
        </w:tc>
        <w:tc>
          <w:tcPr>
            <w:tcW w:w="1480" w:type="dxa"/>
            <w:tcBorders>
              <w:top w:val="nil"/>
              <w:left w:val="nil"/>
              <w:bottom w:val="single" w:sz="4" w:space="0" w:color="auto"/>
              <w:right w:val="single" w:sz="4" w:space="0" w:color="auto"/>
            </w:tcBorders>
            <w:shd w:val="clear" w:color="000000" w:fill="EBF1DE"/>
            <w:vAlign w:val="center"/>
            <w:hideMark/>
          </w:tcPr>
          <w:p w14:paraId="6D4644B5"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B</w:t>
            </w:r>
          </w:p>
        </w:tc>
        <w:tc>
          <w:tcPr>
            <w:tcW w:w="1480" w:type="dxa"/>
            <w:tcBorders>
              <w:top w:val="nil"/>
              <w:left w:val="nil"/>
              <w:bottom w:val="single" w:sz="4" w:space="0" w:color="auto"/>
              <w:right w:val="single" w:sz="4" w:space="0" w:color="auto"/>
            </w:tcBorders>
            <w:shd w:val="clear" w:color="000000" w:fill="EBF1DE"/>
            <w:vAlign w:val="center"/>
            <w:hideMark/>
          </w:tcPr>
          <w:p w14:paraId="3BC6C592" w14:textId="77777777" w:rsidR="00D11A56" w:rsidRPr="00E21C60" w:rsidRDefault="004811B1">
            <w:pPr>
              <w:jc w:val="center"/>
              <w:rPr>
                <w:rFonts w:ascii="Arial" w:hAnsi="Arial" w:cs="Arial"/>
                <w:color w:val="000000"/>
                <w:sz w:val="16"/>
                <w:szCs w:val="16"/>
              </w:rPr>
            </w:pPr>
            <w:r w:rsidRPr="00E21C60">
              <w:rPr>
                <w:rFonts w:ascii="Arial" w:hAnsi="Arial" w:cs="Arial"/>
                <w:color w:val="000000"/>
                <w:sz w:val="16"/>
                <w:szCs w:val="16"/>
              </w:rPr>
              <w:t>C</w:t>
            </w:r>
          </w:p>
        </w:tc>
        <w:tc>
          <w:tcPr>
            <w:tcW w:w="1480" w:type="dxa"/>
            <w:tcBorders>
              <w:top w:val="nil"/>
              <w:left w:val="nil"/>
              <w:bottom w:val="single" w:sz="4" w:space="0" w:color="auto"/>
              <w:right w:val="single" w:sz="4" w:space="0" w:color="auto"/>
            </w:tcBorders>
            <w:shd w:val="clear" w:color="000000" w:fill="EBF1DE"/>
            <w:vAlign w:val="center"/>
            <w:hideMark/>
          </w:tcPr>
          <w:p w14:paraId="53964895"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D</w:t>
            </w:r>
          </w:p>
        </w:tc>
        <w:tc>
          <w:tcPr>
            <w:tcW w:w="1480" w:type="dxa"/>
            <w:tcBorders>
              <w:top w:val="nil"/>
              <w:left w:val="nil"/>
              <w:bottom w:val="single" w:sz="4" w:space="0" w:color="auto"/>
              <w:right w:val="single" w:sz="4" w:space="0" w:color="auto"/>
            </w:tcBorders>
            <w:shd w:val="clear" w:color="000000" w:fill="EBF1DE"/>
            <w:vAlign w:val="center"/>
            <w:hideMark/>
          </w:tcPr>
          <w:p w14:paraId="476B4E1A"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E</w:t>
            </w:r>
          </w:p>
        </w:tc>
        <w:tc>
          <w:tcPr>
            <w:tcW w:w="1480" w:type="dxa"/>
            <w:tcBorders>
              <w:top w:val="nil"/>
              <w:left w:val="nil"/>
              <w:bottom w:val="single" w:sz="4" w:space="0" w:color="auto"/>
              <w:right w:val="single" w:sz="4" w:space="0" w:color="auto"/>
            </w:tcBorders>
            <w:shd w:val="clear" w:color="000000" w:fill="EBF1DE"/>
            <w:vAlign w:val="center"/>
            <w:hideMark/>
          </w:tcPr>
          <w:p w14:paraId="7AA00A57"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F=E/C</w:t>
            </w:r>
          </w:p>
        </w:tc>
      </w:tr>
      <w:tr w:rsidR="003C7C45" w:rsidRPr="00E21C60" w14:paraId="7713B0D9" w14:textId="77777777" w:rsidTr="003C7C45">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378AC427" w14:textId="77777777" w:rsidR="003C7C45" w:rsidRPr="00E21C60" w:rsidRDefault="003C7C45">
            <w:pPr>
              <w:rPr>
                <w:rFonts w:ascii="Arial" w:hAnsi="Arial" w:cs="Arial"/>
                <w:color w:val="000000"/>
                <w:sz w:val="16"/>
                <w:szCs w:val="16"/>
              </w:rPr>
            </w:pPr>
            <w:r w:rsidRPr="00E21C60">
              <w:rPr>
                <w:rFonts w:ascii="Arial" w:hAnsi="Arial" w:cs="Arial"/>
                <w:color w:val="000000"/>
                <w:sz w:val="16"/>
                <w:szCs w:val="16"/>
              </w:rPr>
              <w:t>Bratislavský</w:t>
            </w:r>
          </w:p>
        </w:tc>
        <w:tc>
          <w:tcPr>
            <w:tcW w:w="1480" w:type="dxa"/>
            <w:tcBorders>
              <w:top w:val="nil"/>
              <w:left w:val="nil"/>
              <w:bottom w:val="single" w:sz="4" w:space="0" w:color="auto"/>
              <w:right w:val="single" w:sz="4" w:space="0" w:color="auto"/>
            </w:tcBorders>
            <w:shd w:val="clear" w:color="auto" w:fill="auto"/>
            <w:vAlign w:val="center"/>
            <w:hideMark/>
          </w:tcPr>
          <w:p w14:paraId="6193F06C" w14:textId="274D472B"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21</w:t>
            </w:r>
          </w:p>
        </w:tc>
        <w:tc>
          <w:tcPr>
            <w:tcW w:w="1480" w:type="dxa"/>
            <w:tcBorders>
              <w:top w:val="nil"/>
              <w:left w:val="nil"/>
              <w:bottom w:val="single" w:sz="4" w:space="0" w:color="auto"/>
              <w:right w:val="single" w:sz="4" w:space="0" w:color="auto"/>
            </w:tcBorders>
            <w:shd w:val="clear" w:color="auto" w:fill="auto"/>
            <w:vAlign w:val="center"/>
            <w:hideMark/>
          </w:tcPr>
          <w:p w14:paraId="037B3A6D" w14:textId="01E22CC6"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77 038 738</w:t>
            </w:r>
          </w:p>
        </w:tc>
        <w:tc>
          <w:tcPr>
            <w:tcW w:w="1480" w:type="dxa"/>
            <w:tcBorders>
              <w:top w:val="nil"/>
              <w:left w:val="nil"/>
              <w:bottom w:val="single" w:sz="4" w:space="0" w:color="auto"/>
              <w:right w:val="single" w:sz="4" w:space="0" w:color="auto"/>
            </w:tcBorders>
            <w:shd w:val="clear" w:color="auto" w:fill="auto"/>
            <w:vAlign w:val="center"/>
            <w:hideMark/>
          </w:tcPr>
          <w:p w14:paraId="297D1D3F" w14:textId="4B2085F8"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1</w:t>
            </w:r>
          </w:p>
        </w:tc>
        <w:tc>
          <w:tcPr>
            <w:tcW w:w="1480" w:type="dxa"/>
            <w:tcBorders>
              <w:top w:val="nil"/>
              <w:left w:val="nil"/>
              <w:bottom w:val="single" w:sz="4" w:space="0" w:color="auto"/>
              <w:right w:val="single" w:sz="4" w:space="0" w:color="auto"/>
            </w:tcBorders>
            <w:shd w:val="clear" w:color="auto" w:fill="auto"/>
            <w:vAlign w:val="center"/>
            <w:hideMark/>
          </w:tcPr>
          <w:p w14:paraId="3FD7D5D3" w14:textId="5CDC4A18"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8 755 48</w:t>
            </w:r>
            <w:r w:rsidR="00B039B7">
              <w:rPr>
                <w:rFonts w:ascii="Arial" w:hAnsi="Arial" w:cs="Arial"/>
                <w:color w:val="000000"/>
                <w:sz w:val="16"/>
                <w:szCs w:val="16"/>
              </w:rPr>
              <w:t>8</w:t>
            </w:r>
          </w:p>
        </w:tc>
        <w:tc>
          <w:tcPr>
            <w:tcW w:w="1480" w:type="dxa"/>
            <w:tcBorders>
              <w:top w:val="nil"/>
              <w:left w:val="nil"/>
              <w:bottom w:val="single" w:sz="4" w:space="0" w:color="auto"/>
              <w:right w:val="single" w:sz="4" w:space="0" w:color="auto"/>
            </w:tcBorders>
            <w:shd w:val="clear" w:color="auto" w:fill="auto"/>
            <w:vAlign w:val="center"/>
            <w:hideMark/>
          </w:tcPr>
          <w:p w14:paraId="5632D49F" w14:textId="4406C18A"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11,37%</w:t>
            </w:r>
          </w:p>
        </w:tc>
      </w:tr>
      <w:tr w:rsidR="003C7C45" w:rsidRPr="00E21C60" w14:paraId="3ABF83CF" w14:textId="77777777" w:rsidTr="003C7C45">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497473E9" w14:textId="77777777" w:rsidR="003C7C45" w:rsidRPr="00E21C60" w:rsidRDefault="003C7C45">
            <w:pPr>
              <w:rPr>
                <w:rFonts w:ascii="Arial" w:hAnsi="Arial" w:cs="Arial"/>
                <w:color w:val="000000"/>
                <w:sz w:val="16"/>
                <w:szCs w:val="16"/>
              </w:rPr>
            </w:pPr>
            <w:r w:rsidRPr="00E21C60">
              <w:rPr>
                <w:rFonts w:ascii="Arial" w:hAnsi="Arial" w:cs="Arial"/>
                <w:color w:val="000000"/>
                <w:sz w:val="16"/>
                <w:szCs w:val="16"/>
              </w:rPr>
              <w:t>Trnavský</w:t>
            </w:r>
          </w:p>
        </w:tc>
        <w:tc>
          <w:tcPr>
            <w:tcW w:w="1480" w:type="dxa"/>
            <w:tcBorders>
              <w:top w:val="nil"/>
              <w:left w:val="nil"/>
              <w:bottom w:val="single" w:sz="4" w:space="0" w:color="auto"/>
              <w:right w:val="single" w:sz="4" w:space="0" w:color="auto"/>
            </w:tcBorders>
            <w:shd w:val="clear" w:color="auto" w:fill="auto"/>
            <w:vAlign w:val="center"/>
            <w:hideMark/>
          </w:tcPr>
          <w:p w14:paraId="138F8DE2" w14:textId="569EE5D5"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79</w:t>
            </w:r>
          </w:p>
        </w:tc>
        <w:tc>
          <w:tcPr>
            <w:tcW w:w="1480" w:type="dxa"/>
            <w:tcBorders>
              <w:top w:val="nil"/>
              <w:left w:val="nil"/>
              <w:bottom w:val="single" w:sz="4" w:space="0" w:color="auto"/>
              <w:right w:val="single" w:sz="4" w:space="0" w:color="auto"/>
            </w:tcBorders>
            <w:shd w:val="clear" w:color="auto" w:fill="auto"/>
            <w:vAlign w:val="center"/>
            <w:hideMark/>
          </w:tcPr>
          <w:p w14:paraId="0542E196" w14:textId="0A137455"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145 774 91</w:t>
            </w:r>
            <w:r w:rsidR="00B039B7">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auto" w:fill="auto"/>
            <w:vAlign w:val="center"/>
            <w:hideMark/>
          </w:tcPr>
          <w:p w14:paraId="71D4D9BB" w14:textId="484D79BC"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3</w:t>
            </w:r>
          </w:p>
        </w:tc>
        <w:tc>
          <w:tcPr>
            <w:tcW w:w="1480" w:type="dxa"/>
            <w:tcBorders>
              <w:top w:val="nil"/>
              <w:left w:val="nil"/>
              <w:bottom w:val="single" w:sz="4" w:space="0" w:color="auto"/>
              <w:right w:val="single" w:sz="4" w:space="0" w:color="auto"/>
            </w:tcBorders>
            <w:shd w:val="clear" w:color="auto" w:fill="auto"/>
            <w:vAlign w:val="center"/>
            <w:hideMark/>
          </w:tcPr>
          <w:p w14:paraId="0DB1DB84" w14:textId="2762A3CB"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611 44</w:t>
            </w:r>
            <w:r w:rsidR="00B039B7">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auto" w:fill="auto"/>
            <w:vAlign w:val="center"/>
            <w:hideMark/>
          </w:tcPr>
          <w:p w14:paraId="7B3EFEBD" w14:textId="27D35E29"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0,42%</w:t>
            </w:r>
          </w:p>
        </w:tc>
      </w:tr>
      <w:tr w:rsidR="003C7C45" w:rsidRPr="00E21C60" w14:paraId="31489B74" w14:textId="77777777" w:rsidTr="003C7C45">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60306C72" w14:textId="77777777" w:rsidR="003C7C45" w:rsidRPr="00E21C60" w:rsidRDefault="003C7C45">
            <w:pPr>
              <w:rPr>
                <w:rFonts w:ascii="Arial" w:hAnsi="Arial" w:cs="Arial"/>
                <w:color w:val="000000"/>
                <w:sz w:val="16"/>
                <w:szCs w:val="16"/>
              </w:rPr>
            </w:pPr>
            <w:r w:rsidRPr="00E21C60">
              <w:rPr>
                <w:rFonts w:ascii="Arial" w:hAnsi="Arial" w:cs="Arial"/>
                <w:color w:val="000000"/>
                <w:sz w:val="16"/>
                <w:szCs w:val="16"/>
              </w:rPr>
              <w:t>Trenčiansky</w:t>
            </w:r>
          </w:p>
        </w:tc>
        <w:tc>
          <w:tcPr>
            <w:tcW w:w="1480" w:type="dxa"/>
            <w:tcBorders>
              <w:top w:val="nil"/>
              <w:left w:val="nil"/>
              <w:bottom w:val="single" w:sz="4" w:space="0" w:color="auto"/>
              <w:right w:val="single" w:sz="4" w:space="0" w:color="auto"/>
            </w:tcBorders>
            <w:shd w:val="clear" w:color="auto" w:fill="auto"/>
            <w:vAlign w:val="center"/>
            <w:hideMark/>
          </w:tcPr>
          <w:p w14:paraId="3CBD3FDC" w14:textId="35381C51"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66</w:t>
            </w:r>
          </w:p>
        </w:tc>
        <w:tc>
          <w:tcPr>
            <w:tcW w:w="1480" w:type="dxa"/>
            <w:tcBorders>
              <w:top w:val="nil"/>
              <w:left w:val="nil"/>
              <w:bottom w:val="single" w:sz="4" w:space="0" w:color="auto"/>
              <w:right w:val="single" w:sz="4" w:space="0" w:color="auto"/>
            </w:tcBorders>
            <w:shd w:val="clear" w:color="auto" w:fill="auto"/>
            <w:vAlign w:val="center"/>
            <w:hideMark/>
          </w:tcPr>
          <w:p w14:paraId="4347AAB8" w14:textId="0E325E18" w:rsidR="003C7C45" w:rsidRPr="003C7C45" w:rsidRDefault="003C7C45" w:rsidP="00B039B7">
            <w:pPr>
              <w:jc w:val="center"/>
              <w:rPr>
                <w:rFonts w:ascii="Arial" w:hAnsi="Arial" w:cs="Arial"/>
                <w:color w:val="000000"/>
                <w:sz w:val="16"/>
                <w:szCs w:val="16"/>
              </w:rPr>
            </w:pPr>
            <w:r w:rsidRPr="003C7C45">
              <w:rPr>
                <w:rFonts w:ascii="Arial" w:hAnsi="Arial" w:cs="Arial"/>
                <w:color w:val="000000"/>
                <w:sz w:val="16"/>
                <w:szCs w:val="16"/>
              </w:rPr>
              <w:t>150 591 80</w:t>
            </w:r>
            <w:r w:rsidR="00B039B7">
              <w:rPr>
                <w:rFonts w:ascii="Arial" w:hAnsi="Arial" w:cs="Arial"/>
                <w:color w:val="000000"/>
                <w:sz w:val="16"/>
                <w:szCs w:val="16"/>
              </w:rPr>
              <w:t>7</w:t>
            </w:r>
          </w:p>
        </w:tc>
        <w:tc>
          <w:tcPr>
            <w:tcW w:w="1480" w:type="dxa"/>
            <w:tcBorders>
              <w:top w:val="nil"/>
              <w:left w:val="nil"/>
              <w:bottom w:val="single" w:sz="4" w:space="0" w:color="auto"/>
              <w:right w:val="single" w:sz="4" w:space="0" w:color="auto"/>
            </w:tcBorders>
            <w:shd w:val="clear" w:color="auto" w:fill="auto"/>
            <w:vAlign w:val="center"/>
            <w:hideMark/>
          </w:tcPr>
          <w:p w14:paraId="2F6D3FD8" w14:textId="1D73BEF2"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5</w:t>
            </w:r>
          </w:p>
        </w:tc>
        <w:tc>
          <w:tcPr>
            <w:tcW w:w="1480" w:type="dxa"/>
            <w:tcBorders>
              <w:top w:val="nil"/>
              <w:left w:val="nil"/>
              <w:bottom w:val="single" w:sz="4" w:space="0" w:color="auto"/>
              <w:right w:val="single" w:sz="4" w:space="0" w:color="auto"/>
            </w:tcBorders>
            <w:shd w:val="clear" w:color="auto" w:fill="auto"/>
            <w:vAlign w:val="center"/>
            <w:hideMark/>
          </w:tcPr>
          <w:p w14:paraId="0D3703A2" w14:textId="3D506CCD"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9 176 601</w:t>
            </w:r>
          </w:p>
        </w:tc>
        <w:tc>
          <w:tcPr>
            <w:tcW w:w="1480" w:type="dxa"/>
            <w:tcBorders>
              <w:top w:val="nil"/>
              <w:left w:val="nil"/>
              <w:bottom w:val="single" w:sz="4" w:space="0" w:color="auto"/>
              <w:right w:val="single" w:sz="4" w:space="0" w:color="auto"/>
            </w:tcBorders>
            <w:shd w:val="clear" w:color="auto" w:fill="auto"/>
            <w:vAlign w:val="center"/>
            <w:hideMark/>
          </w:tcPr>
          <w:p w14:paraId="1293203E" w14:textId="32191807"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6,09%</w:t>
            </w:r>
          </w:p>
        </w:tc>
      </w:tr>
      <w:tr w:rsidR="003C7C45" w:rsidRPr="00E21C60" w14:paraId="55922C05" w14:textId="77777777" w:rsidTr="003C7C45">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49807C12" w14:textId="77777777" w:rsidR="003C7C45" w:rsidRPr="00E21C60" w:rsidRDefault="003C7C45">
            <w:pPr>
              <w:rPr>
                <w:rFonts w:ascii="Arial" w:hAnsi="Arial" w:cs="Arial"/>
                <w:color w:val="000000"/>
                <w:sz w:val="16"/>
                <w:szCs w:val="16"/>
              </w:rPr>
            </w:pPr>
            <w:r w:rsidRPr="00E21C60">
              <w:rPr>
                <w:rFonts w:ascii="Arial" w:hAnsi="Arial" w:cs="Arial"/>
                <w:color w:val="000000"/>
                <w:sz w:val="16"/>
                <w:szCs w:val="16"/>
              </w:rPr>
              <w:t>Nitriansky</w:t>
            </w:r>
          </w:p>
        </w:tc>
        <w:tc>
          <w:tcPr>
            <w:tcW w:w="1480" w:type="dxa"/>
            <w:tcBorders>
              <w:top w:val="nil"/>
              <w:left w:val="nil"/>
              <w:bottom w:val="single" w:sz="4" w:space="0" w:color="auto"/>
              <w:right w:val="single" w:sz="4" w:space="0" w:color="auto"/>
            </w:tcBorders>
            <w:shd w:val="clear" w:color="auto" w:fill="auto"/>
            <w:vAlign w:val="center"/>
            <w:hideMark/>
          </w:tcPr>
          <w:p w14:paraId="61248A97" w14:textId="43C9267F"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80</w:t>
            </w:r>
          </w:p>
        </w:tc>
        <w:tc>
          <w:tcPr>
            <w:tcW w:w="1480" w:type="dxa"/>
            <w:tcBorders>
              <w:top w:val="nil"/>
              <w:left w:val="nil"/>
              <w:bottom w:val="single" w:sz="4" w:space="0" w:color="auto"/>
              <w:right w:val="single" w:sz="4" w:space="0" w:color="auto"/>
            </w:tcBorders>
            <w:shd w:val="clear" w:color="auto" w:fill="auto"/>
            <w:vAlign w:val="center"/>
            <w:hideMark/>
          </w:tcPr>
          <w:p w14:paraId="51E5AAB5" w14:textId="516AC326"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163 906 762</w:t>
            </w:r>
          </w:p>
        </w:tc>
        <w:tc>
          <w:tcPr>
            <w:tcW w:w="1480" w:type="dxa"/>
            <w:tcBorders>
              <w:top w:val="nil"/>
              <w:left w:val="nil"/>
              <w:bottom w:val="single" w:sz="4" w:space="0" w:color="auto"/>
              <w:right w:val="single" w:sz="4" w:space="0" w:color="auto"/>
            </w:tcBorders>
            <w:shd w:val="clear" w:color="auto" w:fill="auto"/>
            <w:vAlign w:val="center"/>
            <w:hideMark/>
          </w:tcPr>
          <w:p w14:paraId="72D2B226" w14:textId="095F1F2C"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auto" w:fill="auto"/>
            <w:vAlign w:val="center"/>
            <w:hideMark/>
          </w:tcPr>
          <w:p w14:paraId="18095830" w14:textId="07CD5802" w:rsidR="003C7C45" w:rsidRPr="001934FE" w:rsidRDefault="003C7C45" w:rsidP="00B039B7">
            <w:pPr>
              <w:jc w:val="center"/>
              <w:rPr>
                <w:rFonts w:ascii="Arial" w:hAnsi="Arial" w:cs="Arial"/>
                <w:color w:val="000000"/>
                <w:sz w:val="16"/>
                <w:szCs w:val="16"/>
              </w:rPr>
            </w:pPr>
            <w:r w:rsidRPr="003C7C45">
              <w:rPr>
                <w:rFonts w:ascii="Arial" w:hAnsi="Arial" w:cs="Arial"/>
                <w:color w:val="000000"/>
                <w:sz w:val="16"/>
                <w:szCs w:val="16"/>
              </w:rPr>
              <w:t xml:space="preserve">3 435 </w:t>
            </w:r>
            <w:r w:rsidR="00B039B7">
              <w:rPr>
                <w:rFonts w:ascii="Arial" w:hAnsi="Arial" w:cs="Arial"/>
                <w:color w:val="000000"/>
                <w:sz w:val="16"/>
                <w:szCs w:val="16"/>
              </w:rPr>
              <w:t>600</w:t>
            </w:r>
          </w:p>
        </w:tc>
        <w:tc>
          <w:tcPr>
            <w:tcW w:w="1480" w:type="dxa"/>
            <w:tcBorders>
              <w:top w:val="nil"/>
              <w:left w:val="nil"/>
              <w:bottom w:val="single" w:sz="4" w:space="0" w:color="auto"/>
              <w:right w:val="single" w:sz="4" w:space="0" w:color="auto"/>
            </w:tcBorders>
            <w:shd w:val="clear" w:color="auto" w:fill="auto"/>
            <w:vAlign w:val="center"/>
            <w:hideMark/>
          </w:tcPr>
          <w:p w14:paraId="3988F0FF" w14:textId="1BA1A562"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2,10%</w:t>
            </w:r>
          </w:p>
        </w:tc>
      </w:tr>
      <w:tr w:rsidR="003C7C45" w:rsidRPr="00E21C60" w14:paraId="3C209547" w14:textId="77777777" w:rsidTr="003C7C45">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63AF9D4C" w14:textId="77777777" w:rsidR="003C7C45" w:rsidRPr="00E21C60" w:rsidRDefault="003C7C45">
            <w:pPr>
              <w:rPr>
                <w:rFonts w:ascii="Arial" w:hAnsi="Arial" w:cs="Arial"/>
                <w:color w:val="000000"/>
                <w:sz w:val="16"/>
                <w:szCs w:val="16"/>
              </w:rPr>
            </w:pPr>
            <w:r w:rsidRPr="00E21C60">
              <w:rPr>
                <w:rFonts w:ascii="Arial" w:hAnsi="Arial" w:cs="Arial"/>
                <w:color w:val="000000"/>
                <w:sz w:val="16"/>
                <w:szCs w:val="16"/>
              </w:rPr>
              <w:t>Žilinský</w:t>
            </w:r>
          </w:p>
        </w:tc>
        <w:tc>
          <w:tcPr>
            <w:tcW w:w="1480" w:type="dxa"/>
            <w:tcBorders>
              <w:top w:val="nil"/>
              <w:left w:val="nil"/>
              <w:bottom w:val="single" w:sz="4" w:space="0" w:color="auto"/>
              <w:right w:val="single" w:sz="4" w:space="0" w:color="auto"/>
            </w:tcBorders>
            <w:shd w:val="clear" w:color="auto" w:fill="auto"/>
            <w:vAlign w:val="center"/>
            <w:hideMark/>
          </w:tcPr>
          <w:p w14:paraId="63325283" w14:textId="29C9456C"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118</w:t>
            </w:r>
          </w:p>
        </w:tc>
        <w:tc>
          <w:tcPr>
            <w:tcW w:w="1480" w:type="dxa"/>
            <w:tcBorders>
              <w:top w:val="nil"/>
              <w:left w:val="nil"/>
              <w:bottom w:val="single" w:sz="4" w:space="0" w:color="auto"/>
              <w:right w:val="single" w:sz="4" w:space="0" w:color="auto"/>
            </w:tcBorders>
            <w:shd w:val="clear" w:color="auto" w:fill="auto"/>
            <w:vAlign w:val="center"/>
            <w:hideMark/>
          </w:tcPr>
          <w:p w14:paraId="1C9446A1" w14:textId="6BB5F7FA"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252 086 907</w:t>
            </w:r>
          </w:p>
        </w:tc>
        <w:tc>
          <w:tcPr>
            <w:tcW w:w="1480" w:type="dxa"/>
            <w:tcBorders>
              <w:top w:val="nil"/>
              <w:left w:val="nil"/>
              <w:bottom w:val="single" w:sz="4" w:space="0" w:color="auto"/>
              <w:right w:val="single" w:sz="4" w:space="0" w:color="auto"/>
            </w:tcBorders>
            <w:shd w:val="clear" w:color="auto" w:fill="auto"/>
            <w:vAlign w:val="center"/>
            <w:hideMark/>
          </w:tcPr>
          <w:p w14:paraId="7F665C8F" w14:textId="2FD9D84B"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14</w:t>
            </w:r>
          </w:p>
        </w:tc>
        <w:tc>
          <w:tcPr>
            <w:tcW w:w="1480" w:type="dxa"/>
            <w:tcBorders>
              <w:top w:val="nil"/>
              <w:left w:val="nil"/>
              <w:bottom w:val="single" w:sz="4" w:space="0" w:color="auto"/>
              <w:right w:val="single" w:sz="4" w:space="0" w:color="auto"/>
            </w:tcBorders>
            <w:shd w:val="clear" w:color="auto" w:fill="auto"/>
            <w:vAlign w:val="center"/>
            <w:hideMark/>
          </w:tcPr>
          <w:p w14:paraId="14F9E47F" w14:textId="3EF714F3" w:rsidR="003C7C45" w:rsidRPr="001934FE" w:rsidRDefault="003C7C45" w:rsidP="00B039B7">
            <w:pPr>
              <w:jc w:val="center"/>
              <w:rPr>
                <w:rFonts w:ascii="Arial" w:hAnsi="Arial" w:cs="Arial"/>
                <w:color w:val="000000"/>
                <w:sz w:val="16"/>
                <w:szCs w:val="16"/>
              </w:rPr>
            </w:pPr>
            <w:r w:rsidRPr="003C7C45">
              <w:rPr>
                <w:rFonts w:ascii="Arial" w:hAnsi="Arial" w:cs="Arial"/>
                <w:color w:val="000000"/>
                <w:sz w:val="16"/>
                <w:szCs w:val="16"/>
              </w:rPr>
              <w:t>31 245 884</w:t>
            </w:r>
          </w:p>
        </w:tc>
        <w:tc>
          <w:tcPr>
            <w:tcW w:w="1480" w:type="dxa"/>
            <w:tcBorders>
              <w:top w:val="nil"/>
              <w:left w:val="nil"/>
              <w:bottom w:val="single" w:sz="4" w:space="0" w:color="auto"/>
              <w:right w:val="single" w:sz="4" w:space="0" w:color="auto"/>
            </w:tcBorders>
            <w:shd w:val="clear" w:color="auto" w:fill="auto"/>
            <w:vAlign w:val="center"/>
            <w:hideMark/>
          </w:tcPr>
          <w:p w14:paraId="51BF8A11" w14:textId="3E211B7E"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12,39%</w:t>
            </w:r>
          </w:p>
        </w:tc>
      </w:tr>
      <w:tr w:rsidR="003C7C45" w:rsidRPr="00E21C60" w14:paraId="60930871" w14:textId="77777777" w:rsidTr="003C7C45">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490B9C3C" w14:textId="77777777" w:rsidR="003C7C45" w:rsidRPr="00E21C60" w:rsidRDefault="003C7C45">
            <w:pPr>
              <w:rPr>
                <w:rFonts w:ascii="Arial" w:hAnsi="Arial" w:cs="Arial"/>
                <w:color w:val="000000"/>
                <w:sz w:val="16"/>
                <w:szCs w:val="16"/>
              </w:rPr>
            </w:pPr>
            <w:r w:rsidRPr="00E21C60">
              <w:rPr>
                <w:rFonts w:ascii="Arial" w:hAnsi="Arial" w:cs="Arial"/>
                <w:color w:val="000000"/>
                <w:sz w:val="16"/>
                <w:szCs w:val="16"/>
              </w:rPr>
              <w:t>Banskobystrický</w:t>
            </w:r>
          </w:p>
        </w:tc>
        <w:tc>
          <w:tcPr>
            <w:tcW w:w="1480" w:type="dxa"/>
            <w:tcBorders>
              <w:top w:val="nil"/>
              <w:left w:val="nil"/>
              <w:bottom w:val="single" w:sz="4" w:space="0" w:color="auto"/>
              <w:right w:val="single" w:sz="4" w:space="0" w:color="auto"/>
            </w:tcBorders>
            <w:shd w:val="clear" w:color="auto" w:fill="auto"/>
            <w:vAlign w:val="center"/>
            <w:hideMark/>
          </w:tcPr>
          <w:p w14:paraId="5D7582A9" w14:textId="07215451"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107</w:t>
            </w:r>
          </w:p>
        </w:tc>
        <w:tc>
          <w:tcPr>
            <w:tcW w:w="1480" w:type="dxa"/>
            <w:tcBorders>
              <w:top w:val="nil"/>
              <w:left w:val="nil"/>
              <w:bottom w:val="single" w:sz="4" w:space="0" w:color="auto"/>
              <w:right w:val="single" w:sz="4" w:space="0" w:color="auto"/>
            </w:tcBorders>
            <w:shd w:val="clear" w:color="auto" w:fill="auto"/>
            <w:vAlign w:val="center"/>
            <w:hideMark/>
          </w:tcPr>
          <w:p w14:paraId="00227792" w14:textId="27EB941B"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207 105 559</w:t>
            </w:r>
          </w:p>
        </w:tc>
        <w:tc>
          <w:tcPr>
            <w:tcW w:w="1480" w:type="dxa"/>
            <w:tcBorders>
              <w:top w:val="nil"/>
              <w:left w:val="nil"/>
              <w:bottom w:val="single" w:sz="4" w:space="0" w:color="auto"/>
              <w:right w:val="single" w:sz="4" w:space="0" w:color="auto"/>
            </w:tcBorders>
            <w:shd w:val="clear" w:color="auto" w:fill="auto"/>
            <w:vAlign w:val="center"/>
            <w:hideMark/>
          </w:tcPr>
          <w:p w14:paraId="4551DE47" w14:textId="284DD4E1"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7</w:t>
            </w:r>
          </w:p>
        </w:tc>
        <w:tc>
          <w:tcPr>
            <w:tcW w:w="1480" w:type="dxa"/>
            <w:tcBorders>
              <w:top w:val="nil"/>
              <w:left w:val="nil"/>
              <w:bottom w:val="single" w:sz="4" w:space="0" w:color="auto"/>
              <w:right w:val="single" w:sz="4" w:space="0" w:color="auto"/>
            </w:tcBorders>
            <w:shd w:val="clear" w:color="auto" w:fill="auto"/>
            <w:vAlign w:val="center"/>
            <w:hideMark/>
          </w:tcPr>
          <w:p w14:paraId="70C91326" w14:textId="139DA3E2" w:rsidR="003C7C45" w:rsidRPr="001934FE" w:rsidRDefault="003C7C45" w:rsidP="00B039B7">
            <w:pPr>
              <w:jc w:val="center"/>
              <w:rPr>
                <w:rFonts w:ascii="Arial" w:hAnsi="Arial" w:cs="Arial"/>
                <w:color w:val="000000"/>
                <w:sz w:val="16"/>
                <w:szCs w:val="16"/>
              </w:rPr>
            </w:pPr>
            <w:r w:rsidRPr="003C7C45">
              <w:rPr>
                <w:rFonts w:ascii="Arial" w:hAnsi="Arial" w:cs="Arial"/>
                <w:color w:val="000000"/>
                <w:sz w:val="16"/>
                <w:szCs w:val="16"/>
              </w:rPr>
              <w:t>30 402 18</w:t>
            </w:r>
            <w:r w:rsidR="00B039B7">
              <w:rPr>
                <w:rFonts w:ascii="Arial" w:hAnsi="Arial" w:cs="Arial"/>
                <w:color w:val="000000"/>
                <w:sz w:val="16"/>
                <w:szCs w:val="16"/>
              </w:rPr>
              <w:t>9</w:t>
            </w:r>
          </w:p>
        </w:tc>
        <w:tc>
          <w:tcPr>
            <w:tcW w:w="1480" w:type="dxa"/>
            <w:tcBorders>
              <w:top w:val="nil"/>
              <w:left w:val="nil"/>
              <w:bottom w:val="single" w:sz="4" w:space="0" w:color="auto"/>
              <w:right w:val="single" w:sz="4" w:space="0" w:color="auto"/>
            </w:tcBorders>
            <w:shd w:val="clear" w:color="auto" w:fill="auto"/>
            <w:vAlign w:val="center"/>
            <w:hideMark/>
          </w:tcPr>
          <w:p w14:paraId="6CF07A5C" w14:textId="32B61535"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14,68%</w:t>
            </w:r>
          </w:p>
        </w:tc>
      </w:tr>
      <w:tr w:rsidR="003C7C45" w:rsidRPr="00E21C60" w14:paraId="06EFA560" w14:textId="77777777" w:rsidTr="003C7C45">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03B7BBFC" w14:textId="77777777" w:rsidR="003C7C45" w:rsidRPr="00E21C60" w:rsidRDefault="003C7C45">
            <w:pPr>
              <w:rPr>
                <w:rFonts w:ascii="Arial" w:hAnsi="Arial" w:cs="Arial"/>
                <w:color w:val="000000"/>
                <w:sz w:val="16"/>
                <w:szCs w:val="16"/>
              </w:rPr>
            </w:pPr>
            <w:r w:rsidRPr="00E21C60">
              <w:rPr>
                <w:rFonts w:ascii="Arial" w:hAnsi="Arial" w:cs="Arial"/>
                <w:color w:val="000000"/>
                <w:sz w:val="16"/>
                <w:szCs w:val="16"/>
              </w:rPr>
              <w:t>Prešovský</w:t>
            </w:r>
          </w:p>
        </w:tc>
        <w:tc>
          <w:tcPr>
            <w:tcW w:w="1480" w:type="dxa"/>
            <w:tcBorders>
              <w:top w:val="nil"/>
              <w:left w:val="nil"/>
              <w:bottom w:val="single" w:sz="4" w:space="0" w:color="auto"/>
              <w:right w:val="single" w:sz="4" w:space="0" w:color="auto"/>
            </w:tcBorders>
            <w:shd w:val="clear" w:color="auto" w:fill="auto"/>
            <w:vAlign w:val="center"/>
            <w:hideMark/>
          </w:tcPr>
          <w:p w14:paraId="3AB3595C" w14:textId="6DC24E38"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150</w:t>
            </w:r>
          </w:p>
        </w:tc>
        <w:tc>
          <w:tcPr>
            <w:tcW w:w="1480" w:type="dxa"/>
            <w:tcBorders>
              <w:top w:val="nil"/>
              <w:left w:val="nil"/>
              <w:bottom w:val="single" w:sz="4" w:space="0" w:color="auto"/>
              <w:right w:val="single" w:sz="4" w:space="0" w:color="auto"/>
            </w:tcBorders>
            <w:shd w:val="clear" w:color="auto" w:fill="auto"/>
            <w:vAlign w:val="center"/>
            <w:hideMark/>
          </w:tcPr>
          <w:p w14:paraId="0D77FBB6" w14:textId="21A4C0F0"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242 725 486</w:t>
            </w:r>
          </w:p>
        </w:tc>
        <w:tc>
          <w:tcPr>
            <w:tcW w:w="1480" w:type="dxa"/>
            <w:tcBorders>
              <w:top w:val="nil"/>
              <w:left w:val="nil"/>
              <w:bottom w:val="single" w:sz="4" w:space="0" w:color="auto"/>
              <w:right w:val="single" w:sz="4" w:space="0" w:color="auto"/>
            </w:tcBorders>
            <w:shd w:val="clear" w:color="auto" w:fill="auto"/>
            <w:vAlign w:val="center"/>
            <w:hideMark/>
          </w:tcPr>
          <w:p w14:paraId="4F002E10" w14:textId="782791ED"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9</w:t>
            </w:r>
          </w:p>
        </w:tc>
        <w:tc>
          <w:tcPr>
            <w:tcW w:w="1480" w:type="dxa"/>
            <w:tcBorders>
              <w:top w:val="nil"/>
              <w:left w:val="nil"/>
              <w:bottom w:val="single" w:sz="4" w:space="0" w:color="auto"/>
              <w:right w:val="single" w:sz="4" w:space="0" w:color="auto"/>
            </w:tcBorders>
            <w:shd w:val="clear" w:color="auto" w:fill="auto"/>
            <w:vAlign w:val="center"/>
            <w:hideMark/>
          </w:tcPr>
          <w:p w14:paraId="54F3F773" w14:textId="488A74A1" w:rsidR="003C7C45" w:rsidRPr="001934FE" w:rsidRDefault="003C7C45" w:rsidP="00B039B7">
            <w:pPr>
              <w:jc w:val="center"/>
              <w:rPr>
                <w:rFonts w:ascii="Arial" w:hAnsi="Arial" w:cs="Arial"/>
                <w:color w:val="000000"/>
                <w:sz w:val="16"/>
                <w:szCs w:val="16"/>
              </w:rPr>
            </w:pPr>
            <w:r w:rsidRPr="003C7C45">
              <w:rPr>
                <w:rFonts w:ascii="Arial" w:hAnsi="Arial" w:cs="Arial"/>
                <w:color w:val="000000"/>
                <w:sz w:val="16"/>
                <w:szCs w:val="16"/>
              </w:rPr>
              <w:t>9 236 83</w:t>
            </w:r>
            <w:r w:rsidR="00B039B7">
              <w:rPr>
                <w:rFonts w:ascii="Arial" w:hAnsi="Arial" w:cs="Arial"/>
                <w:color w:val="000000"/>
                <w:sz w:val="16"/>
                <w:szCs w:val="16"/>
              </w:rPr>
              <w:t>7</w:t>
            </w:r>
          </w:p>
        </w:tc>
        <w:tc>
          <w:tcPr>
            <w:tcW w:w="1480" w:type="dxa"/>
            <w:tcBorders>
              <w:top w:val="nil"/>
              <w:left w:val="nil"/>
              <w:bottom w:val="single" w:sz="4" w:space="0" w:color="auto"/>
              <w:right w:val="single" w:sz="4" w:space="0" w:color="auto"/>
            </w:tcBorders>
            <w:shd w:val="clear" w:color="auto" w:fill="auto"/>
            <w:vAlign w:val="center"/>
            <w:hideMark/>
          </w:tcPr>
          <w:p w14:paraId="2E68D63D" w14:textId="71B0EE0D"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3,81%</w:t>
            </w:r>
          </w:p>
        </w:tc>
      </w:tr>
      <w:tr w:rsidR="003C7C45" w:rsidRPr="00E21C60" w14:paraId="60BEFAC6" w14:textId="77777777" w:rsidTr="003C7C45">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32A804BB" w14:textId="77777777" w:rsidR="003C7C45" w:rsidRPr="00E21C60" w:rsidRDefault="003C7C45">
            <w:pPr>
              <w:rPr>
                <w:rFonts w:ascii="Arial" w:hAnsi="Arial" w:cs="Arial"/>
                <w:color w:val="000000"/>
                <w:sz w:val="16"/>
                <w:szCs w:val="16"/>
              </w:rPr>
            </w:pPr>
            <w:r w:rsidRPr="00E21C60">
              <w:rPr>
                <w:rFonts w:ascii="Arial" w:hAnsi="Arial" w:cs="Arial"/>
                <w:color w:val="000000"/>
                <w:sz w:val="16"/>
                <w:szCs w:val="16"/>
              </w:rPr>
              <w:t>Košický</w:t>
            </w:r>
          </w:p>
        </w:tc>
        <w:tc>
          <w:tcPr>
            <w:tcW w:w="1480" w:type="dxa"/>
            <w:tcBorders>
              <w:top w:val="nil"/>
              <w:left w:val="nil"/>
              <w:bottom w:val="single" w:sz="4" w:space="0" w:color="auto"/>
              <w:right w:val="single" w:sz="4" w:space="0" w:color="auto"/>
            </w:tcBorders>
            <w:shd w:val="clear" w:color="auto" w:fill="auto"/>
            <w:vAlign w:val="center"/>
            <w:hideMark/>
          </w:tcPr>
          <w:p w14:paraId="72CA3DE4" w14:textId="1BCF4D92"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90</w:t>
            </w:r>
          </w:p>
        </w:tc>
        <w:tc>
          <w:tcPr>
            <w:tcW w:w="1480" w:type="dxa"/>
            <w:tcBorders>
              <w:top w:val="nil"/>
              <w:left w:val="nil"/>
              <w:bottom w:val="single" w:sz="4" w:space="0" w:color="auto"/>
              <w:right w:val="single" w:sz="4" w:space="0" w:color="auto"/>
            </w:tcBorders>
            <w:shd w:val="clear" w:color="auto" w:fill="auto"/>
            <w:vAlign w:val="center"/>
            <w:hideMark/>
          </w:tcPr>
          <w:p w14:paraId="53B54A5D" w14:textId="02A91C3C"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213 142 826</w:t>
            </w:r>
          </w:p>
        </w:tc>
        <w:tc>
          <w:tcPr>
            <w:tcW w:w="1480" w:type="dxa"/>
            <w:tcBorders>
              <w:top w:val="nil"/>
              <w:left w:val="nil"/>
              <w:bottom w:val="single" w:sz="4" w:space="0" w:color="auto"/>
              <w:right w:val="single" w:sz="4" w:space="0" w:color="auto"/>
            </w:tcBorders>
            <w:shd w:val="clear" w:color="auto" w:fill="auto"/>
            <w:vAlign w:val="center"/>
            <w:hideMark/>
          </w:tcPr>
          <w:p w14:paraId="6CF2B969" w14:textId="0545136C"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3</w:t>
            </w:r>
          </w:p>
        </w:tc>
        <w:tc>
          <w:tcPr>
            <w:tcW w:w="1480" w:type="dxa"/>
            <w:tcBorders>
              <w:top w:val="nil"/>
              <w:left w:val="nil"/>
              <w:bottom w:val="single" w:sz="4" w:space="0" w:color="auto"/>
              <w:right w:val="single" w:sz="4" w:space="0" w:color="auto"/>
            </w:tcBorders>
            <w:shd w:val="clear" w:color="auto" w:fill="auto"/>
            <w:vAlign w:val="center"/>
            <w:hideMark/>
          </w:tcPr>
          <w:p w14:paraId="36BFD300" w14:textId="2CACD1CF" w:rsidR="003C7C45" w:rsidRPr="001934FE" w:rsidRDefault="003C7C45" w:rsidP="00B039B7">
            <w:pPr>
              <w:jc w:val="center"/>
              <w:rPr>
                <w:rFonts w:ascii="Arial" w:hAnsi="Arial" w:cs="Arial"/>
                <w:color w:val="000000"/>
                <w:sz w:val="16"/>
                <w:szCs w:val="16"/>
              </w:rPr>
            </w:pPr>
            <w:r w:rsidRPr="003C7C45">
              <w:rPr>
                <w:rFonts w:ascii="Arial" w:hAnsi="Arial" w:cs="Arial"/>
                <w:color w:val="000000"/>
                <w:sz w:val="16"/>
                <w:szCs w:val="16"/>
              </w:rPr>
              <w:t xml:space="preserve">11 504 </w:t>
            </w:r>
            <w:r w:rsidR="00B039B7">
              <w:rPr>
                <w:rFonts w:ascii="Arial" w:hAnsi="Arial" w:cs="Arial"/>
                <w:color w:val="000000"/>
                <w:sz w:val="16"/>
                <w:szCs w:val="16"/>
              </w:rPr>
              <w:t>890</w:t>
            </w:r>
          </w:p>
        </w:tc>
        <w:tc>
          <w:tcPr>
            <w:tcW w:w="1480" w:type="dxa"/>
            <w:tcBorders>
              <w:top w:val="nil"/>
              <w:left w:val="nil"/>
              <w:bottom w:val="single" w:sz="4" w:space="0" w:color="auto"/>
              <w:right w:val="single" w:sz="4" w:space="0" w:color="auto"/>
            </w:tcBorders>
            <w:shd w:val="clear" w:color="auto" w:fill="auto"/>
            <w:vAlign w:val="center"/>
            <w:hideMark/>
          </w:tcPr>
          <w:p w14:paraId="780E8987" w14:textId="1BEF88BF"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5,40%</w:t>
            </w:r>
          </w:p>
        </w:tc>
      </w:tr>
      <w:tr w:rsidR="003C7C45" w:rsidRPr="00E21C60" w14:paraId="7FDFD47E" w14:textId="77777777" w:rsidTr="003C7C45">
        <w:trPr>
          <w:trHeight w:val="450"/>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19A76C27" w14:textId="77777777" w:rsidR="003C7C45" w:rsidRPr="00E21C60" w:rsidRDefault="003C7C45">
            <w:pPr>
              <w:rPr>
                <w:rFonts w:ascii="Arial" w:hAnsi="Arial" w:cs="Arial"/>
                <w:color w:val="000000"/>
                <w:sz w:val="16"/>
                <w:szCs w:val="16"/>
              </w:rPr>
            </w:pPr>
            <w:r w:rsidRPr="00E21C60">
              <w:rPr>
                <w:rFonts w:ascii="Arial" w:hAnsi="Arial" w:cs="Arial"/>
                <w:color w:val="000000"/>
                <w:sz w:val="16"/>
                <w:szCs w:val="16"/>
              </w:rPr>
              <w:t>Projekty nezaradené do NUTS III</w:t>
            </w:r>
          </w:p>
        </w:tc>
        <w:tc>
          <w:tcPr>
            <w:tcW w:w="1480" w:type="dxa"/>
            <w:tcBorders>
              <w:top w:val="nil"/>
              <w:left w:val="nil"/>
              <w:bottom w:val="single" w:sz="4" w:space="0" w:color="auto"/>
              <w:right w:val="single" w:sz="4" w:space="0" w:color="auto"/>
            </w:tcBorders>
            <w:shd w:val="clear" w:color="000000" w:fill="EBF1DE"/>
            <w:vAlign w:val="center"/>
            <w:hideMark/>
          </w:tcPr>
          <w:p w14:paraId="46ECCF10" w14:textId="5DCD344E"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88</w:t>
            </w:r>
          </w:p>
        </w:tc>
        <w:tc>
          <w:tcPr>
            <w:tcW w:w="1480" w:type="dxa"/>
            <w:tcBorders>
              <w:top w:val="nil"/>
              <w:left w:val="nil"/>
              <w:bottom w:val="single" w:sz="4" w:space="0" w:color="auto"/>
              <w:right w:val="single" w:sz="4" w:space="0" w:color="auto"/>
            </w:tcBorders>
            <w:shd w:val="clear" w:color="000000" w:fill="EBF1DE"/>
            <w:vAlign w:val="center"/>
            <w:hideMark/>
          </w:tcPr>
          <w:p w14:paraId="05D069D0" w14:textId="7CF9CBE3"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276 725 89</w:t>
            </w:r>
            <w:r w:rsidR="00B039B7">
              <w:rPr>
                <w:rFonts w:ascii="Arial" w:hAnsi="Arial" w:cs="Arial"/>
                <w:color w:val="000000"/>
                <w:sz w:val="16"/>
                <w:szCs w:val="16"/>
              </w:rPr>
              <w:t>4</w:t>
            </w:r>
          </w:p>
        </w:tc>
        <w:tc>
          <w:tcPr>
            <w:tcW w:w="1480" w:type="dxa"/>
            <w:tcBorders>
              <w:top w:val="nil"/>
              <w:left w:val="nil"/>
              <w:bottom w:val="single" w:sz="4" w:space="0" w:color="auto"/>
              <w:right w:val="single" w:sz="4" w:space="0" w:color="auto"/>
            </w:tcBorders>
            <w:shd w:val="clear" w:color="000000" w:fill="EBF1DE"/>
            <w:vAlign w:val="center"/>
            <w:hideMark/>
          </w:tcPr>
          <w:p w14:paraId="2778119A" w14:textId="20948194"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15</w:t>
            </w:r>
          </w:p>
        </w:tc>
        <w:tc>
          <w:tcPr>
            <w:tcW w:w="1480" w:type="dxa"/>
            <w:tcBorders>
              <w:top w:val="nil"/>
              <w:left w:val="nil"/>
              <w:bottom w:val="single" w:sz="4" w:space="0" w:color="auto"/>
              <w:right w:val="single" w:sz="4" w:space="0" w:color="auto"/>
            </w:tcBorders>
            <w:shd w:val="clear" w:color="000000" w:fill="EBF1DE"/>
            <w:vAlign w:val="center"/>
            <w:hideMark/>
          </w:tcPr>
          <w:p w14:paraId="44480DE6" w14:textId="160FC492" w:rsidR="003C7C45" w:rsidRPr="001934FE" w:rsidRDefault="003C7C45" w:rsidP="00B039B7">
            <w:pPr>
              <w:jc w:val="center"/>
              <w:rPr>
                <w:rFonts w:ascii="Arial" w:hAnsi="Arial" w:cs="Arial"/>
                <w:color w:val="000000"/>
                <w:sz w:val="16"/>
                <w:szCs w:val="16"/>
              </w:rPr>
            </w:pPr>
            <w:r w:rsidRPr="003C7C45">
              <w:rPr>
                <w:rFonts w:ascii="Arial" w:hAnsi="Arial" w:cs="Arial"/>
                <w:color w:val="000000"/>
                <w:sz w:val="16"/>
                <w:szCs w:val="16"/>
              </w:rPr>
              <w:t>38 636 589</w:t>
            </w:r>
          </w:p>
        </w:tc>
        <w:tc>
          <w:tcPr>
            <w:tcW w:w="1480" w:type="dxa"/>
            <w:tcBorders>
              <w:top w:val="nil"/>
              <w:left w:val="nil"/>
              <w:bottom w:val="single" w:sz="4" w:space="0" w:color="auto"/>
              <w:right w:val="single" w:sz="4" w:space="0" w:color="auto"/>
            </w:tcBorders>
            <w:shd w:val="clear" w:color="000000" w:fill="EBF1DE"/>
            <w:vAlign w:val="center"/>
            <w:hideMark/>
          </w:tcPr>
          <w:p w14:paraId="1B49F8F0" w14:textId="6A2C9E46"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13,96%</w:t>
            </w:r>
          </w:p>
        </w:tc>
      </w:tr>
      <w:tr w:rsidR="003C7C45" w:rsidRPr="00E21C60" w14:paraId="3BF05F0D" w14:textId="77777777" w:rsidTr="003C7C45">
        <w:trPr>
          <w:trHeight w:val="255"/>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48E7E6A6" w14:textId="77777777" w:rsidR="003C7C45" w:rsidRPr="00E21C60" w:rsidRDefault="003C7C45">
            <w:pPr>
              <w:rPr>
                <w:rFonts w:ascii="Arial" w:hAnsi="Arial" w:cs="Arial"/>
                <w:b/>
                <w:bCs/>
                <w:color w:val="000000"/>
                <w:sz w:val="16"/>
                <w:szCs w:val="16"/>
              </w:rPr>
            </w:pPr>
            <w:r w:rsidRPr="00E21C60">
              <w:rPr>
                <w:rFonts w:ascii="Arial" w:hAnsi="Arial" w:cs="Arial"/>
                <w:b/>
                <w:bCs/>
                <w:color w:val="000000"/>
                <w:sz w:val="16"/>
                <w:szCs w:val="16"/>
              </w:rPr>
              <w:t>Spolu</w:t>
            </w:r>
          </w:p>
        </w:tc>
        <w:tc>
          <w:tcPr>
            <w:tcW w:w="1480" w:type="dxa"/>
            <w:tcBorders>
              <w:top w:val="nil"/>
              <w:left w:val="nil"/>
              <w:bottom w:val="single" w:sz="4" w:space="0" w:color="auto"/>
              <w:right w:val="single" w:sz="4" w:space="0" w:color="auto"/>
            </w:tcBorders>
            <w:shd w:val="clear" w:color="000000" w:fill="EBF1DE"/>
            <w:vAlign w:val="center"/>
            <w:hideMark/>
          </w:tcPr>
          <w:p w14:paraId="03885855" w14:textId="1DB31D7E" w:rsidR="003C7C45" w:rsidRPr="003C7C45" w:rsidRDefault="003C7C45" w:rsidP="003C7C45">
            <w:pPr>
              <w:jc w:val="center"/>
              <w:rPr>
                <w:rFonts w:ascii="Arial" w:hAnsi="Arial" w:cs="Arial"/>
                <w:color w:val="000000"/>
                <w:sz w:val="16"/>
                <w:szCs w:val="16"/>
              </w:rPr>
            </w:pPr>
            <w:r w:rsidRPr="003C7C45">
              <w:rPr>
                <w:rFonts w:ascii="Arial" w:hAnsi="Arial" w:cs="Arial"/>
                <w:color w:val="000000"/>
                <w:sz w:val="16"/>
                <w:szCs w:val="16"/>
              </w:rPr>
              <w:t>799</w:t>
            </w:r>
          </w:p>
        </w:tc>
        <w:tc>
          <w:tcPr>
            <w:tcW w:w="1480" w:type="dxa"/>
            <w:tcBorders>
              <w:top w:val="nil"/>
              <w:left w:val="nil"/>
              <w:bottom w:val="single" w:sz="4" w:space="0" w:color="auto"/>
              <w:right w:val="single" w:sz="4" w:space="0" w:color="auto"/>
            </w:tcBorders>
            <w:shd w:val="clear" w:color="000000" w:fill="EBF1DE"/>
            <w:vAlign w:val="center"/>
            <w:hideMark/>
          </w:tcPr>
          <w:p w14:paraId="20B1692E" w14:textId="75F4C750" w:rsidR="003C7C45" w:rsidRPr="003C7C45" w:rsidRDefault="003C7C45" w:rsidP="00B039B7">
            <w:pPr>
              <w:jc w:val="center"/>
              <w:rPr>
                <w:rFonts w:ascii="Arial" w:hAnsi="Arial" w:cs="Arial"/>
                <w:color w:val="000000"/>
                <w:sz w:val="16"/>
                <w:szCs w:val="16"/>
              </w:rPr>
            </w:pPr>
            <w:r w:rsidRPr="003C7C45">
              <w:rPr>
                <w:rFonts w:ascii="Arial" w:hAnsi="Arial" w:cs="Arial"/>
                <w:color w:val="000000"/>
                <w:sz w:val="16"/>
                <w:szCs w:val="16"/>
              </w:rPr>
              <w:t>1 729 098 89</w:t>
            </w:r>
            <w:r w:rsidR="00B039B7">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000000" w:fill="EBF1DE"/>
            <w:vAlign w:val="center"/>
            <w:hideMark/>
          </w:tcPr>
          <w:p w14:paraId="511CDB4F" w14:textId="62117015"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59</w:t>
            </w:r>
          </w:p>
        </w:tc>
        <w:tc>
          <w:tcPr>
            <w:tcW w:w="1480" w:type="dxa"/>
            <w:tcBorders>
              <w:top w:val="nil"/>
              <w:left w:val="nil"/>
              <w:bottom w:val="single" w:sz="4" w:space="0" w:color="auto"/>
              <w:right w:val="single" w:sz="4" w:space="0" w:color="auto"/>
            </w:tcBorders>
            <w:shd w:val="clear" w:color="000000" w:fill="EBF1DE"/>
            <w:vAlign w:val="center"/>
            <w:hideMark/>
          </w:tcPr>
          <w:p w14:paraId="5B16381E" w14:textId="4A8F43B2"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143 005 51</w:t>
            </w:r>
            <w:r w:rsidR="00B039B7">
              <w:rPr>
                <w:rFonts w:ascii="Arial" w:hAnsi="Arial" w:cs="Arial"/>
                <w:color w:val="000000"/>
                <w:sz w:val="16"/>
                <w:szCs w:val="16"/>
              </w:rPr>
              <w:t>9</w:t>
            </w:r>
          </w:p>
        </w:tc>
        <w:tc>
          <w:tcPr>
            <w:tcW w:w="1480" w:type="dxa"/>
            <w:tcBorders>
              <w:top w:val="nil"/>
              <w:left w:val="nil"/>
              <w:bottom w:val="single" w:sz="4" w:space="0" w:color="auto"/>
              <w:right w:val="single" w:sz="4" w:space="0" w:color="auto"/>
            </w:tcBorders>
            <w:shd w:val="clear" w:color="000000" w:fill="EBF1DE"/>
            <w:vAlign w:val="center"/>
            <w:hideMark/>
          </w:tcPr>
          <w:p w14:paraId="7E73CF9B" w14:textId="2231676F" w:rsidR="003C7C45" w:rsidRPr="001934FE" w:rsidRDefault="003C7C45" w:rsidP="003C7C45">
            <w:pPr>
              <w:jc w:val="center"/>
              <w:rPr>
                <w:rFonts w:ascii="Arial" w:hAnsi="Arial" w:cs="Arial"/>
                <w:color w:val="000000"/>
                <w:sz w:val="16"/>
                <w:szCs w:val="16"/>
              </w:rPr>
            </w:pPr>
            <w:r w:rsidRPr="003C7C45">
              <w:rPr>
                <w:rFonts w:ascii="Arial" w:hAnsi="Arial" w:cs="Arial"/>
                <w:color w:val="000000"/>
                <w:sz w:val="16"/>
                <w:szCs w:val="16"/>
              </w:rPr>
              <w:t>8,27%</w:t>
            </w:r>
          </w:p>
        </w:tc>
      </w:tr>
    </w:tbl>
    <w:p w14:paraId="0F7B4560" w14:textId="77777777" w:rsidR="002416B1" w:rsidRPr="00E21C60" w:rsidRDefault="00000CC9" w:rsidP="00123376">
      <w:pPr>
        <w:tabs>
          <w:tab w:val="left" w:pos="1555"/>
        </w:tabs>
        <w:rPr>
          <w:rFonts w:ascii="Arial" w:hAnsi="Arial" w:cs="Arial"/>
          <w:sz w:val="16"/>
          <w:szCs w:val="16"/>
        </w:rPr>
      </w:pPr>
      <w:r w:rsidRPr="00123376">
        <w:rPr>
          <w:rFonts w:ascii="Arial" w:hAnsi="Arial" w:cs="Arial"/>
          <w:sz w:val="16"/>
          <w:szCs w:val="16"/>
        </w:rPr>
        <w:t>Zdroj: RO, ITMS</w:t>
      </w:r>
    </w:p>
    <w:p w14:paraId="07212A94" w14:textId="7FC7A06A" w:rsidR="00901B55" w:rsidRPr="00123376" w:rsidRDefault="00901B55" w:rsidP="00123376">
      <w:pPr>
        <w:tabs>
          <w:tab w:val="left" w:pos="1555"/>
        </w:tabs>
        <w:spacing w:after="120"/>
        <w:rPr>
          <w:rFonts w:ascii="Arial" w:hAnsi="Arial" w:cs="Arial"/>
          <w:sz w:val="16"/>
          <w:szCs w:val="16"/>
        </w:rPr>
      </w:pPr>
      <w:r w:rsidRPr="00E21C60">
        <w:rPr>
          <w:rFonts w:ascii="Arial" w:hAnsi="Arial" w:cs="Arial"/>
          <w:i/>
          <w:sz w:val="16"/>
          <w:szCs w:val="16"/>
        </w:rPr>
        <w:t xml:space="preserve">Pozn.: Suma zazmluvnených projektov </w:t>
      </w:r>
      <w:r w:rsidR="00E818D4">
        <w:rPr>
          <w:rFonts w:ascii="Arial" w:hAnsi="Arial" w:cs="Arial"/>
          <w:i/>
          <w:sz w:val="16"/>
          <w:szCs w:val="16"/>
        </w:rPr>
        <w:t>ne</w:t>
      </w:r>
      <w:r w:rsidRPr="00E21C60">
        <w:rPr>
          <w:rFonts w:ascii="Arial" w:hAnsi="Arial" w:cs="Arial"/>
          <w:i/>
          <w:sz w:val="16"/>
          <w:szCs w:val="16"/>
        </w:rPr>
        <w:t>zahŕňa  projekty, ktoré boli mimoriadne ukončené.</w:t>
      </w:r>
    </w:p>
    <w:p w14:paraId="1E6B13CF" w14:textId="3BE4E7F9" w:rsidR="008216A0" w:rsidRPr="00E21C60" w:rsidRDefault="002416B1" w:rsidP="00123376">
      <w:pPr>
        <w:spacing w:before="120" w:after="120"/>
        <w:jc w:val="both"/>
        <w:rPr>
          <w:rFonts w:ascii="Arial" w:hAnsi="Arial" w:cs="Arial"/>
          <w:sz w:val="20"/>
          <w:szCs w:val="20"/>
        </w:rPr>
      </w:pPr>
      <w:r w:rsidRPr="00E21C60">
        <w:rPr>
          <w:rFonts w:ascii="Arial" w:hAnsi="Arial" w:cs="Arial"/>
          <w:sz w:val="20"/>
          <w:szCs w:val="20"/>
        </w:rPr>
        <w:t>Je potrebné zdôrazniť, že v rámci OP ŽP i</w:t>
      </w:r>
      <w:r w:rsidR="00D55B0F">
        <w:rPr>
          <w:rFonts w:ascii="Arial" w:hAnsi="Arial" w:cs="Arial"/>
          <w:sz w:val="20"/>
          <w:szCs w:val="20"/>
        </w:rPr>
        <w:t>šlo</w:t>
      </w:r>
      <w:r w:rsidRPr="00E21C60">
        <w:rPr>
          <w:rFonts w:ascii="Arial" w:hAnsi="Arial" w:cs="Arial"/>
          <w:sz w:val="20"/>
          <w:szCs w:val="20"/>
        </w:rPr>
        <w:t xml:space="preserve"> o projekty s nepriamym dopadom na HP IS, keďže ich aktivity </w:t>
      </w:r>
      <w:r w:rsidR="00237CF0">
        <w:rPr>
          <w:rFonts w:ascii="Arial" w:hAnsi="Arial" w:cs="Arial"/>
          <w:sz w:val="20"/>
          <w:szCs w:val="20"/>
        </w:rPr>
        <w:t>neboli</w:t>
      </w:r>
      <w:r w:rsidRPr="00E21C60">
        <w:rPr>
          <w:rFonts w:ascii="Arial" w:hAnsi="Arial" w:cs="Arial"/>
          <w:sz w:val="20"/>
          <w:szCs w:val="20"/>
        </w:rPr>
        <w:t xml:space="preserve"> priamo orientované na informačnú spoločnosť a zazmluvnené prostriedky neb</w:t>
      </w:r>
      <w:r w:rsidR="00D55B0F">
        <w:rPr>
          <w:rFonts w:ascii="Arial" w:hAnsi="Arial" w:cs="Arial"/>
          <w:sz w:val="20"/>
          <w:szCs w:val="20"/>
        </w:rPr>
        <w:t>oli</w:t>
      </w:r>
      <w:r w:rsidRPr="00E21C60">
        <w:rPr>
          <w:rFonts w:ascii="Arial" w:hAnsi="Arial" w:cs="Arial"/>
          <w:sz w:val="20"/>
          <w:szCs w:val="20"/>
        </w:rPr>
        <w:t xml:space="preserve"> v</w:t>
      </w:r>
      <w:r w:rsidR="00780477" w:rsidRPr="00E21C60">
        <w:rPr>
          <w:rFonts w:ascii="Arial" w:hAnsi="Arial" w:cs="Arial"/>
          <w:sz w:val="20"/>
          <w:szCs w:val="20"/>
        </w:rPr>
        <w:t> </w:t>
      </w:r>
      <w:r w:rsidRPr="00E21C60">
        <w:rPr>
          <w:rFonts w:ascii="Arial" w:hAnsi="Arial" w:cs="Arial"/>
          <w:sz w:val="20"/>
          <w:szCs w:val="20"/>
        </w:rPr>
        <w:t>plnej</w:t>
      </w:r>
      <w:r w:rsidR="00780477" w:rsidRPr="00E21C60">
        <w:rPr>
          <w:rFonts w:ascii="Arial" w:hAnsi="Arial" w:cs="Arial"/>
          <w:sz w:val="20"/>
          <w:szCs w:val="20"/>
        </w:rPr>
        <w:t> </w:t>
      </w:r>
      <w:r w:rsidRPr="00E21C60">
        <w:rPr>
          <w:rFonts w:ascii="Arial" w:hAnsi="Arial" w:cs="Arial"/>
          <w:sz w:val="20"/>
          <w:szCs w:val="20"/>
        </w:rPr>
        <w:t>výške vynaložené na napĺňanie cieľov HP IS.</w:t>
      </w:r>
    </w:p>
    <w:p w14:paraId="0CE3ADD7" w14:textId="77777777" w:rsidR="00D91D6F" w:rsidRPr="00E21C60" w:rsidRDefault="00D91D6F" w:rsidP="00123376">
      <w:pPr>
        <w:spacing w:before="120" w:after="120"/>
        <w:jc w:val="both"/>
        <w:rPr>
          <w:rFonts w:ascii="Arial" w:hAnsi="Arial" w:cs="Arial"/>
          <w:sz w:val="20"/>
          <w:szCs w:val="20"/>
        </w:rPr>
      </w:pPr>
      <w:r w:rsidRPr="00E21C60">
        <w:rPr>
          <w:rFonts w:ascii="Arial" w:hAnsi="Arial" w:cs="Arial"/>
          <w:sz w:val="20"/>
          <w:szCs w:val="20"/>
        </w:rPr>
        <w:t xml:space="preserve">Nasledujúca tabuľka uvádza jednotlivé prioritné osi a stav plnenia vybraných indikátorov, pri ktorých </w:t>
      </w:r>
      <w:r w:rsidRPr="00156A00">
        <w:rPr>
          <w:rFonts w:ascii="Arial" w:hAnsi="Arial" w:cs="Arial"/>
          <w:sz w:val="20"/>
          <w:szCs w:val="20"/>
        </w:rPr>
        <w:t>bol identifikovaný príspevok k HP IS.</w:t>
      </w:r>
    </w:p>
    <w:p w14:paraId="1590C914" w14:textId="6EECCC18" w:rsidR="002416B1" w:rsidRPr="00E21C60" w:rsidRDefault="002416B1" w:rsidP="00B3318E">
      <w:pPr>
        <w:rPr>
          <w:rFonts w:ascii="Arial" w:hAnsi="Arial" w:cs="Arial"/>
          <w:sz w:val="20"/>
          <w:szCs w:val="20"/>
        </w:rPr>
      </w:pPr>
      <w:r w:rsidRPr="00156A00">
        <w:rPr>
          <w:rFonts w:ascii="Arial" w:hAnsi="Arial" w:cs="Arial"/>
          <w:sz w:val="20"/>
          <w:szCs w:val="20"/>
        </w:rPr>
        <w:lastRenderedPageBreak/>
        <w:t>Tab</w:t>
      </w:r>
      <w:r w:rsidR="00DD2EDC" w:rsidRPr="00156A00">
        <w:rPr>
          <w:rFonts w:ascii="Arial" w:hAnsi="Arial" w:cs="Arial"/>
          <w:sz w:val="20"/>
          <w:szCs w:val="20"/>
        </w:rPr>
        <w:t>uľka</w:t>
      </w:r>
      <w:r w:rsidRPr="00156A00">
        <w:rPr>
          <w:rFonts w:ascii="Arial" w:hAnsi="Arial" w:cs="Arial"/>
          <w:sz w:val="20"/>
          <w:szCs w:val="20"/>
        </w:rPr>
        <w:t xml:space="preserve"> č. </w:t>
      </w:r>
      <w:r w:rsidR="005F03D4">
        <w:rPr>
          <w:rFonts w:ascii="Arial" w:hAnsi="Arial" w:cs="Arial"/>
          <w:sz w:val="20"/>
          <w:szCs w:val="20"/>
        </w:rPr>
        <w:t>7</w:t>
      </w:r>
      <w:r w:rsidR="007B1CB9">
        <w:rPr>
          <w:rFonts w:ascii="Arial" w:hAnsi="Arial" w:cs="Arial"/>
          <w:sz w:val="20"/>
          <w:szCs w:val="20"/>
        </w:rPr>
        <w:t>6</w:t>
      </w:r>
      <w:r w:rsidRPr="00156A00">
        <w:rPr>
          <w:rFonts w:ascii="Arial" w:hAnsi="Arial" w:cs="Arial"/>
          <w:sz w:val="20"/>
          <w:szCs w:val="20"/>
        </w:rPr>
        <w:t>: Plnenie fyzických ukazovateľov HP IS na úrovni prioritn</w:t>
      </w:r>
      <w:r w:rsidR="007B309F" w:rsidRPr="00156A00">
        <w:rPr>
          <w:rFonts w:ascii="Arial" w:hAnsi="Arial" w:cs="Arial"/>
          <w:sz w:val="20"/>
          <w:szCs w:val="20"/>
        </w:rPr>
        <w:t xml:space="preserve">ej </w:t>
      </w:r>
      <w:r w:rsidR="006A03EF" w:rsidRPr="00156A00">
        <w:rPr>
          <w:rFonts w:ascii="Arial" w:hAnsi="Arial" w:cs="Arial"/>
          <w:sz w:val="20"/>
          <w:szCs w:val="20"/>
        </w:rPr>
        <w:t>os</w:t>
      </w:r>
      <w:r w:rsidR="007B309F" w:rsidRPr="00156A00">
        <w:rPr>
          <w:rFonts w:ascii="Arial" w:hAnsi="Arial" w:cs="Arial"/>
          <w:sz w:val="20"/>
          <w:szCs w:val="20"/>
        </w:rPr>
        <w:t>i</w:t>
      </w:r>
      <w:r w:rsidRPr="00156A00">
        <w:rPr>
          <w:rFonts w:ascii="Arial" w:hAnsi="Arial" w:cs="Arial"/>
          <w:sz w:val="20"/>
          <w:szCs w:val="20"/>
        </w:rPr>
        <w:t xml:space="preserve"> k 31.1</w:t>
      </w:r>
      <w:r w:rsidR="008655C6">
        <w:rPr>
          <w:rFonts w:ascii="Arial" w:hAnsi="Arial" w:cs="Arial"/>
          <w:sz w:val="20"/>
          <w:szCs w:val="20"/>
        </w:rPr>
        <w:t>0</w:t>
      </w:r>
      <w:r w:rsidRPr="00156A00">
        <w:rPr>
          <w:rFonts w:ascii="Arial" w:hAnsi="Arial" w:cs="Arial"/>
          <w:sz w:val="20"/>
          <w:szCs w:val="20"/>
        </w:rPr>
        <w:t>.</w:t>
      </w:r>
      <w:r w:rsidR="00156A00" w:rsidRPr="00156A00">
        <w:rPr>
          <w:rFonts w:ascii="Arial" w:hAnsi="Arial" w:cs="Arial"/>
          <w:sz w:val="20"/>
          <w:szCs w:val="20"/>
        </w:rPr>
        <w:t>201</w:t>
      </w:r>
      <w:r w:rsidR="008655C6">
        <w:rPr>
          <w:rFonts w:ascii="Arial" w:hAnsi="Arial" w:cs="Arial"/>
          <w:sz w:val="20"/>
          <w:szCs w:val="20"/>
        </w:rPr>
        <w:t>6</w:t>
      </w:r>
    </w:p>
    <w:tbl>
      <w:tblPr>
        <w:tblW w:w="9087" w:type="dxa"/>
        <w:tblInd w:w="55" w:type="dxa"/>
        <w:tblLayout w:type="fixed"/>
        <w:tblCellMar>
          <w:left w:w="70" w:type="dxa"/>
          <w:right w:w="70" w:type="dxa"/>
        </w:tblCellMar>
        <w:tblLook w:val="04A0" w:firstRow="1" w:lastRow="0" w:firstColumn="1" w:lastColumn="0" w:noHBand="0" w:noVBand="1"/>
      </w:tblPr>
      <w:tblGrid>
        <w:gridCol w:w="1906"/>
        <w:gridCol w:w="959"/>
        <w:gridCol w:w="500"/>
        <w:gridCol w:w="500"/>
        <w:gridCol w:w="500"/>
        <w:gridCol w:w="500"/>
        <w:gridCol w:w="500"/>
        <w:gridCol w:w="500"/>
        <w:gridCol w:w="500"/>
        <w:gridCol w:w="500"/>
        <w:gridCol w:w="500"/>
        <w:gridCol w:w="588"/>
        <w:gridCol w:w="1134"/>
      </w:tblGrid>
      <w:tr w:rsidR="00DD2EDC" w:rsidRPr="00E21C60" w14:paraId="6093865A" w14:textId="77777777" w:rsidTr="007D7B08">
        <w:trPr>
          <w:trHeight w:val="450"/>
        </w:trPr>
        <w:tc>
          <w:tcPr>
            <w:tcW w:w="2865" w:type="dxa"/>
            <w:gridSpan w:val="2"/>
            <w:tcBorders>
              <w:top w:val="single" w:sz="8" w:space="0" w:color="auto"/>
              <w:left w:val="single" w:sz="8" w:space="0" w:color="auto"/>
              <w:bottom w:val="single" w:sz="8" w:space="0" w:color="auto"/>
              <w:right w:val="single" w:sz="8" w:space="0" w:color="000000"/>
            </w:tcBorders>
            <w:shd w:val="clear" w:color="auto" w:fill="C2D69B" w:themeFill="accent3" w:themeFillTint="99"/>
            <w:vAlign w:val="center"/>
            <w:hideMark/>
          </w:tcPr>
          <w:p w14:paraId="6E7ED20A"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Ukazovatele</w:t>
            </w:r>
          </w:p>
        </w:tc>
        <w:tc>
          <w:tcPr>
            <w:tcW w:w="500" w:type="dxa"/>
            <w:tcBorders>
              <w:top w:val="single" w:sz="8" w:space="0" w:color="auto"/>
              <w:left w:val="nil"/>
              <w:bottom w:val="nil"/>
              <w:right w:val="single" w:sz="8" w:space="0" w:color="auto"/>
            </w:tcBorders>
            <w:shd w:val="clear" w:color="auto" w:fill="C2D69B" w:themeFill="accent3" w:themeFillTint="99"/>
            <w:vAlign w:val="center"/>
            <w:hideMark/>
          </w:tcPr>
          <w:p w14:paraId="124CB84E"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2007</w:t>
            </w:r>
          </w:p>
        </w:tc>
        <w:tc>
          <w:tcPr>
            <w:tcW w:w="500" w:type="dxa"/>
            <w:tcBorders>
              <w:top w:val="single" w:sz="8" w:space="0" w:color="auto"/>
              <w:left w:val="nil"/>
              <w:bottom w:val="nil"/>
              <w:right w:val="single" w:sz="8" w:space="0" w:color="auto"/>
            </w:tcBorders>
            <w:shd w:val="clear" w:color="auto" w:fill="C2D69B" w:themeFill="accent3" w:themeFillTint="99"/>
            <w:vAlign w:val="center"/>
            <w:hideMark/>
          </w:tcPr>
          <w:p w14:paraId="244746C1"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2008</w:t>
            </w:r>
          </w:p>
        </w:tc>
        <w:tc>
          <w:tcPr>
            <w:tcW w:w="500" w:type="dxa"/>
            <w:tcBorders>
              <w:top w:val="single" w:sz="8" w:space="0" w:color="auto"/>
              <w:left w:val="nil"/>
              <w:bottom w:val="nil"/>
              <w:right w:val="single" w:sz="8" w:space="0" w:color="auto"/>
            </w:tcBorders>
            <w:shd w:val="clear" w:color="auto" w:fill="C2D69B" w:themeFill="accent3" w:themeFillTint="99"/>
            <w:vAlign w:val="center"/>
            <w:hideMark/>
          </w:tcPr>
          <w:p w14:paraId="5D72195A"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2009</w:t>
            </w:r>
          </w:p>
        </w:tc>
        <w:tc>
          <w:tcPr>
            <w:tcW w:w="500" w:type="dxa"/>
            <w:tcBorders>
              <w:top w:val="single" w:sz="8" w:space="0" w:color="auto"/>
              <w:left w:val="nil"/>
              <w:bottom w:val="nil"/>
              <w:right w:val="single" w:sz="8" w:space="0" w:color="auto"/>
            </w:tcBorders>
            <w:shd w:val="clear" w:color="auto" w:fill="C2D69B" w:themeFill="accent3" w:themeFillTint="99"/>
            <w:vAlign w:val="center"/>
            <w:hideMark/>
          </w:tcPr>
          <w:p w14:paraId="7D437738"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2010</w:t>
            </w:r>
          </w:p>
        </w:tc>
        <w:tc>
          <w:tcPr>
            <w:tcW w:w="500" w:type="dxa"/>
            <w:tcBorders>
              <w:top w:val="single" w:sz="8" w:space="0" w:color="auto"/>
              <w:left w:val="nil"/>
              <w:bottom w:val="nil"/>
              <w:right w:val="single" w:sz="8" w:space="0" w:color="auto"/>
            </w:tcBorders>
            <w:shd w:val="clear" w:color="auto" w:fill="C2D69B" w:themeFill="accent3" w:themeFillTint="99"/>
            <w:vAlign w:val="center"/>
            <w:hideMark/>
          </w:tcPr>
          <w:p w14:paraId="2041A445"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2011</w:t>
            </w:r>
          </w:p>
        </w:tc>
        <w:tc>
          <w:tcPr>
            <w:tcW w:w="500" w:type="dxa"/>
            <w:tcBorders>
              <w:top w:val="single" w:sz="8" w:space="0" w:color="auto"/>
              <w:left w:val="nil"/>
              <w:bottom w:val="nil"/>
              <w:right w:val="single" w:sz="8" w:space="0" w:color="auto"/>
            </w:tcBorders>
            <w:shd w:val="clear" w:color="auto" w:fill="C2D69B" w:themeFill="accent3" w:themeFillTint="99"/>
            <w:vAlign w:val="center"/>
            <w:hideMark/>
          </w:tcPr>
          <w:p w14:paraId="1147A789"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2012</w:t>
            </w:r>
          </w:p>
        </w:tc>
        <w:tc>
          <w:tcPr>
            <w:tcW w:w="500" w:type="dxa"/>
            <w:tcBorders>
              <w:top w:val="single" w:sz="8" w:space="0" w:color="auto"/>
              <w:left w:val="nil"/>
              <w:bottom w:val="nil"/>
              <w:right w:val="single" w:sz="8" w:space="0" w:color="auto"/>
            </w:tcBorders>
            <w:shd w:val="clear" w:color="auto" w:fill="C2D69B" w:themeFill="accent3" w:themeFillTint="99"/>
            <w:vAlign w:val="center"/>
            <w:hideMark/>
          </w:tcPr>
          <w:p w14:paraId="04F2FCA7"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2013</w:t>
            </w:r>
          </w:p>
        </w:tc>
        <w:tc>
          <w:tcPr>
            <w:tcW w:w="500" w:type="dxa"/>
            <w:tcBorders>
              <w:top w:val="single" w:sz="8" w:space="0" w:color="auto"/>
              <w:left w:val="nil"/>
              <w:bottom w:val="nil"/>
              <w:right w:val="single" w:sz="8" w:space="0" w:color="auto"/>
            </w:tcBorders>
            <w:shd w:val="clear" w:color="auto" w:fill="C2D69B" w:themeFill="accent3" w:themeFillTint="99"/>
            <w:vAlign w:val="center"/>
            <w:hideMark/>
          </w:tcPr>
          <w:p w14:paraId="78D349E3"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2014</w:t>
            </w:r>
          </w:p>
        </w:tc>
        <w:tc>
          <w:tcPr>
            <w:tcW w:w="500" w:type="dxa"/>
            <w:tcBorders>
              <w:top w:val="single" w:sz="8" w:space="0" w:color="auto"/>
              <w:left w:val="nil"/>
              <w:bottom w:val="nil"/>
              <w:right w:val="single" w:sz="8" w:space="0" w:color="auto"/>
            </w:tcBorders>
            <w:shd w:val="clear" w:color="auto" w:fill="C2D69B" w:themeFill="accent3" w:themeFillTint="99"/>
            <w:vAlign w:val="center"/>
            <w:hideMark/>
          </w:tcPr>
          <w:p w14:paraId="5CC684A5"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2015</w:t>
            </w:r>
          </w:p>
        </w:tc>
        <w:tc>
          <w:tcPr>
            <w:tcW w:w="588" w:type="dxa"/>
            <w:tcBorders>
              <w:top w:val="single" w:sz="8" w:space="0" w:color="auto"/>
              <w:left w:val="nil"/>
              <w:bottom w:val="nil"/>
              <w:right w:val="single" w:sz="8" w:space="0" w:color="auto"/>
            </w:tcBorders>
            <w:shd w:val="clear" w:color="auto" w:fill="C2D69B" w:themeFill="accent3" w:themeFillTint="99"/>
            <w:vAlign w:val="center"/>
            <w:hideMark/>
          </w:tcPr>
          <w:p w14:paraId="46DB9F75"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Spolu</w:t>
            </w:r>
          </w:p>
        </w:tc>
        <w:tc>
          <w:tcPr>
            <w:tcW w:w="1134" w:type="dxa"/>
            <w:tcBorders>
              <w:top w:val="single" w:sz="8" w:space="0" w:color="auto"/>
              <w:left w:val="nil"/>
              <w:bottom w:val="nil"/>
              <w:right w:val="single" w:sz="8" w:space="0" w:color="auto"/>
            </w:tcBorders>
            <w:shd w:val="clear" w:color="auto" w:fill="C2D69B" w:themeFill="accent3" w:themeFillTint="99"/>
            <w:vAlign w:val="center"/>
            <w:hideMark/>
          </w:tcPr>
          <w:p w14:paraId="72812C75" w14:textId="77777777" w:rsidR="00DD2EDC" w:rsidRPr="00E21C60" w:rsidRDefault="00DD2EDC">
            <w:pPr>
              <w:jc w:val="center"/>
              <w:rPr>
                <w:rFonts w:ascii="Arial" w:hAnsi="Arial" w:cs="Arial"/>
                <w:b/>
                <w:bCs/>
                <w:color w:val="000000"/>
                <w:sz w:val="16"/>
                <w:szCs w:val="16"/>
              </w:rPr>
            </w:pPr>
            <w:r w:rsidRPr="00E21C60">
              <w:rPr>
                <w:rFonts w:ascii="Arial" w:hAnsi="Arial" w:cs="Arial"/>
                <w:b/>
                <w:bCs/>
                <w:color w:val="000000"/>
                <w:sz w:val="16"/>
                <w:szCs w:val="16"/>
              </w:rPr>
              <w:t>Komentár</w:t>
            </w:r>
            <w:r w:rsidRPr="00E21C60">
              <w:rPr>
                <w:rFonts w:ascii="Arial" w:hAnsi="Arial" w:cs="Arial"/>
                <w:b/>
                <w:bCs/>
                <w:color w:val="000000"/>
                <w:sz w:val="16"/>
                <w:szCs w:val="16"/>
                <w:vertAlign w:val="superscript"/>
              </w:rPr>
              <w:t>1</w:t>
            </w:r>
          </w:p>
        </w:tc>
      </w:tr>
      <w:tr w:rsidR="00DD2EDC" w:rsidRPr="00E21C60" w14:paraId="18BC5975" w14:textId="77777777" w:rsidTr="00123376">
        <w:trPr>
          <w:trHeight w:val="360"/>
        </w:trPr>
        <w:tc>
          <w:tcPr>
            <w:tcW w:w="9087" w:type="dxa"/>
            <w:gridSpan w:val="13"/>
            <w:tcBorders>
              <w:top w:val="single" w:sz="8" w:space="0" w:color="auto"/>
              <w:left w:val="single" w:sz="8" w:space="0" w:color="auto"/>
              <w:bottom w:val="single" w:sz="8" w:space="0" w:color="auto"/>
              <w:right w:val="single" w:sz="8" w:space="0" w:color="000000"/>
            </w:tcBorders>
            <w:shd w:val="clear" w:color="000000" w:fill="EAF1DD"/>
            <w:noWrap/>
            <w:vAlign w:val="center"/>
            <w:hideMark/>
          </w:tcPr>
          <w:p w14:paraId="169622A9" w14:textId="77777777" w:rsidR="00DD2EDC" w:rsidRPr="00E21C60" w:rsidRDefault="00DD2EDC">
            <w:pPr>
              <w:rPr>
                <w:rFonts w:ascii="Arial" w:hAnsi="Arial" w:cs="Arial"/>
                <w:b/>
                <w:bCs/>
                <w:color w:val="000000"/>
                <w:sz w:val="16"/>
                <w:szCs w:val="16"/>
              </w:rPr>
            </w:pPr>
            <w:r w:rsidRPr="00E21C60">
              <w:rPr>
                <w:rFonts w:ascii="Arial" w:hAnsi="Arial" w:cs="Arial"/>
                <w:b/>
                <w:bCs/>
                <w:color w:val="000000"/>
                <w:sz w:val="16"/>
                <w:szCs w:val="16"/>
              </w:rPr>
              <w:t>Prioritná os 3 - Ochrana ovzdušia a minimalizácia nepriaznivých vplyvov zmeny klímy</w:t>
            </w:r>
          </w:p>
        </w:tc>
      </w:tr>
      <w:tr w:rsidR="00DD2EDC" w:rsidRPr="00E21C60" w14:paraId="0417EDCD" w14:textId="77777777" w:rsidTr="00123376">
        <w:trPr>
          <w:trHeight w:val="555"/>
        </w:trPr>
        <w:tc>
          <w:tcPr>
            <w:tcW w:w="1906" w:type="dxa"/>
            <w:vMerge w:val="restart"/>
            <w:tcBorders>
              <w:top w:val="nil"/>
              <w:left w:val="single" w:sz="8" w:space="0" w:color="auto"/>
              <w:bottom w:val="single" w:sz="8" w:space="0" w:color="000000"/>
              <w:right w:val="single" w:sz="8" w:space="0" w:color="auto"/>
            </w:tcBorders>
            <w:shd w:val="clear" w:color="000000" w:fill="EBF1DE"/>
            <w:vAlign w:val="center"/>
            <w:hideMark/>
          </w:tcPr>
          <w:p w14:paraId="0CC0897E"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Počet zmodernizovaných a novo nainštalovaných monitorovacích staníc Národnej monitorovacej siete kvality ovzdušia [počet] - výsledok</w:t>
            </w:r>
          </w:p>
        </w:tc>
        <w:tc>
          <w:tcPr>
            <w:tcW w:w="959" w:type="dxa"/>
            <w:tcBorders>
              <w:top w:val="nil"/>
              <w:left w:val="nil"/>
              <w:bottom w:val="nil"/>
              <w:right w:val="single" w:sz="8" w:space="0" w:color="auto"/>
            </w:tcBorders>
            <w:shd w:val="clear" w:color="auto" w:fill="auto"/>
            <w:vAlign w:val="center"/>
            <w:hideMark/>
          </w:tcPr>
          <w:p w14:paraId="51674BCA"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Dosiahnutý výsledok</w:t>
            </w:r>
          </w:p>
        </w:tc>
        <w:tc>
          <w:tcPr>
            <w:tcW w:w="500" w:type="dxa"/>
            <w:tcBorders>
              <w:top w:val="nil"/>
              <w:left w:val="nil"/>
              <w:bottom w:val="dotted" w:sz="4" w:space="0" w:color="auto"/>
              <w:right w:val="dotted" w:sz="4" w:space="0" w:color="auto"/>
            </w:tcBorders>
            <w:shd w:val="clear" w:color="auto" w:fill="auto"/>
            <w:vAlign w:val="center"/>
            <w:hideMark/>
          </w:tcPr>
          <w:p w14:paraId="02D353E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0045D43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11EB87B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13C275B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27</w:t>
            </w:r>
          </w:p>
        </w:tc>
        <w:tc>
          <w:tcPr>
            <w:tcW w:w="500" w:type="dxa"/>
            <w:tcBorders>
              <w:top w:val="nil"/>
              <w:left w:val="nil"/>
              <w:bottom w:val="dotted" w:sz="4" w:space="0" w:color="auto"/>
              <w:right w:val="dotted" w:sz="4" w:space="0" w:color="auto"/>
            </w:tcBorders>
            <w:shd w:val="clear" w:color="auto" w:fill="auto"/>
            <w:vAlign w:val="center"/>
            <w:hideMark/>
          </w:tcPr>
          <w:p w14:paraId="262B52F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27</w:t>
            </w:r>
          </w:p>
        </w:tc>
        <w:tc>
          <w:tcPr>
            <w:tcW w:w="500" w:type="dxa"/>
            <w:tcBorders>
              <w:top w:val="nil"/>
              <w:left w:val="nil"/>
              <w:bottom w:val="dotted" w:sz="4" w:space="0" w:color="auto"/>
              <w:right w:val="dotted" w:sz="4" w:space="0" w:color="auto"/>
            </w:tcBorders>
            <w:shd w:val="clear" w:color="auto" w:fill="auto"/>
            <w:vAlign w:val="center"/>
            <w:hideMark/>
          </w:tcPr>
          <w:p w14:paraId="671B756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27</w:t>
            </w:r>
          </w:p>
        </w:tc>
        <w:tc>
          <w:tcPr>
            <w:tcW w:w="500" w:type="dxa"/>
            <w:tcBorders>
              <w:top w:val="nil"/>
              <w:left w:val="nil"/>
              <w:bottom w:val="dotted" w:sz="4" w:space="0" w:color="auto"/>
              <w:right w:val="dotted" w:sz="4" w:space="0" w:color="auto"/>
            </w:tcBorders>
            <w:shd w:val="clear" w:color="auto" w:fill="auto"/>
            <w:vAlign w:val="center"/>
            <w:hideMark/>
          </w:tcPr>
          <w:p w14:paraId="23739A7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27</w:t>
            </w:r>
          </w:p>
        </w:tc>
        <w:tc>
          <w:tcPr>
            <w:tcW w:w="500" w:type="dxa"/>
            <w:tcBorders>
              <w:top w:val="nil"/>
              <w:left w:val="nil"/>
              <w:bottom w:val="dotted" w:sz="4" w:space="0" w:color="auto"/>
              <w:right w:val="dotted" w:sz="4" w:space="0" w:color="auto"/>
            </w:tcBorders>
            <w:shd w:val="clear" w:color="auto" w:fill="auto"/>
            <w:vAlign w:val="center"/>
            <w:hideMark/>
          </w:tcPr>
          <w:p w14:paraId="24F92A29" w14:textId="362137EC" w:rsidR="00DD2EDC" w:rsidRPr="00E21C60" w:rsidRDefault="002321B9">
            <w:pPr>
              <w:jc w:val="center"/>
              <w:rPr>
                <w:rFonts w:ascii="Arial" w:hAnsi="Arial" w:cs="Arial"/>
                <w:color w:val="000000"/>
                <w:sz w:val="16"/>
                <w:szCs w:val="16"/>
              </w:rPr>
            </w:pPr>
            <w:r>
              <w:rPr>
                <w:rFonts w:ascii="Arial" w:hAnsi="Arial" w:cs="Arial"/>
                <w:color w:val="000000"/>
                <w:sz w:val="16"/>
                <w:szCs w:val="16"/>
              </w:rPr>
              <w:t>27</w:t>
            </w:r>
          </w:p>
        </w:tc>
        <w:tc>
          <w:tcPr>
            <w:tcW w:w="500" w:type="dxa"/>
            <w:tcBorders>
              <w:top w:val="nil"/>
              <w:left w:val="nil"/>
              <w:bottom w:val="dotted" w:sz="4" w:space="0" w:color="auto"/>
              <w:right w:val="dotted" w:sz="4" w:space="0" w:color="auto"/>
            </w:tcBorders>
            <w:shd w:val="clear" w:color="auto" w:fill="auto"/>
            <w:vAlign w:val="center"/>
            <w:hideMark/>
          </w:tcPr>
          <w:p w14:paraId="05D32E74" w14:textId="61B09013" w:rsidR="00DD2EDC" w:rsidRPr="00E21C60" w:rsidRDefault="00A56FD1">
            <w:pPr>
              <w:jc w:val="center"/>
              <w:rPr>
                <w:rFonts w:ascii="Arial" w:hAnsi="Arial" w:cs="Arial"/>
                <w:color w:val="000000"/>
                <w:sz w:val="16"/>
                <w:szCs w:val="16"/>
              </w:rPr>
            </w:pPr>
            <w:r>
              <w:rPr>
                <w:rFonts w:ascii="Arial" w:hAnsi="Arial" w:cs="Arial"/>
                <w:color w:val="000000"/>
                <w:sz w:val="16"/>
                <w:szCs w:val="16"/>
              </w:rPr>
              <w:t>35</w:t>
            </w:r>
          </w:p>
        </w:tc>
        <w:tc>
          <w:tcPr>
            <w:tcW w:w="588" w:type="dxa"/>
            <w:tcBorders>
              <w:top w:val="nil"/>
              <w:left w:val="nil"/>
              <w:bottom w:val="dotted" w:sz="4" w:space="0" w:color="auto"/>
              <w:right w:val="dotted" w:sz="4" w:space="0" w:color="auto"/>
            </w:tcBorders>
            <w:shd w:val="clear" w:color="auto" w:fill="auto"/>
            <w:vAlign w:val="center"/>
            <w:hideMark/>
          </w:tcPr>
          <w:p w14:paraId="11A9DD87" w14:textId="4D941B51" w:rsidR="00DD2EDC" w:rsidRPr="00E21C60" w:rsidRDefault="00A56FD1" w:rsidP="00A56FD1">
            <w:pPr>
              <w:jc w:val="center"/>
              <w:rPr>
                <w:rFonts w:ascii="Arial" w:hAnsi="Arial" w:cs="Arial"/>
                <w:color w:val="000000"/>
                <w:sz w:val="16"/>
                <w:szCs w:val="16"/>
              </w:rPr>
            </w:pPr>
            <w:r>
              <w:rPr>
                <w:rFonts w:ascii="Arial" w:hAnsi="Arial" w:cs="Arial"/>
                <w:color w:val="000000"/>
                <w:sz w:val="16"/>
                <w:szCs w:val="16"/>
              </w:rPr>
              <w:t>35</w:t>
            </w:r>
          </w:p>
        </w:tc>
        <w:tc>
          <w:tcPr>
            <w:tcW w:w="1134" w:type="dxa"/>
            <w:tcBorders>
              <w:top w:val="nil"/>
              <w:left w:val="nil"/>
              <w:bottom w:val="dotted" w:sz="4" w:space="0" w:color="auto"/>
              <w:right w:val="single" w:sz="8" w:space="0" w:color="auto"/>
            </w:tcBorders>
            <w:shd w:val="clear" w:color="auto" w:fill="auto"/>
            <w:vAlign w:val="center"/>
            <w:hideMark/>
          </w:tcPr>
          <w:p w14:paraId="3CA43F2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18131281"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250A8626" w14:textId="77777777" w:rsidR="00DD2EDC" w:rsidRPr="00E21C60" w:rsidRDefault="00DD2EDC">
            <w:pPr>
              <w:rPr>
                <w:rFonts w:ascii="Arial" w:hAnsi="Arial" w:cs="Arial"/>
                <w:color w:val="000000"/>
                <w:sz w:val="16"/>
                <w:szCs w:val="16"/>
              </w:rPr>
            </w:pPr>
          </w:p>
        </w:tc>
        <w:tc>
          <w:tcPr>
            <w:tcW w:w="959" w:type="dxa"/>
            <w:tcBorders>
              <w:top w:val="dotted" w:sz="4" w:space="0" w:color="auto"/>
              <w:left w:val="nil"/>
              <w:bottom w:val="dotted" w:sz="4" w:space="0" w:color="auto"/>
              <w:right w:val="single" w:sz="8" w:space="0" w:color="auto"/>
            </w:tcBorders>
            <w:shd w:val="clear" w:color="auto" w:fill="auto"/>
            <w:vAlign w:val="center"/>
            <w:hideMark/>
          </w:tcPr>
          <w:p w14:paraId="1FC92DE2"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Cieľ</w:t>
            </w:r>
          </w:p>
        </w:tc>
        <w:tc>
          <w:tcPr>
            <w:tcW w:w="500" w:type="dxa"/>
            <w:tcBorders>
              <w:top w:val="nil"/>
              <w:left w:val="nil"/>
              <w:bottom w:val="dotted" w:sz="4" w:space="0" w:color="auto"/>
              <w:right w:val="dotted" w:sz="4" w:space="0" w:color="auto"/>
            </w:tcBorders>
            <w:shd w:val="clear" w:color="auto" w:fill="auto"/>
            <w:vAlign w:val="center"/>
            <w:hideMark/>
          </w:tcPr>
          <w:p w14:paraId="03F1F4E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744DAF9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635613F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7849AC8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3D6D5652"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26954B2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4870D5F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2BCCFA1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71A2EEE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25</w:t>
            </w:r>
          </w:p>
        </w:tc>
        <w:tc>
          <w:tcPr>
            <w:tcW w:w="588" w:type="dxa"/>
            <w:tcBorders>
              <w:top w:val="nil"/>
              <w:left w:val="nil"/>
              <w:bottom w:val="dotted" w:sz="4" w:space="0" w:color="auto"/>
              <w:right w:val="dotted" w:sz="4" w:space="0" w:color="auto"/>
            </w:tcBorders>
            <w:shd w:val="clear" w:color="auto" w:fill="auto"/>
            <w:vAlign w:val="center"/>
            <w:hideMark/>
          </w:tcPr>
          <w:p w14:paraId="12B46772"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25</w:t>
            </w:r>
          </w:p>
        </w:tc>
        <w:tc>
          <w:tcPr>
            <w:tcW w:w="1134" w:type="dxa"/>
            <w:tcBorders>
              <w:top w:val="nil"/>
              <w:left w:val="nil"/>
              <w:bottom w:val="dotted" w:sz="4" w:space="0" w:color="auto"/>
              <w:right w:val="single" w:sz="8" w:space="0" w:color="auto"/>
            </w:tcBorders>
            <w:shd w:val="clear" w:color="auto" w:fill="auto"/>
            <w:vAlign w:val="center"/>
            <w:hideMark/>
          </w:tcPr>
          <w:p w14:paraId="2DF12B3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27</w:t>
            </w:r>
          </w:p>
        </w:tc>
      </w:tr>
      <w:tr w:rsidR="00DD2EDC" w:rsidRPr="00E21C60" w14:paraId="44078859"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2EB9A393" w14:textId="77777777" w:rsidR="00DD2EDC" w:rsidRPr="00E21C60" w:rsidRDefault="00DD2EDC">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22C50789"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Východisko</w:t>
            </w:r>
          </w:p>
        </w:tc>
        <w:tc>
          <w:tcPr>
            <w:tcW w:w="500" w:type="dxa"/>
            <w:tcBorders>
              <w:top w:val="nil"/>
              <w:left w:val="nil"/>
              <w:bottom w:val="single" w:sz="8" w:space="0" w:color="auto"/>
              <w:right w:val="dotted" w:sz="4" w:space="0" w:color="auto"/>
            </w:tcBorders>
            <w:shd w:val="clear" w:color="auto" w:fill="auto"/>
            <w:vAlign w:val="center"/>
            <w:hideMark/>
          </w:tcPr>
          <w:p w14:paraId="7BBED10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single" w:sz="8" w:space="0" w:color="auto"/>
              <w:right w:val="dotted" w:sz="4" w:space="0" w:color="auto"/>
            </w:tcBorders>
            <w:shd w:val="clear" w:color="auto" w:fill="auto"/>
            <w:vAlign w:val="center"/>
            <w:hideMark/>
          </w:tcPr>
          <w:p w14:paraId="62661DE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29747C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0A82FC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4F3D7A0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4801B4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41A2983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15B5EBF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7F29495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88" w:type="dxa"/>
            <w:tcBorders>
              <w:top w:val="nil"/>
              <w:left w:val="nil"/>
              <w:bottom w:val="single" w:sz="8" w:space="0" w:color="auto"/>
              <w:right w:val="dotted" w:sz="4" w:space="0" w:color="auto"/>
            </w:tcBorders>
            <w:shd w:val="clear" w:color="auto" w:fill="auto"/>
            <w:vAlign w:val="center"/>
            <w:hideMark/>
          </w:tcPr>
          <w:p w14:paraId="6DEFE28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1134" w:type="dxa"/>
            <w:tcBorders>
              <w:top w:val="nil"/>
              <w:left w:val="nil"/>
              <w:bottom w:val="single" w:sz="8" w:space="0" w:color="auto"/>
              <w:right w:val="single" w:sz="8" w:space="0" w:color="auto"/>
            </w:tcBorders>
            <w:shd w:val="clear" w:color="auto" w:fill="auto"/>
            <w:vAlign w:val="center"/>
            <w:hideMark/>
          </w:tcPr>
          <w:p w14:paraId="26D13C6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57B4BFC2" w14:textId="77777777" w:rsidTr="00123376">
        <w:trPr>
          <w:trHeight w:val="555"/>
        </w:trPr>
        <w:tc>
          <w:tcPr>
            <w:tcW w:w="1906" w:type="dxa"/>
            <w:vMerge w:val="restart"/>
            <w:tcBorders>
              <w:top w:val="nil"/>
              <w:left w:val="single" w:sz="8" w:space="0" w:color="auto"/>
              <w:bottom w:val="single" w:sz="8" w:space="0" w:color="000000"/>
              <w:right w:val="single" w:sz="8" w:space="0" w:color="auto"/>
            </w:tcBorders>
            <w:shd w:val="clear" w:color="000000" w:fill="EBF1DE"/>
            <w:vAlign w:val="center"/>
            <w:hideMark/>
          </w:tcPr>
          <w:p w14:paraId="70069000"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Počet nových resp. zdokonalených softvérov [počet] -  výsledok</w:t>
            </w:r>
          </w:p>
        </w:tc>
        <w:tc>
          <w:tcPr>
            <w:tcW w:w="959" w:type="dxa"/>
            <w:tcBorders>
              <w:top w:val="nil"/>
              <w:left w:val="nil"/>
              <w:bottom w:val="dotted" w:sz="4" w:space="0" w:color="auto"/>
              <w:right w:val="single" w:sz="8" w:space="0" w:color="auto"/>
            </w:tcBorders>
            <w:shd w:val="clear" w:color="auto" w:fill="auto"/>
            <w:vAlign w:val="center"/>
            <w:hideMark/>
          </w:tcPr>
          <w:p w14:paraId="46CF4FC1"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Dosiahnutý výsledok</w:t>
            </w:r>
          </w:p>
        </w:tc>
        <w:tc>
          <w:tcPr>
            <w:tcW w:w="500" w:type="dxa"/>
            <w:tcBorders>
              <w:top w:val="nil"/>
              <w:left w:val="nil"/>
              <w:bottom w:val="dotted" w:sz="4" w:space="0" w:color="auto"/>
              <w:right w:val="dotted" w:sz="4" w:space="0" w:color="auto"/>
            </w:tcBorders>
            <w:shd w:val="clear" w:color="auto" w:fill="auto"/>
            <w:vAlign w:val="center"/>
            <w:hideMark/>
          </w:tcPr>
          <w:p w14:paraId="1A336D6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41F94E3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143AF54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34E0F92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35C2AB1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0829DF4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4968804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490E5F43" w14:textId="336B2F5A" w:rsidR="00DD2EDC" w:rsidRPr="00E21C60" w:rsidRDefault="002321B9">
            <w:pPr>
              <w:jc w:val="center"/>
              <w:rPr>
                <w:rFonts w:ascii="Arial" w:hAnsi="Arial" w:cs="Arial"/>
                <w:color w:val="000000"/>
                <w:sz w:val="16"/>
                <w:szCs w:val="16"/>
              </w:rPr>
            </w:pPr>
            <w:r>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47697903" w14:textId="45E8DA47" w:rsidR="00DD2EDC" w:rsidRPr="00E21C60" w:rsidRDefault="00A56FD1">
            <w:pPr>
              <w:jc w:val="center"/>
              <w:rPr>
                <w:rFonts w:ascii="Arial" w:hAnsi="Arial" w:cs="Arial"/>
                <w:color w:val="000000"/>
                <w:sz w:val="16"/>
                <w:szCs w:val="16"/>
              </w:rPr>
            </w:pPr>
            <w:r>
              <w:rPr>
                <w:rFonts w:ascii="Arial" w:hAnsi="Arial" w:cs="Arial"/>
                <w:color w:val="000000"/>
                <w:sz w:val="16"/>
                <w:szCs w:val="16"/>
              </w:rPr>
              <w:t>1</w:t>
            </w:r>
          </w:p>
        </w:tc>
        <w:tc>
          <w:tcPr>
            <w:tcW w:w="588" w:type="dxa"/>
            <w:tcBorders>
              <w:top w:val="nil"/>
              <w:left w:val="nil"/>
              <w:bottom w:val="dotted" w:sz="4" w:space="0" w:color="auto"/>
              <w:right w:val="dotted" w:sz="4" w:space="0" w:color="auto"/>
            </w:tcBorders>
            <w:shd w:val="clear" w:color="auto" w:fill="auto"/>
            <w:vAlign w:val="center"/>
            <w:hideMark/>
          </w:tcPr>
          <w:p w14:paraId="3454429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1134" w:type="dxa"/>
            <w:tcBorders>
              <w:top w:val="nil"/>
              <w:left w:val="nil"/>
              <w:bottom w:val="dotted" w:sz="4" w:space="0" w:color="auto"/>
              <w:right w:val="single" w:sz="8" w:space="0" w:color="auto"/>
            </w:tcBorders>
            <w:shd w:val="clear" w:color="auto" w:fill="auto"/>
            <w:vAlign w:val="center"/>
            <w:hideMark/>
          </w:tcPr>
          <w:p w14:paraId="1F8BF7F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0893AEC3"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4C2D4713" w14:textId="77777777" w:rsidR="00DD2EDC" w:rsidRPr="00E21C60" w:rsidRDefault="00DD2EDC">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000C7654"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Cieľ</w:t>
            </w:r>
          </w:p>
        </w:tc>
        <w:tc>
          <w:tcPr>
            <w:tcW w:w="500" w:type="dxa"/>
            <w:tcBorders>
              <w:top w:val="nil"/>
              <w:left w:val="nil"/>
              <w:bottom w:val="dotted" w:sz="4" w:space="0" w:color="auto"/>
              <w:right w:val="dotted" w:sz="4" w:space="0" w:color="auto"/>
            </w:tcBorders>
            <w:shd w:val="clear" w:color="auto" w:fill="auto"/>
            <w:vAlign w:val="center"/>
            <w:hideMark/>
          </w:tcPr>
          <w:p w14:paraId="7924207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79FF99E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5DBF2A0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09BC079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0D7B01E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43056FB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429B5CB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5D40391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03DAD6B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2</w:t>
            </w:r>
          </w:p>
        </w:tc>
        <w:tc>
          <w:tcPr>
            <w:tcW w:w="588" w:type="dxa"/>
            <w:tcBorders>
              <w:top w:val="nil"/>
              <w:left w:val="nil"/>
              <w:bottom w:val="dotted" w:sz="4" w:space="0" w:color="auto"/>
              <w:right w:val="dotted" w:sz="4" w:space="0" w:color="auto"/>
            </w:tcBorders>
            <w:shd w:val="clear" w:color="auto" w:fill="auto"/>
            <w:vAlign w:val="center"/>
            <w:hideMark/>
          </w:tcPr>
          <w:p w14:paraId="7D6BD62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2</w:t>
            </w:r>
          </w:p>
        </w:tc>
        <w:tc>
          <w:tcPr>
            <w:tcW w:w="1134" w:type="dxa"/>
            <w:tcBorders>
              <w:top w:val="nil"/>
              <w:left w:val="nil"/>
              <w:bottom w:val="dotted" w:sz="4" w:space="0" w:color="auto"/>
              <w:right w:val="single" w:sz="8" w:space="0" w:color="auto"/>
            </w:tcBorders>
            <w:shd w:val="clear" w:color="auto" w:fill="auto"/>
            <w:vAlign w:val="center"/>
            <w:hideMark/>
          </w:tcPr>
          <w:p w14:paraId="2D03DF2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2</w:t>
            </w:r>
          </w:p>
        </w:tc>
      </w:tr>
      <w:tr w:rsidR="00DD2EDC" w:rsidRPr="00E21C60" w14:paraId="5090790E"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24A4240A" w14:textId="77777777" w:rsidR="00DD2EDC" w:rsidRPr="00E21C60" w:rsidRDefault="00DD2EDC">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48076C1F"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Východisko</w:t>
            </w:r>
          </w:p>
        </w:tc>
        <w:tc>
          <w:tcPr>
            <w:tcW w:w="500" w:type="dxa"/>
            <w:tcBorders>
              <w:top w:val="nil"/>
              <w:left w:val="nil"/>
              <w:bottom w:val="single" w:sz="8" w:space="0" w:color="auto"/>
              <w:right w:val="dotted" w:sz="4" w:space="0" w:color="auto"/>
            </w:tcBorders>
            <w:shd w:val="clear" w:color="auto" w:fill="auto"/>
            <w:vAlign w:val="center"/>
            <w:hideMark/>
          </w:tcPr>
          <w:p w14:paraId="5FCBCEF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single" w:sz="8" w:space="0" w:color="auto"/>
              <w:right w:val="dotted" w:sz="4" w:space="0" w:color="auto"/>
            </w:tcBorders>
            <w:shd w:val="clear" w:color="auto" w:fill="auto"/>
            <w:vAlign w:val="center"/>
            <w:hideMark/>
          </w:tcPr>
          <w:p w14:paraId="28CF63D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3736435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37C138D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AAE75B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61E6864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63BA56B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7E9D8D2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7D3D4032"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88" w:type="dxa"/>
            <w:tcBorders>
              <w:top w:val="nil"/>
              <w:left w:val="nil"/>
              <w:bottom w:val="single" w:sz="8" w:space="0" w:color="auto"/>
              <w:right w:val="dotted" w:sz="4" w:space="0" w:color="auto"/>
            </w:tcBorders>
            <w:shd w:val="clear" w:color="auto" w:fill="auto"/>
            <w:vAlign w:val="center"/>
            <w:hideMark/>
          </w:tcPr>
          <w:p w14:paraId="31D4CA5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1134" w:type="dxa"/>
            <w:tcBorders>
              <w:top w:val="nil"/>
              <w:left w:val="nil"/>
              <w:bottom w:val="single" w:sz="8" w:space="0" w:color="auto"/>
              <w:right w:val="single" w:sz="8" w:space="0" w:color="auto"/>
            </w:tcBorders>
            <w:shd w:val="clear" w:color="auto" w:fill="auto"/>
            <w:vAlign w:val="center"/>
            <w:hideMark/>
          </w:tcPr>
          <w:p w14:paraId="4B63D93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71236E37" w14:textId="77777777" w:rsidTr="00123376">
        <w:trPr>
          <w:trHeight w:val="555"/>
        </w:trPr>
        <w:tc>
          <w:tcPr>
            <w:tcW w:w="1906" w:type="dxa"/>
            <w:vMerge w:val="restart"/>
            <w:tcBorders>
              <w:top w:val="nil"/>
              <w:left w:val="single" w:sz="8" w:space="0" w:color="auto"/>
              <w:bottom w:val="single" w:sz="8" w:space="0" w:color="000000"/>
              <w:right w:val="single" w:sz="8" w:space="0" w:color="auto"/>
            </w:tcBorders>
            <w:shd w:val="clear" w:color="000000" w:fill="EBF1DE"/>
            <w:vAlign w:val="center"/>
            <w:hideMark/>
          </w:tcPr>
          <w:p w14:paraId="5180EDC5"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Počet zjednotených systémov prenosu dát z NMSKO (Národnej monitorovacej siete kvality ovzdušia) do centrálnej databázy [počet] - výsledok</w:t>
            </w:r>
          </w:p>
        </w:tc>
        <w:tc>
          <w:tcPr>
            <w:tcW w:w="959" w:type="dxa"/>
            <w:tcBorders>
              <w:top w:val="nil"/>
              <w:left w:val="nil"/>
              <w:bottom w:val="dotted" w:sz="4" w:space="0" w:color="auto"/>
              <w:right w:val="single" w:sz="8" w:space="0" w:color="auto"/>
            </w:tcBorders>
            <w:shd w:val="clear" w:color="auto" w:fill="auto"/>
            <w:vAlign w:val="center"/>
            <w:hideMark/>
          </w:tcPr>
          <w:p w14:paraId="5A2E76AE"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Dosiahnutý výsledok</w:t>
            </w:r>
          </w:p>
        </w:tc>
        <w:tc>
          <w:tcPr>
            <w:tcW w:w="500" w:type="dxa"/>
            <w:tcBorders>
              <w:top w:val="nil"/>
              <w:left w:val="nil"/>
              <w:bottom w:val="dotted" w:sz="4" w:space="0" w:color="auto"/>
              <w:right w:val="dotted" w:sz="4" w:space="0" w:color="auto"/>
            </w:tcBorders>
            <w:shd w:val="clear" w:color="auto" w:fill="auto"/>
            <w:vAlign w:val="center"/>
            <w:hideMark/>
          </w:tcPr>
          <w:p w14:paraId="438BE26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687A5B0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3903A0F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5B431A1E"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384DCA7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1B5C06D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347F9CB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1EAB987C" w14:textId="320468A3" w:rsidR="00DD2EDC" w:rsidRPr="00E21C60" w:rsidRDefault="002321B9">
            <w:pPr>
              <w:jc w:val="center"/>
              <w:rPr>
                <w:rFonts w:ascii="Arial" w:hAnsi="Arial" w:cs="Arial"/>
                <w:color w:val="000000"/>
                <w:sz w:val="16"/>
                <w:szCs w:val="16"/>
              </w:rPr>
            </w:pPr>
            <w:r>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38058086" w14:textId="110AA632" w:rsidR="00DD2EDC" w:rsidRPr="00E21C60" w:rsidRDefault="00A56FD1" w:rsidP="00A56FD1">
            <w:pPr>
              <w:jc w:val="center"/>
              <w:rPr>
                <w:rFonts w:ascii="Arial" w:hAnsi="Arial" w:cs="Arial"/>
                <w:color w:val="000000"/>
                <w:sz w:val="16"/>
                <w:szCs w:val="16"/>
              </w:rPr>
            </w:pPr>
            <w:r>
              <w:rPr>
                <w:rFonts w:ascii="Arial" w:hAnsi="Arial" w:cs="Arial"/>
                <w:color w:val="000000"/>
                <w:sz w:val="16"/>
                <w:szCs w:val="16"/>
              </w:rPr>
              <w:t>1</w:t>
            </w:r>
          </w:p>
        </w:tc>
        <w:tc>
          <w:tcPr>
            <w:tcW w:w="588" w:type="dxa"/>
            <w:tcBorders>
              <w:top w:val="nil"/>
              <w:left w:val="nil"/>
              <w:bottom w:val="dotted" w:sz="4" w:space="0" w:color="auto"/>
              <w:right w:val="dotted" w:sz="4" w:space="0" w:color="auto"/>
            </w:tcBorders>
            <w:shd w:val="clear" w:color="auto" w:fill="auto"/>
            <w:vAlign w:val="center"/>
            <w:hideMark/>
          </w:tcPr>
          <w:p w14:paraId="4620665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1134" w:type="dxa"/>
            <w:tcBorders>
              <w:top w:val="nil"/>
              <w:left w:val="nil"/>
              <w:bottom w:val="dotted" w:sz="4" w:space="0" w:color="auto"/>
              <w:right w:val="single" w:sz="8" w:space="0" w:color="auto"/>
            </w:tcBorders>
            <w:shd w:val="clear" w:color="auto" w:fill="auto"/>
            <w:vAlign w:val="center"/>
            <w:hideMark/>
          </w:tcPr>
          <w:p w14:paraId="6403641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2941EDE5"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77482618" w14:textId="77777777" w:rsidR="00DD2EDC" w:rsidRPr="00E21C60" w:rsidRDefault="00DD2EDC">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25EA5923"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Cieľ</w:t>
            </w:r>
          </w:p>
        </w:tc>
        <w:tc>
          <w:tcPr>
            <w:tcW w:w="500" w:type="dxa"/>
            <w:tcBorders>
              <w:top w:val="nil"/>
              <w:left w:val="nil"/>
              <w:bottom w:val="dotted" w:sz="4" w:space="0" w:color="auto"/>
              <w:right w:val="dotted" w:sz="4" w:space="0" w:color="auto"/>
            </w:tcBorders>
            <w:shd w:val="clear" w:color="auto" w:fill="auto"/>
            <w:vAlign w:val="center"/>
            <w:hideMark/>
          </w:tcPr>
          <w:p w14:paraId="2A6A554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4C565C2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281A62C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174CCDAE"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787B4E12"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2D6EFBC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15BDE93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31A8E0B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36C1780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88" w:type="dxa"/>
            <w:tcBorders>
              <w:top w:val="nil"/>
              <w:left w:val="nil"/>
              <w:bottom w:val="dotted" w:sz="4" w:space="0" w:color="auto"/>
              <w:right w:val="dotted" w:sz="4" w:space="0" w:color="auto"/>
            </w:tcBorders>
            <w:shd w:val="clear" w:color="auto" w:fill="auto"/>
            <w:vAlign w:val="center"/>
            <w:hideMark/>
          </w:tcPr>
          <w:p w14:paraId="3725F96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1134" w:type="dxa"/>
            <w:tcBorders>
              <w:top w:val="nil"/>
              <w:left w:val="nil"/>
              <w:bottom w:val="dotted" w:sz="4" w:space="0" w:color="auto"/>
              <w:right w:val="single" w:sz="8" w:space="0" w:color="auto"/>
            </w:tcBorders>
            <w:shd w:val="clear" w:color="auto" w:fill="auto"/>
            <w:vAlign w:val="center"/>
            <w:hideMark/>
          </w:tcPr>
          <w:p w14:paraId="46DD0CD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r>
      <w:tr w:rsidR="00DD2EDC" w:rsidRPr="00E21C60" w14:paraId="3FEC2B7F"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61502B9A" w14:textId="77777777" w:rsidR="00DD2EDC" w:rsidRPr="00E21C60" w:rsidRDefault="00DD2EDC">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5BA5A2BD"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Východisko</w:t>
            </w:r>
          </w:p>
        </w:tc>
        <w:tc>
          <w:tcPr>
            <w:tcW w:w="500" w:type="dxa"/>
            <w:tcBorders>
              <w:top w:val="nil"/>
              <w:left w:val="nil"/>
              <w:bottom w:val="single" w:sz="8" w:space="0" w:color="auto"/>
              <w:right w:val="dotted" w:sz="4" w:space="0" w:color="auto"/>
            </w:tcBorders>
            <w:shd w:val="clear" w:color="auto" w:fill="auto"/>
            <w:vAlign w:val="center"/>
            <w:hideMark/>
          </w:tcPr>
          <w:p w14:paraId="7C6106C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single" w:sz="8" w:space="0" w:color="auto"/>
              <w:right w:val="dotted" w:sz="4" w:space="0" w:color="auto"/>
            </w:tcBorders>
            <w:shd w:val="clear" w:color="auto" w:fill="auto"/>
            <w:vAlign w:val="center"/>
            <w:hideMark/>
          </w:tcPr>
          <w:p w14:paraId="314EADA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3268CF1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79DD5CA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3C384E7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5726A59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0AC39F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6A38D94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21F542A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88" w:type="dxa"/>
            <w:tcBorders>
              <w:top w:val="nil"/>
              <w:left w:val="nil"/>
              <w:bottom w:val="single" w:sz="8" w:space="0" w:color="auto"/>
              <w:right w:val="dotted" w:sz="4" w:space="0" w:color="auto"/>
            </w:tcBorders>
            <w:shd w:val="clear" w:color="auto" w:fill="auto"/>
            <w:vAlign w:val="center"/>
            <w:hideMark/>
          </w:tcPr>
          <w:p w14:paraId="5909EFC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1134" w:type="dxa"/>
            <w:tcBorders>
              <w:top w:val="nil"/>
              <w:left w:val="nil"/>
              <w:bottom w:val="single" w:sz="8" w:space="0" w:color="auto"/>
              <w:right w:val="single" w:sz="8" w:space="0" w:color="auto"/>
            </w:tcBorders>
            <w:shd w:val="clear" w:color="auto" w:fill="auto"/>
            <w:vAlign w:val="center"/>
            <w:hideMark/>
          </w:tcPr>
          <w:p w14:paraId="6D3FB41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52EF41C4" w14:textId="77777777" w:rsidTr="00123376">
        <w:trPr>
          <w:trHeight w:val="360"/>
        </w:trPr>
        <w:tc>
          <w:tcPr>
            <w:tcW w:w="9087" w:type="dxa"/>
            <w:gridSpan w:val="13"/>
            <w:tcBorders>
              <w:top w:val="nil"/>
              <w:left w:val="single" w:sz="8" w:space="0" w:color="auto"/>
              <w:bottom w:val="single" w:sz="8" w:space="0" w:color="auto"/>
              <w:right w:val="single" w:sz="8" w:space="0" w:color="000000"/>
            </w:tcBorders>
            <w:shd w:val="clear" w:color="000000" w:fill="EAF1DD"/>
            <w:noWrap/>
            <w:vAlign w:val="center"/>
            <w:hideMark/>
          </w:tcPr>
          <w:p w14:paraId="624D84DF" w14:textId="77777777" w:rsidR="00DD2EDC" w:rsidRPr="00E21C60" w:rsidRDefault="00DD2EDC">
            <w:pPr>
              <w:rPr>
                <w:rFonts w:ascii="Arial" w:hAnsi="Arial" w:cs="Arial"/>
                <w:b/>
                <w:bCs/>
                <w:color w:val="000000"/>
                <w:sz w:val="16"/>
                <w:szCs w:val="16"/>
              </w:rPr>
            </w:pPr>
            <w:r w:rsidRPr="00E21C60">
              <w:rPr>
                <w:rFonts w:ascii="Arial" w:hAnsi="Arial" w:cs="Arial"/>
                <w:b/>
                <w:bCs/>
                <w:color w:val="000000"/>
                <w:sz w:val="16"/>
                <w:szCs w:val="16"/>
              </w:rPr>
              <w:t>Prioritná os 4 - Odpadové hospodárstvo</w:t>
            </w:r>
          </w:p>
        </w:tc>
      </w:tr>
      <w:tr w:rsidR="00DD2EDC" w:rsidRPr="00E21C60" w14:paraId="68757C04" w14:textId="77777777" w:rsidTr="00123376">
        <w:trPr>
          <w:trHeight w:val="555"/>
        </w:trPr>
        <w:tc>
          <w:tcPr>
            <w:tcW w:w="1906" w:type="dxa"/>
            <w:vMerge w:val="restart"/>
            <w:tcBorders>
              <w:top w:val="nil"/>
              <w:left w:val="single" w:sz="8" w:space="0" w:color="auto"/>
              <w:bottom w:val="single" w:sz="8" w:space="0" w:color="000000"/>
              <w:right w:val="single" w:sz="8" w:space="0" w:color="auto"/>
            </w:tcBorders>
            <w:shd w:val="clear" w:color="000000" w:fill="EBF1DE"/>
            <w:vAlign w:val="center"/>
            <w:hideMark/>
          </w:tcPr>
          <w:p w14:paraId="3FBAE57A"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Počet zavedených Informačných systémov environmentálnych záťaží ako súčasti informačného systému verejnej správy [počet] - výsledok</w:t>
            </w:r>
          </w:p>
        </w:tc>
        <w:tc>
          <w:tcPr>
            <w:tcW w:w="959" w:type="dxa"/>
            <w:tcBorders>
              <w:top w:val="nil"/>
              <w:left w:val="nil"/>
              <w:bottom w:val="dotted" w:sz="4" w:space="0" w:color="auto"/>
              <w:right w:val="single" w:sz="8" w:space="0" w:color="auto"/>
            </w:tcBorders>
            <w:shd w:val="clear" w:color="auto" w:fill="auto"/>
            <w:vAlign w:val="center"/>
            <w:hideMark/>
          </w:tcPr>
          <w:p w14:paraId="00025B08"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Dosiahnutý výsledok</w:t>
            </w:r>
          </w:p>
        </w:tc>
        <w:tc>
          <w:tcPr>
            <w:tcW w:w="500" w:type="dxa"/>
            <w:tcBorders>
              <w:top w:val="nil"/>
              <w:left w:val="nil"/>
              <w:bottom w:val="dotted" w:sz="4" w:space="0" w:color="auto"/>
              <w:right w:val="dotted" w:sz="4" w:space="0" w:color="auto"/>
            </w:tcBorders>
            <w:shd w:val="clear" w:color="auto" w:fill="auto"/>
            <w:vAlign w:val="center"/>
            <w:hideMark/>
          </w:tcPr>
          <w:p w14:paraId="756AEFF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22858B9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7848D6A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1D5EAFD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548D6EF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50E64CE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2E21E21C" w14:textId="77777777" w:rsidR="00DD2EDC" w:rsidRPr="00E21C60" w:rsidRDefault="00E36256">
            <w:pPr>
              <w:jc w:val="center"/>
              <w:rPr>
                <w:rFonts w:ascii="Arial" w:hAnsi="Arial" w:cs="Arial"/>
                <w:color w:val="000000"/>
                <w:sz w:val="16"/>
                <w:szCs w:val="16"/>
              </w:rPr>
            </w:pPr>
            <w:r w:rsidRPr="00E21C60">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64EC26FC" w14:textId="6E2EFFFE" w:rsidR="00DD2EDC" w:rsidRPr="00E21C60" w:rsidRDefault="007E5016">
            <w:pPr>
              <w:jc w:val="center"/>
              <w:rPr>
                <w:rFonts w:ascii="Arial" w:hAnsi="Arial" w:cs="Arial"/>
                <w:color w:val="000000"/>
                <w:sz w:val="16"/>
                <w:szCs w:val="16"/>
              </w:rPr>
            </w:pPr>
            <w:r>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52A0711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88" w:type="dxa"/>
            <w:tcBorders>
              <w:top w:val="nil"/>
              <w:left w:val="nil"/>
              <w:bottom w:val="dotted" w:sz="4" w:space="0" w:color="auto"/>
              <w:right w:val="dotted" w:sz="4" w:space="0" w:color="auto"/>
            </w:tcBorders>
            <w:shd w:val="clear" w:color="auto" w:fill="auto"/>
            <w:vAlign w:val="center"/>
            <w:hideMark/>
          </w:tcPr>
          <w:p w14:paraId="701EFCCE" w14:textId="77777777" w:rsidR="00DD2EDC" w:rsidRPr="00E21C60" w:rsidRDefault="00F84723">
            <w:pPr>
              <w:jc w:val="center"/>
              <w:rPr>
                <w:rFonts w:ascii="Arial" w:hAnsi="Arial" w:cs="Arial"/>
                <w:color w:val="000000"/>
                <w:sz w:val="16"/>
                <w:szCs w:val="16"/>
              </w:rPr>
            </w:pPr>
            <w:r w:rsidRPr="00E21C60">
              <w:rPr>
                <w:rFonts w:ascii="Arial" w:hAnsi="Arial" w:cs="Arial"/>
                <w:color w:val="000000"/>
                <w:sz w:val="16"/>
                <w:szCs w:val="16"/>
              </w:rPr>
              <w:t>1</w:t>
            </w:r>
          </w:p>
        </w:tc>
        <w:tc>
          <w:tcPr>
            <w:tcW w:w="1134" w:type="dxa"/>
            <w:tcBorders>
              <w:top w:val="nil"/>
              <w:left w:val="nil"/>
              <w:bottom w:val="dotted" w:sz="4" w:space="0" w:color="auto"/>
              <w:right w:val="single" w:sz="8" w:space="0" w:color="auto"/>
            </w:tcBorders>
            <w:shd w:val="clear" w:color="auto" w:fill="auto"/>
            <w:vAlign w:val="center"/>
            <w:hideMark/>
          </w:tcPr>
          <w:p w14:paraId="6FD5644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67949BF6"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7E239F82" w14:textId="77777777" w:rsidR="00DD2EDC" w:rsidRPr="00E21C60" w:rsidRDefault="00DD2EDC">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37AB3A4F"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Cieľ</w:t>
            </w:r>
          </w:p>
        </w:tc>
        <w:tc>
          <w:tcPr>
            <w:tcW w:w="500" w:type="dxa"/>
            <w:tcBorders>
              <w:top w:val="nil"/>
              <w:left w:val="nil"/>
              <w:bottom w:val="dotted" w:sz="4" w:space="0" w:color="auto"/>
              <w:right w:val="dotted" w:sz="4" w:space="0" w:color="auto"/>
            </w:tcBorders>
            <w:shd w:val="clear" w:color="auto" w:fill="auto"/>
            <w:vAlign w:val="center"/>
            <w:hideMark/>
          </w:tcPr>
          <w:p w14:paraId="3EE8BAB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01510742"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1C90289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6172433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7789347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65AF74A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171C05F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291D848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6C72514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88" w:type="dxa"/>
            <w:tcBorders>
              <w:top w:val="nil"/>
              <w:left w:val="nil"/>
              <w:bottom w:val="dotted" w:sz="4" w:space="0" w:color="auto"/>
              <w:right w:val="dotted" w:sz="4" w:space="0" w:color="auto"/>
            </w:tcBorders>
            <w:shd w:val="clear" w:color="auto" w:fill="auto"/>
            <w:vAlign w:val="center"/>
            <w:hideMark/>
          </w:tcPr>
          <w:p w14:paraId="78A45AD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1134" w:type="dxa"/>
            <w:tcBorders>
              <w:top w:val="nil"/>
              <w:left w:val="nil"/>
              <w:bottom w:val="dotted" w:sz="4" w:space="0" w:color="auto"/>
              <w:right w:val="single" w:sz="8" w:space="0" w:color="auto"/>
            </w:tcBorders>
            <w:shd w:val="clear" w:color="auto" w:fill="auto"/>
            <w:vAlign w:val="center"/>
            <w:hideMark/>
          </w:tcPr>
          <w:p w14:paraId="543DF2B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r>
      <w:tr w:rsidR="00DD2EDC" w:rsidRPr="00E21C60" w14:paraId="45EC7EFD"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4B300B87" w14:textId="77777777" w:rsidR="00DD2EDC" w:rsidRPr="00E21C60" w:rsidRDefault="00DD2EDC">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0D3707BF"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Východisko</w:t>
            </w:r>
          </w:p>
        </w:tc>
        <w:tc>
          <w:tcPr>
            <w:tcW w:w="500" w:type="dxa"/>
            <w:tcBorders>
              <w:top w:val="nil"/>
              <w:left w:val="nil"/>
              <w:bottom w:val="single" w:sz="8" w:space="0" w:color="auto"/>
              <w:right w:val="dotted" w:sz="4" w:space="0" w:color="auto"/>
            </w:tcBorders>
            <w:shd w:val="clear" w:color="auto" w:fill="auto"/>
            <w:vAlign w:val="center"/>
            <w:hideMark/>
          </w:tcPr>
          <w:p w14:paraId="1330EBB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single" w:sz="8" w:space="0" w:color="auto"/>
              <w:right w:val="dotted" w:sz="4" w:space="0" w:color="auto"/>
            </w:tcBorders>
            <w:shd w:val="clear" w:color="auto" w:fill="auto"/>
            <w:vAlign w:val="center"/>
            <w:hideMark/>
          </w:tcPr>
          <w:p w14:paraId="56D0010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4C46E2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7EC32E6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20D8FE6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3FA4004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11AC1F6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133D8A5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3AEFD50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88" w:type="dxa"/>
            <w:tcBorders>
              <w:top w:val="nil"/>
              <w:left w:val="nil"/>
              <w:bottom w:val="single" w:sz="8" w:space="0" w:color="auto"/>
              <w:right w:val="dotted" w:sz="4" w:space="0" w:color="auto"/>
            </w:tcBorders>
            <w:shd w:val="clear" w:color="auto" w:fill="auto"/>
            <w:vAlign w:val="center"/>
            <w:hideMark/>
          </w:tcPr>
          <w:p w14:paraId="1DCBA58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1134" w:type="dxa"/>
            <w:tcBorders>
              <w:top w:val="nil"/>
              <w:left w:val="nil"/>
              <w:bottom w:val="single" w:sz="8" w:space="0" w:color="auto"/>
              <w:right w:val="single" w:sz="8" w:space="0" w:color="auto"/>
            </w:tcBorders>
            <w:shd w:val="clear" w:color="auto" w:fill="auto"/>
            <w:vAlign w:val="center"/>
            <w:hideMark/>
          </w:tcPr>
          <w:p w14:paraId="289A639E"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04F9D6AE" w14:textId="77777777" w:rsidTr="00123376">
        <w:trPr>
          <w:trHeight w:val="360"/>
        </w:trPr>
        <w:tc>
          <w:tcPr>
            <w:tcW w:w="9087" w:type="dxa"/>
            <w:gridSpan w:val="13"/>
            <w:tcBorders>
              <w:top w:val="single" w:sz="8" w:space="0" w:color="auto"/>
              <w:left w:val="single" w:sz="8" w:space="0" w:color="auto"/>
              <w:bottom w:val="single" w:sz="8" w:space="0" w:color="auto"/>
              <w:right w:val="single" w:sz="8" w:space="0" w:color="000000"/>
            </w:tcBorders>
            <w:shd w:val="clear" w:color="000000" w:fill="EAF1DD"/>
            <w:noWrap/>
            <w:vAlign w:val="center"/>
            <w:hideMark/>
          </w:tcPr>
          <w:p w14:paraId="1CD07A8B" w14:textId="60967BD1" w:rsidR="00DD2EDC" w:rsidRPr="00E21C60" w:rsidRDefault="00DD2EDC">
            <w:pPr>
              <w:rPr>
                <w:rFonts w:ascii="Arial" w:hAnsi="Arial" w:cs="Arial"/>
                <w:b/>
                <w:bCs/>
                <w:color w:val="000000"/>
                <w:sz w:val="16"/>
                <w:szCs w:val="16"/>
              </w:rPr>
            </w:pPr>
            <w:r w:rsidRPr="00E21C60">
              <w:rPr>
                <w:rFonts w:ascii="Arial" w:hAnsi="Arial" w:cs="Arial"/>
                <w:b/>
                <w:bCs/>
                <w:color w:val="000000"/>
                <w:sz w:val="16"/>
                <w:szCs w:val="16"/>
              </w:rPr>
              <w:t>Prioritná os 5 - Ochrana a regenerácia prírodného prostredia a</w:t>
            </w:r>
            <w:r w:rsidR="00A56FD1">
              <w:rPr>
                <w:rFonts w:ascii="Arial" w:hAnsi="Arial" w:cs="Arial"/>
                <w:b/>
                <w:bCs/>
                <w:color w:val="000000"/>
                <w:sz w:val="16"/>
                <w:szCs w:val="16"/>
              </w:rPr>
              <w:t> </w:t>
            </w:r>
            <w:r w:rsidRPr="00E21C60">
              <w:rPr>
                <w:rFonts w:ascii="Arial" w:hAnsi="Arial" w:cs="Arial"/>
                <w:b/>
                <w:bCs/>
                <w:color w:val="000000"/>
                <w:sz w:val="16"/>
                <w:szCs w:val="16"/>
              </w:rPr>
              <w:t>krajiny</w:t>
            </w:r>
          </w:p>
        </w:tc>
      </w:tr>
      <w:tr w:rsidR="00DD2EDC" w:rsidRPr="00E21C60" w14:paraId="35F54279" w14:textId="77777777" w:rsidTr="008A1902">
        <w:trPr>
          <w:trHeight w:val="555"/>
        </w:trPr>
        <w:tc>
          <w:tcPr>
            <w:tcW w:w="1906" w:type="dxa"/>
            <w:vMerge w:val="restart"/>
            <w:tcBorders>
              <w:top w:val="nil"/>
              <w:left w:val="single" w:sz="8" w:space="0" w:color="auto"/>
              <w:bottom w:val="single" w:sz="8" w:space="0" w:color="000000"/>
              <w:right w:val="single" w:sz="8" w:space="0" w:color="auto"/>
            </w:tcBorders>
            <w:shd w:val="clear" w:color="000000" w:fill="EBF1DE"/>
            <w:vAlign w:val="center"/>
            <w:hideMark/>
          </w:tcPr>
          <w:p w14:paraId="7FAD7CD1"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Počet vytvorených čiastkových databáz informačného systému (pre skupiny rastlín, živočíchov, biotopov) [počet] - výsledok</w:t>
            </w:r>
          </w:p>
        </w:tc>
        <w:tc>
          <w:tcPr>
            <w:tcW w:w="959" w:type="dxa"/>
            <w:tcBorders>
              <w:top w:val="nil"/>
              <w:left w:val="nil"/>
              <w:bottom w:val="single" w:sz="4" w:space="0" w:color="auto"/>
              <w:right w:val="single" w:sz="8" w:space="0" w:color="auto"/>
            </w:tcBorders>
            <w:shd w:val="clear" w:color="auto" w:fill="auto"/>
            <w:vAlign w:val="center"/>
            <w:hideMark/>
          </w:tcPr>
          <w:p w14:paraId="3D9A5330"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Dosiahnutý výsledok</w:t>
            </w:r>
          </w:p>
        </w:tc>
        <w:tc>
          <w:tcPr>
            <w:tcW w:w="500" w:type="dxa"/>
            <w:tcBorders>
              <w:top w:val="nil"/>
              <w:left w:val="nil"/>
              <w:bottom w:val="single" w:sz="4" w:space="0" w:color="auto"/>
              <w:right w:val="dotted" w:sz="4" w:space="0" w:color="auto"/>
            </w:tcBorders>
            <w:shd w:val="clear" w:color="auto" w:fill="auto"/>
            <w:vAlign w:val="center"/>
            <w:hideMark/>
          </w:tcPr>
          <w:p w14:paraId="64763C9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single" w:sz="4" w:space="0" w:color="auto"/>
              <w:right w:val="dotted" w:sz="4" w:space="0" w:color="auto"/>
            </w:tcBorders>
            <w:shd w:val="clear" w:color="auto" w:fill="auto"/>
            <w:vAlign w:val="center"/>
            <w:hideMark/>
          </w:tcPr>
          <w:p w14:paraId="27004D9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single" w:sz="4" w:space="0" w:color="auto"/>
              <w:right w:val="dotted" w:sz="4" w:space="0" w:color="auto"/>
            </w:tcBorders>
            <w:shd w:val="clear" w:color="auto" w:fill="auto"/>
            <w:vAlign w:val="center"/>
            <w:hideMark/>
          </w:tcPr>
          <w:p w14:paraId="51AE868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single" w:sz="4" w:space="0" w:color="auto"/>
              <w:right w:val="dotted" w:sz="4" w:space="0" w:color="auto"/>
            </w:tcBorders>
            <w:shd w:val="clear" w:color="auto" w:fill="auto"/>
            <w:vAlign w:val="center"/>
            <w:hideMark/>
          </w:tcPr>
          <w:p w14:paraId="2F6BEAF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0,5</w:t>
            </w:r>
          </w:p>
        </w:tc>
        <w:tc>
          <w:tcPr>
            <w:tcW w:w="500" w:type="dxa"/>
            <w:tcBorders>
              <w:top w:val="nil"/>
              <w:left w:val="nil"/>
              <w:bottom w:val="single" w:sz="4" w:space="0" w:color="auto"/>
              <w:right w:val="dotted" w:sz="4" w:space="0" w:color="auto"/>
            </w:tcBorders>
            <w:shd w:val="clear" w:color="auto" w:fill="auto"/>
            <w:vAlign w:val="center"/>
            <w:hideMark/>
          </w:tcPr>
          <w:p w14:paraId="5A22049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00" w:type="dxa"/>
            <w:tcBorders>
              <w:top w:val="nil"/>
              <w:left w:val="nil"/>
              <w:bottom w:val="single" w:sz="4" w:space="0" w:color="auto"/>
              <w:right w:val="dotted" w:sz="4" w:space="0" w:color="auto"/>
            </w:tcBorders>
            <w:shd w:val="clear" w:color="auto" w:fill="auto"/>
            <w:vAlign w:val="center"/>
            <w:hideMark/>
          </w:tcPr>
          <w:p w14:paraId="6616B5D2"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3,3</w:t>
            </w:r>
          </w:p>
        </w:tc>
        <w:tc>
          <w:tcPr>
            <w:tcW w:w="500" w:type="dxa"/>
            <w:tcBorders>
              <w:top w:val="nil"/>
              <w:left w:val="nil"/>
              <w:bottom w:val="single" w:sz="4" w:space="0" w:color="auto"/>
              <w:right w:val="dotted" w:sz="4" w:space="0" w:color="auto"/>
            </w:tcBorders>
            <w:shd w:val="clear" w:color="auto" w:fill="auto"/>
            <w:vAlign w:val="center"/>
            <w:hideMark/>
          </w:tcPr>
          <w:p w14:paraId="104A367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4,58</w:t>
            </w:r>
          </w:p>
        </w:tc>
        <w:tc>
          <w:tcPr>
            <w:tcW w:w="500" w:type="dxa"/>
            <w:tcBorders>
              <w:top w:val="nil"/>
              <w:left w:val="nil"/>
              <w:bottom w:val="single" w:sz="4" w:space="0" w:color="auto"/>
              <w:right w:val="dotted" w:sz="4" w:space="0" w:color="auto"/>
            </w:tcBorders>
            <w:shd w:val="clear" w:color="auto" w:fill="auto"/>
            <w:vAlign w:val="center"/>
            <w:hideMark/>
          </w:tcPr>
          <w:p w14:paraId="0A196D9F" w14:textId="1C1F97C1" w:rsidR="00DD2EDC" w:rsidRPr="00E21C60" w:rsidRDefault="007E5016">
            <w:pPr>
              <w:jc w:val="center"/>
              <w:rPr>
                <w:rFonts w:ascii="Arial" w:hAnsi="Arial" w:cs="Arial"/>
                <w:color w:val="000000"/>
                <w:sz w:val="16"/>
                <w:szCs w:val="16"/>
              </w:rPr>
            </w:pPr>
            <w:r>
              <w:rPr>
                <w:rFonts w:ascii="Arial" w:hAnsi="Arial" w:cs="Arial"/>
                <w:color w:val="000000"/>
                <w:sz w:val="16"/>
                <w:szCs w:val="16"/>
              </w:rPr>
              <w:t>6</w:t>
            </w:r>
          </w:p>
        </w:tc>
        <w:tc>
          <w:tcPr>
            <w:tcW w:w="500" w:type="dxa"/>
            <w:tcBorders>
              <w:top w:val="nil"/>
              <w:left w:val="nil"/>
              <w:bottom w:val="single" w:sz="4" w:space="0" w:color="auto"/>
              <w:right w:val="dotted" w:sz="4" w:space="0" w:color="auto"/>
            </w:tcBorders>
            <w:shd w:val="clear" w:color="auto" w:fill="auto"/>
            <w:vAlign w:val="center"/>
            <w:hideMark/>
          </w:tcPr>
          <w:p w14:paraId="0C8F2B2E" w14:textId="0818EED9" w:rsidR="00DD2EDC" w:rsidRPr="00E21C60" w:rsidRDefault="00A56FD1" w:rsidP="00A56FD1">
            <w:pPr>
              <w:jc w:val="center"/>
              <w:rPr>
                <w:rFonts w:ascii="Arial" w:hAnsi="Arial" w:cs="Arial"/>
                <w:color w:val="000000"/>
                <w:sz w:val="16"/>
                <w:szCs w:val="16"/>
              </w:rPr>
            </w:pPr>
            <w:r>
              <w:rPr>
                <w:rFonts w:ascii="Arial" w:hAnsi="Arial" w:cs="Arial"/>
                <w:color w:val="000000"/>
                <w:sz w:val="16"/>
                <w:szCs w:val="16"/>
              </w:rPr>
              <w:t>11</w:t>
            </w:r>
          </w:p>
        </w:tc>
        <w:tc>
          <w:tcPr>
            <w:tcW w:w="588" w:type="dxa"/>
            <w:tcBorders>
              <w:top w:val="nil"/>
              <w:left w:val="nil"/>
              <w:bottom w:val="single" w:sz="4" w:space="0" w:color="auto"/>
              <w:right w:val="dotted" w:sz="4" w:space="0" w:color="auto"/>
            </w:tcBorders>
            <w:shd w:val="clear" w:color="auto" w:fill="auto"/>
            <w:vAlign w:val="center"/>
            <w:hideMark/>
          </w:tcPr>
          <w:p w14:paraId="6B7842F3" w14:textId="3F8FC037" w:rsidR="00DD2EDC" w:rsidRPr="00E21C60" w:rsidRDefault="00A56FD1">
            <w:pPr>
              <w:jc w:val="center"/>
              <w:rPr>
                <w:rFonts w:ascii="Arial" w:hAnsi="Arial" w:cs="Arial"/>
                <w:color w:val="000000"/>
                <w:sz w:val="16"/>
                <w:szCs w:val="16"/>
              </w:rPr>
            </w:pPr>
            <w:r>
              <w:rPr>
                <w:rFonts w:ascii="Arial" w:hAnsi="Arial" w:cs="Arial"/>
                <w:color w:val="000000"/>
                <w:sz w:val="16"/>
                <w:szCs w:val="16"/>
              </w:rPr>
              <w:t>11</w:t>
            </w:r>
          </w:p>
        </w:tc>
        <w:tc>
          <w:tcPr>
            <w:tcW w:w="1134" w:type="dxa"/>
            <w:tcBorders>
              <w:top w:val="nil"/>
              <w:left w:val="nil"/>
              <w:bottom w:val="single" w:sz="4" w:space="0" w:color="auto"/>
              <w:right w:val="single" w:sz="8" w:space="0" w:color="auto"/>
            </w:tcBorders>
            <w:shd w:val="clear" w:color="auto" w:fill="auto"/>
            <w:vAlign w:val="center"/>
            <w:hideMark/>
          </w:tcPr>
          <w:p w14:paraId="7FAD49C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5A7481F3" w14:textId="77777777" w:rsidTr="008A1902">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1D03DF52" w14:textId="77777777" w:rsidR="00DD2EDC" w:rsidRPr="00E21C60" w:rsidRDefault="00DD2EDC">
            <w:pPr>
              <w:rPr>
                <w:rFonts w:ascii="Arial" w:hAnsi="Arial" w:cs="Arial"/>
                <w:color w:val="000000"/>
                <w:sz w:val="16"/>
                <w:szCs w:val="16"/>
              </w:rPr>
            </w:pPr>
          </w:p>
        </w:tc>
        <w:tc>
          <w:tcPr>
            <w:tcW w:w="959" w:type="dxa"/>
            <w:tcBorders>
              <w:top w:val="single" w:sz="4" w:space="0" w:color="auto"/>
              <w:left w:val="nil"/>
              <w:bottom w:val="dotted" w:sz="4" w:space="0" w:color="auto"/>
              <w:right w:val="single" w:sz="8" w:space="0" w:color="auto"/>
            </w:tcBorders>
            <w:shd w:val="clear" w:color="auto" w:fill="auto"/>
            <w:vAlign w:val="center"/>
            <w:hideMark/>
          </w:tcPr>
          <w:p w14:paraId="389B0B94"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Cieľ</w:t>
            </w:r>
          </w:p>
        </w:tc>
        <w:tc>
          <w:tcPr>
            <w:tcW w:w="500" w:type="dxa"/>
            <w:tcBorders>
              <w:top w:val="single" w:sz="4" w:space="0" w:color="auto"/>
              <w:left w:val="nil"/>
              <w:bottom w:val="dotted" w:sz="4" w:space="0" w:color="auto"/>
              <w:right w:val="dotted" w:sz="4" w:space="0" w:color="auto"/>
            </w:tcBorders>
            <w:shd w:val="clear" w:color="auto" w:fill="auto"/>
            <w:vAlign w:val="center"/>
            <w:hideMark/>
          </w:tcPr>
          <w:p w14:paraId="2F180ED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single" w:sz="4" w:space="0" w:color="auto"/>
              <w:left w:val="nil"/>
              <w:bottom w:val="dotted" w:sz="4" w:space="0" w:color="auto"/>
              <w:right w:val="dotted" w:sz="4" w:space="0" w:color="auto"/>
            </w:tcBorders>
            <w:shd w:val="clear" w:color="auto" w:fill="auto"/>
            <w:vAlign w:val="center"/>
            <w:hideMark/>
          </w:tcPr>
          <w:p w14:paraId="48FE6BC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single" w:sz="4" w:space="0" w:color="auto"/>
              <w:left w:val="nil"/>
              <w:bottom w:val="dotted" w:sz="4" w:space="0" w:color="auto"/>
              <w:right w:val="dotted" w:sz="4" w:space="0" w:color="auto"/>
            </w:tcBorders>
            <w:shd w:val="clear" w:color="auto" w:fill="auto"/>
            <w:vAlign w:val="center"/>
            <w:hideMark/>
          </w:tcPr>
          <w:p w14:paraId="6378AB8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single" w:sz="4" w:space="0" w:color="auto"/>
              <w:left w:val="nil"/>
              <w:bottom w:val="dotted" w:sz="4" w:space="0" w:color="auto"/>
              <w:right w:val="dotted" w:sz="4" w:space="0" w:color="auto"/>
            </w:tcBorders>
            <w:shd w:val="clear" w:color="auto" w:fill="auto"/>
            <w:vAlign w:val="center"/>
            <w:hideMark/>
          </w:tcPr>
          <w:p w14:paraId="2759EAE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single" w:sz="4" w:space="0" w:color="auto"/>
              <w:left w:val="nil"/>
              <w:bottom w:val="dotted" w:sz="4" w:space="0" w:color="auto"/>
              <w:right w:val="dotted" w:sz="4" w:space="0" w:color="auto"/>
            </w:tcBorders>
            <w:shd w:val="clear" w:color="auto" w:fill="auto"/>
            <w:vAlign w:val="center"/>
            <w:hideMark/>
          </w:tcPr>
          <w:p w14:paraId="3F969AD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single" w:sz="4" w:space="0" w:color="auto"/>
              <w:left w:val="nil"/>
              <w:bottom w:val="dotted" w:sz="4" w:space="0" w:color="auto"/>
              <w:right w:val="dotted" w:sz="4" w:space="0" w:color="auto"/>
            </w:tcBorders>
            <w:shd w:val="clear" w:color="auto" w:fill="auto"/>
            <w:vAlign w:val="center"/>
            <w:hideMark/>
          </w:tcPr>
          <w:p w14:paraId="0FBEA63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single" w:sz="4" w:space="0" w:color="auto"/>
              <w:left w:val="nil"/>
              <w:bottom w:val="dotted" w:sz="4" w:space="0" w:color="auto"/>
              <w:right w:val="dotted" w:sz="4" w:space="0" w:color="auto"/>
            </w:tcBorders>
            <w:shd w:val="clear" w:color="auto" w:fill="auto"/>
            <w:vAlign w:val="center"/>
            <w:hideMark/>
          </w:tcPr>
          <w:p w14:paraId="1FFB2E6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single" w:sz="4" w:space="0" w:color="auto"/>
              <w:left w:val="nil"/>
              <w:bottom w:val="dotted" w:sz="4" w:space="0" w:color="auto"/>
              <w:right w:val="dotted" w:sz="4" w:space="0" w:color="auto"/>
            </w:tcBorders>
            <w:shd w:val="clear" w:color="auto" w:fill="auto"/>
            <w:vAlign w:val="center"/>
            <w:hideMark/>
          </w:tcPr>
          <w:p w14:paraId="022EDAA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single" w:sz="4" w:space="0" w:color="auto"/>
              <w:left w:val="nil"/>
              <w:bottom w:val="dotted" w:sz="4" w:space="0" w:color="auto"/>
              <w:right w:val="dotted" w:sz="4" w:space="0" w:color="auto"/>
            </w:tcBorders>
            <w:shd w:val="clear" w:color="auto" w:fill="auto"/>
            <w:vAlign w:val="center"/>
            <w:hideMark/>
          </w:tcPr>
          <w:p w14:paraId="5A8771A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10</w:t>
            </w:r>
          </w:p>
        </w:tc>
        <w:tc>
          <w:tcPr>
            <w:tcW w:w="588" w:type="dxa"/>
            <w:tcBorders>
              <w:top w:val="single" w:sz="4" w:space="0" w:color="auto"/>
              <w:left w:val="nil"/>
              <w:bottom w:val="dotted" w:sz="4" w:space="0" w:color="auto"/>
              <w:right w:val="dotted" w:sz="4" w:space="0" w:color="auto"/>
            </w:tcBorders>
            <w:shd w:val="clear" w:color="auto" w:fill="auto"/>
            <w:vAlign w:val="center"/>
            <w:hideMark/>
          </w:tcPr>
          <w:p w14:paraId="192072A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10</w:t>
            </w:r>
          </w:p>
        </w:tc>
        <w:tc>
          <w:tcPr>
            <w:tcW w:w="1134" w:type="dxa"/>
            <w:tcBorders>
              <w:top w:val="single" w:sz="4" w:space="0" w:color="auto"/>
              <w:left w:val="nil"/>
              <w:bottom w:val="dotted" w:sz="4" w:space="0" w:color="auto"/>
              <w:right w:val="single" w:sz="8" w:space="0" w:color="auto"/>
            </w:tcBorders>
            <w:shd w:val="clear" w:color="auto" w:fill="auto"/>
            <w:vAlign w:val="center"/>
            <w:hideMark/>
          </w:tcPr>
          <w:p w14:paraId="0CDB7718" w14:textId="08CDDF77" w:rsidR="00DD2EDC" w:rsidRPr="00E21C60" w:rsidRDefault="00DD2EDC" w:rsidP="00A56FD1">
            <w:pPr>
              <w:jc w:val="center"/>
              <w:rPr>
                <w:rFonts w:ascii="Arial" w:hAnsi="Arial" w:cs="Arial"/>
                <w:color w:val="000000"/>
                <w:sz w:val="16"/>
                <w:szCs w:val="16"/>
              </w:rPr>
            </w:pPr>
            <w:r w:rsidRPr="00E21C60">
              <w:rPr>
                <w:rFonts w:ascii="Arial" w:hAnsi="Arial" w:cs="Arial"/>
                <w:color w:val="000000"/>
                <w:sz w:val="16"/>
                <w:szCs w:val="16"/>
              </w:rPr>
              <w:t>1</w:t>
            </w:r>
            <w:r w:rsidR="00A56FD1">
              <w:rPr>
                <w:rFonts w:ascii="Arial" w:hAnsi="Arial" w:cs="Arial"/>
                <w:color w:val="000000"/>
                <w:sz w:val="16"/>
                <w:szCs w:val="16"/>
              </w:rPr>
              <w:t>1</w:t>
            </w:r>
          </w:p>
        </w:tc>
      </w:tr>
      <w:tr w:rsidR="00DD2EDC" w:rsidRPr="00E21C60" w14:paraId="09E0580B"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42AA23E4" w14:textId="77777777" w:rsidR="00DD2EDC" w:rsidRPr="00E21C60" w:rsidRDefault="00DD2EDC">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142FA8CA"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Východisko</w:t>
            </w:r>
          </w:p>
        </w:tc>
        <w:tc>
          <w:tcPr>
            <w:tcW w:w="500" w:type="dxa"/>
            <w:tcBorders>
              <w:top w:val="nil"/>
              <w:left w:val="nil"/>
              <w:bottom w:val="single" w:sz="8" w:space="0" w:color="auto"/>
              <w:right w:val="dotted" w:sz="4" w:space="0" w:color="auto"/>
            </w:tcBorders>
            <w:shd w:val="clear" w:color="auto" w:fill="auto"/>
            <w:vAlign w:val="center"/>
            <w:hideMark/>
          </w:tcPr>
          <w:p w14:paraId="036B016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single" w:sz="8" w:space="0" w:color="auto"/>
              <w:right w:val="dotted" w:sz="4" w:space="0" w:color="auto"/>
            </w:tcBorders>
            <w:shd w:val="clear" w:color="auto" w:fill="auto"/>
            <w:vAlign w:val="center"/>
            <w:hideMark/>
          </w:tcPr>
          <w:p w14:paraId="3B20E8B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788B8AD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1C5A5152"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4FEE69F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86404E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01C88B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61B52E1E"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7EB70EB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88" w:type="dxa"/>
            <w:tcBorders>
              <w:top w:val="nil"/>
              <w:left w:val="nil"/>
              <w:bottom w:val="single" w:sz="8" w:space="0" w:color="auto"/>
              <w:right w:val="dotted" w:sz="4" w:space="0" w:color="auto"/>
            </w:tcBorders>
            <w:shd w:val="clear" w:color="auto" w:fill="auto"/>
            <w:vAlign w:val="center"/>
            <w:hideMark/>
          </w:tcPr>
          <w:p w14:paraId="4FBD48B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1134" w:type="dxa"/>
            <w:tcBorders>
              <w:top w:val="nil"/>
              <w:left w:val="nil"/>
              <w:bottom w:val="single" w:sz="8" w:space="0" w:color="auto"/>
              <w:right w:val="single" w:sz="8" w:space="0" w:color="auto"/>
            </w:tcBorders>
            <w:shd w:val="clear" w:color="auto" w:fill="auto"/>
            <w:vAlign w:val="center"/>
            <w:hideMark/>
          </w:tcPr>
          <w:p w14:paraId="2B9B8F9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3DD82D3D" w14:textId="77777777" w:rsidTr="00123376">
        <w:trPr>
          <w:trHeight w:val="555"/>
        </w:trPr>
        <w:tc>
          <w:tcPr>
            <w:tcW w:w="1906" w:type="dxa"/>
            <w:vMerge w:val="restart"/>
            <w:tcBorders>
              <w:top w:val="nil"/>
              <w:left w:val="single" w:sz="8" w:space="0" w:color="auto"/>
              <w:bottom w:val="single" w:sz="8" w:space="0" w:color="000000"/>
              <w:right w:val="single" w:sz="8" w:space="0" w:color="auto"/>
            </w:tcBorders>
            <w:shd w:val="clear" w:color="000000" w:fill="EBF1DE"/>
            <w:vAlign w:val="center"/>
            <w:hideMark/>
          </w:tcPr>
          <w:p w14:paraId="7E9E5CB5"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Počet druhov rastlín a živočíchov a typov biotopov, ktoré sú súčasťou informačného systému monitoringu biotopov a druhov  [počet] - dopad</w:t>
            </w:r>
          </w:p>
        </w:tc>
        <w:tc>
          <w:tcPr>
            <w:tcW w:w="959" w:type="dxa"/>
            <w:tcBorders>
              <w:top w:val="nil"/>
              <w:left w:val="nil"/>
              <w:bottom w:val="dotted" w:sz="4" w:space="0" w:color="auto"/>
              <w:right w:val="single" w:sz="8" w:space="0" w:color="auto"/>
            </w:tcBorders>
            <w:shd w:val="clear" w:color="auto" w:fill="auto"/>
            <w:vAlign w:val="center"/>
            <w:hideMark/>
          </w:tcPr>
          <w:p w14:paraId="1C578D3C"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Dosiahnutý výsledok</w:t>
            </w:r>
          </w:p>
        </w:tc>
        <w:tc>
          <w:tcPr>
            <w:tcW w:w="500" w:type="dxa"/>
            <w:tcBorders>
              <w:top w:val="nil"/>
              <w:left w:val="nil"/>
              <w:bottom w:val="dotted" w:sz="4" w:space="0" w:color="auto"/>
              <w:right w:val="dotted" w:sz="4" w:space="0" w:color="auto"/>
            </w:tcBorders>
            <w:shd w:val="clear" w:color="auto" w:fill="auto"/>
            <w:vAlign w:val="center"/>
            <w:hideMark/>
          </w:tcPr>
          <w:p w14:paraId="65D1E57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405D596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583AB2D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5EEB71F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0980E43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30C085C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64D9BF32"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1088C413" w14:textId="3A7D5DFD" w:rsidR="00DD2EDC" w:rsidRPr="00E21C60" w:rsidRDefault="007E5016">
            <w:pPr>
              <w:jc w:val="center"/>
              <w:rPr>
                <w:rFonts w:ascii="Arial" w:hAnsi="Arial" w:cs="Arial"/>
                <w:color w:val="000000"/>
                <w:sz w:val="16"/>
                <w:szCs w:val="16"/>
              </w:rPr>
            </w:pPr>
            <w:r>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69D6B762" w14:textId="5D0297C5" w:rsidR="00DD2EDC" w:rsidRPr="00E21C60" w:rsidRDefault="00A56FD1">
            <w:pPr>
              <w:jc w:val="center"/>
              <w:rPr>
                <w:rFonts w:ascii="Arial" w:hAnsi="Arial" w:cs="Arial"/>
                <w:color w:val="000000"/>
                <w:sz w:val="16"/>
                <w:szCs w:val="16"/>
              </w:rPr>
            </w:pPr>
            <w:r>
              <w:rPr>
                <w:rFonts w:ascii="Arial" w:hAnsi="Arial" w:cs="Arial"/>
                <w:color w:val="000000"/>
                <w:sz w:val="16"/>
                <w:szCs w:val="16"/>
              </w:rPr>
              <w:t>2</w:t>
            </w:r>
          </w:p>
        </w:tc>
        <w:tc>
          <w:tcPr>
            <w:tcW w:w="588" w:type="dxa"/>
            <w:tcBorders>
              <w:top w:val="nil"/>
              <w:left w:val="nil"/>
              <w:bottom w:val="dotted" w:sz="4" w:space="0" w:color="auto"/>
              <w:right w:val="dotted" w:sz="4" w:space="0" w:color="auto"/>
            </w:tcBorders>
            <w:shd w:val="clear" w:color="auto" w:fill="auto"/>
            <w:vAlign w:val="center"/>
            <w:hideMark/>
          </w:tcPr>
          <w:p w14:paraId="6D462A6D" w14:textId="47853B9B" w:rsidR="00DD2EDC" w:rsidRPr="00E21C60" w:rsidRDefault="00A56FD1">
            <w:pPr>
              <w:jc w:val="center"/>
              <w:rPr>
                <w:rFonts w:ascii="Arial" w:hAnsi="Arial" w:cs="Arial"/>
                <w:color w:val="000000"/>
                <w:sz w:val="16"/>
                <w:szCs w:val="16"/>
              </w:rPr>
            </w:pPr>
            <w:r>
              <w:rPr>
                <w:rFonts w:ascii="Arial" w:hAnsi="Arial" w:cs="Arial"/>
                <w:color w:val="000000"/>
                <w:sz w:val="16"/>
                <w:szCs w:val="16"/>
              </w:rPr>
              <w:t>2</w:t>
            </w:r>
          </w:p>
        </w:tc>
        <w:tc>
          <w:tcPr>
            <w:tcW w:w="1134" w:type="dxa"/>
            <w:tcBorders>
              <w:top w:val="nil"/>
              <w:left w:val="nil"/>
              <w:bottom w:val="dotted" w:sz="4" w:space="0" w:color="auto"/>
              <w:right w:val="single" w:sz="8" w:space="0" w:color="auto"/>
            </w:tcBorders>
            <w:shd w:val="clear" w:color="auto" w:fill="auto"/>
            <w:vAlign w:val="center"/>
            <w:hideMark/>
          </w:tcPr>
          <w:p w14:paraId="37D6932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1022BF04"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294C507B" w14:textId="77777777" w:rsidR="00DD2EDC" w:rsidRPr="00E21C60" w:rsidRDefault="00DD2EDC">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6FB857EC"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Cieľ</w:t>
            </w:r>
          </w:p>
        </w:tc>
        <w:tc>
          <w:tcPr>
            <w:tcW w:w="500" w:type="dxa"/>
            <w:tcBorders>
              <w:top w:val="nil"/>
              <w:left w:val="nil"/>
              <w:bottom w:val="dotted" w:sz="4" w:space="0" w:color="auto"/>
              <w:right w:val="dotted" w:sz="4" w:space="0" w:color="auto"/>
            </w:tcBorders>
            <w:shd w:val="clear" w:color="auto" w:fill="auto"/>
            <w:vAlign w:val="center"/>
            <w:hideMark/>
          </w:tcPr>
          <w:p w14:paraId="0E11DF64"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5EB3AD1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2E04E45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0CB896EE"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2082DA3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56FA3AD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58AFE8D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6F83D29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2F34142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350</w:t>
            </w:r>
          </w:p>
        </w:tc>
        <w:tc>
          <w:tcPr>
            <w:tcW w:w="588" w:type="dxa"/>
            <w:tcBorders>
              <w:top w:val="nil"/>
              <w:left w:val="nil"/>
              <w:bottom w:val="dotted" w:sz="4" w:space="0" w:color="auto"/>
              <w:right w:val="dotted" w:sz="4" w:space="0" w:color="auto"/>
            </w:tcBorders>
            <w:shd w:val="clear" w:color="auto" w:fill="auto"/>
            <w:vAlign w:val="center"/>
            <w:hideMark/>
          </w:tcPr>
          <w:p w14:paraId="7BF5CF5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350</w:t>
            </w:r>
          </w:p>
        </w:tc>
        <w:tc>
          <w:tcPr>
            <w:tcW w:w="1134" w:type="dxa"/>
            <w:tcBorders>
              <w:top w:val="nil"/>
              <w:left w:val="nil"/>
              <w:bottom w:val="dotted" w:sz="4" w:space="0" w:color="auto"/>
              <w:right w:val="single" w:sz="8" w:space="0" w:color="auto"/>
            </w:tcBorders>
            <w:shd w:val="clear" w:color="auto" w:fill="auto"/>
            <w:vAlign w:val="center"/>
            <w:hideMark/>
          </w:tcPr>
          <w:p w14:paraId="20203F22" w14:textId="5D4C7762" w:rsidR="00DD2EDC" w:rsidRPr="00E21C60" w:rsidRDefault="005B40A5">
            <w:pPr>
              <w:jc w:val="center"/>
              <w:rPr>
                <w:rFonts w:ascii="Arial" w:hAnsi="Arial" w:cs="Arial"/>
                <w:color w:val="000000"/>
                <w:sz w:val="16"/>
                <w:szCs w:val="16"/>
              </w:rPr>
            </w:pPr>
            <w:r>
              <w:rPr>
                <w:rFonts w:ascii="Arial" w:hAnsi="Arial" w:cs="Arial"/>
                <w:color w:val="000000"/>
                <w:sz w:val="16"/>
                <w:szCs w:val="16"/>
              </w:rPr>
              <w:t>348</w:t>
            </w:r>
          </w:p>
        </w:tc>
      </w:tr>
      <w:tr w:rsidR="00DD2EDC" w:rsidRPr="00E21C60" w14:paraId="139946F3"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2006B0C1" w14:textId="77777777" w:rsidR="00DD2EDC" w:rsidRPr="00E21C60" w:rsidRDefault="00DD2EDC">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3BB7ADB6"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Východisko</w:t>
            </w:r>
          </w:p>
        </w:tc>
        <w:tc>
          <w:tcPr>
            <w:tcW w:w="500" w:type="dxa"/>
            <w:tcBorders>
              <w:top w:val="nil"/>
              <w:left w:val="nil"/>
              <w:bottom w:val="single" w:sz="8" w:space="0" w:color="auto"/>
              <w:right w:val="dotted" w:sz="4" w:space="0" w:color="auto"/>
            </w:tcBorders>
            <w:shd w:val="clear" w:color="auto" w:fill="auto"/>
            <w:vAlign w:val="center"/>
            <w:hideMark/>
          </w:tcPr>
          <w:p w14:paraId="108FF18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single" w:sz="8" w:space="0" w:color="auto"/>
              <w:right w:val="dotted" w:sz="4" w:space="0" w:color="auto"/>
            </w:tcBorders>
            <w:shd w:val="clear" w:color="auto" w:fill="auto"/>
            <w:vAlign w:val="center"/>
            <w:hideMark/>
          </w:tcPr>
          <w:p w14:paraId="7D320D7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43BF31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AE87C7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13FB97EE"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36004FDE"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4504B94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614503D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2FB1B656"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88" w:type="dxa"/>
            <w:tcBorders>
              <w:top w:val="nil"/>
              <w:left w:val="nil"/>
              <w:bottom w:val="single" w:sz="8" w:space="0" w:color="auto"/>
              <w:right w:val="dotted" w:sz="4" w:space="0" w:color="auto"/>
            </w:tcBorders>
            <w:shd w:val="clear" w:color="auto" w:fill="auto"/>
            <w:vAlign w:val="center"/>
            <w:hideMark/>
          </w:tcPr>
          <w:p w14:paraId="4FACC98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1134" w:type="dxa"/>
            <w:tcBorders>
              <w:top w:val="nil"/>
              <w:left w:val="nil"/>
              <w:bottom w:val="single" w:sz="8" w:space="0" w:color="auto"/>
              <w:right w:val="single" w:sz="8" w:space="0" w:color="auto"/>
            </w:tcBorders>
            <w:shd w:val="clear" w:color="auto" w:fill="auto"/>
            <w:vAlign w:val="center"/>
            <w:hideMark/>
          </w:tcPr>
          <w:p w14:paraId="32BCE49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 </w:t>
            </w:r>
          </w:p>
        </w:tc>
      </w:tr>
      <w:tr w:rsidR="00DD2EDC" w:rsidRPr="00E21C60" w14:paraId="0EB3C180" w14:textId="77777777" w:rsidTr="00123376">
        <w:trPr>
          <w:trHeight w:val="360"/>
        </w:trPr>
        <w:tc>
          <w:tcPr>
            <w:tcW w:w="9087" w:type="dxa"/>
            <w:gridSpan w:val="13"/>
            <w:tcBorders>
              <w:top w:val="nil"/>
              <w:left w:val="single" w:sz="8" w:space="0" w:color="auto"/>
              <w:bottom w:val="single" w:sz="8" w:space="0" w:color="auto"/>
              <w:right w:val="single" w:sz="8" w:space="0" w:color="000000"/>
            </w:tcBorders>
            <w:shd w:val="clear" w:color="000000" w:fill="EAF1DD"/>
            <w:noWrap/>
            <w:vAlign w:val="center"/>
            <w:hideMark/>
          </w:tcPr>
          <w:p w14:paraId="7A439B8F" w14:textId="77777777" w:rsidR="00DD2EDC" w:rsidRPr="00E21C60" w:rsidRDefault="00DD2EDC">
            <w:pPr>
              <w:rPr>
                <w:rFonts w:ascii="Arial" w:hAnsi="Arial" w:cs="Arial"/>
                <w:b/>
                <w:bCs/>
                <w:color w:val="000000"/>
                <w:sz w:val="16"/>
                <w:szCs w:val="16"/>
              </w:rPr>
            </w:pPr>
            <w:r w:rsidRPr="00E21C60">
              <w:rPr>
                <w:rFonts w:ascii="Arial" w:hAnsi="Arial" w:cs="Arial"/>
                <w:b/>
                <w:bCs/>
                <w:color w:val="000000"/>
                <w:sz w:val="16"/>
                <w:szCs w:val="16"/>
              </w:rPr>
              <w:t>Prioritná os 7 - Budovanie povodňového varovného a predpovedného systému</w:t>
            </w:r>
          </w:p>
        </w:tc>
      </w:tr>
      <w:tr w:rsidR="00DD2EDC" w:rsidRPr="00E21C60" w14:paraId="7C7A5373" w14:textId="77777777" w:rsidTr="00123376">
        <w:trPr>
          <w:trHeight w:val="555"/>
        </w:trPr>
        <w:tc>
          <w:tcPr>
            <w:tcW w:w="1906" w:type="dxa"/>
            <w:vMerge w:val="restart"/>
            <w:tcBorders>
              <w:top w:val="nil"/>
              <w:left w:val="single" w:sz="8" w:space="0" w:color="auto"/>
              <w:bottom w:val="single" w:sz="8" w:space="0" w:color="000000"/>
              <w:right w:val="single" w:sz="8" w:space="0" w:color="auto"/>
            </w:tcBorders>
            <w:shd w:val="clear" w:color="000000" w:fill="EBF1DE"/>
            <w:vAlign w:val="center"/>
            <w:hideMark/>
          </w:tcPr>
          <w:p w14:paraId="21130B6B"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Počet inštitúcií napojených na POVAPSYS [počet]</w:t>
            </w:r>
          </w:p>
        </w:tc>
        <w:tc>
          <w:tcPr>
            <w:tcW w:w="959" w:type="dxa"/>
            <w:tcBorders>
              <w:top w:val="nil"/>
              <w:left w:val="nil"/>
              <w:bottom w:val="dotted" w:sz="4" w:space="0" w:color="auto"/>
              <w:right w:val="single" w:sz="8" w:space="0" w:color="auto"/>
            </w:tcBorders>
            <w:shd w:val="clear" w:color="auto" w:fill="auto"/>
            <w:vAlign w:val="center"/>
            <w:hideMark/>
          </w:tcPr>
          <w:p w14:paraId="72A9B905"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Dosiahnutý výsledok</w:t>
            </w:r>
          </w:p>
        </w:tc>
        <w:tc>
          <w:tcPr>
            <w:tcW w:w="500" w:type="dxa"/>
            <w:tcBorders>
              <w:top w:val="nil"/>
              <w:left w:val="nil"/>
              <w:bottom w:val="dotted" w:sz="4" w:space="0" w:color="auto"/>
              <w:right w:val="dotted" w:sz="4" w:space="0" w:color="auto"/>
            </w:tcBorders>
            <w:shd w:val="clear" w:color="auto" w:fill="auto"/>
            <w:vAlign w:val="center"/>
            <w:hideMark/>
          </w:tcPr>
          <w:p w14:paraId="742BFB0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5649883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5DFB95F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17B646A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46C26265"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2A4586B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484E2C5E"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0</w:t>
            </w:r>
          </w:p>
        </w:tc>
        <w:tc>
          <w:tcPr>
            <w:tcW w:w="500" w:type="dxa"/>
            <w:tcBorders>
              <w:top w:val="nil"/>
              <w:left w:val="nil"/>
              <w:bottom w:val="dotted" w:sz="4" w:space="0" w:color="auto"/>
              <w:right w:val="dotted" w:sz="4" w:space="0" w:color="auto"/>
            </w:tcBorders>
            <w:shd w:val="clear" w:color="auto" w:fill="auto"/>
            <w:vAlign w:val="center"/>
            <w:hideMark/>
          </w:tcPr>
          <w:p w14:paraId="7A08DEB9" w14:textId="768B8BD9" w:rsidR="00DD2EDC" w:rsidRPr="00E21C60" w:rsidRDefault="00623A20">
            <w:pPr>
              <w:jc w:val="center"/>
              <w:rPr>
                <w:rFonts w:ascii="Arial" w:hAnsi="Arial" w:cs="Arial"/>
                <w:color w:val="000000"/>
                <w:sz w:val="16"/>
                <w:szCs w:val="16"/>
              </w:rPr>
            </w:pPr>
            <w:r>
              <w:rPr>
                <w:rFonts w:ascii="Arial" w:hAnsi="Arial" w:cs="Arial"/>
                <w:color w:val="000000"/>
                <w:sz w:val="16"/>
                <w:szCs w:val="16"/>
              </w:rPr>
              <w:t>1</w:t>
            </w:r>
          </w:p>
        </w:tc>
        <w:tc>
          <w:tcPr>
            <w:tcW w:w="500" w:type="dxa"/>
            <w:tcBorders>
              <w:top w:val="nil"/>
              <w:left w:val="nil"/>
              <w:bottom w:val="dotted" w:sz="4" w:space="0" w:color="auto"/>
              <w:right w:val="dotted" w:sz="4" w:space="0" w:color="auto"/>
            </w:tcBorders>
            <w:shd w:val="clear" w:color="auto" w:fill="auto"/>
            <w:vAlign w:val="center"/>
            <w:hideMark/>
          </w:tcPr>
          <w:p w14:paraId="41555179" w14:textId="09E5A2E1" w:rsidR="00DD2EDC" w:rsidRPr="00E21C60" w:rsidRDefault="005B40A5" w:rsidP="005B40A5">
            <w:pPr>
              <w:jc w:val="center"/>
              <w:rPr>
                <w:rFonts w:ascii="Arial" w:hAnsi="Arial" w:cs="Arial"/>
                <w:color w:val="000000"/>
                <w:sz w:val="16"/>
                <w:szCs w:val="16"/>
              </w:rPr>
            </w:pPr>
            <w:r>
              <w:rPr>
                <w:rFonts w:ascii="Arial" w:hAnsi="Arial" w:cs="Arial"/>
                <w:color w:val="000000"/>
                <w:sz w:val="16"/>
                <w:szCs w:val="16"/>
              </w:rPr>
              <w:t>2</w:t>
            </w:r>
          </w:p>
        </w:tc>
        <w:tc>
          <w:tcPr>
            <w:tcW w:w="588" w:type="dxa"/>
            <w:tcBorders>
              <w:top w:val="nil"/>
              <w:left w:val="nil"/>
              <w:bottom w:val="dotted" w:sz="4" w:space="0" w:color="auto"/>
              <w:right w:val="dotted" w:sz="4" w:space="0" w:color="auto"/>
            </w:tcBorders>
            <w:shd w:val="clear" w:color="auto" w:fill="auto"/>
            <w:vAlign w:val="center"/>
            <w:hideMark/>
          </w:tcPr>
          <w:p w14:paraId="012368F3" w14:textId="49A64B82" w:rsidR="00DD2EDC" w:rsidRPr="00E21C60" w:rsidRDefault="005B40A5">
            <w:pPr>
              <w:jc w:val="center"/>
              <w:rPr>
                <w:rFonts w:ascii="Arial" w:hAnsi="Arial" w:cs="Arial"/>
                <w:color w:val="000000"/>
                <w:sz w:val="16"/>
                <w:szCs w:val="16"/>
              </w:rPr>
            </w:pPr>
            <w:r>
              <w:rPr>
                <w:rFonts w:ascii="Arial" w:hAnsi="Arial" w:cs="Arial"/>
                <w:color w:val="000000"/>
                <w:sz w:val="16"/>
                <w:szCs w:val="16"/>
              </w:rPr>
              <w:t>2</w:t>
            </w:r>
          </w:p>
        </w:tc>
        <w:tc>
          <w:tcPr>
            <w:tcW w:w="1134" w:type="dxa"/>
            <w:vMerge w:val="restart"/>
            <w:tcBorders>
              <w:top w:val="nil"/>
              <w:left w:val="dotted" w:sz="4" w:space="0" w:color="auto"/>
              <w:bottom w:val="single" w:sz="8" w:space="0" w:color="000000"/>
              <w:right w:val="single" w:sz="8" w:space="0" w:color="auto"/>
            </w:tcBorders>
            <w:shd w:val="clear" w:color="auto" w:fill="auto"/>
            <w:vAlign w:val="center"/>
            <w:hideMark/>
          </w:tcPr>
          <w:p w14:paraId="67C144D3" w14:textId="55D9D8CA" w:rsidR="00DD2EDC" w:rsidRPr="00123376" w:rsidRDefault="00623A20" w:rsidP="00623A20">
            <w:pPr>
              <w:jc w:val="center"/>
              <w:rPr>
                <w:rFonts w:ascii="Arial" w:hAnsi="Arial" w:cs="Arial"/>
                <w:color w:val="000000"/>
                <w:sz w:val="14"/>
                <w:szCs w:val="14"/>
              </w:rPr>
            </w:pPr>
            <w:r>
              <w:rPr>
                <w:rFonts w:ascii="Arial" w:hAnsi="Arial" w:cs="Arial"/>
                <w:color w:val="000000"/>
                <w:sz w:val="16"/>
                <w:szCs w:val="16"/>
              </w:rPr>
              <w:t>1</w:t>
            </w:r>
          </w:p>
        </w:tc>
      </w:tr>
      <w:tr w:rsidR="00DD2EDC" w:rsidRPr="00E21C60" w14:paraId="3C2C3EC9"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7BE06C31" w14:textId="77777777" w:rsidR="00DD2EDC" w:rsidRPr="00E21C60" w:rsidRDefault="00DD2EDC">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6BA39919"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Cieľ</w:t>
            </w:r>
          </w:p>
        </w:tc>
        <w:tc>
          <w:tcPr>
            <w:tcW w:w="500" w:type="dxa"/>
            <w:tcBorders>
              <w:top w:val="nil"/>
              <w:left w:val="nil"/>
              <w:bottom w:val="dotted" w:sz="4" w:space="0" w:color="auto"/>
              <w:right w:val="dotted" w:sz="4" w:space="0" w:color="auto"/>
            </w:tcBorders>
            <w:shd w:val="clear" w:color="auto" w:fill="auto"/>
            <w:vAlign w:val="center"/>
            <w:hideMark/>
          </w:tcPr>
          <w:p w14:paraId="7E35335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59FE7F2B"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13617F3F"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1E5B599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31880D08"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4B68C15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0CCD69B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3F5C6B4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dotted" w:sz="4" w:space="0" w:color="auto"/>
              <w:right w:val="dotted" w:sz="4" w:space="0" w:color="auto"/>
            </w:tcBorders>
            <w:shd w:val="clear" w:color="auto" w:fill="auto"/>
            <w:vAlign w:val="center"/>
            <w:hideMark/>
          </w:tcPr>
          <w:p w14:paraId="578CD45E"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3</w:t>
            </w:r>
          </w:p>
        </w:tc>
        <w:tc>
          <w:tcPr>
            <w:tcW w:w="588" w:type="dxa"/>
            <w:tcBorders>
              <w:top w:val="nil"/>
              <w:left w:val="nil"/>
              <w:bottom w:val="dotted" w:sz="4" w:space="0" w:color="auto"/>
              <w:right w:val="dotted" w:sz="4" w:space="0" w:color="auto"/>
            </w:tcBorders>
            <w:shd w:val="clear" w:color="auto" w:fill="auto"/>
            <w:vAlign w:val="center"/>
            <w:hideMark/>
          </w:tcPr>
          <w:p w14:paraId="50BBF5D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3</w:t>
            </w:r>
          </w:p>
        </w:tc>
        <w:tc>
          <w:tcPr>
            <w:tcW w:w="1134" w:type="dxa"/>
            <w:vMerge/>
            <w:tcBorders>
              <w:top w:val="nil"/>
              <w:left w:val="dotted" w:sz="4" w:space="0" w:color="auto"/>
              <w:bottom w:val="single" w:sz="8" w:space="0" w:color="000000"/>
              <w:right w:val="single" w:sz="8" w:space="0" w:color="auto"/>
            </w:tcBorders>
            <w:vAlign w:val="center"/>
            <w:hideMark/>
          </w:tcPr>
          <w:p w14:paraId="55D3DF59" w14:textId="77777777" w:rsidR="00DD2EDC" w:rsidRPr="00E21C60" w:rsidRDefault="00DD2EDC">
            <w:pPr>
              <w:rPr>
                <w:rFonts w:ascii="Arial" w:hAnsi="Arial" w:cs="Arial"/>
                <w:color w:val="000000"/>
                <w:sz w:val="16"/>
                <w:szCs w:val="16"/>
              </w:rPr>
            </w:pPr>
          </w:p>
        </w:tc>
      </w:tr>
      <w:tr w:rsidR="00DD2EDC" w:rsidRPr="00E21C60" w14:paraId="662CD361" w14:textId="77777777" w:rsidTr="00123376">
        <w:trPr>
          <w:trHeight w:val="555"/>
        </w:trPr>
        <w:tc>
          <w:tcPr>
            <w:tcW w:w="1906" w:type="dxa"/>
            <w:vMerge/>
            <w:tcBorders>
              <w:top w:val="nil"/>
              <w:left w:val="single" w:sz="8" w:space="0" w:color="auto"/>
              <w:bottom w:val="single" w:sz="8" w:space="0" w:color="000000"/>
              <w:right w:val="single" w:sz="8" w:space="0" w:color="auto"/>
            </w:tcBorders>
            <w:vAlign w:val="center"/>
            <w:hideMark/>
          </w:tcPr>
          <w:p w14:paraId="08717C9D" w14:textId="77777777" w:rsidR="00DD2EDC" w:rsidRPr="00E21C60" w:rsidRDefault="00DD2EDC">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04C6537A" w14:textId="77777777" w:rsidR="00DD2EDC" w:rsidRPr="00E21C60" w:rsidRDefault="00DD2EDC">
            <w:pPr>
              <w:rPr>
                <w:rFonts w:ascii="Arial" w:hAnsi="Arial" w:cs="Arial"/>
                <w:color w:val="000000"/>
                <w:sz w:val="16"/>
                <w:szCs w:val="16"/>
              </w:rPr>
            </w:pPr>
            <w:r w:rsidRPr="00E21C60">
              <w:rPr>
                <w:rFonts w:ascii="Arial" w:hAnsi="Arial" w:cs="Arial"/>
                <w:color w:val="000000"/>
                <w:sz w:val="16"/>
                <w:szCs w:val="16"/>
              </w:rPr>
              <w:t>Východisko</w:t>
            </w:r>
          </w:p>
        </w:tc>
        <w:tc>
          <w:tcPr>
            <w:tcW w:w="500" w:type="dxa"/>
            <w:tcBorders>
              <w:top w:val="nil"/>
              <w:left w:val="nil"/>
              <w:bottom w:val="single" w:sz="8" w:space="0" w:color="auto"/>
              <w:right w:val="dotted" w:sz="4" w:space="0" w:color="auto"/>
            </w:tcBorders>
            <w:shd w:val="clear" w:color="auto" w:fill="auto"/>
            <w:vAlign w:val="center"/>
            <w:hideMark/>
          </w:tcPr>
          <w:p w14:paraId="477D2AE3"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500" w:type="dxa"/>
            <w:tcBorders>
              <w:top w:val="nil"/>
              <w:left w:val="nil"/>
              <w:bottom w:val="single" w:sz="8" w:space="0" w:color="auto"/>
              <w:right w:val="dotted" w:sz="4" w:space="0" w:color="auto"/>
            </w:tcBorders>
            <w:shd w:val="clear" w:color="auto" w:fill="auto"/>
            <w:vAlign w:val="center"/>
            <w:hideMark/>
          </w:tcPr>
          <w:p w14:paraId="27E32FD1"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51AE273D"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21241F7C"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01D8A71A"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6F8F35C2"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640E3ED9"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118E06D7"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00" w:type="dxa"/>
            <w:tcBorders>
              <w:top w:val="nil"/>
              <w:left w:val="nil"/>
              <w:bottom w:val="single" w:sz="8" w:space="0" w:color="auto"/>
              <w:right w:val="dotted" w:sz="4" w:space="0" w:color="auto"/>
            </w:tcBorders>
            <w:shd w:val="clear" w:color="auto" w:fill="auto"/>
            <w:vAlign w:val="center"/>
            <w:hideMark/>
          </w:tcPr>
          <w:p w14:paraId="10A9313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N/A</w:t>
            </w:r>
          </w:p>
        </w:tc>
        <w:tc>
          <w:tcPr>
            <w:tcW w:w="588" w:type="dxa"/>
            <w:tcBorders>
              <w:top w:val="nil"/>
              <w:left w:val="nil"/>
              <w:bottom w:val="single" w:sz="8" w:space="0" w:color="auto"/>
              <w:right w:val="dotted" w:sz="4" w:space="0" w:color="auto"/>
            </w:tcBorders>
            <w:shd w:val="clear" w:color="auto" w:fill="auto"/>
            <w:vAlign w:val="center"/>
            <w:hideMark/>
          </w:tcPr>
          <w:p w14:paraId="45D0B210" w14:textId="77777777" w:rsidR="00DD2EDC" w:rsidRPr="00E21C60" w:rsidRDefault="00DD2EDC">
            <w:pPr>
              <w:jc w:val="center"/>
              <w:rPr>
                <w:rFonts w:ascii="Arial" w:hAnsi="Arial" w:cs="Arial"/>
                <w:color w:val="000000"/>
                <w:sz w:val="16"/>
                <w:szCs w:val="16"/>
              </w:rPr>
            </w:pPr>
            <w:r w:rsidRPr="00E21C60">
              <w:rPr>
                <w:rFonts w:ascii="Arial" w:hAnsi="Arial" w:cs="Arial"/>
                <w:color w:val="000000"/>
                <w:sz w:val="16"/>
                <w:szCs w:val="16"/>
              </w:rPr>
              <w:t>1</w:t>
            </w:r>
          </w:p>
        </w:tc>
        <w:tc>
          <w:tcPr>
            <w:tcW w:w="1134" w:type="dxa"/>
            <w:vMerge/>
            <w:tcBorders>
              <w:top w:val="nil"/>
              <w:left w:val="dotted" w:sz="4" w:space="0" w:color="auto"/>
              <w:bottom w:val="single" w:sz="8" w:space="0" w:color="000000"/>
              <w:right w:val="single" w:sz="8" w:space="0" w:color="auto"/>
            </w:tcBorders>
            <w:vAlign w:val="center"/>
            <w:hideMark/>
          </w:tcPr>
          <w:p w14:paraId="724BEF6B" w14:textId="77777777" w:rsidR="00DD2EDC" w:rsidRPr="00E21C60" w:rsidRDefault="00DD2EDC">
            <w:pPr>
              <w:rPr>
                <w:rFonts w:ascii="Arial" w:hAnsi="Arial" w:cs="Arial"/>
                <w:color w:val="000000"/>
                <w:sz w:val="16"/>
                <w:szCs w:val="16"/>
              </w:rPr>
            </w:pPr>
          </w:p>
        </w:tc>
      </w:tr>
    </w:tbl>
    <w:p w14:paraId="60B625A6" w14:textId="77777777" w:rsidR="000D360F" w:rsidRPr="00123376" w:rsidRDefault="00000CC9" w:rsidP="00123376">
      <w:pPr>
        <w:jc w:val="both"/>
        <w:rPr>
          <w:rFonts w:ascii="Arial" w:hAnsi="Arial" w:cs="Arial"/>
          <w:sz w:val="16"/>
          <w:szCs w:val="16"/>
        </w:rPr>
      </w:pPr>
      <w:r w:rsidRPr="00123376">
        <w:rPr>
          <w:rFonts w:ascii="Arial" w:hAnsi="Arial" w:cs="Arial"/>
          <w:sz w:val="16"/>
          <w:szCs w:val="16"/>
        </w:rPr>
        <w:t>Zdroj: RO, ITMS</w:t>
      </w:r>
    </w:p>
    <w:p w14:paraId="46CF4358" w14:textId="57E7161E" w:rsidR="002416B1" w:rsidRPr="00E21C60" w:rsidRDefault="002416B1" w:rsidP="00123376">
      <w:pPr>
        <w:jc w:val="both"/>
        <w:rPr>
          <w:rFonts w:ascii="Arial" w:hAnsi="Arial" w:cs="Arial"/>
          <w:i/>
          <w:sz w:val="16"/>
          <w:szCs w:val="16"/>
        </w:rPr>
      </w:pPr>
      <w:r w:rsidRPr="00E21C60">
        <w:rPr>
          <w:rFonts w:ascii="Arial" w:hAnsi="Arial" w:cs="Arial"/>
          <w:i/>
          <w:sz w:val="16"/>
          <w:szCs w:val="16"/>
        </w:rPr>
        <w:t>1 - Údaj obsahuje deklarovanú cieľovú hodnotu projekt</w:t>
      </w:r>
      <w:r w:rsidR="000A4DF7">
        <w:rPr>
          <w:rFonts w:ascii="Arial" w:hAnsi="Arial" w:cs="Arial"/>
          <w:i/>
          <w:sz w:val="16"/>
          <w:szCs w:val="16"/>
        </w:rPr>
        <w:t>ov v zmysle zmluvy o NFP k 31.10</w:t>
      </w:r>
      <w:r w:rsidRPr="00E21C60">
        <w:rPr>
          <w:rFonts w:ascii="Arial" w:hAnsi="Arial" w:cs="Arial"/>
          <w:i/>
          <w:sz w:val="16"/>
          <w:szCs w:val="16"/>
        </w:rPr>
        <w:t>.</w:t>
      </w:r>
      <w:r w:rsidR="008655C6" w:rsidRPr="00E21C60">
        <w:rPr>
          <w:rFonts w:ascii="Arial" w:hAnsi="Arial" w:cs="Arial"/>
          <w:i/>
          <w:sz w:val="16"/>
          <w:szCs w:val="16"/>
        </w:rPr>
        <w:t>201</w:t>
      </w:r>
      <w:r w:rsidR="000A4DF7">
        <w:rPr>
          <w:rFonts w:ascii="Arial" w:hAnsi="Arial" w:cs="Arial"/>
          <w:i/>
          <w:sz w:val="16"/>
          <w:szCs w:val="16"/>
        </w:rPr>
        <w:t>6</w:t>
      </w:r>
      <w:r w:rsidRPr="00E21C60">
        <w:rPr>
          <w:rFonts w:ascii="Arial" w:hAnsi="Arial" w:cs="Arial"/>
          <w:i/>
          <w:sz w:val="16"/>
          <w:szCs w:val="16"/>
        </w:rPr>
        <w:t xml:space="preserve">. Hodnota ukazovateľa dopadu na úrovni projektov sa vykazuje na základe následných monitorovacích správ, ktoré sú predkladané rok po skončení realizácie projektu. </w:t>
      </w:r>
      <w:r w:rsidR="004A7083" w:rsidRPr="00E21C60">
        <w:rPr>
          <w:rFonts w:ascii="Arial" w:hAnsi="Arial" w:cs="Arial"/>
          <w:i/>
          <w:sz w:val="16"/>
          <w:szCs w:val="16"/>
        </w:rPr>
        <w:t>Hodnota ukazovateľa výsledku na úrovni projektov sa vykazuje na základe záverečných monitorovacích správ, ktoré sú predkladané po skončení realizácie projektu</w:t>
      </w:r>
      <w:r w:rsidR="00E84E35" w:rsidRPr="00E21C60">
        <w:rPr>
          <w:rFonts w:ascii="Arial" w:hAnsi="Arial" w:cs="Arial"/>
          <w:i/>
          <w:sz w:val="16"/>
          <w:szCs w:val="16"/>
        </w:rPr>
        <w:t>.</w:t>
      </w:r>
      <w:r w:rsidR="004A7083" w:rsidRPr="00E21C60">
        <w:rPr>
          <w:rFonts w:ascii="Arial" w:hAnsi="Arial" w:cs="Arial"/>
          <w:i/>
          <w:sz w:val="16"/>
          <w:szCs w:val="16"/>
        </w:rPr>
        <w:t xml:space="preserve"> </w:t>
      </w:r>
      <w:r w:rsidRPr="00E21C60">
        <w:rPr>
          <w:rFonts w:ascii="Arial" w:hAnsi="Arial" w:cs="Arial"/>
          <w:i/>
          <w:sz w:val="16"/>
          <w:szCs w:val="16"/>
        </w:rPr>
        <w:t>V súčasnosti prebieha realizácia projektov.</w:t>
      </w:r>
    </w:p>
    <w:p w14:paraId="18577258" w14:textId="77777777" w:rsidR="00644D1A" w:rsidRPr="00E21C60" w:rsidRDefault="00644D1A" w:rsidP="00123376">
      <w:pPr>
        <w:jc w:val="both"/>
        <w:rPr>
          <w:rFonts w:ascii="Arial" w:hAnsi="Arial" w:cs="Arial"/>
          <w:i/>
          <w:iCs/>
          <w:sz w:val="16"/>
          <w:szCs w:val="16"/>
        </w:rPr>
      </w:pPr>
      <w:r w:rsidRPr="00E21C60">
        <w:rPr>
          <w:rFonts w:ascii="Arial" w:hAnsi="Arial" w:cs="Arial"/>
          <w:i/>
          <w:iCs/>
          <w:sz w:val="16"/>
          <w:szCs w:val="16"/>
        </w:rPr>
        <w:t>V</w:t>
      </w:r>
      <w:r w:rsidR="00BA6D8C" w:rsidRPr="00E21C60">
        <w:rPr>
          <w:rFonts w:ascii="Arial" w:hAnsi="Arial" w:cs="Arial"/>
          <w:i/>
          <w:iCs/>
          <w:sz w:val="16"/>
          <w:szCs w:val="16"/>
        </w:rPr>
        <w:t> prípade v</w:t>
      </w:r>
      <w:r w:rsidRPr="00E21C60">
        <w:rPr>
          <w:rFonts w:ascii="Arial" w:hAnsi="Arial" w:cs="Arial"/>
          <w:i/>
          <w:iCs/>
          <w:sz w:val="16"/>
          <w:szCs w:val="16"/>
        </w:rPr>
        <w:t>ýchodiskov</w:t>
      </w:r>
      <w:r w:rsidR="00BA6D8C" w:rsidRPr="00E21C60">
        <w:rPr>
          <w:rFonts w:ascii="Arial" w:hAnsi="Arial" w:cs="Arial"/>
          <w:i/>
          <w:iCs/>
          <w:sz w:val="16"/>
          <w:szCs w:val="16"/>
        </w:rPr>
        <w:t>ých</w:t>
      </w:r>
      <w:r w:rsidRPr="00E21C60">
        <w:rPr>
          <w:rFonts w:ascii="Arial" w:hAnsi="Arial" w:cs="Arial"/>
          <w:i/>
          <w:iCs/>
          <w:sz w:val="16"/>
          <w:szCs w:val="16"/>
        </w:rPr>
        <w:t xml:space="preserve"> a cieľov</w:t>
      </w:r>
      <w:r w:rsidR="00BA6D8C" w:rsidRPr="00E21C60">
        <w:rPr>
          <w:rFonts w:ascii="Arial" w:hAnsi="Arial" w:cs="Arial"/>
          <w:i/>
          <w:iCs/>
          <w:sz w:val="16"/>
          <w:szCs w:val="16"/>
        </w:rPr>
        <w:t>ých</w:t>
      </w:r>
      <w:r w:rsidRPr="00E21C60">
        <w:rPr>
          <w:rFonts w:ascii="Arial" w:hAnsi="Arial" w:cs="Arial"/>
          <w:i/>
          <w:iCs/>
          <w:sz w:val="16"/>
          <w:szCs w:val="16"/>
        </w:rPr>
        <w:t xml:space="preserve"> hodn</w:t>
      </w:r>
      <w:r w:rsidR="00BA6D8C" w:rsidRPr="00E21C60">
        <w:rPr>
          <w:rFonts w:ascii="Arial" w:hAnsi="Arial" w:cs="Arial"/>
          <w:i/>
          <w:iCs/>
          <w:sz w:val="16"/>
          <w:szCs w:val="16"/>
        </w:rPr>
        <w:t>ô</w:t>
      </w:r>
      <w:r w:rsidRPr="00E21C60">
        <w:rPr>
          <w:rFonts w:ascii="Arial" w:hAnsi="Arial" w:cs="Arial"/>
          <w:i/>
          <w:iCs/>
          <w:sz w:val="16"/>
          <w:szCs w:val="16"/>
        </w:rPr>
        <w:t xml:space="preserve">t ukazovateľov </w:t>
      </w:r>
      <w:r w:rsidR="00C77D81">
        <w:rPr>
          <w:rFonts w:ascii="Arial" w:hAnsi="Arial" w:cs="Arial"/>
          <w:i/>
          <w:iCs/>
          <w:sz w:val="16"/>
          <w:szCs w:val="16"/>
        </w:rPr>
        <w:t>ide</w:t>
      </w:r>
      <w:r w:rsidRPr="00E21C60">
        <w:rPr>
          <w:rFonts w:ascii="Arial" w:hAnsi="Arial" w:cs="Arial"/>
          <w:i/>
          <w:iCs/>
          <w:sz w:val="16"/>
          <w:szCs w:val="16"/>
        </w:rPr>
        <w:t xml:space="preserve"> o hodnoty </w:t>
      </w:r>
      <w:r w:rsidR="002533BA" w:rsidRPr="00E21C60">
        <w:rPr>
          <w:rFonts w:ascii="Arial" w:hAnsi="Arial" w:cs="Arial"/>
          <w:i/>
          <w:iCs/>
          <w:sz w:val="16"/>
          <w:szCs w:val="16"/>
        </w:rPr>
        <w:t xml:space="preserve">len </w:t>
      </w:r>
      <w:r w:rsidRPr="00E21C60">
        <w:rPr>
          <w:rFonts w:ascii="Arial" w:hAnsi="Arial" w:cs="Arial"/>
          <w:i/>
          <w:iCs/>
          <w:sz w:val="16"/>
          <w:szCs w:val="16"/>
        </w:rPr>
        <w:t>projektov OP ŽP s relevanciou k HP IS.</w:t>
      </w:r>
    </w:p>
    <w:p w14:paraId="6DCA589B" w14:textId="77777777" w:rsidR="008216A0" w:rsidRPr="00E21C60" w:rsidRDefault="00644D1A" w:rsidP="00123376">
      <w:pPr>
        <w:jc w:val="both"/>
        <w:rPr>
          <w:rFonts w:ascii="Arial" w:hAnsi="Arial" w:cs="Arial"/>
          <w:i/>
          <w:iCs/>
          <w:sz w:val="16"/>
          <w:szCs w:val="16"/>
        </w:rPr>
      </w:pPr>
      <w:r w:rsidRPr="00E21C60">
        <w:rPr>
          <w:rFonts w:ascii="Arial" w:hAnsi="Arial" w:cs="Arial"/>
          <w:i/>
          <w:iCs/>
          <w:sz w:val="16"/>
          <w:szCs w:val="16"/>
        </w:rPr>
        <w:t xml:space="preserve">V prípade, že hodnoty „dosiahnutý výsledok“ vyššie uvedených ukazovateľov sú menšie než hodnoty ukazovateľov, ktoré sa vykazujú na úrovni OP ŽP, je to z dôvodu, že v prípade vyššie uvedených ukazovateľov </w:t>
      </w:r>
      <w:r w:rsidR="00C77D81">
        <w:rPr>
          <w:rFonts w:ascii="Arial" w:hAnsi="Arial" w:cs="Arial"/>
          <w:i/>
          <w:iCs/>
          <w:sz w:val="16"/>
          <w:szCs w:val="16"/>
        </w:rPr>
        <w:t>ide</w:t>
      </w:r>
      <w:r w:rsidRPr="00E21C60">
        <w:rPr>
          <w:rFonts w:ascii="Arial" w:hAnsi="Arial" w:cs="Arial"/>
          <w:i/>
          <w:iCs/>
          <w:sz w:val="16"/>
          <w:szCs w:val="16"/>
        </w:rPr>
        <w:t xml:space="preserve"> o hodnoty projektov, ktoré si vykázali relevanciu k HP IS.</w:t>
      </w:r>
    </w:p>
    <w:p w14:paraId="06B62CD2" w14:textId="77777777" w:rsidR="004A7083" w:rsidRPr="00E21C60" w:rsidRDefault="004A7083" w:rsidP="00123376">
      <w:pPr>
        <w:spacing w:before="120"/>
        <w:jc w:val="both"/>
        <w:rPr>
          <w:rFonts w:ascii="Arial" w:hAnsi="Arial" w:cs="Arial"/>
          <w:sz w:val="20"/>
          <w:szCs w:val="20"/>
        </w:rPr>
      </w:pPr>
      <w:r w:rsidRPr="00E21C60">
        <w:rPr>
          <w:rFonts w:ascii="Arial" w:hAnsi="Arial" w:cs="Arial"/>
          <w:sz w:val="20"/>
          <w:szCs w:val="20"/>
        </w:rPr>
        <w:t xml:space="preserve">Relevancia opatrení 3.1 Ochrana ovzdušia, 4.4 Riešenie environmentálnych záťaží vrátane ich odstraňovania a 5.1 Zabezpečenie priaznivého stavu biotopov a druhov prostredníctvom vypracovania a realizácie programov starostlivosti o chránené územia vrátane území NATURA 2000 a programov záchrany pre kriticky ohrozené druhy rastlín, živočíchov a území vrátane realizácie monitoringu druhov a biotopov k cieľom HP IS bola identifikovaná v rámci špecifického cieľa </w:t>
      </w:r>
      <w:r w:rsidR="00DD0E8F" w:rsidRPr="00E21C60">
        <w:rPr>
          <w:rFonts w:ascii="Arial" w:hAnsi="Arial" w:cs="Arial"/>
          <w:sz w:val="20"/>
          <w:szCs w:val="20"/>
        </w:rPr>
        <w:t xml:space="preserve">2 </w:t>
      </w:r>
      <w:r w:rsidRPr="00E21C60">
        <w:rPr>
          <w:rFonts w:ascii="Arial" w:hAnsi="Arial" w:cs="Arial"/>
          <w:sz w:val="20"/>
          <w:szCs w:val="20"/>
        </w:rPr>
        <w:t xml:space="preserve">HP IS  </w:t>
      </w:r>
      <w:r w:rsidRPr="00E21C60">
        <w:rPr>
          <w:rFonts w:ascii="Arial" w:hAnsi="Arial" w:cs="Arial"/>
          <w:i/>
          <w:sz w:val="20"/>
          <w:szCs w:val="20"/>
        </w:rPr>
        <w:t>Efektívna elektronizácia verejnej správy</w:t>
      </w:r>
      <w:r w:rsidRPr="00E21C60">
        <w:rPr>
          <w:rFonts w:ascii="Arial" w:hAnsi="Arial" w:cs="Arial"/>
          <w:sz w:val="20"/>
          <w:szCs w:val="20"/>
        </w:rPr>
        <w:t> napĺňaním čiastkových cieľov:</w:t>
      </w:r>
    </w:p>
    <w:p w14:paraId="15E2272B" w14:textId="77777777" w:rsidR="004A7083" w:rsidRPr="00E21C60" w:rsidRDefault="004A7083" w:rsidP="000A4DF7">
      <w:pPr>
        <w:pStyle w:val="Odsekzoznamu"/>
        <w:numPr>
          <w:ilvl w:val="0"/>
          <w:numId w:val="41"/>
        </w:numPr>
        <w:spacing w:before="120" w:after="0" w:line="240" w:lineRule="auto"/>
        <w:ind w:left="284" w:hanging="284"/>
        <w:jc w:val="both"/>
        <w:rPr>
          <w:rFonts w:ascii="Arial" w:hAnsi="Arial" w:cs="Arial"/>
          <w:i/>
          <w:sz w:val="20"/>
          <w:szCs w:val="20"/>
        </w:rPr>
      </w:pPr>
      <w:r w:rsidRPr="00E21C60">
        <w:rPr>
          <w:rFonts w:ascii="Arial" w:hAnsi="Arial" w:cs="Arial"/>
          <w:i/>
          <w:sz w:val="20"/>
          <w:szCs w:val="20"/>
        </w:rPr>
        <w:t>zavedením elektronizácie procesov,</w:t>
      </w:r>
    </w:p>
    <w:p w14:paraId="20055CE9" w14:textId="77777777" w:rsidR="004A7083" w:rsidRPr="00E21C60" w:rsidRDefault="004A7083" w:rsidP="000A4DF7">
      <w:pPr>
        <w:pStyle w:val="Odsekzoznamu"/>
        <w:numPr>
          <w:ilvl w:val="0"/>
          <w:numId w:val="41"/>
        </w:numPr>
        <w:spacing w:before="120" w:after="0" w:line="240" w:lineRule="auto"/>
        <w:ind w:left="284" w:hanging="284"/>
        <w:jc w:val="both"/>
        <w:rPr>
          <w:rFonts w:ascii="Arial" w:hAnsi="Arial" w:cs="Arial"/>
          <w:i/>
          <w:sz w:val="20"/>
          <w:szCs w:val="20"/>
        </w:rPr>
      </w:pPr>
      <w:r w:rsidRPr="00E21C60">
        <w:rPr>
          <w:rFonts w:ascii="Arial" w:hAnsi="Arial" w:cs="Arial"/>
          <w:i/>
          <w:sz w:val="20"/>
          <w:szCs w:val="20"/>
        </w:rPr>
        <w:t>zvýšením spokojnosti občanov, podnikateľov a ostatnej verejnosti s verejnou správou,</w:t>
      </w:r>
    </w:p>
    <w:p w14:paraId="08CA2AA5" w14:textId="77777777" w:rsidR="004A7083" w:rsidRPr="00E21C60" w:rsidRDefault="004A7083" w:rsidP="000A4DF7">
      <w:pPr>
        <w:pStyle w:val="Odsekzoznamu"/>
        <w:numPr>
          <w:ilvl w:val="0"/>
          <w:numId w:val="41"/>
        </w:numPr>
        <w:spacing w:before="120" w:after="0" w:line="240" w:lineRule="auto"/>
        <w:ind w:left="284" w:hanging="284"/>
        <w:jc w:val="both"/>
        <w:rPr>
          <w:rFonts w:ascii="Arial" w:hAnsi="Arial" w:cs="Arial"/>
          <w:i/>
          <w:sz w:val="20"/>
          <w:szCs w:val="20"/>
        </w:rPr>
      </w:pPr>
      <w:r w:rsidRPr="00E21C60">
        <w:rPr>
          <w:rFonts w:ascii="Arial" w:hAnsi="Arial" w:cs="Arial"/>
          <w:i/>
          <w:sz w:val="20"/>
          <w:szCs w:val="20"/>
        </w:rPr>
        <w:t>zefektívnením a zvýšením efektívnosti verejnej správy.</w:t>
      </w:r>
      <w:r w:rsidR="00091770" w:rsidRPr="00E21C60">
        <w:rPr>
          <w:rFonts w:ascii="Arial" w:hAnsi="Arial" w:cs="Arial"/>
          <w:i/>
          <w:sz w:val="20"/>
          <w:szCs w:val="20"/>
        </w:rPr>
        <w:tab/>
      </w:r>
    </w:p>
    <w:p w14:paraId="4ED2A0CE" w14:textId="4531C5D0" w:rsidR="004A7083" w:rsidRPr="00E21C60" w:rsidRDefault="004A7083" w:rsidP="00123376">
      <w:pPr>
        <w:spacing w:before="120"/>
        <w:jc w:val="both"/>
        <w:rPr>
          <w:rFonts w:ascii="Arial" w:hAnsi="Arial" w:cs="Arial"/>
          <w:i/>
          <w:sz w:val="20"/>
          <w:szCs w:val="20"/>
        </w:rPr>
      </w:pPr>
      <w:r w:rsidRPr="00237CF0">
        <w:rPr>
          <w:rFonts w:ascii="Arial" w:hAnsi="Arial" w:cs="Arial"/>
          <w:sz w:val="20"/>
          <w:szCs w:val="20"/>
        </w:rPr>
        <w:t>Pri ukazovateľoch „</w:t>
      </w:r>
      <w:r w:rsidRPr="00237CF0">
        <w:rPr>
          <w:rFonts w:ascii="Arial" w:hAnsi="Arial" w:cs="Arial"/>
          <w:i/>
          <w:sz w:val="20"/>
          <w:szCs w:val="20"/>
        </w:rPr>
        <w:t xml:space="preserve">Počet zjednotených </w:t>
      </w:r>
      <w:r w:rsidRPr="003F1B27">
        <w:rPr>
          <w:rFonts w:ascii="Arial" w:hAnsi="Arial" w:cs="Arial"/>
          <w:i/>
          <w:sz w:val="20"/>
          <w:szCs w:val="20"/>
        </w:rPr>
        <w:t>systémov prenosu dát z NMSKO (Národnej monitorovacej siete kvality ovzdušia) do centrálnej databázy</w:t>
      </w:r>
      <w:r w:rsidRPr="00FF2161">
        <w:rPr>
          <w:rFonts w:ascii="Arial" w:hAnsi="Arial" w:cs="Arial"/>
          <w:sz w:val="20"/>
          <w:szCs w:val="20"/>
        </w:rPr>
        <w:t>“ a „</w:t>
      </w:r>
      <w:r w:rsidRPr="00DE2B2B">
        <w:rPr>
          <w:rFonts w:ascii="Arial" w:hAnsi="Arial" w:cs="Arial"/>
          <w:i/>
          <w:sz w:val="20"/>
          <w:szCs w:val="20"/>
        </w:rPr>
        <w:t>Počet zaveden</w:t>
      </w:r>
      <w:r w:rsidRPr="00CF3239">
        <w:rPr>
          <w:rFonts w:ascii="Arial" w:hAnsi="Arial" w:cs="Arial"/>
          <w:i/>
          <w:sz w:val="20"/>
          <w:szCs w:val="20"/>
        </w:rPr>
        <w:t>ých Informačných systémov environmentálnych záťaží ako súčasti informačného systému verejnej správy</w:t>
      </w:r>
      <w:r w:rsidRPr="00E15597">
        <w:rPr>
          <w:rFonts w:ascii="Arial" w:hAnsi="Arial" w:cs="Arial"/>
          <w:sz w:val="20"/>
          <w:szCs w:val="20"/>
        </w:rPr>
        <w:t>“ došlo k splneniu stanovenej cieľovej hodnoty</w:t>
      </w:r>
      <w:r w:rsidR="00B20630" w:rsidRPr="00E15597">
        <w:rPr>
          <w:rFonts w:ascii="Arial" w:hAnsi="Arial" w:cs="Arial"/>
          <w:sz w:val="20"/>
          <w:szCs w:val="20"/>
        </w:rPr>
        <w:t xml:space="preserve"> na 100</w:t>
      </w:r>
      <w:r w:rsidR="00C77D81" w:rsidRPr="00E15597">
        <w:rPr>
          <w:rFonts w:ascii="Arial" w:hAnsi="Arial" w:cs="Arial"/>
          <w:sz w:val="20"/>
          <w:szCs w:val="20"/>
        </w:rPr>
        <w:t xml:space="preserve"> </w:t>
      </w:r>
      <w:r w:rsidR="00B20630" w:rsidRPr="00E15597">
        <w:rPr>
          <w:rFonts w:ascii="Arial" w:hAnsi="Arial" w:cs="Arial"/>
          <w:sz w:val="20"/>
          <w:szCs w:val="20"/>
        </w:rPr>
        <w:t>%</w:t>
      </w:r>
      <w:r w:rsidRPr="00E15597">
        <w:rPr>
          <w:rFonts w:ascii="Arial" w:hAnsi="Arial" w:cs="Arial"/>
          <w:sz w:val="20"/>
          <w:szCs w:val="20"/>
        </w:rPr>
        <w:t>. Ukazovateľ „</w:t>
      </w:r>
      <w:r w:rsidRPr="00E15597">
        <w:rPr>
          <w:rFonts w:ascii="Arial" w:hAnsi="Arial" w:cs="Arial"/>
          <w:i/>
          <w:sz w:val="20"/>
          <w:szCs w:val="20"/>
        </w:rPr>
        <w:t xml:space="preserve">Počet zmodernizovaných a novo nainštalovaných monitorovacích staníc Národnej monitorovacej siete kvality ovzdušia“ </w:t>
      </w:r>
      <w:r w:rsidRPr="00E15597">
        <w:rPr>
          <w:rFonts w:ascii="Arial" w:hAnsi="Arial" w:cs="Arial"/>
          <w:sz w:val="20"/>
          <w:szCs w:val="20"/>
        </w:rPr>
        <w:t>už dosiahol deklarovanú hodnotu prijímateľmi</w:t>
      </w:r>
      <w:r w:rsidR="003F1B27">
        <w:rPr>
          <w:rFonts w:ascii="Arial" w:hAnsi="Arial" w:cs="Arial"/>
          <w:sz w:val="20"/>
          <w:szCs w:val="20"/>
        </w:rPr>
        <w:t xml:space="preserve"> –</w:t>
      </w:r>
      <w:r w:rsidRPr="003F1B27">
        <w:rPr>
          <w:rFonts w:ascii="Arial" w:hAnsi="Arial" w:cs="Arial"/>
          <w:sz w:val="20"/>
          <w:szCs w:val="20"/>
        </w:rPr>
        <w:t xml:space="preserve"> </w:t>
      </w:r>
      <w:r w:rsidR="004D5AB2">
        <w:rPr>
          <w:rFonts w:ascii="Arial" w:hAnsi="Arial" w:cs="Arial"/>
          <w:sz w:val="20"/>
          <w:szCs w:val="20"/>
        </w:rPr>
        <w:t>62</w:t>
      </w:r>
      <w:r w:rsidR="003F1B27">
        <w:rPr>
          <w:rFonts w:ascii="Arial" w:hAnsi="Arial" w:cs="Arial"/>
          <w:sz w:val="20"/>
          <w:szCs w:val="20"/>
        </w:rPr>
        <w:t>, čím prekročil</w:t>
      </w:r>
      <w:r w:rsidRPr="003F1B27">
        <w:rPr>
          <w:rFonts w:ascii="Arial" w:hAnsi="Arial" w:cs="Arial"/>
          <w:sz w:val="20"/>
          <w:szCs w:val="20"/>
        </w:rPr>
        <w:t xml:space="preserve"> </w:t>
      </w:r>
      <w:r w:rsidR="003F1B27">
        <w:rPr>
          <w:rFonts w:ascii="Arial" w:hAnsi="Arial" w:cs="Arial"/>
          <w:sz w:val="20"/>
          <w:szCs w:val="20"/>
        </w:rPr>
        <w:t>pôvodne stanovenú</w:t>
      </w:r>
      <w:r w:rsidRPr="003F1B27">
        <w:rPr>
          <w:rFonts w:ascii="Arial" w:hAnsi="Arial" w:cs="Arial"/>
          <w:sz w:val="20"/>
          <w:szCs w:val="20"/>
        </w:rPr>
        <w:t> cieľovú hodnotu OP (</w:t>
      </w:r>
      <w:r w:rsidR="00B753A3" w:rsidRPr="003F1B27">
        <w:rPr>
          <w:rFonts w:ascii="Arial" w:hAnsi="Arial" w:cs="Arial"/>
          <w:sz w:val="20"/>
          <w:szCs w:val="20"/>
        </w:rPr>
        <w:t>25</w:t>
      </w:r>
      <w:r w:rsidRPr="003F1B27">
        <w:rPr>
          <w:rFonts w:ascii="Arial" w:hAnsi="Arial" w:cs="Arial"/>
          <w:sz w:val="20"/>
          <w:szCs w:val="20"/>
        </w:rPr>
        <w:t>).</w:t>
      </w:r>
      <w:r w:rsidR="007E3101" w:rsidRPr="003F1B27">
        <w:rPr>
          <w:rFonts w:ascii="Arial" w:hAnsi="Arial" w:cs="Arial"/>
          <w:sz w:val="20"/>
          <w:szCs w:val="20"/>
        </w:rPr>
        <w:t xml:space="preserve"> </w:t>
      </w:r>
      <w:r w:rsidR="00947C4A" w:rsidRPr="003F1B27">
        <w:rPr>
          <w:rFonts w:ascii="Arial" w:hAnsi="Arial" w:cs="Arial"/>
          <w:sz w:val="20"/>
          <w:szCs w:val="20"/>
        </w:rPr>
        <w:t>P</w:t>
      </w:r>
      <w:r w:rsidR="00C94997">
        <w:rPr>
          <w:rFonts w:ascii="Arial" w:hAnsi="Arial" w:cs="Arial"/>
          <w:sz w:val="20"/>
          <w:szCs w:val="20"/>
        </w:rPr>
        <w:t xml:space="preserve">ri plnení </w:t>
      </w:r>
      <w:r w:rsidR="00947C4A" w:rsidRPr="003F1B27">
        <w:rPr>
          <w:rFonts w:ascii="Arial" w:hAnsi="Arial" w:cs="Arial"/>
          <w:sz w:val="20"/>
          <w:szCs w:val="20"/>
        </w:rPr>
        <w:t xml:space="preserve"> cieľovej hodnoty u</w:t>
      </w:r>
      <w:r w:rsidR="007E3101" w:rsidRPr="003F1B27">
        <w:rPr>
          <w:rFonts w:ascii="Arial" w:hAnsi="Arial" w:cs="Arial"/>
          <w:sz w:val="20"/>
          <w:szCs w:val="20"/>
        </w:rPr>
        <w:t>kazovateľa „</w:t>
      </w:r>
      <w:r w:rsidR="007E3101" w:rsidRPr="003F1B27">
        <w:rPr>
          <w:rFonts w:ascii="Arial" w:hAnsi="Arial" w:cs="Arial"/>
          <w:i/>
          <w:sz w:val="20"/>
          <w:szCs w:val="20"/>
        </w:rPr>
        <w:t>Počet nových resp. zdokonalených softvérov</w:t>
      </w:r>
      <w:r w:rsidR="007E3101" w:rsidRPr="003F1B27">
        <w:rPr>
          <w:rFonts w:ascii="Arial" w:hAnsi="Arial" w:cs="Arial"/>
          <w:sz w:val="20"/>
          <w:szCs w:val="20"/>
        </w:rPr>
        <w:t>“</w:t>
      </w:r>
      <w:r w:rsidR="00947C4A" w:rsidRPr="003F1B27">
        <w:rPr>
          <w:rFonts w:ascii="Arial" w:hAnsi="Arial" w:cs="Arial"/>
          <w:sz w:val="20"/>
          <w:szCs w:val="20"/>
        </w:rPr>
        <w:t xml:space="preserve"> </w:t>
      </w:r>
      <w:r w:rsidR="00C94997">
        <w:rPr>
          <w:rFonts w:ascii="Arial" w:hAnsi="Arial" w:cs="Arial"/>
          <w:sz w:val="20"/>
          <w:szCs w:val="20"/>
        </w:rPr>
        <w:t>sa</w:t>
      </w:r>
      <w:r w:rsidR="00B67912" w:rsidRPr="003F1B27">
        <w:rPr>
          <w:rFonts w:ascii="Arial" w:hAnsi="Arial" w:cs="Arial"/>
          <w:sz w:val="20"/>
          <w:szCs w:val="20"/>
        </w:rPr>
        <w:t xml:space="preserve"> </w:t>
      </w:r>
      <w:r w:rsidR="00947C4A" w:rsidRPr="003F1B27">
        <w:rPr>
          <w:rFonts w:ascii="Arial" w:hAnsi="Arial" w:cs="Arial"/>
          <w:sz w:val="20"/>
          <w:szCs w:val="20"/>
        </w:rPr>
        <w:t>k 31.</w:t>
      </w:r>
      <w:r w:rsidR="009F2E97">
        <w:rPr>
          <w:rFonts w:ascii="Arial" w:hAnsi="Arial" w:cs="Arial"/>
          <w:sz w:val="20"/>
          <w:szCs w:val="20"/>
        </w:rPr>
        <w:t xml:space="preserve"> </w:t>
      </w:r>
      <w:r w:rsidR="00947C4A" w:rsidRPr="003F1B27">
        <w:rPr>
          <w:rFonts w:ascii="Arial" w:hAnsi="Arial" w:cs="Arial"/>
          <w:sz w:val="20"/>
          <w:szCs w:val="20"/>
        </w:rPr>
        <w:t>12.</w:t>
      </w:r>
      <w:r w:rsidR="009F2E97">
        <w:rPr>
          <w:rFonts w:ascii="Arial" w:hAnsi="Arial" w:cs="Arial"/>
          <w:sz w:val="20"/>
          <w:szCs w:val="20"/>
        </w:rPr>
        <w:t xml:space="preserve"> </w:t>
      </w:r>
      <w:r w:rsidR="004E5A73" w:rsidRPr="003F1B27">
        <w:rPr>
          <w:rFonts w:ascii="Arial" w:hAnsi="Arial" w:cs="Arial"/>
          <w:sz w:val="20"/>
          <w:szCs w:val="20"/>
        </w:rPr>
        <w:t>201</w:t>
      </w:r>
      <w:r w:rsidR="004E5A73">
        <w:rPr>
          <w:rFonts w:ascii="Arial" w:hAnsi="Arial" w:cs="Arial"/>
          <w:sz w:val="20"/>
          <w:szCs w:val="20"/>
        </w:rPr>
        <w:t>5</w:t>
      </w:r>
      <w:r w:rsidR="004E5A73" w:rsidRPr="003F1B27">
        <w:rPr>
          <w:rFonts w:ascii="Arial" w:hAnsi="Arial" w:cs="Arial"/>
          <w:sz w:val="20"/>
          <w:szCs w:val="20"/>
        </w:rPr>
        <w:t xml:space="preserve"> </w:t>
      </w:r>
      <w:r w:rsidR="00C94997">
        <w:rPr>
          <w:rFonts w:ascii="Arial" w:hAnsi="Arial" w:cs="Arial"/>
          <w:sz w:val="20"/>
          <w:szCs w:val="20"/>
        </w:rPr>
        <w:t xml:space="preserve">dosiahla </w:t>
      </w:r>
      <w:r w:rsidR="00B67912" w:rsidRPr="003F1B27">
        <w:rPr>
          <w:rFonts w:ascii="Arial" w:hAnsi="Arial" w:cs="Arial"/>
          <w:sz w:val="20"/>
          <w:szCs w:val="20"/>
        </w:rPr>
        <w:t>úroveň</w:t>
      </w:r>
      <w:r w:rsidR="00947C4A" w:rsidRPr="003F1B27">
        <w:rPr>
          <w:rFonts w:ascii="Arial" w:hAnsi="Arial" w:cs="Arial"/>
          <w:sz w:val="20"/>
          <w:szCs w:val="20"/>
        </w:rPr>
        <w:t xml:space="preserve"> </w:t>
      </w:r>
      <w:r w:rsidR="00C94997">
        <w:rPr>
          <w:rFonts w:ascii="Arial" w:hAnsi="Arial" w:cs="Arial"/>
          <w:sz w:val="20"/>
          <w:szCs w:val="20"/>
        </w:rPr>
        <w:t>10</w:t>
      </w:r>
      <w:r w:rsidR="00947C4A" w:rsidRPr="003F1B27">
        <w:rPr>
          <w:rFonts w:ascii="Arial" w:hAnsi="Arial" w:cs="Arial"/>
          <w:sz w:val="20"/>
          <w:szCs w:val="20"/>
        </w:rPr>
        <w:t>0</w:t>
      </w:r>
      <w:r w:rsidR="003567D0">
        <w:rPr>
          <w:rFonts w:ascii="Arial" w:hAnsi="Arial" w:cs="Arial"/>
          <w:sz w:val="20"/>
          <w:szCs w:val="20"/>
        </w:rPr>
        <w:t> </w:t>
      </w:r>
      <w:r w:rsidR="00947C4A" w:rsidRPr="003F1B27">
        <w:rPr>
          <w:rFonts w:ascii="Arial" w:hAnsi="Arial" w:cs="Arial"/>
          <w:sz w:val="20"/>
          <w:szCs w:val="20"/>
        </w:rPr>
        <w:t>%</w:t>
      </w:r>
      <w:r w:rsidR="00C94997">
        <w:rPr>
          <w:rFonts w:ascii="Arial" w:hAnsi="Arial" w:cs="Arial"/>
          <w:sz w:val="20"/>
          <w:szCs w:val="20"/>
        </w:rPr>
        <w:t xml:space="preserve"> splnenie</w:t>
      </w:r>
      <w:r w:rsidR="00B67912" w:rsidRPr="003F1B27">
        <w:rPr>
          <w:rFonts w:ascii="Arial" w:hAnsi="Arial" w:cs="Arial"/>
          <w:sz w:val="20"/>
          <w:szCs w:val="20"/>
        </w:rPr>
        <w:t xml:space="preserve"> stanovenej hodnoty.</w:t>
      </w:r>
    </w:p>
    <w:p w14:paraId="016FE6C4" w14:textId="7524D269" w:rsidR="004A7083" w:rsidRPr="00E21C60" w:rsidRDefault="004A7083" w:rsidP="00123376">
      <w:pPr>
        <w:spacing w:before="120" w:after="120"/>
        <w:jc w:val="both"/>
        <w:rPr>
          <w:rFonts w:ascii="Arial" w:hAnsi="Arial" w:cs="Arial"/>
          <w:sz w:val="20"/>
          <w:szCs w:val="20"/>
        </w:rPr>
      </w:pPr>
      <w:r w:rsidRPr="00E21C60">
        <w:rPr>
          <w:rFonts w:ascii="Arial" w:hAnsi="Arial" w:cs="Arial"/>
          <w:sz w:val="20"/>
          <w:szCs w:val="20"/>
        </w:rPr>
        <w:t xml:space="preserve">Relevancia opatrení 5.1 Zabezpečenie priaznivého stavu biotopov a druhov prostredníctvom vypracovania a realizácie programov starostlivosti o chránené územia vrátane území NATURA 2000 a programov záchrany pre kriticky ohrozené druhy rastlín živočíchov a území vrátane realizácie monitoringu druhov a biotopov a 5.2 Zlepšenie infraštruktúry ochrany prírody a krajiny prostredníctvom budovania a rozvoja zariadení ochrany prírody a krajiny vrátane zavedenia monitorovacích systémov za účelom plnenia národných a medzinárodných záväzkov boli identifikované v rámci špecifických cieľov HP IS 2 </w:t>
      </w:r>
      <w:r w:rsidRPr="00E21C60">
        <w:rPr>
          <w:rFonts w:ascii="Arial" w:hAnsi="Arial" w:cs="Arial"/>
          <w:i/>
          <w:sz w:val="20"/>
          <w:szCs w:val="20"/>
        </w:rPr>
        <w:t>Efektívna elektronizácia verejnej správy</w:t>
      </w:r>
      <w:r w:rsidRPr="00E21C60">
        <w:rPr>
          <w:rFonts w:ascii="Arial" w:hAnsi="Arial" w:cs="Arial"/>
          <w:sz w:val="20"/>
          <w:szCs w:val="20"/>
        </w:rPr>
        <w:t xml:space="preserve"> a HP IS 3 </w:t>
      </w:r>
      <w:r w:rsidRPr="00E21C60">
        <w:rPr>
          <w:rFonts w:ascii="Arial" w:hAnsi="Arial" w:cs="Arial"/>
          <w:i/>
          <w:sz w:val="20"/>
          <w:szCs w:val="20"/>
        </w:rPr>
        <w:t>Široká dostupnosť internetu</w:t>
      </w:r>
      <w:r w:rsidRPr="00E21C60">
        <w:rPr>
          <w:rFonts w:ascii="Arial" w:hAnsi="Arial" w:cs="Arial"/>
          <w:sz w:val="20"/>
          <w:szCs w:val="20"/>
        </w:rPr>
        <w:t xml:space="preserve">. Plnenie opatrenia 5.1 </w:t>
      </w:r>
      <w:r w:rsidR="00F539E6">
        <w:rPr>
          <w:rFonts w:ascii="Arial" w:hAnsi="Arial" w:cs="Arial"/>
          <w:sz w:val="20"/>
          <w:szCs w:val="20"/>
        </w:rPr>
        <w:t>bolo</w:t>
      </w:r>
      <w:r w:rsidR="00F539E6" w:rsidRPr="00E21C60">
        <w:rPr>
          <w:rFonts w:ascii="Arial" w:hAnsi="Arial" w:cs="Arial"/>
          <w:sz w:val="20"/>
          <w:szCs w:val="20"/>
        </w:rPr>
        <w:t xml:space="preserve"> </w:t>
      </w:r>
      <w:r w:rsidRPr="00E21C60">
        <w:rPr>
          <w:rFonts w:ascii="Arial" w:hAnsi="Arial" w:cs="Arial"/>
          <w:sz w:val="20"/>
          <w:szCs w:val="20"/>
        </w:rPr>
        <w:t>zabezpečované prostredníctvom ukazovateľa a jeho meraných hodnôt „</w:t>
      </w:r>
      <w:r w:rsidRPr="00E21C60">
        <w:rPr>
          <w:rFonts w:ascii="Arial" w:hAnsi="Arial" w:cs="Arial"/>
          <w:i/>
          <w:sz w:val="20"/>
          <w:szCs w:val="20"/>
        </w:rPr>
        <w:t>Počet vytvorených čiastkových databáz informačného systému (pre skupinu rastlín, živočíchov, biotopov)“.</w:t>
      </w:r>
      <w:r w:rsidRPr="00E21C60">
        <w:rPr>
          <w:rFonts w:ascii="Arial" w:hAnsi="Arial" w:cs="Arial"/>
          <w:sz w:val="20"/>
          <w:szCs w:val="20"/>
        </w:rPr>
        <w:t xml:space="preserve"> Meraná hodnota tohto ukazovateľa k 31.</w:t>
      </w:r>
      <w:r w:rsidR="009F2E97">
        <w:rPr>
          <w:rFonts w:ascii="Arial" w:hAnsi="Arial" w:cs="Arial"/>
          <w:sz w:val="20"/>
          <w:szCs w:val="20"/>
        </w:rPr>
        <w:t xml:space="preserve"> </w:t>
      </w:r>
      <w:r w:rsidRPr="00E21C60">
        <w:rPr>
          <w:rFonts w:ascii="Arial" w:hAnsi="Arial" w:cs="Arial"/>
          <w:sz w:val="20"/>
          <w:szCs w:val="20"/>
        </w:rPr>
        <w:t>12.</w:t>
      </w:r>
      <w:r w:rsidR="009F2E97">
        <w:rPr>
          <w:rFonts w:ascii="Arial" w:hAnsi="Arial" w:cs="Arial"/>
          <w:sz w:val="20"/>
          <w:szCs w:val="20"/>
        </w:rPr>
        <w:t xml:space="preserve"> </w:t>
      </w:r>
      <w:r w:rsidR="0053681F" w:rsidRPr="00E21C60">
        <w:rPr>
          <w:rFonts w:ascii="Arial" w:hAnsi="Arial" w:cs="Arial"/>
          <w:sz w:val="20"/>
          <w:szCs w:val="20"/>
        </w:rPr>
        <w:t>201</w:t>
      </w:r>
      <w:r w:rsidR="0053681F">
        <w:rPr>
          <w:rFonts w:ascii="Arial" w:hAnsi="Arial" w:cs="Arial"/>
          <w:sz w:val="20"/>
          <w:szCs w:val="20"/>
        </w:rPr>
        <w:t>5</w:t>
      </w:r>
      <w:r w:rsidR="0053681F" w:rsidRPr="00E21C60">
        <w:rPr>
          <w:rFonts w:ascii="Arial" w:hAnsi="Arial" w:cs="Arial"/>
          <w:sz w:val="20"/>
          <w:szCs w:val="20"/>
        </w:rPr>
        <w:t xml:space="preserve"> </w:t>
      </w:r>
      <w:r w:rsidR="0053681F">
        <w:rPr>
          <w:rFonts w:ascii="Arial" w:hAnsi="Arial" w:cs="Arial"/>
          <w:sz w:val="20"/>
          <w:szCs w:val="20"/>
        </w:rPr>
        <w:t xml:space="preserve">dosiahla </w:t>
      </w:r>
      <w:r w:rsidR="00CF3239">
        <w:rPr>
          <w:rFonts w:ascii="Arial" w:hAnsi="Arial" w:cs="Arial"/>
          <w:sz w:val="20"/>
          <w:szCs w:val="20"/>
        </w:rPr>
        <w:t>o</w:t>
      </w:r>
      <w:r w:rsidR="00EC2E78">
        <w:rPr>
          <w:rFonts w:ascii="Arial" w:hAnsi="Arial" w:cs="Arial"/>
          <w:sz w:val="20"/>
          <w:szCs w:val="20"/>
        </w:rPr>
        <w:t> </w:t>
      </w:r>
      <w:r w:rsidR="00CF3239">
        <w:rPr>
          <w:rFonts w:ascii="Arial" w:hAnsi="Arial" w:cs="Arial"/>
          <w:sz w:val="20"/>
          <w:szCs w:val="20"/>
        </w:rPr>
        <w:t>10</w:t>
      </w:r>
      <w:r w:rsidR="00EC2E78">
        <w:rPr>
          <w:rFonts w:ascii="Arial" w:hAnsi="Arial" w:cs="Arial"/>
          <w:sz w:val="20"/>
          <w:szCs w:val="20"/>
        </w:rPr>
        <w:t> </w:t>
      </w:r>
      <w:r w:rsidR="00CF3239">
        <w:rPr>
          <w:rFonts w:ascii="Arial" w:hAnsi="Arial" w:cs="Arial"/>
          <w:sz w:val="20"/>
          <w:szCs w:val="20"/>
        </w:rPr>
        <w:t xml:space="preserve">% vyššiu </w:t>
      </w:r>
      <w:r w:rsidR="0053681F">
        <w:rPr>
          <w:rFonts w:ascii="Arial" w:hAnsi="Arial" w:cs="Arial"/>
          <w:sz w:val="20"/>
          <w:szCs w:val="20"/>
        </w:rPr>
        <w:t xml:space="preserve">hodnotu </w:t>
      </w:r>
      <w:r w:rsidR="00CF3239">
        <w:rPr>
          <w:rFonts w:ascii="Arial" w:hAnsi="Arial" w:cs="Arial"/>
          <w:sz w:val="20"/>
          <w:szCs w:val="20"/>
        </w:rPr>
        <w:t>ako bola stanovená cieľová hodnota</w:t>
      </w:r>
      <w:r w:rsidR="0055481B">
        <w:rPr>
          <w:rFonts w:ascii="Arial" w:hAnsi="Arial" w:cs="Arial"/>
          <w:sz w:val="20"/>
          <w:szCs w:val="20"/>
        </w:rPr>
        <w:t xml:space="preserve">. </w:t>
      </w:r>
      <w:r w:rsidRPr="00E21C60">
        <w:rPr>
          <w:rFonts w:ascii="Arial" w:hAnsi="Arial" w:cs="Arial"/>
          <w:sz w:val="20"/>
          <w:szCs w:val="20"/>
        </w:rPr>
        <w:t>V</w:t>
      </w:r>
      <w:r w:rsidR="0055481B">
        <w:rPr>
          <w:rFonts w:ascii="Arial" w:hAnsi="Arial" w:cs="Arial"/>
          <w:sz w:val="20"/>
          <w:szCs w:val="20"/>
        </w:rPr>
        <w:t xml:space="preserve"> prípade </w:t>
      </w:r>
      <w:r w:rsidRPr="00E21C60">
        <w:rPr>
          <w:rFonts w:ascii="Arial" w:hAnsi="Arial" w:cs="Arial"/>
          <w:sz w:val="20"/>
          <w:szCs w:val="20"/>
        </w:rPr>
        <w:t>plnen</w:t>
      </w:r>
      <w:r w:rsidR="0055481B">
        <w:rPr>
          <w:rFonts w:ascii="Arial" w:hAnsi="Arial" w:cs="Arial"/>
          <w:sz w:val="20"/>
          <w:szCs w:val="20"/>
        </w:rPr>
        <w:t>ia</w:t>
      </w:r>
      <w:r w:rsidRPr="00E21C60">
        <w:rPr>
          <w:rFonts w:ascii="Arial" w:hAnsi="Arial" w:cs="Arial"/>
          <w:sz w:val="20"/>
          <w:szCs w:val="20"/>
        </w:rPr>
        <w:t xml:space="preserve"> opatrenia 5.2 prostredníctvom merateľného ukazovateľa „</w:t>
      </w:r>
      <w:r w:rsidRPr="00E21C60">
        <w:rPr>
          <w:rFonts w:ascii="Arial" w:hAnsi="Arial" w:cs="Arial"/>
          <w:i/>
          <w:sz w:val="20"/>
          <w:szCs w:val="20"/>
        </w:rPr>
        <w:t xml:space="preserve">Počet druhov rastlín a živočíchov a typov biotopov, ktoré sú súčasťou informačného systému monitoringu biotopov a druhov“, </w:t>
      </w:r>
      <w:r w:rsidR="00217952">
        <w:rPr>
          <w:rFonts w:ascii="Arial" w:hAnsi="Arial" w:cs="Arial"/>
          <w:sz w:val="20"/>
          <w:szCs w:val="20"/>
        </w:rPr>
        <w:t xml:space="preserve">sa </w:t>
      </w:r>
      <w:r w:rsidRPr="00E21C60">
        <w:rPr>
          <w:rFonts w:ascii="Arial" w:hAnsi="Arial" w:cs="Arial"/>
          <w:sz w:val="20"/>
          <w:szCs w:val="20"/>
        </w:rPr>
        <w:t xml:space="preserve">očakáva hodnota tohto ukazovateľa deklarovaná prijímateľmi pomoci na  základe uzatvorených zmlúv na úrovni </w:t>
      </w:r>
      <w:r w:rsidR="007008BF" w:rsidRPr="00E21C60">
        <w:rPr>
          <w:rFonts w:ascii="Arial" w:hAnsi="Arial" w:cs="Arial"/>
          <w:sz w:val="20"/>
          <w:szCs w:val="20"/>
        </w:rPr>
        <w:t>3</w:t>
      </w:r>
      <w:r w:rsidR="00217952">
        <w:rPr>
          <w:rFonts w:ascii="Arial" w:hAnsi="Arial" w:cs="Arial"/>
          <w:sz w:val="20"/>
          <w:szCs w:val="20"/>
        </w:rPr>
        <w:t>48</w:t>
      </w:r>
      <w:r w:rsidRPr="00E21C60">
        <w:rPr>
          <w:rFonts w:ascii="Arial" w:hAnsi="Arial" w:cs="Arial"/>
          <w:sz w:val="20"/>
          <w:szCs w:val="20"/>
        </w:rPr>
        <w:t>.</w:t>
      </w:r>
    </w:p>
    <w:p w14:paraId="3CF49E35" w14:textId="5F47172C" w:rsidR="00F94008" w:rsidRPr="00E21C60" w:rsidRDefault="004A7083" w:rsidP="00123376">
      <w:pPr>
        <w:spacing w:before="120" w:after="120"/>
        <w:jc w:val="both"/>
        <w:rPr>
          <w:rFonts w:ascii="Arial" w:hAnsi="Arial" w:cs="Arial"/>
          <w:sz w:val="20"/>
          <w:szCs w:val="20"/>
        </w:rPr>
      </w:pPr>
      <w:r w:rsidRPr="00E21C60">
        <w:rPr>
          <w:rFonts w:ascii="Arial" w:hAnsi="Arial" w:cs="Arial"/>
          <w:sz w:val="20"/>
          <w:szCs w:val="20"/>
        </w:rPr>
        <w:t>Pôvodný operačný cieľ 2.2 Vybudovanie povodňového varovného a predpovedného systému POVAPSYS je po schválení revízie OP ŽP EK zo dňa 9.</w:t>
      </w:r>
      <w:r w:rsidR="009F2E97">
        <w:rPr>
          <w:rFonts w:ascii="Arial" w:hAnsi="Arial" w:cs="Arial"/>
          <w:sz w:val="20"/>
          <w:szCs w:val="20"/>
        </w:rPr>
        <w:t xml:space="preserve"> </w:t>
      </w:r>
      <w:r w:rsidRPr="00E21C60">
        <w:rPr>
          <w:rFonts w:ascii="Arial" w:hAnsi="Arial" w:cs="Arial"/>
          <w:sz w:val="20"/>
          <w:szCs w:val="20"/>
        </w:rPr>
        <w:t>6.</w:t>
      </w:r>
      <w:r w:rsidR="009F2E97">
        <w:rPr>
          <w:rFonts w:ascii="Arial" w:hAnsi="Arial" w:cs="Arial"/>
          <w:sz w:val="20"/>
          <w:szCs w:val="20"/>
        </w:rPr>
        <w:t xml:space="preserve"> </w:t>
      </w:r>
      <w:r w:rsidRPr="00E21C60">
        <w:rPr>
          <w:rFonts w:ascii="Arial" w:hAnsi="Arial" w:cs="Arial"/>
          <w:sz w:val="20"/>
          <w:szCs w:val="20"/>
        </w:rPr>
        <w:t xml:space="preserve">2011 samostatnou PO 7 Budovanie povodňového varovného a predpovedného systému (POVAPSYS). </w:t>
      </w:r>
      <w:r w:rsidR="00065A53" w:rsidRPr="00E21C60">
        <w:rPr>
          <w:rFonts w:ascii="Arial" w:hAnsi="Arial" w:cs="Arial"/>
          <w:sz w:val="20"/>
          <w:szCs w:val="20"/>
        </w:rPr>
        <w:t xml:space="preserve">Prioritná os </w:t>
      </w:r>
      <w:r w:rsidRPr="00E21C60">
        <w:rPr>
          <w:rFonts w:ascii="Arial" w:hAnsi="Arial" w:cs="Arial"/>
          <w:sz w:val="20"/>
          <w:szCs w:val="20"/>
        </w:rPr>
        <w:t xml:space="preserve">prispieva k napĺňaniu špecifických cieľov HP IS 2 </w:t>
      </w:r>
      <w:r w:rsidRPr="00E21C60">
        <w:rPr>
          <w:rFonts w:ascii="Arial" w:hAnsi="Arial" w:cs="Arial"/>
          <w:i/>
          <w:sz w:val="20"/>
          <w:szCs w:val="20"/>
        </w:rPr>
        <w:t>Efektívna elektronizácia verejnej správy</w:t>
      </w:r>
      <w:r w:rsidRPr="00E21C60">
        <w:rPr>
          <w:rFonts w:ascii="Arial" w:hAnsi="Arial" w:cs="Arial"/>
          <w:sz w:val="20"/>
          <w:szCs w:val="20"/>
        </w:rPr>
        <w:t xml:space="preserve"> a HP IS 3 </w:t>
      </w:r>
      <w:r w:rsidRPr="00E21C60">
        <w:rPr>
          <w:rFonts w:ascii="Arial" w:hAnsi="Arial" w:cs="Arial"/>
          <w:i/>
          <w:sz w:val="20"/>
          <w:szCs w:val="20"/>
        </w:rPr>
        <w:t>Široká dostupnosť internetu</w:t>
      </w:r>
      <w:r w:rsidRPr="00E21C60">
        <w:rPr>
          <w:rFonts w:ascii="Arial" w:hAnsi="Arial" w:cs="Arial"/>
          <w:sz w:val="20"/>
          <w:szCs w:val="20"/>
        </w:rPr>
        <w:t xml:space="preserve">. </w:t>
      </w:r>
      <w:r w:rsidR="002A4DAC" w:rsidRPr="00E21C60">
        <w:rPr>
          <w:rFonts w:ascii="Arial" w:hAnsi="Arial" w:cs="Arial"/>
          <w:sz w:val="20"/>
          <w:szCs w:val="20"/>
        </w:rPr>
        <w:t xml:space="preserve">V roku 2013 </w:t>
      </w:r>
      <w:r w:rsidR="002A4DAC" w:rsidRPr="00123376">
        <w:rPr>
          <w:rFonts w:ascii="Arial" w:hAnsi="Arial" w:cs="Arial"/>
          <w:bCs/>
          <w:sz w:val="20"/>
          <w:szCs w:val="20"/>
        </w:rPr>
        <w:t>bola v rámci PO 7 uzavretá výzva s kódom OPŽP-PO7-12-1 (s termínom uzavretia 31.</w:t>
      </w:r>
      <w:r w:rsidR="009F2E97">
        <w:rPr>
          <w:rFonts w:ascii="Arial" w:hAnsi="Arial" w:cs="Arial"/>
          <w:bCs/>
          <w:sz w:val="20"/>
          <w:szCs w:val="20"/>
        </w:rPr>
        <w:t xml:space="preserve"> </w:t>
      </w:r>
      <w:r w:rsidR="002A4DAC" w:rsidRPr="00123376">
        <w:rPr>
          <w:rFonts w:ascii="Arial" w:hAnsi="Arial" w:cs="Arial"/>
          <w:bCs/>
          <w:sz w:val="20"/>
          <w:szCs w:val="20"/>
        </w:rPr>
        <w:t>07.</w:t>
      </w:r>
      <w:r w:rsidR="009F2E97">
        <w:rPr>
          <w:rFonts w:ascii="Arial" w:hAnsi="Arial" w:cs="Arial"/>
          <w:bCs/>
          <w:sz w:val="20"/>
          <w:szCs w:val="20"/>
        </w:rPr>
        <w:t xml:space="preserve"> </w:t>
      </w:r>
      <w:r w:rsidR="002A4DAC" w:rsidRPr="00123376">
        <w:rPr>
          <w:rFonts w:ascii="Arial" w:hAnsi="Arial" w:cs="Arial"/>
          <w:bCs/>
          <w:sz w:val="20"/>
          <w:szCs w:val="20"/>
        </w:rPr>
        <w:t>2013), ktorá bola vyhlásená dňa 31.</w:t>
      </w:r>
      <w:r w:rsidR="009F2E97">
        <w:rPr>
          <w:rFonts w:ascii="Arial" w:hAnsi="Arial" w:cs="Arial"/>
          <w:bCs/>
          <w:sz w:val="20"/>
          <w:szCs w:val="20"/>
        </w:rPr>
        <w:t xml:space="preserve"> </w:t>
      </w:r>
      <w:r w:rsidR="002A4DAC" w:rsidRPr="00123376">
        <w:rPr>
          <w:rFonts w:ascii="Arial" w:hAnsi="Arial" w:cs="Arial"/>
          <w:bCs/>
          <w:sz w:val="20"/>
          <w:szCs w:val="20"/>
        </w:rPr>
        <w:t>10.</w:t>
      </w:r>
      <w:r w:rsidR="009F2E97">
        <w:rPr>
          <w:rFonts w:ascii="Arial" w:hAnsi="Arial" w:cs="Arial"/>
          <w:bCs/>
          <w:sz w:val="20"/>
          <w:szCs w:val="20"/>
        </w:rPr>
        <w:t xml:space="preserve"> </w:t>
      </w:r>
      <w:r w:rsidR="002A4DAC" w:rsidRPr="00123376">
        <w:rPr>
          <w:rFonts w:ascii="Arial" w:hAnsi="Arial" w:cs="Arial"/>
          <w:bCs/>
          <w:sz w:val="20"/>
          <w:szCs w:val="20"/>
        </w:rPr>
        <w:t>2012 s cieľom zabezpečenia komplexnej ochrany územia SR pred povodňami. V rámci tejto výzvy bol</w:t>
      </w:r>
      <w:r w:rsidR="00FA0D2D">
        <w:rPr>
          <w:rFonts w:ascii="Arial" w:hAnsi="Arial" w:cs="Arial"/>
          <w:bCs/>
          <w:sz w:val="20"/>
          <w:szCs w:val="20"/>
        </w:rPr>
        <w:t xml:space="preserve"> úspešne zrealizovaný jeden projekt.</w:t>
      </w:r>
      <w:r w:rsidR="002A4DAC" w:rsidRPr="00123376">
        <w:rPr>
          <w:rFonts w:ascii="Arial" w:hAnsi="Arial" w:cs="Arial"/>
          <w:bCs/>
          <w:sz w:val="20"/>
          <w:szCs w:val="20"/>
        </w:rPr>
        <w:t xml:space="preserve"> </w:t>
      </w:r>
    </w:p>
    <w:p w14:paraId="58C7AB61" w14:textId="77777777" w:rsidR="0008447E" w:rsidRDefault="0008447E">
      <w:pPr>
        <w:rPr>
          <w:rFonts w:ascii="Arial" w:hAnsi="Arial" w:cs="Arial"/>
          <w:sz w:val="20"/>
          <w:szCs w:val="20"/>
        </w:rPr>
      </w:pPr>
      <w:r>
        <w:rPr>
          <w:rFonts w:ascii="Arial" w:hAnsi="Arial" w:cs="Arial"/>
          <w:sz w:val="20"/>
          <w:szCs w:val="20"/>
        </w:rPr>
        <w:br w:type="page"/>
      </w:r>
    </w:p>
    <w:p w14:paraId="0F662928" w14:textId="0369C96B" w:rsidR="002416B1" w:rsidRPr="00E21C60" w:rsidRDefault="002416B1" w:rsidP="00123376">
      <w:pPr>
        <w:spacing w:before="120"/>
        <w:rPr>
          <w:rFonts w:ascii="Arial" w:hAnsi="Arial" w:cs="Arial"/>
          <w:sz w:val="20"/>
          <w:szCs w:val="20"/>
        </w:rPr>
      </w:pPr>
      <w:r w:rsidRPr="00E21C60">
        <w:rPr>
          <w:rFonts w:ascii="Arial" w:hAnsi="Arial" w:cs="Arial"/>
          <w:sz w:val="20"/>
          <w:szCs w:val="20"/>
        </w:rPr>
        <w:lastRenderedPageBreak/>
        <w:t>Tab</w:t>
      </w:r>
      <w:r w:rsidR="006A03EF" w:rsidRPr="00E21C60">
        <w:rPr>
          <w:rFonts w:ascii="Arial" w:hAnsi="Arial" w:cs="Arial"/>
          <w:sz w:val="20"/>
          <w:szCs w:val="20"/>
        </w:rPr>
        <w:t>uľka</w:t>
      </w:r>
      <w:r w:rsidRPr="00E21C60">
        <w:rPr>
          <w:rFonts w:ascii="Arial" w:hAnsi="Arial" w:cs="Arial"/>
          <w:sz w:val="20"/>
          <w:szCs w:val="20"/>
        </w:rPr>
        <w:t xml:space="preserve"> č. </w:t>
      </w:r>
      <w:r w:rsidR="00670044" w:rsidRPr="00E21C60">
        <w:rPr>
          <w:rFonts w:ascii="Arial" w:hAnsi="Arial" w:cs="Arial"/>
          <w:sz w:val="20"/>
          <w:szCs w:val="20"/>
        </w:rPr>
        <w:t>7</w:t>
      </w:r>
      <w:r w:rsidR="007B1CB9">
        <w:rPr>
          <w:rFonts w:ascii="Arial" w:hAnsi="Arial" w:cs="Arial"/>
          <w:sz w:val="20"/>
          <w:szCs w:val="20"/>
        </w:rPr>
        <w:t>7</w:t>
      </w:r>
      <w:r w:rsidRPr="00E21C60">
        <w:rPr>
          <w:rFonts w:ascii="Arial" w:hAnsi="Arial" w:cs="Arial"/>
          <w:sz w:val="20"/>
          <w:szCs w:val="20"/>
        </w:rPr>
        <w:t xml:space="preserve">: Plnenie fyzických ukazovateľov HP IS na úrovni </w:t>
      </w:r>
      <w:r w:rsidR="007B309F" w:rsidRPr="00E21C60">
        <w:rPr>
          <w:rFonts w:ascii="Arial" w:hAnsi="Arial" w:cs="Arial"/>
          <w:sz w:val="20"/>
          <w:szCs w:val="20"/>
        </w:rPr>
        <w:t xml:space="preserve">OP </w:t>
      </w:r>
      <w:r w:rsidRPr="00E21C60">
        <w:rPr>
          <w:rFonts w:ascii="Arial" w:hAnsi="Arial" w:cs="Arial"/>
          <w:sz w:val="20"/>
          <w:szCs w:val="20"/>
        </w:rPr>
        <w:t>k 3</w:t>
      </w:r>
      <w:r w:rsidR="00A42977">
        <w:rPr>
          <w:rFonts w:ascii="Arial" w:hAnsi="Arial" w:cs="Arial"/>
          <w:sz w:val="20"/>
          <w:szCs w:val="20"/>
        </w:rPr>
        <w:t>0</w:t>
      </w:r>
      <w:r w:rsidRPr="00E21C60">
        <w:rPr>
          <w:rFonts w:ascii="Arial" w:hAnsi="Arial" w:cs="Arial"/>
          <w:sz w:val="20"/>
          <w:szCs w:val="20"/>
        </w:rPr>
        <w:t>.</w:t>
      </w:r>
      <w:r w:rsidR="008655C6">
        <w:rPr>
          <w:rFonts w:ascii="Arial" w:hAnsi="Arial" w:cs="Arial"/>
          <w:sz w:val="20"/>
          <w:szCs w:val="20"/>
        </w:rPr>
        <w:t>10</w:t>
      </w:r>
      <w:r w:rsidRPr="00E21C60">
        <w:rPr>
          <w:rFonts w:ascii="Arial" w:hAnsi="Arial" w:cs="Arial"/>
          <w:sz w:val="20"/>
          <w:szCs w:val="20"/>
        </w:rPr>
        <w:t>.</w:t>
      </w:r>
      <w:r w:rsidR="006A03EF" w:rsidRPr="00E21C60">
        <w:rPr>
          <w:rFonts w:ascii="Arial" w:hAnsi="Arial" w:cs="Arial"/>
          <w:sz w:val="20"/>
          <w:szCs w:val="20"/>
        </w:rPr>
        <w:t>201</w:t>
      </w:r>
      <w:r w:rsidR="00A42977">
        <w:rPr>
          <w:rFonts w:ascii="Arial" w:hAnsi="Arial" w:cs="Arial"/>
          <w:sz w:val="20"/>
          <w:szCs w:val="20"/>
        </w:rPr>
        <w:t>6</w:t>
      </w:r>
    </w:p>
    <w:tbl>
      <w:tblPr>
        <w:tblW w:w="9371" w:type="dxa"/>
        <w:tblInd w:w="55" w:type="dxa"/>
        <w:tblLayout w:type="fixed"/>
        <w:tblCellMar>
          <w:left w:w="70" w:type="dxa"/>
          <w:right w:w="70" w:type="dxa"/>
        </w:tblCellMar>
        <w:tblLook w:val="04A0" w:firstRow="1" w:lastRow="0" w:firstColumn="1" w:lastColumn="0" w:noHBand="0" w:noVBand="1"/>
      </w:tblPr>
      <w:tblGrid>
        <w:gridCol w:w="1433"/>
        <w:gridCol w:w="992"/>
        <w:gridCol w:w="618"/>
        <w:gridCol w:w="516"/>
        <w:gridCol w:w="567"/>
        <w:gridCol w:w="567"/>
        <w:gridCol w:w="567"/>
        <w:gridCol w:w="567"/>
        <w:gridCol w:w="567"/>
        <w:gridCol w:w="567"/>
        <w:gridCol w:w="567"/>
        <w:gridCol w:w="709"/>
        <w:gridCol w:w="1134"/>
      </w:tblGrid>
      <w:tr w:rsidR="00A7251E" w:rsidRPr="00E21C60" w14:paraId="6552B0E0" w14:textId="77777777" w:rsidTr="007D7B08">
        <w:trPr>
          <w:trHeight w:val="450"/>
        </w:trPr>
        <w:tc>
          <w:tcPr>
            <w:tcW w:w="2425" w:type="dxa"/>
            <w:gridSpan w:val="2"/>
            <w:tcBorders>
              <w:top w:val="single" w:sz="8" w:space="0" w:color="auto"/>
              <w:left w:val="single" w:sz="8" w:space="0" w:color="auto"/>
              <w:bottom w:val="single" w:sz="8" w:space="0" w:color="auto"/>
              <w:right w:val="single" w:sz="8" w:space="0" w:color="000000"/>
            </w:tcBorders>
            <w:shd w:val="clear" w:color="auto" w:fill="C2D69B" w:themeFill="accent3" w:themeFillTint="99"/>
            <w:noWrap/>
            <w:vAlign w:val="center"/>
            <w:hideMark/>
          </w:tcPr>
          <w:p w14:paraId="5D459090"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Ukazovatele</w:t>
            </w:r>
          </w:p>
        </w:tc>
        <w:tc>
          <w:tcPr>
            <w:tcW w:w="618" w:type="dxa"/>
            <w:tcBorders>
              <w:top w:val="single" w:sz="8" w:space="0" w:color="auto"/>
              <w:left w:val="nil"/>
              <w:bottom w:val="nil"/>
              <w:right w:val="single" w:sz="8" w:space="0" w:color="auto"/>
            </w:tcBorders>
            <w:shd w:val="clear" w:color="auto" w:fill="C2D69B" w:themeFill="accent3" w:themeFillTint="99"/>
            <w:noWrap/>
            <w:vAlign w:val="center"/>
            <w:hideMark/>
          </w:tcPr>
          <w:p w14:paraId="50C7C485"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2007</w:t>
            </w:r>
          </w:p>
        </w:tc>
        <w:tc>
          <w:tcPr>
            <w:tcW w:w="516" w:type="dxa"/>
            <w:tcBorders>
              <w:top w:val="single" w:sz="8" w:space="0" w:color="auto"/>
              <w:left w:val="nil"/>
              <w:bottom w:val="single" w:sz="8" w:space="0" w:color="auto"/>
              <w:right w:val="single" w:sz="8" w:space="0" w:color="auto"/>
            </w:tcBorders>
            <w:shd w:val="clear" w:color="auto" w:fill="C2D69B" w:themeFill="accent3" w:themeFillTint="99"/>
            <w:noWrap/>
            <w:vAlign w:val="center"/>
            <w:hideMark/>
          </w:tcPr>
          <w:p w14:paraId="1ACB04DA"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2008</w:t>
            </w:r>
          </w:p>
        </w:tc>
        <w:tc>
          <w:tcPr>
            <w:tcW w:w="567" w:type="dxa"/>
            <w:tcBorders>
              <w:top w:val="single" w:sz="8" w:space="0" w:color="auto"/>
              <w:left w:val="nil"/>
              <w:bottom w:val="nil"/>
              <w:right w:val="single" w:sz="8" w:space="0" w:color="auto"/>
            </w:tcBorders>
            <w:shd w:val="clear" w:color="auto" w:fill="C2D69B" w:themeFill="accent3" w:themeFillTint="99"/>
            <w:noWrap/>
            <w:vAlign w:val="center"/>
            <w:hideMark/>
          </w:tcPr>
          <w:p w14:paraId="7985CD33"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2009</w:t>
            </w:r>
          </w:p>
        </w:tc>
        <w:tc>
          <w:tcPr>
            <w:tcW w:w="567" w:type="dxa"/>
            <w:tcBorders>
              <w:top w:val="single" w:sz="8" w:space="0" w:color="auto"/>
              <w:left w:val="nil"/>
              <w:bottom w:val="nil"/>
              <w:right w:val="single" w:sz="8" w:space="0" w:color="auto"/>
            </w:tcBorders>
            <w:shd w:val="clear" w:color="auto" w:fill="C2D69B" w:themeFill="accent3" w:themeFillTint="99"/>
            <w:noWrap/>
            <w:vAlign w:val="center"/>
            <w:hideMark/>
          </w:tcPr>
          <w:p w14:paraId="1D1E0B99"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2010</w:t>
            </w:r>
          </w:p>
        </w:tc>
        <w:tc>
          <w:tcPr>
            <w:tcW w:w="567" w:type="dxa"/>
            <w:tcBorders>
              <w:top w:val="single" w:sz="8" w:space="0" w:color="auto"/>
              <w:left w:val="nil"/>
              <w:bottom w:val="nil"/>
              <w:right w:val="single" w:sz="8" w:space="0" w:color="auto"/>
            </w:tcBorders>
            <w:shd w:val="clear" w:color="auto" w:fill="C2D69B" w:themeFill="accent3" w:themeFillTint="99"/>
            <w:noWrap/>
            <w:vAlign w:val="center"/>
            <w:hideMark/>
          </w:tcPr>
          <w:p w14:paraId="24AFBFFB"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2011</w:t>
            </w:r>
          </w:p>
        </w:tc>
        <w:tc>
          <w:tcPr>
            <w:tcW w:w="567" w:type="dxa"/>
            <w:tcBorders>
              <w:top w:val="single" w:sz="8" w:space="0" w:color="auto"/>
              <w:left w:val="nil"/>
              <w:bottom w:val="nil"/>
              <w:right w:val="single" w:sz="8" w:space="0" w:color="auto"/>
            </w:tcBorders>
            <w:shd w:val="clear" w:color="auto" w:fill="C2D69B" w:themeFill="accent3" w:themeFillTint="99"/>
            <w:noWrap/>
            <w:vAlign w:val="center"/>
            <w:hideMark/>
          </w:tcPr>
          <w:p w14:paraId="0564BA08"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2012</w:t>
            </w:r>
          </w:p>
        </w:tc>
        <w:tc>
          <w:tcPr>
            <w:tcW w:w="567" w:type="dxa"/>
            <w:tcBorders>
              <w:top w:val="single" w:sz="8" w:space="0" w:color="auto"/>
              <w:left w:val="nil"/>
              <w:bottom w:val="nil"/>
              <w:right w:val="single" w:sz="8" w:space="0" w:color="auto"/>
            </w:tcBorders>
            <w:shd w:val="clear" w:color="auto" w:fill="C2D69B" w:themeFill="accent3" w:themeFillTint="99"/>
            <w:noWrap/>
            <w:vAlign w:val="center"/>
            <w:hideMark/>
          </w:tcPr>
          <w:p w14:paraId="04418114"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2013</w:t>
            </w:r>
          </w:p>
        </w:tc>
        <w:tc>
          <w:tcPr>
            <w:tcW w:w="567" w:type="dxa"/>
            <w:tcBorders>
              <w:top w:val="single" w:sz="8" w:space="0" w:color="auto"/>
              <w:left w:val="nil"/>
              <w:bottom w:val="nil"/>
              <w:right w:val="single" w:sz="8" w:space="0" w:color="auto"/>
            </w:tcBorders>
            <w:shd w:val="clear" w:color="auto" w:fill="C2D69B" w:themeFill="accent3" w:themeFillTint="99"/>
            <w:noWrap/>
            <w:vAlign w:val="center"/>
            <w:hideMark/>
          </w:tcPr>
          <w:p w14:paraId="60018A45"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2014</w:t>
            </w:r>
          </w:p>
        </w:tc>
        <w:tc>
          <w:tcPr>
            <w:tcW w:w="567" w:type="dxa"/>
            <w:tcBorders>
              <w:top w:val="single" w:sz="8" w:space="0" w:color="auto"/>
              <w:left w:val="nil"/>
              <w:bottom w:val="nil"/>
              <w:right w:val="single" w:sz="8" w:space="0" w:color="auto"/>
            </w:tcBorders>
            <w:shd w:val="clear" w:color="auto" w:fill="C2D69B" w:themeFill="accent3" w:themeFillTint="99"/>
            <w:noWrap/>
            <w:vAlign w:val="center"/>
            <w:hideMark/>
          </w:tcPr>
          <w:p w14:paraId="36226723"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2015</w:t>
            </w:r>
          </w:p>
        </w:tc>
        <w:tc>
          <w:tcPr>
            <w:tcW w:w="709" w:type="dxa"/>
            <w:tcBorders>
              <w:top w:val="single" w:sz="8" w:space="0" w:color="auto"/>
              <w:left w:val="nil"/>
              <w:bottom w:val="nil"/>
              <w:right w:val="single" w:sz="8" w:space="0" w:color="auto"/>
            </w:tcBorders>
            <w:shd w:val="clear" w:color="auto" w:fill="C2D69B" w:themeFill="accent3" w:themeFillTint="99"/>
            <w:vAlign w:val="center"/>
            <w:hideMark/>
          </w:tcPr>
          <w:p w14:paraId="60DB7D09"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Spolu</w:t>
            </w:r>
          </w:p>
        </w:tc>
        <w:tc>
          <w:tcPr>
            <w:tcW w:w="1134" w:type="dxa"/>
            <w:tcBorders>
              <w:top w:val="single" w:sz="8" w:space="0" w:color="auto"/>
              <w:left w:val="nil"/>
              <w:bottom w:val="nil"/>
              <w:right w:val="single" w:sz="8" w:space="0" w:color="auto"/>
            </w:tcBorders>
            <w:shd w:val="clear" w:color="auto" w:fill="C2D69B" w:themeFill="accent3" w:themeFillTint="99"/>
            <w:noWrap/>
            <w:vAlign w:val="center"/>
            <w:hideMark/>
          </w:tcPr>
          <w:p w14:paraId="5F589B82" w14:textId="77777777" w:rsidR="00D11A56" w:rsidRPr="00E21C60" w:rsidRDefault="00D11A56">
            <w:pPr>
              <w:jc w:val="center"/>
              <w:rPr>
                <w:rFonts w:ascii="Arial" w:hAnsi="Arial" w:cs="Arial"/>
                <w:b/>
                <w:bCs/>
                <w:color w:val="000000"/>
                <w:sz w:val="16"/>
                <w:szCs w:val="16"/>
              </w:rPr>
            </w:pPr>
            <w:r w:rsidRPr="00E21C60">
              <w:rPr>
                <w:rFonts w:ascii="Arial" w:hAnsi="Arial" w:cs="Arial"/>
                <w:b/>
                <w:bCs/>
                <w:color w:val="000000"/>
                <w:sz w:val="16"/>
                <w:szCs w:val="16"/>
              </w:rPr>
              <w:t>Komentár</w:t>
            </w:r>
          </w:p>
        </w:tc>
      </w:tr>
      <w:tr w:rsidR="004C4483" w:rsidRPr="00E21C60" w14:paraId="06B398F7" w14:textId="77777777" w:rsidTr="00912C87">
        <w:trPr>
          <w:trHeight w:val="465"/>
        </w:trPr>
        <w:tc>
          <w:tcPr>
            <w:tcW w:w="1433" w:type="dxa"/>
            <w:vMerge w:val="restart"/>
            <w:tcBorders>
              <w:top w:val="nil"/>
              <w:left w:val="single" w:sz="8" w:space="0" w:color="auto"/>
              <w:bottom w:val="single" w:sz="8" w:space="0" w:color="000000"/>
              <w:right w:val="single" w:sz="8" w:space="0" w:color="auto"/>
            </w:tcBorders>
            <w:shd w:val="clear" w:color="000000" w:fill="EBF1DE"/>
            <w:vAlign w:val="center"/>
            <w:hideMark/>
          </w:tcPr>
          <w:p w14:paraId="30587BBC" w14:textId="77777777" w:rsidR="00D11A56" w:rsidRPr="00E21C60" w:rsidRDefault="00D11A56">
            <w:pPr>
              <w:rPr>
                <w:rFonts w:ascii="Arial" w:hAnsi="Arial" w:cs="Arial"/>
                <w:color w:val="000000"/>
                <w:sz w:val="16"/>
                <w:szCs w:val="16"/>
              </w:rPr>
            </w:pPr>
            <w:r w:rsidRPr="00E21C60">
              <w:rPr>
                <w:rFonts w:ascii="Arial" w:hAnsi="Arial" w:cs="Arial"/>
                <w:color w:val="000000"/>
                <w:sz w:val="16"/>
                <w:szCs w:val="16"/>
              </w:rPr>
              <w:t>Počet projektov s príspevkom k HP IS [počet] -  výsledok</w:t>
            </w:r>
          </w:p>
        </w:tc>
        <w:tc>
          <w:tcPr>
            <w:tcW w:w="992" w:type="dxa"/>
            <w:tcBorders>
              <w:top w:val="nil"/>
              <w:left w:val="nil"/>
              <w:bottom w:val="dotted" w:sz="4" w:space="0" w:color="auto"/>
              <w:right w:val="single" w:sz="8" w:space="0" w:color="auto"/>
            </w:tcBorders>
            <w:shd w:val="clear" w:color="auto" w:fill="auto"/>
            <w:vAlign w:val="center"/>
            <w:hideMark/>
          </w:tcPr>
          <w:p w14:paraId="4D8FA686" w14:textId="77777777" w:rsidR="00D11A56" w:rsidRPr="00E21C60" w:rsidRDefault="00D11A56">
            <w:pPr>
              <w:rPr>
                <w:rFonts w:ascii="Arial" w:hAnsi="Arial" w:cs="Arial"/>
                <w:color w:val="000000"/>
                <w:sz w:val="16"/>
                <w:szCs w:val="16"/>
              </w:rPr>
            </w:pPr>
            <w:r w:rsidRPr="00E21C60">
              <w:rPr>
                <w:rFonts w:ascii="Arial" w:hAnsi="Arial" w:cs="Arial"/>
                <w:color w:val="000000"/>
                <w:sz w:val="16"/>
                <w:szCs w:val="16"/>
              </w:rPr>
              <w:t>Dosiahnutý výsledok</w:t>
            </w:r>
          </w:p>
        </w:tc>
        <w:tc>
          <w:tcPr>
            <w:tcW w:w="618" w:type="dxa"/>
            <w:tcBorders>
              <w:top w:val="single" w:sz="8" w:space="0" w:color="auto"/>
              <w:left w:val="nil"/>
              <w:bottom w:val="dotted" w:sz="4" w:space="0" w:color="auto"/>
              <w:right w:val="dotted" w:sz="4" w:space="0" w:color="auto"/>
            </w:tcBorders>
            <w:shd w:val="clear" w:color="auto" w:fill="auto"/>
            <w:vAlign w:val="center"/>
            <w:hideMark/>
          </w:tcPr>
          <w:p w14:paraId="1AF44A9C"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0</w:t>
            </w:r>
          </w:p>
        </w:tc>
        <w:tc>
          <w:tcPr>
            <w:tcW w:w="516" w:type="dxa"/>
            <w:tcBorders>
              <w:top w:val="nil"/>
              <w:left w:val="nil"/>
              <w:bottom w:val="dotted" w:sz="4" w:space="0" w:color="auto"/>
              <w:right w:val="dotted" w:sz="4" w:space="0" w:color="auto"/>
            </w:tcBorders>
            <w:shd w:val="clear" w:color="auto" w:fill="auto"/>
            <w:vAlign w:val="center"/>
            <w:hideMark/>
          </w:tcPr>
          <w:p w14:paraId="28DEF3AD"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0</w:t>
            </w:r>
          </w:p>
        </w:tc>
        <w:tc>
          <w:tcPr>
            <w:tcW w:w="567" w:type="dxa"/>
            <w:tcBorders>
              <w:top w:val="single" w:sz="8" w:space="0" w:color="auto"/>
              <w:left w:val="nil"/>
              <w:bottom w:val="dotted" w:sz="4" w:space="0" w:color="auto"/>
              <w:right w:val="dotted" w:sz="4" w:space="0" w:color="auto"/>
            </w:tcBorders>
            <w:shd w:val="clear" w:color="auto" w:fill="auto"/>
            <w:vAlign w:val="center"/>
            <w:hideMark/>
          </w:tcPr>
          <w:p w14:paraId="0C3705BF"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17</w:t>
            </w:r>
          </w:p>
        </w:tc>
        <w:tc>
          <w:tcPr>
            <w:tcW w:w="567" w:type="dxa"/>
            <w:tcBorders>
              <w:top w:val="single" w:sz="8" w:space="0" w:color="auto"/>
              <w:left w:val="nil"/>
              <w:bottom w:val="dotted" w:sz="4" w:space="0" w:color="auto"/>
              <w:right w:val="dotted" w:sz="4" w:space="0" w:color="auto"/>
            </w:tcBorders>
            <w:shd w:val="clear" w:color="auto" w:fill="auto"/>
            <w:vAlign w:val="center"/>
            <w:hideMark/>
          </w:tcPr>
          <w:p w14:paraId="35E43852"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57</w:t>
            </w:r>
          </w:p>
        </w:tc>
        <w:tc>
          <w:tcPr>
            <w:tcW w:w="567" w:type="dxa"/>
            <w:tcBorders>
              <w:top w:val="single" w:sz="8" w:space="0" w:color="auto"/>
              <w:left w:val="nil"/>
              <w:bottom w:val="dotted" w:sz="4" w:space="0" w:color="auto"/>
              <w:right w:val="dotted" w:sz="4" w:space="0" w:color="auto"/>
            </w:tcBorders>
            <w:shd w:val="clear" w:color="auto" w:fill="auto"/>
            <w:vAlign w:val="center"/>
            <w:hideMark/>
          </w:tcPr>
          <w:p w14:paraId="0F5163A8"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61</w:t>
            </w:r>
          </w:p>
        </w:tc>
        <w:tc>
          <w:tcPr>
            <w:tcW w:w="567" w:type="dxa"/>
            <w:tcBorders>
              <w:top w:val="single" w:sz="8" w:space="0" w:color="auto"/>
              <w:left w:val="nil"/>
              <w:bottom w:val="dotted" w:sz="4" w:space="0" w:color="auto"/>
              <w:right w:val="dotted" w:sz="4" w:space="0" w:color="auto"/>
            </w:tcBorders>
            <w:shd w:val="clear" w:color="auto" w:fill="auto"/>
            <w:vAlign w:val="center"/>
            <w:hideMark/>
          </w:tcPr>
          <w:p w14:paraId="4068CA8B"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58</w:t>
            </w:r>
          </w:p>
        </w:tc>
        <w:tc>
          <w:tcPr>
            <w:tcW w:w="567" w:type="dxa"/>
            <w:tcBorders>
              <w:top w:val="single" w:sz="8" w:space="0" w:color="auto"/>
              <w:left w:val="nil"/>
              <w:bottom w:val="dotted" w:sz="4" w:space="0" w:color="auto"/>
              <w:right w:val="dotted" w:sz="4" w:space="0" w:color="auto"/>
            </w:tcBorders>
            <w:shd w:val="clear" w:color="auto" w:fill="auto"/>
            <w:vAlign w:val="center"/>
            <w:hideMark/>
          </w:tcPr>
          <w:p w14:paraId="0F2F1E46"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61</w:t>
            </w:r>
          </w:p>
        </w:tc>
        <w:tc>
          <w:tcPr>
            <w:tcW w:w="567" w:type="dxa"/>
            <w:tcBorders>
              <w:top w:val="single" w:sz="8" w:space="0" w:color="auto"/>
              <w:left w:val="nil"/>
              <w:bottom w:val="dotted" w:sz="4" w:space="0" w:color="auto"/>
              <w:right w:val="dotted" w:sz="4" w:space="0" w:color="auto"/>
            </w:tcBorders>
            <w:shd w:val="clear" w:color="auto" w:fill="auto"/>
            <w:vAlign w:val="center"/>
            <w:hideMark/>
          </w:tcPr>
          <w:p w14:paraId="1DA92CDD" w14:textId="3E60084A" w:rsidR="00D11A56" w:rsidRPr="00E21C60" w:rsidRDefault="00815F4C" w:rsidP="00815F4C">
            <w:pPr>
              <w:jc w:val="center"/>
              <w:rPr>
                <w:rFonts w:ascii="Arial" w:hAnsi="Arial" w:cs="Arial"/>
                <w:color w:val="000000"/>
                <w:sz w:val="16"/>
                <w:szCs w:val="16"/>
              </w:rPr>
            </w:pPr>
            <w:r>
              <w:rPr>
                <w:rFonts w:ascii="Arial" w:hAnsi="Arial" w:cs="Arial"/>
                <w:color w:val="000000"/>
                <w:sz w:val="16"/>
                <w:szCs w:val="16"/>
              </w:rPr>
              <w:t>62</w:t>
            </w:r>
          </w:p>
        </w:tc>
        <w:tc>
          <w:tcPr>
            <w:tcW w:w="567" w:type="dxa"/>
            <w:tcBorders>
              <w:top w:val="single" w:sz="8" w:space="0" w:color="auto"/>
              <w:left w:val="nil"/>
              <w:bottom w:val="dotted" w:sz="4" w:space="0" w:color="auto"/>
              <w:right w:val="dotted" w:sz="4" w:space="0" w:color="auto"/>
            </w:tcBorders>
            <w:shd w:val="clear" w:color="auto" w:fill="auto"/>
            <w:vAlign w:val="center"/>
            <w:hideMark/>
          </w:tcPr>
          <w:p w14:paraId="7E2ACE0F" w14:textId="0BAB95CB" w:rsidR="00D11A56" w:rsidRPr="00E21C60" w:rsidRDefault="00FC56F0">
            <w:pPr>
              <w:jc w:val="center"/>
              <w:rPr>
                <w:rFonts w:ascii="Arial" w:hAnsi="Arial" w:cs="Arial"/>
                <w:color w:val="000000"/>
                <w:sz w:val="16"/>
                <w:szCs w:val="16"/>
              </w:rPr>
            </w:pPr>
            <w:r>
              <w:rPr>
                <w:rFonts w:ascii="Arial" w:hAnsi="Arial" w:cs="Arial"/>
                <w:color w:val="000000"/>
                <w:sz w:val="16"/>
                <w:szCs w:val="16"/>
              </w:rPr>
              <w:t>59</w:t>
            </w:r>
          </w:p>
        </w:tc>
        <w:tc>
          <w:tcPr>
            <w:tcW w:w="709" w:type="dxa"/>
            <w:tcBorders>
              <w:top w:val="single" w:sz="8" w:space="0" w:color="auto"/>
              <w:left w:val="nil"/>
              <w:bottom w:val="dotted" w:sz="4" w:space="0" w:color="auto"/>
              <w:right w:val="dotted" w:sz="4" w:space="0" w:color="auto"/>
            </w:tcBorders>
            <w:shd w:val="clear" w:color="auto" w:fill="auto"/>
            <w:vAlign w:val="center"/>
            <w:hideMark/>
          </w:tcPr>
          <w:p w14:paraId="4B3002FE" w14:textId="61DEDEB4" w:rsidR="00D11A56" w:rsidRPr="00E21C60" w:rsidRDefault="00A375DA" w:rsidP="00815F4C">
            <w:pPr>
              <w:jc w:val="center"/>
              <w:rPr>
                <w:rFonts w:ascii="Arial" w:hAnsi="Arial" w:cs="Arial"/>
                <w:color w:val="000000"/>
                <w:sz w:val="16"/>
                <w:szCs w:val="16"/>
              </w:rPr>
            </w:pPr>
            <w:r>
              <w:rPr>
                <w:rFonts w:ascii="Arial" w:hAnsi="Arial" w:cs="Arial"/>
                <w:color w:val="000000"/>
                <w:sz w:val="16"/>
                <w:szCs w:val="16"/>
              </w:rPr>
              <w:t>59</w:t>
            </w:r>
          </w:p>
        </w:tc>
        <w:tc>
          <w:tcPr>
            <w:tcW w:w="1134" w:type="dxa"/>
            <w:vMerge w:val="restart"/>
            <w:tcBorders>
              <w:top w:val="single" w:sz="8" w:space="0" w:color="auto"/>
              <w:left w:val="dotted" w:sz="4" w:space="0" w:color="auto"/>
              <w:bottom w:val="single" w:sz="8" w:space="0" w:color="000000"/>
              <w:right w:val="single" w:sz="8" w:space="0" w:color="auto"/>
            </w:tcBorders>
            <w:shd w:val="clear" w:color="auto" w:fill="auto"/>
            <w:vAlign w:val="center"/>
            <w:hideMark/>
          </w:tcPr>
          <w:p w14:paraId="0BEFB9B2" w14:textId="3E129C99" w:rsidR="00D11A56" w:rsidRPr="00E21C60" w:rsidRDefault="00D11A56" w:rsidP="00FC56F0">
            <w:pPr>
              <w:jc w:val="center"/>
              <w:rPr>
                <w:rFonts w:ascii="Arial" w:hAnsi="Arial" w:cs="Arial"/>
                <w:color w:val="000000"/>
                <w:sz w:val="16"/>
                <w:szCs w:val="16"/>
              </w:rPr>
            </w:pPr>
            <w:r w:rsidRPr="00E21C60">
              <w:rPr>
                <w:rFonts w:ascii="Arial" w:hAnsi="Arial" w:cs="Arial"/>
                <w:color w:val="000000"/>
                <w:sz w:val="16"/>
                <w:szCs w:val="16"/>
              </w:rPr>
              <w:t>Riadne ukončených projektov</w:t>
            </w:r>
            <w:r w:rsidRPr="00E21C60">
              <w:rPr>
                <w:rFonts w:ascii="Arial" w:hAnsi="Arial" w:cs="Arial"/>
                <w:color w:val="000000"/>
                <w:sz w:val="16"/>
                <w:szCs w:val="16"/>
              </w:rPr>
              <w:br/>
            </w:r>
            <w:r w:rsidR="00FC56F0">
              <w:rPr>
                <w:rFonts w:ascii="Arial" w:hAnsi="Arial" w:cs="Arial"/>
                <w:color w:val="000000"/>
                <w:sz w:val="16"/>
                <w:szCs w:val="16"/>
              </w:rPr>
              <w:t>58</w:t>
            </w:r>
          </w:p>
        </w:tc>
      </w:tr>
      <w:tr w:rsidR="004C4483" w:rsidRPr="00E21C60" w14:paraId="7EE2680B" w14:textId="77777777" w:rsidTr="00912C87">
        <w:trPr>
          <w:trHeight w:val="465"/>
        </w:trPr>
        <w:tc>
          <w:tcPr>
            <w:tcW w:w="1433" w:type="dxa"/>
            <w:vMerge/>
            <w:tcBorders>
              <w:top w:val="nil"/>
              <w:left w:val="single" w:sz="8" w:space="0" w:color="auto"/>
              <w:bottom w:val="single" w:sz="8" w:space="0" w:color="000000"/>
              <w:right w:val="single" w:sz="8" w:space="0" w:color="auto"/>
            </w:tcBorders>
            <w:vAlign w:val="center"/>
            <w:hideMark/>
          </w:tcPr>
          <w:p w14:paraId="32FFF128" w14:textId="77777777" w:rsidR="00D11A56" w:rsidRPr="00E21C60" w:rsidRDefault="00D11A56">
            <w:pPr>
              <w:rPr>
                <w:rFonts w:ascii="Arial" w:hAnsi="Arial" w:cs="Arial"/>
                <w:color w:val="000000"/>
                <w:sz w:val="16"/>
                <w:szCs w:val="16"/>
              </w:rPr>
            </w:pPr>
          </w:p>
        </w:tc>
        <w:tc>
          <w:tcPr>
            <w:tcW w:w="992" w:type="dxa"/>
            <w:tcBorders>
              <w:top w:val="nil"/>
              <w:left w:val="nil"/>
              <w:bottom w:val="dotted" w:sz="4" w:space="0" w:color="auto"/>
              <w:right w:val="single" w:sz="8" w:space="0" w:color="auto"/>
            </w:tcBorders>
            <w:shd w:val="clear" w:color="auto" w:fill="auto"/>
            <w:vAlign w:val="center"/>
            <w:hideMark/>
          </w:tcPr>
          <w:p w14:paraId="1FD35291" w14:textId="77777777" w:rsidR="00D11A56" w:rsidRPr="00E21C60" w:rsidRDefault="00D11A56">
            <w:pPr>
              <w:rPr>
                <w:rFonts w:ascii="Arial" w:hAnsi="Arial" w:cs="Arial"/>
                <w:color w:val="000000"/>
                <w:sz w:val="16"/>
                <w:szCs w:val="16"/>
              </w:rPr>
            </w:pPr>
            <w:r w:rsidRPr="00E21C60">
              <w:rPr>
                <w:rFonts w:ascii="Arial" w:hAnsi="Arial" w:cs="Arial"/>
                <w:color w:val="000000"/>
                <w:sz w:val="16"/>
                <w:szCs w:val="16"/>
              </w:rPr>
              <w:t>Cieľ</w:t>
            </w:r>
          </w:p>
        </w:tc>
        <w:tc>
          <w:tcPr>
            <w:tcW w:w="618" w:type="dxa"/>
            <w:tcBorders>
              <w:top w:val="nil"/>
              <w:left w:val="nil"/>
              <w:bottom w:val="dotted" w:sz="4" w:space="0" w:color="auto"/>
              <w:right w:val="dotted" w:sz="4" w:space="0" w:color="auto"/>
            </w:tcBorders>
            <w:shd w:val="clear" w:color="auto" w:fill="auto"/>
            <w:vAlign w:val="center"/>
            <w:hideMark/>
          </w:tcPr>
          <w:p w14:paraId="09133FA6"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16" w:type="dxa"/>
            <w:tcBorders>
              <w:top w:val="nil"/>
              <w:left w:val="nil"/>
              <w:bottom w:val="dotted" w:sz="4" w:space="0" w:color="auto"/>
              <w:right w:val="dotted" w:sz="4" w:space="0" w:color="auto"/>
            </w:tcBorders>
            <w:shd w:val="clear" w:color="auto" w:fill="auto"/>
            <w:vAlign w:val="center"/>
            <w:hideMark/>
          </w:tcPr>
          <w:p w14:paraId="427D74E8"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61FACB8F"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6D6020A3"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1BD0F871"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3AD7B7D4"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00B42360"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19BDC7CF"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20A710F1"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63</w:t>
            </w:r>
          </w:p>
        </w:tc>
        <w:tc>
          <w:tcPr>
            <w:tcW w:w="709" w:type="dxa"/>
            <w:tcBorders>
              <w:top w:val="nil"/>
              <w:left w:val="nil"/>
              <w:bottom w:val="dotted" w:sz="4" w:space="0" w:color="auto"/>
              <w:right w:val="dotted" w:sz="4" w:space="0" w:color="auto"/>
            </w:tcBorders>
            <w:shd w:val="clear" w:color="auto" w:fill="auto"/>
            <w:vAlign w:val="center"/>
            <w:hideMark/>
          </w:tcPr>
          <w:p w14:paraId="4441AA21"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63</w:t>
            </w:r>
          </w:p>
        </w:tc>
        <w:tc>
          <w:tcPr>
            <w:tcW w:w="1134" w:type="dxa"/>
            <w:vMerge/>
            <w:tcBorders>
              <w:top w:val="single" w:sz="8" w:space="0" w:color="auto"/>
              <w:left w:val="dotted" w:sz="4" w:space="0" w:color="auto"/>
              <w:bottom w:val="single" w:sz="8" w:space="0" w:color="000000"/>
              <w:right w:val="single" w:sz="8" w:space="0" w:color="auto"/>
            </w:tcBorders>
            <w:vAlign w:val="center"/>
            <w:hideMark/>
          </w:tcPr>
          <w:p w14:paraId="26289B81" w14:textId="77777777" w:rsidR="00D11A56" w:rsidRPr="00E21C60" w:rsidRDefault="00D11A56">
            <w:pPr>
              <w:rPr>
                <w:rFonts w:ascii="Arial" w:hAnsi="Arial" w:cs="Arial"/>
                <w:color w:val="000000"/>
                <w:sz w:val="16"/>
                <w:szCs w:val="16"/>
              </w:rPr>
            </w:pPr>
          </w:p>
        </w:tc>
      </w:tr>
      <w:tr w:rsidR="004C4483" w:rsidRPr="00E21C60" w14:paraId="08B18581" w14:textId="77777777" w:rsidTr="00912C87">
        <w:trPr>
          <w:trHeight w:val="465"/>
        </w:trPr>
        <w:tc>
          <w:tcPr>
            <w:tcW w:w="1433" w:type="dxa"/>
            <w:vMerge/>
            <w:tcBorders>
              <w:top w:val="nil"/>
              <w:left w:val="single" w:sz="8" w:space="0" w:color="auto"/>
              <w:bottom w:val="single" w:sz="8" w:space="0" w:color="000000"/>
              <w:right w:val="single" w:sz="8" w:space="0" w:color="auto"/>
            </w:tcBorders>
            <w:vAlign w:val="center"/>
            <w:hideMark/>
          </w:tcPr>
          <w:p w14:paraId="4EBE7970" w14:textId="77777777" w:rsidR="00D11A56" w:rsidRPr="00E21C60" w:rsidRDefault="00D11A56">
            <w:pPr>
              <w:rPr>
                <w:rFonts w:ascii="Arial" w:hAnsi="Arial" w:cs="Arial"/>
                <w:color w:val="000000"/>
                <w:sz w:val="16"/>
                <w:szCs w:val="16"/>
              </w:rPr>
            </w:pPr>
          </w:p>
        </w:tc>
        <w:tc>
          <w:tcPr>
            <w:tcW w:w="992" w:type="dxa"/>
            <w:tcBorders>
              <w:top w:val="nil"/>
              <w:left w:val="nil"/>
              <w:bottom w:val="single" w:sz="8" w:space="0" w:color="auto"/>
              <w:right w:val="single" w:sz="8" w:space="0" w:color="auto"/>
            </w:tcBorders>
            <w:shd w:val="clear" w:color="auto" w:fill="auto"/>
            <w:vAlign w:val="center"/>
            <w:hideMark/>
          </w:tcPr>
          <w:p w14:paraId="7C4598DF" w14:textId="77777777" w:rsidR="00D11A56" w:rsidRPr="00E21C60" w:rsidRDefault="00D11A56">
            <w:pPr>
              <w:rPr>
                <w:rFonts w:ascii="Arial" w:hAnsi="Arial" w:cs="Arial"/>
                <w:color w:val="000000"/>
                <w:sz w:val="16"/>
                <w:szCs w:val="16"/>
              </w:rPr>
            </w:pPr>
            <w:r w:rsidRPr="00E21C60">
              <w:rPr>
                <w:rFonts w:ascii="Arial" w:hAnsi="Arial" w:cs="Arial"/>
                <w:color w:val="000000"/>
                <w:sz w:val="16"/>
                <w:szCs w:val="16"/>
              </w:rPr>
              <w:t>Východisko</w:t>
            </w:r>
          </w:p>
        </w:tc>
        <w:tc>
          <w:tcPr>
            <w:tcW w:w="618" w:type="dxa"/>
            <w:tcBorders>
              <w:top w:val="nil"/>
              <w:left w:val="nil"/>
              <w:bottom w:val="single" w:sz="8" w:space="0" w:color="auto"/>
              <w:right w:val="dotted" w:sz="4" w:space="0" w:color="auto"/>
            </w:tcBorders>
            <w:shd w:val="clear" w:color="auto" w:fill="auto"/>
            <w:vAlign w:val="center"/>
            <w:hideMark/>
          </w:tcPr>
          <w:p w14:paraId="1506A564"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0</w:t>
            </w:r>
          </w:p>
        </w:tc>
        <w:tc>
          <w:tcPr>
            <w:tcW w:w="516" w:type="dxa"/>
            <w:tcBorders>
              <w:top w:val="nil"/>
              <w:left w:val="nil"/>
              <w:bottom w:val="single" w:sz="8" w:space="0" w:color="auto"/>
              <w:right w:val="dotted" w:sz="4" w:space="0" w:color="auto"/>
            </w:tcBorders>
            <w:shd w:val="clear" w:color="auto" w:fill="auto"/>
            <w:vAlign w:val="center"/>
            <w:hideMark/>
          </w:tcPr>
          <w:p w14:paraId="3B03A2E7"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158D4CE4"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68CB798D"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6103154D"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4E550735"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2F026D19"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0B2020B1"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6A92DA26"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1EC7D852"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0</w:t>
            </w:r>
          </w:p>
        </w:tc>
        <w:tc>
          <w:tcPr>
            <w:tcW w:w="1134" w:type="dxa"/>
            <w:vMerge/>
            <w:tcBorders>
              <w:top w:val="single" w:sz="8" w:space="0" w:color="auto"/>
              <w:left w:val="dotted" w:sz="4" w:space="0" w:color="auto"/>
              <w:bottom w:val="single" w:sz="8" w:space="0" w:color="000000"/>
              <w:right w:val="single" w:sz="8" w:space="0" w:color="auto"/>
            </w:tcBorders>
            <w:vAlign w:val="center"/>
            <w:hideMark/>
          </w:tcPr>
          <w:p w14:paraId="73C28692" w14:textId="77777777" w:rsidR="00D11A56" w:rsidRPr="00E21C60" w:rsidRDefault="00D11A56">
            <w:pPr>
              <w:rPr>
                <w:rFonts w:ascii="Arial" w:hAnsi="Arial" w:cs="Arial"/>
                <w:color w:val="000000"/>
                <w:sz w:val="16"/>
                <w:szCs w:val="16"/>
              </w:rPr>
            </w:pPr>
          </w:p>
        </w:tc>
      </w:tr>
      <w:tr w:rsidR="004C4483" w:rsidRPr="00E21C60" w14:paraId="63D832CF" w14:textId="77777777" w:rsidTr="00912C87">
        <w:trPr>
          <w:trHeight w:val="465"/>
        </w:trPr>
        <w:tc>
          <w:tcPr>
            <w:tcW w:w="1433" w:type="dxa"/>
            <w:vMerge w:val="restart"/>
            <w:tcBorders>
              <w:top w:val="nil"/>
              <w:left w:val="single" w:sz="8" w:space="0" w:color="auto"/>
              <w:bottom w:val="single" w:sz="8" w:space="0" w:color="000000"/>
              <w:right w:val="single" w:sz="8" w:space="0" w:color="auto"/>
            </w:tcBorders>
            <w:shd w:val="clear" w:color="000000" w:fill="EBF1DE"/>
            <w:vAlign w:val="center"/>
            <w:hideMark/>
          </w:tcPr>
          <w:p w14:paraId="1D5B6016" w14:textId="3F669F25" w:rsidR="00D11A56" w:rsidRPr="00E21C60" w:rsidRDefault="00D11A56">
            <w:pPr>
              <w:rPr>
                <w:rFonts w:ascii="Arial" w:hAnsi="Arial" w:cs="Arial"/>
                <w:color w:val="000000"/>
                <w:sz w:val="16"/>
                <w:szCs w:val="16"/>
              </w:rPr>
            </w:pPr>
            <w:r w:rsidRPr="00E21C60">
              <w:rPr>
                <w:rFonts w:ascii="Arial" w:hAnsi="Arial" w:cs="Arial"/>
                <w:color w:val="000000"/>
                <w:sz w:val="16"/>
                <w:szCs w:val="16"/>
              </w:rPr>
              <w:t xml:space="preserve">Objem finančných prostriedkov projektov s príspevkom k HP IS [mil. </w:t>
            </w:r>
            <w:r w:rsidR="00366C2D">
              <w:rPr>
                <w:rFonts w:ascii="Arial" w:hAnsi="Arial" w:cs="Arial"/>
                <w:color w:val="000000"/>
                <w:sz w:val="16"/>
                <w:szCs w:val="16"/>
              </w:rPr>
              <w:t>€</w:t>
            </w:r>
            <w:r w:rsidRPr="00E21C60">
              <w:rPr>
                <w:rFonts w:ascii="Arial" w:hAnsi="Arial" w:cs="Arial"/>
                <w:color w:val="000000"/>
                <w:sz w:val="16"/>
                <w:szCs w:val="16"/>
              </w:rPr>
              <w:t>]</w:t>
            </w:r>
            <w:r w:rsidR="004A0092" w:rsidRPr="00E21C60">
              <w:rPr>
                <w:rFonts w:ascii="Arial" w:hAnsi="Arial" w:cs="Arial"/>
                <w:color w:val="000000"/>
                <w:sz w:val="16"/>
                <w:szCs w:val="16"/>
              </w:rPr>
              <w:t xml:space="preserve"> -  výsledok</w:t>
            </w:r>
          </w:p>
        </w:tc>
        <w:tc>
          <w:tcPr>
            <w:tcW w:w="992" w:type="dxa"/>
            <w:tcBorders>
              <w:top w:val="nil"/>
              <w:left w:val="nil"/>
              <w:bottom w:val="dotted" w:sz="4" w:space="0" w:color="auto"/>
              <w:right w:val="single" w:sz="8" w:space="0" w:color="auto"/>
            </w:tcBorders>
            <w:shd w:val="clear" w:color="auto" w:fill="auto"/>
            <w:vAlign w:val="center"/>
            <w:hideMark/>
          </w:tcPr>
          <w:p w14:paraId="5581E4A3" w14:textId="77777777" w:rsidR="00D11A56" w:rsidRPr="00E21C60" w:rsidRDefault="00D11A56">
            <w:pPr>
              <w:rPr>
                <w:rFonts w:ascii="Arial" w:hAnsi="Arial" w:cs="Arial"/>
                <w:color w:val="000000"/>
                <w:sz w:val="16"/>
                <w:szCs w:val="16"/>
              </w:rPr>
            </w:pPr>
            <w:r w:rsidRPr="00E21C60">
              <w:rPr>
                <w:rFonts w:ascii="Arial" w:hAnsi="Arial" w:cs="Arial"/>
                <w:color w:val="000000"/>
                <w:sz w:val="16"/>
                <w:szCs w:val="16"/>
              </w:rPr>
              <w:t>Dosiahnutý výsledok</w:t>
            </w:r>
          </w:p>
        </w:tc>
        <w:tc>
          <w:tcPr>
            <w:tcW w:w="618" w:type="dxa"/>
            <w:tcBorders>
              <w:top w:val="nil"/>
              <w:left w:val="nil"/>
              <w:bottom w:val="dotted" w:sz="4" w:space="0" w:color="auto"/>
              <w:right w:val="dotted" w:sz="4" w:space="0" w:color="auto"/>
            </w:tcBorders>
            <w:shd w:val="clear" w:color="auto" w:fill="auto"/>
            <w:vAlign w:val="center"/>
            <w:hideMark/>
          </w:tcPr>
          <w:p w14:paraId="732D2757"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0</w:t>
            </w:r>
          </w:p>
        </w:tc>
        <w:tc>
          <w:tcPr>
            <w:tcW w:w="516" w:type="dxa"/>
            <w:tcBorders>
              <w:top w:val="nil"/>
              <w:left w:val="nil"/>
              <w:bottom w:val="dotted" w:sz="4" w:space="0" w:color="auto"/>
              <w:right w:val="dotted" w:sz="4" w:space="0" w:color="auto"/>
            </w:tcBorders>
            <w:shd w:val="clear" w:color="auto" w:fill="auto"/>
            <w:vAlign w:val="center"/>
            <w:hideMark/>
          </w:tcPr>
          <w:p w14:paraId="264B248D"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0</w:t>
            </w:r>
          </w:p>
        </w:tc>
        <w:tc>
          <w:tcPr>
            <w:tcW w:w="567" w:type="dxa"/>
            <w:tcBorders>
              <w:top w:val="nil"/>
              <w:left w:val="nil"/>
              <w:bottom w:val="dotted" w:sz="4" w:space="0" w:color="auto"/>
              <w:right w:val="dotted" w:sz="4" w:space="0" w:color="auto"/>
            </w:tcBorders>
            <w:shd w:val="clear" w:color="auto" w:fill="auto"/>
            <w:vAlign w:val="center"/>
            <w:hideMark/>
          </w:tcPr>
          <w:p w14:paraId="2BC5F716"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31,</w:t>
            </w:r>
            <w:r w:rsidR="004A0092" w:rsidRPr="00E21C60">
              <w:rPr>
                <w:rFonts w:ascii="Arial" w:hAnsi="Arial" w:cs="Arial"/>
                <w:color w:val="000000"/>
                <w:sz w:val="16"/>
                <w:szCs w:val="16"/>
              </w:rPr>
              <w:t xml:space="preserve"> </w:t>
            </w:r>
            <w:r w:rsidRPr="00E21C60">
              <w:rPr>
                <w:rFonts w:ascii="Arial" w:hAnsi="Arial" w:cs="Arial"/>
                <w:color w:val="000000"/>
                <w:sz w:val="16"/>
                <w:szCs w:val="16"/>
              </w:rPr>
              <w:t>6</w:t>
            </w:r>
            <w:r w:rsidR="004A0092" w:rsidRPr="00E21C60">
              <w:rPr>
                <w:rFonts w:ascii="Arial" w:hAnsi="Arial" w:cs="Arial"/>
                <w:color w:val="000000"/>
                <w:sz w:val="16"/>
                <w:szCs w:val="16"/>
              </w:rPr>
              <w:t>2</w:t>
            </w:r>
          </w:p>
        </w:tc>
        <w:tc>
          <w:tcPr>
            <w:tcW w:w="567" w:type="dxa"/>
            <w:tcBorders>
              <w:top w:val="nil"/>
              <w:left w:val="nil"/>
              <w:bottom w:val="dotted" w:sz="4" w:space="0" w:color="auto"/>
              <w:right w:val="dotted" w:sz="4" w:space="0" w:color="auto"/>
            </w:tcBorders>
            <w:shd w:val="clear" w:color="auto" w:fill="auto"/>
            <w:vAlign w:val="center"/>
            <w:hideMark/>
          </w:tcPr>
          <w:p w14:paraId="64A4D3DE"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148</w:t>
            </w:r>
            <w:r w:rsidR="004A0092" w:rsidRPr="00E21C60">
              <w:rPr>
                <w:rFonts w:ascii="Arial" w:hAnsi="Arial" w:cs="Arial"/>
                <w:color w:val="000000"/>
                <w:sz w:val="16"/>
                <w:szCs w:val="16"/>
              </w:rPr>
              <w:t>,</w:t>
            </w:r>
          </w:p>
          <w:p w14:paraId="2260D36D" w14:textId="77777777" w:rsidR="004A0092" w:rsidRPr="00E21C60" w:rsidRDefault="004A0092">
            <w:pPr>
              <w:jc w:val="center"/>
              <w:rPr>
                <w:rFonts w:ascii="Arial" w:hAnsi="Arial" w:cs="Arial"/>
                <w:color w:val="000000"/>
                <w:sz w:val="16"/>
                <w:szCs w:val="16"/>
              </w:rPr>
            </w:pPr>
            <w:r w:rsidRPr="00E21C60">
              <w:rPr>
                <w:rFonts w:ascii="Arial" w:hAnsi="Arial" w:cs="Arial"/>
                <w:color w:val="000000"/>
                <w:sz w:val="16"/>
                <w:szCs w:val="16"/>
              </w:rPr>
              <w:t>27</w:t>
            </w:r>
          </w:p>
        </w:tc>
        <w:tc>
          <w:tcPr>
            <w:tcW w:w="567" w:type="dxa"/>
            <w:tcBorders>
              <w:top w:val="nil"/>
              <w:left w:val="nil"/>
              <w:bottom w:val="dotted" w:sz="4" w:space="0" w:color="auto"/>
              <w:right w:val="dotted" w:sz="4" w:space="0" w:color="auto"/>
            </w:tcBorders>
            <w:shd w:val="clear" w:color="auto" w:fill="auto"/>
            <w:vAlign w:val="center"/>
            <w:hideMark/>
          </w:tcPr>
          <w:p w14:paraId="779BC606"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153</w:t>
            </w:r>
          </w:p>
        </w:tc>
        <w:tc>
          <w:tcPr>
            <w:tcW w:w="567" w:type="dxa"/>
            <w:tcBorders>
              <w:top w:val="nil"/>
              <w:left w:val="nil"/>
              <w:bottom w:val="dotted" w:sz="4" w:space="0" w:color="auto"/>
              <w:right w:val="dotted" w:sz="4" w:space="0" w:color="auto"/>
            </w:tcBorders>
            <w:shd w:val="clear" w:color="auto" w:fill="auto"/>
            <w:vAlign w:val="center"/>
            <w:hideMark/>
          </w:tcPr>
          <w:p w14:paraId="2E08D4AF"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149</w:t>
            </w:r>
            <w:r w:rsidR="004A0092" w:rsidRPr="00E21C60">
              <w:rPr>
                <w:rFonts w:ascii="Arial" w:hAnsi="Arial" w:cs="Arial"/>
                <w:color w:val="000000"/>
                <w:sz w:val="16"/>
                <w:szCs w:val="16"/>
              </w:rPr>
              <w:t>,</w:t>
            </w:r>
          </w:p>
          <w:p w14:paraId="23D404D5" w14:textId="77777777" w:rsidR="004A0092" w:rsidRPr="00E21C60" w:rsidRDefault="004A0092">
            <w:pPr>
              <w:jc w:val="center"/>
              <w:rPr>
                <w:rFonts w:ascii="Arial" w:hAnsi="Arial" w:cs="Arial"/>
                <w:color w:val="000000"/>
                <w:sz w:val="16"/>
                <w:szCs w:val="16"/>
              </w:rPr>
            </w:pPr>
            <w:r w:rsidRPr="00E21C60">
              <w:rPr>
                <w:rFonts w:ascii="Arial" w:hAnsi="Arial" w:cs="Arial"/>
                <w:color w:val="000000"/>
                <w:sz w:val="16"/>
                <w:szCs w:val="16"/>
              </w:rPr>
              <w:t>11</w:t>
            </w:r>
          </w:p>
        </w:tc>
        <w:tc>
          <w:tcPr>
            <w:tcW w:w="567" w:type="dxa"/>
            <w:tcBorders>
              <w:top w:val="nil"/>
              <w:left w:val="nil"/>
              <w:bottom w:val="dotted" w:sz="4" w:space="0" w:color="auto"/>
              <w:right w:val="dotted" w:sz="4" w:space="0" w:color="auto"/>
            </w:tcBorders>
            <w:shd w:val="clear" w:color="auto" w:fill="auto"/>
            <w:vAlign w:val="center"/>
            <w:hideMark/>
          </w:tcPr>
          <w:p w14:paraId="42839C37" w14:textId="0275A474" w:rsidR="00E60188" w:rsidRDefault="00E60188">
            <w:pPr>
              <w:jc w:val="center"/>
              <w:rPr>
                <w:rFonts w:ascii="Arial" w:hAnsi="Arial" w:cs="Arial"/>
                <w:color w:val="000000"/>
                <w:sz w:val="16"/>
                <w:szCs w:val="16"/>
              </w:rPr>
            </w:pPr>
            <w:r>
              <w:rPr>
                <w:rFonts w:ascii="Arial" w:hAnsi="Arial" w:cs="Arial"/>
                <w:color w:val="000000"/>
                <w:sz w:val="16"/>
                <w:szCs w:val="16"/>
              </w:rPr>
              <w:t>154,</w:t>
            </w:r>
          </w:p>
          <w:p w14:paraId="4E0CCE62" w14:textId="77777777" w:rsidR="004A0092" w:rsidRPr="00E21C60" w:rsidRDefault="00E60188">
            <w:pPr>
              <w:jc w:val="center"/>
              <w:rPr>
                <w:rFonts w:ascii="Arial" w:hAnsi="Arial" w:cs="Arial"/>
                <w:color w:val="000000"/>
                <w:sz w:val="16"/>
                <w:szCs w:val="16"/>
              </w:rPr>
            </w:pPr>
            <w:r>
              <w:rPr>
                <w:rFonts w:ascii="Arial" w:hAnsi="Arial" w:cs="Arial"/>
                <w:color w:val="000000"/>
                <w:sz w:val="16"/>
                <w:szCs w:val="16"/>
              </w:rPr>
              <w:t>39</w:t>
            </w:r>
          </w:p>
        </w:tc>
        <w:tc>
          <w:tcPr>
            <w:tcW w:w="567" w:type="dxa"/>
            <w:tcBorders>
              <w:top w:val="nil"/>
              <w:left w:val="nil"/>
              <w:bottom w:val="dotted" w:sz="4" w:space="0" w:color="auto"/>
              <w:right w:val="dotted" w:sz="4" w:space="0" w:color="auto"/>
            </w:tcBorders>
            <w:shd w:val="clear" w:color="auto" w:fill="auto"/>
            <w:vAlign w:val="center"/>
            <w:hideMark/>
          </w:tcPr>
          <w:p w14:paraId="5C566EB9" w14:textId="7632A006" w:rsidR="00E60188" w:rsidRDefault="00E60188" w:rsidP="00E60188">
            <w:pPr>
              <w:jc w:val="center"/>
              <w:rPr>
                <w:rFonts w:ascii="Arial" w:hAnsi="Arial" w:cs="Arial"/>
                <w:color w:val="000000"/>
                <w:sz w:val="16"/>
                <w:szCs w:val="16"/>
              </w:rPr>
            </w:pPr>
            <w:r>
              <w:rPr>
                <w:rFonts w:ascii="Arial" w:hAnsi="Arial" w:cs="Arial"/>
                <w:color w:val="000000"/>
                <w:sz w:val="16"/>
                <w:szCs w:val="16"/>
              </w:rPr>
              <w:t>183,</w:t>
            </w:r>
          </w:p>
          <w:p w14:paraId="7AE2A956" w14:textId="77777777" w:rsidR="00D11A56" w:rsidRPr="00E21C60" w:rsidRDefault="00E60188" w:rsidP="00E60188">
            <w:pPr>
              <w:jc w:val="center"/>
              <w:rPr>
                <w:rFonts w:ascii="Arial" w:hAnsi="Arial" w:cs="Arial"/>
                <w:color w:val="000000"/>
                <w:sz w:val="16"/>
                <w:szCs w:val="16"/>
              </w:rPr>
            </w:pPr>
            <w:r>
              <w:rPr>
                <w:rFonts w:ascii="Arial" w:hAnsi="Arial" w:cs="Arial"/>
                <w:color w:val="000000"/>
                <w:sz w:val="16"/>
                <w:szCs w:val="16"/>
              </w:rPr>
              <w:t>22</w:t>
            </w:r>
          </w:p>
        </w:tc>
        <w:tc>
          <w:tcPr>
            <w:tcW w:w="567" w:type="dxa"/>
            <w:tcBorders>
              <w:top w:val="nil"/>
              <w:left w:val="nil"/>
              <w:bottom w:val="dotted" w:sz="4" w:space="0" w:color="auto"/>
              <w:right w:val="dotted" w:sz="4" w:space="0" w:color="auto"/>
            </w:tcBorders>
            <w:shd w:val="clear" w:color="auto" w:fill="auto"/>
            <w:vAlign w:val="center"/>
            <w:hideMark/>
          </w:tcPr>
          <w:p w14:paraId="64874B4A" w14:textId="6B0E6110" w:rsidR="00D11A56" w:rsidRPr="00E21C60" w:rsidRDefault="00FC56F0" w:rsidP="00CC2B6C">
            <w:pPr>
              <w:jc w:val="center"/>
              <w:rPr>
                <w:rFonts w:ascii="Arial" w:hAnsi="Arial" w:cs="Arial"/>
                <w:color w:val="000000"/>
                <w:sz w:val="16"/>
                <w:szCs w:val="16"/>
              </w:rPr>
            </w:pPr>
            <w:r>
              <w:rPr>
                <w:rFonts w:ascii="Arial" w:hAnsi="Arial" w:cs="Arial"/>
                <w:color w:val="000000"/>
                <w:sz w:val="16"/>
                <w:szCs w:val="16"/>
              </w:rPr>
              <w:t>153</w:t>
            </w:r>
            <w:r w:rsidR="00A375DA">
              <w:rPr>
                <w:rFonts w:ascii="Arial" w:hAnsi="Arial" w:cs="Arial"/>
                <w:color w:val="000000"/>
                <w:sz w:val="16"/>
                <w:szCs w:val="16"/>
              </w:rPr>
              <w:t>,63</w:t>
            </w:r>
            <w:r w:rsidR="00CC2B6C">
              <w:rPr>
                <w:rFonts w:ascii="Arial" w:hAnsi="Arial" w:cs="Arial"/>
                <w:color w:val="000000"/>
                <w:sz w:val="16"/>
                <w:szCs w:val="16"/>
              </w:rPr>
              <w:t>2</w:t>
            </w:r>
            <w:r w:rsidR="00A375DA">
              <w:rPr>
                <w:rFonts w:ascii="Arial" w:hAnsi="Arial" w:cs="Arial"/>
                <w:color w:val="000000"/>
                <w:sz w:val="16"/>
                <w:szCs w:val="16"/>
              </w:rPr>
              <w:t xml:space="preserve"> mil</w:t>
            </w:r>
          </w:p>
        </w:tc>
        <w:tc>
          <w:tcPr>
            <w:tcW w:w="709" w:type="dxa"/>
            <w:tcBorders>
              <w:top w:val="nil"/>
              <w:left w:val="nil"/>
              <w:bottom w:val="dotted" w:sz="4" w:space="0" w:color="auto"/>
              <w:right w:val="dotted" w:sz="4" w:space="0" w:color="auto"/>
            </w:tcBorders>
            <w:shd w:val="clear" w:color="auto" w:fill="auto"/>
            <w:vAlign w:val="center"/>
            <w:hideMark/>
          </w:tcPr>
          <w:p w14:paraId="4A0D3019" w14:textId="20E4FF52" w:rsidR="00D11A56" w:rsidRPr="00E21C60" w:rsidRDefault="00A375DA" w:rsidP="00814804">
            <w:pPr>
              <w:jc w:val="center"/>
              <w:rPr>
                <w:rFonts w:ascii="Arial" w:hAnsi="Arial" w:cs="Arial"/>
                <w:color w:val="000000"/>
                <w:sz w:val="16"/>
                <w:szCs w:val="16"/>
              </w:rPr>
            </w:pPr>
            <w:r>
              <w:rPr>
                <w:rFonts w:ascii="Arial" w:hAnsi="Arial" w:cs="Arial"/>
                <w:color w:val="000000"/>
                <w:sz w:val="16"/>
                <w:szCs w:val="16"/>
              </w:rPr>
              <w:t>153</w:t>
            </w:r>
            <w:r w:rsidR="00CC2B6C">
              <w:rPr>
                <w:rFonts w:ascii="Arial" w:hAnsi="Arial" w:cs="Arial"/>
                <w:color w:val="000000"/>
                <w:sz w:val="16"/>
                <w:szCs w:val="16"/>
              </w:rPr>
              <w:t>,632</w:t>
            </w:r>
            <w:r>
              <w:rPr>
                <w:rFonts w:ascii="Arial" w:hAnsi="Arial" w:cs="Arial"/>
                <w:color w:val="000000"/>
                <w:sz w:val="16"/>
                <w:szCs w:val="16"/>
              </w:rPr>
              <w:t xml:space="preserve"> mil</w:t>
            </w:r>
          </w:p>
        </w:tc>
        <w:tc>
          <w:tcPr>
            <w:tcW w:w="1134" w:type="dxa"/>
            <w:vMerge w:val="restart"/>
            <w:tcBorders>
              <w:top w:val="nil"/>
              <w:left w:val="dotted" w:sz="4" w:space="0" w:color="auto"/>
              <w:bottom w:val="single" w:sz="8" w:space="0" w:color="000000"/>
              <w:right w:val="single" w:sz="8" w:space="0" w:color="auto"/>
            </w:tcBorders>
            <w:shd w:val="clear" w:color="auto" w:fill="auto"/>
            <w:vAlign w:val="center"/>
            <w:hideMark/>
          </w:tcPr>
          <w:p w14:paraId="3953EDD7" w14:textId="44A07975" w:rsidR="006F3B53" w:rsidRPr="00123376" w:rsidRDefault="006F3B53">
            <w:pPr>
              <w:jc w:val="center"/>
              <w:rPr>
                <w:rFonts w:ascii="Arial" w:hAnsi="Arial" w:cs="Arial"/>
                <w:color w:val="1F497D"/>
                <w:sz w:val="16"/>
                <w:szCs w:val="16"/>
              </w:rPr>
            </w:pPr>
          </w:p>
        </w:tc>
      </w:tr>
      <w:tr w:rsidR="004C4483" w:rsidRPr="00E21C60" w14:paraId="7ABAC48B" w14:textId="77777777" w:rsidTr="00912C87">
        <w:trPr>
          <w:trHeight w:val="465"/>
        </w:trPr>
        <w:tc>
          <w:tcPr>
            <w:tcW w:w="1433" w:type="dxa"/>
            <w:vMerge/>
            <w:tcBorders>
              <w:top w:val="nil"/>
              <w:left w:val="single" w:sz="8" w:space="0" w:color="auto"/>
              <w:bottom w:val="single" w:sz="8" w:space="0" w:color="000000"/>
              <w:right w:val="single" w:sz="8" w:space="0" w:color="auto"/>
            </w:tcBorders>
            <w:vAlign w:val="center"/>
            <w:hideMark/>
          </w:tcPr>
          <w:p w14:paraId="78222A01" w14:textId="77777777" w:rsidR="00D11A56" w:rsidRPr="00E21C60" w:rsidRDefault="00D11A56">
            <w:pPr>
              <w:rPr>
                <w:rFonts w:ascii="Arial" w:hAnsi="Arial" w:cs="Arial"/>
                <w:color w:val="000000"/>
                <w:sz w:val="16"/>
                <w:szCs w:val="16"/>
              </w:rPr>
            </w:pPr>
          </w:p>
        </w:tc>
        <w:tc>
          <w:tcPr>
            <w:tcW w:w="992" w:type="dxa"/>
            <w:tcBorders>
              <w:top w:val="nil"/>
              <w:left w:val="nil"/>
              <w:bottom w:val="dotted" w:sz="4" w:space="0" w:color="auto"/>
              <w:right w:val="single" w:sz="8" w:space="0" w:color="auto"/>
            </w:tcBorders>
            <w:shd w:val="clear" w:color="auto" w:fill="auto"/>
            <w:vAlign w:val="center"/>
            <w:hideMark/>
          </w:tcPr>
          <w:p w14:paraId="51B25D67" w14:textId="77777777" w:rsidR="00D11A56" w:rsidRPr="00E21C60" w:rsidRDefault="00D11A56">
            <w:pPr>
              <w:rPr>
                <w:rFonts w:ascii="Arial" w:hAnsi="Arial" w:cs="Arial"/>
                <w:color w:val="000000"/>
                <w:sz w:val="16"/>
                <w:szCs w:val="16"/>
              </w:rPr>
            </w:pPr>
            <w:r w:rsidRPr="00E21C60">
              <w:rPr>
                <w:rFonts w:ascii="Arial" w:hAnsi="Arial" w:cs="Arial"/>
                <w:color w:val="000000"/>
                <w:sz w:val="16"/>
                <w:szCs w:val="16"/>
              </w:rPr>
              <w:t>Cieľ</w:t>
            </w:r>
          </w:p>
        </w:tc>
        <w:tc>
          <w:tcPr>
            <w:tcW w:w="618" w:type="dxa"/>
            <w:tcBorders>
              <w:top w:val="nil"/>
              <w:left w:val="nil"/>
              <w:bottom w:val="dotted" w:sz="4" w:space="0" w:color="auto"/>
              <w:right w:val="dotted" w:sz="4" w:space="0" w:color="auto"/>
            </w:tcBorders>
            <w:shd w:val="clear" w:color="auto" w:fill="auto"/>
            <w:vAlign w:val="center"/>
            <w:hideMark/>
          </w:tcPr>
          <w:p w14:paraId="42B607C4"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16" w:type="dxa"/>
            <w:tcBorders>
              <w:top w:val="nil"/>
              <w:left w:val="nil"/>
              <w:bottom w:val="dotted" w:sz="4" w:space="0" w:color="auto"/>
              <w:right w:val="dotted" w:sz="4" w:space="0" w:color="auto"/>
            </w:tcBorders>
            <w:shd w:val="clear" w:color="auto" w:fill="auto"/>
            <w:vAlign w:val="center"/>
            <w:hideMark/>
          </w:tcPr>
          <w:p w14:paraId="5C54D1C1"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3CFFB400"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38A94A81"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519BFCEC"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6842BD34"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63615B11"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28EF7996"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0618443D" w14:textId="001FA25A"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200,0</w:t>
            </w:r>
          </w:p>
        </w:tc>
        <w:tc>
          <w:tcPr>
            <w:tcW w:w="709" w:type="dxa"/>
            <w:tcBorders>
              <w:top w:val="nil"/>
              <w:left w:val="nil"/>
              <w:bottom w:val="dotted" w:sz="4" w:space="0" w:color="auto"/>
              <w:right w:val="dotted" w:sz="4" w:space="0" w:color="auto"/>
            </w:tcBorders>
            <w:shd w:val="clear" w:color="auto" w:fill="auto"/>
            <w:vAlign w:val="center"/>
            <w:hideMark/>
          </w:tcPr>
          <w:p w14:paraId="6BFE9C58" w14:textId="58A3F6FD"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200,0</w:t>
            </w:r>
          </w:p>
        </w:tc>
        <w:tc>
          <w:tcPr>
            <w:tcW w:w="1134" w:type="dxa"/>
            <w:vMerge/>
            <w:tcBorders>
              <w:top w:val="nil"/>
              <w:left w:val="dotted" w:sz="4" w:space="0" w:color="auto"/>
              <w:bottom w:val="single" w:sz="8" w:space="0" w:color="000000"/>
              <w:right w:val="single" w:sz="8" w:space="0" w:color="auto"/>
            </w:tcBorders>
            <w:vAlign w:val="center"/>
            <w:hideMark/>
          </w:tcPr>
          <w:p w14:paraId="21C0C10D" w14:textId="77777777" w:rsidR="00D11A56" w:rsidRPr="00E21C60" w:rsidRDefault="00D11A56">
            <w:pPr>
              <w:rPr>
                <w:rFonts w:ascii="Arial" w:hAnsi="Arial" w:cs="Arial"/>
                <w:color w:val="000000"/>
                <w:sz w:val="16"/>
                <w:szCs w:val="16"/>
              </w:rPr>
            </w:pPr>
          </w:p>
        </w:tc>
      </w:tr>
      <w:tr w:rsidR="004C4483" w:rsidRPr="00E21C60" w14:paraId="6D32E8D0" w14:textId="77777777" w:rsidTr="00912C87">
        <w:trPr>
          <w:trHeight w:val="465"/>
        </w:trPr>
        <w:tc>
          <w:tcPr>
            <w:tcW w:w="1433" w:type="dxa"/>
            <w:vMerge/>
            <w:tcBorders>
              <w:top w:val="nil"/>
              <w:left w:val="single" w:sz="8" w:space="0" w:color="auto"/>
              <w:bottom w:val="single" w:sz="8" w:space="0" w:color="000000"/>
              <w:right w:val="single" w:sz="8" w:space="0" w:color="auto"/>
            </w:tcBorders>
            <w:vAlign w:val="center"/>
            <w:hideMark/>
          </w:tcPr>
          <w:p w14:paraId="6A130ADE" w14:textId="77777777" w:rsidR="00D11A56" w:rsidRPr="00E21C60" w:rsidRDefault="00D11A56">
            <w:pPr>
              <w:rPr>
                <w:rFonts w:ascii="Arial" w:hAnsi="Arial" w:cs="Arial"/>
                <w:color w:val="000000"/>
                <w:sz w:val="16"/>
                <w:szCs w:val="16"/>
              </w:rPr>
            </w:pPr>
          </w:p>
        </w:tc>
        <w:tc>
          <w:tcPr>
            <w:tcW w:w="992" w:type="dxa"/>
            <w:tcBorders>
              <w:top w:val="dotted" w:sz="4" w:space="0" w:color="auto"/>
              <w:left w:val="nil"/>
              <w:bottom w:val="single" w:sz="8" w:space="0" w:color="auto"/>
              <w:right w:val="single" w:sz="8" w:space="0" w:color="auto"/>
            </w:tcBorders>
            <w:shd w:val="clear" w:color="auto" w:fill="auto"/>
            <w:vAlign w:val="center"/>
            <w:hideMark/>
          </w:tcPr>
          <w:p w14:paraId="7794E8F2" w14:textId="77777777" w:rsidR="00D11A56" w:rsidRPr="00E21C60" w:rsidRDefault="00D11A56">
            <w:pPr>
              <w:rPr>
                <w:rFonts w:ascii="Arial" w:hAnsi="Arial" w:cs="Arial"/>
                <w:color w:val="000000"/>
                <w:sz w:val="16"/>
                <w:szCs w:val="16"/>
              </w:rPr>
            </w:pPr>
            <w:r w:rsidRPr="00E21C60">
              <w:rPr>
                <w:rFonts w:ascii="Arial" w:hAnsi="Arial" w:cs="Arial"/>
                <w:color w:val="000000"/>
                <w:sz w:val="16"/>
                <w:szCs w:val="16"/>
              </w:rPr>
              <w:t>Východisko</w:t>
            </w:r>
          </w:p>
        </w:tc>
        <w:tc>
          <w:tcPr>
            <w:tcW w:w="618" w:type="dxa"/>
            <w:tcBorders>
              <w:top w:val="dotted" w:sz="4" w:space="0" w:color="auto"/>
              <w:left w:val="nil"/>
              <w:bottom w:val="single" w:sz="8" w:space="0" w:color="auto"/>
              <w:right w:val="dotted" w:sz="4" w:space="0" w:color="auto"/>
            </w:tcBorders>
            <w:shd w:val="clear" w:color="auto" w:fill="auto"/>
            <w:vAlign w:val="center"/>
            <w:hideMark/>
          </w:tcPr>
          <w:p w14:paraId="26B9873F"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0</w:t>
            </w:r>
          </w:p>
        </w:tc>
        <w:tc>
          <w:tcPr>
            <w:tcW w:w="516" w:type="dxa"/>
            <w:tcBorders>
              <w:top w:val="dotted" w:sz="4" w:space="0" w:color="auto"/>
              <w:left w:val="nil"/>
              <w:bottom w:val="single" w:sz="8" w:space="0" w:color="auto"/>
              <w:right w:val="dotted" w:sz="4" w:space="0" w:color="auto"/>
            </w:tcBorders>
            <w:shd w:val="clear" w:color="auto" w:fill="auto"/>
            <w:vAlign w:val="center"/>
            <w:hideMark/>
          </w:tcPr>
          <w:p w14:paraId="36865521"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dotted" w:sz="4" w:space="0" w:color="auto"/>
              <w:left w:val="nil"/>
              <w:bottom w:val="single" w:sz="8" w:space="0" w:color="auto"/>
              <w:right w:val="dotted" w:sz="4" w:space="0" w:color="auto"/>
            </w:tcBorders>
            <w:shd w:val="clear" w:color="auto" w:fill="auto"/>
            <w:vAlign w:val="center"/>
            <w:hideMark/>
          </w:tcPr>
          <w:p w14:paraId="5A7C9347"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dotted" w:sz="4" w:space="0" w:color="auto"/>
              <w:left w:val="nil"/>
              <w:bottom w:val="single" w:sz="8" w:space="0" w:color="auto"/>
              <w:right w:val="dotted" w:sz="4" w:space="0" w:color="auto"/>
            </w:tcBorders>
            <w:shd w:val="clear" w:color="auto" w:fill="auto"/>
            <w:vAlign w:val="center"/>
            <w:hideMark/>
          </w:tcPr>
          <w:p w14:paraId="782ADEC9"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dotted" w:sz="4" w:space="0" w:color="auto"/>
              <w:left w:val="nil"/>
              <w:bottom w:val="single" w:sz="8" w:space="0" w:color="auto"/>
              <w:right w:val="dotted" w:sz="4" w:space="0" w:color="auto"/>
            </w:tcBorders>
            <w:shd w:val="clear" w:color="auto" w:fill="auto"/>
            <w:vAlign w:val="center"/>
            <w:hideMark/>
          </w:tcPr>
          <w:p w14:paraId="1FB1B69D"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dotted" w:sz="4" w:space="0" w:color="auto"/>
              <w:left w:val="nil"/>
              <w:bottom w:val="single" w:sz="8" w:space="0" w:color="auto"/>
              <w:right w:val="dotted" w:sz="4" w:space="0" w:color="auto"/>
            </w:tcBorders>
            <w:shd w:val="clear" w:color="auto" w:fill="auto"/>
            <w:vAlign w:val="center"/>
            <w:hideMark/>
          </w:tcPr>
          <w:p w14:paraId="7FB76698"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dotted" w:sz="4" w:space="0" w:color="auto"/>
              <w:left w:val="nil"/>
              <w:bottom w:val="single" w:sz="8" w:space="0" w:color="auto"/>
              <w:right w:val="dotted" w:sz="4" w:space="0" w:color="auto"/>
            </w:tcBorders>
            <w:shd w:val="clear" w:color="auto" w:fill="auto"/>
            <w:vAlign w:val="center"/>
            <w:hideMark/>
          </w:tcPr>
          <w:p w14:paraId="39E7D2F3"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dotted" w:sz="4" w:space="0" w:color="auto"/>
              <w:left w:val="nil"/>
              <w:bottom w:val="single" w:sz="8" w:space="0" w:color="auto"/>
              <w:right w:val="dotted" w:sz="4" w:space="0" w:color="auto"/>
            </w:tcBorders>
            <w:shd w:val="clear" w:color="auto" w:fill="auto"/>
            <w:vAlign w:val="center"/>
            <w:hideMark/>
          </w:tcPr>
          <w:p w14:paraId="0D948654"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dotted" w:sz="4" w:space="0" w:color="auto"/>
              <w:left w:val="nil"/>
              <w:bottom w:val="single" w:sz="8" w:space="0" w:color="auto"/>
              <w:right w:val="dotted" w:sz="4" w:space="0" w:color="auto"/>
            </w:tcBorders>
            <w:shd w:val="clear" w:color="auto" w:fill="auto"/>
            <w:vAlign w:val="center"/>
            <w:hideMark/>
          </w:tcPr>
          <w:p w14:paraId="15F1F406"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dotted" w:sz="4" w:space="0" w:color="auto"/>
              <w:left w:val="nil"/>
              <w:bottom w:val="single" w:sz="8" w:space="0" w:color="auto"/>
              <w:right w:val="dotted" w:sz="4" w:space="0" w:color="auto"/>
            </w:tcBorders>
            <w:shd w:val="clear" w:color="auto" w:fill="auto"/>
            <w:vAlign w:val="center"/>
            <w:hideMark/>
          </w:tcPr>
          <w:p w14:paraId="7E2B43CC" w14:textId="77777777" w:rsidR="00D11A56" w:rsidRPr="00E21C60" w:rsidRDefault="00D11A56">
            <w:pPr>
              <w:jc w:val="center"/>
              <w:rPr>
                <w:rFonts w:ascii="Arial" w:hAnsi="Arial" w:cs="Arial"/>
                <w:color w:val="000000"/>
                <w:sz w:val="16"/>
                <w:szCs w:val="16"/>
              </w:rPr>
            </w:pPr>
            <w:r w:rsidRPr="00E21C60">
              <w:rPr>
                <w:rFonts w:ascii="Arial" w:hAnsi="Arial" w:cs="Arial"/>
                <w:color w:val="000000"/>
                <w:sz w:val="16"/>
                <w:szCs w:val="16"/>
              </w:rPr>
              <w:t>0</w:t>
            </w:r>
          </w:p>
        </w:tc>
        <w:tc>
          <w:tcPr>
            <w:tcW w:w="1134" w:type="dxa"/>
            <w:vMerge/>
            <w:tcBorders>
              <w:top w:val="nil"/>
              <w:left w:val="dotted" w:sz="4" w:space="0" w:color="auto"/>
              <w:bottom w:val="single" w:sz="8" w:space="0" w:color="000000"/>
              <w:right w:val="single" w:sz="8" w:space="0" w:color="auto"/>
            </w:tcBorders>
            <w:vAlign w:val="center"/>
            <w:hideMark/>
          </w:tcPr>
          <w:p w14:paraId="5CD4DD19" w14:textId="77777777" w:rsidR="00D11A56" w:rsidRPr="00E21C60" w:rsidRDefault="00D11A56">
            <w:pPr>
              <w:rPr>
                <w:rFonts w:ascii="Arial" w:hAnsi="Arial" w:cs="Arial"/>
                <w:color w:val="000000"/>
                <w:sz w:val="16"/>
                <w:szCs w:val="16"/>
              </w:rPr>
            </w:pPr>
          </w:p>
        </w:tc>
      </w:tr>
    </w:tbl>
    <w:p w14:paraId="551A6082" w14:textId="77777777" w:rsidR="00F94008" w:rsidRPr="00123376" w:rsidRDefault="00000CC9" w:rsidP="00123376">
      <w:pPr>
        <w:jc w:val="both"/>
        <w:rPr>
          <w:rFonts w:ascii="Arial" w:hAnsi="Arial" w:cs="Arial"/>
          <w:sz w:val="16"/>
          <w:szCs w:val="16"/>
        </w:rPr>
      </w:pPr>
      <w:r w:rsidRPr="00123376">
        <w:rPr>
          <w:rFonts w:ascii="Arial" w:hAnsi="Arial" w:cs="Arial"/>
          <w:sz w:val="16"/>
          <w:szCs w:val="16"/>
        </w:rPr>
        <w:t>Zdroj: RO, ITMS</w:t>
      </w:r>
      <w:r w:rsidR="00F94008" w:rsidRPr="00123376">
        <w:rPr>
          <w:rFonts w:ascii="Arial" w:hAnsi="Arial" w:cs="Arial"/>
          <w:sz w:val="16"/>
          <w:szCs w:val="16"/>
        </w:rPr>
        <w:t>,</w:t>
      </w:r>
    </w:p>
    <w:p w14:paraId="2DA2979B" w14:textId="77777777" w:rsidR="00B01A34" w:rsidRPr="00E21C60" w:rsidRDefault="00B01A34" w:rsidP="00123376">
      <w:pPr>
        <w:rPr>
          <w:rFonts w:ascii="Arial" w:hAnsi="Arial" w:cs="Arial"/>
          <w:i/>
          <w:iCs/>
          <w:sz w:val="16"/>
          <w:szCs w:val="16"/>
        </w:rPr>
      </w:pPr>
      <w:r w:rsidRPr="00E21C60">
        <w:rPr>
          <w:rFonts w:ascii="Arial" w:hAnsi="Arial" w:cs="Arial"/>
          <w:i/>
          <w:iCs/>
          <w:sz w:val="16"/>
          <w:szCs w:val="16"/>
        </w:rPr>
        <w:t xml:space="preserve">V prípade východiskových a cieľových hodnôt ukazovateľov </w:t>
      </w:r>
      <w:r w:rsidR="0002711C">
        <w:rPr>
          <w:rFonts w:ascii="Arial" w:hAnsi="Arial" w:cs="Arial"/>
          <w:i/>
          <w:iCs/>
          <w:sz w:val="16"/>
          <w:szCs w:val="16"/>
        </w:rPr>
        <w:t>ide</w:t>
      </w:r>
      <w:r w:rsidRPr="00E21C60">
        <w:rPr>
          <w:rFonts w:ascii="Arial" w:hAnsi="Arial" w:cs="Arial"/>
          <w:i/>
          <w:iCs/>
          <w:sz w:val="16"/>
          <w:szCs w:val="16"/>
        </w:rPr>
        <w:t xml:space="preserve"> o hodnoty len projektov OP ŽP s relevanciou k HP IS.</w:t>
      </w:r>
    </w:p>
    <w:p w14:paraId="5926D807" w14:textId="31B61EF6" w:rsidR="00E474F1" w:rsidRPr="00E21C60" w:rsidRDefault="00E474F1" w:rsidP="00B7245A">
      <w:pPr>
        <w:spacing w:before="120"/>
        <w:jc w:val="both"/>
        <w:rPr>
          <w:rFonts w:ascii="Arial" w:hAnsi="Arial" w:cs="Arial"/>
          <w:iCs/>
          <w:sz w:val="20"/>
          <w:szCs w:val="20"/>
        </w:rPr>
      </w:pPr>
      <w:r w:rsidRPr="00E21C60">
        <w:rPr>
          <w:rFonts w:ascii="Arial" w:hAnsi="Arial" w:cs="Arial"/>
          <w:iCs/>
          <w:sz w:val="20"/>
          <w:szCs w:val="20"/>
        </w:rPr>
        <w:t xml:space="preserve">Príspevok OP ŽP k napĺňaniu HP IS </w:t>
      </w:r>
      <w:r w:rsidR="005A598C">
        <w:rPr>
          <w:rFonts w:ascii="Arial" w:hAnsi="Arial" w:cs="Arial"/>
          <w:iCs/>
          <w:sz w:val="20"/>
          <w:szCs w:val="20"/>
        </w:rPr>
        <w:t>bol</w:t>
      </w:r>
      <w:r w:rsidRPr="00E21C60">
        <w:rPr>
          <w:rFonts w:ascii="Arial" w:hAnsi="Arial" w:cs="Arial"/>
          <w:iCs/>
          <w:sz w:val="20"/>
          <w:szCs w:val="20"/>
        </w:rPr>
        <w:t xml:space="preserve"> prostredníctvom tých projektov, ktorých súčasťou </w:t>
      </w:r>
      <w:r w:rsidR="000248B0">
        <w:rPr>
          <w:rFonts w:ascii="Arial" w:hAnsi="Arial" w:cs="Arial"/>
          <w:iCs/>
          <w:sz w:val="20"/>
          <w:szCs w:val="20"/>
        </w:rPr>
        <w:t>boli</w:t>
      </w:r>
      <w:r w:rsidRPr="00E21C60">
        <w:rPr>
          <w:rFonts w:ascii="Arial" w:hAnsi="Arial" w:cs="Arial"/>
          <w:iCs/>
          <w:sz w:val="20"/>
          <w:szCs w:val="20"/>
        </w:rPr>
        <w:t xml:space="preserve"> v</w:t>
      </w:r>
      <w:r w:rsidR="00780477" w:rsidRPr="00E21C60">
        <w:rPr>
          <w:rFonts w:ascii="Arial" w:hAnsi="Arial" w:cs="Arial"/>
          <w:iCs/>
          <w:sz w:val="20"/>
          <w:szCs w:val="20"/>
        </w:rPr>
        <w:t> </w:t>
      </w:r>
      <w:r w:rsidRPr="00E21C60">
        <w:rPr>
          <w:rFonts w:ascii="Arial" w:hAnsi="Arial" w:cs="Arial"/>
          <w:iCs/>
          <w:sz w:val="20"/>
          <w:szCs w:val="20"/>
        </w:rPr>
        <w:t>súvislosti</w:t>
      </w:r>
      <w:r w:rsidR="00780477" w:rsidRPr="00E21C60">
        <w:rPr>
          <w:rFonts w:ascii="Arial" w:hAnsi="Arial" w:cs="Arial"/>
          <w:iCs/>
          <w:sz w:val="20"/>
          <w:szCs w:val="20"/>
        </w:rPr>
        <w:t> </w:t>
      </w:r>
      <w:r w:rsidRPr="00E21C60">
        <w:rPr>
          <w:rFonts w:ascii="Arial" w:hAnsi="Arial" w:cs="Arial"/>
          <w:iCs/>
          <w:sz w:val="20"/>
          <w:szCs w:val="20"/>
        </w:rPr>
        <w:t xml:space="preserve">s realizáciou ich hlavného cieľa tiež aktivity spojené s nákupom, vývojom alebo prevádzkou hardware, software, zavádzaním a využívaním informačno-komunikačných technológií, využitím internetu a podporou šírenia informácií elektronickou formou. </w:t>
      </w:r>
      <w:r w:rsidR="0002711C">
        <w:rPr>
          <w:rFonts w:ascii="Arial" w:hAnsi="Arial" w:cs="Arial"/>
          <w:iCs/>
          <w:sz w:val="20"/>
          <w:szCs w:val="20"/>
        </w:rPr>
        <w:t>I</w:t>
      </w:r>
      <w:r w:rsidR="000248B0">
        <w:rPr>
          <w:rFonts w:ascii="Arial" w:hAnsi="Arial" w:cs="Arial"/>
          <w:iCs/>
          <w:sz w:val="20"/>
          <w:szCs w:val="20"/>
        </w:rPr>
        <w:t>šlo</w:t>
      </w:r>
      <w:r w:rsidRPr="00E21C60">
        <w:rPr>
          <w:rFonts w:ascii="Arial" w:hAnsi="Arial" w:cs="Arial"/>
          <w:iCs/>
          <w:sz w:val="20"/>
          <w:szCs w:val="20"/>
        </w:rPr>
        <w:t xml:space="preserve"> o aktivity v oblasti nákupu </w:t>
      </w:r>
      <w:r w:rsidR="00697532">
        <w:rPr>
          <w:rFonts w:ascii="Arial" w:hAnsi="Arial" w:cs="Arial"/>
          <w:iCs/>
          <w:sz w:val="20"/>
          <w:szCs w:val="20"/>
        </w:rPr>
        <w:br/>
      </w:r>
      <w:r w:rsidRPr="00E21C60">
        <w:rPr>
          <w:rFonts w:ascii="Arial" w:hAnsi="Arial" w:cs="Arial"/>
          <w:iCs/>
          <w:sz w:val="20"/>
          <w:szCs w:val="20"/>
        </w:rPr>
        <w:t>a prevádzky technologickej a aplikačnej infraštruktúry, lokálnych a špecializovaných sietí a</w:t>
      </w:r>
      <w:r w:rsidR="00780477" w:rsidRPr="00E21C60">
        <w:rPr>
          <w:rFonts w:ascii="Arial" w:hAnsi="Arial" w:cs="Arial"/>
          <w:iCs/>
          <w:sz w:val="20"/>
          <w:szCs w:val="20"/>
        </w:rPr>
        <w:t> </w:t>
      </w:r>
      <w:r w:rsidRPr="00E21C60">
        <w:rPr>
          <w:rFonts w:ascii="Arial" w:hAnsi="Arial" w:cs="Arial"/>
          <w:iCs/>
          <w:sz w:val="20"/>
          <w:szCs w:val="20"/>
        </w:rPr>
        <w:t>rozvoj</w:t>
      </w:r>
      <w:r w:rsidR="00780477" w:rsidRPr="00E21C60">
        <w:rPr>
          <w:rFonts w:ascii="Arial" w:hAnsi="Arial" w:cs="Arial"/>
          <w:iCs/>
          <w:sz w:val="20"/>
          <w:szCs w:val="20"/>
        </w:rPr>
        <w:t> </w:t>
      </w:r>
      <w:r w:rsidRPr="00E21C60">
        <w:rPr>
          <w:rFonts w:ascii="Arial" w:hAnsi="Arial" w:cs="Arial"/>
          <w:iCs/>
          <w:sz w:val="20"/>
          <w:szCs w:val="20"/>
        </w:rPr>
        <w:t>elektronických služieb v špecifických oblastiach. Uvedené aktivity podpor</w:t>
      </w:r>
      <w:r w:rsidR="000248B0">
        <w:rPr>
          <w:rFonts w:ascii="Arial" w:hAnsi="Arial" w:cs="Arial"/>
          <w:iCs/>
          <w:sz w:val="20"/>
          <w:szCs w:val="20"/>
        </w:rPr>
        <w:t>ovali</w:t>
      </w:r>
      <w:r w:rsidRPr="00E21C60">
        <w:rPr>
          <w:rFonts w:ascii="Arial" w:hAnsi="Arial" w:cs="Arial"/>
          <w:iCs/>
          <w:sz w:val="20"/>
          <w:szCs w:val="20"/>
        </w:rPr>
        <w:t xml:space="preserve"> svojím zameraním </w:t>
      </w:r>
      <w:r w:rsidRPr="00123376">
        <w:rPr>
          <w:rFonts w:ascii="Arial" w:hAnsi="Arial" w:cs="Arial"/>
          <w:i/>
          <w:iCs/>
          <w:sz w:val="20"/>
          <w:szCs w:val="20"/>
        </w:rPr>
        <w:t>špecifický cieľ 2 HP IS</w:t>
      </w:r>
      <w:r w:rsidRPr="00E21C60">
        <w:rPr>
          <w:rFonts w:ascii="Arial" w:hAnsi="Arial" w:cs="Arial"/>
          <w:iCs/>
          <w:sz w:val="20"/>
          <w:szCs w:val="20"/>
        </w:rPr>
        <w:t xml:space="preserve"> </w:t>
      </w:r>
      <w:r w:rsidRPr="00123376">
        <w:rPr>
          <w:rFonts w:ascii="Arial" w:hAnsi="Arial" w:cs="Arial"/>
          <w:i/>
          <w:iCs/>
          <w:sz w:val="20"/>
          <w:szCs w:val="20"/>
        </w:rPr>
        <w:t>Efektívna elektronizácia verejnej správy</w:t>
      </w:r>
      <w:r w:rsidR="00C437F8" w:rsidRPr="00E21C60">
        <w:rPr>
          <w:rFonts w:ascii="Arial" w:hAnsi="Arial" w:cs="Arial"/>
          <w:i/>
          <w:iCs/>
          <w:sz w:val="20"/>
          <w:szCs w:val="20"/>
        </w:rPr>
        <w:t xml:space="preserve"> a cieľ </w:t>
      </w:r>
      <w:r w:rsidR="00C437F8" w:rsidRPr="00E21C60">
        <w:rPr>
          <w:rFonts w:ascii="Arial" w:hAnsi="Arial" w:cs="Arial"/>
          <w:sz w:val="20"/>
          <w:szCs w:val="20"/>
        </w:rPr>
        <w:t xml:space="preserve">3 </w:t>
      </w:r>
      <w:r w:rsidR="00C437F8" w:rsidRPr="00E21C60">
        <w:rPr>
          <w:rFonts w:ascii="Arial" w:hAnsi="Arial" w:cs="Arial"/>
          <w:i/>
          <w:sz w:val="20"/>
          <w:szCs w:val="20"/>
        </w:rPr>
        <w:t>Široká dostupnosť internetu</w:t>
      </w:r>
      <w:r w:rsidRPr="00E21C60">
        <w:rPr>
          <w:rFonts w:ascii="Arial" w:hAnsi="Arial" w:cs="Arial"/>
          <w:iCs/>
          <w:sz w:val="20"/>
          <w:szCs w:val="20"/>
        </w:rPr>
        <w:t>.</w:t>
      </w:r>
      <w:r w:rsidR="005A598C">
        <w:rPr>
          <w:rFonts w:ascii="Arial" w:hAnsi="Arial" w:cs="Arial"/>
          <w:iCs/>
          <w:sz w:val="20"/>
          <w:szCs w:val="20"/>
        </w:rPr>
        <w:t xml:space="preserve"> </w:t>
      </w:r>
      <w:r w:rsidRPr="00E21C60">
        <w:rPr>
          <w:rFonts w:ascii="Arial" w:hAnsi="Arial" w:cs="Arial"/>
          <w:iCs/>
          <w:sz w:val="20"/>
          <w:szCs w:val="20"/>
        </w:rPr>
        <w:t xml:space="preserve">Z hľadiska stavu implementácie OP ŽP, resp. realizácie/prípravy zazmluvnených projektov, je možné </w:t>
      </w:r>
      <w:r w:rsidR="004745AE" w:rsidRPr="00E21C60">
        <w:rPr>
          <w:rFonts w:ascii="Arial" w:hAnsi="Arial" w:cs="Arial"/>
          <w:iCs/>
          <w:sz w:val="20"/>
          <w:szCs w:val="20"/>
        </w:rPr>
        <w:t>vyhodno</w:t>
      </w:r>
      <w:r w:rsidR="004745AE">
        <w:rPr>
          <w:rFonts w:ascii="Arial" w:hAnsi="Arial" w:cs="Arial"/>
          <w:iCs/>
          <w:sz w:val="20"/>
          <w:szCs w:val="20"/>
        </w:rPr>
        <w:t>tiť</w:t>
      </w:r>
      <w:r w:rsidR="004745AE" w:rsidRPr="00E21C60">
        <w:rPr>
          <w:rFonts w:ascii="Arial" w:hAnsi="Arial" w:cs="Arial"/>
          <w:iCs/>
          <w:sz w:val="20"/>
          <w:szCs w:val="20"/>
        </w:rPr>
        <w:t xml:space="preserve"> </w:t>
      </w:r>
      <w:r w:rsidRPr="00E21C60">
        <w:rPr>
          <w:rFonts w:ascii="Arial" w:hAnsi="Arial" w:cs="Arial"/>
          <w:iCs/>
          <w:sz w:val="20"/>
          <w:szCs w:val="20"/>
        </w:rPr>
        <w:t>plnenie ukazovateľov, ako aj príspevok PO k napĺňaniu špecifických a</w:t>
      </w:r>
      <w:r w:rsidR="00780477" w:rsidRPr="00E21C60">
        <w:rPr>
          <w:rFonts w:ascii="Arial" w:hAnsi="Arial" w:cs="Arial"/>
          <w:iCs/>
          <w:sz w:val="20"/>
          <w:szCs w:val="20"/>
        </w:rPr>
        <w:t> </w:t>
      </w:r>
      <w:r w:rsidRPr="00E21C60">
        <w:rPr>
          <w:rFonts w:ascii="Arial" w:hAnsi="Arial" w:cs="Arial"/>
          <w:iCs/>
          <w:sz w:val="20"/>
          <w:szCs w:val="20"/>
        </w:rPr>
        <w:t>čiastkových</w:t>
      </w:r>
      <w:r w:rsidR="00780477" w:rsidRPr="00E21C60">
        <w:rPr>
          <w:rFonts w:ascii="Arial" w:hAnsi="Arial" w:cs="Arial"/>
          <w:iCs/>
          <w:sz w:val="20"/>
          <w:szCs w:val="20"/>
        </w:rPr>
        <w:t> </w:t>
      </w:r>
      <w:r w:rsidRPr="002B4D01">
        <w:rPr>
          <w:rFonts w:ascii="Arial" w:hAnsi="Arial" w:cs="Arial"/>
          <w:iCs/>
          <w:sz w:val="20"/>
          <w:szCs w:val="20"/>
        </w:rPr>
        <w:t xml:space="preserve">cieľov HP IS. </w:t>
      </w:r>
      <w:r w:rsidR="004745AE">
        <w:rPr>
          <w:rFonts w:ascii="Arial" w:hAnsi="Arial" w:cs="Arial"/>
          <w:iCs/>
          <w:sz w:val="20"/>
          <w:szCs w:val="20"/>
        </w:rPr>
        <w:t xml:space="preserve">Celkovo </w:t>
      </w:r>
      <w:r w:rsidRPr="002B4D01">
        <w:rPr>
          <w:rFonts w:ascii="Arial" w:hAnsi="Arial" w:cs="Arial"/>
          <w:iCs/>
          <w:sz w:val="20"/>
          <w:szCs w:val="20"/>
        </w:rPr>
        <w:t xml:space="preserve">bolo v rámci OP ŽP zazmluvnených </w:t>
      </w:r>
      <w:r w:rsidR="004745AE">
        <w:rPr>
          <w:rFonts w:ascii="Arial" w:hAnsi="Arial" w:cs="Arial"/>
          <w:iCs/>
          <w:sz w:val="20"/>
          <w:szCs w:val="20"/>
        </w:rPr>
        <w:t>59</w:t>
      </w:r>
      <w:r w:rsidR="004745AE" w:rsidRPr="002B4D01">
        <w:rPr>
          <w:rFonts w:ascii="Arial" w:hAnsi="Arial" w:cs="Arial"/>
          <w:iCs/>
          <w:sz w:val="20"/>
          <w:szCs w:val="20"/>
        </w:rPr>
        <w:t xml:space="preserve"> </w:t>
      </w:r>
      <w:r w:rsidRPr="002B4D01">
        <w:rPr>
          <w:rFonts w:ascii="Arial" w:hAnsi="Arial" w:cs="Arial"/>
          <w:iCs/>
          <w:sz w:val="20"/>
          <w:szCs w:val="20"/>
        </w:rPr>
        <w:t>projektov</w:t>
      </w:r>
      <w:r w:rsidR="00C437F8" w:rsidRPr="002B4D01">
        <w:rPr>
          <w:rFonts w:ascii="Arial" w:hAnsi="Arial" w:cs="Arial"/>
          <w:iCs/>
          <w:sz w:val="20"/>
          <w:szCs w:val="20"/>
        </w:rPr>
        <w:t xml:space="preserve"> </w:t>
      </w:r>
      <w:r w:rsidR="00697532" w:rsidRPr="002B4D01">
        <w:rPr>
          <w:rFonts w:ascii="Arial" w:hAnsi="Arial" w:cs="Arial"/>
          <w:iCs/>
          <w:sz w:val="20"/>
          <w:szCs w:val="20"/>
        </w:rPr>
        <w:br/>
      </w:r>
      <w:r w:rsidRPr="002B4D01">
        <w:rPr>
          <w:rFonts w:ascii="Arial" w:hAnsi="Arial" w:cs="Arial"/>
          <w:iCs/>
          <w:sz w:val="20"/>
          <w:szCs w:val="20"/>
        </w:rPr>
        <w:t xml:space="preserve">prispievajúcich k napĺňaniu HP IS na úrovni </w:t>
      </w:r>
      <w:r w:rsidR="00E54542" w:rsidRPr="002B4D01">
        <w:rPr>
          <w:rFonts w:ascii="Arial" w:hAnsi="Arial" w:cs="Arial"/>
          <w:iCs/>
          <w:sz w:val="20"/>
          <w:szCs w:val="20"/>
        </w:rPr>
        <w:t xml:space="preserve">OP </w:t>
      </w:r>
      <w:r w:rsidRPr="002B4D01">
        <w:rPr>
          <w:rFonts w:ascii="Arial" w:hAnsi="Arial" w:cs="Arial"/>
          <w:iCs/>
          <w:sz w:val="20"/>
          <w:szCs w:val="20"/>
        </w:rPr>
        <w:t xml:space="preserve">v objeme </w:t>
      </w:r>
      <w:r w:rsidR="0002711C" w:rsidRPr="002B4D01">
        <w:rPr>
          <w:rFonts w:ascii="Arial" w:hAnsi="Arial" w:cs="Arial"/>
          <w:iCs/>
          <w:sz w:val="20"/>
          <w:szCs w:val="20"/>
        </w:rPr>
        <w:t xml:space="preserve">vyše </w:t>
      </w:r>
      <w:r w:rsidR="00D11A56" w:rsidRPr="002B4D01">
        <w:rPr>
          <w:rFonts w:ascii="Arial" w:hAnsi="Arial" w:cs="Arial"/>
          <w:iCs/>
          <w:sz w:val="20"/>
          <w:szCs w:val="20"/>
        </w:rPr>
        <w:t>1</w:t>
      </w:r>
      <w:r w:rsidR="002B4D01" w:rsidRPr="00912C87">
        <w:rPr>
          <w:rFonts w:ascii="Arial" w:hAnsi="Arial" w:cs="Arial"/>
          <w:iCs/>
          <w:sz w:val="20"/>
          <w:szCs w:val="20"/>
        </w:rPr>
        <w:t>5</w:t>
      </w:r>
      <w:r w:rsidR="00CC2B6C">
        <w:rPr>
          <w:rFonts w:ascii="Arial" w:hAnsi="Arial" w:cs="Arial"/>
          <w:iCs/>
          <w:sz w:val="20"/>
          <w:szCs w:val="20"/>
        </w:rPr>
        <w:t>3</w:t>
      </w:r>
      <w:r w:rsidR="002B4D01" w:rsidRPr="00912C87">
        <w:rPr>
          <w:rFonts w:ascii="Arial" w:hAnsi="Arial" w:cs="Arial"/>
          <w:iCs/>
          <w:sz w:val="20"/>
          <w:szCs w:val="20"/>
        </w:rPr>
        <w:t>,</w:t>
      </w:r>
      <w:r w:rsidR="00CC2B6C">
        <w:rPr>
          <w:rFonts w:ascii="Arial" w:hAnsi="Arial" w:cs="Arial"/>
          <w:iCs/>
          <w:sz w:val="20"/>
          <w:szCs w:val="20"/>
        </w:rPr>
        <w:t>632</w:t>
      </w:r>
      <w:r w:rsidRPr="002B4D01">
        <w:rPr>
          <w:rFonts w:ascii="Arial" w:hAnsi="Arial" w:cs="Arial"/>
          <w:iCs/>
          <w:sz w:val="20"/>
          <w:szCs w:val="20"/>
        </w:rPr>
        <w:t xml:space="preserve"> mil. </w:t>
      </w:r>
      <w:r w:rsidR="00366C2D">
        <w:rPr>
          <w:rFonts w:ascii="Arial" w:hAnsi="Arial" w:cs="Arial"/>
          <w:iCs/>
          <w:sz w:val="20"/>
          <w:szCs w:val="20"/>
        </w:rPr>
        <w:t>€</w:t>
      </w:r>
      <w:r w:rsidRPr="002B4D01">
        <w:rPr>
          <w:rFonts w:ascii="Arial" w:hAnsi="Arial" w:cs="Arial"/>
          <w:iCs/>
          <w:sz w:val="20"/>
          <w:szCs w:val="20"/>
        </w:rPr>
        <w:t>.</w:t>
      </w:r>
    </w:p>
    <w:p w14:paraId="5B2C518E" w14:textId="77777777" w:rsidR="002416B1" w:rsidRPr="0020746A" w:rsidRDefault="002416B1" w:rsidP="00123376">
      <w:pPr>
        <w:pStyle w:val="Nadpis2"/>
        <w:spacing w:after="120"/>
        <w:rPr>
          <w:rFonts w:cs="Arial"/>
        </w:rPr>
      </w:pPr>
      <w:bookmarkStart w:id="99" w:name="_Toc466914549"/>
      <w:bookmarkStart w:id="100" w:name="OLE_LINK16"/>
      <w:bookmarkStart w:id="101" w:name="OLE_LINK28"/>
      <w:r w:rsidRPr="008E1ACB">
        <w:rPr>
          <w:rFonts w:cs="Arial"/>
        </w:rPr>
        <w:t>4.2 Horizontálna priorita Marginalizované rómske komunity</w:t>
      </w:r>
      <w:bookmarkEnd w:id="99"/>
    </w:p>
    <w:p w14:paraId="027DD88A" w14:textId="5D4FB3AE" w:rsidR="005445E3" w:rsidRDefault="005445E3" w:rsidP="005445E3">
      <w:pPr>
        <w:spacing w:before="120" w:after="120"/>
        <w:jc w:val="both"/>
        <w:rPr>
          <w:rFonts w:ascii="Arial" w:hAnsi="Arial" w:cs="Arial"/>
          <w:sz w:val="20"/>
          <w:szCs w:val="20"/>
        </w:rPr>
      </w:pPr>
      <w:r w:rsidRPr="00E21C60">
        <w:rPr>
          <w:rFonts w:ascii="Arial" w:hAnsi="Arial" w:cs="Arial"/>
          <w:sz w:val="20"/>
          <w:szCs w:val="20"/>
        </w:rPr>
        <w:t xml:space="preserve">Cieľom HP MRK </w:t>
      </w:r>
      <w:r w:rsidR="00E94F12">
        <w:rPr>
          <w:rFonts w:ascii="Arial" w:hAnsi="Arial" w:cs="Arial"/>
          <w:sz w:val="20"/>
          <w:szCs w:val="20"/>
        </w:rPr>
        <w:t xml:space="preserve">bolo </w:t>
      </w:r>
      <w:r w:rsidRPr="00E21C60">
        <w:rPr>
          <w:rFonts w:ascii="Arial" w:hAnsi="Arial" w:cs="Arial"/>
          <w:sz w:val="20"/>
          <w:szCs w:val="20"/>
        </w:rPr>
        <w:t>zvýšenie zamestnanosti a vzdelanostnej úrovne príslušníkov MRK a zlepšenie ich životných podmienok.</w:t>
      </w:r>
      <w:r>
        <w:rPr>
          <w:rFonts w:ascii="Arial" w:hAnsi="Arial" w:cs="Arial"/>
          <w:sz w:val="20"/>
          <w:szCs w:val="20"/>
        </w:rPr>
        <w:t xml:space="preserve"> </w:t>
      </w:r>
      <w:r w:rsidRPr="000C519A">
        <w:rPr>
          <w:rFonts w:ascii="Arial" w:hAnsi="Arial" w:cs="Arial"/>
          <w:sz w:val="20"/>
          <w:szCs w:val="20"/>
        </w:rPr>
        <w:t xml:space="preserve">Podpora MRK </w:t>
      </w:r>
      <w:r w:rsidR="00E94F12">
        <w:rPr>
          <w:rFonts w:ascii="Arial" w:hAnsi="Arial" w:cs="Arial"/>
          <w:sz w:val="20"/>
          <w:szCs w:val="20"/>
        </w:rPr>
        <w:t>bola</w:t>
      </w:r>
      <w:r w:rsidR="00E94F12" w:rsidRPr="000C519A">
        <w:rPr>
          <w:rFonts w:ascii="Arial" w:hAnsi="Arial" w:cs="Arial"/>
          <w:sz w:val="20"/>
          <w:szCs w:val="20"/>
        </w:rPr>
        <w:t xml:space="preserve"> </w:t>
      </w:r>
      <w:r w:rsidRPr="000C519A">
        <w:rPr>
          <w:rFonts w:ascii="Arial" w:hAnsi="Arial" w:cs="Arial"/>
          <w:sz w:val="20"/>
          <w:szCs w:val="20"/>
        </w:rPr>
        <w:t>zameraná na štyri prioritné oblasti: vzdelávanie, zamestnanosť, zdravie, bývanie a tri vzájomne súvisiace problémové okruhy: chudoba, diskriminácia a rodová rovnosť.</w:t>
      </w:r>
    </w:p>
    <w:p w14:paraId="30E8DEEE" w14:textId="55AD11B8" w:rsidR="005445E3" w:rsidRDefault="005445E3" w:rsidP="005445E3">
      <w:pPr>
        <w:spacing w:before="120" w:after="120"/>
        <w:jc w:val="both"/>
        <w:rPr>
          <w:rFonts w:ascii="Arial" w:hAnsi="Arial" w:cs="Arial"/>
          <w:sz w:val="20"/>
          <w:szCs w:val="20"/>
        </w:rPr>
      </w:pPr>
      <w:r w:rsidRPr="00E21C60">
        <w:rPr>
          <w:rFonts w:ascii="Arial" w:hAnsi="Arial" w:cs="Arial"/>
          <w:sz w:val="20"/>
          <w:szCs w:val="20"/>
        </w:rPr>
        <w:t>Cieľom OP ŽP</w:t>
      </w:r>
      <w:r>
        <w:rPr>
          <w:rFonts w:ascii="Arial" w:hAnsi="Arial" w:cs="Arial"/>
          <w:sz w:val="20"/>
          <w:szCs w:val="20"/>
        </w:rPr>
        <w:t xml:space="preserve"> </w:t>
      </w:r>
      <w:r w:rsidR="00E94F12">
        <w:rPr>
          <w:rFonts w:ascii="Arial" w:hAnsi="Arial" w:cs="Arial"/>
          <w:sz w:val="20"/>
          <w:szCs w:val="20"/>
        </w:rPr>
        <w:t>bolo</w:t>
      </w:r>
      <w:r w:rsidR="00E94F12" w:rsidRPr="000C519A">
        <w:rPr>
          <w:rFonts w:ascii="Arial" w:hAnsi="Arial" w:cs="Arial"/>
          <w:sz w:val="20"/>
          <w:szCs w:val="20"/>
        </w:rPr>
        <w:t xml:space="preserve"> </w:t>
      </w:r>
      <w:r w:rsidRPr="000C519A">
        <w:rPr>
          <w:rFonts w:ascii="Arial" w:hAnsi="Arial" w:cs="Arial"/>
          <w:sz w:val="20"/>
          <w:szCs w:val="20"/>
        </w:rPr>
        <w:t>zlepšenie stavu životného prostredia a racionálneho využívania zdrojov prostredníctvom dobudovania a skvalitnenia environmentálnej infraštruktúry SR v zmysle predpisov EÚ a SR a posilnenie efektívnosti environmentálnej zložky trvalo udržateľného rozvoja.</w:t>
      </w:r>
      <w:r>
        <w:rPr>
          <w:rFonts w:ascii="Arial" w:hAnsi="Arial" w:cs="Arial"/>
          <w:sz w:val="20"/>
          <w:szCs w:val="20"/>
        </w:rPr>
        <w:t xml:space="preserve"> Globálny cieľ </w:t>
      </w:r>
      <w:r w:rsidRPr="000C519A">
        <w:rPr>
          <w:rFonts w:ascii="Arial" w:hAnsi="Arial" w:cs="Arial"/>
          <w:sz w:val="20"/>
          <w:szCs w:val="20"/>
        </w:rPr>
        <w:t>vyplýva z potreby zabezpečiť plnenie požiadaviek vyplývajúcich z platných a pripravovaných právnych predpisov EÚ v oblasti životného prostredia, vrátane záväzkov SR vyplývajúcich z prechodných období, stanovených v Zmluve o pristúpení k</w:t>
      </w:r>
      <w:r>
        <w:rPr>
          <w:rFonts w:ascii="Arial" w:hAnsi="Arial" w:cs="Arial"/>
          <w:sz w:val="20"/>
          <w:szCs w:val="20"/>
        </w:rPr>
        <w:t> </w:t>
      </w:r>
      <w:r w:rsidRPr="000C519A">
        <w:rPr>
          <w:rFonts w:ascii="Arial" w:hAnsi="Arial" w:cs="Arial"/>
          <w:sz w:val="20"/>
          <w:szCs w:val="20"/>
        </w:rPr>
        <w:t>EÚ</w:t>
      </w:r>
      <w:r>
        <w:rPr>
          <w:rFonts w:ascii="Arial" w:hAnsi="Arial" w:cs="Arial"/>
          <w:sz w:val="20"/>
          <w:szCs w:val="20"/>
        </w:rPr>
        <w:t xml:space="preserve"> a to predovšetkým v oblasti vôd, odpadového hospodárstva</w:t>
      </w:r>
      <w:r w:rsidR="00CB50EA">
        <w:rPr>
          <w:rFonts w:ascii="Arial" w:hAnsi="Arial" w:cs="Arial"/>
          <w:sz w:val="20"/>
          <w:szCs w:val="20"/>
        </w:rPr>
        <w:t>,</w:t>
      </w:r>
      <w:r>
        <w:rPr>
          <w:rFonts w:ascii="Arial" w:hAnsi="Arial" w:cs="Arial"/>
          <w:sz w:val="20"/>
          <w:szCs w:val="20"/>
        </w:rPr>
        <w:t xml:space="preserve"> ochrany ovzdušia a prírody. Z uvedeného vyplýva, že operačný program nie je prioritne zameran</w:t>
      </w:r>
      <w:r w:rsidR="00EC2E78">
        <w:rPr>
          <w:rFonts w:ascii="Arial" w:hAnsi="Arial" w:cs="Arial"/>
          <w:sz w:val="20"/>
          <w:szCs w:val="20"/>
        </w:rPr>
        <w:t>ý</w:t>
      </w:r>
      <w:r>
        <w:rPr>
          <w:rFonts w:ascii="Arial" w:hAnsi="Arial" w:cs="Arial"/>
          <w:sz w:val="20"/>
          <w:szCs w:val="20"/>
        </w:rPr>
        <w:t xml:space="preserve"> na riešenie pro</w:t>
      </w:r>
      <w:r w:rsidR="00CB50EA">
        <w:rPr>
          <w:rFonts w:ascii="Arial" w:hAnsi="Arial" w:cs="Arial"/>
          <w:sz w:val="20"/>
          <w:szCs w:val="20"/>
        </w:rPr>
        <w:t>b</w:t>
      </w:r>
      <w:r>
        <w:rPr>
          <w:rFonts w:ascii="Arial" w:hAnsi="Arial" w:cs="Arial"/>
          <w:sz w:val="20"/>
          <w:szCs w:val="20"/>
        </w:rPr>
        <w:t xml:space="preserve">lematiky vzdelávania, zamestnanosti, zdravia alebo bývania, </w:t>
      </w:r>
      <w:r w:rsidR="00CB50EA">
        <w:rPr>
          <w:rFonts w:ascii="Arial" w:hAnsi="Arial" w:cs="Arial"/>
          <w:sz w:val="20"/>
          <w:szCs w:val="20"/>
        </w:rPr>
        <w:t xml:space="preserve">avšak </w:t>
      </w:r>
      <w:r>
        <w:rPr>
          <w:rFonts w:ascii="Arial" w:hAnsi="Arial" w:cs="Arial"/>
          <w:sz w:val="20"/>
          <w:szCs w:val="20"/>
        </w:rPr>
        <w:t xml:space="preserve">sekundárnym efektom realizácie projektov </w:t>
      </w:r>
      <w:r w:rsidR="00CB50EA">
        <w:rPr>
          <w:rFonts w:ascii="Arial" w:hAnsi="Arial" w:cs="Arial"/>
          <w:sz w:val="20"/>
          <w:szCs w:val="20"/>
        </w:rPr>
        <w:t>prispievajúcich</w:t>
      </w:r>
      <w:r>
        <w:rPr>
          <w:rFonts w:ascii="Arial" w:hAnsi="Arial" w:cs="Arial"/>
          <w:sz w:val="20"/>
          <w:szCs w:val="20"/>
        </w:rPr>
        <w:t xml:space="preserve"> ku globálnemu cieľu OP ŽP môže byť zlepšenie </w:t>
      </w:r>
      <w:r w:rsidR="00EC2E78">
        <w:rPr>
          <w:rFonts w:ascii="Arial" w:hAnsi="Arial" w:cs="Arial"/>
          <w:sz w:val="20"/>
          <w:szCs w:val="20"/>
        </w:rPr>
        <w:t xml:space="preserve">aj </w:t>
      </w:r>
      <w:r>
        <w:rPr>
          <w:rFonts w:ascii="Arial" w:hAnsi="Arial" w:cs="Arial"/>
          <w:sz w:val="20"/>
          <w:szCs w:val="20"/>
        </w:rPr>
        <w:t>zamestnanosti alebo bývania MRK.</w:t>
      </w:r>
    </w:p>
    <w:p w14:paraId="70BD1E29" w14:textId="7DFB3839" w:rsidR="005445E3" w:rsidRPr="00E21C60" w:rsidRDefault="005445E3" w:rsidP="005445E3">
      <w:pPr>
        <w:spacing w:before="120" w:after="120"/>
        <w:jc w:val="both"/>
        <w:rPr>
          <w:rFonts w:ascii="Arial" w:hAnsi="Arial" w:cs="Arial"/>
          <w:sz w:val="20"/>
          <w:szCs w:val="20"/>
        </w:rPr>
      </w:pPr>
      <w:r w:rsidRPr="00E21C60">
        <w:rPr>
          <w:rFonts w:ascii="Arial" w:hAnsi="Arial" w:cs="Arial"/>
          <w:sz w:val="20"/>
          <w:szCs w:val="20"/>
        </w:rPr>
        <w:t xml:space="preserve">Pri dodržaní existujúceho legislatívneho rámca a zásad udržateľnosti projektov </w:t>
      </w:r>
      <w:r w:rsidR="00E94F12">
        <w:rPr>
          <w:rFonts w:ascii="Arial" w:hAnsi="Arial" w:cs="Arial"/>
          <w:sz w:val="20"/>
          <w:szCs w:val="20"/>
        </w:rPr>
        <w:t xml:space="preserve">mali </w:t>
      </w:r>
      <w:r>
        <w:rPr>
          <w:rFonts w:ascii="Arial" w:hAnsi="Arial" w:cs="Arial"/>
          <w:sz w:val="20"/>
          <w:szCs w:val="20"/>
        </w:rPr>
        <w:t>teda</w:t>
      </w:r>
      <w:r w:rsidRPr="00E21C60">
        <w:rPr>
          <w:rFonts w:ascii="Arial" w:hAnsi="Arial" w:cs="Arial"/>
          <w:sz w:val="20"/>
          <w:szCs w:val="20"/>
        </w:rPr>
        <w:t xml:space="preserve"> jednotlivé prioritné osi OP ŽP potenciál podieľať sa aj na implementácii HP MRK</w:t>
      </w:r>
      <w:r w:rsidR="00EC2E78">
        <w:rPr>
          <w:rFonts w:ascii="Arial" w:hAnsi="Arial" w:cs="Arial"/>
          <w:sz w:val="20"/>
          <w:szCs w:val="20"/>
        </w:rPr>
        <w:t>,</w:t>
      </w:r>
      <w:r>
        <w:rPr>
          <w:rFonts w:ascii="Arial" w:hAnsi="Arial" w:cs="Arial"/>
          <w:sz w:val="20"/>
          <w:szCs w:val="20"/>
        </w:rPr>
        <w:t xml:space="preserve"> a to </w:t>
      </w:r>
      <w:r w:rsidRPr="00E21C60">
        <w:rPr>
          <w:rFonts w:ascii="Arial" w:hAnsi="Arial" w:cs="Arial"/>
          <w:sz w:val="20"/>
          <w:szCs w:val="20"/>
        </w:rPr>
        <w:t>prostredníctvom dopytovo – orientovaných projektov, ako aj v rámci projektov komplexného prístupu</w:t>
      </w:r>
      <w:r>
        <w:rPr>
          <w:rFonts w:ascii="Arial" w:hAnsi="Arial" w:cs="Arial"/>
          <w:sz w:val="20"/>
          <w:szCs w:val="20"/>
        </w:rPr>
        <w:t xml:space="preserve">. </w:t>
      </w:r>
      <w:r w:rsidRPr="00E21C60">
        <w:rPr>
          <w:rFonts w:ascii="Arial" w:hAnsi="Arial" w:cs="Arial"/>
          <w:sz w:val="20"/>
          <w:szCs w:val="20"/>
        </w:rPr>
        <w:t>Prioritné osi OP ŽP sú zamerané na zlepšenie životného prostredia a životných podmienok obyvateľstva prostredníctvom zabezpečenia jeho prístupu k environmentálnej infraštruktúre, čo sa vzťahuje i na MRK. V tomto zmysle OP ŽP prisp</w:t>
      </w:r>
      <w:r w:rsidR="00EC2E78">
        <w:rPr>
          <w:rFonts w:ascii="Arial" w:hAnsi="Arial" w:cs="Arial"/>
          <w:sz w:val="20"/>
          <w:szCs w:val="20"/>
        </w:rPr>
        <w:t>el</w:t>
      </w:r>
      <w:r w:rsidRPr="00E21C60">
        <w:rPr>
          <w:rFonts w:ascii="Arial" w:hAnsi="Arial" w:cs="Arial"/>
          <w:sz w:val="20"/>
          <w:szCs w:val="20"/>
        </w:rPr>
        <w:t xml:space="preserve"> k zlepšeniu životných podmienok MRK</w:t>
      </w:r>
      <w:r w:rsidR="00EC2E78">
        <w:rPr>
          <w:rFonts w:ascii="Arial" w:hAnsi="Arial" w:cs="Arial"/>
          <w:sz w:val="20"/>
          <w:szCs w:val="20"/>
        </w:rPr>
        <w:t xml:space="preserve">, a tým </w:t>
      </w:r>
      <w:r w:rsidR="00EC2E78" w:rsidRPr="00E21C60">
        <w:rPr>
          <w:rFonts w:ascii="Arial" w:hAnsi="Arial" w:cs="Arial"/>
          <w:sz w:val="20"/>
          <w:szCs w:val="20"/>
        </w:rPr>
        <w:t>napĺňaniu cieľov HP MRK.</w:t>
      </w:r>
      <w:r w:rsidRPr="00E21C60">
        <w:rPr>
          <w:rFonts w:ascii="Arial" w:hAnsi="Arial" w:cs="Arial"/>
          <w:sz w:val="20"/>
          <w:szCs w:val="20"/>
        </w:rPr>
        <w:t> </w:t>
      </w:r>
    </w:p>
    <w:p w14:paraId="223B099A" w14:textId="6826C80A" w:rsidR="005445E3" w:rsidRPr="00E21C60" w:rsidRDefault="005445E3" w:rsidP="005445E3">
      <w:pPr>
        <w:spacing w:before="120" w:after="120"/>
        <w:jc w:val="both"/>
        <w:rPr>
          <w:rFonts w:ascii="Arial" w:hAnsi="Arial" w:cs="Arial"/>
          <w:sz w:val="20"/>
          <w:szCs w:val="20"/>
        </w:rPr>
      </w:pPr>
      <w:r w:rsidRPr="00E21C60">
        <w:rPr>
          <w:rFonts w:ascii="Arial" w:hAnsi="Arial" w:cs="Arial"/>
          <w:sz w:val="20"/>
          <w:szCs w:val="20"/>
        </w:rPr>
        <w:t>OP ŽP prispieva</w:t>
      </w:r>
      <w:r w:rsidR="00EC2E78">
        <w:rPr>
          <w:rFonts w:ascii="Arial" w:hAnsi="Arial" w:cs="Arial"/>
          <w:sz w:val="20"/>
          <w:szCs w:val="20"/>
        </w:rPr>
        <w:t>l</w:t>
      </w:r>
      <w:r w:rsidRPr="00E21C60">
        <w:rPr>
          <w:rFonts w:ascii="Arial" w:hAnsi="Arial" w:cs="Arial"/>
          <w:sz w:val="20"/>
          <w:szCs w:val="20"/>
        </w:rPr>
        <w:t xml:space="preserve"> k napĺňaniu cieľov HP MRK v prioritných oblastiach – špecifických cieľoch „Zamestnanosť“ a „Bývanie“</w:t>
      </w:r>
      <w:r>
        <w:rPr>
          <w:rFonts w:ascii="Arial" w:hAnsi="Arial" w:cs="Arial"/>
          <w:sz w:val="20"/>
          <w:szCs w:val="20"/>
        </w:rPr>
        <w:t xml:space="preserve"> </w:t>
      </w:r>
      <w:r w:rsidRPr="00E21C60">
        <w:rPr>
          <w:rFonts w:ascii="Arial" w:hAnsi="Arial" w:cs="Arial"/>
          <w:sz w:val="20"/>
          <w:szCs w:val="20"/>
        </w:rPr>
        <w:t>prostredníctvom prioritnej osi 1 Integrovaná ochrana a racionálne využívanie vôd a prioritnej osi 4 Odpadové hospodárstvo.</w:t>
      </w:r>
    </w:p>
    <w:p w14:paraId="4DEC126A" w14:textId="63DD0291" w:rsidR="005445E3" w:rsidRPr="00E21C60" w:rsidRDefault="005445E3" w:rsidP="005445E3">
      <w:pPr>
        <w:spacing w:before="120" w:after="120"/>
        <w:jc w:val="both"/>
        <w:rPr>
          <w:rFonts w:ascii="Arial" w:hAnsi="Arial" w:cs="Arial"/>
          <w:sz w:val="20"/>
          <w:szCs w:val="20"/>
        </w:rPr>
      </w:pPr>
      <w:r w:rsidRPr="00E21C60">
        <w:rPr>
          <w:rFonts w:ascii="Arial" w:hAnsi="Arial" w:cs="Arial"/>
          <w:sz w:val="20"/>
          <w:szCs w:val="20"/>
        </w:rPr>
        <w:lastRenderedPageBreak/>
        <w:t xml:space="preserve">V rámci operačného cieľa 1.1 Zásobovanie obyvateľstva pitnou vodou z verejných vodovodov </w:t>
      </w:r>
      <w:r w:rsidR="00EC2E78">
        <w:rPr>
          <w:rFonts w:ascii="Arial" w:hAnsi="Arial" w:cs="Arial"/>
          <w:sz w:val="20"/>
          <w:szCs w:val="20"/>
        </w:rPr>
        <w:t>bolo</w:t>
      </w:r>
      <w:r w:rsidR="00EC2E78" w:rsidRPr="00E21C60">
        <w:rPr>
          <w:rFonts w:ascii="Arial" w:hAnsi="Arial" w:cs="Arial"/>
          <w:sz w:val="20"/>
          <w:szCs w:val="20"/>
        </w:rPr>
        <w:t xml:space="preserve"> </w:t>
      </w:r>
      <w:r w:rsidRPr="00E21C60">
        <w:rPr>
          <w:rFonts w:ascii="Arial" w:hAnsi="Arial" w:cs="Arial"/>
          <w:sz w:val="20"/>
          <w:szCs w:val="20"/>
        </w:rPr>
        <w:t xml:space="preserve">cieľom zabezpečenie prístupu čo možno najväčšieho počtu obyvateľov k pitnej vode a zabezpečenie obslužnosti územia pitnou vodou z verejného vodovodu v dostatočnej kvalite a kvantite. </w:t>
      </w:r>
    </w:p>
    <w:p w14:paraId="748B528F" w14:textId="30B85BB4" w:rsidR="005445E3" w:rsidRPr="00E21C60" w:rsidRDefault="005445E3" w:rsidP="005445E3">
      <w:pPr>
        <w:spacing w:before="120" w:after="120"/>
        <w:jc w:val="both"/>
        <w:rPr>
          <w:rFonts w:ascii="Arial" w:hAnsi="Arial" w:cs="Arial"/>
          <w:sz w:val="20"/>
          <w:szCs w:val="20"/>
        </w:rPr>
      </w:pPr>
      <w:r w:rsidRPr="00E21C60">
        <w:rPr>
          <w:rFonts w:ascii="Arial" w:hAnsi="Arial" w:cs="Arial"/>
          <w:sz w:val="20"/>
          <w:szCs w:val="20"/>
        </w:rPr>
        <w:t xml:space="preserve">V rámci operačného cieľa 1.2 Odvádzanie a čistenie komunálnych odpadových vôd v zmysle záväzkov SR voči EÚ </w:t>
      </w:r>
      <w:r w:rsidR="00EC2E78">
        <w:rPr>
          <w:rFonts w:ascii="Arial" w:hAnsi="Arial" w:cs="Arial"/>
          <w:sz w:val="20"/>
          <w:szCs w:val="20"/>
        </w:rPr>
        <w:t>bolo</w:t>
      </w:r>
      <w:r w:rsidR="00EC2E78" w:rsidRPr="00E21C60">
        <w:rPr>
          <w:rFonts w:ascii="Arial" w:hAnsi="Arial" w:cs="Arial"/>
          <w:sz w:val="20"/>
          <w:szCs w:val="20"/>
        </w:rPr>
        <w:t xml:space="preserve"> </w:t>
      </w:r>
      <w:r w:rsidRPr="00E21C60">
        <w:rPr>
          <w:rFonts w:ascii="Arial" w:hAnsi="Arial" w:cs="Arial"/>
          <w:sz w:val="20"/>
          <w:szCs w:val="20"/>
        </w:rPr>
        <w:t>cieľom zvýšenie počtu obyvateľov žijúcich v domoch pripojených na verejnú kanalizáciu a obslužnosti územia vo vzťahu k odvádzaniu a čisteniu komunálnych odpadových vôd ako základnej environmentálnej službe vodného hospodárstva v súlade so záväzkami SR vyplývajúcimi zo Zmluvy o pristúpení SR k EÚ.</w:t>
      </w:r>
    </w:p>
    <w:p w14:paraId="1FEB20ED" w14:textId="2BA2D8DD" w:rsidR="005445E3" w:rsidRPr="00E21C60" w:rsidRDefault="005445E3" w:rsidP="005445E3">
      <w:pPr>
        <w:spacing w:before="120" w:after="120"/>
        <w:jc w:val="both"/>
        <w:rPr>
          <w:rFonts w:ascii="Arial" w:hAnsi="Arial" w:cs="Arial"/>
          <w:sz w:val="20"/>
          <w:szCs w:val="20"/>
        </w:rPr>
      </w:pPr>
      <w:r w:rsidRPr="00E21C60">
        <w:rPr>
          <w:rFonts w:ascii="Arial" w:hAnsi="Arial" w:cs="Arial"/>
          <w:sz w:val="20"/>
          <w:szCs w:val="20"/>
        </w:rPr>
        <w:t xml:space="preserve">V rámci operačného cieľa 4.1 Podpora aktivít v oblasti separovaného zberu </w:t>
      </w:r>
      <w:r w:rsidR="00EC2E78">
        <w:rPr>
          <w:rFonts w:ascii="Arial" w:hAnsi="Arial" w:cs="Arial"/>
          <w:sz w:val="20"/>
          <w:szCs w:val="20"/>
        </w:rPr>
        <w:t>bolo</w:t>
      </w:r>
      <w:r w:rsidRPr="00E21C60">
        <w:rPr>
          <w:rFonts w:ascii="Arial" w:hAnsi="Arial" w:cs="Arial"/>
          <w:sz w:val="20"/>
          <w:szCs w:val="20"/>
        </w:rPr>
        <w:t xml:space="preserve"> podporované zavádzanie nových a zefektívňovanie jestvujúcich systémov </w:t>
      </w:r>
      <w:r>
        <w:rPr>
          <w:rFonts w:ascii="Arial" w:hAnsi="Arial" w:cs="Arial"/>
          <w:sz w:val="20"/>
          <w:szCs w:val="20"/>
        </w:rPr>
        <w:t>triedeného</w:t>
      </w:r>
      <w:r w:rsidRPr="00E21C60">
        <w:rPr>
          <w:rFonts w:ascii="Arial" w:hAnsi="Arial" w:cs="Arial"/>
          <w:sz w:val="20"/>
          <w:szCs w:val="20"/>
        </w:rPr>
        <w:t xml:space="preserve"> zberu </w:t>
      </w:r>
      <w:r>
        <w:rPr>
          <w:rFonts w:ascii="Arial" w:hAnsi="Arial" w:cs="Arial"/>
          <w:sz w:val="20"/>
          <w:szCs w:val="20"/>
        </w:rPr>
        <w:t>komunálnych odpadov</w:t>
      </w:r>
      <w:r w:rsidRPr="00E21C60">
        <w:rPr>
          <w:rFonts w:ascii="Arial" w:hAnsi="Arial" w:cs="Arial"/>
          <w:sz w:val="20"/>
          <w:szCs w:val="20"/>
        </w:rPr>
        <w:t xml:space="preserve"> na základe vytvorenia koncepčných východísk </w:t>
      </w:r>
      <w:r>
        <w:rPr>
          <w:rFonts w:ascii="Arial" w:hAnsi="Arial" w:cs="Arial"/>
          <w:sz w:val="20"/>
          <w:szCs w:val="20"/>
        </w:rPr>
        <w:t>triedeného</w:t>
      </w:r>
      <w:r w:rsidRPr="00E21C60">
        <w:rPr>
          <w:rFonts w:ascii="Arial" w:hAnsi="Arial" w:cs="Arial"/>
          <w:sz w:val="20"/>
          <w:szCs w:val="20"/>
        </w:rPr>
        <w:t xml:space="preserve"> zberu, ako aj dotrieďovanie </w:t>
      </w:r>
      <w:r>
        <w:rPr>
          <w:rFonts w:ascii="Arial" w:hAnsi="Arial" w:cs="Arial"/>
          <w:sz w:val="20"/>
          <w:szCs w:val="20"/>
        </w:rPr>
        <w:t>vytriedených</w:t>
      </w:r>
      <w:r w:rsidRPr="00E21C60">
        <w:rPr>
          <w:rFonts w:ascii="Arial" w:hAnsi="Arial" w:cs="Arial"/>
          <w:sz w:val="20"/>
          <w:szCs w:val="20"/>
        </w:rPr>
        <w:t xml:space="preserve"> zložiek z</w:t>
      </w:r>
      <w:r>
        <w:rPr>
          <w:rFonts w:ascii="Arial" w:hAnsi="Arial" w:cs="Arial"/>
          <w:sz w:val="20"/>
          <w:szCs w:val="20"/>
        </w:rPr>
        <w:t> komunálnych odpadov</w:t>
      </w:r>
      <w:r w:rsidRPr="00E21C60">
        <w:rPr>
          <w:rFonts w:ascii="Arial" w:hAnsi="Arial" w:cs="Arial"/>
          <w:sz w:val="20"/>
          <w:szCs w:val="20"/>
        </w:rPr>
        <w:t>.</w:t>
      </w:r>
    </w:p>
    <w:p w14:paraId="43D17142" w14:textId="726107DD" w:rsidR="005445E3" w:rsidRDefault="005445E3" w:rsidP="005445E3">
      <w:pPr>
        <w:spacing w:before="120" w:after="120"/>
        <w:jc w:val="both"/>
        <w:rPr>
          <w:rFonts w:ascii="Arial" w:hAnsi="Arial" w:cs="Arial"/>
          <w:sz w:val="20"/>
          <w:szCs w:val="20"/>
        </w:rPr>
      </w:pPr>
      <w:r w:rsidRPr="004B517E">
        <w:rPr>
          <w:rFonts w:ascii="Arial" w:hAnsi="Arial" w:cs="Arial"/>
          <w:sz w:val="20"/>
          <w:szCs w:val="20"/>
        </w:rPr>
        <w:t xml:space="preserve">V rámci operačného cieľa 4.2 Podpora aktivít na zhodnocovanie odpadov </w:t>
      </w:r>
      <w:r w:rsidR="00EC2E78" w:rsidRPr="004B517E">
        <w:rPr>
          <w:rFonts w:ascii="Arial" w:hAnsi="Arial" w:cs="Arial"/>
          <w:sz w:val="20"/>
          <w:szCs w:val="20"/>
        </w:rPr>
        <w:t xml:space="preserve">bola </w:t>
      </w:r>
      <w:r w:rsidRPr="004B517E">
        <w:rPr>
          <w:rFonts w:ascii="Arial" w:hAnsi="Arial" w:cs="Arial"/>
          <w:sz w:val="20"/>
          <w:szCs w:val="20"/>
        </w:rPr>
        <w:t>podporovan</w:t>
      </w:r>
      <w:r w:rsidR="00EC2E78" w:rsidRPr="004B517E">
        <w:rPr>
          <w:rFonts w:ascii="Arial" w:hAnsi="Arial" w:cs="Arial"/>
          <w:sz w:val="20"/>
          <w:szCs w:val="20"/>
        </w:rPr>
        <w:t>á</w:t>
      </w:r>
      <w:r w:rsidRPr="004B517E">
        <w:rPr>
          <w:rFonts w:ascii="Arial" w:hAnsi="Arial" w:cs="Arial"/>
          <w:sz w:val="20"/>
          <w:szCs w:val="20"/>
        </w:rPr>
        <w:t xml:space="preserve"> úprava vytriedených zložiek odpadov pred ich zhodnotením alebo environmentálne vhodným zneškodnením, zhodnocovanie odpadov vrátane ich mechanicko-biologickej alebo termickej úpravy, zvýšenie miery recyklácie podporou nových alebo zvýšenie kvality výstupných produktov dobudovaním existujúcich BAT technológií v oblasti zhodnocovania odpadov a aktivity zamerané na energetické zhodnocovanie odpadov.</w:t>
      </w:r>
    </w:p>
    <w:p w14:paraId="264BC776" w14:textId="0F779569" w:rsidR="005445E3" w:rsidRPr="00E21C60" w:rsidRDefault="005445E3" w:rsidP="005445E3">
      <w:pPr>
        <w:spacing w:before="120" w:after="120"/>
        <w:jc w:val="both"/>
        <w:rPr>
          <w:rFonts w:ascii="Arial" w:hAnsi="Arial" w:cs="Arial"/>
          <w:sz w:val="20"/>
          <w:szCs w:val="20"/>
        </w:rPr>
      </w:pPr>
      <w:r w:rsidRPr="00E21C60">
        <w:rPr>
          <w:rFonts w:ascii="Arial" w:hAnsi="Arial" w:cs="Arial"/>
          <w:sz w:val="20"/>
          <w:szCs w:val="20"/>
        </w:rPr>
        <w:t xml:space="preserve">V oblasti zamestnanosti </w:t>
      </w:r>
      <w:r w:rsidR="00EC2E78">
        <w:rPr>
          <w:rFonts w:ascii="Arial" w:hAnsi="Arial" w:cs="Arial"/>
          <w:sz w:val="20"/>
          <w:szCs w:val="20"/>
        </w:rPr>
        <w:t>bolo</w:t>
      </w:r>
      <w:r w:rsidRPr="00E21C60">
        <w:rPr>
          <w:rFonts w:ascii="Arial" w:hAnsi="Arial" w:cs="Arial"/>
          <w:sz w:val="20"/>
          <w:szCs w:val="20"/>
        </w:rPr>
        <w:t xml:space="preserve"> výstupom uvedených aktivít aj vytváranie pracovných miest cielene pre MRK. V oblasti bývania sú aktivity zamerané na zásobovanie pitnou vodou a odkanalizovanie, ako aj na </w:t>
      </w:r>
      <w:r>
        <w:rPr>
          <w:rFonts w:ascii="Arial" w:hAnsi="Arial" w:cs="Arial"/>
          <w:sz w:val="20"/>
          <w:szCs w:val="20"/>
        </w:rPr>
        <w:t>triedený</w:t>
      </w:r>
      <w:r w:rsidRPr="00E21C60">
        <w:rPr>
          <w:rFonts w:ascii="Arial" w:hAnsi="Arial" w:cs="Arial"/>
          <w:sz w:val="20"/>
          <w:szCs w:val="20"/>
        </w:rPr>
        <w:t xml:space="preserve"> zber odpadov a na zvýšenie množstva zhodnocovaných odpadov, čo má na komunálnej úrovni priaznivý vplyv na životné podmienky obyvateľstva.</w:t>
      </w:r>
    </w:p>
    <w:p w14:paraId="442FBA88" w14:textId="77777777" w:rsidR="005445E3" w:rsidRPr="00E21C60" w:rsidRDefault="005445E3" w:rsidP="005445E3">
      <w:pPr>
        <w:spacing w:before="240" w:after="120"/>
        <w:jc w:val="both"/>
        <w:rPr>
          <w:rFonts w:ascii="Arial" w:hAnsi="Arial" w:cs="Arial"/>
          <w:i/>
          <w:sz w:val="20"/>
          <w:szCs w:val="20"/>
        </w:rPr>
      </w:pPr>
      <w:r w:rsidRPr="00E21C60">
        <w:rPr>
          <w:rFonts w:ascii="Arial" w:hAnsi="Arial" w:cs="Arial"/>
          <w:i/>
          <w:sz w:val="20"/>
          <w:szCs w:val="20"/>
        </w:rPr>
        <w:t>Ukazovatele OP ŽP relevantné k HP MRK – úroveň NSRR:</w:t>
      </w:r>
    </w:p>
    <w:p w14:paraId="7613C3E0" w14:textId="1BA3E700" w:rsidR="005445E3" w:rsidRPr="00E21C60" w:rsidRDefault="005445E3" w:rsidP="005445E3">
      <w:pPr>
        <w:spacing w:before="120" w:after="120"/>
        <w:jc w:val="both"/>
        <w:rPr>
          <w:rFonts w:ascii="Arial" w:hAnsi="Arial" w:cs="Arial"/>
          <w:sz w:val="20"/>
          <w:szCs w:val="20"/>
        </w:rPr>
      </w:pPr>
      <w:r w:rsidRPr="00E21C60">
        <w:rPr>
          <w:rFonts w:ascii="Arial" w:hAnsi="Arial" w:cs="Arial"/>
          <w:sz w:val="20"/>
          <w:szCs w:val="20"/>
        </w:rPr>
        <w:t>Hodnota projektov cielene zameraných na MRK [</w:t>
      </w:r>
      <w:r w:rsidR="00366C2D">
        <w:rPr>
          <w:rFonts w:ascii="Arial" w:hAnsi="Arial" w:cs="Arial"/>
          <w:sz w:val="20"/>
          <w:szCs w:val="20"/>
        </w:rPr>
        <w:t>€</w:t>
      </w:r>
      <w:r w:rsidRPr="00E21C60">
        <w:rPr>
          <w:rFonts w:ascii="Arial" w:hAnsi="Arial" w:cs="Arial"/>
          <w:sz w:val="20"/>
          <w:szCs w:val="20"/>
        </w:rPr>
        <w:t>] - výstup</w:t>
      </w:r>
    </w:p>
    <w:p w14:paraId="6F4E6BB9" w14:textId="77777777" w:rsidR="005445E3" w:rsidRPr="00E21C60" w:rsidRDefault="005445E3" w:rsidP="005445E3">
      <w:pPr>
        <w:spacing w:before="120" w:after="120"/>
        <w:jc w:val="both"/>
        <w:rPr>
          <w:rFonts w:ascii="Arial" w:hAnsi="Arial" w:cs="Arial"/>
          <w:sz w:val="20"/>
          <w:szCs w:val="20"/>
        </w:rPr>
      </w:pPr>
      <w:r w:rsidRPr="00E21C60">
        <w:rPr>
          <w:rFonts w:ascii="Arial" w:hAnsi="Arial" w:cs="Arial"/>
          <w:sz w:val="20"/>
          <w:szCs w:val="20"/>
        </w:rPr>
        <w:t>Počet projektov cielene zameraných na MRK [počet] - výstup</w:t>
      </w:r>
    </w:p>
    <w:p w14:paraId="2E878215" w14:textId="77777777" w:rsidR="005445E3" w:rsidRPr="00E21C60" w:rsidRDefault="005445E3" w:rsidP="005445E3">
      <w:pPr>
        <w:spacing w:before="120" w:after="120"/>
        <w:jc w:val="both"/>
        <w:rPr>
          <w:rFonts w:ascii="Arial" w:hAnsi="Arial" w:cs="Arial"/>
          <w:sz w:val="20"/>
          <w:szCs w:val="20"/>
        </w:rPr>
      </w:pPr>
      <w:r w:rsidRPr="00E21C60">
        <w:rPr>
          <w:rFonts w:ascii="Arial" w:hAnsi="Arial" w:cs="Arial"/>
          <w:sz w:val="20"/>
          <w:szCs w:val="20"/>
        </w:rPr>
        <w:t xml:space="preserve">Počet vytvorených pracovných miest cielene pre MRK [počet] – </w:t>
      </w:r>
      <w:r>
        <w:rPr>
          <w:rFonts w:ascii="Arial" w:hAnsi="Arial" w:cs="Arial"/>
          <w:sz w:val="20"/>
          <w:szCs w:val="20"/>
        </w:rPr>
        <w:t>dopad</w:t>
      </w:r>
    </w:p>
    <w:p w14:paraId="1F962C6F" w14:textId="4BFF59E1" w:rsidR="005445E3" w:rsidRPr="00E21C60" w:rsidRDefault="005445E3" w:rsidP="005445E3">
      <w:pPr>
        <w:spacing w:before="240" w:after="120"/>
        <w:jc w:val="both"/>
        <w:rPr>
          <w:rFonts w:ascii="Arial" w:hAnsi="Arial" w:cs="Arial"/>
          <w:sz w:val="20"/>
          <w:szCs w:val="20"/>
        </w:rPr>
      </w:pPr>
      <w:r w:rsidRPr="00E21C60">
        <w:rPr>
          <w:rFonts w:ascii="Arial" w:hAnsi="Arial" w:cs="Arial"/>
          <w:sz w:val="20"/>
          <w:szCs w:val="20"/>
          <w:u w:val="single"/>
        </w:rPr>
        <w:t>Za proces koordinácie a implementácie HP MRK zodpoved</w:t>
      </w:r>
      <w:r w:rsidR="00EC2E78">
        <w:rPr>
          <w:rFonts w:ascii="Arial" w:hAnsi="Arial" w:cs="Arial"/>
          <w:sz w:val="20"/>
          <w:szCs w:val="20"/>
          <w:u w:val="single"/>
        </w:rPr>
        <w:t>al</w:t>
      </w:r>
      <w:r w:rsidRPr="00E21C60">
        <w:rPr>
          <w:rFonts w:ascii="Arial" w:hAnsi="Arial" w:cs="Arial"/>
          <w:sz w:val="20"/>
          <w:szCs w:val="20"/>
        </w:rPr>
        <w:t xml:space="preserve"> Úrad splnomocnenca vlády SR pre rómske komunity (ďalej len „ÚSVRK“), odbor koordinácie HP MRK, ktorý je od </w:t>
      </w:r>
      <w:r w:rsidR="00471F30">
        <w:rPr>
          <w:rFonts w:ascii="Arial" w:hAnsi="Arial" w:cs="Arial"/>
          <w:sz w:val="20"/>
          <w:szCs w:val="20"/>
        </w:rPr>
        <w:t>0</w:t>
      </w:r>
      <w:r w:rsidRPr="00E21C60">
        <w:rPr>
          <w:rFonts w:ascii="Arial" w:hAnsi="Arial" w:cs="Arial"/>
          <w:sz w:val="20"/>
          <w:szCs w:val="20"/>
        </w:rPr>
        <w:t xml:space="preserve">1. </w:t>
      </w:r>
      <w:r w:rsidR="00471F30">
        <w:rPr>
          <w:rFonts w:ascii="Arial" w:hAnsi="Arial" w:cs="Arial"/>
          <w:sz w:val="20"/>
          <w:szCs w:val="20"/>
        </w:rPr>
        <w:t>09</w:t>
      </w:r>
      <w:r w:rsidRPr="00E21C60">
        <w:rPr>
          <w:rFonts w:ascii="Arial" w:hAnsi="Arial" w:cs="Arial"/>
          <w:sz w:val="20"/>
          <w:szCs w:val="20"/>
        </w:rPr>
        <w:t xml:space="preserve"> 2012 v zmysle uznesenia vlády Slovenskej republiky č. 308 z 27. </w:t>
      </w:r>
      <w:r w:rsidR="00471F30">
        <w:rPr>
          <w:rFonts w:ascii="Arial" w:hAnsi="Arial" w:cs="Arial"/>
          <w:sz w:val="20"/>
          <w:szCs w:val="20"/>
        </w:rPr>
        <w:t>06.</w:t>
      </w:r>
      <w:r w:rsidR="00471F30" w:rsidRPr="00E21C60">
        <w:rPr>
          <w:rFonts w:ascii="Arial" w:hAnsi="Arial" w:cs="Arial"/>
          <w:sz w:val="20"/>
          <w:szCs w:val="20"/>
        </w:rPr>
        <w:t xml:space="preserve"> </w:t>
      </w:r>
      <w:r w:rsidRPr="00E21C60">
        <w:rPr>
          <w:rFonts w:ascii="Arial" w:hAnsi="Arial" w:cs="Arial"/>
          <w:sz w:val="20"/>
          <w:szCs w:val="20"/>
        </w:rPr>
        <w:t>2012 zaradený do pôsobnosti Ministerstva vnútra Slovenskej republiky.</w:t>
      </w:r>
    </w:p>
    <w:p w14:paraId="54F2D262" w14:textId="5F3358C4" w:rsidR="005445E3" w:rsidRDefault="005445E3" w:rsidP="005445E3">
      <w:pPr>
        <w:spacing w:before="120" w:after="120"/>
        <w:jc w:val="both"/>
        <w:rPr>
          <w:rFonts w:ascii="Arial" w:hAnsi="Arial" w:cs="Arial"/>
          <w:sz w:val="20"/>
          <w:szCs w:val="20"/>
        </w:rPr>
      </w:pPr>
      <w:r>
        <w:rPr>
          <w:rFonts w:ascii="Arial" w:hAnsi="Arial" w:cs="Arial"/>
          <w:sz w:val="20"/>
          <w:szCs w:val="20"/>
        </w:rPr>
        <w:t xml:space="preserve">Princíp partnerstva sa v procese implementácie HP MRK uplatňoval najmä prostredníctvom účasti zástupcov RO OP ŽP v Pracovnej skupine pre HP MRK, v Monitorovacej skupine komplexného prístupu a </w:t>
      </w:r>
      <w:r w:rsidRPr="005159D8">
        <w:rPr>
          <w:rFonts w:ascii="Arial" w:hAnsi="Arial" w:cs="Arial"/>
          <w:sz w:val="20"/>
          <w:szCs w:val="20"/>
        </w:rPr>
        <w:t>Medzirezortnej hodnotiacej a výberovej komisii pre Lokálne stratégie</w:t>
      </w:r>
      <w:r w:rsidRPr="00ED7FF5">
        <w:rPr>
          <w:rFonts w:ascii="Arial" w:hAnsi="Arial" w:cs="Arial"/>
          <w:sz w:val="20"/>
          <w:szCs w:val="20"/>
        </w:rPr>
        <w:t xml:space="preserve"> komplexného prístupu</w:t>
      </w:r>
      <w:r>
        <w:rPr>
          <w:rFonts w:ascii="Arial" w:hAnsi="Arial" w:cs="Arial"/>
          <w:sz w:val="20"/>
          <w:szCs w:val="20"/>
        </w:rPr>
        <w:t>. Vzájomnú spoluprácu medzi RO OP ŽP a ÚSVRK môžeme zhrnúť nasledovne:</w:t>
      </w:r>
    </w:p>
    <w:p w14:paraId="12E0A30B" w14:textId="77777777" w:rsidR="00881054" w:rsidRPr="005445E3" w:rsidRDefault="00881054" w:rsidP="00B7245A">
      <w:pPr>
        <w:spacing w:before="120" w:after="120"/>
        <w:ind w:left="284"/>
        <w:jc w:val="both"/>
        <w:rPr>
          <w:rFonts w:ascii="Arial" w:hAnsi="Arial" w:cs="Arial"/>
          <w:sz w:val="20"/>
          <w:szCs w:val="20"/>
        </w:rPr>
      </w:pPr>
      <w:r w:rsidRPr="005445E3">
        <w:rPr>
          <w:rFonts w:ascii="Arial" w:hAnsi="Arial" w:cs="Arial"/>
          <w:sz w:val="20"/>
          <w:szCs w:val="20"/>
        </w:rPr>
        <w:t>Spolupráca Riadiaceho orgánu OP ŽP a koordinátora HP MRK:</w:t>
      </w:r>
    </w:p>
    <w:p w14:paraId="4EDB9C4F" w14:textId="77777777" w:rsidR="00881054" w:rsidRPr="00E21C60" w:rsidRDefault="00A5607A" w:rsidP="00123376">
      <w:pPr>
        <w:jc w:val="both"/>
        <w:rPr>
          <w:rFonts w:ascii="Arial" w:hAnsi="Arial" w:cs="Arial"/>
          <w:sz w:val="20"/>
          <w:szCs w:val="20"/>
        </w:rPr>
      </w:pPr>
      <w:r w:rsidRPr="008E1ACB">
        <w:rPr>
          <w:rFonts w:ascii="Arial" w:hAnsi="Arial" w:cs="Arial"/>
          <w:noProof/>
          <w:sz w:val="20"/>
          <w:szCs w:val="20"/>
        </w:rPr>
        <mc:AlternateContent>
          <mc:Choice Requires="wps">
            <w:drawing>
              <wp:anchor distT="0" distB="0" distL="114300" distR="114300" simplePos="0" relativeHeight="251657216" behindDoc="0" locked="0" layoutInCell="1" allowOverlap="1" wp14:anchorId="25A71533" wp14:editId="61A38059">
                <wp:simplePos x="0" y="0"/>
                <wp:positionH relativeFrom="column">
                  <wp:posOffset>4445</wp:posOffset>
                </wp:positionH>
                <wp:positionV relativeFrom="paragraph">
                  <wp:posOffset>-1905</wp:posOffset>
                </wp:positionV>
                <wp:extent cx="2819400" cy="1432560"/>
                <wp:effectExtent l="0" t="0" r="19050" b="15240"/>
                <wp:wrapNone/>
                <wp:docPr id="27" name="Obdĺžnik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19400" cy="1432560"/>
                        </a:xfrm>
                        <a:prstGeom prst="rect">
                          <a:avLst/>
                        </a:prstGeom>
                        <a:solidFill>
                          <a:srgbClr val="FFFFFF"/>
                        </a:solidFill>
                        <a:ln w="9525">
                          <a:solidFill>
                            <a:srgbClr val="000000"/>
                          </a:solidFill>
                          <a:miter lim="800000"/>
                          <a:headEnd/>
                          <a:tailEnd/>
                        </a:ln>
                      </wps:spPr>
                      <wps:txbx>
                        <w:txbxContent>
                          <w:p w14:paraId="5171A762" w14:textId="77777777" w:rsidR="0008447E" w:rsidRPr="005159D8" w:rsidRDefault="0008447E" w:rsidP="00123376">
                            <w:pPr>
                              <w:rPr>
                                <w:rFonts w:ascii="Arial" w:hAnsi="Arial" w:cs="Arial"/>
                                <w:sz w:val="20"/>
                                <w:szCs w:val="20"/>
                              </w:rPr>
                            </w:pPr>
                            <w:r w:rsidRPr="005159D8">
                              <w:rPr>
                                <w:rFonts w:ascii="Arial" w:hAnsi="Arial" w:cs="Arial"/>
                                <w:sz w:val="20"/>
                                <w:szCs w:val="20"/>
                              </w:rPr>
                              <w:t>Koordinátor HP MRK:</w:t>
                            </w:r>
                          </w:p>
                          <w:p w14:paraId="102F2CA7" w14:textId="77777777" w:rsidR="0008447E" w:rsidRDefault="0008447E" w:rsidP="000A4DF7">
                            <w:pPr>
                              <w:numPr>
                                <w:ilvl w:val="0"/>
                                <w:numId w:val="5"/>
                              </w:numPr>
                              <w:tabs>
                                <w:tab w:val="clear" w:pos="720"/>
                              </w:tabs>
                              <w:ind w:left="284" w:hanging="284"/>
                              <w:rPr>
                                <w:rFonts w:ascii="Arial" w:hAnsi="Arial" w:cs="Arial"/>
                                <w:sz w:val="20"/>
                                <w:szCs w:val="20"/>
                              </w:rPr>
                            </w:pPr>
                            <w:r w:rsidRPr="005159D8">
                              <w:rPr>
                                <w:rFonts w:ascii="Arial" w:hAnsi="Arial" w:cs="Arial"/>
                                <w:sz w:val="20"/>
                                <w:szCs w:val="20"/>
                              </w:rPr>
                              <w:t xml:space="preserve">členstvo v Monitorovacom výbore </w:t>
                            </w:r>
                            <w:r>
                              <w:rPr>
                                <w:rFonts w:ascii="Arial" w:hAnsi="Arial" w:cs="Arial"/>
                                <w:sz w:val="20"/>
                                <w:szCs w:val="20"/>
                              </w:rPr>
                              <w:t>OP ŽP</w:t>
                            </w:r>
                          </w:p>
                          <w:p w14:paraId="7CD0B22B" w14:textId="77777777" w:rsidR="0008447E" w:rsidRPr="005159D8" w:rsidRDefault="0008447E" w:rsidP="000A4DF7">
                            <w:pPr>
                              <w:numPr>
                                <w:ilvl w:val="0"/>
                                <w:numId w:val="5"/>
                              </w:numPr>
                              <w:tabs>
                                <w:tab w:val="clear" w:pos="720"/>
                              </w:tabs>
                              <w:ind w:left="284" w:hanging="284"/>
                              <w:rPr>
                                <w:rFonts w:ascii="Arial" w:hAnsi="Arial" w:cs="Arial"/>
                                <w:sz w:val="20"/>
                                <w:szCs w:val="20"/>
                              </w:rPr>
                            </w:pPr>
                            <w:r>
                              <w:rPr>
                                <w:rFonts w:ascii="Arial" w:hAnsi="Arial" w:cs="Arial"/>
                                <w:sz w:val="20"/>
                                <w:szCs w:val="20"/>
                              </w:rPr>
                              <w:t>bilaterálne pracovné stretnutia s Riadiacim orgánom OP ŽP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A71533" id="Obdĺžnik 27" o:spid="_x0000_s1028" style="position:absolute;left:0;text-align:left;margin-left:.35pt;margin-top:-.15pt;width:222pt;height:112.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">
                <v:textbox>
                  <w:txbxContent>
                    <w:p w14:paraId="5171A762" w14:textId="77777777" w:rsidR="0008447E" w:rsidRPr="005159D8" w:rsidRDefault="0008447E" w:rsidP="00123376">
                      <w:pPr>
                        <w:rPr>
                          <w:rFonts w:ascii="Arial" w:hAnsi="Arial" w:cs="Arial"/>
                          <w:sz w:val="20"/>
                          <w:szCs w:val="20"/>
                        </w:rPr>
                      </w:pPr>
                      <w:r w:rsidRPr="005159D8">
                        <w:rPr>
                          <w:rFonts w:ascii="Arial" w:hAnsi="Arial" w:cs="Arial"/>
                          <w:sz w:val="20"/>
                          <w:szCs w:val="20"/>
                        </w:rPr>
                        <w:t>Koordinátor HP MRK:</w:t>
                      </w:r>
                    </w:p>
                    <w:p w14:paraId="102F2CA7" w14:textId="77777777" w:rsidR="0008447E" w:rsidRDefault="0008447E" w:rsidP="000A4DF7">
                      <w:pPr>
                        <w:numPr>
                          <w:ilvl w:val="0"/>
                          <w:numId w:val="5"/>
                        </w:numPr>
                        <w:tabs>
                          <w:tab w:val="clear" w:pos="720"/>
                        </w:tabs>
                        <w:ind w:left="284" w:hanging="284"/>
                        <w:rPr>
                          <w:rFonts w:ascii="Arial" w:hAnsi="Arial" w:cs="Arial"/>
                          <w:sz w:val="20"/>
                          <w:szCs w:val="20"/>
                        </w:rPr>
                      </w:pPr>
                      <w:r w:rsidRPr="005159D8">
                        <w:rPr>
                          <w:rFonts w:ascii="Arial" w:hAnsi="Arial" w:cs="Arial"/>
                          <w:sz w:val="20"/>
                          <w:szCs w:val="20"/>
                        </w:rPr>
                        <w:t xml:space="preserve">členstvo v Monitorovacom výbore </w:t>
                      </w:r>
                      <w:r>
                        <w:rPr>
                          <w:rFonts w:ascii="Arial" w:hAnsi="Arial" w:cs="Arial"/>
                          <w:sz w:val="20"/>
                          <w:szCs w:val="20"/>
                        </w:rPr>
                        <w:t>OP ŽP</w:t>
                      </w:r>
                    </w:p>
                    <w:p w14:paraId="7CD0B22B" w14:textId="77777777" w:rsidR="0008447E" w:rsidRPr="005159D8" w:rsidRDefault="0008447E" w:rsidP="000A4DF7">
                      <w:pPr>
                        <w:numPr>
                          <w:ilvl w:val="0"/>
                          <w:numId w:val="5"/>
                        </w:numPr>
                        <w:tabs>
                          <w:tab w:val="clear" w:pos="720"/>
                        </w:tabs>
                        <w:ind w:left="284" w:hanging="284"/>
                        <w:rPr>
                          <w:rFonts w:ascii="Arial" w:hAnsi="Arial" w:cs="Arial"/>
                          <w:sz w:val="20"/>
                          <w:szCs w:val="20"/>
                        </w:rPr>
                      </w:pPr>
                      <w:r>
                        <w:rPr>
                          <w:rFonts w:ascii="Arial" w:hAnsi="Arial" w:cs="Arial"/>
                          <w:sz w:val="20"/>
                          <w:szCs w:val="20"/>
                        </w:rPr>
                        <w:t>bilaterálne pracovné stretnutia s Riadiacim orgánom OP ŽP</w:t>
                      </w:r>
                    </w:p>
                  </w:txbxContent>
                </v:textbox>
              </v:rect>
            </w:pict>
          </mc:Fallback>
        </mc:AlternateContent>
      </w:r>
      <w:r w:rsidRPr="00D641FF">
        <w:rPr>
          <w:rFonts w:ascii="Arial" w:hAnsi="Arial" w:cs="Arial"/>
          <w:noProof/>
          <w:sz w:val="20"/>
          <w:szCs w:val="20"/>
        </w:rPr>
        <mc:AlternateContent>
          <mc:Choice Requires="wps">
            <w:drawing>
              <wp:anchor distT="0" distB="0" distL="114300" distR="114300" simplePos="0" relativeHeight="251659264" behindDoc="0" locked="0" layoutInCell="1" allowOverlap="1" wp14:anchorId="0FC383EA" wp14:editId="587FB8A3">
                <wp:simplePos x="0" y="0"/>
                <wp:positionH relativeFrom="column">
                  <wp:posOffset>2823845</wp:posOffset>
                </wp:positionH>
                <wp:positionV relativeFrom="paragraph">
                  <wp:posOffset>-1905</wp:posOffset>
                </wp:positionV>
                <wp:extent cx="2895600" cy="1432560"/>
                <wp:effectExtent l="0" t="0" r="19050" b="15240"/>
                <wp:wrapNone/>
                <wp:docPr id="28" name="Obdĺžnik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95600" cy="1432560"/>
                        </a:xfrm>
                        <a:prstGeom prst="rect">
                          <a:avLst/>
                        </a:prstGeom>
                        <a:solidFill>
                          <a:srgbClr val="FFFFFF"/>
                        </a:solidFill>
                        <a:ln w="9525">
                          <a:solidFill>
                            <a:srgbClr val="000000"/>
                          </a:solidFill>
                          <a:miter lim="800000"/>
                          <a:headEnd/>
                          <a:tailEnd/>
                        </a:ln>
                      </wps:spPr>
                      <wps:txbx>
                        <w:txbxContent>
                          <w:p w14:paraId="3633F4CC" w14:textId="77777777" w:rsidR="0008447E" w:rsidRPr="005159D8" w:rsidRDefault="0008447E" w:rsidP="00123376">
                            <w:pPr>
                              <w:rPr>
                                <w:rFonts w:ascii="Arial" w:hAnsi="Arial" w:cs="Arial"/>
                                <w:sz w:val="20"/>
                                <w:szCs w:val="20"/>
                              </w:rPr>
                            </w:pPr>
                            <w:r w:rsidRPr="005159D8">
                              <w:rPr>
                                <w:rFonts w:ascii="Arial" w:hAnsi="Arial" w:cs="Arial"/>
                                <w:sz w:val="20"/>
                                <w:szCs w:val="20"/>
                              </w:rPr>
                              <w:t xml:space="preserve">Riadiaci orgán </w:t>
                            </w:r>
                            <w:r>
                              <w:rPr>
                                <w:rFonts w:ascii="Arial" w:hAnsi="Arial" w:cs="Arial"/>
                                <w:sz w:val="20"/>
                                <w:szCs w:val="20"/>
                              </w:rPr>
                              <w:t>OP ŽP</w:t>
                            </w:r>
                            <w:r w:rsidRPr="005159D8">
                              <w:rPr>
                                <w:rFonts w:ascii="Arial" w:hAnsi="Arial" w:cs="Arial"/>
                                <w:sz w:val="20"/>
                                <w:szCs w:val="20"/>
                              </w:rPr>
                              <w:t>:</w:t>
                            </w:r>
                          </w:p>
                          <w:p w14:paraId="0242F787" w14:textId="77777777" w:rsidR="0008447E" w:rsidRPr="005159D8" w:rsidRDefault="0008447E" w:rsidP="000A4DF7">
                            <w:pPr>
                              <w:numPr>
                                <w:ilvl w:val="0"/>
                                <w:numId w:val="5"/>
                              </w:numPr>
                              <w:tabs>
                                <w:tab w:val="clear" w:pos="720"/>
                                <w:tab w:val="num" w:pos="426"/>
                              </w:tabs>
                              <w:ind w:left="284" w:hanging="284"/>
                              <w:rPr>
                                <w:rFonts w:ascii="Arial" w:hAnsi="Arial" w:cs="Arial"/>
                                <w:sz w:val="20"/>
                                <w:szCs w:val="20"/>
                              </w:rPr>
                            </w:pPr>
                            <w:r w:rsidRPr="005159D8">
                              <w:rPr>
                                <w:rFonts w:ascii="Arial" w:hAnsi="Arial" w:cs="Arial"/>
                                <w:sz w:val="20"/>
                                <w:szCs w:val="20"/>
                              </w:rPr>
                              <w:t>členstvo v Pracovnej skupine pre HP MRK</w:t>
                            </w:r>
                          </w:p>
                          <w:p w14:paraId="5E1E991C" w14:textId="77777777" w:rsidR="0008447E" w:rsidRPr="005159D8" w:rsidRDefault="0008447E" w:rsidP="000A4DF7">
                            <w:pPr>
                              <w:numPr>
                                <w:ilvl w:val="0"/>
                                <w:numId w:val="5"/>
                              </w:numPr>
                              <w:tabs>
                                <w:tab w:val="clear" w:pos="720"/>
                                <w:tab w:val="num" w:pos="426"/>
                              </w:tabs>
                              <w:ind w:left="284" w:hanging="284"/>
                              <w:rPr>
                                <w:rFonts w:ascii="Arial" w:hAnsi="Arial" w:cs="Arial"/>
                                <w:sz w:val="20"/>
                                <w:szCs w:val="20"/>
                              </w:rPr>
                            </w:pPr>
                            <w:r w:rsidRPr="005159D8">
                              <w:rPr>
                                <w:rFonts w:ascii="Arial" w:hAnsi="Arial" w:cs="Arial"/>
                                <w:sz w:val="20"/>
                                <w:szCs w:val="20"/>
                              </w:rPr>
                              <w:t xml:space="preserve">členstvo v Monitorovacej skupine komplexného prístupu </w:t>
                            </w:r>
                          </w:p>
                          <w:p w14:paraId="56E4A150" w14:textId="77777777" w:rsidR="0008447E" w:rsidRDefault="0008447E" w:rsidP="000A4DF7">
                            <w:pPr>
                              <w:numPr>
                                <w:ilvl w:val="0"/>
                                <w:numId w:val="5"/>
                              </w:numPr>
                              <w:tabs>
                                <w:tab w:val="clear" w:pos="720"/>
                                <w:tab w:val="num" w:pos="426"/>
                              </w:tabs>
                              <w:ind w:left="284" w:hanging="284"/>
                              <w:rPr>
                                <w:rFonts w:ascii="Arial" w:hAnsi="Arial" w:cs="Arial"/>
                                <w:sz w:val="20"/>
                                <w:szCs w:val="20"/>
                              </w:rPr>
                            </w:pPr>
                            <w:r w:rsidRPr="005159D8">
                              <w:rPr>
                                <w:rFonts w:ascii="Arial" w:hAnsi="Arial" w:cs="Arial"/>
                                <w:sz w:val="20"/>
                                <w:szCs w:val="20"/>
                              </w:rPr>
                              <w:t>členstvo v Medzirezortnej hodnotiacej a výberovej komisii pre Lokálne stratégie</w:t>
                            </w:r>
                            <w:r w:rsidRPr="00ED7FF5">
                              <w:rPr>
                                <w:rFonts w:ascii="Arial" w:hAnsi="Arial" w:cs="Arial"/>
                                <w:sz w:val="20"/>
                                <w:szCs w:val="20"/>
                              </w:rPr>
                              <w:t xml:space="preserve"> komplexného prístupu </w:t>
                            </w:r>
                          </w:p>
                          <w:p w14:paraId="1C0D5840" w14:textId="77777777" w:rsidR="0008447E" w:rsidRPr="00F53D41" w:rsidRDefault="0008447E" w:rsidP="000A4DF7">
                            <w:pPr>
                              <w:numPr>
                                <w:ilvl w:val="0"/>
                                <w:numId w:val="5"/>
                              </w:numPr>
                              <w:tabs>
                                <w:tab w:val="clear" w:pos="720"/>
                                <w:tab w:val="num" w:pos="426"/>
                              </w:tabs>
                              <w:ind w:left="284" w:hanging="284"/>
                              <w:rPr>
                                <w:rFonts w:ascii="Arial Narrow" w:hAnsi="Arial Narrow"/>
                              </w:rPr>
                            </w:pPr>
                            <w:r w:rsidRPr="00F53D41">
                              <w:rPr>
                                <w:rFonts w:ascii="Arial" w:hAnsi="Arial" w:cs="Arial"/>
                                <w:sz w:val="20"/>
                                <w:szCs w:val="20"/>
                              </w:rPr>
                              <w:t>bilaterálne pracovné stretnutia s koordinátorom HP MRK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C383EA" id="Obdĺžnik 28" o:spid="_x0000_s1029" style="position:absolute;left:0;text-align:left;margin-left:222.35pt;margin-top:-.15pt;width:228pt;height:112.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">
                <v:textbox>
                  <w:txbxContent>
                    <w:p w14:paraId="3633F4CC" w14:textId="77777777" w:rsidR="0008447E" w:rsidRPr="005159D8" w:rsidRDefault="0008447E" w:rsidP="00123376">
                      <w:pPr>
                        <w:rPr>
                          <w:rFonts w:ascii="Arial" w:hAnsi="Arial" w:cs="Arial"/>
                          <w:sz w:val="20"/>
                          <w:szCs w:val="20"/>
                        </w:rPr>
                      </w:pPr>
                      <w:r w:rsidRPr="005159D8">
                        <w:rPr>
                          <w:rFonts w:ascii="Arial" w:hAnsi="Arial" w:cs="Arial"/>
                          <w:sz w:val="20"/>
                          <w:szCs w:val="20"/>
                        </w:rPr>
                        <w:t xml:space="preserve">Riadiaci orgán </w:t>
                      </w:r>
                      <w:r>
                        <w:rPr>
                          <w:rFonts w:ascii="Arial" w:hAnsi="Arial" w:cs="Arial"/>
                          <w:sz w:val="20"/>
                          <w:szCs w:val="20"/>
                        </w:rPr>
                        <w:t>OP ŽP</w:t>
                      </w:r>
                      <w:r w:rsidRPr="005159D8">
                        <w:rPr>
                          <w:rFonts w:ascii="Arial" w:hAnsi="Arial" w:cs="Arial"/>
                          <w:sz w:val="20"/>
                          <w:szCs w:val="20"/>
                        </w:rPr>
                        <w:t>:</w:t>
                      </w:r>
                    </w:p>
                    <w:p w14:paraId="0242F787" w14:textId="77777777" w:rsidR="0008447E" w:rsidRPr="005159D8" w:rsidRDefault="0008447E" w:rsidP="000A4DF7">
                      <w:pPr>
                        <w:numPr>
                          <w:ilvl w:val="0"/>
                          <w:numId w:val="5"/>
                        </w:numPr>
                        <w:tabs>
                          <w:tab w:val="clear" w:pos="720"/>
                          <w:tab w:val="num" w:pos="426"/>
                        </w:tabs>
                        <w:ind w:left="284" w:hanging="284"/>
                        <w:rPr>
                          <w:rFonts w:ascii="Arial" w:hAnsi="Arial" w:cs="Arial"/>
                          <w:sz w:val="20"/>
                          <w:szCs w:val="20"/>
                        </w:rPr>
                      </w:pPr>
                      <w:r w:rsidRPr="005159D8">
                        <w:rPr>
                          <w:rFonts w:ascii="Arial" w:hAnsi="Arial" w:cs="Arial"/>
                          <w:sz w:val="20"/>
                          <w:szCs w:val="20"/>
                        </w:rPr>
                        <w:t>členstvo v Pracovnej skupine pre HP MRK</w:t>
                      </w:r>
                    </w:p>
                    <w:p w14:paraId="5E1E991C" w14:textId="77777777" w:rsidR="0008447E" w:rsidRPr="005159D8" w:rsidRDefault="0008447E" w:rsidP="000A4DF7">
                      <w:pPr>
                        <w:numPr>
                          <w:ilvl w:val="0"/>
                          <w:numId w:val="5"/>
                        </w:numPr>
                        <w:tabs>
                          <w:tab w:val="clear" w:pos="720"/>
                          <w:tab w:val="num" w:pos="426"/>
                        </w:tabs>
                        <w:ind w:left="284" w:hanging="284"/>
                        <w:rPr>
                          <w:rFonts w:ascii="Arial" w:hAnsi="Arial" w:cs="Arial"/>
                          <w:sz w:val="20"/>
                          <w:szCs w:val="20"/>
                        </w:rPr>
                      </w:pPr>
                      <w:r w:rsidRPr="005159D8">
                        <w:rPr>
                          <w:rFonts w:ascii="Arial" w:hAnsi="Arial" w:cs="Arial"/>
                          <w:sz w:val="20"/>
                          <w:szCs w:val="20"/>
                        </w:rPr>
                        <w:t xml:space="preserve">členstvo v Monitorovacej skupine komplexného prístupu </w:t>
                      </w:r>
                    </w:p>
                    <w:p w14:paraId="56E4A150" w14:textId="77777777" w:rsidR="0008447E" w:rsidRDefault="0008447E" w:rsidP="000A4DF7">
                      <w:pPr>
                        <w:numPr>
                          <w:ilvl w:val="0"/>
                          <w:numId w:val="5"/>
                        </w:numPr>
                        <w:tabs>
                          <w:tab w:val="clear" w:pos="720"/>
                          <w:tab w:val="num" w:pos="426"/>
                        </w:tabs>
                        <w:ind w:left="284" w:hanging="284"/>
                        <w:rPr>
                          <w:rFonts w:ascii="Arial" w:hAnsi="Arial" w:cs="Arial"/>
                          <w:sz w:val="20"/>
                          <w:szCs w:val="20"/>
                        </w:rPr>
                      </w:pPr>
                      <w:r w:rsidRPr="005159D8">
                        <w:rPr>
                          <w:rFonts w:ascii="Arial" w:hAnsi="Arial" w:cs="Arial"/>
                          <w:sz w:val="20"/>
                          <w:szCs w:val="20"/>
                        </w:rPr>
                        <w:t>členstvo v Medzirezortnej hodnotiacej a výberovej komisii pre Lokálne stratégie</w:t>
                      </w:r>
                      <w:r w:rsidRPr="00ED7FF5">
                        <w:rPr>
                          <w:rFonts w:ascii="Arial" w:hAnsi="Arial" w:cs="Arial"/>
                          <w:sz w:val="20"/>
                          <w:szCs w:val="20"/>
                        </w:rPr>
                        <w:t xml:space="preserve"> komplexného prístupu </w:t>
                      </w:r>
                    </w:p>
                    <w:p w14:paraId="1C0D5840" w14:textId="77777777" w:rsidR="0008447E" w:rsidRPr="00F53D41" w:rsidRDefault="0008447E" w:rsidP="000A4DF7">
                      <w:pPr>
                        <w:numPr>
                          <w:ilvl w:val="0"/>
                          <w:numId w:val="5"/>
                        </w:numPr>
                        <w:tabs>
                          <w:tab w:val="clear" w:pos="720"/>
                          <w:tab w:val="num" w:pos="426"/>
                        </w:tabs>
                        <w:ind w:left="284" w:hanging="284"/>
                        <w:rPr>
                          <w:rFonts w:ascii="Arial Narrow" w:hAnsi="Arial Narrow"/>
                        </w:rPr>
                      </w:pPr>
                      <w:r w:rsidRPr="00F53D41">
                        <w:rPr>
                          <w:rFonts w:ascii="Arial" w:hAnsi="Arial" w:cs="Arial"/>
                          <w:sz w:val="20"/>
                          <w:szCs w:val="20"/>
                        </w:rPr>
                        <w:t>bilaterálne pracovné stretnutia s koordinátorom HP MRK</w:t>
                      </w:r>
                    </w:p>
                  </w:txbxContent>
                </v:textbox>
              </v:rect>
            </w:pict>
          </mc:Fallback>
        </mc:AlternateContent>
      </w:r>
    </w:p>
    <w:p w14:paraId="5A086F32" w14:textId="77777777" w:rsidR="00881054" w:rsidRDefault="00881054" w:rsidP="00123376">
      <w:pPr>
        <w:jc w:val="both"/>
        <w:rPr>
          <w:rFonts w:ascii="Arial" w:hAnsi="Arial" w:cs="Arial"/>
          <w:sz w:val="20"/>
          <w:szCs w:val="20"/>
        </w:rPr>
      </w:pPr>
    </w:p>
    <w:p w14:paraId="6DB0AF55" w14:textId="77777777" w:rsidR="007B221E" w:rsidRDefault="007B221E" w:rsidP="00123376">
      <w:pPr>
        <w:jc w:val="both"/>
        <w:rPr>
          <w:rFonts w:ascii="Arial" w:hAnsi="Arial" w:cs="Arial"/>
          <w:sz w:val="20"/>
          <w:szCs w:val="20"/>
        </w:rPr>
      </w:pPr>
    </w:p>
    <w:p w14:paraId="2E43406C" w14:textId="77777777" w:rsidR="007B221E" w:rsidRDefault="007B221E" w:rsidP="00123376">
      <w:pPr>
        <w:jc w:val="both"/>
        <w:rPr>
          <w:rFonts w:ascii="Arial" w:hAnsi="Arial" w:cs="Arial"/>
          <w:sz w:val="20"/>
          <w:szCs w:val="20"/>
        </w:rPr>
      </w:pPr>
    </w:p>
    <w:p w14:paraId="650B427A" w14:textId="77777777" w:rsidR="007B221E" w:rsidRPr="00E21C60" w:rsidRDefault="007B221E" w:rsidP="00123376">
      <w:pPr>
        <w:jc w:val="both"/>
        <w:rPr>
          <w:rFonts w:ascii="Arial" w:hAnsi="Arial" w:cs="Arial"/>
          <w:sz w:val="20"/>
          <w:szCs w:val="20"/>
        </w:rPr>
      </w:pPr>
    </w:p>
    <w:p w14:paraId="109EAB9B" w14:textId="77777777" w:rsidR="00881054" w:rsidRPr="00E21C60" w:rsidRDefault="00881054" w:rsidP="00123376">
      <w:pPr>
        <w:jc w:val="both"/>
        <w:rPr>
          <w:rFonts w:ascii="Arial" w:hAnsi="Arial" w:cs="Arial"/>
          <w:sz w:val="20"/>
          <w:szCs w:val="20"/>
        </w:rPr>
      </w:pPr>
    </w:p>
    <w:p w14:paraId="322A1600" w14:textId="77777777" w:rsidR="00881054" w:rsidRPr="00E21C60" w:rsidRDefault="00881054" w:rsidP="00123376">
      <w:pPr>
        <w:jc w:val="both"/>
        <w:rPr>
          <w:rFonts w:ascii="Arial" w:hAnsi="Arial" w:cs="Arial"/>
          <w:sz w:val="20"/>
          <w:szCs w:val="20"/>
        </w:rPr>
      </w:pPr>
    </w:p>
    <w:p w14:paraId="139ADCCA" w14:textId="77777777" w:rsidR="00881054" w:rsidRPr="00E21C60" w:rsidRDefault="00881054" w:rsidP="00123376">
      <w:pPr>
        <w:jc w:val="both"/>
        <w:rPr>
          <w:rFonts w:ascii="Arial" w:hAnsi="Arial" w:cs="Arial"/>
          <w:sz w:val="20"/>
          <w:szCs w:val="20"/>
        </w:rPr>
      </w:pPr>
    </w:p>
    <w:p w14:paraId="3714DC3E" w14:textId="77777777" w:rsidR="00881054" w:rsidRPr="00E21C60" w:rsidRDefault="00881054" w:rsidP="00123376">
      <w:pPr>
        <w:jc w:val="both"/>
        <w:rPr>
          <w:rFonts w:ascii="Arial" w:hAnsi="Arial" w:cs="Arial"/>
          <w:sz w:val="20"/>
          <w:szCs w:val="20"/>
        </w:rPr>
      </w:pPr>
    </w:p>
    <w:p w14:paraId="36520C78" w14:textId="77777777" w:rsidR="00881054" w:rsidRPr="00E21C60" w:rsidRDefault="00881054" w:rsidP="00123376">
      <w:pPr>
        <w:jc w:val="both"/>
        <w:rPr>
          <w:rFonts w:ascii="Arial" w:hAnsi="Arial" w:cs="Arial"/>
          <w:sz w:val="20"/>
          <w:szCs w:val="20"/>
        </w:rPr>
      </w:pPr>
    </w:p>
    <w:p w14:paraId="1B56D832" w14:textId="77777777" w:rsidR="007B221E" w:rsidRDefault="007B221E" w:rsidP="00123376">
      <w:pPr>
        <w:spacing w:before="120" w:after="120"/>
        <w:jc w:val="both"/>
        <w:rPr>
          <w:rFonts w:ascii="Arial" w:hAnsi="Arial" w:cs="Arial"/>
          <w:sz w:val="20"/>
          <w:szCs w:val="20"/>
        </w:rPr>
      </w:pPr>
    </w:p>
    <w:p w14:paraId="04B51830" w14:textId="1F4791CE" w:rsidR="00881054" w:rsidRPr="00E21C60" w:rsidRDefault="00881054" w:rsidP="00123376">
      <w:pPr>
        <w:spacing w:before="120" w:after="120"/>
        <w:jc w:val="both"/>
        <w:rPr>
          <w:rFonts w:ascii="Arial" w:hAnsi="Arial" w:cs="Arial"/>
          <w:sz w:val="20"/>
          <w:szCs w:val="20"/>
        </w:rPr>
      </w:pPr>
      <w:r w:rsidRPr="00E21C60">
        <w:rPr>
          <w:rFonts w:ascii="Arial" w:hAnsi="Arial" w:cs="Arial"/>
          <w:sz w:val="20"/>
          <w:szCs w:val="20"/>
        </w:rPr>
        <w:t>V </w:t>
      </w:r>
      <w:r w:rsidR="008975F2">
        <w:rPr>
          <w:rFonts w:ascii="Arial" w:hAnsi="Arial" w:cs="Arial"/>
          <w:sz w:val="20"/>
          <w:szCs w:val="20"/>
        </w:rPr>
        <w:t>priebehu realizácie OP ŽP (najmä v roku 2013)</w:t>
      </w:r>
      <w:r w:rsidR="005A6B1C" w:rsidRPr="00E21C60">
        <w:rPr>
          <w:rFonts w:ascii="Arial" w:hAnsi="Arial" w:cs="Arial"/>
          <w:sz w:val="20"/>
          <w:szCs w:val="20"/>
        </w:rPr>
        <w:t xml:space="preserve"> </w:t>
      </w:r>
      <w:r w:rsidRPr="00E21C60">
        <w:rPr>
          <w:rFonts w:ascii="Arial" w:hAnsi="Arial" w:cs="Arial"/>
          <w:sz w:val="20"/>
          <w:szCs w:val="20"/>
        </w:rPr>
        <w:t xml:space="preserve">MŽP SR spolupracovalo s koordinátorom HP MRK a ďalšími RO jednotlivých OP príslušných pre komplexný prístup prostredníctvom vyššie uvedených nástrojov spolupráce. </w:t>
      </w:r>
    </w:p>
    <w:p w14:paraId="48EA83DD" w14:textId="302EB554" w:rsidR="00EF65A8" w:rsidRPr="00357F9B" w:rsidRDefault="00EF65A8" w:rsidP="00123376">
      <w:pPr>
        <w:spacing w:before="120" w:after="120"/>
        <w:jc w:val="both"/>
        <w:rPr>
          <w:rFonts w:ascii="Arial" w:hAnsi="Arial" w:cs="Arial"/>
          <w:sz w:val="20"/>
          <w:szCs w:val="20"/>
        </w:rPr>
      </w:pPr>
    </w:p>
    <w:p w14:paraId="5C6AD797" w14:textId="77777777" w:rsidR="005445E3" w:rsidRPr="006B3ADD" w:rsidRDefault="005445E3" w:rsidP="005445E3">
      <w:pPr>
        <w:spacing w:after="120"/>
        <w:jc w:val="both"/>
        <w:rPr>
          <w:rStyle w:val="Siln"/>
          <w:rFonts w:ascii="Arial" w:hAnsi="Arial" w:cs="Arial"/>
          <w:sz w:val="20"/>
          <w:szCs w:val="20"/>
        </w:rPr>
      </w:pPr>
      <w:r w:rsidRPr="006B3ADD">
        <w:rPr>
          <w:rStyle w:val="Siln"/>
          <w:rFonts w:ascii="Arial" w:hAnsi="Arial" w:cs="Arial"/>
          <w:sz w:val="20"/>
          <w:szCs w:val="20"/>
        </w:rPr>
        <w:t xml:space="preserve">Informácia o činnosti HP MRK v roku </w:t>
      </w:r>
      <w:r>
        <w:rPr>
          <w:rStyle w:val="Siln"/>
          <w:rFonts w:ascii="Arial" w:hAnsi="Arial" w:cs="Arial"/>
          <w:sz w:val="20"/>
          <w:szCs w:val="20"/>
        </w:rPr>
        <w:t>2015</w:t>
      </w:r>
    </w:p>
    <w:p w14:paraId="09DD9FE3" w14:textId="77777777" w:rsidR="005445E3" w:rsidRPr="009C57AD" w:rsidRDefault="005445E3" w:rsidP="005445E3">
      <w:pPr>
        <w:spacing w:after="120"/>
        <w:jc w:val="both"/>
        <w:rPr>
          <w:rStyle w:val="Siln"/>
          <w:rFonts w:ascii="Arial" w:hAnsi="Arial" w:cs="Arial"/>
          <w:b w:val="0"/>
          <w:i/>
          <w:sz w:val="20"/>
          <w:szCs w:val="20"/>
        </w:rPr>
      </w:pPr>
      <w:r w:rsidRPr="009C57AD">
        <w:rPr>
          <w:rStyle w:val="Siln"/>
          <w:rFonts w:ascii="Arial" w:hAnsi="Arial" w:cs="Arial"/>
          <w:b w:val="0"/>
          <w:i/>
          <w:sz w:val="20"/>
          <w:szCs w:val="20"/>
        </w:rPr>
        <w:t>Oblasť schvaľovania LSKxP a spolupráca s RO pre OP pri schvaľovaní projektov s priamou/nepriamou podporou MRK:</w:t>
      </w:r>
    </w:p>
    <w:p w14:paraId="164B8DC0" w14:textId="77777777" w:rsidR="005445E3" w:rsidRPr="004F4A6B" w:rsidRDefault="005445E3" w:rsidP="005445E3">
      <w:pPr>
        <w:spacing w:after="120"/>
        <w:jc w:val="both"/>
        <w:rPr>
          <w:rStyle w:val="Siln"/>
          <w:rFonts w:ascii="Arial" w:hAnsi="Arial" w:cs="Arial"/>
          <w:b w:val="0"/>
          <w:sz w:val="20"/>
          <w:szCs w:val="20"/>
        </w:rPr>
      </w:pPr>
      <w:r w:rsidRPr="004F4A6B">
        <w:rPr>
          <w:rStyle w:val="Siln"/>
          <w:rFonts w:ascii="Arial" w:hAnsi="Arial" w:cs="Arial"/>
          <w:b w:val="0"/>
          <w:sz w:val="20"/>
          <w:szCs w:val="20"/>
        </w:rPr>
        <w:t xml:space="preserve">V sledovanom období neboli schvaľované nové LSKxP. Koordinátor Horizontálnej priority MRK  sa v predmetnom období aktívne podieľal najmä na schvaľovaní žiadostí  subjektov zapojených do národných projektov Terénnej sociálnej práce a Komunitných centier v rámci OP ZaSI.   </w:t>
      </w:r>
    </w:p>
    <w:p w14:paraId="6B89C0C2" w14:textId="77777777" w:rsidR="005445E3" w:rsidRPr="009C57AD" w:rsidRDefault="005445E3" w:rsidP="005445E3">
      <w:pPr>
        <w:spacing w:after="120"/>
        <w:jc w:val="both"/>
        <w:rPr>
          <w:rStyle w:val="Siln"/>
          <w:rFonts w:ascii="Arial" w:hAnsi="Arial" w:cs="Arial"/>
          <w:b w:val="0"/>
          <w:i/>
          <w:sz w:val="20"/>
          <w:szCs w:val="20"/>
        </w:rPr>
      </w:pPr>
      <w:r w:rsidRPr="004F4A6B">
        <w:rPr>
          <w:rStyle w:val="Siln"/>
          <w:rFonts w:ascii="Arial" w:hAnsi="Arial" w:cs="Arial"/>
          <w:b w:val="0"/>
          <w:sz w:val="20"/>
          <w:szCs w:val="20"/>
        </w:rPr>
        <w:tab/>
      </w:r>
      <w:r w:rsidRPr="009C57AD">
        <w:rPr>
          <w:rStyle w:val="Siln"/>
          <w:rFonts w:ascii="Arial" w:hAnsi="Arial" w:cs="Arial"/>
          <w:b w:val="0"/>
          <w:i/>
          <w:sz w:val="20"/>
          <w:szCs w:val="20"/>
        </w:rPr>
        <w:t xml:space="preserve">Oblasť koordinácie implementácie horizontálnej priority </w:t>
      </w:r>
    </w:p>
    <w:p w14:paraId="1EB4D3A8" w14:textId="77777777" w:rsidR="005445E3" w:rsidRPr="004F4A6B" w:rsidRDefault="005445E3" w:rsidP="005445E3">
      <w:pPr>
        <w:spacing w:after="120"/>
        <w:jc w:val="both"/>
        <w:rPr>
          <w:rStyle w:val="Siln"/>
          <w:rFonts w:ascii="Arial" w:hAnsi="Arial" w:cs="Arial"/>
          <w:b w:val="0"/>
          <w:sz w:val="20"/>
          <w:szCs w:val="20"/>
        </w:rPr>
      </w:pPr>
      <w:r w:rsidRPr="004F4A6B">
        <w:rPr>
          <w:rStyle w:val="Siln"/>
          <w:rFonts w:ascii="Arial" w:hAnsi="Arial" w:cs="Arial"/>
          <w:b w:val="0"/>
          <w:sz w:val="20"/>
          <w:szCs w:val="20"/>
        </w:rPr>
        <w:t>Spolupráca s EK, CKO a riadiacimi orgánmi</w:t>
      </w:r>
    </w:p>
    <w:p w14:paraId="1A288D34" w14:textId="00B8F5DC" w:rsidR="005445E3" w:rsidRPr="004F4A6B" w:rsidRDefault="005445E3" w:rsidP="005445E3">
      <w:pPr>
        <w:spacing w:after="120"/>
        <w:jc w:val="both"/>
        <w:rPr>
          <w:rStyle w:val="Siln"/>
          <w:rFonts w:ascii="Arial" w:hAnsi="Arial" w:cs="Arial"/>
          <w:b w:val="0"/>
          <w:sz w:val="20"/>
          <w:szCs w:val="20"/>
        </w:rPr>
      </w:pPr>
      <w:r w:rsidRPr="004F4A6B">
        <w:rPr>
          <w:rStyle w:val="Siln"/>
          <w:rFonts w:ascii="Arial" w:hAnsi="Arial" w:cs="Arial"/>
          <w:b w:val="0"/>
          <w:sz w:val="20"/>
          <w:szCs w:val="20"/>
        </w:rPr>
        <w:t xml:space="preserve">V záujme urýchlenia implementácie LSKxP koordinátor HP MRK v sledovanom období intenzívne spolupracoval s EK, ako aj s CKO a riadiacimi orgánmi OP relevantnými k LSKxP.  Komunikácia s EK prebiehala predovšetkým prostredníctvom pravidelného štvrťročného odpočtu Akčného plánu implementácie LSKxP. Odpočet plnenia úloh sa vykonal v nasledovných termínoch: </w:t>
      </w:r>
    </w:p>
    <w:p w14:paraId="20BDCE12" w14:textId="52BC9E29" w:rsidR="005445E3" w:rsidRPr="004F4A6B" w:rsidRDefault="005445E3" w:rsidP="0000294D">
      <w:pPr>
        <w:jc w:val="both"/>
        <w:rPr>
          <w:rStyle w:val="Siln"/>
          <w:rFonts w:ascii="Arial" w:hAnsi="Arial" w:cs="Arial"/>
          <w:b w:val="0"/>
          <w:sz w:val="20"/>
          <w:szCs w:val="20"/>
        </w:rPr>
      </w:pPr>
      <w:r w:rsidRPr="004F4A6B">
        <w:rPr>
          <w:rStyle w:val="Siln"/>
          <w:rFonts w:ascii="Arial" w:hAnsi="Arial" w:cs="Arial"/>
          <w:b w:val="0"/>
          <w:sz w:val="20"/>
          <w:szCs w:val="20"/>
        </w:rPr>
        <w:t>K 31.03.2015 odoslaný na EK 15.04.2015</w:t>
      </w:r>
      <w:r w:rsidR="0000294D">
        <w:rPr>
          <w:rStyle w:val="Siln"/>
          <w:rFonts w:ascii="Arial" w:hAnsi="Arial" w:cs="Arial"/>
          <w:b w:val="0"/>
          <w:sz w:val="20"/>
          <w:szCs w:val="20"/>
        </w:rPr>
        <w:t>,</w:t>
      </w:r>
      <w:r w:rsidRPr="004F4A6B">
        <w:rPr>
          <w:rStyle w:val="Siln"/>
          <w:rFonts w:ascii="Arial" w:hAnsi="Arial" w:cs="Arial"/>
          <w:b w:val="0"/>
          <w:sz w:val="20"/>
          <w:szCs w:val="20"/>
        </w:rPr>
        <w:t xml:space="preserve">  </w:t>
      </w:r>
    </w:p>
    <w:p w14:paraId="2C975BA3" w14:textId="290C6F4D" w:rsidR="005445E3" w:rsidRPr="004F4A6B" w:rsidRDefault="005445E3" w:rsidP="0000294D">
      <w:pPr>
        <w:jc w:val="both"/>
        <w:rPr>
          <w:rStyle w:val="Siln"/>
          <w:rFonts w:ascii="Arial" w:hAnsi="Arial" w:cs="Arial"/>
          <w:b w:val="0"/>
          <w:sz w:val="20"/>
          <w:szCs w:val="20"/>
        </w:rPr>
      </w:pPr>
      <w:r w:rsidRPr="004F4A6B">
        <w:rPr>
          <w:rStyle w:val="Siln"/>
          <w:rFonts w:ascii="Arial" w:hAnsi="Arial" w:cs="Arial"/>
          <w:b w:val="0"/>
          <w:sz w:val="20"/>
          <w:szCs w:val="20"/>
        </w:rPr>
        <w:t>K 30.06.2015 odoslaný na EK 15.07.2015</w:t>
      </w:r>
      <w:r w:rsidR="0000294D">
        <w:rPr>
          <w:rStyle w:val="Siln"/>
          <w:rFonts w:ascii="Arial" w:hAnsi="Arial" w:cs="Arial"/>
          <w:b w:val="0"/>
          <w:sz w:val="20"/>
          <w:szCs w:val="20"/>
        </w:rPr>
        <w:t>,</w:t>
      </w:r>
    </w:p>
    <w:p w14:paraId="45A3408D" w14:textId="5D16AB32" w:rsidR="005445E3" w:rsidRPr="004F4A6B" w:rsidRDefault="005445E3" w:rsidP="0000294D">
      <w:pPr>
        <w:jc w:val="both"/>
        <w:rPr>
          <w:rStyle w:val="Siln"/>
          <w:rFonts w:ascii="Arial" w:hAnsi="Arial" w:cs="Arial"/>
          <w:b w:val="0"/>
          <w:sz w:val="20"/>
          <w:szCs w:val="20"/>
        </w:rPr>
      </w:pPr>
      <w:r w:rsidRPr="004F4A6B">
        <w:rPr>
          <w:rStyle w:val="Siln"/>
          <w:rFonts w:ascii="Arial" w:hAnsi="Arial" w:cs="Arial"/>
          <w:b w:val="0"/>
          <w:sz w:val="20"/>
          <w:szCs w:val="20"/>
        </w:rPr>
        <w:t>K 30.09.2015 odoslaný na EK 15.10.2015</w:t>
      </w:r>
      <w:r w:rsidR="0000294D">
        <w:rPr>
          <w:rStyle w:val="Siln"/>
          <w:rFonts w:ascii="Arial" w:hAnsi="Arial" w:cs="Arial"/>
          <w:b w:val="0"/>
          <w:sz w:val="20"/>
          <w:szCs w:val="20"/>
        </w:rPr>
        <w:t>,</w:t>
      </w:r>
      <w:r w:rsidRPr="004F4A6B">
        <w:rPr>
          <w:rStyle w:val="Siln"/>
          <w:rFonts w:ascii="Arial" w:hAnsi="Arial" w:cs="Arial"/>
          <w:b w:val="0"/>
          <w:sz w:val="20"/>
          <w:szCs w:val="20"/>
        </w:rPr>
        <w:t xml:space="preserve">  </w:t>
      </w:r>
    </w:p>
    <w:p w14:paraId="22F02DE0" w14:textId="49B28F48" w:rsidR="005445E3" w:rsidRPr="004F4A6B" w:rsidRDefault="005445E3" w:rsidP="0000294D">
      <w:pPr>
        <w:jc w:val="both"/>
        <w:rPr>
          <w:rStyle w:val="Siln"/>
          <w:rFonts w:ascii="Arial" w:hAnsi="Arial" w:cs="Arial"/>
          <w:b w:val="0"/>
          <w:sz w:val="20"/>
          <w:szCs w:val="20"/>
        </w:rPr>
      </w:pPr>
      <w:r w:rsidRPr="004F4A6B">
        <w:rPr>
          <w:rStyle w:val="Siln"/>
          <w:rFonts w:ascii="Arial" w:hAnsi="Arial" w:cs="Arial"/>
          <w:b w:val="0"/>
          <w:sz w:val="20"/>
          <w:szCs w:val="20"/>
        </w:rPr>
        <w:t>K 31.12.2015 odoslaný na EK 15.01.2016</w:t>
      </w:r>
      <w:r w:rsidR="0000294D">
        <w:rPr>
          <w:rStyle w:val="Siln"/>
          <w:rFonts w:ascii="Arial" w:hAnsi="Arial" w:cs="Arial"/>
          <w:b w:val="0"/>
          <w:sz w:val="20"/>
          <w:szCs w:val="20"/>
        </w:rPr>
        <w:t>.</w:t>
      </w:r>
    </w:p>
    <w:p w14:paraId="731CBD3E" w14:textId="77777777" w:rsidR="005445E3" w:rsidRDefault="005445E3" w:rsidP="005445E3">
      <w:pPr>
        <w:spacing w:after="120"/>
        <w:jc w:val="both"/>
        <w:rPr>
          <w:rStyle w:val="Siln"/>
          <w:rFonts w:ascii="Arial" w:hAnsi="Arial" w:cs="Arial"/>
          <w:b w:val="0"/>
          <w:i/>
          <w:sz w:val="20"/>
          <w:szCs w:val="20"/>
        </w:rPr>
      </w:pPr>
    </w:p>
    <w:p w14:paraId="5CBBBF4D" w14:textId="77777777" w:rsidR="005445E3" w:rsidRPr="009C57AD" w:rsidRDefault="005445E3" w:rsidP="005445E3">
      <w:pPr>
        <w:spacing w:after="120"/>
        <w:jc w:val="both"/>
        <w:rPr>
          <w:rStyle w:val="Siln"/>
          <w:rFonts w:ascii="Arial" w:hAnsi="Arial" w:cs="Arial"/>
          <w:b w:val="0"/>
          <w:i/>
          <w:sz w:val="20"/>
          <w:szCs w:val="20"/>
        </w:rPr>
      </w:pPr>
      <w:r w:rsidRPr="009C57AD">
        <w:rPr>
          <w:rStyle w:val="Siln"/>
          <w:rFonts w:ascii="Arial" w:hAnsi="Arial" w:cs="Arial"/>
          <w:b w:val="0"/>
          <w:i/>
          <w:sz w:val="20"/>
          <w:szCs w:val="20"/>
        </w:rPr>
        <w:t>Zasadnutia pracovných skupín HP MRK</w:t>
      </w:r>
    </w:p>
    <w:p w14:paraId="29A6C5B0" w14:textId="1E27FAE3" w:rsidR="005445E3" w:rsidRPr="004F4A6B" w:rsidRDefault="005445E3" w:rsidP="005445E3">
      <w:pPr>
        <w:spacing w:after="120"/>
        <w:jc w:val="both"/>
        <w:rPr>
          <w:rStyle w:val="Siln"/>
          <w:rFonts w:ascii="Arial" w:hAnsi="Arial" w:cs="Arial"/>
          <w:b w:val="0"/>
          <w:sz w:val="20"/>
          <w:szCs w:val="20"/>
        </w:rPr>
      </w:pPr>
      <w:r w:rsidRPr="004F4A6B">
        <w:rPr>
          <w:rStyle w:val="Siln"/>
          <w:rFonts w:ascii="Arial" w:hAnsi="Arial" w:cs="Arial"/>
          <w:b w:val="0"/>
          <w:sz w:val="20"/>
          <w:szCs w:val="20"/>
        </w:rPr>
        <w:t xml:space="preserve">V súlade s aktualizovaným </w:t>
      </w:r>
      <w:r w:rsidRPr="009C57AD">
        <w:rPr>
          <w:rStyle w:val="Siln"/>
          <w:rFonts w:ascii="Arial" w:hAnsi="Arial" w:cs="Arial"/>
          <w:b w:val="0"/>
          <w:sz w:val="20"/>
          <w:szCs w:val="20"/>
        </w:rPr>
        <w:t>Interný</w:t>
      </w:r>
      <w:r>
        <w:rPr>
          <w:rStyle w:val="Siln"/>
          <w:rFonts w:ascii="Arial" w:hAnsi="Arial" w:cs="Arial"/>
          <w:b w:val="0"/>
          <w:sz w:val="20"/>
          <w:szCs w:val="20"/>
        </w:rPr>
        <w:t>m</w:t>
      </w:r>
      <w:r w:rsidRPr="009C57AD">
        <w:rPr>
          <w:rStyle w:val="Siln"/>
          <w:rFonts w:ascii="Arial" w:hAnsi="Arial" w:cs="Arial"/>
          <w:b w:val="0"/>
          <w:sz w:val="20"/>
          <w:szCs w:val="20"/>
        </w:rPr>
        <w:t xml:space="preserve"> manuál</w:t>
      </w:r>
      <w:r>
        <w:rPr>
          <w:rStyle w:val="Siln"/>
          <w:rFonts w:ascii="Arial" w:hAnsi="Arial" w:cs="Arial"/>
          <w:b w:val="0"/>
          <w:sz w:val="20"/>
          <w:szCs w:val="20"/>
        </w:rPr>
        <w:t>om</w:t>
      </w:r>
      <w:r w:rsidRPr="009C57AD">
        <w:rPr>
          <w:rStyle w:val="Siln"/>
          <w:rFonts w:ascii="Arial" w:hAnsi="Arial" w:cs="Arial"/>
          <w:b w:val="0"/>
          <w:sz w:val="20"/>
          <w:szCs w:val="20"/>
        </w:rPr>
        <w:t xml:space="preserve"> procedúr OK HP MRK</w:t>
      </w:r>
      <w:r w:rsidRPr="004F4A6B">
        <w:rPr>
          <w:rStyle w:val="Siln"/>
          <w:rFonts w:ascii="Arial" w:hAnsi="Arial" w:cs="Arial"/>
          <w:b w:val="0"/>
          <w:sz w:val="20"/>
          <w:szCs w:val="20"/>
        </w:rPr>
        <w:t xml:space="preserve"> sa dňa 22.</w:t>
      </w:r>
      <w:r w:rsidR="00E94F12">
        <w:rPr>
          <w:rStyle w:val="Siln"/>
          <w:rFonts w:ascii="Arial" w:hAnsi="Arial" w:cs="Arial"/>
          <w:b w:val="0"/>
          <w:sz w:val="20"/>
          <w:szCs w:val="20"/>
        </w:rPr>
        <w:t xml:space="preserve"> </w:t>
      </w:r>
      <w:r w:rsidR="00471F30">
        <w:rPr>
          <w:rStyle w:val="Siln"/>
          <w:rFonts w:ascii="Arial" w:hAnsi="Arial" w:cs="Arial"/>
          <w:b w:val="0"/>
          <w:sz w:val="20"/>
          <w:szCs w:val="20"/>
        </w:rPr>
        <w:t>10.</w:t>
      </w:r>
      <w:r w:rsidR="00471F30" w:rsidRPr="004F4A6B">
        <w:rPr>
          <w:rStyle w:val="Siln"/>
          <w:rFonts w:ascii="Arial" w:hAnsi="Arial" w:cs="Arial"/>
          <w:b w:val="0"/>
          <w:sz w:val="20"/>
          <w:szCs w:val="20"/>
        </w:rPr>
        <w:t xml:space="preserve"> </w:t>
      </w:r>
      <w:r w:rsidRPr="004F4A6B">
        <w:rPr>
          <w:rStyle w:val="Siln"/>
          <w:rFonts w:ascii="Arial" w:hAnsi="Arial" w:cs="Arial"/>
          <w:b w:val="0"/>
          <w:sz w:val="20"/>
          <w:szCs w:val="20"/>
        </w:rPr>
        <w:t>2015 uskutočnilo spoločné zasadnutie Monitorovacej skupiny KxP (ďalej len „MS KxP“)  a Pracovnej skupiny pre HP MRK (ďalej len „PS HP MRK“). Členovia a pozorovatelia MS KxP boli informovaní o aktuálnom stave implementácie HP MRK, Výročnej správe HP MRK za rok 2014, priebehu  vládneho auditu v roku 2015 a aktualizácii strategických dokumentov OK HP MRK v roku 2015. Zo strany koordinátora boli formou prezentácie poskytnuté informácie o aktuálnom stave implementácie HP MRK a LSKxP. MSKxP konštatovala, že metóda komplexného prístupu bola inovatívnym nástrojom, ale ktorý sa vďaka zvolenému systému koordinácie nepodarilo úspešne implementovať.</w:t>
      </w:r>
    </w:p>
    <w:p w14:paraId="7DFACD2C" w14:textId="54ACBE3C" w:rsidR="005445E3" w:rsidRPr="004F4A6B" w:rsidRDefault="005445E3" w:rsidP="005445E3">
      <w:pPr>
        <w:spacing w:after="120"/>
        <w:jc w:val="both"/>
        <w:rPr>
          <w:rStyle w:val="Siln"/>
          <w:rFonts w:ascii="Arial" w:hAnsi="Arial" w:cs="Arial"/>
          <w:b w:val="0"/>
          <w:sz w:val="20"/>
          <w:szCs w:val="20"/>
        </w:rPr>
      </w:pPr>
      <w:r w:rsidRPr="004F4A6B">
        <w:rPr>
          <w:rStyle w:val="Siln"/>
          <w:rFonts w:ascii="Arial" w:hAnsi="Arial" w:cs="Arial"/>
          <w:b w:val="0"/>
          <w:sz w:val="20"/>
          <w:szCs w:val="20"/>
        </w:rPr>
        <w:t xml:space="preserve">MSKxP v termíne od 06. 07. 2015 do 17. 07. 2015 pripomienkovala Výročnú správu HP MRK za rok 2014. Vyhodnotenie pripomienok a </w:t>
      </w:r>
      <w:r w:rsidR="00876C6F">
        <w:rPr>
          <w:rStyle w:val="Siln"/>
          <w:rFonts w:ascii="Arial" w:hAnsi="Arial" w:cs="Arial"/>
          <w:b w:val="0"/>
          <w:sz w:val="20"/>
          <w:szCs w:val="20"/>
        </w:rPr>
        <w:t>záverečná</w:t>
      </w:r>
      <w:r w:rsidR="00876C6F" w:rsidRPr="004F4A6B">
        <w:rPr>
          <w:rStyle w:val="Siln"/>
          <w:rFonts w:ascii="Arial" w:hAnsi="Arial" w:cs="Arial"/>
          <w:b w:val="0"/>
          <w:sz w:val="20"/>
          <w:szCs w:val="20"/>
        </w:rPr>
        <w:t xml:space="preserve"> </w:t>
      </w:r>
      <w:r w:rsidRPr="004F4A6B">
        <w:rPr>
          <w:rStyle w:val="Siln"/>
          <w:rFonts w:ascii="Arial" w:hAnsi="Arial" w:cs="Arial"/>
          <w:b w:val="0"/>
          <w:sz w:val="20"/>
          <w:szCs w:val="20"/>
        </w:rPr>
        <w:t>správ</w:t>
      </w:r>
      <w:r>
        <w:rPr>
          <w:rStyle w:val="Siln"/>
          <w:rFonts w:ascii="Arial" w:hAnsi="Arial" w:cs="Arial"/>
          <w:b w:val="0"/>
          <w:sz w:val="20"/>
          <w:szCs w:val="20"/>
        </w:rPr>
        <w:t>a</w:t>
      </w:r>
      <w:r w:rsidRPr="004F4A6B">
        <w:rPr>
          <w:rStyle w:val="Siln"/>
          <w:rFonts w:ascii="Arial" w:hAnsi="Arial" w:cs="Arial"/>
          <w:b w:val="0"/>
          <w:sz w:val="20"/>
          <w:szCs w:val="20"/>
        </w:rPr>
        <w:t xml:space="preserve"> boli zaslané členom MSKxP v zmysle Systému riadenia ŠF a KF na programové obdobie 2007 – 2013 </w:t>
      </w:r>
      <w:r>
        <w:rPr>
          <w:rStyle w:val="Siln"/>
          <w:rFonts w:ascii="Arial" w:hAnsi="Arial" w:cs="Arial"/>
          <w:b w:val="0"/>
          <w:sz w:val="20"/>
          <w:szCs w:val="20"/>
        </w:rPr>
        <w:t xml:space="preserve">a následne </w:t>
      </w:r>
      <w:r w:rsidRPr="004F4A6B">
        <w:rPr>
          <w:rStyle w:val="Siln"/>
          <w:rFonts w:ascii="Arial" w:hAnsi="Arial" w:cs="Arial"/>
          <w:b w:val="0"/>
          <w:sz w:val="20"/>
          <w:szCs w:val="20"/>
        </w:rPr>
        <w:t xml:space="preserve">dňa 28. 07. 2015 </w:t>
      </w:r>
      <w:r>
        <w:rPr>
          <w:rStyle w:val="Siln"/>
          <w:rFonts w:ascii="Arial" w:hAnsi="Arial" w:cs="Arial"/>
          <w:b w:val="0"/>
          <w:sz w:val="20"/>
          <w:szCs w:val="20"/>
        </w:rPr>
        <w:t xml:space="preserve">boli zaslané </w:t>
      </w:r>
      <w:r w:rsidRPr="004F4A6B">
        <w:rPr>
          <w:rStyle w:val="Siln"/>
          <w:rFonts w:ascii="Arial" w:hAnsi="Arial" w:cs="Arial"/>
          <w:b w:val="0"/>
          <w:sz w:val="20"/>
          <w:szCs w:val="20"/>
        </w:rPr>
        <w:t>n</w:t>
      </w:r>
      <w:r w:rsidR="0000294D">
        <w:rPr>
          <w:rStyle w:val="Siln"/>
          <w:rFonts w:ascii="Arial" w:hAnsi="Arial" w:cs="Arial"/>
          <w:b w:val="0"/>
          <w:sz w:val="20"/>
          <w:szCs w:val="20"/>
        </w:rPr>
        <w:t>a CKO.</w:t>
      </w:r>
    </w:p>
    <w:p w14:paraId="199E01D4" w14:textId="77777777" w:rsidR="005445E3" w:rsidRPr="009C57AD" w:rsidRDefault="005445E3" w:rsidP="005445E3">
      <w:pPr>
        <w:spacing w:after="120"/>
        <w:jc w:val="both"/>
        <w:rPr>
          <w:rStyle w:val="Siln"/>
          <w:rFonts w:ascii="Arial" w:hAnsi="Arial" w:cs="Arial"/>
          <w:b w:val="0"/>
          <w:sz w:val="20"/>
          <w:szCs w:val="20"/>
        </w:rPr>
      </w:pPr>
      <w:r w:rsidRPr="004F4A6B">
        <w:rPr>
          <w:rStyle w:val="Siln"/>
          <w:rFonts w:ascii="Arial" w:hAnsi="Arial" w:cs="Arial"/>
          <w:b w:val="0"/>
          <w:sz w:val="20"/>
          <w:szCs w:val="20"/>
        </w:rPr>
        <w:t>V sledovanom období sa neuskutočnilo žiadne zasadnutie Medzirezortnej hodnotiacej a výberovej komisie LSKxP (ďalej len „MHaVK LSKxP“)</w:t>
      </w:r>
    </w:p>
    <w:p w14:paraId="5DB8EAC5" w14:textId="77777777" w:rsidR="005445E3" w:rsidRPr="0037746E" w:rsidRDefault="005445E3" w:rsidP="005445E3">
      <w:pPr>
        <w:spacing w:after="120"/>
        <w:jc w:val="both"/>
        <w:rPr>
          <w:rStyle w:val="Siln"/>
          <w:rFonts w:ascii="Arial" w:hAnsi="Arial" w:cs="Arial"/>
          <w:b w:val="0"/>
          <w:i/>
          <w:sz w:val="20"/>
          <w:szCs w:val="20"/>
        </w:rPr>
      </w:pPr>
      <w:r w:rsidRPr="0037746E">
        <w:rPr>
          <w:rStyle w:val="Siln"/>
          <w:rFonts w:ascii="Arial" w:hAnsi="Arial" w:cs="Arial"/>
          <w:b w:val="0"/>
          <w:i/>
          <w:sz w:val="20"/>
          <w:szCs w:val="20"/>
        </w:rPr>
        <w:t xml:space="preserve">Riadiace dokumenty Koordinátora HP MRK </w:t>
      </w:r>
    </w:p>
    <w:p w14:paraId="1A136FB8" w14:textId="77777777" w:rsidR="005445E3" w:rsidRDefault="005445E3" w:rsidP="005445E3">
      <w:pPr>
        <w:spacing w:after="120"/>
        <w:jc w:val="both"/>
        <w:rPr>
          <w:rStyle w:val="Siln"/>
          <w:rFonts w:ascii="Arial" w:hAnsi="Arial" w:cs="Arial"/>
          <w:b w:val="0"/>
          <w:sz w:val="20"/>
          <w:szCs w:val="20"/>
        </w:rPr>
      </w:pPr>
      <w:r w:rsidRPr="009C57AD">
        <w:rPr>
          <w:rStyle w:val="Siln"/>
          <w:rFonts w:ascii="Arial" w:hAnsi="Arial" w:cs="Arial"/>
          <w:b w:val="0"/>
          <w:sz w:val="20"/>
          <w:szCs w:val="20"/>
        </w:rPr>
        <w:t>V druhom polroku 2015 bol aktualizovaný Systém koordinácie implementácie HP MRK verzia 5.2, ktorý nadobudol účinnosť dňa 14. 08. 2015. Interný manuál procedúr OK HP MRK verzia 9.0 nadobudol účinnosť dňa 25. 08. 2015. V aktualizáciách riadiacich dokumentov boli zapracované opatrenia zo zistení  vládneho auditu A621 K3968.</w:t>
      </w:r>
    </w:p>
    <w:p w14:paraId="3A7BAA46" w14:textId="7ED08A63" w:rsidR="00B24A69" w:rsidRPr="00B24A69" w:rsidRDefault="00B24A69" w:rsidP="00DA3164">
      <w:pPr>
        <w:jc w:val="both"/>
        <w:rPr>
          <w:rStyle w:val="Siln"/>
          <w:rFonts w:ascii="Arial" w:hAnsi="Arial" w:cs="Arial"/>
          <w:sz w:val="20"/>
          <w:szCs w:val="20"/>
        </w:rPr>
      </w:pPr>
      <w:r w:rsidRPr="00B24A69">
        <w:rPr>
          <w:rStyle w:val="Siln"/>
          <w:rFonts w:ascii="Arial" w:hAnsi="Arial" w:cs="Arial"/>
          <w:b w:val="0"/>
          <w:sz w:val="20"/>
          <w:szCs w:val="20"/>
        </w:rPr>
        <w:t>Štandardne sa informačno-komunikačné aktivity koordinátora HP MRK  zameriavali predovšetkým na poskytovanie plynulého toku informácií v súvislosti s implementáciou dopytovo orientovaných projektov a národných projektov financovaných z alokácie pre LSKxP. Z dôvodu  zabezpečenia efektívnej  implementácie projektov financovaných z alokácie  pre LSKxP sa informačno-komunikačné aktivity vykonávali prostredníctvom  e-mailov, telefonických konzultácií, písomnou</w:t>
      </w:r>
      <w:r w:rsidR="00DA3164">
        <w:rPr>
          <w:rStyle w:val="Siln"/>
          <w:rFonts w:ascii="Arial" w:hAnsi="Arial" w:cs="Arial"/>
          <w:b w:val="0"/>
          <w:sz w:val="20"/>
          <w:szCs w:val="20"/>
        </w:rPr>
        <w:t xml:space="preserve"> formou a osobnými rokovaniami. Bližšie informácie o realizovaných aktivitách v oblasti informovania a publicity je možné nájsť vo výročných a záverečnej správe </w:t>
      </w:r>
      <w:r w:rsidR="00DA3164" w:rsidRPr="00DA3164">
        <w:rPr>
          <w:rStyle w:val="Siln"/>
          <w:rFonts w:ascii="Arial" w:hAnsi="Arial" w:cs="Arial"/>
          <w:b w:val="0"/>
          <w:sz w:val="20"/>
          <w:szCs w:val="20"/>
        </w:rPr>
        <w:t xml:space="preserve">horizontálnej priority </w:t>
      </w:r>
      <w:r w:rsidR="00DA3164">
        <w:rPr>
          <w:rStyle w:val="Siln"/>
          <w:rFonts w:ascii="Arial" w:hAnsi="Arial" w:cs="Arial"/>
          <w:b w:val="0"/>
          <w:sz w:val="20"/>
          <w:szCs w:val="20"/>
        </w:rPr>
        <w:t>Marginalizované rómske komunity.</w:t>
      </w:r>
    </w:p>
    <w:p w14:paraId="099F556D" w14:textId="77777777" w:rsidR="00B24A69" w:rsidRPr="009C57AD" w:rsidRDefault="00B24A69" w:rsidP="005445E3">
      <w:pPr>
        <w:spacing w:after="120"/>
        <w:jc w:val="both"/>
        <w:rPr>
          <w:rStyle w:val="Siln"/>
          <w:rFonts w:ascii="Arial" w:hAnsi="Arial" w:cs="Arial"/>
          <w:b w:val="0"/>
          <w:sz w:val="20"/>
          <w:szCs w:val="20"/>
        </w:rPr>
      </w:pPr>
    </w:p>
    <w:p w14:paraId="3973B706" w14:textId="77777777" w:rsidR="0008447E" w:rsidRDefault="0008447E">
      <w:pPr>
        <w:rPr>
          <w:rFonts w:ascii="Arial" w:hAnsi="Arial" w:cs="Arial"/>
          <w:b/>
          <w:sz w:val="20"/>
          <w:szCs w:val="20"/>
        </w:rPr>
      </w:pPr>
      <w:r>
        <w:rPr>
          <w:rFonts w:ascii="Arial" w:hAnsi="Arial" w:cs="Arial"/>
          <w:b/>
          <w:sz w:val="20"/>
          <w:szCs w:val="20"/>
        </w:rPr>
        <w:br w:type="page"/>
      </w:r>
    </w:p>
    <w:p w14:paraId="76B1ABC0" w14:textId="7F068D9D" w:rsidR="005445E3" w:rsidRPr="009C57AD" w:rsidRDefault="005445E3" w:rsidP="005445E3">
      <w:pPr>
        <w:spacing w:after="120"/>
        <w:jc w:val="both"/>
        <w:rPr>
          <w:rFonts w:ascii="Arial" w:hAnsi="Arial" w:cs="Arial"/>
          <w:b/>
          <w:sz w:val="20"/>
          <w:szCs w:val="20"/>
        </w:rPr>
      </w:pPr>
      <w:r w:rsidRPr="009C57AD">
        <w:rPr>
          <w:rFonts w:ascii="Arial" w:hAnsi="Arial" w:cs="Arial"/>
          <w:b/>
          <w:sz w:val="20"/>
          <w:szCs w:val="20"/>
        </w:rPr>
        <w:lastRenderedPageBreak/>
        <w:t xml:space="preserve">Výzvy s relevanciou k LSKxP </w:t>
      </w:r>
    </w:p>
    <w:p w14:paraId="1916D0A6" w14:textId="77777777" w:rsidR="005445E3" w:rsidRDefault="005445E3" w:rsidP="005445E3">
      <w:pPr>
        <w:spacing w:after="120"/>
        <w:jc w:val="both"/>
        <w:rPr>
          <w:rFonts w:ascii="Arial" w:hAnsi="Arial" w:cs="Arial"/>
          <w:sz w:val="20"/>
          <w:szCs w:val="20"/>
        </w:rPr>
      </w:pPr>
      <w:r>
        <w:rPr>
          <w:rFonts w:ascii="Arial" w:hAnsi="Arial" w:cs="Arial"/>
          <w:sz w:val="20"/>
          <w:szCs w:val="20"/>
        </w:rPr>
        <w:t xml:space="preserve">RO pre OP ŽP v roku 2015 nevyhlásil žiadne výzvy s relevanciou k LSKxP. Celkovo boli v rámci implementácie OP ŽP vyhlásené dve výzvy v oblasti odpadového hospodárstva s relevanciou k LSKxP.  </w:t>
      </w:r>
    </w:p>
    <w:p w14:paraId="1B4F395D" w14:textId="533C1B89" w:rsidR="005445E3" w:rsidRDefault="005445E3" w:rsidP="005445E3">
      <w:pPr>
        <w:spacing w:after="120"/>
        <w:jc w:val="both"/>
        <w:rPr>
          <w:rFonts w:ascii="Arial" w:hAnsi="Arial" w:cs="Arial"/>
          <w:sz w:val="20"/>
          <w:szCs w:val="20"/>
        </w:rPr>
      </w:pPr>
      <w:r w:rsidRPr="00357F9B">
        <w:rPr>
          <w:rFonts w:ascii="Arial" w:hAnsi="Arial" w:cs="Arial"/>
          <w:sz w:val="20"/>
          <w:szCs w:val="20"/>
        </w:rPr>
        <w:t xml:space="preserve">V rámci </w:t>
      </w:r>
      <w:r>
        <w:rPr>
          <w:rFonts w:ascii="Arial" w:hAnsi="Arial" w:cs="Arial"/>
          <w:sz w:val="20"/>
          <w:szCs w:val="20"/>
        </w:rPr>
        <w:t xml:space="preserve">prvej </w:t>
      </w:r>
      <w:r w:rsidRPr="00357F9B">
        <w:rPr>
          <w:rFonts w:ascii="Arial" w:hAnsi="Arial" w:cs="Arial"/>
          <w:sz w:val="20"/>
          <w:szCs w:val="20"/>
        </w:rPr>
        <w:t>výzvy</w:t>
      </w:r>
      <w:r>
        <w:rPr>
          <w:rFonts w:ascii="Arial" w:hAnsi="Arial" w:cs="Arial"/>
          <w:sz w:val="20"/>
          <w:szCs w:val="20"/>
        </w:rPr>
        <w:t xml:space="preserve"> s relevanciou k LSKxP, ktorú RO vyhlásil</w:t>
      </w:r>
      <w:r w:rsidRPr="00357F9B">
        <w:rPr>
          <w:rFonts w:ascii="Arial" w:hAnsi="Arial" w:cs="Arial"/>
          <w:sz w:val="20"/>
          <w:szCs w:val="20"/>
        </w:rPr>
        <w:t xml:space="preserve"> </w:t>
      </w:r>
      <w:r w:rsidRPr="004542AD">
        <w:rPr>
          <w:rFonts w:ascii="Arial" w:hAnsi="Arial" w:cs="Arial"/>
          <w:sz w:val="20"/>
          <w:szCs w:val="20"/>
        </w:rPr>
        <w:t>dňa 22.</w:t>
      </w:r>
      <w:r w:rsidR="009F2E97">
        <w:rPr>
          <w:rFonts w:ascii="Arial" w:hAnsi="Arial" w:cs="Arial"/>
          <w:sz w:val="20"/>
          <w:szCs w:val="20"/>
        </w:rPr>
        <w:t xml:space="preserve"> </w:t>
      </w:r>
      <w:r w:rsidRPr="004542AD">
        <w:rPr>
          <w:rFonts w:ascii="Arial" w:hAnsi="Arial" w:cs="Arial"/>
          <w:sz w:val="20"/>
          <w:szCs w:val="20"/>
        </w:rPr>
        <w:t>12.</w:t>
      </w:r>
      <w:r>
        <w:rPr>
          <w:rFonts w:ascii="Arial" w:hAnsi="Arial" w:cs="Arial"/>
          <w:sz w:val="20"/>
          <w:szCs w:val="20"/>
        </w:rPr>
        <w:t xml:space="preserve"> </w:t>
      </w:r>
      <w:r w:rsidRPr="004542AD">
        <w:rPr>
          <w:rFonts w:ascii="Arial" w:hAnsi="Arial" w:cs="Arial"/>
          <w:sz w:val="20"/>
          <w:szCs w:val="20"/>
        </w:rPr>
        <w:t>2011 pre PO 4.1 Podpora aktivít v oblasti separovaného zberu odpadov a PO 4.2 Podpora aktivít na zhodnocovanie odpadov, s</w:t>
      </w:r>
      <w:r>
        <w:rPr>
          <w:rFonts w:ascii="Arial" w:hAnsi="Arial" w:cs="Arial"/>
          <w:sz w:val="20"/>
          <w:szCs w:val="20"/>
        </w:rPr>
        <w:t> </w:t>
      </w:r>
      <w:r w:rsidRPr="004542AD">
        <w:rPr>
          <w:rFonts w:ascii="Arial" w:hAnsi="Arial" w:cs="Arial"/>
          <w:sz w:val="20"/>
          <w:szCs w:val="20"/>
        </w:rPr>
        <w:t>indikatívnou</w:t>
      </w:r>
      <w:r>
        <w:rPr>
          <w:rFonts w:ascii="Arial" w:hAnsi="Arial" w:cs="Arial"/>
          <w:sz w:val="20"/>
          <w:szCs w:val="20"/>
        </w:rPr>
        <w:t> </w:t>
      </w:r>
      <w:r w:rsidRPr="004542AD">
        <w:rPr>
          <w:rFonts w:ascii="Arial" w:hAnsi="Arial" w:cs="Arial"/>
          <w:sz w:val="20"/>
          <w:szCs w:val="20"/>
        </w:rPr>
        <w:t xml:space="preserve">výškou alokácie 15 000 000 </w:t>
      </w:r>
      <w:r w:rsidR="00366C2D">
        <w:rPr>
          <w:rFonts w:ascii="Arial" w:hAnsi="Arial" w:cs="Arial"/>
          <w:sz w:val="20"/>
          <w:szCs w:val="20"/>
        </w:rPr>
        <w:t>€</w:t>
      </w:r>
      <w:r w:rsidRPr="004542AD">
        <w:rPr>
          <w:rFonts w:ascii="Arial" w:hAnsi="Arial" w:cs="Arial"/>
          <w:sz w:val="20"/>
          <w:szCs w:val="20"/>
        </w:rPr>
        <w:t>, kód: OPŽP-PO4-11-4-LSKxP</w:t>
      </w:r>
      <w:r>
        <w:rPr>
          <w:rFonts w:ascii="Arial" w:hAnsi="Arial" w:cs="Arial"/>
          <w:sz w:val="20"/>
          <w:szCs w:val="20"/>
        </w:rPr>
        <w:t xml:space="preserve">, bolo zaregistrovaných 27 žiadostí o NFP. Z uvedených žiadostí o NFP bolo 24 vyradených z procesu posudzovania, nakoľko 17 žiadosti o NFP nesplnilo podmienky kontroly formálnej správnosti – kritériá úplnosti a 7 žiadostí o NFP nesplnilo podmienky odborného hodnotenia. Schválené boli 3 žiadosti o NFP. </w:t>
      </w:r>
    </w:p>
    <w:p w14:paraId="49585C15" w14:textId="76486AF4" w:rsidR="005445E3" w:rsidRPr="00357F9B" w:rsidRDefault="005445E3" w:rsidP="005445E3">
      <w:pPr>
        <w:spacing w:after="120"/>
        <w:jc w:val="both"/>
        <w:rPr>
          <w:rFonts w:ascii="Arial" w:hAnsi="Arial" w:cs="Arial"/>
          <w:sz w:val="20"/>
          <w:szCs w:val="20"/>
        </w:rPr>
      </w:pPr>
      <w:r>
        <w:rPr>
          <w:rFonts w:ascii="Arial" w:hAnsi="Arial" w:cs="Arial"/>
          <w:sz w:val="20"/>
          <w:szCs w:val="20"/>
        </w:rPr>
        <w:t xml:space="preserve">Druhú výzvu s relevanciou k LSKxP vyhlásil RO pre OP ŽP  </w:t>
      </w:r>
      <w:r w:rsidRPr="00357F9B">
        <w:rPr>
          <w:rFonts w:ascii="Arial" w:hAnsi="Arial" w:cs="Arial"/>
          <w:sz w:val="20"/>
          <w:szCs w:val="20"/>
        </w:rPr>
        <w:t>dňa 18.</w:t>
      </w:r>
      <w:r w:rsidR="009F2E97">
        <w:rPr>
          <w:rFonts w:ascii="Arial" w:hAnsi="Arial" w:cs="Arial"/>
          <w:sz w:val="20"/>
          <w:szCs w:val="20"/>
        </w:rPr>
        <w:t xml:space="preserve"> </w:t>
      </w:r>
      <w:r w:rsidRPr="00357F9B">
        <w:rPr>
          <w:rFonts w:ascii="Arial" w:hAnsi="Arial" w:cs="Arial"/>
          <w:sz w:val="20"/>
          <w:szCs w:val="20"/>
        </w:rPr>
        <w:t>04.</w:t>
      </w:r>
      <w:r w:rsidR="009F2E97">
        <w:rPr>
          <w:rFonts w:ascii="Arial" w:hAnsi="Arial" w:cs="Arial"/>
          <w:sz w:val="20"/>
          <w:szCs w:val="20"/>
        </w:rPr>
        <w:t xml:space="preserve"> </w:t>
      </w:r>
      <w:r w:rsidRPr="00357F9B">
        <w:rPr>
          <w:rFonts w:ascii="Arial" w:hAnsi="Arial" w:cs="Arial"/>
          <w:sz w:val="20"/>
          <w:szCs w:val="20"/>
        </w:rPr>
        <w:t>2013</w:t>
      </w:r>
      <w:r>
        <w:rPr>
          <w:rFonts w:ascii="Arial" w:hAnsi="Arial" w:cs="Arial"/>
          <w:sz w:val="20"/>
          <w:szCs w:val="20"/>
        </w:rPr>
        <w:t xml:space="preserve">. Výzva bola zameraná na </w:t>
      </w:r>
      <w:r w:rsidRPr="00357F9B">
        <w:rPr>
          <w:rFonts w:ascii="Arial" w:hAnsi="Arial" w:cs="Arial"/>
          <w:sz w:val="20"/>
          <w:szCs w:val="20"/>
        </w:rPr>
        <w:t xml:space="preserve"> PO 4.1 Podpora aktivít v oblasti separovaného zberu odpadov a PO 4.2 Podpora aktivít na zhodnocovanie odpadov, s indikatívnou výškou alokácie 20 285 696,99 </w:t>
      </w:r>
      <w:r w:rsidR="00366C2D">
        <w:rPr>
          <w:rFonts w:ascii="Arial" w:hAnsi="Arial" w:cs="Arial"/>
          <w:sz w:val="20"/>
          <w:szCs w:val="20"/>
        </w:rPr>
        <w:t>€</w:t>
      </w:r>
      <w:r w:rsidRPr="00357F9B">
        <w:rPr>
          <w:rFonts w:ascii="Arial" w:hAnsi="Arial" w:cs="Arial"/>
          <w:sz w:val="20"/>
          <w:szCs w:val="20"/>
        </w:rPr>
        <w:t>, kód: OPŽP-PO4-13-2-LSKxP. Výzva bola uzatvorená  01.</w:t>
      </w:r>
      <w:r>
        <w:rPr>
          <w:rFonts w:ascii="Arial" w:hAnsi="Arial" w:cs="Arial"/>
          <w:sz w:val="20"/>
          <w:szCs w:val="20"/>
        </w:rPr>
        <w:t xml:space="preserve"> </w:t>
      </w:r>
      <w:r w:rsidRPr="00357F9B">
        <w:rPr>
          <w:rFonts w:ascii="Arial" w:hAnsi="Arial" w:cs="Arial"/>
          <w:sz w:val="20"/>
          <w:szCs w:val="20"/>
        </w:rPr>
        <w:t>08</w:t>
      </w:r>
      <w:r>
        <w:rPr>
          <w:rFonts w:ascii="Arial" w:hAnsi="Arial" w:cs="Arial"/>
          <w:sz w:val="20"/>
          <w:szCs w:val="20"/>
        </w:rPr>
        <w:t xml:space="preserve">. </w:t>
      </w:r>
      <w:r w:rsidRPr="00357F9B">
        <w:rPr>
          <w:rFonts w:ascii="Arial" w:hAnsi="Arial" w:cs="Arial"/>
          <w:sz w:val="20"/>
          <w:szCs w:val="20"/>
        </w:rPr>
        <w:t>2013. V roku 2013 prebehlo vyhodnotenie výzvy, kde z celkového počtu 36 zaregistrovaných žiadostí 17 žiadostí nesplnilo podmienky kontroly formálnej správnosti, a to kritériá úplnosti, 5 žiadostí nesplnilo podmienky odborného hodnotenia, kde 3 žiadosti nezískali</w:t>
      </w:r>
      <w:r>
        <w:rPr>
          <w:rFonts w:ascii="Arial" w:hAnsi="Arial" w:cs="Arial"/>
          <w:sz w:val="20"/>
          <w:szCs w:val="20"/>
        </w:rPr>
        <w:t xml:space="preserve"> </w:t>
      </w:r>
      <w:r w:rsidRPr="00357F9B">
        <w:rPr>
          <w:rFonts w:ascii="Arial" w:hAnsi="Arial" w:cs="Arial"/>
          <w:sz w:val="20"/>
          <w:szCs w:val="20"/>
        </w:rPr>
        <w:t>minimálne</w:t>
      </w:r>
      <w:r>
        <w:rPr>
          <w:rFonts w:ascii="Arial" w:hAnsi="Arial" w:cs="Arial"/>
          <w:sz w:val="20"/>
          <w:szCs w:val="20"/>
        </w:rPr>
        <w:t xml:space="preserve"> </w:t>
      </w:r>
      <w:r w:rsidRPr="00357F9B">
        <w:rPr>
          <w:rFonts w:ascii="Arial" w:hAnsi="Arial" w:cs="Arial"/>
          <w:sz w:val="20"/>
          <w:szCs w:val="20"/>
        </w:rPr>
        <w:t>50 % bodov v každej zo skupín kritérií, 1 žiadosť nezískala minimálne 50 % bodov v každej zo skupín kritérií a súčasne nezískala minimálne 70 % celkového počtu bodov a 1 žiadosti bola pridelená nulová bodová hodnota vo vylučovacom kritériu a súčasne nezískala minimálne 70 % z maximálneho celkového počtu bodov. Zvyšných 14 žiadostí splnilo podmienky odborného hodnotenia a následne boli schválené.</w:t>
      </w:r>
      <w:r>
        <w:rPr>
          <w:rFonts w:ascii="Arial" w:hAnsi="Arial" w:cs="Arial"/>
          <w:sz w:val="20"/>
          <w:szCs w:val="20"/>
        </w:rPr>
        <w:t xml:space="preserve"> </w:t>
      </w:r>
      <w:r w:rsidRPr="00357F9B">
        <w:rPr>
          <w:rFonts w:ascii="Arial" w:hAnsi="Arial" w:cs="Arial"/>
          <w:sz w:val="20"/>
          <w:szCs w:val="20"/>
        </w:rPr>
        <w:t>Pokiaľ ide o výzvy</w:t>
      </w:r>
      <w:r>
        <w:rPr>
          <w:rFonts w:ascii="Arial" w:hAnsi="Arial" w:cs="Arial"/>
          <w:sz w:val="20"/>
          <w:szCs w:val="20"/>
        </w:rPr>
        <w:t xml:space="preserve"> s relevanciou k LSKxP</w:t>
      </w:r>
      <w:r w:rsidRPr="00357F9B">
        <w:rPr>
          <w:rFonts w:ascii="Arial" w:hAnsi="Arial" w:cs="Arial"/>
          <w:sz w:val="20"/>
          <w:szCs w:val="20"/>
        </w:rPr>
        <w:t>, pri kontrole formálnej správnosti boli zistené nasledujúce najčastejšie nedostatky:</w:t>
      </w:r>
    </w:p>
    <w:p w14:paraId="5DD16D6A" w14:textId="77777777" w:rsidR="005445E3" w:rsidRPr="00357F9B" w:rsidRDefault="005445E3" w:rsidP="000A4DF7">
      <w:pPr>
        <w:pStyle w:val="Odsekzoznamu"/>
        <w:numPr>
          <w:ilvl w:val="0"/>
          <w:numId w:val="33"/>
        </w:numPr>
        <w:spacing w:before="120" w:after="120" w:line="240" w:lineRule="auto"/>
        <w:ind w:left="284" w:hanging="284"/>
        <w:jc w:val="both"/>
        <w:rPr>
          <w:rFonts w:ascii="Arial" w:hAnsi="Arial" w:cs="Arial"/>
          <w:sz w:val="20"/>
          <w:szCs w:val="20"/>
        </w:rPr>
      </w:pPr>
      <w:r w:rsidRPr="00357F9B">
        <w:rPr>
          <w:rFonts w:ascii="Arial" w:hAnsi="Arial" w:cs="Arial"/>
          <w:sz w:val="20"/>
          <w:szCs w:val="20"/>
        </w:rPr>
        <w:t xml:space="preserve">nepredloženie: </w:t>
      </w:r>
    </w:p>
    <w:p w14:paraId="465F68E7" w14:textId="77777777" w:rsidR="005445E3" w:rsidRPr="00357F9B" w:rsidRDefault="005445E3" w:rsidP="000A4DF7">
      <w:pPr>
        <w:pStyle w:val="Odsekzoznamu"/>
        <w:numPr>
          <w:ilvl w:val="1"/>
          <w:numId w:val="34"/>
        </w:numPr>
        <w:spacing w:before="120" w:after="120" w:line="240" w:lineRule="auto"/>
        <w:ind w:left="567" w:hanging="283"/>
        <w:jc w:val="both"/>
        <w:rPr>
          <w:rFonts w:ascii="Arial" w:hAnsi="Arial" w:cs="Arial"/>
          <w:sz w:val="20"/>
          <w:szCs w:val="20"/>
        </w:rPr>
      </w:pPr>
      <w:r w:rsidRPr="00357F9B">
        <w:rPr>
          <w:rFonts w:ascii="Arial" w:hAnsi="Arial" w:cs="Arial"/>
          <w:sz w:val="20"/>
          <w:szCs w:val="20"/>
        </w:rPr>
        <w:t>záverečného účtu obce;</w:t>
      </w:r>
    </w:p>
    <w:p w14:paraId="55484740" w14:textId="77777777" w:rsidR="005445E3" w:rsidRPr="00357F9B" w:rsidRDefault="005445E3" w:rsidP="000A4DF7">
      <w:pPr>
        <w:pStyle w:val="Odsekzoznamu"/>
        <w:numPr>
          <w:ilvl w:val="1"/>
          <w:numId w:val="34"/>
        </w:numPr>
        <w:spacing w:before="120" w:after="120" w:line="240" w:lineRule="auto"/>
        <w:ind w:left="567" w:hanging="283"/>
        <w:jc w:val="both"/>
        <w:rPr>
          <w:rFonts w:ascii="Arial" w:hAnsi="Arial" w:cs="Arial"/>
          <w:sz w:val="20"/>
          <w:szCs w:val="20"/>
        </w:rPr>
      </w:pPr>
      <w:r w:rsidRPr="00357F9B">
        <w:rPr>
          <w:rFonts w:ascii="Arial" w:hAnsi="Arial" w:cs="Arial"/>
          <w:sz w:val="20"/>
          <w:szCs w:val="20"/>
        </w:rPr>
        <w:t>potvrdenia komerčnej banky  o disponibilnom zostatku na účte;</w:t>
      </w:r>
    </w:p>
    <w:p w14:paraId="50E23A37" w14:textId="77777777" w:rsidR="005445E3" w:rsidRPr="00357F9B" w:rsidRDefault="005445E3" w:rsidP="000A4DF7">
      <w:pPr>
        <w:pStyle w:val="Odsekzoznamu"/>
        <w:numPr>
          <w:ilvl w:val="1"/>
          <w:numId w:val="34"/>
        </w:numPr>
        <w:spacing w:before="120" w:after="120" w:line="240" w:lineRule="auto"/>
        <w:ind w:left="567" w:hanging="283"/>
        <w:jc w:val="both"/>
        <w:rPr>
          <w:rFonts w:ascii="Arial" w:hAnsi="Arial" w:cs="Arial"/>
          <w:sz w:val="20"/>
          <w:szCs w:val="20"/>
        </w:rPr>
      </w:pPr>
      <w:r w:rsidRPr="00357F9B">
        <w:rPr>
          <w:rFonts w:ascii="Arial" w:hAnsi="Arial" w:cs="Arial"/>
          <w:sz w:val="20"/>
          <w:szCs w:val="20"/>
        </w:rPr>
        <w:t>cenových ponúk ako podkladu pre stanovenie predpokladanej výšky oprávnených výdavkov;</w:t>
      </w:r>
    </w:p>
    <w:p w14:paraId="11E03343" w14:textId="77777777" w:rsidR="005445E3" w:rsidRPr="00357F9B" w:rsidRDefault="005445E3" w:rsidP="000A4DF7">
      <w:pPr>
        <w:pStyle w:val="Odsekzoznamu"/>
        <w:numPr>
          <w:ilvl w:val="1"/>
          <w:numId w:val="34"/>
        </w:numPr>
        <w:spacing w:before="120" w:after="120" w:line="240" w:lineRule="auto"/>
        <w:ind w:left="567" w:hanging="283"/>
        <w:jc w:val="both"/>
        <w:rPr>
          <w:rFonts w:ascii="Arial" w:hAnsi="Arial" w:cs="Arial"/>
          <w:sz w:val="20"/>
          <w:szCs w:val="20"/>
        </w:rPr>
      </w:pPr>
      <w:r w:rsidRPr="00357F9B">
        <w:rPr>
          <w:rFonts w:ascii="Arial" w:hAnsi="Arial" w:cs="Arial"/>
          <w:sz w:val="20"/>
          <w:szCs w:val="20"/>
        </w:rPr>
        <w:t>projektovej dokumentácie stavby overenej v stavebnom konaní;</w:t>
      </w:r>
    </w:p>
    <w:p w14:paraId="611B5EAA" w14:textId="77777777" w:rsidR="005445E3" w:rsidRPr="00357F9B" w:rsidRDefault="005445E3" w:rsidP="000A4DF7">
      <w:pPr>
        <w:pStyle w:val="Odsekzoznamu"/>
        <w:numPr>
          <w:ilvl w:val="1"/>
          <w:numId w:val="34"/>
        </w:numPr>
        <w:spacing w:before="120" w:after="120" w:line="240" w:lineRule="auto"/>
        <w:ind w:left="567" w:hanging="283"/>
        <w:jc w:val="both"/>
        <w:rPr>
          <w:rFonts w:ascii="Arial" w:hAnsi="Arial" w:cs="Arial"/>
          <w:sz w:val="20"/>
          <w:szCs w:val="20"/>
        </w:rPr>
      </w:pPr>
      <w:r w:rsidRPr="00357F9B">
        <w:rPr>
          <w:rFonts w:ascii="Arial" w:hAnsi="Arial" w:cs="Arial"/>
          <w:sz w:val="20"/>
          <w:szCs w:val="20"/>
        </w:rPr>
        <w:t xml:space="preserve">finančnej analýzy; </w:t>
      </w:r>
    </w:p>
    <w:p w14:paraId="720B8AFA" w14:textId="77777777" w:rsidR="005445E3" w:rsidRPr="00357F9B" w:rsidRDefault="005445E3" w:rsidP="000A4DF7">
      <w:pPr>
        <w:pStyle w:val="Odsekzoznamu"/>
        <w:numPr>
          <w:ilvl w:val="1"/>
          <w:numId w:val="34"/>
        </w:numPr>
        <w:spacing w:before="120" w:after="120" w:line="240" w:lineRule="auto"/>
        <w:ind w:left="567" w:hanging="283"/>
        <w:jc w:val="both"/>
        <w:rPr>
          <w:rFonts w:ascii="Arial" w:hAnsi="Arial" w:cs="Arial"/>
          <w:sz w:val="20"/>
          <w:szCs w:val="20"/>
        </w:rPr>
      </w:pPr>
      <w:r w:rsidRPr="00357F9B">
        <w:rPr>
          <w:rFonts w:ascii="Arial" w:hAnsi="Arial" w:cs="Arial"/>
          <w:sz w:val="20"/>
          <w:szCs w:val="20"/>
        </w:rPr>
        <w:t xml:space="preserve">právoplatného a vykonateľného dokladu v zmysle stavebného zákona; </w:t>
      </w:r>
    </w:p>
    <w:p w14:paraId="3FDF9640" w14:textId="77777777" w:rsidR="005445E3" w:rsidRPr="00E21C60" w:rsidRDefault="005445E3" w:rsidP="000A4DF7">
      <w:pPr>
        <w:pStyle w:val="Odsekzoznamu"/>
        <w:numPr>
          <w:ilvl w:val="1"/>
          <w:numId w:val="34"/>
        </w:numPr>
        <w:spacing w:before="120" w:after="120" w:line="240" w:lineRule="auto"/>
        <w:ind w:left="567" w:hanging="283"/>
        <w:jc w:val="both"/>
        <w:rPr>
          <w:rFonts w:ascii="Arial" w:hAnsi="Arial" w:cs="Arial"/>
          <w:sz w:val="20"/>
          <w:szCs w:val="20"/>
        </w:rPr>
      </w:pPr>
      <w:r w:rsidRPr="00E21C60">
        <w:rPr>
          <w:rFonts w:ascii="Arial" w:hAnsi="Arial" w:cs="Arial"/>
          <w:sz w:val="20"/>
          <w:szCs w:val="20"/>
        </w:rPr>
        <w:t>Programu odpadového hospodárstva obce, resp. ďalších odborných podkladov;</w:t>
      </w:r>
    </w:p>
    <w:p w14:paraId="7F93F1C8" w14:textId="77777777" w:rsidR="005445E3" w:rsidRPr="00E21C60" w:rsidRDefault="005445E3" w:rsidP="000A4DF7">
      <w:pPr>
        <w:pStyle w:val="Odsekzoznamu"/>
        <w:numPr>
          <w:ilvl w:val="1"/>
          <w:numId w:val="34"/>
        </w:numPr>
        <w:spacing w:before="120" w:after="120" w:line="240" w:lineRule="auto"/>
        <w:ind w:left="567" w:hanging="283"/>
        <w:jc w:val="both"/>
        <w:rPr>
          <w:rFonts w:ascii="Arial" w:hAnsi="Arial" w:cs="Arial"/>
          <w:sz w:val="20"/>
          <w:szCs w:val="20"/>
        </w:rPr>
      </w:pPr>
      <w:r w:rsidRPr="00E21C60">
        <w:rPr>
          <w:rFonts w:ascii="Arial" w:hAnsi="Arial" w:cs="Arial"/>
          <w:sz w:val="20"/>
          <w:szCs w:val="20"/>
        </w:rPr>
        <w:t xml:space="preserve">elektronického neprepisovateľného média s kompletným formulárom žiadosti; </w:t>
      </w:r>
    </w:p>
    <w:p w14:paraId="69AF925F" w14:textId="77777777" w:rsidR="005445E3" w:rsidRPr="00E21C60" w:rsidRDefault="005445E3" w:rsidP="000A4DF7">
      <w:pPr>
        <w:pStyle w:val="Odsekzoznamu"/>
        <w:numPr>
          <w:ilvl w:val="0"/>
          <w:numId w:val="33"/>
        </w:numPr>
        <w:spacing w:before="120" w:after="120" w:line="240" w:lineRule="auto"/>
        <w:ind w:left="284" w:hanging="284"/>
        <w:jc w:val="both"/>
        <w:rPr>
          <w:rFonts w:ascii="Arial" w:hAnsi="Arial" w:cs="Arial"/>
          <w:sz w:val="20"/>
          <w:szCs w:val="20"/>
        </w:rPr>
      </w:pPr>
      <w:r w:rsidRPr="00E21C60">
        <w:rPr>
          <w:rFonts w:ascii="Arial" w:hAnsi="Arial" w:cs="Arial"/>
          <w:sz w:val="20"/>
          <w:szCs w:val="20"/>
        </w:rPr>
        <w:t xml:space="preserve">neuvedenie povinných merateľných ukazovateľov; </w:t>
      </w:r>
    </w:p>
    <w:p w14:paraId="0F8F2526" w14:textId="77777777" w:rsidR="005445E3" w:rsidRPr="00E21C60" w:rsidRDefault="005445E3" w:rsidP="000A4DF7">
      <w:pPr>
        <w:pStyle w:val="Odsekzoznamu"/>
        <w:numPr>
          <w:ilvl w:val="0"/>
          <w:numId w:val="33"/>
        </w:numPr>
        <w:spacing w:before="120" w:after="120" w:line="240" w:lineRule="auto"/>
        <w:ind w:left="284" w:hanging="284"/>
        <w:jc w:val="both"/>
        <w:rPr>
          <w:rFonts w:ascii="Arial" w:hAnsi="Arial" w:cs="Arial"/>
          <w:sz w:val="20"/>
          <w:szCs w:val="20"/>
        </w:rPr>
      </w:pPr>
      <w:r w:rsidRPr="00E21C60">
        <w:rPr>
          <w:rFonts w:ascii="Arial" w:hAnsi="Arial" w:cs="Arial"/>
          <w:sz w:val="20"/>
          <w:szCs w:val="20"/>
        </w:rPr>
        <w:t xml:space="preserve">nevyplnenie Testu štátnej pomoci; </w:t>
      </w:r>
    </w:p>
    <w:p w14:paraId="0190E618" w14:textId="77777777" w:rsidR="005445E3" w:rsidRPr="00E21C60" w:rsidRDefault="005445E3" w:rsidP="000A4DF7">
      <w:pPr>
        <w:pStyle w:val="Odsekzoznamu"/>
        <w:numPr>
          <w:ilvl w:val="0"/>
          <w:numId w:val="33"/>
        </w:numPr>
        <w:spacing w:before="120" w:after="120" w:line="240" w:lineRule="auto"/>
        <w:ind w:left="284" w:hanging="284"/>
        <w:jc w:val="both"/>
        <w:rPr>
          <w:rFonts w:ascii="Arial" w:hAnsi="Arial" w:cs="Arial"/>
          <w:sz w:val="20"/>
          <w:szCs w:val="20"/>
        </w:rPr>
      </w:pPr>
      <w:r w:rsidRPr="00E21C60">
        <w:rPr>
          <w:rFonts w:ascii="Arial" w:hAnsi="Arial" w:cs="Arial"/>
          <w:sz w:val="20"/>
          <w:szCs w:val="20"/>
        </w:rPr>
        <w:t xml:space="preserve">nepreukázanie dostatočných finančných prostriedkov na krytie oprávnených výdavkov vo výške spolufinancovania; </w:t>
      </w:r>
    </w:p>
    <w:p w14:paraId="2ED7DE8B" w14:textId="77777777" w:rsidR="005445E3" w:rsidRPr="00E21C60" w:rsidRDefault="005445E3" w:rsidP="000A4DF7">
      <w:pPr>
        <w:pStyle w:val="Odsekzoznamu"/>
        <w:numPr>
          <w:ilvl w:val="0"/>
          <w:numId w:val="33"/>
        </w:numPr>
        <w:spacing w:before="120" w:after="120" w:line="240" w:lineRule="auto"/>
        <w:ind w:left="284" w:hanging="284"/>
        <w:jc w:val="both"/>
        <w:rPr>
          <w:rFonts w:ascii="Arial" w:hAnsi="Arial" w:cs="Arial"/>
          <w:sz w:val="20"/>
          <w:szCs w:val="20"/>
        </w:rPr>
      </w:pPr>
      <w:r w:rsidRPr="00E21C60">
        <w:rPr>
          <w:rFonts w:ascii="Arial" w:hAnsi="Arial" w:cs="Arial"/>
          <w:sz w:val="20"/>
          <w:szCs w:val="20"/>
        </w:rPr>
        <w:t>nevysporiadanie majetkovo–právnych vzťahov.</w:t>
      </w:r>
    </w:p>
    <w:p w14:paraId="2A813A56" w14:textId="77777777" w:rsidR="005445E3" w:rsidRPr="00E21C60" w:rsidRDefault="005445E3" w:rsidP="005445E3">
      <w:pPr>
        <w:spacing w:before="120" w:after="120"/>
        <w:jc w:val="both"/>
        <w:rPr>
          <w:rFonts w:ascii="Arial" w:hAnsi="Arial" w:cs="Arial"/>
          <w:sz w:val="20"/>
          <w:szCs w:val="20"/>
        </w:rPr>
      </w:pPr>
      <w:r w:rsidRPr="00E21C60">
        <w:rPr>
          <w:rFonts w:ascii="Arial" w:hAnsi="Arial" w:cs="Arial"/>
          <w:sz w:val="20"/>
          <w:szCs w:val="20"/>
        </w:rPr>
        <w:t xml:space="preserve">V procese odborného hodnotenia žiadostí o NFP predložených v rámci vyššie výziev </w:t>
      </w:r>
      <w:r>
        <w:rPr>
          <w:rFonts w:ascii="Arial" w:hAnsi="Arial" w:cs="Arial"/>
          <w:sz w:val="20"/>
          <w:szCs w:val="20"/>
        </w:rPr>
        <w:t xml:space="preserve">s relevanciou k LSKxP </w:t>
      </w:r>
      <w:r w:rsidRPr="00E21C60">
        <w:rPr>
          <w:rFonts w:ascii="Arial" w:hAnsi="Arial" w:cs="Arial"/>
          <w:sz w:val="20"/>
          <w:szCs w:val="20"/>
        </w:rPr>
        <w:t>najčastejšie dochádzalo k zníženiu bodového hodnotenia v nasledujúcich kritériách:</w:t>
      </w:r>
    </w:p>
    <w:p w14:paraId="3AA7D14B" w14:textId="77777777" w:rsidR="005445E3" w:rsidRPr="00E21C60"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E21C60">
        <w:rPr>
          <w:rFonts w:ascii="Arial" w:hAnsi="Arial" w:cs="Arial"/>
          <w:sz w:val="20"/>
          <w:szCs w:val="20"/>
        </w:rPr>
        <w:t>plnenie legislatívnych a koncepčných požiadaviek na úseku odpadového hospodárstva;</w:t>
      </w:r>
    </w:p>
    <w:p w14:paraId="5314F67C" w14:textId="77777777" w:rsidR="005445E3" w:rsidRPr="00E21C60"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E21C60">
        <w:rPr>
          <w:rFonts w:ascii="Arial" w:hAnsi="Arial" w:cs="Arial"/>
          <w:sz w:val="20"/>
          <w:szCs w:val="20"/>
        </w:rPr>
        <w:t>prínos projektu k dosiahnutiu cieľov prioritnej osi;</w:t>
      </w:r>
    </w:p>
    <w:p w14:paraId="6640D919" w14:textId="77777777" w:rsidR="005445E3" w:rsidRPr="00E21C60"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E21C60">
        <w:rPr>
          <w:rFonts w:ascii="Arial" w:hAnsi="Arial" w:cs="Arial"/>
          <w:sz w:val="20"/>
          <w:szCs w:val="20"/>
        </w:rPr>
        <w:t xml:space="preserve">previazanosť navrhovaných aktivít s cieľmi a očakávanými výsledkami; </w:t>
      </w:r>
    </w:p>
    <w:p w14:paraId="60D57D0E" w14:textId="77777777" w:rsidR="005445E3" w:rsidRPr="00E21C60"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E21C60">
        <w:rPr>
          <w:rFonts w:ascii="Arial" w:hAnsi="Arial" w:cs="Arial"/>
          <w:sz w:val="20"/>
          <w:szCs w:val="20"/>
        </w:rPr>
        <w:t>zabezpečenie funkčnosti zariadenia vo väzbe na existujúce kapacity;</w:t>
      </w:r>
    </w:p>
    <w:p w14:paraId="792B6E47" w14:textId="77777777" w:rsidR="005445E3" w:rsidRPr="00E21C60"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E21C60">
        <w:rPr>
          <w:rFonts w:ascii="Arial" w:hAnsi="Arial" w:cs="Arial"/>
          <w:sz w:val="20"/>
          <w:szCs w:val="20"/>
        </w:rPr>
        <w:t>technické riešenie;</w:t>
      </w:r>
    </w:p>
    <w:p w14:paraId="1232A516" w14:textId="77777777" w:rsidR="005445E3" w:rsidRPr="00E21C60"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E21C60">
        <w:rPr>
          <w:rFonts w:ascii="Arial" w:hAnsi="Arial" w:cs="Arial"/>
          <w:sz w:val="20"/>
          <w:szCs w:val="20"/>
        </w:rPr>
        <w:t>reálnosť zhodnotenia vyseparovaných zložiek komunálnych odpadov;</w:t>
      </w:r>
    </w:p>
    <w:p w14:paraId="3BF40A3E" w14:textId="77777777" w:rsidR="005445E3" w:rsidRPr="00357F9B"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357F9B">
        <w:rPr>
          <w:rFonts w:ascii="Arial" w:hAnsi="Arial" w:cs="Arial"/>
          <w:sz w:val="20"/>
          <w:szCs w:val="20"/>
        </w:rPr>
        <w:t xml:space="preserve">reálnosť dosiahnutia cieľového stavu indikátorov; </w:t>
      </w:r>
    </w:p>
    <w:p w14:paraId="1C39D0C8" w14:textId="77777777" w:rsidR="005445E3" w:rsidRPr="00357F9B"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357F9B">
        <w:rPr>
          <w:rFonts w:ascii="Arial" w:hAnsi="Arial" w:cs="Arial"/>
          <w:sz w:val="20"/>
          <w:szCs w:val="20"/>
        </w:rPr>
        <w:t>administratívna, odborná a technická kapacita žiadateľa;</w:t>
      </w:r>
    </w:p>
    <w:p w14:paraId="710B3D7A" w14:textId="77777777" w:rsidR="005445E3" w:rsidRPr="00357F9B"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357F9B">
        <w:rPr>
          <w:rFonts w:ascii="Arial" w:hAnsi="Arial" w:cs="Arial"/>
          <w:sz w:val="20"/>
          <w:szCs w:val="20"/>
        </w:rPr>
        <w:t>efektívnosť vynaložených finančných prostriedkov;</w:t>
      </w:r>
    </w:p>
    <w:p w14:paraId="574273B2" w14:textId="77777777" w:rsidR="005445E3" w:rsidRPr="00357F9B"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357F9B">
        <w:rPr>
          <w:rFonts w:ascii="Arial" w:hAnsi="Arial" w:cs="Arial"/>
          <w:sz w:val="20"/>
          <w:szCs w:val="20"/>
        </w:rPr>
        <w:t>zabezpečenie a preukázanie zdrojov spolufinancovania;</w:t>
      </w:r>
    </w:p>
    <w:p w14:paraId="2B5D4F9A" w14:textId="77777777" w:rsidR="005445E3" w:rsidRPr="00357F9B"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357F9B">
        <w:rPr>
          <w:rFonts w:ascii="Arial" w:hAnsi="Arial" w:cs="Arial"/>
          <w:sz w:val="20"/>
          <w:szCs w:val="20"/>
        </w:rPr>
        <w:t>udržateľnosť prevádzky;</w:t>
      </w:r>
    </w:p>
    <w:p w14:paraId="35C39BEA" w14:textId="77777777" w:rsidR="005445E3" w:rsidRPr="00357F9B"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357F9B">
        <w:rPr>
          <w:rFonts w:ascii="Arial" w:hAnsi="Arial" w:cs="Arial"/>
          <w:sz w:val="20"/>
          <w:szCs w:val="20"/>
        </w:rPr>
        <w:t>hospodárnosť a efektívnosť výdavkov projektu (prekročenie hodnoty benchmarku);</w:t>
      </w:r>
    </w:p>
    <w:p w14:paraId="2C413919" w14:textId="77777777" w:rsidR="005445E3" w:rsidRPr="00357F9B" w:rsidRDefault="005445E3" w:rsidP="000A4DF7">
      <w:pPr>
        <w:pStyle w:val="Odsekzoznamu"/>
        <w:numPr>
          <w:ilvl w:val="0"/>
          <w:numId w:val="32"/>
        </w:numPr>
        <w:spacing w:before="120" w:after="120" w:line="240" w:lineRule="auto"/>
        <w:ind w:left="284" w:hanging="284"/>
        <w:jc w:val="both"/>
        <w:rPr>
          <w:rFonts w:ascii="Arial" w:hAnsi="Arial" w:cs="Arial"/>
          <w:sz w:val="20"/>
          <w:szCs w:val="20"/>
        </w:rPr>
      </w:pPr>
      <w:r w:rsidRPr="00357F9B">
        <w:rPr>
          <w:rFonts w:ascii="Arial" w:hAnsi="Arial" w:cs="Arial"/>
          <w:sz w:val="20"/>
          <w:szCs w:val="20"/>
        </w:rPr>
        <w:t>finančná charakteristika žiadateľa.</w:t>
      </w:r>
    </w:p>
    <w:p w14:paraId="5D384CCC" w14:textId="2159F373" w:rsidR="005445E3" w:rsidRDefault="005445E3" w:rsidP="005445E3">
      <w:pPr>
        <w:spacing w:before="120" w:after="120"/>
        <w:jc w:val="both"/>
        <w:rPr>
          <w:rFonts w:ascii="Arial" w:hAnsi="Arial" w:cs="Arial"/>
          <w:sz w:val="20"/>
          <w:szCs w:val="20"/>
        </w:rPr>
      </w:pPr>
      <w:r>
        <w:rPr>
          <w:rFonts w:ascii="Arial" w:hAnsi="Arial" w:cs="Arial"/>
          <w:sz w:val="20"/>
          <w:szCs w:val="20"/>
        </w:rPr>
        <w:lastRenderedPageBreak/>
        <w:t xml:space="preserve">Pri žiadostiach o NFP predložených v rámci druhej výzvy s relevanciou k LSKxP v roku 2013 </w:t>
      </w:r>
      <w:r w:rsidR="00E94F12">
        <w:rPr>
          <w:rFonts w:ascii="Arial" w:hAnsi="Arial" w:cs="Arial"/>
          <w:sz w:val="20"/>
          <w:szCs w:val="20"/>
        </w:rPr>
        <w:t xml:space="preserve">bolo </w:t>
      </w:r>
      <w:r>
        <w:rPr>
          <w:rFonts w:ascii="Arial" w:hAnsi="Arial" w:cs="Arial"/>
          <w:sz w:val="20"/>
          <w:szCs w:val="20"/>
        </w:rPr>
        <w:t>možné konštatovať isté zlepšenie ich kvality. Na druhej strane však pretrvával problém nízkej absorpčnej kapacity žiadateľov o NFP, ktorý sa odrazil v nevyčerpaní celej alokácie vyčlenenej na predmetnú výzvu, a to najmä z dôvodu nesplnenia podmienok</w:t>
      </w:r>
      <w:r w:rsidRPr="0018717E">
        <w:rPr>
          <w:rFonts w:ascii="Arial" w:hAnsi="Arial" w:cs="Arial"/>
          <w:sz w:val="20"/>
          <w:szCs w:val="20"/>
        </w:rPr>
        <w:t xml:space="preserve"> kontroly formálnej správnosti</w:t>
      </w:r>
      <w:r>
        <w:rPr>
          <w:rFonts w:ascii="Arial" w:hAnsi="Arial" w:cs="Arial"/>
          <w:sz w:val="20"/>
          <w:szCs w:val="20"/>
        </w:rPr>
        <w:t xml:space="preserve"> predkladaných žiadostí o NFP. Napriek zvýšenému úsiliu RO pre OP ŽP, ktorý poskytoval žiadateľom o NFP poradenstvo a informácie potrebné pre predloženie riadne vyplnených žiadostí o NFP, uvedená snaha neviedla k vyčerpaniu indikatívnej alokácie vyčlenenej na predmetnú výzvu. Zároveň nebolo možné využiť zásobník projektov, ktorého aplikáciu RO pre OP ŽP umožnil v rámci predmetnej výzvy. Vzhľadom na uvedené nemohla byť využitá celková alokácia vyčlenená na realizáciu LSKxP. </w:t>
      </w:r>
    </w:p>
    <w:p w14:paraId="37EC1AA8" w14:textId="12DD4372" w:rsidR="009A5B14" w:rsidRPr="00021D46" w:rsidRDefault="005445E3" w:rsidP="00021D46">
      <w:pPr>
        <w:spacing w:after="120"/>
        <w:jc w:val="both"/>
        <w:rPr>
          <w:rFonts w:ascii="Arial" w:hAnsi="Arial" w:cs="Arial"/>
          <w:b/>
          <w:sz w:val="20"/>
          <w:szCs w:val="20"/>
        </w:rPr>
      </w:pPr>
      <w:r>
        <w:rPr>
          <w:rFonts w:ascii="Arial" w:hAnsi="Arial" w:cs="Arial"/>
          <w:sz w:val="20"/>
          <w:szCs w:val="20"/>
        </w:rPr>
        <w:t>Vzhľadom na pokročilý stav implementácie OP ŽP, časovú a administratívnu náročnosť jednotlivých procesov spojených s vyhlásením a vyhodnotením výzvy, skúsenosti s priemernou dĺžkou realizácie konkrétnych typov projektov</w:t>
      </w:r>
      <w:r w:rsidR="008975F2">
        <w:rPr>
          <w:rFonts w:ascii="Arial" w:hAnsi="Arial" w:cs="Arial"/>
          <w:sz w:val="20"/>
          <w:szCs w:val="20"/>
        </w:rPr>
        <w:t>,</w:t>
      </w:r>
      <w:r>
        <w:rPr>
          <w:rFonts w:ascii="Arial" w:hAnsi="Arial" w:cs="Arial"/>
          <w:sz w:val="20"/>
          <w:szCs w:val="20"/>
        </w:rPr>
        <w:t xml:space="preserve"> ako aj vzhľadom na záväzky SR, ktorých splnenie </w:t>
      </w:r>
      <w:r w:rsidR="00E94F12">
        <w:rPr>
          <w:rFonts w:ascii="Arial" w:hAnsi="Arial" w:cs="Arial"/>
          <w:sz w:val="20"/>
          <w:szCs w:val="20"/>
        </w:rPr>
        <w:t xml:space="preserve">bolo </w:t>
      </w:r>
      <w:r>
        <w:rPr>
          <w:rFonts w:ascii="Arial" w:hAnsi="Arial" w:cs="Arial"/>
          <w:sz w:val="20"/>
          <w:szCs w:val="20"/>
        </w:rPr>
        <w:t xml:space="preserve">v danej fáze implementácie OP ŽP prioritou, bola zvyšná alokácia smerovaná na plnenie záväzkov SR  v oblasti </w:t>
      </w:r>
      <w:r w:rsidRPr="00774799">
        <w:rPr>
          <w:rFonts w:ascii="Arial" w:hAnsi="Arial" w:cs="Arial"/>
          <w:sz w:val="20"/>
          <w:szCs w:val="20"/>
        </w:rPr>
        <w:t>zásobovania obyvateľstva pitnou vodou z verejných vodovodov</w:t>
      </w:r>
      <w:r>
        <w:rPr>
          <w:rFonts w:ascii="Arial" w:hAnsi="Arial" w:cs="Arial"/>
          <w:sz w:val="20"/>
          <w:szCs w:val="20"/>
        </w:rPr>
        <w:t xml:space="preserve"> </w:t>
      </w:r>
      <w:r w:rsidRPr="00774799">
        <w:rPr>
          <w:rFonts w:ascii="Arial" w:hAnsi="Arial" w:cs="Arial"/>
          <w:sz w:val="20"/>
          <w:szCs w:val="20"/>
        </w:rPr>
        <w:t>a odvádzania a čistenia odpadových</w:t>
      </w:r>
      <w:r>
        <w:rPr>
          <w:rFonts w:ascii="Arial" w:hAnsi="Arial" w:cs="Arial"/>
          <w:sz w:val="20"/>
          <w:szCs w:val="20"/>
        </w:rPr>
        <w:t xml:space="preserve"> vôd verejnou kanalizáciou s čistiarňami odpadových vôd, t.j. do PO 1, v rámci ktorej dochádza</w:t>
      </w:r>
      <w:r w:rsidR="00E94F12">
        <w:rPr>
          <w:rFonts w:ascii="Arial" w:hAnsi="Arial" w:cs="Arial"/>
          <w:sz w:val="20"/>
          <w:szCs w:val="20"/>
        </w:rPr>
        <w:t>lo</w:t>
      </w:r>
      <w:r>
        <w:rPr>
          <w:rFonts w:ascii="Arial" w:hAnsi="Arial" w:cs="Arial"/>
          <w:sz w:val="20"/>
          <w:szCs w:val="20"/>
        </w:rPr>
        <w:t xml:space="preserve"> aj k napĺňaniu cieľov HP MRK.</w:t>
      </w:r>
    </w:p>
    <w:p w14:paraId="5E69CD87" w14:textId="740F05B8" w:rsidR="00881054" w:rsidRDefault="00881054" w:rsidP="00123376">
      <w:pPr>
        <w:spacing w:before="120"/>
        <w:jc w:val="both"/>
        <w:rPr>
          <w:rFonts w:ascii="Arial" w:hAnsi="Arial" w:cs="Arial"/>
          <w:sz w:val="20"/>
          <w:szCs w:val="20"/>
        </w:rPr>
      </w:pPr>
      <w:r w:rsidRPr="00E21C60">
        <w:rPr>
          <w:rFonts w:ascii="Arial" w:hAnsi="Arial" w:cs="Arial"/>
          <w:sz w:val="20"/>
          <w:szCs w:val="20"/>
        </w:rPr>
        <w:t>Tab</w:t>
      </w:r>
      <w:r w:rsidR="00C70330" w:rsidRPr="00E21C60">
        <w:rPr>
          <w:rFonts w:ascii="Arial" w:hAnsi="Arial" w:cs="Arial"/>
          <w:sz w:val="20"/>
          <w:szCs w:val="20"/>
        </w:rPr>
        <w:t xml:space="preserve">uľka </w:t>
      </w:r>
      <w:r w:rsidRPr="00E21C60">
        <w:rPr>
          <w:rFonts w:ascii="Arial" w:hAnsi="Arial" w:cs="Arial"/>
          <w:sz w:val="20"/>
          <w:szCs w:val="20"/>
        </w:rPr>
        <w:t xml:space="preserve">č. </w:t>
      </w:r>
      <w:r w:rsidR="00590529">
        <w:rPr>
          <w:rFonts w:ascii="Arial" w:hAnsi="Arial" w:cs="Arial"/>
          <w:sz w:val="20"/>
          <w:szCs w:val="20"/>
        </w:rPr>
        <w:t>7</w:t>
      </w:r>
      <w:r w:rsidR="007B1CB9">
        <w:rPr>
          <w:rFonts w:ascii="Arial" w:hAnsi="Arial" w:cs="Arial"/>
          <w:sz w:val="20"/>
          <w:szCs w:val="20"/>
        </w:rPr>
        <w:t>8</w:t>
      </w:r>
      <w:r w:rsidRPr="00E21C60">
        <w:rPr>
          <w:rFonts w:ascii="Arial" w:hAnsi="Arial" w:cs="Arial"/>
          <w:sz w:val="20"/>
          <w:szCs w:val="20"/>
        </w:rPr>
        <w:t xml:space="preserve">: Plnenie fyzických ukazovateľov HP MRK na úrovni </w:t>
      </w:r>
      <w:r w:rsidR="007A55A7" w:rsidRPr="00E21C60">
        <w:rPr>
          <w:rFonts w:ascii="Arial" w:hAnsi="Arial" w:cs="Arial"/>
          <w:sz w:val="20"/>
          <w:szCs w:val="20"/>
        </w:rPr>
        <w:t>OP</w:t>
      </w:r>
      <w:r w:rsidRPr="00E21C60">
        <w:rPr>
          <w:rFonts w:ascii="Arial" w:hAnsi="Arial" w:cs="Arial"/>
          <w:sz w:val="20"/>
          <w:szCs w:val="20"/>
        </w:rPr>
        <w:t xml:space="preserve"> k </w:t>
      </w:r>
      <w:r w:rsidR="000823BC" w:rsidRPr="00E21C60">
        <w:rPr>
          <w:rFonts w:ascii="Arial" w:hAnsi="Arial" w:cs="Arial"/>
          <w:sz w:val="20"/>
          <w:szCs w:val="20"/>
        </w:rPr>
        <w:t>31.</w:t>
      </w:r>
      <w:r w:rsidR="000823BC">
        <w:rPr>
          <w:rFonts w:ascii="Arial" w:hAnsi="Arial" w:cs="Arial"/>
          <w:sz w:val="20"/>
          <w:szCs w:val="20"/>
        </w:rPr>
        <w:t>10</w:t>
      </w:r>
      <w:r w:rsidR="000823BC" w:rsidRPr="00E21C60">
        <w:rPr>
          <w:rFonts w:ascii="Arial" w:hAnsi="Arial" w:cs="Arial"/>
          <w:sz w:val="20"/>
          <w:szCs w:val="20"/>
        </w:rPr>
        <w:t>.</w:t>
      </w:r>
      <w:r w:rsidR="000823BC">
        <w:rPr>
          <w:rFonts w:ascii="Arial" w:hAnsi="Arial" w:cs="Arial"/>
          <w:sz w:val="20"/>
          <w:szCs w:val="20"/>
        </w:rPr>
        <w:t>2016</w:t>
      </w:r>
      <w:r w:rsidR="000823BC" w:rsidRPr="00E21C60">
        <w:rPr>
          <w:rFonts w:ascii="Arial" w:hAnsi="Arial" w:cs="Arial"/>
          <w:sz w:val="20"/>
          <w:szCs w:val="20"/>
        </w:rPr>
        <w:t xml:space="preserve"> </w:t>
      </w:r>
      <w:r w:rsidR="00C70330" w:rsidRPr="00E21C60">
        <w:rPr>
          <w:rFonts w:ascii="Arial" w:hAnsi="Arial" w:cs="Arial"/>
          <w:sz w:val="20"/>
          <w:szCs w:val="20"/>
        </w:rPr>
        <w:t xml:space="preserve"> (</w:t>
      </w:r>
      <w:r w:rsidR="003C0457" w:rsidRPr="00E21C60">
        <w:rPr>
          <w:rFonts w:ascii="Arial" w:hAnsi="Arial" w:cs="Arial"/>
          <w:sz w:val="20"/>
          <w:szCs w:val="20"/>
        </w:rPr>
        <w:t>PO</w:t>
      </w:r>
      <w:r w:rsidR="00C70330" w:rsidRPr="00E21C60">
        <w:rPr>
          <w:rFonts w:ascii="Arial" w:hAnsi="Arial" w:cs="Arial"/>
          <w:sz w:val="20"/>
          <w:szCs w:val="20"/>
        </w:rPr>
        <w:t xml:space="preserve"> 1 a </w:t>
      </w:r>
      <w:r w:rsidR="003C0457" w:rsidRPr="00E21C60">
        <w:rPr>
          <w:rFonts w:ascii="Arial" w:hAnsi="Arial" w:cs="Arial"/>
          <w:sz w:val="20"/>
          <w:szCs w:val="20"/>
        </w:rPr>
        <w:t>PO</w:t>
      </w:r>
      <w:r w:rsidR="00C70330" w:rsidRPr="00E21C60">
        <w:rPr>
          <w:rFonts w:ascii="Arial" w:hAnsi="Arial" w:cs="Arial"/>
          <w:sz w:val="20"/>
          <w:szCs w:val="20"/>
        </w:rPr>
        <w:t xml:space="preserve"> 4)</w:t>
      </w:r>
    </w:p>
    <w:tbl>
      <w:tblPr>
        <w:tblW w:w="9115" w:type="dxa"/>
        <w:tblInd w:w="55" w:type="dxa"/>
        <w:tblCellMar>
          <w:left w:w="70" w:type="dxa"/>
          <w:right w:w="70" w:type="dxa"/>
        </w:tblCellMar>
        <w:tblLook w:val="04A0" w:firstRow="1" w:lastRow="0" w:firstColumn="1" w:lastColumn="0" w:noHBand="0" w:noVBand="1"/>
      </w:tblPr>
      <w:tblGrid>
        <w:gridCol w:w="1092"/>
        <w:gridCol w:w="959"/>
        <w:gridCol w:w="496"/>
        <w:gridCol w:w="496"/>
        <w:gridCol w:w="496"/>
        <w:gridCol w:w="496"/>
        <w:gridCol w:w="496"/>
        <w:gridCol w:w="496"/>
        <w:gridCol w:w="541"/>
        <w:gridCol w:w="986"/>
        <w:gridCol w:w="986"/>
        <w:gridCol w:w="599"/>
        <w:gridCol w:w="976"/>
      </w:tblGrid>
      <w:tr w:rsidR="0008447E" w14:paraId="0E5DFDB8" w14:textId="77777777" w:rsidTr="0008447E">
        <w:trPr>
          <w:trHeight w:val="450"/>
        </w:trPr>
        <w:tc>
          <w:tcPr>
            <w:tcW w:w="2051" w:type="dxa"/>
            <w:gridSpan w:val="2"/>
            <w:tcBorders>
              <w:top w:val="single" w:sz="8" w:space="0" w:color="auto"/>
              <w:left w:val="single" w:sz="8" w:space="0" w:color="auto"/>
              <w:bottom w:val="single" w:sz="8" w:space="0" w:color="auto"/>
              <w:right w:val="single" w:sz="8" w:space="0" w:color="000000"/>
            </w:tcBorders>
            <w:shd w:val="clear" w:color="auto" w:fill="C2D69B" w:themeFill="accent3" w:themeFillTint="99"/>
            <w:vAlign w:val="center"/>
            <w:hideMark/>
          </w:tcPr>
          <w:p w14:paraId="1BFE98F9"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Ukazovatele</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113F55A3"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2007</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45C50523"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2008</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3262EF06"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2009</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187894D2"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2010</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64F1F562"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2011</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315F9A2D"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2012</w:t>
            </w:r>
          </w:p>
        </w:tc>
        <w:tc>
          <w:tcPr>
            <w:tcW w:w="541" w:type="dxa"/>
            <w:tcBorders>
              <w:top w:val="single" w:sz="8" w:space="0" w:color="auto"/>
              <w:left w:val="nil"/>
              <w:bottom w:val="nil"/>
              <w:right w:val="single" w:sz="8" w:space="0" w:color="auto"/>
            </w:tcBorders>
            <w:shd w:val="clear" w:color="auto" w:fill="C2D69B" w:themeFill="accent3" w:themeFillTint="99"/>
            <w:vAlign w:val="center"/>
            <w:hideMark/>
          </w:tcPr>
          <w:p w14:paraId="3BAA8791"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2013</w:t>
            </w:r>
          </w:p>
        </w:tc>
        <w:tc>
          <w:tcPr>
            <w:tcW w:w="986" w:type="dxa"/>
            <w:tcBorders>
              <w:top w:val="single" w:sz="8" w:space="0" w:color="auto"/>
              <w:left w:val="nil"/>
              <w:bottom w:val="nil"/>
              <w:right w:val="single" w:sz="8" w:space="0" w:color="auto"/>
            </w:tcBorders>
            <w:shd w:val="clear" w:color="auto" w:fill="C2D69B" w:themeFill="accent3" w:themeFillTint="99"/>
            <w:vAlign w:val="center"/>
            <w:hideMark/>
          </w:tcPr>
          <w:p w14:paraId="181F89A3"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2014</w:t>
            </w:r>
          </w:p>
        </w:tc>
        <w:tc>
          <w:tcPr>
            <w:tcW w:w="986" w:type="dxa"/>
            <w:tcBorders>
              <w:top w:val="single" w:sz="8" w:space="0" w:color="auto"/>
              <w:left w:val="nil"/>
              <w:bottom w:val="nil"/>
              <w:right w:val="single" w:sz="8" w:space="0" w:color="auto"/>
            </w:tcBorders>
            <w:shd w:val="clear" w:color="auto" w:fill="C2D69B" w:themeFill="accent3" w:themeFillTint="99"/>
            <w:vAlign w:val="center"/>
            <w:hideMark/>
          </w:tcPr>
          <w:p w14:paraId="0CF00264"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2015</w:t>
            </w:r>
          </w:p>
        </w:tc>
        <w:tc>
          <w:tcPr>
            <w:tcW w:w="599" w:type="dxa"/>
            <w:tcBorders>
              <w:top w:val="single" w:sz="8" w:space="0" w:color="auto"/>
              <w:left w:val="nil"/>
              <w:bottom w:val="nil"/>
              <w:right w:val="single" w:sz="8" w:space="0" w:color="auto"/>
            </w:tcBorders>
            <w:shd w:val="clear" w:color="auto" w:fill="C2D69B" w:themeFill="accent3" w:themeFillTint="99"/>
            <w:vAlign w:val="center"/>
            <w:hideMark/>
          </w:tcPr>
          <w:p w14:paraId="6E987770"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Spolu</w:t>
            </w:r>
          </w:p>
        </w:tc>
        <w:tc>
          <w:tcPr>
            <w:tcW w:w="976" w:type="dxa"/>
            <w:tcBorders>
              <w:top w:val="single" w:sz="8" w:space="0" w:color="auto"/>
              <w:left w:val="nil"/>
              <w:bottom w:val="nil"/>
              <w:right w:val="single" w:sz="8" w:space="0" w:color="auto"/>
            </w:tcBorders>
            <w:shd w:val="clear" w:color="auto" w:fill="C2D69B" w:themeFill="accent3" w:themeFillTint="99"/>
            <w:vAlign w:val="center"/>
            <w:hideMark/>
          </w:tcPr>
          <w:p w14:paraId="6A2AFDF8"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Komentár</w:t>
            </w:r>
            <w:r>
              <w:rPr>
                <w:rFonts w:ascii="Arial" w:hAnsi="Arial" w:cs="Arial"/>
                <w:b/>
                <w:bCs/>
                <w:color w:val="000000"/>
                <w:sz w:val="16"/>
                <w:szCs w:val="16"/>
                <w:vertAlign w:val="superscript"/>
              </w:rPr>
              <w:t>1</w:t>
            </w:r>
          </w:p>
        </w:tc>
      </w:tr>
      <w:tr w:rsidR="0008447E" w14:paraId="51D15A2E" w14:textId="77777777" w:rsidTr="0008447E">
        <w:trPr>
          <w:trHeight w:val="540"/>
        </w:trPr>
        <w:tc>
          <w:tcPr>
            <w:tcW w:w="1092"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46DB4187" w14:textId="77777777" w:rsidR="00CF4716" w:rsidRDefault="00CF4716">
            <w:pPr>
              <w:rPr>
                <w:rFonts w:ascii="Arial" w:hAnsi="Arial" w:cs="Arial"/>
                <w:color w:val="000000"/>
                <w:sz w:val="16"/>
                <w:szCs w:val="16"/>
              </w:rPr>
            </w:pPr>
            <w:r>
              <w:rPr>
                <w:rFonts w:ascii="Arial" w:hAnsi="Arial" w:cs="Arial"/>
                <w:color w:val="000000"/>
                <w:sz w:val="16"/>
                <w:szCs w:val="16"/>
              </w:rPr>
              <w:t>Počet projektov cielene zameraných na MRK [počet]</w:t>
            </w:r>
          </w:p>
        </w:tc>
        <w:tc>
          <w:tcPr>
            <w:tcW w:w="959" w:type="dxa"/>
            <w:tcBorders>
              <w:top w:val="nil"/>
              <w:left w:val="nil"/>
              <w:bottom w:val="dotted" w:sz="4" w:space="0" w:color="auto"/>
              <w:right w:val="single" w:sz="8" w:space="0" w:color="auto"/>
            </w:tcBorders>
            <w:shd w:val="clear" w:color="auto" w:fill="auto"/>
            <w:vAlign w:val="center"/>
            <w:hideMark/>
          </w:tcPr>
          <w:p w14:paraId="646DAF08" w14:textId="77777777" w:rsidR="00CF4716" w:rsidRDefault="00CF4716">
            <w:pPr>
              <w:rPr>
                <w:rFonts w:ascii="Arial" w:hAnsi="Arial" w:cs="Arial"/>
                <w:color w:val="000000"/>
                <w:sz w:val="16"/>
                <w:szCs w:val="16"/>
              </w:rPr>
            </w:pPr>
            <w:r>
              <w:rPr>
                <w:rFonts w:ascii="Arial" w:hAnsi="Arial" w:cs="Arial"/>
                <w:color w:val="000000"/>
                <w:sz w:val="16"/>
                <w:szCs w:val="16"/>
              </w:rPr>
              <w:t>Dosiahnutý výsledok</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5EE0C1B0"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6F735979"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373C5D4F"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21D47E56"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6FFF6C86"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34F3553B"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541" w:type="dxa"/>
            <w:tcBorders>
              <w:top w:val="single" w:sz="8" w:space="0" w:color="auto"/>
              <w:left w:val="nil"/>
              <w:bottom w:val="dotted" w:sz="4" w:space="0" w:color="auto"/>
              <w:right w:val="dotted" w:sz="4" w:space="0" w:color="auto"/>
            </w:tcBorders>
            <w:shd w:val="clear" w:color="auto" w:fill="auto"/>
            <w:vAlign w:val="center"/>
            <w:hideMark/>
          </w:tcPr>
          <w:p w14:paraId="76197858" w14:textId="77777777" w:rsidR="00CF4716" w:rsidRDefault="00CF4716">
            <w:pPr>
              <w:jc w:val="center"/>
              <w:rPr>
                <w:rFonts w:ascii="Arial" w:hAnsi="Arial" w:cs="Arial"/>
                <w:color w:val="000000"/>
                <w:sz w:val="16"/>
                <w:szCs w:val="16"/>
              </w:rPr>
            </w:pPr>
            <w:r>
              <w:rPr>
                <w:rFonts w:ascii="Arial" w:hAnsi="Arial" w:cs="Arial"/>
                <w:color w:val="000000"/>
                <w:sz w:val="16"/>
                <w:szCs w:val="16"/>
              </w:rPr>
              <w:t>6</w:t>
            </w:r>
          </w:p>
        </w:tc>
        <w:tc>
          <w:tcPr>
            <w:tcW w:w="986" w:type="dxa"/>
            <w:tcBorders>
              <w:top w:val="single" w:sz="8" w:space="0" w:color="auto"/>
              <w:left w:val="nil"/>
              <w:bottom w:val="dotted" w:sz="4" w:space="0" w:color="auto"/>
              <w:right w:val="dotted" w:sz="4" w:space="0" w:color="auto"/>
            </w:tcBorders>
            <w:shd w:val="clear" w:color="auto" w:fill="auto"/>
            <w:vAlign w:val="center"/>
            <w:hideMark/>
          </w:tcPr>
          <w:p w14:paraId="4A2AC5D9" w14:textId="5E253558" w:rsidR="00CF4716" w:rsidRDefault="009E12BA">
            <w:pPr>
              <w:jc w:val="center"/>
              <w:rPr>
                <w:rFonts w:ascii="Arial" w:hAnsi="Arial" w:cs="Arial"/>
                <w:color w:val="000000"/>
                <w:sz w:val="16"/>
                <w:szCs w:val="16"/>
              </w:rPr>
            </w:pPr>
            <w:r>
              <w:rPr>
                <w:rFonts w:ascii="Arial" w:hAnsi="Arial" w:cs="Arial"/>
                <w:color w:val="000000"/>
                <w:sz w:val="16"/>
                <w:szCs w:val="16"/>
              </w:rPr>
              <w:t>17</w:t>
            </w:r>
          </w:p>
        </w:tc>
        <w:tc>
          <w:tcPr>
            <w:tcW w:w="986" w:type="dxa"/>
            <w:tcBorders>
              <w:top w:val="single" w:sz="8" w:space="0" w:color="auto"/>
              <w:left w:val="nil"/>
              <w:bottom w:val="dotted" w:sz="4" w:space="0" w:color="auto"/>
              <w:right w:val="dotted" w:sz="4" w:space="0" w:color="auto"/>
            </w:tcBorders>
            <w:shd w:val="clear" w:color="auto" w:fill="auto"/>
            <w:vAlign w:val="center"/>
            <w:hideMark/>
          </w:tcPr>
          <w:p w14:paraId="65F4F5AA" w14:textId="5B604CED" w:rsidR="00CF4716" w:rsidRDefault="005445E3">
            <w:pPr>
              <w:jc w:val="center"/>
              <w:rPr>
                <w:rFonts w:ascii="Arial" w:hAnsi="Arial" w:cs="Arial"/>
                <w:color w:val="000000"/>
                <w:sz w:val="16"/>
                <w:szCs w:val="16"/>
              </w:rPr>
            </w:pPr>
            <w:r>
              <w:rPr>
                <w:rFonts w:ascii="Arial" w:hAnsi="Arial" w:cs="Arial"/>
                <w:color w:val="000000"/>
                <w:sz w:val="16"/>
                <w:szCs w:val="16"/>
              </w:rPr>
              <w:t>17</w:t>
            </w:r>
          </w:p>
        </w:tc>
        <w:tc>
          <w:tcPr>
            <w:tcW w:w="599" w:type="dxa"/>
            <w:tcBorders>
              <w:top w:val="single" w:sz="8" w:space="0" w:color="auto"/>
              <w:left w:val="nil"/>
              <w:bottom w:val="dotted" w:sz="4" w:space="0" w:color="auto"/>
              <w:right w:val="dotted" w:sz="4" w:space="0" w:color="auto"/>
            </w:tcBorders>
            <w:shd w:val="clear" w:color="auto" w:fill="auto"/>
            <w:vAlign w:val="center"/>
            <w:hideMark/>
          </w:tcPr>
          <w:p w14:paraId="018160D0" w14:textId="547C4F3A" w:rsidR="00CF4716" w:rsidRDefault="001B189D">
            <w:pPr>
              <w:jc w:val="center"/>
              <w:rPr>
                <w:rFonts w:ascii="Arial" w:hAnsi="Arial" w:cs="Arial"/>
                <w:color w:val="000000"/>
                <w:sz w:val="16"/>
                <w:szCs w:val="16"/>
              </w:rPr>
            </w:pPr>
            <w:r>
              <w:rPr>
                <w:rFonts w:ascii="Arial" w:hAnsi="Arial" w:cs="Arial"/>
                <w:color w:val="000000"/>
                <w:sz w:val="16"/>
                <w:szCs w:val="16"/>
              </w:rPr>
              <w:t>17</w:t>
            </w:r>
          </w:p>
        </w:tc>
        <w:tc>
          <w:tcPr>
            <w:tcW w:w="976" w:type="dxa"/>
            <w:vMerge w:val="restart"/>
            <w:tcBorders>
              <w:top w:val="single" w:sz="8" w:space="0" w:color="auto"/>
              <w:left w:val="dotted" w:sz="4" w:space="0" w:color="auto"/>
              <w:bottom w:val="single" w:sz="8" w:space="0" w:color="000000"/>
              <w:right w:val="single" w:sz="8" w:space="0" w:color="auto"/>
            </w:tcBorders>
            <w:shd w:val="clear" w:color="auto" w:fill="auto"/>
            <w:vAlign w:val="center"/>
            <w:hideMark/>
          </w:tcPr>
          <w:p w14:paraId="5B6BCE2C" w14:textId="18740E9F" w:rsidR="00CF4716" w:rsidRDefault="005445E3">
            <w:pPr>
              <w:jc w:val="center"/>
              <w:rPr>
                <w:rFonts w:ascii="Arial" w:hAnsi="Arial" w:cs="Arial"/>
                <w:color w:val="000000"/>
                <w:sz w:val="16"/>
                <w:szCs w:val="16"/>
              </w:rPr>
            </w:pPr>
            <w:r>
              <w:rPr>
                <w:rFonts w:ascii="Arial" w:hAnsi="Arial" w:cs="Arial"/>
                <w:color w:val="000000"/>
                <w:sz w:val="16"/>
                <w:szCs w:val="16"/>
              </w:rPr>
              <w:t>-</w:t>
            </w:r>
          </w:p>
        </w:tc>
      </w:tr>
      <w:tr w:rsidR="0008447E" w14:paraId="70AA88F4" w14:textId="77777777" w:rsidTr="0008447E">
        <w:trPr>
          <w:trHeight w:val="540"/>
        </w:trPr>
        <w:tc>
          <w:tcPr>
            <w:tcW w:w="1092" w:type="dxa"/>
            <w:vMerge/>
            <w:tcBorders>
              <w:top w:val="nil"/>
              <w:left w:val="single" w:sz="8" w:space="0" w:color="auto"/>
              <w:bottom w:val="single" w:sz="8" w:space="0" w:color="000000"/>
              <w:right w:val="single" w:sz="8" w:space="0" w:color="auto"/>
            </w:tcBorders>
            <w:vAlign w:val="center"/>
            <w:hideMark/>
          </w:tcPr>
          <w:p w14:paraId="677D871A" w14:textId="77777777" w:rsidR="00CF4716" w:rsidRDefault="00CF4716">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55B4DBF7" w14:textId="77777777" w:rsidR="00CF4716" w:rsidRDefault="00CF4716">
            <w:pPr>
              <w:rPr>
                <w:rFonts w:ascii="Arial" w:hAnsi="Arial" w:cs="Arial"/>
                <w:color w:val="000000"/>
                <w:sz w:val="16"/>
                <w:szCs w:val="16"/>
              </w:rPr>
            </w:pPr>
            <w:r>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166785AC"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1C7FE364"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714326E0"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8375E61"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F2C8495"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9E71DB3"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226B2024"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dotted" w:sz="4" w:space="0" w:color="auto"/>
              <w:right w:val="dotted" w:sz="4" w:space="0" w:color="auto"/>
            </w:tcBorders>
            <w:shd w:val="clear" w:color="auto" w:fill="auto"/>
            <w:vAlign w:val="center"/>
            <w:hideMark/>
          </w:tcPr>
          <w:p w14:paraId="02BCBCD4" w14:textId="1570F4D6" w:rsidR="00CF4716" w:rsidRDefault="005E4702" w:rsidP="009E12BA">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dotted" w:sz="4" w:space="0" w:color="auto"/>
              <w:right w:val="dotted" w:sz="4" w:space="0" w:color="auto"/>
            </w:tcBorders>
            <w:shd w:val="clear" w:color="auto" w:fill="auto"/>
            <w:vAlign w:val="center"/>
            <w:hideMark/>
          </w:tcPr>
          <w:p w14:paraId="1DA4C9E3" w14:textId="77777777" w:rsidR="00CF4716" w:rsidRDefault="00CF4716">
            <w:pPr>
              <w:jc w:val="center"/>
              <w:rPr>
                <w:rFonts w:ascii="Arial" w:hAnsi="Arial" w:cs="Arial"/>
                <w:color w:val="000000"/>
                <w:sz w:val="16"/>
                <w:szCs w:val="16"/>
              </w:rPr>
            </w:pPr>
            <w:r>
              <w:rPr>
                <w:rFonts w:ascii="Arial" w:hAnsi="Arial" w:cs="Arial"/>
                <w:color w:val="000000"/>
                <w:sz w:val="16"/>
                <w:szCs w:val="16"/>
              </w:rPr>
              <w:t>60</w:t>
            </w:r>
          </w:p>
        </w:tc>
        <w:tc>
          <w:tcPr>
            <w:tcW w:w="599" w:type="dxa"/>
            <w:tcBorders>
              <w:top w:val="nil"/>
              <w:left w:val="nil"/>
              <w:bottom w:val="dotted" w:sz="4" w:space="0" w:color="auto"/>
              <w:right w:val="dotted" w:sz="4" w:space="0" w:color="auto"/>
            </w:tcBorders>
            <w:shd w:val="clear" w:color="auto" w:fill="auto"/>
            <w:vAlign w:val="center"/>
            <w:hideMark/>
          </w:tcPr>
          <w:p w14:paraId="55E1DE23" w14:textId="77777777" w:rsidR="00CF4716" w:rsidRDefault="00CF4716">
            <w:pPr>
              <w:jc w:val="center"/>
              <w:rPr>
                <w:rFonts w:ascii="Arial" w:hAnsi="Arial" w:cs="Arial"/>
                <w:color w:val="000000"/>
                <w:sz w:val="16"/>
                <w:szCs w:val="16"/>
              </w:rPr>
            </w:pPr>
            <w:r>
              <w:rPr>
                <w:rFonts w:ascii="Arial" w:hAnsi="Arial" w:cs="Arial"/>
                <w:color w:val="000000"/>
                <w:sz w:val="16"/>
                <w:szCs w:val="16"/>
              </w:rPr>
              <w:t>60</w:t>
            </w:r>
          </w:p>
        </w:tc>
        <w:tc>
          <w:tcPr>
            <w:tcW w:w="976" w:type="dxa"/>
            <w:vMerge/>
            <w:tcBorders>
              <w:top w:val="single" w:sz="8" w:space="0" w:color="auto"/>
              <w:left w:val="dotted" w:sz="4" w:space="0" w:color="auto"/>
              <w:bottom w:val="single" w:sz="8" w:space="0" w:color="000000"/>
              <w:right w:val="single" w:sz="8" w:space="0" w:color="auto"/>
            </w:tcBorders>
            <w:vAlign w:val="center"/>
            <w:hideMark/>
          </w:tcPr>
          <w:p w14:paraId="5513B8EF" w14:textId="77777777" w:rsidR="00CF4716" w:rsidRDefault="00CF4716">
            <w:pPr>
              <w:rPr>
                <w:rFonts w:ascii="Arial" w:hAnsi="Arial" w:cs="Arial"/>
                <w:color w:val="000000"/>
                <w:sz w:val="16"/>
                <w:szCs w:val="16"/>
              </w:rPr>
            </w:pPr>
          </w:p>
        </w:tc>
      </w:tr>
      <w:tr w:rsidR="0008447E" w14:paraId="2B690374" w14:textId="77777777" w:rsidTr="0008447E">
        <w:trPr>
          <w:trHeight w:val="540"/>
        </w:trPr>
        <w:tc>
          <w:tcPr>
            <w:tcW w:w="1092" w:type="dxa"/>
            <w:vMerge/>
            <w:tcBorders>
              <w:top w:val="nil"/>
              <w:left w:val="single" w:sz="8" w:space="0" w:color="auto"/>
              <w:bottom w:val="single" w:sz="4" w:space="0" w:color="auto"/>
              <w:right w:val="single" w:sz="8" w:space="0" w:color="auto"/>
            </w:tcBorders>
            <w:vAlign w:val="center"/>
            <w:hideMark/>
          </w:tcPr>
          <w:p w14:paraId="5954FA91" w14:textId="77777777" w:rsidR="00CF4716" w:rsidRDefault="00CF4716">
            <w:pPr>
              <w:rPr>
                <w:rFonts w:ascii="Arial" w:hAnsi="Arial" w:cs="Arial"/>
                <w:color w:val="000000"/>
                <w:sz w:val="16"/>
                <w:szCs w:val="16"/>
              </w:rPr>
            </w:pPr>
          </w:p>
        </w:tc>
        <w:tc>
          <w:tcPr>
            <w:tcW w:w="959" w:type="dxa"/>
            <w:tcBorders>
              <w:top w:val="nil"/>
              <w:left w:val="nil"/>
              <w:bottom w:val="single" w:sz="4" w:space="0" w:color="auto"/>
              <w:right w:val="single" w:sz="8" w:space="0" w:color="auto"/>
            </w:tcBorders>
            <w:shd w:val="clear" w:color="auto" w:fill="auto"/>
            <w:vAlign w:val="center"/>
            <w:hideMark/>
          </w:tcPr>
          <w:p w14:paraId="2C1D6551" w14:textId="77777777" w:rsidR="00CF4716" w:rsidRDefault="00CF4716">
            <w:pPr>
              <w:rPr>
                <w:rFonts w:ascii="Arial" w:hAnsi="Arial" w:cs="Arial"/>
                <w:color w:val="000000"/>
                <w:sz w:val="16"/>
                <w:szCs w:val="16"/>
              </w:rPr>
            </w:pPr>
            <w:r>
              <w:rPr>
                <w:rFonts w:ascii="Arial" w:hAnsi="Arial" w:cs="Arial"/>
                <w:color w:val="000000"/>
                <w:sz w:val="16"/>
                <w:szCs w:val="16"/>
              </w:rPr>
              <w:t>Východisko</w:t>
            </w:r>
          </w:p>
        </w:tc>
        <w:tc>
          <w:tcPr>
            <w:tcW w:w="496" w:type="dxa"/>
            <w:tcBorders>
              <w:top w:val="nil"/>
              <w:left w:val="nil"/>
              <w:bottom w:val="single" w:sz="4" w:space="0" w:color="auto"/>
              <w:right w:val="dotted" w:sz="4" w:space="0" w:color="auto"/>
            </w:tcBorders>
            <w:shd w:val="clear" w:color="auto" w:fill="auto"/>
            <w:vAlign w:val="center"/>
            <w:hideMark/>
          </w:tcPr>
          <w:p w14:paraId="7EC4A9B1"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single" w:sz="4" w:space="0" w:color="auto"/>
              <w:right w:val="dotted" w:sz="4" w:space="0" w:color="auto"/>
            </w:tcBorders>
            <w:shd w:val="clear" w:color="auto" w:fill="auto"/>
            <w:vAlign w:val="center"/>
            <w:hideMark/>
          </w:tcPr>
          <w:p w14:paraId="59AEE043"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4" w:space="0" w:color="auto"/>
              <w:right w:val="dotted" w:sz="4" w:space="0" w:color="auto"/>
            </w:tcBorders>
            <w:shd w:val="clear" w:color="auto" w:fill="auto"/>
            <w:vAlign w:val="center"/>
            <w:hideMark/>
          </w:tcPr>
          <w:p w14:paraId="24DE5903"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4" w:space="0" w:color="auto"/>
              <w:right w:val="dotted" w:sz="4" w:space="0" w:color="auto"/>
            </w:tcBorders>
            <w:shd w:val="clear" w:color="auto" w:fill="auto"/>
            <w:vAlign w:val="center"/>
            <w:hideMark/>
          </w:tcPr>
          <w:p w14:paraId="0109866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4" w:space="0" w:color="auto"/>
              <w:right w:val="dotted" w:sz="4" w:space="0" w:color="auto"/>
            </w:tcBorders>
            <w:shd w:val="clear" w:color="auto" w:fill="auto"/>
            <w:vAlign w:val="center"/>
            <w:hideMark/>
          </w:tcPr>
          <w:p w14:paraId="65770898"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4" w:space="0" w:color="auto"/>
              <w:right w:val="dotted" w:sz="4" w:space="0" w:color="auto"/>
            </w:tcBorders>
            <w:shd w:val="clear" w:color="auto" w:fill="auto"/>
            <w:vAlign w:val="center"/>
            <w:hideMark/>
          </w:tcPr>
          <w:p w14:paraId="229198D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41" w:type="dxa"/>
            <w:tcBorders>
              <w:top w:val="nil"/>
              <w:left w:val="nil"/>
              <w:bottom w:val="single" w:sz="4" w:space="0" w:color="auto"/>
              <w:right w:val="dotted" w:sz="4" w:space="0" w:color="auto"/>
            </w:tcBorders>
            <w:shd w:val="clear" w:color="auto" w:fill="auto"/>
            <w:vAlign w:val="center"/>
            <w:hideMark/>
          </w:tcPr>
          <w:p w14:paraId="46A2664C"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single" w:sz="4" w:space="0" w:color="auto"/>
              <w:right w:val="dotted" w:sz="4" w:space="0" w:color="auto"/>
            </w:tcBorders>
            <w:shd w:val="clear" w:color="auto" w:fill="auto"/>
            <w:vAlign w:val="center"/>
            <w:hideMark/>
          </w:tcPr>
          <w:p w14:paraId="5F3B4FCB"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single" w:sz="4" w:space="0" w:color="auto"/>
              <w:right w:val="dotted" w:sz="4" w:space="0" w:color="auto"/>
            </w:tcBorders>
            <w:shd w:val="clear" w:color="auto" w:fill="auto"/>
            <w:vAlign w:val="center"/>
            <w:hideMark/>
          </w:tcPr>
          <w:p w14:paraId="017104F4"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99" w:type="dxa"/>
            <w:tcBorders>
              <w:top w:val="nil"/>
              <w:left w:val="nil"/>
              <w:bottom w:val="single" w:sz="4" w:space="0" w:color="auto"/>
              <w:right w:val="dotted" w:sz="4" w:space="0" w:color="auto"/>
            </w:tcBorders>
            <w:shd w:val="clear" w:color="auto" w:fill="auto"/>
            <w:vAlign w:val="center"/>
            <w:hideMark/>
          </w:tcPr>
          <w:p w14:paraId="67D7AED3"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976" w:type="dxa"/>
            <w:vMerge/>
            <w:tcBorders>
              <w:top w:val="single" w:sz="8" w:space="0" w:color="auto"/>
              <w:left w:val="dotted" w:sz="4" w:space="0" w:color="auto"/>
              <w:bottom w:val="single" w:sz="4" w:space="0" w:color="auto"/>
              <w:right w:val="single" w:sz="8" w:space="0" w:color="auto"/>
            </w:tcBorders>
            <w:vAlign w:val="center"/>
            <w:hideMark/>
          </w:tcPr>
          <w:p w14:paraId="585AB89B" w14:textId="77777777" w:rsidR="00CF4716" w:rsidRDefault="00CF4716">
            <w:pPr>
              <w:rPr>
                <w:rFonts w:ascii="Arial" w:hAnsi="Arial" w:cs="Arial"/>
                <w:color w:val="000000"/>
                <w:sz w:val="16"/>
                <w:szCs w:val="16"/>
              </w:rPr>
            </w:pPr>
          </w:p>
        </w:tc>
      </w:tr>
      <w:tr w:rsidR="0008447E" w14:paraId="2A8AF128" w14:textId="77777777" w:rsidTr="0008447E">
        <w:trPr>
          <w:trHeight w:val="540"/>
        </w:trPr>
        <w:tc>
          <w:tcPr>
            <w:tcW w:w="1092" w:type="dxa"/>
            <w:vMerge w:val="restart"/>
            <w:tcBorders>
              <w:top w:val="single" w:sz="4" w:space="0" w:color="auto"/>
              <w:left w:val="single" w:sz="8" w:space="0" w:color="auto"/>
              <w:bottom w:val="single" w:sz="8" w:space="0" w:color="000000"/>
              <w:right w:val="single" w:sz="8" w:space="0" w:color="auto"/>
            </w:tcBorders>
            <w:shd w:val="clear" w:color="000000" w:fill="EAF1DD"/>
            <w:vAlign w:val="center"/>
            <w:hideMark/>
          </w:tcPr>
          <w:p w14:paraId="76B63741" w14:textId="47E4E99E" w:rsidR="000823BC" w:rsidRDefault="000823BC">
            <w:pPr>
              <w:rPr>
                <w:rFonts w:ascii="Arial" w:hAnsi="Arial" w:cs="Arial"/>
                <w:color w:val="000000"/>
                <w:sz w:val="16"/>
                <w:szCs w:val="16"/>
              </w:rPr>
            </w:pPr>
            <w:r>
              <w:rPr>
                <w:rFonts w:ascii="Arial" w:hAnsi="Arial" w:cs="Arial"/>
                <w:color w:val="000000"/>
                <w:sz w:val="16"/>
                <w:szCs w:val="16"/>
              </w:rPr>
              <w:t>Hodnota projektov cielene zameraných na MRK [</w:t>
            </w:r>
            <w:r w:rsidR="00366C2D">
              <w:rPr>
                <w:rFonts w:ascii="Arial" w:hAnsi="Arial" w:cs="Arial"/>
                <w:color w:val="000000"/>
                <w:sz w:val="16"/>
                <w:szCs w:val="16"/>
              </w:rPr>
              <w:t>€</w:t>
            </w:r>
            <w:r>
              <w:rPr>
                <w:rFonts w:ascii="Arial" w:hAnsi="Arial" w:cs="Arial"/>
                <w:color w:val="000000"/>
                <w:sz w:val="16"/>
                <w:szCs w:val="16"/>
              </w:rPr>
              <w:t>]</w:t>
            </w:r>
          </w:p>
        </w:tc>
        <w:tc>
          <w:tcPr>
            <w:tcW w:w="959" w:type="dxa"/>
            <w:tcBorders>
              <w:top w:val="single" w:sz="4" w:space="0" w:color="auto"/>
              <w:left w:val="nil"/>
              <w:bottom w:val="dotted" w:sz="4" w:space="0" w:color="auto"/>
              <w:right w:val="single" w:sz="8" w:space="0" w:color="auto"/>
            </w:tcBorders>
            <w:shd w:val="clear" w:color="auto" w:fill="auto"/>
            <w:vAlign w:val="center"/>
            <w:hideMark/>
          </w:tcPr>
          <w:p w14:paraId="4772A8B5" w14:textId="77777777" w:rsidR="000823BC" w:rsidRDefault="000823BC">
            <w:pPr>
              <w:rPr>
                <w:rFonts w:ascii="Arial" w:hAnsi="Arial" w:cs="Arial"/>
                <w:color w:val="000000"/>
                <w:sz w:val="16"/>
                <w:szCs w:val="16"/>
              </w:rPr>
            </w:pPr>
            <w:r>
              <w:rPr>
                <w:rFonts w:ascii="Arial" w:hAnsi="Arial" w:cs="Arial"/>
                <w:color w:val="000000"/>
                <w:sz w:val="16"/>
                <w:szCs w:val="16"/>
              </w:rPr>
              <w:t>Dosiahnutý výsledok</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14BEF768"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7D26077A"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36F9C417"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26E46812"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2379397B"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7C9EED56" w14:textId="77777777" w:rsidR="000823BC" w:rsidRDefault="000823BC">
            <w:pPr>
              <w:jc w:val="right"/>
              <w:rPr>
                <w:rFonts w:ascii="Arial" w:hAnsi="Arial" w:cs="Arial"/>
                <w:color w:val="000000"/>
                <w:sz w:val="16"/>
                <w:szCs w:val="16"/>
              </w:rPr>
            </w:pPr>
            <w:r>
              <w:rPr>
                <w:rFonts w:ascii="Arial" w:hAnsi="Arial" w:cs="Arial"/>
                <w:color w:val="000000"/>
                <w:sz w:val="16"/>
                <w:szCs w:val="16"/>
              </w:rPr>
              <w:t>0</w:t>
            </w:r>
          </w:p>
        </w:tc>
        <w:tc>
          <w:tcPr>
            <w:tcW w:w="541" w:type="dxa"/>
            <w:tcBorders>
              <w:top w:val="single" w:sz="4" w:space="0" w:color="auto"/>
              <w:left w:val="nil"/>
              <w:bottom w:val="dotted" w:sz="4" w:space="0" w:color="auto"/>
              <w:right w:val="dotted" w:sz="4" w:space="0" w:color="auto"/>
            </w:tcBorders>
            <w:shd w:val="clear" w:color="auto" w:fill="auto"/>
            <w:vAlign w:val="center"/>
            <w:hideMark/>
          </w:tcPr>
          <w:p w14:paraId="7803EB48" w14:textId="77777777" w:rsidR="000823BC" w:rsidRDefault="000823BC">
            <w:pPr>
              <w:jc w:val="center"/>
              <w:rPr>
                <w:rFonts w:ascii="Arial" w:hAnsi="Arial" w:cs="Arial"/>
                <w:color w:val="000000"/>
                <w:sz w:val="16"/>
                <w:szCs w:val="16"/>
              </w:rPr>
            </w:pPr>
            <w:r>
              <w:rPr>
                <w:rFonts w:ascii="Arial" w:hAnsi="Arial" w:cs="Arial"/>
                <w:color w:val="000000"/>
                <w:sz w:val="16"/>
                <w:szCs w:val="16"/>
              </w:rPr>
              <w:t>3 346</w:t>
            </w:r>
          </w:p>
          <w:p w14:paraId="496630DA" w14:textId="77777777" w:rsidR="000823BC" w:rsidRDefault="000823BC">
            <w:pPr>
              <w:jc w:val="center"/>
              <w:rPr>
                <w:rFonts w:ascii="Arial" w:hAnsi="Arial" w:cs="Arial"/>
                <w:color w:val="000000"/>
                <w:sz w:val="16"/>
                <w:szCs w:val="16"/>
              </w:rPr>
            </w:pPr>
            <w:r>
              <w:rPr>
                <w:rFonts w:ascii="Arial" w:hAnsi="Arial" w:cs="Arial"/>
                <w:color w:val="000000"/>
                <w:sz w:val="16"/>
                <w:szCs w:val="16"/>
              </w:rPr>
              <w:t xml:space="preserve">297 </w:t>
            </w:r>
          </w:p>
        </w:tc>
        <w:tc>
          <w:tcPr>
            <w:tcW w:w="986" w:type="dxa"/>
            <w:tcBorders>
              <w:top w:val="single" w:sz="4" w:space="0" w:color="auto"/>
              <w:left w:val="nil"/>
              <w:bottom w:val="dotted" w:sz="4" w:space="0" w:color="auto"/>
              <w:right w:val="dotted" w:sz="4" w:space="0" w:color="auto"/>
            </w:tcBorders>
            <w:shd w:val="clear" w:color="auto" w:fill="auto"/>
            <w:vAlign w:val="center"/>
            <w:hideMark/>
          </w:tcPr>
          <w:p w14:paraId="706CF33C" w14:textId="7F909D3E" w:rsidR="000823BC" w:rsidRDefault="004B517E">
            <w:pPr>
              <w:jc w:val="center"/>
              <w:rPr>
                <w:rFonts w:ascii="Arial" w:hAnsi="Arial" w:cs="Arial"/>
                <w:color w:val="000000"/>
                <w:sz w:val="16"/>
                <w:szCs w:val="16"/>
              </w:rPr>
            </w:pPr>
            <w:r>
              <w:rPr>
                <w:rFonts w:ascii="Arial" w:hAnsi="Arial" w:cs="Arial"/>
                <w:color w:val="000000"/>
                <w:sz w:val="16"/>
                <w:szCs w:val="16"/>
              </w:rPr>
              <w:t>8 931 89</w:t>
            </w:r>
            <w:r w:rsidR="00BE332E">
              <w:rPr>
                <w:rFonts w:ascii="Arial" w:hAnsi="Arial" w:cs="Arial"/>
                <w:color w:val="000000"/>
                <w:sz w:val="16"/>
                <w:szCs w:val="16"/>
              </w:rPr>
              <w:t>9</w:t>
            </w:r>
          </w:p>
        </w:tc>
        <w:tc>
          <w:tcPr>
            <w:tcW w:w="986" w:type="dxa"/>
            <w:tcBorders>
              <w:top w:val="single" w:sz="4" w:space="0" w:color="auto"/>
              <w:left w:val="nil"/>
              <w:bottom w:val="dotted" w:sz="4" w:space="0" w:color="auto"/>
              <w:right w:val="dotted" w:sz="4" w:space="0" w:color="auto"/>
            </w:tcBorders>
            <w:shd w:val="clear" w:color="auto" w:fill="auto"/>
            <w:vAlign w:val="center"/>
            <w:hideMark/>
          </w:tcPr>
          <w:p w14:paraId="1EBC2F0C" w14:textId="708D4A24" w:rsidR="000823BC" w:rsidRDefault="004B517E">
            <w:pPr>
              <w:jc w:val="center"/>
              <w:rPr>
                <w:rFonts w:ascii="Arial" w:hAnsi="Arial" w:cs="Arial"/>
                <w:color w:val="000000"/>
                <w:sz w:val="16"/>
                <w:szCs w:val="16"/>
              </w:rPr>
            </w:pPr>
            <w:r>
              <w:rPr>
                <w:rFonts w:ascii="Arial" w:hAnsi="Arial" w:cs="Arial"/>
                <w:color w:val="000000"/>
                <w:sz w:val="16"/>
                <w:szCs w:val="16"/>
              </w:rPr>
              <w:t>8 929 30</w:t>
            </w:r>
            <w:r w:rsidR="00BE332E">
              <w:rPr>
                <w:rFonts w:ascii="Arial" w:hAnsi="Arial" w:cs="Arial"/>
                <w:color w:val="000000"/>
                <w:sz w:val="16"/>
                <w:szCs w:val="16"/>
              </w:rPr>
              <w:t>8</w:t>
            </w:r>
          </w:p>
        </w:tc>
        <w:tc>
          <w:tcPr>
            <w:tcW w:w="599" w:type="dxa"/>
            <w:tcBorders>
              <w:top w:val="single" w:sz="4" w:space="0" w:color="auto"/>
              <w:left w:val="nil"/>
              <w:bottom w:val="dotted" w:sz="4" w:space="0" w:color="auto"/>
              <w:right w:val="dotted" w:sz="4" w:space="0" w:color="auto"/>
            </w:tcBorders>
            <w:shd w:val="clear" w:color="auto" w:fill="auto"/>
            <w:vAlign w:val="center"/>
            <w:hideMark/>
          </w:tcPr>
          <w:p w14:paraId="3B0647A7" w14:textId="571B2DAD" w:rsidR="000823BC" w:rsidRDefault="004B517E">
            <w:pPr>
              <w:jc w:val="center"/>
              <w:rPr>
                <w:rFonts w:ascii="Arial" w:hAnsi="Arial" w:cs="Arial"/>
                <w:color w:val="000000"/>
                <w:sz w:val="16"/>
                <w:szCs w:val="16"/>
              </w:rPr>
            </w:pPr>
            <w:r w:rsidRPr="008F0D3A">
              <w:rPr>
                <w:rFonts w:ascii="Arial" w:hAnsi="Arial" w:cs="Arial"/>
                <w:color w:val="000000"/>
                <w:sz w:val="15"/>
                <w:szCs w:val="15"/>
              </w:rPr>
              <w:t>8 423 881</w:t>
            </w:r>
          </w:p>
        </w:tc>
        <w:tc>
          <w:tcPr>
            <w:tcW w:w="976" w:type="dxa"/>
            <w:vMerge w:val="restart"/>
            <w:tcBorders>
              <w:top w:val="single" w:sz="4" w:space="0" w:color="auto"/>
              <w:left w:val="dotted" w:sz="4" w:space="0" w:color="auto"/>
              <w:bottom w:val="single" w:sz="8" w:space="0" w:color="000000"/>
              <w:right w:val="single" w:sz="8" w:space="0" w:color="auto"/>
            </w:tcBorders>
            <w:shd w:val="clear" w:color="auto" w:fill="auto"/>
            <w:vAlign w:val="center"/>
            <w:hideMark/>
          </w:tcPr>
          <w:p w14:paraId="7AF79CF8" w14:textId="77777777" w:rsidR="000823BC" w:rsidRDefault="000823BC">
            <w:pPr>
              <w:jc w:val="center"/>
              <w:rPr>
                <w:rFonts w:ascii="Arial" w:hAnsi="Arial" w:cs="Arial"/>
                <w:color w:val="000000"/>
                <w:sz w:val="16"/>
                <w:szCs w:val="16"/>
              </w:rPr>
            </w:pPr>
            <w:r>
              <w:rPr>
                <w:rFonts w:ascii="Arial" w:hAnsi="Arial" w:cs="Arial"/>
                <w:color w:val="000000"/>
                <w:sz w:val="16"/>
                <w:szCs w:val="16"/>
              </w:rPr>
              <w:t xml:space="preserve">EU+ŠR+VZ </w:t>
            </w:r>
          </w:p>
          <w:p w14:paraId="084DC4FE" w14:textId="4D711686" w:rsidR="000823BC" w:rsidRDefault="00E46277" w:rsidP="00E46277">
            <w:pPr>
              <w:jc w:val="center"/>
              <w:rPr>
                <w:rFonts w:ascii="Arial" w:hAnsi="Arial" w:cs="Arial"/>
                <w:color w:val="000000"/>
                <w:sz w:val="16"/>
                <w:szCs w:val="16"/>
              </w:rPr>
            </w:pPr>
            <w:r>
              <w:rPr>
                <w:rFonts w:ascii="Arial" w:hAnsi="Arial" w:cs="Arial"/>
                <w:color w:val="000000"/>
                <w:sz w:val="16"/>
                <w:szCs w:val="16"/>
              </w:rPr>
              <w:t>9 910 44</w:t>
            </w:r>
            <w:r w:rsidR="00BE332E">
              <w:rPr>
                <w:rFonts w:ascii="Arial" w:hAnsi="Arial" w:cs="Arial"/>
                <w:color w:val="000000"/>
                <w:sz w:val="16"/>
                <w:szCs w:val="16"/>
              </w:rPr>
              <w:t>9</w:t>
            </w:r>
          </w:p>
        </w:tc>
      </w:tr>
      <w:tr w:rsidR="0008447E" w14:paraId="4FF00BA3" w14:textId="77777777" w:rsidTr="0008447E">
        <w:trPr>
          <w:trHeight w:val="540"/>
        </w:trPr>
        <w:tc>
          <w:tcPr>
            <w:tcW w:w="1092" w:type="dxa"/>
            <w:vMerge/>
            <w:tcBorders>
              <w:top w:val="single" w:sz="8" w:space="0" w:color="000000"/>
              <w:left w:val="single" w:sz="8" w:space="0" w:color="auto"/>
              <w:bottom w:val="single" w:sz="8" w:space="0" w:color="000000"/>
              <w:right w:val="single" w:sz="8" w:space="0" w:color="auto"/>
            </w:tcBorders>
            <w:vAlign w:val="center"/>
            <w:hideMark/>
          </w:tcPr>
          <w:p w14:paraId="2F525DCE" w14:textId="77777777" w:rsidR="00CF4716" w:rsidRDefault="00CF4716">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05E56C40" w14:textId="77777777" w:rsidR="00CF4716" w:rsidRDefault="00CF4716">
            <w:pPr>
              <w:rPr>
                <w:rFonts w:ascii="Arial" w:hAnsi="Arial" w:cs="Arial"/>
                <w:color w:val="000000"/>
                <w:sz w:val="16"/>
                <w:szCs w:val="16"/>
              </w:rPr>
            </w:pPr>
            <w:r>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4D768082"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562CC9FA"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F4D51FE"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44F2C68"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C674EED"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724B95F6"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58C50397"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dotted" w:sz="4" w:space="0" w:color="auto"/>
              <w:right w:val="dotted" w:sz="4" w:space="0" w:color="auto"/>
            </w:tcBorders>
            <w:shd w:val="clear" w:color="auto" w:fill="auto"/>
            <w:vAlign w:val="center"/>
            <w:hideMark/>
          </w:tcPr>
          <w:p w14:paraId="19279033"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dotted" w:sz="4" w:space="0" w:color="auto"/>
              <w:right w:val="dotted" w:sz="4" w:space="0" w:color="auto"/>
            </w:tcBorders>
            <w:shd w:val="clear" w:color="auto" w:fill="auto"/>
            <w:vAlign w:val="center"/>
            <w:hideMark/>
          </w:tcPr>
          <w:p w14:paraId="1DD3ADED" w14:textId="77777777" w:rsidR="00CF4716" w:rsidRDefault="00CF4716">
            <w:pPr>
              <w:jc w:val="center"/>
              <w:rPr>
                <w:rFonts w:ascii="Arial" w:hAnsi="Arial" w:cs="Arial"/>
                <w:color w:val="000000"/>
                <w:sz w:val="16"/>
                <w:szCs w:val="16"/>
              </w:rPr>
            </w:pPr>
            <w:r>
              <w:rPr>
                <w:rFonts w:ascii="Arial" w:hAnsi="Arial" w:cs="Arial"/>
                <w:color w:val="000000"/>
                <w:sz w:val="16"/>
                <w:szCs w:val="16"/>
              </w:rPr>
              <w:t>22 937 163</w:t>
            </w:r>
          </w:p>
        </w:tc>
        <w:tc>
          <w:tcPr>
            <w:tcW w:w="599" w:type="dxa"/>
            <w:tcBorders>
              <w:top w:val="nil"/>
              <w:left w:val="nil"/>
              <w:bottom w:val="dotted" w:sz="4" w:space="0" w:color="auto"/>
              <w:right w:val="dotted" w:sz="4" w:space="0" w:color="auto"/>
            </w:tcBorders>
            <w:shd w:val="clear" w:color="auto" w:fill="auto"/>
            <w:vAlign w:val="center"/>
            <w:hideMark/>
          </w:tcPr>
          <w:p w14:paraId="5CC415D1" w14:textId="77777777" w:rsidR="00CF4716" w:rsidRDefault="00CF4716">
            <w:pPr>
              <w:jc w:val="center"/>
              <w:rPr>
                <w:rFonts w:ascii="Arial" w:hAnsi="Arial" w:cs="Arial"/>
                <w:color w:val="000000"/>
                <w:sz w:val="16"/>
                <w:szCs w:val="16"/>
              </w:rPr>
            </w:pPr>
            <w:r>
              <w:rPr>
                <w:rFonts w:ascii="Arial" w:hAnsi="Arial" w:cs="Arial"/>
                <w:color w:val="000000"/>
                <w:sz w:val="16"/>
                <w:szCs w:val="16"/>
              </w:rPr>
              <w:t>22 937 163</w:t>
            </w:r>
          </w:p>
        </w:tc>
        <w:tc>
          <w:tcPr>
            <w:tcW w:w="976" w:type="dxa"/>
            <w:vMerge/>
            <w:tcBorders>
              <w:top w:val="nil"/>
              <w:left w:val="dotted" w:sz="4" w:space="0" w:color="auto"/>
              <w:bottom w:val="single" w:sz="8" w:space="0" w:color="000000"/>
              <w:right w:val="single" w:sz="8" w:space="0" w:color="auto"/>
            </w:tcBorders>
            <w:vAlign w:val="center"/>
            <w:hideMark/>
          </w:tcPr>
          <w:p w14:paraId="6985E005" w14:textId="77777777" w:rsidR="00CF4716" w:rsidRDefault="00CF4716">
            <w:pPr>
              <w:rPr>
                <w:rFonts w:ascii="Arial" w:hAnsi="Arial" w:cs="Arial"/>
                <w:color w:val="000000"/>
                <w:sz w:val="16"/>
                <w:szCs w:val="16"/>
              </w:rPr>
            </w:pPr>
          </w:p>
        </w:tc>
      </w:tr>
      <w:tr w:rsidR="0008447E" w14:paraId="31590BE8" w14:textId="77777777" w:rsidTr="0008447E">
        <w:trPr>
          <w:trHeight w:val="540"/>
        </w:trPr>
        <w:tc>
          <w:tcPr>
            <w:tcW w:w="1092" w:type="dxa"/>
            <w:vMerge/>
            <w:tcBorders>
              <w:top w:val="single" w:sz="8" w:space="0" w:color="000000"/>
              <w:left w:val="single" w:sz="8" w:space="0" w:color="auto"/>
              <w:bottom w:val="single" w:sz="8" w:space="0" w:color="000000"/>
              <w:right w:val="single" w:sz="8" w:space="0" w:color="auto"/>
            </w:tcBorders>
            <w:vAlign w:val="center"/>
            <w:hideMark/>
          </w:tcPr>
          <w:p w14:paraId="46FB54AA" w14:textId="77777777" w:rsidR="00CF4716" w:rsidRDefault="00CF4716">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32EBDF8A" w14:textId="77777777" w:rsidR="00CF4716" w:rsidRDefault="00CF4716">
            <w:pPr>
              <w:rPr>
                <w:rFonts w:ascii="Arial" w:hAnsi="Arial" w:cs="Arial"/>
                <w:color w:val="000000"/>
                <w:sz w:val="16"/>
                <w:szCs w:val="16"/>
              </w:rPr>
            </w:pPr>
            <w:r>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1DEB8C8C"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707BA169"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51EC2F15"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6CD70EDE"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11625D7A"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5A8CA7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376D0DF4"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single" w:sz="8" w:space="0" w:color="auto"/>
              <w:right w:val="dotted" w:sz="4" w:space="0" w:color="auto"/>
            </w:tcBorders>
            <w:shd w:val="clear" w:color="auto" w:fill="auto"/>
            <w:vAlign w:val="center"/>
            <w:hideMark/>
          </w:tcPr>
          <w:p w14:paraId="6DBD1CBC"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single" w:sz="8" w:space="0" w:color="auto"/>
              <w:right w:val="dotted" w:sz="4" w:space="0" w:color="auto"/>
            </w:tcBorders>
            <w:shd w:val="clear" w:color="auto" w:fill="auto"/>
            <w:vAlign w:val="center"/>
            <w:hideMark/>
          </w:tcPr>
          <w:p w14:paraId="0B044300"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99" w:type="dxa"/>
            <w:tcBorders>
              <w:top w:val="nil"/>
              <w:left w:val="nil"/>
              <w:bottom w:val="single" w:sz="8" w:space="0" w:color="auto"/>
              <w:right w:val="dotted" w:sz="4" w:space="0" w:color="auto"/>
            </w:tcBorders>
            <w:shd w:val="clear" w:color="auto" w:fill="auto"/>
            <w:vAlign w:val="center"/>
            <w:hideMark/>
          </w:tcPr>
          <w:p w14:paraId="3D8AFD4A"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976" w:type="dxa"/>
            <w:vMerge/>
            <w:tcBorders>
              <w:top w:val="nil"/>
              <w:left w:val="dotted" w:sz="4" w:space="0" w:color="auto"/>
              <w:bottom w:val="single" w:sz="8" w:space="0" w:color="000000"/>
              <w:right w:val="single" w:sz="8" w:space="0" w:color="auto"/>
            </w:tcBorders>
            <w:vAlign w:val="center"/>
            <w:hideMark/>
          </w:tcPr>
          <w:p w14:paraId="1823D2C2" w14:textId="77777777" w:rsidR="00CF4716" w:rsidRDefault="00CF4716">
            <w:pPr>
              <w:rPr>
                <w:rFonts w:ascii="Arial" w:hAnsi="Arial" w:cs="Arial"/>
                <w:color w:val="000000"/>
                <w:sz w:val="16"/>
                <w:szCs w:val="16"/>
              </w:rPr>
            </w:pPr>
          </w:p>
        </w:tc>
      </w:tr>
      <w:tr w:rsidR="0008447E" w14:paraId="5C051C42" w14:textId="77777777" w:rsidTr="0008447E">
        <w:trPr>
          <w:trHeight w:val="540"/>
        </w:trPr>
        <w:tc>
          <w:tcPr>
            <w:tcW w:w="1092"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402A9C4C" w14:textId="77777777" w:rsidR="000823BC" w:rsidRDefault="000823BC">
            <w:pPr>
              <w:rPr>
                <w:rFonts w:ascii="Arial" w:hAnsi="Arial" w:cs="Arial"/>
                <w:color w:val="000000"/>
                <w:sz w:val="16"/>
                <w:szCs w:val="16"/>
              </w:rPr>
            </w:pPr>
            <w:r>
              <w:rPr>
                <w:rFonts w:ascii="Arial" w:hAnsi="Arial" w:cs="Arial"/>
                <w:color w:val="000000"/>
                <w:sz w:val="16"/>
                <w:szCs w:val="16"/>
              </w:rPr>
              <w:t xml:space="preserve">Počet vytvorených pracovných miest cielene pre MRK [počet] </w:t>
            </w:r>
          </w:p>
        </w:tc>
        <w:tc>
          <w:tcPr>
            <w:tcW w:w="959" w:type="dxa"/>
            <w:tcBorders>
              <w:top w:val="nil"/>
              <w:left w:val="nil"/>
              <w:bottom w:val="dotted" w:sz="4" w:space="0" w:color="auto"/>
              <w:right w:val="single" w:sz="8" w:space="0" w:color="auto"/>
            </w:tcBorders>
            <w:shd w:val="clear" w:color="auto" w:fill="auto"/>
            <w:vAlign w:val="center"/>
            <w:hideMark/>
          </w:tcPr>
          <w:p w14:paraId="3DBAE15B" w14:textId="77777777" w:rsidR="000823BC" w:rsidRDefault="000823BC">
            <w:pPr>
              <w:rPr>
                <w:rFonts w:ascii="Arial" w:hAnsi="Arial" w:cs="Arial"/>
                <w:color w:val="000000"/>
                <w:sz w:val="16"/>
                <w:szCs w:val="16"/>
              </w:rPr>
            </w:pPr>
            <w:r>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4564406B"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320812FA"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7ACCCCF2"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DDF4EBC"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ADC4EA7"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0C213AB" w14:textId="77777777" w:rsidR="000823BC" w:rsidRDefault="000823BC">
            <w:pPr>
              <w:jc w:val="center"/>
              <w:rPr>
                <w:rFonts w:ascii="Arial" w:hAnsi="Arial" w:cs="Arial"/>
                <w:color w:val="000000"/>
                <w:sz w:val="16"/>
                <w:szCs w:val="16"/>
              </w:rPr>
            </w:pPr>
            <w:r>
              <w:rPr>
                <w:rFonts w:ascii="Arial" w:hAnsi="Arial" w:cs="Arial"/>
                <w:color w:val="000000"/>
                <w:sz w:val="16"/>
                <w:szCs w:val="16"/>
              </w:rPr>
              <w:t>3</w:t>
            </w:r>
          </w:p>
        </w:tc>
        <w:tc>
          <w:tcPr>
            <w:tcW w:w="541" w:type="dxa"/>
            <w:tcBorders>
              <w:top w:val="nil"/>
              <w:left w:val="nil"/>
              <w:bottom w:val="dotted" w:sz="4" w:space="0" w:color="auto"/>
              <w:right w:val="dotted" w:sz="4" w:space="0" w:color="auto"/>
            </w:tcBorders>
            <w:shd w:val="clear" w:color="auto" w:fill="auto"/>
            <w:vAlign w:val="center"/>
            <w:hideMark/>
          </w:tcPr>
          <w:p w14:paraId="0079470A" w14:textId="77777777" w:rsidR="000823BC" w:rsidRDefault="000823BC">
            <w:pPr>
              <w:jc w:val="center"/>
              <w:rPr>
                <w:rFonts w:ascii="Arial" w:hAnsi="Arial" w:cs="Arial"/>
                <w:color w:val="000000"/>
                <w:sz w:val="16"/>
                <w:szCs w:val="16"/>
              </w:rPr>
            </w:pPr>
            <w:r>
              <w:rPr>
                <w:rFonts w:ascii="Arial" w:hAnsi="Arial" w:cs="Arial"/>
                <w:color w:val="000000"/>
                <w:sz w:val="16"/>
                <w:szCs w:val="16"/>
              </w:rPr>
              <w:t>4</w:t>
            </w:r>
          </w:p>
        </w:tc>
        <w:tc>
          <w:tcPr>
            <w:tcW w:w="986" w:type="dxa"/>
            <w:tcBorders>
              <w:top w:val="nil"/>
              <w:left w:val="nil"/>
              <w:bottom w:val="dotted" w:sz="4" w:space="0" w:color="auto"/>
              <w:right w:val="dotted" w:sz="4" w:space="0" w:color="auto"/>
            </w:tcBorders>
            <w:shd w:val="clear" w:color="auto" w:fill="auto"/>
            <w:vAlign w:val="center"/>
            <w:hideMark/>
          </w:tcPr>
          <w:p w14:paraId="47A6FBC9" w14:textId="1FB46EAF" w:rsidR="000823BC" w:rsidRDefault="000823BC">
            <w:pPr>
              <w:jc w:val="center"/>
              <w:rPr>
                <w:rFonts w:ascii="Arial" w:hAnsi="Arial" w:cs="Arial"/>
                <w:color w:val="000000"/>
                <w:sz w:val="16"/>
                <w:szCs w:val="16"/>
              </w:rPr>
            </w:pPr>
            <w:r>
              <w:rPr>
                <w:rFonts w:ascii="Arial" w:hAnsi="Arial" w:cs="Arial"/>
                <w:color w:val="000000"/>
                <w:sz w:val="16"/>
                <w:szCs w:val="16"/>
              </w:rPr>
              <w:t>7</w:t>
            </w:r>
          </w:p>
        </w:tc>
        <w:tc>
          <w:tcPr>
            <w:tcW w:w="986" w:type="dxa"/>
            <w:tcBorders>
              <w:top w:val="nil"/>
              <w:left w:val="nil"/>
              <w:bottom w:val="dotted" w:sz="4" w:space="0" w:color="auto"/>
              <w:right w:val="dotted" w:sz="4" w:space="0" w:color="auto"/>
            </w:tcBorders>
            <w:shd w:val="clear" w:color="auto" w:fill="auto"/>
            <w:vAlign w:val="center"/>
            <w:hideMark/>
          </w:tcPr>
          <w:p w14:paraId="6C162DDA" w14:textId="06A9F00E" w:rsidR="000823BC" w:rsidRDefault="000823BC">
            <w:pPr>
              <w:jc w:val="center"/>
              <w:rPr>
                <w:rFonts w:ascii="Arial" w:hAnsi="Arial" w:cs="Arial"/>
                <w:color w:val="000000"/>
                <w:sz w:val="16"/>
                <w:szCs w:val="16"/>
              </w:rPr>
            </w:pPr>
            <w:r>
              <w:rPr>
                <w:rFonts w:ascii="Arial" w:hAnsi="Arial" w:cs="Arial"/>
                <w:color w:val="000000"/>
                <w:sz w:val="16"/>
                <w:szCs w:val="16"/>
              </w:rPr>
              <w:t>13</w:t>
            </w:r>
          </w:p>
        </w:tc>
        <w:tc>
          <w:tcPr>
            <w:tcW w:w="599" w:type="dxa"/>
            <w:tcBorders>
              <w:top w:val="nil"/>
              <w:left w:val="nil"/>
              <w:bottom w:val="dotted" w:sz="4" w:space="0" w:color="auto"/>
              <w:right w:val="dotted" w:sz="4" w:space="0" w:color="auto"/>
            </w:tcBorders>
            <w:shd w:val="clear" w:color="auto" w:fill="auto"/>
            <w:vAlign w:val="center"/>
            <w:hideMark/>
          </w:tcPr>
          <w:p w14:paraId="29E9F5B7" w14:textId="406AEAE1" w:rsidR="000823BC" w:rsidRDefault="000823BC">
            <w:pPr>
              <w:jc w:val="center"/>
              <w:rPr>
                <w:rFonts w:ascii="Arial" w:hAnsi="Arial" w:cs="Arial"/>
                <w:color w:val="000000"/>
                <w:sz w:val="16"/>
                <w:szCs w:val="16"/>
              </w:rPr>
            </w:pPr>
            <w:r>
              <w:rPr>
                <w:rFonts w:ascii="Arial" w:hAnsi="Arial" w:cs="Arial"/>
                <w:color w:val="000000"/>
                <w:sz w:val="16"/>
                <w:szCs w:val="16"/>
              </w:rPr>
              <w:t>13</w:t>
            </w:r>
          </w:p>
        </w:tc>
        <w:tc>
          <w:tcPr>
            <w:tcW w:w="976" w:type="dxa"/>
            <w:vMerge w:val="restart"/>
            <w:tcBorders>
              <w:top w:val="nil"/>
              <w:left w:val="dotted" w:sz="4" w:space="0" w:color="auto"/>
              <w:bottom w:val="single" w:sz="8" w:space="0" w:color="000000"/>
              <w:right w:val="single" w:sz="8" w:space="0" w:color="auto"/>
            </w:tcBorders>
            <w:shd w:val="clear" w:color="auto" w:fill="auto"/>
            <w:vAlign w:val="center"/>
            <w:hideMark/>
          </w:tcPr>
          <w:p w14:paraId="0F842827" w14:textId="6B63B9D7" w:rsidR="000823BC" w:rsidRDefault="000823BC">
            <w:pPr>
              <w:jc w:val="center"/>
              <w:rPr>
                <w:rFonts w:ascii="Arial" w:hAnsi="Arial" w:cs="Arial"/>
                <w:color w:val="000000"/>
                <w:sz w:val="16"/>
                <w:szCs w:val="16"/>
              </w:rPr>
            </w:pPr>
            <w:r>
              <w:rPr>
                <w:rFonts w:ascii="Arial" w:hAnsi="Arial" w:cs="Arial"/>
                <w:color w:val="000000"/>
                <w:sz w:val="16"/>
                <w:szCs w:val="16"/>
              </w:rPr>
              <w:t>26</w:t>
            </w:r>
          </w:p>
        </w:tc>
      </w:tr>
      <w:tr w:rsidR="0008447E" w14:paraId="69746770" w14:textId="77777777" w:rsidTr="0008447E">
        <w:trPr>
          <w:trHeight w:val="540"/>
        </w:trPr>
        <w:tc>
          <w:tcPr>
            <w:tcW w:w="1092" w:type="dxa"/>
            <w:vMerge/>
            <w:tcBorders>
              <w:top w:val="nil"/>
              <w:left w:val="single" w:sz="8" w:space="0" w:color="auto"/>
              <w:bottom w:val="single" w:sz="8" w:space="0" w:color="000000"/>
              <w:right w:val="single" w:sz="8" w:space="0" w:color="auto"/>
            </w:tcBorders>
            <w:vAlign w:val="center"/>
            <w:hideMark/>
          </w:tcPr>
          <w:p w14:paraId="4B1A03BE" w14:textId="77777777" w:rsidR="00CF4716" w:rsidRDefault="00CF4716">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400E5BDA" w14:textId="77777777" w:rsidR="00CF4716" w:rsidRDefault="00CF4716">
            <w:pPr>
              <w:rPr>
                <w:rFonts w:ascii="Arial" w:hAnsi="Arial" w:cs="Arial"/>
                <w:color w:val="000000"/>
                <w:sz w:val="16"/>
                <w:szCs w:val="16"/>
              </w:rPr>
            </w:pPr>
            <w:r>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01E68D25"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4C17AD8"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D925F01"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43536C1D"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72677F6B"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7901D2B"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3EBBA04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dotted" w:sz="4" w:space="0" w:color="auto"/>
              <w:right w:val="dotted" w:sz="4" w:space="0" w:color="auto"/>
            </w:tcBorders>
            <w:shd w:val="clear" w:color="auto" w:fill="auto"/>
            <w:vAlign w:val="center"/>
            <w:hideMark/>
          </w:tcPr>
          <w:p w14:paraId="3F01DE8D"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dotted" w:sz="4" w:space="0" w:color="auto"/>
              <w:right w:val="dotted" w:sz="4" w:space="0" w:color="auto"/>
            </w:tcBorders>
            <w:shd w:val="clear" w:color="auto" w:fill="auto"/>
            <w:vAlign w:val="center"/>
            <w:hideMark/>
          </w:tcPr>
          <w:p w14:paraId="45C3979F" w14:textId="77777777" w:rsidR="00CF4716" w:rsidRDefault="00CF4716">
            <w:pPr>
              <w:jc w:val="center"/>
              <w:rPr>
                <w:rFonts w:ascii="Arial" w:hAnsi="Arial" w:cs="Arial"/>
                <w:color w:val="000000"/>
                <w:sz w:val="16"/>
                <w:szCs w:val="16"/>
              </w:rPr>
            </w:pPr>
            <w:r>
              <w:rPr>
                <w:rFonts w:ascii="Arial" w:hAnsi="Arial" w:cs="Arial"/>
                <w:color w:val="000000"/>
                <w:sz w:val="16"/>
                <w:szCs w:val="16"/>
              </w:rPr>
              <w:t>30</w:t>
            </w:r>
          </w:p>
        </w:tc>
        <w:tc>
          <w:tcPr>
            <w:tcW w:w="599" w:type="dxa"/>
            <w:tcBorders>
              <w:top w:val="nil"/>
              <w:left w:val="nil"/>
              <w:bottom w:val="dotted" w:sz="4" w:space="0" w:color="auto"/>
              <w:right w:val="dotted" w:sz="4" w:space="0" w:color="auto"/>
            </w:tcBorders>
            <w:shd w:val="clear" w:color="auto" w:fill="auto"/>
            <w:vAlign w:val="center"/>
            <w:hideMark/>
          </w:tcPr>
          <w:p w14:paraId="7B9C84C7" w14:textId="77777777" w:rsidR="00CF4716" w:rsidRDefault="00CF4716">
            <w:pPr>
              <w:jc w:val="center"/>
              <w:rPr>
                <w:rFonts w:ascii="Arial" w:hAnsi="Arial" w:cs="Arial"/>
                <w:color w:val="000000"/>
                <w:sz w:val="16"/>
                <w:szCs w:val="16"/>
              </w:rPr>
            </w:pPr>
            <w:r>
              <w:rPr>
                <w:rFonts w:ascii="Arial" w:hAnsi="Arial" w:cs="Arial"/>
                <w:color w:val="000000"/>
                <w:sz w:val="16"/>
                <w:szCs w:val="16"/>
              </w:rPr>
              <w:t>30</w:t>
            </w:r>
          </w:p>
        </w:tc>
        <w:tc>
          <w:tcPr>
            <w:tcW w:w="976" w:type="dxa"/>
            <w:vMerge/>
            <w:tcBorders>
              <w:top w:val="nil"/>
              <w:left w:val="dotted" w:sz="4" w:space="0" w:color="auto"/>
              <w:bottom w:val="single" w:sz="8" w:space="0" w:color="000000"/>
              <w:right w:val="single" w:sz="8" w:space="0" w:color="auto"/>
            </w:tcBorders>
            <w:vAlign w:val="center"/>
            <w:hideMark/>
          </w:tcPr>
          <w:p w14:paraId="3E9EB437" w14:textId="77777777" w:rsidR="00CF4716" w:rsidRDefault="00CF4716">
            <w:pPr>
              <w:rPr>
                <w:rFonts w:ascii="Arial" w:hAnsi="Arial" w:cs="Arial"/>
                <w:color w:val="000000"/>
                <w:sz w:val="16"/>
                <w:szCs w:val="16"/>
              </w:rPr>
            </w:pPr>
          </w:p>
        </w:tc>
      </w:tr>
      <w:tr w:rsidR="0008447E" w14:paraId="139FDE2B" w14:textId="77777777" w:rsidTr="0008447E">
        <w:trPr>
          <w:trHeight w:val="540"/>
        </w:trPr>
        <w:tc>
          <w:tcPr>
            <w:tcW w:w="1092" w:type="dxa"/>
            <w:vMerge/>
            <w:tcBorders>
              <w:top w:val="nil"/>
              <w:left w:val="single" w:sz="8" w:space="0" w:color="auto"/>
              <w:bottom w:val="single" w:sz="8" w:space="0" w:color="000000"/>
              <w:right w:val="single" w:sz="8" w:space="0" w:color="auto"/>
            </w:tcBorders>
            <w:vAlign w:val="center"/>
            <w:hideMark/>
          </w:tcPr>
          <w:p w14:paraId="31B11C24" w14:textId="77777777" w:rsidR="00CF4716" w:rsidRDefault="00CF4716">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72914C7E" w14:textId="77777777" w:rsidR="00CF4716" w:rsidRDefault="00CF4716">
            <w:pPr>
              <w:rPr>
                <w:rFonts w:ascii="Arial" w:hAnsi="Arial" w:cs="Arial"/>
                <w:color w:val="000000"/>
                <w:sz w:val="16"/>
                <w:szCs w:val="16"/>
              </w:rPr>
            </w:pPr>
            <w:r>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4B307F8D"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1E9A0EC7"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1735B7D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2DB95B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3D0C688C"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2013AA7D"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2D804FE8"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single" w:sz="8" w:space="0" w:color="auto"/>
              <w:right w:val="dotted" w:sz="4" w:space="0" w:color="auto"/>
            </w:tcBorders>
            <w:shd w:val="clear" w:color="auto" w:fill="auto"/>
            <w:vAlign w:val="center"/>
            <w:hideMark/>
          </w:tcPr>
          <w:p w14:paraId="2E865099"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single" w:sz="8" w:space="0" w:color="auto"/>
              <w:right w:val="dotted" w:sz="4" w:space="0" w:color="auto"/>
            </w:tcBorders>
            <w:shd w:val="clear" w:color="auto" w:fill="auto"/>
            <w:vAlign w:val="center"/>
            <w:hideMark/>
          </w:tcPr>
          <w:p w14:paraId="71CEC4D6"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99" w:type="dxa"/>
            <w:tcBorders>
              <w:top w:val="nil"/>
              <w:left w:val="nil"/>
              <w:bottom w:val="single" w:sz="8" w:space="0" w:color="auto"/>
              <w:right w:val="dotted" w:sz="4" w:space="0" w:color="auto"/>
            </w:tcBorders>
            <w:shd w:val="clear" w:color="auto" w:fill="auto"/>
            <w:vAlign w:val="center"/>
            <w:hideMark/>
          </w:tcPr>
          <w:p w14:paraId="24623BFB"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976" w:type="dxa"/>
            <w:vMerge/>
            <w:tcBorders>
              <w:top w:val="nil"/>
              <w:left w:val="dotted" w:sz="4" w:space="0" w:color="auto"/>
              <w:bottom w:val="single" w:sz="8" w:space="0" w:color="000000"/>
              <w:right w:val="single" w:sz="8" w:space="0" w:color="auto"/>
            </w:tcBorders>
            <w:vAlign w:val="center"/>
            <w:hideMark/>
          </w:tcPr>
          <w:p w14:paraId="67A3D7EF" w14:textId="77777777" w:rsidR="00CF4716" w:rsidRDefault="00CF4716">
            <w:pPr>
              <w:rPr>
                <w:rFonts w:ascii="Arial" w:hAnsi="Arial" w:cs="Arial"/>
                <w:color w:val="000000"/>
                <w:sz w:val="16"/>
                <w:szCs w:val="16"/>
              </w:rPr>
            </w:pPr>
          </w:p>
        </w:tc>
      </w:tr>
      <w:tr w:rsidR="0008447E" w14:paraId="6AEABA53" w14:textId="77777777" w:rsidTr="0008447E">
        <w:trPr>
          <w:trHeight w:val="540"/>
        </w:trPr>
        <w:tc>
          <w:tcPr>
            <w:tcW w:w="1092"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771AD223" w14:textId="77777777" w:rsidR="000823BC" w:rsidRDefault="000823BC">
            <w:pPr>
              <w:rPr>
                <w:rFonts w:ascii="Arial" w:hAnsi="Arial" w:cs="Arial"/>
                <w:color w:val="000000"/>
                <w:sz w:val="16"/>
                <w:szCs w:val="16"/>
              </w:rPr>
            </w:pPr>
            <w:r>
              <w:rPr>
                <w:rFonts w:ascii="Arial" w:hAnsi="Arial" w:cs="Arial"/>
                <w:color w:val="000000"/>
                <w:sz w:val="16"/>
                <w:szCs w:val="16"/>
              </w:rPr>
              <w:t>Počet príslušníkov MRK využívajúcich výstupy projektu [počet]</w:t>
            </w:r>
          </w:p>
        </w:tc>
        <w:tc>
          <w:tcPr>
            <w:tcW w:w="959" w:type="dxa"/>
            <w:tcBorders>
              <w:top w:val="nil"/>
              <w:left w:val="nil"/>
              <w:bottom w:val="dotted" w:sz="4" w:space="0" w:color="auto"/>
              <w:right w:val="single" w:sz="8" w:space="0" w:color="auto"/>
            </w:tcBorders>
            <w:shd w:val="clear" w:color="auto" w:fill="auto"/>
            <w:vAlign w:val="center"/>
            <w:hideMark/>
          </w:tcPr>
          <w:p w14:paraId="5AFC8399" w14:textId="77777777" w:rsidR="000823BC" w:rsidRDefault="000823BC">
            <w:pPr>
              <w:rPr>
                <w:rFonts w:ascii="Arial" w:hAnsi="Arial" w:cs="Arial"/>
                <w:color w:val="000000"/>
                <w:sz w:val="16"/>
                <w:szCs w:val="16"/>
              </w:rPr>
            </w:pPr>
            <w:r>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24515A3A"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5FFF2E26"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5B9A41CB"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47DAE85B" w14:textId="77777777" w:rsidR="000823BC" w:rsidRDefault="000823BC">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3410BC35" w14:textId="77777777" w:rsidR="000823BC" w:rsidRDefault="000823BC">
            <w:pPr>
              <w:jc w:val="center"/>
              <w:rPr>
                <w:rFonts w:ascii="Arial" w:hAnsi="Arial" w:cs="Arial"/>
                <w:color w:val="000000"/>
                <w:sz w:val="16"/>
                <w:szCs w:val="16"/>
              </w:rPr>
            </w:pPr>
            <w:r>
              <w:rPr>
                <w:rFonts w:ascii="Arial" w:hAnsi="Arial" w:cs="Arial"/>
                <w:color w:val="000000"/>
                <w:sz w:val="16"/>
                <w:szCs w:val="16"/>
              </w:rPr>
              <w:t>557</w:t>
            </w:r>
          </w:p>
        </w:tc>
        <w:tc>
          <w:tcPr>
            <w:tcW w:w="496" w:type="dxa"/>
            <w:tcBorders>
              <w:top w:val="nil"/>
              <w:left w:val="nil"/>
              <w:bottom w:val="dotted" w:sz="4" w:space="0" w:color="auto"/>
              <w:right w:val="dotted" w:sz="4" w:space="0" w:color="auto"/>
            </w:tcBorders>
            <w:shd w:val="clear" w:color="auto" w:fill="auto"/>
            <w:vAlign w:val="center"/>
            <w:hideMark/>
          </w:tcPr>
          <w:p w14:paraId="01110C3C" w14:textId="77777777" w:rsidR="000823BC" w:rsidRDefault="000823BC">
            <w:pPr>
              <w:jc w:val="center"/>
              <w:rPr>
                <w:rFonts w:ascii="Arial" w:hAnsi="Arial" w:cs="Arial"/>
                <w:color w:val="000000"/>
                <w:sz w:val="16"/>
                <w:szCs w:val="16"/>
              </w:rPr>
            </w:pPr>
            <w:r>
              <w:rPr>
                <w:rFonts w:ascii="Arial" w:hAnsi="Arial" w:cs="Arial"/>
                <w:color w:val="000000"/>
                <w:sz w:val="16"/>
                <w:szCs w:val="16"/>
              </w:rPr>
              <w:t>1415</w:t>
            </w:r>
          </w:p>
        </w:tc>
        <w:tc>
          <w:tcPr>
            <w:tcW w:w="541" w:type="dxa"/>
            <w:tcBorders>
              <w:top w:val="nil"/>
              <w:left w:val="nil"/>
              <w:bottom w:val="dotted" w:sz="4" w:space="0" w:color="auto"/>
              <w:right w:val="dotted" w:sz="4" w:space="0" w:color="auto"/>
            </w:tcBorders>
            <w:shd w:val="clear" w:color="auto" w:fill="auto"/>
            <w:vAlign w:val="center"/>
            <w:hideMark/>
          </w:tcPr>
          <w:p w14:paraId="060EF826" w14:textId="77777777" w:rsidR="000823BC" w:rsidRDefault="000823BC">
            <w:pPr>
              <w:jc w:val="center"/>
              <w:rPr>
                <w:rFonts w:ascii="Arial" w:hAnsi="Arial" w:cs="Arial"/>
                <w:color w:val="000000"/>
                <w:sz w:val="16"/>
                <w:szCs w:val="16"/>
              </w:rPr>
            </w:pPr>
            <w:r>
              <w:rPr>
                <w:rFonts w:ascii="Arial" w:hAnsi="Arial" w:cs="Arial"/>
                <w:color w:val="000000"/>
                <w:sz w:val="16"/>
                <w:szCs w:val="16"/>
              </w:rPr>
              <w:t>59 176</w:t>
            </w:r>
          </w:p>
        </w:tc>
        <w:tc>
          <w:tcPr>
            <w:tcW w:w="986" w:type="dxa"/>
            <w:tcBorders>
              <w:top w:val="nil"/>
              <w:left w:val="nil"/>
              <w:bottom w:val="dotted" w:sz="4" w:space="0" w:color="auto"/>
              <w:right w:val="dotted" w:sz="4" w:space="0" w:color="auto"/>
            </w:tcBorders>
            <w:shd w:val="clear" w:color="auto" w:fill="auto"/>
            <w:vAlign w:val="center"/>
            <w:hideMark/>
          </w:tcPr>
          <w:p w14:paraId="07526C94" w14:textId="6BDD61C4" w:rsidR="000823BC" w:rsidRDefault="000823BC" w:rsidP="009E12BA">
            <w:pPr>
              <w:jc w:val="center"/>
              <w:rPr>
                <w:rFonts w:ascii="Arial" w:hAnsi="Arial" w:cs="Arial"/>
                <w:color w:val="000000"/>
                <w:sz w:val="16"/>
                <w:szCs w:val="16"/>
              </w:rPr>
            </w:pPr>
            <w:r>
              <w:rPr>
                <w:rFonts w:ascii="Arial" w:hAnsi="Arial" w:cs="Arial"/>
                <w:color w:val="000000"/>
                <w:sz w:val="16"/>
                <w:szCs w:val="16"/>
              </w:rPr>
              <w:t>65 750</w:t>
            </w:r>
          </w:p>
        </w:tc>
        <w:tc>
          <w:tcPr>
            <w:tcW w:w="986" w:type="dxa"/>
            <w:tcBorders>
              <w:top w:val="nil"/>
              <w:left w:val="nil"/>
              <w:bottom w:val="dotted" w:sz="4" w:space="0" w:color="auto"/>
              <w:right w:val="dotted" w:sz="4" w:space="0" w:color="auto"/>
            </w:tcBorders>
            <w:shd w:val="clear" w:color="auto" w:fill="auto"/>
            <w:vAlign w:val="center"/>
            <w:hideMark/>
          </w:tcPr>
          <w:p w14:paraId="001C0D2B" w14:textId="4E5CE33D" w:rsidR="000823BC" w:rsidRPr="000A4DF7" w:rsidRDefault="0073356E">
            <w:pPr>
              <w:jc w:val="center"/>
              <w:rPr>
                <w:rFonts w:ascii="Arial" w:hAnsi="Arial" w:cs="Arial"/>
                <w:color w:val="000000"/>
                <w:sz w:val="16"/>
                <w:szCs w:val="16"/>
                <w:highlight w:val="yellow"/>
              </w:rPr>
            </w:pPr>
            <w:r w:rsidRPr="0073356E">
              <w:rPr>
                <w:rFonts w:ascii="Arial" w:hAnsi="Arial" w:cs="Arial"/>
                <w:color w:val="000000"/>
                <w:sz w:val="16"/>
                <w:szCs w:val="16"/>
              </w:rPr>
              <w:t>127 457</w:t>
            </w:r>
          </w:p>
        </w:tc>
        <w:tc>
          <w:tcPr>
            <w:tcW w:w="599" w:type="dxa"/>
            <w:tcBorders>
              <w:top w:val="nil"/>
              <w:left w:val="nil"/>
              <w:bottom w:val="dotted" w:sz="4" w:space="0" w:color="auto"/>
              <w:right w:val="dotted" w:sz="4" w:space="0" w:color="auto"/>
            </w:tcBorders>
            <w:shd w:val="clear" w:color="auto" w:fill="auto"/>
            <w:vAlign w:val="center"/>
            <w:hideMark/>
          </w:tcPr>
          <w:p w14:paraId="4F31E2F3" w14:textId="491A0A98" w:rsidR="000823BC" w:rsidRPr="000A4DF7" w:rsidRDefault="0073356E" w:rsidP="009E12BA">
            <w:pPr>
              <w:jc w:val="center"/>
              <w:rPr>
                <w:rFonts w:ascii="Arial" w:hAnsi="Arial" w:cs="Arial"/>
                <w:color w:val="000000"/>
                <w:sz w:val="16"/>
                <w:szCs w:val="16"/>
                <w:highlight w:val="yellow"/>
              </w:rPr>
            </w:pPr>
            <w:r w:rsidRPr="0073356E">
              <w:rPr>
                <w:rFonts w:ascii="Arial" w:hAnsi="Arial" w:cs="Arial"/>
                <w:color w:val="000000"/>
                <w:sz w:val="16"/>
                <w:szCs w:val="16"/>
              </w:rPr>
              <w:t>127 457</w:t>
            </w:r>
          </w:p>
        </w:tc>
        <w:tc>
          <w:tcPr>
            <w:tcW w:w="976" w:type="dxa"/>
            <w:vMerge w:val="restart"/>
            <w:tcBorders>
              <w:top w:val="nil"/>
              <w:left w:val="dotted" w:sz="4" w:space="0" w:color="auto"/>
              <w:bottom w:val="single" w:sz="8" w:space="0" w:color="000000"/>
              <w:right w:val="single" w:sz="8" w:space="0" w:color="auto"/>
            </w:tcBorders>
            <w:shd w:val="clear" w:color="auto" w:fill="auto"/>
            <w:vAlign w:val="center"/>
            <w:hideMark/>
          </w:tcPr>
          <w:p w14:paraId="47DC5662" w14:textId="42FADFAF" w:rsidR="000823BC" w:rsidRDefault="000823BC" w:rsidP="009E12BA">
            <w:pPr>
              <w:jc w:val="center"/>
              <w:rPr>
                <w:rFonts w:ascii="Arial" w:hAnsi="Arial" w:cs="Arial"/>
                <w:color w:val="000000"/>
                <w:sz w:val="16"/>
                <w:szCs w:val="16"/>
              </w:rPr>
            </w:pPr>
            <w:r>
              <w:rPr>
                <w:rFonts w:ascii="Arial" w:hAnsi="Arial" w:cs="Arial"/>
                <w:color w:val="000000"/>
                <w:sz w:val="16"/>
                <w:szCs w:val="16"/>
              </w:rPr>
              <w:t>65 750</w:t>
            </w:r>
          </w:p>
        </w:tc>
      </w:tr>
      <w:tr w:rsidR="0008447E" w14:paraId="201CBC45" w14:textId="77777777" w:rsidTr="0008447E">
        <w:trPr>
          <w:trHeight w:val="540"/>
        </w:trPr>
        <w:tc>
          <w:tcPr>
            <w:tcW w:w="1092" w:type="dxa"/>
            <w:vMerge/>
            <w:tcBorders>
              <w:top w:val="nil"/>
              <w:left w:val="single" w:sz="8" w:space="0" w:color="auto"/>
              <w:bottom w:val="single" w:sz="8" w:space="0" w:color="000000"/>
              <w:right w:val="single" w:sz="8" w:space="0" w:color="auto"/>
            </w:tcBorders>
            <w:vAlign w:val="center"/>
            <w:hideMark/>
          </w:tcPr>
          <w:p w14:paraId="49FB025B" w14:textId="77777777" w:rsidR="00CF4716" w:rsidRDefault="00CF4716">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3D962ECE" w14:textId="77777777" w:rsidR="00CF4716" w:rsidRDefault="00CF4716">
            <w:pPr>
              <w:rPr>
                <w:rFonts w:ascii="Arial" w:hAnsi="Arial" w:cs="Arial"/>
                <w:color w:val="000000"/>
                <w:sz w:val="16"/>
                <w:szCs w:val="16"/>
              </w:rPr>
            </w:pPr>
            <w:r>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458E7532"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532C946"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8602833"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BF2CE9E"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5CED760A"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1CD6342D"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609C7451"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dotted" w:sz="4" w:space="0" w:color="auto"/>
              <w:right w:val="dotted" w:sz="4" w:space="0" w:color="auto"/>
            </w:tcBorders>
            <w:shd w:val="clear" w:color="auto" w:fill="auto"/>
            <w:vAlign w:val="center"/>
            <w:hideMark/>
          </w:tcPr>
          <w:p w14:paraId="6D273CB0"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dotted" w:sz="4" w:space="0" w:color="auto"/>
              <w:right w:val="dotted" w:sz="4" w:space="0" w:color="auto"/>
            </w:tcBorders>
            <w:shd w:val="clear" w:color="auto" w:fill="auto"/>
            <w:vAlign w:val="center"/>
            <w:hideMark/>
          </w:tcPr>
          <w:p w14:paraId="1550100B" w14:textId="77777777" w:rsidR="00CF4716" w:rsidRDefault="00CF4716">
            <w:pPr>
              <w:jc w:val="center"/>
              <w:rPr>
                <w:rFonts w:ascii="Arial" w:hAnsi="Arial" w:cs="Arial"/>
                <w:color w:val="000000"/>
                <w:sz w:val="16"/>
                <w:szCs w:val="16"/>
              </w:rPr>
            </w:pPr>
            <w:r>
              <w:rPr>
                <w:rFonts w:ascii="Arial" w:hAnsi="Arial" w:cs="Arial"/>
                <w:color w:val="000000"/>
                <w:sz w:val="16"/>
                <w:szCs w:val="16"/>
              </w:rPr>
              <w:t>30 000</w:t>
            </w:r>
          </w:p>
        </w:tc>
        <w:tc>
          <w:tcPr>
            <w:tcW w:w="599" w:type="dxa"/>
            <w:tcBorders>
              <w:top w:val="nil"/>
              <w:left w:val="nil"/>
              <w:bottom w:val="dotted" w:sz="4" w:space="0" w:color="auto"/>
              <w:right w:val="dotted" w:sz="4" w:space="0" w:color="auto"/>
            </w:tcBorders>
            <w:shd w:val="clear" w:color="auto" w:fill="auto"/>
            <w:vAlign w:val="center"/>
            <w:hideMark/>
          </w:tcPr>
          <w:p w14:paraId="3B84433F" w14:textId="77777777" w:rsidR="00CF4716" w:rsidRDefault="00CF4716">
            <w:pPr>
              <w:jc w:val="center"/>
              <w:rPr>
                <w:rFonts w:ascii="Arial" w:hAnsi="Arial" w:cs="Arial"/>
                <w:color w:val="000000"/>
                <w:sz w:val="16"/>
                <w:szCs w:val="16"/>
              </w:rPr>
            </w:pPr>
            <w:r>
              <w:rPr>
                <w:rFonts w:ascii="Arial" w:hAnsi="Arial" w:cs="Arial"/>
                <w:color w:val="000000"/>
                <w:sz w:val="16"/>
                <w:szCs w:val="16"/>
              </w:rPr>
              <w:t>30 000</w:t>
            </w:r>
          </w:p>
        </w:tc>
        <w:tc>
          <w:tcPr>
            <w:tcW w:w="976" w:type="dxa"/>
            <w:vMerge/>
            <w:tcBorders>
              <w:top w:val="nil"/>
              <w:left w:val="dotted" w:sz="4" w:space="0" w:color="auto"/>
              <w:bottom w:val="single" w:sz="8" w:space="0" w:color="000000"/>
              <w:right w:val="single" w:sz="8" w:space="0" w:color="auto"/>
            </w:tcBorders>
            <w:vAlign w:val="center"/>
            <w:hideMark/>
          </w:tcPr>
          <w:p w14:paraId="5C14AC24" w14:textId="77777777" w:rsidR="00CF4716" w:rsidRDefault="00CF4716">
            <w:pPr>
              <w:rPr>
                <w:rFonts w:ascii="Arial" w:hAnsi="Arial" w:cs="Arial"/>
                <w:color w:val="000000"/>
                <w:sz w:val="16"/>
                <w:szCs w:val="16"/>
              </w:rPr>
            </w:pPr>
          </w:p>
        </w:tc>
      </w:tr>
      <w:tr w:rsidR="0008447E" w14:paraId="67C0C0F4" w14:textId="77777777" w:rsidTr="0008447E">
        <w:trPr>
          <w:trHeight w:val="540"/>
        </w:trPr>
        <w:tc>
          <w:tcPr>
            <w:tcW w:w="1092" w:type="dxa"/>
            <w:vMerge/>
            <w:tcBorders>
              <w:top w:val="nil"/>
              <w:left w:val="single" w:sz="8" w:space="0" w:color="auto"/>
              <w:bottom w:val="single" w:sz="8" w:space="0" w:color="000000"/>
              <w:right w:val="single" w:sz="8" w:space="0" w:color="auto"/>
            </w:tcBorders>
            <w:vAlign w:val="center"/>
            <w:hideMark/>
          </w:tcPr>
          <w:p w14:paraId="096F58B8" w14:textId="77777777" w:rsidR="00CF4716" w:rsidRDefault="00CF4716">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0FAB406C" w14:textId="77777777" w:rsidR="00CF4716" w:rsidRDefault="00CF4716">
            <w:pPr>
              <w:rPr>
                <w:rFonts w:ascii="Arial" w:hAnsi="Arial" w:cs="Arial"/>
                <w:color w:val="000000"/>
                <w:sz w:val="16"/>
                <w:szCs w:val="16"/>
              </w:rPr>
            </w:pPr>
            <w:r>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37D31DD7"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392C9A32"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F2448E0"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2E0CBBFA"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39943060"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510A274"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6A34EBDE"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single" w:sz="8" w:space="0" w:color="auto"/>
              <w:right w:val="dotted" w:sz="4" w:space="0" w:color="auto"/>
            </w:tcBorders>
            <w:shd w:val="clear" w:color="auto" w:fill="auto"/>
            <w:vAlign w:val="center"/>
            <w:hideMark/>
          </w:tcPr>
          <w:p w14:paraId="0B49988A"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986" w:type="dxa"/>
            <w:tcBorders>
              <w:top w:val="nil"/>
              <w:left w:val="nil"/>
              <w:bottom w:val="single" w:sz="8" w:space="0" w:color="auto"/>
              <w:right w:val="dotted" w:sz="4" w:space="0" w:color="auto"/>
            </w:tcBorders>
            <w:shd w:val="clear" w:color="auto" w:fill="auto"/>
            <w:vAlign w:val="center"/>
            <w:hideMark/>
          </w:tcPr>
          <w:p w14:paraId="216DA766"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599" w:type="dxa"/>
            <w:tcBorders>
              <w:top w:val="nil"/>
              <w:left w:val="nil"/>
              <w:bottom w:val="single" w:sz="8" w:space="0" w:color="auto"/>
              <w:right w:val="dotted" w:sz="4" w:space="0" w:color="auto"/>
            </w:tcBorders>
            <w:shd w:val="clear" w:color="auto" w:fill="auto"/>
            <w:vAlign w:val="center"/>
            <w:hideMark/>
          </w:tcPr>
          <w:p w14:paraId="06BBAF8D"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976" w:type="dxa"/>
            <w:vMerge/>
            <w:tcBorders>
              <w:top w:val="nil"/>
              <w:left w:val="dotted" w:sz="4" w:space="0" w:color="auto"/>
              <w:bottom w:val="single" w:sz="8" w:space="0" w:color="000000"/>
              <w:right w:val="single" w:sz="8" w:space="0" w:color="auto"/>
            </w:tcBorders>
            <w:vAlign w:val="center"/>
            <w:hideMark/>
          </w:tcPr>
          <w:p w14:paraId="694A703D" w14:textId="77777777" w:rsidR="00CF4716" w:rsidRDefault="00CF4716">
            <w:pPr>
              <w:rPr>
                <w:rFonts w:ascii="Arial" w:hAnsi="Arial" w:cs="Arial"/>
                <w:color w:val="000000"/>
                <w:sz w:val="16"/>
                <w:szCs w:val="16"/>
              </w:rPr>
            </w:pPr>
          </w:p>
        </w:tc>
      </w:tr>
    </w:tbl>
    <w:p w14:paraId="68B746F3" w14:textId="77777777" w:rsidR="00881054" w:rsidRPr="00123376" w:rsidRDefault="00881054" w:rsidP="00123376">
      <w:pPr>
        <w:jc w:val="both"/>
        <w:rPr>
          <w:rFonts w:ascii="Arial" w:hAnsi="Arial" w:cs="Arial"/>
          <w:bCs/>
          <w:sz w:val="16"/>
          <w:szCs w:val="16"/>
        </w:rPr>
      </w:pPr>
      <w:r w:rsidRPr="00123376">
        <w:rPr>
          <w:rFonts w:ascii="Arial" w:hAnsi="Arial" w:cs="Arial"/>
          <w:bCs/>
          <w:sz w:val="16"/>
          <w:szCs w:val="16"/>
        </w:rPr>
        <w:t>Zdroj: ITMS</w:t>
      </w:r>
    </w:p>
    <w:p w14:paraId="5A29D136" w14:textId="0103E52E" w:rsidR="00881054" w:rsidRPr="001014DE" w:rsidRDefault="001014DE" w:rsidP="001014DE">
      <w:pPr>
        <w:jc w:val="both"/>
        <w:rPr>
          <w:rFonts w:ascii="Arial" w:hAnsi="Arial" w:cs="Arial"/>
          <w:i/>
          <w:sz w:val="16"/>
          <w:szCs w:val="16"/>
        </w:rPr>
      </w:pPr>
      <w:r w:rsidRPr="001014DE">
        <w:rPr>
          <w:rFonts w:ascii="Arial" w:hAnsi="Arial" w:cs="Arial"/>
          <w:i/>
          <w:sz w:val="16"/>
          <w:szCs w:val="16"/>
        </w:rPr>
        <w:t>1-</w:t>
      </w:r>
      <w:r>
        <w:rPr>
          <w:rFonts w:ascii="Arial" w:hAnsi="Arial" w:cs="Arial"/>
          <w:i/>
          <w:sz w:val="16"/>
          <w:szCs w:val="16"/>
        </w:rPr>
        <w:t xml:space="preserve"> </w:t>
      </w:r>
      <w:r w:rsidR="00881054" w:rsidRPr="001014DE">
        <w:rPr>
          <w:rFonts w:ascii="Arial" w:hAnsi="Arial" w:cs="Arial"/>
          <w:i/>
          <w:sz w:val="16"/>
          <w:szCs w:val="16"/>
        </w:rPr>
        <w:t>Údaj obsahuje</w:t>
      </w:r>
      <w:r w:rsidR="001535B6" w:rsidRPr="001014DE">
        <w:rPr>
          <w:rFonts w:ascii="Arial" w:hAnsi="Arial" w:cs="Arial"/>
          <w:i/>
          <w:sz w:val="16"/>
          <w:szCs w:val="16"/>
        </w:rPr>
        <w:t xml:space="preserve"> aj</w:t>
      </w:r>
      <w:r w:rsidR="00881054" w:rsidRPr="001014DE">
        <w:rPr>
          <w:rFonts w:ascii="Arial" w:hAnsi="Arial" w:cs="Arial"/>
          <w:i/>
          <w:sz w:val="16"/>
          <w:szCs w:val="16"/>
        </w:rPr>
        <w:t xml:space="preserve"> deklarovanú cieľovú hodnotu projektov</w:t>
      </w:r>
      <w:r w:rsidR="00D16000" w:rsidRPr="001014DE">
        <w:rPr>
          <w:rFonts w:ascii="Arial" w:hAnsi="Arial" w:cs="Arial"/>
          <w:i/>
          <w:sz w:val="16"/>
          <w:szCs w:val="16"/>
        </w:rPr>
        <w:t xml:space="preserve"> s nepriamym príspevkom k HP MRK</w:t>
      </w:r>
      <w:r w:rsidR="00881054" w:rsidRPr="001014DE">
        <w:rPr>
          <w:rFonts w:ascii="Arial" w:hAnsi="Arial" w:cs="Arial"/>
          <w:i/>
          <w:sz w:val="16"/>
          <w:szCs w:val="16"/>
        </w:rPr>
        <w:t xml:space="preserve"> v zmysle </w:t>
      </w:r>
      <w:r w:rsidR="007A55A7" w:rsidRPr="001014DE">
        <w:rPr>
          <w:rFonts w:ascii="Arial" w:hAnsi="Arial" w:cs="Arial"/>
          <w:i/>
          <w:sz w:val="16"/>
          <w:szCs w:val="16"/>
        </w:rPr>
        <w:t xml:space="preserve">zmlúv </w:t>
      </w:r>
      <w:r w:rsidR="00881054" w:rsidRPr="001014DE">
        <w:rPr>
          <w:rFonts w:ascii="Arial" w:hAnsi="Arial" w:cs="Arial"/>
          <w:i/>
          <w:sz w:val="16"/>
          <w:szCs w:val="16"/>
        </w:rPr>
        <w:t xml:space="preserve">o NFP </w:t>
      </w:r>
      <w:r w:rsidR="001836C3" w:rsidRPr="001014DE">
        <w:rPr>
          <w:rFonts w:ascii="Arial" w:hAnsi="Arial" w:cs="Arial"/>
          <w:i/>
          <w:sz w:val="16"/>
          <w:szCs w:val="16"/>
        </w:rPr>
        <w:br/>
      </w:r>
      <w:r w:rsidR="00881054" w:rsidRPr="001014DE">
        <w:rPr>
          <w:rFonts w:ascii="Arial" w:hAnsi="Arial" w:cs="Arial"/>
          <w:i/>
          <w:sz w:val="16"/>
          <w:szCs w:val="16"/>
        </w:rPr>
        <w:t>k 31.</w:t>
      </w:r>
      <w:r w:rsidR="00963B10">
        <w:rPr>
          <w:rFonts w:ascii="Arial" w:hAnsi="Arial" w:cs="Arial"/>
          <w:i/>
          <w:sz w:val="16"/>
          <w:szCs w:val="16"/>
        </w:rPr>
        <w:t>10</w:t>
      </w:r>
      <w:r w:rsidR="00881054" w:rsidRPr="001014DE">
        <w:rPr>
          <w:rFonts w:ascii="Arial" w:hAnsi="Arial" w:cs="Arial"/>
          <w:i/>
          <w:sz w:val="16"/>
          <w:szCs w:val="16"/>
        </w:rPr>
        <w:t>.</w:t>
      </w:r>
      <w:r w:rsidR="00C249F6" w:rsidRPr="001014DE">
        <w:rPr>
          <w:rFonts w:ascii="Arial" w:hAnsi="Arial" w:cs="Arial"/>
          <w:i/>
          <w:sz w:val="16"/>
          <w:szCs w:val="16"/>
        </w:rPr>
        <w:t>201</w:t>
      </w:r>
      <w:r w:rsidR="00963B10">
        <w:rPr>
          <w:rFonts w:ascii="Arial" w:hAnsi="Arial" w:cs="Arial"/>
          <w:i/>
          <w:sz w:val="16"/>
          <w:szCs w:val="16"/>
        </w:rPr>
        <w:t>6</w:t>
      </w:r>
      <w:r w:rsidR="00881054" w:rsidRPr="001014DE">
        <w:rPr>
          <w:rFonts w:ascii="Arial" w:hAnsi="Arial" w:cs="Arial"/>
          <w:i/>
          <w:sz w:val="16"/>
          <w:szCs w:val="16"/>
        </w:rPr>
        <w:t xml:space="preserve">. Hodnota ukazovateľa dopadu na úrovni projektov sa vykazuje </w:t>
      </w:r>
      <w:r w:rsidR="007A55A7" w:rsidRPr="001014DE">
        <w:rPr>
          <w:rFonts w:ascii="Arial" w:hAnsi="Arial" w:cs="Arial"/>
          <w:i/>
          <w:sz w:val="16"/>
          <w:szCs w:val="16"/>
        </w:rPr>
        <w:t xml:space="preserve">až </w:t>
      </w:r>
      <w:r w:rsidR="00881054" w:rsidRPr="001014DE">
        <w:rPr>
          <w:rFonts w:ascii="Arial" w:hAnsi="Arial" w:cs="Arial"/>
          <w:i/>
          <w:sz w:val="16"/>
          <w:szCs w:val="16"/>
        </w:rPr>
        <w:t>na základe následných monitorovacích správ, ktoré sú predkladané rok po skončení realizácie projektu. V súčasnosti prebieha realizácia projektov.</w:t>
      </w:r>
    </w:p>
    <w:p w14:paraId="71FC3B9E" w14:textId="77777777" w:rsidR="001014DE" w:rsidRPr="00783541" w:rsidRDefault="001014DE" w:rsidP="001014DE">
      <w:pPr>
        <w:rPr>
          <w:rFonts w:ascii="Arial" w:hAnsi="Arial" w:cs="Arial"/>
          <w:i/>
          <w:sz w:val="16"/>
          <w:szCs w:val="16"/>
        </w:rPr>
      </w:pPr>
      <w:r w:rsidRPr="00783541">
        <w:rPr>
          <w:rFonts w:ascii="Arial" w:hAnsi="Arial" w:cs="Arial"/>
          <w:i/>
          <w:sz w:val="16"/>
          <w:szCs w:val="16"/>
        </w:rPr>
        <w:t xml:space="preserve">Údaj o počte vytvorených pracovných miest cielene pre MRK vyjadruje počet vytvorených pracovných miest cielene pre MRK v rámci celého OP ŽP </w:t>
      </w:r>
    </w:p>
    <w:p w14:paraId="46F6EFD4" w14:textId="77777777" w:rsidR="005445E3" w:rsidRDefault="005445E3" w:rsidP="005445E3">
      <w:pPr>
        <w:spacing w:before="120" w:after="120"/>
        <w:jc w:val="both"/>
        <w:rPr>
          <w:rFonts w:ascii="Arial" w:hAnsi="Arial" w:cs="Arial"/>
          <w:sz w:val="20"/>
          <w:szCs w:val="20"/>
        </w:rPr>
      </w:pPr>
      <w:r>
        <w:rPr>
          <w:rFonts w:ascii="Arial" w:hAnsi="Arial" w:cs="Arial"/>
          <w:sz w:val="20"/>
          <w:szCs w:val="20"/>
        </w:rPr>
        <w:t xml:space="preserve">Samotné </w:t>
      </w:r>
      <w:r w:rsidRPr="003320BE">
        <w:rPr>
          <w:rFonts w:ascii="Arial" w:hAnsi="Arial" w:cs="Arial"/>
          <w:sz w:val="20"/>
          <w:szCs w:val="20"/>
        </w:rPr>
        <w:t xml:space="preserve">plnenie </w:t>
      </w:r>
      <w:r>
        <w:rPr>
          <w:rFonts w:ascii="Arial" w:hAnsi="Arial" w:cs="Arial"/>
          <w:sz w:val="20"/>
          <w:szCs w:val="20"/>
        </w:rPr>
        <w:t xml:space="preserve">fyzických </w:t>
      </w:r>
      <w:r w:rsidRPr="003320BE">
        <w:rPr>
          <w:rFonts w:ascii="Arial" w:hAnsi="Arial" w:cs="Arial"/>
          <w:sz w:val="20"/>
          <w:szCs w:val="20"/>
        </w:rPr>
        <w:t xml:space="preserve">ukazovateľov </w:t>
      </w:r>
      <w:r>
        <w:rPr>
          <w:rFonts w:ascii="Arial" w:hAnsi="Arial" w:cs="Arial"/>
          <w:sz w:val="20"/>
          <w:szCs w:val="20"/>
        </w:rPr>
        <w:t>HP MRK bolo</w:t>
      </w:r>
      <w:r w:rsidRPr="003320BE">
        <w:rPr>
          <w:rFonts w:ascii="Arial" w:hAnsi="Arial" w:cs="Arial"/>
          <w:sz w:val="20"/>
          <w:szCs w:val="20"/>
        </w:rPr>
        <w:t xml:space="preserve"> </w:t>
      </w:r>
      <w:r>
        <w:rPr>
          <w:rFonts w:ascii="Arial" w:hAnsi="Arial" w:cs="Arial"/>
          <w:sz w:val="20"/>
          <w:szCs w:val="20"/>
        </w:rPr>
        <w:t xml:space="preserve">v jednotlivých rokoch </w:t>
      </w:r>
      <w:r w:rsidRPr="003320BE">
        <w:rPr>
          <w:rFonts w:ascii="Arial" w:hAnsi="Arial" w:cs="Arial"/>
          <w:sz w:val="20"/>
          <w:szCs w:val="20"/>
        </w:rPr>
        <w:t xml:space="preserve">ovplyvňované </w:t>
      </w:r>
      <w:r>
        <w:rPr>
          <w:rFonts w:ascii="Arial" w:hAnsi="Arial" w:cs="Arial"/>
          <w:sz w:val="20"/>
          <w:szCs w:val="20"/>
        </w:rPr>
        <w:t>stavom projektov</w:t>
      </w:r>
      <w:r w:rsidRPr="003320BE">
        <w:rPr>
          <w:rFonts w:ascii="Arial" w:hAnsi="Arial" w:cs="Arial"/>
          <w:sz w:val="20"/>
          <w:szCs w:val="20"/>
        </w:rPr>
        <w:t xml:space="preserve"> (schválený/zazmluvnený/v realizácii), ako aj čerpan</w:t>
      </w:r>
      <w:r>
        <w:rPr>
          <w:rFonts w:ascii="Arial" w:hAnsi="Arial" w:cs="Arial"/>
          <w:sz w:val="20"/>
          <w:szCs w:val="20"/>
        </w:rPr>
        <w:t>ím oprávnených výdavkov projektov</w:t>
      </w:r>
      <w:r w:rsidRPr="003320BE">
        <w:rPr>
          <w:rFonts w:ascii="Arial" w:hAnsi="Arial" w:cs="Arial"/>
          <w:sz w:val="20"/>
          <w:szCs w:val="20"/>
        </w:rPr>
        <w:t>.</w:t>
      </w:r>
    </w:p>
    <w:p w14:paraId="0A5B6AE4" w14:textId="77777777" w:rsidR="005445E3" w:rsidRPr="00912C87" w:rsidRDefault="005445E3" w:rsidP="005445E3">
      <w:pPr>
        <w:spacing w:before="120" w:after="120"/>
        <w:jc w:val="both"/>
        <w:rPr>
          <w:rFonts w:ascii="Arial" w:hAnsi="Arial" w:cs="Arial"/>
          <w:i/>
          <w:sz w:val="20"/>
          <w:szCs w:val="20"/>
        </w:rPr>
      </w:pPr>
      <w:r w:rsidRPr="00912C87">
        <w:rPr>
          <w:rFonts w:ascii="Arial" w:hAnsi="Arial" w:cs="Arial"/>
          <w:i/>
          <w:sz w:val="20"/>
          <w:szCs w:val="20"/>
        </w:rPr>
        <w:lastRenderedPageBreak/>
        <w:t>Indikátor „Počet projektov cielene zameraných na MRK“</w:t>
      </w:r>
    </w:p>
    <w:p w14:paraId="248028FE" w14:textId="48FBABA8" w:rsidR="005445E3" w:rsidRDefault="005445E3" w:rsidP="003320BE">
      <w:pPr>
        <w:spacing w:before="120" w:after="120"/>
        <w:jc w:val="both"/>
        <w:rPr>
          <w:rFonts w:ascii="Arial" w:hAnsi="Arial" w:cs="Arial"/>
          <w:sz w:val="20"/>
          <w:szCs w:val="20"/>
        </w:rPr>
      </w:pPr>
      <w:r>
        <w:rPr>
          <w:rFonts w:ascii="Arial" w:hAnsi="Arial" w:cs="Arial"/>
          <w:sz w:val="20"/>
          <w:szCs w:val="20"/>
        </w:rPr>
        <w:t>K 31.</w:t>
      </w:r>
      <w:r w:rsidR="009F2E97">
        <w:rPr>
          <w:rFonts w:ascii="Arial" w:hAnsi="Arial" w:cs="Arial"/>
          <w:sz w:val="20"/>
          <w:szCs w:val="20"/>
        </w:rPr>
        <w:t xml:space="preserve"> </w:t>
      </w:r>
      <w:r>
        <w:rPr>
          <w:rFonts w:ascii="Arial" w:hAnsi="Arial" w:cs="Arial"/>
          <w:sz w:val="20"/>
          <w:szCs w:val="20"/>
        </w:rPr>
        <w:t>12.</w:t>
      </w:r>
      <w:r w:rsidR="009F2E97">
        <w:rPr>
          <w:rFonts w:ascii="Arial" w:hAnsi="Arial" w:cs="Arial"/>
          <w:sz w:val="20"/>
          <w:szCs w:val="20"/>
        </w:rPr>
        <w:t xml:space="preserve"> </w:t>
      </w:r>
      <w:r>
        <w:rPr>
          <w:rFonts w:ascii="Arial" w:hAnsi="Arial" w:cs="Arial"/>
          <w:sz w:val="20"/>
          <w:szCs w:val="20"/>
        </w:rPr>
        <w:t xml:space="preserve">2015 a teda celkovo v rámci programového obdobia bolo zazmluvnených 17 žiadostí o NFP, ktoré boli predložené v rámci dvoch výziev s relevanciou k LSKxP. Cieľová hodnota 60 projektov je tak naplnená na 28,3%. Nízke naplnenie indikátora má súvis s predovšetkým s nízkou absorpčnou schopnosťou žiadateľov. Bližšie dôvody sú uvedené v časti týkajúcej sa zverejnených výziev s relevanciou k LSKxP. K 31. 12. 2015 </w:t>
      </w:r>
      <w:r w:rsidRPr="00304CE9">
        <w:rPr>
          <w:rFonts w:ascii="Arial" w:hAnsi="Arial" w:cs="Arial"/>
          <w:sz w:val="20"/>
          <w:szCs w:val="20"/>
        </w:rPr>
        <w:t xml:space="preserve">bolo </w:t>
      </w:r>
      <w:r w:rsidR="0050550C" w:rsidRPr="00304CE9">
        <w:rPr>
          <w:rFonts w:ascii="Arial" w:hAnsi="Arial" w:cs="Arial"/>
          <w:sz w:val="20"/>
          <w:szCs w:val="20"/>
        </w:rPr>
        <w:t xml:space="preserve">11 </w:t>
      </w:r>
      <w:r w:rsidRPr="00304CE9">
        <w:rPr>
          <w:rFonts w:ascii="Arial" w:hAnsi="Arial" w:cs="Arial"/>
          <w:sz w:val="20"/>
          <w:szCs w:val="20"/>
        </w:rPr>
        <w:t xml:space="preserve">projektov riadne ukončených, pričom pri šiestich projektoch prebiehalo finančné ukončovanie. Všetkých 17 projektov bolo úspešne ukončených </w:t>
      </w:r>
      <w:r w:rsidR="00304CE9">
        <w:rPr>
          <w:rFonts w:ascii="Arial" w:hAnsi="Arial" w:cs="Arial"/>
          <w:sz w:val="20"/>
          <w:szCs w:val="20"/>
        </w:rPr>
        <w:t>do</w:t>
      </w:r>
      <w:r w:rsidRPr="00304CE9">
        <w:rPr>
          <w:rFonts w:ascii="Arial" w:hAnsi="Arial" w:cs="Arial"/>
          <w:sz w:val="20"/>
          <w:szCs w:val="20"/>
        </w:rPr>
        <w:t> </w:t>
      </w:r>
      <w:r w:rsidR="00304CE9">
        <w:rPr>
          <w:rFonts w:ascii="Arial" w:hAnsi="Arial" w:cs="Arial"/>
          <w:sz w:val="20"/>
          <w:szCs w:val="20"/>
        </w:rPr>
        <w:t>mája</w:t>
      </w:r>
      <w:r w:rsidRPr="00304CE9">
        <w:rPr>
          <w:rFonts w:ascii="Arial" w:hAnsi="Arial" w:cs="Arial"/>
          <w:sz w:val="20"/>
          <w:szCs w:val="20"/>
        </w:rPr>
        <w:t xml:space="preserve"> 2016.</w:t>
      </w:r>
    </w:p>
    <w:p w14:paraId="6485ED52" w14:textId="77777777" w:rsidR="008B240B" w:rsidRPr="00912C87" w:rsidRDefault="008B240B" w:rsidP="003320BE">
      <w:pPr>
        <w:spacing w:before="120" w:after="120"/>
        <w:jc w:val="both"/>
        <w:rPr>
          <w:rFonts w:ascii="Arial" w:hAnsi="Arial" w:cs="Arial"/>
          <w:i/>
          <w:sz w:val="20"/>
          <w:szCs w:val="20"/>
        </w:rPr>
      </w:pPr>
      <w:r w:rsidRPr="00912C87">
        <w:rPr>
          <w:rFonts w:ascii="Arial" w:hAnsi="Arial" w:cs="Arial"/>
          <w:i/>
          <w:sz w:val="20"/>
          <w:szCs w:val="20"/>
        </w:rPr>
        <w:t>Indikátor „Hodnota projektov</w:t>
      </w:r>
      <w:r w:rsidRPr="008B240B">
        <w:rPr>
          <w:rFonts w:ascii="Arial" w:hAnsi="Arial" w:cs="Arial"/>
          <w:i/>
          <w:sz w:val="20"/>
          <w:szCs w:val="20"/>
        </w:rPr>
        <w:t xml:space="preserve"> cielene zameraných na MRK</w:t>
      </w:r>
      <w:r w:rsidRPr="00912C87">
        <w:rPr>
          <w:rFonts w:ascii="Arial" w:hAnsi="Arial" w:cs="Arial"/>
          <w:i/>
          <w:sz w:val="20"/>
          <w:szCs w:val="20"/>
        </w:rPr>
        <w:t>“</w:t>
      </w:r>
    </w:p>
    <w:p w14:paraId="00EE58F5" w14:textId="16F5D1B6" w:rsidR="008B240B" w:rsidRPr="000823BC" w:rsidRDefault="008B240B" w:rsidP="003320BE">
      <w:pPr>
        <w:spacing w:before="120" w:after="120"/>
        <w:jc w:val="both"/>
        <w:rPr>
          <w:rFonts w:ascii="Arial" w:hAnsi="Arial" w:cs="Arial"/>
          <w:sz w:val="20"/>
          <w:szCs w:val="20"/>
        </w:rPr>
      </w:pPr>
      <w:r w:rsidRPr="000A4DF7">
        <w:rPr>
          <w:rFonts w:ascii="Arial" w:hAnsi="Arial" w:cs="Arial"/>
          <w:sz w:val="20"/>
          <w:szCs w:val="20"/>
        </w:rPr>
        <w:t>Alokácia, ktorá bola vyčlenená</w:t>
      </w:r>
      <w:r w:rsidR="00243748" w:rsidRPr="000A4DF7">
        <w:rPr>
          <w:rFonts w:ascii="Arial" w:hAnsi="Arial" w:cs="Arial"/>
          <w:sz w:val="20"/>
          <w:szCs w:val="20"/>
        </w:rPr>
        <w:t xml:space="preserve"> na výzvy s relevanciou k LSKxP bola vyčerpaná na </w:t>
      </w:r>
      <w:r w:rsidR="004B517E">
        <w:rPr>
          <w:rFonts w:ascii="Arial" w:hAnsi="Arial" w:cs="Arial"/>
          <w:sz w:val="20"/>
          <w:szCs w:val="20"/>
        </w:rPr>
        <w:t xml:space="preserve">36,7 </w:t>
      </w:r>
      <w:r w:rsidR="00243748" w:rsidRPr="000A4DF7">
        <w:rPr>
          <w:rFonts w:ascii="Arial" w:hAnsi="Arial" w:cs="Arial"/>
          <w:sz w:val="20"/>
          <w:szCs w:val="20"/>
        </w:rPr>
        <w:t xml:space="preserve">%. Tak ako bolo v časti „Výzvy s relevanciou k LSKxP“ uvedené zvyšná alokácia </w:t>
      </w:r>
      <w:r w:rsidR="005445E3" w:rsidRPr="000A4DF7">
        <w:rPr>
          <w:rFonts w:ascii="Arial" w:hAnsi="Arial" w:cs="Arial"/>
          <w:sz w:val="20"/>
          <w:szCs w:val="20"/>
        </w:rPr>
        <w:t xml:space="preserve">bola predovšetkým z dôvodu nízkej absorpčnej schopnosti žiadateľov a náročnej prípravy a realizácie projektov v oblasti odpadového hospodárstva, </w:t>
      </w:r>
      <w:r w:rsidR="00243748" w:rsidRPr="000A4DF7">
        <w:rPr>
          <w:rFonts w:ascii="Arial" w:hAnsi="Arial" w:cs="Arial"/>
          <w:sz w:val="20"/>
          <w:szCs w:val="20"/>
        </w:rPr>
        <w:t>smerovaná na plnenie záväzkov SR v oblasti zásobovania obyvateľstva pitnou vodou z verejných vodovodov a odvádzania a čistenia odpadových vôd verejnou kanalizáciou s čistiarňami odpadových vôd, t.j. do PO 1, v rámci ktorej dochádza aj k napĺňaniu cieľov HP MRK.</w:t>
      </w:r>
      <w:r w:rsidR="00243748" w:rsidRPr="000823BC">
        <w:rPr>
          <w:rFonts w:ascii="Arial" w:hAnsi="Arial" w:cs="Arial"/>
          <w:sz w:val="20"/>
          <w:szCs w:val="20"/>
        </w:rPr>
        <w:t xml:space="preserve"> </w:t>
      </w:r>
    </w:p>
    <w:p w14:paraId="52D74D46" w14:textId="77777777" w:rsidR="00243748" w:rsidRPr="000330FE" w:rsidRDefault="00243748" w:rsidP="003320BE">
      <w:pPr>
        <w:spacing w:before="120" w:after="120"/>
        <w:jc w:val="both"/>
        <w:rPr>
          <w:rFonts w:ascii="Arial" w:hAnsi="Arial" w:cs="Arial"/>
          <w:sz w:val="20"/>
          <w:szCs w:val="20"/>
        </w:rPr>
      </w:pPr>
      <w:r w:rsidRPr="008D5A1F">
        <w:rPr>
          <w:rFonts w:ascii="Arial" w:hAnsi="Arial" w:cs="Arial"/>
          <w:i/>
          <w:sz w:val="20"/>
          <w:szCs w:val="20"/>
        </w:rPr>
        <w:t>Indikátor „Počet vytvorených pracovných miest cielene pre MRK“</w:t>
      </w:r>
    </w:p>
    <w:p w14:paraId="28BC5EF5" w14:textId="4B22800C" w:rsidR="00243748" w:rsidRPr="000823BC" w:rsidRDefault="000823BC" w:rsidP="003320BE">
      <w:pPr>
        <w:spacing w:before="120" w:after="120"/>
        <w:jc w:val="both"/>
        <w:rPr>
          <w:rFonts w:ascii="Arial" w:hAnsi="Arial" w:cs="Arial"/>
          <w:sz w:val="20"/>
          <w:szCs w:val="20"/>
        </w:rPr>
      </w:pPr>
      <w:r w:rsidRPr="000A4DF7">
        <w:rPr>
          <w:rFonts w:ascii="Arial" w:hAnsi="Arial" w:cs="Arial"/>
          <w:sz w:val="20"/>
          <w:szCs w:val="20"/>
        </w:rPr>
        <w:t>Cieľová hodnota 30 pracovných miest cielene vytvorených pre MRK je na základe realizovaných projektov k 31.</w:t>
      </w:r>
      <w:r w:rsidR="009F2E97">
        <w:rPr>
          <w:rFonts w:ascii="Arial" w:hAnsi="Arial" w:cs="Arial"/>
          <w:sz w:val="20"/>
          <w:szCs w:val="20"/>
        </w:rPr>
        <w:t xml:space="preserve"> </w:t>
      </w:r>
      <w:r w:rsidRPr="000A4DF7">
        <w:rPr>
          <w:rFonts w:ascii="Arial" w:hAnsi="Arial" w:cs="Arial"/>
          <w:sz w:val="20"/>
          <w:szCs w:val="20"/>
        </w:rPr>
        <w:t>10.</w:t>
      </w:r>
      <w:r w:rsidR="009F2E97">
        <w:rPr>
          <w:rFonts w:ascii="Arial" w:hAnsi="Arial" w:cs="Arial"/>
          <w:sz w:val="20"/>
          <w:szCs w:val="20"/>
        </w:rPr>
        <w:t xml:space="preserve"> </w:t>
      </w:r>
      <w:r w:rsidRPr="000A4DF7">
        <w:rPr>
          <w:rFonts w:ascii="Arial" w:hAnsi="Arial" w:cs="Arial"/>
          <w:sz w:val="20"/>
          <w:szCs w:val="20"/>
        </w:rPr>
        <w:t xml:space="preserve">2016 naplnená na 43 %. Realizáciou všetkých zazmluvnených projektov bude naplnenosť cieľa takmer </w:t>
      </w:r>
      <w:r w:rsidR="008975F2">
        <w:rPr>
          <w:rFonts w:ascii="Arial" w:hAnsi="Arial" w:cs="Arial"/>
          <w:sz w:val="20"/>
          <w:szCs w:val="20"/>
        </w:rPr>
        <w:t xml:space="preserve">na </w:t>
      </w:r>
      <w:r w:rsidRPr="000A4DF7">
        <w:rPr>
          <w:rFonts w:ascii="Arial" w:hAnsi="Arial" w:cs="Arial"/>
          <w:sz w:val="20"/>
          <w:szCs w:val="20"/>
        </w:rPr>
        <w:t xml:space="preserve">87 %, nakoľko sa </w:t>
      </w:r>
      <w:r w:rsidR="008975F2">
        <w:rPr>
          <w:rFonts w:ascii="Arial" w:hAnsi="Arial" w:cs="Arial"/>
          <w:sz w:val="20"/>
          <w:szCs w:val="20"/>
        </w:rPr>
        <w:t xml:space="preserve">ešte </w:t>
      </w:r>
      <w:r w:rsidRPr="000A4DF7">
        <w:rPr>
          <w:rFonts w:ascii="Arial" w:hAnsi="Arial" w:cs="Arial"/>
          <w:sz w:val="20"/>
          <w:szCs w:val="20"/>
        </w:rPr>
        <w:t>predpokladá vytvorenie 26 pracovných miest cielene pre MRK.</w:t>
      </w:r>
      <w:r w:rsidR="005A69FF" w:rsidRPr="000823BC">
        <w:rPr>
          <w:rFonts w:ascii="Arial" w:hAnsi="Arial" w:cs="Arial"/>
          <w:sz w:val="20"/>
          <w:szCs w:val="20"/>
        </w:rPr>
        <w:t xml:space="preserve">  </w:t>
      </w:r>
    </w:p>
    <w:p w14:paraId="5D93AADA" w14:textId="77777777" w:rsidR="006353B8" w:rsidRPr="000330FE" w:rsidRDefault="006353B8" w:rsidP="003320BE">
      <w:pPr>
        <w:spacing w:before="120" w:after="120"/>
        <w:jc w:val="both"/>
        <w:rPr>
          <w:rFonts w:ascii="Arial" w:hAnsi="Arial" w:cs="Arial"/>
          <w:i/>
          <w:sz w:val="20"/>
          <w:szCs w:val="20"/>
        </w:rPr>
      </w:pPr>
      <w:r w:rsidRPr="008D5A1F">
        <w:rPr>
          <w:rFonts w:ascii="Arial" w:hAnsi="Arial" w:cs="Arial"/>
          <w:i/>
          <w:sz w:val="20"/>
          <w:szCs w:val="20"/>
        </w:rPr>
        <w:t xml:space="preserve">Indikátor </w:t>
      </w:r>
      <w:r w:rsidR="00781EF4" w:rsidRPr="008D5A1F">
        <w:rPr>
          <w:rFonts w:ascii="Arial" w:hAnsi="Arial" w:cs="Arial"/>
          <w:i/>
          <w:sz w:val="20"/>
          <w:szCs w:val="20"/>
        </w:rPr>
        <w:t>„Počet príslušníkov MRK využívajúcich výstupy projektu“</w:t>
      </w:r>
    </w:p>
    <w:p w14:paraId="584909F1" w14:textId="2EC8FDAE" w:rsidR="001836C3" w:rsidRDefault="000823BC" w:rsidP="00CE0728">
      <w:pPr>
        <w:spacing w:before="120" w:after="120"/>
        <w:jc w:val="both"/>
        <w:rPr>
          <w:rFonts w:ascii="Arial" w:hAnsi="Arial" w:cs="Arial"/>
          <w:sz w:val="20"/>
          <w:szCs w:val="20"/>
        </w:rPr>
      </w:pPr>
      <w:r w:rsidRPr="000A4DF7">
        <w:rPr>
          <w:rFonts w:ascii="Arial" w:hAnsi="Arial" w:cs="Arial"/>
          <w:sz w:val="20"/>
          <w:szCs w:val="20"/>
        </w:rPr>
        <w:t>Hodnota indikátora k 31.</w:t>
      </w:r>
      <w:r w:rsidR="009F2E97">
        <w:rPr>
          <w:rFonts w:ascii="Arial" w:hAnsi="Arial" w:cs="Arial"/>
          <w:sz w:val="20"/>
          <w:szCs w:val="20"/>
        </w:rPr>
        <w:t xml:space="preserve"> </w:t>
      </w:r>
      <w:r w:rsidRPr="000A4DF7">
        <w:rPr>
          <w:rFonts w:ascii="Arial" w:hAnsi="Arial" w:cs="Arial"/>
          <w:sz w:val="20"/>
          <w:szCs w:val="20"/>
        </w:rPr>
        <w:t>10.</w:t>
      </w:r>
      <w:r w:rsidR="009F2E97">
        <w:rPr>
          <w:rFonts w:ascii="Arial" w:hAnsi="Arial" w:cs="Arial"/>
          <w:sz w:val="20"/>
          <w:szCs w:val="20"/>
        </w:rPr>
        <w:t xml:space="preserve"> </w:t>
      </w:r>
      <w:r w:rsidRPr="000A4DF7">
        <w:rPr>
          <w:rFonts w:ascii="Arial" w:hAnsi="Arial" w:cs="Arial"/>
          <w:sz w:val="20"/>
          <w:szCs w:val="20"/>
        </w:rPr>
        <w:t xml:space="preserve">2016 bola </w:t>
      </w:r>
      <w:r w:rsidR="0073356E" w:rsidRPr="0073356E">
        <w:rPr>
          <w:rFonts w:ascii="Arial" w:hAnsi="Arial" w:cs="Arial"/>
          <w:sz w:val="20"/>
          <w:szCs w:val="20"/>
        </w:rPr>
        <w:t>127 457</w:t>
      </w:r>
      <w:r w:rsidRPr="000A4DF7">
        <w:rPr>
          <w:rFonts w:ascii="Arial" w:hAnsi="Arial" w:cs="Arial"/>
          <w:sz w:val="20"/>
          <w:szCs w:val="20"/>
        </w:rPr>
        <w:t xml:space="preserve"> príslušníkov MRK </w:t>
      </w:r>
      <w:r w:rsidRPr="0073356E">
        <w:rPr>
          <w:rFonts w:ascii="Arial" w:hAnsi="Arial" w:cs="Arial"/>
          <w:sz w:val="20"/>
          <w:szCs w:val="20"/>
        </w:rPr>
        <w:t xml:space="preserve">využívajúcich výstupy projektu, čo niekoľko násobne prekračuje cieľovú hodnotu stanovenú v OP ŽP. </w:t>
      </w:r>
      <w:r w:rsidR="006353B8" w:rsidRPr="0073356E">
        <w:rPr>
          <w:rFonts w:ascii="Arial" w:hAnsi="Arial" w:cs="Arial"/>
          <w:sz w:val="20"/>
          <w:szCs w:val="20"/>
        </w:rPr>
        <w:t xml:space="preserve"> </w:t>
      </w:r>
      <w:r w:rsidR="00403737" w:rsidRPr="0073356E">
        <w:rPr>
          <w:rFonts w:ascii="Arial" w:hAnsi="Arial" w:cs="Arial"/>
          <w:sz w:val="20"/>
          <w:szCs w:val="20"/>
        </w:rPr>
        <w:t>V rámci PO 1</w:t>
      </w:r>
      <w:r w:rsidR="00403737" w:rsidRPr="0073356E">
        <w:rPr>
          <w:rFonts w:ascii="Arial" w:hAnsi="Arial" w:cs="Arial"/>
          <w:i/>
          <w:sz w:val="20"/>
          <w:szCs w:val="20"/>
        </w:rPr>
        <w:t xml:space="preserve"> </w:t>
      </w:r>
      <w:r w:rsidR="00403737" w:rsidRPr="0073356E">
        <w:rPr>
          <w:rFonts w:ascii="Arial" w:hAnsi="Arial" w:cs="Arial"/>
          <w:sz w:val="20"/>
          <w:szCs w:val="20"/>
        </w:rPr>
        <w:t xml:space="preserve">bolo ku koncu sledovaného obdobia v ITMS evidovaných </w:t>
      </w:r>
      <w:r w:rsidR="0073356E" w:rsidRPr="0073356E">
        <w:rPr>
          <w:rFonts w:ascii="Arial" w:hAnsi="Arial" w:cs="Arial"/>
          <w:sz w:val="20"/>
          <w:szCs w:val="20"/>
        </w:rPr>
        <w:t>18 111</w:t>
      </w:r>
      <w:r w:rsidR="006C56A4" w:rsidRPr="0073356E">
        <w:rPr>
          <w:rFonts w:ascii="Arial" w:hAnsi="Arial" w:cs="Arial"/>
          <w:sz w:val="20"/>
          <w:szCs w:val="20"/>
        </w:rPr>
        <w:t xml:space="preserve"> </w:t>
      </w:r>
      <w:r w:rsidR="00403737" w:rsidRPr="0073356E">
        <w:rPr>
          <w:rFonts w:ascii="Arial" w:hAnsi="Arial" w:cs="Arial"/>
          <w:sz w:val="20"/>
          <w:szCs w:val="20"/>
        </w:rPr>
        <w:t xml:space="preserve">príslušníkov MRK využívajúcich vodohospodársku infraštruktúru </w:t>
      </w:r>
      <w:r w:rsidR="00F843B4" w:rsidRPr="0073356E">
        <w:rPr>
          <w:rFonts w:ascii="Arial" w:hAnsi="Arial" w:cs="Arial"/>
          <w:sz w:val="20"/>
          <w:szCs w:val="20"/>
        </w:rPr>
        <w:t>a</w:t>
      </w:r>
      <w:r w:rsidR="0073356E" w:rsidRPr="0073356E">
        <w:rPr>
          <w:rFonts w:ascii="Arial" w:hAnsi="Arial" w:cs="Arial"/>
          <w:sz w:val="20"/>
          <w:szCs w:val="20"/>
        </w:rPr>
        <w:t> 109 346</w:t>
      </w:r>
      <w:r w:rsidR="00403737" w:rsidRPr="0073356E">
        <w:rPr>
          <w:rFonts w:ascii="Arial" w:hAnsi="Arial" w:cs="Arial"/>
          <w:sz w:val="20"/>
          <w:szCs w:val="20"/>
        </w:rPr>
        <w:t xml:space="preserve"> príslušníkov MRK využívajúcich infraštruktúru odpadového hospodárstva.</w:t>
      </w:r>
    </w:p>
    <w:p w14:paraId="050F4AA1" w14:textId="710E4709" w:rsidR="00881054" w:rsidRDefault="00881054" w:rsidP="00123376">
      <w:pPr>
        <w:spacing w:before="120"/>
        <w:jc w:val="both"/>
        <w:rPr>
          <w:rFonts w:ascii="Arial" w:hAnsi="Arial" w:cs="Arial"/>
          <w:sz w:val="20"/>
          <w:szCs w:val="20"/>
        </w:rPr>
      </w:pPr>
      <w:r w:rsidRPr="00E21C60">
        <w:rPr>
          <w:rFonts w:ascii="Arial" w:hAnsi="Arial" w:cs="Arial"/>
          <w:sz w:val="20"/>
          <w:szCs w:val="20"/>
        </w:rPr>
        <w:t>Tab</w:t>
      </w:r>
      <w:r w:rsidR="00C70330" w:rsidRPr="00E21C60">
        <w:rPr>
          <w:rFonts w:ascii="Arial" w:hAnsi="Arial" w:cs="Arial"/>
          <w:sz w:val="20"/>
          <w:szCs w:val="20"/>
        </w:rPr>
        <w:t>uľka</w:t>
      </w:r>
      <w:r w:rsidRPr="00E21C60">
        <w:rPr>
          <w:rFonts w:ascii="Arial" w:hAnsi="Arial" w:cs="Arial"/>
          <w:sz w:val="20"/>
          <w:szCs w:val="20"/>
        </w:rPr>
        <w:t xml:space="preserve"> č. </w:t>
      </w:r>
      <w:r w:rsidR="00590529">
        <w:rPr>
          <w:rFonts w:ascii="Arial" w:hAnsi="Arial" w:cs="Arial"/>
          <w:sz w:val="20"/>
          <w:szCs w:val="20"/>
        </w:rPr>
        <w:t>7</w:t>
      </w:r>
      <w:r w:rsidR="007B1CB9">
        <w:rPr>
          <w:rFonts w:ascii="Arial" w:hAnsi="Arial" w:cs="Arial"/>
          <w:sz w:val="20"/>
          <w:szCs w:val="20"/>
        </w:rPr>
        <w:t>9</w:t>
      </w:r>
      <w:r w:rsidRPr="00E21C60">
        <w:rPr>
          <w:rFonts w:ascii="Arial" w:hAnsi="Arial" w:cs="Arial"/>
          <w:sz w:val="20"/>
          <w:szCs w:val="20"/>
        </w:rPr>
        <w:t>: Plnenie fyzických ukazovateľov HP MRK k 31.</w:t>
      </w:r>
      <w:r w:rsidR="009F2E97">
        <w:rPr>
          <w:rFonts w:ascii="Arial" w:hAnsi="Arial" w:cs="Arial"/>
          <w:sz w:val="20"/>
          <w:szCs w:val="20"/>
        </w:rPr>
        <w:t xml:space="preserve"> </w:t>
      </w:r>
      <w:r w:rsidR="000823BC">
        <w:rPr>
          <w:rFonts w:ascii="Arial" w:hAnsi="Arial" w:cs="Arial"/>
          <w:sz w:val="20"/>
          <w:szCs w:val="20"/>
        </w:rPr>
        <w:t>10</w:t>
      </w:r>
      <w:r w:rsidRPr="00E21C60">
        <w:rPr>
          <w:rFonts w:ascii="Arial" w:hAnsi="Arial" w:cs="Arial"/>
          <w:sz w:val="20"/>
          <w:szCs w:val="20"/>
        </w:rPr>
        <w:t>.</w:t>
      </w:r>
      <w:r w:rsidR="009F2E97">
        <w:rPr>
          <w:rFonts w:ascii="Arial" w:hAnsi="Arial" w:cs="Arial"/>
          <w:sz w:val="20"/>
          <w:szCs w:val="20"/>
        </w:rPr>
        <w:t xml:space="preserve"> </w:t>
      </w:r>
      <w:r w:rsidR="000823BC">
        <w:rPr>
          <w:rFonts w:ascii="Arial" w:hAnsi="Arial" w:cs="Arial"/>
          <w:sz w:val="20"/>
          <w:szCs w:val="20"/>
        </w:rPr>
        <w:t>2016</w:t>
      </w:r>
      <w:r w:rsidR="000823BC" w:rsidRPr="00E21C60">
        <w:rPr>
          <w:rFonts w:ascii="Arial" w:hAnsi="Arial" w:cs="Arial"/>
          <w:sz w:val="20"/>
          <w:szCs w:val="20"/>
        </w:rPr>
        <w:t xml:space="preserve"> </w:t>
      </w:r>
      <w:r w:rsidR="007A55A7" w:rsidRPr="00E21C60">
        <w:rPr>
          <w:rFonts w:ascii="Arial" w:hAnsi="Arial" w:cs="Arial"/>
          <w:sz w:val="20"/>
          <w:szCs w:val="20"/>
        </w:rPr>
        <w:t>dosiahnutých prostredníctvom realizácie LSKxP</w:t>
      </w:r>
    </w:p>
    <w:tbl>
      <w:tblPr>
        <w:tblW w:w="9060" w:type="dxa"/>
        <w:tblInd w:w="55" w:type="dxa"/>
        <w:tblCellMar>
          <w:left w:w="70" w:type="dxa"/>
          <w:right w:w="70" w:type="dxa"/>
        </w:tblCellMar>
        <w:tblLook w:val="04A0" w:firstRow="1" w:lastRow="0" w:firstColumn="1" w:lastColumn="0" w:noHBand="0" w:noVBand="1"/>
      </w:tblPr>
      <w:tblGrid>
        <w:gridCol w:w="1015"/>
        <w:gridCol w:w="959"/>
        <w:gridCol w:w="496"/>
        <w:gridCol w:w="496"/>
        <w:gridCol w:w="496"/>
        <w:gridCol w:w="496"/>
        <w:gridCol w:w="496"/>
        <w:gridCol w:w="496"/>
        <w:gridCol w:w="694"/>
        <w:gridCol w:w="852"/>
        <w:gridCol w:w="861"/>
        <w:gridCol w:w="751"/>
        <w:gridCol w:w="952"/>
      </w:tblGrid>
      <w:tr w:rsidR="004B517E" w14:paraId="18A92528" w14:textId="77777777" w:rsidTr="007D7B08">
        <w:trPr>
          <w:trHeight w:val="450"/>
        </w:trPr>
        <w:tc>
          <w:tcPr>
            <w:tcW w:w="1977" w:type="dxa"/>
            <w:gridSpan w:val="2"/>
            <w:tcBorders>
              <w:top w:val="single" w:sz="8" w:space="0" w:color="auto"/>
              <w:left w:val="single" w:sz="8" w:space="0" w:color="auto"/>
              <w:bottom w:val="single" w:sz="8" w:space="0" w:color="auto"/>
              <w:right w:val="single" w:sz="8" w:space="0" w:color="000000"/>
            </w:tcBorders>
            <w:shd w:val="clear" w:color="auto" w:fill="C2D69B" w:themeFill="accent3" w:themeFillTint="99"/>
            <w:vAlign w:val="center"/>
            <w:hideMark/>
          </w:tcPr>
          <w:p w14:paraId="36AEC16E"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Ukazovatele</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693F629D"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2007</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3FB71014"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2008</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6CF0B072"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2009</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68ADF5CE"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2010</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74BBCB5B"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2011</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637554FF"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2012</w:t>
            </w:r>
          </w:p>
        </w:tc>
        <w:tc>
          <w:tcPr>
            <w:tcW w:w="869" w:type="dxa"/>
            <w:tcBorders>
              <w:top w:val="single" w:sz="8" w:space="0" w:color="auto"/>
              <w:left w:val="nil"/>
              <w:bottom w:val="nil"/>
              <w:right w:val="single" w:sz="8" w:space="0" w:color="auto"/>
            </w:tcBorders>
            <w:shd w:val="clear" w:color="auto" w:fill="C2D69B" w:themeFill="accent3" w:themeFillTint="99"/>
            <w:vAlign w:val="center"/>
            <w:hideMark/>
          </w:tcPr>
          <w:p w14:paraId="274AAD0E"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2013</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76DDB392"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2014</w:t>
            </w:r>
          </w:p>
        </w:tc>
        <w:tc>
          <w:tcPr>
            <w:tcW w:w="869" w:type="dxa"/>
            <w:tcBorders>
              <w:top w:val="single" w:sz="8" w:space="0" w:color="auto"/>
              <w:left w:val="nil"/>
              <w:bottom w:val="nil"/>
              <w:right w:val="single" w:sz="8" w:space="0" w:color="auto"/>
            </w:tcBorders>
            <w:shd w:val="clear" w:color="auto" w:fill="C2D69B" w:themeFill="accent3" w:themeFillTint="99"/>
            <w:vAlign w:val="center"/>
            <w:hideMark/>
          </w:tcPr>
          <w:p w14:paraId="323EDECD"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2015</w:t>
            </w:r>
          </w:p>
        </w:tc>
        <w:tc>
          <w:tcPr>
            <w:tcW w:w="897" w:type="dxa"/>
            <w:tcBorders>
              <w:top w:val="single" w:sz="8" w:space="0" w:color="auto"/>
              <w:left w:val="nil"/>
              <w:bottom w:val="nil"/>
              <w:right w:val="single" w:sz="8" w:space="0" w:color="auto"/>
            </w:tcBorders>
            <w:shd w:val="clear" w:color="auto" w:fill="C2D69B" w:themeFill="accent3" w:themeFillTint="99"/>
            <w:vAlign w:val="center"/>
            <w:hideMark/>
          </w:tcPr>
          <w:p w14:paraId="30F63491"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Spolu</w:t>
            </w:r>
          </w:p>
        </w:tc>
        <w:tc>
          <w:tcPr>
            <w:tcW w:w="976" w:type="dxa"/>
            <w:tcBorders>
              <w:top w:val="single" w:sz="8" w:space="0" w:color="auto"/>
              <w:left w:val="nil"/>
              <w:bottom w:val="nil"/>
              <w:right w:val="single" w:sz="8" w:space="0" w:color="auto"/>
            </w:tcBorders>
            <w:shd w:val="clear" w:color="auto" w:fill="C2D69B" w:themeFill="accent3" w:themeFillTint="99"/>
            <w:vAlign w:val="center"/>
            <w:hideMark/>
          </w:tcPr>
          <w:p w14:paraId="704B6D33" w14:textId="77777777" w:rsidR="00CF4716" w:rsidRDefault="00CF4716">
            <w:pPr>
              <w:jc w:val="center"/>
              <w:rPr>
                <w:rFonts w:ascii="Arial" w:hAnsi="Arial" w:cs="Arial"/>
                <w:b/>
                <w:bCs/>
                <w:color w:val="000000"/>
                <w:sz w:val="16"/>
                <w:szCs w:val="16"/>
              </w:rPr>
            </w:pPr>
            <w:r>
              <w:rPr>
                <w:rFonts w:ascii="Arial" w:hAnsi="Arial" w:cs="Arial"/>
                <w:b/>
                <w:bCs/>
                <w:color w:val="000000"/>
                <w:sz w:val="16"/>
                <w:szCs w:val="16"/>
              </w:rPr>
              <w:t>Komentár</w:t>
            </w:r>
          </w:p>
        </w:tc>
      </w:tr>
      <w:tr w:rsidR="00CF4716" w14:paraId="48E7528A" w14:textId="77777777" w:rsidTr="00CF4716">
        <w:trPr>
          <w:trHeight w:val="540"/>
        </w:trPr>
        <w:tc>
          <w:tcPr>
            <w:tcW w:w="1018"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2C032B1A" w14:textId="77777777" w:rsidR="00CF4716" w:rsidRDefault="00CF4716">
            <w:pPr>
              <w:rPr>
                <w:rFonts w:ascii="Arial" w:hAnsi="Arial" w:cs="Arial"/>
                <w:color w:val="000000"/>
                <w:sz w:val="16"/>
                <w:szCs w:val="16"/>
              </w:rPr>
            </w:pPr>
            <w:r>
              <w:rPr>
                <w:rFonts w:ascii="Arial" w:hAnsi="Arial" w:cs="Arial"/>
                <w:color w:val="000000"/>
                <w:sz w:val="16"/>
                <w:szCs w:val="16"/>
              </w:rPr>
              <w:t>Počet projektov cielene zameraných na MRK [počet]</w:t>
            </w:r>
          </w:p>
        </w:tc>
        <w:tc>
          <w:tcPr>
            <w:tcW w:w="959" w:type="dxa"/>
            <w:tcBorders>
              <w:top w:val="nil"/>
              <w:left w:val="nil"/>
              <w:bottom w:val="dotted" w:sz="4" w:space="0" w:color="auto"/>
              <w:right w:val="single" w:sz="8" w:space="0" w:color="auto"/>
            </w:tcBorders>
            <w:shd w:val="clear" w:color="auto" w:fill="auto"/>
            <w:vAlign w:val="center"/>
            <w:hideMark/>
          </w:tcPr>
          <w:p w14:paraId="1099476F" w14:textId="77777777" w:rsidR="00CF4716" w:rsidRDefault="00CF4716">
            <w:pPr>
              <w:rPr>
                <w:rFonts w:ascii="Arial" w:hAnsi="Arial" w:cs="Arial"/>
                <w:color w:val="000000"/>
                <w:sz w:val="16"/>
                <w:szCs w:val="16"/>
              </w:rPr>
            </w:pPr>
            <w:r>
              <w:rPr>
                <w:rFonts w:ascii="Arial" w:hAnsi="Arial" w:cs="Arial"/>
                <w:color w:val="000000"/>
                <w:sz w:val="16"/>
                <w:szCs w:val="16"/>
              </w:rPr>
              <w:t>Dosiahnutý výsledok</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63562FA2"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7C6E5089"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2F148D2F"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42790FD4"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396103FE"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59E30828"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869" w:type="dxa"/>
            <w:tcBorders>
              <w:top w:val="single" w:sz="8" w:space="0" w:color="auto"/>
              <w:left w:val="nil"/>
              <w:bottom w:val="dotted" w:sz="4" w:space="0" w:color="auto"/>
              <w:right w:val="dotted" w:sz="4" w:space="0" w:color="auto"/>
            </w:tcBorders>
            <w:shd w:val="clear" w:color="auto" w:fill="auto"/>
            <w:vAlign w:val="center"/>
            <w:hideMark/>
          </w:tcPr>
          <w:p w14:paraId="75BCBB0C" w14:textId="77777777" w:rsidR="00CF4716" w:rsidRDefault="00CF4716">
            <w:pPr>
              <w:jc w:val="center"/>
              <w:rPr>
                <w:rFonts w:ascii="Arial" w:hAnsi="Arial" w:cs="Arial"/>
                <w:color w:val="000000"/>
                <w:sz w:val="16"/>
                <w:szCs w:val="16"/>
              </w:rPr>
            </w:pPr>
            <w:r>
              <w:rPr>
                <w:rFonts w:ascii="Arial" w:hAnsi="Arial" w:cs="Arial"/>
                <w:color w:val="000000"/>
                <w:sz w:val="16"/>
                <w:szCs w:val="16"/>
              </w:rPr>
              <w:t>6</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6460B75D" w14:textId="0F2D74BE" w:rsidR="00CF4716" w:rsidRDefault="009E12BA">
            <w:pPr>
              <w:jc w:val="center"/>
              <w:rPr>
                <w:rFonts w:ascii="Arial" w:hAnsi="Arial" w:cs="Arial"/>
                <w:color w:val="000000"/>
                <w:sz w:val="16"/>
                <w:szCs w:val="16"/>
              </w:rPr>
            </w:pPr>
            <w:r>
              <w:rPr>
                <w:rFonts w:ascii="Arial" w:hAnsi="Arial" w:cs="Arial"/>
                <w:color w:val="000000"/>
                <w:sz w:val="16"/>
                <w:szCs w:val="16"/>
              </w:rPr>
              <w:t>17</w:t>
            </w:r>
          </w:p>
        </w:tc>
        <w:tc>
          <w:tcPr>
            <w:tcW w:w="869" w:type="dxa"/>
            <w:tcBorders>
              <w:top w:val="single" w:sz="8" w:space="0" w:color="auto"/>
              <w:left w:val="nil"/>
              <w:bottom w:val="dotted" w:sz="4" w:space="0" w:color="auto"/>
              <w:right w:val="dotted" w:sz="4" w:space="0" w:color="auto"/>
            </w:tcBorders>
            <w:shd w:val="clear" w:color="auto" w:fill="auto"/>
            <w:vAlign w:val="center"/>
            <w:hideMark/>
          </w:tcPr>
          <w:p w14:paraId="6D675C4D"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97" w:type="dxa"/>
            <w:tcBorders>
              <w:top w:val="single" w:sz="8" w:space="0" w:color="auto"/>
              <w:left w:val="nil"/>
              <w:bottom w:val="dotted" w:sz="4" w:space="0" w:color="auto"/>
              <w:right w:val="dotted" w:sz="4" w:space="0" w:color="auto"/>
            </w:tcBorders>
            <w:shd w:val="clear" w:color="auto" w:fill="auto"/>
            <w:vAlign w:val="center"/>
            <w:hideMark/>
          </w:tcPr>
          <w:p w14:paraId="314CD6EE" w14:textId="5DE46135" w:rsidR="00CF4716" w:rsidRDefault="003478D8">
            <w:pPr>
              <w:jc w:val="center"/>
              <w:rPr>
                <w:rFonts w:ascii="Arial" w:hAnsi="Arial" w:cs="Arial"/>
                <w:color w:val="000000"/>
                <w:sz w:val="16"/>
                <w:szCs w:val="16"/>
              </w:rPr>
            </w:pPr>
            <w:r>
              <w:rPr>
                <w:rFonts w:ascii="Arial" w:hAnsi="Arial" w:cs="Arial"/>
                <w:color w:val="000000"/>
                <w:sz w:val="16"/>
                <w:szCs w:val="16"/>
              </w:rPr>
              <w:t>17</w:t>
            </w:r>
          </w:p>
        </w:tc>
        <w:tc>
          <w:tcPr>
            <w:tcW w:w="976" w:type="dxa"/>
            <w:vMerge w:val="restart"/>
            <w:tcBorders>
              <w:top w:val="single" w:sz="8" w:space="0" w:color="auto"/>
              <w:left w:val="dotted" w:sz="4" w:space="0" w:color="auto"/>
              <w:bottom w:val="single" w:sz="8" w:space="0" w:color="000000"/>
              <w:right w:val="single" w:sz="8" w:space="0" w:color="auto"/>
            </w:tcBorders>
            <w:shd w:val="clear" w:color="auto" w:fill="auto"/>
            <w:vAlign w:val="center"/>
            <w:hideMark/>
          </w:tcPr>
          <w:p w14:paraId="6BDE4419" w14:textId="77777777" w:rsidR="00CF4716" w:rsidRDefault="00CF4716">
            <w:pPr>
              <w:jc w:val="center"/>
              <w:rPr>
                <w:rFonts w:ascii="Arial" w:hAnsi="Arial" w:cs="Arial"/>
                <w:color w:val="000000"/>
                <w:sz w:val="16"/>
                <w:szCs w:val="16"/>
              </w:rPr>
            </w:pPr>
            <w:r>
              <w:rPr>
                <w:rFonts w:ascii="Arial" w:hAnsi="Arial" w:cs="Arial"/>
                <w:color w:val="000000"/>
                <w:sz w:val="16"/>
                <w:szCs w:val="16"/>
              </w:rPr>
              <w:t>17</w:t>
            </w:r>
          </w:p>
        </w:tc>
      </w:tr>
      <w:tr w:rsidR="00CF4716" w14:paraId="75A2AD1B" w14:textId="77777777" w:rsidTr="00123376">
        <w:trPr>
          <w:trHeight w:val="540"/>
        </w:trPr>
        <w:tc>
          <w:tcPr>
            <w:tcW w:w="1018" w:type="dxa"/>
            <w:vMerge/>
            <w:tcBorders>
              <w:top w:val="nil"/>
              <w:left w:val="single" w:sz="8" w:space="0" w:color="auto"/>
              <w:bottom w:val="single" w:sz="8" w:space="0" w:color="000000"/>
              <w:right w:val="single" w:sz="8" w:space="0" w:color="auto"/>
            </w:tcBorders>
            <w:vAlign w:val="center"/>
            <w:hideMark/>
          </w:tcPr>
          <w:p w14:paraId="6D5661DB" w14:textId="77777777" w:rsidR="00CF4716" w:rsidRDefault="00CF4716">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25F4F3B7" w14:textId="77777777" w:rsidR="00CF4716" w:rsidRDefault="00CF4716">
            <w:pPr>
              <w:rPr>
                <w:rFonts w:ascii="Arial" w:hAnsi="Arial" w:cs="Arial"/>
                <w:color w:val="000000"/>
                <w:sz w:val="16"/>
                <w:szCs w:val="16"/>
              </w:rPr>
            </w:pPr>
            <w:r>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41366F59"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05A8831"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C2797F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5FEBD18"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78A9290B"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C987759"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dotted" w:sz="4" w:space="0" w:color="auto"/>
              <w:right w:val="dotted" w:sz="4" w:space="0" w:color="auto"/>
            </w:tcBorders>
            <w:shd w:val="clear" w:color="auto" w:fill="auto"/>
            <w:vAlign w:val="center"/>
            <w:hideMark/>
          </w:tcPr>
          <w:p w14:paraId="5027379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B8DA1A3"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dotted" w:sz="4" w:space="0" w:color="auto"/>
              <w:right w:val="dotted" w:sz="4" w:space="0" w:color="auto"/>
            </w:tcBorders>
            <w:shd w:val="clear" w:color="auto" w:fill="auto"/>
            <w:vAlign w:val="center"/>
            <w:hideMark/>
          </w:tcPr>
          <w:p w14:paraId="537E99A5" w14:textId="77777777" w:rsidR="00CF4716" w:rsidRDefault="00CF4716">
            <w:pPr>
              <w:jc w:val="center"/>
              <w:rPr>
                <w:rFonts w:ascii="Arial" w:hAnsi="Arial" w:cs="Arial"/>
                <w:color w:val="000000"/>
                <w:sz w:val="16"/>
                <w:szCs w:val="16"/>
              </w:rPr>
            </w:pPr>
            <w:r>
              <w:rPr>
                <w:rFonts w:ascii="Arial" w:hAnsi="Arial" w:cs="Arial"/>
                <w:color w:val="000000"/>
                <w:sz w:val="16"/>
                <w:szCs w:val="16"/>
              </w:rPr>
              <w:t>60</w:t>
            </w:r>
          </w:p>
        </w:tc>
        <w:tc>
          <w:tcPr>
            <w:tcW w:w="897" w:type="dxa"/>
            <w:tcBorders>
              <w:top w:val="nil"/>
              <w:left w:val="nil"/>
              <w:bottom w:val="dotted" w:sz="4" w:space="0" w:color="auto"/>
              <w:right w:val="dotted" w:sz="4" w:space="0" w:color="auto"/>
            </w:tcBorders>
            <w:shd w:val="clear" w:color="auto" w:fill="auto"/>
            <w:vAlign w:val="center"/>
            <w:hideMark/>
          </w:tcPr>
          <w:p w14:paraId="3AD927F5" w14:textId="77777777" w:rsidR="00CF4716" w:rsidRDefault="00CF4716">
            <w:pPr>
              <w:jc w:val="center"/>
              <w:rPr>
                <w:rFonts w:ascii="Arial" w:hAnsi="Arial" w:cs="Arial"/>
                <w:color w:val="000000"/>
                <w:sz w:val="16"/>
                <w:szCs w:val="16"/>
              </w:rPr>
            </w:pPr>
            <w:r>
              <w:rPr>
                <w:rFonts w:ascii="Arial" w:hAnsi="Arial" w:cs="Arial"/>
                <w:color w:val="000000"/>
                <w:sz w:val="16"/>
                <w:szCs w:val="16"/>
              </w:rPr>
              <w:t>60</w:t>
            </w:r>
          </w:p>
        </w:tc>
        <w:tc>
          <w:tcPr>
            <w:tcW w:w="976" w:type="dxa"/>
            <w:vMerge/>
            <w:tcBorders>
              <w:top w:val="single" w:sz="8" w:space="0" w:color="auto"/>
              <w:left w:val="dotted" w:sz="4" w:space="0" w:color="auto"/>
              <w:bottom w:val="single" w:sz="8" w:space="0" w:color="000000"/>
              <w:right w:val="single" w:sz="8" w:space="0" w:color="auto"/>
            </w:tcBorders>
            <w:vAlign w:val="center"/>
            <w:hideMark/>
          </w:tcPr>
          <w:p w14:paraId="37DEB3C0" w14:textId="77777777" w:rsidR="00CF4716" w:rsidRDefault="00CF4716">
            <w:pPr>
              <w:rPr>
                <w:rFonts w:ascii="Arial" w:hAnsi="Arial" w:cs="Arial"/>
                <w:color w:val="000000"/>
                <w:sz w:val="16"/>
                <w:szCs w:val="16"/>
              </w:rPr>
            </w:pPr>
          </w:p>
        </w:tc>
      </w:tr>
      <w:tr w:rsidR="00CF4716" w14:paraId="3C588557" w14:textId="77777777" w:rsidTr="00123376">
        <w:trPr>
          <w:trHeight w:val="540"/>
        </w:trPr>
        <w:tc>
          <w:tcPr>
            <w:tcW w:w="1018" w:type="dxa"/>
            <w:vMerge/>
            <w:tcBorders>
              <w:top w:val="nil"/>
              <w:left w:val="single" w:sz="8" w:space="0" w:color="auto"/>
              <w:bottom w:val="single" w:sz="8" w:space="0" w:color="000000"/>
              <w:right w:val="single" w:sz="8" w:space="0" w:color="auto"/>
            </w:tcBorders>
            <w:vAlign w:val="center"/>
            <w:hideMark/>
          </w:tcPr>
          <w:p w14:paraId="7CD7D546" w14:textId="77777777" w:rsidR="00CF4716" w:rsidRDefault="00CF4716">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7F1DD0FE" w14:textId="77777777" w:rsidR="00CF4716" w:rsidRDefault="00CF4716">
            <w:pPr>
              <w:rPr>
                <w:rFonts w:ascii="Arial" w:hAnsi="Arial" w:cs="Arial"/>
                <w:color w:val="000000"/>
                <w:sz w:val="16"/>
                <w:szCs w:val="16"/>
              </w:rPr>
            </w:pPr>
            <w:r>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35E79623"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10778BEB"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553F699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CC3DBE3"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0D79F96"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6B11E461"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single" w:sz="8" w:space="0" w:color="auto"/>
              <w:right w:val="dotted" w:sz="4" w:space="0" w:color="auto"/>
            </w:tcBorders>
            <w:shd w:val="clear" w:color="auto" w:fill="auto"/>
            <w:vAlign w:val="center"/>
            <w:hideMark/>
          </w:tcPr>
          <w:p w14:paraId="2873417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68A4657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single" w:sz="8" w:space="0" w:color="auto"/>
              <w:right w:val="dotted" w:sz="4" w:space="0" w:color="auto"/>
            </w:tcBorders>
            <w:shd w:val="clear" w:color="auto" w:fill="auto"/>
            <w:vAlign w:val="center"/>
            <w:hideMark/>
          </w:tcPr>
          <w:p w14:paraId="05D6BA78"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97" w:type="dxa"/>
            <w:tcBorders>
              <w:top w:val="nil"/>
              <w:left w:val="nil"/>
              <w:bottom w:val="single" w:sz="8" w:space="0" w:color="auto"/>
              <w:right w:val="dotted" w:sz="4" w:space="0" w:color="auto"/>
            </w:tcBorders>
            <w:shd w:val="clear" w:color="auto" w:fill="auto"/>
            <w:vAlign w:val="center"/>
            <w:hideMark/>
          </w:tcPr>
          <w:p w14:paraId="19BC2E57"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976" w:type="dxa"/>
            <w:vMerge/>
            <w:tcBorders>
              <w:top w:val="single" w:sz="8" w:space="0" w:color="auto"/>
              <w:left w:val="dotted" w:sz="4" w:space="0" w:color="auto"/>
              <w:bottom w:val="single" w:sz="8" w:space="0" w:color="000000"/>
              <w:right w:val="single" w:sz="8" w:space="0" w:color="auto"/>
            </w:tcBorders>
            <w:vAlign w:val="center"/>
            <w:hideMark/>
          </w:tcPr>
          <w:p w14:paraId="634A818A" w14:textId="77777777" w:rsidR="00CF4716" w:rsidRDefault="00CF4716">
            <w:pPr>
              <w:rPr>
                <w:rFonts w:ascii="Arial" w:hAnsi="Arial" w:cs="Arial"/>
                <w:color w:val="000000"/>
                <w:sz w:val="16"/>
                <w:szCs w:val="16"/>
              </w:rPr>
            </w:pPr>
          </w:p>
        </w:tc>
      </w:tr>
      <w:tr w:rsidR="004B517E" w14:paraId="10DCCBCC" w14:textId="77777777" w:rsidTr="00CF4716">
        <w:trPr>
          <w:trHeight w:val="540"/>
        </w:trPr>
        <w:tc>
          <w:tcPr>
            <w:tcW w:w="1018"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2B003E43" w14:textId="2E9AA105" w:rsidR="004B517E" w:rsidRDefault="004B517E">
            <w:pPr>
              <w:rPr>
                <w:rFonts w:ascii="Arial" w:hAnsi="Arial" w:cs="Arial"/>
                <w:color w:val="000000"/>
                <w:sz w:val="16"/>
                <w:szCs w:val="16"/>
              </w:rPr>
            </w:pPr>
            <w:r>
              <w:rPr>
                <w:rFonts w:ascii="Arial" w:hAnsi="Arial" w:cs="Arial"/>
                <w:color w:val="000000"/>
                <w:sz w:val="16"/>
                <w:szCs w:val="16"/>
              </w:rPr>
              <w:t>Hodnota projektov cielene zameraných na MR [€]</w:t>
            </w:r>
          </w:p>
        </w:tc>
        <w:tc>
          <w:tcPr>
            <w:tcW w:w="959" w:type="dxa"/>
            <w:tcBorders>
              <w:top w:val="nil"/>
              <w:left w:val="nil"/>
              <w:bottom w:val="dotted" w:sz="4" w:space="0" w:color="auto"/>
              <w:right w:val="single" w:sz="8" w:space="0" w:color="auto"/>
            </w:tcBorders>
            <w:shd w:val="clear" w:color="auto" w:fill="auto"/>
            <w:vAlign w:val="center"/>
            <w:hideMark/>
          </w:tcPr>
          <w:p w14:paraId="43615A25" w14:textId="77777777" w:rsidR="004B517E" w:rsidRDefault="004B517E">
            <w:pPr>
              <w:rPr>
                <w:rFonts w:ascii="Arial" w:hAnsi="Arial" w:cs="Arial"/>
                <w:color w:val="000000"/>
                <w:sz w:val="16"/>
                <w:szCs w:val="16"/>
              </w:rPr>
            </w:pPr>
            <w:r>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08CC1410" w14:textId="77777777" w:rsidR="004B517E" w:rsidRDefault="004B517E">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82A5C64" w14:textId="77777777" w:rsidR="004B517E" w:rsidRDefault="004B517E">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2C27331C" w14:textId="77777777" w:rsidR="004B517E" w:rsidRDefault="004B517E">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76E07749" w14:textId="77777777" w:rsidR="004B517E" w:rsidRDefault="004B517E">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C4D1B9D" w14:textId="77777777" w:rsidR="004B517E" w:rsidRDefault="004B517E">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552925AF" w14:textId="77777777" w:rsidR="004B517E" w:rsidRDefault="004B517E">
            <w:pPr>
              <w:jc w:val="center"/>
              <w:rPr>
                <w:rFonts w:ascii="Arial" w:hAnsi="Arial" w:cs="Arial"/>
                <w:color w:val="000000"/>
                <w:sz w:val="16"/>
                <w:szCs w:val="16"/>
              </w:rPr>
            </w:pPr>
            <w:r>
              <w:rPr>
                <w:rFonts w:ascii="Arial" w:hAnsi="Arial" w:cs="Arial"/>
                <w:color w:val="000000"/>
                <w:sz w:val="16"/>
                <w:szCs w:val="16"/>
              </w:rPr>
              <w:t>0</w:t>
            </w:r>
          </w:p>
        </w:tc>
        <w:tc>
          <w:tcPr>
            <w:tcW w:w="869" w:type="dxa"/>
            <w:tcBorders>
              <w:top w:val="nil"/>
              <w:left w:val="nil"/>
              <w:bottom w:val="dotted" w:sz="4" w:space="0" w:color="auto"/>
              <w:right w:val="dotted" w:sz="4" w:space="0" w:color="auto"/>
            </w:tcBorders>
            <w:shd w:val="clear" w:color="auto" w:fill="auto"/>
            <w:vAlign w:val="center"/>
            <w:hideMark/>
          </w:tcPr>
          <w:p w14:paraId="269787A3" w14:textId="77777777" w:rsidR="004B517E" w:rsidRDefault="004B517E">
            <w:pPr>
              <w:jc w:val="center"/>
              <w:rPr>
                <w:rFonts w:ascii="Arial" w:hAnsi="Arial" w:cs="Arial"/>
                <w:color w:val="000000"/>
                <w:sz w:val="16"/>
                <w:szCs w:val="16"/>
              </w:rPr>
            </w:pPr>
            <w:r>
              <w:rPr>
                <w:rFonts w:ascii="Arial" w:hAnsi="Arial" w:cs="Arial"/>
                <w:color w:val="000000"/>
                <w:sz w:val="16"/>
                <w:szCs w:val="16"/>
              </w:rPr>
              <w:t xml:space="preserve">3 346 297 </w:t>
            </w:r>
          </w:p>
        </w:tc>
        <w:tc>
          <w:tcPr>
            <w:tcW w:w="496" w:type="dxa"/>
            <w:tcBorders>
              <w:top w:val="nil"/>
              <w:left w:val="nil"/>
              <w:bottom w:val="dotted" w:sz="4" w:space="0" w:color="auto"/>
              <w:right w:val="dotted" w:sz="4" w:space="0" w:color="auto"/>
            </w:tcBorders>
            <w:shd w:val="clear" w:color="auto" w:fill="auto"/>
            <w:vAlign w:val="center"/>
            <w:hideMark/>
          </w:tcPr>
          <w:p w14:paraId="1E3B429F" w14:textId="0CC5C9BD" w:rsidR="004B517E" w:rsidRDefault="004B517E">
            <w:pPr>
              <w:jc w:val="center"/>
              <w:rPr>
                <w:rFonts w:ascii="Arial" w:hAnsi="Arial" w:cs="Arial"/>
                <w:color w:val="000000"/>
                <w:sz w:val="16"/>
                <w:szCs w:val="16"/>
              </w:rPr>
            </w:pPr>
            <w:r>
              <w:rPr>
                <w:rFonts w:ascii="Arial" w:hAnsi="Arial" w:cs="Arial"/>
                <w:color w:val="000000"/>
                <w:sz w:val="16"/>
                <w:szCs w:val="16"/>
              </w:rPr>
              <w:t>8 931 899</w:t>
            </w:r>
          </w:p>
        </w:tc>
        <w:tc>
          <w:tcPr>
            <w:tcW w:w="869" w:type="dxa"/>
            <w:tcBorders>
              <w:top w:val="nil"/>
              <w:left w:val="nil"/>
              <w:bottom w:val="dotted" w:sz="4" w:space="0" w:color="auto"/>
              <w:right w:val="dotted" w:sz="4" w:space="0" w:color="auto"/>
            </w:tcBorders>
            <w:shd w:val="clear" w:color="auto" w:fill="auto"/>
            <w:vAlign w:val="center"/>
            <w:hideMark/>
          </w:tcPr>
          <w:p w14:paraId="62778F66" w14:textId="0BE7371A" w:rsidR="004B517E" w:rsidRDefault="004B517E">
            <w:pPr>
              <w:jc w:val="center"/>
              <w:rPr>
                <w:rFonts w:ascii="Arial" w:hAnsi="Arial" w:cs="Arial"/>
                <w:color w:val="000000"/>
                <w:sz w:val="16"/>
                <w:szCs w:val="16"/>
              </w:rPr>
            </w:pPr>
            <w:r>
              <w:rPr>
                <w:rFonts w:ascii="Arial" w:hAnsi="Arial" w:cs="Arial"/>
                <w:color w:val="000000"/>
                <w:sz w:val="16"/>
                <w:szCs w:val="16"/>
              </w:rPr>
              <w:t>8 929 308</w:t>
            </w:r>
          </w:p>
        </w:tc>
        <w:tc>
          <w:tcPr>
            <w:tcW w:w="897" w:type="dxa"/>
            <w:tcBorders>
              <w:top w:val="nil"/>
              <w:left w:val="nil"/>
              <w:bottom w:val="dotted" w:sz="4" w:space="0" w:color="auto"/>
              <w:right w:val="dotted" w:sz="4" w:space="0" w:color="auto"/>
            </w:tcBorders>
            <w:shd w:val="clear" w:color="auto" w:fill="auto"/>
            <w:vAlign w:val="center"/>
            <w:hideMark/>
          </w:tcPr>
          <w:p w14:paraId="1FC51A64" w14:textId="2629FC3B" w:rsidR="004B517E" w:rsidRDefault="004B517E">
            <w:pPr>
              <w:jc w:val="center"/>
              <w:rPr>
                <w:rFonts w:ascii="Arial" w:hAnsi="Arial" w:cs="Arial"/>
                <w:color w:val="000000"/>
                <w:sz w:val="16"/>
                <w:szCs w:val="16"/>
              </w:rPr>
            </w:pPr>
            <w:r w:rsidRPr="008F0D3A">
              <w:rPr>
                <w:rFonts w:ascii="Arial" w:hAnsi="Arial" w:cs="Arial"/>
                <w:color w:val="000000"/>
                <w:sz w:val="15"/>
                <w:szCs w:val="15"/>
              </w:rPr>
              <w:t>8 423 881</w:t>
            </w:r>
          </w:p>
        </w:tc>
        <w:tc>
          <w:tcPr>
            <w:tcW w:w="976" w:type="dxa"/>
            <w:vMerge w:val="restart"/>
            <w:tcBorders>
              <w:top w:val="nil"/>
              <w:left w:val="dotted" w:sz="4" w:space="0" w:color="auto"/>
              <w:bottom w:val="single" w:sz="8" w:space="0" w:color="000000"/>
              <w:right w:val="single" w:sz="8" w:space="0" w:color="auto"/>
            </w:tcBorders>
            <w:shd w:val="clear" w:color="auto" w:fill="auto"/>
            <w:vAlign w:val="center"/>
            <w:hideMark/>
          </w:tcPr>
          <w:p w14:paraId="7B541884" w14:textId="6F7AEAB6" w:rsidR="004B517E" w:rsidRDefault="004B517E" w:rsidP="000823BC">
            <w:pPr>
              <w:jc w:val="center"/>
              <w:rPr>
                <w:rFonts w:ascii="Arial" w:hAnsi="Arial" w:cs="Arial"/>
                <w:color w:val="000000"/>
                <w:sz w:val="15"/>
                <w:szCs w:val="15"/>
              </w:rPr>
            </w:pPr>
            <w:r w:rsidRPr="00912C87">
              <w:rPr>
                <w:rFonts w:ascii="Arial" w:hAnsi="Arial" w:cs="Arial"/>
                <w:color w:val="000000"/>
                <w:sz w:val="15"/>
                <w:szCs w:val="15"/>
              </w:rPr>
              <w:t xml:space="preserve">EU+SR+VZ </w:t>
            </w:r>
            <w:r>
              <w:rPr>
                <w:rFonts w:ascii="Arial" w:hAnsi="Arial" w:cs="Arial"/>
                <w:color w:val="000000"/>
                <w:sz w:val="16"/>
                <w:szCs w:val="16"/>
              </w:rPr>
              <w:t>9 910 449</w:t>
            </w:r>
          </w:p>
          <w:p w14:paraId="643D6DA5" w14:textId="77777777" w:rsidR="004B517E" w:rsidRDefault="004B517E" w:rsidP="000823BC">
            <w:pPr>
              <w:jc w:val="center"/>
              <w:rPr>
                <w:rFonts w:ascii="Arial" w:hAnsi="Arial" w:cs="Arial"/>
                <w:color w:val="000000"/>
                <w:sz w:val="15"/>
                <w:szCs w:val="15"/>
              </w:rPr>
            </w:pPr>
            <w:r>
              <w:rPr>
                <w:rFonts w:ascii="Arial" w:hAnsi="Arial" w:cs="Arial"/>
                <w:color w:val="000000"/>
                <w:sz w:val="15"/>
                <w:szCs w:val="15"/>
              </w:rPr>
              <w:t>z t</w:t>
            </w:r>
            <w:r w:rsidRPr="00912C87">
              <w:rPr>
                <w:rFonts w:ascii="Arial" w:hAnsi="Arial" w:cs="Arial"/>
                <w:color w:val="000000"/>
                <w:sz w:val="15"/>
                <w:szCs w:val="15"/>
              </w:rPr>
              <w:t xml:space="preserve">oho EU </w:t>
            </w:r>
            <w:r>
              <w:rPr>
                <w:rFonts w:ascii="Arial" w:hAnsi="Arial" w:cs="Arial"/>
                <w:color w:val="000000"/>
                <w:sz w:val="15"/>
                <w:szCs w:val="15"/>
              </w:rPr>
              <w:t>zdroje</w:t>
            </w:r>
          </w:p>
          <w:p w14:paraId="7BC35D3C" w14:textId="598B3FC7" w:rsidR="004B517E" w:rsidRDefault="004B517E">
            <w:pPr>
              <w:jc w:val="center"/>
              <w:rPr>
                <w:rFonts w:ascii="Arial" w:hAnsi="Arial" w:cs="Arial"/>
                <w:color w:val="000000"/>
                <w:sz w:val="16"/>
                <w:szCs w:val="16"/>
              </w:rPr>
            </w:pPr>
            <w:r w:rsidRPr="008F0D3A">
              <w:rPr>
                <w:rFonts w:ascii="Arial" w:hAnsi="Arial" w:cs="Arial"/>
                <w:color w:val="000000"/>
                <w:sz w:val="15"/>
                <w:szCs w:val="15"/>
              </w:rPr>
              <w:t>8 423 88</w:t>
            </w:r>
            <w:r>
              <w:rPr>
                <w:rFonts w:ascii="Arial" w:hAnsi="Arial" w:cs="Arial"/>
                <w:color w:val="000000"/>
                <w:sz w:val="15"/>
                <w:szCs w:val="15"/>
              </w:rPr>
              <w:t>1</w:t>
            </w:r>
          </w:p>
        </w:tc>
      </w:tr>
      <w:tr w:rsidR="00CF4716" w14:paraId="34817A29" w14:textId="77777777" w:rsidTr="00123376">
        <w:trPr>
          <w:trHeight w:val="540"/>
        </w:trPr>
        <w:tc>
          <w:tcPr>
            <w:tcW w:w="1018" w:type="dxa"/>
            <w:vMerge/>
            <w:tcBorders>
              <w:top w:val="nil"/>
              <w:left w:val="single" w:sz="8" w:space="0" w:color="auto"/>
              <w:bottom w:val="single" w:sz="8" w:space="0" w:color="000000"/>
              <w:right w:val="single" w:sz="8" w:space="0" w:color="auto"/>
            </w:tcBorders>
            <w:vAlign w:val="center"/>
            <w:hideMark/>
          </w:tcPr>
          <w:p w14:paraId="01831479" w14:textId="77777777" w:rsidR="00CF4716" w:rsidRDefault="00CF4716">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1CB524C0" w14:textId="77777777" w:rsidR="00CF4716" w:rsidRDefault="00CF4716">
            <w:pPr>
              <w:rPr>
                <w:rFonts w:ascii="Arial" w:hAnsi="Arial" w:cs="Arial"/>
                <w:color w:val="000000"/>
                <w:sz w:val="16"/>
                <w:szCs w:val="16"/>
              </w:rPr>
            </w:pPr>
            <w:r>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6C4F9577"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4425F905"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7FCEFD91"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42E2B231"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DDAC7DD"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1D321665"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dotted" w:sz="4" w:space="0" w:color="auto"/>
              <w:right w:val="dotted" w:sz="4" w:space="0" w:color="auto"/>
            </w:tcBorders>
            <w:shd w:val="clear" w:color="auto" w:fill="auto"/>
            <w:vAlign w:val="center"/>
            <w:hideMark/>
          </w:tcPr>
          <w:p w14:paraId="2591E182"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884F045"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dotted" w:sz="4" w:space="0" w:color="auto"/>
              <w:right w:val="dotted" w:sz="4" w:space="0" w:color="auto"/>
            </w:tcBorders>
            <w:shd w:val="clear" w:color="auto" w:fill="auto"/>
            <w:vAlign w:val="center"/>
            <w:hideMark/>
          </w:tcPr>
          <w:p w14:paraId="4F02822C" w14:textId="77777777" w:rsidR="00CF4716" w:rsidRDefault="00CF4716">
            <w:pPr>
              <w:jc w:val="center"/>
              <w:rPr>
                <w:rFonts w:ascii="Arial" w:hAnsi="Arial" w:cs="Arial"/>
                <w:color w:val="000000"/>
                <w:sz w:val="16"/>
                <w:szCs w:val="16"/>
              </w:rPr>
            </w:pPr>
            <w:r>
              <w:rPr>
                <w:rFonts w:ascii="Arial" w:hAnsi="Arial" w:cs="Arial"/>
                <w:color w:val="000000"/>
                <w:sz w:val="16"/>
                <w:szCs w:val="16"/>
              </w:rPr>
              <w:t>22 937 163</w:t>
            </w:r>
          </w:p>
        </w:tc>
        <w:tc>
          <w:tcPr>
            <w:tcW w:w="897" w:type="dxa"/>
            <w:tcBorders>
              <w:top w:val="nil"/>
              <w:left w:val="nil"/>
              <w:bottom w:val="dotted" w:sz="4" w:space="0" w:color="auto"/>
              <w:right w:val="dotted" w:sz="4" w:space="0" w:color="auto"/>
            </w:tcBorders>
            <w:shd w:val="clear" w:color="auto" w:fill="auto"/>
            <w:vAlign w:val="center"/>
            <w:hideMark/>
          </w:tcPr>
          <w:p w14:paraId="2E48BC89" w14:textId="77777777" w:rsidR="00CF4716" w:rsidRDefault="00CF4716">
            <w:pPr>
              <w:jc w:val="center"/>
              <w:rPr>
                <w:rFonts w:ascii="Arial" w:hAnsi="Arial" w:cs="Arial"/>
                <w:color w:val="000000"/>
                <w:sz w:val="16"/>
                <w:szCs w:val="16"/>
              </w:rPr>
            </w:pPr>
            <w:r>
              <w:rPr>
                <w:rFonts w:ascii="Arial" w:hAnsi="Arial" w:cs="Arial"/>
                <w:color w:val="000000"/>
                <w:sz w:val="16"/>
                <w:szCs w:val="16"/>
              </w:rPr>
              <w:t>22 937 163</w:t>
            </w:r>
          </w:p>
        </w:tc>
        <w:tc>
          <w:tcPr>
            <w:tcW w:w="976" w:type="dxa"/>
            <w:vMerge/>
            <w:tcBorders>
              <w:top w:val="nil"/>
              <w:left w:val="dotted" w:sz="4" w:space="0" w:color="auto"/>
              <w:bottom w:val="single" w:sz="8" w:space="0" w:color="000000"/>
              <w:right w:val="single" w:sz="8" w:space="0" w:color="auto"/>
            </w:tcBorders>
            <w:vAlign w:val="center"/>
            <w:hideMark/>
          </w:tcPr>
          <w:p w14:paraId="3775927C" w14:textId="77777777" w:rsidR="00CF4716" w:rsidRDefault="00CF4716">
            <w:pPr>
              <w:rPr>
                <w:rFonts w:ascii="Arial" w:hAnsi="Arial" w:cs="Arial"/>
                <w:color w:val="000000"/>
                <w:sz w:val="16"/>
                <w:szCs w:val="16"/>
              </w:rPr>
            </w:pPr>
          </w:p>
        </w:tc>
      </w:tr>
      <w:tr w:rsidR="00CF4716" w14:paraId="4961AC29" w14:textId="77777777" w:rsidTr="00123376">
        <w:trPr>
          <w:trHeight w:val="540"/>
        </w:trPr>
        <w:tc>
          <w:tcPr>
            <w:tcW w:w="1018" w:type="dxa"/>
            <w:vMerge/>
            <w:tcBorders>
              <w:top w:val="nil"/>
              <w:left w:val="single" w:sz="8" w:space="0" w:color="auto"/>
              <w:bottom w:val="single" w:sz="8" w:space="0" w:color="000000"/>
              <w:right w:val="single" w:sz="8" w:space="0" w:color="auto"/>
            </w:tcBorders>
            <w:vAlign w:val="center"/>
            <w:hideMark/>
          </w:tcPr>
          <w:p w14:paraId="66384BF0" w14:textId="77777777" w:rsidR="00CF4716" w:rsidRDefault="00CF4716">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18C61640" w14:textId="77777777" w:rsidR="00CF4716" w:rsidRDefault="00CF4716">
            <w:pPr>
              <w:rPr>
                <w:rFonts w:ascii="Arial" w:hAnsi="Arial" w:cs="Arial"/>
                <w:color w:val="000000"/>
                <w:sz w:val="16"/>
                <w:szCs w:val="16"/>
              </w:rPr>
            </w:pPr>
            <w:r>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0250437C"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5C39A24B"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2A140492"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5D00200A"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68DA1904"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11FE9230"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single" w:sz="8" w:space="0" w:color="auto"/>
              <w:right w:val="dotted" w:sz="4" w:space="0" w:color="auto"/>
            </w:tcBorders>
            <w:shd w:val="clear" w:color="auto" w:fill="auto"/>
            <w:vAlign w:val="center"/>
            <w:hideMark/>
          </w:tcPr>
          <w:p w14:paraId="6E3AE5D8"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64908854"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single" w:sz="8" w:space="0" w:color="auto"/>
              <w:right w:val="dotted" w:sz="4" w:space="0" w:color="auto"/>
            </w:tcBorders>
            <w:shd w:val="clear" w:color="auto" w:fill="auto"/>
            <w:vAlign w:val="center"/>
            <w:hideMark/>
          </w:tcPr>
          <w:p w14:paraId="17CAD7E8"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97" w:type="dxa"/>
            <w:tcBorders>
              <w:top w:val="nil"/>
              <w:left w:val="nil"/>
              <w:bottom w:val="single" w:sz="8" w:space="0" w:color="auto"/>
              <w:right w:val="dotted" w:sz="4" w:space="0" w:color="auto"/>
            </w:tcBorders>
            <w:shd w:val="clear" w:color="auto" w:fill="auto"/>
            <w:vAlign w:val="center"/>
            <w:hideMark/>
          </w:tcPr>
          <w:p w14:paraId="5BC9AD81"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976" w:type="dxa"/>
            <w:vMerge/>
            <w:tcBorders>
              <w:top w:val="nil"/>
              <w:left w:val="dotted" w:sz="4" w:space="0" w:color="auto"/>
              <w:bottom w:val="single" w:sz="8" w:space="0" w:color="000000"/>
              <w:right w:val="single" w:sz="8" w:space="0" w:color="auto"/>
            </w:tcBorders>
            <w:vAlign w:val="center"/>
            <w:hideMark/>
          </w:tcPr>
          <w:p w14:paraId="63121FFA" w14:textId="77777777" w:rsidR="00CF4716" w:rsidRDefault="00CF4716">
            <w:pPr>
              <w:rPr>
                <w:rFonts w:ascii="Arial" w:hAnsi="Arial" w:cs="Arial"/>
                <w:color w:val="000000"/>
                <w:sz w:val="16"/>
                <w:szCs w:val="16"/>
              </w:rPr>
            </w:pPr>
          </w:p>
        </w:tc>
      </w:tr>
      <w:tr w:rsidR="00CF4716" w14:paraId="375AD979" w14:textId="77777777" w:rsidTr="00CF4716">
        <w:trPr>
          <w:trHeight w:val="540"/>
        </w:trPr>
        <w:tc>
          <w:tcPr>
            <w:tcW w:w="1018"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431681C7" w14:textId="77777777" w:rsidR="00CF4716" w:rsidRDefault="00CF4716">
            <w:pPr>
              <w:rPr>
                <w:rFonts w:ascii="Arial" w:hAnsi="Arial" w:cs="Arial"/>
                <w:color w:val="000000"/>
                <w:sz w:val="16"/>
                <w:szCs w:val="16"/>
              </w:rPr>
            </w:pPr>
            <w:r>
              <w:rPr>
                <w:rFonts w:ascii="Arial" w:hAnsi="Arial" w:cs="Arial"/>
                <w:color w:val="000000"/>
                <w:sz w:val="16"/>
                <w:szCs w:val="16"/>
              </w:rPr>
              <w:t>Počet vytvorených pracovných miest cielene pre MRK [počet]</w:t>
            </w:r>
          </w:p>
        </w:tc>
        <w:tc>
          <w:tcPr>
            <w:tcW w:w="959" w:type="dxa"/>
            <w:tcBorders>
              <w:top w:val="nil"/>
              <w:left w:val="nil"/>
              <w:bottom w:val="dotted" w:sz="4" w:space="0" w:color="auto"/>
              <w:right w:val="single" w:sz="8" w:space="0" w:color="auto"/>
            </w:tcBorders>
            <w:shd w:val="clear" w:color="auto" w:fill="auto"/>
            <w:vAlign w:val="center"/>
            <w:hideMark/>
          </w:tcPr>
          <w:p w14:paraId="517D83D0" w14:textId="77777777" w:rsidR="00CF4716" w:rsidRDefault="00CF4716">
            <w:pPr>
              <w:rPr>
                <w:rFonts w:ascii="Arial" w:hAnsi="Arial" w:cs="Arial"/>
                <w:color w:val="000000"/>
                <w:sz w:val="16"/>
                <w:szCs w:val="16"/>
              </w:rPr>
            </w:pPr>
            <w:r>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57369834"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6479F455"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359F3ADE"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38A23642"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42085320"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5469C199"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869" w:type="dxa"/>
            <w:tcBorders>
              <w:top w:val="nil"/>
              <w:left w:val="nil"/>
              <w:bottom w:val="dotted" w:sz="4" w:space="0" w:color="auto"/>
              <w:right w:val="dotted" w:sz="4" w:space="0" w:color="auto"/>
            </w:tcBorders>
            <w:shd w:val="clear" w:color="auto" w:fill="auto"/>
            <w:vAlign w:val="center"/>
            <w:hideMark/>
          </w:tcPr>
          <w:p w14:paraId="7834F5A7"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22C0F72A" w14:textId="297F8075" w:rsidR="00CF4716" w:rsidRDefault="00C16932">
            <w:pPr>
              <w:jc w:val="center"/>
              <w:rPr>
                <w:rFonts w:ascii="Arial" w:hAnsi="Arial" w:cs="Arial"/>
                <w:color w:val="000000"/>
                <w:sz w:val="16"/>
                <w:szCs w:val="16"/>
              </w:rPr>
            </w:pPr>
            <w:r>
              <w:rPr>
                <w:rFonts w:ascii="Arial" w:hAnsi="Arial" w:cs="Arial"/>
                <w:color w:val="000000"/>
                <w:sz w:val="16"/>
                <w:szCs w:val="16"/>
              </w:rPr>
              <w:t>5</w:t>
            </w:r>
          </w:p>
        </w:tc>
        <w:tc>
          <w:tcPr>
            <w:tcW w:w="869" w:type="dxa"/>
            <w:tcBorders>
              <w:top w:val="nil"/>
              <w:left w:val="nil"/>
              <w:bottom w:val="dotted" w:sz="4" w:space="0" w:color="auto"/>
              <w:right w:val="dotted" w:sz="4" w:space="0" w:color="auto"/>
            </w:tcBorders>
            <w:shd w:val="clear" w:color="auto" w:fill="auto"/>
            <w:vAlign w:val="center"/>
            <w:hideMark/>
          </w:tcPr>
          <w:p w14:paraId="5FD6C486"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97" w:type="dxa"/>
            <w:tcBorders>
              <w:top w:val="nil"/>
              <w:left w:val="nil"/>
              <w:bottom w:val="dotted" w:sz="4" w:space="0" w:color="auto"/>
              <w:right w:val="dotted" w:sz="4" w:space="0" w:color="auto"/>
            </w:tcBorders>
            <w:shd w:val="clear" w:color="auto" w:fill="auto"/>
            <w:vAlign w:val="center"/>
            <w:hideMark/>
          </w:tcPr>
          <w:p w14:paraId="4D3E2058" w14:textId="1B6FCD4A" w:rsidR="00CF4716" w:rsidRDefault="00C16932">
            <w:pPr>
              <w:jc w:val="center"/>
              <w:rPr>
                <w:rFonts w:ascii="Arial" w:hAnsi="Arial" w:cs="Arial"/>
                <w:color w:val="000000"/>
                <w:sz w:val="16"/>
                <w:szCs w:val="16"/>
              </w:rPr>
            </w:pPr>
            <w:r>
              <w:rPr>
                <w:rFonts w:ascii="Arial" w:hAnsi="Arial" w:cs="Arial"/>
                <w:color w:val="000000"/>
                <w:sz w:val="16"/>
                <w:szCs w:val="16"/>
              </w:rPr>
              <w:t>5</w:t>
            </w:r>
          </w:p>
        </w:tc>
        <w:tc>
          <w:tcPr>
            <w:tcW w:w="976" w:type="dxa"/>
            <w:vMerge w:val="restart"/>
            <w:tcBorders>
              <w:top w:val="nil"/>
              <w:left w:val="dotted" w:sz="4" w:space="0" w:color="auto"/>
              <w:bottom w:val="single" w:sz="8" w:space="0" w:color="000000"/>
              <w:right w:val="single" w:sz="8" w:space="0" w:color="auto"/>
            </w:tcBorders>
            <w:shd w:val="clear" w:color="auto" w:fill="auto"/>
            <w:vAlign w:val="center"/>
            <w:hideMark/>
          </w:tcPr>
          <w:p w14:paraId="636BBDBD" w14:textId="77777777" w:rsidR="00CF4716" w:rsidRDefault="00CF4716">
            <w:pPr>
              <w:jc w:val="center"/>
              <w:rPr>
                <w:rFonts w:ascii="Arial" w:hAnsi="Arial" w:cs="Arial"/>
                <w:color w:val="000000"/>
                <w:sz w:val="16"/>
                <w:szCs w:val="16"/>
              </w:rPr>
            </w:pPr>
            <w:r>
              <w:rPr>
                <w:rFonts w:ascii="Arial" w:hAnsi="Arial" w:cs="Arial"/>
                <w:color w:val="000000"/>
                <w:sz w:val="16"/>
                <w:szCs w:val="16"/>
              </w:rPr>
              <w:t>26</w:t>
            </w:r>
          </w:p>
        </w:tc>
      </w:tr>
      <w:tr w:rsidR="00CF4716" w14:paraId="1B602EA9" w14:textId="77777777" w:rsidTr="00123376">
        <w:trPr>
          <w:trHeight w:val="540"/>
        </w:trPr>
        <w:tc>
          <w:tcPr>
            <w:tcW w:w="1018" w:type="dxa"/>
            <w:vMerge/>
            <w:tcBorders>
              <w:top w:val="nil"/>
              <w:left w:val="single" w:sz="8" w:space="0" w:color="auto"/>
              <w:bottom w:val="single" w:sz="8" w:space="0" w:color="000000"/>
              <w:right w:val="single" w:sz="8" w:space="0" w:color="auto"/>
            </w:tcBorders>
            <w:vAlign w:val="center"/>
            <w:hideMark/>
          </w:tcPr>
          <w:p w14:paraId="3355BA52" w14:textId="77777777" w:rsidR="00CF4716" w:rsidRDefault="00CF4716">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7AD99A93" w14:textId="77777777" w:rsidR="00CF4716" w:rsidRDefault="00CF4716">
            <w:pPr>
              <w:rPr>
                <w:rFonts w:ascii="Arial" w:hAnsi="Arial" w:cs="Arial"/>
                <w:color w:val="000000"/>
                <w:sz w:val="16"/>
                <w:szCs w:val="16"/>
              </w:rPr>
            </w:pPr>
            <w:r>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090C01DA"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CAFB2D5"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B6C566A"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63C13D3"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9D14E1C"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DAE5473"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dotted" w:sz="4" w:space="0" w:color="auto"/>
              <w:right w:val="dotted" w:sz="4" w:space="0" w:color="auto"/>
            </w:tcBorders>
            <w:shd w:val="clear" w:color="auto" w:fill="auto"/>
            <w:vAlign w:val="center"/>
            <w:hideMark/>
          </w:tcPr>
          <w:p w14:paraId="13EA962C"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98FDA05"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dotted" w:sz="4" w:space="0" w:color="auto"/>
              <w:right w:val="dotted" w:sz="4" w:space="0" w:color="auto"/>
            </w:tcBorders>
            <w:shd w:val="clear" w:color="auto" w:fill="auto"/>
            <w:vAlign w:val="center"/>
            <w:hideMark/>
          </w:tcPr>
          <w:p w14:paraId="0EABC8F6" w14:textId="77777777" w:rsidR="00CF4716" w:rsidRDefault="00CF4716">
            <w:pPr>
              <w:jc w:val="center"/>
              <w:rPr>
                <w:rFonts w:ascii="Arial" w:hAnsi="Arial" w:cs="Arial"/>
                <w:color w:val="000000"/>
                <w:sz w:val="16"/>
                <w:szCs w:val="16"/>
              </w:rPr>
            </w:pPr>
            <w:r>
              <w:rPr>
                <w:rFonts w:ascii="Arial" w:hAnsi="Arial" w:cs="Arial"/>
                <w:color w:val="000000"/>
                <w:sz w:val="16"/>
                <w:szCs w:val="16"/>
              </w:rPr>
              <w:t>30</w:t>
            </w:r>
          </w:p>
        </w:tc>
        <w:tc>
          <w:tcPr>
            <w:tcW w:w="897" w:type="dxa"/>
            <w:tcBorders>
              <w:top w:val="nil"/>
              <w:left w:val="nil"/>
              <w:bottom w:val="dotted" w:sz="4" w:space="0" w:color="auto"/>
              <w:right w:val="dotted" w:sz="4" w:space="0" w:color="auto"/>
            </w:tcBorders>
            <w:shd w:val="clear" w:color="auto" w:fill="auto"/>
            <w:vAlign w:val="center"/>
            <w:hideMark/>
          </w:tcPr>
          <w:p w14:paraId="6F49425B" w14:textId="77777777" w:rsidR="00CF4716" w:rsidRDefault="00CF4716">
            <w:pPr>
              <w:jc w:val="center"/>
              <w:rPr>
                <w:rFonts w:ascii="Arial" w:hAnsi="Arial" w:cs="Arial"/>
                <w:color w:val="000000"/>
                <w:sz w:val="16"/>
                <w:szCs w:val="16"/>
              </w:rPr>
            </w:pPr>
            <w:r>
              <w:rPr>
                <w:rFonts w:ascii="Arial" w:hAnsi="Arial" w:cs="Arial"/>
                <w:color w:val="000000"/>
                <w:sz w:val="16"/>
                <w:szCs w:val="16"/>
              </w:rPr>
              <w:t>30</w:t>
            </w:r>
          </w:p>
        </w:tc>
        <w:tc>
          <w:tcPr>
            <w:tcW w:w="976" w:type="dxa"/>
            <w:vMerge/>
            <w:tcBorders>
              <w:top w:val="nil"/>
              <w:left w:val="dotted" w:sz="4" w:space="0" w:color="auto"/>
              <w:bottom w:val="single" w:sz="8" w:space="0" w:color="000000"/>
              <w:right w:val="single" w:sz="8" w:space="0" w:color="auto"/>
            </w:tcBorders>
            <w:vAlign w:val="center"/>
            <w:hideMark/>
          </w:tcPr>
          <w:p w14:paraId="688397B7" w14:textId="77777777" w:rsidR="00CF4716" w:rsidRDefault="00CF4716">
            <w:pPr>
              <w:rPr>
                <w:rFonts w:ascii="Arial" w:hAnsi="Arial" w:cs="Arial"/>
                <w:color w:val="000000"/>
                <w:sz w:val="16"/>
                <w:szCs w:val="16"/>
              </w:rPr>
            </w:pPr>
          </w:p>
        </w:tc>
      </w:tr>
      <w:tr w:rsidR="00CF4716" w14:paraId="013ECBCC" w14:textId="77777777" w:rsidTr="00123376">
        <w:trPr>
          <w:trHeight w:val="540"/>
        </w:trPr>
        <w:tc>
          <w:tcPr>
            <w:tcW w:w="1018" w:type="dxa"/>
            <w:vMerge/>
            <w:tcBorders>
              <w:top w:val="nil"/>
              <w:left w:val="single" w:sz="8" w:space="0" w:color="auto"/>
              <w:bottom w:val="single" w:sz="8" w:space="0" w:color="000000"/>
              <w:right w:val="single" w:sz="8" w:space="0" w:color="auto"/>
            </w:tcBorders>
            <w:vAlign w:val="center"/>
            <w:hideMark/>
          </w:tcPr>
          <w:p w14:paraId="53EAC171" w14:textId="77777777" w:rsidR="00CF4716" w:rsidRDefault="00CF4716">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700BE0CB" w14:textId="77777777" w:rsidR="00CF4716" w:rsidRDefault="00CF4716">
            <w:pPr>
              <w:rPr>
                <w:rFonts w:ascii="Arial" w:hAnsi="Arial" w:cs="Arial"/>
                <w:color w:val="000000"/>
                <w:sz w:val="16"/>
                <w:szCs w:val="16"/>
              </w:rPr>
            </w:pPr>
            <w:r>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12BBB64C"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464D4079"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1CAF4B02"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BDD5888"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459A13DA"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42F85FBF"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single" w:sz="8" w:space="0" w:color="auto"/>
              <w:right w:val="dotted" w:sz="4" w:space="0" w:color="auto"/>
            </w:tcBorders>
            <w:shd w:val="clear" w:color="auto" w:fill="auto"/>
            <w:vAlign w:val="center"/>
            <w:hideMark/>
          </w:tcPr>
          <w:p w14:paraId="4D7DFC26"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53F2EDE"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69" w:type="dxa"/>
            <w:tcBorders>
              <w:top w:val="nil"/>
              <w:left w:val="nil"/>
              <w:bottom w:val="single" w:sz="8" w:space="0" w:color="auto"/>
              <w:right w:val="dotted" w:sz="4" w:space="0" w:color="auto"/>
            </w:tcBorders>
            <w:shd w:val="clear" w:color="auto" w:fill="auto"/>
            <w:vAlign w:val="center"/>
            <w:hideMark/>
          </w:tcPr>
          <w:p w14:paraId="13F5FE86" w14:textId="77777777" w:rsidR="00CF4716" w:rsidRDefault="00CF4716">
            <w:pPr>
              <w:jc w:val="center"/>
              <w:rPr>
                <w:rFonts w:ascii="Arial" w:hAnsi="Arial" w:cs="Arial"/>
                <w:color w:val="000000"/>
                <w:sz w:val="16"/>
                <w:szCs w:val="16"/>
              </w:rPr>
            </w:pPr>
            <w:r>
              <w:rPr>
                <w:rFonts w:ascii="Arial" w:hAnsi="Arial" w:cs="Arial"/>
                <w:color w:val="000000"/>
                <w:sz w:val="16"/>
                <w:szCs w:val="16"/>
              </w:rPr>
              <w:t>N/A</w:t>
            </w:r>
          </w:p>
        </w:tc>
        <w:tc>
          <w:tcPr>
            <w:tcW w:w="897" w:type="dxa"/>
            <w:tcBorders>
              <w:top w:val="nil"/>
              <w:left w:val="nil"/>
              <w:bottom w:val="single" w:sz="8" w:space="0" w:color="auto"/>
              <w:right w:val="dotted" w:sz="4" w:space="0" w:color="auto"/>
            </w:tcBorders>
            <w:shd w:val="clear" w:color="auto" w:fill="auto"/>
            <w:vAlign w:val="center"/>
            <w:hideMark/>
          </w:tcPr>
          <w:p w14:paraId="5F322887" w14:textId="77777777" w:rsidR="00CF4716" w:rsidRDefault="00CF4716">
            <w:pPr>
              <w:jc w:val="center"/>
              <w:rPr>
                <w:rFonts w:ascii="Arial" w:hAnsi="Arial" w:cs="Arial"/>
                <w:color w:val="000000"/>
                <w:sz w:val="16"/>
                <w:szCs w:val="16"/>
              </w:rPr>
            </w:pPr>
            <w:r>
              <w:rPr>
                <w:rFonts w:ascii="Arial" w:hAnsi="Arial" w:cs="Arial"/>
                <w:color w:val="000000"/>
                <w:sz w:val="16"/>
                <w:szCs w:val="16"/>
              </w:rPr>
              <w:t>0</w:t>
            </w:r>
          </w:p>
        </w:tc>
        <w:tc>
          <w:tcPr>
            <w:tcW w:w="976" w:type="dxa"/>
            <w:vMerge/>
            <w:tcBorders>
              <w:top w:val="nil"/>
              <w:left w:val="dotted" w:sz="4" w:space="0" w:color="auto"/>
              <w:bottom w:val="single" w:sz="8" w:space="0" w:color="000000"/>
              <w:right w:val="single" w:sz="8" w:space="0" w:color="auto"/>
            </w:tcBorders>
            <w:vAlign w:val="center"/>
            <w:hideMark/>
          </w:tcPr>
          <w:p w14:paraId="2249B8AF" w14:textId="77777777" w:rsidR="00CF4716" w:rsidRDefault="00CF4716">
            <w:pPr>
              <w:rPr>
                <w:rFonts w:ascii="Arial" w:hAnsi="Arial" w:cs="Arial"/>
                <w:color w:val="000000"/>
                <w:sz w:val="16"/>
                <w:szCs w:val="16"/>
              </w:rPr>
            </w:pPr>
          </w:p>
        </w:tc>
      </w:tr>
    </w:tbl>
    <w:p w14:paraId="611D09C1" w14:textId="77777777" w:rsidR="00881054" w:rsidRPr="00E21C60" w:rsidRDefault="00881054" w:rsidP="00123376">
      <w:pPr>
        <w:spacing w:after="120"/>
        <w:jc w:val="both"/>
        <w:rPr>
          <w:rFonts w:ascii="Arial" w:hAnsi="Arial" w:cs="Arial"/>
          <w:sz w:val="16"/>
          <w:szCs w:val="16"/>
        </w:rPr>
      </w:pPr>
      <w:r w:rsidRPr="00E21C60">
        <w:rPr>
          <w:rFonts w:ascii="Arial" w:hAnsi="Arial" w:cs="Arial"/>
          <w:sz w:val="16"/>
          <w:szCs w:val="16"/>
        </w:rPr>
        <w:t>Zdroj: ITMS</w:t>
      </w:r>
    </w:p>
    <w:p w14:paraId="2F237101" w14:textId="77777777" w:rsidR="00B3318E" w:rsidRDefault="00B3318E">
      <w:pPr>
        <w:rPr>
          <w:rFonts w:ascii="Arial" w:hAnsi="Arial" w:cs="Arial"/>
          <w:sz w:val="20"/>
          <w:szCs w:val="20"/>
        </w:rPr>
      </w:pPr>
      <w:r>
        <w:rPr>
          <w:rFonts w:ascii="Arial" w:hAnsi="Arial" w:cs="Arial"/>
          <w:sz w:val="20"/>
          <w:szCs w:val="20"/>
        </w:rPr>
        <w:br w:type="page"/>
      </w:r>
    </w:p>
    <w:p w14:paraId="44B75371" w14:textId="575D1104" w:rsidR="00881054" w:rsidRDefault="00881054" w:rsidP="00123376">
      <w:pPr>
        <w:spacing w:before="120"/>
        <w:jc w:val="both"/>
        <w:rPr>
          <w:rFonts w:ascii="Arial" w:hAnsi="Arial" w:cs="Arial"/>
          <w:sz w:val="20"/>
          <w:szCs w:val="20"/>
        </w:rPr>
      </w:pPr>
      <w:r w:rsidRPr="00E21C60">
        <w:rPr>
          <w:rFonts w:ascii="Arial" w:hAnsi="Arial" w:cs="Arial"/>
          <w:sz w:val="20"/>
          <w:szCs w:val="20"/>
        </w:rPr>
        <w:lastRenderedPageBreak/>
        <w:t>Tab</w:t>
      </w:r>
      <w:r w:rsidR="00396A05" w:rsidRPr="00E21C60">
        <w:rPr>
          <w:rFonts w:ascii="Arial" w:hAnsi="Arial" w:cs="Arial"/>
          <w:sz w:val="20"/>
          <w:szCs w:val="20"/>
        </w:rPr>
        <w:t>uľka</w:t>
      </w:r>
      <w:r w:rsidRPr="00E21C60">
        <w:rPr>
          <w:rFonts w:ascii="Arial" w:hAnsi="Arial" w:cs="Arial"/>
          <w:sz w:val="20"/>
          <w:szCs w:val="20"/>
        </w:rPr>
        <w:t xml:space="preserve"> č. </w:t>
      </w:r>
      <w:r w:rsidR="007B1CB9">
        <w:rPr>
          <w:rFonts w:ascii="Arial" w:hAnsi="Arial" w:cs="Arial"/>
          <w:sz w:val="20"/>
          <w:szCs w:val="20"/>
        </w:rPr>
        <w:t>80</w:t>
      </w:r>
      <w:r w:rsidRPr="00E21C60">
        <w:rPr>
          <w:rFonts w:ascii="Arial" w:hAnsi="Arial" w:cs="Arial"/>
          <w:sz w:val="20"/>
          <w:szCs w:val="20"/>
        </w:rPr>
        <w:t xml:space="preserve">: Stav </w:t>
      </w:r>
      <w:r w:rsidR="00972A96">
        <w:rPr>
          <w:rFonts w:ascii="Arial" w:hAnsi="Arial" w:cs="Arial"/>
          <w:sz w:val="20"/>
          <w:szCs w:val="20"/>
        </w:rPr>
        <w:t>čerpania</w:t>
      </w:r>
      <w:r w:rsidR="00972A96" w:rsidRPr="00E21C60">
        <w:rPr>
          <w:rFonts w:ascii="Arial" w:hAnsi="Arial" w:cs="Arial"/>
          <w:sz w:val="20"/>
          <w:szCs w:val="20"/>
        </w:rPr>
        <w:t xml:space="preserve"> </w:t>
      </w:r>
      <w:r w:rsidRPr="00E21C60">
        <w:rPr>
          <w:rFonts w:ascii="Arial" w:hAnsi="Arial" w:cs="Arial"/>
          <w:sz w:val="20"/>
          <w:szCs w:val="20"/>
        </w:rPr>
        <w:t xml:space="preserve">projektov s priamou podporou HP MRK podľa NUTS </w:t>
      </w:r>
      <w:r w:rsidR="00396A05" w:rsidRPr="00E21C60">
        <w:rPr>
          <w:rFonts w:ascii="Arial" w:hAnsi="Arial" w:cs="Arial"/>
          <w:sz w:val="20"/>
          <w:szCs w:val="20"/>
        </w:rPr>
        <w:t xml:space="preserve">III </w:t>
      </w:r>
      <w:r w:rsidRPr="00E21C60">
        <w:rPr>
          <w:rFonts w:ascii="Arial" w:hAnsi="Arial" w:cs="Arial"/>
          <w:sz w:val="20"/>
          <w:szCs w:val="20"/>
        </w:rPr>
        <w:t>k 31.1</w:t>
      </w:r>
      <w:r w:rsidR="00D31AD1">
        <w:rPr>
          <w:rFonts w:ascii="Arial" w:hAnsi="Arial" w:cs="Arial"/>
          <w:sz w:val="20"/>
          <w:szCs w:val="20"/>
        </w:rPr>
        <w:t>0</w:t>
      </w:r>
      <w:r w:rsidRPr="00E21C60">
        <w:rPr>
          <w:rFonts w:ascii="Arial" w:hAnsi="Arial" w:cs="Arial"/>
          <w:sz w:val="20"/>
          <w:szCs w:val="20"/>
        </w:rPr>
        <w:t>.</w:t>
      </w:r>
      <w:r w:rsidR="00396A05" w:rsidRPr="00E21C60">
        <w:rPr>
          <w:rFonts w:ascii="Arial" w:hAnsi="Arial" w:cs="Arial"/>
          <w:sz w:val="20"/>
          <w:szCs w:val="20"/>
        </w:rPr>
        <w:t>201</w:t>
      </w:r>
      <w:r w:rsidR="00D31AD1">
        <w:rPr>
          <w:rFonts w:ascii="Arial" w:hAnsi="Arial" w:cs="Arial"/>
          <w:sz w:val="20"/>
          <w:szCs w:val="20"/>
        </w:rPr>
        <w:t>6</w:t>
      </w:r>
    </w:p>
    <w:tbl>
      <w:tblPr>
        <w:tblW w:w="9060" w:type="dxa"/>
        <w:tblInd w:w="55" w:type="dxa"/>
        <w:tblCellMar>
          <w:left w:w="70" w:type="dxa"/>
          <w:right w:w="70" w:type="dxa"/>
        </w:tblCellMar>
        <w:tblLook w:val="04A0" w:firstRow="1" w:lastRow="0" w:firstColumn="1" w:lastColumn="0" w:noHBand="0" w:noVBand="1"/>
      </w:tblPr>
      <w:tblGrid>
        <w:gridCol w:w="1660"/>
        <w:gridCol w:w="1480"/>
        <w:gridCol w:w="1480"/>
        <w:gridCol w:w="1480"/>
        <w:gridCol w:w="1480"/>
        <w:gridCol w:w="1480"/>
      </w:tblGrid>
      <w:tr w:rsidR="00E46234" w14:paraId="20A28E97" w14:textId="77777777" w:rsidTr="007D7B08">
        <w:trPr>
          <w:trHeight w:val="1350"/>
        </w:trPr>
        <w:tc>
          <w:tcPr>
            <w:tcW w:w="166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808DD02" w14:textId="0971E161" w:rsidR="00E46234" w:rsidRDefault="00E46234">
            <w:pPr>
              <w:jc w:val="center"/>
              <w:rPr>
                <w:rFonts w:ascii="Arial" w:hAnsi="Arial" w:cs="Arial"/>
                <w:b/>
                <w:bCs/>
                <w:color w:val="000000"/>
                <w:sz w:val="16"/>
                <w:szCs w:val="16"/>
              </w:rPr>
            </w:pPr>
            <w:r>
              <w:rPr>
                <w:rFonts w:ascii="Arial" w:hAnsi="Arial" w:cs="Arial"/>
                <w:b/>
                <w:bCs/>
                <w:color w:val="000000"/>
                <w:sz w:val="16"/>
                <w:szCs w:val="16"/>
              </w:rPr>
              <w:t>Územie NUTS III</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7137018" w14:textId="1BFB1D7B" w:rsidR="00E46234" w:rsidRDefault="00E46234" w:rsidP="00972A96">
            <w:pPr>
              <w:jc w:val="center"/>
              <w:rPr>
                <w:rFonts w:ascii="Arial" w:hAnsi="Arial" w:cs="Arial"/>
                <w:b/>
                <w:bCs/>
                <w:color w:val="000000"/>
                <w:sz w:val="16"/>
                <w:szCs w:val="16"/>
              </w:rPr>
            </w:pPr>
            <w:r>
              <w:rPr>
                <w:rFonts w:ascii="Arial" w:hAnsi="Arial" w:cs="Arial"/>
                <w:b/>
                <w:bCs/>
                <w:color w:val="000000"/>
                <w:sz w:val="16"/>
                <w:szCs w:val="16"/>
              </w:rPr>
              <w:t xml:space="preserve">Počet </w:t>
            </w:r>
            <w:r w:rsidR="00972A96">
              <w:rPr>
                <w:rFonts w:ascii="Arial" w:hAnsi="Arial" w:cs="Arial"/>
                <w:b/>
                <w:bCs/>
                <w:color w:val="000000"/>
                <w:sz w:val="16"/>
                <w:szCs w:val="16"/>
              </w:rPr>
              <w:t xml:space="preserve">riadne ukončených </w:t>
            </w:r>
            <w:r>
              <w:rPr>
                <w:rFonts w:ascii="Arial" w:hAnsi="Arial" w:cs="Arial"/>
                <w:b/>
                <w:bCs/>
                <w:color w:val="000000"/>
                <w:sz w:val="16"/>
                <w:szCs w:val="16"/>
              </w:rPr>
              <w:t>projektov celkovo</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FBFFE71" w14:textId="0BA6BA60" w:rsidR="00E46234" w:rsidRDefault="00E46234" w:rsidP="007D449C">
            <w:pPr>
              <w:jc w:val="center"/>
              <w:rPr>
                <w:rFonts w:ascii="Arial" w:hAnsi="Arial" w:cs="Arial"/>
                <w:b/>
                <w:bCs/>
                <w:color w:val="000000"/>
                <w:sz w:val="16"/>
                <w:szCs w:val="16"/>
              </w:rPr>
            </w:pPr>
            <w:r>
              <w:rPr>
                <w:rFonts w:ascii="Arial" w:hAnsi="Arial" w:cs="Arial"/>
                <w:b/>
                <w:bCs/>
                <w:color w:val="000000"/>
                <w:sz w:val="16"/>
                <w:szCs w:val="16"/>
              </w:rPr>
              <w:t xml:space="preserve">Celková výška </w:t>
            </w:r>
            <w:r w:rsidR="007D449C">
              <w:rPr>
                <w:rFonts w:ascii="Arial" w:hAnsi="Arial" w:cs="Arial"/>
                <w:b/>
                <w:bCs/>
                <w:color w:val="000000"/>
                <w:sz w:val="16"/>
                <w:szCs w:val="16"/>
              </w:rPr>
              <w:t xml:space="preserve">čerpaných </w:t>
            </w:r>
            <w:r>
              <w:rPr>
                <w:rFonts w:ascii="Arial" w:hAnsi="Arial" w:cs="Arial"/>
                <w:b/>
                <w:bCs/>
                <w:color w:val="000000"/>
                <w:sz w:val="16"/>
                <w:szCs w:val="16"/>
              </w:rPr>
              <w:t>prostriedkov v €  (EU zdroje)</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39117F4" w14:textId="16489B51" w:rsidR="00E46234" w:rsidRDefault="00E46234" w:rsidP="00972A96">
            <w:pPr>
              <w:jc w:val="center"/>
              <w:rPr>
                <w:rFonts w:ascii="Arial" w:hAnsi="Arial" w:cs="Arial"/>
                <w:b/>
                <w:bCs/>
                <w:color w:val="000000"/>
                <w:sz w:val="16"/>
                <w:szCs w:val="16"/>
              </w:rPr>
            </w:pPr>
            <w:r>
              <w:rPr>
                <w:rFonts w:ascii="Arial" w:hAnsi="Arial" w:cs="Arial"/>
                <w:b/>
                <w:bCs/>
                <w:color w:val="000000"/>
                <w:sz w:val="16"/>
                <w:szCs w:val="16"/>
              </w:rPr>
              <w:t xml:space="preserve">Počet </w:t>
            </w:r>
            <w:r w:rsidR="00972A96">
              <w:rPr>
                <w:rFonts w:ascii="Arial" w:hAnsi="Arial" w:cs="Arial"/>
                <w:b/>
                <w:bCs/>
                <w:color w:val="000000"/>
                <w:sz w:val="16"/>
                <w:szCs w:val="16"/>
              </w:rPr>
              <w:t xml:space="preserve">riadne ukončených </w:t>
            </w:r>
            <w:r>
              <w:rPr>
                <w:rFonts w:ascii="Arial" w:hAnsi="Arial" w:cs="Arial"/>
                <w:b/>
                <w:bCs/>
                <w:color w:val="000000"/>
                <w:sz w:val="16"/>
                <w:szCs w:val="16"/>
              </w:rPr>
              <w:t>projektov s príspevkom HP MRK</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050E2DA" w14:textId="7A7B2CDE" w:rsidR="00E46234" w:rsidRDefault="00E46234" w:rsidP="007D449C">
            <w:pPr>
              <w:jc w:val="center"/>
              <w:rPr>
                <w:rFonts w:ascii="Arial" w:hAnsi="Arial" w:cs="Arial"/>
                <w:b/>
                <w:bCs/>
                <w:color w:val="000000"/>
                <w:sz w:val="16"/>
                <w:szCs w:val="16"/>
              </w:rPr>
            </w:pPr>
            <w:r>
              <w:rPr>
                <w:rFonts w:ascii="Arial" w:hAnsi="Arial" w:cs="Arial"/>
                <w:b/>
                <w:bCs/>
                <w:color w:val="000000"/>
                <w:sz w:val="16"/>
                <w:szCs w:val="16"/>
              </w:rPr>
              <w:t xml:space="preserve">Výška </w:t>
            </w:r>
            <w:r w:rsidR="007D449C">
              <w:rPr>
                <w:rFonts w:ascii="Arial" w:hAnsi="Arial" w:cs="Arial"/>
                <w:b/>
                <w:bCs/>
                <w:color w:val="000000"/>
                <w:sz w:val="16"/>
                <w:szCs w:val="16"/>
              </w:rPr>
              <w:t xml:space="preserve">čerpaných </w:t>
            </w:r>
            <w:r>
              <w:rPr>
                <w:rFonts w:ascii="Arial" w:hAnsi="Arial" w:cs="Arial"/>
                <w:b/>
                <w:bCs/>
                <w:color w:val="000000"/>
                <w:sz w:val="16"/>
                <w:szCs w:val="16"/>
              </w:rPr>
              <w:t>prostriedkov v € s príspevkom HP MRK (EU zdroje)</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A1B9EA9" w14:textId="456E5227" w:rsidR="00E46234" w:rsidRDefault="00E46234" w:rsidP="007D449C">
            <w:pPr>
              <w:jc w:val="center"/>
              <w:rPr>
                <w:rFonts w:ascii="Arial" w:hAnsi="Arial" w:cs="Arial"/>
                <w:b/>
                <w:bCs/>
                <w:color w:val="000000"/>
                <w:sz w:val="16"/>
                <w:szCs w:val="16"/>
              </w:rPr>
            </w:pPr>
            <w:r>
              <w:rPr>
                <w:rFonts w:ascii="Arial" w:hAnsi="Arial" w:cs="Arial"/>
                <w:b/>
                <w:bCs/>
                <w:color w:val="000000"/>
                <w:sz w:val="16"/>
                <w:szCs w:val="16"/>
              </w:rPr>
              <w:t xml:space="preserve">% </w:t>
            </w:r>
            <w:r w:rsidR="007D449C">
              <w:rPr>
                <w:rFonts w:ascii="Arial" w:hAnsi="Arial" w:cs="Arial"/>
                <w:b/>
                <w:bCs/>
                <w:color w:val="000000"/>
                <w:sz w:val="16"/>
                <w:szCs w:val="16"/>
              </w:rPr>
              <w:t xml:space="preserve">čerpania </w:t>
            </w:r>
            <w:r>
              <w:rPr>
                <w:rFonts w:ascii="Arial" w:hAnsi="Arial" w:cs="Arial"/>
                <w:b/>
                <w:bCs/>
                <w:color w:val="000000"/>
                <w:sz w:val="16"/>
                <w:szCs w:val="16"/>
              </w:rPr>
              <w:t xml:space="preserve">k HP MRK z celkového objemu </w:t>
            </w:r>
            <w:r w:rsidR="007D449C">
              <w:rPr>
                <w:rFonts w:ascii="Arial" w:hAnsi="Arial" w:cs="Arial"/>
                <w:b/>
                <w:bCs/>
                <w:color w:val="000000"/>
                <w:sz w:val="16"/>
                <w:szCs w:val="16"/>
              </w:rPr>
              <w:t xml:space="preserve">čerpaných </w:t>
            </w:r>
            <w:r>
              <w:rPr>
                <w:rFonts w:ascii="Arial" w:hAnsi="Arial" w:cs="Arial"/>
                <w:b/>
                <w:bCs/>
                <w:color w:val="000000"/>
                <w:sz w:val="16"/>
                <w:szCs w:val="16"/>
              </w:rPr>
              <w:t>prostriedkov</w:t>
            </w:r>
          </w:p>
        </w:tc>
      </w:tr>
      <w:tr w:rsidR="00E46234" w14:paraId="3EE9E419" w14:textId="77777777" w:rsidTr="006B3ADD">
        <w:trPr>
          <w:trHeight w:val="263"/>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1744FE7D" w14:textId="77777777" w:rsidR="00E46234" w:rsidRDefault="00E46234" w:rsidP="0019352B">
            <w:pPr>
              <w:jc w:val="center"/>
              <w:rPr>
                <w:rFonts w:ascii="Arial" w:hAnsi="Arial" w:cs="Arial"/>
                <w:color w:val="000000"/>
                <w:sz w:val="16"/>
                <w:szCs w:val="16"/>
              </w:rPr>
            </w:pPr>
            <w:r>
              <w:rPr>
                <w:rFonts w:ascii="Arial" w:hAnsi="Arial" w:cs="Arial"/>
                <w:color w:val="000000"/>
                <w:sz w:val="16"/>
                <w:szCs w:val="16"/>
              </w:rPr>
              <w:t>A</w:t>
            </w:r>
          </w:p>
        </w:tc>
        <w:tc>
          <w:tcPr>
            <w:tcW w:w="1480" w:type="dxa"/>
            <w:tcBorders>
              <w:top w:val="nil"/>
              <w:left w:val="nil"/>
              <w:bottom w:val="single" w:sz="4" w:space="0" w:color="auto"/>
              <w:right w:val="single" w:sz="4" w:space="0" w:color="auto"/>
            </w:tcBorders>
            <w:shd w:val="clear" w:color="000000" w:fill="EBF1DE"/>
            <w:vAlign w:val="center"/>
            <w:hideMark/>
          </w:tcPr>
          <w:p w14:paraId="4CE3CDC3" w14:textId="77777777" w:rsidR="00E46234" w:rsidRDefault="00E46234">
            <w:pPr>
              <w:jc w:val="center"/>
              <w:rPr>
                <w:rFonts w:ascii="Arial" w:hAnsi="Arial" w:cs="Arial"/>
                <w:color w:val="000000"/>
                <w:sz w:val="16"/>
                <w:szCs w:val="16"/>
              </w:rPr>
            </w:pPr>
            <w:r>
              <w:rPr>
                <w:rFonts w:ascii="Arial" w:hAnsi="Arial" w:cs="Arial"/>
                <w:color w:val="000000"/>
                <w:sz w:val="16"/>
                <w:szCs w:val="16"/>
              </w:rPr>
              <w:t>B</w:t>
            </w:r>
          </w:p>
        </w:tc>
        <w:tc>
          <w:tcPr>
            <w:tcW w:w="1480" w:type="dxa"/>
            <w:tcBorders>
              <w:top w:val="nil"/>
              <w:left w:val="nil"/>
              <w:bottom w:val="single" w:sz="4" w:space="0" w:color="auto"/>
              <w:right w:val="single" w:sz="4" w:space="0" w:color="auto"/>
            </w:tcBorders>
            <w:shd w:val="clear" w:color="000000" w:fill="EBF1DE"/>
            <w:vAlign w:val="center"/>
            <w:hideMark/>
          </w:tcPr>
          <w:p w14:paraId="5A598F33" w14:textId="77777777" w:rsidR="00E46234" w:rsidRDefault="00730893">
            <w:pPr>
              <w:jc w:val="center"/>
              <w:rPr>
                <w:rFonts w:ascii="Arial" w:hAnsi="Arial" w:cs="Arial"/>
                <w:color w:val="000000"/>
                <w:sz w:val="16"/>
                <w:szCs w:val="16"/>
              </w:rPr>
            </w:pPr>
            <w:r>
              <w:rPr>
                <w:rFonts w:ascii="Arial" w:hAnsi="Arial" w:cs="Arial"/>
                <w:color w:val="000000"/>
                <w:sz w:val="16"/>
                <w:szCs w:val="16"/>
              </w:rPr>
              <w:t>C</w:t>
            </w:r>
          </w:p>
        </w:tc>
        <w:tc>
          <w:tcPr>
            <w:tcW w:w="1480" w:type="dxa"/>
            <w:tcBorders>
              <w:top w:val="nil"/>
              <w:left w:val="nil"/>
              <w:bottom w:val="single" w:sz="4" w:space="0" w:color="auto"/>
              <w:right w:val="single" w:sz="4" w:space="0" w:color="auto"/>
            </w:tcBorders>
            <w:shd w:val="clear" w:color="000000" w:fill="EBF1DE"/>
            <w:vAlign w:val="center"/>
            <w:hideMark/>
          </w:tcPr>
          <w:p w14:paraId="38D77DCE" w14:textId="77777777" w:rsidR="00E46234" w:rsidRDefault="00E46234">
            <w:pPr>
              <w:jc w:val="center"/>
              <w:rPr>
                <w:rFonts w:ascii="Arial" w:hAnsi="Arial" w:cs="Arial"/>
                <w:color w:val="000000"/>
                <w:sz w:val="16"/>
                <w:szCs w:val="16"/>
              </w:rPr>
            </w:pPr>
            <w:r>
              <w:rPr>
                <w:rFonts w:ascii="Arial" w:hAnsi="Arial" w:cs="Arial"/>
                <w:color w:val="000000"/>
                <w:sz w:val="16"/>
                <w:szCs w:val="16"/>
              </w:rPr>
              <w:t>D</w:t>
            </w:r>
          </w:p>
        </w:tc>
        <w:tc>
          <w:tcPr>
            <w:tcW w:w="1480" w:type="dxa"/>
            <w:tcBorders>
              <w:top w:val="nil"/>
              <w:left w:val="nil"/>
              <w:bottom w:val="single" w:sz="4" w:space="0" w:color="auto"/>
              <w:right w:val="single" w:sz="4" w:space="0" w:color="auto"/>
            </w:tcBorders>
            <w:shd w:val="clear" w:color="000000" w:fill="EBF1DE"/>
            <w:vAlign w:val="center"/>
            <w:hideMark/>
          </w:tcPr>
          <w:p w14:paraId="3E021F5A" w14:textId="77777777" w:rsidR="00E46234" w:rsidRDefault="00E46234">
            <w:pPr>
              <w:jc w:val="center"/>
              <w:rPr>
                <w:rFonts w:ascii="Arial" w:hAnsi="Arial" w:cs="Arial"/>
                <w:color w:val="000000"/>
                <w:sz w:val="16"/>
                <w:szCs w:val="16"/>
              </w:rPr>
            </w:pPr>
            <w:r>
              <w:rPr>
                <w:rFonts w:ascii="Arial" w:hAnsi="Arial" w:cs="Arial"/>
                <w:color w:val="000000"/>
                <w:sz w:val="16"/>
                <w:szCs w:val="16"/>
              </w:rPr>
              <w:t>E</w:t>
            </w:r>
          </w:p>
        </w:tc>
        <w:tc>
          <w:tcPr>
            <w:tcW w:w="1480" w:type="dxa"/>
            <w:tcBorders>
              <w:top w:val="nil"/>
              <w:left w:val="nil"/>
              <w:bottom w:val="single" w:sz="4" w:space="0" w:color="auto"/>
              <w:right w:val="single" w:sz="4" w:space="0" w:color="auto"/>
            </w:tcBorders>
            <w:shd w:val="clear" w:color="000000" w:fill="EBF1DE"/>
            <w:vAlign w:val="center"/>
            <w:hideMark/>
          </w:tcPr>
          <w:p w14:paraId="72799F87" w14:textId="77777777" w:rsidR="00E46234" w:rsidRDefault="00E46234">
            <w:pPr>
              <w:jc w:val="center"/>
              <w:rPr>
                <w:rFonts w:ascii="Arial" w:hAnsi="Arial" w:cs="Arial"/>
                <w:color w:val="000000"/>
                <w:sz w:val="16"/>
                <w:szCs w:val="16"/>
              </w:rPr>
            </w:pPr>
            <w:r>
              <w:rPr>
                <w:rFonts w:ascii="Arial" w:hAnsi="Arial" w:cs="Arial"/>
                <w:color w:val="000000"/>
                <w:sz w:val="16"/>
                <w:szCs w:val="16"/>
              </w:rPr>
              <w:t>F=E/C</w:t>
            </w:r>
          </w:p>
        </w:tc>
      </w:tr>
      <w:tr w:rsidR="00D7374B" w14:paraId="10E51B98"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DE055D8" w14:textId="77777777" w:rsidR="00D7374B" w:rsidRDefault="00D7374B" w:rsidP="0019352B">
            <w:pPr>
              <w:rPr>
                <w:rFonts w:ascii="Arial" w:hAnsi="Arial" w:cs="Arial"/>
                <w:color w:val="000000"/>
                <w:sz w:val="16"/>
                <w:szCs w:val="16"/>
              </w:rPr>
            </w:pPr>
            <w:r>
              <w:rPr>
                <w:rFonts w:ascii="Arial" w:hAnsi="Arial" w:cs="Arial"/>
                <w:color w:val="000000"/>
                <w:sz w:val="16"/>
                <w:szCs w:val="16"/>
              </w:rPr>
              <w:t>Bratislavský</w:t>
            </w:r>
          </w:p>
        </w:tc>
        <w:tc>
          <w:tcPr>
            <w:tcW w:w="1480" w:type="dxa"/>
            <w:tcBorders>
              <w:top w:val="nil"/>
              <w:left w:val="nil"/>
              <w:bottom w:val="single" w:sz="4" w:space="0" w:color="auto"/>
              <w:right w:val="single" w:sz="4" w:space="0" w:color="auto"/>
            </w:tcBorders>
            <w:shd w:val="clear" w:color="auto" w:fill="auto"/>
            <w:vAlign w:val="center"/>
            <w:hideMark/>
          </w:tcPr>
          <w:p w14:paraId="124A133E" w14:textId="4D696E31" w:rsidR="00D7374B" w:rsidRPr="00912C87" w:rsidRDefault="00D7374B" w:rsidP="0019352B">
            <w:pPr>
              <w:jc w:val="center"/>
              <w:rPr>
                <w:rFonts w:ascii="Arial Narrow" w:hAnsi="Arial Narrow" w:cs="Arial"/>
                <w:sz w:val="15"/>
                <w:szCs w:val="15"/>
              </w:rPr>
            </w:pPr>
            <w:r w:rsidRPr="00A31E40">
              <w:rPr>
                <w:rFonts w:ascii="Arial" w:hAnsi="Arial" w:cs="Arial"/>
                <w:color w:val="000000"/>
                <w:sz w:val="16"/>
                <w:szCs w:val="16"/>
              </w:rPr>
              <w:t>21</w:t>
            </w:r>
          </w:p>
        </w:tc>
        <w:tc>
          <w:tcPr>
            <w:tcW w:w="1480" w:type="dxa"/>
            <w:tcBorders>
              <w:top w:val="nil"/>
              <w:left w:val="nil"/>
              <w:bottom w:val="single" w:sz="4" w:space="0" w:color="auto"/>
              <w:right w:val="single" w:sz="4" w:space="0" w:color="auto"/>
            </w:tcBorders>
            <w:shd w:val="clear" w:color="auto" w:fill="auto"/>
            <w:vAlign w:val="center"/>
            <w:hideMark/>
          </w:tcPr>
          <w:p w14:paraId="3ED0E7D9" w14:textId="4E1A9247" w:rsidR="00D7374B" w:rsidRPr="00D7374B" w:rsidRDefault="00D7374B" w:rsidP="006B3ADD">
            <w:pPr>
              <w:jc w:val="center"/>
              <w:rPr>
                <w:rFonts w:ascii="Arial" w:hAnsi="Arial" w:cs="Arial"/>
                <w:color w:val="000000"/>
                <w:sz w:val="16"/>
                <w:szCs w:val="16"/>
              </w:rPr>
            </w:pPr>
            <w:r w:rsidRPr="00D7374B">
              <w:rPr>
                <w:rFonts w:ascii="Arial" w:hAnsi="Arial" w:cs="Arial"/>
                <w:color w:val="000000"/>
                <w:sz w:val="16"/>
                <w:szCs w:val="16"/>
              </w:rPr>
              <w:t>77 038 738</w:t>
            </w:r>
          </w:p>
        </w:tc>
        <w:tc>
          <w:tcPr>
            <w:tcW w:w="1480" w:type="dxa"/>
            <w:tcBorders>
              <w:top w:val="nil"/>
              <w:left w:val="nil"/>
              <w:bottom w:val="single" w:sz="4" w:space="0" w:color="auto"/>
              <w:right w:val="single" w:sz="4" w:space="0" w:color="auto"/>
            </w:tcBorders>
            <w:shd w:val="clear" w:color="auto" w:fill="auto"/>
            <w:vAlign w:val="center"/>
            <w:hideMark/>
          </w:tcPr>
          <w:p w14:paraId="6F5B3DC1" w14:textId="3B9F1A48" w:rsidR="00D7374B" w:rsidRPr="00912C87" w:rsidRDefault="00D7374B" w:rsidP="0019352B">
            <w:pPr>
              <w:jc w:val="center"/>
              <w:rPr>
                <w:rFonts w:ascii="Arial Narrow" w:hAnsi="Arial Narrow" w:cs="Arial"/>
                <w:color w:val="000000"/>
                <w:sz w:val="15"/>
                <w:szCs w:val="15"/>
              </w:rPr>
            </w:pPr>
            <w:r w:rsidRPr="00C85499">
              <w:rPr>
                <w:rFonts w:ascii="Arial" w:hAnsi="Arial" w:cs="Arial"/>
                <w:color w:val="000000"/>
                <w:sz w:val="16"/>
                <w:szCs w:val="16"/>
              </w:rPr>
              <w:t>0</w:t>
            </w:r>
          </w:p>
        </w:tc>
        <w:tc>
          <w:tcPr>
            <w:tcW w:w="1480" w:type="dxa"/>
            <w:tcBorders>
              <w:top w:val="nil"/>
              <w:left w:val="nil"/>
              <w:bottom w:val="single" w:sz="4" w:space="0" w:color="auto"/>
              <w:right w:val="single" w:sz="4" w:space="0" w:color="auto"/>
            </w:tcBorders>
            <w:shd w:val="clear" w:color="auto" w:fill="auto"/>
            <w:vAlign w:val="center"/>
            <w:hideMark/>
          </w:tcPr>
          <w:p w14:paraId="1A5D11B9" w14:textId="6C6A9797" w:rsidR="00D7374B" w:rsidRPr="00912C87" w:rsidRDefault="00D7374B" w:rsidP="006B3ADD">
            <w:pPr>
              <w:jc w:val="center"/>
              <w:rPr>
                <w:rFonts w:ascii="Arial Narrow" w:hAnsi="Arial Narrow" w:cs="Arial"/>
                <w:color w:val="000000"/>
                <w:sz w:val="15"/>
                <w:szCs w:val="15"/>
              </w:rPr>
            </w:pPr>
            <w:r w:rsidRPr="00A31E40">
              <w:rPr>
                <w:rFonts w:ascii="Arial" w:hAnsi="Arial" w:cs="Arial"/>
                <w:color w:val="000000"/>
                <w:sz w:val="16"/>
                <w:szCs w:val="16"/>
              </w:rPr>
              <w:t>0</w:t>
            </w:r>
          </w:p>
        </w:tc>
        <w:tc>
          <w:tcPr>
            <w:tcW w:w="1480" w:type="dxa"/>
            <w:tcBorders>
              <w:top w:val="nil"/>
              <w:left w:val="nil"/>
              <w:bottom w:val="single" w:sz="4" w:space="0" w:color="auto"/>
              <w:right w:val="single" w:sz="4" w:space="0" w:color="auto"/>
            </w:tcBorders>
            <w:shd w:val="clear" w:color="auto" w:fill="auto"/>
            <w:vAlign w:val="center"/>
            <w:hideMark/>
          </w:tcPr>
          <w:p w14:paraId="7F7D9C60" w14:textId="4217F9D8" w:rsidR="00D7374B" w:rsidRPr="00912C87" w:rsidRDefault="00D7374B" w:rsidP="0019352B">
            <w:pPr>
              <w:jc w:val="center"/>
              <w:rPr>
                <w:rFonts w:ascii="Arial Narrow" w:hAnsi="Arial Narrow" w:cs="Arial"/>
                <w:color w:val="000000"/>
                <w:sz w:val="15"/>
                <w:szCs w:val="15"/>
              </w:rPr>
            </w:pPr>
            <w:r w:rsidRPr="00A31E40">
              <w:rPr>
                <w:rFonts w:ascii="Arial" w:hAnsi="Arial" w:cs="Arial"/>
                <w:color w:val="000000"/>
                <w:sz w:val="16"/>
                <w:szCs w:val="16"/>
              </w:rPr>
              <w:t>0,00%</w:t>
            </w:r>
          </w:p>
        </w:tc>
      </w:tr>
      <w:tr w:rsidR="00D7374B" w14:paraId="17C4E484"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40604E7D" w14:textId="77777777" w:rsidR="00D7374B" w:rsidRDefault="00D7374B" w:rsidP="0019352B">
            <w:pPr>
              <w:rPr>
                <w:rFonts w:ascii="Arial" w:hAnsi="Arial" w:cs="Arial"/>
                <w:color w:val="000000"/>
                <w:sz w:val="16"/>
                <w:szCs w:val="16"/>
              </w:rPr>
            </w:pPr>
            <w:r>
              <w:rPr>
                <w:rFonts w:ascii="Arial" w:hAnsi="Arial" w:cs="Arial"/>
                <w:color w:val="000000"/>
                <w:sz w:val="16"/>
                <w:szCs w:val="16"/>
              </w:rPr>
              <w:t>Trnavský</w:t>
            </w:r>
          </w:p>
        </w:tc>
        <w:tc>
          <w:tcPr>
            <w:tcW w:w="1480" w:type="dxa"/>
            <w:tcBorders>
              <w:top w:val="nil"/>
              <w:left w:val="nil"/>
              <w:bottom w:val="single" w:sz="4" w:space="0" w:color="auto"/>
              <w:right w:val="single" w:sz="4" w:space="0" w:color="auto"/>
            </w:tcBorders>
            <w:shd w:val="clear" w:color="auto" w:fill="auto"/>
            <w:vAlign w:val="center"/>
            <w:hideMark/>
          </w:tcPr>
          <w:p w14:paraId="49AFFB0F" w14:textId="22C3F8F9" w:rsidR="00D7374B" w:rsidRPr="00912C87" w:rsidRDefault="00D7374B" w:rsidP="0019352B">
            <w:pPr>
              <w:jc w:val="center"/>
              <w:rPr>
                <w:rFonts w:ascii="Arial Narrow" w:hAnsi="Arial Narrow" w:cs="Arial"/>
                <w:sz w:val="15"/>
                <w:szCs w:val="15"/>
              </w:rPr>
            </w:pPr>
            <w:r w:rsidRPr="00A31E40">
              <w:rPr>
                <w:rFonts w:ascii="Arial" w:hAnsi="Arial" w:cs="Arial"/>
                <w:color w:val="000000"/>
                <w:sz w:val="16"/>
                <w:szCs w:val="16"/>
              </w:rPr>
              <w:t>79</w:t>
            </w:r>
          </w:p>
        </w:tc>
        <w:tc>
          <w:tcPr>
            <w:tcW w:w="1480" w:type="dxa"/>
            <w:tcBorders>
              <w:top w:val="nil"/>
              <w:left w:val="nil"/>
              <w:bottom w:val="single" w:sz="4" w:space="0" w:color="auto"/>
              <w:right w:val="single" w:sz="4" w:space="0" w:color="auto"/>
            </w:tcBorders>
            <w:shd w:val="clear" w:color="auto" w:fill="auto"/>
            <w:vAlign w:val="center"/>
            <w:hideMark/>
          </w:tcPr>
          <w:p w14:paraId="7F3F4CA1" w14:textId="504667FA" w:rsidR="00D7374B" w:rsidRPr="00D7374B" w:rsidRDefault="00D7374B" w:rsidP="006B3ADD">
            <w:pPr>
              <w:jc w:val="center"/>
              <w:rPr>
                <w:rFonts w:ascii="Arial" w:hAnsi="Arial" w:cs="Arial"/>
                <w:color w:val="000000"/>
                <w:sz w:val="16"/>
                <w:szCs w:val="16"/>
              </w:rPr>
            </w:pPr>
            <w:r w:rsidRPr="00D7374B">
              <w:rPr>
                <w:rFonts w:ascii="Arial" w:hAnsi="Arial" w:cs="Arial"/>
                <w:color w:val="000000"/>
                <w:sz w:val="16"/>
                <w:szCs w:val="16"/>
              </w:rPr>
              <w:t>145 774 91</w:t>
            </w:r>
            <w:r w:rsidR="00B039B7">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auto" w:fill="auto"/>
            <w:vAlign w:val="center"/>
            <w:hideMark/>
          </w:tcPr>
          <w:p w14:paraId="3A6BC90E" w14:textId="6F50C831" w:rsidR="00D7374B" w:rsidRPr="00912C87" w:rsidRDefault="00D7374B" w:rsidP="0019352B">
            <w:pPr>
              <w:jc w:val="center"/>
              <w:rPr>
                <w:rFonts w:ascii="Arial Narrow" w:hAnsi="Arial Narrow" w:cs="Arial"/>
                <w:color w:val="000000"/>
                <w:sz w:val="15"/>
                <w:szCs w:val="15"/>
              </w:rPr>
            </w:pPr>
            <w:r w:rsidRPr="00C85499">
              <w:rPr>
                <w:rFonts w:ascii="Arial" w:hAnsi="Arial" w:cs="Arial"/>
                <w:color w:val="000000"/>
                <w:sz w:val="16"/>
                <w:szCs w:val="16"/>
              </w:rPr>
              <w:t>1</w:t>
            </w:r>
          </w:p>
        </w:tc>
        <w:tc>
          <w:tcPr>
            <w:tcW w:w="1480" w:type="dxa"/>
            <w:tcBorders>
              <w:top w:val="nil"/>
              <w:left w:val="nil"/>
              <w:bottom w:val="single" w:sz="4" w:space="0" w:color="auto"/>
              <w:right w:val="single" w:sz="4" w:space="0" w:color="auto"/>
            </w:tcBorders>
            <w:shd w:val="clear" w:color="auto" w:fill="auto"/>
            <w:vAlign w:val="center"/>
            <w:hideMark/>
          </w:tcPr>
          <w:p w14:paraId="540CEEA2" w14:textId="380FBFDB" w:rsidR="00D7374B" w:rsidRPr="00912C87" w:rsidRDefault="00D7374B" w:rsidP="006B3ADD">
            <w:pPr>
              <w:jc w:val="center"/>
              <w:rPr>
                <w:rFonts w:ascii="Arial Narrow" w:hAnsi="Arial Narrow" w:cs="Arial"/>
                <w:color w:val="000000"/>
                <w:sz w:val="15"/>
                <w:szCs w:val="15"/>
              </w:rPr>
            </w:pPr>
            <w:r w:rsidRPr="00A31E40">
              <w:rPr>
                <w:rFonts w:ascii="Arial" w:hAnsi="Arial" w:cs="Arial"/>
                <w:color w:val="000000"/>
                <w:sz w:val="16"/>
                <w:szCs w:val="16"/>
              </w:rPr>
              <w:t>227 44</w:t>
            </w:r>
            <w:r w:rsidR="00B039B7">
              <w:rPr>
                <w:rFonts w:ascii="Arial" w:hAnsi="Arial" w:cs="Arial"/>
                <w:color w:val="000000"/>
                <w:sz w:val="16"/>
                <w:szCs w:val="16"/>
              </w:rPr>
              <w:t>1</w:t>
            </w:r>
          </w:p>
        </w:tc>
        <w:tc>
          <w:tcPr>
            <w:tcW w:w="1480" w:type="dxa"/>
            <w:tcBorders>
              <w:top w:val="nil"/>
              <w:left w:val="nil"/>
              <w:bottom w:val="single" w:sz="4" w:space="0" w:color="auto"/>
              <w:right w:val="single" w:sz="4" w:space="0" w:color="auto"/>
            </w:tcBorders>
            <w:shd w:val="clear" w:color="auto" w:fill="auto"/>
            <w:vAlign w:val="center"/>
            <w:hideMark/>
          </w:tcPr>
          <w:p w14:paraId="0F2BA0CF" w14:textId="0F18E5E7" w:rsidR="00D7374B" w:rsidRPr="00912C87" w:rsidRDefault="00D7374B" w:rsidP="0019352B">
            <w:pPr>
              <w:jc w:val="center"/>
              <w:rPr>
                <w:rFonts w:ascii="Arial Narrow" w:hAnsi="Arial Narrow" w:cs="Arial"/>
                <w:color w:val="000000"/>
                <w:sz w:val="15"/>
                <w:szCs w:val="15"/>
              </w:rPr>
            </w:pPr>
            <w:r w:rsidRPr="00A31E40">
              <w:rPr>
                <w:rFonts w:ascii="Arial" w:hAnsi="Arial" w:cs="Arial"/>
                <w:color w:val="000000"/>
                <w:sz w:val="16"/>
                <w:szCs w:val="16"/>
              </w:rPr>
              <w:t>0,16%</w:t>
            </w:r>
          </w:p>
        </w:tc>
      </w:tr>
      <w:tr w:rsidR="00D7374B" w14:paraId="7512F7C2"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77F6215" w14:textId="77777777" w:rsidR="00D7374B" w:rsidRDefault="00D7374B" w:rsidP="0019352B">
            <w:pPr>
              <w:rPr>
                <w:rFonts w:ascii="Arial" w:hAnsi="Arial" w:cs="Arial"/>
                <w:color w:val="000000"/>
                <w:sz w:val="16"/>
                <w:szCs w:val="16"/>
              </w:rPr>
            </w:pPr>
            <w:r>
              <w:rPr>
                <w:rFonts w:ascii="Arial" w:hAnsi="Arial" w:cs="Arial"/>
                <w:color w:val="000000"/>
                <w:sz w:val="16"/>
                <w:szCs w:val="16"/>
              </w:rPr>
              <w:t>Trenčiansky</w:t>
            </w:r>
          </w:p>
        </w:tc>
        <w:tc>
          <w:tcPr>
            <w:tcW w:w="1480" w:type="dxa"/>
            <w:tcBorders>
              <w:top w:val="nil"/>
              <w:left w:val="nil"/>
              <w:bottom w:val="single" w:sz="4" w:space="0" w:color="auto"/>
              <w:right w:val="single" w:sz="4" w:space="0" w:color="auto"/>
            </w:tcBorders>
            <w:shd w:val="clear" w:color="auto" w:fill="auto"/>
            <w:vAlign w:val="center"/>
            <w:hideMark/>
          </w:tcPr>
          <w:p w14:paraId="6CE2C06E" w14:textId="6E83864C" w:rsidR="00D7374B" w:rsidRPr="00912C87" w:rsidRDefault="00D7374B" w:rsidP="0019352B">
            <w:pPr>
              <w:jc w:val="center"/>
              <w:rPr>
                <w:rFonts w:ascii="Arial Narrow" w:hAnsi="Arial Narrow" w:cs="Arial"/>
                <w:sz w:val="15"/>
                <w:szCs w:val="15"/>
              </w:rPr>
            </w:pPr>
            <w:r w:rsidRPr="00A31E40">
              <w:rPr>
                <w:rFonts w:ascii="Arial" w:hAnsi="Arial" w:cs="Arial"/>
                <w:color w:val="000000"/>
                <w:sz w:val="16"/>
                <w:szCs w:val="16"/>
              </w:rPr>
              <w:t>66</w:t>
            </w:r>
          </w:p>
        </w:tc>
        <w:tc>
          <w:tcPr>
            <w:tcW w:w="1480" w:type="dxa"/>
            <w:tcBorders>
              <w:top w:val="nil"/>
              <w:left w:val="nil"/>
              <w:bottom w:val="single" w:sz="4" w:space="0" w:color="auto"/>
              <w:right w:val="single" w:sz="4" w:space="0" w:color="auto"/>
            </w:tcBorders>
            <w:shd w:val="clear" w:color="auto" w:fill="auto"/>
            <w:vAlign w:val="center"/>
            <w:hideMark/>
          </w:tcPr>
          <w:p w14:paraId="51FD1F17" w14:textId="4F400CD3" w:rsidR="00D7374B" w:rsidRPr="00D7374B" w:rsidRDefault="00D7374B" w:rsidP="006B3ADD">
            <w:pPr>
              <w:jc w:val="center"/>
              <w:rPr>
                <w:rFonts w:ascii="Arial" w:hAnsi="Arial" w:cs="Arial"/>
                <w:color w:val="000000"/>
                <w:sz w:val="16"/>
                <w:szCs w:val="16"/>
              </w:rPr>
            </w:pPr>
            <w:r w:rsidRPr="00D7374B">
              <w:rPr>
                <w:rFonts w:ascii="Arial" w:hAnsi="Arial" w:cs="Arial"/>
                <w:color w:val="000000"/>
                <w:sz w:val="16"/>
                <w:szCs w:val="16"/>
              </w:rPr>
              <w:t>150 591 80</w:t>
            </w:r>
            <w:r w:rsidR="00B039B7">
              <w:rPr>
                <w:rFonts w:ascii="Arial" w:hAnsi="Arial" w:cs="Arial"/>
                <w:color w:val="000000"/>
                <w:sz w:val="16"/>
                <w:szCs w:val="16"/>
              </w:rPr>
              <w:t>7</w:t>
            </w:r>
          </w:p>
        </w:tc>
        <w:tc>
          <w:tcPr>
            <w:tcW w:w="1480" w:type="dxa"/>
            <w:tcBorders>
              <w:top w:val="nil"/>
              <w:left w:val="nil"/>
              <w:bottom w:val="single" w:sz="4" w:space="0" w:color="auto"/>
              <w:right w:val="single" w:sz="4" w:space="0" w:color="auto"/>
            </w:tcBorders>
            <w:shd w:val="clear" w:color="auto" w:fill="auto"/>
            <w:vAlign w:val="center"/>
            <w:hideMark/>
          </w:tcPr>
          <w:p w14:paraId="769E9B2E" w14:textId="03786594" w:rsidR="00D7374B" w:rsidRPr="00912C87" w:rsidRDefault="00D7374B" w:rsidP="0019352B">
            <w:pPr>
              <w:jc w:val="center"/>
              <w:rPr>
                <w:rFonts w:ascii="Arial Narrow" w:hAnsi="Arial Narrow" w:cs="Arial"/>
                <w:color w:val="000000"/>
                <w:sz w:val="15"/>
                <w:szCs w:val="15"/>
              </w:rPr>
            </w:pPr>
            <w:r w:rsidRPr="00C85499">
              <w:rPr>
                <w:rFonts w:ascii="Arial" w:hAnsi="Arial" w:cs="Arial"/>
                <w:color w:val="000000"/>
                <w:sz w:val="16"/>
                <w:szCs w:val="16"/>
              </w:rPr>
              <w:t>1</w:t>
            </w:r>
          </w:p>
        </w:tc>
        <w:tc>
          <w:tcPr>
            <w:tcW w:w="1480" w:type="dxa"/>
            <w:tcBorders>
              <w:top w:val="nil"/>
              <w:left w:val="nil"/>
              <w:bottom w:val="single" w:sz="4" w:space="0" w:color="auto"/>
              <w:right w:val="single" w:sz="4" w:space="0" w:color="auto"/>
            </w:tcBorders>
            <w:shd w:val="clear" w:color="auto" w:fill="auto"/>
            <w:vAlign w:val="center"/>
            <w:hideMark/>
          </w:tcPr>
          <w:p w14:paraId="3DB42E25" w14:textId="6738D371" w:rsidR="00D7374B" w:rsidRPr="00912C87" w:rsidRDefault="00D7374B" w:rsidP="006B3ADD">
            <w:pPr>
              <w:jc w:val="center"/>
              <w:rPr>
                <w:rFonts w:ascii="Arial Narrow" w:hAnsi="Arial Narrow" w:cs="Arial"/>
                <w:color w:val="000000"/>
                <w:sz w:val="15"/>
                <w:szCs w:val="15"/>
              </w:rPr>
            </w:pPr>
            <w:r w:rsidRPr="00A31E40">
              <w:rPr>
                <w:rFonts w:ascii="Arial" w:hAnsi="Arial" w:cs="Arial"/>
                <w:color w:val="000000"/>
                <w:sz w:val="16"/>
                <w:szCs w:val="16"/>
              </w:rPr>
              <w:t>263 43</w:t>
            </w:r>
            <w:r w:rsidR="00B039B7">
              <w:rPr>
                <w:rFonts w:ascii="Arial" w:hAnsi="Arial" w:cs="Arial"/>
                <w:color w:val="000000"/>
                <w:sz w:val="16"/>
                <w:szCs w:val="16"/>
              </w:rPr>
              <w:t>8</w:t>
            </w:r>
          </w:p>
        </w:tc>
        <w:tc>
          <w:tcPr>
            <w:tcW w:w="1480" w:type="dxa"/>
            <w:tcBorders>
              <w:top w:val="nil"/>
              <w:left w:val="nil"/>
              <w:bottom w:val="single" w:sz="4" w:space="0" w:color="auto"/>
              <w:right w:val="single" w:sz="4" w:space="0" w:color="auto"/>
            </w:tcBorders>
            <w:shd w:val="clear" w:color="auto" w:fill="auto"/>
            <w:vAlign w:val="center"/>
            <w:hideMark/>
          </w:tcPr>
          <w:p w14:paraId="445B13CA" w14:textId="167C5F0D" w:rsidR="00D7374B" w:rsidRPr="00912C87" w:rsidRDefault="00D7374B" w:rsidP="0019352B">
            <w:pPr>
              <w:jc w:val="center"/>
              <w:rPr>
                <w:rFonts w:ascii="Arial Narrow" w:hAnsi="Arial Narrow" w:cs="Arial"/>
                <w:color w:val="000000"/>
                <w:sz w:val="15"/>
                <w:szCs w:val="15"/>
              </w:rPr>
            </w:pPr>
            <w:r w:rsidRPr="00A31E40">
              <w:rPr>
                <w:rFonts w:ascii="Arial" w:hAnsi="Arial" w:cs="Arial"/>
                <w:color w:val="000000"/>
                <w:sz w:val="16"/>
                <w:szCs w:val="16"/>
              </w:rPr>
              <w:t>0,17%</w:t>
            </w:r>
          </w:p>
        </w:tc>
      </w:tr>
      <w:tr w:rsidR="00D7374B" w14:paraId="4C6D5367"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3B7C356" w14:textId="77777777" w:rsidR="00D7374B" w:rsidRDefault="00D7374B" w:rsidP="0019352B">
            <w:pPr>
              <w:rPr>
                <w:rFonts w:ascii="Arial" w:hAnsi="Arial" w:cs="Arial"/>
                <w:color w:val="000000"/>
                <w:sz w:val="16"/>
                <w:szCs w:val="16"/>
              </w:rPr>
            </w:pPr>
            <w:r>
              <w:rPr>
                <w:rFonts w:ascii="Arial" w:hAnsi="Arial" w:cs="Arial"/>
                <w:color w:val="000000"/>
                <w:sz w:val="16"/>
                <w:szCs w:val="16"/>
              </w:rPr>
              <w:t>Nitriansky</w:t>
            </w:r>
          </w:p>
        </w:tc>
        <w:tc>
          <w:tcPr>
            <w:tcW w:w="1480" w:type="dxa"/>
            <w:tcBorders>
              <w:top w:val="nil"/>
              <w:left w:val="nil"/>
              <w:bottom w:val="single" w:sz="4" w:space="0" w:color="auto"/>
              <w:right w:val="single" w:sz="4" w:space="0" w:color="auto"/>
            </w:tcBorders>
            <w:shd w:val="clear" w:color="auto" w:fill="auto"/>
            <w:vAlign w:val="center"/>
            <w:hideMark/>
          </w:tcPr>
          <w:p w14:paraId="6BCDAFCD" w14:textId="1C84D1D4" w:rsidR="00D7374B" w:rsidRPr="00D7374B" w:rsidRDefault="00D7374B" w:rsidP="0019352B">
            <w:pPr>
              <w:jc w:val="center"/>
              <w:rPr>
                <w:rFonts w:ascii="Arial" w:hAnsi="Arial" w:cs="Arial"/>
                <w:color w:val="000000"/>
                <w:sz w:val="16"/>
                <w:szCs w:val="16"/>
              </w:rPr>
            </w:pPr>
            <w:r w:rsidRPr="00D7374B">
              <w:rPr>
                <w:rFonts w:ascii="Arial" w:hAnsi="Arial" w:cs="Arial"/>
                <w:color w:val="000000"/>
                <w:sz w:val="16"/>
                <w:szCs w:val="16"/>
              </w:rPr>
              <w:t>80</w:t>
            </w:r>
          </w:p>
        </w:tc>
        <w:tc>
          <w:tcPr>
            <w:tcW w:w="1480" w:type="dxa"/>
            <w:tcBorders>
              <w:top w:val="nil"/>
              <w:left w:val="nil"/>
              <w:bottom w:val="single" w:sz="4" w:space="0" w:color="auto"/>
              <w:right w:val="single" w:sz="4" w:space="0" w:color="auto"/>
            </w:tcBorders>
            <w:shd w:val="clear" w:color="auto" w:fill="auto"/>
            <w:vAlign w:val="center"/>
            <w:hideMark/>
          </w:tcPr>
          <w:p w14:paraId="4CDE4B86" w14:textId="0A147942" w:rsidR="00D7374B" w:rsidRPr="00D7374B" w:rsidRDefault="00D7374B" w:rsidP="006B3ADD">
            <w:pPr>
              <w:jc w:val="center"/>
              <w:rPr>
                <w:rFonts w:ascii="Arial" w:hAnsi="Arial" w:cs="Arial"/>
                <w:color w:val="000000"/>
                <w:sz w:val="16"/>
                <w:szCs w:val="16"/>
              </w:rPr>
            </w:pPr>
            <w:r w:rsidRPr="00D7374B">
              <w:rPr>
                <w:rFonts w:ascii="Arial" w:hAnsi="Arial" w:cs="Arial"/>
                <w:color w:val="000000"/>
                <w:sz w:val="16"/>
                <w:szCs w:val="16"/>
              </w:rPr>
              <w:t>163 906 762</w:t>
            </w:r>
          </w:p>
        </w:tc>
        <w:tc>
          <w:tcPr>
            <w:tcW w:w="1480" w:type="dxa"/>
            <w:tcBorders>
              <w:top w:val="nil"/>
              <w:left w:val="nil"/>
              <w:bottom w:val="single" w:sz="4" w:space="0" w:color="auto"/>
              <w:right w:val="single" w:sz="4" w:space="0" w:color="auto"/>
            </w:tcBorders>
            <w:shd w:val="clear" w:color="auto" w:fill="auto"/>
            <w:vAlign w:val="center"/>
            <w:hideMark/>
          </w:tcPr>
          <w:p w14:paraId="07043DDB" w14:textId="76481AF8" w:rsidR="00D7374B" w:rsidRPr="00912C87" w:rsidRDefault="00D7374B" w:rsidP="0019352B">
            <w:pPr>
              <w:jc w:val="center"/>
              <w:rPr>
                <w:rFonts w:ascii="Arial Narrow" w:hAnsi="Arial Narrow" w:cs="Arial"/>
                <w:color w:val="000000"/>
                <w:sz w:val="15"/>
                <w:szCs w:val="15"/>
              </w:rPr>
            </w:pPr>
            <w:r w:rsidRPr="00C85499">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auto" w:fill="auto"/>
            <w:vAlign w:val="center"/>
            <w:hideMark/>
          </w:tcPr>
          <w:p w14:paraId="48C5BCCC" w14:textId="4E7C9F55" w:rsidR="00D7374B" w:rsidRPr="00912C87" w:rsidRDefault="00D7374B" w:rsidP="006B3ADD">
            <w:pPr>
              <w:jc w:val="center"/>
              <w:rPr>
                <w:rFonts w:ascii="Arial Narrow" w:hAnsi="Arial Narrow" w:cs="Arial"/>
                <w:color w:val="000000"/>
                <w:sz w:val="15"/>
                <w:szCs w:val="15"/>
              </w:rPr>
            </w:pPr>
            <w:r w:rsidRPr="00A31E40">
              <w:rPr>
                <w:rFonts w:ascii="Arial" w:hAnsi="Arial" w:cs="Arial"/>
                <w:color w:val="000000"/>
                <w:sz w:val="16"/>
                <w:szCs w:val="16"/>
              </w:rPr>
              <w:t>691 94</w:t>
            </w:r>
            <w:r w:rsidR="00B039B7">
              <w:rPr>
                <w:rFonts w:ascii="Arial" w:hAnsi="Arial" w:cs="Arial"/>
                <w:color w:val="000000"/>
                <w:sz w:val="16"/>
                <w:szCs w:val="16"/>
              </w:rPr>
              <w:t>9</w:t>
            </w:r>
          </w:p>
        </w:tc>
        <w:tc>
          <w:tcPr>
            <w:tcW w:w="1480" w:type="dxa"/>
            <w:tcBorders>
              <w:top w:val="nil"/>
              <w:left w:val="nil"/>
              <w:bottom w:val="single" w:sz="4" w:space="0" w:color="auto"/>
              <w:right w:val="single" w:sz="4" w:space="0" w:color="auto"/>
            </w:tcBorders>
            <w:shd w:val="clear" w:color="auto" w:fill="auto"/>
            <w:vAlign w:val="center"/>
            <w:hideMark/>
          </w:tcPr>
          <w:p w14:paraId="64E8A776" w14:textId="2DECB9D1" w:rsidR="00D7374B" w:rsidRPr="00912C87" w:rsidRDefault="00D7374B" w:rsidP="0019352B">
            <w:pPr>
              <w:jc w:val="center"/>
              <w:rPr>
                <w:rFonts w:ascii="Arial Narrow" w:hAnsi="Arial Narrow" w:cs="Arial"/>
                <w:color w:val="000000"/>
                <w:sz w:val="15"/>
                <w:szCs w:val="15"/>
              </w:rPr>
            </w:pPr>
            <w:r>
              <w:rPr>
                <w:rFonts w:ascii="Arial" w:hAnsi="Arial" w:cs="Arial"/>
                <w:color w:val="000000"/>
                <w:sz w:val="16"/>
                <w:szCs w:val="16"/>
              </w:rPr>
              <w:t>0,42</w:t>
            </w:r>
            <w:r w:rsidRPr="00A31E40">
              <w:rPr>
                <w:rFonts w:ascii="Arial" w:hAnsi="Arial" w:cs="Arial"/>
                <w:color w:val="000000"/>
                <w:sz w:val="16"/>
                <w:szCs w:val="16"/>
              </w:rPr>
              <w:t>%</w:t>
            </w:r>
          </w:p>
        </w:tc>
      </w:tr>
      <w:tr w:rsidR="00D7374B" w14:paraId="304100BA"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192561B9" w14:textId="77777777" w:rsidR="00D7374B" w:rsidRDefault="00D7374B" w:rsidP="0019352B">
            <w:pPr>
              <w:rPr>
                <w:rFonts w:ascii="Arial" w:hAnsi="Arial" w:cs="Arial"/>
                <w:color w:val="000000"/>
                <w:sz w:val="16"/>
                <w:szCs w:val="16"/>
              </w:rPr>
            </w:pPr>
            <w:r>
              <w:rPr>
                <w:rFonts w:ascii="Arial" w:hAnsi="Arial" w:cs="Arial"/>
                <w:color w:val="000000"/>
                <w:sz w:val="16"/>
                <w:szCs w:val="16"/>
              </w:rPr>
              <w:t>Žilinský</w:t>
            </w:r>
          </w:p>
        </w:tc>
        <w:tc>
          <w:tcPr>
            <w:tcW w:w="1480" w:type="dxa"/>
            <w:tcBorders>
              <w:top w:val="nil"/>
              <w:left w:val="nil"/>
              <w:bottom w:val="single" w:sz="4" w:space="0" w:color="auto"/>
              <w:right w:val="single" w:sz="4" w:space="0" w:color="auto"/>
            </w:tcBorders>
            <w:shd w:val="clear" w:color="auto" w:fill="auto"/>
            <w:vAlign w:val="center"/>
            <w:hideMark/>
          </w:tcPr>
          <w:p w14:paraId="4A22BEBD" w14:textId="7B540A0E" w:rsidR="00D7374B" w:rsidRPr="00D7374B" w:rsidRDefault="00D7374B" w:rsidP="0019352B">
            <w:pPr>
              <w:jc w:val="center"/>
              <w:rPr>
                <w:rFonts w:ascii="Arial" w:hAnsi="Arial" w:cs="Arial"/>
                <w:color w:val="000000"/>
                <w:sz w:val="16"/>
                <w:szCs w:val="16"/>
              </w:rPr>
            </w:pPr>
            <w:r w:rsidRPr="00A31E40">
              <w:rPr>
                <w:rFonts w:ascii="Arial" w:hAnsi="Arial" w:cs="Arial"/>
                <w:color w:val="000000"/>
                <w:sz w:val="16"/>
                <w:szCs w:val="16"/>
              </w:rPr>
              <w:t>118</w:t>
            </w:r>
          </w:p>
        </w:tc>
        <w:tc>
          <w:tcPr>
            <w:tcW w:w="1480" w:type="dxa"/>
            <w:tcBorders>
              <w:top w:val="nil"/>
              <w:left w:val="nil"/>
              <w:bottom w:val="single" w:sz="4" w:space="0" w:color="auto"/>
              <w:right w:val="single" w:sz="4" w:space="0" w:color="auto"/>
            </w:tcBorders>
            <w:shd w:val="clear" w:color="auto" w:fill="auto"/>
            <w:vAlign w:val="center"/>
            <w:hideMark/>
          </w:tcPr>
          <w:p w14:paraId="31FC2BE8" w14:textId="1DF96F3A" w:rsidR="00D7374B" w:rsidRPr="00D7374B" w:rsidRDefault="00D7374B" w:rsidP="006B3ADD">
            <w:pPr>
              <w:jc w:val="center"/>
              <w:rPr>
                <w:rFonts w:ascii="Arial" w:hAnsi="Arial" w:cs="Arial"/>
                <w:color w:val="000000"/>
                <w:sz w:val="16"/>
                <w:szCs w:val="16"/>
              </w:rPr>
            </w:pPr>
            <w:r w:rsidRPr="00D7374B">
              <w:rPr>
                <w:rFonts w:ascii="Arial" w:hAnsi="Arial" w:cs="Arial"/>
                <w:color w:val="000000"/>
                <w:sz w:val="16"/>
                <w:szCs w:val="16"/>
              </w:rPr>
              <w:t>252 086 907</w:t>
            </w:r>
          </w:p>
        </w:tc>
        <w:tc>
          <w:tcPr>
            <w:tcW w:w="1480" w:type="dxa"/>
            <w:tcBorders>
              <w:top w:val="nil"/>
              <w:left w:val="nil"/>
              <w:bottom w:val="single" w:sz="4" w:space="0" w:color="auto"/>
              <w:right w:val="single" w:sz="4" w:space="0" w:color="auto"/>
            </w:tcBorders>
            <w:shd w:val="clear" w:color="auto" w:fill="auto"/>
            <w:vAlign w:val="center"/>
            <w:hideMark/>
          </w:tcPr>
          <w:p w14:paraId="322D358E" w14:textId="284512A0" w:rsidR="00D7374B" w:rsidRPr="00912C87" w:rsidRDefault="00D7374B" w:rsidP="0019352B">
            <w:pPr>
              <w:jc w:val="center"/>
              <w:rPr>
                <w:rFonts w:ascii="Arial Narrow" w:hAnsi="Arial Narrow" w:cs="Arial"/>
                <w:color w:val="000000"/>
                <w:sz w:val="15"/>
                <w:szCs w:val="15"/>
              </w:rPr>
            </w:pPr>
            <w:r w:rsidRPr="00C85499">
              <w:rPr>
                <w:rFonts w:ascii="Arial" w:hAnsi="Arial" w:cs="Arial"/>
                <w:color w:val="000000"/>
                <w:sz w:val="16"/>
                <w:szCs w:val="16"/>
              </w:rPr>
              <w:t>0</w:t>
            </w:r>
          </w:p>
        </w:tc>
        <w:tc>
          <w:tcPr>
            <w:tcW w:w="1480" w:type="dxa"/>
            <w:tcBorders>
              <w:top w:val="nil"/>
              <w:left w:val="nil"/>
              <w:bottom w:val="single" w:sz="4" w:space="0" w:color="auto"/>
              <w:right w:val="single" w:sz="4" w:space="0" w:color="auto"/>
            </w:tcBorders>
            <w:shd w:val="clear" w:color="auto" w:fill="auto"/>
            <w:vAlign w:val="center"/>
            <w:hideMark/>
          </w:tcPr>
          <w:p w14:paraId="0B6C4D00" w14:textId="052CB467" w:rsidR="00D7374B" w:rsidRPr="00912C87" w:rsidRDefault="00D7374B" w:rsidP="006B3ADD">
            <w:pPr>
              <w:jc w:val="center"/>
              <w:rPr>
                <w:rFonts w:ascii="Arial Narrow" w:hAnsi="Arial Narrow" w:cs="Arial"/>
                <w:color w:val="000000"/>
                <w:sz w:val="15"/>
                <w:szCs w:val="15"/>
              </w:rPr>
            </w:pPr>
            <w:r w:rsidRPr="00A31E40">
              <w:rPr>
                <w:rFonts w:ascii="Arial" w:hAnsi="Arial" w:cs="Arial"/>
                <w:color w:val="000000"/>
                <w:sz w:val="16"/>
                <w:szCs w:val="16"/>
              </w:rPr>
              <w:t>0</w:t>
            </w:r>
          </w:p>
        </w:tc>
        <w:tc>
          <w:tcPr>
            <w:tcW w:w="1480" w:type="dxa"/>
            <w:tcBorders>
              <w:top w:val="nil"/>
              <w:left w:val="nil"/>
              <w:bottom w:val="single" w:sz="4" w:space="0" w:color="auto"/>
              <w:right w:val="single" w:sz="4" w:space="0" w:color="auto"/>
            </w:tcBorders>
            <w:shd w:val="clear" w:color="auto" w:fill="auto"/>
            <w:vAlign w:val="center"/>
            <w:hideMark/>
          </w:tcPr>
          <w:p w14:paraId="54D2A641" w14:textId="708D21BA" w:rsidR="00D7374B" w:rsidRPr="00912C87" w:rsidRDefault="00D7374B" w:rsidP="0019352B">
            <w:pPr>
              <w:jc w:val="center"/>
              <w:rPr>
                <w:rFonts w:ascii="Arial Narrow" w:hAnsi="Arial Narrow" w:cs="Arial"/>
                <w:color w:val="000000"/>
                <w:sz w:val="15"/>
                <w:szCs w:val="15"/>
              </w:rPr>
            </w:pPr>
            <w:r w:rsidRPr="00A31E40">
              <w:rPr>
                <w:rFonts w:ascii="Arial" w:hAnsi="Arial" w:cs="Arial"/>
                <w:color w:val="000000"/>
                <w:sz w:val="16"/>
                <w:szCs w:val="16"/>
              </w:rPr>
              <w:t>0,00%</w:t>
            </w:r>
          </w:p>
        </w:tc>
      </w:tr>
      <w:tr w:rsidR="00D7374B" w14:paraId="5E5BABEE"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48C5B5BD" w14:textId="77777777" w:rsidR="00D7374B" w:rsidRDefault="00D7374B" w:rsidP="0019352B">
            <w:pPr>
              <w:rPr>
                <w:rFonts w:ascii="Arial" w:hAnsi="Arial" w:cs="Arial"/>
                <w:color w:val="000000"/>
                <w:sz w:val="16"/>
                <w:szCs w:val="16"/>
              </w:rPr>
            </w:pPr>
            <w:r>
              <w:rPr>
                <w:rFonts w:ascii="Arial" w:hAnsi="Arial" w:cs="Arial"/>
                <w:color w:val="000000"/>
                <w:sz w:val="16"/>
                <w:szCs w:val="16"/>
              </w:rPr>
              <w:t>Banskobystrický</w:t>
            </w:r>
          </w:p>
        </w:tc>
        <w:tc>
          <w:tcPr>
            <w:tcW w:w="1480" w:type="dxa"/>
            <w:tcBorders>
              <w:top w:val="nil"/>
              <w:left w:val="nil"/>
              <w:bottom w:val="single" w:sz="4" w:space="0" w:color="auto"/>
              <w:right w:val="single" w:sz="4" w:space="0" w:color="auto"/>
            </w:tcBorders>
            <w:shd w:val="clear" w:color="auto" w:fill="auto"/>
            <w:vAlign w:val="center"/>
            <w:hideMark/>
          </w:tcPr>
          <w:p w14:paraId="63D9E927" w14:textId="6123352C" w:rsidR="00D7374B" w:rsidRPr="00D7374B" w:rsidRDefault="00D7374B" w:rsidP="0019352B">
            <w:pPr>
              <w:jc w:val="center"/>
              <w:rPr>
                <w:rFonts w:ascii="Arial" w:hAnsi="Arial" w:cs="Arial"/>
                <w:color w:val="000000"/>
                <w:sz w:val="16"/>
                <w:szCs w:val="16"/>
              </w:rPr>
            </w:pPr>
            <w:r w:rsidRPr="00D7374B">
              <w:rPr>
                <w:rFonts w:ascii="Arial" w:hAnsi="Arial" w:cs="Arial"/>
                <w:color w:val="000000"/>
                <w:sz w:val="16"/>
                <w:szCs w:val="16"/>
              </w:rPr>
              <w:t>107</w:t>
            </w:r>
          </w:p>
        </w:tc>
        <w:tc>
          <w:tcPr>
            <w:tcW w:w="1480" w:type="dxa"/>
            <w:tcBorders>
              <w:top w:val="nil"/>
              <w:left w:val="nil"/>
              <w:bottom w:val="single" w:sz="4" w:space="0" w:color="auto"/>
              <w:right w:val="single" w:sz="4" w:space="0" w:color="auto"/>
            </w:tcBorders>
            <w:shd w:val="clear" w:color="auto" w:fill="auto"/>
            <w:vAlign w:val="center"/>
            <w:hideMark/>
          </w:tcPr>
          <w:p w14:paraId="39D260AC" w14:textId="1F118CF7" w:rsidR="00D7374B" w:rsidRPr="00D7374B" w:rsidRDefault="00D7374B" w:rsidP="006B3ADD">
            <w:pPr>
              <w:jc w:val="center"/>
              <w:rPr>
                <w:rFonts w:ascii="Arial" w:hAnsi="Arial" w:cs="Arial"/>
                <w:color w:val="000000"/>
                <w:sz w:val="16"/>
                <w:szCs w:val="16"/>
              </w:rPr>
            </w:pPr>
            <w:r w:rsidRPr="00D7374B">
              <w:rPr>
                <w:rFonts w:ascii="Arial" w:hAnsi="Arial" w:cs="Arial"/>
                <w:color w:val="000000"/>
                <w:sz w:val="16"/>
                <w:szCs w:val="16"/>
              </w:rPr>
              <w:t>207 105 559</w:t>
            </w:r>
          </w:p>
        </w:tc>
        <w:tc>
          <w:tcPr>
            <w:tcW w:w="1480" w:type="dxa"/>
            <w:tcBorders>
              <w:top w:val="nil"/>
              <w:left w:val="nil"/>
              <w:bottom w:val="single" w:sz="4" w:space="0" w:color="auto"/>
              <w:right w:val="single" w:sz="4" w:space="0" w:color="auto"/>
            </w:tcBorders>
            <w:shd w:val="clear" w:color="auto" w:fill="auto"/>
            <w:vAlign w:val="center"/>
            <w:hideMark/>
          </w:tcPr>
          <w:p w14:paraId="56D388B7" w14:textId="6BD80D4B" w:rsidR="00D7374B" w:rsidRPr="00912C87" w:rsidRDefault="00D7374B" w:rsidP="0019352B">
            <w:pPr>
              <w:jc w:val="center"/>
              <w:rPr>
                <w:rFonts w:ascii="Arial Narrow" w:hAnsi="Arial Narrow" w:cs="Arial"/>
                <w:color w:val="000000"/>
                <w:sz w:val="15"/>
                <w:szCs w:val="15"/>
              </w:rPr>
            </w:pPr>
            <w:r w:rsidRPr="00C85499">
              <w:rPr>
                <w:rFonts w:ascii="Arial" w:hAnsi="Arial" w:cs="Arial"/>
                <w:color w:val="000000"/>
                <w:sz w:val="16"/>
                <w:szCs w:val="16"/>
              </w:rPr>
              <w:t>3</w:t>
            </w:r>
          </w:p>
        </w:tc>
        <w:tc>
          <w:tcPr>
            <w:tcW w:w="1480" w:type="dxa"/>
            <w:tcBorders>
              <w:top w:val="nil"/>
              <w:left w:val="nil"/>
              <w:bottom w:val="single" w:sz="4" w:space="0" w:color="auto"/>
              <w:right w:val="single" w:sz="4" w:space="0" w:color="auto"/>
            </w:tcBorders>
            <w:shd w:val="clear" w:color="auto" w:fill="auto"/>
            <w:vAlign w:val="center"/>
            <w:hideMark/>
          </w:tcPr>
          <w:p w14:paraId="0C30B358" w14:textId="7F59A662" w:rsidR="00D7374B" w:rsidRPr="00912C87" w:rsidRDefault="00D7374B" w:rsidP="006B3ADD">
            <w:pPr>
              <w:jc w:val="center"/>
              <w:rPr>
                <w:rFonts w:ascii="Arial Narrow" w:hAnsi="Arial Narrow" w:cs="Arial"/>
                <w:color w:val="000000"/>
                <w:sz w:val="15"/>
                <w:szCs w:val="15"/>
              </w:rPr>
            </w:pPr>
            <w:r w:rsidRPr="00A31E40">
              <w:rPr>
                <w:rFonts w:ascii="Arial" w:hAnsi="Arial" w:cs="Arial"/>
                <w:color w:val="000000"/>
                <w:sz w:val="16"/>
                <w:szCs w:val="16"/>
              </w:rPr>
              <w:t>1 316 257</w:t>
            </w:r>
          </w:p>
        </w:tc>
        <w:tc>
          <w:tcPr>
            <w:tcW w:w="1480" w:type="dxa"/>
            <w:tcBorders>
              <w:top w:val="nil"/>
              <w:left w:val="nil"/>
              <w:bottom w:val="single" w:sz="4" w:space="0" w:color="auto"/>
              <w:right w:val="single" w:sz="4" w:space="0" w:color="auto"/>
            </w:tcBorders>
            <w:shd w:val="clear" w:color="auto" w:fill="auto"/>
            <w:vAlign w:val="center"/>
            <w:hideMark/>
          </w:tcPr>
          <w:p w14:paraId="435CE8CC" w14:textId="2178C296" w:rsidR="00D7374B" w:rsidRPr="00D7374B" w:rsidRDefault="00D7374B" w:rsidP="00D7374B">
            <w:pPr>
              <w:jc w:val="center"/>
              <w:rPr>
                <w:rFonts w:ascii="Arial" w:hAnsi="Arial" w:cs="Arial"/>
                <w:color w:val="000000"/>
                <w:sz w:val="16"/>
                <w:szCs w:val="16"/>
              </w:rPr>
            </w:pPr>
            <w:r>
              <w:rPr>
                <w:rFonts w:ascii="Arial" w:hAnsi="Arial" w:cs="Arial"/>
                <w:color w:val="000000"/>
                <w:sz w:val="16"/>
                <w:szCs w:val="16"/>
              </w:rPr>
              <w:t>0,64</w:t>
            </w:r>
            <w:r w:rsidRPr="00A31E40">
              <w:rPr>
                <w:rFonts w:ascii="Arial" w:hAnsi="Arial" w:cs="Arial"/>
                <w:color w:val="000000"/>
                <w:sz w:val="16"/>
                <w:szCs w:val="16"/>
              </w:rPr>
              <w:t>%</w:t>
            </w:r>
          </w:p>
        </w:tc>
      </w:tr>
      <w:tr w:rsidR="00D7374B" w14:paraId="7632554D"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DDFB0C9" w14:textId="57735D9F" w:rsidR="00D7374B" w:rsidRDefault="00D7374B" w:rsidP="0019352B">
            <w:pPr>
              <w:rPr>
                <w:rFonts w:ascii="Arial" w:hAnsi="Arial" w:cs="Arial"/>
                <w:color w:val="000000"/>
                <w:sz w:val="16"/>
                <w:szCs w:val="16"/>
              </w:rPr>
            </w:pPr>
            <w:r>
              <w:rPr>
                <w:rFonts w:ascii="Arial" w:hAnsi="Arial" w:cs="Arial"/>
                <w:color w:val="000000"/>
                <w:sz w:val="16"/>
                <w:szCs w:val="16"/>
              </w:rPr>
              <w:t>Prešovský</w:t>
            </w:r>
          </w:p>
        </w:tc>
        <w:tc>
          <w:tcPr>
            <w:tcW w:w="1480" w:type="dxa"/>
            <w:tcBorders>
              <w:top w:val="nil"/>
              <w:left w:val="nil"/>
              <w:bottom w:val="single" w:sz="4" w:space="0" w:color="auto"/>
              <w:right w:val="single" w:sz="4" w:space="0" w:color="auto"/>
            </w:tcBorders>
            <w:shd w:val="clear" w:color="auto" w:fill="auto"/>
            <w:vAlign w:val="center"/>
            <w:hideMark/>
          </w:tcPr>
          <w:p w14:paraId="098DFB5F" w14:textId="31D5E9D7" w:rsidR="00D7374B" w:rsidRPr="00D7374B" w:rsidRDefault="00D7374B" w:rsidP="0019352B">
            <w:pPr>
              <w:jc w:val="center"/>
              <w:rPr>
                <w:rFonts w:ascii="Arial" w:hAnsi="Arial" w:cs="Arial"/>
                <w:color w:val="000000"/>
                <w:sz w:val="16"/>
                <w:szCs w:val="16"/>
              </w:rPr>
            </w:pPr>
            <w:r w:rsidRPr="00A31E40">
              <w:rPr>
                <w:rFonts w:ascii="Arial" w:hAnsi="Arial" w:cs="Arial"/>
                <w:color w:val="000000"/>
                <w:sz w:val="16"/>
                <w:szCs w:val="16"/>
              </w:rPr>
              <w:t>150</w:t>
            </w:r>
          </w:p>
        </w:tc>
        <w:tc>
          <w:tcPr>
            <w:tcW w:w="1480" w:type="dxa"/>
            <w:tcBorders>
              <w:top w:val="nil"/>
              <w:left w:val="nil"/>
              <w:bottom w:val="single" w:sz="4" w:space="0" w:color="auto"/>
              <w:right w:val="single" w:sz="4" w:space="0" w:color="auto"/>
            </w:tcBorders>
            <w:shd w:val="clear" w:color="auto" w:fill="auto"/>
            <w:vAlign w:val="center"/>
            <w:hideMark/>
          </w:tcPr>
          <w:p w14:paraId="26F111CD" w14:textId="2D5108D2" w:rsidR="00D7374B" w:rsidRPr="00D7374B" w:rsidRDefault="00D7374B" w:rsidP="006B3ADD">
            <w:pPr>
              <w:jc w:val="center"/>
              <w:rPr>
                <w:rFonts w:ascii="Arial" w:hAnsi="Arial" w:cs="Arial"/>
                <w:color w:val="000000"/>
                <w:sz w:val="16"/>
                <w:szCs w:val="16"/>
              </w:rPr>
            </w:pPr>
            <w:r w:rsidRPr="00D7374B">
              <w:rPr>
                <w:rFonts w:ascii="Arial" w:hAnsi="Arial" w:cs="Arial"/>
                <w:color w:val="000000"/>
                <w:sz w:val="16"/>
                <w:szCs w:val="16"/>
              </w:rPr>
              <w:t>242 725 486</w:t>
            </w:r>
          </w:p>
        </w:tc>
        <w:tc>
          <w:tcPr>
            <w:tcW w:w="1480" w:type="dxa"/>
            <w:tcBorders>
              <w:top w:val="nil"/>
              <w:left w:val="nil"/>
              <w:bottom w:val="single" w:sz="4" w:space="0" w:color="auto"/>
              <w:right w:val="single" w:sz="4" w:space="0" w:color="auto"/>
            </w:tcBorders>
            <w:shd w:val="clear" w:color="auto" w:fill="auto"/>
            <w:vAlign w:val="center"/>
            <w:hideMark/>
          </w:tcPr>
          <w:p w14:paraId="0944B859" w14:textId="50BBB539" w:rsidR="00D7374B" w:rsidRPr="00912C87" w:rsidRDefault="00D7374B" w:rsidP="0019352B">
            <w:pPr>
              <w:jc w:val="center"/>
              <w:rPr>
                <w:rFonts w:ascii="Arial Narrow" w:hAnsi="Arial Narrow" w:cs="Arial"/>
                <w:color w:val="000000"/>
                <w:sz w:val="15"/>
                <w:szCs w:val="15"/>
              </w:rPr>
            </w:pPr>
            <w:r w:rsidRPr="00C85499">
              <w:rPr>
                <w:rFonts w:ascii="Arial" w:hAnsi="Arial" w:cs="Arial"/>
                <w:color w:val="000000"/>
                <w:sz w:val="16"/>
                <w:szCs w:val="16"/>
              </w:rPr>
              <w:t>7</w:t>
            </w:r>
          </w:p>
        </w:tc>
        <w:tc>
          <w:tcPr>
            <w:tcW w:w="1480" w:type="dxa"/>
            <w:tcBorders>
              <w:top w:val="nil"/>
              <w:left w:val="nil"/>
              <w:bottom w:val="single" w:sz="4" w:space="0" w:color="auto"/>
              <w:right w:val="single" w:sz="4" w:space="0" w:color="auto"/>
            </w:tcBorders>
            <w:shd w:val="clear" w:color="auto" w:fill="auto"/>
            <w:vAlign w:val="center"/>
            <w:hideMark/>
          </w:tcPr>
          <w:p w14:paraId="2C60DDC3" w14:textId="18CC26A6" w:rsidR="00D7374B" w:rsidRPr="00912C87" w:rsidRDefault="00D7374B" w:rsidP="006B3ADD">
            <w:pPr>
              <w:jc w:val="center"/>
              <w:rPr>
                <w:rFonts w:ascii="Arial Narrow" w:hAnsi="Arial Narrow" w:cs="Arial"/>
                <w:color w:val="000000"/>
                <w:sz w:val="15"/>
                <w:szCs w:val="15"/>
              </w:rPr>
            </w:pPr>
            <w:r w:rsidRPr="00A31E40">
              <w:rPr>
                <w:rFonts w:ascii="Arial" w:hAnsi="Arial" w:cs="Arial"/>
                <w:color w:val="000000"/>
                <w:sz w:val="16"/>
                <w:szCs w:val="16"/>
              </w:rPr>
              <w:t>2 327 562</w:t>
            </w:r>
          </w:p>
        </w:tc>
        <w:tc>
          <w:tcPr>
            <w:tcW w:w="1480" w:type="dxa"/>
            <w:tcBorders>
              <w:top w:val="nil"/>
              <w:left w:val="nil"/>
              <w:bottom w:val="single" w:sz="4" w:space="0" w:color="auto"/>
              <w:right w:val="single" w:sz="4" w:space="0" w:color="auto"/>
            </w:tcBorders>
            <w:shd w:val="clear" w:color="auto" w:fill="auto"/>
            <w:vAlign w:val="center"/>
            <w:hideMark/>
          </w:tcPr>
          <w:p w14:paraId="1B285ADB" w14:textId="3748510E" w:rsidR="00D7374B" w:rsidRPr="00912C87" w:rsidRDefault="00D7374B" w:rsidP="0019352B">
            <w:pPr>
              <w:jc w:val="center"/>
              <w:rPr>
                <w:rFonts w:ascii="Arial Narrow" w:hAnsi="Arial Narrow" w:cs="Arial"/>
                <w:color w:val="000000"/>
                <w:sz w:val="15"/>
                <w:szCs w:val="15"/>
              </w:rPr>
            </w:pPr>
            <w:r w:rsidRPr="00A31E40">
              <w:rPr>
                <w:rFonts w:ascii="Arial" w:hAnsi="Arial" w:cs="Arial"/>
                <w:color w:val="000000"/>
                <w:sz w:val="16"/>
                <w:szCs w:val="16"/>
              </w:rPr>
              <w:t>0,96%</w:t>
            </w:r>
          </w:p>
        </w:tc>
      </w:tr>
      <w:tr w:rsidR="00D7374B" w14:paraId="0CAC834D"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03FF71B3" w14:textId="77777777" w:rsidR="00D7374B" w:rsidRDefault="00D7374B" w:rsidP="0019352B">
            <w:pPr>
              <w:rPr>
                <w:rFonts w:ascii="Arial" w:hAnsi="Arial" w:cs="Arial"/>
                <w:color w:val="000000"/>
                <w:sz w:val="16"/>
                <w:szCs w:val="16"/>
              </w:rPr>
            </w:pPr>
            <w:r>
              <w:rPr>
                <w:rFonts w:ascii="Arial" w:hAnsi="Arial" w:cs="Arial"/>
                <w:color w:val="000000"/>
                <w:sz w:val="16"/>
                <w:szCs w:val="16"/>
              </w:rPr>
              <w:t>Košický</w:t>
            </w:r>
          </w:p>
        </w:tc>
        <w:tc>
          <w:tcPr>
            <w:tcW w:w="1480" w:type="dxa"/>
            <w:tcBorders>
              <w:top w:val="nil"/>
              <w:left w:val="nil"/>
              <w:bottom w:val="single" w:sz="4" w:space="0" w:color="auto"/>
              <w:right w:val="single" w:sz="4" w:space="0" w:color="auto"/>
            </w:tcBorders>
            <w:shd w:val="clear" w:color="auto" w:fill="auto"/>
            <w:vAlign w:val="center"/>
            <w:hideMark/>
          </w:tcPr>
          <w:p w14:paraId="79B983EA" w14:textId="0DADCF02" w:rsidR="00D7374B" w:rsidRPr="00D7374B" w:rsidRDefault="00D7374B" w:rsidP="0019352B">
            <w:pPr>
              <w:jc w:val="center"/>
              <w:rPr>
                <w:rFonts w:ascii="Arial" w:hAnsi="Arial" w:cs="Arial"/>
                <w:color w:val="000000"/>
                <w:sz w:val="16"/>
                <w:szCs w:val="16"/>
              </w:rPr>
            </w:pPr>
            <w:r w:rsidRPr="00A31E40">
              <w:rPr>
                <w:rFonts w:ascii="Arial" w:hAnsi="Arial" w:cs="Arial"/>
                <w:color w:val="000000"/>
                <w:sz w:val="16"/>
                <w:szCs w:val="16"/>
              </w:rPr>
              <w:t>90</w:t>
            </w:r>
          </w:p>
        </w:tc>
        <w:tc>
          <w:tcPr>
            <w:tcW w:w="1480" w:type="dxa"/>
            <w:tcBorders>
              <w:top w:val="nil"/>
              <w:left w:val="nil"/>
              <w:bottom w:val="single" w:sz="4" w:space="0" w:color="auto"/>
              <w:right w:val="single" w:sz="4" w:space="0" w:color="auto"/>
            </w:tcBorders>
            <w:shd w:val="clear" w:color="auto" w:fill="auto"/>
            <w:vAlign w:val="center"/>
            <w:hideMark/>
          </w:tcPr>
          <w:p w14:paraId="5D06A86F" w14:textId="6AF37748" w:rsidR="00D7374B" w:rsidRPr="00D7374B" w:rsidRDefault="00D7374B" w:rsidP="006B3ADD">
            <w:pPr>
              <w:jc w:val="center"/>
              <w:rPr>
                <w:rFonts w:ascii="Arial" w:hAnsi="Arial" w:cs="Arial"/>
                <w:color w:val="000000"/>
                <w:sz w:val="16"/>
                <w:szCs w:val="16"/>
              </w:rPr>
            </w:pPr>
            <w:r w:rsidRPr="00D7374B">
              <w:rPr>
                <w:rFonts w:ascii="Arial" w:hAnsi="Arial" w:cs="Arial"/>
                <w:color w:val="000000"/>
                <w:sz w:val="16"/>
                <w:szCs w:val="16"/>
              </w:rPr>
              <w:t>213 142 826</w:t>
            </w:r>
          </w:p>
        </w:tc>
        <w:tc>
          <w:tcPr>
            <w:tcW w:w="1480" w:type="dxa"/>
            <w:tcBorders>
              <w:top w:val="nil"/>
              <w:left w:val="nil"/>
              <w:bottom w:val="single" w:sz="4" w:space="0" w:color="auto"/>
              <w:right w:val="single" w:sz="4" w:space="0" w:color="auto"/>
            </w:tcBorders>
            <w:shd w:val="clear" w:color="auto" w:fill="auto"/>
            <w:vAlign w:val="center"/>
            <w:hideMark/>
          </w:tcPr>
          <w:p w14:paraId="6378910D" w14:textId="4ADD49BF" w:rsidR="00D7374B" w:rsidRPr="00912C87" w:rsidRDefault="00D7374B" w:rsidP="0019352B">
            <w:pPr>
              <w:jc w:val="center"/>
              <w:rPr>
                <w:rFonts w:ascii="Arial Narrow" w:hAnsi="Arial Narrow" w:cs="Arial"/>
                <w:color w:val="000000"/>
                <w:sz w:val="15"/>
                <w:szCs w:val="15"/>
              </w:rPr>
            </w:pPr>
            <w:r w:rsidRPr="00C85499">
              <w:rPr>
                <w:rFonts w:ascii="Arial" w:hAnsi="Arial" w:cs="Arial"/>
                <w:color w:val="000000"/>
                <w:sz w:val="16"/>
                <w:szCs w:val="16"/>
              </w:rPr>
              <w:t>3</w:t>
            </w:r>
          </w:p>
        </w:tc>
        <w:tc>
          <w:tcPr>
            <w:tcW w:w="1480" w:type="dxa"/>
            <w:tcBorders>
              <w:top w:val="nil"/>
              <w:left w:val="nil"/>
              <w:bottom w:val="single" w:sz="4" w:space="0" w:color="auto"/>
              <w:right w:val="single" w:sz="4" w:space="0" w:color="auto"/>
            </w:tcBorders>
            <w:shd w:val="clear" w:color="auto" w:fill="auto"/>
            <w:vAlign w:val="center"/>
            <w:hideMark/>
          </w:tcPr>
          <w:p w14:paraId="23617AB0" w14:textId="19340237" w:rsidR="00D7374B" w:rsidRPr="00912C87" w:rsidRDefault="00D7374B" w:rsidP="00B039B7">
            <w:pPr>
              <w:jc w:val="center"/>
              <w:rPr>
                <w:rFonts w:ascii="Arial Narrow" w:hAnsi="Arial Narrow" w:cs="Arial"/>
                <w:color w:val="000000"/>
                <w:sz w:val="15"/>
                <w:szCs w:val="15"/>
              </w:rPr>
            </w:pPr>
            <w:r w:rsidRPr="00A31E40">
              <w:rPr>
                <w:rFonts w:ascii="Arial" w:hAnsi="Arial" w:cs="Arial"/>
                <w:color w:val="000000"/>
                <w:sz w:val="16"/>
                <w:szCs w:val="16"/>
              </w:rPr>
              <w:t>3 597 23</w:t>
            </w:r>
            <w:r w:rsidR="00B039B7">
              <w:rPr>
                <w:rFonts w:ascii="Arial" w:hAnsi="Arial" w:cs="Arial"/>
                <w:color w:val="000000"/>
                <w:sz w:val="16"/>
                <w:szCs w:val="16"/>
              </w:rPr>
              <w:t>5</w:t>
            </w:r>
          </w:p>
        </w:tc>
        <w:tc>
          <w:tcPr>
            <w:tcW w:w="1480" w:type="dxa"/>
            <w:tcBorders>
              <w:top w:val="nil"/>
              <w:left w:val="nil"/>
              <w:bottom w:val="single" w:sz="4" w:space="0" w:color="auto"/>
              <w:right w:val="single" w:sz="4" w:space="0" w:color="auto"/>
            </w:tcBorders>
            <w:shd w:val="clear" w:color="auto" w:fill="auto"/>
            <w:vAlign w:val="center"/>
            <w:hideMark/>
          </w:tcPr>
          <w:p w14:paraId="6DAC790B" w14:textId="617DE003" w:rsidR="00D7374B" w:rsidRPr="00912C87" w:rsidRDefault="00D7374B" w:rsidP="0019352B">
            <w:pPr>
              <w:jc w:val="center"/>
              <w:rPr>
                <w:rFonts w:ascii="Arial Narrow" w:hAnsi="Arial Narrow" w:cs="Arial"/>
                <w:color w:val="000000"/>
                <w:sz w:val="15"/>
                <w:szCs w:val="15"/>
              </w:rPr>
            </w:pPr>
            <w:r w:rsidRPr="00A31E40">
              <w:rPr>
                <w:rFonts w:ascii="Arial" w:hAnsi="Arial" w:cs="Arial"/>
                <w:color w:val="000000"/>
                <w:sz w:val="16"/>
                <w:szCs w:val="16"/>
              </w:rPr>
              <w:t>1,69%</w:t>
            </w:r>
          </w:p>
        </w:tc>
      </w:tr>
      <w:tr w:rsidR="00D7374B" w14:paraId="63F80AFD" w14:textId="77777777" w:rsidTr="006B3ADD">
        <w:trPr>
          <w:trHeight w:val="450"/>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5135CE74" w14:textId="77777777" w:rsidR="00D7374B" w:rsidRDefault="00D7374B" w:rsidP="0019352B">
            <w:pPr>
              <w:rPr>
                <w:rFonts w:ascii="Arial" w:hAnsi="Arial" w:cs="Arial"/>
                <w:color w:val="000000"/>
                <w:sz w:val="16"/>
                <w:szCs w:val="16"/>
              </w:rPr>
            </w:pPr>
            <w:r>
              <w:rPr>
                <w:rFonts w:ascii="Arial" w:hAnsi="Arial" w:cs="Arial"/>
                <w:color w:val="000000"/>
                <w:sz w:val="16"/>
                <w:szCs w:val="16"/>
              </w:rPr>
              <w:t>Projekty nezaradené do NUTS III</w:t>
            </w:r>
          </w:p>
        </w:tc>
        <w:tc>
          <w:tcPr>
            <w:tcW w:w="1480" w:type="dxa"/>
            <w:tcBorders>
              <w:top w:val="nil"/>
              <w:left w:val="nil"/>
              <w:bottom w:val="single" w:sz="4" w:space="0" w:color="auto"/>
              <w:right w:val="single" w:sz="4" w:space="0" w:color="auto"/>
            </w:tcBorders>
            <w:shd w:val="clear" w:color="000000" w:fill="EBF1DE"/>
            <w:vAlign w:val="center"/>
            <w:hideMark/>
          </w:tcPr>
          <w:p w14:paraId="183E1BCC" w14:textId="5BBF3315" w:rsidR="00D7374B" w:rsidRPr="00912C87" w:rsidRDefault="00D7374B" w:rsidP="0019352B">
            <w:pPr>
              <w:jc w:val="center"/>
              <w:rPr>
                <w:rFonts w:ascii="Arial Narrow" w:hAnsi="Arial Narrow" w:cs="Arial"/>
                <w:sz w:val="15"/>
                <w:szCs w:val="15"/>
              </w:rPr>
            </w:pPr>
            <w:r w:rsidRPr="00A31E40">
              <w:rPr>
                <w:rFonts w:ascii="Arial" w:hAnsi="Arial" w:cs="Arial"/>
                <w:color w:val="000000"/>
                <w:sz w:val="16"/>
                <w:szCs w:val="16"/>
              </w:rPr>
              <w:t>88</w:t>
            </w:r>
          </w:p>
        </w:tc>
        <w:tc>
          <w:tcPr>
            <w:tcW w:w="1480" w:type="dxa"/>
            <w:tcBorders>
              <w:top w:val="nil"/>
              <w:left w:val="nil"/>
              <w:bottom w:val="single" w:sz="4" w:space="0" w:color="auto"/>
              <w:right w:val="single" w:sz="4" w:space="0" w:color="auto"/>
            </w:tcBorders>
            <w:shd w:val="clear" w:color="000000" w:fill="EBF1DE"/>
            <w:vAlign w:val="center"/>
            <w:hideMark/>
          </w:tcPr>
          <w:p w14:paraId="21BD2AEA" w14:textId="7B45B199" w:rsidR="00D7374B" w:rsidRPr="00D7374B" w:rsidRDefault="00D7374B" w:rsidP="006B3ADD">
            <w:pPr>
              <w:jc w:val="center"/>
              <w:rPr>
                <w:rFonts w:ascii="Arial" w:hAnsi="Arial" w:cs="Arial"/>
                <w:color w:val="000000"/>
                <w:sz w:val="16"/>
                <w:szCs w:val="16"/>
              </w:rPr>
            </w:pPr>
            <w:r w:rsidRPr="00D7374B">
              <w:rPr>
                <w:rFonts w:ascii="Arial" w:hAnsi="Arial" w:cs="Arial"/>
                <w:color w:val="000000"/>
                <w:sz w:val="16"/>
                <w:szCs w:val="16"/>
              </w:rPr>
              <w:t>276 725 89</w:t>
            </w:r>
            <w:r w:rsidR="00B039B7">
              <w:rPr>
                <w:rFonts w:ascii="Arial" w:hAnsi="Arial" w:cs="Arial"/>
                <w:color w:val="000000"/>
                <w:sz w:val="16"/>
                <w:szCs w:val="16"/>
              </w:rPr>
              <w:t>4</w:t>
            </w:r>
          </w:p>
        </w:tc>
        <w:tc>
          <w:tcPr>
            <w:tcW w:w="1480" w:type="dxa"/>
            <w:tcBorders>
              <w:top w:val="nil"/>
              <w:left w:val="nil"/>
              <w:bottom w:val="single" w:sz="4" w:space="0" w:color="auto"/>
              <w:right w:val="single" w:sz="4" w:space="0" w:color="auto"/>
            </w:tcBorders>
            <w:shd w:val="clear" w:color="000000" w:fill="EBF1DE"/>
            <w:vAlign w:val="center"/>
            <w:hideMark/>
          </w:tcPr>
          <w:p w14:paraId="7124299F" w14:textId="70FC7815" w:rsidR="00D7374B" w:rsidRPr="00912C87" w:rsidRDefault="00D7374B" w:rsidP="0019352B">
            <w:pPr>
              <w:jc w:val="center"/>
              <w:rPr>
                <w:rFonts w:ascii="Arial Narrow" w:hAnsi="Arial Narrow" w:cs="Arial"/>
                <w:color w:val="000000"/>
                <w:sz w:val="15"/>
                <w:szCs w:val="15"/>
              </w:rPr>
            </w:pPr>
            <w:r w:rsidRPr="00C85499">
              <w:rPr>
                <w:rFonts w:ascii="Arial" w:hAnsi="Arial" w:cs="Arial"/>
                <w:color w:val="000000"/>
                <w:sz w:val="16"/>
                <w:szCs w:val="16"/>
              </w:rPr>
              <w:t>0</w:t>
            </w:r>
          </w:p>
        </w:tc>
        <w:tc>
          <w:tcPr>
            <w:tcW w:w="1480" w:type="dxa"/>
            <w:tcBorders>
              <w:top w:val="nil"/>
              <w:left w:val="nil"/>
              <w:bottom w:val="single" w:sz="4" w:space="0" w:color="auto"/>
              <w:right w:val="single" w:sz="4" w:space="0" w:color="auto"/>
            </w:tcBorders>
            <w:shd w:val="clear" w:color="000000" w:fill="EBF1DE"/>
            <w:vAlign w:val="center"/>
            <w:hideMark/>
          </w:tcPr>
          <w:p w14:paraId="135DB811" w14:textId="2A0DD23A" w:rsidR="00D7374B" w:rsidRPr="00912C87" w:rsidRDefault="00D7374B" w:rsidP="006B3ADD">
            <w:pPr>
              <w:jc w:val="center"/>
              <w:rPr>
                <w:rFonts w:ascii="Arial Narrow" w:hAnsi="Arial Narrow" w:cs="Arial"/>
                <w:color w:val="000000"/>
                <w:sz w:val="15"/>
                <w:szCs w:val="15"/>
              </w:rPr>
            </w:pPr>
            <w:r w:rsidRPr="00A31E40">
              <w:rPr>
                <w:rFonts w:ascii="Arial" w:hAnsi="Arial" w:cs="Arial"/>
                <w:color w:val="000000"/>
                <w:sz w:val="16"/>
                <w:szCs w:val="16"/>
              </w:rPr>
              <w:t>0,00</w:t>
            </w:r>
          </w:p>
        </w:tc>
        <w:tc>
          <w:tcPr>
            <w:tcW w:w="1480" w:type="dxa"/>
            <w:tcBorders>
              <w:top w:val="nil"/>
              <w:left w:val="nil"/>
              <w:bottom w:val="single" w:sz="4" w:space="0" w:color="auto"/>
              <w:right w:val="single" w:sz="4" w:space="0" w:color="auto"/>
            </w:tcBorders>
            <w:shd w:val="clear" w:color="000000" w:fill="EBF1DE"/>
            <w:vAlign w:val="center"/>
            <w:hideMark/>
          </w:tcPr>
          <w:p w14:paraId="0D6B2F08" w14:textId="028D779F" w:rsidR="00D7374B" w:rsidRPr="00912C87" w:rsidRDefault="00D7374B" w:rsidP="0019352B">
            <w:pPr>
              <w:jc w:val="center"/>
              <w:rPr>
                <w:rFonts w:ascii="Arial Narrow" w:hAnsi="Arial Narrow" w:cs="Arial"/>
                <w:color w:val="000000"/>
                <w:sz w:val="15"/>
                <w:szCs w:val="15"/>
              </w:rPr>
            </w:pPr>
            <w:r w:rsidRPr="00A31E40">
              <w:rPr>
                <w:rFonts w:ascii="Arial" w:hAnsi="Arial" w:cs="Arial"/>
                <w:color w:val="000000"/>
                <w:sz w:val="16"/>
                <w:szCs w:val="16"/>
              </w:rPr>
              <w:t>0,00%</w:t>
            </w:r>
          </w:p>
        </w:tc>
      </w:tr>
      <w:tr w:rsidR="00D7374B" w14:paraId="5DA09D5F" w14:textId="77777777" w:rsidTr="006B3ADD">
        <w:trPr>
          <w:trHeight w:val="255"/>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3DCA77E2" w14:textId="77777777" w:rsidR="00D7374B" w:rsidRDefault="00D7374B" w:rsidP="006B3ADD">
            <w:pPr>
              <w:jc w:val="center"/>
              <w:rPr>
                <w:rFonts w:ascii="Arial" w:hAnsi="Arial" w:cs="Arial"/>
                <w:b/>
                <w:bCs/>
                <w:color w:val="000000"/>
                <w:sz w:val="16"/>
                <w:szCs w:val="16"/>
              </w:rPr>
            </w:pPr>
            <w:r>
              <w:rPr>
                <w:rFonts w:ascii="Arial" w:hAnsi="Arial" w:cs="Arial"/>
                <w:b/>
                <w:bCs/>
                <w:color w:val="000000"/>
                <w:sz w:val="16"/>
                <w:szCs w:val="16"/>
              </w:rPr>
              <w:t>Spolu</w:t>
            </w:r>
          </w:p>
        </w:tc>
        <w:tc>
          <w:tcPr>
            <w:tcW w:w="1480" w:type="dxa"/>
            <w:tcBorders>
              <w:top w:val="nil"/>
              <w:left w:val="nil"/>
              <w:bottom w:val="single" w:sz="4" w:space="0" w:color="auto"/>
              <w:right w:val="single" w:sz="4" w:space="0" w:color="auto"/>
            </w:tcBorders>
            <w:shd w:val="clear" w:color="000000" w:fill="EBF1DE"/>
            <w:vAlign w:val="center"/>
            <w:hideMark/>
          </w:tcPr>
          <w:p w14:paraId="1B65E921" w14:textId="0BA1A155" w:rsidR="00D7374B" w:rsidRPr="00D7374B" w:rsidRDefault="00D7374B" w:rsidP="0019352B">
            <w:pPr>
              <w:jc w:val="center"/>
              <w:rPr>
                <w:rFonts w:ascii="Arial" w:hAnsi="Arial" w:cs="Arial"/>
                <w:b/>
                <w:bCs/>
                <w:color w:val="000000"/>
                <w:sz w:val="16"/>
                <w:szCs w:val="16"/>
              </w:rPr>
            </w:pPr>
            <w:r w:rsidRPr="00D7374B">
              <w:rPr>
                <w:rFonts w:ascii="Arial" w:hAnsi="Arial" w:cs="Arial"/>
                <w:b/>
                <w:bCs/>
                <w:color w:val="000000"/>
                <w:sz w:val="16"/>
                <w:szCs w:val="16"/>
              </w:rPr>
              <w:t>799</w:t>
            </w:r>
          </w:p>
        </w:tc>
        <w:tc>
          <w:tcPr>
            <w:tcW w:w="1480" w:type="dxa"/>
            <w:tcBorders>
              <w:top w:val="nil"/>
              <w:left w:val="nil"/>
              <w:bottom w:val="single" w:sz="4" w:space="0" w:color="auto"/>
              <w:right w:val="single" w:sz="4" w:space="0" w:color="auto"/>
            </w:tcBorders>
            <w:shd w:val="clear" w:color="000000" w:fill="EBF1DE"/>
            <w:vAlign w:val="center"/>
            <w:hideMark/>
          </w:tcPr>
          <w:p w14:paraId="2FAD4A2A" w14:textId="3BBB2E92" w:rsidR="00D7374B" w:rsidRPr="00D7374B" w:rsidRDefault="00D7374B" w:rsidP="006B3ADD">
            <w:pPr>
              <w:jc w:val="center"/>
              <w:rPr>
                <w:rFonts w:ascii="Arial" w:hAnsi="Arial" w:cs="Arial"/>
                <w:b/>
                <w:color w:val="000000"/>
                <w:sz w:val="16"/>
                <w:szCs w:val="16"/>
              </w:rPr>
            </w:pPr>
            <w:r w:rsidRPr="00D7374B">
              <w:rPr>
                <w:rFonts w:ascii="Arial" w:hAnsi="Arial" w:cs="Arial"/>
                <w:b/>
                <w:color w:val="000000"/>
                <w:sz w:val="16"/>
                <w:szCs w:val="16"/>
              </w:rPr>
              <w:t>1 729 098 89</w:t>
            </w:r>
            <w:r w:rsidR="00B039B7">
              <w:rPr>
                <w:rFonts w:ascii="Arial" w:hAnsi="Arial" w:cs="Arial"/>
                <w:b/>
                <w:color w:val="000000"/>
                <w:sz w:val="16"/>
                <w:szCs w:val="16"/>
              </w:rPr>
              <w:t>2</w:t>
            </w:r>
          </w:p>
        </w:tc>
        <w:tc>
          <w:tcPr>
            <w:tcW w:w="1480" w:type="dxa"/>
            <w:tcBorders>
              <w:top w:val="nil"/>
              <w:left w:val="nil"/>
              <w:bottom w:val="single" w:sz="4" w:space="0" w:color="auto"/>
              <w:right w:val="single" w:sz="4" w:space="0" w:color="auto"/>
            </w:tcBorders>
            <w:shd w:val="clear" w:color="000000" w:fill="EBF1DE"/>
            <w:vAlign w:val="center"/>
            <w:hideMark/>
          </w:tcPr>
          <w:p w14:paraId="2603096C" w14:textId="69822B37" w:rsidR="00D7374B" w:rsidRPr="00E65886" w:rsidRDefault="00D7374B" w:rsidP="0019352B">
            <w:pPr>
              <w:jc w:val="center"/>
              <w:rPr>
                <w:rFonts w:ascii="Arial Narrow" w:hAnsi="Arial Narrow" w:cs="Arial"/>
                <w:b/>
                <w:bCs/>
                <w:color w:val="000000"/>
                <w:sz w:val="15"/>
                <w:szCs w:val="15"/>
              </w:rPr>
            </w:pPr>
            <w:r w:rsidRPr="00E65886">
              <w:rPr>
                <w:rFonts w:ascii="Arial" w:hAnsi="Arial" w:cs="Arial"/>
                <w:b/>
                <w:color w:val="000000"/>
                <w:sz w:val="16"/>
                <w:szCs w:val="16"/>
              </w:rPr>
              <w:t>17</w:t>
            </w:r>
          </w:p>
        </w:tc>
        <w:tc>
          <w:tcPr>
            <w:tcW w:w="1480" w:type="dxa"/>
            <w:tcBorders>
              <w:top w:val="nil"/>
              <w:left w:val="nil"/>
              <w:bottom w:val="single" w:sz="4" w:space="0" w:color="auto"/>
              <w:right w:val="single" w:sz="4" w:space="0" w:color="auto"/>
            </w:tcBorders>
            <w:shd w:val="clear" w:color="000000" w:fill="EBF1DE"/>
            <w:vAlign w:val="center"/>
            <w:hideMark/>
          </w:tcPr>
          <w:p w14:paraId="5D8D37BE" w14:textId="16F677C6" w:rsidR="00D7374B" w:rsidRPr="00912C87" w:rsidRDefault="00D7374B">
            <w:pPr>
              <w:jc w:val="center"/>
              <w:rPr>
                <w:rFonts w:ascii="Arial Narrow" w:hAnsi="Arial Narrow" w:cs="Arial"/>
                <w:b/>
                <w:bCs/>
                <w:color w:val="000000"/>
                <w:sz w:val="15"/>
                <w:szCs w:val="15"/>
              </w:rPr>
            </w:pPr>
            <w:r w:rsidRPr="00A31E40">
              <w:rPr>
                <w:rFonts w:ascii="Arial" w:hAnsi="Arial" w:cs="Arial"/>
                <w:b/>
                <w:color w:val="000000"/>
                <w:sz w:val="16"/>
                <w:szCs w:val="16"/>
              </w:rPr>
              <w:t>8 423 88</w:t>
            </w:r>
            <w:r w:rsidR="00BE332E">
              <w:rPr>
                <w:rFonts w:ascii="Arial" w:hAnsi="Arial" w:cs="Arial"/>
                <w:b/>
                <w:color w:val="000000"/>
                <w:sz w:val="16"/>
                <w:szCs w:val="16"/>
              </w:rPr>
              <w:t>1</w:t>
            </w:r>
          </w:p>
        </w:tc>
        <w:tc>
          <w:tcPr>
            <w:tcW w:w="1480" w:type="dxa"/>
            <w:tcBorders>
              <w:top w:val="nil"/>
              <w:left w:val="nil"/>
              <w:bottom w:val="single" w:sz="4" w:space="0" w:color="auto"/>
              <w:right w:val="single" w:sz="4" w:space="0" w:color="auto"/>
            </w:tcBorders>
            <w:shd w:val="clear" w:color="000000" w:fill="EBF1DE"/>
            <w:vAlign w:val="center"/>
            <w:hideMark/>
          </w:tcPr>
          <w:p w14:paraId="0DA0671E" w14:textId="20F606E0" w:rsidR="00D7374B" w:rsidRPr="00D7374B" w:rsidRDefault="00D7374B" w:rsidP="00D7374B">
            <w:pPr>
              <w:jc w:val="center"/>
              <w:rPr>
                <w:rFonts w:ascii="Arial" w:hAnsi="Arial" w:cs="Arial"/>
                <w:b/>
                <w:color w:val="000000"/>
                <w:sz w:val="16"/>
                <w:szCs w:val="16"/>
              </w:rPr>
            </w:pPr>
            <w:r>
              <w:rPr>
                <w:rFonts w:ascii="Arial" w:hAnsi="Arial" w:cs="Arial"/>
                <w:b/>
                <w:color w:val="000000"/>
                <w:sz w:val="16"/>
                <w:szCs w:val="16"/>
              </w:rPr>
              <w:t>0,49</w:t>
            </w:r>
            <w:r w:rsidRPr="00A31E40">
              <w:rPr>
                <w:rFonts w:ascii="Arial" w:hAnsi="Arial" w:cs="Arial"/>
                <w:b/>
                <w:color w:val="000000"/>
                <w:sz w:val="16"/>
                <w:szCs w:val="16"/>
              </w:rPr>
              <w:t>%</w:t>
            </w:r>
          </w:p>
        </w:tc>
      </w:tr>
    </w:tbl>
    <w:p w14:paraId="75C23D8B" w14:textId="77777777" w:rsidR="00881054" w:rsidRPr="00E21C60" w:rsidRDefault="00881054">
      <w:pPr>
        <w:jc w:val="both"/>
        <w:rPr>
          <w:rFonts w:ascii="Arial" w:hAnsi="Arial" w:cs="Arial"/>
          <w:sz w:val="16"/>
          <w:szCs w:val="16"/>
        </w:rPr>
      </w:pPr>
      <w:r w:rsidRPr="00123376">
        <w:rPr>
          <w:rFonts w:ascii="Arial" w:hAnsi="Arial" w:cs="Arial"/>
          <w:sz w:val="16"/>
          <w:szCs w:val="16"/>
        </w:rPr>
        <w:t>Zdroj: ITMS</w:t>
      </w:r>
    </w:p>
    <w:p w14:paraId="06AFBA48" w14:textId="77777777" w:rsidR="000330FE" w:rsidRPr="000A4DF7" w:rsidRDefault="000330FE" w:rsidP="000330FE">
      <w:pPr>
        <w:spacing w:before="120"/>
        <w:jc w:val="both"/>
        <w:rPr>
          <w:rFonts w:ascii="Arial" w:hAnsi="Arial" w:cs="Arial"/>
          <w:sz w:val="20"/>
          <w:szCs w:val="20"/>
        </w:rPr>
      </w:pPr>
      <w:r w:rsidRPr="000A4DF7">
        <w:rPr>
          <w:rFonts w:ascii="Arial" w:hAnsi="Arial" w:cs="Arial"/>
          <w:sz w:val="20"/>
          <w:szCs w:val="20"/>
        </w:rPr>
        <w:t>Najviac riadne ukončených projektov s priamym príspevkom k HP MRK bolo v Prešovskom kraji, pričom najvyššie mieru čerpania mal Košický kraj, v rámci ktorého boli úspešne ukončené tri projekty.</w:t>
      </w:r>
    </w:p>
    <w:p w14:paraId="0951A538" w14:textId="2D0B0B35" w:rsidR="0008447E" w:rsidRDefault="000330FE" w:rsidP="00123376">
      <w:pPr>
        <w:spacing w:before="120"/>
        <w:jc w:val="both"/>
        <w:rPr>
          <w:rFonts w:ascii="Arial" w:hAnsi="Arial" w:cs="Arial"/>
          <w:sz w:val="20"/>
          <w:szCs w:val="20"/>
        </w:rPr>
      </w:pPr>
      <w:r w:rsidRPr="000A4DF7">
        <w:rPr>
          <w:rFonts w:ascii="Arial" w:hAnsi="Arial" w:cs="Arial"/>
          <w:sz w:val="20"/>
          <w:szCs w:val="20"/>
        </w:rPr>
        <w:t xml:space="preserve">Nezanedbateľná je hodnota projektov nepriamej podpory operačného programu k HP MRK. Celkovo je </w:t>
      </w:r>
      <w:r w:rsidR="004D6A45">
        <w:rPr>
          <w:rFonts w:ascii="Arial" w:hAnsi="Arial" w:cs="Arial"/>
          <w:sz w:val="20"/>
          <w:szCs w:val="20"/>
        </w:rPr>
        <w:t>k 31</w:t>
      </w:r>
      <w:r w:rsidRPr="004D6A45">
        <w:rPr>
          <w:rFonts w:ascii="Arial" w:hAnsi="Arial" w:cs="Arial"/>
          <w:sz w:val="20"/>
          <w:szCs w:val="20"/>
        </w:rPr>
        <w:t>.</w:t>
      </w:r>
      <w:r w:rsidR="009F2E97">
        <w:rPr>
          <w:rFonts w:ascii="Arial" w:hAnsi="Arial" w:cs="Arial"/>
          <w:sz w:val="20"/>
          <w:szCs w:val="20"/>
        </w:rPr>
        <w:t xml:space="preserve"> </w:t>
      </w:r>
      <w:r w:rsidR="004D6A45">
        <w:rPr>
          <w:rFonts w:ascii="Arial" w:hAnsi="Arial" w:cs="Arial"/>
          <w:sz w:val="20"/>
          <w:szCs w:val="20"/>
        </w:rPr>
        <w:t>10</w:t>
      </w:r>
      <w:r w:rsidRPr="004D6A45">
        <w:rPr>
          <w:rFonts w:ascii="Arial" w:hAnsi="Arial" w:cs="Arial"/>
          <w:sz w:val="20"/>
          <w:szCs w:val="20"/>
        </w:rPr>
        <w:t>.</w:t>
      </w:r>
      <w:r w:rsidR="009F2E97">
        <w:rPr>
          <w:rFonts w:ascii="Arial" w:hAnsi="Arial" w:cs="Arial"/>
          <w:sz w:val="20"/>
          <w:szCs w:val="20"/>
        </w:rPr>
        <w:t xml:space="preserve"> </w:t>
      </w:r>
      <w:r w:rsidRPr="004D6A45">
        <w:rPr>
          <w:rFonts w:ascii="Arial" w:hAnsi="Arial" w:cs="Arial"/>
          <w:sz w:val="20"/>
          <w:szCs w:val="20"/>
        </w:rPr>
        <w:t>2016</w:t>
      </w:r>
      <w:r w:rsidRPr="000A4DF7">
        <w:rPr>
          <w:rFonts w:ascii="Arial" w:hAnsi="Arial" w:cs="Arial"/>
          <w:sz w:val="20"/>
          <w:szCs w:val="20"/>
        </w:rPr>
        <w:t xml:space="preserve"> indikovaná nepriama podpora HP MRK pri </w:t>
      </w:r>
      <w:r w:rsidR="00CD097F">
        <w:rPr>
          <w:rFonts w:ascii="Arial" w:hAnsi="Arial" w:cs="Arial"/>
          <w:sz w:val="20"/>
          <w:szCs w:val="20"/>
        </w:rPr>
        <w:t>176</w:t>
      </w:r>
      <w:r w:rsidRPr="000A4DF7">
        <w:rPr>
          <w:rFonts w:ascii="Arial" w:hAnsi="Arial" w:cs="Arial"/>
          <w:sz w:val="20"/>
          <w:szCs w:val="20"/>
        </w:rPr>
        <w:t xml:space="preserve"> projektoch s celkovou výškou </w:t>
      </w:r>
      <w:r w:rsidR="00E65886">
        <w:rPr>
          <w:rFonts w:ascii="Arial" w:hAnsi="Arial" w:cs="Arial"/>
          <w:sz w:val="20"/>
          <w:szCs w:val="20"/>
        </w:rPr>
        <w:t>čerpaných prostriedkov z</w:t>
      </w:r>
      <w:r w:rsidRPr="000A4DF7">
        <w:rPr>
          <w:rFonts w:ascii="Arial" w:hAnsi="Arial" w:cs="Arial"/>
          <w:sz w:val="20"/>
          <w:szCs w:val="20"/>
        </w:rPr>
        <w:t xml:space="preserve"> EÚ zdrojov vo výške </w:t>
      </w:r>
      <w:r w:rsidR="00CD097F" w:rsidRPr="00CD097F">
        <w:rPr>
          <w:rFonts w:ascii="Arial" w:hAnsi="Arial" w:cs="Arial"/>
          <w:sz w:val="20"/>
          <w:szCs w:val="20"/>
        </w:rPr>
        <w:t>478 063 581,13</w:t>
      </w:r>
      <w:r w:rsidRPr="000330FE">
        <w:rPr>
          <w:rFonts w:ascii="Arial" w:hAnsi="Arial" w:cs="Arial"/>
          <w:sz w:val="20"/>
          <w:szCs w:val="20"/>
        </w:rPr>
        <w:t xml:space="preserve"> </w:t>
      </w:r>
      <w:r w:rsidR="00366C2D">
        <w:rPr>
          <w:rFonts w:ascii="Arial" w:hAnsi="Arial" w:cs="Arial"/>
          <w:sz w:val="20"/>
          <w:szCs w:val="20"/>
        </w:rPr>
        <w:t>€</w:t>
      </w:r>
      <w:r w:rsidRPr="000A4DF7">
        <w:rPr>
          <w:rFonts w:ascii="Arial" w:hAnsi="Arial" w:cs="Arial"/>
          <w:sz w:val="20"/>
          <w:szCs w:val="20"/>
        </w:rPr>
        <w:t>, čo predstavuje 27,</w:t>
      </w:r>
      <w:r w:rsidR="00CD097F">
        <w:rPr>
          <w:rFonts w:ascii="Arial" w:hAnsi="Arial" w:cs="Arial"/>
          <w:sz w:val="20"/>
          <w:szCs w:val="20"/>
        </w:rPr>
        <w:t xml:space="preserve">65 </w:t>
      </w:r>
      <w:r w:rsidRPr="000A4DF7">
        <w:rPr>
          <w:rFonts w:ascii="Arial" w:hAnsi="Arial" w:cs="Arial"/>
          <w:sz w:val="20"/>
          <w:szCs w:val="20"/>
        </w:rPr>
        <w:t>% z alokácie OP ŽP</w:t>
      </w:r>
      <w:r w:rsidR="00BE439B" w:rsidRPr="000A4DF7">
        <w:rPr>
          <w:rFonts w:ascii="Arial" w:hAnsi="Arial" w:cs="Arial"/>
          <w:sz w:val="20"/>
          <w:szCs w:val="20"/>
        </w:rPr>
        <w:t>.</w:t>
      </w:r>
      <w:r w:rsidR="008A68D6">
        <w:rPr>
          <w:rFonts w:ascii="Arial" w:hAnsi="Arial" w:cs="Arial"/>
          <w:sz w:val="20"/>
          <w:szCs w:val="20"/>
        </w:rPr>
        <w:t xml:space="preserve"> </w:t>
      </w:r>
    </w:p>
    <w:p w14:paraId="168CB6D4" w14:textId="6A1F5541" w:rsidR="00881054" w:rsidRPr="00E21C60" w:rsidRDefault="00881054" w:rsidP="00123376">
      <w:pPr>
        <w:spacing w:before="120"/>
        <w:jc w:val="both"/>
        <w:rPr>
          <w:rFonts w:ascii="Arial" w:hAnsi="Arial" w:cs="Arial"/>
          <w:sz w:val="20"/>
          <w:szCs w:val="20"/>
        </w:rPr>
      </w:pPr>
      <w:r w:rsidRPr="00E21C60">
        <w:rPr>
          <w:rFonts w:ascii="Arial" w:hAnsi="Arial" w:cs="Arial"/>
          <w:sz w:val="20"/>
          <w:szCs w:val="20"/>
        </w:rPr>
        <w:t>Tab</w:t>
      </w:r>
      <w:r w:rsidR="00396A05" w:rsidRPr="00E21C60">
        <w:rPr>
          <w:rFonts w:ascii="Arial" w:hAnsi="Arial" w:cs="Arial"/>
          <w:sz w:val="20"/>
          <w:szCs w:val="20"/>
        </w:rPr>
        <w:t>uľka</w:t>
      </w:r>
      <w:r w:rsidRPr="00E21C60">
        <w:rPr>
          <w:rFonts w:ascii="Arial" w:hAnsi="Arial" w:cs="Arial"/>
          <w:sz w:val="20"/>
          <w:szCs w:val="20"/>
        </w:rPr>
        <w:t xml:space="preserve"> č. </w:t>
      </w:r>
      <w:r w:rsidR="00B256C7">
        <w:rPr>
          <w:rFonts w:ascii="Arial" w:hAnsi="Arial" w:cs="Arial"/>
          <w:sz w:val="20"/>
          <w:szCs w:val="20"/>
        </w:rPr>
        <w:t>8</w:t>
      </w:r>
      <w:r w:rsidR="007B1CB9">
        <w:rPr>
          <w:rFonts w:ascii="Arial" w:hAnsi="Arial" w:cs="Arial"/>
          <w:sz w:val="20"/>
          <w:szCs w:val="20"/>
        </w:rPr>
        <w:t>1</w:t>
      </w:r>
      <w:r w:rsidRPr="00E21C60">
        <w:rPr>
          <w:rFonts w:ascii="Arial" w:hAnsi="Arial" w:cs="Arial"/>
          <w:sz w:val="20"/>
          <w:szCs w:val="20"/>
        </w:rPr>
        <w:t xml:space="preserve">: Stav </w:t>
      </w:r>
      <w:r w:rsidR="00E65886">
        <w:rPr>
          <w:rFonts w:ascii="Arial" w:hAnsi="Arial" w:cs="Arial"/>
          <w:sz w:val="20"/>
          <w:szCs w:val="20"/>
        </w:rPr>
        <w:t>čerpania</w:t>
      </w:r>
      <w:r w:rsidRPr="00E21C60">
        <w:rPr>
          <w:rFonts w:ascii="Arial" w:hAnsi="Arial" w:cs="Arial"/>
          <w:sz w:val="20"/>
          <w:szCs w:val="20"/>
        </w:rPr>
        <w:t xml:space="preserve"> projektov s nepriamou podporou HP MRK podľa NUTS III k </w:t>
      </w:r>
      <w:r w:rsidR="00E65886">
        <w:rPr>
          <w:rFonts w:ascii="Arial" w:hAnsi="Arial" w:cs="Arial"/>
          <w:sz w:val="20"/>
          <w:szCs w:val="20"/>
        </w:rPr>
        <w:t>31</w:t>
      </w:r>
      <w:r w:rsidRPr="00E21C60">
        <w:rPr>
          <w:rFonts w:ascii="Arial" w:hAnsi="Arial" w:cs="Arial"/>
          <w:sz w:val="20"/>
          <w:szCs w:val="20"/>
        </w:rPr>
        <w:t>.</w:t>
      </w:r>
      <w:r w:rsidR="00E65886">
        <w:rPr>
          <w:rFonts w:ascii="Arial" w:hAnsi="Arial" w:cs="Arial"/>
          <w:sz w:val="20"/>
          <w:szCs w:val="20"/>
        </w:rPr>
        <w:t>10</w:t>
      </w:r>
      <w:r w:rsidRPr="00E21C60">
        <w:rPr>
          <w:rFonts w:ascii="Arial" w:hAnsi="Arial" w:cs="Arial"/>
          <w:sz w:val="20"/>
          <w:szCs w:val="20"/>
        </w:rPr>
        <w:t>.</w:t>
      </w:r>
      <w:r w:rsidR="000330FE">
        <w:rPr>
          <w:rFonts w:ascii="Arial" w:hAnsi="Arial" w:cs="Arial"/>
          <w:sz w:val="20"/>
          <w:szCs w:val="20"/>
        </w:rPr>
        <w:t>2016</w:t>
      </w:r>
    </w:p>
    <w:tbl>
      <w:tblPr>
        <w:tblW w:w="9060" w:type="dxa"/>
        <w:tblInd w:w="55" w:type="dxa"/>
        <w:tblCellMar>
          <w:left w:w="70" w:type="dxa"/>
          <w:right w:w="70" w:type="dxa"/>
        </w:tblCellMar>
        <w:tblLook w:val="04A0" w:firstRow="1" w:lastRow="0" w:firstColumn="1" w:lastColumn="0" w:noHBand="0" w:noVBand="1"/>
      </w:tblPr>
      <w:tblGrid>
        <w:gridCol w:w="1660"/>
        <w:gridCol w:w="1480"/>
        <w:gridCol w:w="1480"/>
        <w:gridCol w:w="1480"/>
        <w:gridCol w:w="1480"/>
        <w:gridCol w:w="1480"/>
      </w:tblGrid>
      <w:tr w:rsidR="007253AA" w:rsidRPr="00E21C60" w14:paraId="03F7D888" w14:textId="77777777" w:rsidTr="007D7B08">
        <w:trPr>
          <w:trHeight w:val="1350"/>
        </w:trPr>
        <w:tc>
          <w:tcPr>
            <w:tcW w:w="166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F4E8DA7" w14:textId="77777777" w:rsidR="007253AA" w:rsidRPr="00E21C60" w:rsidRDefault="007253AA">
            <w:pPr>
              <w:jc w:val="center"/>
              <w:rPr>
                <w:rFonts w:ascii="Arial" w:hAnsi="Arial" w:cs="Arial"/>
                <w:b/>
                <w:bCs/>
                <w:color w:val="000000"/>
                <w:sz w:val="16"/>
                <w:szCs w:val="16"/>
              </w:rPr>
            </w:pPr>
            <w:r w:rsidRPr="00E21C60">
              <w:rPr>
                <w:rFonts w:ascii="Arial" w:hAnsi="Arial" w:cs="Arial"/>
                <w:b/>
                <w:bCs/>
                <w:color w:val="000000"/>
                <w:sz w:val="16"/>
                <w:szCs w:val="16"/>
              </w:rPr>
              <w:t>Územie NUTS III</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39D00B4" w14:textId="0CD6587A" w:rsidR="007253AA" w:rsidRPr="00E21C60" w:rsidRDefault="007253AA" w:rsidP="004730A1">
            <w:pPr>
              <w:jc w:val="center"/>
              <w:rPr>
                <w:rFonts w:ascii="Arial" w:hAnsi="Arial" w:cs="Arial"/>
                <w:b/>
                <w:bCs/>
                <w:color w:val="000000"/>
                <w:sz w:val="16"/>
                <w:szCs w:val="16"/>
              </w:rPr>
            </w:pPr>
            <w:r w:rsidRPr="00E21C60">
              <w:rPr>
                <w:rFonts w:ascii="Arial" w:hAnsi="Arial" w:cs="Arial"/>
                <w:b/>
                <w:bCs/>
                <w:color w:val="000000"/>
                <w:sz w:val="16"/>
                <w:szCs w:val="16"/>
              </w:rPr>
              <w:t xml:space="preserve">Počet </w:t>
            </w:r>
            <w:r w:rsidR="004730A1">
              <w:rPr>
                <w:rFonts w:ascii="Arial" w:hAnsi="Arial" w:cs="Arial"/>
                <w:b/>
                <w:bCs/>
                <w:color w:val="000000"/>
                <w:sz w:val="16"/>
                <w:szCs w:val="16"/>
              </w:rPr>
              <w:t>riadne ukončených</w:t>
            </w:r>
            <w:r w:rsidR="004730A1" w:rsidRPr="00E21C60">
              <w:rPr>
                <w:rFonts w:ascii="Arial" w:hAnsi="Arial" w:cs="Arial"/>
                <w:b/>
                <w:bCs/>
                <w:color w:val="000000"/>
                <w:sz w:val="16"/>
                <w:szCs w:val="16"/>
              </w:rPr>
              <w:t xml:space="preserve"> </w:t>
            </w:r>
            <w:r w:rsidRPr="00E21C60">
              <w:rPr>
                <w:rFonts w:ascii="Arial" w:hAnsi="Arial" w:cs="Arial"/>
                <w:b/>
                <w:bCs/>
                <w:color w:val="000000"/>
                <w:sz w:val="16"/>
                <w:szCs w:val="16"/>
              </w:rPr>
              <w:t>projektov celkovo</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930ECB4" w14:textId="345273D7" w:rsidR="007253AA" w:rsidRPr="00E21C60" w:rsidRDefault="007253AA" w:rsidP="000F28F0">
            <w:pPr>
              <w:jc w:val="center"/>
              <w:rPr>
                <w:rFonts w:ascii="Arial" w:hAnsi="Arial" w:cs="Arial"/>
                <w:b/>
                <w:bCs/>
                <w:color w:val="000000"/>
                <w:sz w:val="16"/>
                <w:szCs w:val="16"/>
              </w:rPr>
            </w:pPr>
            <w:r w:rsidRPr="00E21C60">
              <w:rPr>
                <w:rFonts w:ascii="Arial" w:hAnsi="Arial" w:cs="Arial"/>
                <w:b/>
                <w:bCs/>
                <w:color w:val="000000"/>
                <w:sz w:val="16"/>
                <w:szCs w:val="16"/>
              </w:rPr>
              <w:t xml:space="preserve">Celková výška </w:t>
            </w:r>
            <w:r w:rsidR="000F28F0">
              <w:rPr>
                <w:rFonts w:ascii="Arial" w:hAnsi="Arial" w:cs="Arial"/>
                <w:b/>
                <w:bCs/>
                <w:color w:val="000000"/>
                <w:sz w:val="16"/>
                <w:szCs w:val="16"/>
              </w:rPr>
              <w:t>čerpa</w:t>
            </w:r>
            <w:r w:rsidR="000F28F0" w:rsidRPr="00E21C60">
              <w:rPr>
                <w:rFonts w:ascii="Arial" w:hAnsi="Arial" w:cs="Arial"/>
                <w:b/>
                <w:bCs/>
                <w:color w:val="000000"/>
                <w:sz w:val="16"/>
                <w:szCs w:val="16"/>
              </w:rPr>
              <w:t xml:space="preserve">ných </w:t>
            </w:r>
            <w:r w:rsidRPr="00E21C60">
              <w:rPr>
                <w:rFonts w:ascii="Arial" w:hAnsi="Arial" w:cs="Arial"/>
                <w:b/>
                <w:bCs/>
                <w:color w:val="000000"/>
                <w:sz w:val="16"/>
                <w:szCs w:val="16"/>
              </w:rPr>
              <w:t>prostriedkov v €  (EU zdroje)</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4F5A436" w14:textId="0292A390" w:rsidR="007253AA" w:rsidRPr="00E21C60" w:rsidRDefault="007253AA" w:rsidP="00E65886">
            <w:pPr>
              <w:jc w:val="center"/>
              <w:rPr>
                <w:rFonts w:ascii="Arial" w:hAnsi="Arial" w:cs="Arial"/>
                <w:b/>
                <w:bCs/>
                <w:color w:val="000000"/>
                <w:sz w:val="16"/>
                <w:szCs w:val="16"/>
              </w:rPr>
            </w:pPr>
            <w:r w:rsidRPr="00E21C60">
              <w:rPr>
                <w:rFonts w:ascii="Arial" w:hAnsi="Arial" w:cs="Arial"/>
                <w:b/>
                <w:bCs/>
                <w:color w:val="000000"/>
                <w:sz w:val="16"/>
                <w:szCs w:val="16"/>
              </w:rPr>
              <w:t xml:space="preserve">Počet </w:t>
            </w:r>
            <w:r w:rsidR="00E65886">
              <w:rPr>
                <w:rFonts w:ascii="Arial" w:hAnsi="Arial" w:cs="Arial"/>
                <w:b/>
                <w:bCs/>
                <w:color w:val="000000"/>
                <w:sz w:val="16"/>
                <w:szCs w:val="16"/>
              </w:rPr>
              <w:t>riadne ukončených</w:t>
            </w:r>
            <w:r w:rsidRPr="00E21C60">
              <w:rPr>
                <w:rFonts w:ascii="Arial" w:hAnsi="Arial" w:cs="Arial"/>
                <w:b/>
                <w:bCs/>
                <w:color w:val="000000"/>
                <w:sz w:val="16"/>
                <w:szCs w:val="16"/>
              </w:rPr>
              <w:t xml:space="preserve"> projektov s príspevkom HP MRK</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EA977E5" w14:textId="5A32D87E" w:rsidR="007253AA" w:rsidRPr="00E21C60" w:rsidRDefault="007253AA" w:rsidP="000F28F0">
            <w:pPr>
              <w:jc w:val="center"/>
              <w:rPr>
                <w:rFonts w:ascii="Arial" w:hAnsi="Arial" w:cs="Arial"/>
                <w:b/>
                <w:bCs/>
                <w:color w:val="000000"/>
                <w:sz w:val="16"/>
                <w:szCs w:val="16"/>
              </w:rPr>
            </w:pPr>
            <w:r w:rsidRPr="00E21C60">
              <w:rPr>
                <w:rFonts w:ascii="Arial" w:hAnsi="Arial" w:cs="Arial"/>
                <w:b/>
                <w:bCs/>
                <w:color w:val="000000"/>
                <w:sz w:val="16"/>
                <w:szCs w:val="16"/>
              </w:rPr>
              <w:t xml:space="preserve">Výška </w:t>
            </w:r>
            <w:r w:rsidR="000F28F0">
              <w:rPr>
                <w:rFonts w:ascii="Arial" w:hAnsi="Arial" w:cs="Arial"/>
                <w:b/>
                <w:bCs/>
                <w:color w:val="000000"/>
                <w:sz w:val="16"/>
                <w:szCs w:val="16"/>
              </w:rPr>
              <w:t>čerpa</w:t>
            </w:r>
            <w:r w:rsidR="000F28F0" w:rsidRPr="00E21C60">
              <w:rPr>
                <w:rFonts w:ascii="Arial" w:hAnsi="Arial" w:cs="Arial"/>
                <w:b/>
                <w:bCs/>
                <w:color w:val="000000"/>
                <w:sz w:val="16"/>
                <w:szCs w:val="16"/>
              </w:rPr>
              <w:t xml:space="preserve">ných </w:t>
            </w:r>
            <w:r w:rsidRPr="00E21C60">
              <w:rPr>
                <w:rFonts w:ascii="Arial" w:hAnsi="Arial" w:cs="Arial"/>
                <w:b/>
                <w:bCs/>
                <w:color w:val="000000"/>
                <w:sz w:val="16"/>
                <w:szCs w:val="16"/>
              </w:rPr>
              <w:t>prostriedkov v € s príspevkom HP MRK (EU zdroje)</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6696296" w14:textId="32D3118A" w:rsidR="007253AA" w:rsidRPr="00E21C60" w:rsidRDefault="007253AA" w:rsidP="000F28F0">
            <w:pPr>
              <w:jc w:val="center"/>
              <w:rPr>
                <w:rFonts w:ascii="Arial" w:hAnsi="Arial" w:cs="Arial"/>
                <w:b/>
                <w:bCs/>
                <w:color w:val="000000"/>
                <w:sz w:val="16"/>
                <w:szCs w:val="16"/>
              </w:rPr>
            </w:pPr>
            <w:r w:rsidRPr="00E21C60">
              <w:rPr>
                <w:rFonts w:ascii="Arial" w:hAnsi="Arial" w:cs="Arial"/>
                <w:b/>
                <w:bCs/>
                <w:color w:val="000000"/>
                <w:sz w:val="16"/>
                <w:szCs w:val="16"/>
              </w:rPr>
              <w:t xml:space="preserve">% </w:t>
            </w:r>
            <w:r w:rsidR="000F28F0">
              <w:rPr>
                <w:rFonts w:ascii="Arial" w:hAnsi="Arial" w:cs="Arial"/>
                <w:b/>
                <w:bCs/>
                <w:color w:val="000000"/>
                <w:sz w:val="16"/>
                <w:szCs w:val="16"/>
              </w:rPr>
              <w:t>šerpania</w:t>
            </w:r>
            <w:r w:rsidR="000F28F0" w:rsidRPr="00E21C60">
              <w:rPr>
                <w:rFonts w:ascii="Arial" w:hAnsi="Arial" w:cs="Arial"/>
                <w:b/>
                <w:bCs/>
                <w:color w:val="000000"/>
                <w:sz w:val="16"/>
                <w:szCs w:val="16"/>
              </w:rPr>
              <w:t xml:space="preserve"> </w:t>
            </w:r>
            <w:r w:rsidRPr="00E21C60">
              <w:rPr>
                <w:rFonts w:ascii="Arial" w:hAnsi="Arial" w:cs="Arial"/>
                <w:b/>
                <w:bCs/>
                <w:color w:val="000000"/>
                <w:sz w:val="16"/>
                <w:szCs w:val="16"/>
              </w:rPr>
              <w:t xml:space="preserve">k HP MRK z celkového objemu </w:t>
            </w:r>
            <w:r w:rsidR="000F28F0">
              <w:rPr>
                <w:rFonts w:ascii="Arial" w:hAnsi="Arial" w:cs="Arial"/>
                <w:b/>
                <w:bCs/>
                <w:color w:val="000000"/>
                <w:sz w:val="16"/>
                <w:szCs w:val="16"/>
              </w:rPr>
              <w:t>čerpa</w:t>
            </w:r>
            <w:r w:rsidR="000F28F0" w:rsidRPr="00E21C60">
              <w:rPr>
                <w:rFonts w:ascii="Arial" w:hAnsi="Arial" w:cs="Arial"/>
                <w:b/>
                <w:bCs/>
                <w:color w:val="000000"/>
                <w:sz w:val="16"/>
                <w:szCs w:val="16"/>
              </w:rPr>
              <w:t xml:space="preserve">ných </w:t>
            </w:r>
            <w:r w:rsidRPr="00E21C60">
              <w:rPr>
                <w:rFonts w:ascii="Arial" w:hAnsi="Arial" w:cs="Arial"/>
                <w:b/>
                <w:bCs/>
                <w:color w:val="000000"/>
                <w:sz w:val="16"/>
                <w:szCs w:val="16"/>
              </w:rPr>
              <w:t>prostriedkov</w:t>
            </w:r>
          </w:p>
        </w:tc>
      </w:tr>
      <w:tr w:rsidR="007253AA" w:rsidRPr="00E21C60" w14:paraId="24817BC3" w14:textId="77777777" w:rsidTr="006B3ADD">
        <w:trPr>
          <w:trHeight w:val="348"/>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563A8A2F" w14:textId="77777777" w:rsidR="007253AA" w:rsidRPr="00E21C60" w:rsidRDefault="007253AA" w:rsidP="0019352B">
            <w:pPr>
              <w:jc w:val="center"/>
              <w:rPr>
                <w:rFonts w:ascii="Arial" w:hAnsi="Arial" w:cs="Arial"/>
                <w:color w:val="000000"/>
                <w:sz w:val="16"/>
                <w:szCs w:val="16"/>
              </w:rPr>
            </w:pPr>
            <w:r w:rsidRPr="00E21C60">
              <w:rPr>
                <w:rFonts w:ascii="Arial" w:hAnsi="Arial" w:cs="Arial"/>
                <w:color w:val="000000"/>
                <w:sz w:val="16"/>
                <w:szCs w:val="16"/>
              </w:rPr>
              <w:t>A</w:t>
            </w:r>
          </w:p>
        </w:tc>
        <w:tc>
          <w:tcPr>
            <w:tcW w:w="1480" w:type="dxa"/>
            <w:tcBorders>
              <w:top w:val="nil"/>
              <w:left w:val="nil"/>
              <w:bottom w:val="single" w:sz="4" w:space="0" w:color="auto"/>
              <w:right w:val="single" w:sz="4" w:space="0" w:color="auto"/>
            </w:tcBorders>
            <w:shd w:val="clear" w:color="000000" w:fill="EBF1DE"/>
            <w:vAlign w:val="center"/>
            <w:hideMark/>
          </w:tcPr>
          <w:p w14:paraId="1ED4106E" w14:textId="77777777" w:rsidR="007253AA" w:rsidRPr="00E21C60" w:rsidRDefault="007253AA">
            <w:pPr>
              <w:jc w:val="center"/>
              <w:rPr>
                <w:rFonts w:ascii="Arial" w:hAnsi="Arial" w:cs="Arial"/>
                <w:color w:val="000000"/>
                <w:sz w:val="16"/>
                <w:szCs w:val="16"/>
              </w:rPr>
            </w:pPr>
            <w:r w:rsidRPr="00E21C60">
              <w:rPr>
                <w:rFonts w:ascii="Arial" w:hAnsi="Arial" w:cs="Arial"/>
                <w:color w:val="000000"/>
                <w:sz w:val="16"/>
                <w:szCs w:val="16"/>
              </w:rPr>
              <w:t>B</w:t>
            </w:r>
          </w:p>
        </w:tc>
        <w:tc>
          <w:tcPr>
            <w:tcW w:w="1480" w:type="dxa"/>
            <w:tcBorders>
              <w:top w:val="nil"/>
              <w:left w:val="nil"/>
              <w:bottom w:val="single" w:sz="4" w:space="0" w:color="auto"/>
              <w:right w:val="single" w:sz="4" w:space="0" w:color="auto"/>
            </w:tcBorders>
            <w:shd w:val="clear" w:color="000000" w:fill="EBF1DE"/>
            <w:vAlign w:val="center"/>
            <w:hideMark/>
          </w:tcPr>
          <w:p w14:paraId="48872041" w14:textId="77777777" w:rsidR="007253AA" w:rsidRPr="00E21C60" w:rsidRDefault="00953E7E">
            <w:pPr>
              <w:jc w:val="center"/>
              <w:rPr>
                <w:rFonts w:ascii="Arial" w:hAnsi="Arial" w:cs="Arial"/>
                <w:color w:val="000000"/>
                <w:sz w:val="16"/>
                <w:szCs w:val="16"/>
              </w:rPr>
            </w:pPr>
            <w:r w:rsidRPr="00E21C60">
              <w:rPr>
                <w:rFonts w:ascii="Arial" w:hAnsi="Arial" w:cs="Arial"/>
                <w:color w:val="000000"/>
                <w:sz w:val="16"/>
                <w:szCs w:val="16"/>
              </w:rPr>
              <w:t>C</w:t>
            </w:r>
          </w:p>
        </w:tc>
        <w:tc>
          <w:tcPr>
            <w:tcW w:w="1480" w:type="dxa"/>
            <w:tcBorders>
              <w:top w:val="nil"/>
              <w:left w:val="nil"/>
              <w:bottom w:val="single" w:sz="4" w:space="0" w:color="auto"/>
              <w:right w:val="single" w:sz="4" w:space="0" w:color="auto"/>
            </w:tcBorders>
            <w:shd w:val="clear" w:color="000000" w:fill="EBF1DE"/>
            <w:vAlign w:val="center"/>
            <w:hideMark/>
          </w:tcPr>
          <w:p w14:paraId="02ED44B8" w14:textId="77777777" w:rsidR="007253AA" w:rsidRPr="00E21C60" w:rsidRDefault="007253AA">
            <w:pPr>
              <w:jc w:val="center"/>
              <w:rPr>
                <w:rFonts w:ascii="Arial" w:hAnsi="Arial" w:cs="Arial"/>
                <w:color w:val="000000"/>
                <w:sz w:val="16"/>
                <w:szCs w:val="16"/>
              </w:rPr>
            </w:pPr>
            <w:r w:rsidRPr="00E21C60">
              <w:rPr>
                <w:rFonts w:ascii="Arial" w:hAnsi="Arial" w:cs="Arial"/>
                <w:color w:val="000000"/>
                <w:sz w:val="16"/>
                <w:szCs w:val="16"/>
              </w:rPr>
              <w:t>D</w:t>
            </w:r>
          </w:p>
        </w:tc>
        <w:tc>
          <w:tcPr>
            <w:tcW w:w="1480" w:type="dxa"/>
            <w:tcBorders>
              <w:top w:val="nil"/>
              <w:left w:val="nil"/>
              <w:bottom w:val="single" w:sz="4" w:space="0" w:color="auto"/>
              <w:right w:val="single" w:sz="4" w:space="0" w:color="auto"/>
            </w:tcBorders>
            <w:shd w:val="clear" w:color="000000" w:fill="EBF1DE"/>
            <w:vAlign w:val="center"/>
            <w:hideMark/>
          </w:tcPr>
          <w:p w14:paraId="6371F7EC" w14:textId="77777777" w:rsidR="007253AA" w:rsidRPr="00E21C60" w:rsidRDefault="007253AA">
            <w:pPr>
              <w:jc w:val="center"/>
              <w:rPr>
                <w:rFonts w:ascii="Arial" w:hAnsi="Arial" w:cs="Arial"/>
                <w:color w:val="000000"/>
                <w:sz w:val="16"/>
                <w:szCs w:val="16"/>
              </w:rPr>
            </w:pPr>
            <w:r w:rsidRPr="00E21C60">
              <w:rPr>
                <w:rFonts w:ascii="Arial" w:hAnsi="Arial" w:cs="Arial"/>
                <w:color w:val="000000"/>
                <w:sz w:val="16"/>
                <w:szCs w:val="16"/>
              </w:rPr>
              <w:t>E</w:t>
            </w:r>
          </w:p>
        </w:tc>
        <w:tc>
          <w:tcPr>
            <w:tcW w:w="1480" w:type="dxa"/>
            <w:tcBorders>
              <w:top w:val="nil"/>
              <w:left w:val="nil"/>
              <w:bottom w:val="single" w:sz="4" w:space="0" w:color="auto"/>
              <w:right w:val="single" w:sz="4" w:space="0" w:color="auto"/>
            </w:tcBorders>
            <w:shd w:val="clear" w:color="000000" w:fill="EBF1DE"/>
            <w:vAlign w:val="center"/>
            <w:hideMark/>
          </w:tcPr>
          <w:p w14:paraId="2640F19B" w14:textId="77777777" w:rsidR="007253AA" w:rsidRPr="00E21C60" w:rsidRDefault="007253AA">
            <w:pPr>
              <w:jc w:val="center"/>
              <w:rPr>
                <w:rFonts w:ascii="Arial" w:hAnsi="Arial" w:cs="Arial"/>
                <w:color w:val="000000"/>
                <w:sz w:val="16"/>
                <w:szCs w:val="16"/>
              </w:rPr>
            </w:pPr>
            <w:r w:rsidRPr="00E21C60">
              <w:rPr>
                <w:rFonts w:ascii="Arial" w:hAnsi="Arial" w:cs="Arial"/>
                <w:color w:val="000000"/>
                <w:sz w:val="16"/>
                <w:szCs w:val="16"/>
              </w:rPr>
              <w:t>F=E/C</w:t>
            </w:r>
          </w:p>
        </w:tc>
      </w:tr>
      <w:tr w:rsidR="00D7374B" w:rsidRPr="00E21C60" w14:paraId="32C1EEC4"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1675A103" w14:textId="77777777" w:rsidR="00D7374B" w:rsidRPr="00E21C60" w:rsidRDefault="00D7374B" w:rsidP="0019352B">
            <w:pPr>
              <w:rPr>
                <w:rFonts w:ascii="Arial" w:hAnsi="Arial" w:cs="Arial"/>
                <w:color w:val="000000"/>
                <w:sz w:val="16"/>
                <w:szCs w:val="16"/>
              </w:rPr>
            </w:pPr>
            <w:r w:rsidRPr="00E21C60">
              <w:rPr>
                <w:rFonts w:ascii="Arial" w:hAnsi="Arial" w:cs="Arial"/>
                <w:color w:val="000000"/>
                <w:sz w:val="16"/>
                <w:szCs w:val="16"/>
              </w:rPr>
              <w:t>Bratislavský</w:t>
            </w:r>
          </w:p>
        </w:tc>
        <w:tc>
          <w:tcPr>
            <w:tcW w:w="1480" w:type="dxa"/>
            <w:tcBorders>
              <w:top w:val="nil"/>
              <w:left w:val="nil"/>
              <w:bottom w:val="single" w:sz="4" w:space="0" w:color="auto"/>
              <w:right w:val="single" w:sz="4" w:space="0" w:color="auto"/>
            </w:tcBorders>
            <w:shd w:val="clear" w:color="auto" w:fill="auto"/>
            <w:vAlign w:val="center"/>
            <w:hideMark/>
          </w:tcPr>
          <w:p w14:paraId="39AEBA45" w14:textId="629C9D78"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21</w:t>
            </w:r>
          </w:p>
        </w:tc>
        <w:tc>
          <w:tcPr>
            <w:tcW w:w="1480" w:type="dxa"/>
            <w:tcBorders>
              <w:top w:val="nil"/>
              <w:left w:val="nil"/>
              <w:bottom w:val="single" w:sz="4" w:space="0" w:color="auto"/>
              <w:right w:val="single" w:sz="4" w:space="0" w:color="auto"/>
            </w:tcBorders>
            <w:shd w:val="clear" w:color="auto" w:fill="auto"/>
            <w:vAlign w:val="center"/>
            <w:hideMark/>
          </w:tcPr>
          <w:p w14:paraId="7F2CBC29" w14:textId="160D0AA7"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77 038 738</w:t>
            </w:r>
          </w:p>
        </w:tc>
        <w:tc>
          <w:tcPr>
            <w:tcW w:w="1480" w:type="dxa"/>
            <w:tcBorders>
              <w:top w:val="nil"/>
              <w:left w:val="nil"/>
              <w:bottom w:val="single" w:sz="4" w:space="0" w:color="auto"/>
              <w:right w:val="single" w:sz="4" w:space="0" w:color="auto"/>
            </w:tcBorders>
            <w:shd w:val="clear" w:color="auto" w:fill="auto"/>
            <w:vAlign w:val="center"/>
            <w:hideMark/>
          </w:tcPr>
          <w:p w14:paraId="723B5B97" w14:textId="169EA707"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4</w:t>
            </w:r>
          </w:p>
        </w:tc>
        <w:tc>
          <w:tcPr>
            <w:tcW w:w="1480" w:type="dxa"/>
            <w:tcBorders>
              <w:top w:val="nil"/>
              <w:left w:val="nil"/>
              <w:bottom w:val="single" w:sz="4" w:space="0" w:color="auto"/>
              <w:right w:val="single" w:sz="4" w:space="0" w:color="auto"/>
            </w:tcBorders>
            <w:shd w:val="clear" w:color="auto" w:fill="auto"/>
            <w:vAlign w:val="center"/>
            <w:hideMark/>
          </w:tcPr>
          <w:p w14:paraId="6A35A2DE" w14:textId="0D5E6357"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18 260 472</w:t>
            </w:r>
          </w:p>
        </w:tc>
        <w:tc>
          <w:tcPr>
            <w:tcW w:w="1480" w:type="dxa"/>
            <w:tcBorders>
              <w:top w:val="nil"/>
              <w:left w:val="nil"/>
              <w:bottom w:val="single" w:sz="4" w:space="0" w:color="auto"/>
              <w:right w:val="single" w:sz="4" w:space="0" w:color="auto"/>
            </w:tcBorders>
            <w:shd w:val="clear" w:color="auto" w:fill="auto"/>
            <w:vAlign w:val="center"/>
            <w:hideMark/>
          </w:tcPr>
          <w:p w14:paraId="26B617F6" w14:textId="03BE09CB"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23,70%</w:t>
            </w:r>
          </w:p>
        </w:tc>
      </w:tr>
      <w:tr w:rsidR="00D7374B" w:rsidRPr="00E21C60" w14:paraId="4F038620"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54F1AA19" w14:textId="77777777" w:rsidR="00D7374B" w:rsidRPr="00E21C60" w:rsidRDefault="00D7374B" w:rsidP="0019352B">
            <w:pPr>
              <w:rPr>
                <w:rFonts w:ascii="Arial" w:hAnsi="Arial" w:cs="Arial"/>
                <w:color w:val="000000"/>
                <w:sz w:val="16"/>
                <w:szCs w:val="16"/>
              </w:rPr>
            </w:pPr>
            <w:r w:rsidRPr="00E21C60">
              <w:rPr>
                <w:rFonts w:ascii="Arial" w:hAnsi="Arial" w:cs="Arial"/>
                <w:color w:val="000000"/>
                <w:sz w:val="16"/>
                <w:szCs w:val="16"/>
              </w:rPr>
              <w:t>Trnavský</w:t>
            </w:r>
          </w:p>
        </w:tc>
        <w:tc>
          <w:tcPr>
            <w:tcW w:w="1480" w:type="dxa"/>
            <w:tcBorders>
              <w:top w:val="nil"/>
              <w:left w:val="nil"/>
              <w:bottom w:val="single" w:sz="4" w:space="0" w:color="auto"/>
              <w:right w:val="single" w:sz="4" w:space="0" w:color="auto"/>
            </w:tcBorders>
            <w:shd w:val="clear" w:color="auto" w:fill="auto"/>
            <w:vAlign w:val="center"/>
            <w:hideMark/>
          </w:tcPr>
          <w:p w14:paraId="56175334" w14:textId="388CFCF9"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79</w:t>
            </w:r>
          </w:p>
        </w:tc>
        <w:tc>
          <w:tcPr>
            <w:tcW w:w="1480" w:type="dxa"/>
            <w:tcBorders>
              <w:top w:val="nil"/>
              <w:left w:val="nil"/>
              <w:bottom w:val="single" w:sz="4" w:space="0" w:color="auto"/>
              <w:right w:val="single" w:sz="4" w:space="0" w:color="auto"/>
            </w:tcBorders>
            <w:shd w:val="clear" w:color="auto" w:fill="auto"/>
            <w:vAlign w:val="center"/>
            <w:hideMark/>
          </w:tcPr>
          <w:p w14:paraId="57DFCEBA" w14:textId="7915BCB2"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145 774 91</w:t>
            </w:r>
            <w:r w:rsidR="00A1711A">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auto" w:fill="auto"/>
            <w:vAlign w:val="center"/>
            <w:hideMark/>
          </w:tcPr>
          <w:p w14:paraId="400A916F" w14:textId="76BEAC9B"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26</w:t>
            </w:r>
          </w:p>
        </w:tc>
        <w:tc>
          <w:tcPr>
            <w:tcW w:w="1480" w:type="dxa"/>
            <w:tcBorders>
              <w:top w:val="nil"/>
              <w:left w:val="nil"/>
              <w:bottom w:val="single" w:sz="4" w:space="0" w:color="auto"/>
              <w:right w:val="single" w:sz="4" w:space="0" w:color="auto"/>
            </w:tcBorders>
            <w:shd w:val="clear" w:color="auto" w:fill="auto"/>
            <w:vAlign w:val="center"/>
            <w:hideMark/>
          </w:tcPr>
          <w:p w14:paraId="707A1D52" w14:textId="51F4EC6D"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50 800 62</w:t>
            </w:r>
            <w:r w:rsidR="00A1711A">
              <w:rPr>
                <w:rFonts w:ascii="Arial" w:hAnsi="Arial" w:cs="Arial"/>
                <w:color w:val="000000"/>
                <w:sz w:val="16"/>
                <w:szCs w:val="16"/>
              </w:rPr>
              <w:t>8</w:t>
            </w:r>
          </w:p>
        </w:tc>
        <w:tc>
          <w:tcPr>
            <w:tcW w:w="1480" w:type="dxa"/>
            <w:tcBorders>
              <w:top w:val="nil"/>
              <w:left w:val="nil"/>
              <w:bottom w:val="single" w:sz="4" w:space="0" w:color="auto"/>
              <w:right w:val="single" w:sz="4" w:space="0" w:color="auto"/>
            </w:tcBorders>
            <w:shd w:val="clear" w:color="auto" w:fill="auto"/>
            <w:vAlign w:val="center"/>
            <w:hideMark/>
          </w:tcPr>
          <w:p w14:paraId="17C3D65E" w14:textId="48805437"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34,85%</w:t>
            </w:r>
          </w:p>
        </w:tc>
      </w:tr>
      <w:tr w:rsidR="00D7374B" w:rsidRPr="00E21C60" w14:paraId="7EDB2B11"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553D5962" w14:textId="77777777" w:rsidR="00D7374B" w:rsidRPr="00E21C60" w:rsidRDefault="00D7374B" w:rsidP="0019352B">
            <w:pPr>
              <w:rPr>
                <w:rFonts w:ascii="Arial" w:hAnsi="Arial" w:cs="Arial"/>
                <w:color w:val="000000"/>
                <w:sz w:val="16"/>
                <w:szCs w:val="16"/>
              </w:rPr>
            </w:pPr>
            <w:r w:rsidRPr="00E21C60">
              <w:rPr>
                <w:rFonts w:ascii="Arial" w:hAnsi="Arial" w:cs="Arial"/>
                <w:color w:val="000000"/>
                <w:sz w:val="16"/>
                <w:szCs w:val="16"/>
              </w:rPr>
              <w:t>Trenčiansky</w:t>
            </w:r>
          </w:p>
        </w:tc>
        <w:tc>
          <w:tcPr>
            <w:tcW w:w="1480" w:type="dxa"/>
            <w:tcBorders>
              <w:top w:val="nil"/>
              <w:left w:val="nil"/>
              <w:bottom w:val="single" w:sz="4" w:space="0" w:color="auto"/>
              <w:right w:val="single" w:sz="4" w:space="0" w:color="auto"/>
            </w:tcBorders>
            <w:shd w:val="clear" w:color="auto" w:fill="auto"/>
            <w:vAlign w:val="center"/>
            <w:hideMark/>
          </w:tcPr>
          <w:p w14:paraId="2D9AE3B0" w14:textId="6C2F171A"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66</w:t>
            </w:r>
          </w:p>
        </w:tc>
        <w:tc>
          <w:tcPr>
            <w:tcW w:w="1480" w:type="dxa"/>
            <w:tcBorders>
              <w:top w:val="nil"/>
              <w:left w:val="nil"/>
              <w:bottom w:val="single" w:sz="4" w:space="0" w:color="auto"/>
              <w:right w:val="single" w:sz="4" w:space="0" w:color="auto"/>
            </w:tcBorders>
            <w:shd w:val="clear" w:color="auto" w:fill="auto"/>
            <w:vAlign w:val="center"/>
            <w:hideMark/>
          </w:tcPr>
          <w:p w14:paraId="2A1D9DAC" w14:textId="3C1F03DD"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150 591 80</w:t>
            </w:r>
            <w:r w:rsidR="00A1711A">
              <w:rPr>
                <w:rFonts w:ascii="Arial" w:hAnsi="Arial" w:cs="Arial"/>
                <w:color w:val="000000"/>
                <w:sz w:val="16"/>
                <w:szCs w:val="16"/>
              </w:rPr>
              <w:t>7</w:t>
            </w:r>
          </w:p>
        </w:tc>
        <w:tc>
          <w:tcPr>
            <w:tcW w:w="1480" w:type="dxa"/>
            <w:tcBorders>
              <w:top w:val="nil"/>
              <w:left w:val="nil"/>
              <w:bottom w:val="single" w:sz="4" w:space="0" w:color="auto"/>
              <w:right w:val="single" w:sz="4" w:space="0" w:color="auto"/>
            </w:tcBorders>
            <w:shd w:val="clear" w:color="auto" w:fill="auto"/>
            <w:vAlign w:val="center"/>
            <w:hideMark/>
          </w:tcPr>
          <w:p w14:paraId="4D3694F1" w14:textId="2B3DA0DB"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12</w:t>
            </w:r>
          </w:p>
        </w:tc>
        <w:tc>
          <w:tcPr>
            <w:tcW w:w="1480" w:type="dxa"/>
            <w:tcBorders>
              <w:top w:val="nil"/>
              <w:left w:val="nil"/>
              <w:bottom w:val="single" w:sz="4" w:space="0" w:color="auto"/>
              <w:right w:val="single" w:sz="4" w:space="0" w:color="auto"/>
            </w:tcBorders>
            <w:shd w:val="clear" w:color="auto" w:fill="auto"/>
            <w:vAlign w:val="center"/>
            <w:hideMark/>
          </w:tcPr>
          <w:p w14:paraId="41FCCA00" w14:textId="0CE40F34"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21 945 617</w:t>
            </w:r>
          </w:p>
        </w:tc>
        <w:tc>
          <w:tcPr>
            <w:tcW w:w="1480" w:type="dxa"/>
            <w:tcBorders>
              <w:top w:val="nil"/>
              <w:left w:val="nil"/>
              <w:bottom w:val="single" w:sz="4" w:space="0" w:color="auto"/>
              <w:right w:val="single" w:sz="4" w:space="0" w:color="auto"/>
            </w:tcBorders>
            <w:shd w:val="clear" w:color="auto" w:fill="auto"/>
            <w:vAlign w:val="center"/>
            <w:hideMark/>
          </w:tcPr>
          <w:p w14:paraId="19DE43C9" w14:textId="2CB826BE"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14,57%</w:t>
            </w:r>
          </w:p>
        </w:tc>
      </w:tr>
      <w:tr w:rsidR="00D7374B" w:rsidRPr="00E21C60" w14:paraId="592EA201"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39101C18" w14:textId="77777777" w:rsidR="00D7374B" w:rsidRPr="00E21C60" w:rsidRDefault="00D7374B" w:rsidP="0019352B">
            <w:pPr>
              <w:rPr>
                <w:rFonts w:ascii="Arial" w:hAnsi="Arial" w:cs="Arial"/>
                <w:color w:val="000000"/>
                <w:sz w:val="16"/>
                <w:szCs w:val="16"/>
              </w:rPr>
            </w:pPr>
            <w:r w:rsidRPr="00E21C60">
              <w:rPr>
                <w:rFonts w:ascii="Arial" w:hAnsi="Arial" w:cs="Arial"/>
                <w:color w:val="000000"/>
                <w:sz w:val="16"/>
                <w:szCs w:val="16"/>
              </w:rPr>
              <w:t>Nitriansky</w:t>
            </w:r>
          </w:p>
        </w:tc>
        <w:tc>
          <w:tcPr>
            <w:tcW w:w="1480" w:type="dxa"/>
            <w:tcBorders>
              <w:top w:val="nil"/>
              <w:left w:val="nil"/>
              <w:bottom w:val="single" w:sz="4" w:space="0" w:color="auto"/>
              <w:right w:val="single" w:sz="4" w:space="0" w:color="auto"/>
            </w:tcBorders>
            <w:shd w:val="clear" w:color="auto" w:fill="auto"/>
            <w:vAlign w:val="center"/>
            <w:hideMark/>
          </w:tcPr>
          <w:p w14:paraId="3A12945E" w14:textId="4EC262EB"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80</w:t>
            </w:r>
          </w:p>
        </w:tc>
        <w:tc>
          <w:tcPr>
            <w:tcW w:w="1480" w:type="dxa"/>
            <w:tcBorders>
              <w:top w:val="nil"/>
              <w:left w:val="nil"/>
              <w:bottom w:val="single" w:sz="4" w:space="0" w:color="auto"/>
              <w:right w:val="single" w:sz="4" w:space="0" w:color="auto"/>
            </w:tcBorders>
            <w:shd w:val="clear" w:color="auto" w:fill="auto"/>
            <w:vAlign w:val="center"/>
            <w:hideMark/>
          </w:tcPr>
          <w:p w14:paraId="75D2B735" w14:textId="2427F02B"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163 906 76</w:t>
            </w:r>
            <w:r w:rsidR="00A1711A">
              <w:rPr>
                <w:rFonts w:ascii="Arial" w:hAnsi="Arial" w:cs="Arial"/>
                <w:color w:val="000000"/>
                <w:sz w:val="16"/>
                <w:szCs w:val="16"/>
              </w:rPr>
              <w:t>3</w:t>
            </w:r>
          </w:p>
        </w:tc>
        <w:tc>
          <w:tcPr>
            <w:tcW w:w="1480" w:type="dxa"/>
            <w:tcBorders>
              <w:top w:val="nil"/>
              <w:left w:val="nil"/>
              <w:bottom w:val="single" w:sz="4" w:space="0" w:color="auto"/>
              <w:right w:val="single" w:sz="4" w:space="0" w:color="auto"/>
            </w:tcBorders>
            <w:shd w:val="clear" w:color="auto" w:fill="auto"/>
            <w:vAlign w:val="center"/>
            <w:hideMark/>
          </w:tcPr>
          <w:p w14:paraId="2FCB5D06" w14:textId="14F0F5B8"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23</w:t>
            </w:r>
          </w:p>
        </w:tc>
        <w:tc>
          <w:tcPr>
            <w:tcW w:w="1480" w:type="dxa"/>
            <w:tcBorders>
              <w:top w:val="nil"/>
              <w:left w:val="nil"/>
              <w:bottom w:val="single" w:sz="4" w:space="0" w:color="auto"/>
              <w:right w:val="single" w:sz="4" w:space="0" w:color="auto"/>
            </w:tcBorders>
            <w:shd w:val="clear" w:color="auto" w:fill="auto"/>
            <w:vAlign w:val="center"/>
            <w:hideMark/>
          </w:tcPr>
          <w:p w14:paraId="27BC70E5" w14:textId="2B3576E4"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77 666 493</w:t>
            </w:r>
          </w:p>
        </w:tc>
        <w:tc>
          <w:tcPr>
            <w:tcW w:w="1480" w:type="dxa"/>
            <w:tcBorders>
              <w:top w:val="nil"/>
              <w:left w:val="nil"/>
              <w:bottom w:val="single" w:sz="4" w:space="0" w:color="auto"/>
              <w:right w:val="single" w:sz="4" w:space="0" w:color="auto"/>
            </w:tcBorders>
            <w:shd w:val="clear" w:color="auto" w:fill="auto"/>
            <w:vAlign w:val="center"/>
            <w:hideMark/>
          </w:tcPr>
          <w:p w14:paraId="0343C023" w14:textId="3FED2AAA"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47,38%</w:t>
            </w:r>
          </w:p>
        </w:tc>
      </w:tr>
      <w:tr w:rsidR="00D7374B" w:rsidRPr="00E21C60" w14:paraId="5F371318"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6D09EF68" w14:textId="77777777" w:rsidR="00D7374B" w:rsidRPr="00E21C60" w:rsidRDefault="00D7374B" w:rsidP="0019352B">
            <w:pPr>
              <w:rPr>
                <w:rFonts w:ascii="Arial" w:hAnsi="Arial" w:cs="Arial"/>
                <w:color w:val="000000"/>
                <w:sz w:val="16"/>
                <w:szCs w:val="16"/>
              </w:rPr>
            </w:pPr>
            <w:r w:rsidRPr="00E21C60">
              <w:rPr>
                <w:rFonts w:ascii="Arial" w:hAnsi="Arial" w:cs="Arial"/>
                <w:color w:val="000000"/>
                <w:sz w:val="16"/>
                <w:szCs w:val="16"/>
              </w:rPr>
              <w:t>Žilinský</w:t>
            </w:r>
          </w:p>
        </w:tc>
        <w:tc>
          <w:tcPr>
            <w:tcW w:w="1480" w:type="dxa"/>
            <w:tcBorders>
              <w:top w:val="nil"/>
              <w:left w:val="nil"/>
              <w:bottom w:val="single" w:sz="4" w:space="0" w:color="auto"/>
              <w:right w:val="single" w:sz="4" w:space="0" w:color="auto"/>
            </w:tcBorders>
            <w:shd w:val="clear" w:color="auto" w:fill="auto"/>
            <w:vAlign w:val="center"/>
            <w:hideMark/>
          </w:tcPr>
          <w:p w14:paraId="313260F8" w14:textId="15632448"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118</w:t>
            </w:r>
          </w:p>
        </w:tc>
        <w:tc>
          <w:tcPr>
            <w:tcW w:w="1480" w:type="dxa"/>
            <w:tcBorders>
              <w:top w:val="nil"/>
              <w:left w:val="nil"/>
              <w:bottom w:val="single" w:sz="4" w:space="0" w:color="auto"/>
              <w:right w:val="single" w:sz="4" w:space="0" w:color="auto"/>
            </w:tcBorders>
            <w:shd w:val="clear" w:color="auto" w:fill="auto"/>
            <w:vAlign w:val="center"/>
            <w:hideMark/>
          </w:tcPr>
          <w:p w14:paraId="74BECB0E" w14:textId="3D1ED76E"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252 086 907</w:t>
            </w:r>
          </w:p>
        </w:tc>
        <w:tc>
          <w:tcPr>
            <w:tcW w:w="1480" w:type="dxa"/>
            <w:tcBorders>
              <w:top w:val="nil"/>
              <w:left w:val="nil"/>
              <w:bottom w:val="single" w:sz="4" w:space="0" w:color="auto"/>
              <w:right w:val="single" w:sz="4" w:space="0" w:color="auto"/>
            </w:tcBorders>
            <w:shd w:val="clear" w:color="auto" w:fill="auto"/>
            <w:vAlign w:val="center"/>
            <w:hideMark/>
          </w:tcPr>
          <w:p w14:paraId="5680C46E" w14:textId="17FB7AC0"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12</w:t>
            </w:r>
          </w:p>
        </w:tc>
        <w:tc>
          <w:tcPr>
            <w:tcW w:w="1480" w:type="dxa"/>
            <w:tcBorders>
              <w:top w:val="nil"/>
              <w:left w:val="nil"/>
              <w:bottom w:val="single" w:sz="4" w:space="0" w:color="auto"/>
              <w:right w:val="single" w:sz="4" w:space="0" w:color="auto"/>
            </w:tcBorders>
            <w:shd w:val="clear" w:color="auto" w:fill="auto"/>
            <w:vAlign w:val="center"/>
            <w:hideMark/>
          </w:tcPr>
          <w:p w14:paraId="24FCA2FA" w14:textId="633B5F31"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34 554 772</w:t>
            </w:r>
          </w:p>
        </w:tc>
        <w:tc>
          <w:tcPr>
            <w:tcW w:w="1480" w:type="dxa"/>
            <w:tcBorders>
              <w:top w:val="nil"/>
              <w:left w:val="nil"/>
              <w:bottom w:val="single" w:sz="4" w:space="0" w:color="auto"/>
              <w:right w:val="single" w:sz="4" w:space="0" w:color="auto"/>
            </w:tcBorders>
            <w:shd w:val="clear" w:color="auto" w:fill="auto"/>
            <w:vAlign w:val="center"/>
            <w:hideMark/>
          </w:tcPr>
          <w:p w14:paraId="0B0523B2" w14:textId="1C75E516"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13,71%</w:t>
            </w:r>
          </w:p>
        </w:tc>
      </w:tr>
      <w:tr w:rsidR="00D7374B" w:rsidRPr="00E21C60" w14:paraId="30E915A9"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5EE458BB" w14:textId="77777777" w:rsidR="00D7374B" w:rsidRPr="00E21C60" w:rsidRDefault="00D7374B" w:rsidP="0019352B">
            <w:pPr>
              <w:rPr>
                <w:rFonts w:ascii="Arial" w:hAnsi="Arial" w:cs="Arial"/>
                <w:color w:val="000000"/>
                <w:sz w:val="16"/>
                <w:szCs w:val="16"/>
              </w:rPr>
            </w:pPr>
            <w:r w:rsidRPr="00E21C60">
              <w:rPr>
                <w:rFonts w:ascii="Arial" w:hAnsi="Arial" w:cs="Arial"/>
                <w:color w:val="000000"/>
                <w:sz w:val="16"/>
                <w:szCs w:val="16"/>
              </w:rPr>
              <w:t>Banskobystrický</w:t>
            </w:r>
          </w:p>
        </w:tc>
        <w:tc>
          <w:tcPr>
            <w:tcW w:w="1480" w:type="dxa"/>
            <w:tcBorders>
              <w:top w:val="nil"/>
              <w:left w:val="nil"/>
              <w:bottom w:val="single" w:sz="4" w:space="0" w:color="auto"/>
              <w:right w:val="single" w:sz="4" w:space="0" w:color="auto"/>
            </w:tcBorders>
            <w:shd w:val="clear" w:color="auto" w:fill="auto"/>
            <w:vAlign w:val="center"/>
            <w:hideMark/>
          </w:tcPr>
          <w:p w14:paraId="792CF60A" w14:textId="4B6F79F1"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107</w:t>
            </w:r>
          </w:p>
        </w:tc>
        <w:tc>
          <w:tcPr>
            <w:tcW w:w="1480" w:type="dxa"/>
            <w:tcBorders>
              <w:top w:val="nil"/>
              <w:left w:val="nil"/>
              <w:bottom w:val="single" w:sz="4" w:space="0" w:color="auto"/>
              <w:right w:val="single" w:sz="4" w:space="0" w:color="auto"/>
            </w:tcBorders>
            <w:shd w:val="clear" w:color="auto" w:fill="auto"/>
            <w:vAlign w:val="center"/>
            <w:hideMark/>
          </w:tcPr>
          <w:p w14:paraId="4CE7E45A" w14:textId="77BFB888"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207 105 559</w:t>
            </w:r>
          </w:p>
        </w:tc>
        <w:tc>
          <w:tcPr>
            <w:tcW w:w="1480" w:type="dxa"/>
            <w:tcBorders>
              <w:top w:val="nil"/>
              <w:left w:val="nil"/>
              <w:bottom w:val="single" w:sz="4" w:space="0" w:color="auto"/>
              <w:right w:val="single" w:sz="4" w:space="0" w:color="auto"/>
            </w:tcBorders>
            <w:shd w:val="clear" w:color="auto" w:fill="auto"/>
            <w:vAlign w:val="center"/>
            <w:hideMark/>
          </w:tcPr>
          <w:p w14:paraId="7730414F" w14:textId="288994BD"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22</w:t>
            </w:r>
          </w:p>
        </w:tc>
        <w:tc>
          <w:tcPr>
            <w:tcW w:w="1480" w:type="dxa"/>
            <w:tcBorders>
              <w:top w:val="nil"/>
              <w:left w:val="nil"/>
              <w:bottom w:val="single" w:sz="4" w:space="0" w:color="auto"/>
              <w:right w:val="single" w:sz="4" w:space="0" w:color="auto"/>
            </w:tcBorders>
            <w:shd w:val="clear" w:color="auto" w:fill="auto"/>
            <w:vAlign w:val="center"/>
            <w:hideMark/>
          </w:tcPr>
          <w:p w14:paraId="11467421" w14:textId="11174287"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71 124 14</w:t>
            </w:r>
            <w:r w:rsidR="00A1711A">
              <w:rPr>
                <w:rFonts w:ascii="Arial" w:hAnsi="Arial" w:cs="Arial"/>
                <w:color w:val="000000"/>
                <w:sz w:val="16"/>
                <w:szCs w:val="16"/>
              </w:rPr>
              <w:t>7</w:t>
            </w:r>
          </w:p>
        </w:tc>
        <w:tc>
          <w:tcPr>
            <w:tcW w:w="1480" w:type="dxa"/>
            <w:tcBorders>
              <w:top w:val="nil"/>
              <w:left w:val="nil"/>
              <w:bottom w:val="single" w:sz="4" w:space="0" w:color="auto"/>
              <w:right w:val="single" w:sz="4" w:space="0" w:color="auto"/>
            </w:tcBorders>
            <w:shd w:val="clear" w:color="auto" w:fill="auto"/>
            <w:vAlign w:val="center"/>
            <w:hideMark/>
          </w:tcPr>
          <w:p w14:paraId="56E1D65A" w14:textId="337643CF"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34,34%</w:t>
            </w:r>
          </w:p>
        </w:tc>
      </w:tr>
      <w:tr w:rsidR="00D7374B" w:rsidRPr="00E21C60" w14:paraId="425D1946"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8F0BB80" w14:textId="77777777" w:rsidR="00D7374B" w:rsidRPr="00E21C60" w:rsidRDefault="00D7374B" w:rsidP="0019352B">
            <w:pPr>
              <w:rPr>
                <w:rFonts w:ascii="Arial" w:hAnsi="Arial" w:cs="Arial"/>
                <w:color w:val="000000"/>
                <w:sz w:val="16"/>
                <w:szCs w:val="16"/>
              </w:rPr>
            </w:pPr>
            <w:r w:rsidRPr="00E21C60">
              <w:rPr>
                <w:rFonts w:ascii="Arial" w:hAnsi="Arial" w:cs="Arial"/>
                <w:color w:val="000000"/>
                <w:sz w:val="16"/>
                <w:szCs w:val="16"/>
              </w:rPr>
              <w:t>Prešovský</w:t>
            </w:r>
          </w:p>
        </w:tc>
        <w:tc>
          <w:tcPr>
            <w:tcW w:w="1480" w:type="dxa"/>
            <w:tcBorders>
              <w:top w:val="nil"/>
              <w:left w:val="nil"/>
              <w:bottom w:val="single" w:sz="4" w:space="0" w:color="auto"/>
              <w:right w:val="single" w:sz="4" w:space="0" w:color="auto"/>
            </w:tcBorders>
            <w:shd w:val="clear" w:color="auto" w:fill="auto"/>
            <w:vAlign w:val="center"/>
            <w:hideMark/>
          </w:tcPr>
          <w:p w14:paraId="465605CD" w14:textId="0D31381A"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150</w:t>
            </w:r>
          </w:p>
        </w:tc>
        <w:tc>
          <w:tcPr>
            <w:tcW w:w="1480" w:type="dxa"/>
            <w:tcBorders>
              <w:top w:val="nil"/>
              <w:left w:val="nil"/>
              <w:bottom w:val="single" w:sz="4" w:space="0" w:color="auto"/>
              <w:right w:val="single" w:sz="4" w:space="0" w:color="auto"/>
            </w:tcBorders>
            <w:shd w:val="clear" w:color="auto" w:fill="auto"/>
            <w:vAlign w:val="center"/>
            <w:hideMark/>
          </w:tcPr>
          <w:p w14:paraId="6D295D51" w14:textId="445FF81B"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242 725 486</w:t>
            </w:r>
          </w:p>
        </w:tc>
        <w:tc>
          <w:tcPr>
            <w:tcW w:w="1480" w:type="dxa"/>
            <w:tcBorders>
              <w:top w:val="nil"/>
              <w:left w:val="nil"/>
              <w:bottom w:val="single" w:sz="4" w:space="0" w:color="auto"/>
              <w:right w:val="single" w:sz="4" w:space="0" w:color="auto"/>
            </w:tcBorders>
            <w:shd w:val="clear" w:color="auto" w:fill="auto"/>
            <w:vAlign w:val="center"/>
            <w:hideMark/>
          </w:tcPr>
          <w:p w14:paraId="66EDD014" w14:textId="65A18A4B"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45</w:t>
            </w:r>
          </w:p>
        </w:tc>
        <w:tc>
          <w:tcPr>
            <w:tcW w:w="1480" w:type="dxa"/>
            <w:tcBorders>
              <w:top w:val="nil"/>
              <w:left w:val="nil"/>
              <w:bottom w:val="single" w:sz="4" w:space="0" w:color="auto"/>
              <w:right w:val="single" w:sz="4" w:space="0" w:color="auto"/>
            </w:tcBorders>
            <w:shd w:val="clear" w:color="auto" w:fill="auto"/>
            <w:vAlign w:val="center"/>
            <w:hideMark/>
          </w:tcPr>
          <w:p w14:paraId="4C547F95" w14:textId="30BDED17"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110 813 49</w:t>
            </w:r>
            <w:r w:rsidR="00A1711A">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auto" w:fill="auto"/>
            <w:vAlign w:val="center"/>
            <w:hideMark/>
          </w:tcPr>
          <w:p w14:paraId="60AF5BAE" w14:textId="49636918"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45,65%</w:t>
            </w:r>
          </w:p>
        </w:tc>
      </w:tr>
      <w:tr w:rsidR="00D7374B" w:rsidRPr="00E21C60" w14:paraId="72BA4D7B" w14:textId="77777777" w:rsidTr="006B3ADD">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089F5DF6" w14:textId="77777777" w:rsidR="00D7374B" w:rsidRPr="00E21C60" w:rsidRDefault="00D7374B" w:rsidP="0019352B">
            <w:pPr>
              <w:rPr>
                <w:rFonts w:ascii="Arial" w:hAnsi="Arial" w:cs="Arial"/>
                <w:color w:val="000000"/>
                <w:sz w:val="16"/>
                <w:szCs w:val="16"/>
              </w:rPr>
            </w:pPr>
            <w:r w:rsidRPr="00E21C60">
              <w:rPr>
                <w:rFonts w:ascii="Arial" w:hAnsi="Arial" w:cs="Arial"/>
                <w:color w:val="000000"/>
                <w:sz w:val="16"/>
                <w:szCs w:val="16"/>
              </w:rPr>
              <w:t>Košický</w:t>
            </w:r>
          </w:p>
        </w:tc>
        <w:tc>
          <w:tcPr>
            <w:tcW w:w="1480" w:type="dxa"/>
            <w:tcBorders>
              <w:top w:val="nil"/>
              <w:left w:val="nil"/>
              <w:bottom w:val="single" w:sz="4" w:space="0" w:color="auto"/>
              <w:right w:val="single" w:sz="4" w:space="0" w:color="auto"/>
            </w:tcBorders>
            <w:shd w:val="clear" w:color="auto" w:fill="auto"/>
            <w:vAlign w:val="center"/>
            <w:hideMark/>
          </w:tcPr>
          <w:p w14:paraId="64E45D70" w14:textId="5F06D373"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90</w:t>
            </w:r>
          </w:p>
        </w:tc>
        <w:tc>
          <w:tcPr>
            <w:tcW w:w="1480" w:type="dxa"/>
            <w:tcBorders>
              <w:top w:val="nil"/>
              <w:left w:val="nil"/>
              <w:bottom w:val="single" w:sz="4" w:space="0" w:color="auto"/>
              <w:right w:val="single" w:sz="4" w:space="0" w:color="auto"/>
            </w:tcBorders>
            <w:shd w:val="clear" w:color="auto" w:fill="auto"/>
            <w:vAlign w:val="center"/>
            <w:hideMark/>
          </w:tcPr>
          <w:p w14:paraId="27E17EEF" w14:textId="013D5790"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213 142 826</w:t>
            </w:r>
          </w:p>
        </w:tc>
        <w:tc>
          <w:tcPr>
            <w:tcW w:w="1480" w:type="dxa"/>
            <w:tcBorders>
              <w:top w:val="nil"/>
              <w:left w:val="nil"/>
              <w:bottom w:val="single" w:sz="4" w:space="0" w:color="auto"/>
              <w:right w:val="single" w:sz="4" w:space="0" w:color="auto"/>
            </w:tcBorders>
            <w:shd w:val="clear" w:color="auto" w:fill="auto"/>
            <w:vAlign w:val="center"/>
            <w:hideMark/>
          </w:tcPr>
          <w:p w14:paraId="10CF6A39" w14:textId="0EE5A525"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30</w:t>
            </w:r>
          </w:p>
        </w:tc>
        <w:tc>
          <w:tcPr>
            <w:tcW w:w="1480" w:type="dxa"/>
            <w:tcBorders>
              <w:top w:val="nil"/>
              <w:left w:val="nil"/>
              <w:bottom w:val="single" w:sz="4" w:space="0" w:color="auto"/>
              <w:right w:val="single" w:sz="4" w:space="0" w:color="auto"/>
            </w:tcBorders>
            <w:shd w:val="clear" w:color="auto" w:fill="auto"/>
            <w:vAlign w:val="center"/>
            <w:hideMark/>
          </w:tcPr>
          <w:p w14:paraId="002AC68E" w14:textId="2954D860"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91 010 806</w:t>
            </w:r>
          </w:p>
        </w:tc>
        <w:tc>
          <w:tcPr>
            <w:tcW w:w="1480" w:type="dxa"/>
            <w:tcBorders>
              <w:top w:val="nil"/>
              <w:left w:val="nil"/>
              <w:bottom w:val="single" w:sz="4" w:space="0" w:color="auto"/>
              <w:right w:val="single" w:sz="4" w:space="0" w:color="auto"/>
            </w:tcBorders>
            <w:shd w:val="clear" w:color="auto" w:fill="auto"/>
            <w:vAlign w:val="center"/>
            <w:hideMark/>
          </w:tcPr>
          <w:p w14:paraId="040FF1C2" w14:textId="7BE6DAD4"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42,70%</w:t>
            </w:r>
          </w:p>
        </w:tc>
      </w:tr>
      <w:tr w:rsidR="00D7374B" w:rsidRPr="00E21C60" w14:paraId="1823C64E" w14:textId="77777777" w:rsidTr="006B3ADD">
        <w:trPr>
          <w:trHeight w:val="450"/>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703B641F" w14:textId="77777777" w:rsidR="00D7374B" w:rsidRPr="00E21C60" w:rsidRDefault="00D7374B" w:rsidP="0019352B">
            <w:pPr>
              <w:rPr>
                <w:rFonts w:ascii="Arial" w:hAnsi="Arial" w:cs="Arial"/>
                <w:color w:val="000000"/>
                <w:sz w:val="16"/>
                <w:szCs w:val="16"/>
              </w:rPr>
            </w:pPr>
            <w:r w:rsidRPr="00E21C60">
              <w:rPr>
                <w:rFonts w:ascii="Arial" w:hAnsi="Arial" w:cs="Arial"/>
                <w:color w:val="000000"/>
                <w:sz w:val="16"/>
                <w:szCs w:val="16"/>
              </w:rPr>
              <w:t>Projekty nezaradené do NUTS III</w:t>
            </w:r>
          </w:p>
        </w:tc>
        <w:tc>
          <w:tcPr>
            <w:tcW w:w="1480" w:type="dxa"/>
            <w:tcBorders>
              <w:top w:val="nil"/>
              <w:left w:val="nil"/>
              <w:bottom w:val="single" w:sz="4" w:space="0" w:color="auto"/>
              <w:right w:val="single" w:sz="4" w:space="0" w:color="auto"/>
            </w:tcBorders>
            <w:shd w:val="clear" w:color="000000" w:fill="EBF1DE"/>
            <w:vAlign w:val="center"/>
            <w:hideMark/>
          </w:tcPr>
          <w:p w14:paraId="317CFDA9" w14:textId="02FEC0C9"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88</w:t>
            </w:r>
          </w:p>
        </w:tc>
        <w:tc>
          <w:tcPr>
            <w:tcW w:w="1480" w:type="dxa"/>
            <w:tcBorders>
              <w:top w:val="nil"/>
              <w:left w:val="nil"/>
              <w:bottom w:val="single" w:sz="4" w:space="0" w:color="auto"/>
              <w:right w:val="single" w:sz="4" w:space="0" w:color="auto"/>
            </w:tcBorders>
            <w:shd w:val="clear" w:color="000000" w:fill="EBF1DE"/>
            <w:vAlign w:val="center"/>
            <w:hideMark/>
          </w:tcPr>
          <w:p w14:paraId="231C14BD" w14:textId="36FDA308"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276 725 89</w:t>
            </w:r>
            <w:r w:rsidR="00A1711A">
              <w:rPr>
                <w:rFonts w:ascii="Arial" w:hAnsi="Arial" w:cs="Arial"/>
                <w:color w:val="000000"/>
                <w:sz w:val="16"/>
                <w:szCs w:val="16"/>
              </w:rPr>
              <w:t>4</w:t>
            </w:r>
          </w:p>
        </w:tc>
        <w:tc>
          <w:tcPr>
            <w:tcW w:w="1480" w:type="dxa"/>
            <w:tcBorders>
              <w:top w:val="nil"/>
              <w:left w:val="nil"/>
              <w:bottom w:val="single" w:sz="4" w:space="0" w:color="auto"/>
              <w:right w:val="single" w:sz="4" w:space="0" w:color="auto"/>
            </w:tcBorders>
            <w:shd w:val="clear" w:color="000000" w:fill="EBF1DE"/>
            <w:vAlign w:val="center"/>
            <w:hideMark/>
          </w:tcPr>
          <w:p w14:paraId="0754500F" w14:textId="7F26DBE7"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000000" w:fill="EBF1DE"/>
            <w:vAlign w:val="center"/>
            <w:hideMark/>
          </w:tcPr>
          <w:p w14:paraId="4890082B" w14:textId="3B644C2D"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1 887 15</w:t>
            </w:r>
            <w:r w:rsidR="00A1711A">
              <w:rPr>
                <w:rFonts w:ascii="Arial" w:hAnsi="Arial" w:cs="Arial"/>
                <w:color w:val="000000"/>
                <w:sz w:val="16"/>
                <w:szCs w:val="16"/>
              </w:rPr>
              <w:t>4</w:t>
            </w:r>
          </w:p>
        </w:tc>
        <w:tc>
          <w:tcPr>
            <w:tcW w:w="1480" w:type="dxa"/>
            <w:tcBorders>
              <w:top w:val="nil"/>
              <w:left w:val="nil"/>
              <w:bottom w:val="single" w:sz="4" w:space="0" w:color="auto"/>
              <w:right w:val="single" w:sz="4" w:space="0" w:color="auto"/>
            </w:tcBorders>
            <w:shd w:val="clear" w:color="000000" w:fill="EBF1DE"/>
            <w:vAlign w:val="center"/>
            <w:hideMark/>
          </w:tcPr>
          <w:p w14:paraId="589646B7" w14:textId="02CB3E6B"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0,68%</w:t>
            </w:r>
          </w:p>
        </w:tc>
      </w:tr>
      <w:tr w:rsidR="00D7374B" w:rsidRPr="00E21C60" w14:paraId="033563AE" w14:textId="77777777" w:rsidTr="006B3ADD">
        <w:trPr>
          <w:trHeight w:val="255"/>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2F7B606D" w14:textId="77777777" w:rsidR="00D7374B" w:rsidRPr="00E21C60" w:rsidRDefault="00D7374B" w:rsidP="006B3ADD">
            <w:pPr>
              <w:jc w:val="center"/>
              <w:rPr>
                <w:rFonts w:ascii="Arial" w:hAnsi="Arial" w:cs="Arial"/>
                <w:b/>
                <w:bCs/>
                <w:color w:val="000000"/>
                <w:sz w:val="16"/>
                <w:szCs w:val="16"/>
              </w:rPr>
            </w:pPr>
            <w:r w:rsidRPr="00E21C60">
              <w:rPr>
                <w:rFonts w:ascii="Arial" w:hAnsi="Arial" w:cs="Arial"/>
                <w:b/>
                <w:bCs/>
                <w:color w:val="000000"/>
                <w:sz w:val="16"/>
                <w:szCs w:val="16"/>
              </w:rPr>
              <w:t>Spolu</w:t>
            </w:r>
          </w:p>
        </w:tc>
        <w:tc>
          <w:tcPr>
            <w:tcW w:w="1480" w:type="dxa"/>
            <w:tcBorders>
              <w:top w:val="nil"/>
              <w:left w:val="nil"/>
              <w:bottom w:val="single" w:sz="4" w:space="0" w:color="auto"/>
              <w:right w:val="single" w:sz="4" w:space="0" w:color="auto"/>
            </w:tcBorders>
            <w:shd w:val="clear" w:color="000000" w:fill="EBF1DE"/>
            <w:vAlign w:val="center"/>
            <w:hideMark/>
          </w:tcPr>
          <w:p w14:paraId="2B2EF104" w14:textId="01D2CCFF"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799</w:t>
            </w:r>
          </w:p>
        </w:tc>
        <w:tc>
          <w:tcPr>
            <w:tcW w:w="1480" w:type="dxa"/>
            <w:tcBorders>
              <w:top w:val="nil"/>
              <w:left w:val="nil"/>
              <w:bottom w:val="single" w:sz="4" w:space="0" w:color="auto"/>
              <w:right w:val="single" w:sz="4" w:space="0" w:color="auto"/>
            </w:tcBorders>
            <w:shd w:val="clear" w:color="000000" w:fill="EBF1DE"/>
            <w:vAlign w:val="center"/>
            <w:hideMark/>
          </w:tcPr>
          <w:p w14:paraId="42E101DE" w14:textId="11CB297A"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1 729 098 89</w:t>
            </w:r>
            <w:r w:rsidR="00A1711A">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000000" w:fill="EBF1DE"/>
            <w:vAlign w:val="center"/>
            <w:hideMark/>
          </w:tcPr>
          <w:p w14:paraId="4D116C34" w14:textId="754C73C4"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176</w:t>
            </w:r>
          </w:p>
        </w:tc>
        <w:tc>
          <w:tcPr>
            <w:tcW w:w="1480" w:type="dxa"/>
            <w:tcBorders>
              <w:top w:val="nil"/>
              <w:left w:val="nil"/>
              <w:bottom w:val="single" w:sz="4" w:space="0" w:color="auto"/>
              <w:right w:val="single" w:sz="4" w:space="0" w:color="auto"/>
            </w:tcBorders>
            <w:shd w:val="clear" w:color="000000" w:fill="EBF1DE"/>
            <w:vAlign w:val="center"/>
            <w:hideMark/>
          </w:tcPr>
          <w:p w14:paraId="3070D677" w14:textId="3A02D99B"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478 063 58</w:t>
            </w:r>
            <w:r w:rsidR="00A1711A">
              <w:rPr>
                <w:rFonts w:ascii="Arial" w:hAnsi="Arial" w:cs="Arial"/>
                <w:color w:val="000000"/>
                <w:sz w:val="16"/>
                <w:szCs w:val="16"/>
              </w:rPr>
              <w:t>1</w:t>
            </w:r>
          </w:p>
        </w:tc>
        <w:tc>
          <w:tcPr>
            <w:tcW w:w="1480" w:type="dxa"/>
            <w:tcBorders>
              <w:top w:val="nil"/>
              <w:left w:val="nil"/>
              <w:bottom w:val="single" w:sz="4" w:space="0" w:color="auto"/>
              <w:right w:val="single" w:sz="4" w:space="0" w:color="auto"/>
            </w:tcBorders>
            <w:shd w:val="clear" w:color="000000" w:fill="EBF1DE"/>
            <w:vAlign w:val="center"/>
            <w:hideMark/>
          </w:tcPr>
          <w:p w14:paraId="73E06952" w14:textId="2BEA71C2" w:rsidR="00D7374B" w:rsidRPr="00D7374B" w:rsidRDefault="00D7374B" w:rsidP="00D7374B">
            <w:pPr>
              <w:jc w:val="center"/>
              <w:rPr>
                <w:rFonts w:ascii="Arial" w:hAnsi="Arial" w:cs="Arial"/>
                <w:color w:val="000000"/>
                <w:sz w:val="16"/>
                <w:szCs w:val="16"/>
              </w:rPr>
            </w:pPr>
            <w:r w:rsidRPr="00D7374B">
              <w:rPr>
                <w:rFonts w:ascii="Arial" w:hAnsi="Arial" w:cs="Arial"/>
                <w:color w:val="000000"/>
                <w:sz w:val="16"/>
                <w:szCs w:val="16"/>
              </w:rPr>
              <w:t>27,65%</w:t>
            </w:r>
          </w:p>
        </w:tc>
      </w:tr>
    </w:tbl>
    <w:p w14:paraId="323DCB7A" w14:textId="77777777" w:rsidR="00881054" w:rsidRDefault="00881054" w:rsidP="00123376">
      <w:pPr>
        <w:jc w:val="both"/>
        <w:rPr>
          <w:rFonts w:ascii="Arial" w:hAnsi="Arial" w:cs="Arial"/>
          <w:sz w:val="16"/>
          <w:szCs w:val="16"/>
        </w:rPr>
      </w:pPr>
      <w:r w:rsidRPr="00123376">
        <w:rPr>
          <w:rFonts w:ascii="Arial" w:hAnsi="Arial" w:cs="Arial"/>
          <w:sz w:val="16"/>
          <w:szCs w:val="16"/>
        </w:rPr>
        <w:t>Zdroj: ITMS</w:t>
      </w:r>
    </w:p>
    <w:p w14:paraId="07B3C2D2" w14:textId="6AEBD193" w:rsidR="00AD7EBD" w:rsidRPr="00E21C60" w:rsidRDefault="00AD7EBD" w:rsidP="00AD7EBD">
      <w:pPr>
        <w:tabs>
          <w:tab w:val="left" w:pos="1555"/>
        </w:tabs>
        <w:spacing w:after="120"/>
        <w:rPr>
          <w:rFonts w:ascii="Arial" w:hAnsi="Arial" w:cs="Arial"/>
          <w:sz w:val="16"/>
          <w:szCs w:val="16"/>
        </w:rPr>
      </w:pPr>
    </w:p>
    <w:p w14:paraId="1C3C1BDB" w14:textId="77777777" w:rsidR="0008447E" w:rsidRDefault="0008447E" w:rsidP="00123376">
      <w:pPr>
        <w:spacing w:before="120"/>
        <w:jc w:val="both"/>
        <w:rPr>
          <w:rFonts w:ascii="Arial" w:hAnsi="Arial" w:cs="Arial"/>
          <w:sz w:val="20"/>
          <w:szCs w:val="20"/>
        </w:rPr>
      </w:pPr>
    </w:p>
    <w:p w14:paraId="4905511D" w14:textId="77777777" w:rsidR="0008447E" w:rsidRDefault="0008447E" w:rsidP="00123376">
      <w:pPr>
        <w:spacing w:before="120"/>
        <w:jc w:val="both"/>
        <w:rPr>
          <w:rFonts w:ascii="Arial" w:hAnsi="Arial" w:cs="Arial"/>
          <w:sz w:val="20"/>
          <w:szCs w:val="20"/>
        </w:rPr>
      </w:pPr>
    </w:p>
    <w:p w14:paraId="6C0593FC" w14:textId="77777777" w:rsidR="0008447E" w:rsidRDefault="0008447E" w:rsidP="00123376">
      <w:pPr>
        <w:spacing w:before="120"/>
        <w:jc w:val="both"/>
        <w:rPr>
          <w:rFonts w:ascii="Arial" w:hAnsi="Arial" w:cs="Arial"/>
          <w:sz w:val="20"/>
          <w:szCs w:val="20"/>
        </w:rPr>
      </w:pPr>
    </w:p>
    <w:p w14:paraId="3DA27965" w14:textId="77777777" w:rsidR="0008447E" w:rsidRDefault="0008447E">
      <w:pPr>
        <w:rPr>
          <w:rFonts w:ascii="Arial" w:hAnsi="Arial" w:cs="Arial"/>
          <w:sz w:val="20"/>
          <w:szCs w:val="20"/>
        </w:rPr>
      </w:pPr>
      <w:r>
        <w:rPr>
          <w:rFonts w:ascii="Arial" w:hAnsi="Arial" w:cs="Arial"/>
          <w:sz w:val="20"/>
          <w:szCs w:val="20"/>
        </w:rPr>
        <w:br w:type="page"/>
      </w:r>
    </w:p>
    <w:p w14:paraId="0C19C3B8" w14:textId="2D8A9B22" w:rsidR="00881054" w:rsidRDefault="00AA08CF" w:rsidP="00123376">
      <w:pPr>
        <w:spacing w:before="120"/>
        <w:jc w:val="both"/>
        <w:rPr>
          <w:rFonts w:ascii="Arial" w:hAnsi="Arial" w:cs="Arial"/>
          <w:sz w:val="20"/>
          <w:szCs w:val="20"/>
        </w:rPr>
      </w:pPr>
      <w:r>
        <w:rPr>
          <w:rFonts w:ascii="Arial" w:hAnsi="Arial" w:cs="Arial"/>
          <w:sz w:val="20"/>
          <w:szCs w:val="20"/>
        </w:rPr>
        <w:lastRenderedPageBreak/>
        <w:t xml:space="preserve">Tabuľka č. </w:t>
      </w:r>
      <w:r w:rsidR="00B256C7">
        <w:rPr>
          <w:rFonts w:ascii="Arial" w:hAnsi="Arial" w:cs="Arial"/>
          <w:sz w:val="20"/>
          <w:szCs w:val="20"/>
        </w:rPr>
        <w:t>8</w:t>
      </w:r>
      <w:r w:rsidR="007B1CB9">
        <w:rPr>
          <w:rFonts w:ascii="Arial" w:hAnsi="Arial" w:cs="Arial"/>
          <w:sz w:val="20"/>
          <w:szCs w:val="20"/>
        </w:rPr>
        <w:t>2</w:t>
      </w:r>
      <w:r>
        <w:rPr>
          <w:rFonts w:ascii="Arial" w:hAnsi="Arial" w:cs="Arial"/>
          <w:sz w:val="20"/>
          <w:szCs w:val="20"/>
        </w:rPr>
        <w:t>: Stav zazmluvnenia projektov LSKxP podľa NUTS III k </w:t>
      </w:r>
      <w:r w:rsidR="00E65886" w:rsidRPr="00B46ED6">
        <w:rPr>
          <w:rFonts w:ascii="Arial" w:hAnsi="Arial" w:cs="Arial"/>
          <w:sz w:val="20"/>
          <w:szCs w:val="20"/>
        </w:rPr>
        <w:t>31</w:t>
      </w:r>
      <w:r w:rsidRPr="00B46ED6">
        <w:rPr>
          <w:rFonts w:ascii="Arial" w:hAnsi="Arial" w:cs="Arial"/>
          <w:sz w:val="20"/>
          <w:szCs w:val="20"/>
        </w:rPr>
        <w:t>.</w:t>
      </w:r>
      <w:r w:rsidR="00E65886" w:rsidRPr="00B46ED6">
        <w:rPr>
          <w:rFonts w:ascii="Arial" w:hAnsi="Arial" w:cs="Arial"/>
          <w:sz w:val="20"/>
          <w:szCs w:val="20"/>
        </w:rPr>
        <w:t>10</w:t>
      </w:r>
      <w:r w:rsidRPr="00B46ED6">
        <w:rPr>
          <w:rFonts w:ascii="Arial" w:hAnsi="Arial" w:cs="Arial"/>
          <w:sz w:val="20"/>
          <w:szCs w:val="20"/>
        </w:rPr>
        <w:t>.</w:t>
      </w:r>
      <w:r w:rsidR="000330FE" w:rsidRPr="00B46ED6">
        <w:rPr>
          <w:rFonts w:ascii="Arial" w:hAnsi="Arial" w:cs="Arial"/>
          <w:sz w:val="20"/>
          <w:szCs w:val="20"/>
        </w:rPr>
        <w:t>2016</w:t>
      </w:r>
    </w:p>
    <w:tbl>
      <w:tblPr>
        <w:tblW w:w="9060" w:type="dxa"/>
        <w:tblInd w:w="55" w:type="dxa"/>
        <w:tblCellMar>
          <w:left w:w="70" w:type="dxa"/>
          <w:right w:w="70" w:type="dxa"/>
        </w:tblCellMar>
        <w:tblLook w:val="04A0" w:firstRow="1" w:lastRow="0" w:firstColumn="1" w:lastColumn="0" w:noHBand="0" w:noVBand="1"/>
      </w:tblPr>
      <w:tblGrid>
        <w:gridCol w:w="1650"/>
        <w:gridCol w:w="1188"/>
        <w:gridCol w:w="1323"/>
        <w:gridCol w:w="1323"/>
        <w:gridCol w:w="1199"/>
        <w:gridCol w:w="1189"/>
        <w:gridCol w:w="1188"/>
      </w:tblGrid>
      <w:tr w:rsidR="00AA08CF" w14:paraId="7A89E8E0" w14:textId="77777777" w:rsidTr="007D7B08">
        <w:trPr>
          <w:trHeight w:val="1125"/>
        </w:trPr>
        <w:tc>
          <w:tcPr>
            <w:tcW w:w="1650" w:type="dxa"/>
            <w:vMerge w:val="restart"/>
            <w:tcBorders>
              <w:top w:val="single" w:sz="4" w:space="0" w:color="auto"/>
              <w:left w:val="single" w:sz="4" w:space="0" w:color="auto"/>
              <w:bottom w:val="single" w:sz="4" w:space="0" w:color="000000"/>
              <w:right w:val="single" w:sz="4" w:space="0" w:color="auto"/>
            </w:tcBorders>
            <w:shd w:val="clear" w:color="auto" w:fill="C2D69B" w:themeFill="accent3" w:themeFillTint="99"/>
            <w:vAlign w:val="center"/>
            <w:hideMark/>
          </w:tcPr>
          <w:p w14:paraId="537615FA"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Územie NUTS III</w:t>
            </w:r>
          </w:p>
        </w:tc>
        <w:tc>
          <w:tcPr>
            <w:tcW w:w="1188"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435F122" w14:textId="77777777" w:rsidR="00AA08CF" w:rsidRDefault="00AA08CF" w:rsidP="00F23602">
            <w:pPr>
              <w:jc w:val="center"/>
              <w:rPr>
                <w:rFonts w:ascii="Arial" w:hAnsi="Arial" w:cs="Arial"/>
                <w:b/>
                <w:bCs/>
                <w:color w:val="000000"/>
                <w:sz w:val="16"/>
                <w:szCs w:val="16"/>
              </w:rPr>
            </w:pPr>
            <w:r>
              <w:rPr>
                <w:rFonts w:ascii="Arial" w:hAnsi="Arial" w:cs="Arial"/>
                <w:b/>
                <w:bCs/>
                <w:color w:val="000000"/>
                <w:sz w:val="16"/>
                <w:szCs w:val="16"/>
              </w:rPr>
              <w:t xml:space="preserve">Alokácie LSKxP v OP (zdroje </w:t>
            </w:r>
            <w:r w:rsidR="00F23602">
              <w:rPr>
                <w:rFonts w:ascii="Arial" w:hAnsi="Arial" w:cs="Arial"/>
                <w:b/>
                <w:bCs/>
                <w:color w:val="000000"/>
                <w:sz w:val="16"/>
                <w:szCs w:val="16"/>
              </w:rPr>
              <w:t>EÚ</w:t>
            </w:r>
            <w:r>
              <w:rPr>
                <w:rFonts w:ascii="Arial" w:hAnsi="Arial" w:cs="Arial"/>
                <w:b/>
                <w:bCs/>
                <w:color w:val="000000"/>
                <w:sz w:val="16"/>
                <w:szCs w:val="16"/>
              </w:rPr>
              <w:t>+ŠR)</w:t>
            </w:r>
          </w:p>
        </w:tc>
        <w:tc>
          <w:tcPr>
            <w:tcW w:w="1323"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47092F9"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Počet zazmluvnených projektov</w:t>
            </w:r>
          </w:p>
          <w:p w14:paraId="7DC32A67"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z LSKxP</w:t>
            </w:r>
          </w:p>
        </w:tc>
        <w:tc>
          <w:tcPr>
            <w:tcW w:w="1323"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33EAA5A"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Výška zazmluvnených prostriedkov</w:t>
            </w:r>
          </w:p>
          <w:p w14:paraId="561A1F21"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 xml:space="preserve">z LSKxP </w:t>
            </w:r>
          </w:p>
          <w:p w14:paraId="43290610"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w:t>
            </w:r>
            <w:r w:rsidR="00F23602">
              <w:rPr>
                <w:rFonts w:ascii="Arial" w:hAnsi="Arial" w:cs="Arial"/>
                <w:b/>
                <w:bCs/>
                <w:color w:val="000000"/>
                <w:sz w:val="16"/>
                <w:szCs w:val="16"/>
              </w:rPr>
              <w:t>zdroje EÚ+ŠR</w:t>
            </w:r>
            <w:r>
              <w:rPr>
                <w:rFonts w:ascii="Arial" w:hAnsi="Arial" w:cs="Arial"/>
                <w:b/>
                <w:bCs/>
                <w:color w:val="000000"/>
                <w:sz w:val="16"/>
                <w:szCs w:val="16"/>
              </w:rPr>
              <w:t>)</w:t>
            </w:r>
          </w:p>
        </w:tc>
        <w:tc>
          <w:tcPr>
            <w:tcW w:w="1199"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7DA5BD2"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 stav zazmluvnenia z alokácie LSKxP</w:t>
            </w:r>
          </w:p>
        </w:tc>
        <w:tc>
          <w:tcPr>
            <w:tcW w:w="1189"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F01501F"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 xml:space="preserve">Čerpanie NFP </w:t>
            </w:r>
          </w:p>
          <w:p w14:paraId="606B7E04"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z alokácie LSKxP</w:t>
            </w:r>
          </w:p>
        </w:tc>
        <w:tc>
          <w:tcPr>
            <w:tcW w:w="1188"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6CE479B"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 xml:space="preserve">% čerpanie NFP </w:t>
            </w:r>
          </w:p>
          <w:p w14:paraId="029DCB39"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z alokácie LSKxP</w:t>
            </w:r>
          </w:p>
        </w:tc>
      </w:tr>
      <w:tr w:rsidR="00AA08CF" w14:paraId="7189629E" w14:textId="77777777" w:rsidTr="007D7B08">
        <w:trPr>
          <w:trHeight w:val="255"/>
        </w:trPr>
        <w:tc>
          <w:tcPr>
            <w:tcW w:w="1650" w:type="dxa"/>
            <w:vMerge/>
            <w:tcBorders>
              <w:top w:val="single" w:sz="4" w:space="0" w:color="auto"/>
              <w:left w:val="single" w:sz="4" w:space="0" w:color="auto"/>
              <w:bottom w:val="single" w:sz="4" w:space="0" w:color="000000"/>
              <w:right w:val="single" w:sz="4" w:space="0" w:color="auto"/>
            </w:tcBorders>
            <w:shd w:val="clear" w:color="auto" w:fill="C2D69B" w:themeFill="accent3" w:themeFillTint="99"/>
            <w:vAlign w:val="center"/>
            <w:hideMark/>
          </w:tcPr>
          <w:p w14:paraId="17B7C8CC" w14:textId="77777777" w:rsidR="00AA08CF" w:rsidRDefault="00AA08CF" w:rsidP="00123376">
            <w:pPr>
              <w:jc w:val="center"/>
              <w:rPr>
                <w:rFonts w:ascii="Arial" w:hAnsi="Arial" w:cs="Arial"/>
                <w:b/>
                <w:bCs/>
                <w:color w:val="000000"/>
                <w:sz w:val="16"/>
                <w:szCs w:val="16"/>
              </w:rPr>
            </w:pPr>
          </w:p>
        </w:tc>
        <w:tc>
          <w:tcPr>
            <w:tcW w:w="1188" w:type="dxa"/>
            <w:tcBorders>
              <w:top w:val="nil"/>
              <w:left w:val="nil"/>
              <w:bottom w:val="single" w:sz="4" w:space="0" w:color="auto"/>
              <w:right w:val="single" w:sz="4" w:space="0" w:color="auto"/>
            </w:tcBorders>
            <w:shd w:val="clear" w:color="auto" w:fill="C2D69B" w:themeFill="accent3" w:themeFillTint="99"/>
            <w:vAlign w:val="center"/>
            <w:hideMark/>
          </w:tcPr>
          <w:p w14:paraId="009F086A"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w:t>
            </w:r>
          </w:p>
        </w:tc>
        <w:tc>
          <w:tcPr>
            <w:tcW w:w="1323" w:type="dxa"/>
            <w:tcBorders>
              <w:top w:val="nil"/>
              <w:left w:val="nil"/>
              <w:bottom w:val="single" w:sz="4" w:space="0" w:color="auto"/>
              <w:right w:val="single" w:sz="4" w:space="0" w:color="auto"/>
            </w:tcBorders>
            <w:shd w:val="clear" w:color="auto" w:fill="C2D69B" w:themeFill="accent3" w:themeFillTint="99"/>
            <w:vAlign w:val="center"/>
            <w:hideMark/>
          </w:tcPr>
          <w:p w14:paraId="701276DD"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počet</w:t>
            </w:r>
          </w:p>
        </w:tc>
        <w:tc>
          <w:tcPr>
            <w:tcW w:w="1323" w:type="dxa"/>
            <w:tcBorders>
              <w:top w:val="nil"/>
              <w:left w:val="nil"/>
              <w:bottom w:val="single" w:sz="4" w:space="0" w:color="auto"/>
              <w:right w:val="single" w:sz="4" w:space="0" w:color="auto"/>
            </w:tcBorders>
            <w:shd w:val="clear" w:color="auto" w:fill="C2D69B" w:themeFill="accent3" w:themeFillTint="99"/>
            <w:vAlign w:val="center"/>
            <w:hideMark/>
          </w:tcPr>
          <w:p w14:paraId="0F66EA82"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w:t>
            </w:r>
          </w:p>
        </w:tc>
        <w:tc>
          <w:tcPr>
            <w:tcW w:w="1199" w:type="dxa"/>
            <w:tcBorders>
              <w:top w:val="nil"/>
              <w:left w:val="nil"/>
              <w:bottom w:val="single" w:sz="4" w:space="0" w:color="auto"/>
              <w:right w:val="single" w:sz="4" w:space="0" w:color="auto"/>
            </w:tcBorders>
            <w:shd w:val="clear" w:color="auto" w:fill="C2D69B" w:themeFill="accent3" w:themeFillTint="99"/>
            <w:vAlign w:val="center"/>
            <w:hideMark/>
          </w:tcPr>
          <w:p w14:paraId="7A3F43BB"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w:t>
            </w:r>
          </w:p>
        </w:tc>
        <w:tc>
          <w:tcPr>
            <w:tcW w:w="1189" w:type="dxa"/>
            <w:tcBorders>
              <w:top w:val="nil"/>
              <w:left w:val="nil"/>
              <w:bottom w:val="single" w:sz="4" w:space="0" w:color="auto"/>
              <w:right w:val="single" w:sz="4" w:space="0" w:color="auto"/>
            </w:tcBorders>
            <w:shd w:val="clear" w:color="auto" w:fill="C2D69B" w:themeFill="accent3" w:themeFillTint="99"/>
            <w:vAlign w:val="center"/>
            <w:hideMark/>
          </w:tcPr>
          <w:p w14:paraId="68165A36"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w:t>
            </w:r>
          </w:p>
        </w:tc>
        <w:tc>
          <w:tcPr>
            <w:tcW w:w="1188" w:type="dxa"/>
            <w:tcBorders>
              <w:top w:val="nil"/>
              <w:left w:val="nil"/>
              <w:bottom w:val="single" w:sz="4" w:space="0" w:color="auto"/>
              <w:right w:val="single" w:sz="4" w:space="0" w:color="auto"/>
            </w:tcBorders>
            <w:shd w:val="clear" w:color="auto" w:fill="C2D69B" w:themeFill="accent3" w:themeFillTint="99"/>
            <w:vAlign w:val="center"/>
            <w:hideMark/>
          </w:tcPr>
          <w:p w14:paraId="3C8FBE6E" w14:textId="77777777" w:rsidR="00AA08CF" w:rsidRDefault="00AA08CF">
            <w:pPr>
              <w:jc w:val="center"/>
              <w:rPr>
                <w:rFonts w:ascii="Arial" w:hAnsi="Arial" w:cs="Arial"/>
                <w:b/>
                <w:bCs/>
                <w:color w:val="000000"/>
                <w:sz w:val="16"/>
                <w:szCs w:val="16"/>
              </w:rPr>
            </w:pPr>
            <w:r>
              <w:rPr>
                <w:rFonts w:ascii="Arial" w:hAnsi="Arial" w:cs="Arial"/>
                <w:b/>
                <w:bCs/>
                <w:color w:val="000000"/>
                <w:sz w:val="16"/>
                <w:szCs w:val="16"/>
              </w:rPr>
              <w:t>%</w:t>
            </w:r>
          </w:p>
        </w:tc>
      </w:tr>
      <w:tr w:rsidR="00AA08CF" w14:paraId="78CEBBE3" w14:textId="77777777" w:rsidTr="00123376">
        <w:trPr>
          <w:trHeight w:val="255"/>
        </w:trPr>
        <w:tc>
          <w:tcPr>
            <w:tcW w:w="1650" w:type="dxa"/>
            <w:tcBorders>
              <w:top w:val="nil"/>
              <w:left w:val="single" w:sz="4" w:space="0" w:color="auto"/>
              <w:bottom w:val="single" w:sz="4" w:space="0" w:color="auto"/>
              <w:right w:val="single" w:sz="4" w:space="0" w:color="auto"/>
            </w:tcBorders>
            <w:shd w:val="clear" w:color="000000" w:fill="EBF1DE"/>
            <w:vAlign w:val="center"/>
            <w:hideMark/>
          </w:tcPr>
          <w:p w14:paraId="3E992D60" w14:textId="77777777" w:rsidR="00AA08CF" w:rsidRDefault="00AA08CF">
            <w:pPr>
              <w:jc w:val="center"/>
              <w:rPr>
                <w:rFonts w:ascii="Arial" w:hAnsi="Arial" w:cs="Arial"/>
                <w:color w:val="000000"/>
                <w:sz w:val="16"/>
                <w:szCs w:val="16"/>
              </w:rPr>
            </w:pPr>
            <w:r>
              <w:rPr>
                <w:rFonts w:ascii="Arial" w:hAnsi="Arial" w:cs="Arial"/>
                <w:color w:val="000000"/>
                <w:sz w:val="16"/>
                <w:szCs w:val="16"/>
              </w:rPr>
              <w:t>A</w:t>
            </w:r>
          </w:p>
        </w:tc>
        <w:tc>
          <w:tcPr>
            <w:tcW w:w="1188" w:type="dxa"/>
            <w:tcBorders>
              <w:top w:val="nil"/>
              <w:left w:val="nil"/>
              <w:bottom w:val="single" w:sz="4" w:space="0" w:color="auto"/>
              <w:right w:val="single" w:sz="4" w:space="0" w:color="auto"/>
            </w:tcBorders>
            <w:shd w:val="clear" w:color="000000" w:fill="EBF1DE"/>
            <w:vAlign w:val="center"/>
            <w:hideMark/>
          </w:tcPr>
          <w:p w14:paraId="156E9DF6" w14:textId="77777777" w:rsidR="00AA08CF" w:rsidRDefault="00AA08CF">
            <w:pPr>
              <w:jc w:val="center"/>
              <w:rPr>
                <w:rFonts w:ascii="Arial" w:hAnsi="Arial" w:cs="Arial"/>
                <w:color w:val="000000"/>
                <w:sz w:val="16"/>
                <w:szCs w:val="16"/>
              </w:rPr>
            </w:pPr>
            <w:r>
              <w:rPr>
                <w:rFonts w:ascii="Arial" w:hAnsi="Arial" w:cs="Arial"/>
                <w:color w:val="000000"/>
                <w:sz w:val="16"/>
                <w:szCs w:val="16"/>
              </w:rPr>
              <w:t>B</w:t>
            </w:r>
          </w:p>
        </w:tc>
        <w:tc>
          <w:tcPr>
            <w:tcW w:w="1323" w:type="dxa"/>
            <w:tcBorders>
              <w:top w:val="nil"/>
              <w:left w:val="nil"/>
              <w:bottom w:val="single" w:sz="4" w:space="0" w:color="auto"/>
              <w:right w:val="single" w:sz="4" w:space="0" w:color="auto"/>
            </w:tcBorders>
            <w:shd w:val="clear" w:color="000000" w:fill="EBF1DE"/>
            <w:vAlign w:val="center"/>
            <w:hideMark/>
          </w:tcPr>
          <w:p w14:paraId="4FAE90ED" w14:textId="77777777" w:rsidR="00AA08CF" w:rsidRDefault="00AA08CF">
            <w:pPr>
              <w:jc w:val="center"/>
              <w:rPr>
                <w:rFonts w:ascii="Arial" w:hAnsi="Arial" w:cs="Arial"/>
                <w:color w:val="000000"/>
                <w:sz w:val="16"/>
                <w:szCs w:val="16"/>
              </w:rPr>
            </w:pPr>
            <w:r>
              <w:rPr>
                <w:rFonts w:ascii="Arial" w:hAnsi="Arial" w:cs="Arial"/>
                <w:color w:val="000000"/>
                <w:sz w:val="16"/>
                <w:szCs w:val="16"/>
              </w:rPr>
              <w:t>C</w:t>
            </w:r>
          </w:p>
        </w:tc>
        <w:tc>
          <w:tcPr>
            <w:tcW w:w="1323" w:type="dxa"/>
            <w:tcBorders>
              <w:top w:val="nil"/>
              <w:left w:val="nil"/>
              <w:bottom w:val="single" w:sz="4" w:space="0" w:color="auto"/>
              <w:right w:val="single" w:sz="4" w:space="0" w:color="auto"/>
            </w:tcBorders>
            <w:shd w:val="clear" w:color="000000" w:fill="EBF1DE"/>
            <w:vAlign w:val="center"/>
            <w:hideMark/>
          </w:tcPr>
          <w:p w14:paraId="76FAB487" w14:textId="77777777" w:rsidR="00AA08CF" w:rsidRDefault="00AA08CF">
            <w:pPr>
              <w:jc w:val="center"/>
              <w:rPr>
                <w:rFonts w:ascii="Arial" w:hAnsi="Arial" w:cs="Arial"/>
                <w:color w:val="000000"/>
                <w:sz w:val="16"/>
                <w:szCs w:val="16"/>
              </w:rPr>
            </w:pPr>
            <w:r>
              <w:rPr>
                <w:rFonts w:ascii="Arial" w:hAnsi="Arial" w:cs="Arial"/>
                <w:color w:val="000000"/>
                <w:sz w:val="16"/>
                <w:szCs w:val="16"/>
              </w:rPr>
              <w:t>D</w:t>
            </w:r>
          </w:p>
        </w:tc>
        <w:tc>
          <w:tcPr>
            <w:tcW w:w="1199" w:type="dxa"/>
            <w:tcBorders>
              <w:top w:val="nil"/>
              <w:left w:val="nil"/>
              <w:bottom w:val="single" w:sz="4" w:space="0" w:color="auto"/>
              <w:right w:val="single" w:sz="4" w:space="0" w:color="auto"/>
            </w:tcBorders>
            <w:shd w:val="clear" w:color="000000" w:fill="EBF1DE"/>
            <w:vAlign w:val="center"/>
            <w:hideMark/>
          </w:tcPr>
          <w:p w14:paraId="0AEC967B" w14:textId="77777777" w:rsidR="00AA08CF" w:rsidRDefault="00AA08CF">
            <w:pPr>
              <w:jc w:val="center"/>
              <w:rPr>
                <w:rFonts w:ascii="Arial" w:hAnsi="Arial" w:cs="Arial"/>
                <w:color w:val="000000"/>
                <w:sz w:val="16"/>
                <w:szCs w:val="16"/>
              </w:rPr>
            </w:pPr>
            <w:r>
              <w:rPr>
                <w:rFonts w:ascii="Arial" w:hAnsi="Arial" w:cs="Arial"/>
                <w:color w:val="000000"/>
                <w:sz w:val="16"/>
                <w:szCs w:val="16"/>
              </w:rPr>
              <w:t>E=D/B</w:t>
            </w:r>
          </w:p>
        </w:tc>
        <w:tc>
          <w:tcPr>
            <w:tcW w:w="1189" w:type="dxa"/>
            <w:tcBorders>
              <w:top w:val="nil"/>
              <w:left w:val="nil"/>
              <w:bottom w:val="single" w:sz="4" w:space="0" w:color="auto"/>
              <w:right w:val="single" w:sz="4" w:space="0" w:color="auto"/>
            </w:tcBorders>
            <w:shd w:val="clear" w:color="000000" w:fill="EBF1DE"/>
            <w:vAlign w:val="center"/>
            <w:hideMark/>
          </w:tcPr>
          <w:p w14:paraId="3155B4D7" w14:textId="77777777" w:rsidR="00AA08CF" w:rsidRDefault="00AA08CF">
            <w:pPr>
              <w:jc w:val="center"/>
              <w:rPr>
                <w:rFonts w:ascii="Arial" w:hAnsi="Arial" w:cs="Arial"/>
                <w:color w:val="000000"/>
                <w:sz w:val="16"/>
                <w:szCs w:val="16"/>
              </w:rPr>
            </w:pPr>
            <w:r>
              <w:rPr>
                <w:rFonts w:ascii="Arial" w:hAnsi="Arial" w:cs="Arial"/>
                <w:color w:val="000000"/>
                <w:sz w:val="16"/>
                <w:szCs w:val="16"/>
              </w:rPr>
              <w:t>F</w:t>
            </w:r>
          </w:p>
        </w:tc>
        <w:tc>
          <w:tcPr>
            <w:tcW w:w="1188" w:type="dxa"/>
            <w:tcBorders>
              <w:top w:val="nil"/>
              <w:left w:val="nil"/>
              <w:bottom w:val="single" w:sz="4" w:space="0" w:color="auto"/>
              <w:right w:val="single" w:sz="4" w:space="0" w:color="auto"/>
            </w:tcBorders>
            <w:shd w:val="clear" w:color="000000" w:fill="EBF1DE"/>
            <w:vAlign w:val="center"/>
            <w:hideMark/>
          </w:tcPr>
          <w:p w14:paraId="400772DF" w14:textId="77777777" w:rsidR="00AA08CF" w:rsidRDefault="00AA08CF">
            <w:pPr>
              <w:jc w:val="center"/>
              <w:rPr>
                <w:rFonts w:ascii="Arial" w:hAnsi="Arial" w:cs="Arial"/>
                <w:color w:val="000000"/>
                <w:sz w:val="16"/>
                <w:szCs w:val="16"/>
              </w:rPr>
            </w:pPr>
            <w:r>
              <w:rPr>
                <w:rFonts w:ascii="Arial" w:hAnsi="Arial" w:cs="Arial"/>
                <w:color w:val="000000"/>
                <w:sz w:val="16"/>
                <w:szCs w:val="16"/>
              </w:rPr>
              <w:t>G=F/B</w:t>
            </w:r>
          </w:p>
        </w:tc>
      </w:tr>
      <w:tr w:rsidR="00E65886" w14:paraId="17BE8B17" w14:textId="77777777" w:rsidTr="0008447E">
        <w:trPr>
          <w:trHeight w:val="255"/>
        </w:trPr>
        <w:tc>
          <w:tcPr>
            <w:tcW w:w="1650" w:type="dxa"/>
            <w:tcBorders>
              <w:top w:val="nil"/>
              <w:left w:val="single" w:sz="4" w:space="0" w:color="auto"/>
              <w:bottom w:val="single" w:sz="4" w:space="0" w:color="auto"/>
              <w:right w:val="single" w:sz="4" w:space="0" w:color="auto"/>
            </w:tcBorders>
            <w:shd w:val="clear" w:color="auto" w:fill="auto"/>
            <w:vAlign w:val="center"/>
            <w:hideMark/>
          </w:tcPr>
          <w:p w14:paraId="2E0ADC5E" w14:textId="77777777" w:rsidR="00E65886" w:rsidRDefault="00E65886">
            <w:pPr>
              <w:rPr>
                <w:rFonts w:ascii="Arial" w:hAnsi="Arial" w:cs="Arial"/>
                <w:color w:val="000000"/>
                <w:sz w:val="16"/>
                <w:szCs w:val="16"/>
              </w:rPr>
            </w:pPr>
            <w:r>
              <w:rPr>
                <w:rFonts w:ascii="Arial" w:hAnsi="Arial" w:cs="Arial"/>
                <w:color w:val="000000"/>
                <w:sz w:val="16"/>
                <w:szCs w:val="16"/>
              </w:rPr>
              <w:t>Bratislavský</w:t>
            </w:r>
          </w:p>
        </w:tc>
        <w:tc>
          <w:tcPr>
            <w:tcW w:w="1188" w:type="dxa"/>
            <w:tcBorders>
              <w:top w:val="nil"/>
              <w:left w:val="nil"/>
              <w:bottom w:val="single" w:sz="4" w:space="0" w:color="auto"/>
              <w:right w:val="single" w:sz="4" w:space="0" w:color="auto"/>
            </w:tcBorders>
            <w:shd w:val="clear" w:color="auto" w:fill="auto"/>
            <w:vAlign w:val="center"/>
            <w:hideMark/>
          </w:tcPr>
          <w:p w14:paraId="71B4C103" w14:textId="153D278E" w:rsidR="00E65886" w:rsidRDefault="00E65886">
            <w:pPr>
              <w:jc w:val="center"/>
              <w:rPr>
                <w:rFonts w:ascii="Arial" w:hAnsi="Arial" w:cs="Arial"/>
                <w:sz w:val="16"/>
                <w:szCs w:val="16"/>
              </w:rPr>
            </w:pPr>
            <w:r w:rsidRPr="003412C9">
              <w:rPr>
                <w:rFonts w:ascii="Arial" w:hAnsi="Arial" w:cs="Arial"/>
                <w:sz w:val="16"/>
                <w:szCs w:val="16"/>
              </w:rPr>
              <w:t>-</w:t>
            </w:r>
          </w:p>
        </w:tc>
        <w:tc>
          <w:tcPr>
            <w:tcW w:w="1323" w:type="dxa"/>
            <w:tcBorders>
              <w:top w:val="nil"/>
              <w:left w:val="nil"/>
              <w:bottom w:val="single" w:sz="4" w:space="0" w:color="auto"/>
              <w:right w:val="single" w:sz="4" w:space="0" w:color="auto"/>
            </w:tcBorders>
            <w:shd w:val="clear" w:color="auto" w:fill="auto"/>
            <w:vAlign w:val="center"/>
            <w:hideMark/>
          </w:tcPr>
          <w:p w14:paraId="3E5D7924" w14:textId="66232948" w:rsidR="00E65886" w:rsidRPr="00F56DCF" w:rsidRDefault="00E65886">
            <w:pPr>
              <w:jc w:val="center"/>
              <w:rPr>
                <w:rFonts w:ascii="Arial" w:hAnsi="Arial" w:cs="Arial"/>
                <w:color w:val="000000"/>
                <w:sz w:val="16"/>
                <w:szCs w:val="16"/>
              </w:rPr>
            </w:pPr>
            <w:r w:rsidRPr="003412C9">
              <w:rPr>
                <w:rFonts w:ascii="Arial" w:hAnsi="Arial" w:cs="Arial"/>
                <w:color w:val="000000"/>
                <w:sz w:val="16"/>
                <w:szCs w:val="16"/>
              </w:rPr>
              <w:t>0</w:t>
            </w:r>
          </w:p>
        </w:tc>
        <w:tc>
          <w:tcPr>
            <w:tcW w:w="1323" w:type="dxa"/>
            <w:tcBorders>
              <w:top w:val="nil"/>
              <w:left w:val="nil"/>
              <w:bottom w:val="single" w:sz="4" w:space="0" w:color="auto"/>
              <w:right w:val="single" w:sz="4" w:space="0" w:color="auto"/>
            </w:tcBorders>
            <w:shd w:val="clear" w:color="auto" w:fill="auto"/>
            <w:vAlign w:val="center"/>
            <w:hideMark/>
          </w:tcPr>
          <w:p w14:paraId="22FD2708" w14:textId="1A62D033" w:rsidR="00E65886" w:rsidRPr="00F56DCF" w:rsidRDefault="00E65886" w:rsidP="0008447E">
            <w:pPr>
              <w:jc w:val="center"/>
              <w:rPr>
                <w:rFonts w:ascii="Arial" w:hAnsi="Arial" w:cs="Arial"/>
                <w:color w:val="000000"/>
                <w:sz w:val="16"/>
                <w:szCs w:val="16"/>
              </w:rPr>
            </w:pPr>
            <w:r w:rsidRPr="00A31E40">
              <w:rPr>
                <w:rFonts w:ascii="Arial" w:hAnsi="Arial" w:cs="Arial"/>
                <w:color w:val="000000"/>
                <w:sz w:val="16"/>
                <w:szCs w:val="16"/>
              </w:rPr>
              <w:t>0</w:t>
            </w:r>
          </w:p>
        </w:tc>
        <w:tc>
          <w:tcPr>
            <w:tcW w:w="1199" w:type="dxa"/>
            <w:tcBorders>
              <w:top w:val="nil"/>
              <w:left w:val="nil"/>
              <w:bottom w:val="single" w:sz="4" w:space="0" w:color="auto"/>
              <w:right w:val="single" w:sz="4" w:space="0" w:color="auto"/>
            </w:tcBorders>
            <w:shd w:val="clear" w:color="auto" w:fill="auto"/>
            <w:vAlign w:val="center"/>
            <w:hideMark/>
          </w:tcPr>
          <w:p w14:paraId="64CF2649" w14:textId="364B08BC" w:rsidR="00E65886" w:rsidRDefault="00E65886">
            <w:pPr>
              <w:jc w:val="center"/>
              <w:rPr>
                <w:rFonts w:ascii="Arial" w:hAnsi="Arial" w:cs="Arial"/>
                <w:color w:val="000000"/>
                <w:sz w:val="16"/>
                <w:szCs w:val="16"/>
              </w:rPr>
            </w:pPr>
            <w:r>
              <w:rPr>
                <w:rFonts w:ascii="Arial" w:hAnsi="Arial" w:cs="Arial"/>
                <w:color w:val="000000"/>
                <w:sz w:val="16"/>
                <w:szCs w:val="16"/>
              </w:rPr>
              <w:t>-</w:t>
            </w:r>
          </w:p>
        </w:tc>
        <w:tc>
          <w:tcPr>
            <w:tcW w:w="1189" w:type="dxa"/>
            <w:tcBorders>
              <w:top w:val="nil"/>
              <w:left w:val="nil"/>
              <w:bottom w:val="single" w:sz="4" w:space="0" w:color="auto"/>
              <w:right w:val="single" w:sz="4" w:space="0" w:color="auto"/>
            </w:tcBorders>
            <w:shd w:val="clear" w:color="auto" w:fill="auto"/>
            <w:vAlign w:val="center"/>
            <w:hideMark/>
          </w:tcPr>
          <w:p w14:paraId="79FCAA30" w14:textId="1B726BF5" w:rsidR="00E65886" w:rsidRDefault="00E65886">
            <w:pPr>
              <w:jc w:val="center"/>
              <w:rPr>
                <w:rFonts w:ascii="Arial" w:hAnsi="Arial" w:cs="Arial"/>
                <w:color w:val="000000"/>
                <w:sz w:val="16"/>
                <w:szCs w:val="16"/>
              </w:rPr>
            </w:pPr>
            <w:r w:rsidRPr="00A31E40">
              <w:rPr>
                <w:rFonts w:ascii="Arial" w:hAnsi="Arial" w:cs="Arial"/>
                <w:color w:val="000000"/>
                <w:sz w:val="16"/>
                <w:szCs w:val="16"/>
              </w:rPr>
              <w:t>0</w:t>
            </w:r>
          </w:p>
        </w:tc>
        <w:tc>
          <w:tcPr>
            <w:tcW w:w="1188" w:type="dxa"/>
            <w:tcBorders>
              <w:top w:val="nil"/>
              <w:left w:val="nil"/>
              <w:bottom w:val="single" w:sz="4" w:space="0" w:color="auto"/>
              <w:right w:val="single" w:sz="4" w:space="0" w:color="auto"/>
            </w:tcBorders>
            <w:shd w:val="clear" w:color="auto" w:fill="auto"/>
            <w:vAlign w:val="center"/>
            <w:hideMark/>
          </w:tcPr>
          <w:p w14:paraId="6D19F450" w14:textId="0E5AFEA1" w:rsidR="00E65886" w:rsidRDefault="00E65886">
            <w:pPr>
              <w:jc w:val="center"/>
              <w:rPr>
                <w:rFonts w:ascii="Arial" w:hAnsi="Arial" w:cs="Arial"/>
                <w:color w:val="000000"/>
                <w:sz w:val="16"/>
                <w:szCs w:val="16"/>
              </w:rPr>
            </w:pPr>
            <w:r>
              <w:rPr>
                <w:rFonts w:ascii="Arial" w:hAnsi="Arial" w:cs="Arial"/>
                <w:color w:val="000000"/>
                <w:sz w:val="16"/>
                <w:szCs w:val="16"/>
              </w:rPr>
              <w:t>-</w:t>
            </w:r>
          </w:p>
        </w:tc>
      </w:tr>
      <w:tr w:rsidR="00E65886" w14:paraId="214988F5" w14:textId="77777777" w:rsidTr="0008447E">
        <w:trPr>
          <w:trHeight w:val="255"/>
        </w:trPr>
        <w:tc>
          <w:tcPr>
            <w:tcW w:w="1650" w:type="dxa"/>
            <w:tcBorders>
              <w:top w:val="nil"/>
              <w:left w:val="single" w:sz="4" w:space="0" w:color="auto"/>
              <w:bottom w:val="single" w:sz="4" w:space="0" w:color="auto"/>
              <w:right w:val="single" w:sz="4" w:space="0" w:color="auto"/>
            </w:tcBorders>
            <w:shd w:val="clear" w:color="auto" w:fill="auto"/>
            <w:vAlign w:val="center"/>
            <w:hideMark/>
          </w:tcPr>
          <w:p w14:paraId="03EAA5BC" w14:textId="77777777" w:rsidR="00E65886" w:rsidRDefault="00E65886">
            <w:pPr>
              <w:rPr>
                <w:rFonts w:ascii="Arial" w:hAnsi="Arial" w:cs="Arial"/>
                <w:color w:val="000000"/>
                <w:sz w:val="16"/>
                <w:szCs w:val="16"/>
              </w:rPr>
            </w:pPr>
            <w:r>
              <w:rPr>
                <w:rFonts w:ascii="Arial" w:hAnsi="Arial" w:cs="Arial"/>
                <w:color w:val="000000"/>
                <w:sz w:val="16"/>
                <w:szCs w:val="16"/>
              </w:rPr>
              <w:t>Trnavský</w:t>
            </w:r>
          </w:p>
        </w:tc>
        <w:tc>
          <w:tcPr>
            <w:tcW w:w="1188" w:type="dxa"/>
            <w:tcBorders>
              <w:top w:val="nil"/>
              <w:left w:val="nil"/>
              <w:bottom w:val="single" w:sz="4" w:space="0" w:color="auto"/>
              <w:right w:val="single" w:sz="4" w:space="0" w:color="auto"/>
            </w:tcBorders>
            <w:shd w:val="clear" w:color="auto" w:fill="auto"/>
            <w:vAlign w:val="center"/>
            <w:hideMark/>
          </w:tcPr>
          <w:p w14:paraId="5BE4CF7F" w14:textId="53E72EF1" w:rsidR="00E65886" w:rsidRDefault="00E65886">
            <w:pPr>
              <w:jc w:val="center"/>
              <w:rPr>
                <w:rFonts w:ascii="Arial" w:hAnsi="Arial" w:cs="Arial"/>
                <w:sz w:val="16"/>
                <w:szCs w:val="16"/>
              </w:rPr>
            </w:pPr>
            <w:r w:rsidRPr="003412C9">
              <w:rPr>
                <w:rFonts w:ascii="Arial" w:hAnsi="Arial" w:cs="Arial"/>
                <w:sz w:val="16"/>
                <w:szCs w:val="16"/>
              </w:rPr>
              <w:t>-</w:t>
            </w:r>
          </w:p>
        </w:tc>
        <w:tc>
          <w:tcPr>
            <w:tcW w:w="1323" w:type="dxa"/>
            <w:tcBorders>
              <w:top w:val="nil"/>
              <w:left w:val="nil"/>
              <w:bottom w:val="single" w:sz="4" w:space="0" w:color="auto"/>
              <w:right w:val="single" w:sz="4" w:space="0" w:color="auto"/>
            </w:tcBorders>
            <w:shd w:val="clear" w:color="auto" w:fill="auto"/>
            <w:vAlign w:val="center"/>
            <w:hideMark/>
          </w:tcPr>
          <w:p w14:paraId="73F92FCC" w14:textId="6700C630" w:rsidR="00E65886" w:rsidRPr="00F56DCF" w:rsidRDefault="00E65886">
            <w:pPr>
              <w:jc w:val="center"/>
              <w:rPr>
                <w:rFonts w:ascii="Arial" w:hAnsi="Arial" w:cs="Arial"/>
                <w:color w:val="000000"/>
                <w:sz w:val="16"/>
                <w:szCs w:val="16"/>
              </w:rPr>
            </w:pPr>
            <w:r w:rsidRPr="003412C9">
              <w:rPr>
                <w:rFonts w:ascii="Arial" w:hAnsi="Arial" w:cs="Arial"/>
                <w:color w:val="000000"/>
                <w:sz w:val="16"/>
                <w:szCs w:val="16"/>
              </w:rPr>
              <w:t>1</w:t>
            </w:r>
          </w:p>
        </w:tc>
        <w:tc>
          <w:tcPr>
            <w:tcW w:w="1323" w:type="dxa"/>
            <w:tcBorders>
              <w:top w:val="nil"/>
              <w:left w:val="nil"/>
              <w:bottom w:val="single" w:sz="4" w:space="0" w:color="auto"/>
              <w:right w:val="single" w:sz="4" w:space="0" w:color="auto"/>
            </w:tcBorders>
            <w:shd w:val="clear" w:color="auto" w:fill="auto"/>
            <w:vAlign w:val="center"/>
            <w:hideMark/>
          </w:tcPr>
          <w:p w14:paraId="39AB9E32" w14:textId="5BD9F38A" w:rsidR="00E65886" w:rsidRPr="00F56DCF" w:rsidRDefault="00E65886" w:rsidP="0008447E">
            <w:pPr>
              <w:jc w:val="center"/>
              <w:rPr>
                <w:rFonts w:ascii="Arial" w:hAnsi="Arial" w:cs="Arial"/>
                <w:color w:val="000000"/>
                <w:sz w:val="16"/>
                <w:szCs w:val="16"/>
              </w:rPr>
            </w:pPr>
            <w:r w:rsidRPr="00A31E40">
              <w:rPr>
                <w:rFonts w:ascii="Arial" w:hAnsi="Arial" w:cs="Arial"/>
                <w:color w:val="000000"/>
                <w:sz w:val="16"/>
                <w:szCs w:val="16"/>
              </w:rPr>
              <w:t>254 200</w:t>
            </w:r>
          </w:p>
        </w:tc>
        <w:tc>
          <w:tcPr>
            <w:tcW w:w="1199" w:type="dxa"/>
            <w:tcBorders>
              <w:top w:val="nil"/>
              <w:left w:val="nil"/>
              <w:bottom w:val="single" w:sz="4" w:space="0" w:color="auto"/>
              <w:right w:val="single" w:sz="4" w:space="0" w:color="auto"/>
            </w:tcBorders>
            <w:shd w:val="clear" w:color="auto" w:fill="auto"/>
            <w:vAlign w:val="center"/>
            <w:hideMark/>
          </w:tcPr>
          <w:p w14:paraId="07E0AC06" w14:textId="1C066E34" w:rsidR="00E65886" w:rsidRDefault="00E65886">
            <w:pPr>
              <w:jc w:val="center"/>
              <w:rPr>
                <w:rFonts w:ascii="Arial" w:hAnsi="Arial" w:cs="Arial"/>
                <w:color w:val="000000"/>
                <w:sz w:val="16"/>
                <w:szCs w:val="16"/>
              </w:rPr>
            </w:pPr>
            <w:r>
              <w:rPr>
                <w:rFonts w:ascii="Arial" w:hAnsi="Arial" w:cs="Arial"/>
                <w:color w:val="000000"/>
                <w:sz w:val="16"/>
                <w:szCs w:val="16"/>
              </w:rPr>
              <w:t>-</w:t>
            </w:r>
          </w:p>
        </w:tc>
        <w:tc>
          <w:tcPr>
            <w:tcW w:w="1189" w:type="dxa"/>
            <w:tcBorders>
              <w:top w:val="nil"/>
              <w:left w:val="nil"/>
              <w:bottom w:val="single" w:sz="4" w:space="0" w:color="auto"/>
              <w:right w:val="single" w:sz="4" w:space="0" w:color="auto"/>
            </w:tcBorders>
            <w:shd w:val="clear" w:color="auto" w:fill="auto"/>
            <w:vAlign w:val="center"/>
            <w:hideMark/>
          </w:tcPr>
          <w:p w14:paraId="51341D13" w14:textId="2DB7B8F1" w:rsidR="00E65886" w:rsidRDefault="00E65886">
            <w:pPr>
              <w:jc w:val="center"/>
              <w:rPr>
                <w:rFonts w:ascii="Arial" w:hAnsi="Arial" w:cs="Arial"/>
                <w:color w:val="000000"/>
                <w:sz w:val="16"/>
                <w:szCs w:val="16"/>
              </w:rPr>
            </w:pPr>
            <w:r w:rsidRPr="00A31E40">
              <w:rPr>
                <w:rFonts w:ascii="Arial" w:hAnsi="Arial" w:cs="Arial"/>
                <w:color w:val="000000"/>
                <w:sz w:val="16"/>
                <w:szCs w:val="16"/>
              </w:rPr>
              <w:t>254 198</w:t>
            </w:r>
          </w:p>
        </w:tc>
        <w:tc>
          <w:tcPr>
            <w:tcW w:w="1188" w:type="dxa"/>
            <w:tcBorders>
              <w:top w:val="nil"/>
              <w:left w:val="nil"/>
              <w:bottom w:val="single" w:sz="4" w:space="0" w:color="auto"/>
              <w:right w:val="single" w:sz="4" w:space="0" w:color="auto"/>
            </w:tcBorders>
            <w:shd w:val="clear" w:color="auto" w:fill="auto"/>
            <w:vAlign w:val="center"/>
            <w:hideMark/>
          </w:tcPr>
          <w:p w14:paraId="574C32E6" w14:textId="4E1B907A" w:rsidR="00E65886" w:rsidRDefault="00E65886">
            <w:pPr>
              <w:jc w:val="center"/>
              <w:rPr>
                <w:rFonts w:ascii="Arial" w:hAnsi="Arial" w:cs="Arial"/>
                <w:color w:val="000000"/>
                <w:sz w:val="16"/>
                <w:szCs w:val="16"/>
              </w:rPr>
            </w:pPr>
            <w:r>
              <w:rPr>
                <w:rFonts w:ascii="Arial" w:hAnsi="Arial" w:cs="Arial"/>
                <w:color w:val="000000"/>
                <w:sz w:val="16"/>
                <w:szCs w:val="16"/>
              </w:rPr>
              <w:t>-</w:t>
            </w:r>
          </w:p>
        </w:tc>
      </w:tr>
      <w:tr w:rsidR="00E65886" w14:paraId="382A105A" w14:textId="77777777" w:rsidTr="0008447E">
        <w:trPr>
          <w:trHeight w:val="255"/>
        </w:trPr>
        <w:tc>
          <w:tcPr>
            <w:tcW w:w="1650" w:type="dxa"/>
            <w:tcBorders>
              <w:top w:val="nil"/>
              <w:left w:val="single" w:sz="4" w:space="0" w:color="auto"/>
              <w:bottom w:val="single" w:sz="4" w:space="0" w:color="auto"/>
              <w:right w:val="single" w:sz="4" w:space="0" w:color="auto"/>
            </w:tcBorders>
            <w:shd w:val="clear" w:color="auto" w:fill="auto"/>
            <w:vAlign w:val="center"/>
            <w:hideMark/>
          </w:tcPr>
          <w:p w14:paraId="1D17EBF5" w14:textId="77777777" w:rsidR="00E65886" w:rsidRDefault="00E65886">
            <w:pPr>
              <w:rPr>
                <w:rFonts w:ascii="Arial" w:hAnsi="Arial" w:cs="Arial"/>
                <w:color w:val="000000"/>
                <w:sz w:val="16"/>
                <w:szCs w:val="16"/>
              </w:rPr>
            </w:pPr>
            <w:r>
              <w:rPr>
                <w:rFonts w:ascii="Arial" w:hAnsi="Arial" w:cs="Arial"/>
                <w:color w:val="000000"/>
                <w:sz w:val="16"/>
                <w:szCs w:val="16"/>
              </w:rPr>
              <w:t>Trenčiansky</w:t>
            </w:r>
          </w:p>
        </w:tc>
        <w:tc>
          <w:tcPr>
            <w:tcW w:w="1188" w:type="dxa"/>
            <w:tcBorders>
              <w:top w:val="nil"/>
              <w:left w:val="nil"/>
              <w:bottom w:val="single" w:sz="4" w:space="0" w:color="auto"/>
              <w:right w:val="single" w:sz="4" w:space="0" w:color="auto"/>
            </w:tcBorders>
            <w:shd w:val="clear" w:color="auto" w:fill="auto"/>
            <w:vAlign w:val="center"/>
            <w:hideMark/>
          </w:tcPr>
          <w:p w14:paraId="39C3DE63" w14:textId="12826C9E" w:rsidR="00E65886" w:rsidRDefault="00E65886">
            <w:pPr>
              <w:jc w:val="center"/>
              <w:rPr>
                <w:rFonts w:ascii="Arial" w:hAnsi="Arial" w:cs="Arial"/>
                <w:sz w:val="16"/>
                <w:szCs w:val="16"/>
              </w:rPr>
            </w:pPr>
            <w:r w:rsidRPr="003412C9">
              <w:rPr>
                <w:rFonts w:ascii="Arial" w:hAnsi="Arial" w:cs="Arial"/>
                <w:sz w:val="16"/>
                <w:szCs w:val="16"/>
              </w:rPr>
              <w:t>-</w:t>
            </w:r>
          </w:p>
        </w:tc>
        <w:tc>
          <w:tcPr>
            <w:tcW w:w="1323" w:type="dxa"/>
            <w:tcBorders>
              <w:top w:val="nil"/>
              <w:left w:val="nil"/>
              <w:bottom w:val="single" w:sz="4" w:space="0" w:color="auto"/>
              <w:right w:val="single" w:sz="4" w:space="0" w:color="auto"/>
            </w:tcBorders>
            <w:shd w:val="clear" w:color="auto" w:fill="auto"/>
            <w:vAlign w:val="center"/>
            <w:hideMark/>
          </w:tcPr>
          <w:p w14:paraId="2A374146" w14:textId="308DAA23" w:rsidR="00E65886" w:rsidRPr="00F56DCF" w:rsidRDefault="00E65886">
            <w:pPr>
              <w:jc w:val="center"/>
              <w:rPr>
                <w:rFonts w:ascii="Arial" w:hAnsi="Arial" w:cs="Arial"/>
                <w:color w:val="000000"/>
                <w:sz w:val="16"/>
                <w:szCs w:val="16"/>
              </w:rPr>
            </w:pPr>
            <w:r w:rsidRPr="003412C9">
              <w:rPr>
                <w:rFonts w:ascii="Arial" w:hAnsi="Arial" w:cs="Arial"/>
                <w:color w:val="000000"/>
                <w:sz w:val="16"/>
                <w:szCs w:val="16"/>
              </w:rPr>
              <w:t>1</w:t>
            </w:r>
          </w:p>
        </w:tc>
        <w:tc>
          <w:tcPr>
            <w:tcW w:w="1323" w:type="dxa"/>
            <w:tcBorders>
              <w:top w:val="nil"/>
              <w:left w:val="nil"/>
              <w:bottom w:val="single" w:sz="4" w:space="0" w:color="auto"/>
              <w:right w:val="single" w:sz="4" w:space="0" w:color="auto"/>
            </w:tcBorders>
            <w:shd w:val="clear" w:color="auto" w:fill="auto"/>
            <w:vAlign w:val="center"/>
            <w:hideMark/>
          </w:tcPr>
          <w:p w14:paraId="24CFF4F2" w14:textId="5360EC1E" w:rsidR="00E65886" w:rsidRPr="00F56DCF" w:rsidRDefault="00E65886" w:rsidP="0008447E">
            <w:pPr>
              <w:jc w:val="center"/>
              <w:rPr>
                <w:rFonts w:ascii="Arial" w:hAnsi="Arial" w:cs="Arial"/>
                <w:color w:val="000000"/>
                <w:sz w:val="16"/>
                <w:szCs w:val="16"/>
              </w:rPr>
            </w:pPr>
            <w:r w:rsidRPr="00A31E40">
              <w:rPr>
                <w:rFonts w:ascii="Arial" w:hAnsi="Arial" w:cs="Arial"/>
                <w:color w:val="000000"/>
                <w:sz w:val="16"/>
                <w:szCs w:val="16"/>
              </w:rPr>
              <w:t>296 064</w:t>
            </w:r>
          </w:p>
        </w:tc>
        <w:tc>
          <w:tcPr>
            <w:tcW w:w="1199" w:type="dxa"/>
            <w:tcBorders>
              <w:top w:val="nil"/>
              <w:left w:val="nil"/>
              <w:bottom w:val="single" w:sz="4" w:space="0" w:color="auto"/>
              <w:right w:val="single" w:sz="4" w:space="0" w:color="auto"/>
            </w:tcBorders>
            <w:shd w:val="clear" w:color="auto" w:fill="auto"/>
            <w:vAlign w:val="center"/>
            <w:hideMark/>
          </w:tcPr>
          <w:p w14:paraId="58F4AB93" w14:textId="2BA54F66" w:rsidR="00E65886" w:rsidRDefault="00E65886">
            <w:pPr>
              <w:jc w:val="center"/>
              <w:rPr>
                <w:rFonts w:ascii="Arial" w:hAnsi="Arial" w:cs="Arial"/>
                <w:color w:val="000000"/>
                <w:sz w:val="16"/>
                <w:szCs w:val="16"/>
              </w:rPr>
            </w:pPr>
            <w:r>
              <w:rPr>
                <w:rFonts w:ascii="Arial" w:hAnsi="Arial" w:cs="Arial"/>
                <w:color w:val="000000"/>
                <w:sz w:val="16"/>
                <w:szCs w:val="16"/>
              </w:rPr>
              <w:t>-</w:t>
            </w:r>
          </w:p>
        </w:tc>
        <w:tc>
          <w:tcPr>
            <w:tcW w:w="1189" w:type="dxa"/>
            <w:tcBorders>
              <w:top w:val="nil"/>
              <w:left w:val="nil"/>
              <w:bottom w:val="single" w:sz="4" w:space="0" w:color="auto"/>
              <w:right w:val="single" w:sz="4" w:space="0" w:color="auto"/>
            </w:tcBorders>
            <w:shd w:val="clear" w:color="auto" w:fill="auto"/>
            <w:vAlign w:val="center"/>
            <w:hideMark/>
          </w:tcPr>
          <w:p w14:paraId="3D670111" w14:textId="0EC9D679" w:rsidR="00E65886" w:rsidRDefault="00E65886">
            <w:pPr>
              <w:jc w:val="center"/>
              <w:rPr>
                <w:rFonts w:ascii="Arial" w:hAnsi="Arial" w:cs="Arial"/>
                <w:color w:val="000000"/>
                <w:sz w:val="16"/>
                <w:szCs w:val="16"/>
              </w:rPr>
            </w:pPr>
            <w:r w:rsidRPr="00A31E40">
              <w:rPr>
                <w:rFonts w:ascii="Arial" w:hAnsi="Arial" w:cs="Arial"/>
                <w:color w:val="000000"/>
                <w:sz w:val="16"/>
                <w:szCs w:val="16"/>
              </w:rPr>
              <w:t>294 430</w:t>
            </w:r>
          </w:p>
        </w:tc>
        <w:tc>
          <w:tcPr>
            <w:tcW w:w="1188" w:type="dxa"/>
            <w:tcBorders>
              <w:top w:val="nil"/>
              <w:left w:val="nil"/>
              <w:bottom w:val="single" w:sz="4" w:space="0" w:color="auto"/>
              <w:right w:val="single" w:sz="4" w:space="0" w:color="auto"/>
            </w:tcBorders>
            <w:shd w:val="clear" w:color="auto" w:fill="auto"/>
            <w:vAlign w:val="center"/>
            <w:hideMark/>
          </w:tcPr>
          <w:p w14:paraId="33A0BAC6" w14:textId="5F4469E2" w:rsidR="00E65886" w:rsidRDefault="00E65886">
            <w:pPr>
              <w:jc w:val="center"/>
              <w:rPr>
                <w:rFonts w:ascii="Arial" w:hAnsi="Arial" w:cs="Arial"/>
                <w:color w:val="000000"/>
                <w:sz w:val="16"/>
                <w:szCs w:val="16"/>
              </w:rPr>
            </w:pPr>
            <w:r>
              <w:rPr>
                <w:rFonts w:ascii="Arial" w:hAnsi="Arial" w:cs="Arial"/>
                <w:color w:val="000000"/>
                <w:sz w:val="16"/>
                <w:szCs w:val="16"/>
              </w:rPr>
              <w:t>-</w:t>
            </w:r>
          </w:p>
        </w:tc>
      </w:tr>
      <w:tr w:rsidR="00E65886" w14:paraId="7DC5C892" w14:textId="77777777" w:rsidTr="0008447E">
        <w:trPr>
          <w:trHeight w:val="255"/>
        </w:trPr>
        <w:tc>
          <w:tcPr>
            <w:tcW w:w="1650" w:type="dxa"/>
            <w:tcBorders>
              <w:top w:val="nil"/>
              <w:left w:val="single" w:sz="4" w:space="0" w:color="auto"/>
              <w:bottom w:val="single" w:sz="4" w:space="0" w:color="auto"/>
              <w:right w:val="single" w:sz="4" w:space="0" w:color="auto"/>
            </w:tcBorders>
            <w:shd w:val="clear" w:color="auto" w:fill="auto"/>
            <w:vAlign w:val="center"/>
            <w:hideMark/>
          </w:tcPr>
          <w:p w14:paraId="40C21F0B" w14:textId="77777777" w:rsidR="00E65886" w:rsidRDefault="00E65886">
            <w:pPr>
              <w:rPr>
                <w:rFonts w:ascii="Arial" w:hAnsi="Arial" w:cs="Arial"/>
                <w:color w:val="000000"/>
                <w:sz w:val="16"/>
                <w:szCs w:val="16"/>
              </w:rPr>
            </w:pPr>
            <w:r>
              <w:rPr>
                <w:rFonts w:ascii="Arial" w:hAnsi="Arial" w:cs="Arial"/>
                <w:color w:val="000000"/>
                <w:sz w:val="16"/>
                <w:szCs w:val="16"/>
              </w:rPr>
              <w:t>Nitriansky</w:t>
            </w:r>
          </w:p>
        </w:tc>
        <w:tc>
          <w:tcPr>
            <w:tcW w:w="1188" w:type="dxa"/>
            <w:tcBorders>
              <w:top w:val="nil"/>
              <w:left w:val="nil"/>
              <w:bottom w:val="single" w:sz="4" w:space="0" w:color="auto"/>
              <w:right w:val="single" w:sz="4" w:space="0" w:color="auto"/>
            </w:tcBorders>
            <w:shd w:val="clear" w:color="auto" w:fill="auto"/>
            <w:vAlign w:val="center"/>
            <w:hideMark/>
          </w:tcPr>
          <w:p w14:paraId="722DB45F" w14:textId="5E9EF2D1" w:rsidR="00E65886" w:rsidRDefault="00E65886">
            <w:pPr>
              <w:jc w:val="center"/>
              <w:rPr>
                <w:rFonts w:ascii="Arial" w:hAnsi="Arial" w:cs="Arial"/>
                <w:sz w:val="16"/>
                <w:szCs w:val="16"/>
              </w:rPr>
            </w:pPr>
            <w:r w:rsidRPr="003412C9">
              <w:rPr>
                <w:rFonts w:ascii="Arial" w:hAnsi="Arial" w:cs="Arial"/>
                <w:sz w:val="16"/>
                <w:szCs w:val="16"/>
              </w:rPr>
              <w:t>-</w:t>
            </w:r>
          </w:p>
        </w:tc>
        <w:tc>
          <w:tcPr>
            <w:tcW w:w="1323" w:type="dxa"/>
            <w:tcBorders>
              <w:top w:val="nil"/>
              <w:left w:val="nil"/>
              <w:bottom w:val="single" w:sz="4" w:space="0" w:color="auto"/>
              <w:right w:val="single" w:sz="4" w:space="0" w:color="auto"/>
            </w:tcBorders>
            <w:shd w:val="clear" w:color="auto" w:fill="auto"/>
            <w:vAlign w:val="center"/>
            <w:hideMark/>
          </w:tcPr>
          <w:p w14:paraId="5E6D965F" w14:textId="12D63576" w:rsidR="00E65886" w:rsidRPr="00F56DCF" w:rsidRDefault="00E65886">
            <w:pPr>
              <w:jc w:val="center"/>
              <w:rPr>
                <w:rFonts w:ascii="Arial" w:hAnsi="Arial" w:cs="Arial"/>
                <w:color w:val="000000"/>
                <w:sz w:val="16"/>
                <w:szCs w:val="16"/>
              </w:rPr>
            </w:pPr>
            <w:r w:rsidRPr="003412C9">
              <w:rPr>
                <w:rFonts w:ascii="Arial" w:hAnsi="Arial" w:cs="Arial"/>
                <w:color w:val="000000"/>
                <w:sz w:val="16"/>
                <w:szCs w:val="16"/>
              </w:rPr>
              <w:t>2</w:t>
            </w:r>
          </w:p>
        </w:tc>
        <w:tc>
          <w:tcPr>
            <w:tcW w:w="1323" w:type="dxa"/>
            <w:tcBorders>
              <w:top w:val="nil"/>
              <w:left w:val="nil"/>
              <w:bottom w:val="single" w:sz="4" w:space="0" w:color="auto"/>
              <w:right w:val="single" w:sz="4" w:space="0" w:color="auto"/>
            </w:tcBorders>
            <w:shd w:val="clear" w:color="auto" w:fill="auto"/>
            <w:vAlign w:val="center"/>
            <w:hideMark/>
          </w:tcPr>
          <w:p w14:paraId="2D2EB013" w14:textId="484F25D2" w:rsidR="00E65886" w:rsidRPr="00F56DCF" w:rsidRDefault="00E65886" w:rsidP="0008447E">
            <w:pPr>
              <w:jc w:val="center"/>
              <w:rPr>
                <w:rFonts w:ascii="Arial" w:hAnsi="Arial" w:cs="Arial"/>
                <w:color w:val="000000"/>
                <w:sz w:val="16"/>
                <w:szCs w:val="16"/>
              </w:rPr>
            </w:pPr>
            <w:r w:rsidRPr="00A31E40">
              <w:rPr>
                <w:rFonts w:ascii="Arial" w:hAnsi="Arial" w:cs="Arial"/>
                <w:color w:val="000000"/>
                <w:sz w:val="16"/>
                <w:szCs w:val="16"/>
              </w:rPr>
              <w:t>807 34</w:t>
            </w:r>
            <w:r w:rsidR="00A1711A">
              <w:rPr>
                <w:rFonts w:ascii="Arial" w:hAnsi="Arial" w:cs="Arial"/>
                <w:color w:val="000000"/>
                <w:sz w:val="16"/>
                <w:szCs w:val="16"/>
              </w:rPr>
              <w:t>8</w:t>
            </w:r>
          </w:p>
        </w:tc>
        <w:tc>
          <w:tcPr>
            <w:tcW w:w="1199" w:type="dxa"/>
            <w:tcBorders>
              <w:top w:val="nil"/>
              <w:left w:val="nil"/>
              <w:bottom w:val="single" w:sz="4" w:space="0" w:color="auto"/>
              <w:right w:val="single" w:sz="4" w:space="0" w:color="auto"/>
            </w:tcBorders>
            <w:shd w:val="clear" w:color="auto" w:fill="auto"/>
            <w:vAlign w:val="center"/>
            <w:hideMark/>
          </w:tcPr>
          <w:p w14:paraId="7325A284" w14:textId="75924F83" w:rsidR="00E65886" w:rsidRDefault="00E65886">
            <w:pPr>
              <w:jc w:val="center"/>
              <w:rPr>
                <w:rFonts w:ascii="Arial" w:hAnsi="Arial" w:cs="Arial"/>
                <w:color w:val="000000"/>
                <w:sz w:val="16"/>
                <w:szCs w:val="16"/>
              </w:rPr>
            </w:pPr>
            <w:r>
              <w:rPr>
                <w:rFonts w:ascii="Arial" w:hAnsi="Arial" w:cs="Arial"/>
                <w:color w:val="000000"/>
                <w:sz w:val="16"/>
                <w:szCs w:val="16"/>
              </w:rPr>
              <w:t>-</w:t>
            </w:r>
          </w:p>
        </w:tc>
        <w:tc>
          <w:tcPr>
            <w:tcW w:w="1189" w:type="dxa"/>
            <w:tcBorders>
              <w:top w:val="nil"/>
              <w:left w:val="nil"/>
              <w:bottom w:val="single" w:sz="4" w:space="0" w:color="auto"/>
              <w:right w:val="single" w:sz="4" w:space="0" w:color="auto"/>
            </w:tcBorders>
            <w:shd w:val="clear" w:color="auto" w:fill="auto"/>
            <w:vAlign w:val="center"/>
            <w:hideMark/>
          </w:tcPr>
          <w:p w14:paraId="05D88516" w14:textId="515D66E5" w:rsidR="00E65886" w:rsidRDefault="00E65886">
            <w:pPr>
              <w:jc w:val="center"/>
              <w:rPr>
                <w:rFonts w:ascii="Arial" w:hAnsi="Arial" w:cs="Arial"/>
                <w:color w:val="000000"/>
                <w:sz w:val="16"/>
                <w:szCs w:val="16"/>
              </w:rPr>
            </w:pPr>
            <w:r w:rsidRPr="00A31E40">
              <w:rPr>
                <w:rFonts w:ascii="Arial" w:hAnsi="Arial" w:cs="Arial"/>
                <w:color w:val="000000"/>
                <w:sz w:val="16"/>
                <w:szCs w:val="16"/>
              </w:rPr>
              <w:t>773 355</w:t>
            </w:r>
          </w:p>
        </w:tc>
        <w:tc>
          <w:tcPr>
            <w:tcW w:w="1188" w:type="dxa"/>
            <w:tcBorders>
              <w:top w:val="nil"/>
              <w:left w:val="nil"/>
              <w:bottom w:val="single" w:sz="4" w:space="0" w:color="auto"/>
              <w:right w:val="single" w:sz="4" w:space="0" w:color="auto"/>
            </w:tcBorders>
            <w:shd w:val="clear" w:color="auto" w:fill="auto"/>
            <w:vAlign w:val="center"/>
            <w:hideMark/>
          </w:tcPr>
          <w:p w14:paraId="5E765C74" w14:textId="1221CCE0" w:rsidR="00E65886" w:rsidRDefault="00E65886">
            <w:pPr>
              <w:jc w:val="center"/>
              <w:rPr>
                <w:rFonts w:ascii="Arial" w:hAnsi="Arial" w:cs="Arial"/>
                <w:color w:val="000000"/>
                <w:sz w:val="16"/>
                <w:szCs w:val="16"/>
              </w:rPr>
            </w:pPr>
            <w:r>
              <w:rPr>
                <w:rFonts w:ascii="Arial" w:hAnsi="Arial" w:cs="Arial"/>
                <w:color w:val="000000"/>
                <w:sz w:val="16"/>
                <w:szCs w:val="16"/>
              </w:rPr>
              <w:t>-</w:t>
            </w:r>
          </w:p>
        </w:tc>
      </w:tr>
      <w:tr w:rsidR="00E65886" w14:paraId="79476B7D" w14:textId="77777777" w:rsidTr="0008447E">
        <w:trPr>
          <w:trHeight w:val="255"/>
        </w:trPr>
        <w:tc>
          <w:tcPr>
            <w:tcW w:w="1650" w:type="dxa"/>
            <w:tcBorders>
              <w:top w:val="nil"/>
              <w:left w:val="single" w:sz="4" w:space="0" w:color="auto"/>
              <w:bottom w:val="single" w:sz="4" w:space="0" w:color="auto"/>
              <w:right w:val="single" w:sz="4" w:space="0" w:color="auto"/>
            </w:tcBorders>
            <w:shd w:val="clear" w:color="auto" w:fill="auto"/>
            <w:vAlign w:val="center"/>
            <w:hideMark/>
          </w:tcPr>
          <w:p w14:paraId="27AC819A" w14:textId="77777777" w:rsidR="00E65886" w:rsidRDefault="00E65886">
            <w:pPr>
              <w:rPr>
                <w:rFonts w:ascii="Arial" w:hAnsi="Arial" w:cs="Arial"/>
                <w:color w:val="000000"/>
                <w:sz w:val="16"/>
                <w:szCs w:val="16"/>
              </w:rPr>
            </w:pPr>
            <w:r>
              <w:rPr>
                <w:rFonts w:ascii="Arial" w:hAnsi="Arial" w:cs="Arial"/>
                <w:color w:val="000000"/>
                <w:sz w:val="16"/>
                <w:szCs w:val="16"/>
              </w:rPr>
              <w:t>Žilinský</w:t>
            </w:r>
          </w:p>
        </w:tc>
        <w:tc>
          <w:tcPr>
            <w:tcW w:w="1188" w:type="dxa"/>
            <w:tcBorders>
              <w:top w:val="nil"/>
              <w:left w:val="nil"/>
              <w:bottom w:val="single" w:sz="4" w:space="0" w:color="auto"/>
              <w:right w:val="single" w:sz="4" w:space="0" w:color="auto"/>
            </w:tcBorders>
            <w:shd w:val="clear" w:color="auto" w:fill="auto"/>
            <w:vAlign w:val="center"/>
            <w:hideMark/>
          </w:tcPr>
          <w:p w14:paraId="1FF4AE77" w14:textId="35BD78C1" w:rsidR="00E65886" w:rsidRDefault="00E65886">
            <w:pPr>
              <w:jc w:val="center"/>
              <w:rPr>
                <w:rFonts w:ascii="Arial" w:hAnsi="Arial" w:cs="Arial"/>
                <w:sz w:val="16"/>
                <w:szCs w:val="16"/>
              </w:rPr>
            </w:pPr>
            <w:r w:rsidRPr="003412C9">
              <w:rPr>
                <w:rFonts w:ascii="Arial" w:hAnsi="Arial" w:cs="Arial"/>
                <w:sz w:val="16"/>
                <w:szCs w:val="16"/>
              </w:rPr>
              <w:t>-</w:t>
            </w:r>
          </w:p>
        </w:tc>
        <w:tc>
          <w:tcPr>
            <w:tcW w:w="1323" w:type="dxa"/>
            <w:tcBorders>
              <w:top w:val="nil"/>
              <w:left w:val="nil"/>
              <w:bottom w:val="single" w:sz="4" w:space="0" w:color="auto"/>
              <w:right w:val="single" w:sz="4" w:space="0" w:color="auto"/>
            </w:tcBorders>
            <w:shd w:val="clear" w:color="auto" w:fill="auto"/>
            <w:vAlign w:val="center"/>
            <w:hideMark/>
          </w:tcPr>
          <w:p w14:paraId="08D5C395" w14:textId="40CE539D" w:rsidR="00E65886" w:rsidRPr="00F56DCF" w:rsidRDefault="00E65886">
            <w:pPr>
              <w:jc w:val="center"/>
              <w:rPr>
                <w:rFonts w:ascii="Arial" w:hAnsi="Arial" w:cs="Arial"/>
                <w:color w:val="000000"/>
                <w:sz w:val="16"/>
                <w:szCs w:val="16"/>
              </w:rPr>
            </w:pPr>
            <w:r w:rsidRPr="003412C9">
              <w:rPr>
                <w:rFonts w:ascii="Arial" w:hAnsi="Arial" w:cs="Arial"/>
                <w:color w:val="000000"/>
                <w:sz w:val="16"/>
                <w:szCs w:val="16"/>
              </w:rPr>
              <w:t>0</w:t>
            </w:r>
          </w:p>
        </w:tc>
        <w:tc>
          <w:tcPr>
            <w:tcW w:w="1323" w:type="dxa"/>
            <w:tcBorders>
              <w:top w:val="nil"/>
              <w:left w:val="nil"/>
              <w:bottom w:val="single" w:sz="4" w:space="0" w:color="auto"/>
              <w:right w:val="single" w:sz="4" w:space="0" w:color="auto"/>
            </w:tcBorders>
            <w:shd w:val="clear" w:color="auto" w:fill="auto"/>
            <w:vAlign w:val="center"/>
            <w:hideMark/>
          </w:tcPr>
          <w:p w14:paraId="0BBCCF06" w14:textId="1F6ACAD9" w:rsidR="00E65886" w:rsidRPr="00F56DCF" w:rsidRDefault="00E65886" w:rsidP="0008447E">
            <w:pPr>
              <w:jc w:val="center"/>
              <w:rPr>
                <w:rFonts w:ascii="Arial" w:hAnsi="Arial" w:cs="Arial"/>
                <w:color w:val="000000"/>
                <w:sz w:val="16"/>
                <w:szCs w:val="16"/>
              </w:rPr>
            </w:pPr>
            <w:r w:rsidRPr="00A31E40">
              <w:rPr>
                <w:rFonts w:ascii="Arial" w:hAnsi="Arial" w:cs="Arial"/>
                <w:color w:val="000000"/>
                <w:sz w:val="16"/>
                <w:szCs w:val="16"/>
              </w:rPr>
              <w:t>0</w:t>
            </w:r>
          </w:p>
        </w:tc>
        <w:tc>
          <w:tcPr>
            <w:tcW w:w="1199" w:type="dxa"/>
            <w:tcBorders>
              <w:top w:val="nil"/>
              <w:left w:val="nil"/>
              <w:bottom w:val="single" w:sz="4" w:space="0" w:color="auto"/>
              <w:right w:val="single" w:sz="4" w:space="0" w:color="auto"/>
            </w:tcBorders>
            <w:shd w:val="clear" w:color="auto" w:fill="auto"/>
            <w:vAlign w:val="center"/>
            <w:hideMark/>
          </w:tcPr>
          <w:p w14:paraId="655ECCE1" w14:textId="7E506089" w:rsidR="00E65886" w:rsidRDefault="00E65886">
            <w:pPr>
              <w:jc w:val="center"/>
              <w:rPr>
                <w:rFonts w:ascii="Arial" w:hAnsi="Arial" w:cs="Arial"/>
                <w:color w:val="000000"/>
                <w:sz w:val="16"/>
                <w:szCs w:val="16"/>
              </w:rPr>
            </w:pPr>
            <w:r>
              <w:rPr>
                <w:rFonts w:ascii="Arial" w:hAnsi="Arial" w:cs="Arial"/>
                <w:color w:val="000000"/>
                <w:sz w:val="16"/>
                <w:szCs w:val="16"/>
              </w:rPr>
              <w:t>-</w:t>
            </w:r>
          </w:p>
        </w:tc>
        <w:tc>
          <w:tcPr>
            <w:tcW w:w="1189" w:type="dxa"/>
            <w:tcBorders>
              <w:top w:val="nil"/>
              <w:left w:val="nil"/>
              <w:bottom w:val="single" w:sz="4" w:space="0" w:color="auto"/>
              <w:right w:val="single" w:sz="4" w:space="0" w:color="auto"/>
            </w:tcBorders>
            <w:shd w:val="clear" w:color="auto" w:fill="auto"/>
            <w:vAlign w:val="center"/>
            <w:hideMark/>
          </w:tcPr>
          <w:p w14:paraId="00E6BA52" w14:textId="6B7DC1DA" w:rsidR="00E65886" w:rsidRDefault="00E65886">
            <w:pPr>
              <w:jc w:val="center"/>
              <w:rPr>
                <w:rFonts w:ascii="Arial" w:hAnsi="Arial" w:cs="Arial"/>
                <w:color w:val="000000"/>
                <w:sz w:val="16"/>
                <w:szCs w:val="16"/>
              </w:rPr>
            </w:pPr>
            <w:r w:rsidRPr="00A31E40">
              <w:rPr>
                <w:rFonts w:ascii="Arial" w:hAnsi="Arial" w:cs="Arial"/>
                <w:color w:val="000000"/>
                <w:sz w:val="16"/>
                <w:szCs w:val="16"/>
              </w:rPr>
              <w:t>0</w:t>
            </w:r>
          </w:p>
        </w:tc>
        <w:tc>
          <w:tcPr>
            <w:tcW w:w="1188" w:type="dxa"/>
            <w:tcBorders>
              <w:top w:val="nil"/>
              <w:left w:val="nil"/>
              <w:bottom w:val="single" w:sz="4" w:space="0" w:color="auto"/>
              <w:right w:val="single" w:sz="4" w:space="0" w:color="auto"/>
            </w:tcBorders>
            <w:shd w:val="clear" w:color="auto" w:fill="auto"/>
            <w:vAlign w:val="center"/>
            <w:hideMark/>
          </w:tcPr>
          <w:p w14:paraId="2E868274" w14:textId="16681622" w:rsidR="00E65886" w:rsidRDefault="00E65886">
            <w:pPr>
              <w:jc w:val="center"/>
              <w:rPr>
                <w:rFonts w:ascii="Arial" w:hAnsi="Arial" w:cs="Arial"/>
                <w:color w:val="000000"/>
                <w:sz w:val="16"/>
                <w:szCs w:val="16"/>
              </w:rPr>
            </w:pPr>
            <w:r>
              <w:rPr>
                <w:rFonts w:ascii="Arial" w:hAnsi="Arial" w:cs="Arial"/>
                <w:color w:val="000000"/>
                <w:sz w:val="16"/>
                <w:szCs w:val="16"/>
              </w:rPr>
              <w:t>-</w:t>
            </w:r>
          </w:p>
        </w:tc>
      </w:tr>
      <w:tr w:rsidR="00E65886" w14:paraId="71FA7723" w14:textId="77777777" w:rsidTr="0008447E">
        <w:trPr>
          <w:trHeight w:val="255"/>
        </w:trPr>
        <w:tc>
          <w:tcPr>
            <w:tcW w:w="1650" w:type="dxa"/>
            <w:tcBorders>
              <w:top w:val="nil"/>
              <w:left w:val="single" w:sz="4" w:space="0" w:color="auto"/>
              <w:bottom w:val="single" w:sz="4" w:space="0" w:color="auto"/>
              <w:right w:val="single" w:sz="4" w:space="0" w:color="auto"/>
            </w:tcBorders>
            <w:shd w:val="clear" w:color="auto" w:fill="auto"/>
            <w:vAlign w:val="center"/>
            <w:hideMark/>
          </w:tcPr>
          <w:p w14:paraId="43F38D76" w14:textId="77777777" w:rsidR="00E65886" w:rsidRDefault="00E65886">
            <w:pPr>
              <w:rPr>
                <w:rFonts w:ascii="Arial" w:hAnsi="Arial" w:cs="Arial"/>
                <w:color w:val="000000"/>
                <w:sz w:val="16"/>
                <w:szCs w:val="16"/>
              </w:rPr>
            </w:pPr>
            <w:r>
              <w:rPr>
                <w:rFonts w:ascii="Arial" w:hAnsi="Arial" w:cs="Arial"/>
                <w:color w:val="000000"/>
                <w:sz w:val="16"/>
                <w:szCs w:val="16"/>
              </w:rPr>
              <w:t>Banskobystrický</w:t>
            </w:r>
          </w:p>
        </w:tc>
        <w:tc>
          <w:tcPr>
            <w:tcW w:w="1188" w:type="dxa"/>
            <w:tcBorders>
              <w:top w:val="nil"/>
              <w:left w:val="nil"/>
              <w:bottom w:val="single" w:sz="4" w:space="0" w:color="auto"/>
              <w:right w:val="single" w:sz="4" w:space="0" w:color="auto"/>
            </w:tcBorders>
            <w:shd w:val="clear" w:color="auto" w:fill="auto"/>
            <w:vAlign w:val="center"/>
            <w:hideMark/>
          </w:tcPr>
          <w:p w14:paraId="7186D170" w14:textId="3225CEA0" w:rsidR="00E65886" w:rsidRDefault="00E65886">
            <w:pPr>
              <w:jc w:val="center"/>
              <w:rPr>
                <w:rFonts w:ascii="Arial" w:hAnsi="Arial" w:cs="Arial"/>
                <w:sz w:val="16"/>
                <w:szCs w:val="16"/>
              </w:rPr>
            </w:pPr>
            <w:r w:rsidRPr="003412C9">
              <w:rPr>
                <w:rFonts w:ascii="Arial" w:hAnsi="Arial" w:cs="Arial"/>
                <w:sz w:val="16"/>
                <w:szCs w:val="16"/>
              </w:rPr>
              <w:t>-</w:t>
            </w:r>
          </w:p>
        </w:tc>
        <w:tc>
          <w:tcPr>
            <w:tcW w:w="1323" w:type="dxa"/>
            <w:tcBorders>
              <w:top w:val="nil"/>
              <w:left w:val="nil"/>
              <w:bottom w:val="single" w:sz="4" w:space="0" w:color="auto"/>
              <w:right w:val="single" w:sz="4" w:space="0" w:color="auto"/>
            </w:tcBorders>
            <w:shd w:val="clear" w:color="auto" w:fill="auto"/>
            <w:vAlign w:val="center"/>
            <w:hideMark/>
          </w:tcPr>
          <w:p w14:paraId="5C1DB344" w14:textId="6F749368" w:rsidR="00E65886" w:rsidRPr="00F56DCF" w:rsidRDefault="00E65886">
            <w:pPr>
              <w:jc w:val="center"/>
              <w:rPr>
                <w:rFonts w:ascii="Arial" w:hAnsi="Arial" w:cs="Arial"/>
                <w:color w:val="000000"/>
                <w:sz w:val="16"/>
                <w:szCs w:val="16"/>
              </w:rPr>
            </w:pPr>
            <w:r w:rsidRPr="003412C9">
              <w:rPr>
                <w:rFonts w:ascii="Arial" w:hAnsi="Arial" w:cs="Arial"/>
                <w:color w:val="000000"/>
                <w:sz w:val="16"/>
                <w:szCs w:val="16"/>
              </w:rPr>
              <w:t>3</w:t>
            </w:r>
          </w:p>
        </w:tc>
        <w:tc>
          <w:tcPr>
            <w:tcW w:w="1323" w:type="dxa"/>
            <w:tcBorders>
              <w:top w:val="nil"/>
              <w:left w:val="nil"/>
              <w:bottom w:val="single" w:sz="4" w:space="0" w:color="auto"/>
              <w:right w:val="single" w:sz="4" w:space="0" w:color="auto"/>
            </w:tcBorders>
            <w:shd w:val="clear" w:color="auto" w:fill="auto"/>
            <w:vAlign w:val="center"/>
            <w:hideMark/>
          </w:tcPr>
          <w:p w14:paraId="7A732206" w14:textId="5EF4AD57" w:rsidR="00E65886" w:rsidRPr="00F56DCF" w:rsidRDefault="00E65886" w:rsidP="0008447E">
            <w:pPr>
              <w:jc w:val="center"/>
              <w:rPr>
                <w:rFonts w:ascii="Arial" w:hAnsi="Arial" w:cs="Arial"/>
                <w:color w:val="000000"/>
                <w:sz w:val="16"/>
                <w:szCs w:val="16"/>
              </w:rPr>
            </w:pPr>
            <w:r w:rsidRPr="00A31E40">
              <w:rPr>
                <w:rFonts w:ascii="Arial" w:hAnsi="Arial" w:cs="Arial"/>
                <w:color w:val="000000"/>
                <w:sz w:val="16"/>
                <w:szCs w:val="16"/>
              </w:rPr>
              <w:t>1 546 17</w:t>
            </w:r>
            <w:r w:rsidR="00A1711A">
              <w:rPr>
                <w:rFonts w:ascii="Arial" w:hAnsi="Arial" w:cs="Arial"/>
                <w:color w:val="000000"/>
                <w:sz w:val="16"/>
                <w:szCs w:val="16"/>
              </w:rPr>
              <w:t>7</w:t>
            </w:r>
          </w:p>
        </w:tc>
        <w:tc>
          <w:tcPr>
            <w:tcW w:w="1199" w:type="dxa"/>
            <w:tcBorders>
              <w:top w:val="nil"/>
              <w:left w:val="nil"/>
              <w:bottom w:val="single" w:sz="4" w:space="0" w:color="auto"/>
              <w:right w:val="single" w:sz="4" w:space="0" w:color="auto"/>
            </w:tcBorders>
            <w:shd w:val="clear" w:color="auto" w:fill="auto"/>
            <w:vAlign w:val="center"/>
            <w:hideMark/>
          </w:tcPr>
          <w:p w14:paraId="2DED36B8" w14:textId="7367D9CA" w:rsidR="00E65886" w:rsidRDefault="00E65886">
            <w:pPr>
              <w:jc w:val="center"/>
              <w:rPr>
                <w:rFonts w:ascii="Arial" w:hAnsi="Arial" w:cs="Arial"/>
                <w:color w:val="000000"/>
                <w:sz w:val="16"/>
                <w:szCs w:val="16"/>
              </w:rPr>
            </w:pPr>
            <w:r>
              <w:rPr>
                <w:rFonts w:ascii="Arial" w:hAnsi="Arial" w:cs="Arial"/>
                <w:color w:val="000000"/>
                <w:sz w:val="16"/>
                <w:szCs w:val="16"/>
              </w:rPr>
              <w:t>-</w:t>
            </w:r>
          </w:p>
        </w:tc>
        <w:tc>
          <w:tcPr>
            <w:tcW w:w="1189" w:type="dxa"/>
            <w:tcBorders>
              <w:top w:val="nil"/>
              <w:left w:val="nil"/>
              <w:bottom w:val="single" w:sz="4" w:space="0" w:color="auto"/>
              <w:right w:val="single" w:sz="4" w:space="0" w:color="auto"/>
            </w:tcBorders>
            <w:shd w:val="clear" w:color="auto" w:fill="auto"/>
            <w:vAlign w:val="center"/>
            <w:hideMark/>
          </w:tcPr>
          <w:p w14:paraId="0058F21C" w14:textId="7D858BDA" w:rsidR="00E65886" w:rsidRDefault="00E65886">
            <w:pPr>
              <w:jc w:val="center"/>
              <w:rPr>
                <w:rFonts w:ascii="Arial" w:hAnsi="Arial" w:cs="Arial"/>
                <w:color w:val="000000"/>
                <w:sz w:val="16"/>
                <w:szCs w:val="16"/>
              </w:rPr>
            </w:pPr>
            <w:r w:rsidRPr="00A31E40">
              <w:rPr>
                <w:rFonts w:ascii="Arial" w:hAnsi="Arial" w:cs="Arial"/>
                <w:color w:val="000000"/>
                <w:sz w:val="16"/>
                <w:szCs w:val="16"/>
              </w:rPr>
              <w:t>1 471 111</w:t>
            </w:r>
          </w:p>
        </w:tc>
        <w:tc>
          <w:tcPr>
            <w:tcW w:w="1188" w:type="dxa"/>
            <w:tcBorders>
              <w:top w:val="nil"/>
              <w:left w:val="nil"/>
              <w:bottom w:val="single" w:sz="4" w:space="0" w:color="auto"/>
              <w:right w:val="single" w:sz="4" w:space="0" w:color="auto"/>
            </w:tcBorders>
            <w:shd w:val="clear" w:color="auto" w:fill="auto"/>
            <w:vAlign w:val="center"/>
            <w:hideMark/>
          </w:tcPr>
          <w:p w14:paraId="6F4CD7AA" w14:textId="147EA22D" w:rsidR="00E65886" w:rsidRDefault="00E65886">
            <w:pPr>
              <w:jc w:val="center"/>
              <w:rPr>
                <w:rFonts w:ascii="Arial" w:hAnsi="Arial" w:cs="Arial"/>
                <w:color w:val="000000"/>
                <w:sz w:val="16"/>
                <w:szCs w:val="16"/>
              </w:rPr>
            </w:pPr>
            <w:r>
              <w:rPr>
                <w:rFonts w:ascii="Arial" w:hAnsi="Arial" w:cs="Arial"/>
                <w:color w:val="000000"/>
                <w:sz w:val="16"/>
                <w:szCs w:val="16"/>
              </w:rPr>
              <w:t>-</w:t>
            </w:r>
          </w:p>
        </w:tc>
      </w:tr>
      <w:tr w:rsidR="00E65886" w14:paraId="4F50DDEA" w14:textId="77777777" w:rsidTr="0008447E">
        <w:trPr>
          <w:trHeight w:val="255"/>
        </w:trPr>
        <w:tc>
          <w:tcPr>
            <w:tcW w:w="1650" w:type="dxa"/>
            <w:tcBorders>
              <w:top w:val="nil"/>
              <w:left w:val="single" w:sz="4" w:space="0" w:color="auto"/>
              <w:bottom w:val="single" w:sz="4" w:space="0" w:color="auto"/>
              <w:right w:val="single" w:sz="4" w:space="0" w:color="auto"/>
            </w:tcBorders>
            <w:shd w:val="clear" w:color="auto" w:fill="auto"/>
            <w:vAlign w:val="center"/>
            <w:hideMark/>
          </w:tcPr>
          <w:p w14:paraId="30B974F9" w14:textId="77777777" w:rsidR="00E65886" w:rsidRDefault="00E65886">
            <w:pPr>
              <w:rPr>
                <w:rFonts w:ascii="Arial" w:hAnsi="Arial" w:cs="Arial"/>
                <w:color w:val="000000"/>
                <w:sz w:val="16"/>
                <w:szCs w:val="16"/>
              </w:rPr>
            </w:pPr>
            <w:r>
              <w:rPr>
                <w:rFonts w:ascii="Arial" w:hAnsi="Arial" w:cs="Arial"/>
                <w:color w:val="000000"/>
                <w:sz w:val="16"/>
                <w:szCs w:val="16"/>
              </w:rPr>
              <w:t>Prešovský</w:t>
            </w:r>
          </w:p>
        </w:tc>
        <w:tc>
          <w:tcPr>
            <w:tcW w:w="1188" w:type="dxa"/>
            <w:tcBorders>
              <w:top w:val="nil"/>
              <w:left w:val="nil"/>
              <w:bottom w:val="single" w:sz="4" w:space="0" w:color="auto"/>
              <w:right w:val="single" w:sz="4" w:space="0" w:color="auto"/>
            </w:tcBorders>
            <w:shd w:val="clear" w:color="auto" w:fill="auto"/>
            <w:vAlign w:val="center"/>
            <w:hideMark/>
          </w:tcPr>
          <w:p w14:paraId="55C946A7" w14:textId="5920581C" w:rsidR="00E65886" w:rsidRDefault="00E65886">
            <w:pPr>
              <w:jc w:val="center"/>
              <w:rPr>
                <w:rFonts w:ascii="Arial" w:hAnsi="Arial" w:cs="Arial"/>
                <w:sz w:val="16"/>
                <w:szCs w:val="16"/>
              </w:rPr>
            </w:pPr>
            <w:r w:rsidRPr="003412C9">
              <w:rPr>
                <w:rFonts w:ascii="Arial" w:hAnsi="Arial" w:cs="Arial"/>
                <w:sz w:val="16"/>
                <w:szCs w:val="16"/>
              </w:rPr>
              <w:t>-</w:t>
            </w:r>
          </w:p>
        </w:tc>
        <w:tc>
          <w:tcPr>
            <w:tcW w:w="1323" w:type="dxa"/>
            <w:tcBorders>
              <w:top w:val="nil"/>
              <w:left w:val="nil"/>
              <w:bottom w:val="single" w:sz="4" w:space="0" w:color="auto"/>
              <w:right w:val="single" w:sz="4" w:space="0" w:color="auto"/>
            </w:tcBorders>
            <w:shd w:val="clear" w:color="auto" w:fill="auto"/>
            <w:vAlign w:val="center"/>
            <w:hideMark/>
          </w:tcPr>
          <w:p w14:paraId="25A85879" w14:textId="48E11A1D" w:rsidR="00E65886" w:rsidRPr="00F56DCF" w:rsidRDefault="00E65886">
            <w:pPr>
              <w:jc w:val="center"/>
              <w:rPr>
                <w:rFonts w:ascii="Arial" w:hAnsi="Arial" w:cs="Arial"/>
                <w:color w:val="000000"/>
                <w:sz w:val="16"/>
                <w:szCs w:val="16"/>
              </w:rPr>
            </w:pPr>
            <w:r w:rsidRPr="003412C9">
              <w:rPr>
                <w:rFonts w:ascii="Arial" w:hAnsi="Arial" w:cs="Arial"/>
                <w:color w:val="000000"/>
                <w:sz w:val="16"/>
                <w:szCs w:val="16"/>
              </w:rPr>
              <w:t>7</w:t>
            </w:r>
          </w:p>
        </w:tc>
        <w:tc>
          <w:tcPr>
            <w:tcW w:w="1323" w:type="dxa"/>
            <w:tcBorders>
              <w:top w:val="nil"/>
              <w:left w:val="nil"/>
              <w:bottom w:val="single" w:sz="4" w:space="0" w:color="auto"/>
              <w:right w:val="single" w:sz="4" w:space="0" w:color="auto"/>
            </w:tcBorders>
            <w:shd w:val="clear" w:color="auto" w:fill="auto"/>
            <w:vAlign w:val="center"/>
            <w:hideMark/>
          </w:tcPr>
          <w:p w14:paraId="4656F1B3" w14:textId="6BAAB985" w:rsidR="00E65886" w:rsidRPr="00F56DCF" w:rsidRDefault="00E65886" w:rsidP="0008447E">
            <w:pPr>
              <w:jc w:val="center"/>
              <w:rPr>
                <w:rFonts w:ascii="Arial" w:hAnsi="Arial" w:cs="Arial"/>
                <w:color w:val="000000"/>
                <w:sz w:val="16"/>
                <w:szCs w:val="16"/>
              </w:rPr>
            </w:pPr>
            <w:r w:rsidRPr="00A31E40">
              <w:rPr>
                <w:rFonts w:ascii="Arial" w:hAnsi="Arial" w:cs="Arial"/>
                <w:color w:val="000000"/>
                <w:sz w:val="16"/>
                <w:szCs w:val="16"/>
              </w:rPr>
              <w:t>2 843 87</w:t>
            </w:r>
            <w:r w:rsidR="00A1711A">
              <w:rPr>
                <w:rFonts w:ascii="Arial" w:hAnsi="Arial" w:cs="Arial"/>
                <w:color w:val="000000"/>
                <w:sz w:val="16"/>
                <w:szCs w:val="16"/>
              </w:rPr>
              <w:t>5</w:t>
            </w:r>
          </w:p>
        </w:tc>
        <w:tc>
          <w:tcPr>
            <w:tcW w:w="1199" w:type="dxa"/>
            <w:tcBorders>
              <w:top w:val="nil"/>
              <w:left w:val="nil"/>
              <w:bottom w:val="single" w:sz="4" w:space="0" w:color="auto"/>
              <w:right w:val="single" w:sz="4" w:space="0" w:color="auto"/>
            </w:tcBorders>
            <w:shd w:val="clear" w:color="auto" w:fill="auto"/>
            <w:vAlign w:val="center"/>
            <w:hideMark/>
          </w:tcPr>
          <w:p w14:paraId="10832E68" w14:textId="4ED7EFF9" w:rsidR="00E65886" w:rsidRDefault="00E65886">
            <w:pPr>
              <w:jc w:val="center"/>
              <w:rPr>
                <w:rFonts w:ascii="Arial" w:hAnsi="Arial" w:cs="Arial"/>
                <w:color w:val="000000"/>
                <w:sz w:val="16"/>
                <w:szCs w:val="16"/>
              </w:rPr>
            </w:pPr>
            <w:r>
              <w:rPr>
                <w:rFonts w:ascii="Arial" w:hAnsi="Arial" w:cs="Arial"/>
                <w:color w:val="000000"/>
                <w:sz w:val="16"/>
                <w:szCs w:val="16"/>
              </w:rPr>
              <w:t>-</w:t>
            </w:r>
          </w:p>
        </w:tc>
        <w:tc>
          <w:tcPr>
            <w:tcW w:w="1189" w:type="dxa"/>
            <w:tcBorders>
              <w:top w:val="nil"/>
              <w:left w:val="nil"/>
              <w:bottom w:val="single" w:sz="4" w:space="0" w:color="auto"/>
              <w:right w:val="single" w:sz="4" w:space="0" w:color="auto"/>
            </w:tcBorders>
            <w:shd w:val="clear" w:color="auto" w:fill="auto"/>
            <w:vAlign w:val="center"/>
            <w:hideMark/>
          </w:tcPr>
          <w:p w14:paraId="1397FF1C" w14:textId="1AC5514B" w:rsidR="00E65886" w:rsidRDefault="00E65886">
            <w:pPr>
              <w:jc w:val="center"/>
              <w:rPr>
                <w:rFonts w:ascii="Arial" w:hAnsi="Arial" w:cs="Arial"/>
                <w:color w:val="000000"/>
                <w:sz w:val="16"/>
                <w:szCs w:val="16"/>
              </w:rPr>
            </w:pPr>
            <w:r w:rsidRPr="00A31E40">
              <w:rPr>
                <w:rFonts w:ascii="Arial" w:hAnsi="Arial" w:cs="Arial"/>
                <w:color w:val="000000"/>
                <w:sz w:val="16"/>
                <w:szCs w:val="16"/>
              </w:rPr>
              <w:t>2 601 393</w:t>
            </w:r>
          </w:p>
        </w:tc>
        <w:tc>
          <w:tcPr>
            <w:tcW w:w="1188" w:type="dxa"/>
            <w:tcBorders>
              <w:top w:val="nil"/>
              <w:left w:val="nil"/>
              <w:bottom w:val="single" w:sz="4" w:space="0" w:color="auto"/>
              <w:right w:val="single" w:sz="4" w:space="0" w:color="auto"/>
            </w:tcBorders>
            <w:shd w:val="clear" w:color="auto" w:fill="auto"/>
            <w:vAlign w:val="center"/>
            <w:hideMark/>
          </w:tcPr>
          <w:p w14:paraId="492298E8" w14:textId="4032B2F8" w:rsidR="00E65886" w:rsidRDefault="00E65886">
            <w:pPr>
              <w:jc w:val="center"/>
              <w:rPr>
                <w:rFonts w:ascii="Arial" w:hAnsi="Arial" w:cs="Arial"/>
                <w:color w:val="000000"/>
                <w:sz w:val="16"/>
                <w:szCs w:val="16"/>
              </w:rPr>
            </w:pPr>
            <w:r>
              <w:rPr>
                <w:rFonts w:ascii="Arial" w:hAnsi="Arial" w:cs="Arial"/>
                <w:color w:val="000000"/>
                <w:sz w:val="16"/>
                <w:szCs w:val="16"/>
              </w:rPr>
              <w:t>-</w:t>
            </w:r>
          </w:p>
        </w:tc>
      </w:tr>
      <w:tr w:rsidR="00E65886" w14:paraId="6B170B51" w14:textId="77777777" w:rsidTr="0008447E">
        <w:trPr>
          <w:trHeight w:val="255"/>
        </w:trPr>
        <w:tc>
          <w:tcPr>
            <w:tcW w:w="1650" w:type="dxa"/>
            <w:tcBorders>
              <w:top w:val="nil"/>
              <w:left w:val="single" w:sz="4" w:space="0" w:color="auto"/>
              <w:bottom w:val="single" w:sz="4" w:space="0" w:color="auto"/>
              <w:right w:val="single" w:sz="4" w:space="0" w:color="auto"/>
            </w:tcBorders>
            <w:shd w:val="clear" w:color="auto" w:fill="auto"/>
            <w:vAlign w:val="center"/>
            <w:hideMark/>
          </w:tcPr>
          <w:p w14:paraId="6C5E277B" w14:textId="77777777" w:rsidR="00E65886" w:rsidRDefault="00E65886">
            <w:pPr>
              <w:rPr>
                <w:rFonts w:ascii="Arial" w:hAnsi="Arial" w:cs="Arial"/>
                <w:color w:val="000000"/>
                <w:sz w:val="16"/>
                <w:szCs w:val="16"/>
              </w:rPr>
            </w:pPr>
            <w:r>
              <w:rPr>
                <w:rFonts w:ascii="Arial" w:hAnsi="Arial" w:cs="Arial"/>
                <w:color w:val="000000"/>
                <w:sz w:val="16"/>
                <w:szCs w:val="16"/>
              </w:rPr>
              <w:t>Košický</w:t>
            </w:r>
          </w:p>
        </w:tc>
        <w:tc>
          <w:tcPr>
            <w:tcW w:w="1188" w:type="dxa"/>
            <w:tcBorders>
              <w:top w:val="nil"/>
              <w:left w:val="nil"/>
              <w:bottom w:val="single" w:sz="4" w:space="0" w:color="auto"/>
              <w:right w:val="single" w:sz="4" w:space="0" w:color="auto"/>
            </w:tcBorders>
            <w:shd w:val="clear" w:color="auto" w:fill="auto"/>
            <w:vAlign w:val="center"/>
            <w:hideMark/>
          </w:tcPr>
          <w:p w14:paraId="731D92D7" w14:textId="7408A0BE" w:rsidR="00E65886" w:rsidRDefault="00E65886">
            <w:pPr>
              <w:jc w:val="center"/>
              <w:rPr>
                <w:rFonts w:ascii="Arial" w:hAnsi="Arial" w:cs="Arial"/>
                <w:sz w:val="16"/>
                <w:szCs w:val="16"/>
              </w:rPr>
            </w:pPr>
            <w:r w:rsidRPr="003412C9">
              <w:rPr>
                <w:rFonts w:ascii="Arial" w:hAnsi="Arial" w:cs="Arial"/>
                <w:sz w:val="16"/>
                <w:szCs w:val="16"/>
              </w:rPr>
              <w:t>-</w:t>
            </w:r>
          </w:p>
        </w:tc>
        <w:tc>
          <w:tcPr>
            <w:tcW w:w="1323" w:type="dxa"/>
            <w:tcBorders>
              <w:top w:val="nil"/>
              <w:left w:val="nil"/>
              <w:bottom w:val="single" w:sz="4" w:space="0" w:color="auto"/>
              <w:right w:val="single" w:sz="4" w:space="0" w:color="auto"/>
            </w:tcBorders>
            <w:shd w:val="clear" w:color="auto" w:fill="auto"/>
            <w:vAlign w:val="center"/>
            <w:hideMark/>
          </w:tcPr>
          <w:p w14:paraId="5097375E" w14:textId="0A0B9243" w:rsidR="00E65886" w:rsidRPr="00F56DCF" w:rsidRDefault="00E65886">
            <w:pPr>
              <w:jc w:val="center"/>
              <w:rPr>
                <w:rFonts w:ascii="Arial" w:hAnsi="Arial" w:cs="Arial"/>
                <w:color w:val="000000"/>
                <w:sz w:val="16"/>
                <w:szCs w:val="16"/>
              </w:rPr>
            </w:pPr>
            <w:r w:rsidRPr="003412C9">
              <w:rPr>
                <w:rFonts w:ascii="Arial" w:hAnsi="Arial" w:cs="Arial"/>
                <w:color w:val="000000"/>
                <w:sz w:val="16"/>
                <w:szCs w:val="16"/>
              </w:rPr>
              <w:t>3</w:t>
            </w:r>
          </w:p>
        </w:tc>
        <w:tc>
          <w:tcPr>
            <w:tcW w:w="1323" w:type="dxa"/>
            <w:tcBorders>
              <w:top w:val="nil"/>
              <w:left w:val="nil"/>
              <w:bottom w:val="single" w:sz="4" w:space="0" w:color="auto"/>
              <w:right w:val="single" w:sz="4" w:space="0" w:color="auto"/>
            </w:tcBorders>
            <w:shd w:val="clear" w:color="auto" w:fill="auto"/>
            <w:vAlign w:val="center"/>
            <w:hideMark/>
          </w:tcPr>
          <w:p w14:paraId="5433F554" w14:textId="0F9C1822" w:rsidR="00E65886" w:rsidRPr="00F56DCF" w:rsidRDefault="00E65886" w:rsidP="0008447E">
            <w:pPr>
              <w:jc w:val="center"/>
              <w:rPr>
                <w:rFonts w:ascii="Arial" w:hAnsi="Arial" w:cs="Arial"/>
                <w:color w:val="000000"/>
                <w:sz w:val="16"/>
                <w:szCs w:val="16"/>
              </w:rPr>
            </w:pPr>
            <w:r w:rsidRPr="00A31E40">
              <w:rPr>
                <w:rFonts w:ascii="Arial" w:hAnsi="Arial" w:cs="Arial"/>
                <w:color w:val="000000"/>
                <w:sz w:val="16"/>
                <w:szCs w:val="16"/>
              </w:rPr>
              <w:t>4 232 151</w:t>
            </w:r>
          </w:p>
        </w:tc>
        <w:tc>
          <w:tcPr>
            <w:tcW w:w="1199" w:type="dxa"/>
            <w:tcBorders>
              <w:top w:val="nil"/>
              <w:left w:val="nil"/>
              <w:bottom w:val="single" w:sz="4" w:space="0" w:color="auto"/>
              <w:right w:val="single" w:sz="4" w:space="0" w:color="auto"/>
            </w:tcBorders>
            <w:shd w:val="clear" w:color="auto" w:fill="auto"/>
            <w:vAlign w:val="center"/>
            <w:hideMark/>
          </w:tcPr>
          <w:p w14:paraId="68576BBC" w14:textId="2DC6F553" w:rsidR="00E65886" w:rsidRDefault="00E65886">
            <w:pPr>
              <w:jc w:val="center"/>
              <w:rPr>
                <w:rFonts w:ascii="Arial" w:hAnsi="Arial" w:cs="Arial"/>
                <w:color w:val="000000"/>
                <w:sz w:val="16"/>
                <w:szCs w:val="16"/>
              </w:rPr>
            </w:pPr>
            <w:r>
              <w:rPr>
                <w:rFonts w:ascii="Arial" w:hAnsi="Arial" w:cs="Arial"/>
                <w:color w:val="000000"/>
                <w:sz w:val="16"/>
                <w:szCs w:val="16"/>
              </w:rPr>
              <w:t>-</w:t>
            </w:r>
          </w:p>
        </w:tc>
        <w:tc>
          <w:tcPr>
            <w:tcW w:w="1189" w:type="dxa"/>
            <w:tcBorders>
              <w:top w:val="nil"/>
              <w:left w:val="nil"/>
              <w:bottom w:val="single" w:sz="4" w:space="0" w:color="auto"/>
              <w:right w:val="single" w:sz="4" w:space="0" w:color="auto"/>
            </w:tcBorders>
            <w:shd w:val="clear" w:color="auto" w:fill="auto"/>
            <w:vAlign w:val="center"/>
            <w:hideMark/>
          </w:tcPr>
          <w:p w14:paraId="7CCCEB6D" w14:textId="2198EF5B" w:rsidR="00E65886" w:rsidRDefault="00E65886">
            <w:pPr>
              <w:jc w:val="center"/>
              <w:rPr>
                <w:rFonts w:ascii="Arial" w:hAnsi="Arial" w:cs="Arial"/>
                <w:color w:val="000000"/>
                <w:sz w:val="16"/>
                <w:szCs w:val="16"/>
              </w:rPr>
            </w:pPr>
            <w:r w:rsidRPr="00A31E40">
              <w:rPr>
                <w:rFonts w:ascii="Arial" w:hAnsi="Arial" w:cs="Arial"/>
                <w:color w:val="000000"/>
                <w:sz w:val="16"/>
                <w:szCs w:val="16"/>
              </w:rPr>
              <w:t>4 020 439</w:t>
            </w:r>
          </w:p>
        </w:tc>
        <w:tc>
          <w:tcPr>
            <w:tcW w:w="1188" w:type="dxa"/>
            <w:tcBorders>
              <w:top w:val="nil"/>
              <w:left w:val="nil"/>
              <w:bottom w:val="single" w:sz="4" w:space="0" w:color="auto"/>
              <w:right w:val="single" w:sz="4" w:space="0" w:color="auto"/>
            </w:tcBorders>
            <w:shd w:val="clear" w:color="auto" w:fill="auto"/>
            <w:vAlign w:val="center"/>
            <w:hideMark/>
          </w:tcPr>
          <w:p w14:paraId="5C70B686" w14:textId="50E2DFE1" w:rsidR="00E65886" w:rsidRDefault="00E65886">
            <w:pPr>
              <w:jc w:val="center"/>
              <w:rPr>
                <w:rFonts w:ascii="Arial" w:hAnsi="Arial" w:cs="Arial"/>
                <w:color w:val="000000"/>
                <w:sz w:val="16"/>
                <w:szCs w:val="16"/>
              </w:rPr>
            </w:pPr>
            <w:r>
              <w:rPr>
                <w:rFonts w:ascii="Arial" w:hAnsi="Arial" w:cs="Arial"/>
                <w:color w:val="000000"/>
                <w:sz w:val="16"/>
                <w:szCs w:val="16"/>
              </w:rPr>
              <w:t>-</w:t>
            </w:r>
          </w:p>
        </w:tc>
      </w:tr>
      <w:tr w:rsidR="00E65886" w14:paraId="6EB919E3" w14:textId="77777777" w:rsidTr="0008447E">
        <w:trPr>
          <w:trHeight w:val="450"/>
        </w:trPr>
        <w:tc>
          <w:tcPr>
            <w:tcW w:w="1650" w:type="dxa"/>
            <w:tcBorders>
              <w:top w:val="nil"/>
              <w:left w:val="single" w:sz="4" w:space="0" w:color="auto"/>
              <w:bottom w:val="single" w:sz="4" w:space="0" w:color="auto"/>
              <w:right w:val="single" w:sz="4" w:space="0" w:color="auto"/>
            </w:tcBorders>
            <w:shd w:val="clear" w:color="000000" w:fill="EBF1DE"/>
            <w:vAlign w:val="center"/>
            <w:hideMark/>
          </w:tcPr>
          <w:p w14:paraId="6E1A1E0E" w14:textId="77777777" w:rsidR="00E65886" w:rsidRDefault="00E65886">
            <w:pPr>
              <w:rPr>
                <w:rFonts w:ascii="Arial" w:hAnsi="Arial" w:cs="Arial"/>
                <w:color w:val="000000"/>
                <w:sz w:val="16"/>
                <w:szCs w:val="16"/>
              </w:rPr>
            </w:pPr>
            <w:r>
              <w:rPr>
                <w:rFonts w:ascii="Arial" w:hAnsi="Arial" w:cs="Arial"/>
                <w:color w:val="000000"/>
                <w:sz w:val="16"/>
                <w:szCs w:val="16"/>
              </w:rPr>
              <w:t>Projekty nezaradené do NUTS III</w:t>
            </w:r>
          </w:p>
        </w:tc>
        <w:tc>
          <w:tcPr>
            <w:tcW w:w="1188" w:type="dxa"/>
            <w:tcBorders>
              <w:top w:val="nil"/>
              <w:left w:val="nil"/>
              <w:bottom w:val="single" w:sz="4" w:space="0" w:color="auto"/>
              <w:right w:val="single" w:sz="4" w:space="0" w:color="auto"/>
            </w:tcBorders>
            <w:shd w:val="clear" w:color="000000" w:fill="EBF1DE"/>
            <w:vAlign w:val="center"/>
            <w:hideMark/>
          </w:tcPr>
          <w:p w14:paraId="7AFFF432" w14:textId="2AB39BEC" w:rsidR="00E65886" w:rsidRDefault="00E65886">
            <w:pPr>
              <w:jc w:val="center"/>
              <w:rPr>
                <w:rFonts w:ascii="Arial" w:hAnsi="Arial" w:cs="Arial"/>
                <w:sz w:val="16"/>
                <w:szCs w:val="16"/>
              </w:rPr>
            </w:pPr>
            <w:r w:rsidRPr="003412C9">
              <w:rPr>
                <w:rFonts w:ascii="Arial" w:hAnsi="Arial" w:cs="Arial"/>
                <w:sz w:val="16"/>
                <w:szCs w:val="16"/>
              </w:rPr>
              <w:t>-</w:t>
            </w:r>
          </w:p>
        </w:tc>
        <w:tc>
          <w:tcPr>
            <w:tcW w:w="1323" w:type="dxa"/>
            <w:tcBorders>
              <w:top w:val="nil"/>
              <w:left w:val="nil"/>
              <w:bottom w:val="single" w:sz="4" w:space="0" w:color="auto"/>
              <w:right w:val="single" w:sz="4" w:space="0" w:color="auto"/>
            </w:tcBorders>
            <w:shd w:val="clear" w:color="000000" w:fill="EBF1DE"/>
            <w:vAlign w:val="center"/>
            <w:hideMark/>
          </w:tcPr>
          <w:p w14:paraId="48481EC5" w14:textId="477176C3" w:rsidR="00E65886" w:rsidRPr="00F56DCF" w:rsidRDefault="00E65886">
            <w:pPr>
              <w:jc w:val="center"/>
              <w:rPr>
                <w:rFonts w:ascii="Arial" w:hAnsi="Arial" w:cs="Arial"/>
                <w:color w:val="000000"/>
                <w:sz w:val="16"/>
                <w:szCs w:val="16"/>
              </w:rPr>
            </w:pPr>
            <w:r w:rsidRPr="003412C9">
              <w:rPr>
                <w:rFonts w:ascii="Arial" w:hAnsi="Arial" w:cs="Arial"/>
                <w:color w:val="000000"/>
                <w:sz w:val="16"/>
                <w:szCs w:val="16"/>
              </w:rPr>
              <w:t>0</w:t>
            </w:r>
          </w:p>
        </w:tc>
        <w:tc>
          <w:tcPr>
            <w:tcW w:w="1323" w:type="dxa"/>
            <w:tcBorders>
              <w:top w:val="nil"/>
              <w:left w:val="nil"/>
              <w:bottom w:val="single" w:sz="4" w:space="0" w:color="auto"/>
              <w:right w:val="single" w:sz="4" w:space="0" w:color="auto"/>
            </w:tcBorders>
            <w:shd w:val="clear" w:color="000000" w:fill="EBF1DE"/>
            <w:vAlign w:val="center"/>
            <w:hideMark/>
          </w:tcPr>
          <w:p w14:paraId="11D1481B" w14:textId="72568AB8" w:rsidR="00E65886" w:rsidRPr="00F56DCF" w:rsidRDefault="00E65886" w:rsidP="0008447E">
            <w:pPr>
              <w:jc w:val="center"/>
              <w:rPr>
                <w:rFonts w:ascii="Arial" w:hAnsi="Arial" w:cs="Arial"/>
                <w:color w:val="000000"/>
                <w:sz w:val="16"/>
                <w:szCs w:val="16"/>
              </w:rPr>
            </w:pPr>
            <w:r w:rsidRPr="00A31E40">
              <w:rPr>
                <w:rFonts w:ascii="Arial" w:hAnsi="Arial" w:cs="Arial"/>
                <w:color w:val="000000"/>
                <w:sz w:val="16"/>
                <w:szCs w:val="16"/>
              </w:rPr>
              <w:t>0</w:t>
            </w:r>
          </w:p>
        </w:tc>
        <w:tc>
          <w:tcPr>
            <w:tcW w:w="1199" w:type="dxa"/>
            <w:tcBorders>
              <w:top w:val="nil"/>
              <w:left w:val="nil"/>
              <w:bottom w:val="single" w:sz="4" w:space="0" w:color="auto"/>
              <w:right w:val="single" w:sz="4" w:space="0" w:color="auto"/>
            </w:tcBorders>
            <w:shd w:val="clear" w:color="000000" w:fill="EBF1DE"/>
            <w:vAlign w:val="center"/>
            <w:hideMark/>
          </w:tcPr>
          <w:p w14:paraId="24C7F3CD" w14:textId="20F5765D" w:rsidR="00E65886" w:rsidRDefault="00E65886">
            <w:pPr>
              <w:jc w:val="center"/>
              <w:rPr>
                <w:rFonts w:ascii="Arial" w:hAnsi="Arial" w:cs="Arial"/>
                <w:color w:val="000000"/>
                <w:sz w:val="16"/>
                <w:szCs w:val="16"/>
              </w:rPr>
            </w:pPr>
            <w:r>
              <w:rPr>
                <w:rFonts w:ascii="Arial" w:hAnsi="Arial" w:cs="Arial"/>
                <w:color w:val="000000"/>
                <w:sz w:val="16"/>
                <w:szCs w:val="16"/>
              </w:rPr>
              <w:t>-</w:t>
            </w:r>
          </w:p>
        </w:tc>
        <w:tc>
          <w:tcPr>
            <w:tcW w:w="1189" w:type="dxa"/>
            <w:tcBorders>
              <w:top w:val="nil"/>
              <w:left w:val="nil"/>
              <w:bottom w:val="single" w:sz="4" w:space="0" w:color="auto"/>
              <w:right w:val="single" w:sz="4" w:space="0" w:color="auto"/>
            </w:tcBorders>
            <w:shd w:val="clear" w:color="000000" w:fill="EBF1DE"/>
            <w:vAlign w:val="center"/>
            <w:hideMark/>
          </w:tcPr>
          <w:p w14:paraId="25E0B799" w14:textId="784D8F4F" w:rsidR="00E65886" w:rsidRDefault="00E65886">
            <w:pPr>
              <w:jc w:val="center"/>
              <w:rPr>
                <w:rFonts w:ascii="Arial" w:hAnsi="Arial" w:cs="Arial"/>
                <w:color w:val="000000"/>
                <w:sz w:val="16"/>
                <w:szCs w:val="16"/>
              </w:rPr>
            </w:pPr>
            <w:r w:rsidRPr="00A31E40">
              <w:rPr>
                <w:rFonts w:ascii="Arial" w:hAnsi="Arial" w:cs="Arial"/>
                <w:color w:val="000000"/>
                <w:sz w:val="16"/>
                <w:szCs w:val="16"/>
              </w:rPr>
              <w:t>0</w:t>
            </w:r>
          </w:p>
        </w:tc>
        <w:tc>
          <w:tcPr>
            <w:tcW w:w="1188" w:type="dxa"/>
            <w:tcBorders>
              <w:top w:val="nil"/>
              <w:left w:val="nil"/>
              <w:bottom w:val="single" w:sz="4" w:space="0" w:color="auto"/>
              <w:right w:val="single" w:sz="4" w:space="0" w:color="auto"/>
            </w:tcBorders>
            <w:shd w:val="clear" w:color="000000" w:fill="EBF1DE"/>
            <w:vAlign w:val="center"/>
            <w:hideMark/>
          </w:tcPr>
          <w:p w14:paraId="38F01DEF" w14:textId="0E76CEDB" w:rsidR="00E65886" w:rsidRDefault="00E65886">
            <w:pPr>
              <w:jc w:val="center"/>
              <w:rPr>
                <w:rFonts w:ascii="Arial" w:hAnsi="Arial" w:cs="Arial"/>
                <w:color w:val="000000"/>
                <w:sz w:val="16"/>
                <w:szCs w:val="16"/>
              </w:rPr>
            </w:pPr>
            <w:r w:rsidRPr="003412C9">
              <w:rPr>
                <w:rFonts w:ascii="Arial" w:hAnsi="Arial" w:cs="Arial"/>
                <w:color w:val="000000"/>
                <w:sz w:val="16"/>
                <w:szCs w:val="16"/>
              </w:rPr>
              <w:t>-</w:t>
            </w:r>
          </w:p>
        </w:tc>
      </w:tr>
      <w:tr w:rsidR="00E65886" w14:paraId="198A6859" w14:textId="77777777" w:rsidTr="0008447E">
        <w:trPr>
          <w:trHeight w:val="255"/>
        </w:trPr>
        <w:tc>
          <w:tcPr>
            <w:tcW w:w="1650" w:type="dxa"/>
            <w:tcBorders>
              <w:top w:val="nil"/>
              <w:left w:val="single" w:sz="4" w:space="0" w:color="auto"/>
              <w:bottom w:val="single" w:sz="4" w:space="0" w:color="auto"/>
              <w:right w:val="single" w:sz="4" w:space="0" w:color="auto"/>
            </w:tcBorders>
            <w:shd w:val="clear" w:color="000000" w:fill="EBF1DE"/>
            <w:vAlign w:val="center"/>
            <w:hideMark/>
          </w:tcPr>
          <w:p w14:paraId="4E22FEEB" w14:textId="77777777" w:rsidR="00E65886" w:rsidRDefault="00E65886">
            <w:pPr>
              <w:rPr>
                <w:rFonts w:ascii="Arial" w:hAnsi="Arial" w:cs="Arial"/>
                <w:b/>
                <w:bCs/>
                <w:color w:val="000000"/>
                <w:sz w:val="16"/>
                <w:szCs w:val="16"/>
              </w:rPr>
            </w:pPr>
            <w:r>
              <w:rPr>
                <w:rFonts w:ascii="Arial" w:hAnsi="Arial" w:cs="Arial"/>
                <w:b/>
                <w:bCs/>
                <w:color w:val="000000"/>
                <w:sz w:val="16"/>
                <w:szCs w:val="16"/>
              </w:rPr>
              <w:t>Spolu</w:t>
            </w:r>
          </w:p>
        </w:tc>
        <w:tc>
          <w:tcPr>
            <w:tcW w:w="1188" w:type="dxa"/>
            <w:tcBorders>
              <w:top w:val="nil"/>
              <w:left w:val="nil"/>
              <w:bottom w:val="single" w:sz="4" w:space="0" w:color="auto"/>
              <w:right w:val="single" w:sz="4" w:space="0" w:color="auto"/>
            </w:tcBorders>
            <w:shd w:val="clear" w:color="000000" w:fill="EBF1DE"/>
            <w:vAlign w:val="center"/>
            <w:hideMark/>
          </w:tcPr>
          <w:p w14:paraId="2F9A551D" w14:textId="7D14A1C9" w:rsidR="00E65886" w:rsidRPr="006632E9" w:rsidRDefault="00BE332E">
            <w:pPr>
              <w:jc w:val="center"/>
              <w:rPr>
                <w:rFonts w:ascii="Arial" w:hAnsi="Arial" w:cs="Arial"/>
                <w:b/>
                <w:bCs/>
                <w:color w:val="000000"/>
                <w:sz w:val="16"/>
                <w:szCs w:val="16"/>
              </w:rPr>
            </w:pPr>
            <w:r>
              <w:rPr>
                <w:rFonts w:ascii="Arial" w:hAnsi="Arial" w:cs="Arial"/>
                <w:b/>
                <w:bCs/>
                <w:color w:val="000000"/>
                <w:sz w:val="16"/>
                <w:szCs w:val="16"/>
              </w:rPr>
              <w:t>25 635 653</w:t>
            </w:r>
          </w:p>
        </w:tc>
        <w:tc>
          <w:tcPr>
            <w:tcW w:w="1323" w:type="dxa"/>
            <w:tcBorders>
              <w:top w:val="nil"/>
              <w:left w:val="nil"/>
              <w:bottom w:val="single" w:sz="4" w:space="0" w:color="auto"/>
              <w:right w:val="single" w:sz="4" w:space="0" w:color="auto"/>
            </w:tcBorders>
            <w:shd w:val="clear" w:color="000000" w:fill="EBF1DE"/>
            <w:vAlign w:val="center"/>
            <w:hideMark/>
          </w:tcPr>
          <w:p w14:paraId="4EC007E9" w14:textId="7F853C02" w:rsidR="00E65886" w:rsidRPr="006632E9" w:rsidRDefault="00E65886">
            <w:pPr>
              <w:jc w:val="center"/>
              <w:rPr>
                <w:rFonts w:ascii="Arial" w:hAnsi="Arial" w:cs="Arial"/>
                <w:b/>
                <w:bCs/>
                <w:color w:val="000000"/>
                <w:sz w:val="16"/>
                <w:szCs w:val="16"/>
              </w:rPr>
            </w:pPr>
            <w:r w:rsidRPr="006632E9">
              <w:rPr>
                <w:rFonts w:ascii="Arial" w:hAnsi="Arial" w:cs="Arial"/>
                <w:b/>
                <w:bCs/>
                <w:color w:val="000000"/>
                <w:sz w:val="16"/>
                <w:szCs w:val="16"/>
              </w:rPr>
              <w:t>17</w:t>
            </w:r>
          </w:p>
        </w:tc>
        <w:tc>
          <w:tcPr>
            <w:tcW w:w="1323" w:type="dxa"/>
            <w:tcBorders>
              <w:top w:val="nil"/>
              <w:left w:val="nil"/>
              <w:bottom w:val="single" w:sz="4" w:space="0" w:color="auto"/>
              <w:right w:val="single" w:sz="4" w:space="0" w:color="auto"/>
            </w:tcBorders>
            <w:shd w:val="clear" w:color="000000" w:fill="EBF1DE"/>
            <w:vAlign w:val="center"/>
            <w:hideMark/>
          </w:tcPr>
          <w:p w14:paraId="37FC4F56" w14:textId="348B4208" w:rsidR="00E65886" w:rsidRPr="006632E9" w:rsidRDefault="00E65886" w:rsidP="0008447E">
            <w:pPr>
              <w:jc w:val="center"/>
              <w:rPr>
                <w:rFonts w:ascii="Arial" w:hAnsi="Arial" w:cs="Arial"/>
                <w:b/>
                <w:bCs/>
                <w:color w:val="000000"/>
                <w:sz w:val="16"/>
                <w:szCs w:val="16"/>
              </w:rPr>
            </w:pPr>
            <w:r w:rsidRPr="006632E9">
              <w:rPr>
                <w:rFonts w:ascii="Arial" w:hAnsi="Arial" w:cs="Arial"/>
                <w:b/>
                <w:color w:val="000000"/>
                <w:sz w:val="16"/>
                <w:szCs w:val="16"/>
              </w:rPr>
              <w:t>9 979 815</w:t>
            </w:r>
          </w:p>
        </w:tc>
        <w:tc>
          <w:tcPr>
            <w:tcW w:w="1199" w:type="dxa"/>
            <w:tcBorders>
              <w:top w:val="nil"/>
              <w:left w:val="nil"/>
              <w:bottom w:val="single" w:sz="4" w:space="0" w:color="auto"/>
              <w:right w:val="single" w:sz="4" w:space="0" w:color="auto"/>
            </w:tcBorders>
            <w:shd w:val="clear" w:color="000000" w:fill="EBF1DE"/>
            <w:vAlign w:val="center"/>
            <w:hideMark/>
          </w:tcPr>
          <w:p w14:paraId="657C59FA" w14:textId="278BC75A" w:rsidR="00E65886" w:rsidRPr="006632E9" w:rsidRDefault="00E65886">
            <w:pPr>
              <w:jc w:val="center"/>
              <w:rPr>
                <w:rFonts w:ascii="Arial" w:hAnsi="Arial" w:cs="Arial"/>
                <w:b/>
                <w:color w:val="000000"/>
                <w:sz w:val="16"/>
                <w:szCs w:val="16"/>
              </w:rPr>
            </w:pPr>
            <w:r w:rsidRPr="006632E9">
              <w:rPr>
                <w:rFonts w:ascii="Arial" w:hAnsi="Arial" w:cs="Arial"/>
                <w:b/>
                <w:color w:val="000000"/>
                <w:sz w:val="16"/>
                <w:szCs w:val="16"/>
              </w:rPr>
              <w:t>43,51</w:t>
            </w:r>
          </w:p>
        </w:tc>
        <w:tc>
          <w:tcPr>
            <w:tcW w:w="1189" w:type="dxa"/>
            <w:tcBorders>
              <w:top w:val="nil"/>
              <w:left w:val="nil"/>
              <w:bottom w:val="single" w:sz="4" w:space="0" w:color="auto"/>
              <w:right w:val="single" w:sz="4" w:space="0" w:color="auto"/>
            </w:tcBorders>
            <w:shd w:val="clear" w:color="000000" w:fill="EBF1DE"/>
            <w:vAlign w:val="center"/>
            <w:hideMark/>
          </w:tcPr>
          <w:p w14:paraId="6E94AD73" w14:textId="081BD215" w:rsidR="00E65886" w:rsidRPr="006632E9" w:rsidRDefault="00E65886">
            <w:pPr>
              <w:jc w:val="center"/>
              <w:rPr>
                <w:rFonts w:ascii="Arial" w:hAnsi="Arial" w:cs="Arial"/>
                <w:b/>
                <w:bCs/>
                <w:color w:val="000000"/>
                <w:sz w:val="16"/>
                <w:szCs w:val="16"/>
              </w:rPr>
            </w:pPr>
            <w:r w:rsidRPr="006632E9">
              <w:rPr>
                <w:rFonts w:ascii="Arial" w:hAnsi="Arial" w:cs="Arial"/>
                <w:b/>
                <w:color w:val="000000"/>
                <w:sz w:val="16"/>
                <w:szCs w:val="16"/>
              </w:rPr>
              <w:t>9 414 927</w:t>
            </w:r>
          </w:p>
        </w:tc>
        <w:tc>
          <w:tcPr>
            <w:tcW w:w="1188" w:type="dxa"/>
            <w:tcBorders>
              <w:top w:val="nil"/>
              <w:left w:val="nil"/>
              <w:bottom w:val="single" w:sz="4" w:space="0" w:color="auto"/>
              <w:right w:val="single" w:sz="4" w:space="0" w:color="auto"/>
            </w:tcBorders>
            <w:shd w:val="clear" w:color="000000" w:fill="EBF1DE"/>
            <w:vAlign w:val="center"/>
            <w:hideMark/>
          </w:tcPr>
          <w:p w14:paraId="58CF089E" w14:textId="0EC5B422" w:rsidR="00E65886" w:rsidRPr="006632E9" w:rsidRDefault="00E65886">
            <w:pPr>
              <w:jc w:val="center"/>
              <w:rPr>
                <w:rFonts w:ascii="Arial" w:hAnsi="Arial" w:cs="Arial"/>
                <w:b/>
                <w:color w:val="000000"/>
                <w:sz w:val="16"/>
                <w:szCs w:val="16"/>
              </w:rPr>
            </w:pPr>
            <w:r w:rsidRPr="006632E9">
              <w:rPr>
                <w:rFonts w:ascii="Arial" w:hAnsi="Arial" w:cs="Arial"/>
                <w:b/>
                <w:color w:val="000000"/>
                <w:sz w:val="16"/>
                <w:szCs w:val="16"/>
              </w:rPr>
              <w:t>41,03</w:t>
            </w:r>
          </w:p>
        </w:tc>
      </w:tr>
    </w:tbl>
    <w:p w14:paraId="6DD1D4BA" w14:textId="77777777" w:rsidR="00AA08CF" w:rsidRPr="009D040C" w:rsidRDefault="00AA08CF">
      <w:pPr>
        <w:jc w:val="both"/>
        <w:rPr>
          <w:rFonts w:ascii="Arial" w:hAnsi="Arial" w:cs="Arial"/>
          <w:sz w:val="16"/>
          <w:szCs w:val="16"/>
        </w:rPr>
      </w:pPr>
      <w:r w:rsidRPr="009D040C">
        <w:rPr>
          <w:rFonts w:ascii="Arial" w:hAnsi="Arial" w:cs="Arial"/>
          <w:sz w:val="16"/>
          <w:szCs w:val="16"/>
        </w:rPr>
        <w:t>Zdroj: ITMS</w:t>
      </w:r>
    </w:p>
    <w:p w14:paraId="25DADED4" w14:textId="77777777" w:rsidR="008D3509" w:rsidRPr="00123376" w:rsidRDefault="00AA08CF" w:rsidP="00123376">
      <w:pPr>
        <w:spacing w:after="120"/>
        <w:jc w:val="both"/>
        <w:rPr>
          <w:rFonts w:ascii="Arial" w:hAnsi="Arial" w:cs="Arial"/>
          <w:sz w:val="16"/>
          <w:szCs w:val="16"/>
        </w:rPr>
      </w:pPr>
      <w:r w:rsidRPr="00123376">
        <w:rPr>
          <w:rFonts w:ascii="Arial" w:hAnsi="Arial" w:cs="Arial"/>
          <w:sz w:val="16"/>
          <w:szCs w:val="16"/>
        </w:rPr>
        <w:t xml:space="preserve">Pozn.: </w:t>
      </w:r>
      <w:r w:rsidR="00BE393E">
        <w:rPr>
          <w:rFonts w:ascii="Arial" w:hAnsi="Arial" w:cs="Arial"/>
          <w:sz w:val="16"/>
          <w:szCs w:val="16"/>
        </w:rPr>
        <w:t>MŽ</w:t>
      </w:r>
      <w:r w:rsidRPr="00123376">
        <w:rPr>
          <w:rFonts w:ascii="Arial" w:hAnsi="Arial" w:cs="Arial"/>
          <w:sz w:val="16"/>
          <w:szCs w:val="16"/>
        </w:rPr>
        <w:t>P SR neeviduje alokácie LSKxP v OP podľa územia NUTS III, preto z uvedeného dôvodu nie je možné vyplniť stĺpec B, E a G.</w:t>
      </w:r>
    </w:p>
    <w:p w14:paraId="58A33D36" w14:textId="77777777" w:rsidR="009945AB" w:rsidRDefault="009945AB" w:rsidP="009945AB">
      <w:pPr>
        <w:spacing w:before="120" w:after="120"/>
        <w:jc w:val="both"/>
        <w:rPr>
          <w:rFonts w:ascii="Arial" w:hAnsi="Arial" w:cs="Arial"/>
          <w:sz w:val="20"/>
          <w:szCs w:val="20"/>
        </w:rPr>
      </w:pPr>
      <w:r w:rsidRPr="00E21C60">
        <w:rPr>
          <w:rFonts w:ascii="Arial" w:hAnsi="Arial" w:cs="Arial"/>
          <w:sz w:val="20"/>
          <w:szCs w:val="20"/>
        </w:rPr>
        <w:t xml:space="preserve">Príklady dobrej praxe zrealizovaných projektov s nepriamym príspevkom k HP MRK sa nachádzajú v prílohe č. 10. </w:t>
      </w:r>
    </w:p>
    <w:p w14:paraId="0970246D" w14:textId="77777777" w:rsidR="002416B1" w:rsidRPr="00D641FF" w:rsidRDefault="002416B1" w:rsidP="00123376">
      <w:pPr>
        <w:pStyle w:val="Nadpis2"/>
        <w:spacing w:after="120"/>
        <w:rPr>
          <w:rFonts w:cs="Arial"/>
        </w:rPr>
      </w:pPr>
      <w:bookmarkStart w:id="102" w:name="_Toc466914550"/>
      <w:bookmarkStart w:id="103" w:name="OLE_LINK31"/>
      <w:bookmarkStart w:id="104" w:name="OLE_LINK32"/>
      <w:bookmarkStart w:id="105" w:name="OLE_LINK46"/>
      <w:bookmarkEnd w:id="100"/>
      <w:bookmarkEnd w:id="101"/>
      <w:r w:rsidRPr="00D641FF">
        <w:rPr>
          <w:rFonts w:cs="Arial"/>
        </w:rPr>
        <w:t>4.3 Horizontálna priorita Rovnosť príležitostí</w:t>
      </w:r>
      <w:bookmarkEnd w:id="102"/>
    </w:p>
    <w:p w14:paraId="2E321AFA" w14:textId="1414A625" w:rsidR="002416B1" w:rsidRPr="00E21C60" w:rsidRDefault="002416B1" w:rsidP="00123376">
      <w:pPr>
        <w:spacing w:before="120" w:after="120"/>
        <w:jc w:val="both"/>
        <w:rPr>
          <w:rFonts w:ascii="Arial" w:hAnsi="Arial" w:cs="Arial"/>
          <w:sz w:val="20"/>
          <w:szCs w:val="20"/>
        </w:rPr>
      </w:pPr>
      <w:bookmarkStart w:id="106" w:name="OLE_LINK1"/>
      <w:r w:rsidRPr="00E21C60">
        <w:rPr>
          <w:rFonts w:ascii="Arial" w:hAnsi="Arial" w:cs="Arial"/>
          <w:sz w:val="20"/>
          <w:szCs w:val="20"/>
        </w:rPr>
        <w:t xml:space="preserve">Rovnosť príležitostí </w:t>
      </w:r>
      <w:r w:rsidR="005B6E6D">
        <w:rPr>
          <w:rFonts w:ascii="Arial" w:hAnsi="Arial" w:cs="Arial"/>
          <w:sz w:val="20"/>
          <w:szCs w:val="20"/>
        </w:rPr>
        <w:t>bol</w:t>
      </w:r>
      <w:r w:rsidRPr="00E21C60">
        <w:rPr>
          <w:rFonts w:ascii="Arial" w:hAnsi="Arial" w:cs="Arial"/>
          <w:sz w:val="20"/>
          <w:szCs w:val="20"/>
        </w:rPr>
        <w:t xml:space="preserve"> súčasťou pilierov Európskej stratégie zamestnanosti a Európskej rámcovej stratégie nediskriminácie a rovnakých príležitosti pre všetkých. </w:t>
      </w:r>
      <w:r w:rsidRPr="00E21C60">
        <w:rPr>
          <w:rFonts w:ascii="Arial" w:hAnsi="Arial" w:cs="Arial"/>
          <w:bCs/>
          <w:sz w:val="20"/>
          <w:szCs w:val="20"/>
        </w:rPr>
        <w:t xml:space="preserve">Zvláštny dôraz sa </w:t>
      </w:r>
      <w:r w:rsidR="005B6E6D">
        <w:rPr>
          <w:rFonts w:ascii="Arial" w:hAnsi="Arial" w:cs="Arial"/>
          <w:bCs/>
          <w:sz w:val="20"/>
          <w:szCs w:val="20"/>
        </w:rPr>
        <w:t>kládol</w:t>
      </w:r>
      <w:r w:rsidRPr="00E21C60">
        <w:rPr>
          <w:rFonts w:ascii="Arial" w:hAnsi="Arial" w:cs="Arial"/>
          <w:bCs/>
          <w:sz w:val="20"/>
          <w:szCs w:val="20"/>
        </w:rPr>
        <w:t xml:space="preserve"> na princíp rodovej rovnosti (rovnosť príležitostí žien a mužov), ktorého naplnenie </w:t>
      </w:r>
      <w:r w:rsidR="005B6E6D">
        <w:rPr>
          <w:rFonts w:ascii="Arial" w:hAnsi="Arial" w:cs="Arial"/>
          <w:bCs/>
          <w:sz w:val="20"/>
          <w:szCs w:val="20"/>
        </w:rPr>
        <w:t>patrilo</w:t>
      </w:r>
      <w:r w:rsidRPr="00E21C60">
        <w:rPr>
          <w:rFonts w:ascii="Arial" w:hAnsi="Arial" w:cs="Arial"/>
          <w:bCs/>
          <w:sz w:val="20"/>
          <w:szCs w:val="20"/>
        </w:rPr>
        <w:t xml:space="preserve"> k základnému cieľu Európskeho spoločenstva a ako taký </w:t>
      </w:r>
      <w:r w:rsidR="005B6E6D">
        <w:rPr>
          <w:rFonts w:ascii="Arial" w:hAnsi="Arial" w:cs="Arial"/>
          <w:bCs/>
          <w:sz w:val="20"/>
          <w:szCs w:val="20"/>
        </w:rPr>
        <w:t xml:space="preserve">patril </w:t>
      </w:r>
      <w:r w:rsidRPr="00E21C60">
        <w:rPr>
          <w:rFonts w:ascii="Arial" w:hAnsi="Arial" w:cs="Arial"/>
          <w:bCs/>
          <w:sz w:val="20"/>
          <w:szCs w:val="20"/>
        </w:rPr>
        <w:t>medzi hlavné ciele štrukturálnych</w:t>
      </w:r>
      <w:r w:rsidRPr="00E21C60">
        <w:rPr>
          <w:rFonts w:ascii="Arial" w:hAnsi="Arial" w:cs="Arial"/>
          <w:sz w:val="20"/>
          <w:szCs w:val="20"/>
        </w:rPr>
        <w:t xml:space="preserve"> fondov.</w:t>
      </w:r>
    </w:p>
    <w:p w14:paraId="5341B732" w14:textId="45A44395" w:rsidR="002416B1" w:rsidRPr="00E21C60" w:rsidRDefault="002416B1" w:rsidP="00123376">
      <w:pPr>
        <w:spacing w:before="120" w:after="120"/>
        <w:jc w:val="both"/>
        <w:rPr>
          <w:rFonts w:ascii="Arial" w:hAnsi="Arial" w:cs="Arial"/>
          <w:sz w:val="20"/>
          <w:szCs w:val="20"/>
        </w:rPr>
      </w:pPr>
      <w:r w:rsidRPr="00B7245A">
        <w:rPr>
          <w:rFonts w:ascii="Arial" w:hAnsi="Arial" w:cs="Arial"/>
          <w:sz w:val="20"/>
          <w:szCs w:val="20"/>
          <w:u w:val="single"/>
        </w:rPr>
        <w:t xml:space="preserve">OP ŽP </w:t>
      </w:r>
      <w:r w:rsidR="005165D9">
        <w:rPr>
          <w:rFonts w:ascii="Arial" w:hAnsi="Arial" w:cs="Arial"/>
          <w:sz w:val="20"/>
          <w:szCs w:val="20"/>
          <w:u w:val="single"/>
        </w:rPr>
        <w:t>podporoval</w:t>
      </w:r>
      <w:r w:rsidRPr="00B7245A">
        <w:rPr>
          <w:rFonts w:ascii="Arial" w:hAnsi="Arial" w:cs="Arial"/>
          <w:sz w:val="20"/>
          <w:szCs w:val="20"/>
          <w:u w:val="single"/>
        </w:rPr>
        <w:t xml:space="preserve"> vytváranie rovnosti príležitostí</w:t>
      </w:r>
      <w:r w:rsidRPr="00123376">
        <w:rPr>
          <w:rFonts w:ascii="Arial" w:hAnsi="Arial" w:cs="Arial"/>
          <w:sz w:val="20"/>
          <w:szCs w:val="20"/>
        </w:rPr>
        <w:t xml:space="preserve"> v prístupe k environmentálnej infraštruktúre ako jednému z dôležitých faktorov ovplyvňujúcich životné podmienky a životnú úroveň obyvateľstva a k priaznivému životnému prostrediu, právo na ktoré je jedným zo základných ústavných práv občanov SR. </w:t>
      </w:r>
      <w:r w:rsidR="00050FAC" w:rsidRPr="00E21C60">
        <w:rPr>
          <w:rFonts w:ascii="Arial" w:hAnsi="Arial" w:cs="Arial"/>
          <w:sz w:val="20"/>
          <w:szCs w:val="20"/>
        </w:rPr>
        <w:t>OP ŽP</w:t>
      </w:r>
      <w:r w:rsidRPr="00E21C60">
        <w:rPr>
          <w:rFonts w:ascii="Arial" w:hAnsi="Arial" w:cs="Arial"/>
          <w:sz w:val="20"/>
          <w:szCs w:val="20"/>
        </w:rPr>
        <w:t xml:space="preserve"> p</w:t>
      </w:r>
      <w:r w:rsidR="005165D9">
        <w:rPr>
          <w:rFonts w:ascii="Arial" w:hAnsi="Arial" w:cs="Arial"/>
          <w:sz w:val="20"/>
          <w:szCs w:val="20"/>
        </w:rPr>
        <w:t>odporoval</w:t>
      </w:r>
      <w:r w:rsidRPr="00E21C60">
        <w:rPr>
          <w:rFonts w:ascii="Arial" w:hAnsi="Arial" w:cs="Arial"/>
          <w:sz w:val="20"/>
          <w:szCs w:val="20"/>
        </w:rPr>
        <w:t xml:space="preserve"> tvorbu súčastí environmentálnej infraštruktúry v oblasti ochrany vôd, ovzdušia, prírody a krajiny prostredníctvom nastavenia výberových kritérií spôsobom, ktorý </w:t>
      </w:r>
      <w:r w:rsidR="005165D9">
        <w:rPr>
          <w:rFonts w:ascii="Arial" w:hAnsi="Arial" w:cs="Arial"/>
          <w:sz w:val="20"/>
          <w:szCs w:val="20"/>
        </w:rPr>
        <w:t>zaručil</w:t>
      </w:r>
      <w:r w:rsidRPr="00E21C60">
        <w:rPr>
          <w:rFonts w:ascii="Arial" w:hAnsi="Arial" w:cs="Arial"/>
          <w:sz w:val="20"/>
          <w:szCs w:val="20"/>
        </w:rPr>
        <w:t xml:space="preserve"> podporu aktivít smerujúcich k zlepšeniu prístupu znevýhodnených osôb k výsledkom projektov. </w:t>
      </w:r>
    </w:p>
    <w:p w14:paraId="019A5B35" w14:textId="60CD953C" w:rsidR="00873F23" w:rsidRPr="009364FD" w:rsidRDefault="00873F23" w:rsidP="00BA149A">
      <w:pPr>
        <w:spacing w:before="120" w:after="120"/>
        <w:jc w:val="both"/>
        <w:rPr>
          <w:rFonts w:ascii="Arial" w:hAnsi="Arial" w:cs="Arial"/>
          <w:i/>
          <w:sz w:val="20"/>
          <w:szCs w:val="20"/>
        </w:rPr>
      </w:pPr>
      <w:r w:rsidRPr="00B22A0D">
        <w:rPr>
          <w:rFonts w:ascii="Arial" w:hAnsi="Arial" w:cs="Arial"/>
          <w:sz w:val="20"/>
          <w:szCs w:val="20"/>
        </w:rPr>
        <w:t>Koordinátorom horizontálnej priority rovnosť príležitostí</w:t>
      </w:r>
      <w:r w:rsidRPr="00873F23">
        <w:rPr>
          <w:rFonts w:ascii="Arial" w:hAnsi="Arial" w:cs="Arial"/>
          <w:sz w:val="20"/>
          <w:szCs w:val="20"/>
        </w:rPr>
        <w:t xml:space="preserve"> </w:t>
      </w:r>
      <w:r w:rsidR="005165D9">
        <w:rPr>
          <w:rFonts w:ascii="Arial" w:hAnsi="Arial" w:cs="Arial"/>
          <w:sz w:val="20"/>
          <w:szCs w:val="20"/>
        </w:rPr>
        <w:t xml:space="preserve">bolo </w:t>
      </w:r>
      <w:r w:rsidRPr="00873F23">
        <w:rPr>
          <w:rFonts w:ascii="Arial" w:hAnsi="Arial" w:cs="Arial"/>
          <w:sz w:val="20"/>
          <w:szCs w:val="20"/>
        </w:rPr>
        <w:t xml:space="preserve">Ministerstvo práce, sociálnych vecí a rodiny SR </w:t>
      </w:r>
      <w:r w:rsidR="009364FD" w:rsidRPr="009364FD">
        <w:rPr>
          <w:rFonts w:ascii="Arial" w:hAnsi="Arial" w:cs="Arial"/>
          <w:sz w:val="20"/>
          <w:szCs w:val="20"/>
        </w:rPr>
        <w:t>MPSVR SR</w:t>
      </w:r>
      <w:r w:rsidRPr="00873F23">
        <w:rPr>
          <w:rFonts w:ascii="Arial" w:hAnsi="Arial" w:cs="Arial"/>
          <w:sz w:val="20"/>
          <w:szCs w:val="20"/>
        </w:rPr>
        <w:t xml:space="preserve"> v súlade s uplatňovaním princípu partnerstva a s cieľom zabezpečenia koordinovaného postupu všetkých riadiacich orgánov pri implementácii HP RP </w:t>
      </w:r>
      <w:r w:rsidR="005165D9">
        <w:rPr>
          <w:rFonts w:ascii="Arial" w:hAnsi="Arial" w:cs="Arial"/>
          <w:sz w:val="20"/>
          <w:szCs w:val="20"/>
        </w:rPr>
        <w:t xml:space="preserve">v programovom období 2007 – 2013 </w:t>
      </w:r>
      <w:r w:rsidRPr="00873F23">
        <w:rPr>
          <w:rFonts w:ascii="Arial" w:hAnsi="Arial" w:cs="Arial"/>
          <w:sz w:val="20"/>
          <w:szCs w:val="20"/>
        </w:rPr>
        <w:t xml:space="preserve">zriadilo Pracovnú skupinu pre Horizontálny princíp rovnosť príležitostí, ktorej členom </w:t>
      </w:r>
      <w:r w:rsidR="005165D9">
        <w:rPr>
          <w:rFonts w:ascii="Arial" w:hAnsi="Arial" w:cs="Arial"/>
          <w:sz w:val="20"/>
          <w:szCs w:val="20"/>
        </w:rPr>
        <w:t>bol</w:t>
      </w:r>
      <w:r w:rsidRPr="00873F23">
        <w:rPr>
          <w:rFonts w:ascii="Arial" w:hAnsi="Arial" w:cs="Arial"/>
          <w:sz w:val="20"/>
          <w:szCs w:val="20"/>
        </w:rPr>
        <w:t xml:space="preserve"> aj zástupca RO pre OP ŽP. </w:t>
      </w:r>
      <w:r w:rsidR="009364FD" w:rsidRPr="009364FD">
        <w:rPr>
          <w:rFonts w:ascii="Arial" w:hAnsi="Arial" w:cs="Arial"/>
          <w:sz w:val="20"/>
          <w:szCs w:val="20"/>
        </w:rPr>
        <w:t>Počas programového obdobia 2007 – 2013 sa uskutočnilo niekoľko zasadnutí PS HP pre RP</w:t>
      </w:r>
      <w:r w:rsidR="009364FD">
        <w:rPr>
          <w:rFonts w:ascii="Arial" w:hAnsi="Arial" w:cs="Arial"/>
          <w:sz w:val="20"/>
          <w:szCs w:val="20"/>
        </w:rPr>
        <w:t xml:space="preserve">. </w:t>
      </w:r>
      <w:r w:rsidR="009364FD" w:rsidRPr="009364FD">
        <w:rPr>
          <w:rFonts w:ascii="Arial" w:hAnsi="Arial" w:cs="Arial"/>
          <w:sz w:val="20"/>
          <w:szCs w:val="20"/>
        </w:rPr>
        <w:t xml:space="preserve"> </w:t>
      </w:r>
      <w:r w:rsidR="00014D02">
        <w:rPr>
          <w:rFonts w:ascii="Arial" w:hAnsi="Arial" w:cs="Arial"/>
          <w:sz w:val="20"/>
          <w:szCs w:val="20"/>
        </w:rPr>
        <w:t xml:space="preserve">Implementácia HP RP sa vykonávala v súlade so </w:t>
      </w:r>
      <w:r w:rsidR="009364FD">
        <w:rPr>
          <w:rFonts w:ascii="Arial" w:hAnsi="Arial" w:cs="Arial"/>
          <w:b/>
          <w:i/>
          <w:sz w:val="20"/>
          <w:szCs w:val="20"/>
        </w:rPr>
        <w:t>Systém</w:t>
      </w:r>
      <w:r w:rsidR="00014D02">
        <w:rPr>
          <w:rFonts w:ascii="Arial" w:hAnsi="Arial" w:cs="Arial"/>
          <w:b/>
          <w:i/>
          <w:sz w:val="20"/>
          <w:szCs w:val="20"/>
        </w:rPr>
        <w:t>om</w:t>
      </w:r>
      <w:r w:rsidRPr="00873F23">
        <w:rPr>
          <w:rFonts w:ascii="Arial" w:hAnsi="Arial" w:cs="Arial"/>
          <w:b/>
          <w:i/>
          <w:sz w:val="20"/>
          <w:szCs w:val="20"/>
        </w:rPr>
        <w:t xml:space="preserve"> koordinácie a implementácie HP RP na roky 2007</w:t>
      </w:r>
      <w:r w:rsidR="009364FD">
        <w:rPr>
          <w:rFonts w:ascii="Arial" w:hAnsi="Arial" w:cs="Arial"/>
          <w:b/>
          <w:i/>
          <w:sz w:val="20"/>
          <w:szCs w:val="20"/>
        </w:rPr>
        <w:t xml:space="preserve"> </w:t>
      </w:r>
      <w:r w:rsidR="00E94F12">
        <w:rPr>
          <w:rFonts w:ascii="Arial" w:hAnsi="Arial" w:cs="Arial"/>
          <w:b/>
          <w:i/>
          <w:sz w:val="20"/>
          <w:szCs w:val="20"/>
        </w:rPr>
        <w:t>–</w:t>
      </w:r>
      <w:r w:rsidR="009364FD">
        <w:rPr>
          <w:rFonts w:ascii="Arial" w:hAnsi="Arial" w:cs="Arial"/>
          <w:b/>
          <w:i/>
          <w:sz w:val="20"/>
          <w:szCs w:val="20"/>
        </w:rPr>
        <w:t xml:space="preserve"> </w:t>
      </w:r>
      <w:r w:rsidRPr="00873F23">
        <w:rPr>
          <w:rFonts w:ascii="Arial" w:hAnsi="Arial" w:cs="Arial"/>
          <w:b/>
          <w:i/>
          <w:sz w:val="20"/>
          <w:szCs w:val="20"/>
        </w:rPr>
        <w:t>2013</w:t>
      </w:r>
      <w:r w:rsidR="00E94F12">
        <w:rPr>
          <w:rFonts w:ascii="Arial" w:hAnsi="Arial" w:cs="Arial"/>
          <w:sz w:val="20"/>
          <w:szCs w:val="20"/>
        </w:rPr>
        <w:t xml:space="preserve"> </w:t>
      </w:r>
      <w:r w:rsidR="009364FD">
        <w:rPr>
          <w:rFonts w:ascii="Arial" w:hAnsi="Arial" w:cs="Arial"/>
          <w:sz w:val="20"/>
          <w:szCs w:val="20"/>
        </w:rPr>
        <w:t>ktorý predstavoval záväzný</w:t>
      </w:r>
      <w:r w:rsidR="00722BC3" w:rsidRPr="00722BC3">
        <w:rPr>
          <w:rFonts w:ascii="Arial" w:hAnsi="Arial" w:cs="Arial"/>
          <w:sz w:val="20"/>
          <w:szCs w:val="20"/>
        </w:rPr>
        <w:t xml:space="preserve"> </w:t>
      </w:r>
      <w:r w:rsidR="009364FD">
        <w:rPr>
          <w:rFonts w:ascii="Arial" w:hAnsi="Arial" w:cs="Arial"/>
          <w:sz w:val="20"/>
          <w:szCs w:val="20"/>
        </w:rPr>
        <w:t>dokument</w:t>
      </w:r>
      <w:r w:rsidR="00722BC3" w:rsidRPr="00722BC3">
        <w:rPr>
          <w:rFonts w:ascii="Arial" w:hAnsi="Arial" w:cs="Arial"/>
          <w:sz w:val="20"/>
          <w:szCs w:val="20"/>
        </w:rPr>
        <w:t xml:space="preserve"> pre </w:t>
      </w:r>
      <w:r w:rsidR="00F81C4D">
        <w:rPr>
          <w:rFonts w:ascii="Arial" w:hAnsi="Arial" w:cs="Arial"/>
          <w:sz w:val="20"/>
          <w:szCs w:val="20"/>
        </w:rPr>
        <w:t xml:space="preserve">RO. </w:t>
      </w:r>
    </w:p>
    <w:p w14:paraId="0BA68B16" w14:textId="7AB9B0E3" w:rsidR="005165D9" w:rsidRDefault="00873F23" w:rsidP="00873F23">
      <w:pPr>
        <w:spacing w:before="120" w:after="120"/>
        <w:jc w:val="both"/>
        <w:rPr>
          <w:rFonts w:ascii="Arial" w:hAnsi="Arial" w:cs="Arial"/>
          <w:i/>
          <w:sz w:val="20"/>
          <w:szCs w:val="20"/>
        </w:rPr>
      </w:pPr>
      <w:r w:rsidRPr="00873F23">
        <w:rPr>
          <w:rFonts w:ascii="Arial" w:hAnsi="Arial" w:cs="Arial"/>
          <w:sz w:val="20"/>
          <w:szCs w:val="20"/>
        </w:rPr>
        <w:t>V roku 2015 sa uskutočnil</w:t>
      </w:r>
      <w:r w:rsidR="00586ADB">
        <w:rPr>
          <w:rFonts w:ascii="Arial" w:hAnsi="Arial" w:cs="Arial"/>
          <w:sz w:val="20"/>
          <w:szCs w:val="20"/>
        </w:rPr>
        <w:t>i</w:t>
      </w:r>
      <w:r w:rsidRPr="00873F23">
        <w:rPr>
          <w:rFonts w:ascii="Arial" w:hAnsi="Arial" w:cs="Arial"/>
          <w:sz w:val="20"/>
          <w:szCs w:val="20"/>
        </w:rPr>
        <w:t xml:space="preserve"> </w:t>
      </w:r>
      <w:r w:rsidR="00586ADB">
        <w:rPr>
          <w:rFonts w:ascii="Arial" w:hAnsi="Arial" w:cs="Arial"/>
          <w:sz w:val="20"/>
          <w:szCs w:val="20"/>
        </w:rPr>
        <w:t>dve</w:t>
      </w:r>
      <w:r w:rsidR="00586ADB" w:rsidRPr="00873F23">
        <w:rPr>
          <w:rFonts w:ascii="Arial" w:hAnsi="Arial" w:cs="Arial"/>
          <w:sz w:val="20"/>
          <w:szCs w:val="20"/>
        </w:rPr>
        <w:t xml:space="preserve"> </w:t>
      </w:r>
      <w:r w:rsidRPr="00873F23">
        <w:rPr>
          <w:rFonts w:ascii="Arial" w:hAnsi="Arial" w:cs="Arial"/>
          <w:sz w:val="20"/>
          <w:szCs w:val="20"/>
        </w:rPr>
        <w:t>zasadnuti</w:t>
      </w:r>
      <w:r w:rsidR="00586ADB">
        <w:rPr>
          <w:rFonts w:ascii="Arial" w:hAnsi="Arial" w:cs="Arial"/>
          <w:sz w:val="20"/>
          <w:szCs w:val="20"/>
        </w:rPr>
        <w:t>a Pracovnej skupiny pre HP RP 2007 -</w:t>
      </w:r>
      <w:r w:rsidR="005B63A2">
        <w:rPr>
          <w:rFonts w:ascii="Arial" w:hAnsi="Arial" w:cs="Arial"/>
          <w:sz w:val="20"/>
          <w:szCs w:val="20"/>
        </w:rPr>
        <w:t xml:space="preserve"> </w:t>
      </w:r>
      <w:r w:rsidR="00586ADB">
        <w:rPr>
          <w:rFonts w:ascii="Arial" w:hAnsi="Arial" w:cs="Arial"/>
          <w:sz w:val="20"/>
          <w:szCs w:val="20"/>
        </w:rPr>
        <w:t xml:space="preserve">2013 </w:t>
      </w:r>
      <w:r w:rsidR="005B63A2">
        <w:rPr>
          <w:rFonts w:ascii="Arial" w:hAnsi="Arial" w:cs="Arial"/>
          <w:sz w:val="20"/>
          <w:szCs w:val="20"/>
        </w:rPr>
        <w:t xml:space="preserve">a to </w:t>
      </w:r>
      <w:r w:rsidR="00586ADB">
        <w:rPr>
          <w:rFonts w:ascii="Arial" w:hAnsi="Arial" w:cs="Arial"/>
          <w:sz w:val="20"/>
          <w:szCs w:val="20"/>
        </w:rPr>
        <w:t>dňa 26. 05. 2015</w:t>
      </w:r>
      <w:r w:rsidRPr="00873F23">
        <w:rPr>
          <w:rFonts w:ascii="Arial" w:hAnsi="Arial" w:cs="Arial"/>
          <w:sz w:val="20"/>
          <w:szCs w:val="20"/>
        </w:rPr>
        <w:t xml:space="preserve"> dňa 0</w:t>
      </w:r>
      <w:r w:rsidR="00586ADB">
        <w:rPr>
          <w:rFonts w:ascii="Arial" w:hAnsi="Arial" w:cs="Arial"/>
          <w:sz w:val="20"/>
          <w:szCs w:val="20"/>
        </w:rPr>
        <w:t>2</w:t>
      </w:r>
      <w:r w:rsidRPr="00873F23">
        <w:rPr>
          <w:rFonts w:ascii="Arial" w:hAnsi="Arial" w:cs="Arial"/>
          <w:sz w:val="20"/>
          <w:szCs w:val="20"/>
        </w:rPr>
        <w:t>. 12. 2015</w:t>
      </w:r>
      <w:r w:rsidR="005B63A2">
        <w:rPr>
          <w:rFonts w:ascii="Arial" w:hAnsi="Arial" w:cs="Arial"/>
          <w:sz w:val="20"/>
          <w:szCs w:val="20"/>
        </w:rPr>
        <w:t xml:space="preserve">. </w:t>
      </w:r>
      <w:r w:rsidRPr="00873F23">
        <w:rPr>
          <w:rFonts w:ascii="Arial" w:hAnsi="Arial" w:cs="Arial"/>
          <w:sz w:val="20"/>
          <w:szCs w:val="20"/>
        </w:rPr>
        <w:t>Na</w:t>
      </w:r>
      <w:r w:rsidR="00586ADB">
        <w:rPr>
          <w:rFonts w:ascii="Arial" w:hAnsi="Arial" w:cs="Arial"/>
          <w:sz w:val="20"/>
          <w:szCs w:val="20"/>
        </w:rPr>
        <w:t xml:space="preserve"> </w:t>
      </w:r>
      <w:r w:rsidR="005B63A2">
        <w:rPr>
          <w:rFonts w:ascii="Arial" w:hAnsi="Arial" w:cs="Arial"/>
          <w:sz w:val="20"/>
          <w:szCs w:val="20"/>
        </w:rPr>
        <w:t xml:space="preserve">zasadnutí, ktoré sa konalo </w:t>
      </w:r>
      <w:r w:rsidR="005165D9">
        <w:rPr>
          <w:rFonts w:ascii="Arial" w:hAnsi="Arial" w:cs="Arial"/>
          <w:sz w:val="20"/>
          <w:szCs w:val="20"/>
        </w:rPr>
        <w:t xml:space="preserve">v decembri 2015 </w:t>
      </w:r>
      <w:r w:rsidRPr="00873F23">
        <w:rPr>
          <w:rFonts w:ascii="Arial" w:hAnsi="Arial" w:cs="Arial"/>
          <w:sz w:val="20"/>
          <w:szCs w:val="20"/>
        </w:rPr>
        <w:t xml:space="preserve">boli členovia informovaní </w:t>
      </w:r>
      <w:r w:rsidR="005B63A2">
        <w:rPr>
          <w:rFonts w:ascii="Arial" w:hAnsi="Arial" w:cs="Arial"/>
          <w:sz w:val="20"/>
          <w:szCs w:val="20"/>
        </w:rPr>
        <w:t xml:space="preserve">o aktuálnom </w:t>
      </w:r>
      <w:r w:rsidR="00586ADB" w:rsidRPr="00586ADB">
        <w:rPr>
          <w:rFonts w:ascii="Arial" w:hAnsi="Arial" w:cs="Arial"/>
          <w:sz w:val="20"/>
          <w:szCs w:val="20"/>
        </w:rPr>
        <w:t xml:space="preserve">stave </w:t>
      </w:r>
      <w:r w:rsidR="005165D9">
        <w:rPr>
          <w:rFonts w:ascii="Arial" w:hAnsi="Arial" w:cs="Arial"/>
          <w:sz w:val="20"/>
          <w:szCs w:val="20"/>
        </w:rPr>
        <w:t xml:space="preserve">implementácie </w:t>
      </w:r>
      <w:r w:rsidR="00586ADB" w:rsidRPr="00586ADB">
        <w:rPr>
          <w:rFonts w:ascii="Arial" w:hAnsi="Arial" w:cs="Arial"/>
          <w:sz w:val="20"/>
          <w:szCs w:val="20"/>
        </w:rPr>
        <w:t>projektu s názvom „</w:t>
      </w:r>
      <w:r w:rsidR="00586ADB" w:rsidRPr="005B63A2">
        <w:rPr>
          <w:rFonts w:ascii="Arial" w:hAnsi="Arial" w:cs="Arial"/>
          <w:i/>
          <w:sz w:val="20"/>
          <w:szCs w:val="20"/>
        </w:rPr>
        <w:t>Hodnotenie uplatňovania HP RP v ŠF a KF v programovom období 2007</w:t>
      </w:r>
      <w:r w:rsidR="005B63A2">
        <w:rPr>
          <w:rFonts w:ascii="Arial" w:hAnsi="Arial" w:cs="Arial"/>
          <w:i/>
          <w:sz w:val="20"/>
          <w:szCs w:val="20"/>
        </w:rPr>
        <w:t xml:space="preserve"> </w:t>
      </w:r>
      <w:r w:rsidR="00586ADB" w:rsidRPr="005B63A2">
        <w:rPr>
          <w:rFonts w:ascii="Arial" w:hAnsi="Arial" w:cs="Arial"/>
          <w:i/>
          <w:sz w:val="20"/>
          <w:szCs w:val="20"/>
        </w:rPr>
        <w:t>-</w:t>
      </w:r>
      <w:r w:rsidR="005B63A2">
        <w:rPr>
          <w:rFonts w:ascii="Arial" w:hAnsi="Arial" w:cs="Arial"/>
          <w:i/>
          <w:sz w:val="20"/>
          <w:szCs w:val="20"/>
        </w:rPr>
        <w:t xml:space="preserve"> </w:t>
      </w:r>
      <w:r w:rsidR="00586ADB" w:rsidRPr="005B63A2">
        <w:rPr>
          <w:rFonts w:ascii="Arial" w:hAnsi="Arial" w:cs="Arial"/>
          <w:i/>
          <w:sz w:val="20"/>
          <w:szCs w:val="20"/>
        </w:rPr>
        <w:t>2013</w:t>
      </w:r>
      <w:r w:rsidR="005165D9">
        <w:rPr>
          <w:rFonts w:ascii="Arial" w:hAnsi="Arial" w:cs="Arial"/>
          <w:sz w:val="20"/>
          <w:szCs w:val="20"/>
        </w:rPr>
        <w:t>“, ktorý bol financovaný</w:t>
      </w:r>
      <w:r w:rsidR="005165D9" w:rsidRPr="005165D9">
        <w:rPr>
          <w:rFonts w:ascii="Arial" w:hAnsi="Arial" w:cs="Arial"/>
          <w:sz w:val="20"/>
          <w:szCs w:val="20"/>
        </w:rPr>
        <w:t xml:space="preserve"> z OP TP 2007</w:t>
      </w:r>
      <w:r w:rsidR="005B63A2">
        <w:rPr>
          <w:rFonts w:ascii="Arial" w:hAnsi="Arial" w:cs="Arial"/>
          <w:sz w:val="20"/>
          <w:szCs w:val="20"/>
        </w:rPr>
        <w:t xml:space="preserve"> – </w:t>
      </w:r>
      <w:r w:rsidR="005165D9" w:rsidRPr="005165D9">
        <w:rPr>
          <w:rFonts w:ascii="Arial" w:hAnsi="Arial" w:cs="Arial"/>
          <w:sz w:val="20"/>
          <w:szCs w:val="20"/>
        </w:rPr>
        <w:t>2013</w:t>
      </w:r>
      <w:r w:rsidR="005B63A2">
        <w:rPr>
          <w:rFonts w:ascii="Arial" w:hAnsi="Arial" w:cs="Arial"/>
          <w:sz w:val="20"/>
          <w:szCs w:val="20"/>
        </w:rPr>
        <w:t xml:space="preserve"> a realizácia aktivít uvedeného projektu bola ukončená </w:t>
      </w:r>
      <w:r w:rsidRPr="00873F23">
        <w:rPr>
          <w:rFonts w:ascii="Arial" w:hAnsi="Arial" w:cs="Arial"/>
          <w:sz w:val="20"/>
          <w:szCs w:val="20"/>
        </w:rPr>
        <w:t xml:space="preserve"> </w:t>
      </w:r>
      <w:r w:rsidR="005165D9" w:rsidRPr="00586ADB">
        <w:rPr>
          <w:rFonts w:ascii="Arial" w:hAnsi="Arial" w:cs="Arial"/>
          <w:sz w:val="20"/>
          <w:szCs w:val="20"/>
        </w:rPr>
        <w:t xml:space="preserve">zo strany koordinátora  HP RP </w:t>
      </w:r>
      <w:r w:rsidR="005165D9">
        <w:rPr>
          <w:rFonts w:ascii="Arial" w:hAnsi="Arial" w:cs="Arial"/>
          <w:sz w:val="20"/>
          <w:szCs w:val="20"/>
        </w:rPr>
        <w:t>v</w:t>
      </w:r>
      <w:r w:rsidR="005165D9" w:rsidRPr="00586ADB">
        <w:rPr>
          <w:rFonts w:ascii="Arial" w:hAnsi="Arial" w:cs="Arial"/>
          <w:sz w:val="20"/>
          <w:szCs w:val="20"/>
        </w:rPr>
        <w:t xml:space="preserve"> novembri 2015. </w:t>
      </w:r>
      <w:r w:rsidR="0053495F" w:rsidRPr="0053495F">
        <w:rPr>
          <w:rFonts w:ascii="Arial" w:hAnsi="Arial" w:cs="Arial"/>
          <w:sz w:val="20"/>
          <w:szCs w:val="20"/>
        </w:rPr>
        <w:t xml:space="preserve">Odporúčania Hodnotiacich správ boli </w:t>
      </w:r>
      <w:r w:rsidR="0053495F" w:rsidRPr="00E94F12">
        <w:rPr>
          <w:rFonts w:ascii="Arial" w:hAnsi="Arial" w:cs="Arial"/>
          <w:sz w:val="20"/>
          <w:szCs w:val="20"/>
        </w:rPr>
        <w:t xml:space="preserve">zapracované do SKI HP RP. </w:t>
      </w:r>
      <w:r w:rsidR="005165D9" w:rsidRPr="00D43468">
        <w:rPr>
          <w:rFonts w:ascii="Arial" w:hAnsi="Arial" w:cs="Arial"/>
          <w:sz w:val="20"/>
          <w:szCs w:val="20"/>
        </w:rPr>
        <w:t xml:space="preserve">Hodnotiace správy </w:t>
      </w:r>
      <w:r w:rsidR="005B63A2">
        <w:rPr>
          <w:rFonts w:ascii="Arial" w:hAnsi="Arial" w:cs="Arial"/>
          <w:sz w:val="20"/>
          <w:szCs w:val="20"/>
        </w:rPr>
        <w:t>z</w:t>
      </w:r>
      <w:r w:rsidR="005165D9">
        <w:rPr>
          <w:rFonts w:ascii="Arial" w:hAnsi="Arial" w:cs="Arial"/>
          <w:sz w:val="20"/>
          <w:szCs w:val="20"/>
        </w:rPr>
        <w:t xml:space="preserve"> uvedeného projektu </w:t>
      </w:r>
      <w:r w:rsidR="005165D9" w:rsidRPr="00D43468">
        <w:rPr>
          <w:rFonts w:ascii="Arial" w:hAnsi="Arial" w:cs="Arial"/>
          <w:sz w:val="20"/>
          <w:szCs w:val="20"/>
        </w:rPr>
        <w:t>môžu nap</w:t>
      </w:r>
      <w:r w:rsidR="005B63A2">
        <w:rPr>
          <w:rFonts w:ascii="Arial" w:hAnsi="Arial" w:cs="Arial"/>
          <w:sz w:val="20"/>
          <w:szCs w:val="20"/>
        </w:rPr>
        <w:t>omôcť k zhodnoteniu</w:t>
      </w:r>
      <w:r w:rsidR="005165D9" w:rsidRPr="00D43468">
        <w:rPr>
          <w:rFonts w:ascii="Arial" w:hAnsi="Arial" w:cs="Arial"/>
          <w:sz w:val="20"/>
          <w:szCs w:val="20"/>
        </w:rPr>
        <w:t xml:space="preserve"> výsledkov predchádzajúceho programového obdobia, analýz</w:t>
      </w:r>
      <w:r w:rsidR="005B63A2">
        <w:rPr>
          <w:rFonts w:ascii="Arial" w:hAnsi="Arial" w:cs="Arial"/>
          <w:sz w:val="20"/>
          <w:szCs w:val="20"/>
        </w:rPr>
        <w:t>am</w:t>
      </w:r>
      <w:r w:rsidR="005165D9" w:rsidRPr="00D43468">
        <w:rPr>
          <w:rFonts w:ascii="Arial" w:hAnsi="Arial" w:cs="Arial"/>
          <w:sz w:val="20"/>
          <w:szCs w:val="20"/>
        </w:rPr>
        <w:t xml:space="preserve"> súčasnej situácie a</w:t>
      </w:r>
      <w:r w:rsidR="005B63A2">
        <w:rPr>
          <w:rFonts w:ascii="Arial" w:hAnsi="Arial" w:cs="Arial"/>
          <w:sz w:val="20"/>
          <w:szCs w:val="20"/>
        </w:rPr>
        <w:t xml:space="preserve"> k výzvam a odporúčaniam </w:t>
      </w:r>
      <w:r w:rsidR="005165D9" w:rsidRPr="00D43468">
        <w:rPr>
          <w:rFonts w:ascii="Arial" w:hAnsi="Arial" w:cs="Arial"/>
          <w:sz w:val="20"/>
          <w:szCs w:val="20"/>
        </w:rPr>
        <w:t>do budúcnosti ako implementovať túto problematiku v európskych štrukturálnych a investičných fondoch.</w:t>
      </w:r>
    </w:p>
    <w:p w14:paraId="255CF443" w14:textId="1FAEE32D" w:rsidR="00D43468" w:rsidRPr="00E21C60" w:rsidDel="00873F23" w:rsidRDefault="00D43468" w:rsidP="00123376">
      <w:pPr>
        <w:spacing w:before="120" w:after="120"/>
        <w:jc w:val="both"/>
        <w:rPr>
          <w:rFonts w:ascii="Arial" w:hAnsi="Arial" w:cs="Arial"/>
          <w:sz w:val="20"/>
          <w:szCs w:val="20"/>
        </w:rPr>
      </w:pPr>
      <w:r w:rsidRPr="00D43468">
        <w:rPr>
          <w:rFonts w:ascii="Arial" w:hAnsi="Arial" w:cs="Arial"/>
          <w:sz w:val="20"/>
          <w:szCs w:val="20"/>
        </w:rPr>
        <w:lastRenderedPageBreak/>
        <w:t xml:space="preserve">V zmysle schváleného NSRR </w:t>
      </w:r>
      <w:r w:rsidR="009F70CA">
        <w:rPr>
          <w:rFonts w:ascii="Arial" w:hAnsi="Arial" w:cs="Arial"/>
          <w:sz w:val="20"/>
          <w:szCs w:val="20"/>
        </w:rPr>
        <w:t>bolo</w:t>
      </w:r>
      <w:r w:rsidRPr="00D43468">
        <w:rPr>
          <w:rFonts w:ascii="Arial" w:hAnsi="Arial" w:cs="Arial"/>
          <w:sz w:val="20"/>
          <w:szCs w:val="20"/>
        </w:rPr>
        <w:t xml:space="preserve"> globálnym cieľom </w:t>
      </w:r>
      <w:r>
        <w:rPr>
          <w:rFonts w:ascii="Arial" w:hAnsi="Arial" w:cs="Arial"/>
          <w:sz w:val="20"/>
          <w:szCs w:val="20"/>
        </w:rPr>
        <w:t>HP RP</w:t>
      </w:r>
      <w:r w:rsidRPr="00D43468">
        <w:rPr>
          <w:rFonts w:ascii="Arial" w:hAnsi="Arial" w:cs="Arial"/>
          <w:sz w:val="20"/>
          <w:szCs w:val="20"/>
        </w:rPr>
        <w:t xml:space="preserve"> zabezpečovanie rovnosti príležitostí pre všetkých a predchádzanie všetkým formám diskriminácie. Hodnotenie HP RP vyplýva z Národného strategického referenčného rámca SR a zo Systému riadenia ŠF a KF na roky 2007</w:t>
      </w:r>
      <w:r w:rsidR="005B63A2">
        <w:rPr>
          <w:rFonts w:ascii="Arial" w:hAnsi="Arial" w:cs="Arial"/>
          <w:sz w:val="20"/>
          <w:szCs w:val="20"/>
        </w:rPr>
        <w:t xml:space="preserve"> </w:t>
      </w:r>
      <w:r w:rsidRPr="00D43468">
        <w:rPr>
          <w:rFonts w:ascii="Arial" w:hAnsi="Arial" w:cs="Arial"/>
          <w:sz w:val="20"/>
          <w:szCs w:val="20"/>
        </w:rPr>
        <w:t>-</w:t>
      </w:r>
      <w:r w:rsidR="005B63A2">
        <w:rPr>
          <w:rFonts w:ascii="Arial" w:hAnsi="Arial" w:cs="Arial"/>
          <w:sz w:val="20"/>
          <w:szCs w:val="20"/>
        </w:rPr>
        <w:t xml:space="preserve"> </w:t>
      </w:r>
      <w:r w:rsidRPr="00D43468">
        <w:rPr>
          <w:rFonts w:ascii="Arial" w:hAnsi="Arial" w:cs="Arial"/>
          <w:sz w:val="20"/>
          <w:szCs w:val="20"/>
        </w:rPr>
        <w:t>2013. Programové obdobie 2007</w:t>
      </w:r>
      <w:r w:rsidR="005B63A2">
        <w:rPr>
          <w:rFonts w:ascii="Arial" w:hAnsi="Arial" w:cs="Arial"/>
          <w:sz w:val="20"/>
          <w:szCs w:val="20"/>
        </w:rPr>
        <w:t xml:space="preserve"> </w:t>
      </w:r>
      <w:r w:rsidRPr="00D43468">
        <w:rPr>
          <w:rFonts w:ascii="Arial" w:hAnsi="Arial" w:cs="Arial"/>
          <w:sz w:val="20"/>
          <w:szCs w:val="20"/>
        </w:rPr>
        <w:t>-</w:t>
      </w:r>
      <w:r w:rsidR="005B63A2">
        <w:rPr>
          <w:rFonts w:ascii="Arial" w:hAnsi="Arial" w:cs="Arial"/>
          <w:sz w:val="20"/>
          <w:szCs w:val="20"/>
        </w:rPr>
        <w:t xml:space="preserve"> </w:t>
      </w:r>
      <w:r w:rsidRPr="00D43468">
        <w:rPr>
          <w:rFonts w:ascii="Arial" w:hAnsi="Arial" w:cs="Arial"/>
          <w:sz w:val="20"/>
          <w:szCs w:val="20"/>
        </w:rPr>
        <w:t xml:space="preserve">2013 bolo prvé obdobie, kedy sa implementovala HP RP takouto formou. Odporúčania z hodnotení </w:t>
      </w:r>
      <w:r w:rsidR="005B63A2">
        <w:rPr>
          <w:rFonts w:ascii="Arial" w:hAnsi="Arial" w:cs="Arial"/>
          <w:sz w:val="20"/>
          <w:szCs w:val="20"/>
        </w:rPr>
        <w:t>boli</w:t>
      </w:r>
      <w:r w:rsidRPr="00D43468">
        <w:rPr>
          <w:rFonts w:ascii="Arial" w:hAnsi="Arial" w:cs="Arial"/>
          <w:sz w:val="20"/>
          <w:szCs w:val="20"/>
        </w:rPr>
        <w:t xml:space="preserve"> aj východiskom pri nastavovaní prierezového uplatnenia a plnenia RP v rámci ex ante kondicionalít</w:t>
      </w:r>
      <w:r w:rsidR="005B63A2">
        <w:rPr>
          <w:rFonts w:ascii="Arial" w:hAnsi="Arial" w:cs="Arial"/>
          <w:sz w:val="20"/>
          <w:szCs w:val="20"/>
        </w:rPr>
        <w:t xml:space="preserve">. </w:t>
      </w:r>
    </w:p>
    <w:p w14:paraId="5AE071B7" w14:textId="5D2BFA2C" w:rsidR="006C6650" w:rsidRPr="00E21C60" w:rsidDel="00873F23" w:rsidRDefault="006C6650" w:rsidP="00123376">
      <w:pPr>
        <w:spacing w:before="120" w:after="120"/>
        <w:jc w:val="both"/>
        <w:rPr>
          <w:rFonts w:ascii="Arial" w:hAnsi="Arial" w:cs="Arial"/>
          <w:sz w:val="20"/>
          <w:szCs w:val="20"/>
          <w:u w:val="single"/>
        </w:rPr>
      </w:pPr>
      <w:r w:rsidRPr="00E21C60" w:rsidDel="00873F23">
        <w:rPr>
          <w:rFonts w:ascii="Arial" w:hAnsi="Arial" w:cs="Arial"/>
          <w:sz w:val="20"/>
          <w:szCs w:val="20"/>
        </w:rPr>
        <w:t xml:space="preserve">V súlade so </w:t>
      </w:r>
      <w:r w:rsidR="00D43468">
        <w:rPr>
          <w:rFonts w:ascii="Arial" w:hAnsi="Arial" w:cs="Arial"/>
          <w:sz w:val="20"/>
          <w:szCs w:val="20"/>
        </w:rPr>
        <w:t>S</w:t>
      </w:r>
      <w:r w:rsidRPr="00E21C60" w:rsidDel="00873F23">
        <w:rPr>
          <w:rFonts w:ascii="Arial" w:hAnsi="Arial" w:cs="Arial"/>
          <w:sz w:val="20"/>
          <w:szCs w:val="20"/>
        </w:rPr>
        <w:t xml:space="preserve">ystémom koordinácie implementácie </w:t>
      </w:r>
      <w:r w:rsidR="00C00FD0" w:rsidRPr="00E21C60" w:rsidDel="00873F23">
        <w:rPr>
          <w:rFonts w:ascii="Arial" w:hAnsi="Arial" w:cs="Arial"/>
          <w:sz w:val="20"/>
          <w:szCs w:val="20"/>
        </w:rPr>
        <w:t>HP RP</w:t>
      </w:r>
      <w:r w:rsidRPr="00E21C60" w:rsidDel="00873F23">
        <w:rPr>
          <w:rFonts w:ascii="Arial" w:hAnsi="Arial" w:cs="Arial"/>
          <w:sz w:val="20"/>
          <w:szCs w:val="20"/>
        </w:rPr>
        <w:t xml:space="preserve"> pre programové obdobie 2007 – 2013 koordinátor </w:t>
      </w:r>
      <w:r w:rsidR="005B63A2">
        <w:rPr>
          <w:rFonts w:ascii="Arial" w:hAnsi="Arial" w:cs="Arial"/>
          <w:sz w:val="20"/>
          <w:szCs w:val="20"/>
        </w:rPr>
        <w:t>HP RP</w:t>
      </w:r>
      <w:r w:rsidRPr="00E21C60" w:rsidDel="00873F23">
        <w:rPr>
          <w:rFonts w:ascii="Arial" w:hAnsi="Arial" w:cs="Arial"/>
          <w:sz w:val="20"/>
          <w:szCs w:val="20"/>
        </w:rPr>
        <w:t xml:space="preserve"> v rámci prioritných osí 1 až 5 OP ŽP identifikoval ako relevantné nasledovné ciele HP RP:</w:t>
      </w:r>
    </w:p>
    <w:p w14:paraId="6F776454" w14:textId="73BE80CC" w:rsidR="002416B1" w:rsidRPr="00E21C60" w:rsidDel="00873F23" w:rsidRDefault="002416B1" w:rsidP="00123376">
      <w:pPr>
        <w:spacing w:before="120" w:after="120"/>
        <w:jc w:val="both"/>
        <w:rPr>
          <w:rFonts w:ascii="Arial" w:hAnsi="Arial" w:cs="Arial"/>
          <w:sz w:val="20"/>
          <w:szCs w:val="20"/>
        </w:rPr>
      </w:pPr>
      <w:r w:rsidRPr="00E21C60" w:rsidDel="00873F23">
        <w:rPr>
          <w:rFonts w:ascii="Arial" w:hAnsi="Arial" w:cs="Arial"/>
          <w:sz w:val="20"/>
          <w:szCs w:val="20"/>
        </w:rPr>
        <w:t>cieľ 1.1:</w:t>
      </w:r>
    </w:p>
    <w:p w14:paraId="5250DC1B" w14:textId="633C7346" w:rsidR="002416B1" w:rsidRPr="006E5D4B" w:rsidDel="00873F23" w:rsidRDefault="002416B1" w:rsidP="000A4DF7">
      <w:pPr>
        <w:numPr>
          <w:ilvl w:val="0"/>
          <w:numId w:val="42"/>
        </w:numPr>
        <w:tabs>
          <w:tab w:val="clear" w:pos="720"/>
        </w:tabs>
        <w:ind w:left="284" w:hanging="284"/>
        <w:jc w:val="both"/>
        <w:rPr>
          <w:rFonts w:ascii="Arial" w:hAnsi="Arial" w:cs="Arial"/>
          <w:sz w:val="20"/>
          <w:szCs w:val="20"/>
        </w:rPr>
      </w:pPr>
      <w:r w:rsidRPr="00E21C60" w:rsidDel="00873F23">
        <w:rPr>
          <w:rFonts w:ascii="Arial" w:hAnsi="Arial" w:cs="Arial"/>
          <w:sz w:val="20"/>
          <w:szCs w:val="20"/>
        </w:rPr>
        <w:t xml:space="preserve">zvýšenie </w:t>
      </w:r>
      <w:r w:rsidRPr="006E5D4B" w:rsidDel="00873F23">
        <w:rPr>
          <w:rFonts w:ascii="Arial" w:hAnsi="Arial" w:cs="Arial"/>
          <w:sz w:val="20"/>
          <w:szCs w:val="20"/>
        </w:rPr>
        <w:t>zamestnanosti a zníženie nezamestnanosti žien na pracovnom trhu</w:t>
      </w:r>
      <w:r w:rsidR="00C00FD0" w:rsidRPr="006E5D4B" w:rsidDel="00873F23">
        <w:rPr>
          <w:rFonts w:ascii="Arial" w:hAnsi="Arial" w:cs="Arial"/>
          <w:sz w:val="20"/>
          <w:szCs w:val="20"/>
        </w:rPr>
        <w:t>,</w:t>
      </w:r>
    </w:p>
    <w:p w14:paraId="0318DFBD" w14:textId="73288185" w:rsidR="002416B1" w:rsidRPr="006E5D4B" w:rsidDel="00873F23" w:rsidRDefault="002416B1" w:rsidP="000A4DF7">
      <w:pPr>
        <w:numPr>
          <w:ilvl w:val="0"/>
          <w:numId w:val="42"/>
        </w:numPr>
        <w:tabs>
          <w:tab w:val="clear" w:pos="720"/>
        </w:tabs>
        <w:ind w:left="284" w:hanging="284"/>
        <w:jc w:val="both"/>
        <w:rPr>
          <w:rFonts w:ascii="Arial" w:hAnsi="Arial" w:cs="Arial"/>
          <w:sz w:val="20"/>
          <w:szCs w:val="20"/>
        </w:rPr>
      </w:pPr>
      <w:r w:rsidRPr="006E5D4B" w:rsidDel="00873F23">
        <w:rPr>
          <w:rFonts w:ascii="Arial" w:hAnsi="Arial" w:cs="Arial"/>
          <w:sz w:val="20"/>
          <w:szCs w:val="20"/>
        </w:rPr>
        <w:t>zníženie rozdielu v miere zamestnanosti a miere nezamestnanosti medzi ženami a</w:t>
      </w:r>
      <w:r w:rsidR="00C00FD0" w:rsidRPr="006E5D4B" w:rsidDel="00873F23">
        <w:rPr>
          <w:rFonts w:ascii="Arial" w:hAnsi="Arial" w:cs="Arial"/>
          <w:sz w:val="20"/>
          <w:szCs w:val="20"/>
        </w:rPr>
        <w:t> </w:t>
      </w:r>
      <w:r w:rsidRPr="006E5D4B" w:rsidDel="00873F23">
        <w:rPr>
          <w:rFonts w:ascii="Arial" w:hAnsi="Arial" w:cs="Arial"/>
          <w:sz w:val="20"/>
          <w:szCs w:val="20"/>
        </w:rPr>
        <w:t>mužmi</w:t>
      </w:r>
      <w:r w:rsidR="00C00FD0" w:rsidRPr="006E5D4B" w:rsidDel="00873F23">
        <w:rPr>
          <w:rFonts w:ascii="Arial" w:hAnsi="Arial" w:cs="Arial"/>
          <w:sz w:val="20"/>
          <w:szCs w:val="20"/>
        </w:rPr>
        <w:t>.</w:t>
      </w:r>
    </w:p>
    <w:p w14:paraId="6C4C06A9" w14:textId="669B8B58" w:rsidR="002416B1" w:rsidRPr="006E5D4B" w:rsidDel="00873F23" w:rsidRDefault="002416B1" w:rsidP="00123376">
      <w:pPr>
        <w:spacing w:before="120" w:after="120"/>
        <w:jc w:val="both"/>
        <w:rPr>
          <w:rFonts w:ascii="Arial" w:hAnsi="Arial" w:cs="Arial"/>
          <w:sz w:val="20"/>
          <w:szCs w:val="20"/>
        </w:rPr>
      </w:pPr>
      <w:r w:rsidRPr="006E5D4B" w:rsidDel="00873F23">
        <w:rPr>
          <w:rFonts w:ascii="Arial" w:hAnsi="Arial" w:cs="Arial"/>
          <w:sz w:val="20"/>
          <w:szCs w:val="20"/>
        </w:rPr>
        <w:t>cieľ 2.2:</w:t>
      </w:r>
    </w:p>
    <w:p w14:paraId="3BA879A8" w14:textId="274FD3C2" w:rsidR="002416B1" w:rsidRPr="006E5D4B" w:rsidDel="00873F23" w:rsidRDefault="002416B1" w:rsidP="000A4DF7">
      <w:pPr>
        <w:numPr>
          <w:ilvl w:val="0"/>
          <w:numId w:val="42"/>
        </w:numPr>
        <w:tabs>
          <w:tab w:val="clear" w:pos="720"/>
        </w:tabs>
        <w:ind w:left="284" w:hanging="284"/>
        <w:jc w:val="both"/>
        <w:rPr>
          <w:rFonts w:ascii="Arial" w:hAnsi="Arial" w:cs="Arial"/>
          <w:sz w:val="20"/>
          <w:szCs w:val="20"/>
        </w:rPr>
      </w:pPr>
      <w:r w:rsidRPr="006E5D4B" w:rsidDel="00873F23">
        <w:rPr>
          <w:rFonts w:ascii="Arial" w:hAnsi="Arial" w:cs="Arial"/>
          <w:sz w:val="20"/>
          <w:szCs w:val="20"/>
        </w:rPr>
        <w:t>zvýšenie počtu bezbariérových a bezpečných prístupov k verejnej, sociálnej, vzdelanostnej, zdravotníckej infraštruktúre a infraštruktúre zamestnávateľov</w:t>
      </w:r>
      <w:r w:rsidR="00C00FD0" w:rsidRPr="006E5D4B" w:rsidDel="00873F23">
        <w:rPr>
          <w:rFonts w:ascii="Arial" w:hAnsi="Arial" w:cs="Arial"/>
          <w:sz w:val="20"/>
          <w:szCs w:val="20"/>
        </w:rPr>
        <w:t>,</w:t>
      </w:r>
    </w:p>
    <w:p w14:paraId="495000F7" w14:textId="1E214A69" w:rsidR="002416B1" w:rsidRPr="006E5D4B" w:rsidDel="00873F23" w:rsidRDefault="002416B1" w:rsidP="000A4DF7">
      <w:pPr>
        <w:numPr>
          <w:ilvl w:val="0"/>
          <w:numId w:val="42"/>
        </w:numPr>
        <w:tabs>
          <w:tab w:val="clear" w:pos="720"/>
        </w:tabs>
        <w:ind w:left="284" w:hanging="284"/>
        <w:jc w:val="both"/>
        <w:rPr>
          <w:rFonts w:ascii="Arial" w:hAnsi="Arial" w:cs="Arial"/>
          <w:sz w:val="20"/>
          <w:szCs w:val="20"/>
        </w:rPr>
      </w:pPr>
      <w:r w:rsidRPr="006E5D4B" w:rsidDel="00873F23">
        <w:rPr>
          <w:rFonts w:ascii="Arial" w:hAnsi="Arial" w:cs="Arial"/>
          <w:sz w:val="20"/>
          <w:szCs w:val="20"/>
        </w:rPr>
        <w:t>zvýšenie dostupnosti ľudí so zdravotným postihnutím k informačným službám</w:t>
      </w:r>
      <w:r w:rsidR="00C00FD0" w:rsidRPr="006E5D4B" w:rsidDel="00873F23">
        <w:rPr>
          <w:rFonts w:ascii="Arial" w:hAnsi="Arial" w:cs="Arial"/>
          <w:sz w:val="20"/>
          <w:szCs w:val="20"/>
        </w:rPr>
        <w:t>.</w:t>
      </w:r>
    </w:p>
    <w:p w14:paraId="1D41E2E4" w14:textId="262078FC" w:rsidR="006C6650" w:rsidRDefault="006C6650" w:rsidP="00123376">
      <w:pPr>
        <w:spacing w:before="120" w:after="120"/>
        <w:jc w:val="both"/>
        <w:rPr>
          <w:rFonts w:ascii="Arial" w:hAnsi="Arial" w:cs="Arial"/>
          <w:sz w:val="20"/>
          <w:szCs w:val="20"/>
        </w:rPr>
      </w:pPr>
      <w:r w:rsidRPr="00123376">
        <w:rPr>
          <w:rFonts w:ascii="Arial" w:hAnsi="Arial" w:cs="Arial"/>
          <w:sz w:val="20"/>
          <w:szCs w:val="20"/>
        </w:rPr>
        <w:t xml:space="preserve">Vytvorený súbor ukazovateľov HP RP vo vzťahu k OP ŽP sa </w:t>
      </w:r>
      <w:r w:rsidR="009F70CA">
        <w:rPr>
          <w:rFonts w:ascii="Arial" w:hAnsi="Arial" w:cs="Arial"/>
          <w:sz w:val="20"/>
          <w:szCs w:val="20"/>
        </w:rPr>
        <w:t>sledoval</w:t>
      </w:r>
      <w:r w:rsidRPr="00123376">
        <w:rPr>
          <w:rFonts w:ascii="Arial" w:hAnsi="Arial" w:cs="Arial"/>
          <w:sz w:val="20"/>
          <w:szCs w:val="20"/>
        </w:rPr>
        <w:t xml:space="preserve"> cez ITMS. </w:t>
      </w:r>
    </w:p>
    <w:p w14:paraId="38A46A73" w14:textId="0AEEE602" w:rsidR="009F70CA" w:rsidRPr="00E21C60" w:rsidRDefault="009F70CA" w:rsidP="009F70CA">
      <w:pPr>
        <w:spacing w:after="120"/>
        <w:jc w:val="both"/>
        <w:rPr>
          <w:rFonts w:ascii="Arial" w:hAnsi="Arial" w:cs="Arial"/>
          <w:sz w:val="20"/>
          <w:szCs w:val="20"/>
        </w:rPr>
      </w:pPr>
      <w:r w:rsidRPr="00E21C60">
        <w:rPr>
          <w:rFonts w:ascii="Arial" w:hAnsi="Arial" w:cs="Arial"/>
          <w:sz w:val="20"/>
          <w:szCs w:val="20"/>
        </w:rPr>
        <w:t xml:space="preserve">RO </w:t>
      </w:r>
      <w:r>
        <w:rPr>
          <w:rFonts w:ascii="Arial" w:hAnsi="Arial" w:cs="Arial"/>
          <w:sz w:val="20"/>
          <w:szCs w:val="20"/>
        </w:rPr>
        <w:t>zverejňoval</w:t>
      </w:r>
      <w:r w:rsidRPr="00E21C60">
        <w:rPr>
          <w:rFonts w:ascii="Arial" w:hAnsi="Arial" w:cs="Arial"/>
          <w:sz w:val="20"/>
          <w:szCs w:val="20"/>
        </w:rPr>
        <w:t xml:space="preserve"> spolu s jednotlivými výzvami na predkladanie žiadostí o NFP ERDF alebo KF tzv. </w:t>
      </w:r>
      <w:r w:rsidRPr="00E21C60">
        <w:rPr>
          <w:rFonts w:ascii="Arial" w:hAnsi="Arial" w:cs="Arial"/>
          <w:i/>
          <w:sz w:val="20"/>
          <w:szCs w:val="20"/>
        </w:rPr>
        <w:t>Príručku pre žiadateľa</w:t>
      </w:r>
      <w:r w:rsidRPr="00E21C60">
        <w:rPr>
          <w:rFonts w:ascii="Arial" w:hAnsi="Arial" w:cs="Arial"/>
          <w:sz w:val="20"/>
          <w:szCs w:val="20"/>
        </w:rPr>
        <w:t xml:space="preserve"> </w:t>
      </w:r>
      <w:r w:rsidRPr="00B35BB0">
        <w:rPr>
          <w:rFonts w:ascii="Arial" w:hAnsi="Arial" w:cs="Arial"/>
          <w:i/>
          <w:sz w:val="20"/>
          <w:szCs w:val="20"/>
        </w:rPr>
        <w:t>o nenávratný finančný príspevok</w:t>
      </w:r>
      <w:r w:rsidRPr="00E21C60">
        <w:rPr>
          <w:rFonts w:ascii="Arial" w:hAnsi="Arial" w:cs="Arial"/>
          <w:sz w:val="20"/>
          <w:szCs w:val="20"/>
        </w:rPr>
        <w:t>, ktorá o</w:t>
      </w:r>
      <w:r>
        <w:rPr>
          <w:rFonts w:ascii="Arial" w:hAnsi="Arial" w:cs="Arial"/>
          <w:sz w:val="20"/>
          <w:szCs w:val="20"/>
        </w:rPr>
        <w:t>bsahovala</w:t>
      </w:r>
      <w:r w:rsidRPr="00E21C60">
        <w:rPr>
          <w:rFonts w:ascii="Arial" w:hAnsi="Arial" w:cs="Arial"/>
          <w:sz w:val="20"/>
          <w:szCs w:val="20"/>
        </w:rPr>
        <w:t xml:space="preserve"> informáciu o spôsobe, akým má žiadateľ v rámci žiadosti nadefinovať údaje potrebné pre posúdenie miery príspevku projektu k napĺňaniu horizontálnej priority rovnosť príležitostí. </w:t>
      </w:r>
    </w:p>
    <w:p w14:paraId="1694A0D6" w14:textId="3684230D" w:rsidR="009F70CA" w:rsidRPr="00E21C60" w:rsidRDefault="009F70CA" w:rsidP="009F70CA">
      <w:pPr>
        <w:spacing w:before="120" w:after="120"/>
        <w:jc w:val="both"/>
        <w:rPr>
          <w:rFonts w:ascii="Arial" w:hAnsi="Arial" w:cs="Arial"/>
          <w:sz w:val="20"/>
          <w:szCs w:val="20"/>
        </w:rPr>
      </w:pPr>
      <w:r w:rsidRPr="00E21C60">
        <w:rPr>
          <w:rFonts w:ascii="Arial" w:hAnsi="Arial" w:cs="Arial"/>
          <w:sz w:val="20"/>
          <w:szCs w:val="20"/>
        </w:rPr>
        <w:t xml:space="preserve">Odborní hodnotitelia v rámci odborného hodnotenia žiadostí o NFP </w:t>
      </w:r>
      <w:r>
        <w:rPr>
          <w:rFonts w:ascii="Arial" w:hAnsi="Arial" w:cs="Arial"/>
          <w:sz w:val="20"/>
          <w:szCs w:val="20"/>
        </w:rPr>
        <w:t>postupovali</w:t>
      </w:r>
      <w:r w:rsidRPr="00E21C60">
        <w:rPr>
          <w:rFonts w:ascii="Arial" w:hAnsi="Arial" w:cs="Arial"/>
          <w:sz w:val="20"/>
          <w:szCs w:val="20"/>
        </w:rPr>
        <w:t xml:space="preserve"> v súlade s </w:t>
      </w:r>
      <w:r w:rsidRPr="009F70CA">
        <w:rPr>
          <w:rFonts w:ascii="Arial" w:hAnsi="Arial" w:cs="Arial"/>
          <w:i/>
          <w:sz w:val="20"/>
          <w:szCs w:val="20"/>
        </w:rPr>
        <w:t>Príručkou pre hodnotiteľov žiadostí o NFP ERDF alebo KF</w:t>
      </w:r>
      <w:r w:rsidRPr="00E21C60">
        <w:rPr>
          <w:rFonts w:ascii="Arial" w:hAnsi="Arial" w:cs="Arial"/>
          <w:sz w:val="20"/>
          <w:szCs w:val="20"/>
        </w:rPr>
        <w:t xml:space="preserve">, v rámci ktorej </w:t>
      </w:r>
      <w:r>
        <w:rPr>
          <w:rFonts w:ascii="Arial" w:hAnsi="Arial" w:cs="Arial"/>
          <w:sz w:val="20"/>
          <w:szCs w:val="20"/>
        </w:rPr>
        <w:t>bola</w:t>
      </w:r>
      <w:r w:rsidRPr="00E21C60">
        <w:rPr>
          <w:rFonts w:ascii="Arial" w:hAnsi="Arial" w:cs="Arial"/>
          <w:sz w:val="20"/>
          <w:szCs w:val="20"/>
        </w:rPr>
        <w:t xml:space="preserve"> zapracovaná inštrukcia pre odborného hodnotiteľa k hodnoteniu HP RP. Špecifické kritéria v procese výberu žiadostí o NFP boli nastavené tak, aby sa posilnilo dosiahnutie cieľov HP RP.</w:t>
      </w:r>
    </w:p>
    <w:p w14:paraId="5EEAEA29" w14:textId="3CF8002D" w:rsidR="009F70CA" w:rsidRDefault="009F70CA" w:rsidP="009F70CA">
      <w:pPr>
        <w:spacing w:before="120" w:after="120"/>
        <w:jc w:val="both"/>
        <w:rPr>
          <w:rFonts w:ascii="Arial" w:hAnsi="Arial" w:cs="Arial"/>
          <w:sz w:val="20"/>
          <w:szCs w:val="20"/>
        </w:rPr>
      </w:pPr>
      <w:r w:rsidRPr="00E21C60">
        <w:rPr>
          <w:rFonts w:ascii="Arial" w:hAnsi="Arial" w:cs="Arial"/>
          <w:sz w:val="20"/>
          <w:szCs w:val="20"/>
        </w:rPr>
        <w:t>Závažné nedostatky v informovaní žiadateľov a odborných hodnotiteľov o problematike HP RP v sledovanom období neboli zistené.</w:t>
      </w:r>
    </w:p>
    <w:p w14:paraId="03AA1288" w14:textId="04DF362A" w:rsidR="003709A5" w:rsidRPr="00123376" w:rsidRDefault="003709A5" w:rsidP="00123376">
      <w:pPr>
        <w:spacing w:before="120" w:after="120"/>
        <w:jc w:val="both"/>
        <w:rPr>
          <w:rFonts w:ascii="Arial" w:hAnsi="Arial" w:cs="Arial"/>
          <w:sz w:val="20"/>
          <w:szCs w:val="20"/>
        </w:rPr>
      </w:pPr>
      <w:r w:rsidRPr="0020746A">
        <w:rPr>
          <w:rFonts w:ascii="Arial" w:hAnsi="Arial" w:cs="Arial"/>
          <w:sz w:val="20"/>
          <w:szCs w:val="20"/>
        </w:rPr>
        <w:t>Riadiaci orgá</w:t>
      </w:r>
      <w:r w:rsidR="009F70CA">
        <w:rPr>
          <w:rFonts w:ascii="Arial" w:hAnsi="Arial" w:cs="Arial"/>
          <w:sz w:val="20"/>
          <w:szCs w:val="20"/>
        </w:rPr>
        <w:t>n pre OP ŽP aktívne spolupracoval</w:t>
      </w:r>
      <w:r w:rsidRPr="0020746A">
        <w:rPr>
          <w:rFonts w:ascii="Arial" w:hAnsi="Arial" w:cs="Arial"/>
          <w:sz w:val="20"/>
          <w:szCs w:val="20"/>
        </w:rPr>
        <w:t xml:space="preserve"> s koordinátorom HP RP pri vypracovávaní hodnotiacich a výročných správ.</w:t>
      </w:r>
    </w:p>
    <w:p w14:paraId="2E95ACBF" w14:textId="50C8A006" w:rsidR="002416B1" w:rsidRPr="00E21C60" w:rsidRDefault="002416B1" w:rsidP="00123376">
      <w:pPr>
        <w:spacing w:before="120"/>
        <w:jc w:val="both"/>
        <w:rPr>
          <w:rFonts w:ascii="Arial" w:hAnsi="Arial" w:cs="Arial"/>
          <w:sz w:val="20"/>
          <w:szCs w:val="20"/>
        </w:rPr>
      </w:pPr>
      <w:r w:rsidRPr="006E5D4B">
        <w:rPr>
          <w:rFonts w:ascii="Arial" w:hAnsi="Arial" w:cs="Arial"/>
          <w:sz w:val="20"/>
          <w:szCs w:val="20"/>
        </w:rPr>
        <w:t>Tab</w:t>
      </w:r>
      <w:r w:rsidR="009322B5" w:rsidRPr="006E5D4B">
        <w:rPr>
          <w:rFonts w:ascii="Arial" w:hAnsi="Arial" w:cs="Arial"/>
          <w:sz w:val="20"/>
          <w:szCs w:val="20"/>
        </w:rPr>
        <w:t>uľka</w:t>
      </w:r>
      <w:r w:rsidRPr="006E5D4B">
        <w:rPr>
          <w:rFonts w:ascii="Arial" w:hAnsi="Arial" w:cs="Arial"/>
          <w:sz w:val="20"/>
          <w:szCs w:val="20"/>
        </w:rPr>
        <w:t xml:space="preserve"> č. </w:t>
      </w:r>
      <w:r w:rsidR="00B256C7">
        <w:rPr>
          <w:rFonts w:ascii="Arial" w:hAnsi="Arial" w:cs="Arial"/>
          <w:sz w:val="20"/>
          <w:szCs w:val="20"/>
        </w:rPr>
        <w:t>8</w:t>
      </w:r>
      <w:r w:rsidR="007B1CB9">
        <w:rPr>
          <w:rFonts w:ascii="Arial" w:hAnsi="Arial" w:cs="Arial"/>
          <w:sz w:val="20"/>
          <w:szCs w:val="20"/>
        </w:rPr>
        <w:t>3</w:t>
      </w:r>
      <w:r w:rsidRPr="006E5D4B">
        <w:rPr>
          <w:rFonts w:ascii="Arial" w:hAnsi="Arial" w:cs="Arial"/>
          <w:sz w:val="20"/>
          <w:szCs w:val="20"/>
        </w:rPr>
        <w:t>: Plnenie fyzických ukazovateľov HP RP na úrovni OP k </w:t>
      </w:r>
      <w:r w:rsidR="00285763">
        <w:rPr>
          <w:rFonts w:ascii="Arial" w:hAnsi="Arial" w:cs="Arial"/>
          <w:sz w:val="20"/>
          <w:szCs w:val="20"/>
        </w:rPr>
        <w:t>31. 10. 2016</w:t>
      </w:r>
    </w:p>
    <w:tbl>
      <w:tblPr>
        <w:tblW w:w="9874" w:type="dxa"/>
        <w:tblInd w:w="55" w:type="dxa"/>
        <w:tblLayout w:type="fixed"/>
        <w:tblCellMar>
          <w:left w:w="70" w:type="dxa"/>
          <w:right w:w="70" w:type="dxa"/>
        </w:tblCellMar>
        <w:tblLook w:val="04A0" w:firstRow="1" w:lastRow="0" w:firstColumn="1" w:lastColumn="0" w:noHBand="0" w:noVBand="1"/>
      </w:tblPr>
      <w:tblGrid>
        <w:gridCol w:w="1341"/>
        <w:gridCol w:w="959"/>
        <w:gridCol w:w="496"/>
        <w:gridCol w:w="496"/>
        <w:gridCol w:w="496"/>
        <w:gridCol w:w="496"/>
        <w:gridCol w:w="496"/>
        <w:gridCol w:w="541"/>
        <w:gridCol w:w="783"/>
        <w:gridCol w:w="496"/>
        <w:gridCol w:w="737"/>
        <w:gridCol w:w="191"/>
        <w:gridCol w:w="992"/>
        <w:gridCol w:w="1354"/>
      </w:tblGrid>
      <w:tr w:rsidR="00E44219" w:rsidRPr="00E21C60" w14:paraId="70A664B5" w14:textId="77777777" w:rsidTr="007D7B08">
        <w:trPr>
          <w:trHeight w:val="465"/>
        </w:trPr>
        <w:tc>
          <w:tcPr>
            <w:tcW w:w="2300" w:type="dxa"/>
            <w:gridSpan w:val="2"/>
            <w:tcBorders>
              <w:top w:val="single" w:sz="8" w:space="0" w:color="auto"/>
              <w:left w:val="single" w:sz="8" w:space="0" w:color="auto"/>
              <w:bottom w:val="single" w:sz="8" w:space="0" w:color="auto"/>
              <w:right w:val="single" w:sz="8" w:space="0" w:color="000000"/>
            </w:tcBorders>
            <w:shd w:val="clear" w:color="auto" w:fill="C2D69B" w:themeFill="accent3" w:themeFillTint="99"/>
            <w:vAlign w:val="center"/>
            <w:hideMark/>
          </w:tcPr>
          <w:p w14:paraId="3F10DDD9"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Ukazovatele</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051BAC19"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2007</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11A5DB87"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2008</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22E39679"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2009</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10105DED"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2010</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5EF008E4"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2011</w:t>
            </w:r>
          </w:p>
        </w:tc>
        <w:tc>
          <w:tcPr>
            <w:tcW w:w="541" w:type="dxa"/>
            <w:tcBorders>
              <w:top w:val="single" w:sz="8" w:space="0" w:color="auto"/>
              <w:left w:val="nil"/>
              <w:bottom w:val="nil"/>
              <w:right w:val="single" w:sz="8" w:space="0" w:color="auto"/>
            </w:tcBorders>
            <w:shd w:val="clear" w:color="auto" w:fill="C2D69B" w:themeFill="accent3" w:themeFillTint="99"/>
            <w:vAlign w:val="center"/>
            <w:hideMark/>
          </w:tcPr>
          <w:p w14:paraId="3991EAB8"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2012</w:t>
            </w:r>
          </w:p>
        </w:tc>
        <w:tc>
          <w:tcPr>
            <w:tcW w:w="783" w:type="dxa"/>
            <w:tcBorders>
              <w:top w:val="single" w:sz="8" w:space="0" w:color="auto"/>
              <w:left w:val="nil"/>
              <w:bottom w:val="nil"/>
              <w:right w:val="single" w:sz="8" w:space="0" w:color="auto"/>
            </w:tcBorders>
            <w:shd w:val="clear" w:color="auto" w:fill="C2D69B" w:themeFill="accent3" w:themeFillTint="99"/>
            <w:vAlign w:val="center"/>
            <w:hideMark/>
          </w:tcPr>
          <w:p w14:paraId="2DE67128"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2013</w:t>
            </w:r>
          </w:p>
        </w:tc>
        <w:tc>
          <w:tcPr>
            <w:tcW w:w="496" w:type="dxa"/>
            <w:tcBorders>
              <w:top w:val="single" w:sz="8" w:space="0" w:color="auto"/>
              <w:left w:val="nil"/>
              <w:bottom w:val="nil"/>
              <w:right w:val="single" w:sz="8" w:space="0" w:color="auto"/>
            </w:tcBorders>
            <w:shd w:val="clear" w:color="auto" w:fill="C2D69B" w:themeFill="accent3" w:themeFillTint="99"/>
            <w:vAlign w:val="center"/>
            <w:hideMark/>
          </w:tcPr>
          <w:p w14:paraId="7C8FDCFA"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2014</w:t>
            </w:r>
          </w:p>
        </w:tc>
        <w:tc>
          <w:tcPr>
            <w:tcW w:w="737" w:type="dxa"/>
            <w:tcBorders>
              <w:top w:val="single" w:sz="8" w:space="0" w:color="auto"/>
              <w:left w:val="nil"/>
              <w:bottom w:val="nil"/>
              <w:right w:val="single" w:sz="8" w:space="0" w:color="auto"/>
            </w:tcBorders>
            <w:shd w:val="clear" w:color="auto" w:fill="C2D69B" w:themeFill="accent3" w:themeFillTint="99"/>
            <w:vAlign w:val="center"/>
            <w:hideMark/>
          </w:tcPr>
          <w:p w14:paraId="361D4DAB"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2015</w:t>
            </w:r>
          </w:p>
        </w:tc>
        <w:tc>
          <w:tcPr>
            <w:tcW w:w="191" w:type="dxa"/>
            <w:tcBorders>
              <w:top w:val="single" w:sz="8" w:space="0" w:color="auto"/>
              <w:left w:val="nil"/>
              <w:bottom w:val="nil"/>
              <w:right w:val="nil"/>
            </w:tcBorders>
            <w:shd w:val="clear" w:color="auto" w:fill="C2D69B" w:themeFill="accent3" w:themeFillTint="99"/>
          </w:tcPr>
          <w:p w14:paraId="12B52BE3" w14:textId="77777777" w:rsidR="00D33CD9" w:rsidRPr="00E21C60" w:rsidRDefault="00D33CD9">
            <w:pPr>
              <w:jc w:val="center"/>
              <w:rPr>
                <w:rFonts w:ascii="Arial" w:hAnsi="Arial" w:cs="Arial"/>
                <w:b/>
                <w:bCs/>
                <w:color w:val="000000"/>
                <w:sz w:val="16"/>
                <w:szCs w:val="16"/>
              </w:rPr>
            </w:pPr>
          </w:p>
        </w:tc>
        <w:tc>
          <w:tcPr>
            <w:tcW w:w="992" w:type="dxa"/>
            <w:tcBorders>
              <w:top w:val="single" w:sz="8" w:space="0" w:color="auto"/>
              <w:left w:val="nil"/>
              <w:bottom w:val="nil"/>
              <w:right w:val="single" w:sz="8" w:space="0" w:color="auto"/>
            </w:tcBorders>
            <w:shd w:val="clear" w:color="auto" w:fill="C2D69B" w:themeFill="accent3" w:themeFillTint="99"/>
            <w:vAlign w:val="center"/>
            <w:hideMark/>
          </w:tcPr>
          <w:p w14:paraId="1D3973DD" w14:textId="14761FF8"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Spolu</w:t>
            </w:r>
          </w:p>
        </w:tc>
        <w:tc>
          <w:tcPr>
            <w:tcW w:w="1354" w:type="dxa"/>
            <w:tcBorders>
              <w:top w:val="single" w:sz="8" w:space="0" w:color="auto"/>
              <w:left w:val="nil"/>
              <w:bottom w:val="nil"/>
              <w:right w:val="single" w:sz="8" w:space="0" w:color="auto"/>
            </w:tcBorders>
            <w:shd w:val="clear" w:color="auto" w:fill="C2D69B" w:themeFill="accent3" w:themeFillTint="99"/>
            <w:vAlign w:val="center"/>
            <w:hideMark/>
          </w:tcPr>
          <w:p w14:paraId="401E977D" w14:textId="77777777" w:rsidR="00D33CD9" w:rsidRPr="00E21C60" w:rsidRDefault="00D33CD9">
            <w:pPr>
              <w:jc w:val="center"/>
              <w:rPr>
                <w:rFonts w:ascii="Arial" w:hAnsi="Arial" w:cs="Arial"/>
                <w:b/>
                <w:bCs/>
                <w:color w:val="000000"/>
                <w:sz w:val="16"/>
                <w:szCs w:val="16"/>
              </w:rPr>
            </w:pPr>
            <w:r w:rsidRPr="00E21C60">
              <w:rPr>
                <w:rFonts w:ascii="Arial" w:hAnsi="Arial" w:cs="Arial"/>
                <w:b/>
                <w:bCs/>
                <w:color w:val="000000"/>
                <w:sz w:val="16"/>
                <w:szCs w:val="16"/>
              </w:rPr>
              <w:t>Komentár</w:t>
            </w:r>
            <w:r w:rsidRPr="00E21C60">
              <w:rPr>
                <w:rFonts w:ascii="Arial" w:hAnsi="Arial" w:cs="Arial"/>
                <w:b/>
                <w:bCs/>
                <w:color w:val="000000"/>
                <w:sz w:val="16"/>
                <w:szCs w:val="16"/>
                <w:vertAlign w:val="superscript"/>
              </w:rPr>
              <w:t>1</w:t>
            </w:r>
          </w:p>
        </w:tc>
      </w:tr>
      <w:tr w:rsidR="00AB3787" w:rsidRPr="00E21C60" w14:paraId="3E2F2A6C"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3A726CD7"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Počet projektov s príspevkom k rovnosti príležitostí [počet]</w:t>
            </w:r>
          </w:p>
        </w:tc>
        <w:tc>
          <w:tcPr>
            <w:tcW w:w="959" w:type="dxa"/>
            <w:tcBorders>
              <w:top w:val="nil"/>
              <w:left w:val="nil"/>
              <w:bottom w:val="dotted" w:sz="4" w:space="0" w:color="auto"/>
              <w:right w:val="single" w:sz="8" w:space="0" w:color="auto"/>
            </w:tcBorders>
            <w:shd w:val="clear" w:color="auto" w:fill="auto"/>
            <w:vAlign w:val="center"/>
            <w:hideMark/>
          </w:tcPr>
          <w:p w14:paraId="52C63BF6"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Dosiahnutý výsledok</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19F72DA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3A9E242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5FDCA0A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55</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2E0C66B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154</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2CCD1C8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198</w:t>
            </w:r>
          </w:p>
        </w:tc>
        <w:tc>
          <w:tcPr>
            <w:tcW w:w="541" w:type="dxa"/>
            <w:tcBorders>
              <w:top w:val="single" w:sz="8" w:space="0" w:color="auto"/>
              <w:left w:val="nil"/>
              <w:bottom w:val="dotted" w:sz="4" w:space="0" w:color="auto"/>
              <w:right w:val="dotted" w:sz="4" w:space="0" w:color="auto"/>
            </w:tcBorders>
            <w:shd w:val="clear" w:color="auto" w:fill="auto"/>
            <w:vAlign w:val="center"/>
            <w:hideMark/>
          </w:tcPr>
          <w:p w14:paraId="53CB1FC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193</w:t>
            </w:r>
          </w:p>
        </w:tc>
        <w:tc>
          <w:tcPr>
            <w:tcW w:w="783" w:type="dxa"/>
            <w:tcBorders>
              <w:top w:val="single" w:sz="8" w:space="0" w:color="auto"/>
              <w:left w:val="nil"/>
              <w:bottom w:val="dotted" w:sz="4" w:space="0" w:color="auto"/>
              <w:right w:val="dotted" w:sz="4" w:space="0" w:color="auto"/>
            </w:tcBorders>
            <w:shd w:val="clear" w:color="auto" w:fill="auto"/>
            <w:vAlign w:val="center"/>
            <w:hideMark/>
          </w:tcPr>
          <w:p w14:paraId="329022B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243</w:t>
            </w:r>
          </w:p>
        </w:tc>
        <w:tc>
          <w:tcPr>
            <w:tcW w:w="496" w:type="dxa"/>
            <w:tcBorders>
              <w:top w:val="single" w:sz="8" w:space="0" w:color="auto"/>
              <w:left w:val="nil"/>
              <w:bottom w:val="dotted" w:sz="4" w:space="0" w:color="auto"/>
              <w:right w:val="dotted" w:sz="4" w:space="0" w:color="auto"/>
            </w:tcBorders>
            <w:shd w:val="clear" w:color="auto" w:fill="auto"/>
            <w:vAlign w:val="center"/>
            <w:hideMark/>
          </w:tcPr>
          <w:p w14:paraId="5E908A24" w14:textId="6FB6DD5A" w:rsidR="00D33CD9" w:rsidRPr="00E21C60" w:rsidRDefault="00D33CD9">
            <w:pPr>
              <w:jc w:val="center"/>
              <w:rPr>
                <w:rFonts w:ascii="Arial" w:hAnsi="Arial" w:cs="Arial"/>
                <w:color w:val="000000"/>
                <w:sz w:val="16"/>
                <w:szCs w:val="16"/>
              </w:rPr>
            </w:pPr>
            <w:r>
              <w:rPr>
                <w:rFonts w:ascii="Arial" w:hAnsi="Arial" w:cs="Arial"/>
                <w:color w:val="000000"/>
                <w:sz w:val="16"/>
                <w:szCs w:val="16"/>
              </w:rPr>
              <w:t>268</w:t>
            </w:r>
          </w:p>
        </w:tc>
        <w:tc>
          <w:tcPr>
            <w:tcW w:w="737" w:type="dxa"/>
            <w:tcBorders>
              <w:top w:val="single" w:sz="8" w:space="0" w:color="auto"/>
              <w:left w:val="nil"/>
              <w:bottom w:val="dotted" w:sz="4" w:space="0" w:color="auto"/>
              <w:right w:val="dotted" w:sz="4" w:space="0" w:color="auto"/>
            </w:tcBorders>
            <w:shd w:val="clear" w:color="auto" w:fill="auto"/>
            <w:vAlign w:val="center"/>
            <w:hideMark/>
          </w:tcPr>
          <w:p w14:paraId="6A1061BD" w14:textId="6654A72F" w:rsidR="00D33CD9" w:rsidRPr="00E21C60" w:rsidRDefault="00053DCE">
            <w:pPr>
              <w:jc w:val="center"/>
              <w:rPr>
                <w:rFonts w:ascii="Arial" w:hAnsi="Arial" w:cs="Arial"/>
                <w:color w:val="000000"/>
                <w:sz w:val="16"/>
                <w:szCs w:val="16"/>
              </w:rPr>
            </w:pPr>
            <w:r>
              <w:rPr>
                <w:rFonts w:ascii="Arial" w:hAnsi="Arial" w:cs="Arial"/>
                <w:color w:val="000000"/>
                <w:sz w:val="16"/>
                <w:szCs w:val="16"/>
              </w:rPr>
              <w:t>243</w:t>
            </w:r>
          </w:p>
        </w:tc>
        <w:tc>
          <w:tcPr>
            <w:tcW w:w="191" w:type="dxa"/>
            <w:tcBorders>
              <w:top w:val="single" w:sz="8" w:space="0" w:color="auto"/>
              <w:left w:val="nil"/>
              <w:bottom w:val="dotted" w:sz="4" w:space="0" w:color="auto"/>
              <w:right w:val="nil"/>
            </w:tcBorders>
          </w:tcPr>
          <w:p w14:paraId="718D5EFE" w14:textId="77777777" w:rsidR="00D33CD9" w:rsidRPr="00D33CD9" w:rsidRDefault="00D33CD9">
            <w:pPr>
              <w:jc w:val="center"/>
              <w:rPr>
                <w:rFonts w:ascii="Arial" w:hAnsi="Arial" w:cs="Arial"/>
                <w:color w:val="000000"/>
                <w:sz w:val="16"/>
                <w:szCs w:val="16"/>
                <w:highlight w:val="yellow"/>
              </w:rPr>
            </w:pPr>
          </w:p>
        </w:tc>
        <w:tc>
          <w:tcPr>
            <w:tcW w:w="992" w:type="dxa"/>
            <w:tcBorders>
              <w:top w:val="single" w:sz="8" w:space="0" w:color="auto"/>
              <w:left w:val="nil"/>
              <w:bottom w:val="dotted" w:sz="4" w:space="0" w:color="auto"/>
              <w:right w:val="dotted" w:sz="4" w:space="0" w:color="auto"/>
            </w:tcBorders>
            <w:shd w:val="clear" w:color="auto" w:fill="auto"/>
            <w:vAlign w:val="center"/>
            <w:hideMark/>
          </w:tcPr>
          <w:p w14:paraId="118287A0" w14:textId="589E9DEC" w:rsidR="00D33CD9" w:rsidRPr="00E21C60" w:rsidRDefault="00053DCE">
            <w:pPr>
              <w:jc w:val="center"/>
              <w:rPr>
                <w:rFonts w:ascii="Arial" w:hAnsi="Arial" w:cs="Arial"/>
                <w:color w:val="000000"/>
                <w:sz w:val="16"/>
                <w:szCs w:val="16"/>
              </w:rPr>
            </w:pPr>
            <w:r>
              <w:rPr>
                <w:rFonts w:ascii="Arial" w:hAnsi="Arial" w:cs="Arial"/>
                <w:color w:val="000000"/>
                <w:sz w:val="16"/>
                <w:szCs w:val="16"/>
              </w:rPr>
              <w:t>240</w:t>
            </w:r>
          </w:p>
        </w:tc>
        <w:tc>
          <w:tcPr>
            <w:tcW w:w="1354" w:type="dxa"/>
            <w:tcBorders>
              <w:top w:val="single" w:sz="8" w:space="0" w:color="auto"/>
              <w:left w:val="nil"/>
              <w:bottom w:val="dotted" w:sz="4" w:space="0" w:color="auto"/>
              <w:right w:val="single" w:sz="8" w:space="0" w:color="auto"/>
            </w:tcBorders>
            <w:shd w:val="clear" w:color="auto" w:fill="auto"/>
            <w:vAlign w:val="center"/>
            <w:hideMark/>
          </w:tcPr>
          <w:p w14:paraId="5799B12F" w14:textId="70517116" w:rsidR="00D33CD9" w:rsidRPr="00E21C60" w:rsidRDefault="00053DCE">
            <w:pPr>
              <w:jc w:val="center"/>
              <w:rPr>
                <w:rFonts w:ascii="Arial" w:hAnsi="Arial" w:cs="Arial"/>
                <w:color w:val="000000"/>
                <w:sz w:val="16"/>
                <w:szCs w:val="16"/>
              </w:rPr>
            </w:pPr>
            <w:r>
              <w:rPr>
                <w:rFonts w:ascii="Arial" w:hAnsi="Arial" w:cs="Arial"/>
                <w:color w:val="000000"/>
                <w:sz w:val="16"/>
                <w:szCs w:val="16"/>
              </w:rPr>
              <w:t>238</w:t>
            </w:r>
          </w:p>
        </w:tc>
      </w:tr>
      <w:tr w:rsidR="00AB3787" w:rsidRPr="00E21C60" w14:paraId="5AB4641F"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327B3C9D" w14:textId="77777777" w:rsidR="00D33CD9" w:rsidRPr="00E21C60" w:rsidRDefault="00D33CD9">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3CD12289"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3E26B0E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D5D13D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6CEDFF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973F8C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11CAF0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6473A89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dotted" w:sz="4" w:space="0" w:color="auto"/>
              <w:right w:val="dotted" w:sz="4" w:space="0" w:color="auto"/>
            </w:tcBorders>
            <w:shd w:val="clear" w:color="auto" w:fill="auto"/>
            <w:vAlign w:val="center"/>
            <w:hideMark/>
          </w:tcPr>
          <w:p w14:paraId="441764C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5082CBF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44D68A4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210</w:t>
            </w:r>
          </w:p>
        </w:tc>
        <w:tc>
          <w:tcPr>
            <w:tcW w:w="191" w:type="dxa"/>
            <w:tcBorders>
              <w:top w:val="nil"/>
              <w:left w:val="nil"/>
              <w:bottom w:val="dotted" w:sz="4" w:space="0" w:color="auto"/>
              <w:right w:val="nil"/>
            </w:tcBorders>
          </w:tcPr>
          <w:p w14:paraId="3A6DACB0" w14:textId="77777777" w:rsidR="00D33CD9" w:rsidRPr="00E21C60"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7582D82C" w14:textId="57823D11"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210</w:t>
            </w:r>
          </w:p>
        </w:tc>
        <w:tc>
          <w:tcPr>
            <w:tcW w:w="1354" w:type="dxa"/>
            <w:tcBorders>
              <w:top w:val="nil"/>
              <w:left w:val="nil"/>
              <w:bottom w:val="dotted" w:sz="4" w:space="0" w:color="auto"/>
              <w:right w:val="single" w:sz="8" w:space="0" w:color="auto"/>
            </w:tcBorders>
            <w:shd w:val="clear" w:color="auto" w:fill="auto"/>
            <w:vAlign w:val="center"/>
            <w:hideMark/>
          </w:tcPr>
          <w:p w14:paraId="37ABF3C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783A7D2A"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5571EE00"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0EC44FB1"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1C31FD0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44C523E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59FF226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2BD74F7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E113D3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766703E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690EB94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4E676F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486FA97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single" w:sz="8" w:space="0" w:color="auto"/>
              <w:right w:val="nil"/>
            </w:tcBorders>
          </w:tcPr>
          <w:p w14:paraId="755797B7" w14:textId="77777777" w:rsidR="00D33CD9" w:rsidRPr="00E21C60"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7EC5273F" w14:textId="1C86AAEA"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6C7FA71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3120B794"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76E0A3AC" w14:textId="0D926F0F" w:rsidR="00D33CD9" w:rsidRPr="00E21C60" w:rsidRDefault="00D33CD9">
            <w:pPr>
              <w:rPr>
                <w:rFonts w:ascii="Arial" w:hAnsi="Arial" w:cs="Arial"/>
                <w:color w:val="000000"/>
                <w:sz w:val="16"/>
                <w:szCs w:val="16"/>
              </w:rPr>
            </w:pPr>
            <w:r w:rsidRPr="00E21C60">
              <w:rPr>
                <w:rFonts w:ascii="Arial" w:hAnsi="Arial" w:cs="Arial"/>
                <w:color w:val="000000"/>
                <w:sz w:val="16"/>
                <w:szCs w:val="16"/>
              </w:rPr>
              <w:t>Hodnota projektov s príspevkom k rovnosti príležitostí [</w:t>
            </w:r>
            <w:r w:rsidR="00366C2D">
              <w:rPr>
                <w:rFonts w:ascii="Arial" w:hAnsi="Arial" w:cs="Arial"/>
                <w:color w:val="000000"/>
                <w:sz w:val="16"/>
                <w:szCs w:val="16"/>
              </w:rPr>
              <w:t>€</w:t>
            </w:r>
            <w:r w:rsidRPr="00E21C60">
              <w:rPr>
                <w:rFonts w:ascii="Arial" w:hAnsi="Arial" w:cs="Arial"/>
                <w:color w:val="000000"/>
                <w:sz w:val="16"/>
                <w:szCs w:val="16"/>
              </w:rPr>
              <w:t>]</w:t>
            </w:r>
          </w:p>
        </w:tc>
        <w:tc>
          <w:tcPr>
            <w:tcW w:w="959" w:type="dxa"/>
            <w:tcBorders>
              <w:top w:val="nil"/>
              <w:left w:val="nil"/>
              <w:bottom w:val="dotted" w:sz="4" w:space="0" w:color="auto"/>
              <w:right w:val="single" w:sz="8" w:space="0" w:color="auto"/>
            </w:tcBorders>
            <w:shd w:val="clear" w:color="auto" w:fill="auto"/>
            <w:vAlign w:val="center"/>
            <w:hideMark/>
          </w:tcPr>
          <w:p w14:paraId="22F40196"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05ED93F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06520E4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4F9647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112</w:t>
            </w:r>
            <w:r w:rsidRPr="00E21C60">
              <w:rPr>
                <w:rFonts w:ascii="Arial" w:hAnsi="Arial" w:cs="Arial"/>
                <w:color w:val="000000"/>
                <w:sz w:val="16"/>
                <w:szCs w:val="16"/>
              </w:rPr>
              <w:br/>
              <w:t>079</w:t>
            </w:r>
            <w:r w:rsidRPr="00E21C60">
              <w:rPr>
                <w:rFonts w:ascii="Arial" w:hAnsi="Arial" w:cs="Arial"/>
                <w:color w:val="000000"/>
                <w:sz w:val="16"/>
                <w:szCs w:val="16"/>
              </w:rPr>
              <w:br/>
              <w:t>864</w:t>
            </w:r>
          </w:p>
        </w:tc>
        <w:tc>
          <w:tcPr>
            <w:tcW w:w="496" w:type="dxa"/>
            <w:tcBorders>
              <w:top w:val="nil"/>
              <w:left w:val="nil"/>
              <w:bottom w:val="dotted" w:sz="4" w:space="0" w:color="auto"/>
              <w:right w:val="dotted" w:sz="4" w:space="0" w:color="auto"/>
            </w:tcBorders>
            <w:shd w:val="clear" w:color="auto" w:fill="auto"/>
            <w:vAlign w:val="center"/>
            <w:hideMark/>
          </w:tcPr>
          <w:p w14:paraId="3E904AC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343</w:t>
            </w:r>
            <w:r w:rsidRPr="00E21C60">
              <w:rPr>
                <w:rFonts w:ascii="Arial" w:hAnsi="Arial" w:cs="Arial"/>
                <w:color w:val="000000"/>
                <w:sz w:val="16"/>
                <w:szCs w:val="16"/>
              </w:rPr>
              <w:br/>
              <w:t>383</w:t>
            </w:r>
            <w:r w:rsidRPr="00E21C60">
              <w:rPr>
                <w:rFonts w:ascii="Arial" w:hAnsi="Arial" w:cs="Arial"/>
                <w:color w:val="000000"/>
                <w:sz w:val="16"/>
                <w:szCs w:val="16"/>
              </w:rPr>
              <w:br/>
              <w:t>727</w:t>
            </w:r>
          </w:p>
        </w:tc>
        <w:tc>
          <w:tcPr>
            <w:tcW w:w="496" w:type="dxa"/>
            <w:tcBorders>
              <w:top w:val="nil"/>
              <w:left w:val="nil"/>
              <w:bottom w:val="dotted" w:sz="4" w:space="0" w:color="auto"/>
              <w:right w:val="dotted" w:sz="4" w:space="0" w:color="auto"/>
            </w:tcBorders>
            <w:shd w:val="clear" w:color="auto" w:fill="auto"/>
            <w:vAlign w:val="center"/>
            <w:hideMark/>
          </w:tcPr>
          <w:p w14:paraId="40917F7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410</w:t>
            </w:r>
            <w:r w:rsidRPr="00E21C60">
              <w:rPr>
                <w:rFonts w:ascii="Arial" w:hAnsi="Arial" w:cs="Arial"/>
                <w:color w:val="000000"/>
                <w:sz w:val="16"/>
                <w:szCs w:val="16"/>
              </w:rPr>
              <w:br/>
              <w:t>553</w:t>
            </w:r>
            <w:r w:rsidRPr="00E21C60">
              <w:rPr>
                <w:rFonts w:ascii="Arial" w:hAnsi="Arial" w:cs="Arial"/>
                <w:color w:val="000000"/>
                <w:sz w:val="16"/>
                <w:szCs w:val="16"/>
              </w:rPr>
              <w:br/>
              <w:t>071</w:t>
            </w:r>
          </w:p>
        </w:tc>
        <w:tc>
          <w:tcPr>
            <w:tcW w:w="541" w:type="dxa"/>
            <w:tcBorders>
              <w:top w:val="nil"/>
              <w:left w:val="nil"/>
              <w:bottom w:val="dotted" w:sz="4" w:space="0" w:color="auto"/>
              <w:right w:val="dotted" w:sz="4" w:space="0" w:color="auto"/>
            </w:tcBorders>
            <w:shd w:val="clear" w:color="auto" w:fill="auto"/>
            <w:vAlign w:val="center"/>
            <w:hideMark/>
          </w:tcPr>
          <w:p w14:paraId="28D3195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574</w:t>
            </w:r>
            <w:r w:rsidRPr="00E21C60">
              <w:rPr>
                <w:rFonts w:ascii="Arial" w:hAnsi="Arial" w:cs="Arial"/>
                <w:color w:val="000000"/>
                <w:sz w:val="16"/>
                <w:szCs w:val="16"/>
              </w:rPr>
              <w:br/>
              <w:t>417</w:t>
            </w:r>
            <w:r w:rsidRPr="00E21C60">
              <w:rPr>
                <w:rFonts w:ascii="Arial" w:hAnsi="Arial" w:cs="Arial"/>
                <w:color w:val="000000"/>
                <w:sz w:val="16"/>
                <w:szCs w:val="16"/>
              </w:rPr>
              <w:br/>
              <w:t>631</w:t>
            </w:r>
          </w:p>
        </w:tc>
        <w:tc>
          <w:tcPr>
            <w:tcW w:w="783" w:type="dxa"/>
            <w:tcBorders>
              <w:top w:val="nil"/>
              <w:left w:val="nil"/>
              <w:bottom w:val="dotted" w:sz="4" w:space="0" w:color="auto"/>
              <w:right w:val="dotted" w:sz="4" w:space="0" w:color="auto"/>
            </w:tcBorders>
            <w:shd w:val="clear" w:color="auto" w:fill="auto"/>
            <w:vAlign w:val="center"/>
            <w:hideMark/>
          </w:tcPr>
          <w:p w14:paraId="45812D0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629 843 139</w:t>
            </w:r>
          </w:p>
        </w:tc>
        <w:tc>
          <w:tcPr>
            <w:tcW w:w="496" w:type="dxa"/>
            <w:tcBorders>
              <w:top w:val="nil"/>
              <w:left w:val="nil"/>
              <w:bottom w:val="dotted" w:sz="4" w:space="0" w:color="auto"/>
              <w:right w:val="dotted" w:sz="4" w:space="0" w:color="auto"/>
            </w:tcBorders>
            <w:shd w:val="clear" w:color="auto" w:fill="auto"/>
            <w:vAlign w:val="center"/>
            <w:hideMark/>
          </w:tcPr>
          <w:p w14:paraId="07A82A87" w14:textId="77777777" w:rsidR="00D33CD9" w:rsidRDefault="00D33CD9">
            <w:pPr>
              <w:jc w:val="center"/>
              <w:rPr>
                <w:rFonts w:ascii="Arial" w:hAnsi="Arial" w:cs="Arial"/>
                <w:color w:val="000000"/>
                <w:sz w:val="16"/>
                <w:szCs w:val="16"/>
              </w:rPr>
            </w:pPr>
            <w:r w:rsidRPr="00436333">
              <w:rPr>
                <w:rFonts w:ascii="Arial" w:hAnsi="Arial" w:cs="Arial"/>
                <w:color w:val="000000"/>
                <w:sz w:val="16"/>
                <w:szCs w:val="16"/>
              </w:rPr>
              <w:t>662</w:t>
            </w:r>
            <w:r>
              <w:rPr>
                <w:rFonts w:ascii="Arial" w:hAnsi="Arial" w:cs="Arial"/>
                <w:color w:val="000000"/>
                <w:sz w:val="16"/>
                <w:szCs w:val="16"/>
              </w:rPr>
              <w:t> </w:t>
            </w:r>
            <w:r w:rsidRPr="00436333">
              <w:rPr>
                <w:rFonts w:ascii="Arial" w:hAnsi="Arial" w:cs="Arial"/>
                <w:color w:val="000000"/>
                <w:sz w:val="16"/>
                <w:szCs w:val="16"/>
              </w:rPr>
              <w:t>109</w:t>
            </w:r>
          </w:p>
          <w:p w14:paraId="59742222" w14:textId="66D00079" w:rsidR="00D33CD9" w:rsidRPr="00E21C60" w:rsidRDefault="00D33CD9">
            <w:pPr>
              <w:jc w:val="center"/>
              <w:rPr>
                <w:rFonts w:ascii="Arial" w:hAnsi="Arial" w:cs="Arial"/>
                <w:color w:val="000000"/>
                <w:sz w:val="16"/>
                <w:szCs w:val="16"/>
              </w:rPr>
            </w:pPr>
            <w:r w:rsidRPr="00436333">
              <w:rPr>
                <w:rFonts w:ascii="Arial" w:hAnsi="Arial" w:cs="Arial"/>
                <w:color w:val="000000"/>
                <w:sz w:val="16"/>
                <w:szCs w:val="16"/>
              </w:rPr>
              <w:t>270,12</w:t>
            </w:r>
          </w:p>
        </w:tc>
        <w:tc>
          <w:tcPr>
            <w:tcW w:w="737" w:type="dxa"/>
            <w:tcBorders>
              <w:top w:val="nil"/>
              <w:left w:val="nil"/>
              <w:bottom w:val="dotted" w:sz="4" w:space="0" w:color="auto"/>
              <w:right w:val="dotted" w:sz="4" w:space="0" w:color="auto"/>
            </w:tcBorders>
            <w:shd w:val="clear" w:color="auto" w:fill="auto"/>
            <w:vAlign w:val="center"/>
            <w:hideMark/>
          </w:tcPr>
          <w:p w14:paraId="574E48D1" w14:textId="511C6041" w:rsidR="00D33CD9" w:rsidRPr="00E21C60" w:rsidRDefault="00053DCE">
            <w:pPr>
              <w:jc w:val="center"/>
              <w:rPr>
                <w:rFonts w:ascii="Arial" w:hAnsi="Arial" w:cs="Arial"/>
                <w:color w:val="000000"/>
                <w:sz w:val="16"/>
                <w:szCs w:val="16"/>
              </w:rPr>
            </w:pPr>
            <w:r>
              <w:rPr>
                <w:rFonts w:ascii="Arial" w:hAnsi="Arial" w:cs="Arial"/>
                <w:color w:val="000000"/>
                <w:sz w:val="16"/>
                <w:szCs w:val="16"/>
              </w:rPr>
              <w:t>603 900 978,81</w:t>
            </w:r>
          </w:p>
        </w:tc>
        <w:tc>
          <w:tcPr>
            <w:tcW w:w="191" w:type="dxa"/>
            <w:tcBorders>
              <w:top w:val="nil"/>
              <w:left w:val="nil"/>
              <w:bottom w:val="dotted" w:sz="4" w:space="0" w:color="auto"/>
              <w:right w:val="nil"/>
            </w:tcBorders>
          </w:tcPr>
          <w:p w14:paraId="6B9DD315" w14:textId="77777777" w:rsidR="00D33CD9" w:rsidRPr="00D33CD9" w:rsidRDefault="00D33CD9">
            <w:pPr>
              <w:jc w:val="center"/>
              <w:rPr>
                <w:rFonts w:ascii="Arial" w:hAnsi="Arial" w:cs="Arial"/>
                <w:color w:val="000000"/>
                <w:sz w:val="16"/>
                <w:szCs w:val="16"/>
                <w:highlight w:val="yellow"/>
              </w:rPr>
            </w:pPr>
          </w:p>
        </w:tc>
        <w:tc>
          <w:tcPr>
            <w:tcW w:w="992" w:type="dxa"/>
            <w:tcBorders>
              <w:top w:val="nil"/>
              <w:left w:val="nil"/>
              <w:bottom w:val="dotted" w:sz="4" w:space="0" w:color="auto"/>
              <w:right w:val="dotted" w:sz="4" w:space="0" w:color="auto"/>
            </w:tcBorders>
            <w:shd w:val="clear" w:color="auto" w:fill="auto"/>
            <w:vAlign w:val="center"/>
            <w:hideMark/>
          </w:tcPr>
          <w:p w14:paraId="1BBCEF45" w14:textId="1B65FAA8" w:rsidR="00D33CD9" w:rsidRPr="00E21C60" w:rsidRDefault="00053DCE" w:rsidP="00590529">
            <w:pPr>
              <w:ind w:left="-124" w:hanging="400"/>
              <w:jc w:val="right"/>
              <w:rPr>
                <w:rFonts w:ascii="Arial" w:hAnsi="Arial" w:cs="Arial"/>
                <w:color w:val="000000"/>
                <w:sz w:val="16"/>
                <w:szCs w:val="16"/>
              </w:rPr>
            </w:pPr>
            <w:r>
              <w:rPr>
                <w:rFonts w:ascii="Arial" w:hAnsi="Arial" w:cs="Arial"/>
                <w:color w:val="000000"/>
                <w:sz w:val="16"/>
                <w:szCs w:val="16"/>
              </w:rPr>
              <w:t>597 921 005,11</w:t>
            </w:r>
          </w:p>
        </w:tc>
        <w:tc>
          <w:tcPr>
            <w:tcW w:w="1354" w:type="dxa"/>
            <w:tcBorders>
              <w:top w:val="nil"/>
              <w:left w:val="nil"/>
              <w:bottom w:val="dotted" w:sz="4" w:space="0" w:color="auto"/>
              <w:right w:val="single" w:sz="8" w:space="0" w:color="auto"/>
            </w:tcBorders>
            <w:shd w:val="clear" w:color="auto" w:fill="auto"/>
            <w:vAlign w:val="center"/>
            <w:hideMark/>
          </w:tcPr>
          <w:p w14:paraId="3A33E76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EÚ+ŠR</w:t>
            </w:r>
          </w:p>
          <w:p w14:paraId="74425E1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+VZ</w:t>
            </w:r>
          </w:p>
        </w:tc>
      </w:tr>
      <w:tr w:rsidR="00AB3787" w:rsidRPr="00E21C60" w14:paraId="673533E5"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4F2F8228" w14:textId="77777777" w:rsidR="00D33CD9" w:rsidRPr="00E21C60" w:rsidRDefault="00D33CD9">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6CA106C1"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788D0C3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561AFF7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4C81FF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C7F6AD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F31F28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6A32D33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dotted" w:sz="4" w:space="0" w:color="auto"/>
              <w:right w:val="dotted" w:sz="4" w:space="0" w:color="auto"/>
            </w:tcBorders>
            <w:shd w:val="clear" w:color="auto" w:fill="auto"/>
            <w:vAlign w:val="center"/>
            <w:hideMark/>
          </w:tcPr>
          <w:p w14:paraId="3ADE475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7C63A45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15A40E8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550 </w:t>
            </w:r>
          </w:p>
          <w:p w14:paraId="51CED737" w14:textId="77777777" w:rsidR="00D33CD9" w:rsidRPr="00E21C60" w:rsidRDefault="00D33CD9" w:rsidP="00123376">
            <w:pPr>
              <w:rPr>
                <w:rFonts w:ascii="Arial" w:hAnsi="Arial" w:cs="Arial"/>
                <w:color w:val="000000"/>
                <w:sz w:val="16"/>
                <w:szCs w:val="16"/>
              </w:rPr>
            </w:pPr>
            <w:r w:rsidRPr="00E21C60">
              <w:rPr>
                <w:rFonts w:ascii="Arial" w:hAnsi="Arial" w:cs="Arial"/>
                <w:color w:val="000000"/>
                <w:sz w:val="16"/>
                <w:szCs w:val="16"/>
              </w:rPr>
              <w:t>000 000</w:t>
            </w:r>
          </w:p>
        </w:tc>
        <w:tc>
          <w:tcPr>
            <w:tcW w:w="191" w:type="dxa"/>
            <w:tcBorders>
              <w:top w:val="nil"/>
              <w:left w:val="nil"/>
              <w:bottom w:val="dotted" w:sz="4" w:space="0" w:color="auto"/>
              <w:right w:val="nil"/>
            </w:tcBorders>
          </w:tcPr>
          <w:p w14:paraId="45E67CF3" w14:textId="77777777" w:rsidR="00D33CD9" w:rsidRPr="00E21C60"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6F9A6ED8" w14:textId="5E963AAC" w:rsidR="00D33CD9" w:rsidRPr="00E21C60" w:rsidRDefault="00D33CD9" w:rsidP="00590529">
            <w:pPr>
              <w:ind w:left="-124" w:hanging="400"/>
              <w:jc w:val="right"/>
              <w:rPr>
                <w:rFonts w:ascii="Arial" w:hAnsi="Arial" w:cs="Arial"/>
                <w:color w:val="000000"/>
                <w:sz w:val="16"/>
                <w:szCs w:val="16"/>
              </w:rPr>
            </w:pPr>
            <w:r w:rsidRPr="00E21C60">
              <w:rPr>
                <w:rFonts w:ascii="Arial" w:hAnsi="Arial" w:cs="Arial"/>
                <w:color w:val="000000"/>
                <w:sz w:val="16"/>
                <w:szCs w:val="16"/>
              </w:rPr>
              <w:t>550</w:t>
            </w:r>
            <w:r w:rsidR="00B53CD4">
              <w:rPr>
                <w:rFonts w:ascii="Arial" w:hAnsi="Arial" w:cs="Arial"/>
                <w:color w:val="000000"/>
                <w:sz w:val="16"/>
                <w:szCs w:val="16"/>
              </w:rPr>
              <w:t> 000 000</w:t>
            </w:r>
          </w:p>
        </w:tc>
        <w:tc>
          <w:tcPr>
            <w:tcW w:w="1354" w:type="dxa"/>
            <w:tcBorders>
              <w:top w:val="nil"/>
              <w:left w:val="nil"/>
              <w:bottom w:val="dotted" w:sz="4" w:space="0" w:color="auto"/>
              <w:right w:val="single" w:sz="8" w:space="0" w:color="auto"/>
            </w:tcBorders>
            <w:shd w:val="clear" w:color="auto" w:fill="auto"/>
            <w:vAlign w:val="center"/>
            <w:hideMark/>
          </w:tcPr>
          <w:p w14:paraId="129B3461" w14:textId="3B40DCD1" w:rsidR="00D33CD9" w:rsidRPr="00E21C60" w:rsidRDefault="00053DCE">
            <w:pPr>
              <w:jc w:val="center"/>
              <w:rPr>
                <w:rFonts w:ascii="Arial" w:hAnsi="Arial" w:cs="Arial"/>
                <w:color w:val="000000"/>
                <w:sz w:val="16"/>
                <w:szCs w:val="16"/>
              </w:rPr>
            </w:pPr>
            <w:r>
              <w:rPr>
                <w:rFonts w:ascii="Arial" w:hAnsi="Arial" w:cs="Arial"/>
                <w:color w:val="000000"/>
                <w:sz w:val="16"/>
                <w:szCs w:val="16"/>
              </w:rPr>
              <w:t>597 921 005</w:t>
            </w:r>
          </w:p>
        </w:tc>
      </w:tr>
      <w:tr w:rsidR="00AB3787" w:rsidRPr="00E21C60" w14:paraId="1AC5E054"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7F14BD0B"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59A53B91"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32EB0B2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7E17E36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57CF45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55B761E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734F90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4643186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170CEA2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657F00B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544AD7E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single" w:sz="8" w:space="0" w:color="auto"/>
              <w:right w:val="nil"/>
            </w:tcBorders>
          </w:tcPr>
          <w:p w14:paraId="5E4161A9" w14:textId="77777777" w:rsidR="00D33CD9" w:rsidRPr="00E21C60"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56488816" w14:textId="36546206"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37999A6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0D637793"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343BA7BF"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 xml:space="preserve">Počet opatrení zabezpečujúcich bezpečný alebo bezbariérový prístup k </w:t>
            </w:r>
            <w:r w:rsidRPr="00E21C60">
              <w:rPr>
                <w:rFonts w:ascii="Arial" w:hAnsi="Arial" w:cs="Arial"/>
                <w:color w:val="000000"/>
                <w:sz w:val="16"/>
                <w:szCs w:val="16"/>
              </w:rPr>
              <w:lastRenderedPageBreak/>
              <w:t>výsledkom projektu [počet]</w:t>
            </w:r>
          </w:p>
        </w:tc>
        <w:tc>
          <w:tcPr>
            <w:tcW w:w="959" w:type="dxa"/>
            <w:tcBorders>
              <w:top w:val="nil"/>
              <w:left w:val="nil"/>
              <w:bottom w:val="dotted" w:sz="4" w:space="0" w:color="auto"/>
              <w:right w:val="single" w:sz="8" w:space="0" w:color="auto"/>
            </w:tcBorders>
            <w:shd w:val="clear" w:color="auto" w:fill="auto"/>
            <w:vAlign w:val="center"/>
            <w:hideMark/>
          </w:tcPr>
          <w:p w14:paraId="6F9F0AD3"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lastRenderedPageBreak/>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436F229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98E978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0E58EBD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w:t>
            </w:r>
          </w:p>
        </w:tc>
        <w:tc>
          <w:tcPr>
            <w:tcW w:w="496" w:type="dxa"/>
            <w:tcBorders>
              <w:top w:val="nil"/>
              <w:left w:val="nil"/>
              <w:bottom w:val="dotted" w:sz="4" w:space="0" w:color="auto"/>
              <w:right w:val="dotted" w:sz="4" w:space="0" w:color="auto"/>
            </w:tcBorders>
            <w:shd w:val="clear" w:color="auto" w:fill="auto"/>
            <w:vAlign w:val="center"/>
            <w:hideMark/>
          </w:tcPr>
          <w:p w14:paraId="045D6FD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19</w:t>
            </w:r>
          </w:p>
        </w:tc>
        <w:tc>
          <w:tcPr>
            <w:tcW w:w="496" w:type="dxa"/>
            <w:tcBorders>
              <w:top w:val="nil"/>
              <w:left w:val="nil"/>
              <w:bottom w:val="dotted" w:sz="4" w:space="0" w:color="auto"/>
              <w:right w:val="dotted" w:sz="4" w:space="0" w:color="auto"/>
            </w:tcBorders>
            <w:shd w:val="clear" w:color="auto" w:fill="auto"/>
            <w:vAlign w:val="center"/>
            <w:hideMark/>
          </w:tcPr>
          <w:p w14:paraId="0F98CD9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20</w:t>
            </w:r>
          </w:p>
        </w:tc>
        <w:tc>
          <w:tcPr>
            <w:tcW w:w="541" w:type="dxa"/>
            <w:tcBorders>
              <w:top w:val="nil"/>
              <w:left w:val="nil"/>
              <w:bottom w:val="dotted" w:sz="4" w:space="0" w:color="auto"/>
              <w:right w:val="dotted" w:sz="4" w:space="0" w:color="auto"/>
            </w:tcBorders>
            <w:shd w:val="clear" w:color="auto" w:fill="auto"/>
            <w:vAlign w:val="center"/>
            <w:hideMark/>
          </w:tcPr>
          <w:p w14:paraId="741514E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20</w:t>
            </w:r>
          </w:p>
        </w:tc>
        <w:tc>
          <w:tcPr>
            <w:tcW w:w="783" w:type="dxa"/>
            <w:tcBorders>
              <w:top w:val="nil"/>
              <w:left w:val="nil"/>
              <w:bottom w:val="dotted" w:sz="4" w:space="0" w:color="auto"/>
              <w:right w:val="dotted" w:sz="4" w:space="0" w:color="auto"/>
            </w:tcBorders>
            <w:shd w:val="clear" w:color="auto" w:fill="auto"/>
            <w:vAlign w:val="center"/>
            <w:hideMark/>
          </w:tcPr>
          <w:p w14:paraId="67D0522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21</w:t>
            </w:r>
          </w:p>
        </w:tc>
        <w:tc>
          <w:tcPr>
            <w:tcW w:w="496" w:type="dxa"/>
            <w:tcBorders>
              <w:top w:val="nil"/>
              <w:left w:val="nil"/>
              <w:bottom w:val="dotted" w:sz="4" w:space="0" w:color="auto"/>
              <w:right w:val="dotted" w:sz="4" w:space="0" w:color="auto"/>
            </w:tcBorders>
            <w:shd w:val="clear" w:color="auto" w:fill="auto"/>
            <w:vAlign w:val="center"/>
            <w:hideMark/>
          </w:tcPr>
          <w:p w14:paraId="3DEBEFBE" w14:textId="31348C09" w:rsidR="00D33CD9" w:rsidRPr="00E21C60" w:rsidRDefault="00D33CD9">
            <w:pPr>
              <w:jc w:val="center"/>
              <w:rPr>
                <w:rFonts w:ascii="Arial" w:hAnsi="Arial" w:cs="Arial"/>
                <w:color w:val="000000"/>
                <w:sz w:val="16"/>
                <w:szCs w:val="16"/>
              </w:rPr>
            </w:pPr>
            <w:r>
              <w:rPr>
                <w:rFonts w:ascii="Arial" w:hAnsi="Arial" w:cs="Arial"/>
                <w:color w:val="000000"/>
                <w:sz w:val="16"/>
                <w:szCs w:val="16"/>
              </w:rPr>
              <w:t>28</w:t>
            </w:r>
          </w:p>
        </w:tc>
        <w:tc>
          <w:tcPr>
            <w:tcW w:w="737" w:type="dxa"/>
            <w:tcBorders>
              <w:top w:val="nil"/>
              <w:left w:val="nil"/>
              <w:bottom w:val="dotted" w:sz="4" w:space="0" w:color="auto"/>
              <w:right w:val="dotted" w:sz="4" w:space="0" w:color="auto"/>
            </w:tcBorders>
            <w:shd w:val="clear" w:color="auto" w:fill="auto"/>
            <w:vAlign w:val="center"/>
            <w:hideMark/>
          </w:tcPr>
          <w:p w14:paraId="1F591C80" w14:textId="09A1CAA5" w:rsidR="00D33CD9" w:rsidRPr="00B53CD4" w:rsidRDefault="00D33CD9">
            <w:pPr>
              <w:jc w:val="center"/>
              <w:rPr>
                <w:rFonts w:ascii="Arial" w:hAnsi="Arial" w:cs="Arial"/>
                <w:color w:val="000000"/>
                <w:sz w:val="16"/>
                <w:szCs w:val="16"/>
              </w:rPr>
            </w:pPr>
            <w:r w:rsidRPr="00590529">
              <w:rPr>
                <w:rFonts w:ascii="Arial" w:hAnsi="Arial" w:cs="Arial"/>
                <w:color w:val="000000"/>
                <w:sz w:val="16"/>
                <w:szCs w:val="16"/>
              </w:rPr>
              <w:t>N/A</w:t>
            </w:r>
          </w:p>
        </w:tc>
        <w:tc>
          <w:tcPr>
            <w:tcW w:w="191" w:type="dxa"/>
            <w:tcBorders>
              <w:top w:val="nil"/>
              <w:left w:val="nil"/>
              <w:bottom w:val="dotted" w:sz="4" w:space="0" w:color="auto"/>
              <w:right w:val="nil"/>
            </w:tcBorders>
          </w:tcPr>
          <w:p w14:paraId="49631CA6" w14:textId="77777777" w:rsidR="00D33CD9" w:rsidRPr="00B53CD4" w:rsidDel="005053BE"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38A71120" w14:textId="159D041E" w:rsidR="00D33CD9" w:rsidRPr="00B53CD4" w:rsidRDefault="00053DCE">
            <w:pPr>
              <w:jc w:val="center"/>
              <w:rPr>
                <w:rFonts w:ascii="Arial" w:hAnsi="Arial" w:cs="Arial"/>
                <w:color w:val="000000"/>
                <w:sz w:val="16"/>
                <w:szCs w:val="16"/>
              </w:rPr>
            </w:pPr>
            <w:r w:rsidRPr="00B53CD4">
              <w:rPr>
                <w:rFonts w:ascii="Arial" w:hAnsi="Arial" w:cs="Arial"/>
                <w:color w:val="000000"/>
                <w:sz w:val="16"/>
                <w:szCs w:val="16"/>
              </w:rPr>
              <w:t>53</w:t>
            </w:r>
          </w:p>
        </w:tc>
        <w:tc>
          <w:tcPr>
            <w:tcW w:w="1354" w:type="dxa"/>
            <w:tcBorders>
              <w:top w:val="nil"/>
              <w:left w:val="nil"/>
              <w:bottom w:val="dotted" w:sz="4" w:space="0" w:color="auto"/>
              <w:right w:val="single" w:sz="8" w:space="0" w:color="auto"/>
            </w:tcBorders>
            <w:shd w:val="clear" w:color="auto" w:fill="auto"/>
            <w:vAlign w:val="center"/>
            <w:hideMark/>
          </w:tcPr>
          <w:p w14:paraId="7C48BC0F" w14:textId="77777777"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 </w:t>
            </w:r>
          </w:p>
        </w:tc>
      </w:tr>
      <w:tr w:rsidR="00AB3787" w:rsidRPr="00E21C60" w14:paraId="05A5181E"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3BEEFA13" w14:textId="77777777" w:rsidR="00D33CD9" w:rsidRPr="00E21C60" w:rsidRDefault="00D33CD9">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59FC832B"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4740E16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1F145C5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B27AF0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C73751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45EE40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675E5B5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dotted" w:sz="4" w:space="0" w:color="auto"/>
              <w:right w:val="dotted" w:sz="4" w:space="0" w:color="auto"/>
            </w:tcBorders>
            <w:shd w:val="clear" w:color="auto" w:fill="auto"/>
            <w:vAlign w:val="center"/>
            <w:hideMark/>
          </w:tcPr>
          <w:p w14:paraId="29E4374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328C07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3D6C2E68" w14:textId="77777777"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25</w:t>
            </w:r>
          </w:p>
        </w:tc>
        <w:tc>
          <w:tcPr>
            <w:tcW w:w="191" w:type="dxa"/>
            <w:tcBorders>
              <w:top w:val="nil"/>
              <w:left w:val="nil"/>
              <w:bottom w:val="dotted" w:sz="4" w:space="0" w:color="auto"/>
              <w:right w:val="nil"/>
            </w:tcBorders>
          </w:tcPr>
          <w:p w14:paraId="3E1C9F6B" w14:textId="77777777" w:rsidR="00D33CD9" w:rsidRPr="00B53CD4"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7A3D26D1" w14:textId="7A4EDA60"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25</w:t>
            </w:r>
          </w:p>
        </w:tc>
        <w:tc>
          <w:tcPr>
            <w:tcW w:w="1354" w:type="dxa"/>
            <w:tcBorders>
              <w:top w:val="nil"/>
              <w:left w:val="nil"/>
              <w:bottom w:val="dotted" w:sz="4" w:space="0" w:color="auto"/>
              <w:right w:val="single" w:sz="8" w:space="0" w:color="auto"/>
            </w:tcBorders>
            <w:shd w:val="clear" w:color="auto" w:fill="auto"/>
            <w:vAlign w:val="center"/>
            <w:hideMark/>
          </w:tcPr>
          <w:p w14:paraId="1707145E" w14:textId="13A8489C" w:rsidR="00D33CD9" w:rsidRPr="00B53CD4" w:rsidRDefault="00D33CD9">
            <w:pPr>
              <w:jc w:val="center"/>
              <w:rPr>
                <w:rFonts w:ascii="Arial" w:hAnsi="Arial" w:cs="Arial"/>
                <w:color w:val="000000"/>
                <w:sz w:val="16"/>
                <w:szCs w:val="16"/>
              </w:rPr>
            </w:pPr>
            <w:r w:rsidRPr="00590529">
              <w:rPr>
                <w:rFonts w:ascii="Arial" w:hAnsi="Arial" w:cs="Arial"/>
                <w:color w:val="000000"/>
                <w:sz w:val="16"/>
                <w:szCs w:val="16"/>
              </w:rPr>
              <w:t>28</w:t>
            </w:r>
          </w:p>
        </w:tc>
      </w:tr>
      <w:tr w:rsidR="00AB3787" w:rsidRPr="00E21C60" w14:paraId="36624A48"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299AF2B1"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385D4831"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6DA75C1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488595F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47D7A91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377F525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2A87A6A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311151F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0081A5B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8BFB13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3CFEE40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single" w:sz="8" w:space="0" w:color="auto"/>
              <w:right w:val="nil"/>
            </w:tcBorders>
          </w:tcPr>
          <w:p w14:paraId="4439525C" w14:textId="77777777" w:rsidR="00D33CD9" w:rsidRPr="00E21C60"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197F8DDF" w14:textId="6B1CA02A"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4D72563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1AE6A895"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73C87EE0"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lastRenderedPageBreak/>
              <w:t>Počet znevýhodnených osôb využívajúcich výsledky projektu/ov [počet]</w:t>
            </w:r>
          </w:p>
        </w:tc>
        <w:tc>
          <w:tcPr>
            <w:tcW w:w="959" w:type="dxa"/>
            <w:tcBorders>
              <w:top w:val="nil"/>
              <w:left w:val="nil"/>
              <w:bottom w:val="dotted" w:sz="4" w:space="0" w:color="auto"/>
              <w:right w:val="single" w:sz="8" w:space="0" w:color="auto"/>
            </w:tcBorders>
            <w:shd w:val="clear" w:color="auto" w:fill="auto"/>
            <w:vAlign w:val="center"/>
            <w:hideMark/>
          </w:tcPr>
          <w:p w14:paraId="6DB84598"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5152B98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6DA52E4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74ECAA9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36592C3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601E6D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300</w:t>
            </w:r>
          </w:p>
        </w:tc>
        <w:tc>
          <w:tcPr>
            <w:tcW w:w="541" w:type="dxa"/>
            <w:tcBorders>
              <w:top w:val="nil"/>
              <w:left w:val="nil"/>
              <w:bottom w:val="dotted" w:sz="4" w:space="0" w:color="auto"/>
              <w:right w:val="dotted" w:sz="4" w:space="0" w:color="auto"/>
            </w:tcBorders>
            <w:shd w:val="clear" w:color="auto" w:fill="auto"/>
            <w:vAlign w:val="center"/>
            <w:hideMark/>
          </w:tcPr>
          <w:p w14:paraId="62027E8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12</w:t>
            </w:r>
          </w:p>
          <w:p w14:paraId="14BDF85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345</w:t>
            </w:r>
          </w:p>
        </w:tc>
        <w:tc>
          <w:tcPr>
            <w:tcW w:w="783" w:type="dxa"/>
            <w:tcBorders>
              <w:top w:val="nil"/>
              <w:left w:val="nil"/>
              <w:bottom w:val="dotted" w:sz="4" w:space="0" w:color="auto"/>
              <w:right w:val="dotted" w:sz="4" w:space="0" w:color="auto"/>
            </w:tcBorders>
            <w:shd w:val="clear" w:color="auto" w:fill="auto"/>
            <w:vAlign w:val="center"/>
            <w:hideMark/>
          </w:tcPr>
          <w:p w14:paraId="56EDB50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12 690</w:t>
            </w:r>
          </w:p>
        </w:tc>
        <w:tc>
          <w:tcPr>
            <w:tcW w:w="496" w:type="dxa"/>
            <w:tcBorders>
              <w:top w:val="nil"/>
              <w:left w:val="nil"/>
              <w:bottom w:val="dotted" w:sz="4" w:space="0" w:color="auto"/>
              <w:right w:val="dotted" w:sz="4" w:space="0" w:color="auto"/>
            </w:tcBorders>
            <w:shd w:val="clear" w:color="auto" w:fill="auto"/>
            <w:vAlign w:val="center"/>
            <w:hideMark/>
          </w:tcPr>
          <w:p w14:paraId="784735BE" w14:textId="44875CD8" w:rsidR="00D33CD9" w:rsidRPr="00E21C60" w:rsidRDefault="00D33CD9">
            <w:pPr>
              <w:jc w:val="center"/>
              <w:rPr>
                <w:rFonts w:ascii="Arial" w:hAnsi="Arial" w:cs="Arial"/>
                <w:color w:val="000000"/>
                <w:sz w:val="16"/>
                <w:szCs w:val="16"/>
              </w:rPr>
            </w:pPr>
            <w:r>
              <w:rPr>
                <w:rFonts w:ascii="Arial" w:hAnsi="Arial" w:cs="Arial"/>
                <w:color w:val="000000"/>
                <w:sz w:val="16"/>
                <w:szCs w:val="16"/>
              </w:rPr>
              <w:t>708</w:t>
            </w:r>
          </w:p>
        </w:tc>
        <w:tc>
          <w:tcPr>
            <w:tcW w:w="737" w:type="dxa"/>
            <w:tcBorders>
              <w:top w:val="nil"/>
              <w:left w:val="nil"/>
              <w:bottom w:val="dotted" w:sz="4" w:space="0" w:color="auto"/>
              <w:right w:val="dotted" w:sz="4" w:space="0" w:color="auto"/>
            </w:tcBorders>
            <w:shd w:val="clear" w:color="auto" w:fill="auto"/>
            <w:vAlign w:val="center"/>
            <w:hideMark/>
          </w:tcPr>
          <w:p w14:paraId="1E85365A" w14:textId="43B3BB34" w:rsidR="001A1436" w:rsidRDefault="001A1436">
            <w:pPr>
              <w:jc w:val="center"/>
              <w:rPr>
                <w:rFonts w:ascii="Arial" w:hAnsi="Arial" w:cs="Arial"/>
                <w:color w:val="000000"/>
                <w:sz w:val="16"/>
                <w:szCs w:val="16"/>
              </w:rPr>
            </w:pPr>
          </w:p>
          <w:p w14:paraId="5EE5B68D" w14:textId="7782ECF7" w:rsidR="00D33CD9" w:rsidRPr="00E21C60" w:rsidRDefault="001A1436">
            <w:pPr>
              <w:jc w:val="center"/>
              <w:rPr>
                <w:rFonts w:ascii="Arial" w:hAnsi="Arial" w:cs="Arial"/>
                <w:color w:val="000000"/>
                <w:sz w:val="16"/>
                <w:szCs w:val="16"/>
              </w:rPr>
            </w:pPr>
            <w:r>
              <w:rPr>
                <w:rFonts w:ascii="Arial" w:hAnsi="Arial" w:cs="Arial"/>
                <w:color w:val="000000"/>
                <w:sz w:val="16"/>
                <w:szCs w:val="16"/>
              </w:rPr>
              <w:t>15 068</w:t>
            </w:r>
          </w:p>
        </w:tc>
        <w:tc>
          <w:tcPr>
            <w:tcW w:w="191" w:type="dxa"/>
            <w:tcBorders>
              <w:top w:val="nil"/>
              <w:left w:val="nil"/>
              <w:bottom w:val="dotted" w:sz="4" w:space="0" w:color="auto"/>
              <w:right w:val="nil"/>
            </w:tcBorders>
          </w:tcPr>
          <w:p w14:paraId="78257926" w14:textId="77777777" w:rsidR="00D33CD9" w:rsidDel="009322A8"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3DAC3A32" w14:textId="61219E98" w:rsidR="001A1436" w:rsidRDefault="001A1436">
            <w:pPr>
              <w:jc w:val="center"/>
              <w:rPr>
                <w:rFonts w:ascii="Arial" w:hAnsi="Arial" w:cs="Arial"/>
                <w:color w:val="000000"/>
                <w:sz w:val="16"/>
                <w:szCs w:val="16"/>
              </w:rPr>
            </w:pPr>
          </w:p>
          <w:p w14:paraId="2D993B3B" w14:textId="134160A4" w:rsidR="00D33CD9" w:rsidRPr="00E21C60" w:rsidRDefault="001A1436">
            <w:pPr>
              <w:jc w:val="center"/>
              <w:rPr>
                <w:rFonts w:ascii="Arial" w:hAnsi="Arial" w:cs="Arial"/>
                <w:color w:val="000000"/>
                <w:sz w:val="16"/>
                <w:szCs w:val="16"/>
              </w:rPr>
            </w:pPr>
            <w:r>
              <w:rPr>
                <w:rFonts w:ascii="Arial" w:hAnsi="Arial" w:cs="Arial"/>
                <w:color w:val="000000"/>
                <w:sz w:val="16"/>
                <w:szCs w:val="16"/>
              </w:rPr>
              <w:t>15 405</w:t>
            </w:r>
          </w:p>
        </w:tc>
        <w:tc>
          <w:tcPr>
            <w:tcW w:w="1354" w:type="dxa"/>
            <w:tcBorders>
              <w:top w:val="nil"/>
              <w:left w:val="nil"/>
              <w:bottom w:val="dotted" w:sz="4" w:space="0" w:color="auto"/>
              <w:right w:val="single" w:sz="8" w:space="0" w:color="auto"/>
            </w:tcBorders>
            <w:shd w:val="clear" w:color="auto" w:fill="auto"/>
            <w:vAlign w:val="center"/>
            <w:hideMark/>
          </w:tcPr>
          <w:p w14:paraId="6A82118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45C70B15"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1DDE1560" w14:textId="77777777" w:rsidR="00D33CD9" w:rsidRPr="00E21C60" w:rsidRDefault="00D33CD9">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6BE6D505"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1187162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669C16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22CF06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10F2F1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E8DEAA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1570FBF1"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dotted" w:sz="4" w:space="0" w:color="auto"/>
              <w:right w:val="dotted" w:sz="4" w:space="0" w:color="auto"/>
            </w:tcBorders>
            <w:shd w:val="clear" w:color="auto" w:fill="auto"/>
            <w:vAlign w:val="center"/>
            <w:hideMark/>
          </w:tcPr>
          <w:p w14:paraId="2A7E012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EFEFC4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5720F1B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15 500</w:t>
            </w:r>
          </w:p>
        </w:tc>
        <w:tc>
          <w:tcPr>
            <w:tcW w:w="191" w:type="dxa"/>
            <w:tcBorders>
              <w:top w:val="nil"/>
              <w:left w:val="nil"/>
              <w:bottom w:val="dotted" w:sz="4" w:space="0" w:color="auto"/>
              <w:right w:val="nil"/>
            </w:tcBorders>
          </w:tcPr>
          <w:p w14:paraId="7AB7AF7E" w14:textId="77777777" w:rsidR="00D33CD9" w:rsidRPr="00E21C60"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25E666C8" w14:textId="50A590FA"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15 500</w:t>
            </w:r>
          </w:p>
        </w:tc>
        <w:tc>
          <w:tcPr>
            <w:tcW w:w="1354" w:type="dxa"/>
            <w:tcBorders>
              <w:top w:val="nil"/>
              <w:left w:val="nil"/>
              <w:bottom w:val="dotted" w:sz="4" w:space="0" w:color="auto"/>
              <w:right w:val="single" w:sz="8" w:space="0" w:color="auto"/>
            </w:tcBorders>
            <w:shd w:val="clear" w:color="auto" w:fill="auto"/>
            <w:vAlign w:val="center"/>
            <w:hideMark/>
          </w:tcPr>
          <w:p w14:paraId="1301C3F3" w14:textId="0FCA563D" w:rsidR="00D33CD9" w:rsidRPr="00E21C60" w:rsidRDefault="00D33CD9">
            <w:pPr>
              <w:jc w:val="center"/>
              <w:rPr>
                <w:rFonts w:ascii="Arial" w:hAnsi="Arial" w:cs="Arial"/>
                <w:color w:val="000000"/>
                <w:sz w:val="16"/>
                <w:szCs w:val="16"/>
              </w:rPr>
            </w:pPr>
            <w:r>
              <w:rPr>
                <w:rFonts w:ascii="Arial" w:hAnsi="Arial" w:cs="Arial"/>
                <w:color w:val="000000"/>
                <w:sz w:val="16"/>
                <w:szCs w:val="16"/>
              </w:rPr>
              <w:t>28 390</w:t>
            </w:r>
          </w:p>
        </w:tc>
      </w:tr>
      <w:tr w:rsidR="00AB3787" w:rsidRPr="00E21C60" w14:paraId="7B2A6D99"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0000FB40"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40B378D4"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402F27C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6C16891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3795F1E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E6CF2F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4B1F0B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396C16B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02B01E7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398E30C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1EF1D87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single" w:sz="8" w:space="0" w:color="auto"/>
              <w:right w:val="nil"/>
            </w:tcBorders>
          </w:tcPr>
          <w:p w14:paraId="372B5CEB" w14:textId="77777777" w:rsidR="00D33CD9" w:rsidRPr="00E21C60"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3F0A81CF" w14:textId="73D46B75"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1122B29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4504BF45"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25BB7481"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Počet žien využívajúcich výsledky projekt [počet]</w:t>
            </w:r>
          </w:p>
        </w:tc>
        <w:tc>
          <w:tcPr>
            <w:tcW w:w="959" w:type="dxa"/>
            <w:tcBorders>
              <w:top w:val="nil"/>
              <w:left w:val="nil"/>
              <w:bottom w:val="single" w:sz="4" w:space="0" w:color="auto"/>
              <w:right w:val="single" w:sz="8" w:space="0" w:color="auto"/>
            </w:tcBorders>
            <w:shd w:val="clear" w:color="auto" w:fill="auto"/>
            <w:vAlign w:val="center"/>
            <w:hideMark/>
          </w:tcPr>
          <w:p w14:paraId="23713E53"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Dosiahnutý výsledok</w:t>
            </w:r>
          </w:p>
        </w:tc>
        <w:tc>
          <w:tcPr>
            <w:tcW w:w="496" w:type="dxa"/>
            <w:tcBorders>
              <w:top w:val="nil"/>
              <w:left w:val="nil"/>
              <w:bottom w:val="single" w:sz="4" w:space="0" w:color="auto"/>
              <w:right w:val="dotted" w:sz="4" w:space="0" w:color="auto"/>
            </w:tcBorders>
            <w:shd w:val="clear" w:color="auto" w:fill="auto"/>
            <w:vAlign w:val="center"/>
            <w:hideMark/>
          </w:tcPr>
          <w:p w14:paraId="4A70B83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4" w:space="0" w:color="auto"/>
              <w:right w:val="dotted" w:sz="4" w:space="0" w:color="auto"/>
            </w:tcBorders>
            <w:shd w:val="clear" w:color="auto" w:fill="auto"/>
            <w:vAlign w:val="center"/>
            <w:hideMark/>
          </w:tcPr>
          <w:p w14:paraId="6158DDF1"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4" w:space="0" w:color="auto"/>
              <w:right w:val="dotted" w:sz="4" w:space="0" w:color="auto"/>
            </w:tcBorders>
            <w:shd w:val="clear" w:color="auto" w:fill="auto"/>
            <w:vAlign w:val="center"/>
            <w:hideMark/>
          </w:tcPr>
          <w:p w14:paraId="294741F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193</w:t>
            </w:r>
          </w:p>
        </w:tc>
        <w:tc>
          <w:tcPr>
            <w:tcW w:w="496" w:type="dxa"/>
            <w:tcBorders>
              <w:top w:val="nil"/>
              <w:left w:val="nil"/>
              <w:bottom w:val="single" w:sz="4" w:space="0" w:color="auto"/>
              <w:right w:val="dotted" w:sz="4" w:space="0" w:color="auto"/>
            </w:tcBorders>
            <w:shd w:val="clear" w:color="auto" w:fill="auto"/>
            <w:vAlign w:val="center"/>
            <w:hideMark/>
          </w:tcPr>
          <w:p w14:paraId="2DBA6B4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18</w:t>
            </w:r>
            <w:r w:rsidRPr="00E21C60">
              <w:rPr>
                <w:rFonts w:ascii="Arial" w:hAnsi="Arial" w:cs="Arial"/>
                <w:color w:val="000000"/>
                <w:sz w:val="16"/>
                <w:szCs w:val="16"/>
              </w:rPr>
              <w:br/>
              <w:t>069</w:t>
            </w:r>
          </w:p>
        </w:tc>
        <w:tc>
          <w:tcPr>
            <w:tcW w:w="496" w:type="dxa"/>
            <w:tcBorders>
              <w:top w:val="nil"/>
              <w:left w:val="nil"/>
              <w:bottom w:val="single" w:sz="4" w:space="0" w:color="auto"/>
              <w:right w:val="dotted" w:sz="4" w:space="0" w:color="auto"/>
            </w:tcBorders>
            <w:shd w:val="clear" w:color="auto" w:fill="auto"/>
            <w:vAlign w:val="center"/>
            <w:hideMark/>
          </w:tcPr>
          <w:p w14:paraId="63B29F1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1213</w:t>
            </w:r>
            <w:r w:rsidRPr="00E21C60">
              <w:rPr>
                <w:rFonts w:ascii="Arial" w:hAnsi="Arial" w:cs="Arial"/>
                <w:color w:val="000000"/>
                <w:sz w:val="16"/>
                <w:szCs w:val="16"/>
              </w:rPr>
              <w:br/>
              <w:t>738</w:t>
            </w:r>
          </w:p>
        </w:tc>
        <w:tc>
          <w:tcPr>
            <w:tcW w:w="541" w:type="dxa"/>
            <w:tcBorders>
              <w:top w:val="nil"/>
              <w:left w:val="nil"/>
              <w:bottom w:val="single" w:sz="4" w:space="0" w:color="auto"/>
              <w:right w:val="dotted" w:sz="4" w:space="0" w:color="auto"/>
            </w:tcBorders>
            <w:shd w:val="clear" w:color="auto" w:fill="auto"/>
            <w:vAlign w:val="center"/>
            <w:hideMark/>
          </w:tcPr>
          <w:p w14:paraId="568E31C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1 726 629</w:t>
            </w:r>
          </w:p>
        </w:tc>
        <w:tc>
          <w:tcPr>
            <w:tcW w:w="783" w:type="dxa"/>
            <w:tcBorders>
              <w:top w:val="nil"/>
              <w:left w:val="nil"/>
              <w:bottom w:val="single" w:sz="4" w:space="0" w:color="auto"/>
              <w:right w:val="dotted" w:sz="4" w:space="0" w:color="auto"/>
            </w:tcBorders>
            <w:shd w:val="clear" w:color="auto" w:fill="auto"/>
            <w:vAlign w:val="center"/>
            <w:hideMark/>
          </w:tcPr>
          <w:p w14:paraId="2819C71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1 388 753</w:t>
            </w:r>
          </w:p>
        </w:tc>
        <w:tc>
          <w:tcPr>
            <w:tcW w:w="496" w:type="dxa"/>
            <w:tcBorders>
              <w:top w:val="nil"/>
              <w:left w:val="nil"/>
              <w:bottom w:val="single" w:sz="4" w:space="0" w:color="auto"/>
              <w:right w:val="dotted" w:sz="4" w:space="0" w:color="auto"/>
            </w:tcBorders>
            <w:shd w:val="clear" w:color="auto" w:fill="auto"/>
            <w:vAlign w:val="center"/>
            <w:hideMark/>
          </w:tcPr>
          <w:p w14:paraId="7FF77E9D" w14:textId="605B27C4" w:rsidR="00D33CD9" w:rsidRPr="00E21C60" w:rsidRDefault="00D33CD9">
            <w:pPr>
              <w:jc w:val="center"/>
              <w:rPr>
                <w:rFonts w:ascii="Arial" w:hAnsi="Arial" w:cs="Arial"/>
                <w:color w:val="000000"/>
                <w:sz w:val="16"/>
                <w:szCs w:val="16"/>
              </w:rPr>
            </w:pPr>
            <w:r>
              <w:rPr>
                <w:rFonts w:ascii="Arial" w:hAnsi="Arial" w:cs="Arial"/>
                <w:color w:val="000000"/>
                <w:sz w:val="16"/>
                <w:szCs w:val="16"/>
              </w:rPr>
              <w:t>570 944</w:t>
            </w:r>
          </w:p>
        </w:tc>
        <w:tc>
          <w:tcPr>
            <w:tcW w:w="737" w:type="dxa"/>
            <w:tcBorders>
              <w:top w:val="nil"/>
              <w:left w:val="nil"/>
              <w:bottom w:val="single" w:sz="4" w:space="0" w:color="auto"/>
              <w:right w:val="dotted" w:sz="4" w:space="0" w:color="auto"/>
            </w:tcBorders>
            <w:shd w:val="clear" w:color="auto" w:fill="auto"/>
            <w:vAlign w:val="center"/>
            <w:hideMark/>
          </w:tcPr>
          <w:p w14:paraId="02D0D055" w14:textId="2E833FA1" w:rsidR="001A1436" w:rsidRDefault="001A1436">
            <w:pPr>
              <w:jc w:val="center"/>
              <w:rPr>
                <w:rFonts w:ascii="Arial" w:hAnsi="Arial" w:cs="Arial"/>
                <w:color w:val="000000"/>
                <w:sz w:val="16"/>
                <w:szCs w:val="16"/>
              </w:rPr>
            </w:pPr>
            <w:r>
              <w:rPr>
                <w:rFonts w:ascii="Arial" w:hAnsi="Arial" w:cs="Arial"/>
                <w:color w:val="000000"/>
                <w:sz w:val="16"/>
                <w:szCs w:val="16"/>
              </w:rPr>
              <w:t>696 431</w:t>
            </w:r>
          </w:p>
          <w:p w14:paraId="54C15541" w14:textId="61CE0BDA" w:rsidR="00D33CD9" w:rsidRPr="00E21C60" w:rsidRDefault="00D33CD9">
            <w:pPr>
              <w:jc w:val="center"/>
              <w:rPr>
                <w:rFonts w:ascii="Arial" w:hAnsi="Arial" w:cs="Arial"/>
                <w:color w:val="000000"/>
                <w:sz w:val="16"/>
                <w:szCs w:val="16"/>
              </w:rPr>
            </w:pPr>
          </w:p>
        </w:tc>
        <w:tc>
          <w:tcPr>
            <w:tcW w:w="191" w:type="dxa"/>
            <w:tcBorders>
              <w:top w:val="nil"/>
              <w:left w:val="nil"/>
              <w:bottom w:val="single" w:sz="4" w:space="0" w:color="auto"/>
              <w:right w:val="nil"/>
            </w:tcBorders>
          </w:tcPr>
          <w:p w14:paraId="13EBEA9B" w14:textId="77777777" w:rsidR="00D33CD9" w:rsidDel="009322A8" w:rsidRDefault="00D33CD9">
            <w:pPr>
              <w:jc w:val="center"/>
              <w:rPr>
                <w:rFonts w:ascii="Arial" w:hAnsi="Arial" w:cs="Arial"/>
                <w:color w:val="000000"/>
                <w:sz w:val="16"/>
                <w:szCs w:val="16"/>
              </w:rPr>
            </w:pPr>
          </w:p>
        </w:tc>
        <w:tc>
          <w:tcPr>
            <w:tcW w:w="992" w:type="dxa"/>
            <w:tcBorders>
              <w:top w:val="nil"/>
              <w:left w:val="nil"/>
              <w:bottom w:val="single" w:sz="4" w:space="0" w:color="auto"/>
              <w:right w:val="dotted" w:sz="4" w:space="0" w:color="auto"/>
            </w:tcBorders>
            <w:shd w:val="clear" w:color="auto" w:fill="auto"/>
            <w:vAlign w:val="center"/>
            <w:hideMark/>
          </w:tcPr>
          <w:p w14:paraId="5F4DBB88" w14:textId="0CCB528B" w:rsidR="001A1436" w:rsidRDefault="001A1436" w:rsidP="00AB3787">
            <w:pPr>
              <w:rPr>
                <w:rFonts w:ascii="Arial" w:hAnsi="Arial" w:cs="Arial"/>
                <w:color w:val="000000"/>
                <w:sz w:val="16"/>
                <w:szCs w:val="16"/>
              </w:rPr>
            </w:pPr>
            <w:r>
              <w:rPr>
                <w:rFonts w:ascii="Arial" w:hAnsi="Arial" w:cs="Arial"/>
                <w:color w:val="000000"/>
                <w:sz w:val="16"/>
                <w:szCs w:val="16"/>
              </w:rPr>
              <w:t>763 311</w:t>
            </w:r>
          </w:p>
          <w:p w14:paraId="17F08126" w14:textId="38A993D8" w:rsidR="00D33CD9" w:rsidRPr="00E21C60" w:rsidRDefault="00D33CD9" w:rsidP="00AB3787">
            <w:pPr>
              <w:rPr>
                <w:rFonts w:ascii="Arial" w:hAnsi="Arial" w:cs="Arial"/>
                <w:color w:val="000000"/>
                <w:sz w:val="16"/>
                <w:szCs w:val="16"/>
              </w:rPr>
            </w:pPr>
          </w:p>
        </w:tc>
        <w:tc>
          <w:tcPr>
            <w:tcW w:w="1354" w:type="dxa"/>
            <w:tcBorders>
              <w:top w:val="nil"/>
              <w:left w:val="nil"/>
              <w:bottom w:val="single" w:sz="4" w:space="0" w:color="auto"/>
              <w:right w:val="single" w:sz="8" w:space="0" w:color="auto"/>
            </w:tcBorders>
            <w:shd w:val="clear" w:color="auto" w:fill="auto"/>
            <w:vAlign w:val="center"/>
            <w:hideMark/>
          </w:tcPr>
          <w:p w14:paraId="00973CD1"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739A337D"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622A8D63" w14:textId="442040B9" w:rsidR="00D33CD9" w:rsidRPr="00E21C60" w:rsidRDefault="00D33CD9">
            <w:pPr>
              <w:rPr>
                <w:rFonts w:ascii="Arial" w:hAnsi="Arial" w:cs="Arial"/>
                <w:color w:val="000000"/>
                <w:sz w:val="16"/>
                <w:szCs w:val="16"/>
              </w:rPr>
            </w:pPr>
          </w:p>
        </w:tc>
        <w:tc>
          <w:tcPr>
            <w:tcW w:w="959" w:type="dxa"/>
            <w:tcBorders>
              <w:top w:val="single" w:sz="4" w:space="0" w:color="auto"/>
              <w:left w:val="nil"/>
              <w:bottom w:val="dotted" w:sz="4" w:space="0" w:color="auto"/>
              <w:right w:val="single" w:sz="8" w:space="0" w:color="auto"/>
            </w:tcBorders>
            <w:shd w:val="clear" w:color="auto" w:fill="auto"/>
            <w:vAlign w:val="center"/>
            <w:hideMark/>
          </w:tcPr>
          <w:p w14:paraId="157EF3AC"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4256C5C1"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15ED66C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4F8C250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4E753D6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02C0A92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single" w:sz="4" w:space="0" w:color="auto"/>
              <w:left w:val="nil"/>
              <w:bottom w:val="dotted" w:sz="4" w:space="0" w:color="auto"/>
              <w:right w:val="dotted" w:sz="4" w:space="0" w:color="auto"/>
            </w:tcBorders>
            <w:shd w:val="clear" w:color="auto" w:fill="auto"/>
            <w:vAlign w:val="center"/>
            <w:hideMark/>
          </w:tcPr>
          <w:p w14:paraId="3425FAC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single" w:sz="4" w:space="0" w:color="auto"/>
              <w:left w:val="nil"/>
              <w:bottom w:val="dotted" w:sz="4" w:space="0" w:color="auto"/>
              <w:right w:val="dotted" w:sz="4" w:space="0" w:color="auto"/>
            </w:tcBorders>
            <w:shd w:val="clear" w:color="auto" w:fill="auto"/>
            <w:vAlign w:val="center"/>
            <w:hideMark/>
          </w:tcPr>
          <w:p w14:paraId="3011CA2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single" w:sz="4" w:space="0" w:color="auto"/>
              <w:left w:val="nil"/>
              <w:bottom w:val="dotted" w:sz="4" w:space="0" w:color="auto"/>
              <w:right w:val="dotted" w:sz="4" w:space="0" w:color="auto"/>
            </w:tcBorders>
            <w:shd w:val="clear" w:color="auto" w:fill="auto"/>
            <w:vAlign w:val="center"/>
            <w:hideMark/>
          </w:tcPr>
          <w:p w14:paraId="35853DA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single" w:sz="4" w:space="0" w:color="auto"/>
              <w:left w:val="nil"/>
              <w:bottom w:val="dotted" w:sz="4" w:space="0" w:color="auto"/>
              <w:right w:val="dotted" w:sz="4" w:space="0" w:color="auto"/>
            </w:tcBorders>
            <w:shd w:val="clear" w:color="auto" w:fill="auto"/>
            <w:vAlign w:val="center"/>
            <w:hideMark/>
          </w:tcPr>
          <w:p w14:paraId="539B9A7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1 600 000</w:t>
            </w:r>
          </w:p>
        </w:tc>
        <w:tc>
          <w:tcPr>
            <w:tcW w:w="191" w:type="dxa"/>
            <w:tcBorders>
              <w:top w:val="single" w:sz="4" w:space="0" w:color="auto"/>
              <w:left w:val="nil"/>
              <w:bottom w:val="dotted" w:sz="4" w:space="0" w:color="auto"/>
              <w:right w:val="nil"/>
            </w:tcBorders>
          </w:tcPr>
          <w:p w14:paraId="3370F789" w14:textId="77777777" w:rsidR="00D33CD9" w:rsidRPr="00E21C60" w:rsidRDefault="00D33CD9">
            <w:pPr>
              <w:jc w:val="center"/>
              <w:rPr>
                <w:rFonts w:ascii="Arial" w:hAnsi="Arial" w:cs="Arial"/>
                <w:color w:val="000000"/>
                <w:sz w:val="16"/>
                <w:szCs w:val="16"/>
              </w:rPr>
            </w:pPr>
          </w:p>
        </w:tc>
        <w:tc>
          <w:tcPr>
            <w:tcW w:w="992" w:type="dxa"/>
            <w:tcBorders>
              <w:top w:val="single" w:sz="4" w:space="0" w:color="auto"/>
              <w:left w:val="nil"/>
              <w:bottom w:val="dotted" w:sz="4" w:space="0" w:color="auto"/>
              <w:right w:val="dotted" w:sz="4" w:space="0" w:color="auto"/>
            </w:tcBorders>
            <w:shd w:val="clear" w:color="auto" w:fill="auto"/>
            <w:vAlign w:val="center"/>
            <w:hideMark/>
          </w:tcPr>
          <w:p w14:paraId="1382B7A8" w14:textId="5C93F6D4"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1 600 000</w:t>
            </w:r>
          </w:p>
        </w:tc>
        <w:tc>
          <w:tcPr>
            <w:tcW w:w="1354" w:type="dxa"/>
            <w:tcBorders>
              <w:top w:val="single" w:sz="4" w:space="0" w:color="auto"/>
              <w:left w:val="nil"/>
              <w:bottom w:val="dotted" w:sz="4" w:space="0" w:color="auto"/>
              <w:right w:val="single" w:sz="8" w:space="0" w:color="auto"/>
            </w:tcBorders>
            <w:shd w:val="clear" w:color="auto" w:fill="auto"/>
            <w:vAlign w:val="center"/>
            <w:hideMark/>
          </w:tcPr>
          <w:p w14:paraId="18CC6061" w14:textId="4E7EFA65" w:rsidR="00D33CD9" w:rsidRPr="00E21C60" w:rsidRDefault="00D33CD9">
            <w:pPr>
              <w:jc w:val="center"/>
              <w:rPr>
                <w:rFonts w:ascii="Arial" w:hAnsi="Arial" w:cs="Arial"/>
                <w:color w:val="000000"/>
                <w:sz w:val="16"/>
                <w:szCs w:val="16"/>
              </w:rPr>
            </w:pPr>
            <w:r>
              <w:rPr>
                <w:rFonts w:ascii="Arial" w:hAnsi="Arial" w:cs="Arial"/>
                <w:color w:val="000000"/>
                <w:sz w:val="16"/>
                <w:szCs w:val="16"/>
              </w:rPr>
              <w:t>1 268 014</w:t>
            </w:r>
          </w:p>
        </w:tc>
      </w:tr>
      <w:tr w:rsidR="00AB3787" w:rsidRPr="00E21C60" w14:paraId="3EF4B7D7"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7DB642D5"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542EF278"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2818C0A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58A2D4E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9CF6C4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2579B40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48FBB73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7BB0E14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4BBEEC8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685F15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0B890DD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single" w:sz="8" w:space="0" w:color="auto"/>
              <w:right w:val="nil"/>
            </w:tcBorders>
          </w:tcPr>
          <w:p w14:paraId="7D166595" w14:textId="77777777" w:rsidR="00D33CD9" w:rsidRPr="00E21C60"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23E5E760" w14:textId="0FD5186A"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45EA0CA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05C786A0"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4D3D8407"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 xml:space="preserve">Podiel počtu žien využívajúcich výsledky projektu na celkovom počte užívateľov (ženy + muži) výsledkov projektu </w:t>
            </w:r>
          </w:p>
        </w:tc>
        <w:tc>
          <w:tcPr>
            <w:tcW w:w="959" w:type="dxa"/>
            <w:tcBorders>
              <w:top w:val="nil"/>
              <w:left w:val="nil"/>
              <w:bottom w:val="dotted" w:sz="4" w:space="0" w:color="auto"/>
              <w:right w:val="single" w:sz="8" w:space="0" w:color="auto"/>
            </w:tcBorders>
            <w:shd w:val="clear" w:color="auto" w:fill="auto"/>
            <w:vAlign w:val="center"/>
            <w:hideMark/>
          </w:tcPr>
          <w:p w14:paraId="4BFEE0FA"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0C09A7E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697AC43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25C5A15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29CC0F2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46F198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0,67</w:t>
            </w:r>
          </w:p>
        </w:tc>
        <w:tc>
          <w:tcPr>
            <w:tcW w:w="541" w:type="dxa"/>
            <w:tcBorders>
              <w:top w:val="nil"/>
              <w:left w:val="nil"/>
              <w:bottom w:val="dotted" w:sz="4" w:space="0" w:color="auto"/>
              <w:right w:val="dotted" w:sz="4" w:space="0" w:color="auto"/>
            </w:tcBorders>
            <w:shd w:val="clear" w:color="auto" w:fill="auto"/>
            <w:vAlign w:val="center"/>
            <w:hideMark/>
          </w:tcPr>
          <w:p w14:paraId="0532096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54,1</w:t>
            </w:r>
          </w:p>
        </w:tc>
        <w:tc>
          <w:tcPr>
            <w:tcW w:w="783" w:type="dxa"/>
            <w:tcBorders>
              <w:top w:val="nil"/>
              <w:left w:val="nil"/>
              <w:bottom w:val="dotted" w:sz="4" w:space="0" w:color="auto"/>
              <w:right w:val="dotted" w:sz="4" w:space="0" w:color="auto"/>
            </w:tcBorders>
            <w:shd w:val="clear" w:color="auto" w:fill="auto"/>
            <w:vAlign w:val="center"/>
            <w:hideMark/>
          </w:tcPr>
          <w:p w14:paraId="6B9FC6A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49,24</w:t>
            </w:r>
          </w:p>
        </w:tc>
        <w:tc>
          <w:tcPr>
            <w:tcW w:w="496" w:type="dxa"/>
            <w:tcBorders>
              <w:top w:val="nil"/>
              <w:left w:val="nil"/>
              <w:bottom w:val="dotted" w:sz="4" w:space="0" w:color="auto"/>
              <w:right w:val="dotted" w:sz="4" w:space="0" w:color="auto"/>
            </w:tcBorders>
            <w:shd w:val="clear" w:color="auto" w:fill="auto"/>
            <w:vAlign w:val="center"/>
            <w:hideMark/>
          </w:tcPr>
          <w:p w14:paraId="6B95CA44" w14:textId="7858D0DA" w:rsidR="00D33CD9" w:rsidRPr="00E21C60" w:rsidRDefault="00D33CD9">
            <w:pPr>
              <w:jc w:val="center"/>
              <w:rPr>
                <w:rFonts w:ascii="Arial" w:hAnsi="Arial" w:cs="Arial"/>
                <w:color w:val="000000"/>
                <w:sz w:val="16"/>
                <w:szCs w:val="16"/>
              </w:rPr>
            </w:pPr>
            <w:r>
              <w:rPr>
                <w:rFonts w:ascii="Arial" w:hAnsi="Arial" w:cs="Arial"/>
                <w:color w:val="000000"/>
                <w:sz w:val="16"/>
                <w:szCs w:val="16"/>
              </w:rPr>
              <w:t>49,83</w:t>
            </w:r>
          </w:p>
        </w:tc>
        <w:tc>
          <w:tcPr>
            <w:tcW w:w="737" w:type="dxa"/>
            <w:tcBorders>
              <w:top w:val="nil"/>
              <w:left w:val="nil"/>
              <w:bottom w:val="dotted" w:sz="4" w:space="0" w:color="auto"/>
              <w:right w:val="dotted" w:sz="4" w:space="0" w:color="auto"/>
            </w:tcBorders>
            <w:shd w:val="clear" w:color="auto" w:fill="auto"/>
            <w:vAlign w:val="center"/>
            <w:hideMark/>
          </w:tcPr>
          <w:p w14:paraId="6C7D7070" w14:textId="77777777" w:rsidR="00D33CD9" w:rsidRPr="00590529" w:rsidRDefault="00D33CD9">
            <w:pPr>
              <w:jc w:val="center"/>
              <w:rPr>
                <w:rFonts w:ascii="Arial" w:hAnsi="Arial" w:cs="Arial"/>
                <w:color w:val="000000"/>
                <w:sz w:val="16"/>
                <w:szCs w:val="16"/>
              </w:rPr>
            </w:pPr>
            <w:r w:rsidRPr="00590529">
              <w:rPr>
                <w:rFonts w:ascii="Arial" w:hAnsi="Arial" w:cs="Arial"/>
                <w:color w:val="000000"/>
                <w:sz w:val="16"/>
                <w:szCs w:val="16"/>
              </w:rPr>
              <w:t>N/A</w:t>
            </w:r>
          </w:p>
        </w:tc>
        <w:tc>
          <w:tcPr>
            <w:tcW w:w="191" w:type="dxa"/>
            <w:tcBorders>
              <w:top w:val="nil"/>
              <w:left w:val="nil"/>
              <w:bottom w:val="dotted" w:sz="4" w:space="0" w:color="auto"/>
              <w:right w:val="nil"/>
            </w:tcBorders>
          </w:tcPr>
          <w:p w14:paraId="4F931F5E" w14:textId="77777777" w:rsidR="00D33CD9" w:rsidRPr="00590529" w:rsidRDefault="00D33CD9" w:rsidP="000910C1">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234F5B85" w14:textId="5F44057B" w:rsidR="00D33CD9" w:rsidRPr="00590529" w:rsidRDefault="00D33CD9" w:rsidP="000910C1">
            <w:pPr>
              <w:jc w:val="center"/>
              <w:rPr>
                <w:rFonts w:ascii="Arial" w:hAnsi="Arial" w:cs="Arial"/>
                <w:color w:val="000000"/>
                <w:sz w:val="16"/>
                <w:szCs w:val="16"/>
              </w:rPr>
            </w:pPr>
            <w:r w:rsidRPr="00590529">
              <w:rPr>
                <w:rFonts w:ascii="Arial" w:hAnsi="Arial" w:cs="Arial"/>
                <w:color w:val="000000"/>
                <w:sz w:val="16"/>
                <w:szCs w:val="16"/>
              </w:rPr>
              <w:t>49,83</w:t>
            </w:r>
          </w:p>
        </w:tc>
        <w:tc>
          <w:tcPr>
            <w:tcW w:w="1354" w:type="dxa"/>
            <w:tcBorders>
              <w:top w:val="nil"/>
              <w:left w:val="nil"/>
              <w:bottom w:val="dotted" w:sz="4" w:space="0" w:color="auto"/>
              <w:right w:val="single" w:sz="8" w:space="0" w:color="auto"/>
            </w:tcBorders>
            <w:shd w:val="clear" w:color="auto" w:fill="auto"/>
            <w:vAlign w:val="center"/>
            <w:hideMark/>
          </w:tcPr>
          <w:p w14:paraId="3676C746" w14:textId="77777777"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 </w:t>
            </w:r>
          </w:p>
        </w:tc>
      </w:tr>
      <w:tr w:rsidR="00AB3787" w:rsidRPr="00E21C60" w14:paraId="7A62C0D4"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52845275" w14:textId="77777777" w:rsidR="00D33CD9" w:rsidRPr="00E21C60" w:rsidRDefault="00D33CD9">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395C4465"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23B8B421"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7FE31CD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46D76A6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5119F81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C4E674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16DE385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dotted" w:sz="4" w:space="0" w:color="auto"/>
              <w:right w:val="dotted" w:sz="4" w:space="0" w:color="auto"/>
            </w:tcBorders>
            <w:shd w:val="clear" w:color="auto" w:fill="auto"/>
            <w:vAlign w:val="center"/>
            <w:hideMark/>
          </w:tcPr>
          <w:p w14:paraId="66231D3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C24C41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59844D0C" w14:textId="77777777"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50</w:t>
            </w:r>
          </w:p>
        </w:tc>
        <w:tc>
          <w:tcPr>
            <w:tcW w:w="191" w:type="dxa"/>
            <w:tcBorders>
              <w:top w:val="nil"/>
              <w:left w:val="nil"/>
              <w:bottom w:val="dotted" w:sz="4" w:space="0" w:color="auto"/>
              <w:right w:val="nil"/>
            </w:tcBorders>
          </w:tcPr>
          <w:p w14:paraId="2C99C88F" w14:textId="77777777" w:rsidR="00D33CD9" w:rsidRPr="00B53CD4"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438CAE56" w14:textId="5A273143"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50</w:t>
            </w:r>
          </w:p>
        </w:tc>
        <w:tc>
          <w:tcPr>
            <w:tcW w:w="1354" w:type="dxa"/>
            <w:tcBorders>
              <w:top w:val="nil"/>
              <w:left w:val="nil"/>
              <w:bottom w:val="dotted" w:sz="4" w:space="0" w:color="auto"/>
              <w:right w:val="single" w:sz="8" w:space="0" w:color="auto"/>
            </w:tcBorders>
            <w:shd w:val="clear" w:color="auto" w:fill="auto"/>
            <w:vAlign w:val="center"/>
            <w:hideMark/>
          </w:tcPr>
          <w:p w14:paraId="0708DF14" w14:textId="77777777"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49,30 %</w:t>
            </w:r>
          </w:p>
        </w:tc>
      </w:tr>
      <w:tr w:rsidR="00AB3787" w:rsidRPr="00E21C60" w14:paraId="248C16A7"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398C788E"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5CF9BD05"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73D5560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5A53773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4F110C8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5C1ACD4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B41A051"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6FB00B81"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4FB64A0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1F42B341"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5CE38DB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single" w:sz="8" w:space="0" w:color="auto"/>
              <w:right w:val="nil"/>
            </w:tcBorders>
          </w:tcPr>
          <w:p w14:paraId="4F72ADE1" w14:textId="77777777" w:rsidR="00D33CD9" w:rsidRPr="00E21C60"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20C196A8" w14:textId="22AFDB09"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3DBD5C5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201A9AC7"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2D4DBC1E"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Počet vytvorených pracovných miest pre znevýhodnené skupiny v dôsledku realizácie projektu [počet]</w:t>
            </w:r>
          </w:p>
        </w:tc>
        <w:tc>
          <w:tcPr>
            <w:tcW w:w="959" w:type="dxa"/>
            <w:tcBorders>
              <w:top w:val="nil"/>
              <w:left w:val="nil"/>
              <w:bottom w:val="dotted" w:sz="4" w:space="0" w:color="auto"/>
              <w:right w:val="single" w:sz="8" w:space="0" w:color="auto"/>
            </w:tcBorders>
            <w:shd w:val="clear" w:color="auto" w:fill="auto"/>
            <w:vAlign w:val="center"/>
            <w:hideMark/>
          </w:tcPr>
          <w:p w14:paraId="1A368E43"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39FC5F21"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21DA571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504B1E7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6CDC754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8</w:t>
            </w:r>
          </w:p>
        </w:tc>
        <w:tc>
          <w:tcPr>
            <w:tcW w:w="496" w:type="dxa"/>
            <w:tcBorders>
              <w:top w:val="nil"/>
              <w:left w:val="nil"/>
              <w:bottom w:val="dotted" w:sz="4" w:space="0" w:color="auto"/>
              <w:right w:val="dotted" w:sz="4" w:space="0" w:color="auto"/>
            </w:tcBorders>
            <w:shd w:val="clear" w:color="auto" w:fill="auto"/>
            <w:vAlign w:val="center"/>
            <w:hideMark/>
          </w:tcPr>
          <w:p w14:paraId="608CDC0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18</w:t>
            </w:r>
          </w:p>
        </w:tc>
        <w:tc>
          <w:tcPr>
            <w:tcW w:w="541" w:type="dxa"/>
            <w:tcBorders>
              <w:top w:val="nil"/>
              <w:left w:val="nil"/>
              <w:bottom w:val="dotted" w:sz="4" w:space="0" w:color="auto"/>
              <w:right w:val="dotted" w:sz="4" w:space="0" w:color="auto"/>
            </w:tcBorders>
            <w:shd w:val="clear" w:color="auto" w:fill="auto"/>
            <w:vAlign w:val="center"/>
            <w:hideMark/>
          </w:tcPr>
          <w:p w14:paraId="16E2808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39</w:t>
            </w:r>
          </w:p>
        </w:tc>
        <w:tc>
          <w:tcPr>
            <w:tcW w:w="783" w:type="dxa"/>
            <w:tcBorders>
              <w:top w:val="nil"/>
              <w:left w:val="nil"/>
              <w:bottom w:val="dotted" w:sz="4" w:space="0" w:color="auto"/>
              <w:right w:val="dotted" w:sz="4" w:space="0" w:color="auto"/>
            </w:tcBorders>
            <w:shd w:val="clear" w:color="auto" w:fill="auto"/>
            <w:vAlign w:val="center"/>
            <w:hideMark/>
          </w:tcPr>
          <w:p w14:paraId="0A691EB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62</w:t>
            </w:r>
          </w:p>
        </w:tc>
        <w:tc>
          <w:tcPr>
            <w:tcW w:w="496" w:type="dxa"/>
            <w:tcBorders>
              <w:top w:val="nil"/>
              <w:left w:val="nil"/>
              <w:bottom w:val="dotted" w:sz="4" w:space="0" w:color="auto"/>
              <w:right w:val="dotted" w:sz="4" w:space="0" w:color="auto"/>
            </w:tcBorders>
            <w:shd w:val="clear" w:color="auto" w:fill="auto"/>
            <w:vAlign w:val="center"/>
            <w:hideMark/>
          </w:tcPr>
          <w:p w14:paraId="7DCC5FB8" w14:textId="7E07F056" w:rsidR="00D33CD9" w:rsidRPr="00E21C60" w:rsidRDefault="00D33CD9">
            <w:pPr>
              <w:jc w:val="center"/>
              <w:rPr>
                <w:rFonts w:ascii="Arial" w:hAnsi="Arial" w:cs="Arial"/>
                <w:color w:val="000000"/>
                <w:sz w:val="16"/>
                <w:szCs w:val="16"/>
              </w:rPr>
            </w:pPr>
            <w:r>
              <w:rPr>
                <w:rFonts w:ascii="Arial" w:hAnsi="Arial" w:cs="Arial"/>
                <w:color w:val="000000"/>
                <w:sz w:val="16"/>
                <w:szCs w:val="16"/>
              </w:rPr>
              <w:t>76</w:t>
            </w:r>
          </w:p>
        </w:tc>
        <w:tc>
          <w:tcPr>
            <w:tcW w:w="737" w:type="dxa"/>
            <w:tcBorders>
              <w:top w:val="nil"/>
              <w:left w:val="nil"/>
              <w:bottom w:val="dotted" w:sz="4" w:space="0" w:color="auto"/>
              <w:right w:val="dotted" w:sz="4" w:space="0" w:color="auto"/>
            </w:tcBorders>
            <w:shd w:val="clear" w:color="auto" w:fill="auto"/>
            <w:vAlign w:val="center"/>
            <w:hideMark/>
          </w:tcPr>
          <w:p w14:paraId="78C22464" w14:textId="5C99A3A7" w:rsidR="001A1436" w:rsidRDefault="001A1436">
            <w:pPr>
              <w:jc w:val="center"/>
              <w:rPr>
                <w:rFonts w:ascii="Arial" w:hAnsi="Arial" w:cs="Arial"/>
                <w:color w:val="000000"/>
                <w:sz w:val="16"/>
                <w:szCs w:val="16"/>
              </w:rPr>
            </w:pPr>
          </w:p>
          <w:p w14:paraId="1BD1BD57" w14:textId="4AFB1999" w:rsidR="00D33CD9" w:rsidRDefault="001A1436">
            <w:pPr>
              <w:jc w:val="center"/>
              <w:rPr>
                <w:rFonts w:ascii="Arial" w:hAnsi="Arial" w:cs="Arial"/>
                <w:color w:val="000000"/>
                <w:sz w:val="16"/>
                <w:szCs w:val="16"/>
              </w:rPr>
            </w:pPr>
            <w:r>
              <w:rPr>
                <w:rFonts w:ascii="Arial" w:hAnsi="Arial" w:cs="Arial"/>
                <w:color w:val="000000"/>
                <w:sz w:val="16"/>
                <w:szCs w:val="16"/>
              </w:rPr>
              <w:t>118</w:t>
            </w:r>
          </w:p>
          <w:p w14:paraId="2480FEBF" w14:textId="437287D5" w:rsidR="001A1436" w:rsidRPr="00E21C60" w:rsidRDefault="001A1436">
            <w:pPr>
              <w:jc w:val="center"/>
              <w:rPr>
                <w:rFonts w:ascii="Arial" w:hAnsi="Arial" w:cs="Arial"/>
                <w:color w:val="000000"/>
                <w:sz w:val="16"/>
                <w:szCs w:val="16"/>
              </w:rPr>
            </w:pPr>
          </w:p>
        </w:tc>
        <w:tc>
          <w:tcPr>
            <w:tcW w:w="191" w:type="dxa"/>
            <w:tcBorders>
              <w:top w:val="nil"/>
              <w:left w:val="nil"/>
              <w:bottom w:val="dotted" w:sz="4" w:space="0" w:color="auto"/>
              <w:right w:val="nil"/>
            </w:tcBorders>
          </w:tcPr>
          <w:p w14:paraId="00DDF262" w14:textId="77777777" w:rsidR="00D33CD9" w:rsidDel="000A2637"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2CE8FC6D" w14:textId="77777777" w:rsidR="001A1436" w:rsidRDefault="001A1436">
            <w:pPr>
              <w:jc w:val="center"/>
              <w:rPr>
                <w:rFonts w:ascii="Arial" w:hAnsi="Arial" w:cs="Arial"/>
                <w:color w:val="000000"/>
                <w:sz w:val="16"/>
                <w:szCs w:val="16"/>
              </w:rPr>
            </w:pPr>
            <w:r>
              <w:rPr>
                <w:rFonts w:ascii="Arial" w:hAnsi="Arial" w:cs="Arial"/>
                <w:color w:val="000000"/>
                <w:sz w:val="16"/>
                <w:szCs w:val="16"/>
              </w:rPr>
              <w:t>142</w:t>
            </w:r>
          </w:p>
          <w:p w14:paraId="03B9A441" w14:textId="0D2823E0" w:rsidR="00D33CD9" w:rsidRPr="00E21C60" w:rsidRDefault="00D33CD9">
            <w:pPr>
              <w:jc w:val="center"/>
              <w:rPr>
                <w:rFonts w:ascii="Arial" w:hAnsi="Arial" w:cs="Arial"/>
                <w:color w:val="000000"/>
                <w:sz w:val="16"/>
                <w:szCs w:val="16"/>
              </w:rPr>
            </w:pPr>
          </w:p>
        </w:tc>
        <w:tc>
          <w:tcPr>
            <w:tcW w:w="1354" w:type="dxa"/>
            <w:tcBorders>
              <w:top w:val="nil"/>
              <w:left w:val="nil"/>
              <w:bottom w:val="dotted" w:sz="4" w:space="0" w:color="auto"/>
              <w:right w:val="single" w:sz="8" w:space="0" w:color="auto"/>
            </w:tcBorders>
            <w:shd w:val="clear" w:color="auto" w:fill="auto"/>
            <w:vAlign w:val="center"/>
            <w:hideMark/>
          </w:tcPr>
          <w:p w14:paraId="03DF144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151E0CF2"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37B07EBD" w14:textId="0128B6CC" w:rsidR="00D33CD9" w:rsidRPr="00E21C60" w:rsidRDefault="00D33CD9">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08FAE637"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1C5E7F6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70499D4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532496D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DBBD0A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94198D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14919D6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dotted" w:sz="4" w:space="0" w:color="auto"/>
              <w:right w:val="dotted" w:sz="4" w:space="0" w:color="auto"/>
            </w:tcBorders>
            <w:shd w:val="clear" w:color="auto" w:fill="auto"/>
            <w:vAlign w:val="center"/>
            <w:hideMark/>
          </w:tcPr>
          <w:p w14:paraId="3150CA8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376101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6353BF3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100</w:t>
            </w:r>
          </w:p>
        </w:tc>
        <w:tc>
          <w:tcPr>
            <w:tcW w:w="191" w:type="dxa"/>
            <w:tcBorders>
              <w:top w:val="nil"/>
              <w:left w:val="nil"/>
              <w:bottom w:val="dotted" w:sz="4" w:space="0" w:color="auto"/>
              <w:right w:val="nil"/>
            </w:tcBorders>
          </w:tcPr>
          <w:p w14:paraId="1CFDC5CD" w14:textId="77777777" w:rsidR="00D33CD9" w:rsidRPr="00E21C60"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1EDB3C55" w14:textId="5DA84F79"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100</w:t>
            </w:r>
          </w:p>
        </w:tc>
        <w:tc>
          <w:tcPr>
            <w:tcW w:w="1354" w:type="dxa"/>
            <w:tcBorders>
              <w:top w:val="nil"/>
              <w:left w:val="nil"/>
              <w:bottom w:val="dotted" w:sz="4" w:space="0" w:color="auto"/>
              <w:right w:val="single" w:sz="8" w:space="0" w:color="auto"/>
            </w:tcBorders>
            <w:shd w:val="clear" w:color="auto" w:fill="auto"/>
            <w:vAlign w:val="center"/>
            <w:hideMark/>
          </w:tcPr>
          <w:p w14:paraId="5BA647D1" w14:textId="2CAE3923" w:rsidR="00D33CD9" w:rsidRPr="00E21C60" w:rsidRDefault="00D33CD9">
            <w:pPr>
              <w:jc w:val="center"/>
              <w:rPr>
                <w:rFonts w:ascii="Arial" w:hAnsi="Arial" w:cs="Arial"/>
                <w:color w:val="000000"/>
                <w:sz w:val="16"/>
                <w:szCs w:val="16"/>
              </w:rPr>
            </w:pPr>
            <w:r>
              <w:rPr>
                <w:rFonts w:ascii="Arial" w:hAnsi="Arial" w:cs="Arial"/>
                <w:color w:val="000000"/>
                <w:sz w:val="16"/>
                <w:szCs w:val="16"/>
              </w:rPr>
              <w:t>502</w:t>
            </w:r>
          </w:p>
        </w:tc>
      </w:tr>
      <w:tr w:rsidR="00AB3787" w:rsidRPr="00E21C60" w14:paraId="57F6B9E4"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3CE36898"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7B307066"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0C54E97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308CA5F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1EC6B4C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48118F1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64ABD8B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2FA609D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0FD49F1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6AE8770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732BCF9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single" w:sz="8" w:space="0" w:color="auto"/>
              <w:right w:val="nil"/>
            </w:tcBorders>
          </w:tcPr>
          <w:p w14:paraId="096C2FB2" w14:textId="77777777" w:rsidR="00D33CD9" w:rsidRPr="00E21C60"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72C7B197" w14:textId="4E9A1D8B"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71F4D0A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12D33990"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2F464475"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Percentuálne zvýšenie zamestnanosti znevýhodnených skupín v dôsledku realizácie projektu [%]</w:t>
            </w:r>
          </w:p>
        </w:tc>
        <w:tc>
          <w:tcPr>
            <w:tcW w:w="959" w:type="dxa"/>
            <w:tcBorders>
              <w:top w:val="nil"/>
              <w:left w:val="nil"/>
              <w:bottom w:val="dotted" w:sz="4" w:space="0" w:color="auto"/>
              <w:right w:val="single" w:sz="8" w:space="0" w:color="auto"/>
            </w:tcBorders>
            <w:shd w:val="clear" w:color="auto" w:fill="auto"/>
            <w:vAlign w:val="center"/>
            <w:hideMark/>
          </w:tcPr>
          <w:p w14:paraId="35BD142C"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31BBA36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0678112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4736557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0A788ED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5,88</w:t>
            </w:r>
          </w:p>
        </w:tc>
        <w:tc>
          <w:tcPr>
            <w:tcW w:w="496" w:type="dxa"/>
            <w:tcBorders>
              <w:top w:val="nil"/>
              <w:left w:val="nil"/>
              <w:bottom w:val="dotted" w:sz="4" w:space="0" w:color="auto"/>
              <w:right w:val="dotted" w:sz="4" w:space="0" w:color="auto"/>
            </w:tcBorders>
            <w:shd w:val="clear" w:color="auto" w:fill="auto"/>
            <w:vAlign w:val="center"/>
            <w:hideMark/>
          </w:tcPr>
          <w:p w14:paraId="4E0CB03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0,03</w:t>
            </w:r>
          </w:p>
        </w:tc>
        <w:tc>
          <w:tcPr>
            <w:tcW w:w="541" w:type="dxa"/>
            <w:tcBorders>
              <w:top w:val="nil"/>
              <w:left w:val="nil"/>
              <w:bottom w:val="dotted" w:sz="4" w:space="0" w:color="auto"/>
              <w:right w:val="dotted" w:sz="4" w:space="0" w:color="auto"/>
            </w:tcBorders>
            <w:shd w:val="clear" w:color="auto" w:fill="auto"/>
            <w:vAlign w:val="center"/>
            <w:hideMark/>
          </w:tcPr>
          <w:p w14:paraId="57CFF25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27,8</w:t>
            </w:r>
          </w:p>
        </w:tc>
        <w:tc>
          <w:tcPr>
            <w:tcW w:w="783" w:type="dxa"/>
            <w:tcBorders>
              <w:top w:val="nil"/>
              <w:left w:val="nil"/>
              <w:bottom w:val="dotted" w:sz="4" w:space="0" w:color="auto"/>
              <w:right w:val="dotted" w:sz="4" w:space="0" w:color="auto"/>
            </w:tcBorders>
            <w:shd w:val="clear" w:color="auto" w:fill="auto"/>
            <w:vAlign w:val="center"/>
            <w:hideMark/>
          </w:tcPr>
          <w:p w14:paraId="5F9193D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36,79</w:t>
            </w:r>
          </w:p>
        </w:tc>
        <w:tc>
          <w:tcPr>
            <w:tcW w:w="496" w:type="dxa"/>
            <w:tcBorders>
              <w:top w:val="nil"/>
              <w:left w:val="nil"/>
              <w:bottom w:val="dotted" w:sz="4" w:space="0" w:color="auto"/>
              <w:right w:val="dotted" w:sz="4" w:space="0" w:color="auto"/>
            </w:tcBorders>
            <w:shd w:val="clear" w:color="auto" w:fill="auto"/>
            <w:vAlign w:val="center"/>
            <w:hideMark/>
          </w:tcPr>
          <w:p w14:paraId="6EE209A1" w14:textId="32D2CB62" w:rsidR="00D33CD9" w:rsidRPr="00E21C60" w:rsidRDefault="00D33CD9">
            <w:pPr>
              <w:jc w:val="center"/>
              <w:rPr>
                <w:rFonts w:ascii="Arial" w:hAnsi="Arial" w:cs="Arial"/>
                <w:color w:val="000000"/>
                <w:sz w:val="16"/>
                <w:szCs w:val="16"/>
              </w:rPr>
            </w:pPr>
            <w:r>
              <w:rPr>
                <w:rFonts w:ascii="Arial" w:hAnsi="Arial" w:cs="Arial"/>
                <w:color w:val="000000"/>
                <w:sz w:val="16"/>
                <w:szCs w:val="16"/>
              </w:rPr>
              <w:t>43,55</w:t>
            </w:r>
          </w:p>
        </w:tc>
        <w:tc>
          <w:tcPr>
            <w:tcW w:w="737" w:type="dxa"/>
            <w:tcBorders>
              <w:top w:val="nil"/>
              <w:left w:val="nil"/>
              <w:bottom w:val="dotted" w:sz="4" w:space="0" w:color="auto"/>
              <w:right w:val="dotted" w:sz="4" w:space="0" w:color="auto"/>
            </w:tcBorders>
            <w:shd w:val="clear" w:color="auto" w:fill="auto"/>
            <w:vAlign w:val="center"/>
            <w:hideMark/>
          </w:tcPr>
          <w:p w14:paraId="709853DB" w14:textId="77777777" w:rsidR="00D33CD9" w:rsidRPr="00590529" w:rsidRDefault="00D33CD9">
            <w:pPr>
              <w:jc w:val="center"/>
              <w:rPr>
                <w:rFonts w:ascii="Arial" w:hAnsi="Arial" w:cs="Arial"/>
                <w:color w:val="000000"/>
                <w:sz w:val="16"/>
                <w:szCs w:val="16"/>
              </w:rPr>
            </w:pPr>
            <w:r w:rsidRPr="00590529">
              <w:rPr>
                <w:rFonts w:ascii="Arial" w:hAnsi="Arial" w:cs="Arial"/>
                <w:color w:val="000000"/>
                <w:sz w:val="16"/>
                <w:szCs w:val="16"/>
              </w:rPr>
              <w:t>N/A</w:t>
            </w:r>
          </w:p>
        </w:tc>
        <w:tc>
          <w:tcPr>
            <w:tcW w:w="191" w:type="dxa"/>
            <w:tcBorders>
              <w:top w:val="nil"/>
              <w:left w:val="nil"/>
              <w:bottom w:val="dotted" w:sz="4" w:space="0" w:color="auto"/>
              <w:right w:val="nil"/>
            </w:tcBorders>
          </w:tcPr>
          <w:p w14:paraId="27C24C8D" w14:textId="77777777" w:rsidR="00D33CD9" w:rsidRPr="00590529"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1ED5E7D4" w14:textId="717536A5" w:rsidR="00D33CD9" w:rsidRPr="00590529" w:rsidRDefault="00B53CD4">
            <w:pPr>
              <w:jc w:val="center"/>
              <w:rPr>
                <w:rFonts w:ascii="Arial" w:hAnsi="Arial" w:cs="Arial"/>
                <w:color w:val="000000"/>
                <w:sz w:val="16"/>
                <w:szCs w:val="16"/>
              </w:rPr>
            </w:pPr>
            <w:r w:rsidRPr="00590529">
              <w:rPr>
                <w:rFonts w:ascii="Arial" w:hAnsi="Arial" w:cs="Arial"/>
                <w:color w:val="000000"/>
                <w:sz w:val="16"/>
                <w:szCs w:val="16"/>
              </w:rPr>
              <w:t>45,57</w:t>
            </w:r>
          </w:p>
        </w:tc>
        <w:tc>
          <w:tcPr>
            <w:tcW w:w="1354" w:type="dxa"/>
            <w:tcBorders>
              <w:top w:val="nil"/>
              <w:left w:val="nil"/>
              <w:bottom w:val="dotted" w:sz="4" w:space="0" w:color="auto"/>
              <w:right w:val="single" w:sz="8" w:space="0" w:color="auto"/>
            </w:tcBorders>
            <w:shd w:val="clear" w:color="auto" w:fill="auto"/>
            <w:vAlign w:val="center"/>
            <w:hideMark/>
          </w:tcPr>
          <w:p w14:paraId="0F2B7FD1" w14:textId="77777777"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 </w:t>
            </w:r>
          </w:p>
        </w:tc>
      </w:tr>
      <w:tr w:rsidR="00AB3787" w:rsidRPr="00E21C60" w14:paraId="13605A89"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4C540B79" w14:textId="77777777" w:rsidR="00D33CD9" w:rsidRPr="00E21C60" w:rsidRDefault="00D33CD9">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4F4909B5"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40063C0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4A3A634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CFFD9E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E588DA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63FF63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3ED6A4E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dotted" w:sz="4" w:space="0" w:color="auto"/>
              <w:right w:val="dotted" w:sz="4" w:space="0" w:color="auto"/>
            </w:tcBorders>
            <w:shd w:val="clear" w:color="auto" w:fill="auto"/>
            <w:vAlign w:val="center"/>
            <w:hideMark/>
          </w:tcPr>
          <w:p w14:paraId="4B811FD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3AF407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6549DCE4" w14:textId="77777777"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45</w:t>
            </w:r>
          </w:p>
        </w:tc>
        <w:tc>
          <w:tcPr>
            <w:tcW w:w="191" w:type="dxa"/>
            <w:tcBorders>
              <w:top w:val="nil"/>
              <w:left w:val="nil"/>
              <w:bottom w:val="dotted" w:sz="4" w:space="0" w:color="auto"/>
              <w:right w:val="nil"/>
            </w:tcBorders>
          </w:tcPr>
          <w:p w14:paraId="5D9B4645" w14:textId="77777777" w:rsidR="00D33CD9" w:rsidRPr="00762301"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5DABFCBB" w14:textId="63FF8B99" w:rsidR="00D33CD9" w:rsidRPr="00762301" w:rsidRDefault="00D33CD9">
            <w:pPr>
              <w:jc w:val="center"/>
              <w:rPr>
                <w:rFonts w:ascii="Arial" w:hAnsi="Arial" w:cs="Arial"/>
                <w:color w:val="000000"/>
                <w:sz w:val="16"/>
                <w:szCs w:val="16"/>
              </w:rPr>
            </w:pPr>
            <w:r w:rsidRPr="00762301">
              <w:rPr>
                <w:rFonts w:ascii="Arial" w:hAnsi="Arial" w:cs="Arial"/>
                <w:color w:val="000000"/>
                <w:sz w:val="16"/>
                <w:szCs w:val="16"/>
              </w:rPr>
              <w:t>45</w:t>
            </w:r>
          </w:p>
        </w:tc>
        <w:tc>
          <w:tcPr>
            <w:tcW w:w="1354" w:type="dxa"/>
            <w:tcBorders>
              <w:top w:val="nil"/>
              <w:left w:val="nil"/>
              <w:bottom w:val="dotted" w:sz="4" w:space="0" w:color="auto"/>
              <w:right w:val="single" w:sz="8" w:space="0" w:color="auto"/>
            </w:tcBorders>
            <w:shd w:val="clear" w:color="auto" w:fill="auto"/>
            <w:vAlign w:val="center"/>
            <w:hideMark/>
          </w:tcPr>
          <w:p w14:paraId="2A0B6CF9" w14:textId="0411C88A" w:rsidR="00D33CD9" w:rsidRPr="00762301" w:rsidRDefault="00D33CD9">
            <w:pPr>
              <w:jc w:val="center"/>
              <w:rPr>
                <w:rFonts w:ascii="Arial" w:hAnsi="Arial" w:cs="Arial"/>
                <w:color w:val="000000"/>
                <w:sz w:val="16"/>
                <w:szCs w:val="16"/>
              </w:rPr>
            </w:pPr>
            <w:r w:rsidRPr="00762301">
              <w:rPr>
                <w:rFonts w:ascii="Arial" w:hAnsi="Arial" w:cs="Arial"/>
                <w:color w:val="000000"/>
                <w:sz w:val="16"/>
                <w:szCs w:val="16"/>
              </w:rPr>
              <w:t>43,55 %</w:t>
            </w:r>
          </w:p>
        </w:tc>
      </w:tr>
      <w:tr w:rsidR="00AB3787" w:rsidRPr="00E21C60" w14:paraId="77601EA0"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727DF795"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659009B6"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61D16B4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3A0C51D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5AB710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1D1CED6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9CCF8B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476E4BF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6D65014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56EF8DC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3F1F3575" w14:textId="77777777"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N/A</w:t>
            </w:r>
          </w:p>
        </w:tc>
        <w:tc>
          <w:tcPr>
            <w:tcW w:w="191" w:type="dxa"/>
            <w:tcBorders>
              <w:top w:val="nil"/>
              <w:left w:val="nil"/>
              <w:bottom w:val="single" w:sz="8" w:space="0" w:color="auto"/>
              <w:right w:val="nil"/>
            </w:tcBorders>
          </w:tcPr>
          <w:p w14:paraId="41C3BFE4" w14:textId="77777777" w:rsidR="00D33CD9" w:rsidRPr="00762301"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2B529063" w14:textId="28E3AF2B" w:rsidR="00D33CD9" w:rsidRPr="00762301" w:rsidRDefault="00D33CD9">
            <w:pPr>
              <w:jc w:val="center"/>
              <w:rPr>
                <w:rFonts w:ascii="Arial" w:hAnsi="Arial" w:cs="Arial"/>
                <w:color w:val="000000"/>
                <w:sz w:val="16"/>
                <w:szCs w:val="16"/>
              </w:rPr>
            </w:pPr>
            <w:r w:rsidRPr="00762301">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1979F95D" w14:textId="77777777" w:rsidR="00D33CD9" w:rsidRPr="00762301" w:rsidRDefault="00D33CD9">
            <w:pPr>
              <w:jc w:val="center"/>
              <w:rPr>
                <w:rFonts w:ascii="Arial" w:hAnsi="Arial" w:cs="Arial"/>
                <w:color w:val="000000"/>
                <w:sz w:val="16"/>
                <w:szCs w:val="16"/>
              </w:rPr>
            </w:pPr>
            <w:r w:rsidRPr="00762301">
              <w:rPr>
                <w:rFonts w:ascii="Arial" w:hAnsi="Arial" w:cs="Arial"/>
                <w:color w:val="000000"/>
                <w:sz w:val="16"/>
                <w:szCs w:val="16"/>
              </w:rPr>
              <w:t> </w:t>
            </w:r>
          </w:p>
        </w:tc>
      </w:tr>
      <w:tr w:rsidR="00AB3787" w:rsidRPr="00E21C60" w14:paraId="4C0990D5"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3D83E905"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Počet vytvorených pracovných miest obsadených ženami [počet]</w:t>
            </w:r>
          </w:p>
        </w:tc>
        <w:tc>
          <w:tcPr>
            <w:tcW w:w="959" w:type="dxa"/>
            <w:tcBorders>
              <w:top w:val="nil"/>
              <w:left w:val="nil"/>
              <w:bottom w:val="dotted" w:sz="4" w:space="0" w:color="auto"/>
              <w:right w:val="single" w:sz="8" w:space="0" w:color="auto"/>
            </w:tcBorders>
            <w:shd w:val="clear" w:color="auto" w:fill="auto"/>
            <w:vAlign w:val="center"/>
            <w:hideMark/>
          </w:tcPr>
          <w:p w14:paraId="088F3944"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79948E0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5318FEA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00EE265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4B425B2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3</w:t>
            </w:r>
          </w:p>
        </w:tc>
        <w:tc>
          <w:tcPr>
            <w:tcW w:w="496" w:type="dxa"/>
            <w:tcBorders>
              <w:top w:val="nil"/>
              <w:left w:val="nil"/>
              <w:bottom w:val="dotted" w:sz="4" w:space="0" w:color="auto"/>
              <w:right w:val="dotted" w:sz="4" w:space="0" w:color="auto"/>
            </w:tcBorders>
            <w:shd w:val="clear" w:color="auto" w:fill="auto"/>
            <w:vAlign w:val="center"/>
            <w:hideMark/>
          </w:tcPr>
          <w:p w14:paraId="4BAFEF2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7</w:t>
            </w:r>
          </w:p>
        </w:tc>
        <w:tc>
          <w:tcPr>
            <w:tcW w:w="541" w:type="dxa"/>
            <w:tcBorders>
              <w:top w:val="nil"/>
              <w:left w:val="nil"/>
              <w:bottom w:val="dotted" w:sz="4" w:space="0" w:color="auto"/>
              <w:right w:val="dotted" w:sz="4" w:space="0" w:color="auto"/>
            </w:tcBorders>
            <w:shd w:val="clear" w:color="auto" w:fill="auto"/>
            <w:vAlign w:val="center"/>
            <w:hideMark/>
          </w:tcPr>
          <w:p w14:paraId="3776F73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13</w:t>
            </w:r>
          </w:p>
        </w:tc>
        <w:tc>
          <w:tcPr>
            <w:tcW w:w="783" w:type="dxa"/>
            <w:tcBorders>
              <w:top w:val="nil"/>
              <w:left w:val="nil"/>
              <w:bottom w:val="dotted" w:sz="4" w:space="0" w:color="auto"/>
              <w:right w:val="dotted" w:sz="4" w:space="0" w:color="auto"/>
            </w:tcBorders>
            <w:shd w:val="clear" w:color="auto" w:fill="auto"/>
            <w:vAlign w:val="center"/>
            <w:hideMark/>
          </w:tcPr>
          <w:p w14:paraId="69F62A4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39</w:t>
            </w:r>
          </w:p>
        </w:tc>
        <w:tc>
          <w:tcPr>
            <w:tcW w:w="496" w:type="dxa"/>
            <w:tcBorders>
              <w:top w:val="nil"/>
              <w:left w:val="nil"/>
              <w:bottom w:val="dotted" w:sz="4" w:space="0" w:color="auto"/>
              <w:right w:val="dotted" w:sz="4" w:space="0" w:color="auto"/>
            </w:tcBorders>
            <w:shd w:val="clear" w:color="auto" w:fill="auto"/>
            <w:vAlign w:val="center"/>
            <w:hideMark/>
          </w:tcPr>
          <w:p w14:paraId="23C1D6D1" w14:textId="3947197E" w:rsidR="00D33CD9" w:rsidRPr="00E21C60" w:rsidRDefault="00D33CD9">
            <w:pPr>
              <w:jc w:val="center"/>
              <w:rPr>
                <w:rFonts w:ascii="Arial" w:hAnsi="Arial" w:cs="Arial"/>
                <w:color w:val="000000"/>
                <w:sz w:val="16"/>
                <w:szCs w:val="16"/>
              </w:rPr>
            </w:pPr>
            <w:r>
              <w:rPr>
                <w:rFonts w:ascii="Arial" w:hAnsi="Arial" w:cs="Arial"/>
                <w:color w:val="000000"/>
                <w:sz w:val="16"/>
                <w:szCs w:val="16"/>
              </w:rPr>
              <w:t>43</w:t>
            </w:r>
          </w:p>
        </w:tc>
        <w:tc>
          <w:tcPr>
            <w:tcW w:w="737" w:type="dxa"/>
            <w:tcBorders>
              <w:top w:val="nil"/>
              <w:left w:val="nil"/>
              <w:bottom w:val="dotted" w:sz="4" w:space="0" w:color="auto"/>
              <w:right w:val="dotted" w:sz="4" w:space="0" w:color="auto"/>
            </w:tcBorders>
            <w:shd w:val="clear" w:color="auto" w:fill="auto"/>
            <w:vAlign w:val="center"/>
            <w:hideMark/>
          </w:tcPr>
          <w:p w14:paraId="5E5AD9A7" w14:textId="57F4F28F" w:rsidR="00D33CD9" w:rsidRPr="00B53CD4" w:rsidRDefault="001A1436">
            <w:pPr>
              <w:jc w:val="center"/>
              <w:rPr>
                <w:rFonts w:ascii="Arial" w:hAnsi="Arial" w:cs="Arial"/>
                <w:color w:val="000000"/>
                <w:sz w:val="16"/>
                <w:szCs w:val="16"/>
              </w:rPr>
            </w:pPr>
            <w:r w:rsidRPr="00B53CD4">
              <w:rPr>
                <w:rFonts w:ascii="Arial" w:hAnsi="Arial" w:cs="Arial"/>
                <w:color w:val="000000"/>
                <w:sz w:val="16"/>
                <w:szCs w:val="16"/>
              </w:rPr>
              <w:t>56</w:t>
            </w:r>
          </w:p>
        </w:tc>
        <w:tc>
          <w:tcPr>
            <w:tcW w:w="191" w:type="dxa"/>
            <w:tcBorders>
              <w:top w:val="nil"/>
              <w:left w:val="nil"/>
              <w:bottom w:val="dotted" w:sz="4" w:space="0" w:color="auto"/>
              <w:right w:val="nil"/>
            </w:tcBorders>
          </w:tcPr>
          <w:p w14:paraId="1BAC9222" w14:textId="77777777" w:rsidR="00D33CD9" w:rsidRPr="00762301"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5E5CD1AE" w14:textId="68B24D09" w:rsidR="00D33CD9" w:rsidRPr="00762301" w:rsidRDefault="00B53CD4">
            <w:pPr>
              <w:jc w:val="center"/>
              <w:rPr>
                <w:rFonts w:ascii="Arial" w:hAnsi="Arial" w:cs="Arial"/>
                <w:color w:val="000000"/>
                <w:sz w:val="16"/>
                <w:szCs w:val="16"/>
              </w:rPr>
            </w:pPr>
            <w:r w:rsidRPr="00762301">
              <w:rPr>
                <w:rFonts w:ascii="Arial" w:hAnsi="Arial" w:cs="Arial"/>
                <w:color w:val="000000"/>
                <w:sz w:val="16"/>
                <w:szCs w:val="16"/>
              </w:rPr>
              <w:t>55</w:t>
            </w:r>
          </w:p>
        </w:tc>
        <w:tc>
          <w:tcPr>
            <w:tcW w:w="1354" w:type="dxa"/>
            <w:tcBorders>
              <w:top w:val="nil"/>
              <w:left w:val="nil"/>
              <w:bottom w:val="dotted" w:sz="4" w:space="0" w:color="auto"/>
              <w:right w:val="single" w:sz="8" w:space="0" w:color="auto"/>
            </w:tcBorders>
            <w:shd w:val="clear" w:color="auto" w:fill="auto"/>
            <w:vAlign w:val="center"/>
            <w:hideMark/>
          </w:tcPr>
          <w:p w14:paraId="29E4DD46" w14:textId="77777777" w:rsidR="00D33CD9" w:rsidRPr="00762301" w:rsidRDefault="00D33CD9">
            <w:pPr>
              <w:jc w:val="center"/>
              <w:rPr>
                <w:rFonts w:ascii="Arial" w:hAnsi="Arial" w:cs="Arial"/>
                <w:color w:val="000000"/>
                <w:sz w:val="16"/>
                <w:szCs w:val="16"/>
              </w:rPr>
            </w:pPr>
            <w:r w:rsidRPr="00762301">
              <w:rPr>
                <w:rFonts w:ascii="Arial" w:hAnsi="Arial" w:cs="Arial"/>
                <w:color w:val="000000"/>
                <w:sz w:val="16"/>
                <w:szCs w:val="16"/>
              </w:rPr>
              <w:t>233 </w:t>
            </w:r>
          </w:p>
        </w:tc>
      </w:tr>
      <w:tr w:rsidR="00AB3787" w:rsidRPr="00E21C60" w14:paraId="2CFDF53C"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26062362" w14:textId="77777777" w:rsidR="00D33CD9" w:rsidRPr="00E21C60" w:rsidRDefault="00D33CD9">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54881E92"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0509BB2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15E9C0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05942A2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0221F2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581277E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578EDD7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dotted" w:sz="4" w:space="0" w:color="auto"/>
              <w:right w:val="dotted" w:sz="4" w:space="0" w:color="auto"/>
            </w:tcBorders>
            <w:shd w:val="clear" w:color="auto" w:fill="auto"/>
            <w:vAlign w:val="center"/>
            <w:hideMark/>
          </w:tcPr>
          <w:p w14:paraId="1ED3046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05DE6E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4D6EDCF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50</w:t>
            </w:r>
          </w:p>
        </w:tc>
        <w:tc>
          <w:tcPr>
            <w:tcW w:w="191" w:type="dxa"/>
            <w:tcBorders>
              <w:top w:val="nil"/>
              <w:left w:val="nil"/>
              <w:bottom w:val="dotted" w:sz="4" w:space="0" w:color="auto"/>
              <w:right w:val="nil"/>
            </w:tcBorders>
          </w:tcPr>
          <w:p w14:paraId="2927287C" w14:textId="77777777" w:rsidR="00D33CD9" w:rsidRPr="00E21C60"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311FD569" w14:textId="466EF12D"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50</w:t>
            </w:r>
          </w:p>
        </w:tc>
        <w:tc>
          <w:tcPr>
            <w:tcW w:w="1354" w:type="dxa"/>
            <w:tcBorders>
              <w:top w:val="nil"/>
              <w:left w:val="nil"/>
              <w:bottom w:val="dotted" w:sz="4" w:space="0" w:color="auto"/>
              <w:right w:val="single" w:sz="8" w:space="0" w:color="auto"/>
            </w:tcBorders>
            <w:shd w:val="clear" w:color="auto" w:fill="auto"/>
            <w:vAlign w:val="center"/>
            <w:hideMark/>
          </w:tcPr>
          <w:p w14:paraId="2D4AE347" w14:textId="4A66F52E" w:rsidR="00D33CD9" w:rsidRPr="00E21C60" w:rsidRDefault="00D33CD9">
            <w:pPr>
              <w:jc w:val="center"/>
              <w:rPr>
                <w:rFonts w:ascii="Arial" w:hAnsi="Arial" w:cs="Arial"/>
                <w:color w:val="000000"/>
                <w:sz w:val="16"/>
                <w:szCs w:val="16"/>
              </w:rPr>
            </w:pPr>
          </w:p>
        </w:tc>
      </w:tr>
      <w:tr w:rsidR="00AB3787" w:rsidRPr="00E21C60" w14:paraId="450C46C9"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25B5BB7E"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47E68932"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722A146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535CEFE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2F6C7E4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0366D2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73070DF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70AFCCF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235712E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5E7CBC1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7247F96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single" w:sz="8" w:space="0" w:color="auto"/>
              <w:right w:val="nil"/>
            </w:tcBorders>
          </w:tcPr>
          <w:p w14:paraId="2EEF62C0" w14:textId="77777777" w:rsidR="00D33CD9" w:rsidRPr="00E21C60"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4E3879E0" w14:textId="5E48EE6B"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67A877E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10DEC95D"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03046883"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Počet vytvorených pracovných miest obsadených mužmi [počet]</w:t>
            </w:r>
          </w:p>
        </w:tc>
        <w:tc>
          <w:tcPr>
            <w:tcW w:w="959" w:type="dxa"/>
            <w:tcBorders>
              <w:top w:val="nil"/>
              <w:left w:val="nil"/>
              <w:bottom w:val="dotted" w:sz="4" w:space="0" w:color="auto"/>
              <w:right w:val="single" w:sz="8" w:space="0" w:color="auto"/>
            </w:tcBorders>
            <w:shd w:val="clear" w:color="auto" w:fill="auto"/>
            <w:vAlign w:val="center"/>
            <w:hideMark/>
          </w:tcPr>
          <w:p w14:paraId="5B2A14BF"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786AD53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3582195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5B13C6C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20BE5AE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41B2EF4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541" w:type="dxa"/>
            <w:tcBorders>
              <w:top w:val="nil"/>
              <w:left w:val="nil"/>
              <w:bottom w:val="dotted" w:sz="4" w:space="0" w:color="auto"/>
              <w:right w:val="dotted" w:sz="4" w:space="0" w:color="auto"/>
            </w:tcBorders>
            <w:shd w:val="clear" w:color="auto" w:fill="auto"/>
            <w:vAlign w:val="center"/>
            <w:hideMark/>
          </w:tcPr>
          <w:p w14:paraId="0891F44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783" w:type="dxa"/>
            <w:tcBorders>
              <w:top w:val="nil"/>
              <w:left w:val="nil"/>
              <w:bottom w:val="dotted" w:sz="4" w:space="0" w:color="auto"/>
              <w:right w:val="dotted" w:sz="4" w:space="0" w:color="auto"/>
            </w:tcBorders>
            <w:shd w:val="clear" w:color="auto" w:fill="auto"/>
            <w:vAlign w:val="center"/>
            <w:hideMark/>
          </w:tcPr>
          <w:p w14:paraId="6253E7F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47F772E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7AFF14C0" w14:textId="02A8F29A" w:rsidR="00D33CD9" w:rsidRPr="00E21C60" w:rsidRDefault="001A1436">
            <w:pPr>
              <w:jc w:val="center"/>
              <w:rPr>
                <w:rFonts w:ascii="Arial" w:hAnsi="Arial" w:cs="Arial"/>
                <w:color w:val="000000"/>
                <w:sz w:val="16"/>
                <w:szCs w:val="16"/>
              </w:rPr>
            </w:pPr>
            <w:r>
              <w:rPr>
                <w:rFonts w:ascii="Arial" w:hAnsi="Arial" w:cs="Arial"/>
                <w:color w:val="000000"/>
                <w:sz w:val="16"/>
                <w:szCs w:val="16"/>
              </w:rPr>
              <w:t>15</w:t>
            </w:r>
          </w:p>
        </w:tc>
        <w:tc>
          <w:tcPr>
            <w:tcW w:w="191" w:type="dxa"/>
            <w:tcBorders>
              <w:top w:val="nil"/>
              <w:left w:val="nil"/>
              <w:bottom w:val="dotted" w:sz="4" w:space="0" w:color="auto"/>
              <w:right w:val="nil"/>
            </w:tcBorders>
          </w:tcPr>
          <w:p w14:paraId="5AE4FF1F" w14:textId="77777777" w:rsidR="00D33CD9" w:rsidRPr="00E21C60"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26CC02FC" w14:textId="266F9DCB" w:rsidR="00D33CD9" w:rsidRPr="00E21C60" w:rsidRDefault="001A1436">
            <w:pPr>
              <w:jc w:val="center"/>
              <w:rPr>
                <w:rFonts w:ascii="Arial" w:hAnsi="Arial" w:cs="Arial"/>
                <w:color w:val="000000"/>
                <w:sz w:val="16"/>
                <w:szCs w:val="16"/>
              </w:rPr>
            </w:pPr>
            <w:r>
              <w:rPr>
                <w:rFonts w:ascii="Arial" w:hAnsi="Arial" w:cs="Arial"/>
                <w:color w:val="000000"/>
                <w:sz w:val="16"/>
                <w:szCs w:val="16"/>
              </w:rPr>
              <w:t>16</w:t>
            </w:r>
          </w:p>
        </w:tc>
        <w:tc>
          <w:tcPr>
            <w:tcW w:w="1354" w:type="dxa"/>
            <w:tcBorders>
              <w:top w:val="nil"/>
              <w:left w:val="nil"/>
              <w:bottom w:val="dotted" w:sz="4" w:space="0" w:color="auto"/>
              <w:right w:val="single" w:sz="8" w:space="0" w:color="auto"/>
            </w:tcBorders>
            <w:shd w:val="clear" w:color="auto" w:fill="auto"/>
            <w:vAlign w:val="center"/>
            <w:hideMark/>
          </w:tcPr>
          <w:p w14:paraId="7B9B537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01F68B24"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4DDFBE70" w14:textId="77777777" w:rsidR="00D33CD9" w:rsidRPr="00E21C60" w:rsidRDefault="00D33CD9">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1B99BDBC"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7410901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A7598E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4C78A79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4BC34B5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1E2E148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68D5992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dotted" w:sz="4" w:space="0" w:color="auto"/>
              <w:right w:val="dotted" w:sz="4" w:space="0" w:color="auto"/>
            </w:tcBorders>
            <w:shd w:val="clear" w:color="auto" w:fill="auto"/>
            <w:vAlign w:val="center"/>
            <w:hideMark/>
          </w:tcPr>
          <w:p w14:paraId="6560D2B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4E80B21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3A3DD12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50</w:t>
            </w:r>
          </w:p>
        </w:tc>
        <w:tc>
          <w:tcPr>
            <w:tcW w:w="191" w:type="dxa"/>
            <w:tcBorders>
              <w:top w:val="nil"/>
              <w:left w:val="nil"/>
              <w:bottom w:val="dotted" w:sz="4" w:space="0" w:color="auto"/>
              <w:right w:val="nil"/>
            </w:tcBorders>
          </w:tcPr>
          <w:p w14:paraId="385DB0BB" w14:textId="77777777" w:rsidR="00D33CD9" w:rsidRPr="00E21C60"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708CF3F1" w14:textId="1E1C2254"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50</w:t>
            </w:r>
          </w:p>
        </w:tc>
        <w:tc>
          <w:tcPr>
            <w:tcW w:w="1354" w:type="dxa"/>
            <w:tcBorders>
              <w:top w:val="nil"/>
              <w:left w:val="nil"/>
              <w:bottom w:val="dotted" w:sz="4" w:space="0" w:color="auto"/>
              <w:right w:val="single" w:sz="8" w:space="0" w:color="auto"/>
            </w:tcBorders>
            <w:shd w:val="clear" w:color="auto" w:fill="auto"/>
            <w:vAlign w:val="center"/>
            <w:hideMark/>
          </w:tcPr>
          <w:p w14:paraId="6A7768A6" w14:textId="23052FCB" w:rsidR="00D33CD9" w:rsidRPr="00E21C60" w:rsidRDefault="001A1436">
            <w:pPr>
              <w:jc w:val="center"/>
              <w:rPr>
                <w:rFonts w:ascii="Arial" w:hAnsi="Arial" w:cs="Arial"/>
                <w:color w:val="000000"/>
                <w:sz w:val="16"/>
                <w:szCs w:val="16"/>
              </w:rPr>
            </w:pPr>
            <w:r>
              <w:rPr>
                <w:rFonts w:ascii="Arial" w:hAnsi="Arial" w:cs="Arial"/>
                <w:color w:val="000000"/>
                <w:sz w:val="16"/>
                <w:szCs w:val="16"/>
              </w:rPr>
              <w:t>47</w:t>
            </w:r>
          </w:p>
        </w:tc>
      </w:tr>
      <w:tr w:rsidR="00AB3787" w:rsidRPr="00E21C60" w14:paraId="68607A60"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6A448798"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6212AFCE"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01EF5DA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56E8DE7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3EABF67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661B25A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3A8012C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5E5DC62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4E874F75"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3800296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7941FFF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single" w:sz="8" w:space="0" w:color="auto"/>
              <w:right w:val="nil"/>
            </w:tcBorders>
          </w:tcPr>
          <w:p w14:paraId="44B126B7" w14:textId="77777777" w:rsidR="00D33CD9" w:rsidRPr="00E21C60"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740621AA" w14:textId="7D51C2F5"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2A465CB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r w:rsidR="00AB3787" w:rsidRPr="00E21C60" w14:paraId="56898841" w14:textId="77777777" w:rsidTr="00590529">
        <w:trPr>
          <w:trHeight w:val="495"/>
        </w:trPr>
        <w:tc>
          <w:tcPr>
            <w:tcW w:w="1341"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5843AC29"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 xml:space="preserve">Percentuálne zvýšenie zamestnanosti žien v dôsledku realizácie </w:t>
            </w:r>
            <w:r w:rsidRPr="00E21C60">
              <w:rPr>
                <w:rFonts w:ascii="Arial" w:hAnsi="Arial" w:cs="Arial"/>
                <w:color w:val="000000"/>
                <w:sz w:val="16"/>
                <w:szCs w:val="16"/>
              </w:rPr>
              <w:lastRenderedPageBreak/>
              <w:t>projektu [%]</w:t>
            </w:r>
          </w:p>
        </w:tc>
        <w:tc>
          <w:tcPr>
            <w:tcW w:w="959" w:type="dxa"/>
            <w:tcBorders>
              <w:top w:val="nil"/>
              <w:left w:val="nil"/>
              <w:bottom w:val="dotted" w:sz="4" w:space="0" w:color="auto"/>
              <w:right w:val="single" w:sz="8" w:space="0" w:color="auto"/>
            </w:tcBorders>
            <w:shd w:val="clear" w:color="auto" w:fill="auto"/>
            <w:vAlign w:val="center"/>
            <w:hideMark/>
          </w:tcPr>
          <w:p w14:paraId="37308154"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lastRenderedPageBreak/>
              <w:t>Dosiahnutý výsledok</w:t>
            </w:r>
          </w:p>
        </w:tc>
        <w:tc>
          <w:tcPr>
            <w:tcW w:w="496" w:type="dxa"/>
            <w:tcBorders>
              <w:top w:val="nil"/>
              <w:left w:val="nil"/>
              <w:bottom w:val="dotted" w:sz="4" w:space="0" w:color="auto"/>
              <w:right w:val="dotted" w:sz="4" w:space="0" w:color="auto"/>
            </w:tcBorders>
            <w:shd w:val="clear" w:color="auto" w:fill="auto"/>
            <w:vAlign w:val="center"/>
            <w:hideMark/>
          </w:tcPr>
          <w:p w14:paraId="5ADE4496"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BFA1CD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6532131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4D142EA7"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dotted" w:sz="4" w:space="0" w:color="auto"/>
              <w:right w:val="dotted" w:sz="4" w:space="0" w:color="auto"/>
            </w:tcBorders>
            <w:shd w:val="clear" w:color="auto" w:fill="auto"/>
            <w:vAlign w:val="center"/>
            <w:hideMark/>
          </w:tcPr>
          <w:p w14:paraId="1A4EA4D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541" w:type="dxa"/>
            <w:tcBorders>
              <w:top w:val="nil"/>
              <w:left w:val="nil"/>
              <w:bottom w:val="dotted" w:sz="4" w:space="0" w:color="auto"/>
              <w:right w:val="dotted" w:sz="4" w:space="0" w:color="auto"/>
            </w:tcBorders>
            <w:shd w:val="clear" w:color="auto" w:fill="auto"/>
            <w:vAlign w:val="center"/>
            <w:hideMark/>
          </w:tcPr>
          <w:p w14:paraId="5615D23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0,8</w:t>
            </w:r>
          </w:p>
        </w:tc>
        <w:tc>
          <w:tcPr>
            <w:tcW w:w="783" w:type="dxa"/>
            <w:tcBorders>
              <w:top w:val="nil"/>
              <w:left w:val="nil"/>
              <w:bottom w:val="dotted" w:sz="4" w:space="0" w:color="auto"/>
              <w:right w:val="dotted" w:sz="4" w:space="0" w:color="auto"/>
            </w:tcBorders>
            <w:shd w:val="clear" w:color="auto" w:fill="auto"/>
            <w:vAlign w:val="center"/>
            <w:hideMark/>
          </w:tcPr>
          <w:p w14:paraId="1E2DB41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0,3758</w:t>
            </w:r>
          </w:p>
        </w:tc>
        <w:tc>
          <w:tcPr>
            <w:tcW w:w="496" w:type="dxa"/>
            <w:tcBorders>
              <w:top w:val="nil"/>
              <w:left w:val="nil"/>
              <w:bottom w:val="dotted" w:sz="4" w:space="0" w:color="auto"/>
              <w:right w:val="dotted" w:sz="4" w:space="0" w:color="auto"/>
            </w:tcBorders>
            <w:shd w:val="clear" w:color="auto" w:fill="auto"/>
            <w:vAlign w:val="center"/>
            <w:hideMark/>
          </w:tcPr>
          <w:p w14:paraId="5A6192DE" w14:textId="6AD8B6B5" w:rsidR="00D33CD9" w:rsidRPr="00E21C60" w:rsidRDefault="00D33CD9">
            <w:pPr>
              <w:jc w:val="center"/>
              <w:rPr>
                <w:rFonts w:ascii="Arial" w:hAnsi="Arial" w:cs="Arial"/>
                <w:color w:val="000000"/>
                <w:sz w:val="16"/>
                <w:szCs w:val="16"/>
              </w:rPr>
            </w:pPr>
            <w:r>
              <w:rPr>
                <w:rFonts w:ascii="Arial" w:hAnsi="Arial" w:cs="Arial"/>
                <w:color w:val="000000"/>
                <w:sz w:val="16"/>
                <w:szCs w:val="16"/>
              </w:rPr>
              <w:t>0,19109</w:t>
            </w:r>
          </w:p>
        </w:tc>
        <w:tc>
          <w:tcPr>
            <w:tcW w:w="737" w:type="dxa"/>
            <w:tcBorders>
              <w:top w:val="nil"/>
              <w:left w:val="nil"/>
              <w:bottom w:val="dotted" w:sz="4" w:space="0" w:color="auto"/>
              <w:right w:val="dotted" w:sz="4" w:space="0" w:color="auto"/>
            </w:tcBorders>
            <w:shd w:val="clear" w:color="auto" w:fill="auto"/>
            <w:vAlign w:val="center"/>
            <w:hideMark/>
          </w:tcPr>
          <w:p w14:paraId="6C4C2C4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dotted" w:sz="4" w:space="0" w:color="auto"/>
              <w:right w:val="nil"/>
            </w:tcBorders>
          </w:tcPr>
          <w:p w14:paraId="075447AB" w14:textId="77777777" w:rsidR="00D33CD9" w:rsidRPr="00D33CD9" w:rsidRDefault="00D33CD9">
            <w:pPr>
              <w:jc w:val="center"/>
              <w:rPr>
                <w:rFonts w:ascii="Arial" w:hAnsi="Arial" w:cs="Arial"/>
                <w:color w:val="000000"/>
                <w:sz w:val="16"/>
                <w:szCs w:val="16"/>
                <w:highlight w:val="yellow"/>
              </w:rPr>
            </w:pPr>
          </w:p>
        </w:tc>
        <w:tc>
          <w:tcPr>
            <w:tcW w:w="992" w:type="dxa"/>
            <w:tcBorders>
              <w:top w:val="nil"/>
              <w:left w:val="nil"/>
              <w:bottom w:val="dotted" w:sz="4" w:space="0" w:color="auto"/>
              <w:right w:val="dotted" w:sz="4" w:space="0" w:color="auto"/>
            </w:tcBorders>
            <w:shd w:val="clear" w:color="auto" w:fill="auto"/>
            <w:vAlign w:val="center"/>
            <w:hideMark/>
          </w:tcPr>
          <w:p w14:paraId="414CAE7D" w14:textId="5B27221B" w:rsidR="00D33CD9" w:rsidRPr="00B53CD4" w:rsidRDefault="00D33CD9">
            <w:pPr>
              <w:jc w:val="center"/>
              <w:rPr>
                <w:rFonts w:ascii="Arial" w:hAnsi="Arial" w:cs="Arial"/>
                <w:color w:val="000000"/>
                <w:sz w:val="16"/>
                <w:szCs w:val="16"/>
              </w:rPr>
            </w:pPr>
            <w:r w:rsidRPr="00590529">
              <w:rPr>
                <w:rFonts w:ascii="Arial" w:hAnsi="Arial" w:cs="Arial"/>
                <w:color w:val="000000"/>
                <w:sz w:val="16"/>
                <w:szCs w:val="16"/>
              </w:rPr>
              <w:t>0,19109</w:t>
            </w:r>
          </w:p>
        </w:tc>
        <w:tc>
          <w:tcPr>
            <w:tcW w:w="1354" w:type="dxa"/>
            <w:tcBorders>
              <w:top w:val="nil"/>
              <w:left w:val="nil"/>
              <w:bottom w:val="dotted" w:sz="4" w:space="0" w:color="auto"/>
              <w:right w:val="single" w:sz="8" w:space="0" w:color="auto"/>
            </w:tcBorders>
            <w:shd w:val="clear" w:color="auto" w:fill="auto"/>
            <w:vAlign w:val="center"/>
            <w:hideMark/>
          </w:tcPr>
          <w:p w14:paraId="35CEB885" w14:textId="77777777" w:rsidR="00D33CD9" w:rsidRPr="00B53CD4" w:rsidRDefault="00D33CD9">
            <w:pPr>
              <w:jc w:val="center"/>
              <w:rPr>
                <w:rFonts w:ascii="Arial" w:hAnsi="Arial" w:cs="Arial"/>
                <w:color w:val="000000"/>
                <w:sz w:val="16"/>
                <w:szCs w:val="16"/>
              </w:rPr>
            </w:pPr>
            <w:r w:rsidRPr="00B53CD4">
              <w:rPr>
                <w:rFonts w:ascii="Arial" w:hAnsi="Arial" w:cs="Arial"/>
                <w:color w:val="000000"/>
                <w:sz w:val="16"/>
                <w:szCs w:val="16"/>
              </w:rPr>
              <w:t> </w:t>
            </w:r>
          </w:p>
        </w:tc>
      </w:tr>
      <w:tr w:rsidR="00AB3787" w:rsidRPr="00E21C60" w14:paraId="4DE3C1F7"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753CF975" w14:textId="77777777" w:rsidR="00D33CD9" w:rsidRPr="00E21C60" w:rsidRDefault="00D33CD9">
            <w:pPr>
              <w:rPr>
                <w:rFonts w:ascii="Arial" w:hAnsi="Arial" w:cs="Arial"/>
                <w:color w:val="000000"/>
                <w:sz w:val="16"/>
                <w:szCs w:val="16"/>
              </w:rPr>
            </w:pPr>
          </w:p>
        </w:tc>
        <w:tc>
          <w:tcPr>
            <w:tcW w:w="959" w:type="dxa"/>
            <w:tcBorders>
              <w:top w:val="nil"/>
              <w:left w:val="nil"/>
              <w:bottom w:val="dotted" w:sz="4" w:space="0" w:color="auto"/>
              <w:right w:val="single" w:sz="8" w:space="0" w:color="auto"/>
            </w:tcBorders>
            <w:shd w:val="clear" w:color="auto" w:fill="auto"/>
            <w:vAlign w:val="center"/>
            <w:hideMark/>
          </w:tcPr>
          <w:p w14:paraId="3F3AE129"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Cieľ</w:t>
            </w:r>
          </w:p>
        </w:tc>
        <w:tc>
          <w:tcPr>
            <w:tcW w:w="496" w:type="dxa"/>
            <w:tcBorders>
              <w:top w:val="nil"/>
              <w:left w:val="nil"/>
              <w:bottom w:val="dotted" w:sz="4" w:space="0" w:color="auto"/>
              <w:right w:val="dotted" w:sz="4" w:space="0" w:color="auto"/>
            </w:tcBorders>
            <w:shd w:val="clear" w:color="auto" w:fill="auto"/>
            <w:vAlign w:val="center"/>
            <w:hideMark/>
          </w:tcPr>
          <w:p w14:paraId="50DCABD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CB9886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34B20EAA"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2DE95B49"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C5FDCF4"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dotted" w:sz="4" w:space="0" w:color="auto"/>
              <w:right w:val="dotted" w:sz="4" w:space="0" w:color="auto"/>
            </w:tcBorders>
            <w:shd w:val="clear" w:color="auto" w:fill="auto"/>
            <w:vAlign w:val="center"/>
            <w:hideMark/>
          </w:tcPr>
          <w:p w14:paraId="34AC69E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dotted" w:sz="4" w:space="0" w:color="auto"/>
              <w:right w:val="dotted" w:sz="4" w:space="0" w:color="auto"/>
            </w:tcBorders>
            <w:shd w:val="clear" w:color="auto" w:fill="auto"/>
            <w:vAlign w:val="center"/>
            <w:hideMark/>
          </w:tcPr>
          <w:p w14:paraId="5566FD0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dotted" w:sz="4" w:space="0" w:color="auto"/>
              <w:right w:val="dotted" w:sz="4" w:space="0" w:color="auto"/>
            </w:tcBorders>
            <w:shd w:val="clear" w:color="auto" w:fill="auto"/>
            <w:vAlign w:val="center"/>
            <w:hideMark/>
          </w:tcPr>
          <w:p w14:paraId="6B0523DE"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dotted" w:sz="4" w:space="0" w:color="auto"/>
              <w:right w:val="dotted" w:sz="4" w:space="0" w:color="auto"/>
            </w:tcBorders>
            <w:shd w:val="clear" w:color="auto" w:fill="auto"/>
            <w:vAlign w:val="center"/>
            <w:hideMark/>
          </w:tcPr>
          <w:p w14:paraId="3F3DFC4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20</w:t>
            </w:r>
          </w:p>
        </w:tc>
        <w:tc>
          <w:tcPr>
            <w:tcW w:w="191" w:type="dxa"/>
            <w:tcBorders>
              <w:top w:val="nil"/>
              <w:left w:val="nil"/>
              <w:bottom w:val="dotted" w:sz="4" w:space="0" w:color="auto"/>
              <w:right w:val="nil"/>
            </w:tcBorders>
          </w:tcPr>
          <w:p w14:paraId="1C405683" w14:textId="77777777" w:rsidR="00D33CD9" w:rsidRPr="00E21C60" w:rsidRDefault="00D33CD9">
            <w:pPr>
              <w:jc w:val="center"/>
              <w:rPr>
                <w:rFonts w:ascii="Arial" w:hAnsi="Arial" w:cs="Arial"/>
                <w:color w:val="000000"/>
                <w:sz w:val="16"/>
                <w:szCs w:val="16"/>
              </w:rPr>
            </w:pPr>
          </w:p>
        </w:tc>
        <w:tc>
          <w:tcPr>
            <w:tcW w:w="992" w:type="dxa"/>
            <w:tcBorders>
              <w:top w:val="nil"/>
              <w:left w:val="nil"/>
              <w:bottom w:val="dotted" w:sz="4" w:space="0" w:color="auto"/>
              <w:right w:val="dotted" w:sz="4" w:space="0" w:color="auto"/>
            </w:tcBorders>
            <w:shd w:val="clear" w:color="auto" w:fill="auto"/>
            <w:vAlign w:val="center"/>
            <w:hideMark/>
          </w:tcPr>
          <w:p w14:paraId="4804EB2A" w14:textId="474E2723"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20</w:t>
            </w:r>
          </w:p>
        </w:tc>
        <w:tc>
          <w:tcPr>
            <w:tcW w:w="1354" w:type="dxa"/>
            <w:tcBorders>
              <w:top w:val="nil"/>
              <w:left w:val="nil"/>
              <w:bottom w:val="dotted" w:sz="4" w:space="0" w:color="auto"/>
              <w:right w:val="single" w:sz="8" w:space="0" w:color="auto"/>
            </w:tcBorders>
            <w:shd w:val="clear" w:color="auto" w:fill="auto"/>
            <w:vAlign w:val="center"/>
            <w:hideMark/>
          </w:tcPr>
          <w:p w14:paraId="7FBE9840" w14:textId="162C3C7C" w:rsidR="00D33CD9" w:rsidRPr="00E21C60" w:rsidRDefault="00D33CD9">
            <w:pPr>
              <w:jc w:val="center"/>
              <w:rPr>
                <w:rFonts w:ascii="Arial" w:hAnsi="Arial" w:cs="Arial"/>
                <w:color w:val="000000"/>
                <w:sz w:val="16"/>
                <w:szCs w:val="16"/>
              </w:rPr>
            </w:pPr>
            <w:r>
              <w:rPr>
                <w:rFonts w:ascii="Arial" w:hAnsi="Arial" w:cs="Arial"/>
                <w:color w:val="000000"/>
                <w:sz w:val="16"/>
                <w:szCs w:val="16"/>
              </w:rPr>
              <w:t xml:space="preserve">19,11 </w:t>
            </w:r>
            <w:r w:rsidRPr="00E21C60">
              <w:rPr>
                <w:rFonts w:ascii="Arial" w:hAnsi="Arial" w:cs="Arial"/>
                <w:color w:val="000000"/>
                <w:sz w:val="16"/>
                <w:szCs w:val="16"/>
              </w:rPr>
              <w:t>%</w:t>
            </w:r>
          </w:p>
        </w:tc>
      </w:tr>
      <w:tr w:rsidR="00AB3787" w:rsidRPr="00E21C60" w14:paraId="2FF25374" w14:textId="77777777" w:rsidTr="00590529">
        <w:trPr>
          <w:trHeight w:val="495"/>
        </w:trPr>
        <w:tc>
          <w:tcPr>
            <w:tcW w:w="1341" w:type="dxa"/>
            <w:vMerge/>
            <w:tcBorders>
              <w:top w:val="nil"/>
              <w:left w:val="single" w:sz="8" w:space="0" w:color="auto"/>
              <w:bottom w:val="single" w:sz="8" w:space="0" w:color="000000"/>
              <w:right w:val="single" w:sz="8" w:space="0" w:color="auto"/>
            </w:tcBorders>
            <w:vAlign w:val="center"/>
            <w:hideMark/>
          </w:tcPr>
          <w:p w14:paraId="3594FE2B" w14:textId="77777777" w:rsidR="00D33CD9" w:rsidRPr="00E21C60" w:rsidRDefault="00D33CD9">
            <w:pPr>
              <w:rPr>
                <w:rFonts w:ascii="Arial" w:hAnsi="Arial" w:cs="Arial"/>
                <w:color w:val="000000"/>
                <w:sz w:val="16"/>
                <w:szCs w:val="16"/>
              </w:rPr>
            </w:pPr>
          </w:p>
        </w:tc>
        <w:tc>
          <w:tcPr>
            <w:tcW w:w="959" w:type="dxa"/>
            <w:tcBorders>
              <w:top w:val="nil"/>
              <w:left w:val="nil"/>
              <w:bottom w:val="single" w:sz="8" w:space="0" w:color="auto"/>
              <w:right w:val="single" w:sz="8" w:space="0" w:color="auto"/>
            </w:tcBorders>
            <w:shd w:val="clear" w:color="auto" w:fill="auto"/>
            <w:vAlign w:val="center"/>
            <w:hideMark/>
          </w:tcPr>
          <w:p w14:paraId="2FE77E81" w14:textId="77777777" w:rsidR="00D33CD9" w:rsidRPr="00E21C60" w:rsidRDefault="00D33CD9">
            <w:pPr>
              <w:rPr>
                <w:rFonts w:ascii="Arial" w:hAnsi="Arial" w:cs="Arial"/>
                <w:color w:val="000000"/>
                <w:sz w:val="16"/>
                <w:szCs w:val="16"/>
              </w:rPr>
            </w:pPr>
            <w:r w:rsidRPr="00E21C60">
              <w:rPr>
                <w:rFonts w:ascii="Arial" w:hAnsi="Arial" w:cs="Arial"/>
                <w:color w:val="000000"/>
                <w:sz w:val="16"/>
                <w:szCs w:val="16"/>
              </w:rPr>
              <w:t>Východisko</w:t>
            </w:r>
          </w:p>
        </w:tc>
        <w:tc>
          <w:tcPr>
            <w:tcW w:w="496" w:type="dxa"/>
            <w:tcBorders>
              <w:top w:val="nil"/>
              <w:left w:val="nil"/>
              <w:bottom w:val="single" w:sz="8" w:space="0" w:color="auto"/>
              <w:right w:val="dotted" w:sz="4" w:space="0" w:color="auto"/>
            </w:tcBorders>
            <w:shd w:val="clear" w:color="auto" w:fill="auto"/>
            <w:vAlign w:val="center"/>
            <w:hideMark/>
          </w:tcPr>
          <w:p w14:paraId="5EECEE42"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496" w:type="dxa"/>
            <w:tcBorders>
              <w:top w:val="nil"/>
              <w:left w:val="nil"/>
              <w:bottom w:val="single" w:sz="8" w:space="0" w:color="auto"/>
              <w:right w:val="dotted" w:sz="4" w:space="0" w:color="auto"/>
            </w:tcBorders>
            <w:shd w:val="clear" w:color="auto" w:fill="auto"/>
            <w:vAlign w:val="center"/>
            <w:hideMark/>
          </w:tcPr>
          <w:p w14:paraId="427D3A2F"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592DFF9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54B3B1AD"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0CB427E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541" w:type="dxa"/>
            <w:tcBorders>
              <w:top w:val="nil"/>
              <w:left w:val="nil"/>
              <w:bottom w:val="single" w:sz="8" w:space="0" w:color="auto"/>
              <w:right w:val="dotted" w:sz="4" w:space="0" w:color="auto"/>
            </w:tcBorders>
            <w:shd w:val="clear" w:color="auto" w:fill="auto"/>
            <w:vAlign w:val="center"/>
            <w:hideMark/>
          </w:tcPr>
          <w:p w14:paraId="766C35B0"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83" w:type="dxa"/>
            <w:tcBorders>
              <w:top w:val="nil"/>
              <w:left w:val="nil"/>
              <w:bottom w:val="single" w:sz="8" w:space="0" w:color="auto"/>
              <w:right w:val="dotted" w:sz="4" w:space="0" w:color="auto"/>
            </w:tcBorders>
            <w:shd w:val="clear" w:color="auto" w:fill="auto"/>
            <w:vAlign w:val="center"/>
            <w:hideMark/>
          </w:tcPr>
          <w:p w14:paraId="3054A08B"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496" w:type="dxa"/>
            <w:tcBorders>
              <w:top w:val="nil"/>
              <w:left w:val="nil"/>
              <w:bottom w:val="single" w:sz="8" w:space="0" w:color="auto"/>
              <w:right w:val="dotted" w:sz="4" w:space="0" w:color="auto"/>
            </w:tcBorders>
            <w:shd w:val="clear" w:color="auto" w:fill="auto"/>
            <w:vAlign w:val="center"/>
            <w:hideMark/>
          </w:tcPr>
          <w:p w14:paraId="399FB4DC"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737" w:type="dxa"/>
            <w:tcBorders>
              <w:top w:val="nil"/>
              <w:left w:val="nil"/>
              <w:bottom w:val="single" w:sz="8" w:space="0" w:color="auto"/>
              <w:right w:val="dotted" w:sz="4" w:space="0" w:color="auto"/>
            </w:tcBorders>
            <w:shd w:val="clear" w:color="auto" w:fill="auto"/>
            <w:vAlign w:val="center"/>
            <w:hideMark/>
          </w:tcPr>
          <w:p w14:paraId="3EEA36E3"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N/A</w:t>
            </w:r>
          </w:p>
        </w:tc>
        <w:tc>
          <w:tcPr>
            <w:tcW w:w="191" w:type="dxa"/>
            <w:tcBorders>
              <w:top w:val="nil"/>
              <w:left w:val="nil"/>
              <w:bottom w:val="single" w:sz="8" w:space="0" w:color="auto"/>
              <w:right w:val="nil"/>
            </w:tcBorders>
          </w:tcPr>
          <w:p w14:paraId="1EB213B5" w14:textId="77777777" w:rsidR="00D33CD9" w:rsidRPr="00E21C60" w:rsidRDefault="00D33CD9">
            <w:pPr>
              <w:jc w:val="center"/>
              <w:rPr>
                <w:rFonts w:ascii="Arial" w:hAnsi="Arial" w:cs="Arial"/>
                <w:color w:val="000000"/>
                <w:sz w:val="16"/>
                <w:szCs w:val="16"/>
              </w:rPr>
            </w:pPr>
          </w:p>
        </w:tc>
        <w:tc>
          <w:tcPr>
            <w:tcW w:w="992" w:type="dxa"/>
            <w:tcBorders>
              <w:top w:val="nil"/>
              <w:left w:val="nil"/>
              <w:bottom w:val="single" w:sz="8" w:space="0" w:color="auto"/>
              <w:right w:val="dotted" w:sz="4" w:space="0" w:color="auto"/>
            </w:tcBorders>
            <w:shd w:val="clear" w:color="auto" w:fill="auto"/>
            <w:vAlign w:val="center"/>
            <w:hideMark/>
          </w:tcPr>
          <w:p w14:paraId="3A486993" w14:textId="6B43AF89"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0</w:t>
            </w:r>
          </w:p>
        </w:tc>
        <w:tc>
          <w:tcPr>
            <w:tcW w:w="1354" w:type="dxa"/>
            <w:tcBorders>
              <w:top w:val="nil"/>
              <w:left w:val="nil"/>
              <w:bottom w:val="single" w:sz="8" w:space="0" w:color="auto"/>
              <w:right w:val="single" w:sz="8" w:space="0" w:color="auto"/>
            </w:tcBorders>
            <w:shd w:val="clear" w:color="auto" w:fill="auto"/>
            <w:vAlign w:val="center"/>
            <w:hideMark/>
          </w:tcPr>
          <w:p w14:paraId="0706EE58" w14:textId="77777777" w:rsidR="00D33CD9" w:rsidRPr="00E21C60" w:rsidRDefault="00D33CD9">
            <w:pPr>
              <w:jc w:val="center"/>
              <w:rPr>
                <w:rFonts w:ascii="Arial" w:hAnsi="Arial" w:cs="Arial"/>
                <w:color w:val="000000"/>
                <w:sz w:val="16"/>
                <w:szCs w:val="16"/>
              </w:rPr>
            </w:pPr>
            <w:r w:rsidRPr="00E21C60">
              <w:rPr>
                <w:rFonts w:ascii="Arial" w:hAnsi="Arial" w:cs="Arial"/>
                <w:color w:val="000000"/>
                <w:sz w:val="16"/>
                <w:szCs w:val="16"/>
              </w:rPr>
              <w:t> </w:t>
            </w:r>
          </w:p>
        </w:tc>
      </w:tr>
    </w:tbl>
    <w:p w14:paraId="7E78466E" w14:textId="77777777" w:rsidR="002416B1" w:rsidRPr="00E21C60" w:rsidRDefault="00000CC9" w:rsidP="00123376">
      <w:pPr>
        <w:jc w:val="both"/>
        <w:rPr>
          <w:rFonts w:ascii="Arial" w:hAnsi="Arial" w:cs="Arial"/>
          <w:sz w:val="16"/>
          <w:szCs w:val="16"/>
        </w:rPr>
      </w:pPr>
      <w:r w:rsidRPr="00E21C60">
        <w:rPr>
          <w:rFonts w:ascii="Arial" w:hAnsi="Arial" w:cs="Arial"/>
          <w:sz w:val="16"/>
          <w:szCs w:val="16"/>
        </w:rPr>
        <w:lastRenderedPageBreak/>
        <w:t>Zdroj: RO, ITMS</w:t>
      </w:r>
    </w:p>
    <w:p w14:paraId="6732DA20" w14:textId="4354899F" w:rsidR="002416B1" w:rsidRPr="00E21C60" w:rsidRDefault="002416B1" w:rsidP="00123376">
      <w:pPr>
        <w:jc w:val="both"/>
        <w:rPr>
          <w:rFonts w:ascii="Arial" w:hAnsi="Arial" w:cs="Arial"/>
          <w:i/>
          <w:sz w:val="16"/>
          <w:szCs w:val="16"/>
        </w:rPr>
      </w:pPr>
      <w:r w:rsidRPr="00E21C60">
        <w:rPr>
          <w:rFonts w:ascii="Arial" w:hAnsi="Arial" w:cs="Arial"/>
          <w:i/>
          <w:sz w:val="16"/>
          <w:szCs w:val="16"/>
        </w:rPr>
        <w:t xml:space="preserve">1 - Údaj obsahuje deklarovanú cieľovú hodnotu projektov v zmysle zmluvy o NFP k </w:t>
      </w:r>
      <w:r w:rsidR="001C1A90">
        <w:rPr>
          <w:rFonts w:ascii="Arial" w:hAnsi="Arial" w:cs="Arial"/>
          <w:i/>
          <w:sz w:val="16"/>
          <w:szCs w:val="16"/>
        </w:rPr>
        <w:t>31. 10. 2016</w:t>
      </w:r>
      <w:r w:rsidRPr="00E21C60">
        <w:rPr>
          <w:rFonts w:ascii="Arial" w:hAnsi="Arial" w:cs="Arial"/>
          <w:i/>
          <w:sz w:val="16"/>
          <w:szCs w:val="16"/>
        </w:rPr>
        <w:t>. Hodnota ukazovateľa dopadu na úrovni projektov sa vykazuje na základe následných monitorovacích správ, ktoré sú predkladané rok po skončení realizácie projektu. V súčasnosti prebieha realizácia projektov.</w:t>
      </w:r>
    </w:p>
    <w:p w14:paraId="4C2BC51E" w14:textId="77777777" w:rsidR="001B62A1" w:rsidRPr="00E21C60" w:rsidRDefault="00E56C3E" w:rsidP="00123376">
      <w:pPr>
        <w:jc w:val="both"/>
        <w:rPr>
          <w:rFonts w:ascii="Arial" w:hAnsi="Arial" w:cs="Arial"/>
          <w:i/>
          <w:iCs/>
          <w:sz w:val="16"/>
          <w:szCs w:val="16"/>
        </w:rPr>
      </w:pPr>
      <w:r w:rsidRPr="00E21C60">
        <w:rPr>
          <w:rFonts w:ascii="Arial" w:hAnsi="Arial" w:cs="Arial"/>
          <w:i/>
          <w:iCs/>
          <w:sz w:val="16"/>
          <w:szCs w:val="16"/>
        </w:rPr>
        <w:t xml:space="preserve">V prípade východiskových a cieľových hodnôt ukazovateľov HP RP v rámci OP ŽP </w:t>
      </w:r>
      <w:r w:rsidR="0002711C">
        <w:rPr>
          <w:rFonts w:ascii="Arial" w:hAnsi="Arial" w:cs="Arial"/>
          <w:i/>
          <w:iCs/>
          <w:sz w:val="16"/>
          <w:szCs w:val="16"/>
        </w:rPr>
        <w:t>ide</w:t>
      </w:r>
      <w:r w:rsidRPr="00E21C60">
        <w:rPr>
          <w:rFonts w:ascii="Arial" w:hAnsi="Arial" w:cs="Arial"/>
          <w:i/>
          <w:iCs/>
          <w:sz w:val="16"/>
          <w:szCs w:val="16"/>
        </w:rPr>
        <w:t xml:space="preserve"> o hodnoty len projektov OP ŽP s relevanciou k HP RP.</w:t>
      </w:r>
    </w:p>
    <w:p w14:paraId="2C4B152D" w14:textId="78550E68" w:rsidR="00845639" w:rsidRDefault="006C6650" w:rsidP="001029F6">
      <w:pPr>
        <w:spacing w:before="120" w:after="120"/>
        <w:jc w:val="both"/>
        <w:rPr>
          <w:rFonts w:ascii="Arial" w:hAnsi="Arial" w:cs="Arial"/>
          <w:sz w:val="20"/>
          <w:szCs w:val="20"/>
        </w:rPr>
      </w:pPr>
      <w:r w:rsidRPr="00E21C60">
        <w:rPr>
          <w:rFonts w:ascii="Arial" w:hAnsi="Arial" w:cs="Arial"/>
          <w:sz w:val="20"/>
          <w:szCs w:val="20"/>
        </w:rPr>
        <w:t xml:space="preserve">Plnenie cieľov HP RP na úrovni programu sa </w:t>
      </w:r>
      <w:r w:rsidR="009F70CA">
        <w:rPr>
          <w:rFonts w:ascii="Arial" w:hAnsi="Arial" w:cs="Arial"/>
          <w:sz w:val="20"/>
          <w:szCs w:val="20"/>
        </w:rPr>
        <w:t>posudzovalo</w:t>
      </w:r>
      <w:r w:rsidRPr="00E21C60">
        <w:rPr>
          <w:rFonts w:ascii="Arial" w:hAnsi="Arial" w:cs="Arial"/>
          <w:sz w:val="20"/>
          <w:szCs w:val="20"/>
        </w:rPr>
        <w:t xml:space="preserve"> prostredníctvom vykazovania a následnej analýzy ukazovateľov HP RP. Pokiaľ ide o implementáciu HP RP kumulatívne od začiatku programového obdobia, plnenie uvedených ukazovateľov </w:t>
      </w:r>
      <w:r w:rsidR="009F70CA">
        <w:rPr>
          <w:rFonts w:ascii="Arial" w:hAnsi="Arial" w:cs="Arial"/>
          <w:sz w:val="20"/>
          <w:szCs w:val="20"/>
        </w:rPr>
        <w:t>bolo</w:t>
      </w:r>
      <w:r w:rsidRPr="00E21C60">
        <w:rPr>
          <w:rFonts w:ascii="Arial" w:hAnsi="Arial" w:cs="Arial"/>
          <w:sz w:val="20"/>
          <w:szCs w:val="20"/>
        </w:rPr>
        <w:t xml:space="preserve"> ovplyvňované najmä stavom projektu (schválený/zazmluvnený/v realizácii), ako aj čerpaním oprávnených výdavkov projektu. </w:t>
      </w:r>
      <w:r w:rsidR="00845AE3">
        <w:rPr>
          <w:rFonts w:ascii="Arial" w:hAnsi="Arial" w:cs="Arial"/>
          <w:sz w:val="20"/>
          <w:szCs w:val="20"/>
        </w:rPr>
        <w:t>K 31.10. 2016</w:t>
      </w:r>
      <w:r w:rsidRPr="00E21C60">
        <w:rPr>
          <w:rFonts w:ascii="Arial" w:hAnsi="Arial" w:cs="Arial"/>
          <w:sz w:val="20"/>
          <w:szCs w:val="20"/>
        </w:rPr>
        <w:t xml:space="preserve"> bolo celkovo zazmluvnených 24</w:t>
      </w:r>
      <w:r w:rsidR="00B61E0C">
        <w:rPr>
          <w:rFonts w:ascii="Arial" w:hAnsi="Arial" w:cs="Arial"/>
          <w:sz w:val="20"/>
          <w:szCs w:val="20"/>
        </w:rPr>
        <w:t>0</w:t>
      </w:r>
      <w:r w:rsidRPr="00E21C60">
        <w:rPr>
          <w:rFonts w:ascii="Arial" w:hAnsi="Arial" w:cs="Arial"/>
          <w:sz w:val="20"/>
          <w:szCs w:val="20"/>
        </w:rPr>
        <w:t xml:space="preserve"> projektov s príspevkom HP RP. </w:t>
      </w:r>
      <w:r w:rsidR="006330CC">
        <w:rPr>
          <w:rFonts w:ascii="Arial" w:hAnsi="Arial" w:cs="Arial"/>
          <w:sz w:val="20"/>
          <w:szCs w:val="20"/>
        </w:rPr>
        <w:t>Pokles</w:t>
      </w:r>
      <w:r w:rsidR="00FF0270">
        <w:rPr>
          <w:rFonts w:ascii="Arial" w:hAnsi="Arial" w:cs="Arial"/>
          <w:sz w:val="20"/>
          <w:szCs w:val="20"/>
        </w:rPr>
        <w:t xml:space="preserve"> </w:t>
      </w:r>
      <w:r w:rsidR="006330CC">
        <w:rPr>
          <w:rFonts w:ascii="Arial" w:hAnsi="Arial" w:cs="Arial"/>
          <w:sz w:val="20"/>
          <w:szCs w:val="20"/>
        </w:rPr>
        <w:t xml:space="preserve">zazmluvnených projektov </w:t>
      </w:r>
      <w:r w:rsidR="00FF0270">
        <w:rPr>
          <w:rFonts w:ascii="Arial" w:hAnsi="Arial" w:cs="Arial"/>
          <w:sz w:val="20"/>
          <w:szCs w:val="20"/>
        </w:rPr>
        <w:t>oproti roku 201</w:t>
      </w:r>
      <w:r w:rsidR="00B61E0C">
        <w:rPr>
          <w:rFonts w:ascii="Arial" w:hAnsi="Arial" w:cs="Arial"/>
          <w:sz w:val="20"/>
          <w:szCs w:val="20"/>
        </w:rPr>
        <w:t>5</w:t>
      </w:r>
      <w:r w:rsidR="00FF0270">
        <w:rPr>
          <w:rFonts w:ascii="Arial" w:hAnsi="Arial" w:cs="Arial"/>
          <w:sz w:val="20"/>
          <w:szCs w:val="20"/>
        </w:rPr>
        <w:t xml:space="preserve">  </w:t>
      </w:r>
      <w:r w:rsidR="006330CC" w:rsidRPr="009F70CA">
        <w:rPr>
          <w:rFonts w:ascii="Arial" w:hAnsi="Arial" w:cs="Arial"/>
          <w:sz w:val="20"/>
          <w:szCs w:val="20"/>
        </w:rPr>
        <w:t xml:space="preserve">je spôsobený mimoriadnym ukončením </w:t>
      </w:r>
      <w:r w:rsidR="00200569" w:rsidRPr="009F70CA">
        <w:rPr>
          <w:rFonts w:ascii="Arial" w:hAnsi="Arial" w:cs="Arial"/>
          <w:sz w:val="20"/>
          <w:szCs w:val="20"/>
        </w:rPr>
        <w:t xml:space="preserve">projektov </w:t>
      </w:r>
      <w:r w:rsidR="00FF0270" w:rsidRPr="009F70CA">
        <w:rPr>
          <w:rFonts w:ascii="Arial" w:hAnsi="Arial" w:cs="Arial"/>
          <w:sz w:val="20"/>
          <w:szCs w:val="20"/>
        </w:rPr>
        <w:t xml:space="preserve">v  </w:t>
      </w:r>
      <w:r w:rsidR="00B61E0C" w:rsidRPr="009F70CA">
        <w:rPr>
          <w:rFonts w:ascii="Arial" w:hAnsi="Arial" w:cs="Arial"/>
          <w:sz w:val="20"/>
          <w:szCs w:val="20"/>
        </w:rPr>
        <w:t>5</w:t>
      </w:r>
      <w:r w:rsidR="00652C2A" w:rsidRPr="009F70CA">
        <w:rPr>
          <w:rFonts w:ascii="Arial" w:hAnsi="Arial" w:cs="Arial"/>
          <w:sz w:val="20"/>
          <w:szCs w:val="20"/>
        </w:rPr>
        <w:t xml:space="preserve"> </w:t>
      </w:r>
      <w:r w:rsidR="00200569" w:rsidRPr="009F70CA">
        <w:rPr>
          <w:rFonts w:ascii="Arial" w:hAnsi="Arial" w:cs="Arial"/>
          <w:sz w:val="20"/>
          <w:szCs w:val="20"/>
        </w:rPr>
        <w:t>prípadoch</w:t>
      </w:r>
      <w:r w:rsidR="00652C2A" w:rsidRPr="009F70CA">
        <w:rPr>
          <w:rFonts w:ascii="Arial" w:hAnsi="Arial" w:cs="Arial"/>
          <w:sz w:val="20"/>
          <w:szCs w:val="20"/>
        </w:rPr>
        <w:t>.</w:t>
      </w:r>
      <w:r w:rsidR="00652C2A">
        <w:rPr>
          <w:rFonts w:ascii="Arial" w:hAnsi="Arial" w:cs="Arial"/>
          <w:sz w:val="20"/>
          <w:szCs w:val="20"/>
        </w:rPr>
        <w:t xml:space="preserve"> </w:t>
      </w:r>
    </w:p>
    <w:p w14:paraId="5997E5EE" w14:textId="63FE5F53" w:rsidR="00845639" w:rsidRDefault="00B7245A" w:rsidP="00123376">
      <w:pPr>
        <w:spacing w:before="120"/>
        <w:jc w:val="both"/>
        <w:rPr>
          <w:rFonts w:ascii="Arial" w:hAnsi="Arial" w:cs="Arial"/>
          <w:sz w:val="20"/>
          <w:szCs w:val="20"/>
        </w:rPr>
      </w:pPr>
      <w:r>
        <w:rPr>
          <w:rFonts w:ascii="Arial" w:hAnsi="Arial" w:cs="Arial"/>
          <w:sz w:val="20"/>
          <w:szCs w:val="20"/>
        </w:rPr>
        <w:t>Tabuľka č.</w:t>
      </w:r>
      <w:r w:rsidR="00590529">
        <w:rPr>
          <w:rFonts w:ascii="Arial" w:hAnsi="Arial" w:cs="Arial"/>
          <w:sz w:val="20"/>
          <w:szCs w:val="20"/>
        </w:rPr>
        <w:t>8</w:t>
      </w:r>
      <w:r w:rsidR="007B1CB9">
        <w:rPr>
          <w:rFonts w:ascii="Arial" w:hAnsi="Arial" w:cs="Arial"/>
          <w:sz w:val="20"/>
          <w:szCs w:val="20"/>
        </w:rPr>
        <w:t>4</w:t>
      </w:r>
      <w:r>
        <w:rPr>
          <w:rFonts w:ascii="Arial" w:hAnsi="Arial" w:cs="Arial"/>
          <w:sz w:val="20"/>
          <w:szCs w:val="20"/>
        </w:rPr>
        <w:t>:</w:t>
      </w:r>
      <w:r w:rsidR="00EF7CD8">
        <w:rPr>
          <w:rFonts w:ascii="Arial" w:hAnsi="Arial" w:cs="Arial"/>
          <w:sz w:val="20"/>
          <w:szCs w:val="20"/>
        </w:rPr>
        <w:t xml:space="preserve"> </w:t>
      </w:r>
      <w:r w:rsidR="00845639">
        <w:rPr>
          <w:rFonts w:ascii="Arial" w:hAnsi="Arial" w:cs="Arial"/>
          <w:sz w:val="20"/>
          <w:szCs w:val="20"/>
        </w:rPr>
        <w:t>Stav zazmluvnenia projektov s príspevkom HP RP podľa NUTS III k 30.</w:t>
      </w:r>
      <w:r w:rsidR="00EC0846">
        <w:rPr>
          <w:rFonts w:ascii="Arial" w:hAnsi="Arial" w:cs="Arial"/>
          <w:sz w:val="20"/>
          <w:szCs w:val="20"/>
        </w:rPr>
        <w:t>10</w:t>
      </w:r>
      <w:r w:rsidR="00845639">
        <w:rPr>
          <w:rFonts w:ascii="Arial" w:hAnsi="Arial" w:cs="Arial"/>
          <w:sz w:val="20"/>
          <w:szCs w:val="20"/>
        </w:rPr>
        <w:t>.2016</w:t>
      </w:r>
    </w:p>
    <w:tbl>
      <w:tblPr>
        <w:tblW w:w="93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1457"/>
        <w:gridCol w:w="1630"/>
        <w:gridCol w:w="1486"/>
        <w:gridCol w:w="1570"/>
        <w:gridCol w:w="1457"/>
      </w:tblGrid>
      <w:tr w:rsidR="00845639" w:rsidRPr="00845639" w14:paraId="0DB54791" w14:textId="77777777" w:rsidTr="007D7B08">
        <w:trPr>
          <w:trHeight w:val="1315"/>
        </w:trPr>
        <w:tc>
          <w:tcPr>
            <w:tcW w:w="1702" w:type="dxa"/>
            <w:shd w:val="clear" w:color="auto" w:fill="C2D69B" w:themeFill="accent3" w:themeFillTint="99"/>
            <w:vAlign w:val="center"/>
          </w:tcPr>
          <w:p w14:paraId="59E983AE" w14:textId="77777777" w:rsidR="00845639" w:rsidRPr="00590529" w:rsidRDefault="00845639" w:rsidP="00845639">
            <w:pPr>
              <w:jc w:val="center"/>
              <w:rPr>
                <w:rFonts w:ascii="Arial" w:hAnsi="Arial" w:cs="Arial"/>
                <w:b/>
                <w:bCs/>
                <w:color w:val="000000"/>
                <w:sz w:val="16"/>
                <w:szCs w:val="16"/>
              </w:rPr>
            </w:pPr>
            <w:r w:rsidRPr="00590529">
              <w:rPr>
                <w:rFonts w:ascii="Arial" w:hAnsi="Arial" w:cs="Arial"/>
                <w:b/>
                <w:bCs/>
                <w:color w:val="000000"/>
                <w:sz w:val="16"/>
                <w:szCs w:val="16"/>
              </w:rPr>
              <w:t>Územie NUTS III</w:t>
            </w:r>
          </w:p>
        </w:tc>
        <w:tc>
          <w:tcPr>
            <w:tcW w:w="1457" w:type="dxa"/>
            <w:shd w:val="clear" w:color="auto" w:fill="C2D69B" w:themeFill="accent3" w:themeFillTint="99"/>
            <w:vAlign w:val="center"/>
          </w:tcPr>
          <w:p w14:paraId="6E6D9548" w14:textId="77777777" w:rsidR="00845639" w:rsidRPr="00590529" w:rsidRDefault="00845639" w:rsidP="00845639">
            <w:pPr>
              <w:jc w:val="center"/>
              <w:rPr>
                <w:rFonts w:ascii="Arial" w:hAnsi="Arial" w:cs="Arial"/>
                <w:b/>
                <w:bCs/>
                <w:color w:val="000000"/>
                <w:sz w:val="16"/>
                <w:szCs w:val="16"/>
              </w:rPr>
            </w:pPr>
            <w:r w:rsidRPr="00590529">
              <w:rPr>
                <w:rFonts w:ascii="Arial" w:hAnsi="Arial" w:cs="Arial"/>
                <w:b/>
                <w:bCs/>
                <w:color w:val="000000"/>
                <w:sz w:val="16"/>
                <w:szCs w:val="16"/>
              </w:rPr>
              <w:t>Počet zazmluvnených projektov celkovo</w:t>
            </w:r>
          </w:p>
        </w:tc>
        <w:tc>
          <w:tcPr>
            <w:tcW w:w="1630" w:type="dxa"/>
            <w:shd w:val="clear" w:color="auto" w:fill="C2D69B" w:themeFill="accent3" w:themeFillTint="99"/>
            <w:vAlign w:val="center"/>
          </w:tcPr>
          <w:p w14:paraId="7D04DAA5" w14:textId="77777777" w:rsidR="00845639" w:rsidRPr="00590529" w:rsidRDefault="00845639" w:rsidP="00845639">
            <w:pPr>
              <w:jc w:val="center"/>
              <w:rPr>
                <w:rFonts w:ascii="Arial" w:hAnsi="Arial" w:cs="Arial"/>
                <w:b/>
                <w:bCs/>
                <w:color w:val="000000"/>
                <w:sz w:val="16"/>
                <w:szCs w:val="16"/>
              </w:rPr>
            </w:pPr>
            <w:r w:rsidRPr="00590529">
              <w:rPr>
                <w:rFonts w:ascii="Arial" w:hAnsi="Arial" w:cs="Arial"/>
                <w:b/>
                <w:bCs/>
                <w:color w:val="000000"/>
                <w:sz w:val="16"/>
                <w:szCs w:val="16"/>
              </w:rPr>
              <w:t>Celková výška zazmluvnených prostriedkov v €  (EU zdroje)</w:t>
            </w:r>
          </w:p>
        </w:tc>
        <w:tc>
          <w:tcPr>
            <w:tcW w:w="1486" w:type="dxa"/>
            <w:shd w:val="clear" w:color="auto" w:fill="C2D69B" w:themeFill="accent3" w:themeFillTint="99"/>
            <w:vAlign w:val="center"/>
          </w:tcPr>
          <w:p w14:paraId="3E44F6EF" w14:textId="77777777" w:rsidR="00845639" w:rsidRPr="00590529" w:rsidRDefault="00845639" w:rsidP="00845639">
            <w:pPr>
              <w:jc w:val="center"/>
              <w:rPr>
                <w:rFonts w:ascii="Arial" w:hAnsi="Arial" w:cs="Arial"/>
                <w:b/>
                <w:bCs/>
                <w:color w:val="000000"/>
                <w:sz w:val="16"/>
                <w:szCs w:val="16"/>
              </w:rPr>
            </w:pPr>
            <w:r w:rsidRPr="00590529">
              <w:rPr>
                <w:rFonts w:ascii="Arial" w:hAnsi="Arial" w:cs="Arial"/>
                <w:b/>
                <w:bCs/>
                <w:color w:val="000000"/>
                <w:sz w:val="16"/>
                <w:szCs w:val="16"/>
              </w:rPr>
              <w:t>Počet zazmluvnených projektov s príspevkom HP RP</w:t>
            </w:r>
          </w:p>
        </w:tc>
        <w:tc>
          <w:tcPr>
            <w:tcW w:w="1570" w:type="dxa"/>
            <w:shd w:val="clear" w:color="auto" w:fill="C2D69B" w:themeFill="accent3" w:themeFillTint="99"/>
            <w:vAlign w:val="center"/>
          </w:tcPr>
          <w:p w14:paraId="76C20690" w14:textId="77777777" w:rsidR="00845639" w:rsidRPr="00590529" w:rsidRDefault="00845639" w:rsidP="00845639">
            <w:pPr>
              <w:jc w:val="center"/>
              <w:rPr>
                <w:rFonts w:ascii="Arial" w:hAnsi="Arial" w:cs="Arial"/>
                <w:b/>
                <w:bCs/>
                <w:color w:val="000000"/>
                <w:sz w:val="16"/>
                <w:szCs w:val="16"/>
              </w:rPr>
            </w:pPr>
            <w:r w:rsidRPr="00590529">
              <w:rPr>
                <w:rFonts w:ascii="Arial" w:hAnsi="Arial" w:cs="Arial"/>
                <w:b/>
                <w:bCs/>
                <w:color w:val="000000"/>
                <w:sz w:val="16"/>
                <w:szCs w:val="16"/>
              </w:rPr>
              <w:t>Výška zazmluvnených prostriedkov v € s príspevkom HP RP (EU zdroje)</w:t>
            </w:r>
          </w:p>
        </w:tc>
        <w:tc>
          <w:tcPr>
            <w:tcW w:w="1457" w:type="dxa"/>
            <w:shd w:val="clear" w:color="auto" w:fill="C2D69B" w:themeFill="accent3" w:themeFillTint="99"/>
            <w:vAlign w:val="center"/>
          </w:tcPr>
          <w:p w14:paraId="0C82B70E" w14:textId="77777777" w:rsidR="00845639" w:rsidRPr="00590529" w:rsidRDefault="00845639" w:rsidP="00845639">
            <w:pPr>
              <w:jc w:val="center"/>
              <w:rPr>
                <w:rFonts w:ascii="Arial" w:hAnsi="Arial" w:cs="Arial"/>
                <w:b/>
                <w:bCs/>
                <w:color w:val="000000"/>
                <w:sz w:val="16"/>
                <w:szCs w:val="16"/>
              </w:rPr>
            </w:pPr>
            <w:r w:rsidRPr="00590529">
              <w:rPr>
                <w:rFonts w:ascii="Arial" w:hAnsi="Arial" w:cs="Arial"/>
                <w:b/>
                <w:bCs/>
                <w:color w:val="000000"/>
                <w:sz w:val="16"/>
                <w:szCs w:val="16"/>
              </w:rPr>
              <w:t>% zazmluvnenia k HP RP z celkového objemu zazmluvnených prostriedkov</w:t>
            </w:r>
          </w:p>
        </w:tc>
      </w:tr>
      <w:tr w:rsidR="00845639" w:rsidRPr="00845639" w14:paraId="49883375" w14:textId="77777777" w:rsidTr="00845639">
        <w:trPr>
          <w:trHeight w:val="219"/>
        </w:trPr>
        <w:tc>
          <w:tcPr>
            <w:tcW w:w="1702" w:type="dxa"/>
            <w:vAlign w:val="center"/>
          </w:tcPr>
          <w:p w14:paraId="7E8730FB" w14:textId="77777777" w:rsidR="00845639" w:rsidRPr="00590529" w:rsidRDefault="00845639" w:rsidP="00A26AB6">
            <w:pPr>
              <w:jc w:val="center"/>
              <w:rPr>
                <w:rFonts w:ascii="Arial" w:hAnsi="Arial" w:cs="Arial"/>
                <w:color w:val="000000"/>
                <w:sz w:val="16"/>
                <w:szCs w:val="16"/>
              </w:rPr>
            </w:pPr>
            <w:r w:rsidRPr="00590529">
              <w:rPr>
                <w:rFonts w:ascii="Arial" w:hAnsi="Arial" w:cs="Arial"/>
                <w:color w:val="000000"/>
                <w:sz w:val="16"/>
                <w:szCs w:val="16"/>
              </w:rPr>
              <w:t>A</w:t>
            </w:r>
          </w:p>
        </w:tc>
        <w:tc>
          <w:tcPr>
            <w:tcW w:w="1457" w:type="dxa"/>
          </w:tcPr>
          <w:p w14:paraId="236F0CF0" w14:textId="77777777" w:rsidR="00845639" w:rsidRPr="00590529" w:rsidRDefault="00845639" w:rsidP="00C1000E">
            <w:pPr>
              <w:jc w:val="center"/>
              <w:rPr>
                <w:rFonts w:ascii="Arial" w:hAnsi="Arial" w:cs="Arial"/>
                <w:color w:val="000000"/>
                <w:sz w:val="16"/>
                <w:szCs w:val="16"/>
              </w:rPr>
            </w:pPr>
            <w:r w:rsidRPr="00590529">
              <w:rPr>
                <w:rFonts w:ascii="Arial" w:hAnsi="Arial" w:cs="Arial"/>
                <w:color w:val="000000"/>
                <w:sz w:val="16"/>
                <w:szCs w:val="16"/>
              </w:rPr>
              <w:t>B</w:t>
            </w:r>
          </w:p>
        </w:tc>
        <w:tc>
          <w:tcPr>
            <w:tcW w:w="1630" w:type="dxa"/>
          </w:tcPr>
          <w:p w14:paraId="7650217C" w14:textId="77777777" w:rsidR="00845639" w:rsidRPr="00590529" w:rsidRDefault="00845639" w:rsidP="00C1000E">
            <w:pPr>
              <w:jc w:val="center"/>
              <w:rPr>
                <w:rFonts w:ascii="Arial" w:hAnsi="Arial" w:cs="Arial"/>
                <w:color w:val="000000"/>
                <w:sz w:val="16"/>
                <w:szCs w:val="16"/>
              </w:rPr>
            </w:pPr>
            <w:r w:rsidRPr="00590529">
              <w:rPr>
                <w:rFonts w:ascii="Arial" w:hAnsi="Arial" w:cs="Arial"/>
                <w:color w:val="000000"/>
                <w:sz w:val="16"/>
                <w:szCs w:val="16"/>
              </w:rPr>
              <w:t>C*</w:t>
            </w:r>
          </w:p>
        </w:tc>
        <w:tc>
          <w:tcPr>
            <w:tcW w:w="1486" w:type="dxa"/>
          </w:tcPr>
          <w:p w14:paraId="7B218B21" w14:textId="77777777" w:rsidR="00845639" w:rsidRPr="00590529" w:rsidRDefault="00845639" w:rsidP="00E25B80">
            <w:pPr>
              <w:jc w:val="center"/>
              <w:rPr>
                <w:rFonts w:ascii="Arial" w:hAnsi="Arial" w:cs="Arial"/>
                <w:color w:val="000000"/>
                <w:sz w:val="16"/>
                <w:szCs w:val="16"/>
              </w:rPr>
            </w:pPr>
            <w:r w:rsidRPr="00590529">
              <w:rPr>
                <w:rFonts w:ascii="Arial" w:hAnsi="Arial" w:cs="Arial"/>
                <w:color w:val="000000"/>
                <w:sz w:val="16"/>
                <w:szCs w:val="16"/>
              </w:rPr>
              <w:t>D</w:t>
            </w:r>
          </w:p>
        </w:tc>
        <w:tc>
          <w:tcPr>
            <w:tcW w:w="1570" w:type="dxa"/>
          </w:tcPr>
          <w:p w14:paraId="50E35F35" w14:textId="77777777" w:rsidR="00845639" w:rsidRPr="00590529" w:rsidRDefault="00845639" w:rsidP="00E25B80">
            <w:pPr>
              <w:jc w:val="center"/>
              <w:rPr>
                <w:rFonts w:ascii="Arial" w:hAnsi="Arial" w:cs="Arial"/>
                <w:color w:val="000000"/>
                <w:sz w:val="16"/>
                <w:szCs w:val="16"/>
              </w:rPr>
            </w:pPr>
            <w:r w:rsidRPr="00590529">
              <w:rPr>
                <w:rFonts w:ascii="Arial" w:hAnsi="Arial" w:cs="Arial"/>
                <w:color w:val="000000"/>
                <w:sz w:val="16"/>
                <w:szCs w:val="16"/>
              </w:rPr>
              <w:t>E</w:t>
            </w:r>
          </w:p>
        </w:tc>
        <w:tc>
          <w:tcPr>
            <w:tcW w:w="1457" w:type="dxa"/>
          </w:tcPr>
          <w:p w14:paraId="3DC85596" w14:textId="77777777" w:rsidR="00845639" w:rsidRPr="00590529" w:rsidRDefault="00845639" w:rsidP="00762301">
            <w:pPr>
              <w:jc w:val="center"/>
              <w:rPr>
                <w:rFonts w:ascii="Arial" w:hAnsi="Arial" w:cs="Arial"/>
                <w:color w:val="000000"/>
                <w:sz w:val="16"/>
                <w:szCs w:val="16"/>
              </w:rPr>
            </w:pPr>
            <w:r w:rsidRPr="00590529">
              <w:rPr>
                <w:rFonts w:ascii="Arial" w:hAnsi="Arial" w:cs="Arial"/>
                <w:color w:val="000000"/>
                <w:sz w:val="16"/>
                <w:szCs w:val="16"/>
              </w:rPr>
              <w:t>F=E/C</w:t>
            </w:r>
          </w:p>
        </w:tc>
      </w:tr>
      <w:tr w:rsidR="00B05614" w:rsidRPr="00845639" w14:paraId="5D89E54D" w14:textId="77777777" w:rsidTr="00AB3787">
        <w:trPr>
          <w:trHeight w:val="236"/>
        </w:trPr>
        <w:tc>
          <w:tcPr>
            <w:tcW w:w="1702" w:type="dxa"/>
            <w:vAlign w:val="center"/>
          </w:tcPr>
          <w:p w14:paraId="092AF2CA" w14:textId="77777777" w:rsidR="00B05614" w:rsidRPr="00590529" w:rsidRDefault="00B05614" w:rsidP="002546D5">
            <w:pPr>
              <w:rPr>
                <w:rFonts w:ascii="Arial" w:hAnsi="Arial" w:cs="Arial"/>
                <w:color w:val="000000"/>
                <w:sz w:val="16"/>
                <w:szCs w:val="16"/>
              </w:rPr>
            </w:pPr>
            <w:r w:rsidRPr="00590529">
              <w:rPr>
                <w:rFonts w:ascii="Arial" w:hAnsi="Arial" w:cs="Arial"/>
                <w:color w:val="000000"/>
                <w:sz w:val="16"/>
                <w:szCs w:val="16"/>
              </w:rPr>
              <w:t>Bratislavský</w:t>
            </w:r>
          </w:p>
        </w:tc>
        <w:tc>
          <w:tcPr>
            <w:tcW w:w="1457" w:type="dxa"/>
            <w:tcBorders>
              <w:top w:val="single" w:sz="4" w:space="0" w:color="auto"/>
              <w:left w:val="single" w:sz="4" w:space="0" w:color="auto"/>
              <w:bottom w:val="single" w:sz="4" w:space="0" w:color="auto"/>
              <w:right w:val="single" w:sz="4" w:space="0" w:color="auto"/>
            </w:tcBorders>
            <w:shd w:val="clear" w:color="auto" w:fill="auto"/>
            <w:vAlign w:val="center"/>
          </w:tcPr>
          <w:p w14:paraId="4FB0D658" w14:textId="0D56DCB6" w:rsidR="00B05614" w:rsidRPr="00590529" w:rsidRDefault="00B05614" w:rsidP="00A26AB6">
            <w:pPr>
              <w:jc w:val="center"/>
              <w:rPr>
                <w:rFonts w:ascii="Arial" w:hAnsi="Arial" w:cs="Arial"/>
                <w:color w:val="000000"/>
                <w:sz w:val="16"/>
                <w:szCs w:val="16"/>
              </w:rPr>
            </w:pPr>
            <w:r w:rsidRPr="00590529">
              <w:rPr>
                <w:rFonts w:ascii="Arial" w:hAnsi="Arial" w:cs="Arial"/>
                <w:color w:val="000000"/>
                <w:sz w:val="16"/>
                <w:szCs w:val="16"/>
              </w:rPr>
              <w:t>21</w:t>
            </w:r>
          </w:p>
        </w:tc>
        <w:tc>
          <w:tcPr>
            <w:tcW w:w="1630" w:type="dxa"/>
            <w:tcBorders>
              <w:top w:val="single" w:sz="4" w:space="0" w:color="auto"/>
              <w:left w:val="nil"/>
              <w:bottom w:val="single" w:sz="4" w:space="0" w:color="auto"/>
              <w:right w:val="single" w:sz="4" w:space="0" w:color="auto"/>
            </w:tcBorders>
            <w:shd w:val="clear" w:color="auto" w:fill="auto"/>
            <w:vAlign w:val="center"/>
          </w:tcPr>
          <w:p w14:paraId="4E1BD931" w14:textId="25518CB7"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95 577 804</w:t>
            </w:r>
          </w:p>
        </w:tc>
        <w:tc>
          <w:tcPr>
            <w:tcW w:w="1486" w:type="dxa"/>
            <w:tcBorders>
              <w:top w:val="single" w:sz="4" w:space="0" w:color="auto"/>
              <w:left w:val="nil"/>
              <w:bottom w:val="single" w:sz="4" w:space="0" w:color="auto"/>
              <w:right w:val="single" w:sz="4" w:space="0" w:color="auto"/>
            </w:tcBorders>
            <w:shd w:val="clear" w:color="auto" w:fill="auto"/>
            <w:vAlign w:val="center"/>
          </w:tcPr>
          <w:p w14:paraId="1D6803DF" w14:textId="251E2B51"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4</w:t>
            </w:r>
          </w:p>
        </w:tc>
        <w:tc>
          <w:tcPr>
            <w:tcW w:w="1570" w:type="dxa"/>
            <w:tcBorders>
              <w:top w:val="single" w:sz="4" w:space="0" w:color="auto"/>
              <w:left w:val="nil"/>
              <w:bottom w:val="single" w:sz="4" w:space="0" w:color="auto"/>
              <w:right w:val="single" w:sz="4" w:space="0" w:color="auto"/>
            </w:tcBorders>
            <w:shd w:val="clear" w:color="auto" w:fill="auto"/>
            <w:vAlign w:val="center"/>
          </w:tcPr>
          <w:p w14:paraId="3A693809" w14:textId="448FFCA1"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15 182 06</w:t>
            </w:r>
            <w:r w:rsidR="00A1711A">
              <w:rPr>
                <w:rFonts w:ascii="Arial" w:hAnsi="Arial" w:cs="Arial"/>
                <w:color w:val="000000"/>
                <w:sz w:val="16"/>
                <w:szCs w:val="16"/>
              </w:rPr>
              <w:t>1</w:t>
            </w:r>
          </w:p>
        </w:tc>
        <w:tc>
          <w:tcPr>
            <w:tcW w:w="1457" w:type="dxa"/>
            <w:tcBorders>
              <w:top w:val="single" w:sz="4" w:space="0" w:color="auto"/>
              <w:left w:val="nil"/>
              <w:bottom w:val="single" w:sz="4" w:space="0" w:color="auto"/>
              <w:right w:val="single" w:sz="4" w:space="0" w:color="auto"/>
            </w:tcBorders>
            <w:shd w:val="clear" w:color="auto" w:fill="auto"/>
            <w:vAlign w:val="center"/>
          </w:tcPr>
          <w:p w14:paraId="719789AF" w14:textId="23620557"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15,88%</w:t>
            </w:r>
          </w:p>
        </w:tc>
      </w:tr>
      <w:tr w:rsidR="00B05614" w:rsidRPr="00845639" w14:paraId="28A49308" w14:textId="77777777" w:rsidTr="00AB3787">
        <w:trPr>
          <w:trHeight w:val="236"/>
        </w:trPr>
        <w:tc>
          <w:tcPr>
            <w:tcW w:w="1702" w:type="dxa"/>
            <w:vAlign w:val="center"/>
          </w:tcPr>
          <w:p w14:paraId="0E2E9604" w14:textId="77777777" w:rsidR="00B05614" w:rsidRPr="00590529" w:rsidRDefault="00B05614" w:rsidP="002546D5">
            <w:pPr>
              <w:rPr>
                <w:rFonts w:ascii="Arial" w:hAnsi="Arial" w:cs="Arial"/>
                <w:color w:val="000000"/>
                <w:sz w:val="16"/>
                <w:szCs w:val="16"/>
              </w:rPr>
            </w:pPr>
            <w:r w:rsidRPr="00590529">
              <w:rPr>
                <w:rFonts w:ascii="Arial" w:hAnsi="Arial" w:cs="Arial"/>
                <w:color w:val="000000"/>
                <w:sz w:val="16"/>
                <w:szCs w:val="16"/>
              </w:rPr>
              <w:t>Trnavský</w:t>
            </w:r>
          </w:p>
        </w:tc>
        <w:tc>
          <w:tcPr>
            <w:tcW w:w="1457" w:type="dxa"/>
            <w:tcBorders>
              <w:top w:val="nil"/>
              <w:left w:val="single" w:sz="4" w:space="0" w:color="auto"/>
              <w:bottom w:val="single" w:sz="4" w:space="0" w:color="auto"/>
              <w:right w:val="single" w:sz="4" w:space="0" w:color="auto"/>
            </w:tcBorders>
            <w:shd w:val="clear" w:color="auto" w:fill="auto"/>
            <w:vAlign w:val="center"/>
          </w:tcPr>
          <w:p w14:paraId="2C3DBF2B" w14:textId="0273A6BD" w:rsidR="00B05614" w:rsidRPr="00590529" w:rsidRDefault="00B05614" w:rsidP="00A26AB6">
            <w:pPr>
              <w:jc w:val="center"/>
              <w:rPr>
                <w:rFonts w:ascii="Arial" w:hAnsi="Arial" w:cs="Arial"/>
                <w:color w:val="000000"/>
                <w:sz w:val="16"/>
                <w:szCs w:val="16"/>
              </w:rPr>
            </w:pPr>
            <w:r w:rsidRPr="00590529">
              <w:rPr>
                <w:rFonts w:ascii="Arial" w:hAnsi="Arial" w:cs="Arial"/>
                <w:color w:val="000000"/>
                <w:sz w:val="16"/>
                <w:szCs w:val="16"/>
              </w:rPr>
              <w:t>79</w:t>
            </w:r>
          </w:p>
        </w:tc>
        <w:tc>
          <w:tcPr>
            <w:tcW w:w="1630" w:type="dxa"/>
            <w:tcBorders>
              <w:top w:val="nil"/>
              <w:left w:val="nil"/>
              <w:bottom w:val="single" w:sz="4" w:space="0" w:color="auto"/>
              <w:right w:val="single" w:sz="4" w:space="0" w:color="auto"/>
            </w:tcBorders>
            <w:shd w:val="clear" w:color="auto" w:fill="auto"/>
            <w:vAlign w:val="center"/>
          </w:tcPr>
          <w:p w14:paraId="57DB9270" w14:textId="62DB9683"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157 289 70</w:t>
            </w:r>
            <w:r w:rsidR="00A1711A">
              <w:rPr>
                <w:rFonts w:ascii="Arial" w:hAnsi="Arial" w:cs="Arial"/>
                <w:color w:val="000000"/>
                <w:sz w:val="16"/>
                <w:szCs w:val="16"/>
              </w:rPr>
              <w:t>8</w:t>
            </w:r>
          </w:p>
        </w:tc>
        <w:tc>
          <w:tcPr>
            <w:tcW w:w="1486" w:type="dxa"/>
            <w:tcBorders>
              <w:top w:val="nil"/>
              <w:left w:val="nil"/>
              <w:bottom w:val="single" w:sz="4" w:space="0" w:color="auto"/>
              <w:right w:val="single" w:sz="4" w:space="0" w:color="auto"/>
            </w:tcBorders>
            <w:shd w:val="clear" w:color="auto" w:fill="auto"/>
            <w:vAlign w:val="center"/>
          </w:tcPr>
          <w:p w14:paraId="1D8DA6E9" w14:textId="359DB265"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19</w:t>
            </w:r>
          </w:p>
        </w:tc>
        <w:tc>
          <w:tcPr>
            <w:tcW w:w="1570" w:type="dxa"/>
            <w:tcBorders>
              <w:top w:val="nil"/>
              <w:left w:val="nil"/>
              <w:bottom w:val="single" w:sz="4" w:space="0" w:color="auto"/>
              <w:right w:val="single" w:sz="4" w:space="0" w:color="auto"/>
            </w:tcBorders>
            <w:shd w:val="clear" w:color="auto" w:fill="auto"/>
            <w:vAlign w:val="center"/>
          </w:tcPr>
          <w:p w14:paraId="5E48F26A" w14:textId="1D29FA41"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21 081 61</w:t>
            </w:r>
            <w:r w:rsidR="00A1711A">
              <w:rPr>
                <w:rFonts w:ascii="Arial" w:hAnsi="Arial" w:cs="Arial"/>
                <w:color w:val="000000"/>
                <w:sz w:val="16"/>
                <w:szCs w:val="16"/>
              </w:rPr>
              <w:t>3</w:t>
            </w:r>
          </w:p>
        </w:tc>
        <w:tc>
          <w:tcPr>
            <w:tcW w:w="1457" w:type="dxa"/>
            <w:tcBorders>
              <w:top w:val="nil"/>
              <w:left w:val="nil"/>
              <w:bottom w:val="single" w:sz="4" w:space="0" w:color="auto"/>
              <w:right w:val="single" w:sz="4" w:space="0" w:color="auto"/>
            </w:tcBorders>
            <w:shd w:val="clear" w:color="auto" w:fill="auto"/>
            <w:vAlign w:val="center"/>
          </w:tcPr>
          <w:p w14:paraId="2F88A812" w14:textId="6C1D0189"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13,40%</w:t>
            </w:r>
          </w:p>
        </w:tc>
      </w:tr>
      <w:tr w:rsidR="00B05614" w:rsidRPr="00845639" w14:paraId="6BA01FBF" w14:textId="77777777" w:rsidTr="00AB3787">
        <w:trPr>
          <w:trHeight w:val="236"/>
        </w:trPr>
        <w:tc>
          <w:tcPr>
            <w:tcW w:w="1702" w:type="dxa"/>
            <w:vAlign w:val="center"/>
          </w:tcPr>
          <w:p w14:paraId="4CA9613D" w14:textId="77777777" w:rsidR="00B05614" w:rsidRPr="00590529" w:rsidRDefault="00B05614" w:rsidP="002546D5">
            <w:pPr>
              <w:rPr>
                <w:rFonts w:ascii="Arial" w:hAnsi="Arial" w:cs="Arial"/>
                <w:color w:val="000000"/>
                <w:sz w:val="16"/>
                <w:szCs w:val="16"/>
              </w:rPr>
            </w:pPr>
            <w:r w:rsidRPr="00590529">
              <w:rPr>
                <w:rFonts w:ascii="Arial" w:hAnsi="Arial" w:cs="Arial"/>
                <w:color w:val="000000"/>
                <w:sz w:val="16"/>
                <w:szCs w:val="16"/>
              </w:rPr>
              <w:t>Trenčiansky</w:t>
            </w:r>
          </w:p>
        </w:tc>
        <w:tc>
          <w:tcPr>
            <w:tcW w:w="1457" w:type="dxa"/>
            <w:tcBorders>
              <w:top w:val="nil"/>
              <w:left w:val="single" w:sz="4" w:space="0" w:color="auto"/>
              <w:bottom w:val="single" w:sz="4" w:space="0" w:color="auto"/>
              <w:right w:val="single" w:sz="4" w:space="0" w:color="auto"/>
            </w:tcBorders>
            <w:shd w:val="clear" w:color="auto" w:fill="auto"/>
            <w:vAlign w:val="center"/>
          </w:tcPr>
          <w:p w14:paraId="19043801" w14:textId="2FD0E32D" w:rsidR="00B05614" w:rsidRPr="00590529" w:rsidRDefault="00B05614" w:rsidP="00A26AB6">
            <w:pPr>
              <w:jc w:val="center"/>
              <w:rPr>
                <w:rFonts w:ascii="Arial" w:hAnsi="Arial" w:cs="Arial"/>
                <w:color w:val="000000"/>
                <w:sz w:val="16"/>
                <w:szCs w:val="16"/>
              </w:rPr>
            </w:pPr>
            <w:r w:rsidRPr="00590529">
              <w:rPr>
                <w:rFonts w:ascii="Arial" w:hAnsi="Arial" w:cs="Arial"/>
                <w:color w:val="000000"/>
                <w:sz w:val="16"/>
                <w:szCs w:val="16"/>
              </w:rPr>
              <w:t>67</w:t>
            </w:r>
          </w:p>
        </w:tc>
        <w:tc>
          <w:tcPr>
            <w:tcW w:w="1630" w:type="dxa"/>
            <w:tcBorders>
              <w:top w:val="nil"/>
              <w:left w:val="nil"/>
              <w:bottom w:val="single" w:sz="4" w:space="0" w:color="auto"/>
              <w:right w:val="single" w:sz="4" w:space="0" w:color="auto"/>
            </w:tcBorders>
            <w:shd w:val="clear" w:color="auto" w:fill="auto"/>
            <w:vAlign w:val="center"/>
          </w:tcPr>
          <w:p w14:paraId="51E545D8" w14:textId="6E726135"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203 365 42</w:t>
            </w:r>
            <w:r w:rsidR="00A1711A">
              <w:rPr>
                <w:rFonts w:ascii="Arial" w:hAnsi="Arial" w:cs="Arial"/>
                <w:color w:val="000000"/>
                <w:sz w:val="16"/>
                <w:szCs w:val="16"/>
              </w:rPr>
              <w:t>5</w:t>
            </w:r>
          </w:p>
        </w:tc>
        <w:tc>
          <w:tcPr>
            <w:tcW w:w="1486" w:type="dxa"/>
            <w:tcBorders>
              <w:top w:val="nil"/>
              <w:left w:val="nil"/>
              <w:bottom w:val="single" w:sz="4" w:space="0" w:color="auto"/>
              <w:right w:val="single" w:sz="4" w:space="0" w:color="auto"/>
            </w:tcBorders>
            <w:shd w:val="clear" w:color="auto" w:fill="auto"/>
            <w:vAlign w:val="center"/>
          </w:tcPr>
          <w:p w14:paraId="63B5543F" w14:textId="76141BDF"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30</w:t>
            </w:r>
          </w:p>
        </w:tc>
        <w:tc>
          <w:tcPr>
            <w:tcW w:w="1570" w:type="dxa"/>
            <w:tcBorders>
              <w:top w:val="nil"/>
              <w:left w:val="nil"/>
              <w:bottom w:val="single" w:sz="4" w:space="0" w:color="auto"/>
              <w:right w:val="single" w:sz="4" w:space="0" w:color="auto"/>
            </w:tcBorders>
            <w:shd w:val="clear" w:color="auto" w:fill="auto"/>
            <w:vAlign w:val="center"/>
          </w:tcPr>
          <w:p w14:paraId="3E6DDA7D" w14:textId="3508270A"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117 357 460</w:t>
            </w:r>
          </w:p>
        </w:tc>
        <w:tc>
          <w:tcPr>
            <w:tcW w:w="1457" w:type="dxa"/>
            <w:tcBorders>
              <w:top w:val="nil"/>
              <w:left w:val="nil"/>
              <w:bottom w:val="single" w:sz="4" w:space="0" w:color="auto"/>
              <w:right w:val="single" w:sz="4" w:space="0" w:color="auto"/>
            </w:tcBorders>
            <w:shd w:val="clear" w:color="auto" w:fill="auto"/>
            <w:vAlign w:val="center"/>
          </w:tcPr>
          <w:p w14:paraId="1763D2F1" w14:textId="0DDD4C26"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57,71%</w:t>
            </w:r>
          </w:p>
        </w:tc>
      </w:tr>
      <w:tr w:rsidR="00B05614" w:rsidRPr="00845639" w14:paraId="725EF080" w14:textId="77777777" w:rsidTr="00AB3787">
        <w:trPr>
          <w:trHeight w:val="252"/>
        </w:trPr>
        <w:tc>
          <w:tcPr>
            <w:tcW w:w="1702" w:type="dxa"/>
            <w:vAlign w:val="center"/>
          </w:tcPr>
          <w:p w14:paraId="78EEC510" w14:textId="77777777" w:rsidR="00B05614" w:rsidRPr="00590529" w:rsidRDefault="00B05614" w:rsidP="002546D5">
            <w:pPr>
              <w:rPr>
                <w:rFonts w:ascii="Arial" w:hAnsi="Arial" w:cs="Arial"/>
                <w:color w:val="000000"/>
                <w:sz w:val="16"/>
                <w:szCs w:val="16"/>
              </w:rPr>
            </w:pPr>
            <w:r w:rsidRPr="00590529">
              <w:rPr>
                <w:rFonts w:ascii="Arial" w:hAnsi="Arial" w:cs="Arial"/>
                <w:color w:val="000000"/>
                <w:sz w:val="16"/>
                <w:szCs w:val="16"/>
              </w:rPr>
              <w:t>Nitriansky</w:t>
            </w:r>
          </w:p>
        </w:tc>
        <w:tc>
          <w:tcPr>
            <w:tcW w:w="1457" w:type="dxa"/>
            <w:tcBorders>
              <w:top w:val="nil"/>
              <w:left w:val="single" w:sz="4" w:space="0" w:color="auto"/>
              <w:bottom w:val="single" w:sz="4" w:space="0" w:color="auto"/>
              <w:right w:val="single" w:sz="4" w:space="0" w:color="auto"/>
            </w:tcBorders>
            <w:shd w:val="clear" w:color="auto" w:fill="auto"/>
            <w:vAlign w:val="center"/>
          </w:tcPr>
          <w:p w14:paraId="7B0AFF8E" w14:textId="7DBF10DD" w:rsidR="00B05614" w:rsidRPr="00590529" w:rsidRDefault="00B05614" w:rsidP="00A26AB6">
            <w:pPr>
              <w:jc w:val="center"/>
              <w:rPr>
                <w:rFonts w:ascii="Arial" w:hAnsi="Arial" w:cs="Arial"/>
                <w:color w:val="000000"/>
                <w:sz w:val="16"/>
                <w:szCs w:val="16"/>
              </w:rPr>
            </w:pPr>
            <w:r w:rsidRPr="00590529">
              <w:rPr>
                <w:rFonts w:ascii="Arial" w:hAnsi="Arial" w:cs="Arial"/>
                <w:color w:val="000000"/>
                <w:sz w:val="16"/>
                <w:szCs w:val="16"/>
              </w:rPr>
              <w:t>81</w:t>
            </w:r>
          </w:p>
        </w:tc>
        <w:tc>
          <w:tcPr>
            <w:tcW w:w="1630" w:type="dxa"/>
            <w:tcBorders>
              <w:top w:val="nil"/>
              <w:left w:val="nil"/>
              <w:bottom w:val="single" w:sz="4" w:space="0" w:color="auto"/>
              <w:right w:val="single" w:sz="4" w:space="0" w:color="auto"/>
            </w:tcBorders>
            <w:shd w:val="clear" w:color="auto" w:fill="auto"/>
            <w:vAlign w:val="center"/>
          </w:tcPr>
          <w:p w14:paraId="6FFAD774" w14:textId="14CE7CFB"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192 903 00</w:t>
            </w:r>
            <w:r w:rsidR="00A1711A">
              <w:rPr>
                <w:rFonts w:ascii="Arial" w:hAnsi="Arial" w:cs="Arial"/>
                <w:color w:val="000000"/>
                <w:sz w:val="16"/>
                <w:szCs w:val="16"/>
              </w:rPr>
              <w:t>4</w:t>
            </w:r>
          </w:p>
        </w:tc>
        <w:tc>
          <w:tcPr>
            <w:tcW w:w="1486" w:type="dxa"/>
            <w:tcBorders>
              <w:top w:val="nil"/>
              <w:left w:val="nil"/>
              <w:bottom w:val="single" w:sz="4" w:space="0" w:color="auto"/>
              <w:right w:val="single" w:sz="4" w:space="0" w:color="auto"/>
            </w:tcBorders>
            <w:shd w:val="clear" w:color="auto" w:fill="auto"/>
            <w:vAlign w:val="center"/>
          </w:tcPr>
          <w:p w14:paraId="05287A80" w14:textId="0AACBFD1"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27</w:t>
            </w:r>
          </w:p>
        </w:tc>
        <w:tc>
          <w:tcPr>
            <w:tcW w:w="1570" w:type="dxa"/>
            <w:tcBorders>
              <w:top w:val="nil"/>
              <w:left w:val="nil"/>
              <w:bottom w:val="single" w:sz="4" w:space="0" w:color="auto"/>
              <w:right w:val="single" w:sz="4" w:space="0" w:color="auto"/>
            </w:tcBorders>
            <w:shd w:val="clear" w:color="auto" w:fill="auto"/>
            <w:vAlign w:val="center"/>
          </w:tcPr>
          <w:p w14:paraId="7CF02FA0" w14:textId="509D7490"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43 374 40</w:t>
            </w:r>
            <w:r w:rsidR="00A1711A">
              <w:rPr>
                <w:rFonts w:ascii="Arial" w:hAnsi="Arial" w:cs="Arial"/>
                <w:color w:val="000000"/>
                <w:sz w:val="16"/>
                <w:szCs w:val="16"/>
              </w:rPr>
              <w:t>1</w:t>
            </w:r>
          </w:p>
        </w:tc>
        <w:tc>
          <w:tcPr>
            <w:tcW w:w="1457" w:type="dxa"/>
            <w:tcBorders>
              <w:top w:val="nil"/>
              <w:left w:val="nil"/>
              <w:bottom w:val="single" w:sz="4" w:space="0" w:color="auto"/>
              <w:right w:val="single" w:sz="4" w:space="0" w:color="auto"/>
            </w:tcBorders>
            <w:shd w:val="clear" w:color="auto" w:fill="auto"/>
            <w:vAlign w:val="center"/>
          </w:tcPr>
          <w:p w14:paraId="256016FF" w14:textId="6F042302"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22,49%</w:t>
            </w:r>
          </w:p>
        </w:tc>
      </w:tr>
      <w:tr w:rsidR="00B05614" w:rsidRPr="00845639" w14:paraId="208257FD" w14:textId="77777777" w:rsidTr="00AB3787">
        <w:trPr>
          <w:trHeight w:val="236"/>
        </w:trPr>
        <w:tc>
          <w:tcPr>
            <w:tcW w:w="1702" w:type="dxa"/>
            <w:vAlign w:val="center"/>
          </w:tcPr>
          <w:p w14:paraId="3F3D63B9" w14:textId="77777777" w:rsidR="00B05614" w:rsidRPr="00590529" w:rsidRDefault="00B05614" w:rsidP="002546D5">
            <w:pPr>
              <w:rPr>
                <w:rFonts w:ascii="Arial" w:hAnsi="Arial" w:cs="Arial"/>
                <w:color w:val="000000"/>
                <w:sz w:val="16"/>
                <w:szCs w:val="16"/>
              </w:rPr>
            </w:pPr>
            <w:r w:rsidRPr="00590529">
              <w:rPr>
                <w:rFonts w:ascii="Arial" w:hAnsi="Arial" w:cs="Arial"/>
                <w:color w:val="000000"/>
                <w:sz w:val="16"/>
                <w:szCs w:val="16"/>
              </w:rPr>
              <w:t>Žilinský</w:t>
            </w:r>
          </w:p>
        </w:tc>
        <w:tc>
          <w:tcPr>
            <w:tcW w:w="1457" w:type="dxa"/>
            <w:tcBorders>
              <w:top w:val="nil"/>
              <w:left w:val="single" w:sz="4" w:space="0" w:color="auto"/>
              <w:bottom w:val="single" w:sz="4" w:space="0" w:color="auto"/>
              <w:right w:val="single" w:sz="4" w:space="0" w:color="auto"/>
            </w:tcBorders>
            <w:shd w:val="clear" w:color="auto" w:fill="auto"/>
            <w:vAlign w:val="center"/>
          </w:tcPr>
          <w:p w14:paraId="3127888C" w14:textId="0CC0019C" w:rsidR="00B05614" w:rsidRPr="00590529" w:rsidRDefault="00B05614" w:rsidP="00A26AB6">
            <w:pPr>
              <w:jc w:val="center"/>
              <w:rPr>
                <w:rFonts w:ascii="Arial" w:hAnsi="Arial" w:cs="Arial"/>
                <w:color w:val="000000"/>
                <w:sz w:val="16"/>
                <w:szCs w:val="16"/>
              </w:rPr>
            </w:pPr>
            <w:r w:rsidRPr="00590529">
              <w:rPr>
                <w:rFonts w:ascii="Arial" w:hAnsi="Arial" w:cs="Arial"/>
                <w:color w:val="000000"/>
                <w:sz w:val="16"/>
                <w:szCs w:val="16"/>
              </w:rPr>
              <w:t>118</w:t>
            </w:r>
          </w:p>
        </w:tc>
        <w:tc>
          <w:tcPr>
            <w:tcW w:w="1630" w:type="dxa"/>
            <w:tcBorders>
              <w:top w:val="nil"/>
              <w:left w:val="nil"/>
              <w:bottom w:val="single" w:sz="4" w:space="0" w:color="auto"/>
              <w:right w:val="single" w:sz="4" w:space="0" w:color="auto"/>
            </w:tcBorders>
            <w:shd w:val="clear" w:color="auto" w:fill="auto"/>
            <w:vAlign w:val="center"/>
          </w:tcPr>
          <w:p w14:paraId="54AE429E" w14:textId="438D87D0"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264 035 14</w:t>
            </w:r>
            <w:r w:rsidR="00A1711A">
              <w:rPr>
                <w:rFonts w:ascii="Arial" w:hAnsi="Arial" w:cs="Arial"/>
                <w:color w:val="000000"/>
                <w:sz w:val="16"/>
                <w:szCs w:val="16"/>
              </w:rPr>
              <w:t>6</w:t>
            </w:r>
          </w:p>
        </w:tc>
        <w:tc>
          <w:tcPr>
            <w:tcW w:w="1486" w:type="dxa"/>
            <w:tcBorders>
              <w:top w:val="nil"/>
              <w:left w:val="nil"/>
              <w:bottom w:val="single" w:sz="4" w:space="0" w:color="auto"/>
              <w:right w:val="single" w:sz="4" w:space="0" w:color="auto"/>
            </w:tcBorders>
            <w:shd w:val="clear" w:color="auto" w:fill="auto"/>
            <w:vAlign w:val="center"/>
          </w:tcPr>
          <w:p w14:paraId="3C3E867C" w14:textId="55898621"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33</w:t>
            </w:r>
          </w:p>
        </w:tc>
        <w:tc>
          <w:tcPr>
            <w:tcW w:w="1570" w:type="dxa"/>
            <w:tcBorders>
              <w:top w:val="nil"/>
              <w:left w:val="nil"/>
              <w:bottom w:val="single" w:sz="4" w:space="0" w:color="auto"/>
              <w:right w:val="single" w:sz="4" w:space="0" w:color="auto"/>
            </w:tcBorders>
            <w:shd w:val="clear" w:color="auto" w:fill="auto"/>
            <w:vAlign w:val="center"/>
          </w:tcPr>
          <w:p w14:paraId="45BA09C7" w14:textId="27A005B0"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52 034 78</w:t>
            </w:r>
            <w:r w:rsidR="00A1711A">
              <w:rPr>
                <w:rFonts w:ascii="Arial" w:hAnsi="Arial" w:cs="Arial"/>
                <w:color w:val="000000"/>
                <w:sz w:val="16"/>
                <w:szCs w:val="16"/>
              </w:rPr>
              <w:t>6</w:t>
            </w:r>
          </w:p>
        </w:tc>
        <w:tc>
          <w:tcPr>
            <w:tcW w:w="1457" w:type="dxa"/>
            <w:tcBorders>
              <w:top w:val="nil"/>
              <w:left w:val="nil"/>
              <w:bottom w:val="single" w:sz="4" w:space="0" w:color="auto"/>
              <w:right w:val="single" w:sz="4" w:space="0" w:color="auto"/>
            </w:tcBorders>
            <w:shd w:val="clear" w:color="auto" w:fill="auto"/>
            <w:vAlign w:val="center"/>
          </w:tcPr>
          <w:p w14:paraId="0D16031E" w14:textId="41F23190"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19,71%</w:t>
            </w:r>
          </w:p>
        </w:tc>
      </w:tr>
      <w:tr w:rsidR="00B05614" w:rsidRPr="00845639" w14:paraId="76386A27" w14:textId="77777777" w:rsidTr="00AB3787">
        <w:trPr>
          <w:trHeight w:val="236"/>
        </w:trPr>
        <w:tc>
          <w:tcPr>
            <w:tcW w:w="1702" w:type="dxa"/>
            <w:vAlign w:val="center"/>
          </w:tcPr>
          <w:p w14:paraId="43764054" w14:textId="77777777" w:rsidR="00B05614" w:rsidRPr="00590529" w:rsidRDefault="00B05614" w:rsidP="002546D5">
            <w:pPr>
              <w:rPr>
                <w:rFonts w:ascii="Arial" w:hAnsi="Arial" w:cs="Arial"/>
                <w:color w:val="000000"/>
                <w:sz w:val="16"/>
                <w:szCs w:val="16"/>
              </w:rPr>
            </w:pPr>
            <w:r w:rsidRPr="00590529">
              <w:rPr>
                <w:rFonts w:ascii="Arial" w:hAnsi="Arial" w:cs="Arial"/>
                <w:color w:val="000000"/>
                <w:sz w:val="16"/>
                <w:szCs w:val="16"/>
              </w:rPr>
              <w:t>Banskobystrický</w:t>
            </w:r>
          </w:p>
        </w:tc>
        <w:tc>
          <w:tcPr>
            <w:tcW w:w="1457" w:type="dxa"/>
            <w:tcBorders>
              <w:top w:val="nil"/>
              <w:left w:val="single" w:sz="4" w:space="0" w:color="auto"/>
              <w:bottom w:val="single" w:sz="4" w:space="0" w:color="auto"/>
              <w:right w:val="single" w:sz="4" w:space="0" w:color="auto"/>
            </w:tcBorders>
            <w:shd w:val="clear" w:color="auto" w:fill="auto"/>
            <w:vAlign w:val="center"/>
          </w:tcPr>
          <w:p w14:paraId="2A8EB1EE" w14:textId="0364463F" w:rsidR="00B05614" w:rsidRPr="00590529" w:rsidRDefault="00B05614" w:rsidP="00A26AB6">
            <w:pPr>
              <w:jc w:val="center"/>
              <w:rPr>
                <w:rFonts w:ascii="Arial" w:hAnsi="Arial" w:cs="Arial"/>
                <w:color w:val="000000"/>
                <w:sz w:val="16"/>
                <w:szCs w:val="16"/>
              </w:rPr>
            </w:pPr>
            <w:r w:rsidRPr="00590529">
              <w:rPr>
                <w:rFonts w:ascii="Arial" w:hAnsi="Arial" w:cs="Arial"/>
                <w:color w:val="000000"/>
                <w:sz w:val="16"/>
                <w:szCs w:val="16"/>
              </w:rPr>
              <w:t>107</w:t>
            </w:r>
          </w:p>
        </w:tc>
        <w:tc>
          <w:tcPr>
            <w:tcW w:w="1630" w:type="dxa"/>
            <w:tcBorders>
              <w:top w:val="nil"/>
              <w:left w:val="nil"/>
              <w:bottom w:val="single" w:sz="4" w:space="0" w:color="auto"/>
              <w:right w:val="single" w:sz="4" w:space="0" w:color="auto"/>
            </w:tcBorders>
            <w:shd w:val="clear" w:color="auto" w:fill="auto"/>
            <w:vAlign w:val="center"/>
          </w:tcPr>
          <w:p w14:paraId="3F4CC204" w14:textId="41070395"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221 147 69</w:t>
            </w:r>
            <w:r w:rsidR="00A1711A">
              <w:rPr>
                <w:rFonts w:ascii="Arial" w:hAnsi="Arial" w:cs="Arial"/>
                <w:color w:val="000000"/>
                <w:sz w:val="16"/>
                <w:szCs w:val="16"/>
              </w:rPr>
              <w:t>2</w:t>
            </w:r>
          </w:p>
        </w:tc>
        <w:tc>
          <w:tcPr>
            <w:tcW w:w="1486" w:type="dxa"/>
            <w:tcBorders>
              <w:top w:val="nil"/>
              <w:left w:val="nil"/>
              <w:bottom w:val="single" w:sz="4" w:space="0" w:color="auto"/>
              <w:right w:val="single" w:sz="4" w:space="0" w:color="auto"/>
            </w:tcBorders>
            <w:shd w:val="clear" w:color="auto" w:fill="auto"/>
            <w:vAlign w:val="center"/>
          </w:tcPr>
          <w:p w14:paraId="7EBBE306" w14:textId="25010151"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31</w:t>
            </w:r>
          </w:p>
        </w:tc>
        <w:tc>
          <w:tcPr>
            <w:tcW w:w="1570" w:type="dxa"/>
            <w:tcBorders>
              <w:top w:val="nil"/>
              <w:left w:val="nil"/>
              <w:bottom w:val="single" w:sz="4" w:space="0" w:color="auto"/>
              <w:right w:val="single" w:sz="4" w:space="0" w:color="auto"/>
            </w:tcBorders>
            <w:shd w:val="clear" w:color="auto" w:fill="auto"/>
            <w:vAlign w:val="center"/>
          </w:tcPr>
          <w:p w14:paraId="090159A4" w14:textId="45215261"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70 874 81</w:t>
            </w:r>
            <w:r w:rsidR="00A1711A">
              <w:rPr>
                <w:rFonts w:ascii="Arial" w:hAnsi="Arial" w:cs="Arial"/>
                <w:color w:val="000000"/>
                <w:sz w:val="16"/>
                <w:szCs w:val="16"/>
              </w:rPr>
              <w:t>7</w:t>
            </w:r>
          </w:p>
        </w:tc>
        <w:tc>
          <w:tcPr>
            <w:tcW w:w="1457" w:type="dxa"/>
            <w:tcBorders>
              <w:top w:val="nil"/>
              <w:left w:val="nil"/>
              <w:bottom w:val="single" w:sz="4" w:space="0" w:color="auto"/>
              <w:right w:val="single" w:sz="4" w:space="0" w:color="auto"/>
            </w:tcBorders>
            <w:shd w:val="clear" w:color="auto" w:fill="auto"/>
            <w:vAlign w:val="center"/>
          </w:tcPr>
          <w:p w14:paraId="13D890D1" w14:textId="2E51CD27"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32,05%</w:t>
            </w:r>
          </w:p>
        </w:tc>
      </w:tr>
      <w:tr w:rsidR="00B05614" w:rsidRPr="00845639" w14:paraId="04F6E17C" w14:textId="77777777" w:rsidTr="00AB3787">
        <w:trPr>
          <w:trHeight w:val="236"/>
        </w:trPr>
        <w:tc>
          <w:tcPr>
            <w:tcW w:w="1702" w:type="dxa"/>
            <w:vAlign w:val="center"/>
          </w:tcPr>
          <w:p w14:paraId="6D4D5E44" w14:textId="77777777" w:rsidR="00B05614" w:rsidRPr="00590529" w:rsidRDefault="00B05614" w:rsidP="002546D5">
            <w:pPr>
              <w:rPr>
                <w:rFonts w:ascii="Arial" w:hAnsi="Arial" w:cs="Arial"/>
                <w:color w:val="000000"/>
                <w:sz w:val="16"/>
                <w:szCs w:val="16"/>
              </w:rPr>
            </w:pPr>
            <w:r w:rsidRPr="00590529">
              <w:rPr>
                <w:rFonts w:ascii="Arial" w:hAnsi="Arial" w:cs="Arial"/>
                <w:color w:val="000000"/>
                <w:sz w:val="16"/>
                <w:szCs w:val="16"/>
              </w:rPr>
              <w:t>Prešovský</w:t>
            </w:r>
          </w:p>
        </w:tc>
        <w:tc>
          <w:tcPr>
            <w:tcW w:w="1457" w:type="dxa"/>
            <w:tcBorders>
              <w:top w:val="nil"/>
              <w:left w:val="single" w:sz="4" w:space="0" w:color="auto"/>
              <w:bottom w:val="single" w:sz="4" w:space="0" w:color="auto"/>
              <w:right w:val="single" w:sz="4" w:space="0" w:color="auto"/>
            </w:tcBorders>
            <w:shd w:val="clear" w:color="auto" w:fill="auto"/>
            <w:vAlign w:val="center"/>
          </w:tcPr>
          <w:p w14:paraId="4C263988" w14:textId="13380A44" w:rsidR="00B05614" w:rsidRPr="00590529" w:rsidRDefault="00B05614" w:rsidP="00A26AB6">
            <w:pPr>
              <w:jc w:val="center"/>
              <w:rPr>
                <w:rFonts w:ascii="Arial" w:hAnsi="Arial" w:cs="Arial"/>
                <w:color w:val="000000"/>
                <w:sz w:val="16"/>
                <w:szCs w:val="16"/>
              </w:rPr>
            </w:pPr>
            <w:r w:rsidRPr="00590529">
              <w:rPr>
                <w:rFonts w:ascii="Arial" w:hAnsi="Arial" w:cs="Arial"/>
                <w:color w:val="000000"/>
                <w:sz w:val="16"/>
                <w:szCs w:val="16"/>
              </w:rPr>
              <w:t>151</w:t>
            </w:r>
          </w:p>
        </w:tc>
        <w:tc>
          <w:tcPr>
            <w:tcW w:w="1630" w:type="dxa"/>
            <w:tcBorders>
              <w:top w:val="nil"/>
              <w:left w:val="nil"/>
              <w:bottom w:val="single" w:sz="4" w:space="0" w:color="auto"/>
              <w:right w:val="single" w:sz="4" w:space="0" w:color="auto"/>
            </w:tcBorders>
            <w:shd w:val="clear" w:color="auto" w:fill="auto"/>
            <w:vAlign w:val="center"/>
          </w:tcPr>
          <w:p w14:paraId="717A06B9" w14:textId="2A62389E"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257 353 610</w:t>
            </w:r>
          </w:p>
        </w:tc>
        <w:tc>
          <w:tcPr>
            <w:tcW w:w="1486" w:type="dxa"/>
            <w:tcBorders>
              <w:top w:val="nil"/>
              <w:left w:val="nil"/>
              <w:bottom w:val="single" w:sz="4" w:space="0" w:color="auto"/>
              <w:right w:val="single" w:sz="4" w:space="0" w:color="auto"/>
            </w:tcBorders>
            <w:shd w:val="clear" w:color="auto" w:fill="auto"/>
            <w:vAlign w:val="center"/>
          </w:tcPr>
          <w:p w14:paraId="7160CBC2" w14:textId="46FA0939"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60</w:t>
            </w:r>
          </w:p>
        </w:tc>
        <w:tc>
          <w:tcPr>
            <w:tcW w:w="1570" w:type="dxa"/>
            <w:tcBorders>
              <w:top w:val="nil"/>
              <w:left w:val="nil"/>
              <w:bottom w:val="single" w:sz="4" w:space="0" w:color="auto"/>
              <w:right w:val="single" w:sz="4" w:space="0" w:color="auto"/>
            </w:tcBorders>
            <w:shd w:val="clear" w:color="auto" w:fill="auto"/>
            <w:vAlign w:val="center"/>
          </w:tcPr>
          <w:p w14:paraId="2975C8B0" w14:textId="1522D606"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78 079 256</w:t>
            </w:r>
          </w:p>
        </w:tc>
        <w:tc>
          <w:tcPr>
            <w:tcW w:w="1457" w:type="dxa"/>
            <w:tcBorders>
              <w:top w:val="nil"/>
              <w:left w:val="nil"/>
              <w:bottom w:val="single" w:sz="4" w:space="0" w:color="auto"/>
              <w:right w:val="single" w:sz="4" w:space="0" w:color="auto"/>
            </w:tcBorders>
            <w:shd w:val="clear" w:color="auto" w:fill="auto"/>
            <w:vAlign w:val="center"/>
          </w:tcPr>
          <w:p w14:paraId="26A0E17B" w14:textId="2B2D9515"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30,34%</w:t>
            </w:r>
          </w:p>
        </w:tc>
      </w:tr>
      <w:tr w:rsidR="00B05614" w:rsidRPr="00845639" w14:paraId="2D741363" w14:textId="77777777" w:rsidTr="00590529">
        <w:trPr>
          <w:trHeight w:val="236"/>
        </w:trPr>
        <w:tc>
          <w:tcPr>
            <w:tcW w:w="1702" w:type="dxa"/>
            <w:tcBorders>
              <w:bottom w:val="single" w:sz="4" w:space="0" w:color="auto"/>
            </w:tcBorders>
            <w:vAlign w:val="center"/>
          </w:tcPr>
          <w:p w14:paraId="0E351590" w14:textId="77777777" w:rsidR="00B05614" w:rsidRPr="00590529" w:rsidRDefault="00B05614" w:rsidP="002546D5">
            <w:pPr>
              <w:rPr>
                <w:rFonts w:ascii="Arial" w:hAnsi="Arial" w:cs="Arial"/>
                <w:color w:val="000000"/>
                <w:sz w:val="16"/>
                <w:szCs w:val="16"/>
              </w:rPr>
            </w:pPr>
            <w:r w:rsidRPr="00590529">
              <w:rPr>
                <w:rFonts w:ascii="Arial" w:hAnsi="Arial" w:cs="Arial"/>
                <w:color w:val="000000"/>
                <w:sz w:val="16"/>
                <w:szCs w:val="16"/>
              </w:rPr>
              <w:t>Košický</w:t>
            </w:r>
          </w:p>
        </w:tc>
        <w:tc>
          <w:tcPr>
            <w:tcW w:w="1457" w:type="dxa"/>
            <w:tcBorders>
              <w:top w:val="nil"/>
              <w:left w:val="single" w:sz="4" w:space="0" w:color="auto"/>
              <w:bottom w:val="single" w:sz="4" w:space="0" w:color="auto"/>
              <w:right w:val="single" w:sz="4" w:space="0" w:color="auto"/>
            </w:tcBorders>
            <w:shd w:val="clear" w:color="auto" w:fill="auto"/>
            <w:vAlign w:val="center"/>
          </w:tcPr>
          <w:p w14:paraId="2588DBAD" w14:textId="0EBD07BF" w:rsidR="00B05614" w:rsidRPr="00590529" w:rsidRDefault="00B05614" w:rsidP="00A26AB6">
            <w:pPr>
              <w:jc w:val="center"/>
              <w:rPr>
                <w:rFonts w:ascii="Arial" w:hAnsi="Arial" w:cs="Arial"/>
                <w:color w:val="000000"/>
                <w:sz w:val="16"/>
                <w:szCs w:val="16"/>
              </w:rPr>
            </w:pPr>
            <w:r w:rsidRPr="00590529">
              <w:rPr>
                <w:rFonts w:ascii="Arial" w:hAnsi="Arial" w:cs="Arial"/>
                <w:color w:val="000000"/>
                <w:sz w:val="16"/>
                <w:szCs w:val="16"/>
              </w:rPr>
              <w:t>93</w:t>
            </w:r>
          </w:p>
        </w:tc>
        <w:tc>
          <w:tcPr>
            <w:tcW w:w="1630" w:type="dxa"/>
            <w:tcBorders>
              <w:top w:val="nil"/>
              <w:left w:val="nil"/>
              <w:bottom w:val="single" w:sz="4" w:space="0" w:color="auto"/>
              <w:right w:val="single" w:sz="4" w:space="0" w:color="auto"/>
            </w:tcBorders>
            <w:shd w:val="clear" w:color="auto" w:fill="auto"/>
            <w:vAlign w:val="center"/>
          </w:tcPr>
          <w:p w14:paraId="0E6055B1" w14:textId="747968BC"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240 381 177</w:t>
            </w:r>
          </w:p>
        </w:tc>
        <w:tc>
          <w:tcPr>
            <w:tcW w:w="1486" w:type="dxa"/>
            <w:tcBorders>
              <w:top w:val="nil"/>
              <w:left w:val="nil"/>
              <w:bottom w:val="single" w:sz="4" w:space="0" w:color="auto"/>
              <w:right w:val="single" w:sz="4" w:space="0" w:color="auto"/>
            </w:tcBorders>
            <w:shd w:val="clear" w:color="auto" w:fill="auto"/>
            <w:vAlign w:val="center"/>
          </w:tcPr>
          <w:p w14:paraId="20C4129D" w14:textId="75C85F52" w:rsidR="00B05614" w:rsidRPr="00590529" w:rsidRDefault="00B05614" w:rsidP="00C1000E">
            <w:pPr>
              <w:jc w:val="center"/>
              <w:rPr>
                <w:rFonts w:ascii="Arial" w:hAnsi="Arial" w:cs="Arial"/>
                <w:color w:val="000000"/>
                <w:sz w:val="16"/>
                <w:szCs w:val="16"/>
              </w:rPr>
            </w:pPr>
            <w:r w:rsidRPr="00590529">
              <w:rPr>
                <w:rFonts w:ascii="Arial" w:hAnsi="Arial" w:cs="Arial"/>
                <w:color w:val="000000"/>
                <w:sz w:val="16"/>
                <w:szCs w:val="16"/>
              </w:rPr>
              <w:t>34</w:t>
            </w:r>
          </w:p>
        </w:tc>
        <w:tc>
          <w:tcPr>
            <w:tcW w:w="1570" w:type="dxa"/>
            <w:tcBorders>
              <w:top w:val="nil"/>
              <w:left w:val="nil"/>
              <w:bottom w:val="single" w:sz="4" w:space="0" w:color="auto"/>
              <w:right w:val="single" w:sz="4" w:space="0" w:color="auto"/>
            </w:tcBorders>
            <w:shd w:val="clear" w:color="auto" w:fill="auto"/>
            <w:vAlign w:val="center"/>
          </w:tcPr>
          <w:p w14:paraId="1D0AC410" w14:textId="70B3FC37"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71 587 153</w:t>
            </w:r>
          </w:p>
        </w:tc>
        <w:tc>
          <w:tcPr>
            <w:tcW w:w="1457" w:type="dxa"/>
            <w:tcBorders>
              <w:top w:val="nil"/>
              <w:left w:val="nil"/>
              <w:bottom w:val="single" w:sz="4" w:space="0" w:color="auto"/>
              <w:right w:val="single" w:sz="4" w:space="0" w:color="auto"/>
            </w:tcBorders>
            <w:shd w:val="clear" w:color="auto" w:fill="auto"/>
            <w:vAlign w:val="center"/>
          </w:tcPr>
          <w:p w14:paraId="4110680A" w14:textId="7AB8900F" w:rsidR="00B05614" w:rsidRPr="00590529" w:rsidRDefault="00B05614" w:rsidP="00E25B80">
            <w:pPr>
              <w:jc w:val="center"/>
              <w:rPr>
                <w:rFonts w:ascii="Arial" w:hAnsi="Arial" w:cs="Arial"/>
                <w:color w:val="000000"/>
                <w:sz w:val="16"/>
                <w:szCs w:val="16"/>
              </w:rPr>
            </w:pPr>
            <w:r w:rsidRPr="00590529">
              <w:rPr>
                <w:rFonts w:ascii="Arial" w:hAnsi="Arial" w:cs="Arial"/>
                <w:color w:val="000000"/>
                <w:sz w:val="16"/>
                <w:szCs w:val="16"/>
              </w:rPr>
              <w:t>29,78%</w:t>
            </w:r>
          </w:p>
        </w:tc>
      </w:tr>
      <w:tr w:rsidR="00B05614" w:rsidRPr="00845639" w14:paraId="68C845C9" w14:textId="77777777" w:rsidTr="00590529">
        <w:trPr>
          <w:trHeight w:val="438"/>
        </w:trPr>
        <w:tc>
          <w:tcPr>
            <w:tcW w:w="1702" w:type="dxa"/>
            <w:tcBorders>
              <w:top w:val="single" w:sz="4" w:space="0" w:color="auto"/>
              <w:bottom w:val="single" w:sz="4" w:space="0" w:color="auto"/>
            </w:tcBorders>
            <w:shd w:val="clear" w:color="auto" w:fill="D8E4BC"/>
            <w:vAlign w:val="center"/>
          </w:tcPr>
          <w:p w14:paraId="591888F1" w14:textId="77777777" w:rsidR="00B05614" w:rsidRPr="00590529" w:rsidRDefault="00B05614" w:rsidP="00B05614">
            <w:pPr>
              <w:rPr>
                <w:rFonts w:ascii="Arial" w:hAnsi="Arial" w:cs="Arial"/>
                <w:b/>
                <w:color w:val="000000"/>
                <w:sz w:val="16"/>
                <w:szCs w:val="16"/>
              </w:rPr>
            </w:pPr>
            <w:r w:rsidRPr="00590529">
              <w:rPr>
                <w:rFonts w:ascii="Arial" w:hAnsi="Arial" w:cs="Arial"/>
                <w:b/>
                <w:color w:val="000000"/>
                <w:sz w:val="16"/>
                <w:szCs w:val="16"/>
              </w:rPr>
              <w:t>Projekty nezaradené do NUTS III</w:t>
            </w:r>
          </w:p>
        </w:tc>
        <w:tc>
          <w:tcPr>
            <w:tcW w:w="1457" w:type="dxa"/>
            <w:tcBorders>
              <w:top w:val="single" w:sz="4" w:space="0" w:color="auto"/>
              <w:left w:val="single" w:sz="4" w:space="0" w:color="auto"/>
              <w:bottom w:val="single" w:sz="4" w:space="0" w:color="auto"/>
              <w:right w:val="single" w:sz="4" w:space="0" w:color="auto"/>
            </w:tcBorders>
            <w:shd w:val="clear" w:color="auto" w:fill="D8E4BC"/>
            <w:vAlign w:val="center"/>
          </w:tcPr>
          <w:p w14:paraId="1D4A666F" w14:textId="157B780D" w:rsidR="00B05614" w:rsidRPr="00590529" w:rsidRDefault="00B05614" w:rsidP="00AB3787">
            <w:pPr>
              <w:jc w:val="center"/>
              <w:rPr>
                <w:rFonts w:ascii="Arial" w:hAnsi="Arial" w:cs="Arial"/>
                <w:b/>
                <w:color w:val="000000"/>
                <w:sz w:val="16"/>
                <w:szCs w:val="16"/>
              </w:rPr>
            </w:pPr>
            <w:r w:rsidRPr="00590529">
              <w:rPr>
                <w:rFonts w:ascii="Arial" w:hAnsi="Arial" w:cs="Arial"/>
                <w:b/>
                <w:color w:val="000000"/>
                <w:sz w:val="16"/>
                <w:szCs w:val="16"/>
              </w:rPr>
              <w:t>88</w:t>
            </w:r>
          </w:p>
        </w:tc>
        <w:tc>
          <w:tcPr>
            <w:tcW w:w="1630" w:type="dxa"/>
            <w:tcBorders>
              <w:top w:val="single" w:sz="4" w:space="0" w:color="auto"/>
              <w:left w:val="nil"/>
              <w:bottom w:val="single" w:sz="4" w:space="0" w:color="auto"/>
              <w:right w:val="single" w:sz="4" w:space="0" w:color="auto"/>
            </w:tcBorders>
            <w:shd w:val="clear" w:color="auto" w:fill="D8E4BC"/>
            <w:vAlign w:val="center"/>
          </w:tcPr>
          <w:p w14:paraId="4A4884D8" w14:textId="43DFB700" w:rsidR="00B05614" w:rsidRPr="00590529" w:rsidRDefault="00B05614" w:rsidP="00AB3787">
            <w:pPr>
              <w:jc w:val="center"/>
              <w:rPr>
                <w:rFonts w:ascii="Arial" w:hAnsi="Arial" w:cs="Arial"/>
                <w:b/>
                <w:color w:val="000000"/>
                <w:sz w:val="16"/>
                <w:szCs w:val="16"/>
              </w:rPr>
            </w:pPr>
            <w:r w:rsidRPr="00590529">
              <w:rPr>
                <w:rFonts w:ascii="Arial" w:hAnsi="Arial" w:cs="Arial"/>
                <w:b/>
                <w:color w:val="000000"/>
                <w:sz w:val="16"/>
                <w:szCs w:val="16"/>
              </w:rPr>
              <w:t>313 114 988</w:t>
            </w:r>
          </w:p>
        </w:tc>
        <w:tc>
          <w:tcPr>
            <w:tcW w:w="1486" w:type="dxa"/>
            <w:tcBorders>
              <w:top w:val="single" w:sz="4" w:space="0" w:color="auto"/>
              <w:left w:val="nil"/>
              <w:bottom w:val="single" w:sz="4" w:space="0" w:color="auto"/>
              <w:right w:val="single" w:sz="4" w:space="0" w:color="auto"/>
            </w:tcBorders>
            <w:shd w:val="clear" w:color="auto" w:fill="D8E4BC"/>
            <w:vAlign w:val="center"/>
          </w:tcPr>
          <w:p w14:paraId="5B1D281C" w14:textId="2CDB5670" w:rsidR="00B05614" w:rsidRPr="00590529" w:rsidRDefault="00B05614" w:rsidP="00AB3787">
            <w:pPr>
              <w:jc w:val="center"/>
              <w:rPr>
                <w:rFonts w:ascii="Arial" w:hAnsi="Arial" w:cs="Arial"/>
                <w:b/>
                <w:color w:val="000000"/>
                <w:sz w:val="16"/>
                <w:szCs w:val="16"/>
              </w:rPr>
            </w:pPr>
            <w:r w:rsidRPr="00590529">
              <w:rPr>
                <w:rFonts w:ascii="Arial" w:hAnsi="Arial" w:cs="Arial"/>
                <w:b/>
                <w:color w:val="000000"/>
                <w:sz w:val="16"/>
                <w:szCs w:val="16"/>
              </w:rPr>
              <w:t>2</w:t>
            </w:r>
          </w:p>
        </w:tc>
        <w:tc>
          <w:tcPr>
            <w:tcW w:w="1570" w:type="dxa"/>
            <w:tcBorders>
              <w:top w:val="single" w:sz="4" w:space="0" w:color="auto"/>
              <w:left w:val="nil"/>
              <w:bottom w:val="single" w:sz="4" w:space="0" w:color="auto"/>
              <w:right w:val="single" w:sz="4" w:space="0" w:color="auto"/>
            </w:tcBorders>
            <w:shd w:val="clear" w:color="auto" w:fill="D8E4BC"/>
            <w:vAlign w:val="center"/>
          </w:tcPr>
          <w:p w14:paraId="0898AB9E" w14:textId="787C5FED" w:rsidR="00B05614" w:rsidRPr="00590529" w:rsidRDefault="00B05614" w:rsidP="00AB3787">
            <w:pPr>
              <w:jc w:val="center"/>
              <w:rPr>
                <w:rFonts w:ascii="Arial" w:hAnsi="Arial" w:cs="Arial"/>
                <w:b/>
                <w:color w:val="000000"/>
                <w:sz w:val="16"/>
                <w:szCs w:val="16"/>
              </w:rPr>
            </w:pPr>
            <w:r w:rsidRPr="00590529">
              <w:rPr>
                <w:rFonts w:ascii="Arial" w:hAnsi="Arial" w:cs="Arial"/>
                <w:b/>
                <w:color w:val="000000"/>
                <w:sz w:val="16"/>
                <w:szCs w:val="16"/>
              </w:rPr>
              <w:t>1 270 777</w:t>
            </w:r>
          </w:p>
        </w:tc>
        <w:tc>
          <w:tcPr>
            <w:tcW w:w="1457" w:type="dxa"/>
            <w:tcBorders>
              <w:top w:val="single" w:sz="4" w:space="0" w:color="auto"/>
              <w:left w:val="nil"/>
              <w:bottom w:val="single" w:sz="4" w:space="0" w:color="auto"/>
              <w:right w:val="single" w:sz="4" w:space="0" w:color="auto"/>
            </w:tcBorders>
            <w:shd w:val="clear" w:color="auto" w:fill="D8E4BC"/>
            <w:vAlign w:val="center"/>
          </w:tcPr>
          <w:p w14:paraId="63FC8006" w14:textId="2977C5CE" w:rsidR="00B05614" w:rsidRPr="00590529" w:rsidRDefault="00B05614" w:rsidP="00AB3787">
            <w:pPr>
              <w:jc w:val="center"/>
              <w:rPr>
                <w:rFonts w:ascii="Arial" w:hAnsi="Arial" w:cs="Arial"/>
                <w:b/>
                <w:color w:val="000000"/>
                <w:sz w:val="16"/>
                <w:szCs w:val="16"/>
              </w:rPr>
            </w:pPr>
            <w:r w:rsidRPr="00590529">
              <w:rPr>
                <w:rFonts w:ascii="Arial" w:hAnsi="Arial" w:cs="Arial"/>
                <w:b/>
                <w:color w:val="000000"/>
                <w:sz w:val="16"/>
                <w:szCs w:val="16"/>
              </w:rPr>
              <w:t>0,41%</w:t>
            </w:r>
          </w:p>
        </w:tc>
      </w:tr>
      <w:tr w:rsidR="00B05614" w:rsidRPr="00845639" w14:paraId="24A24C2D" w14:textId="77777777" w:rsidTr="00AB3787">
        <w:trPr>
          <w:trHeight w:val="252"/>
        </w:trPr>
        <w:tc>
          <w:tcPr>
            <w:tcW w:w="1702" w:type="dxa"/>
          </w:tcPr>
          <w:p w14:paraId="662A2787" w14:textId="77777777" w:rsidR="00B05614" w:rsidRPr="00590529" w:rsidRDefault="00B05614" w:rsidP="00590529">
            <w:pPr>
              <w:rPr>
                <w:rFonts w:ascii="Arial" w:hAnsi="Arial" w:cs="Arial"/>
                <w:b/>
                <w:sz w:val="16"/>
                <w:szCs w:val="16"/>
                <w:lang w:eastAsia="cs-CZ"/>
              </w:rPr>
            </w:pPr>
            <w:r w:rsidRPr="00590529">
              <w:rPr>
                <w:rFonts w:ascii="Arial" w:hAnsi="Arial" w:cs="Arial"/>
                <w:b/>
                <w:sz w:val="16"/>
                <w:szCs w:val="16"/>
                <w:lang w:eastAsia="cs-CZ"/>
              </w:rPr>
              <w:t>Spolu</w:t>
            </w:r>
          </w:p>
        </w:tc>
        <w:tc>
          <w:tcPr>
            <w:tcW w:w="1457" w:type="dxa"/>
            <w:tcBorders>
              <w:top w:val="nil"/>
              <w:left w:val="single" w:sz="4" w:space="0" w:color="auto"/>
              <w:bottom w:val="single" w:sz="4" w:space="0" w:color="auto"/>
              <w:right w:val="single" w:sz="4" w:space="0" w:color="auto"/>
            </w:tcBorders>
            <w:shd w:val="clear" w:color="000000" w:fill="FFFFFF"/>
            <w:vAlign w:val="center"/>
          </w:tcPr>
          <w:p w14:paraId="7A3B5B61" w14:textId="72EC4314" w:rsidR="00B05614" w:rsidRPr="00590529" w:rsidRDefault="00B05614" w:rsidP="00AB3787">
            <w:pPr>
              <w:jc w:val="center"/>
              <w:rPr>
                <w:rFonts w:ascii="Arial" w:hAnsi="Arial" w:cs="Arial"/>
                <w:b/>
                <w:sz w:val="16"/>
                <w:szCs w:val="16"/>
                <w:lang w:eastAsia="cs-CZ"/>
              </w:rPr>
            </w:pPr>
            <w:r w:rsidRPr="00590529">
              <w:rPr>
                <w:rFonts w:ascii="Arial" w:hAnsi="Arial" w:cs="Arial"/>
                <w:b/>
                <w:sz w:val="16"/>
                <w:szCs w:val="16"/>
                <w:lang w:eastAsia="cs-CZ"/>
              </w:rPr>
              <w:t>805</w:t>
            </w:r>
          </w:p>
        </w:tc>
        <w:tc>
          <w:tcPr>
            <w:tcW w:w="1630" w:type="dxa"/>
            <w:tcBorders>
              <w:top w:val="nil"/>
              <w:left w:val="nil"/>
              <w:bottom w:val="single" w:sz="4" w:space="0" w:color="auto"/>
              <w:right w:val="single" w:sz="4" w:space="0" w:color="auto"/>
            </w:tcBorders>
            <w:shd w:val="clear" w:color="000000" w:fill="FFFFFF"/>
            <w:vAlign w:val="center"/>
          </w:tcPr>
          <w:p w14:paraId="522D834F" w14:textId="5678FAA3" w:rsidR="00B05614" w:rsidRPr="00590529" w:rsidRDefault="00B05614" w:rsidP="00AB3787">
            <w:pPr>
              <w:jc w:val="center"/>
              <w:rPr>
                <w:rFonts w:ascii="Arial" w:hAnsi="Arial" w:cs="Arial"/>
                <w:b/>
                <w:sz w:val="16"/>
                <w:szCs w:val="16"/>
                <w:lang w:eastAsia="cs-CZ"/>
              </w:rPr>
            </w:pPr>
            <w:r w:rsidRPr="00590529">
              <w:rPr>
                <w:rFonts w:ascii="Arial" w:hAnsi="Arial" w:cs="Arial"/>
                <w:b/>
                <w:sz w:val="16"/>
                <w:szCs w:val="16"/>
                <w:lang w:eastAsia="cs-CZ"/>
              </w:rPr>
              <w:t>1 945 168 55</w:t>
            </w:r>
            <w:r w:rsidR="00A1711A">
              <w:rPr>
                <w:rFonts w:ascii="Arial" w:hAnsi="Arial" w:cs="Arial"/>
                <w:b/>
                <w:sz w:val="16"/>
                <w:szCs w:val="16"/>
                <w:lang w:eastAsia="cs-CZ"/>
              </w:rPr>
              <w:t>4</w:t>
            </w:r>
          </w:p>
        </w:tc>
        <w:tc>
          <w:tcPr>
            <w:tcW w:w="1486" w:type="dxa"/>
            <w:tcBorders>
              <w:top w:val="nil"/>
              <w:left w:val="nil"/>
              <w:bottom w:val="single" w:sz="4" w:space="0" w:color="auto"/>
              <w:right w:val="single" w:sz="4" w:space="0" w:color="auto"/>
            </w:tcBorders>
            <w:shd w:val="clear" w:color="000000" w:fill="FFFFFF"/>
            <w:vAlign w:val="center"/>
          </w:tcPr>
          <w:p w14:paraId="37135D45" w14:textId="749DB879" w:rsidR="00B05614" w:rsidRPr="00590529" w:rsidRDefault="00B05614" w:rsidP="00AB3787">
            <w:pPr>
              <w:jc w:val="center"/>
              <w:rPr>
                <w:rFonts w:ascii="Arial" w:hAnsi="Arial" w:cs="Arial"/>
                <w:b/>
                <w:sz w:val="16"/>
                <w:szCs w:val="16"/>
                <w:lang w:eastAsia="cs-CZ"/>
              </w:rPr>
            </w:pPr>
            <w:r w:rsidRPr="00590529">
              <w:rPr>
                <w:rFonts w:ascii="Arial" w:hAnsi="Arial" w:cs="Arial"/>
                <w:b/>
                <w:sz w:val="16"/>
                <w:szCs w:val="16"/>
                <w:lang w:eastAsia="cs-CZ"/>
              </w:rPr>
              <w:t>240</w:t>
            </w:r>
          </w:p>
        </w:tc>
        <w:tc>
          <w:tcPr>
            <w:tcW w:w="1570" w:type="dxa"/>
            <w:tcBorders>
              <w:top w:val="nil"/>
              <w:left w:val="nil"/>
              <w:bottom w:val="single" w:sz="4" w:space="0" w:color="auto"/>
              <w:right w:val="single" w:sz="4" w:space="0" w:color="auto"/>
            </w:tcBorders>
            <w:shd w:val="clear" w:color="000000" w:fill="FFFFFF"/>
            <w:vAlign w:val="center"/>
          </w:tcPr>
          <w:p w14:paraId="7CEDE54C" w14:textId="7A341CA6" w:rsidR="00B05614" w:rsidRPr="00590529" w:rsidRDefault="00B05614" w:rsidP="00AB3787">
            <w:pPr>
              <w:jc w:val="center"/>
              <w:rPr>
                <w:rFonts w:ascii="Arial" w:hAnsi="Arial" w:cs="Arial"/>
                <w:b/>
                <w:sz w:val="16"/>
                <w:szCs w:val="16"/>
                <w:lang w:eastAsia="cs-CZ"/>
              </w:rPr>
            </w:pPr>
            <w:r w:rsidRPr="00590529">
              <w:rPr>
                <w:rFonts w:ascii="Arial" w:hAnsi="Arial" w:cs="Arial"/>
                <w:b/>
                <w:sz w:val="16"/>
                <w:szCs w:val="16"/>
                <w:lang w:eastAsia="cs-CZ"/>
              </w:rPr>
              <w:t>470 842 32</w:t>
            </w:r>
            <w:r w:rsidR="00A1711A">
              <w:rPr>
                <w:rFonts w:ascii="Arial" w:hAnsi="Arial" w:cs="Arial"/>
                <w:b/>
                <w:sz w:val="16"/>
                <w:szCs w:val="16"/>
                <w:lang w:eastAsia="cs-CZ"/>
              </w:rPr>
              <w:t>3</w:t>
            </w:r>
          </w:p>
        </w:tc>
        <w:tc>
          <w:tcPr>
            <w:tcW w:w="1457" w:type="dxa"/>
            <w:tcBorders>
              <w:top w:val="nil"/>
              <w:left w:val="nil"/>
              <w:bottom w:val="single" w:sz="4" w:space="0" w:color="auto"/>
              <w:right w:val="single" w:sz="4" w:space="0" w:color="auto"/>
            </w:tcBorders>
            <w:shd w:val="clear" w:color="000000" w:fill="FFFFFF"/>
            <w:vAlign w:val="center"/>
          </w:tcPr>
          <w:p w14:paraId="4D828E84" w14:textId="5E46BB31" w:rsidR="00B05614" w:rsidRPr="00590529" w:rsidRDefault="00B05614" w:rsidP="00AB3787">
            <w:pPr>
              <w:jc w:val="center"/>
              <w:rPr>
                <w:rFonts w:ascii="Arial" w:hAnsi="Arial" w:cs="Arial"/>
                <w:b/>
                <w:sz w:val="16"/>
                <w:szCs w:val="16"/>
                <w:lang w:eastAsia="cs-CZ"/>
              </w:rPr>
            </w:pPr>
            <w:r w:rsidRPr="00590529">
              <w:rPr>
                <w:rFonts w:ascii="Arial" w:hAnsi="Arial" w:cs="Arial"/>
                <w:b/>
                <w:sz w:val="16"/>
                <w:szCs w:val="16"/>
                <w:lang w:eastAsia="cs-CZ"/>
              </w:rPr>
              <w:t>24,21%</w:t>
            </w:r>
          </w:p>
        </w:tc>
      </w:tr>
    </w:tbl>
    <w:p w14:paraId="322B6981" w14:textId="77777777" w:rsidR="00B61E0C" w:rsidRPr="00123376" w:rsidRDefault="00B61E0C" w:rsidP="00B61E0C">
      <w:pPr>
        <w:jc w:val="both"/>
        <w:rPr>
          <w:rFonts w:ascii="Arial" w:hAnsi="Arial" w:cs="Arial"/>
          <w:sz w:val="16"/>
          <w:szCs w:val="16"/>
        </w:rPr>
      </w:pPr>
      <w:r w:rsidRPr="00123376">
        <w:rPr>
          <w:rFonts w:ascii="Arial" w:hAnsi="Arial" w:cs="Arial"/>
          <w:sz w:val="16"/>
          <w:szCs w:val="16"/>
        </w:rPr>
        <w:t>Zdroj: RO, ITMS</w:t>
      </w:r>
    </w:p>
    <w:p w14:paraId="1CB13046" w14:textId="1D17FFC5" w:rsidR="00021D46" w:rsidRPr="0008447E" w:rsidRDefault="00B61E0C" w:rsidP="0008447E">
      <w:pPr>
        <w:rPr>
          <w:rFonts w:ascii="Arial" w:hAnsi="Arial" w:cs="Arial"/>
          <w:sz w:val="16"/>
          <w:szCs w:val="16"/>
        </w:rPr>
      </w:pPr>
      <w:r w:rsidRPr="00E21C60">
        <w:rPr>
          <w:rFonts w:ascii="Arial" w:hAnsi="Arial" w:cs="Arial"/>
          <w:i/>
          <w:sz w:val="16"/>
          <w:szCs w:val="16"/>
        </w:rPr>
        <w:t xml:space="preserve">Pozn.: Suma zazmluvnených projektov </w:t>
      </w:r>
      <w:r>
        <w:rPr>
          <w:rFonts w:ascii="Arial" w:hAnsi="Arial" w:cs="Arial"/>
          <w:i/>
          <w:sz w:val="16"/>
          <w:szCs w:val="16"/>
        </w:rPr>
        <w:t>ne</w:t>
      </w:r>
      <w:r w:rsidRPr="00E21C60">
        <w:rPr>
          <w:rFonts w:ascii="Arial" w:hAnsi="Arial" w:cs="Arial"/>
          <w:i/>
          <w:sz w:val="16"/>
          <w:szCs w:val="16"/>
        </w:rPr>
        <w:t xml:space="preserve">zahŕňa projekty, ktoré boli </w:t>
      </w:r>
      <w:r w:rsidRPr="00590529">
        <w:rPr>
          <w:rFonts w:ascii="Arial" w:hAnsi="Arial" w:cs="Arial"/>
          <w:color w:val="000000"/>
          <w:sz w:val="16"/>
          <w:szCs w:val="16"/>
        </w:rPr>
        <w:t>mimoriadne</w:t>
      </w:r>
      <w:r w:rsidRPr="00E21C60">
        <w:rPr>
          <w:rFonts w:ascii="Arial" w:hAnsi="Arial" w:cs="Arial"/>
          <w:i/>
          <w:sz w:val="16"/>
          <w:szCs w:val="16"/>
        </w:rPr>
        <w:t xml:space="preserve"> ukončené.</w:t>
      </w:r>
    </w:p>
    <w:p w14:paraId="4E7FA4F2" w14:textId="66D9FE00" w:rsidR="00F66F00" w:rsidRDefault="002416B1" w:rsidP="00F66F00">
      <w:pPr>
        <w:spacing w:before="120"/>
        <w:jc w:val="both"/>
        <w:rPr>
          <w:rFonts w:ascii="Arial" w:hAnsi="Arial" w:cs="Arial"/>
          <w:sz w:val="20"/>
          <w:szCs w:val="20"/>
        </w:rPr>
      </w:pPr>
      <w:r w:rsidRPr="00E21C60">
        <w:rPr>
          <w:rFonts w:ascii="Arial" w:hAnsi="Arial" w:cs="Arial"/>
          <w:sz w:val="20"/>
          <w:szCs w:val="20"/>
        </w:rPr>
        <w:t>Tab</w:t>
      </w:r>
      <w:r w:rsidR="00317AB1" w:rsidRPr="00E21C60">
        <w:rPr>
          <w:rFonts w:ascii="Arial" w:hAnsi="Arial" w:cs="Arial"/>
          <w:sz w:val="20"/>
          <w:szCs w:val="20"/>
        </w:rPr>
        <w:t>uľka</w:t>
      </w:r>
      <w:r w:rsidRPr="00E21C60">
        <w:rPr>
          <w:rFonts w:ascii="Arial" w:hAnsi="Arial" w:cs="Arial"/>
          <w:sz w:val="20"/>
          <w:szCs w:val="20"/>
        </w:rPr>
        <w:t xml:space="preserve"> č. </w:t>
      </w:r>
      <w:r w:rsidR="00B256C7">
        <w:rPr>
          <w:rFonts w:ascii="Arial" w:hAnsi="Arial" w:cs="Arial"/>
          <w:sz w:val="20"/>
          <w:szCs w:val="20"/>
        </w:rPr>
        <w:t>8</w:t>
      </w:r>
      <w:r w:rsidR="007B1CB9">
        <w:rPr>
          <w:rFonts w:ascii="Arial" w:hAnsi="Arial" w:cs="Arial"/>
          <w:sz w:val="20"/>
          <w:szCs w:val="20"/>
        </w:rPr>
        <w:t>5</w:t>
      </w:r>
      <w:r w:rsidRPr="00E21C60">
        <w:rPr>
          <w:rFonts w:ascii="Arial" w:hAnsi="Arial" w:cs="Arial"/>
          <w:sz w:val="20"/>
          <w:szCs w:val="20"/>
        </w:rPr>
        <w:t xml:space="preserve">: Stav </w:t>
      </w:r>
      <w:r w:rsidR="002114E6">
        <w:rPr>
          <w:rFonts w:ascii="Arial" w:hAnsi="Arial" w:cs="Arial"/>
          <w:sz w:val="20"/>
          <w:szCs w:val="20"/>
        </w:rPr>
        <w:t>čerpania</w:t>
      </w:r>
      <w:r w:rsidR="002114E6" w:rsidRPr="00E21C60">
        <w:rPr>
          <w:rFonts w:ascii="Arial" w:hAnsi="Arial" w:cs="Arial"/>
          <w:sz w:val="20"/>
          <w:szCs w:val="20"/>
        </w:rPr>
        <w:t xml:space="preserve"> </w:t>
      </w:r>
      <w:r w:rsidR="00040999" w:rsidRPr="00E21C60">
        <w:rPr>
          <w:rFonts w:ascii="Arial" w:hAnsi="Arial" w:cs="Arial"/>
          <w:sz w:val="20"/>
          <w:szCs w:val="20"/>
        </w:rPr>
        <w:t xml:space="preserve">projektov s príspevkom k </w:t>
      </w:r>
      <w:r w:rsidRPr="00E21C60">
        <w:rPr>
          <w:rFonts w:ascii="Arial" w:hAnsi="Arial" w:cs="Arial"/>
          <w:sz w:val="20"/>
          <w:szCs w:val="20"/>
        </w:rPr>
        <w:t>HP RP podľa NUTS III k </w:t>
      </w:r>
      <w:r w:rsidR="009705A1">
        <w:rPr>
          <w:rFonts w:ascii="Arial" w:hAnsi="Arial" w:cs="Arial"/>
          <w:sz w:val="20"/>
          <w:szCs w:val="20"/>
        </w:rPr>
        <w:t xml:space="preserve"> 30. 10. 2016</w:t>
      </w:r>
    </w:p>
    <w:tbl>
      <w:tblPr>
        <w:tblW w:w="9060" w:type="dxa"/>
        <w:tblInd w:w="55" w:type="dxa"/>
        <w:tblCellMar>
          <w:left w:w="70" w:type="dxa"/>
          <w:right w:w="70" w:type="dxa"/>
        </w:tblCellMar>
        <w:tblLook w:val="04A0" w:firstRow="1" w:lastRow="0" w:firstColumn="1" w:lastColumn="0" w:noHBand="0" w:noVBand="1"/>
      </w:tblPr>
      <w:tblGrid>
        <w:gridCol w:w="1596"/>
        <w:gridCol w:w="1452"/>
        <w:gridCol w:w="1653"/>
        <w:gridCol w:w="1453"/>
        <w:gridCol w:w="1374"/>
        <w:gridCol w:w="1532"/>
      </w:tblGrid>
      <w:tr w:rsidR="00F66F00" w:rsidRPr="00E21C60" w14:paraId="2BD0D11F" w14:textId="77777777" w:rsidTr="0008447E">
        <w:trPr>
          <w:trHeight w:val="1071"/>
        </w:trPr>
        <w:tc>
          <w:tcPr>
            <w:tcW w:w="1596"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0CF5BCE" w14:textId="77777777" w:rsidR="00F66F00" w:rsidRPr="00E21C60" w:rsidRDefault="00F66F00" w:rsidP="00CA084D">
            <w:pPr>
              <w:jc w:val="center"/>
              <w:rPr>
                <w:rFonts w:ascii="Arial" w:hAnsi="Arial" w:cs="Arial"/>
                <w:b/>
                <w:bCs/>
                <w:color w:val="000000"/>
                <w:sz w:val="16"/>
                <w:szCs w:val="16"/>
              </w:rPr>
            </w:pPr>
            <w:r w:rsidRPr="00E21C60">
              <w:rPr>
                <w:rFonts w:ascii="Arial" w:hAnsi="Arial" w:cs="Arial"/>
                <w:b/>
                <w:bCs/>
                <w:color w:val="000000"/>
                <w:sz w:val="16"/>
                <w:szCs w:val="16"/>
              </w:rPr>
              <w:t>Územie NUTS III</w:t>
            </w:r>
          </w:p>
        </w:tc>
        <w:tc>
          <w:tcPr>
            <w:tcW w:w="1452"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E01C461" w14:textId="77777777" w:rsidR="00F66F00" w:rsidRPr="00E21C60" w:rsidRDefault="00F66F00" w:rsidP="00CA084D">
            <w:pPr>
              <w:jc w:val="center"/>
              <w:rPr>
                <w:rFonts w:ascii="Arial" w:hAnsi="Arial" w:cs="Arial"/>
                <w:b/>
                <w:bCs/>
                <w:color w:val="000000"/>
                <w:sz w:val="16"/>
                <w:szCs w:val="16"/>
              </w:rPr>
            </w:pPr>
            <w:r w:rsidRPr="00E21C60">
              <w:rPr>
                <w:rFonts w:ascii="Arial" w:hAnsi="Arial" w:cs="Arial"/>
                <w:b/>
                <w:bCs/>
                <w:color w:val="000000"/>
                <w:sz w:val="16"/>
                <w:szCs w:val="16"/>
              </w:rPr>
              <w:t xml:space="preserve">Počet </w:t>
            </w:r>
            <w:r>
              <w:rPr>
                <w:rFonts w:ascii="Arial" w:hAnsi="Arial" w:cs="Arial"/>
                <w:b/>
                <w:bCs/>
                <w:color w:val="000000"/>
                <w:sz w:val="16"/>
                <w:szCs w:val="16"/>
              </w:rPr>
              <w:t>riadne ukončených</w:t>
            </w:r>
            <w:r w:rsidRPr="00E21C60">
              <w:rPr>
                <w:rFonts w:ascii="Arial" w:hAnsi="Arial" w:cs="Arial"/>
                <w:b/>
                <w:bCs/>
                <w:color w:val="000000"/>
                <w:sz w:val="16"/>
                <w:szCs w:val="16"/>
              </w:rPr>
              <w:t xml:space="preserve"> projektov celkovo</w:t>
            </w:r>
          </w:p>
        </w:tc>
        <w:tc>
          <w:tcPr>
            <w:tcW w:w="1653"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34D78F36" w14:textId="77777777" w:rsidR="00F66F00" w:rsidRPr="00E21C60" w:rsidRDefault="00F66F00" w:rsidP="00CA084D">
            <w:pPr>
              <w:jc w:val="center"/>
              <w:rPr>
                <w:rFonts w:ascii="Arial" w:hAnsi="Arial" w:cs="Arial"/>
                <w:b/>
                <w:bCs/>
                <w:color w:val="000000"/>
                <w:sz w:val="16"/>
                <w:szCs w:val="16"/>
              </w:rPr>
            </w:pPr>
            <w:r w:rsidRPr="00E21C60">
              <w:rPr>
                <w:rFonts w:ascii="Arial" w:hAnsi="Arial" w:cs="Arial"/>
                <w:b/>
                <w:bCs/>
                <w:color w:val="000000"/>
                <w:sz w:val="16"/>
                <w:szCs w:val="16"/>
              </w:rPr>
              <w:t xml:space="preserve">Celková výška </w:t>
            </w:r>
            <w:r>
              <w:rPr>
                <w:rFonts w:ascii="Arial" w:hAnsi="Arial" w:cs="Arial"/>
                <w:b/>
                <w:bCs/>
                <w:color w:val="000000"/>
                <w:sz w:val="16"/>
                <w:szCs w:val="16"/>
              </w:rPr>
              <w:t>čerpa</w:t>
            </w:r>
            <w:r w:rsidRPr="00E21C60">
              <w:rPr>
                <w:rFonts w:ascii="Arial" w:hAnsi="Arial" w:cs="Arial"/>
                <w:b/>
                <w:bCs/>
                <w:color w:val="000000"/>
                <w:sz w:val="16"/>
                <w:szCs w:val="16"/>
              </w:rPr>
              <w:t>ných prostriedkov v €  (EU zdroje)</w:t>
            </w:r>
          </w:p>
        </w:tc>
        <w:tc>
          <w:tcPr>
            <w:tcW w:w="1453"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4C9DD984" w14:textId="77777777" w:rsidR="00F66F00" w:rsidRPr="00E21C60" w:rsidRDefault="00F66F00" w:rsidP="00CA084D">
            <w:pPr>
              <w:jc w:val="center"/>
              <w:rPr>
                <w:rFonts w:ascii="Arial" w:hAnsi="Arial" w:cs="Arial"/>
                <w:b/>
                <w:bCs/>
                <w:color w:val="000000"/>
                <w:sz w:val="16"/>
                <w:szCs w:val="16"/>
              </w:rPr>
            </w:pPr>
            <w:r w:rsidRPr="00E21C60">
              <w:rPr>
                <w:rFonts w:ascii="Arial" w:hAnsi="Arial" w:cs="Arial"/>
                <w:b/>
                <w:bCs/>
                <w:color w:val="000000"/>
                <w:sz w:val="16"/>
                <w:szCs w:val="16"/>
              </w:rPr>
              <w:t xml:space="preserve">Počet </w:t>
            </w:r>
            <w:r>
              <w:rPr>
                <w:rFonts w:ascii="Arial" w:hAnsi="Arial" w:cs="Arial"/>
                <w:b/>
                <w:bCs/>
                <w:color w:val="000000"/>
                <w:sz w:val="16"/>
                <w:szCs w:val="16"/>
              </w:rPr>
              <w:t xml:space="preserve">riadne ukončených </w:t>
            </w:r>
            <w:r w:rsidRPr="00E21C60">
              <w:rPr>
                <w:rFonts w:ascii="Arial" w:hAnsi="Arial" w:cs="Arial"/>
                <w:b/>
                <w:bCs/>
                <w:color w:val="000000"/>
                <w:sz w:val="16"/>
                <w:szCs w:val="16"/>
              </w:rPr>
              <w:t>projektov s príspevkom</w:t>
            </w:r>
          </w:p>
          <w:p w14:paraId="5EAE810E" w14:textId="77777777" w:rsidR="00F66F00" w:rsidRPr="00E21C60" w:rsidRDefault="00F66F00" w:rsidP="00CA084D">
            <w:pPr>
              <w:jc w:val="center"/>
              <w:rPr>
                <w:rFonts w:ascii="Arial" w:hAnsi="Arial" w:cs="Arial"/>
                <w:b/>
                <w:bCs/>
                <w:color w:val="000000"/>
                <w:sz w:val="16"/>
                <w:szCs w:val="16"/>
              </w:rPr>
            </w:pPr>
            <w:r w:rsidRPr="00E21C60">
              <w:rPr>
                <w:rFonts w:ascii="Arial" w:hAnsi="Arial" w:cs="Arial"/>
                <w:b/>
                <w:bCs/>
                <w:color w:val="000000"/>
                <w:sz w:val="16"/>
                <w:szCs w:val="16"/>
              </w:rPr>
              <w:t>HP RP</w:t>
            </w:r>
          </w:p>
        </w:tc>
        <w:tc>
          <w:tcPr>
            <w:tcW w:w="1374"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799E9B3" w14:textId="77777777" w:rsidR="00F66F00" w:rsidRPr="00E21C60" w:rsidRDefault="00F66F00" w:rsidP="00CA084D">
            <w:pPr>
              <w:jc w:val="center"/>
              <w:rPr>
                <w:rFonts w:ascii="Arial" w:hAnsi="Arial" w:cs="Arial"/>
                <w:b/>
                <w:bCs/>
                <w:color w:val="000000"/>
                <w:sz w:val="16"/>
                <w:szCs w:val="16"/>
              </w:rPr>
            </w:pPr>
            <w:r w:rsidRPr="00E21C60">
              <w:rPr>
                <w:rFonts w:ascii="Arial" w:hAnsi="Arial" w:cs="Arial"/>
                <w:b/>
                <w:bCs/>
                <w:color w:val="000000"/>
                <w:sz w:val="16"/>
                <w:szCs w:val="16"/>
              </w:rPr>
              <w:t xml:space="preserve">Výška </w:t>
            </w:r>
            <w:r>
              <w:rPr>
                <w:rFonts w:ascii="Arial" w:hAnsi="Arial" w:cs="Arial"/>
                <w:b/>
                <w:bCs/>
                <w:color w:val="000000"/>
                <w:sz w:val="16"/>
                <w:szCs w:val="16"/>
              </w:rPr>
              <w:t>čerpaných</w:t>
            </w:r>
            <w:r w:rsidRPr="00E21C60">
              <w:rPr>
                <w:rFonts w:ascii="Arial" w:hAnsi="Arial" w:cs="Arial"/>
                <w:b/>
                <w:bCs/>
                <w:color w:val="000000"/>
                <w:sz w:val="16"/>
                <w:szCs w:val="16"/>
              </w:rPr>
              <w:t xml:space="preserve"> prostriedkov v € s príspevkom</w:t>
            </w:r>
          </w:p>
          <w:p w14:paraId="16A75C49" w14:textId="77777777" w:rsidR="00F66F00" w:rsidRPr="00E21C60" w:rsidRDefault="00F66F00" w:rsidP="00CA084D">
            <w:pPr>
              <w:jc w:val="center"/>
              <w:rPr>
                <w:rFonts w:ascii="Arial" w:hAnsi="Arial" w:cs="Arial"/>
                <w:b/>
                <w:bCs/>
                <w:color w:val="000000"/>
                <w:sz w:val="16"/>
                <w:szCs w:val="16"/>
              </w:rPr>
            </w:pPr>
            <w:r w:rsidRPr="00E21C60">
              <w:rPr>
                <w:rFonts w:ascii="Arial" w:hAnsi="Arial" w:cs="Arial"/>
                <w:b/>
                <w:bCs/>
                <w:color w:val="000000"/>
                <w:sz w:val="16"/>
                <w:szCs w:val="16"/>
              </w:rPr>
              <w:t>HP RP</w:t>
            </w:r>
          </w:p>
          <w:p w14:paraId="2D8C1158" w14:textId="77777777" w:rsidR="00F66F00" w:rsidRPr="00E21C60" w:rsidRDefault="00F66F00" w:rsidP="00CA084D">
            <w:pPr>
              <w:jc w:val="center"/>
              <w:rPr>
                <w:rFonts w:ascii="Arial" w:hAnsi="Arial" w:cs="Arial"/>
                <w:b/>
                <w:bCs/>
                <w:color w:val="000000"/>
                <w:sz w:val="16"/>
                <w:szCs w:val="16"/>
              </w:rPr>
            </w:pPr>
            <w:r w:rsidRPr="00E21C60">
              <w:rPr>
                <w:rFonts w:ascii="Arial" w:hAnsi="Arial" w:cs="Arial"/>
                <w:b/>
                <w:bCs/>
                <w:color w:val="000000"/>
                <w:sz w:val="16"/>
                <w:szCs w:val="16"/>
              </w:rPr>
              <w:t>(EU zdroje)</w:t>
            </w:r>
          </w:p>
        </w:tc>
        <w:tc>
          <w:tcPr>
            <w:tcW w:w="1532"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18238FA" w14:textId="77777777" w:rsidR="00F66F00" w:rsidRPr="00E21C60" w:rsidRDefault="00F66F00" w:rsidP="00CA084D">
            <w:pPr>
              <w:jc w:val="center"/>
              <w:rPr>
                <w:rFonts w:ascii="Arial" w:hAnsi="Arial" w:cs="Arial"/>
                <w:b/>
                <w:bCs/>
                <w:color w:val="000000"/>
                <w:sz w:val="16"/>
                <w:szCs w:val="16"/>
              </w:rPr>
            </w:pPr>
            <w:r w:rsidRPr="00E21C60">
              <w:rPr>
                <w:rFonts w:ascii="Arial" w:hAnsi="Arial" w:cs="Arial"/>
                <w:b/>
                <w:bCs/>
                <w:color w:val="000000"/>
                <w:sz w:val="16"/>
                <w:szCs w:val="16"/>
              </w:rPr>
              <w:t xml:space="preserve">% </w:t>
            </w:r>
            <w:r>
              <w:rPr>
                <w:rFonts w:ascii="Arial" w:hAnsi="Arial" w:cs="Arial"/>
                <w:b/>
                <w:bCs/>
                <w:color w:val="000000"/>
                <w:sz w:val="16"/>
                <w:szCs w:val="16"/>
              </w:rPr>
              <w:t>čerpania</w:t>
            </w:r>
            <w:r w:rsidRPr="00E21C60">
              <w:rPr>
                <w:rFonts w:ascii="Arial" w:hAnsi="Arial" w:cs="Arial"/>
                <w:b/>
                <w:bCs/>
                <w:color w:val="000000"/>
                <w:sz w:val="16"/>
                <w:szCs w:val="16"/>
              </w:rPr>
              <w:t xml:space="preserve"> k HP RP z celkového objemu </w:t>
            </w:r>
            <w:r>
              <w:rPr>
                <w:rFonts w:ascii="Arial" w:hAnsi="Arial" w:cs="Arial"/>
                <w:b/>
                <w:bCs/>
                <w:color w:val="000000"/>
                <w:sz w:val="16"/>
                <w:szCs w:val="16"/>
              </w:rPr>
              <w:t>čerpaných</w:t>
            </w:r>
            <w:r w:rsidRPr="00E21C60">
              <w:rPr>
                <w:rFonts w:ascii="Arial" w:hAnsi="Arial" w:cs="Arial"/>
                <w:b/>
                <w:bCs/>
                <w:color w:val="000000"/>
                <w:sz w:val="16"/>
                <w:szCs w:val="16"/>
              </w:rPr>
              <w:t xml:space="preserve"> prostriedkov</w:t>
            </w:r>
          </w:p>
        </w:tc>
      </w:tr>
      <w:tr w:rsidR="00F66F00" w:rsidRPr="00E21C60" w14:paraId="0BBFAD0E" w14:textId="77777777" w:rsidTr="0008447E">
        <w:trPr>
          <w:trHeight w:val="450"/>
        </w:trPr>
        <w:tc>
          <w:tcPr>
            <w:tcW w:w="1596" w:type="dxa"/>
            <w:tcBorders>
              <w:top w:val="nil"/>
              <w:left w:val="single" w:sz="4" w:space="0" w:color="auto"/>
              <w:bottom w:val="single" w:sz="4" w:space="0" w:color="auto"/>
              <w:right w:val="single" w:sz="4" w:space="0" w:color="auto"/>
            </w:tcBorders>
            <w:shd w:val="clear" w:color="000000" w:fill="EBF1DE"/>
            <w:vAlign w:val="center"/>
            <w:hideMark/>
          </w:tcPr>
          <w:p w14:paraId="04F3674F" w14:textId="77777777" w:rsidR="00F66F00" w:rsidRPr="00E21C60" w:rsidRDefault="00F66F00" w:rsidP="00CA084D">
            <w:pPr>
              <w:jc w:val="center"/>
              <w:rPr>
                <w:rFonts w:ascii="Arial" w:hAnsi="Arial" w:cs="Arial"/>
                <w:color w:val="000000"/>
                <w:sz w:val="16"/>
                <w:szCs w:val="16"/>
              </w:rPr>
            </w:pPr>
            <w:r w:rsidRPr="00E21C60">
              <w:rPr>
                <w:rFonts w:ascii="Arial" w:hAnsi="Arial" w:cs="Arial"/>
                <w:color w:val="000000"/>
                <w:sz w:val="16"/>
                <w:szCs w:val="16"/>
              </w:rPr>
              <w:t>A</w:t>
            </w:r>
          </w:p>
        </w:tc>
        <w:tc>
          <w:tcPr>
            <w:tcW w:w="1452" w:type="dxa"/>
            <w:tcBorders>
              <w:top w:val="nil"/>
              <w:left w:val="nil"/>
              <w:bottom w:val="single" w:sz="4" w:space="0" w:color="auto"/>
              <w:right w:val="single" w:sz="4" w:space="0" w:color="auto"/>
            </w:tcBorders>
            <w:shd w:val="clear" w:color="000000" w:fill="EBF1DE"/>
            <w:vAlign w:val="center"/>
            <w:hideMark/>
          </w:tcPr>
          <w:p w14:paraId="08CEFB66" w14:textId="77777777" w:rsidR="00F66F00" w:rsidRPr="00E21C60" w:rsidRDefault="00F66F00" w:rsidP="00CA084D">
            <w:pPr>
              <w:jc w:val="center"/>
              <w:rPr>
                <w:rFonts w:ascii="Arial" w:hAnsi="Arial" w:cs="Arial"/>
                <w:color w:val="000000"/>
                <w:sz w:val="16"/>
                <w:szCs w:val="16"/>
              </w:rPr>
            </w:pPr>
            <w:r w:rsidRPr="00E21C60">
              <w:rPr>
                <w:rFonts w:ascii="Arial" w:hAnsi="Arial" w:cs="Arial"/>
                <w:color w:val="000000"/>
                <w:sz w:val="16"/>
                <w:szCs w:val="16"/>
              </w:rPr>
              <w:t>B</w:t>
            </w:r>
          </w:p>
        </w:tc>
        <w:tc>
          <w:tcPr>
            <w:tcW w:w="1653" w:type="dxa"/>
            <w:tcBorders>
              <w:top w:val="nil"/>
              <w:left w:val="nil"/>
              <w:bottom w:val="single" w:sz="4" w:space="0" w:color="auto"/>
              <w:right w:val="single" w:sz="4" w:space="0" w:color="auto"/>
            </w:tcBorders>
            <w:shd w:val="clear" w:color="000000" w:fill="EBF1DE"/>
            <w:vAlign w:val="center"/>
            <w:hideMark/>
          </w:tcPr>
          <w:p w14:paraId="078F264A" w14:textId="77777777" w:rsidR="00F66F00" w:rsidRPr="00E21C60" w:rsidRDefault="00F66F00" w:rsidP="00CA084D">
            <w:pPr>
              <w:jc w:val="center"/>
              <w:rPr>
                <w:rFonts w:ascii="Arial" w:hAnsi="Arial" w:cs="Arial"/>
                <w:color w:val="000000"/>
                <w:sz w:val="16"/>
                <w:szCs w:val="16"/>
              </w:rPr>
            </w:pPr>
            <w:r w:rsidRPr="00E21C60">
              <w:rPr>
                <w:rFonts w:ascii="Arial" w:hAnsi="Arial" w:cs="Arial"/>
                <w:color w:val="000000"/>
                <w:sz w:val="16"/>
                <w:szCs w:val="16"/>
              </w:rPr>
              <w:t>C</w:t>
            </w:r>
          </w:p>
        </w:tc>
        <w:tc>
          <w:tcPr>
            <w:tcW w:w="1453" w:type="dxa"/>
            <w:tcBorders>
              <w:top w:val="nil"/>
              <w:left w:val="nil"/>
              <w:bottom w:val="single" w:sz="4" w:space="0" w:color="auto"/>
              <w:right w:val="single" w:sz="4" w:space="0" w:color="auto"/>
            </w:tcBorders>
            <w:shd w:val="clear" w:color="000000" w:fill="EBF1DE"/>
            <w:vAlign w:val="center"/>
            <w:hideMark/>
          </w:tcPr>
          <w:p w14:paraId="19BC9B22" w14:textId="77777777" w:rsidR="00F66F00" w:rsidRPr="00E21C60" w:rsidRDefault="00F66F00" w:rsidP="00CA084D">
            <w:pPr>
              <w:jc w:val="center"/>
              <w:rPr>
                <w:rFonts w:ascii="Arial" w:hAnsi="Arial" w:cs="Arial"/>
                <w:color w:val="000000"/>
                <w:sz w:val="16"/>
                <w:szCs w:val="16"/>
              </w:rPr>
            </w:pPr>
            <w:r w:rsidRPr="00E21C60">
              <w:rPr>
                <w:rFonts w:ascii="Arial" w:hAnsi="Arial" w:cs="Arial"/>
                <w:color w:val="000000"/>
                <w:sz w:val="16"/>
                <w:szCs w:val="16"/>
              </w:rPr>
              <w:t>D</w:t>
            </w:r>
          </w:p>
        </w:tc>
        <w:tc>
          <w:tcPr>
            <w:tcW w:w="1374" w:type="dxa"/>
            <w:tcBorders>
              <w:top w:val="nil"/>
              <w:left w:val="nil"/>
              <w:bottom w:val="single" w:sz="4" w:space="0" w:color="auto"/>
              <w:right w:val="single" w:sz="4" w:space="0" w:color="auto"/>
            </w:tcBorders>
            <w:shd w:val="clear" w:color="000000" w:fill="EBF1DE"/>
            <w:vAlign w:val="center"/>
            <w:hideMark/>
          </w:tcPr>
          <w:p w14:paraId="73982E4E" w14:textId="77777777" w:rsidR="00F66F00" w:rsidRPr="00E21C60" w:rsidRDefault="00F66F00" w:rsidP="00CA084D">
            <w:pPr>
              <w:jc w:val="center"/>
              <w:rPr>
                <w:rFonts w:ascii="Arial" w:hAnsi="Arial" w:cs="Arial"/>
                <w:color w:val="000000"/>
                <w:sz w:val="16"/>
                <w:szCs w:val="16"/>
              </w:rPr>
            </w:pPr>
            <w:r w:rsidRPr="00E21C60">
              <w:rPr>
                <w:rFonts w:ascii="Arial" w:hAnsi="Arial" w:cs="Arial"/>
                <w:color w:val="000000"/>
                <w:sz w:val="16"/>
                <w:szCs w:val="16"/>
              </w:rPr>
              <w:t>E</w:t>
            </w:r>
          </w:p>
        </w:tc>
        <w:tc>
          <w:tcPr>
            <w:tcW w:w="1532" w:type="dxa"/>
            <w:tcBorders>
              <w:top w:val="nil"/>
              <w:left w:val="nil"/>
              <w:bottom w:val="single" w:sz="4" w:space="0" w:color="auto"/>
              <w:right w:val="single" w:sz="4" w:space="0" w:color="auto"/>
            </w:tcBorders>
            <w:shd w:val="clear" w:color="000000" w:fill="EBF1DE"/>
            <w:vAlign w:val="center"/>
            <w:hideMark/>
          </w:tcPr>
          <w:p w14:paraId="30356710" w14:textId="77777777" w:rsidR="00F66F00" w:rsidRPr="00E21C60" w:rsidRDefault="00F66F00" w:rsidP="00CA084D">
            <w:pPr>
              <w:jc w:val="center"/>
              <w:rPr>
                <w:rFonts w:ascii="Arial" w:hAnsi="Arial" w:cs="Arial"/>
                <w:color w:val="000000"/>
                <w:sz w:val="16"/>
                <w:szCs w:val="16"/>
              </w:rPr>
            </w:pPr>
            <w:r w:rsidRPr="00E21C60">
              <w:rPr>
                <w:rFonts w:ascii="Arial" w:hAnsi="Arial" w:cs="Arial"/>
                <w:color w:val="000000"/>
                <w:sz w:val="16"/>
                <w:szCs w:val="16"/>
              </w:rPr>
              <w:t>F=E/C</w:t>
            </w:r>
          </w:p>
        </w:tc>
      </w:tr>
      <w:tr w:rsidR="00F66F00" w:rsidRPr="00E21C60" w14:paraId="6ACE1375" w14:textId="77777777" w:rsidTr="0008447E">
        <w:trPr>
          <w:trHeight w:val="255"/>
        </w:trPr>
        <w:tc>
          <w:tcPr>
            <w:tcW w:w="1596" w:type="dxa"/>
            <w:tcBorders>
              <w:top w:val="nil"/>
              <w:left w:val="single" w:sz="4" w:space="0" w:color="auto"/>
              <w:bottom w:val="single" w:sz="4" w:space="0" w:color="auto"/>
              <w:right w:val="single" w:sz="4" w:space="0" w:color="auto"/>
            </w:tcBorders>
            <w:shd w:val="clear" w:color="auto" w:fill="auto"/>
            <w:vAlign w:val="center"/>
            <w:hideMark/>
          </w:tcPr>
          <w:p w14:paraId="535E9633" w14:textId="77777777" w:rsidR="00F66F00" w:rsidRPr="00E21C60" w:rsidRDefault="00F66F00" w:rsidP="00CA084D">
            <w:pPr>
              <w:rPr>
                <w:rFonts w:ascii="Arial" w:hAnsi="Arial" w:cs="Arial"/>
                <w:color w:val="000000"/>
                <w:sz w:val="16"/>
                <w:szCs w:val="16"/>
              </w:rPr>
            </w:pPr>
            <w:r w:rsidRPr="00E21C60">
              <w:rPr>
                <w:rFonts w:ascii="Arial" w:hAnsi="Arial" w:cs="Arial"/>
                <w:color w:val="000000"/>
                <w:sz w:val="16"/>
                <w:szCs w:val="16"/>
              </w:rPr>
              <w:t>Bratislavský</w:t>
            </w:r>
          </w:p>
        </w:tc>
        <w:tc>
          <w:tcPr>
            <w:tcW w:w="1452" w:type="dxa"/>
            <w:tcBorders>
              <w:top w:val="nil"/>
              <w:left w:val="nil"/>
              <w:bottom w:val="single" w:sz="4" w:space="0" w:color="auto"/>
              <w:right w:val="single" w:sz="4" w:space="0" w:color="auto"/>
            </w:tcBorders>
            <w:shd w:val="clear" w:color="auto" w:fill="auto"/>
            <w:vAlign w:val="center"/>
            <w:hideMark/>
          </w:tcPr>
          <w:p w14:paraId="6EB5117E" w14:textId="77777777" w:rsidR="00F66F00" w:rsidRPr="001B10BC" w:rsidRDefault="00F66F00" w:rsidP="00CA084D">
            <w:pPr>
              <w:jc w:val="center"/>
              <w:rPr>
                <w:rFonts w:ascii="Arial" w:hAnsi="Arial" w:cs="Arial"/>
                <w:sz w:val="16"/>
                <w:szCs w:val="16"/>
              </w:rPr>
            </w:pPr>
            <w:r w:rsidRPr="001B10BC">
              <w:rPr>
                <w:rFonts w:ascii="Arial" w:hAnsi="Arial" w:cs="Arial"/>
                <w:sz w:val="16"/>
                <w:szCs w:val="16"/>
              </w:rPr>
              <w:t>21</w:t>
            </w:r>
          </w:p>
        </w:tc>
        <w:tc>
          <w:tcPr>
            <w:tcW w:w="1653" w:type="dxa"/>
            <w:tcBorders>
              <w:top w:val="nil"/>
              <w:left w:val="nil"/>
              <w:bottom w:val="single" w:sz="4" w:space="0" w:color="auto"/>
              <w:right w:val="single" w:sz="4" w:space="0" w:color="auto"/>
            </w:tcBorders>
            <w:shd w:val="clear" w:color="auto" w:fill="auto"/>
            <w:vAlign w:val="center"/>
          </w:tcPr>
          <w:p w14:paraId="336D0F5A" w14:textId="3C3BF98D"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77 038 738</w:t>
            </w:r>
          </w:p>
        </w:tc>
        <w:tc>
          <w:tcPr>
            <w:tcW w:w="1453" w:type="dxa"/>
            <w:tcBorders>
              <w:top w:val="nil"/>
              <w:left w:val="nil"/>
              <w:bottom w:val="single" w:sz="4" w:space="0" w:color="auto"/>
              <w:right w:val="single" w:sz="4" w:space="0" w:color="auto"/>
            </w:tcBorders>
            <w:shd w:val="clear" w:color="auto" w:fill="auto"/>
            <w:vAlign w:val="center"/>
            <w:hideMark/>
          </w:tcPr>
          <w:p w14:paraId="79F2BDD8"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4</w:t>
            </w:r>
          </w:p>
        </w:tc>
        <w:tc>
          <w:tcPr>
            <w:tcW w:w="1374" w:type="dxa"/>
            <w:tcBorders>
              <w:top w:val="nil"/>
              <w:left w:val="nil"/>
              <w:bottom w:val="single" w:sz="4" w:space="0" w:color="auto"/>
              <w:right w:val="single" w:sz="4" w:space="0" w:color="auto"/>
            </w:tcBorders>
            <w:shd w:val="clear" w:color="auto" w:fill="auto"/>
            <w:vAlign w:val="center"/>
          </w:tcPr>
          <w:p w14:paraId="7069F29D" w14:textId="63E169C4"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14 731 51</w:t>
            </w:r>
            <w:r w:rsidR="00A1711A">
              <w:rPr>
                <w:rFonts w:ascii="Arial" w:hAnsi="Arial" w:cs="Arial"/>
                <w:color w:val="000000"/>
                <w:sz w:val="16"/>
                <w:szCs w:val="16"/>
              </w:rPr>
              <w:t>9</w:t>
            </w:r>
          </w:p>
        </w:tc>
        <w:tc>
          <w:tcPr>
            <w:tcW w:w="1532" w:type="dxa"/>
            <w:tcBorders>
              <w:top w:val="nil"/>
              <w:left w:val="nil"/>
              <w:bottom w:val="single" w:sz="4" w:space="0" w:color="auto"/>
              <w:right w:val="single" w:sz="4" w:space="0" w:color="auto"/>
            </w:tcBorders>
            <w:shd w:val="clear" w:color="auto" w:fill="auto"/>
            <w:vAlign w:val="center"/>
          </w:tcPr>
          <w:p w14:paraId="2B8D67A6"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19,12 %</w:t>
            </w:r>
          </w:p>
        </w:tc>
      </w:tr>
      <w:tr w:rsidR="00F66F00" w:rsidRPr="00E21C60" w14:paraId="1EC997C6" w14:textId="77777777" w:rsidTr="0008447E">
        <w:trPr>
          <w:trHeight w:val="255"/>
        </w:trPr>
        <w:tc>
          <w:tcPr>
            <w:tcW w:w="1596" w:type="dxa"/>
            <w:tcBorders>
              <w:top w:val="nil"/>
              <w:left w:val="single" w:sz="4" w:space="0" w:color="auto"/>
              <w:bottom w:val="single" w:sz="4" w:space="0" w:color="auto"/>
              <w:right w:val="single" w:sz="4" w:space="0" w:color="auto"/>
            </w:tcBorders>
            <w:shd w:val="clear" w:color="auto" w:fill="auto"/>
            <w:vAlign w:val="center"/>
            <w:hideMark/>
          </w:tcPr>
          <w:p w14:paraId="7ECD6CA1" w14:textId="77777777" w:rsidR="00F66F00" w:rsidRPr="00E21C60" w:rsidRDefault="00F66F00" w:rsidP="00CA084D">
            <w:pPr>
              <w:rPr>
                <w:rFonts w:ascii="Arial" w:hAnsi="Arial" w:cs="Arial"/>
                <w:color w:val="000000"/>
                <w:sz w:val="16"/>
                <w:szCs w:val="16"/>
              </w:rPr>
            </w:pPr>
            <w:r w:rsidRPr="00E21C60">
              <w:rPr>
                <w:rFonts w:ascii="Arial" w:hAnsi="Arial" w:cs="Arial"/>
                <w:color w:val="000000"/>
                <w:sz w:val="16"/>
                <w:szCs w:val="16"/>
              </w:rPr>
              <w:t>Trnavský</w:t>
            </w:r>
          </w:p>
        </w:tc>
        <w:tc>
          <w:tcPr>
            <w:tcW w:w="1452" w:type="dxa"/>
            <w:tcBorders>
              <w:top w:val="nil"/>
              <w:left w:val="nil"/>
              <w:bottom w:val="single" w:sz="4" w:space="0" w:color="auto"/>
              <w:right w:val="single" w:sz="4" w:space="0" w:color="auto"/>
            </w:tcBorders>
            <w:shd w:val="clear" w:color="auto" w:fill="auto"/>
            <w:vAlign w:val="center"/>
            <w:hideMark/>
          </w:tcPr>
          <w:p w14:paraId="29CD69E1" w14:textId="77777777" w:rsidR="00F66F00" w:rsidRPr="001B10BC" w:rsidRDefault="00F66F00" w:rsidP="00CA084D">
            <w:pPr>
              <w:jc w:val="center"/>
              <w:rPr>
                <w:rFonts w:ascii="Arial" w:hAnsi="Arial" w:cs="Arial"/>
                <w:sz w:val="16"/>
                <w:szCs w:val="16"/>
              </w:rPr>
            </w:pPr>
            <w:r w:rsidRPr="001B10BC">
              <w:rPr>
                <w:rFonts w:ascii="Arial" w:hAnsi="Arial" w:cs="Arial"/>
                <w:sz w:val="16"/>
                <w:szCs w:val="16"/>
              </w:rPr>
              <w:t>79</w:t>
            </w:r>
          </w:p>
        </w:tc>
        <w:tc>
          <w:tcPr>
            <w:tcW w:w="1653" w:type="dxa"/>
            <w:tcBorders>
              <w:top w:val="nil"/>
              <w:left w:val="nil"/>
              <w:bottom w:val="single" w:sz="4" w:space="0" w:color="auto"/>
              <w:right w:val="single" w:sz="4" w:space="0" w:color="auto"/>
            </w:tcBorders>
            <w:shd w:val="clear" w:color="auto" w:fill="auto"/>
            <w:vAlign w:val="center"/>
          </w:tcPr>
          <w:p w14:paraId="4863AD49" w14:textId="59A37259"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145 774 91</w:t>
            </w:r>
            <w:r w:rsidR="00A1711A">
              <w:rPr>
                <w:rFonts w:ascii="Arial" w:hAnsi="Arial" w:cs="Arial"/>
                <w:color w:val="000000"/>
                <w:sz w:val="16"/>
                <w:szCs w:val="16"/>
              </w:rPr>
              <w:t>2</w:t>
            </w:r>
          </w:p>
        </w:tc>
        <w:tc>
          <w:tcPr>
            <w:tcW w:w="1453" w:type="dxa"/>
            <w:tcBorders>
              <w:top w:val="nil"/>
              <w:left w:val="nil"/>
              <w:bottom w:val="single" w:sz="4" w:space="0" w:color="auto"/>
              <w:right w:val="single" w:sz="4" w:space="0" w:color="auto"/>
            </w:tcBorders>
            <w:shd w:val="clear" w:color="auto" w:fill="auto"/>
            <w:vAlign w:val="center"/>
            <w:hideMark/>
          </w:tcPr>
          <w:p w14:paraId="32FBAD7A"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19</w:t>
            </w:r>
          </w:p>
        </w:tc>
        <w:tc>
          <w:tcPr>
            <w:tcW w:w="1374" w:type="dxa"/>
            <w:tcBorders>
              <w:top w:val="nil"/>
              <w:left w:val="nil"/>
              <w:bottom w:val="single" w:sz="4" w:space="0" w:color="auto"/>
              <w:right w:val="single" w:sz="4" w:space="0" w:color="auto"/>
            </w:tcBorders>
            <w:shd w:val="clear" w:color="auto" w:fill="auto"/>
            <w:vAlign w:val="center"/>
          </w:tcPr>
          <w:p w14:paraId="7C3AE0A2" w14:textId="6E669A9E"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20 258 8</w:t>
            </w:r>
            <w:r w:rsidR="00A1711A">
              <w:rPr>
                <w:rFonts w:ascii="Arial" w:hAnsi="Arial" w:cs="Arial"/>
                <w:color w:val="000000"/>
                <w:sz w:val="16"/>
                <w:szCs w:val="16"/>
              </w:rPr>
              <w:t>50</w:t>
            </w:r>
          </w:p>
        </w:tc>
        <w:tc>
          <w:tcPr>
            <w:tcW w:w="1532" w:type="dxa"/>
            <w:tcBorders>
              <w:top w:val="nil"/>
              <w:left w:val="nil"/>
              <w:bottom w:val="single" w:sz="4" w:space="0" w:color="auto"/>
              <w:right w:val="single" w:sz="4" w:space="0" w:color="auto"/>
            </w:tcBorders>
            <w:shd w:val="clear" w:color="auto" w:fill="auto"/>
            <w:vAlign w:val="center"/>
          </w:tcPr>
          <w:p w14:paraId="79C89358"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13,90 %</w:t>
            </w:r>
          </w:p>
        </w:tc>
      </w:tr>
      <w:tr w:rsidR="00F66F00" w:rsidRPr="00E21C60" w14:paraId="0EFE9FC3" w14:textId="77777777" w:rsidTr="0008447E">
        <w:trPr>
          <w:trHeight w:val="255"/>
        </w:trPr>
        <w:tc>
          <w:tcPr>
            <w:tcW w:w="1596" w:type="dxa"/>
            <w:tcBorders>
              <w:top w:val="nil"/>
              <w:left w:val="single" w:sz="4" w:space="0" w:color="auto"/>
              <w:bottom w:val="single" w:sz="4" w:space="0" w:color="auto"/>
              <w:right w:val="single" w:sz="4" w:space="0" w:color="auto"/>
            </w:tcBorders>
            <w:shd w:val="clear" w:color="auto" w:fill="auto"/>
            <w:vAlign w:val="center"/>
            <w:hideMark/>
          </w:tcPr>
          <w:p w14:paraId="36D043B3" w14:textId="77777777" w:rsidR="00F66F00" w:rsidRPr="00E21C60" w:rsidRDefault="00F66F00" w:rsidP="00CA084D">
            <w:pPr>
              <w:rPr>
                <w:rFonts w:ascii="Arial" w:hAnsi="Arial" w:cs="Arial"/>
                <w:color w:val="000000"/>
                <w:sz w:val="16"/>
                <w:szCs w:val="16"/>
              </w:rPr>
            </w:pPr>
            <w:r w:rsidRPr="00E21C60">
              <w:rPr>
                <w:rFonts w:ascii="Arial" w:hAnsi="Arial" w:cs="Arial"/>
                <w:color w:val="000000"/>
                <w:sz w:val="16"/>
                <w:szCs w:val="16"/>
              </w:rPr>
              <w:t>Trenčiansky</w:t>
            </w:r>
          </w:p>
        </w:tc>
        <w:tc>
          <w:tcPr>
            <w:tcW w:w="1452" w:type="dxa"/>
            <w:tcBorders>
              <w:top w:val="nil"/>
              <w:left w:val="nil"/>
              <w:bottom w:val="single" w:sz="4" w:space="0" w:color="auto"/>
              <w:right w:val="single" w:sz="4" w:space="0" w:color="auto"/>
            </w:tcBorders>
            <w:shd w:val="clear" w:color="auto" w:fill="auto"/>
            <w:vAlign w:val="center"/>
            <w:hideMark/>
          </w:tcPr>
          <w:p w14:paraId="6EC1E96A" w14:textId="77777777" w:rsidR="00F66F00" w:rsidRPr="001B10BC" w:rsidRDefault="00F66F00" w:rsidP="00CA084D">
            <w:pPr>
              <w:jc w:val="center"/>
              <w:rPr>
                <w:rFonts w:ascii="Arial" w:hAnsi="Arial" w:cs="Arial"/>
                <w:sz w:val="16"/>
                <w:szCs w:val="16"/>
              </w:rPr>
            </w:pPr>
            <w:r w:rsidRPr="001B10BC">
              <w:rPr>
                <w:rFonts w:ascii="Arial" w:hAnsi="Arial" w:cs="Arial"/>
                <w:sz w:val="16"/>
                <w:szCs w:val="16"/>
              </w:rPr>
              <w:t>66</w:t>
            </w:r>
          </w:p>
        </w:tc>
        <w:tc>
          <w:tcPr>
            <w:tcW w:w="1653" w:type="dxa"/>
            <w:tcBorders>
              <w:top w:val="nil"/>
              <w:left w:val="nil"/>
              <w:bottom w:val="single" w:sz="4" w:space="0" w:color="auto"/>
              <w:right w:val="single" w:sz="4" w:space="0" w:color="auto"/>
            </w:tcBorders>
            <w:shd w:val="clear" w:color="auto" w:fill="auto"/>
            <w:vAlign w:val="center"/>
          </w:tcPr>
          <w:p w14:paraId="20247AF9" w14:textId="71469AE1"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150 591 80</w:t>
            </w:r>
            <w:r w:rsidR="00A1711A">
              <w:rPr>
                <w:rFonts w:ascii="Arial" w:hAnsi="Arial" w:cs="Arial"/>
                <w:color w:val="000000"/>
                <w:sz w:val="16"/>
                <w:szCs w:val="16"/>
              </w:rPr>
              <w:t>7</w:t>
            </w:r>
          </w:p>
        </w:tc>
        <w:tc>
          <w:tcPr>
            <w:tcW w:w="1453" w:type="dxa"/>
            <w:tcBorders>
              <w:top w:val="nil"/>
              <w:left w:val="nil"/>
              <w:bottom w:val="single" w:sz="4" w:space="0" w:color="auto"/>
              <w:right w:val="single" w:sz="4" w:space="0" w:color="auto"/>
            </w:tcBorders>
            <w:shd w:val="clear" w:color="auto" w:fill="auto"/>
            <w:vAlign w:val="center"/>
            <w:hideMark/>
          </w:tcPr>
          <w:p w14:paraId="328E78DA"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29</w:t>
            </w:r>
          </w:p>
        </w:tc>
        <w:tc>
          <w:tcPr>
            <w:tcW w:w="1374" w:type="dxa"/>
            <w:tcBorders>
              <w:top w:val="nil"/>
              <w:left w:val="nil"/>
              <w:bottom w:val="single" w:sz="4" w:space="0" w:color="auto"/>
              <w:right w:val="single" w:sz="4" w:space="0" w:color="auto"/>
            </w:tcBorders>
            <w:shd w:val="clear" w:color="auto" w:fill="auto"/>
            <w:vAlign w:val="center"/>
          </w:tcPr>
          <w:p w14:paraId="1EBF073C" w14:textId="3CB090C4"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71 075 5</w:t>
            </w:r>
            <w:r w:rsidR="00A1711A">
              <w:rPr>
                <w:rFonts w:ascii="Arial" w:hAnsi="Arial" w:cs="Arial"/>
                <w:color w:val="000000"/>
                <w:sz w:val="16"/>
                <w:szCs w:val="16"/>
              </w:rPr>
              <w:t>40</w:t>
            </w:r>
          </w:p>
        </w:tc>
        <w:tc>
          <w:tcPr>
            <w:tcW w:w="1532" w:type="dxa"/>
            <w:tcBorders>
              <w:top w:val="nil"/>
              <w:left w:val="nil"/>
              <w:bottom w:val="single" w:sz="4" w:space="0" w:color="auto"/>
              <w:right w:val="single" w:sz="4" w:space="0" w:color="auto"/>
            </w:tcBorders>
            <w:shd w:val="clear" w:color="auto" w:fill="auto"/>
            <w:vAlign w:val="center"/>
          </w:tcPr>
          <w:p w14:paraId="21853994"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47,20 %</w:t>
            </w:r>
          </w:p>
        </w:tc>
      </w:tr>
      <w:tr w:rsidR="00F66F00" w:rsidRPr="00E21C60" w14:paraId="6EF66BB9" w14:textId="77777777" w:rsidTr="0008447E">
        <w:trPr>
          <w:trHeight w:val="255"/>
        </w:trPr>
        <w:tc>
          <w:tcPr>
            <w:tcW w:w="1596" w:type="dxa"/>
            <w:tcBorders>
              <w:top w:val="nil"/>
              <w:left w:val="single" w:sz="4" w:space="0" w:color="auto"/>
              <w:bottom w:val="single" w:sz="4" w:space="0" w:color="auto"/>
              <w:right w:val="single" w:sz="4" w:space="0" w:color="auto"/>
            </w:tcBorders>
            <w:shd w:val="clear" w:color="auto" w:fill="auto"/>
            <w:vAlign w:val="center"/>
            <w:hideMark/>
          </w:tcPr>
          <w:p w14:paraId="5943A9C5" w14:textId="77777777" w:rsidR="00F66F00" w:rsidRPr="00E21C60" w:rsidRDefault="00F66F00" w:rsidP="00CA084D">
            <w:pPr>
              <w:rPr>
                <w:rFonts w:ascii="Arial" w:hAnsi="Arial" w:cs="Arial"/>
                <w:color w:val="000000"/>
                <w:sz w:val="16"/>
                <w:szCs w:val="16"/>
              </w:rPr>
            </w:pPr>
            <w:r w:rsidRPr="00E21C60">
              <w:rPr>
                <w:rFonts w:ascii="Arial" w:hAnsi="Arial" w:cs="Arial"/>
                <w:color w:val="000000"/>
                <w:sz w:val="16"/>
                <w:szCs w:val="16"/>
              </w:rPr>
              <w:t>Nitriansky</w:t>
            </w:r>
          </w:p>
        </w:tc>
        <w:tc>
          <w:tcPr>
            <w:tcW w:w="1452" w:type="dxa"/>
            <w:tcBorders>
              <w:top w:val="nil"/>
              <w:left w:val="nil"/>
              <w:bottom w:val="single" w:sz="4" w:space="0" w:color="auto"/>
              <w:right w:val="single" w:sz="4" w:space="0" w:color="auto"/>
            </w:tcBorders>
            <w:shd w:val="clear" w:color="auto" w:fill="auto"/>
            <w:vAlign w:val="center"/>
            <w:hideMark/>
          </w:tcPr>
          <w:p w14:paraId="13D4D1AC" w14:textId="7E21C58E" w:rsidR="00F66F00" w:rsidRPr="001B10BC" w:rsidRDefault="008E36D0" w:rsidP="00CA084D">
            <w:pPr>
              <w:jc w:val="center"/>
              <w:rPr>
                <w:rFonts w:ascii="Arial" w:hAnsi="Arial" w:cs="Arial"/>
                <w:sz w:val="16"/>
                <w:szCs w:val="16"/>
              </w:rPr>
            </w:pPr>
            <w:r w:rsidRPr="001B10BC">
              <w:rPr>
                <w:rFonts w:ascii="Arial" w:hAnsi="Arial" w:cs="Arial"/>
                <w:sz w:val="16"/>
                <w:szCs w:val="16"/>
              </w:rPr>
              <w:t>80</w:t>
            </w:r>
          </w:p>
        </w:tc>
        <w:tc>
          <w:tcPr>
            <w:tcW w:w="1653" w:type="dxa"/>
            <w:tcBorders>
              <w:top w:val="nil"/>
              <w:left w:val="nil"/>
              <w:bottom w:val="single" w:sz="4" w:space="0" w:color="auto"/>
              <w:right w:val="single" w:sz="4" w:space="0" w:color="auto"/>
            </w:tcBorders>
            <w:shd w:val="clear" w:color="auto" w:fill="auto"/>
            <w:vAlign w:val="center"/>
          </w:tcPr>
          <w:p w14:paraId="667C648F" w14:textId="5CAE7FC0" w:rsidR="00F66F00" w:rsidRPr="001B10BC" w:rsidRDefault="008E36D0" w:rsidP="0008447E">
            <w:pPr>
              <w:jc w:val="center"/>
              <w:rPr>
                <w:rFonts w:ascii="Arial" w:hAnsi="Arial" w:cs="Arial"/>
                <w:color w:val="000000"/>
                <w:sz w:val="16"/>
                <w:szCs w:val="16"/>
              </w:rPr>
            </w:pPr>
            <w:r w:rsidRPr="001B10BC">
              <w:rPr>
                <w:rFonts w:ascii="Arial" w:hAnsi="Arial" w:cs="Arial"/>
                <w:color w:val="000000"/>
                <w:sz w:val="16"/>
                <w:szCs w:val="16"/>
              </w:rPr>
              <w:t>163 906 762</w:t>
            </w:r>
          </w:p>
        </w:tc>
        <w:tc>
          <w:tcPr>
            <w:tcW w:w="1453" w:type="dxa"/>
            <w:tcBorders>
              <w:top w:val="nil"/>
              <w:left w:val="nil"/>
              <w:bottom w:val="single" w:sz="4" w:space="0" w:color="auto"/>
              <w:right w:val="single" w:sz="4" w:space="0" w:color="auto"/>
            </w:tcBorders>
            <w:shd w:val="clear" w:color="auto" w:fill="auto"/>
            <w:vAlign w:val="center"/>
            <w:hideMark/>
          </w:tcPr>
          <w:p w14:paraId="4D2AC12D"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27</w:t>
            </w:r>
          </w:p>
        </w:tc>
        <w:tc>
          <w:tcPr>
            <w:tcW w:w="1374" w:type="dxa"/>
            <w:tcBorders>
              <w:top w:val="nil"/>
              <w:left w:val="nil"/>
              <w:bottom w:val="single" w:sz="4" w:space="0" w:color="auto"/>
              <w:right w:val="single" w:sz="4" w:space="0" w:color="auto"/>
            </w:tcBorders>
            <w:shd w:val="clear" w:color="auto" w:fill="auto"/>
            <w:vAlign w:val="center"/>
          </w:tcPr>
          <w:p w14:paraId="7C41C585" w14:textId="2D67CCB5"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40 686 96</w:t>
            </w:r>
            <w:r w:rsidR="00A1711A">
              <w:rPr>
                <w:rFonts w:ascii="Arial" w:hAnsi="Arial" w:cs="Arial"/>
                <w:color w:val="000000"/>
                <w:sz w:val="16"/>
                <w:szCs w:val="16"/>
              </w:rPr>
              <w:t>6</w:t>
            </w:r>
          </w:p>
        </w:tc>
        <w:tc>
          <w:tcPr>
            <w:tcW w:w="1532" w:type="dxa"/>
            <w:tcBorders>
              <w:top w:val="nil"/>
              <w:left w:val="nil"/>
              <w:bottom w:val="single" w:sz="4" w:space="0" w:color="auto"/>
              <w:right w:val="single" w:sz="4" w:space="0" w:color="auto"/>
            </w:tcBorders>
            <w:shd w:val="clear" w:color="auto" w:fill="auto"/>
            <w:vAlign w:val="center"/>
          </w:tcPr>
          <w:p w14:paraId="024367EC" w14:textId="34DF5A2D" w:rsidR="00F66F00" w:rsidRPr="001B10BC" w:rsidRDefault="008E36D0" w:rsidP="00CA084D">
            <w:pPr>
              <w:jc w:val="center"/>
              <w:rPr>
                <w:rFonts w:ascii="Arial" w:hAnsi="Arial" w:cs="Arial"/>
                <w:color w:val="000000"/>
                <w:sz w:val="16"/>
                <w:szCs w:val="16"/>
              </w:rPr>
            </w:pPr>
            <w:r w:rsidRPr="001B10BC">
              <w:rPr>
                <w:rFonts w:ascii="Arial" w:hAnsi="Arial" w:cs="Arial"/>
                <w:color w:val="000000"/>
                <w:sz w:val="16"/>
                <w:szCs w:val="16"/>
              </w:rPr>
              <w:t>24,82</w:t>
            </w:r>
            <w:r w:rsidR="00F66F00" w:rsidRPr="001B10BC">
              <w:rPr>
                <w:rFonts w:ascii="Arial" w:hAnsi="Arial" w:cs="Arial"/>
                <w:color w:val="000000"/>
                <w:sz w:val="16"/>
                <w:szCs w:val="16"/>
              </w:rPr>
              <w:t xml:space="preserve"> %</w:t>
            </w:r>
          </w:p>
        </w:tc>
      </w:tr>
      <w:tr w:rsidR="00F66F00" w:rsidRPr="00E21C60" w14:paraId="65ADC374" w14:textId="77777777" w:rsidTr="0008447E">
        <w:trPr>
          <w:trHeight w:val="255"/>
        </w:trPr>
        <w:tc>
          <w:tcPr>
            <w:tcW w:w="1596" w:type="dxa"/>
            <w:tcBorders>
              <w:top w:val="nil"/>
              <w:left w:val="single" w:sz="4" w:space="0" w:color="auto"/>
              <w:bottom w:val="single" w:sz="4" w:space="0" w:color="auto"/>
              <w:right w:val="single" w:sz="4" w:space="0" w:color="auto"/>
            </w:tcBorders>
            <w:shd w:val="clear" w:color="auto" w:fill="auto"/>
            <w:vAlign w:val="center"/>
            <w:hideMark/>
          </w:tcPr>
          <w:p w14:paraId="7E8F91BD" w14:textId="77777777" w:rsidR="00F66F00" w:rsidRPr="00E21C60" w:rsidRDefault="00F66F00" w:rsidP="00CA084D">
            <w:pPr>
              <w:rPr>
                <w:rFonts w:ascii="Arial" w:hAnsi="Arial" w:cs="Arial"/>
                <w:color w:val="000000"/>
                <w:sz w:val="16"/>
                <w:szCs w:val="16"/>
              </w:rPr>
            </w:pPr>
            <w:r w:rsidRPr="00E21C60">
              <w:rPr>
                <w:rFonts w:ascii="Arial" w:hAnsi="Arial" w:cs="Arial"/>
                <w:color w:val="000000"/>
                <w:sz w:val="16"/>
                <w:szCs w:val="16"/>
              </w:rPr>
              <w:t>Žilinský</w:t>
            </w:r>
          </w:p>
        </w:tc>
        <w:tc>
          <w:tcPr>
            <w:tcW w:w="1452" w:type="dxa"/>
            <w:tcBorders>
              <w:top w:val="nil"/>
              <w:left w:val="nil"/>
              <w:bottom w:val="single" w:sz="4" w:space="0" w:color="auto"/>
              <w:right w:val="single" w:sz="4" w:space="0" w:color="auto"/>
            </w:tcBorders>
            <w:shd w:val="clear" w:color="auto" w:fill="auto"/>
            <w:vAlign w:val="center"/>
            <w:hideMark/>
          </w:tcPr>
          <w:p w14:paraId="64D70867" w14:textId="77777777" w:rsidR="00F66F00" w:rsidRPr="001B10BC" w:rsidRDefault="00F66F00" w:rsidP="00CA084D">
            <w:pPr>
              <w:jc w:val="center"/>
              <w:rPr>
                <w:rFonts w:ascii="Arial" w:hAnsi="Arial" w:cs="Arial"/>
                <w:sz w:val="16"/>
                <w:szCs w:val="16"/>
              </w:rPr>
            </w:pPr>
            <w:r w:rsidRPr="001B10BC">
              <w:rPr>
                <w:rFonts w:ascii="Arial" w:hAnsi="Arial" w:cs="Arial"/>
                <w:sz w:val="16"/>
                <w:szCs w:val="16"/>
              </w:rPr>
              <w:t>118</w:t>
            </w:r>
          </w:p>
        </w:tc>
        <w:tc>
          <w:tcPr>
            <w:tcW w:w="1653" w:type="dxa"/>
            <w:tcBorders>
              <w:top w:val="nil"/>
              <w:left w:val="nil"/>
              <w:bottom w:val="single" w:sz="4" w:space="0" w:color="auto"/>
              <w:right w:val="single" w:sz="4" w:space="0" w:color="auto"/>
            </w:tcBorders>
            <w:shd w:val="clear" w:color="auto" w:fill="auto"/>
            <w:vAlign w:val="center"/>
          </w:tcPr>
          <w:p w14:paraId="286A444A" w14:textId="0224FB13"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252 086 907</w:t>
            </w:r>
          </w:p>
        </w:tc>
        <w:tc>
          <w:tcPr>
            <w:tcW w:w="1453" w:type="dxa"/>
            <w:tcBorders>
              <w:top w:val="nil"/>
              <w:left w:val="nil"/>
              <w:bottom w:val="single" w:sz="4" w:space="0" w:color="auto"/>
              <w:right w:val="single" w:sz="4" w:space="0" w:color="auto"/>
            </w:tcBorders>
            <w:shd w:val="clear" w:color="auto" w:fill="auto"/>
            <w:vAlign w:val="center"/>
            <w:hideMark/>
          </w:tcPr>
          <w:p w14:paraId="0FCAA1CE"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33</w:t>
            </w:r>
          </w:p>
        </w:tc>
        <w:tc>
          <w:tcPr>
            <w:tcW w:w="1374" w:type="dxa"/>
            <w:tcBorders>
              <w:top w:val="nil"/>
              <w:left w:val="nil"/>
              <w:bottom w:val="single" w:sz="4" w:space="0" w:color="auto"/>
              <w:right w:val="single" w:sz="4" w:space="0" w:color="auto"/>
            </w:tcBorders>
            <w:shd w:val="clear" w:color="auto" w:fill="auto"/>
            <w:vAlign w:val="center"/>
          </w:tcPr>
          <w:p w14:paraId="6BAE03EC" w14:textId="5FC0A7AC"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50 610 073</w:t>
            </w:r>
          </w:p>
        </w:tc>
        <w:tc>
          <w:tcPr>
            <w:tcW w:w="1532" w:type="dxa"/>
            <w:tcBorders>
              <w:top w:val="nil"/>
              <w:left w:val="nil"/>
              <w:bottom w:val="single" w:sz="4" w:space="0" w:color="auto"/>
              <w:right w:val="single" w:sz="4" w:space="0" w:color="auto"/>
            </w:tcBorders>
            <w:shd w:val="clear" w:color="auto" w:fill="auto"/>
            <w:vAlign w:val="center"/>
          </w:tcPr>
          <w:p w14:paraId="0DD95565"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20,08 %</w:t>
            </w:r>
          </w:p>
        </w:tc>
      </w:tr>
      <w:tr w:rsidR="00F66F00" w:rsidRPr="00E21C60" w14:paraId="5B414052" w14:textId="77777777" w:rsidTr="0008447E">
        <w:trPr>
          <w:trHeight w:val="255"/>
        </w:trPr>
        <w:tc>
          <w:tcPr>
            <w:tcW w:w="1596" w:type="dxa"/>
            <w:tcBorders>
              <w:top w:val="nil"/>
              <w:left w:val="single" w:sz="4" w:space="0" w:color="auto"/>
              <w:bottom w:val="single" w:sz="4" w:space="0" w:color="auto"/>
              <w:right w:val="single" w:sz="4" w:space="0" w:color="auto"/>
            </w:tcBorders>
            <w:shd w:val="clear" w:color="auto" w:fill="auto"/>
            <w:vAlign w:val="center"/>
            <w:hideMark/>
          </w:tcPr>
          <w:p w14:paraId="56302915" w14:textId="77777777" w:rsidR="00F66F00" w:rsidRPr="00E21C60" w:rsidRDefault="00F66F00" w:rsidP="00CA084D">
            <w:pPr>
              <w:rPr>
                <w:rFonts w:ascii="Arial" w:hAnsi="Arial" w:cs="Arial"/>
                <w:color w:val="000000"/>
                <w:sz w:val="16"/>
                <w:szCs w:val="16"/>
              </w:rPr>
            </w:pPr>
            <w:r w:rsidRPr="00E21C60">
              <w:rPr>
                <w:rFonts w:ascii="Arial" w:hAnsi="Arial" w:cs="Arial"/>
                <w:color w:val="000000"/>
                <w:sz w:val="16"/>
                <w:szCs w:val="16"/>
              </w:rPr>
              <w:t>Banskobystrický</w:t>
            </w:r>
          </w:p>
        </w:tc>
        <w:tc>
          <w:tcPr>
            <w:tcW w:w="1452" w:type="dxa"/>
            <w:tcBorders>
              <w:top w:val="nil"/>
              <w:left w:val="nil"/>
              <w:bottom w:val="single" w:sz="4" w:space="0" w:color="auto"/>
              <w:right w:val="single" w:sz="4" w:space="0" w:color="auto"/>
            </w:tcBorders>
            <w:shd w:val="clear" w:color="auto" w:fill="auto"/>
            <w:vAlign w:val="center"/>
            <w:hideMark/>
          </w:tcPr>
          <w:p w14:paraId="10A4F2B5" w14:textId="6880A5E2" w:rsidR="00F66F00" w:rsidRPr="001B10BC" w:rsidRDefault="008E36D0" w:rsidP="00CA084D">
            <w:pPr>
              <w:jc w:val="center"/>
              <w:rPr>
                <w:rFonts w:ascii="Arial" w:hAnsi="Arial" w:cs="Arial"/>
                <w:sz w:val="16"/>
                <w:szCs w:val="16"/>
              </w:rPr>
            </w:pPr>
            <w:r w:rsidRPr="001B10BC">
              <w:rPr>
                <w:rFonts w:ascii="Arial" w:hAnsi="Arial" w:cs="Arial"/>
                <w:sz w:val="16"/>
                <w:szCs w:val="16"/>
              </w:rPr>
              <w:t>107</w:t>
            </w:r>
          </w:p>
        </w:tc>
        <w:tc>
          <w:tcPr>
            <w:tcW w:w="1653" w:type="dxa"/>
            <w:tcBorders>
              <w:top w:val="nil"/>
              <w:left w:val="nil"/>
              <w:bottom w:val="single" w:sz="4" w:space="0" w:color="auto"/>
              <w:right w:val="single" w:sz="4" w:space="0" w:color="auto"/>
            </w:tcBorders>
            <w:shd w:val="clear" w:color="auto" w:fill="auto"/>
            <w:vAlign w:val="center"/>
          </w:tcPr>
          <w:p w14:paraId="22FFC8B2" w14:textId="7CED4BEC" w:rsidR="00F66F00" w:rsidRPr="001B10BC" w:rsidRDefault="008E36D0" w:rsidP="0008447E">
            <w:pPr>
              <w:jc w:val="center"/>
              <w:rPr>
                <w:rFonts w:ascii="Arial" w:hAnsi="Arial" w:cs="Arial"/>
                <w:color w:val="000000"/>
                <w:sz w:val="16"/>
                <w:szCs w:val="16"/>
              </w:rPr>
            </w:pPr>
            <w:r w:rsidRPr="001B10BC">
              <w:rPr>
                <w:rFonts w:ascii="Arial" w:hAnsi="Arial" w:cs="Arial"/>
                <w:color w:val="000000"/>
                <w:sz w:val="16"/>
                <w:szCs w:val="16"/>
              </w:rPr>
              <w:t>207 105 559</w:t>
            </w:r>
          </w:p>
        </w:tc>
        <w:tc>
          <w:tcPr>
            <w:tcW w:w="1453" w:type="dxa"/>
            <w:tcBorders>
              <w:top w:val="nil"/>
              <w:left w:val="nil"/>
              <w:bottom w:val="single" w:sz="4" w:space="0" w:color="auto"/>
              <w:right w:val="single" w:sz="4" w:space="0" w:color="auto"/>
            </w:tcBorders>
            <w:shd w:val="clear" w:color="auto" w:fill="auto"/>
            <w:vAlign w:val="center"/>
            <w:hideMark/>
          </w:tcPr>
          <w:p w14:paraId="49C31E51"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31</w:t>
            </w:r>
          </w:p>
        </w:tc>
        <w:tc>
          <w:tcPr>
            <w:tcW w:w="1374" w:type="dxa"/>
            <w:tcBorders>
              <w:top w:val="nil"/>
              <w:left w:val="nil"/>
              <w:bottom w:val="single" w:sz="4" w:space="0" w:color="auto"/>
              <w:right w:val="single" w:sz="4" w:space="0" w:color="auto"/>
            </w:tcBorders>
            <w:shd w:val="clear" w:color="auto" w:fill="auto"/>
            <w:vAlign w:val="center"/>
          </w:tcPr>
          <w:p w14:paraId="5D6EF878" w14:textId="77777777"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67 970 496</w:t>
            </w:r>
          </w:p>
        </w:tc>
        <w:tc>
          <w:tcPr>
            <w:tcW w:w="1532" w:type="dxa"/>
            <w:tcBorders>
              <w:top w:val="nil"/>
              <w:left w:val="nil"/>
              <w:bottom w:val="single" w:sz="4" w:space="0" w:color="auto"/>
              <w:right w:val="single" w:sz="4" w:space="0" w:color="auto"/>
            </w:tcBorders>
            <w:shd w:val="clear" w:color="auto" w:fill="auto"/>
            <w:vAlign w:val="center"/>
          </w:tcPr>
          <w:p w14:paraId="053EF4C8" w14:textId="40BB395C" w:rsidR="00F66F00" w:rsidRPr="001B10BC" w:rsidRDefault="008E36D0" w:rsidP="008E36D0">
            <w:pPr>
              <w:jc w:val="center"/>
              <w:rPr>
                <w:rFonts w:ascii="Arial" w:hAnsi="Arial" w:cs="Arial"/>
                <w:color w:val="000000"/>
                <w:sz w:val="16"/>
                <w:szCs w:val="16"/>
                <w:vertAlign w:val="subscript"/>
              </w:rPr>
            </w:pPr>
            <w:r w:rsidRPr="001B10BC">
              <w:rPr>
                <w:rFonts w:ascii="Arial" w:hAnsi="Arial" w:cs="Arial"/>
                <w:color w:val="000000"/>
                <w:sz w:val="16"/>
                <w:szCs w:val="16"/>
              </w:rPr>
              <w:t>32</w:t>
            </w:r>
            <w:r w:rsidR="00F66F00" w:rsidRPr="001B10BC">
              <w:rPr>
                <w:rFonts w:ascii="Arial" w:hAnsi="Arial" w:cs="Arial"/>
                <w:color w:val="000000"/>
                <w:sz w:val="16"/>
                <w:szCs w:val="16"/>
              </w:rPr>
              <w:t>,</w:t>
            </w:r>
            <w:r w:rsidRPr="001B10BC">
              <w:rPr>
                <w:rFonts w:ascii="Arial" w:hAnsi="Arial" w:cs="Arial"/>
                <w:color w:val="000000"/>
                <w:sz w:val="16"/>
                <w:szCs w:val="16"/>
              </w:rPr>
              <w:t>82</w:t>
            </w:r>
            <w:r w:rsidR="00F66F00" w:rsidRPr="001B10BC">
              <w:rPr>
                <w:rFonts w:ascii="Arial" w:hAnsi="Arial" w:cs="Arial"/>
                <w:color w:val="000000"/>
                <w:sz w:val="16"/>
                <w:szCs w:val="16"/>
              </w:rPr>
              <w:t xml:space="preserve"> %</w:t>
            </w:r>
          </w:p>
        </w:tc>
      </w:tr>
      <w:tr w:rsidR="00F66F00" w:rsidRPr="00E21C60" w14:paraId="305C6629" w14:textId="77777777" w:rsidTr="0008447E">
        <w:trPr>
          <w:trHeight w:val="255"/>
        </w:trPr>
        <w:tc>
          <w:tcPr>
            <w:tcW w:w="1596" w:type="dxa"/>
            <w:tcBorders>
              <w:top w:val="nil"/>
              <w:left w:val="single" w:sz="4" w:space="0" w:color="auto"/>
              <w:bottom w:val="single" w:sz="4" w:space="0" w:color="auto"/>
              <w:right w:val="single" w:sz="4" w:space="0" w:color="auto"/>
            </w:tcBorders>
            <w:shd w:val="clear" w:color="auto" w:fill="auto"/>
            <w:vAlign w:val="center"/>
            <w:hideMark/>
          </w:tcPr>
          <w:p w14:paraId="714D754F" w14:textId="77777777" w:rsidR="00F66F00" w:rsidRPr="00E21C60" w:rsidRDefault="00F66F00" w:rsidP="00CA084D">
            <w:pPr>
              <w:rPr>
                <w:rFonts w:ascii="Arial" w:hAnsi="Arial" w:cs="Arial"/>
                <w:color w:val="000000"/>
                <w:sz w:val="16"/>
                <w:szCs w:val="16"/>
              </w:rPr>
            </w:pPr>
            <w:r w:rsidRPr="00E21C60">
              <w:rPr>
                <w:rFonts w:ascii="Arial" w:hAnsi="Arial" w:cs="Arial"/>
                <w:color w:val="000000"/>
                <w:sz w:val="16"/>
                <w:szCs w:val="16"/>
              </w:rPr>
              <w:t>Prešovský</w:t>
            </w:r>
          </w:p>
        </w:tc>
        <w:tc>
          <w:tcPr>
            <w:tcW w:w="1452" w:type="dxa"/>
            <w:tcBorders>
              <w:top w:val="nil"/>
              <w:left w:val="nil"/>
              <w:bottom w:val="single" w:sz="4" w:space="0" w:color="auto"/>
              <w:right w:val="single" w:sz="4" w:space="0" w:color="auto"/>
            </w:tcBorders>
            <w:shd w:val="clear" w:color="auto" w:fill="auto"/>
            <w:vAlign w:val="center"/>
            <w:hideMark/>
          </w:tcPr>
          <w:p w14:paraId="439A4AA4" w14:textId="77777777" w:rsidR="00F66F00" w:rsidRPr="001B10BC" w:rsidRDefault="00F66F00" w:rsidP="00CA084D">
            <w:pPr>
              <w:jc w:val="center"/>
              <w:rPr>
                <w:rFonts w:ascii="Arial" w:hAnsi="Arial" w:cs="Arial"/>
                <w:sz w:val="16"/>
                <w:szCs w:val="16"/>
              </w:rPr>
            </w:pPr>
            <w:r w:rsidRPr="001B10BC">
              <w:rPr>
                <w:rFonts w:ascii="Arial" w:hAnsi="Arial" w:cs="Arial"/>
                <w:sz w:val="16"/>
                <w:szCs w:val="16"/>
              </w:rPr>
              <w:t>150</w:t>
            </w:r>
          </w:p>
        </w:tc>
        <w:tc>
          <w:tcPr>
            <w:tcW w:w="1653" w:type="dxa"/>
            <w:tcBorders>
              <w:top w:val="nil"/>
              <w:left w:val="nil"/>
              <w:bottom w:val="single" w:sz="4" w:space="0" w:color="auto"/>
              <w:right w:val="single" w:sz="4" w:space="0" w:color="auto"/>
            </w:tcBorders>
            <w:shd w:val="clear" w:color="auto" w:fill="auto"/>
            <w:vAlign w:val="center"/>
          </w:tcPr>
          <w:p w14:paraId="112E41A2" w14:textId="368696CB"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242 725 486</w:t>
            </w:r>
          </w:p>
        </w:tc>
        <w:tc>
          <w:tcPr>
            <w:tcW w:w="1453" w:type="dxa"/>
            <w:tcBorders>
              <w:top w:val="nil"/>
              <w:left w:val="nil"/>
              <w:bottom w:val="single" w:sz="4" w:space="0" w:color="auto"/>
              <w:right w:val="single" w:sz="4" w:space="0" w:color="auto"/>
            </w:tcBorders>
            <w:shd w:val="clear" w:color="auto" w:fill="auto"/>
            <w:vAlign w:val="center"/>
            <w:hideMark/>
          </w:tcPr>
          <w:p w14:paraId="3698A557"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59</w:t>
            </w:r>
          </w:p>
        </w:tc>
        <w:tc>
          <w:tcPr>
            <w:tcW w:w="1374" w:type="dxa"/>
            <w:tcBorders>
              <w:top w:val="nil"/>
              <w:left w:val="nil"/>
              <w:bottom w:val="single" w:sz="4" w:space="0" w:color="auto"/>
              <w:right w:val="single" w:sz="4" w:space="0" w:color="auto"/>
            </w:tcBorders>
            <w:shd w:val="clear" w:color="auto" w:fill="auto"/>
            <w:vAlign w:val="center"/>
          </w:tcPr>
          <w:p w14:paraId="190BCB02" w14:textId="77777777"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72 537 830</w:t>
            </w:r>
          </w:p>
        </w:tc>
        <w:tc>
          <w:tcPr>
            <w:tcW w:w="1532" w:type="dxa"/>
            <w:tcBorders>
              <w:top w:val="nil"/>
              <w:left w:val="nil"/>
              <w:bottom w:val="single" w:sz="4" w:space="0" w:color="auto"/>
              <w:right w:val="single" w:sz="4" w:space="0" w:color="auto"/>
            </w:tcBorders>
            <w:shd w:val="clear" w:color="auto" w:fill="auto"/>
            <w:vAlign w:val="center"/>
          </w:tcPr>
          <w:p w14:paraId="7477BB61"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29,88 %</w:t>
            </w:r>
          </w:p>
        </w:tc>
      </w:tr>
      <w:tr w:rsidR="00F66F00" w:rsidRPr="00E21C60" w14:paraId="1C54DC98" w14:textId="77777777" w:rsidTr="0008447E">
        <w:trPr>
          <w:trHeight w:val="255"/>
        </w:trPr>
        <w:tc>
          <w:tcPr>
            <w:tcW w:w="1596" w:type="dxa"/>
            <w:tcBorders>
              <w:top w:val="nil"/>
              <w:left w:val="single" w:sz="4" w:space="0" w:color="auto"/>
              <w:bottom w:val="single" w:sz="4" w:space="0" w:color="auto"/>
              <w:right w:val="single" w:sz="4" w:space="0" w:color="auto"/>
            </w:tcBorders>
            <w:shd w:val="clear" w:color="auto" w:fill="auto"/>
            <w:vAlign w:val="center"/>
            <w:hideMark/>
          </w:tcPr>
          <w:p w14:paraId="63C7F85A" w14:textId="77777777" w:rsidR="00F66F00" w:rsidRPr="00E21C60" w:rsidRDefault="00F66F00" w:rsidP="00CA084D">
            <w:pPr>
              <w:rPr>
                <w:rFonts w:ascii="Arial" w:hAnsi="Arial" w:cs="Arial"/>
                <w:color w:val="000000"/>
                <w:sz w:val="16"/>
                <w:szCs w:val="16"/>
              </w:rPr>
            </w:pPr>
            <w:r w:rsidRPr="00E21C60">
              <w:rPr>
                <w:rFonts w:ascii="Arial" w:hAnsi="Arial" w:cs="Arial"/>
                <w:color w:val="000000"/>
                <w:sz w:val="16"/>
                <w:szCs w:val="16"/>
              </w:rPr>
              <w:t>Košický</w:t>
            </w:r>
          </w:p>
        </w:tc>
        <w:tc>
          <w:tcPr>
            <w:tcW w:w="1452" w:type="dxa"/>
            <w:tcBorders>
              <w:top w:val="nil"/>
              <w:left w:val="nil"/>
              <w:bottom w:val="single" w:sz="4" w:space="0" w:color="auto"/>
              <w:right w:val="single" w:sz="4" w:space="0" w:color="auto"/>
            </w:tcBorders>
            <w:shd w:val="clear" w:color="auto" w:fill="auto"/>
            <w:vAlign w:val="center"/>
            <w:hideMark/>
          </w:tcPr>
          <w:p w14:paraId="098F7D26" w14:textId="77777777" w:rsidR="00F66F00" w:rsidRPr="001B10BC" w:rsidRDefault="00F66F00" w:rsidP="00CA084D">
            <w:pPr>
              <w:jc w:val="center"/>
              <w:rPr>
                <w:rFonts w:ascii="Arial" w:hAnsi="Arial" w:cs="Arial"/>
                <w:sz w:val="16"/>
                <w:szCs w:val="16"/>
              </w:rPr>
            </w:pPr>
            <w:r w:rsidRPr="001B10BC">
              <w:rPr>
                <w:rFonts w:ascii="Arial" w:hAnsi="Arial" w:cs="Arial"/>
                <w:sz w:val="16"/>
                <w:szCs w:val="16"/>
              </w:rPr>
              <w:t>90</w:t>
            </w:r>
          </w:p>
        </w:tc>
        <w:tc>
          <w:tcPr>
            <w:tcW w:w="1653" w:type="dxa"/>
            <w:tcBorders>
              <w:top w:val="nil"/>
              <w:left w:val="nil"/>
              <w:bottom w:val="single" w:sz="4" w:space="0" w:color="auto"/>
              <w:right w:val="single" w:sz="4" w:space="0" w:color="auto"/>
            </w:tcBorders>
            <w:shd w:val="clear" w:color="auto" w:fill="auto"/>
            <w:vAlign w:val="center"/>
          </w:tcPr>
          <w:p w14:paraId="60C0D639" w14:textId="6453BF89"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213 142 826</w:t>
            </w:r>
          </w:p>
        </w:tc>
        <w:tc>
          <w:tcPr>
            <w:tcW w:w="1453" w:type="dxa"/>
            <w:tcBorders>
              <w:top w:val="nil"/>
              <w:left w:val="nil"/>
              <w:bottom w:val="single" w:sz="4" w:space="0" w:color="auto"/>
              <w:right w:val="single" w:sz="4" w:space="0" w:color="auto"/>
            </w:tcBorders>
            <w:shd w:val="clear" w:color="auto" w:fill="auto"/>
            <w:vAlign w:val="center"/>
            <w:hideMark/>
          </w:tcPr>
          <w:p w14:paraId="60E7241E"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34</w:t>
            </w:r>
          </w:p>
        </w:tc>
        <w:tc>
          <w:tcPr>
            <w:tcW w:w="1374" w:type="dxa"/>
            <w:tcBorders>
              <w:top w:val="nil"/>
              <w:left w:val="nil"/>
              <w:bottom w:val="single" w:sz="4" w:space="0" w:color="auto"/>
              <w:right w:val="single" w:sz="4" w:space="0" w:color="auto"/>
            </w:tcBorders>
            <w:shd w:val="clear" w:color="auto" w:fill="auto"/>
            <w:vAlign w:val="center"/>
          </w:tcPr>
          <w:p w14:paraId="1E6183D1" w14:textId="7BE7EA25"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68 599 39</w:t>
            </w:r>
            <w:r w:rsidR="00A1711A">
              <w:rPr>
                <w:rFonts w:ascii="Arial" w:hAnsi="Arial" w:cs="Arial"/>
                <w:color w:val="000000"/>
                <w:sz w:val="16"/>
                <w:szCs w:val="16"/>
              </w:rPr>
              <w:t>6</w:t>
            </w:r>
          </w:p>
        </w:tc>
        <w:tc>
          <w:tcPr>
            <w:tcW w:w="1532" w:type="dxa"/>
            <w:tcBorders>
              <w:top w:val="nil"/>
              <w:left w:val="nil"/>
              <w:bottom w:val="single" w:sz="4" w:space="0" w:color="auto"/>
              <w:right w:val="single" w:sz="4" w:space="0" w:color="auto"/>
            </w:tcBorders>
            <w:shd w:val="clear" w:color="auto" w:fill="auto"/>
            <w:vAlign w:val="center"/>
          </w:tcPr>
          <w:p w14:paraId="1E0AB881"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32,18 %</w:t>
            </w:r>
          </w:p>
        </w:tc>
      </w:tr>
      <w:tr w:rsidR="0008447E" w:rsidRPr="00E21C60" w14:paraId="56355EA0" w14:textId="77777777" w:rsidTr="0008447E">
        <w:trPr>
          <w:trHeight w:val="450"/>
        </w:trPr>
        <w:tc>
          <w:tcPr>
            <w:tcW w:w="1596" w:type="dxa"/>
            <w:tcBorders>
              <w:top w:val="nil"/>
              <w:left w:val="single" w:sz="4" w:space="0" w:color="auto"/>
              <w:bottom w:val="single" w:sz="4" w:space="0" w:color="auto"/>
              <w:right w:val="single" w:sz="4" w:space="0" w:color="auto"/>
            </w:tcBorders>
            <w:shd w:val="clear" w:color="000000" w:fill="EBF1DE"/>
            <w:vAlign w:val="center"/>
            <w:hideMark/>
          </w:tcPr>
          <w:p w14:paraId="7E9F81BD" w14:textId="77777777" w:rsidR="00F66F00" w:rsidRPr="00E21C60" w:rsidRDefault="00F66F00" w:rsidP="00CA084D">
            <w:pPr>
              <w:rPr>
                <w:rFonts w:ascii="Arial" w:hAnsi="Arial" w:cs="Arial"/>
                <w:color w:val="000000"/>
                <w:sz w:val="16"/>
                <w:szCs w:val="16"/>
              </w:rPr>
            </w:pPr>
            <w:r w:rsidRPr="00E21C60">
              <w:rPr>
                <w:rFonts w:ascii="Arial" w:hAnsi="Arial" w:cs="Arial"/>
                <w:color w:val="000000"/>
                <w:sz w:val="16"/>
                <w:szCs w:val="16"/>
              </w:rPr>
              <w:t>Projekty nezaradené do NUTS III</w:t>
            </w:r>
          </w:p>
        </w:tc>
        <w:tc>
          <w:tcPr>
            <w:tcW w:w="1452" w:type="dxa"/>
            <w:tcBorders>
              <w:top w:val="nil"/>
              <w:left w:val="nil"/>
              <w:bottom w:val="single" w:sz="4" w:space="0" w:color="auto"/>
              <w:right w:val="single" w:sz="4" w:space="0" w:color="auto"/>
            </w:tcBorders>
            <w:shd w:val="clear" w:color="000000" w:fill="EBF1DE"/>
            <w:vAlign w:val="center"/>
            <w:hideMark/>
          </w:tcPr>
          <w:p w14:paraId="48413DA6" w14:textId="77777777" w:rsidR="00F66F00" w:rsidRPr="001B10BC" w:rsidRDefault="00F66F00" w:rsidP="00CA084D">
            <w:pPr>
              <w:jc w:val="center"/>
              <w:rPr>
                <w:rFonts w:ascii="Arial" w:hAnsi="Arial" w:cs="Arial"/>
                <w:sz w:val="16"/>
                <w:szCs w:val="16"/>
              </w:rPr>
            </w:pPr>
            <w:r w:rsidRPr="001B10BC">
              <w:rPr>
                <w:rFonts w:ascii="Arial" w:hAnsi="Arial" w:cs="Arial"/>
                <w:sz w:val="16"/>
                <w:szCs w:val="16"/>
              </w:rPr>
              <w:t>88</w:t>
            </w:r>
          </w:p>
        </w:tc>
        <w:tc>
          <w:tcPr>
            <w:tcW w:w="1653" w:type="dxa"/>
            <w:tcBorders>
              <w:top w:val="nil"/>
              <w:left w:val="nil"/>
              <w:bottom w:val="single" w:sz="4" w:space="0" w:color="auto"/>
              <w:right w:val="single" w:sz="4" w:space="0" w:color="auto"/>
            </w:tcBorders>
            <w:shd w:val="clear" w:color="000000" w:fill="EBF1DE"/>
            <w:vAlign w:val="center"/>
          </w:tcPr>
          <w:p w14:paraId="09E6EB3D" w14:textId="0B0E858E" w:rsidR="00F66F00" w:rsidRPr="001B10BC" w:rsidRDefault="008E36D0" w:rsidP="0008447E">
            <w:pPr>
              <w:jc w:val="center"/>
              <w:rPr>
                <w:rFonts w:ascii="Arial" w:hAnsi="Arial" w:cs="Arial"/>
                <w:color w:val="000000"/>
                <w:sz w:val="16"/>
                <w:szCs w:val="16"/>
              </w:rPr>
            </w:pPr>
            <w:r w:rsidRPr="001B10BC">
              <w:rPr>
                <w:rFonts w:ascii="Arial" w:hAnsi="Arial" w:cs="Arial"/>
                <w:color w:val="000000"/>
                <w:sz w:val="16"/>
                <w:szCs w:val="16"/>
              </w:rPr>
              <w:t>276 725 89</w:t>
            </w:r>
            <w:r w:rsidR="00A1711A">
              <w:rPr>
                <w:rFonts w:ascii="Arial" w:hAnsi="Arial" w:cs="Arial"/>
                <w:color w:val="000000"/>
                <w:sz w:val="16"/>
                <w:szCs w:val="16"/>
              </w:rPr>
              <w:t>4</w:t>
            </w:r>
          </w:p>
        </w:tc>
        <w:tc>
          <w:tcPr>
            <w:tcW w:w="1453" w:type="dxa"/>
            <w:tcBorders>
              <w:top w:val="nil"/>
              <w:left w:val="nil"/>
              <w:bottom w:val="single" w:sz="4" w:space="0" w:color="auto"/>
              <w:right w:val="single" w:sz="4" w:space="0" w:color="auto"/>
            </w:tcBorders>
            <w:shd w:val="clear" w:color="000000" w:fill="EBF1DE"/>
            <w:vAlign w:val="center"/>
            <w:hideMark/>
          </w:tcPr>
          <w:p w14:paraId="7ADB4625" w14:textId="77777777" w:rsidR="00F66F00" w:rsidRPr="001B10BC" w:rsidRDefault="00F66F00" w:rsidP="00CA084D">
            <w:pPr>
              <w:jc w:val="center"/>
              <w:rPr>
                <w:rFonts w:ascii="Arial" w:hAnsi="Arial" w:cs="Arial"/>
                <w:color w:val="000000"/>
                <w:sz w:val="16"/>
                <w:szCs w:val="16"/>
              </w:rPr>
            </w:pPr>
            <w:r w:rsidRPr="001B10BC">
              <w:rPr>
                <w:rFonts w:ascii="Arial" w:hAnsi="Arial" w:cs="Arial"/>
                <w:color w:val="000000"/>
                <w:sz w:val="16"/>
                <w:szCs w:val="16"/>
              </w:rPr>
              <w:t>2</w:t>
            </w:r>
          </w:p>
        </w:tc>
        <w:tc>
          <w:tcPr>
            <w:tcW w:w="1374" w:type="dxa"/>
            <w:tcBorders>
              <w:top w:val="nil"/>
              <w:left w:val="nil"/>
              <w:bottom w:val="single" w:sz="4" w:space="0" w:color="auto"/>
              <w:right w:val="single" w:sz="4" w:space="0" w:color="auto"/>
            </w:tcBorders>
            <w:shd w:val="clear" w:color="000000" w:fill="EBF1DE"/>
            <w:vAlign w:val="center"/>
          </w:tcPr>
          <w:p w14:paraId="491EE21E" w14:textId="472652A8" w:rsidR="00F66F00" w:rsidRPr="001B10BC" w:rsidRDefault="00F66F00" w:rsidP="0008447E">
            <w:pPr>
              <w:jc w:val="center"/>
              <w:rPr>
                <w:rFonts w:ascii="Arial" w:hAnsi="Arial" w:cs="Arial"/>
                <w:color w:val="000000"/>
                <w:sz w:val="16"/>
                <w:szCs w:val="16"/>
              </w:rPr>
            </w:pPr>
            <w:r w:rsidRPr="001B10BC">
              <w:rPr>
                <w:rFonts w:ascii="Arial" w:hAnsi="Arial" w:cs="Arial"/>
                <w:color w:val="000000"/>
                <w:sz w:val="16"/>
                <w:szCs w:val="16"/>
              </w:rPr>
              <w:t>1 029 044</w:t>
            </w:r>
          </w:p>
        </w:tc>
        <w:tc>
          <w:tcPr>
            <w:tcW w:w="1532" w:type="dxa"/>
            <w:tcBorders>
              <w:top w:val="nil"/>
              <w:left w:val="nil"/>
              <w:bottom w:val="single" w:sz="4" w:space="0" w:color="auto"/>
              <w:right w:val="single" w:sz="4" w:space="0" w:color="auto"/>
            </w:tcBorders>
            <w:shd w:val="clear" w:color="000000" w:fill="EBF1DE"/>
            <w:vAlign w:val="center"/>
          </w:tcPr>
          <w:p w14:paraId="40D5694C" w14:textId="51A3AA36" w:rsidR="00F66F00" w:rsidRPr="001B10BC" w:rsidRDefault="008E36D0" w:rsidP="00CA084D">
            <w:pPr>
              <w:jc w:val="center"/>
              <w:rPr>
                <w:rFonts w:ascii="Arial" w:hAnsi="Arial" w:cs="Arial"/>
                <w:color w:val="000000"/>
                <w:sz w:val="16"/>
                <w:szCs w:val="16"/>
              </w:rPr>
            </w:pPr>
            <w:r w:rsidRPr="001B10BC">
              <w:rPr>
                <w:rFonts w:ascii="Arial" w:hAnsi="Arial" w:cs="Arial"/>
                <w:color w:val="000000"/>
                <w:sz w:val="16"/>
                <w:szCs w:val="16"/>
              </w:rPr>
              <w:t>0,37</w:t>
            </w:r>
            <w:r w:rsidR="00F66F00" w:rsidRPr="001B10BC">
              <w:rPr>
                <w:rFonts w:ascii="Arial" w:hAnsi="Arial" w:cs="Arial"/>
                <w:color w:val="000000"/>
                <w:sz w:val="16"/>
                <w:szCs w:val="16"/>
              </w:rPr>
              <w:t xml:space="preserve"> %</w:t>
            </w:r>
          </w:p>
        </w:tc>
      </w:tr>
      <w:tr w:rsidR="0008447E" w:rsidRPr="00E21C60" w14:paraId="16162AA2" w14:textId="77777777" w:rsidTr="0008447E">
        <w:trPr>
          <w:trHeight w:val="255"/>
        </w:trPr>
        <w:tc>
          <w:tcPr>
            <w:tcW w:w="1596" w:type="dxa"/>
            <w:tcBorders>
              <w:top w:val="nil"/>
              <w:left w:val="single" w:sz="4" w:space="0" w:color="auto"/>
              <w:bottom w:val="single" w:sz="4" w:space="0" w:color="auto"/>
              <w:right w:val="single" w:sz="4" w:space="0" w:color="auto"/>
            </w:tcBorders>
            <w:shd w:val="clear" w:color="000000" w:fill="EBF1DE"/>
            <w:vAlign w:val="center"/>
            <w:hideMark/>
          </w:tcPr>
          <w:p w14:paraId="587C0E0B" w14:textId="77777777" w:rsidR="00F66F00" w:rsidRPr="00E21C60" w:rsidRDefault="00F66F00" w:rsidP="00CA084D">
            <w:pPr>
              <w:rPr>
                <w:rFonts w:ascii="Arial" w:hAnsi="Arial" w:cs="Arial"/>
                <w:b/>
                <w:bCs/>
                <w:color w:val="000000"/>
                <w:sz w:val="16"/>
                <w:szCs w:val="16"/>
              </w:rPr>
            </w:pPr>
            <w:r w:rsidRPr="00E21C60">
              <w:rPr>
                <w:rFonts w:ascii="Arial" w:hAnsi="Arial" w:cs="Arial"/>
                <w:b/>
                <w:bCs/>
                <w:color w:val="000000"/>
                <w:sz w:val="16"/>
                <w:szCs w:val="16"/>
              </w:rPr>
              <w:t>Spolu</w:t>
            </w:r>
          </w:p>
        </w:tc>
        <w:tc>
          <w:tcPr>
            <w:tcW w:w="1452" w:type="dxa"/>
            <w:tcBorders>
              <w:top w:val="nil"/>
              <w:left w:val="nil"/>
              <w:bottom w:val="single" w:sz="4" w:space="0" w:color="auto"/>
              <w:right w:val="single" w:sz="4" w:space="0" w:color="auto"/>
            </w:tcBorders>
            <w:shd w:val="clear" w:color="000000" w:fill="EBF1DE"/>
            <w:vAlign w:val="center"/>
            <w:hideMark/>
          </w:tcPr>
          <w:p w14:paraId="2A33A7BF" w14:textId="50B92A3A" w:rsidR="00F66F00" w:rsidRPr="001B10BC" w:rsidRDefault="008E36D0" w:rsidP="00CA084D">
            <w:pPr>
              <w:jc w:val="center"/>
              <w:rPr>
                <w:rFonts w:ascii="Arial" w:hAnsi="Arial" w:cs="Arial"/>
                <w:b/>
                <w:bCs/>
                <w:color w:val="000000"/>
                <w:sz w:val="16"/>
                <w:szCs w:val="16"/>
              </w:rPr>
            </w:pPr>
            <w:r w:rsidRPr="001B10BC">
              <w:rPr>
                <w:rFonts w:ascii="Arial" w:hAnsi="Arial" w:cs="Arial"/>
                <w:b/>
                <w:bCs/>
                <w:color w:val="000000"/>
                <w:sz w:val="16"/>
                <w:szCs w:val="16"/>
              </w:rPr>
              <w:t>799</w:t>
            </w:r>
          </w:p>
        </w:tc>
        <w:tc>
          <w:tcPr>
            <w:tcW w:w="1653" w:type="dxa"/>
            <w:tcBorders>
              <w:top w:val="nil"/>
              <w:left w:val="nil"/>
              <w:bottom w:val="single" w:sz="4" w:space="0" w:color="auto"/>
              <w:right w:val="single" w:sz="4" w:space="0" w:color="auto"/>
            </w:tcBorders>
            <w:shd w:val="clear" w:color="000000" w:fill="EBF1DE"/>
            <w:vAlign w:val="center"/>
            <w:hideMark/>
          </w:tcPr>
          <w:p w14:paraId="1AB70582" w14:textId="243DC81B" w:rsidR="00F66F00" w:rsidRPr="001B10BC" w:rsidRDefault="008E36D0" w:rsidP="0008447E">
            <w:pPr>
              <w:jc w:val="center"/>
              <w:rPr>
                <w:rFonts w:ascii="Arial" w:hAnsi="Arial" w:cs="Arial"/>
                <w:b/>
                <w:bCs/>
                <w:color w:val="000000"/>
                <w:sz w:val="16"/>
                <w:szCs w:val="16"/>
              </w:rPr>
            </w:pPr>
            <w:r w:rsidRPr="001B10BC">
              <w:rPr>
                <w:rFonts w:ascii="Arial" w:hAnsi="Arial" w:cs="Arial"/>
                <w:b/>
                <w:bCs/>
                <w:color w:val="000000"/>
                <w:sz w:val="16"/>
                <w:szCs w:val="16"/>
              </w:rPr>
              <w:t>1 729 098 89</w:t>
            </w:r>
            <w:r w:rsidR="00A1711A">
              <w:rPr>
                <w:rFonts w:ascii="Arial" w:hAnsi="Arial" w:cs="Arial"/>
                <w:b/>
                <w:bCs/>
                <w:color w:val="000000"/>
                <w:sz w:val="16"/>
                <w:szCs w:val="16"/>
              </w:rPr>
              <w:t>2</w:t>
            </w:r>
          </w:p>
        </w:tc>
        <w:tc>
          <w:tcPr>
            <w:tcW w:w="1453" w:type="dxa"/>
            <w:tcBorders>
              <w:top w:val="nil"/>
              <w:left w:val="nil"/>
              <w:bottom w:val="single" w:sz="4" w:space="0" w:color="auto"/>
              <w:right w:val="single" w:sz="4" w:space="0" w:color="auto"/>
            </w:tcBorders>
            <w:shd w:val="clear" w:color="000000" w:fill="EBF1DE"/>
            <w:vAlign w:val="center"/>
            <w:hideMark/>
          </w:tcPr>
          <w:p w14:paraId="7A5B0BC3" w14:textId="77777777" w:rsidR="00F66F00" w:rsidRPr="001B10BC" w:rsidRDefault="00F66F00" w:rsidP="00CA084D">
            <w:pPr>
              <w:jc w:val="center"/>
              <w:rPr>
                <w:rFonts w:ascii="Arial" w:hAnsi="Arial" w:cs="Arial"/>
                <w:b/>
                <w:bCs/>
                <w:color w:val="000000"/>
                <w:sz w:val="16"/>
                <w:szCs w:val="16"/>
              </w:rPr>
            </w:pPr>
            <w:r w:rsidRPr="001B10BC">
              <w:rPr>
                <w:rFonts w:ascii="Arial" w:hAnsi="Arial" w:cs="Arial"/>
                <w:b/>
                <w:bCs/>
                <w:color w:val="000000"/>
                <w:sz w:val="16"/>
                <w:szCs w:val="16"/>
              </w:rPr>
              <w:t>238</w:t>
            </w:r>
          </w:p>
        </w:tc>
        <w:tc>
          <w:tcPr>
            <w:tcW w:w="1374" w:type="dxa"/>
            <w:tcBorders>
              <w:top w:val="nil"/>
              <w:left w:val="nil"/>
              <w:bottom w:val="single" w:sz="4" w:space="0" w:color="auto"/>
              <w:right w:val="single" w:sz="4" w:space="0" w:color="auto"/>
            </w:tcBorders>
            <w:shd w:val="clear" w:color="000000" w:fill="EBF1DE"/>
            <w:vAlign w:val="center"/>
          </w:tcPr>
          <w:p w14:paraId="11DF393F" w14:textId="71327BD0" w:rsidR="00F66F00" w:rsidRPr="001B10BC" w:rsidRDefault="00F66F00" w:rsidP="0008447E">
            <w:pPr>
              <w:jc w:val="center"/>
              <w:rPr>
                <w:rFonts w:ascii="Arial" w:hAnsi="Arial" w:cs="Arial"/>
                <w:b/>
                <w:bCs/>
                <w:color w:val="000000"/>
                <w:sz w:val="16"/>
                <w:szCs w:val="16"/>
              </w:rPr>
            </w:pPr>
            <w:r w:rsidRPr="001B10BC">
              <w:rPr>
                <w:rFonts w:ascii="Arial" w:hAnsi="Arial" w:cs="Arial"/>
                <w:b/>
                <w:bCs/>
                <w:color w:val="000000"/>
                <w:sz w:val="16"/>
                <w:szCs w:val="16"/>
              </w:rPr>
              <w:t>407 499 713</w:t>
            </w:r>
          </w:p>
        </w:tc>
        <w:tc>
          <w:tcPr>
            <w:tcW w:w="1532" w:type="dxa"/>
            <w:tcBorders>
              <w:top w:val="nil"/>
              <w:left w:val="nil"/>
              <w:bottom w:val="single" w:sz="4" w:space="0" w:color="auto"/>
              <w:right w:val="single" w:sz="4" w:space="0" w:color="auto"/>
            </w:tcBorders>
            <w:shd w:val="clear" w:color="000000" w:fill="EBF1DE"/>
            <w:vAlign w:val="center"/>
          </w:tcPr>
          <w:p w14:paraId="3BA3CDAD" w14:textId="0890B863" w:rsidR="00F66F00" w:rsidRPr="001B10BC" w:rsidRDefault="006D56A4" w:rsidP="006D56A4">
            <w:pPr>
              <w:jc w:val="center"/>
              <w:rPr>
                <w:rFonts w:ascii="Arial" w:hAnsi="Arial" w:cs="Arial"/>
                <w:b/>
                <w:bCs/>
                <w:color w:val="000000"/>
                <w:sz w:val="16"/>
                <w:szCs w:val="16"/>
              </w:rPr>
            </w:pPr>
            <w:r w:rsidRPr="001B10BC">
              <w:rPr>
                <w:rFonts w:ascii="Arial" w:hAnsi="Arial" w:cs="Arial"/>
                <w:b/>
                <w:bCs/>
                <w:color w:val="000000"/>
                <w:sz w:val="16"/>
                <w:szCs w:val="16"/>
              </w:rPr>
              <w:t>23,57</w:t>
            </w:r>
            <w:r w:rsidR="00F66F00" w:rsidRPr="001B10BC">
              <w:rPr>
                <w:rFonts w:ascii="Arial" w:hAnsi="Arial" w:cs="Arial"/>
                <w:b/>
                <w:bCs/>
                <w:color w:val="000000"/>
                <w:sz w:val="16"/>
                <w:szCs w:val="16"/>
              </w:rPr>
              <w:t xml:space="preserve"> %</w:t>
            </w:r>
          </w:p>
        </w:tc>
      </w:tr>
    </w:tbl>
    <w:p w14:paraId="11E7B115" w14:textId="77777777" w:rsidR="00F66F00" w:rsidRDefault="00F66F00" w:rsidP="00590529">
      <w:pPr>
        <w:spacing w:before="120" w:after="120"/>
        <w:jc w:val="both"/>
        <w:rPr>
          <w:rFonts w:ascii="Arial" w:hAnsi="Arial" w:cs="Arial"/>
          <w:sz w:val="20"/>
          <w:szCs w:val="20"/>
        </w:rPr>
      </w:pPr>
    </w:p>
    <w:p w14:paraId="40CD877C" w14:textId="716305BE" w:rsidR="00F66F00" w:rsidRPr="00E21C60" w:rsidRDefault="006C6650" w:rsidP="00590529">
      <w:pPr>
        <w:spacing w:before="120" w:after="120"/>
        <w:jc w:val="both"/>
        <w:rPr>
          <w:rFonts w:ascii="Arial" w:hAnsi="Arial" w:cs="Arial"/>
          <w:sz w:val="20"/>
          <w:szCs w:val="20"/>
        </w:rPr>
      </w:pPr>
      <w:r w:rsidRPr="00E21C60">
        <w:rPr>
          <w:rFonts w:ascii="Arial" w:hAnsi="Arial" w:cs="Arial"/>
          <w:sz w:val="20"/>
          <w:szCs w:val="20"/>
        </w:rPr>
        <w:t>K</w:t>
      </w:r>
      <w:r w:rsidR="00435EC2">
        <w:rPr>
          <w:rFonts w:ascii="Arial" w:hAnsi="Arial" w:cs="Arial"/>
          <w:sz w:val="20"/>
          <w:szCs w:val="20"/>
        </w:rPr>
        <w:t xml:space="preserve"> 31.10.2016 </w:t>
      </w:r>
      <w:r w:rsidRPr="00E21C60">
        <w:rPr>
          <w:rFonts w:ascii="Arial" w:hAnsi="Arial" w:cs="Arial"/>
          <w:sz w:val="20"/>
          <w:szCs w:val="20"/>
        </w:rPr>
        <w:t xml:space="preserve">bol počet zazmluvnených projektov celkovo </w:t>
      </w:r>
      <w:r w:rsidR="00DC024E">
        <w:rPr>
          <w:rFonts w:ascii="Arial" w:hAnsi="Arial" w:cs="Arial"/>
          <w:sz w:val="20"/>
          <w:szCs w:val="20"/>
        </w:rPr>
        <w:t>805</w:t>
      </w:r>
      <w:r w:rsidR="00DC024E" w:rsidRPr="00E21C60">
        <w:rPr>
          <w:rFonts w:ascii="Arial" w:hAnsi="Arial" w:cs="Arial"/>
          <w:sz w:val="20"/>
          <w:szCs w:val="20"/>
        </w:rPr>
        <w:t xml:space="preserve"> </w:t>
      </w:r>
      <w:r w:rsidRPr="00E21C60">
        <w:rPr>
          <w:rFonts w:ascii="Arial" w:hAnsi="Arial" w:cs="Arial"/>
          <w:sz w:val="20"/>
          <w:szCs w:val="20"/>
        </w:rPr>
        <w:t xml:space="preserve">v celkovej výške zazmluvnených </w:t>
      </w:r>
      <w:r w:rsidR="00233A6F">
        <w:rPr>
          <w:rFonts w:ascii="Arial" w:hAnsi="Arial" w:cs="Arial"/>
          <w:sz w:val="20"/>
          <w:szCs w:val="20"/>
        </w:rPr>
        <w:t xml:space="preserve"> finančných </w:t>
      </w:r>
      <w:r w:rsidRPr="00E21C60">
        <w:rPr>
          <w:rFonts w:ascii="Arial" w:hAnsi="Arial" w:cs="Arial"/>
          <w:sz w:val="20"/>
          <w:szCs w:val="20"/>
        </w:rPr>
        <w:t xml:space="preserve">prostriedkov </w:t>
      </w:r>
      <w:r w:rsidR="00DC024E">
        <w:rPr>
          <w:rFonts w:ascii="Arial" w:hAnsi="Arial" w:cs="Arial"/>
          <w:sz w:val="20"/>
          <w:szCs w:val="20"/>
        </w:rPr>
        <w:t>1 945 168 553,74</w:t>
      </w:r>
      <w:r w:rsidRPr="00E21C60">
        <w:rPr>
          <w:rFonts w:ascii="Arial" w:hAnsi="Arial" w:cs="Arial"/>
          <w:sz w:val="20"/>
          <w:szCs w:val="20"/>
        </w:rPr>
        <w:t xml:space="preserve"> </w:t>
      </w:r>
      <w:r w:rsidR="003453EF" w:rsidRPr="003453EF">
        <w:rPr>
          <w:rFonts w:ascii="Arial" w:hAnsi="Arial" w:cs="Arial"/>
          <w:sz w:val="20"/>
          <w:szCs w:val="20"/>
        </w:rPr>
        <w:t xml:space="preserve"> €</w:t>
      </w:r>
      <w:r w:rsidRPr="00E21C60">
        <w:rPr>
          <w:rFonts w:ascii="Arial" w:hAnsi="Arial" w:cs="Arial"/>
          <w:sz w:val="20"/>
          <w:szCs w:val="20"/>
        </w:rPr>
        <w:t xml:space="preserve"> (EÚ zdroje). V roku 201</w:t>
      </w:r>
      <w:r w:rsidR="002546D5">
        <w:rPr>
          <w:rFonts w:ascii="Arial" w:hAnsi="Arial" w:cs="Arial"/>
          <w:sz w:val="20"/>
          <w:szCs w:val="20"/>
        </w:rPr>
        <w:t>6</w:t>
      </w:r>
      <w:r w:rsidRPr="00E21C60">
        <w:rPr>
          <w:rFonts w:ascii="Arial" w:hAnsi="Arial" w:cs="Arial"/>
          <w:sz w:val="20"/>
          <w:szCs w:val="20"/>
        </w:rPr>
        <w:t xml:space="preserve"> počet zazmluvnených projektov s príspevkom k HP RP bol 24</w:t>
      </w:r>
      <w:r w:rsidR="00DC024E">
        <w:rPr>
          <w:rFonts w:ascii="Arial" w:hAnsi="Arial" w:cs="Arial"/>
          <w:sz w:val="20"/>
          <w:szCs w:val="20"/>
        </w:rPr>
        <w:t>0</w:t>
      </w:r>
      <w:r w:rsidRPr="00E21C60">
        <w:rPr>
          <w:rFonts w:ascii="Arial" w:hAnsi="Arial" w:cs="Arial"/>
          <w:sz w:val="20"/>
          <w:szCs w:val="20"/>
        </w:rPr>
        <w:t>, čo je oproti roku 201</w:t>
      </w:r>
      <w:r w:rsidR="00F66F00">
        <w:rPr>
          <w:rFonts w:ascii="Arial" w:hAnsi="Arial" w:cs="Arial"/>
          <w:sz w:val="20"/>
          <w:szCs w:val="20"/>
        </w:rPr>
        <w:t>4</w:t>
      </w:r>
      <w:r w:rsidRPr="00E21C60">
        <w:rPr>
          <w:rFonts w:ascii="Arial" w:hAnsi="Arial" w:cs="Arial"/>
          <w:sz w:val="20"/>
          <w:szCs w:val="20"/>
        </w:rPr>
        <w:t xml:space="preserve"> </w:t>
      </w:r>
      <w:r w:rsidR="009253ED" w:rsidRPr="00DC171C">
        <w:rPr>
          <w:rFonts w:ascii="Arial" w:hAnsi="Arial" w:cs="Arial"/>
          <w:sz w:val="20"/>
          <w:szCs w:val="20"/>
        </w:rPr>
        <w:t xml:space="preserve">pokles </w:t>
      </w:r>
      <w:r w:rsidRPr="006330CC">
        <w:rPr>
          <w:rFonts w:ascii="Arial" w:hAnsi="Arial" w:cs="Arial"/>
          <w:sz w:val="20"/>
          <w:szCs w:val="20"/>
        </w:rPr>
        <w:t>o</w:t>
      </w:r>
      <w:r w:rsidR="009253ED" w:rsidRPr="006330CC">
        <w:rPr>
          <w:rFonts w:ascii="Arial" w:hAnsi="Arial" w:cs="Arial"/>
          <w:sz w:val="20"/>
          <w:szCs w:val="20"/>
        </w:rPr>
        <w:t> </w:t>
      </w:r>
      <w:r w:rsidR="00B61E0C">
        <w:rPr>
          <w:rFonts w:ascii="Arial" w:hAnsi="Arial" w:cs="Arial"/>
          <w:sz w:val="20"/>
          <w:szCs w:val="20"/>
        </w:rPr>
        <w:t>2</w:t>
      </w:r>
      <w:r w:rsidR="009253ED" w:rsidRPr="006330CC">
        <w:rPr>
          <w:rFonts w:ascii="Arial" w:hAnsi="Arial" w:cs="Arial"/>
          <w:sz w:val="20"/>
          <w:szCs w:val="20"/>
        </w:rPr>
        <w:t xml:space="preserve"> </w:t>
      </w:r>
      <w:r w:rsidRPr="006330CC">
        <w:rPr>
          <w:rFonts w:ascii="Arial" w:hAnsi="Arial" w:cs="Arial"/>
          <w:sz w:val="20"/>
          <w:szCs w:val="20"/>
        </w:rPr>
        <w:t>%.</w:t>
      </w:r>
      <w:r w:rsidRPr="00E21C60">
        <w:rPr>
          <w:rFonts w:ascii="Arial" w:hAnsi="Arial" w:cs="Arial"/>
          <w:sz w:val="20"/>
          <w:szCs w:val="20"/>
        </w:rPr>
        <w:t xml:space="preserve"> Celková výška zazmluvnených prostriedkov s príspevkom HP RP (E</w:t>
      </w:r>
      <w:r w:rsidR="00F268AA" w:rsidRPr="00E21C60">
        <w:rPr>
          <w:rFonts w:ascii="Arial" w:hAnsi="Arial" w:cs="Arial"/>
          <w:sz w:val="20"/>
          <w:szCs w:val="20"/>
        </w:rPr>
        <w:t>Ú</w:t>
      </w:r>
      <w:r w:rsidRPr="00E21C60">
        <w:rPr>
          <w:rFonts w:ascii="Arial" w:hAnsi="Arial" w:cs="Arial"/>
          <w:sz w:val="20"/>
          <w:szCs w:val="20"/>
        </w:rPr>
        <w:t xml:space="preserve"> zdroje) </w:t>
      </w:r>
      <w:r w:rsidR="00A50476">
        <w:rPr>
          <w:rFonts w:ascii="Arial" w:hAnsi="Arial" w:cs="Arial"/>
          <w:sz w:val="20"/>
          <w:szCs w:val="20"/>
        </w:rPr>
        <w:t>predstavuje hodnotu</w:t>
      </w:r>
      <w:r w:rsidRPr="00E21C60">
        <w:rPr>
          <w:rFonts w:ascii="Arial" w:hAnsi="Arial" w:cs="Arial"/>
          <w:sz w:val="20"/>
          <w:szCs w:val="20"/>
        </w:rPr>
        <w:t xml:space="preserve"> </w:t>
      </w:r>
      <w:r w:rsidR="00B61E0C">
        <w:rPr>
          <w:rFonts w:ascii="Arial" w:hAnsi="Arial" w:cs="Arial"/>
          <w:bCs/>
          <w:sz w:val="20"/>
          <w:szCs w:val="20"/>
        </w:rPr>
        <w:t>470 842 322,72</w:t>
      </w:r>
      <w:r w:rsidRPr="00E21C60">
        <w:rPr>
          <w:rFonts w:ascii="Arial" w:hAnsi="Arial" w:cs="Arial"/>
          <w:sz w:val="20"/>
          <w:szCs w:val="20"/>
        </w:rPr>
        <w:t xml:space="preserve"> </w:t>
      </w:r>
      <w:r w:rsidR="00A26AB6" w:rsidRPr="00A26AB6">
        <w:rPr>
          <w:rFonts w:ascii="Arial" w:hAnsi="Arial" w:cs="Arial"/>
          <w:sz w:val="20"/>
          <w:szCs w:val="20"/>
        </w:rPr>
        <w:t>€</w:t>
      </w:r>
      <w:r w:rsidRPr="00E21C60">
        <w:rPr>
          <w:rFonts w:ascii="Arial" w:hAnsi="Arial" w:cs="Arial"/>
          <w:sz w:val="20"/>
          <w:szCs w:val="20"/>
        </w:rPr>
        <w:t>, t</w:t>
      </w:r>
      <w:r w:rsidR="008532FD">
        <w:rPr>
          <w:rFonts w:ascii="Arial" w:hAnsi="Arial" w:cs="Arial"/>
          <w:sz w:val="20"/>
          <w:szCs w:val="20"/>
        </w:rPr>
        <w:t>.j.</w:t>
      </w:r>
      <w:r w:rsidRPr="00E21C60">
        <w:rPr>
          <w:rFonts w:ascii="Arial" w:hAnsi="Arial" w:cs="Arial"/>
          <w:sz w:val="20"/>
          <w:szCs w:val="20"/>
        </w:rPr>
        <w:t xml:space="preserve"> </w:t>
      </w:r>
      <w:r w:rsidR="00A50476">
        <w:rPr>
          <w:rFonts w:ascii="Arial" w:hAnsi="Arial" w:cs="Arial"/>
          <w:sz w:val="20"/>
          <w:szCs w:val="20"/>
        </w:rPr>
        <w:t>pokles</w:t>
      </w:r>
      <w:r w:rsidR="00A50476" w:rsidRPr="00E21C60">
        <w:rPr>
          <w:rFonts w:ascii="Arial" w:hAnsi="Arial" w:cs="Arial"/>
          <w:sz w:val="20"/>
          <w:szCs w:val="20"/>
        </w:rPr>
        <w:t xml:space="preserve"> </w:t>
      </w:r>
      <w:r w:rsidR="008532FD">
        <w:rPr>
          <w:rFonts w:ascii="Arial" w:hAnsi="Arial" w:cs="Arial"/>
          <w:sz w:val="20"/>
          <w:szCs w:val="20"/>
        </w:rPr>
        <w:t xml:space="preserve"> </w:t>
      </w:r>
      <w:r w:rsidRPr="00E21C60">
        <w:rPr>
          <w:rFonts w:ascii="Arial" w:hAnsi="Arial" w:cs="Arial"/>
          <w:sz w:val="20"/>
          <w:szCs w:val="20"/>
        </w:rPr>
        <w:t>o</w:t>
      </w:r>
      <w:r w:rsidR="00B61E0C">
        <w:rPr>
          <w:rFonts w:ascii="Arial" w:hAnsi="Arial" w:cs="Arial"/>
          <w:sz w:val="20"/>
          <w:szCs w:val="20"/>
        </w:rPr>
        <w:t> </w:t>
      </w:r>
      <w:r w:rsidR="00DC171C">
        <w:rPr>
          <w:rFonts w:ascii="Arial" w:hAnsi="Arial" w:cs="Arial"/>
          <w:sz w:val="20"/>
          <w:szCs w:val="20"/>
        </w:rPr>
        <w:t>2</w:t>
      </w:r>
      <w:r w:rsidR="00B61E0C">
        <w:rPr>
          <w:rFonts w:ascii="Arial" w:hAnsi="Arial" w:cs="Arial"/>
          <w:sz w:val="20"/>
          <w:szCs w:val="20"/>
        </w:rPr>
        <w:t>,8</w:t>
      </w:r>
      <w:r w:rsidR="00014D02">
        <w:rPr>
          <w:rFonts w:ascii="Arial" w:hAnsi="Arial" w:cs="Arial"/>
          <w:sz w:val="20"/>
          <w:szCs w:val="20"/>
        </w:rPr>
        <w:t xml:space="preserve"> </w:t>
      </w:r>
      <w:r w:rsidRPr="00E21C60">
        <w:rPr>
          <w:rFonts w:ascii="Arial" w:hAnsi="Arial" w:cs="Arial"/>
          <w:sz w:val="20"/>
          <w:szCs w:val="20"/>
        </w:rPr>
        <w:t>% oproti roku 201</w:t>
      </w:r>
      <w:r w:rsidR="00F66F00">
        <w:rPr>
          <w:rFonts w:ascii="Arial" w:hAnsi="Arial" w:cs="Arial"/>
          <w:sz w:val="20"/>
          <w:szCs w:val="20"/>
        </w:rPr>
        <w:t>4</w:t>
      </w:r>
      <w:r w:rsidRPr="00E21C60">
        <w:rPr>
          <w:rFonts w:ascii="Arial" w:hAnsi="Arial" w:cs="Arial"/>
          <w:sz w:val="20"/>
          <w:szCs w:val="20"/>
        </w:rPr>
        <w:t xml:space="preserve">. Z celkového objemu zazmluvnených prostriedkov OP ŽP, predstavuje výška zazmluvnených prostriedkov s príspevkom HP RP hodnotu </w:t>
      </w:r>
      <w:r w:rsidR="00B61E0C">
        <w:rPr>
          <w:rFonts w:ascii="Arial" w:hAnsi="Arial" w:cs="Arial"/>
          <w:sz w:val="20"/>
          <w:szCs w:val="20"/>
        </w:rPr>
        <w:t>24,21</w:t>
      </w:r>
      <w:r w:rsidRPr="00E21C60">
        <w:rPr>
          <w:rFonts w:ascii="Arial" w:hAnsi="Arial" w:cs="Arial"/>
          <w:sz w:val="20"/>
          <w:szCs w:val="20"/>
        </w:rPr>
        <w:t xml:space="preserve"> %. Ako vyplýva z tabuľky </w:t>
      </w:r>
      <w:r w:rsidRPr="00DE018D">
        <w:rPr>
          <w:rFonts w:ascii="Arial" w:hAnsi="Arial" w:cs="Arial"/>
          <w:sz w:val="20"/>
          <w:szCs w:val="20"/>
        </w:rPr>
        <w:t xml:space="preserve">č. </w:t>
      </w:r>
      <w:r w:rsidR="00D90DF9">
        <w:rPr>
          <w:rFonts w:ascii="Arial" w:hAnsi="Arial" w:cs="Arial"/>
          <w:sz w:val="20"/>
          <w:szCs w:val="20"/>
        </w:rPr>
        <w:t>8</w:t>
      </w:r>
      <w:r w:rsidR="00D92FB1">
        <w:rPr>
          <w:rFonts w:ascii="Arial" w:hAnsi="Arial" w:cs="Arial"/>
          <w:sz w:val="20"/>
          <w:szCs w:val="20"/>
        </w:rPr>
        <w:t>5</w:t>
      </w:r>
      <w:r w:rsidRPr="00DE018D">
        <w:rPr>
          <w:rFonts w:ascii="Arial" w:hAnsi="Arial" w:cs="Arial"/>
          <w:sz w:val="20"/>
          <w:szCs w:val="20"/>
        </w:rPr>
        <w:t>,</w:t>
      </w:r>
      <w:r w:rsidRPr="00E21C60">
        <w:rPr>
          <w:rFonts w:ascii="Arial" w:hAnsi="Arial" w:cs="Arial"/>
          <w:sz w:val="20"/>
          <w:szCs w:val="20"/>
        </w:rPr>
        <w:t xml:space="preserve"> najviac projektov s príspevkom k HP RP sa realizovalo v Prešovskom kraji a to </w:t>
      </w:r>
      <w:r w:rsidR="00F267EB">
        <w:rPr>
          <w:rFonts w:ascii="Arial" w:hAnsi="Arial" w:cs="Arial"/>
          <w:sz w:val="20"/>
          <w:szCs w:val="20"/>
        </w:rPr>
        <w:t>6</w:t>
      </w:r>
      <w:r w:rsidR="00B61E0C">
        <w:rPr>
          <w:rFonts w:ascii="Arial" w:hAnsi="Arial" w:cs="Arial"/>
          <w:sz w:val="20"/>
          <w:szCs w:val="20"/>
        </w:rPr>
        <w:t>0</w:t>
      </w:r>
      <w:r w:rsidR="00F267EB" w:rsidRPr="00E21C60">
        <w:rPr>
          <w:rFonts w:ascii="Arial" w:hAnsi="Arial" w:cs="Arial"/>
          <w:sz w:val="20"/>
          <w:szCs w:val="20"/>
        </w:rPr>
        <w:t xml:space="preserve"> </w:t>
      </w:r>
      <w:r w:rsidRPr="00E21C60">
        <w:rPr>
          <w:rFonts w:ascii="Arial" w:hAnsi="Arial" w:cs="Arial"/>
          <w:sz w:val="20"/>
          <w:szCs w:val="20"/>
        </w:rPr>
        <w:t>projektov v</w:t>
      </w:r>
      <w:r w:rsidR="002F27E5" w:rsidRPr="00E21C60">
        <w:rPr>
          <w:rFonts w:ascii="Arial" w:hAnsi="Arial" w:cs="Arial"/>
          <w:sz w:val="20"/>
          <w:szCs w:val="20"/>
        </w:rPr>
        <w:t> </w:t>
      </w:r>
      <w:r w:rsidRPr="00E21C60">
        <w:rPr>
          <w:rFonts w:ascii="Arial" w:hAnsi="Arial" w:cs="Arial"/>
          <w:sz w:val="20"/>
          <w:szCs w:val="20"/>
        </w:rPr>
        <w:t>celkovej</w:t>
      </w:r>
      <w:r w:rsidR="002F27E5" w:rsidRPr="00E21C60">
        <w:rPr>
          <w:rFonts w:ascii="Arial" w:hAnsi="Arial" w:cs="Arial"/>
          <w:sz w:val="20"/>
          <w:szCs w:val="20"/>
        </w:rPr>
        <w:t> </w:t>
      </w:r>
      <w:r w:rsidRPr="00E21C60">
        <w:rPr>
          <w:rFonts w:ascii="Arial" w:hAnsi="Arial" w:cs="Arial"/>
          <w:sz w:val="20"/>
          <w:szCs w:val="20"/>
        </w:rPr>
        <w:t xml:space="preserve"> výške</w:t>
      </w:r>
      <w:r w:rsidR="00737C13">
        <w:rPr>
          <w:rFonts w:ascii="Arial" w:hAnsi="Arial" w:cs="Arial"/>
          <w:sz w:val="20"/>
          <w:szCs w:val="20"/>
        </w:rPr>
        <w:t xml:space="preserve"> zazmluvnených prostriedkov s príspevkom HP RP</w:t>
      </w:r>
      <w:r w:rsidRPr="00E21C60">
        <w:rPr>
          <w:rFonts w:ascii="Arial" w:hAnsi="Arial" w:cs="Arial"/>
          <w:sz w:val="20"/>
          <w:szCs w:val="20"/>
        </w:rPr>
        <w:t xml:space="preserve"> </w:t>
      </w:r>
      <w:r w:rsidR="00B61E0C" w:rsidRPr="00B61E0C">
        <w:rPr>
          <w:rFonts w:ascii="Arial" w:hAnsi="Arial" w:cs="Arial"/>
          <w:sz w:val="20"/>
          <w:szCs w:val="20"/>
        </w:rPr>
        <w:t>78</w:t>
      </w:r>
      <w:r w:rsidR="00B61E0C">
        <w:rPr>
          <w:rFonts w:ascii="Arial" w:hAnsi="Arial" w:cs="Arial"/>
          <w:sz w:val="20"/>
          <w:szCs w:val="20"/>
        </w:rPr>
        <w:t> </w:t>
      </w:r>
      <w:r w:rsidR="00B61E0C" w:rsidRPr="00B61E0C">
        <w:rPr>
          <w:rFonts w:ascii="Arial" w:hAnsi="Arial" w:cs="Arial"/>
          <w:sz w:val="20"/>
          <w:szCs w:val="20"/>
        </w:rPr>
        <w:t>079</w:t>
      </w:r>
      <w:r w:rsidR="00B61E0C">
        <w:rPr>
          <w:rFonts w:ascii="Arial" w:hAnsi="Arial" w:cs="Arial"/>
          <w:sz w:val="20"/>
          <w:szCs w:val="20"/>
        </w:rPr>
        <w:t xml:space="preserve"> </w:t>
      </w:r>
      <w:r w:rsidR="00B61E0C" w:rsidRPr="00B61E0C">
        <w:rPr>
          <w:rFonts w:ascii="Arial" w:hAnsi="Arial" w:cs="Arial"/>
          <w:sz w:val="20"/>
          <w:szCs w:val="20"/>
        </w:rPr>
        <w:t>256,12</w:t>
      </w:r>
      <w:r w:rsidR="00A26AB6">
        <w:rPr>
          <w:rFonts w:ascii="Arial" w:hAnsi="Arial" w:cs="Arial"/>
          <w:sz w:val="20"/>
          <w:szCs w:val="20"/>
        </w:rPr>
        <w:t xml:space="preserve"> </w:t>
      </w:r>
      <w:r w:rsidR="00A26AB6" w:rsidRPr="00A26AB6">
        <w:rPr>
          <w:rFonts w:ascii="Arial" w:hAnsi="Arial" w:cs="Arial"/>
          <w:sz w:val="20"/>
          <w:szCs w:val="20"/>
        </w:rPr>
        <w:t>€</w:t>
      </w:r>
      <w:r w:rsidRPr="00E21C60">
        <w:rPr>
          <w:rFonts w:ascii="Arial" w:hAnsi="Arial" w:cs="Arial"/>
          <w:sz w:val="20"/>
          <w:szCs w:val="20"/>
        </w:rPr>
        <w:t xml:space="preserve"> (EÚ zdroje), najmenej projektov sa realizovalo v Trnavskom kraji </w:t>
      </w:r>
      <w:r w:rsidR="00B61E0C">
        <w:rPr>
          <w:rFonts w:ascii="Arial" w:hAnsi="Arial" w:cs="Arial"/>
          <w:sz w:val="20"/>
          <w:szCs w:val="20"/>
        </w:rPr>
        <w:t>19</w:t>
      </w:r>
      <w:r w:rsidR="00B61E0C" w:rsidRPr="00E21C60">
        <w:rPr>
          <w:rFonts w:ascii="Arial" w:hAnsi="Arial" w:cs="Arial"/>
          <w:sz w:val="20"/>
          <w:szCs w:val="20"/>
        </w:rPr>
        <w:t xml:space="preserve"> </w:t>
      </w:r>
      <w:r w:rsidRPr="00E21C60">
        <w:rPr>
          <w:rFonts w:ascii="Arial" w:hAnsi="Arial" w:cs="Arial"/>
          <w:sz w:val="20"/>
          <w:szCs w:val="20"/>
        </w:rPr>
        <w:t>projektov (celková výška zazmluvnených prostriedkov</w:t>
      </w:r>
      <w:r w:rsidR="00737C13" w:rsidRPr="00737C13">
        <w:t xml:space="preserve"> </w:t>
      </w:r>
      <w:r w:rsidR="00737C13" w:rsidRPr="00737C13">
        <w:rPr>
          <w:rFonts w:ascii="Arial" w:hAnsi="Arial" w:cs="Arial"/>
          <w:sz w:val="20"/>
          <w:szCs w:val="20"/>
        </w:rPr>
        <w:t>s príspevkom HP RP</w:t>
      </w:r>
      <w:r w:rsidRPr="00E21C60">
        <w:rPr>
          <w:rFonts w:ascii="Arial" w:hAnsi="Arial" w:cs="Arial"/>
          <w:sz w:val="20"/>
          <w:szCs w:val="20"/>
        </w:rPr>
        <w:t xml:space="preserve"> </w:t>
      </w:r>
      <w:r w:rsidR="00B61E0C" w:rsidRPr="00B61E0C">
        <w:rPr>
          <w:rFonts w:ascii="Arial" w:hAnsi="Arial" w:cs="Arial"/>
          <w:sz w:val="20"/>
          <w:szCs w:val="20"/>
        </w:rPr>
        <w:t>21</w:t>
      </w:r>
      <w:r w:rsidR="00B61E0C">
        <w:rPr>
          <w:rFonts w:ascii="Arial" w:hAnsi="Arial" w:cs="Arial"/>
          <w:sz w:val="20"/>
          <w:szCs w:val="20"/>
        </w:rPr>
        <w:t> </w:t>
      </w:r>
      <w:r w:rsidR="00B61E0C" w:rsidRPr="00B61E0C">
        <w:rPr>
          <w:rFonts w:ascii="Arial" w:hAnsi="Arial" w:cs="Arial"/>
          <w:sz w:val="20"/>
          <w:szCs w:val="20"/>
        </w:rPr>
        <w:t>081</w:t>
      </w:r>
      <w:r w:rsidR="00B61E0C">
        <w:rPr>
          <w:rFonts w:ascii="Arial" w:hAnsi="Arial" w:cs="Arial"/>
          <w:sz w:val="20"/>
          <w:szCs w:val="20"/>
        </w:rPr>
        <w:t xml:space="preserve"> </w:t>
      </w:r>
      <w:r w:rsidR="00B61E0C" w:rsidRPr="00B61E0C">
        <w:rPr>
          <w:rFonts w:ascii="Arial" w:hAnsi="Arial" w:cs="Arial"/>
          <w:sz w:val="20"/>
          <w:szCs w:val="20"/>
        </w:rPr>
        <w:t>612,59</w:t>
      </w:r>
      <w:r w:rsidR="00E43103">
        <w:rPr>
          <w:rFonts w:ascii="Arial" w:hAnsi="Arial" w:cs="Arial"/>
          <w:sz w:val="20"/>
          <w:szCs w:val="20"/>
        </w:rPr>
        <w:t xml:space="preserve"> </w:t>
      </w:r>
      <w:r w:rsidR="00A26AB6" w:rsidRPr="00A26AB6">
        <w:rPr>
          <w:rFonts w:ascii="Arial" w:hAnsi="Arial" w:cs="Arial"/>
          <w:sz w:val="20"/>
          <w:szCs w:val="20"/>
        </w:rPr>
        <w:t>€</w:t>
      </w:r>
      <w:r w:rsidR="00F84050">
        <w:rPr>
          <w:rFonts w:ascii="Arial" w:hAnsi="Arial" w:cs="Arial"/>
          <w:sz w:val="20"/>
          <w:szCs w:val="20"/>
        </w:rPr>
        <w:t xml:space="preserve"> </w:t>
      </w:r>
      <w:r w:rsidRPr="00E21C60">
        <w:rPr>
          <w:rFonts w:ascii="Arial" w:hAnsi="Arial" w:cs="Arial"/>
          <w:sz w:val="20"/>
          <w:szCs w:val="20"/>
        </w:rPr>
        <w:t>) a v</w:t>
      </w:r>
      <w:r w:rsidR="005A499D">
        <w:rPr>
          <w:rFonts w:ascii="Arial" w:hAnsi="Arial" w:cs="Arial"/>
          <w:sz w:val="20"/>
          <w:szCs w:val="20"/>
        </w:rPr>
        <w:t> Bratislavskom</w:t>
      </w:r>
      <w:r w:rsidR="005A499D" w:rsidRPr="00E21C60">
        <w:rPr>
          <w:rFonts w:ascii="Arial" w:hAnsi="Arial" w:cs="Arial"/>
          <w:sz w:val="20"/>
          <w:szCs w:val="20"/>
        </w:rPr>
        <w:t xml:space="preserve"> </w:t>
      </w:r>
      <w:r w:rsidRPr="00E21C60">
        <w:rPr>
          <w:rFonts w:ascii="Arial" w:hAnsi="Arial" w:cs="Arial"/>
          <w:sz w:val="20"/>
          <w:szCs w:val="20"/>
        </w:rPr>
        <w:t xml:space="preserve">kraji </w:t>
      </w:r>
      <w:r w:rsidR="005A499D">
        <w:rPr>
          <w:rFonts w:ascii="Arial" w:hAnsi="Arial" w:cs="Arial"/>
          <w:sz w:val="20"/>
          <w:szCs w:val="20"/>
        </w:rPr>
        <w:t>4</w:t>
      </w:r>
      <w:r w:rsidR="005A499D" w:rsidRPr="00E21C60">
        <w:rPr>
          <w:rFonts w:ascii="Arial" w:hAnsi="Arial" w:cs="Arial"/>
          <w:sz w:val="20"/>
          <w:szCs w:val="20"/>
        </w:rPr>
        <w:t xml:space="preserve"> </w:t>
      </w:r>
      <w:r w:rsidR="00DC4741" w:rsidRPr="00E21C60">
        <w:rPr>
          <w:rFonts w:ascii="Arial" w:hAnsi="Arial" w:cs="Arial"/>
          <w:sz w:val="20"/>
          <w:szCs w:val="20"/>
        </w:rPr>
        <w:t>projekt</w:t>
      </w:r>
      <w:r w:rsidR="00DC4741">
        <w:rPr>
          <w:rFonts w:ascii="Arial" w:hAnsi="Arial" w:cs="Arial"/>
          <w:sz w:val="20"/>
          <w:szCs w:val="20"/>
        </w:rPr>
        <w:t xml:space="preserve">y s </w:t>
      </w:r>
      <w:r w:rsidRPr="00E21C60">
        <w:rPr>
          <w:rFonts w:ascii="Arial" w:hAnsi="Arial" w:cs="Arial"/>
          <w:sz w:val="20"/>
          <w:szCs w:val="20"/>
        </w:rPr>
        <w:t>celkov</w:t>
      </w:r>
      <w:r w:rsidR="00DC4741">
        <w:rPr>
          <w:rFonts w:ascii="Arial" w:hAnsi="Arial" w:cs="Arial"/>
          <w:sz w:val="20"/>
          <w:szCs w:val="20"/>
        </w:rPr>
        <w:t>ou</w:t>
      </w:r>
      <w:r w:rsidRPr="00E21C60">
        <w:rPr>
          <w:rFonts w:ascii="Arial" w:hAnsi="Arial" w:cs="Arial"/>
          <w:sz w:val="20"/>
          <w:szCs w:val="20"/>
        </w:rPr>
        <w:t xml:space="preserve"> výšk</w:t>
      </w:r>
      <w:r w:rsidR="00DC4741">
        <w:rPr>
          <w:rFonts w:ascii="Arial" w:hAnsi="Arial" w:cs="Arial"/>
          <w:sz w:val="20"/>
          <w:szCs w:val="20"/>
        </w:rPr>
        <w:t xml:space="preserve">ou </w:t>
      </w:r>
      <w:r w:rsidR="00737C13" w:rsidRPr="00737C13">
        <w:rPr>
          <w:rFonts w:ascii="Arial" w:hAnsi="Arial" w:cs="Arial"/>
          <w:sz w:val="20"/>
          <w:szCs w:val="20"/>
        </w:rPr>
        <w:t xml:space="preserve">zazmluvnených prostriedkov s príspevkom HP RP </w:t>
      </w:r>
      <w:r w:rsidR="005A499D" w:rsidRPr="005A499D">
        <w:rPr>
          <w:rFonts w:ascii="Arial" w:hAnsi="Arial" w:cs="Arial"/>
          <w:sz w:val="20"/>
          <w:szCs w:val="20"/>
        </w:rPr>
        <w:t>15</w:t>
      </w:r>
      <w:r w:rsidR="005A499D">
        <w:rPr>
          <w:rFonts w:ascii="Arial" w:hAnsi="Arial" w:cs="Arial"/>
          <w:sz w:val="20"/>
          <w:szCs w:val="20"/>
        </w:rPr>
        <w:t xml:space="preserve"> </w:t>
      </w:r>
      <w:r w:rsidR="005A499D" w:rsidRPr="005A499D">
        <w:rPr>
          <w:rFonts w:ascii="Arial" w:hAnsi="Arial" w:cs="Arial"/>
          <w:sz w:val="20"/>
          <w:szCs w:val="20"/>
        </w:rPr>
        <w:t>182</w:t>
      </w:r>
      <w:r w:rsidR="005A499D">
        <w:rPr>
          <w:rFonts w:ascii="Arial" w:hAnsi="Arial" w:cs="Arial"/>
          <w:sz w:val="20"/>
          <w:szCs w:val="20"/>
        </w:rPr>
        <w:t xml:space="preserve"> </w:t>
      </w:r>
      <w:r w:rsidR="005A499D" w:rsidRPr="005A499D">
        <w:rPr>
          <w:rFonts w:ascii="Arial" w:hAnsi="Arial" w:cs="Arial"/>
          <w:sz w:val="20"/>
          <w:szCs w:val="20"/>
        </w:rPr>
        <w:t>060,56</w:t>
      </w:r>
      <w:r w:rsidRPr="00E21C60">
        <w:rPr>
          <w:rFonts w:ascii="Arial" w:hAnsi="Arial" w:cs="Arial"/>
          <w:sz w:val="20"/>
          <w:szCs w:val="20"/>
        </w:rPr>
        <w:t xml:space="preserve"> </w:t>
      </w:r>
      <w:r w:rsidR="00A26AB6" w:rsidRPr="00A26AB6">
        <w:rPr>
          <w:rFonts w:ascii="Arial" w:hAnsi="Arial" w:cs="Arial"/>
          <w:sz w:val="20"/>
          <w:szCs w:val="20"/>
        </w:rPr>
        <w:t>€</w:t>
      </w:r>
      <w:r w:rsidRPr="00E21C60">
        <w:rPr>
          <w:rFonts w:ascii="Arial" w:hAnsi="Arial" w:cs="Arial"/>
          <w:sz w:val="20"/>
          <w:szCs w:val="20"/>
        </w:rPr>
        <w:t>.</w:t>
      </w:r>
      <w:r w:rsidR="00F268AA" w:rsidRPr="00E21C60">
        <w:rPr>
          <w:rFonts w:ascii="Arial" w:hAnsi="Arial" w:cs="Arial"/>
          <w:sz w:val="20"/>
          <w:szCs w:val="20"/>
        </w:rPr>
        <w:t xml:space="preserve"> </w:t>
      </w:r>
      <w:r w:rsidRPr="00E21C60">
        <w:rPr>
          <w:rFonts w:ascii="Arial" w:hAnsi="Arial" w:cs="Arial"/>
          <w:sz w:val="20"/>
          <w:szCs w:val="20"/>
        </w:rPr>
        <w:t xml:space="preserve">Projekty </w:t>
      </w:r>
      <w:r w:rsidR="00F268AA" w:rsidRPr="00E21C60">
        <w:rPr>
          <w:rFonts w:ascii="Arial" w:hAnsi="Arial" w:cs="Arial"/>
          <w:sz w:val="20"/>
          <w:szCs w:val="20"/>
        </w:rPr>
        <w:t>OP ŽP</w:t>
      </w:r>
      <w:r w:rsidRPr="00E21C60">
        <w:rPr>
          <w:rFonts w:ascii="Arial" w:hAnsi="Arial" w:cs="Arial"/>
          <w:sz w:val="20"/>
          <w:szCs w:val="20"/>
        </w:rPr>
        <w:t xml:space="preserve"> nemajú priamy dopad na </w:t>
      </w:r>
      <w:r w:rsidR="00F268AA" w:rsidRPr="00E21C60">
        <w:rPr>
          <w:rFonts w:ascii="Arial" w:hAnsi="Arial" w:cs="Arial"/>
          <w:sz w:val="20"/>
          <w:szCs w:val="20"/>
        </w:rPr>
        <w:t>HP RP</w:t>
      </w:r>
      <w:r w:rsidRPr="00E21C60">
        <w:rPr>
          <w:rFonts w:ascii="Arial" w:hAnsi="Arial" w:cs="Arial"/>
          <w:sz w:val="20"/>
          <w:szCs w:val="20"/>
        </w:rPr>
        <w:t>, nakoľko aktivity nie sú priamo orientované na rovnosť príležitostí a</w:t>
      </w:r>
      <w:r w:rsidR="002F27E5" w:rsidRPr="00E21C60">
        <w:rPr>
          <w:rFonts w:ascii="Arial" w:hAnsi="Arial" w:cs="Arial"/>
          <w:sz w:val="20"/>
          <w:szCs w:val="20"/>
        </w:rPr>
        <w:t> </w:t>
      </w:r>
      <w:r w:rsidRPr="00E21C60">
        <w:rPr>
          <w:rFonts w:ascii="Arial" w:hAnsi="Arial" w:cs="Arial"/>
          <w:sz w:val="20"/>
          <w:szCs w:val="20"/>
        </w:rPr>
        <w:t>zazmluvnené</w:t>
      </w:r>
      <w:r w:rsidR="002F27E5" w:rsidRPr="00E21C60">
        <w:rPr>
          <w:rFonts w:ascii="Arial" w:hAnsi="Arial" w:cs="Arial"/>
          <w:sz w:val="20"/>
          <w:szCs w:val="20"/>
        </w:rPr>
        <w:t> </w:t>
      </w:r>
      <w:r w:rsidRPr="00E21C60">
        <w:rPr>
          <w:rFonts w:ascii="Arial" w:hAnsi="Arial" w:cs="Arial"/>
          <w:sz w:val="20"/>
          <w:szCs w:val="20"/>
        </w:rPr>
        <w:t>finančné prostriedky nebudú v plnej výške vynaložené na napĺňanie uvedeného cieľa.</w:t>
      </w:r>
      <w:r w:rsidR="00F66F00">
        <w:rPr>
          <w:rFonts w:ascii="Arial" w:hAnsi="Arial" w:cs="Arial"/>
          <w:sz w:val="20"/>
          <w:szCs w:val="20"/>
        </w:rPr>
        <w:t xml:space="preserve"> </w:t>
      </w:r>
      <w:r w:rsidR="00F66F00" w:rsidRPr="00F66F00">
        <w:rPr>
          <w:rFonts w:ascii="Arial" w:hAnsi="Arial" w:cs="Arial"/>
          <w:sz w:val="20"/>
          <w:szCs w:val="20"/>
        </w:rPr>
        <w:t xml:space="preserve">K 30.10. 2016 bol počet riadne ukončených projektov </w:t>
      </w:r>
      <w:r w:rsidR="00D90DF9">
        <w:rPr>
          <w:rFonts w:ascii="Arial" w:hAnsi="Arial" w:cs="Arial"/>
          <w:sz w:val="20"/>
          <w:szCs w:val="20"/>
        </w:rPr>
        <w:t xml:space="preserve">799 </w:t>
      </w:r>
      <w:r w:rsidR="00F66F00" w:rsidRPr="00F66F00">
        <w:rPr>
          <w:rFonts w:ascii="Arial" w:hAnsi="Arial" w:cs="Arial"/>
          <w:sz w:val="20"/>
          <w:szCs w:val="20"/>
        </w:rPr>
        <w:t xml:space="preserve">v celkovej výške čerpaných prostriedkov </w:t>
      </w:r>
      <w:r w:rsidR="00521FAB">
        <w:rPr>
          <w:rFonts w:ascii="Arial" w:hAnsi="Arial" w:cs="Arial"/>
          <w:sz w:val="20"/>
          <w:szCs w:val="20"/>
        </w:rPr>
        <w:t xml:space="preserve">1 729 098 891,61 </w:t>
      </w:r>
      <w:r w:rsidR="00F66F00" w:rsidRPr="00F66F00">
        <w:rPr>
          <w:rFonts w:ascii="Arial" w:hAnsi="Arial" w:cs="Arial"/>
          <w:sz w:val="20"/>
          <w:szCs w:val="20"/>
        </w:rPr>
        <w:t>€ (EÚ zdroje). V roku 2016 počet ukončených projektov s príspevkom k HP RP bol 238 v celkovej výške čerpaných finančných prostriedkov 407 499 713,21 € (EU zdroje).</w:t>
      </w:r>
    </w:p>
    <w:p w14:paraId="76829C97" w14:textId="0D5A0EA6" w:rsidR="003727CB" w:rsidRPr="00E21C60" w:rsidRDefault="002416B1" w:rsidP="00123376">
      <w:pPr>
        <w:jc w:val="both"/>
        <w:rPr>
          <w:rFonts w:ascii="Arial" w:hAnsi="Arial" w:cs="Arial"/>
          <w:sz w:val="20"/>
          <w:szCs w:val="20"/>
        </w:rPr>
      </w:pPr>
      <w:r w:rsidRPr="00E21C60">
        <w:rPr>
          <w:rFonts w:ascii="Arial" w:hAnsi="Arial" w:cs="Arial"/>
          <w:sz w:val="20"/>
          <w:szCs w:val="20"/>
        </w:rPr>
        <w:t>Tab</w:t>
      </w:r>
      <w:r w:rsidR="003727CB" w:rsidRPr="00E21C60">
        <w:rPr>
          <w:rFonts w:ascii="Arial" w:hAnsi="Arial" w:cs="Arial"/>
          <w:sz w:val="20"/>
          <w:szCs w:val="20"/>
        </w:rPr>
        <w:t>uľka</w:t>
      </w:r>
      <w:r w:rsidRPr="00E21C60">
        <w:rPr>
          <w:rFonts w:ascii="Arial" w:hAnsi="Arial" w:cs="Arial"/>
          <w:sz w:val="20"/>
          <w:szCs w:val="20"/>
        </w:rPr>
        <w:t xml:space="preserve"> č. </w:t>
      </w:r>
      <w:r w:rsidR="00B256C7">
        <w:rPr>
          <w:rFonts w:ascii="Arial" w:hAnsi="Arial" w:cs="Arial"/>
          <w:sz w:val="20"/>
          <w:szCs w:val="20"/>
        </w:rPr>
        <w:t>8</w:t>
      </w:r>
      <w:r w:rsidR="007B1CB9">
        <w:rPr>
          <w:rFonts w:ascii="Arial" w:hAnsi="Arial" w:cs="Arial"/>
          <w:sz w:val="20"/>
          <w:szCs w:val="20"/>
        </w:rPr>
        <w:t>6</w:t>
      </w:r>
      <w:r w:rsidRPr="00E21C60">
        <w:rPr>
          <w:rFonts w:ascii="Arial" w:hAnsi="Arial" w:cs="Arial"/>
          <w:sz w:val="20"/>
          <w:szCs w:val="20"/>
        </w:rPr>
        <w:t xml:space="preserve">: </w:t>
      </w:r>
      <w:r w:rsidR="003727CB" w:rsidRPr="00E21C60">
        <w:rPr>
          <w:rFonts w:ascii="Arial" w:hAnsi="Arial" w:cs="Arial"/>
          <w:sz w:val="20"/>
          <w:szCs w:val="20"/>
        </w:rPr>
        <w:t>Zazmluvnené projekty s príspevkom k HP RP na úrovni OP a prioritných osí k </w:t>
      </w:r>
      <w:r w:rsidR="0008483A">
        <w:rPr>
          <w:rFonts w:ascii="Arial" w:hAnsi="Arial" w:cs="Arial"/>
          <w:sz w:val="20"/>
          <w:szCs w:val="20"/>
        </w:rPr>
        <w:t xml:space="preserve">30. </w:t>
      </w:r>
      <w:r w:rsidR="006B537B">
        <w:rPr>
          <w:rFonts w:ascii="Arial" w:hAnsi="Arial" w:cs="Arial"/>
          <w:sz w:val="20"/>
          <w:szCs w:val="20"/>
        </w:rPr>
        <w:t>10</w:t>
      </w:r>
      <w:r w:rsidR="0008483A">
        <w:rPr>
          <w:rFonts w:ascii="Arial" w:hAnsi="Arial" w:cs="Arial"/>
          <w:sz w:val="20"/>
          <w:szCs w:val="20"/>
        </w:rPr>
        <w:t>. 2016</w:t>
      </w:r>
      <w:r w:rsidR="003727CB" w:rsidRPr="00E21C60">
        <w:rPr>
          <w:rFonts w:ascii="Arial" w:hAnsi="Arial" w:cs="Arial"/>
          <w:sz w:val="20"/>
          <w:szCs w:val="20"/>
        </w:rPr>
        <w:t xml:space="preserve"> (projekty sa uvádzajú kumulatívne)</w:t>
      </w:r>
    </w:p>
    <w:tbl>
      <w:tblPr>
        <w:tblW w:w="9020" w:type="dxa"/>
        <w:tblInd w:w="55" w:type="dxa"/>
        <w:tblCellMar>
          <w:left w:w="70" w:type="dxa"/>
          <w:right w:w="70" w:type="dxa"/>
        </w:tblCellMar>
        <w:tblLook w:val="04A0" w:firstRow="1" w:lastRow="0" w:firstColumn="1" w:lastColumn="0" w:noHBand="0" w:noVBand="1"/>
      </w:tblPr>
      <w:tblGrid>
        <w:gridCol w:w="2320"/>
        <w:gridCol w:w="960"/>
        <w:gridCol w:w="1440"/>
        <w:gridCol w:w="2080"/>
        <w:gridCol w:w="2220"/>
      </w:tblGrid>
      <w:tr w:rsidR="003727CB" w:rsidRPr="00E21C60" w14:paraId="1FF2F9B1" w14:textId="77777777" w:rsidTr="007D7B08">
        <w:trPr>
          <w:trHeight w:val="900"/>
        </w:trPr>
        <w:tc>
          <w:tcPr>
            <w:tcW w:w="232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BBE317D" w14:textId="77777777" w:rsidR="003727CB" w:rsidRPr="00E21C60" w:rsidRDefault="003727CB">
            <w:pPr>
              <w:jc w:val="center"/>
              <w:rPr>
                <w:rFonts w:ascii="Arial" w:hAnsi="Arial" w:cs="Arial"/>
                <w:b/>
                <w:bCs/>
                <w:color w:val="000000"/>
                <w:sz w:val="16"/>
                <w:szCs w:val="16"/>
              </w:rPr>
            </w:pPr>
            <w:r w:rsidRPr="00E21C60">
              <w:rPr>
                <w:rFonts w:ascii="Arial" w:hAnsi="Arial" w:cs="Arial"/>
                <w:b/>
                <w:bCs/>
                <w:color w:val="000000"/>
                <w:sz w:val="16"/>
                <w:szCs w:val="16"/>
              </w:rPr>
              <w:t>Názov prioritnej osi</w:t>
            </w:r>
          </w:p>
        </w:tc>
        <w:tc>
          <w:tcPr>
            <w:tcW w:w="96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A7D39CA" w14:textId="77777777" w:rsidR="003727CB" w:rsidRPr="00E21C60" w:rsidRDefault="003727CB">
            <w:pPr>
              <w:jc w:val="center"/>
              <w:rPr>
                <w:rFonts w:ascii="Arial" w:hAnsi="Arial" w:cs="Arial"/>
                <w:b/>
                <w:bCs/>
                <w:color w:val="000000"/>
                <w:sz w:val="16"/>
                <w:szCs w:val="16"/>
              </w:rPr>
            </w:pPr>
            <w:r w:rsidRPr="00E21C60">
              <w:rPr>
                <w:rFonts w:ascii="Arial" w:hAnsi="Arial" w:cs="Arial"/>
                <w:b/>
                <w:bCs/>
                <w:color w:val="000000"/>
                <w:sz w:val="16"/>
                <w:szCs w:val="16"/>
              </w:rPr>
              <w:t>Počet projektov celkovo</w:t>
            </w:r>
          </w:p>
        </w:tc>
        <w:tc>
          <w:tcPr>
            <w:tcW w:w="144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11EC8C2" w14:textId="77777777" w:rsidR="003727CB" w:rsidRPr="00E21C60" w:rsidRDefault="003727CB">
            <w:pPr>
              <w:jc w:val="center"/>
              <w:rPr>
                <w:rFonts w:ascii="Arial" w:hAnsi="Arial" w:cs="Arial"/>
                <w:b/>
                <w:bCs/>
                <w:color w:val="000000"/>
                <w:sz w:val="16"/>
                <w:szCs w:val="16"/>
              </w:rPr>
            </w:pPr>
            <w:r w:rsidRPr="00E21C60">
              <w:rPr>
                <w:rFonts w:ascii="Arial" w:hAnsi="Arial" w:cs="Arial"/>
                <w:b/>
                <w:bCs/>
                <w:color w:val="000000"/>
                <w:sz w:val="16"/>
                <w:szCs w:val="16"/>
              </w:rPr>
              <w:t>Počet projektov s príspevkom</w:t>
            </w:r>
            <w:r w:rsidRPr="00E21C60">
              <w:rPr>
                <w:rFonts w:ascii="Arial" w:hAnsi="Arial" w:cs="Arial"/>
                <w:b/>
                <w:bCs/>
                <w:color w:val="000000"/>
                <w:sz w:val="16"/>
                <w:szCs w:val="16"/>
              </w:rPr>
              <w:br/>
              <w:t>k cieľom HP RP</w:t>
            </w:r>
          </w:p>
        </w:tc>
        <w:tc>
          <w:tcPr>
            <w:tcW w:w="20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508942B" w14:textId="77777777" w:rsidR="003727CB" w:rsidRPr="00E21C60" w:rsidRDefault="003727CB">
            <w:pPr>
              <w:jc w:val="center"/>
              <w:rPr>
                <w:rFonts w:ascii="Arial" w:hAnsi="Arial" w:cs="Arial"/>
                <w:b/>
                <w:bCs/>
                <w:color w:val="000000"/>
                <w:sz w:val="16"/>
                <w:szCs w:val="16"/>
              </w:rPr>
            </w:pPr>
            <w:r w:rsidRPr="00E21C60">
              <w:rPr>
                <w:rFonts w:ascii="Arial" w:hAnsi="Arial" w:cs="Arial"/>
                <w:b/>
                <w:bCs/>
                <w:color w:val="000000"/>
                <w:sz w:val="16"/>
                <w:szCs w:val="16"/>
              </w:rPr>
              <w:t>Objem finančných prostriedkov projektov</w:t>
            </w:r>
            <w:r w:rsidRPr="00E21C60">
              <w:rPr>
                <w:rFonts w:ascii="Arial" w:hAnsi="Arial" w:cs="Arial"/>
                <w:b/>
                <w:bCs/>
                <w:color w:val="000000"/>
                <w:sz w:val="16"/>
                <w:szCs w:val="16"/>
              </w:rPr>
              <w:br/>
              <w:t>celkovo €  (zdroje EÚ)</w:t>
            </w:r>
          </w:p>
        </w:tc>
        <w:tc>
          <w:tcPr>
            <w:tcW w:w="222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5528F95B" w14:textId="77777777" w:rsidR="003727CB" w:rsidRPr="00E21C60" w:rsidRDefault="003727CB">
            <w:pPr>
              <w:jc w:val="center"/>
              <w:rPr>
                <w:rFonts w:ascii="Arial" w:hAnsi="Arial" w:cs="Arial"/>
                <w:b/>
                <w:bCs/>
                <w:color w:val="000000"/>
                <w:sz w:val="16"/>
                <w:szCs w:val="16"/>
              </w:rPr>
            </w:pPr>
            <w:r w:rsidRPr="00E21C60">
              <w:rPr>
                <w:rFonts w:ascii="Arial" w:hAnsi="Arial" w:cs="Arial"/>
                <w:b/>
                <w:bCs/>
                <w:color w:val="000000"/>
                <w:sz w:val="16"/>
                <w:szCs w:val="16"/>
              </w:rPr>
              <w:t>Objem finančných prostriedkov projektov</w:t>
            </w:r>
            <w:r w:rsidRPr="00E21C60">
              <w:rPr>
                <w:rFonts w:ascii="Arial" w:hAnsi="Arial" w:cs="Arial"/>
                <w:b/>
                <w:bCs/>
                <w:color w:val="000000"/>
                <w:sz w:val="16"/>
                <w:szCs w:val="16"/>
              </w:rPr>
              <w:br/>
              <w:t>s príspevkom k HP RP v €</w:t>
            </w:r>
            <w:r w:rsidRPr="00E21C60">
              <w:rPr>
                <w:rFonts w:ascii="Arial" w:hAnsi="Arial" w:cs="Arial"/>
                <w:b/>
                <w:bCs/>
                <w:color w:val="000000"/>
                <w:sz w:val="16"/>
                <w:szCs w:val="16"/>
              </w:rPr>
              <w:br/>
              <w:t>(zdroje EÚ)</w:t>
            </w:r>
          </w:p>
        </w:tc>
      </w:tr>
      <w:tr w:rsidR="003727CB" w:rsidRPr="00E21C60" w14:paraId="240397C6" w14:textId="77777777" w:rsidTr="007253AA">
        <w:trPr>
          <w:trHeight w:val="450"/>
        </w:trPr>
        <w:tc>
          <w:tcPr>
            <w:tcW w:w="2320" w:type="dxa"/>
            <w:tcBorders>
              <w:top w:val="nil"/>
              <w:left w:val="single" w:sz="4" w:space="0" w:color="auto"/>
              <w:bottom w:val="single" w:sz="4" w:space="0" w:color="auto"/>
              <w:right w:val="single" w:sz="4" w:space="0" w:color="auto"/>
            </w:tcBorders>
            <w:shd w:val="clear" w:color="auto" w:fill="auto"/>
            <w:vAlign w:val="center"/>
            <w:hideMark/>
          </w:tcPr>
          <w:p w14:paraId="4761C8C7" w14:textId="77777777" w:rsidR="003727CB" w:rsidRPr="00E21C60" w:rsidRDefault="003727CB">
            <w:pPr>
              <w:rPr>
                <w:rFonts w:ascii="Arial" w:hAnsi="Arial" w:cs="Arial"/>
                <w:color w:val="000000"/>
                <w:sz w:val="16"/>
                <w:szCs w:val="16"/>
              </w:rPr>
            </w:pPr>
            <w:r w:rsidRPr="00E21C60">
              <w:rPr>
                <w:rFonts w:ascii="Arial" w:hAnsi="Arial" w:cs="Arial"/>
                <w:color w:val="000000"/>
                <w:sz w:val="16"/>
                <w:szCs w:val="16"/>
              </w:rPr>
              <w:t>1 Integrovaná ochrana a racionálne využívanie vôd</w:t>
            </w:r>
          </w:p>
        </w:tc>
        <w:tc>
          <w:tcPr>
            <w:tcW w:w="960" w:type="dxa"/>
            <w:tcBorders>
              <w:top w:val="nil"/>
              <w:left w:val="nil"/>
              <w:bottom w:val="single" w:sz="4" w:space="0" w:color="auto"/>
              <w:right w:val="single" w:sz="4" w:space="0" w:color="auto"/>
            </w:tcBorders>
            <w:shd w:val="clear" w:color="auto" w:fill="auto"/>
            <w:noWrap/>
            <w:vAlign w:val="center"/>
            <w:hideMark/>
          </w:tcPr>
          <w:p w14:paraId="6211761D" w14:textId="517AC7B2" w:rsidR="003727CB" w:rsidRDefault="003727CB" w:rsidP="00EF31B9">
            <w:pPr>
              <w:jc w:val="center"/>
              <w:rPr>
                <w:rFonts w:ascii="Arial" w:hAnsi="Arial" w:cs="Arial"/>
                <w:color w:val="000000"/>
                <w:sz w:val="16"/>
                <w:szCs w:val="16"/>
              </w:rPr>
            </w:pPr>
          </w:p>
          <w:p w14:paraId="0D604D18" w14:textId="52ED1A44" w:rsidR="00D801EF" w:rsidRPr="00E21C60" w:rsidRDefault="00D801EF" w:rsidP="00EF31B9">
            <w:pPr>
              <w:jc w:val="center"/>
              <w:rPr>
                <w:rFonts w:ascii="Arial" w:hAnsi="Arial" w:cs="Arial"/>
                <w:color w:val="000000"/>
                <w:sz w:val="16"/>
                <w:szCs w:val="16"/>
              </w:rPr>
            </w:pPr>
            <w:r>
              <w:rPr>
                <w:rFonts w:ascii="Arial" w:hAnsi="Arial" w:cs="Arial"/>
                <w:color w:val="000000"/>
                <w:sz w:val="16"/>
                <w:szCs w:val="16"/>
              </w:rPr>
              <w:t>191</w:t>
            </w:r>
          </w:p>
        </w:tc>
        <w:tc>
          <w:tcPr>
            <w:tcW w:w="1440" w:type="dxa"/>
            <w:tcBorders>
              <w:top w:val="nil"/>
              <w:left w:val="nil"/>
              <w:bottom w:val="single" w:sz="4" w:space="0" w:color="auto"/>
              <w:right w:val="single" w:sz="4" w:space="0" w:color="auto"/>
            </w:tcBorders>
            <w:shd w:val="clear" w:color="auto" w:fill="auto"/>
            <w:vAlign w:val="center"/>
            <w:hideMark/>
          </w:tcPr>
          <w:p w14:paraId="6D157379" w14:textId="35CBB3A6" w:rsidR="00D801EF" w:rsidRDefault="00A26AB6" w:rsidP="00A26AB6">
            <w:pPr>
              <w:jc w:val="center"/>
              <w:rPr>
                <w:rFonts w:ascii="Arial" w:hAnsi="Arial" w:cs="Arial"/>
                <w:color w:val="000000"/>
                <w:sz w:val="16"/>
                <w:szCs w:val="16"/>
              </w:rPr>
            </w:pPr>
            <w:r>
              <w:rPr>
                <w:rFonts w:ascii="Arial" w:hAnsi="Arial" w:cs="Arial"/>
                <w:color w:val="000000"/>
                <w:sz w:val="16"/>
                <w:szCs w:val="16"/>
              </w:rPr>
              <w:t xml:space="preserve">  </w:t>
            </w:r>
          </w:p>
          <w:p w14:paraId="427A3A2E" w14:textId="62B7BD3F" w:rsidR="003727CB" w:rsidRPr="00E21C60" w:rsidRDefault="00A26AB6" w:rsidP="00EF31B9">
            <w:pPr>
              <w:jc w:val="center"/>
              <w:rPr>
                <w:rFonts w:ascii="Arial" w:hAnsi="Arial" w:cs="Arial"/>
                <w:color w:val="000000"/>
                <w:sz w:val="16"/>
                <w:szCs w:val="16"/>
              </w:rPr>
            </w:pPr>
            <w:r>
              <w:rPr>
                <w:rFonts w:ascii="Arial" w:hAnsi="Arial" w:cs="Arial"/>
                <w:color w:val="000000"/>
                <w:sz w:val="16"/>
                <w:szCs w:val="16"/>
              </w:rPr>
              <w:t>42</w:t>
            </w:r>
          </w:p>
        </w:tc>
        <w:tc>
          <w:tcPr>
            <w:tcW w:w="2080" w:type="dxa"/>
            <w:tcBorders>
              <w:top w:val="nil"/>
              <w:left w:val="nil"/>
              <w:bottom w:val="single" w:sz="4" w:space="0" w:color="auto"/>
              <w:right w:val="single" w:sz="4" w:space="0" w:color="auto"/>
            </w:tcBorders>
            <w:shd w:val="clear" w:color="auto" w:fill="auto"/>
            <w:noWrap/>
            <w:vAlign w:val="center"/>
            <w:hideMark/>
          </w:tcPr>
          <w:p w14:paraId="78CF2F41" w14:textId="0E02BAA8" w:rsidR="00D801EF" w:rsidRDefault="00D801EF" w:rsidP="00EF31B9">
            <w:pPr>
              <w:jc w:val="center"/>
              <w:rPr>
                <w:rFonts w:ascii="Arial" w:hAnsi="Arial" w:cs="Arial"/>
                <w:color w:val="000000"/>
                <w:sz w:val="16"/>
                <w:szCs w:val="16"/>
              </w:rPr>
            </w:pPr>
          </w:p>
          <w:p w14:paraId="6616D3D8" w14:textId="31FBA932" w:rsidR="003727CB" w:rsidRPr="00E21C60" w:rsidRDefault="00D801EF" w:rsidP="00EF31B9">
            <w:pPr>
              <w:jc w:val="center"/>
              <w:rPr>
                <w:rFonts w:ascii="Arial" w:hAnsi="Arial" w:cs="Arial"/>
                <w:color w:val="000000"/>
                <w:sz w:val="16"/>
                <w:szCs w:val="16"/>
              </w:rPr>
            </w:pPr>
            <w:r>
              <w:rPr>
                <w:rFonts w:ascii="Arial" w:hAnsi="Arial" w:cs="Arial"/>
                <w:color w:val="000000"/>
                <w:sz w:val="16"/>
                <w:szCs w:val="16"/>
              </w:rPr>
              <w:t>957 744 963</w:t>
            </w:r>
          </w:p>
        </w:tc>
        <w:tc>
          <w:tcPr>
            <w:tcW w:w="2220" w:type="dxa"/>
            <w:tcBorders>
              <w:top w:val="nil"/>
              <w:left w:val="nil"/>
              <w:bottom w:val="single" w:sz="4" w:space="0" w:color="auto"/>
              <w:right w:val="single" w:sz="4" w:space="0" w:color="auto"/>
            </w:tcBorders>
            <w:shd w:val="clear" w:color="auto" w:fill="auto"/>
            <w:vAlign w:val="center"/>
            <w:hideMark/>
          </w:tcPr>
          <w:p w14:paraId="55A187A1" w14:textId="2740802A" w:rsidR="00D801EF" w:rsidRDefault="00D801EF" w:rsidP="00EF31B9">
            <w:pPr>
              <w:jc w:val="center"/>
              <w:rPr>
                <w:rFonts w:ascii="Arial" w:hAnsi="Arial" w:cs="Arial"/>
                <w:color w:val="000000"/>
                <w:sz w:val="16"/>
                <w:szCs w:val="16"/>
              </w:rPr>
            </w:pPr>
          </w:p>
          <w:p w14:paraId="14C9FD35" w14:textId="30DD1656" w:rsidR="003727CB" w:rsidRPr="00E21C60" w:rsidRDefault="00D801EF" w:rsidP="00EF31B9">
            <w:pPr>
              <w:jc w:val="center"/>
              <w:rPr>
                <w:rFonts w:ascii="Arial" w:hAnsi="Arial" w:cs="Arial"/>
                <w:color w:val="000000"/>
                <w:sz w:val="16"/>
                <w:szCs w:val="16"/>
              </w:rPr>
            </w:pPr>
            <w:r>
              <w:rPr>
                <w:rFonts w:ascii="Arial" w:hAnsi="Arial" w:cs="Arial"/>
                <w:color w:val="000000"/>
                <w:sz w:val="16"/>
                <w:szCs w:val="16"/>
              </w:rPr>
              <w:t>181 270 125</w:t>
            </w:r>
          </w:p>
        </w:tc>
      </w:tr>
      <w:tr w:rsidR="003727CB" w:rsidRPr="00E21C60" w14:paraId="26576435" w14:textId="77777777" w:rsidTr="0008447E">
        <w:trPr>
          <w:trHeight w:val="225"/>
        </w:trPr>
        <w:tc>
          <w:tcPr>
            <w:tcW w:w="2320" w:type="dxa"/>
            <w:tcBorders>
              <w:top w:val="nil"/>
              <w:left w:val="single" w:sz="4" w:space="0" w:color="auto"/>
              <w:bottom w:val="single" w:sz="4" w:space="0" w:color="auto"/>
              <w:right w:val="single" w:sz="4" w:space="0" w:color="auto"/>
            </w:tcBorders>
            <w:shd w:val="clear" w:color="auto" w:fill="auto"/>
            <w:vAlign w:val="center"/>
            <w:hideMark/>
          </w:tcPr>
          <w:p w14:paraId="38E23F47" w14:textId="7881881E" w:rsidR="003727CB" w:rsidRPr="00E21C60" w:rsidRDefault="003727CB">
            <w:pPr>
              <w:rPr>
                <w:rFonts w:ascii="Arial" w:hAnsi="Arial" w:cs="Arial"/>
                <w:color w:val="000000"/>
                <w:sz w:val="16"/>
                <w:szCs w:val="16"/>
              </w:rPr>
            </w:pPr>
            <w:r w:rsidRPr="00E21C60">
              <w:rPr>
                <w:rFonts w:ascii="Arial" w:hAnsi="Arial" w:cs="Arial"/>
                <w:color w:val="000000"/>
                <w:sz w:val="16"/>
                <w:szCs w:val="16"/>
              </w:rPr>
              <w:t>2 Ochrana pred povodňami</w:t>
            </w:r>
          </w:p>
        </w:tc>
        <w:tc>
          <w:tcPr>
            <w:tcW w:w="960" w:type="dxa"/>
            <w:tcBorders>
              <w:top w:val="nil"/>
              <w:left w:val="nil"/>
              <w:bottom w:val="single" w:sz="4" w:space="0" w:color="auto"/>
              <w:right w:val="single" w:sz="4" w:space="0" w:color="auto"/>
            </w:tcBorders>
            <w:shd w:val="clear" w:color="auto" w:fill="auto"/>
            <w:noWrap/>
            <w:vAlign w:val="center"/>
            <w:hideMark/>
          </w:tcPr>
          <w:p w14:paraId="5AA2510C" w14:textId="072F6447" w:rsidR="003727CB" w:rsidRPr="00E21C60" w:rsidRDefault="00D801EF" w:rsidP="00A1711A">
            <w:pPr>
              <w:jc w:val="center"/>
              <w:rPr>
                <w:rFonts w:ascii="Arial" w:hAnsi="Arial" w:cs="Arial"/>
                <w:color w:val="000000"/>
                <w:sz w:val="16"/>
                <w:szCs w:val="16"/>
              </w:rPr>
            </w:pPr>
            <w:r>
              <w:rPr>
                <w:rFonts w:ascii="Arial" w:hAnsi="Arial" w:cs="Arial"/>
                <w:color w:val="000000"/>
                <w:sz w:val="16"/>
                <w:szCs w:val="16"/>
              </w:rPr>
              <w:t>126</w:t>
            </w:r>
          </w:p>
        </w:tc>
        <w:tc>
          <w:tcPr>
            <w:tcW w:w="1440" w:type="dxa"/>
            <w:tcBorders>
              <w:top w:val="nil"/>
              <w:left w:val="nil"/>
              <w:bottom w:val="single" w:sz="4" w:space="0" w:color="auto"/>
              <w:right w:val="single" w:sz="4" w:space="0" w:color="auto"/>
            </w:tcBorders>
            <w:shd w:val="clear" w:color="auto" w:fill="auto"/>
            <w:vAlign w:val="center"/>
            <w:hideMark/>
          </w:tcPr>
          <w:p w14:paraId="200C136D" w14:textId="505D62E0" w:rsidR="003727CB" w:rsidRPr="00E21C60" w:rsidRDefault="00D801EF" w:rsidP="00A1711A">
            <w:pPr>
              <w:jc w:val="center"/>
              <w:rPr>
                <w:rFonts w:ascii="Arial" w:hAnsi="Arial" w:cs="Arial"/>
                <w:color w:val="000000"/>
                <w:sz w:val="16"/>
                <w:szCs w:val="16"/>
              </w:rPr>
            </w:pPr>
            <w:r>
              <w:rPr>
                <w:rFonts w:ascii="Arial" w:hAnsi="Arial" w:cs="Arial"/>
                <w:color w:val="000000"/>
                <w:sz w:val="16"/>
                <w:szCs w:val="16"/>
              </w:rPr>
              <w:t>24</w:t>
            </w:r>
          </w:p>
        </w:tc>
        <w:tc>
          <w:tcPr>
            <w:tcW w:w="2080" w:type="dxa"/>
            <w:tcBorders>
              <w:top w:val="nil"/>
              <w:left w:val="nil"/>
              <w:bottom w:val="single" w:sz="4" w:space="0" w:color="auto"/>
              <w:right w:val="single" w:sz="4" w:space="0" w:color="auto"/>
            </w:tcBorders>
            <w:shd w:val="clear" w:color="auto" w:fill="auto"/>
            <w:noWrap/>
            <w:vAlign w:val="center"/>
            <w:hideMark/>
          </w:tcPr>
          <w:p w14:paraId="0A51FCD1" w14:textId="1C21E73A" w:rsidR="003727CB" w:rsidRPr="00E21C60" w:rsidRDefault="00D801EF" w:rsidP="00A1711A">
            <w:pPr>
              <w:jc w:val="center"/>
              <w:rPr>
                <w:rFonts w:ascii="Arial" w:hAnsi="Arial" w:cs="Arial"/>
                <w:color w:val="000000"/>
                <w:sz w:val="16"/>
                <w:szCs w:val="16"/>
              </w:rPr>
            </w:pPr>
            <w:r>
              <w:rPr>
                <w:rFonts w:ascii="Arial" w:hAnsi="Arial" w:cs="Arial"/>
                <w:color w:val="000000"/>
                <w:sz w:val="16"/>
                <w:szCs w:val="16"/>
              </w:rPr>
              <w:t>279 696 769</w:t>
            </w:r>
          </w:p>
        </w:tc>
        <w:tc>
          <w:tcPr>
            <w:tcW w:w="2220" w:type="dxa"/>
            <w:tcBorders>
              <w:top w:val="nil"/>
              <w:left w:val="nil"/>
              <w:bottom w:val="single" w:sz="4" w:space="0" w:color="auto"/>
              <w:right w:val="single" w:sz="4" w:space="0" w:color="auto"/>
            </w:tcBorders>
            <w:shd w:val="clear" w:color="auto" w:fill="auto"/>
            <w:vAlign w:val="center"/>
            <w:hideMark/>
          </w:tcPr>
          <w:p w14:paraId="065C8498" w14:textId="08F0AFC4" w:rsidR="003727CB" w:rsidRPr="00E21C60" w:rsidRDefault="00D801EF" w:rsidP="00A1711A">
            <w:pPr>
              <w:jc w:val="center"/>
              <w:rPr>
                <w:rFonts w:ascii="Arial" w:hAnsi="Arial" w:cs="Arial"/>
                <w:color w:val="000000"/>
                <w:sz w:val="16"/>
                <w:szCs w:val="16"/>
              </w:rPr>
            </w:pPr>
            <w:r>
              <w:rPr>
                <w:rFonts w:ascii="Arial" w:hAnsi="Arial" w:cs="Arial"/>
                <w:color w:val="000000"/>
                <w:sz w:val="16"/>
                <w:szCs w:val="16"/>
              </w:rPr>
              <w:t>16 197 862</w:t>
            </w:r>
          </w:p>
        </w:tc>
      </w:tr>
      <w:tr w:rsidR="003727CB" w:rsidRPr="00E21C60" w14:paraId="3DDF5E70" w14:textId="77777777" w:rsidTr="007253AA">
        <w:trPr>
          <w:trHeight w:val="675"/>
        </w:trPr>
        <w:tc>
          <w:tcPr>
            <w:tcW w:w="2320" w:type="dxa"/>
            <w:tcBorders>
              <w:top w:val="nil"/>
              <w:left w:val="single" w:sz="4" w:space="0" w:color="auto"/>
              <w:bottom w:val="single" w:sz="4" w:space="0" w:color="auto"/>
              <w:right w:val="single" w:sz="4" w:space="0" w:color="auto"/>
            </w:tcBorders>
            <w:shd w:val="clear" w:color="auto" w:fill="auto"/>
            <w:vAlign w:val="center"/>
            <w:hideMark/>
          </w:tcPr>
          <w:p w14:paraId="01AC0672" w14:textId="3980266E" w:rsidR="003727CB" w:rsidRPr="00E21C60" w:rsidRDefault="003727CB">
            <w:pPr>
              <w:rPr>
                <w:rFonts w:ascii="Arial" w:hAnsi="Arial" w:cs="Arial"/>
                <w:color w:val="000000"/>
                <w:sz w:val="16"/>
                <w:szCs w:val="16"/>
              </w:rPr>
            </w:pPr>
            <w:r w:rsidRPr="00E21C60">
              <w:rPr>
                <w:rFonts w:ascii="Arial" w:hAnsi="Arial" w:cs="Arial"/>
                <w:color w:val="000000"/>
                <w:sz w:val="16"/>
                <w:szCs w:val="16"/>
              </w:rPr>
              <w:t>3 Ochrana ovzdušia a minimalizácia nepriaznivých vplyvov zmeny klímy</w:t>
            </w:r>
          </w:p>
        </w:tc>
        <w:tc>
          <w:tcPr>
            <w:tcW w:w="960" w:type="dxa"/>
            <w:tcBorders>
              <w:top w:val="nil"/>
              <w:left w:val="nil"/>
              <w:bottom w:val="single" w:sz="4" w:space="0" w:color="auto"/>
              <w:right w:val="single" w:sz="4" w:space="0" w:color="auto"/>
            </w:tcBorders>
            <w:shd w:val="clear" w:color="auto" w:fill="auto"/>
            <w:noWrap/>
            <w:vAlign w:val="center"/>
            <w:hideMark/>
          </w:tcPr>
          <w:p w14:paraId="4E77C0A9" w14:textId="7969D682" w:rsidR="00756C43" w:rsidRDefault="00756C43" w:rsidP="00EF31B9">
            <w:pPr>
              <w:jc w:val="center"/>
              <w:rPr>
                <w:rFonts w:ascii="Arial" w:hAnsi="Arial" w:cs="Arial"/>
                <w:color w:val="000000"/>
                <w:sz w:val="16"/>
                <w:szCs w:val="16"/>
              </w:rPr>
            </w:pPr>
          </w:p>
          <w:p w14:paraId="3F7FF7F0" w14:textId="6326EA76" w:rsidR="003727CB" w:rsidRPr="00E21C60" w:rsidRDefault="00756C43" w:rsidP="00EF31B9">
            <w:pPr>
              <w:jc w:val="center"/>
              <w:rPr>
                <w:rFonts w:ascii="Arial" w:hAnsi="Arial" w:cs="Arial"/>
                <w:color w:val="000000"/>
                <w:sz w:val="16"/>
                <w:szCs w:val="16"/>
              </w:rPr>
            </w:pPr>
            <w:r>
              <w:rPr>
                <w:rFonts w:ascii="Arial" w:hAnsi="Arial" w:cs="Arial"/>
                <w:color w:val="000000"/>
                <w:sz w:val="16"/>
                <w:szCs w:val="16"/>
              </w:rPr>
              <w:t>128</w:t>
            </w:r>
          </w:p>
        </w:tc>
        <w:tc>
          <w:tcPr>
            <w:tcW w:w="1440" w:type="dxa"/>
            <w:tcBorders>
              <w:top w:val="nil"/>
              <w:left w:val="nil"/>
              <w:bottom w:val="single" w:sz="4" w:space="0" w:color="auto"/>
              <w:right w:val="single" w:sz="4" w:space="0" w:color="auto"/>
            </w:tcBorders>
            <w:shd w:val="clear" w:color="auto" w:fill="auto"/>
            <w:vAlign w:val="center"/>
            <w:hideMark/>
          </w:tcPr>
          <w:p w14:paraId="3894D049" w14:textId="6709DC50" w:rsidR="00756C43" w:rsidRDefault="00756C43" w:rsidP="00EF31B9">
            <w:pPr>
              <w:jc w:val="center"/>
              <w:rPr>
                <w:rFonts w:ascii="Arial" w:hAnsi="Arial" w:cs="Arial"/>
                <w:color w:val="000000"/>
                <w:sz w:val="16"/>
                <w:szCs w:val="16"/>
              </w:rPr>
            </w:pPr>
          </w:p>
          <w:p w14:paraId="2B5798B1" w14:textId="400756CD" w:rsidR="003727CB" w:rsidRPr="00E21C60" w:rsidRDefault="00756C43" w:rsidP="00EF31B9">
            <w:pPr>
              <w:jc w:val="center"/>
              <w:rPr>
                <w:rFonts w:ascii="Arial" w:hAnsi="Arial" w:cs="Arial"/>
                <w:color w:val="000000"/>
                <w:sz w:val="16"/>
                <w:szCs w:val="16"/>
              </w:rPr>
            </w:pPr>
            <w:r>
              <w:rPr>
                <w:rFonts w:ascii="Arial" w:hAnsi="Arial" w:cs="Arial"/>
                <w:color w:val="000000"/>
                <w:sz w:val="16"/>
                <w:szCs w:val="16"/>
              </w:rPr>
              <w:t>41</w:t>
            </w:r>
          </w:p>
        </w:tc>
        <w:tc>
          <w:tcPr>
            <w:tcW w:w="2080" w:type="dxa"/>
            <w:tcBorders>
              <w:top w:val="nil"/>
              <w:left w:val="nil"/>
              <w:bottom w:val="single" w:sz="4" w:space="0" w:color="auto"/>
              <w:right w:val="single" w:sz="4" w:space="0" w:color="auto"/>
            </w:tcBorders>
            <w:shd w:val="clear" w:color="auto" w:fill="auto"/>
            <w:noWrap/>
            <w:vAlign w:val="center"/>
            <w:hideMark/>
          </w:tcPr>
          <w:p w14:paraId="5695AF2A" w14:textId="3C4C46B9" w:rsidR="00756C43" w:rsidRDefault="00756C43" w:rsidP="00EF31B9">
            <w:pPr>
              <w:jc w:val="center"/>
              <w:rPr>
                <w:rFonts w:ascii="Arial" w:hAnsi="Arial" w:cs="Arial"/>
                <w:color w:val="000000"/>
                <w:sz w:val="16"/>
                <w:szCs w:val="16"/>
              </w:rPr>
            </w:pPr>
          </w:p>
          <w:p w14:paraId="5A899B5C" w14:textId="476DC9B4" w:rsidR="003727CB" w:rsidRPr="00E21C60" w:rsidRDefault="00756C43" w:rsidP="00EF31B9">
            <w:pPr>
              <w:jc w:val="center"/>
              <w:rPr>
                <w:rFonts w:ascii="Arial" w:hAnsi="Arial" w:cs="Arial"/>
                <w:color w:val="000000"/>
                <w:sz w:val="16"/>
                <w:szCs w:val="16"/>
              </w:rPr>
            </w:pPr>
            <w:r>
              <w:rPr>
                <w:rFonts w:ascii="Arial" w:hAnsi="Arial" w:cs="Arial"/>
                <w:color w:val="000000"/>
                <w:sz w:val="16"/>
                <w:szCs w:val="16"/>
              </w:rPr>
              <w:t>189 479 059</w:t>
            </w:r>
          </w:p>
        </w:tc>
        <w:tc>
          <w:tcPr>
            <w:tcW w:w="2220" w:type="dxa"/>
            <w:tcBorders>
              <w:top w:val="nil"/>
              <w:left w:val="nil"/>
              <w:bottom w:val="single" w:sz="4" w:space="0" w:color="auto"/>
              <w:right w:val="single" w:sz="4" w:space="0" w:color="auto"/>
            </w:tcBorders>
            <w:shd w:val="clear" w:color="auto" w:fill="auto"/>
            <w:vAlign w:val="center"/>
            <w:hideMark/>
          </w:tcPr>
          <w:p w14:paraId="09F00B98" w14:textId="329408B9" w:rsidR="003727CB" w:rsidRDefault="003727CB" w:rsidP="00EF31B9">
            <w:pPr>
              <w:jc w:val="center"/>
              <w:rPr>
                <w:rFonts w:ascii="Arial" w:hAnsi="Arial" w:cs="Arial"/>
                <w:color w:val="000000"/>
                <w:sz w:val="16"/>
                <w:szCs w:val="16"/>
              </w:rPr>
            </w:pPr>
          </w:p>
          <w:p w14:paraId="6C1A0930" w14:textId="15F0BB9F" w:rsidR="00756C43" w:rsidRPr="00E21C60" w:rsidRDefault="00756C43" w:rsidP="00EF31B9">
            <w:pPr>
              <w:jc w:val="center"/>
              <w:rPr>
                <w:rFonts w:ascii="Arial" w:hAnsi="Arial" w:cs="Arial"/>
                <w:color w:val="000000"/>
                <w:sz w:val="16"/>
                <w:szCs w:val="16"/>
              </w:rPr>
            </w:pPr>
            <w:r>
              <w:rPr>
                <w:rFonts w:ascii="Arial" w:hAnsi="Arial" w:cs="Arial"/>
                <w:color w:val="000000"/>
                <w:sz w:val="16"/>
                <w:szCs w:val="16"/>
              </w:rPr>
              <w:t>66 285 863</w:t>
            </w:r>
          </w:p>
        </w:tc>
      </w:tr>
      <w:tr w:rsidR="003727CB" w:rsidRPr="00E21C60" w14:paraId="3D59B622" w14:textId="77777777" w:rsidTr="007253AA">
        <w:trPr>
          <w:trHeight w:val="225"/>
        </w:trPr>
        <w:tc>
          <w:tcPr>
            <w:tcW w:w="2320" w:type="dxa"/>
            <w:tcBorders>
              <w:top w:val="nil"/>
              <w:left w:val="single" w:sz="4" w:space="0" w:color="auto"/>
              <w:bottom w:val="single" w:sz="4" w:space="0" w:color="auto"/>
              <w:right w:val="single" w:sz="4" w:space="0" w:color="auto"/>
            </w:tcBorders>
            <w:shd w:val="clear" w:color="auto" w:fill="auto"/>
            <w:vAlign w:val="center"/>
            <w:hideMark/>
          </w:tcPr>
          <w:p w14:paraId="3D36CD06" w14:textId="77777777" w:rsidR="003727CB" w:rsidRPr="00E21C60" w:rsidRDefault="003727CB">
            <w:pPr>
              <w:rPr>
                <w:rFonts w:ascii="Arial" w:hAnsi="Arial" w:cs="Arial"/>
                <w:color w:val="000000"/>
                <w:sz w:val="16"/>
                <w:szCs w:val="16"/>
              </w:rPr>
            </w:pPr>
            <w:r w:rsidRPr="00E21C60">
              <w:rPr>
                <w:rFonts w:ascii="Arial" w:hAnsi="Arial" w:cs="Arial"/>
                <w:color w:val="000000"/>
                <w:sz w:val="16"/>
                <w:szCs w:val="16"/>
              </w:rPr>
              <w:t>4 Odpadové hospodárstvo</w:t>
            </w:r>
          </w:p>
        </w:tc>
        <w:tc>
          <w:tcPr>
            <w:tcW w:w="960" w:type="dxa"/>
            <w:tcBorders>
              <w:top w:val="nil"/>
              <w:left w:val="nil"/>
              <w:bottom w:val="single" w:sz="4" w:space="0" w:color="auto"/>
              <w:right w:val="single" w:sz="4" w:space="0" w:color="auto"/>
            </w:tcBorders>
            <w:shd w:val="clear" w:color="auto" w:fill="auto"/>
            <w:noWrap/>
            <w:vAlign w:val="center"/>
            <w:hideMark/>
          </w:tcPr>
          <w:p w14:paraId="5F18C473" w14:textId="756A3C6B" w:rsidR="00756C43" w:rsidRDefault="00756C43" w:rsidP="00EF31B9">
            <w:pPr>
              <w:jc w:val="center"/>
              <w:rPr>
                <w:rFonts w:ascii="Arial" w:hAnsi="Arial" w:cs="Arial"/>
                <w:color w:val="000000"/>
                <w:sz w:val="16"/>
                <w:szCs w:val="16"/>
              </w:rPr>
            </w:pPr>
          </w:p>
          <w:p w14:paraId="7A642CF4" w14:textId="54355C33" w:rsidR="003727CB" w:rsidRPr="00E21C60" w:rsidRDefault="00756C43" w:rsidP="00EF31B9">
            <w:pPr>
              <w:jc w:val="center"/>
              <w:rPr>
                <w:rFonts w:ascii="Arial" w:hAnsi="Arial" w:cs="Arial"/>
                <w:color w:val="000000"/>
                <w:sz w:val="16"/>
                <w:szCs w:val="16"/>
              </w:rPr>
            </w:pPr>
            <w:r>
              <w:rPr>
                <w:rFonts w:ascii="Arial" w:hAnsi="Arial" w:cs="Arial"/>
                <w:color w:val="000000"/>
                <w:sz w:val="16"/>
                <w:szCs w:val="16"/>
              </w:rPr>
              <w:t>288</w:t>
            </w:r>
          </w:p>
        </w:tc>
        <w:tc>
          <w:tcPr>
            <w:tcW w:w="1440" w:type="dxa"/>
            <w:tcBorders>
              <w:top w:val="nil"/>
              <w:left w:val="nil"/>
              <w:bottom w:val="single" w:sz="4" w:space="0" w:color="auto"/>
              <w:right w:val="single" w:sz="4" w:space="0" w:color="auto"/>
            </w:tcBorders>
            <w:shd w:val="clear" w:color="auto" w:fill="auto"/>
            <w:vAlign w:val="center"/>
            <w:hideMark/>
          </w:tcPr>
          <w:p w14:paraId="191D9B24" w14:textId="77777777" w:rsidR="00A26AB6" w:rsidRDefault="00A26AB6" w:rsidP="00A26AB6">
            <w:pPr>
              <w:rPr>
                <w:rFonts w:ascii="Arial" w:hAnsi="Arial" w:cs="Arial"/>
                <w:color w:val="000000"/>
                <w:sz w:val="16"/>
                <w:szCs w:val="16"/>
              </w:rPr>
            </w:pPr>
            <w:r>
              <w:rPr>
                <w:rFonts w:ascii="Arial" w:hAnsi="Arial" w:cs="Arial"/>
                <w:color w:val="000000"/>
                <w:sz w:val="16"/>
                <w:szCs w:val="16"/>
              </w:rPr>
              <w:t xml:space="preserve">          </w:t>
            </w:r>
          </w:p>
          <w:p w14:paraId="63E2CDF8" w14:textId="5AB01036" w:rsidR="00756C43" w:rsidRDefault="00A26AB6" w:rsidP="00A26AB6">
            <w:pPr>
              <w:rPr>
                <w:rFonts w:ascii="Arial" w:hAnsi="Arial" w:cs="Arial"/>
                <w:color w:val="000000"/>
                <w:sz w:val="16"/>
                <w:szCs w:val="16"/>
              </w:rPr>
            </w:pPr>
            <w:r>
              <w:rPr>
                <w:rFonts w:ascii="Arial" w:hAnsi="Arial" w:cs="Arial"/>
                <w:color w:val="000000"/>
                <w:sz w:val="16"/>
                <w:szCs w:val="16"/>
              </w:rPr>
              <w:t xml:space="preserve">            </w:t>
            </w:r>
            <w:r w:rsidR="00756C43">
              <w:rPr>
                <w:rFonts w:ascii="Arial" w:hAnsi="Arial" w:cs="Arial"/>
                <w:color w:val="000000"/>
                <w:sz w:val="16"/>
                <w:szCs w:val="16"/>
              </w:rPr>
              <w:t>128</w:t>
            </w:r>
          </w:p>
          <w:p w14:paraId="701D7B4F" w14:textId="25599AA7" w:rsidR="003727CB" w:rsidRPr="00E21C60" w:rsidRDefault="003727CB" w:rsidP="00EF31B9">
            <w:pPr>
              <w:jc w:val="center"/>
              <w:rPr>
                <w:rFonts w:ascii="Arial" w:hAnsi="Arial" w:cs="Arial"/>
                <w:color w:val="000000"/>
                <w:sz w:val="16"/>
                <w:szCs w:val="16"/>
              </w:rPr>
            </w:pPr>
          </w:p>
        </w:tc>
        <w:tc>
          <w:tcPr>
            <w:tcW w:w="2080" w:type="dxa"/>
            <w:tcBorders>
              <w:top w:val="nil"/>
              <w:left w:val="nil"/>
              <w:bottom w:val="single" w:sz="4" w:space="0" w:color="auto"/>
              <w:right w:val="single" w:sz="4" w:space="0" w:color="auto"/>
            </w:tcBorders>
            <w:shd w:val="clear" w:color="auto" w:fill="auto"/>
            <w:noWrap/>
            <w:vAlign w:val="center"/>
            <w:hideMark/>
          </w:tcPr>
          <w:p w14:paraId="658C17DE" w14:textId="1F6AC1DB" w:rsidR="00756C43" w:rsidRDefault="00756C43" w:rsidP="00590529">
            <w:pPr>
              <w:jc w:val="center"/>
              <w:rPr>
                <w:rFonts w:ascii="Arial" w:hAnsi="Arial" w:cs="Arial"/>
                <w:color w:val="000000"/>
                <w:sz w:val="16"/>
                <w:szCs w:val="16"/>
              </w:rPr>
            </w:pPr>
          </w:p>
          <w:p w14:paraId="36106A7B" w14:textId="2D2C8D3C" w:rsidR="003727CB" w:rsidRPr="00E21C60" w:rsidRDefault="00756C43" w:rsidP="00EF31B9">
            <w:pPr>
              <w:jc w:val="center"/>
              <w:rPr>
                <w:rFonts w:ascii="Arial" w:hAnsi="Arial" w:cs="Arial"/>
                <w:color w:val="000000"/>
                <w:sz w:val="16"/>
                <w:szCs w:val="16"/>
              </w:rPr>
            </w:pPr>
            <w:r>
              <w:rPr>
                <w:rFonts w:ascii="Arial" w:hAnsi="Arial" w:cs="Arial"/>
                <w:color w:val="000000"/>
                <w:sz w:val="16"/>
                <w:szCs w:val="16"/>
              </w:rPr>
              <w:t>381 876 858</w:t>
            </w:r>
          </w:p>
        </w:tc>
        <w:tc>
          <w:tcPr>
            <w:tcW w:w="2220" w:type="dxa"/>
            <w:tcBorders>
              <w:top w:val="nil"/>
              <w:left w:val="nil"/>
              <w:bottom w:val="single" w:sz="4" w:space="0" w:color="auto"/>
              <w:right w:val="single" w:sz="4" w:space="0" w:color="auto"/>
            </w:tcBorders>
            <w:shd w:val="clear" w:color="auto" w:fill="auto"/>
            <w:vAlign w:val="center"/>
            <w:hideMark/>
          </w:tcPr>
          <w:p w14:paraId="4FB49D9C" w14:textId="77777777" w:rsidR="00756C43" w:rsidRDefault="00756C43" w:rsidP="00590529">
            <w:pPr>
              <w:jc w:val="center"/>
              <w:rPr>
                <w:rFonts w:ascii="Arial" w:hAnsi="Arial" w:cs="Arial"/>
                <w:color w:val="000000"/>
                <w:sz w:val="16"/>
                <w:szCs w:val="16"/>
              </w:rPr>
            </w:pPr>
          </w:p>
          <w:p w14:paraId="2ED1B000" w14:textId="2F6ACE6C" w:rsidR="00756C43" w:rsidRPr="00E21C60" w:rsidRDefault="00A26AB6" w:rsidP="00A26AB6">
            <w:pPr>
              <w:rPr>
                <w:rFonts w:ascii="Arial" w:hAnsi="Arial" w:cs="Arial"/>
                <w:color w:val="000000"/>
                <w:sz w:val="16"/>
                <w:szCs w:val="16"/>
              </w:rPr>
            </w:pPr>
            <w:r>
              <w:rPr>
                <w:rFonts w:ascii="Arial" w:hAnsi="Arial" w:cs="Arial"/>
                <w:color w:val="000000"/>
                <w:sz w:val="16"/>
                <w:szCs w:val="16"/>
              </w:rPr>
              <w:t xml:space="preserve">             </w:t>
            </w:r>
            <w:r w:rsidR="00756C43">
              <w:rPr>
                <w:rFonts w:ascii="Arial" w:hAnsi="Arial" w:cs="Arial"/>
                <w:color w:val="000000"/>
                <w:sz w:val="16"/>
                <w:szCs w:val="16"/>
              </w:rPr>
              <w:t>192 957 140</w:t>
            </w:r>
          </w:p>
        </w:tc>
      </w:tr>
      <w:tr w:rsidR="003727CB" w:rsidRPr="00E21C60" w14:paraId="5BF8059E" w14:textId="77777777" w:rsidTr="007253AA">
        <w:trPr>
          <w:trHeight w:val="675"/>
        </w:trPr>
        <w:tc>
          <w:tcPr>
            <w:tcW w:w="2320" w:type="dxa"/>
            <w:tcBorders>
              <w:top w:val="nil"/>
              <w:left w:val="single" w:sz="4" w:space="0" w:color="auto"/>
              <w:bottom w:val="single" w:sz="4" w:space="0" w:color="auto"/>
              <w:right w:val="single" w:sz="4" w:space="0" w:color="auto"/>
            </w:tcBorders>
            <w:shd w:val="clear" w:color="auto" w:fill="auto"/>
            <w:vAlign w:val="center"/>
            <w:hideMark/>
          </w:tcPr>
          <w:p w14:paraId="35AD10CA" w14:textId="1FD5732C" w:rsidR="003727CB" w:rsidRPr="00E21C60" w:rsidRDefault="003727CB">
            <w:pPr>
              <w:rPr>
                <w:rFonts w:ascii="Arial" w:hAnsi="Arial" w:cs="Arial"/>
                <w:color w:val="000000"/>
                <w:sz w:val="16"/>
                <w:szCs w:val="16"/>
              </w:rPr>
            </w:pPr>
            <w:r w:rsidRPr="00E21C60">
              <w:rPr>
                <w:rFonts w:ascii="Arial" w:hAnsi="Arial" w:cs="Arial"/>
                <w:color w:val="000000"/>
                <w:sz w:val="16"/>
                <w:szCs w:val="16"/>
              </w:rPr>
              <w:t>5 Ochrana a regenerácia prírodného prostredia a krajiny</w:t>
            </w:r>
          </w:p>
        </w:tc>
        <w:tc>
          <w:tcPr>
            <w:tcW w:w="960" w:type="dxa"/>
            <w:tcBorders>
              <w:top w:val="nil"/>
              <w:left w:val="nil"/>
              <w:bottom w:val="single" w:sz="4" w:space="0" w:color="auto"/>
              <w:right w:val="single" w:sz="4" w:space="0" w:color="auto"/>
            </w:tcBorders>
            <w:shd w:val="clear" w:color="auto" w:fill="auto"/>
            <w:noWrap/>
            <w:vAlign w:val="center"/>
            <w:hideMark/>
          </w:tcPr>
          <w:p w14:paraId="4B69F870" w14:textId="3CBD2EA8" w:rsidR="003727CB" w:rsidRPr="00E21C60" w:rsidRDefault="005252DA" w:rsidP="00EF31B9">
            <w:pPr>
              <w:jc w:val="center"/>
              <w:rPr>
                <w:rFonts w:ascii="Arial" w:hAnsi="Arial" w:cs="Arial"/>
                <w:color w:val="000000"/>
                <w:sz w:val="16"/>
                <w:szCs w:val="16"/>
              </w:rPr>
            </w:pPr>
            <w:r>
              <w:rPr>
                <w:rFonts w:ascii="Arial" w:hAnsi="Arial" w:cs="Arial"/>
                <w:color w:val="000000"/>
                <w:sz w:val="16"/>
                <w:szCs w:val="16"/>
              </w:rPr>
              <w:t>42</w:t>
            </w:r>
          </w:p>
        </w:tc>
        <w:tc>
          <w:tcPr>
            <w:tcW w:w="1440" w:type="dxa"/>
            <w:tcBorders>
              <w:top w:val="nil"/>
              <w:left w:val="nil"/>
              <w:bottom w:val="single" w:sz="4" w:space="0" w:color="auto"/>
              <w:right w:val="single" w:sz="4" w:space="0" w:color="auto"/>
            </w:tcBorders>
            <w:shd w:val="clear" w:color="auto" w:fill="auto"/>
            <w:vAlign w:val="center"/>
            <w:hideMark/>
          </w:tcPr>
          <w:p w14:paraId="3B6CBF79" w14:textId="77777777" w:rsidR="003727CB" w:rsidRPr="00E21C60" w:rsidRDefault="003727CB" w:rsidP="00EF31B9">
            <w:pPr>
              <w:jc w:val="center"/>
              <w:rPr>
                <w:rFonts w:ascii="Arial" w:hAnsi="Arial" w:cs="Arial"/>
                <w:color w:val="000000"/>
                <w:sz w:val="16"/>
                <w:szCs w:val="16"/>
              </w:rPr>
            </w:pPr>
            <w:r w:rsidRPr="00E21C60">
              <w:rPr>
                <w:rFonts w:ascii="Arial" w:hAnsi="Arial" w:cs="Arial"/>
                <w:color w:val="000000"/>
                <w:sz w:val="16"/>
                <w:szCs w:val="16"/>
              </w:rPr>
              <w:t>5</w:t>
            </w:r>
          </w:p>
        </w:tc>
        <w:tc>
          <w:tcPr>
            <w:tcW w:w="2080" w:type="dxa"/>
            <w:tcBorders>
              <w:top w:val="nil"/>
              <w:left w:val="nil"/>
              <w:bottom w:val="single" w:sz="4" w:space="0" w:color="auto"/>
              <w:right w:val="single" w:sz="4" w:space="0" w:color="auto"/>
            </w:tcBorders>
            <w:shd w:val="clear" w:color="auto" w:fill="auto"/>
            <w:noWrap/>
            <w:vAlign w:val="center"/>
            <w:hideMark/>
          </w:tcPr>
          <w:p w14:paraId="55FA562E" w14:textId="38C4C9C2" w:rsidR="003727CB" w:rsidRPr="00E21C60" w:rsidRDefault="005252DA" w:rsidP="00590529">
            <w:pPr>
              <w:jc w:val="center"/>
              <w:rPr>
                <w:rFonts w:ascii="Arial" w:hAnsi="Arial" w:cs="Arial"/>
                <w:color w:val="000000"/>
                <w:sz w:val="16"/>
                <w:szCs w:val="16"/>
              </w:rPr>
            </w:pPr>
            <w:r w:rsidRPr="005252DA">
              <w:rPr>
                <w:rFonts w:ascii="Arial" w:hAnsi="Arial" w:cs="Arial"/>
                <w:color w:val="000000"/>
                <w:sz w:val="16"/>
                <w:szCs w:val="16"/>
              </w:rPr>
              <w:t>51</w:t>
            </w:r>
            <w:r>
              <w:rPr>
                <w:rFonts w:ascii="Arial" w:hAnsi="Arial" w:cs="Arial"/>
                <w:color w:val="000000"/>
                <w:sz w:val="16"/>
                <w:szCs w:val="16"/>
              </w:rPr>
              <w:t xml:space="preserve"> </w:t>
            </w:r>
            <w:r w:rsidRPr="005252DA">
              <w:rPr>
                <w:rFonts w:ascii="Arial" w:hAnsi="Arial" w:cs="Arial"/>
                <w:color w:val="000000"/>
                <w:sz w:val="16"/>
                <w:szCs w:val="16"/>
              </w:rPr>
              <w:t>319</w:t>
            </w:r>
            <w:r>
              <w:rPr>
                <w:rFonts w:ascii="Arial" w:hAnsi="Arial" w:cs="Arial"/>
                <w:color w:val="000000"/>
                <w:sz w:val="16"/>
                <w:szCs w:val="16"/>
              </w:rPr>
              <w:t xml:space="preserve"> </w:t>
            </w:r>
            <w:r w:rsidRPr="005252DA">
              <w:rPr>
                <w:rFonts w:ascii="Arial" w:hAnsi="Arial" w:cs="Arial"/>
                <w:color w:val="000000"/>
                <w:sz w:val="16"/>
                <w:szCs w:val="16"/>
              </w:rPr>
              <w:t>505</w:t>
            </w:r>
          </w:p>
        </w:tc>
        <w:tc>
          <w:tcPr>
            <w:tcW w:w="2220" w:type="dxa"/>
            <w:tcBorders>
              <w:top w:val="nil"/>
              <w:left w:val="nil"/>
              <w:bottom w:val="single" w:sz="4" w:space="0" w:color="auto"/>
              <w:right w:val="single" w:sz="4" w:space="0" w:color="auto"/>
            </w:tcBorders>
            <w:shd w:val="clear" w:color="auto" w:fill="auto"/>
            <w:vAlign w:val="center"/>
            <w:hideMark/>
          </w:tcPr>
          <w:p w14:paraId="7FC8F8A6" w14:textId="707CE03B" w:rsidR="003727CB" w:rsidRPr="00E21C60" w:rsidRDefault="005252DA" w:rsidP="00590529">
            <w:pPr>
              <w:jc w:val="center"/>
              <w:rPr>
                <w:rFonts w:ascii="Arial" w:hAnsi="Arial" w:cs="Arial"/>
                <w:color w:val="000000"/>
                <w:sz w:val="16"/>
                <w:szCs w:val="16"/>
              </w:rPr>
            </w:pPr>
            <w:r w:rsidRPr="005252DA">
              <w:rPr>
                <w:rFonts w:ascii="Arial" w:hAnsi="Arial" w:cs="Arial"/>
                <w:color w:val="000000"/>
                <w:sz w:val="16"/>
                <w:szCs w:val="16"/>
              </w:rPr>
              <w:t>14</w:t>
            </w:r>
            <w:r>
              <w:rPr>
                <w:rFonts w:ascii="Arial" w:hAnsi="Arial" w:cs="Arial"/>
                <w:color w:val="000000"/>
                <w:sz w:val="16"/>
                <w:szCs w:val="16"/>
              </w:rPr>
              <w:t xml:space="preserve"> </w:t>
            </w:r>
            <w:r w:rsidRPr="005252DA">
              <w:rPr>
                <w:rFonts w:ascii="Arial" w:hAnsi="Arial" w:cs="Arial"/>
                <w:color w:val="000000"/>
                <w:sz w:val="16"/>
                <w:szCs w:val="16"/>
              </w:rPr>
              <w:t>131</w:t>
            </w:r>
            <w:r>
              <w:rPr>
                <w:rFonts w:ascii="Arial" w:hAnsi="Arial" w:cs="Arial"/>
                <w:color w:val="000000"/>
                <w:sz w:val="16"/>
                <w:szCs w:val="16"/>
              </w:rPr>
              <w:t xml:space="preserve"> </w:t>
            </w:r>
            <w:r w:rsidRPr="005252DA">
              <w:rPr>
                <w:rFonts w:ascii="Arial" w:hAnsi="Arial" w:cs="Arial"/>
                <w:color w:val="000000"/>
                <w:sz w:val="16"/>
                <w:szCs w:val="16"/>
              </w:rPr>
              <w:t>33</w:t>
            </w:r>
            <w:r w:rsidR="00A1711A">
              <w:rPr>
                <w:rFonts w:ascii="Arial" w:hAnsi="Arial" w:cs="Arial"/>
                <w:color w:val="000000"/>
                <w:sz w:val="16"/>
                <w:szCs w:val="16"/>
              </w:rPr>
              <w:t>3</w:t>
            </w:r>
          </w:p>
        </w:tc>
      </w:tr>
      <w:tr w:rsidR="003727CB" w:rsidRPr="00E21C60" w14:paraId="76C037AC" w14:textId="77777777" w:rsidTr="007253AA">
        <w:trPr>
          <w:trHeight w:val="225"/>
        </w:trPr>
        <w:tc>
          <w:tcPr>
            <w:tcW w:w="2320" w:type="dxa"/>
            <w:tcBorders>
              <w:top w:val="nil"/>
              <w:left w:val="single" w:sz="4" w:space="0" w:color="auto"/>
              <w:bottom w:val="single" w:sz="4" w:space="0" w:color="auto"/>
              <w:right w:val="single" w:sz="4" w:space="0" w:color="auto"/>
            </w:tcBorders>
            <w:shd w:val="clear" w:color="auto" w:fill="auto"/>
            <w:vAlign w:val="center"/>
            <w:hideMark/>
          </w:tcPr>
          <w:p w14:paraId="54FC6E6A" w14:textId="77777777" w:rsidR="003727CB" w:rsidRPr="00E21C60" w:rsidRDefault="003727CB">
            <w:pPr>
              <w:rPr>
                <w:rFonts w:ascii="Arial" w:hAnsi="Arial" w:cs="Arial"/>
                <w:color w:val="000000"/>
                <w:sz w:val="16"/>
                <w:szCs w:val="16"/>
              </w:rPr>
            </w:pPr>
            <w:r w:rsidRPr="00E21C60">
              <w:rPr>
                <w:rFonts w:ascii="Arial" w:hAnsi="Arial" w:cs="Arial"/>
                <w:color w:val="000000"/>
                <w:sz w:val="16"/>
                <w:szCs w:val="16"/>
              </w:rPr>
              <w:t>6 Technická pomoc</w:t>
            </w:r>
          </w:p>
        </w:tc>
        <w:tc>
          <w:tcPr>
            <w:tcW w:w="960" w:type="dxa"/>
            <w:tcBorders>
              <w:top w:val="nil"/>
              <w:left w:val="nil"/>
              <w:bottom w:val="single" w:sz="4" w:space="0" w:color="auto"/>
              <w:right w:val="single" w:sz="4" w:space="0" w:color="auto"/>
            </w:tcBorders>
            <w:shd w:val="clear" w:color="auto" w:fill="auto"/>
            <w:vAlign w:val="center"/>
            <w:hideMark/>
          </w:tcPr>
          <w:p w14:paraId="7324C78C" w14:textId="27BCE4B8" w:rsidR="003727CB" w:rsidRPr="00E21C60" w:rsidRDefault="00756C43" w:rsidP="00EF31B9">
            <w:pPr>
              <w:jc w:val="center"/>
              <w:rPr>
                <w:rFonts w:ascii="Arial" w:hAnsi="Arial" w:cs="Arial"/>
                <w:color w:val="000000"/>
                <w:sz w:val="16"/>
                <w:szCs w:val="16"/>
              </w:rPr>
            </w:pPr>
            <w:r>
              <w:rPr>
                <w:rFonts w:ascii="Arial" w:hAnsi="Arial" w:cs="Arial"/>
                <w:color w:val="000000"/>
                <w:sz w:val="16"/>
                <w:szCs w:val="16"/>
              </w:rPr>
              <w:t>29</w:t>
            </w:r>
          </w:p>
        </w:tc>
        <w:tc>
          <w:tcPr>
            <w:tcW w:w="1440" w:type="dxa"/>
            <w:tcBorders>
              <w:top w:val="nil"/>
              <w:left w:val="nil"/>
              <w:bottom w:val="single" w:sz="4" w:space="0" w:color="auto"/>
              <w:right w:val="single" w:sz="4" w:space="0" w:color="auto"/>
            </w:tcBorders>
            <w:shd w:val="clear" w:color="auto" w:fill="auto"/>
            <w:vAlign w:val="center"/>
            <w:hideMark/>
          </w:tcPr>
          <w:p w14:paraId="65084D67" w14:textId="77777777" w:rsidR="003727CB" w:rsidRPr="00E21C60" w:rsidRDefault="003727CB" w:rsidP="00EF31B9">
            <w:pPr>
              <w:jc w:val="center"/>
              <w:rPr>
                <w:rFonts w:ascii="Arial" w:hAnsi="Arial" w:cs="Arial"/>
                <w:color w:val="000000"/>
                <w:sz w:val="16"/>
                <w:szCs w:val="16"/>
              </w:rPr>
            </w:pPr>
            <w:r w:rsidRPr="00E21C60">
              <w:rPr>
                <w:rFonts w:ascii="Arial" w:hAnsi="Arial" w:cs="Arial"/>
                <w:color w:val="000000"/>
                <w:sz w:val="16"/>
                <w:szCs w:val="16"/>
              </w:rPr>
              <w:t>0</w:t>
            </w:r>
          </w:p>
        </w:tc>
        <w:tc>
          <w:tcPr>
            <w:tcW w:w="2080" w:type="dxa"/>
            <w:tcBorders>
              <w:top w:val="nil"/>
              <w:left w:val="nil"/>
              <w:bottom w:val="single" w:sz="4" w:space="0" w:color="auto"/>
              <w:right w:val="single" w:sz="4" w:space="0" w:color="auto"/>
            </w:tcBorders>
            <w:shd w:val="clear" w:color="auto" w:fill="auto"/>
            <w:vAlign w:val="center"/>
            <w:hideMark/>
          </w:tcPr>
          <w:p w14:paraId="14BD948A" w14:textId="5EC135F3" w:rsidR="00756C43" w:rsidRDefault="00756C43" w:rsidP="00EF31B9">
            <w:pPr>
              <w:jc w:val="center"/>
              <w:rPr>
                <w:rFonts w:ascii="Arial" w:hAnsi="Arial" w:cs="Arial"/>
                <w:color w:val="000000"/>
                <w:sz w:val="16"/>
                <w:szCs w:val="16"/>
              </w:rPr>
            </w:pPr>
          </w:p>
          <w:p w14:paraId="0A8E58E4" w14:textId="21330B9E" w:rsidR="003727CB" w:rsidRPr="00E21C60" w:rsidRDefault="00756C43" w:rsidP="00EF31B9">
            <w:pPr>
              <w:jc w:val="center"/>
              <w:rPr>
                <w:rFonts w:ascii="Arial" w:hAnsi="Arial" w:cs="Arial"/>
                <w:color w:val="000000"/>
                <w:sz w:val="16"/>
                <w:szCs w:val="16"/>
              </w:rPr>
            </w:pPr>
            <w:r>
              <w:rPr>
                <w:rFonts w:ascii="Arial" w:hAnsi="Arial" w:cs="Arial"/>
                <w:color w:val="000000"/>
                <w:sz w:val="16"/>
                <w:szCs w:val="16"/>
              </w:rPr>
              <w:t>65 051 489</w:t>
            </w:r>
          </w:p>
        </w:tc>
        <w:tc>
          <w:tcPr>
            <w:tcW w:w="2220" w:type="dxa"/>
            <w:tcBorders>
              <w:top w:val="nil"/>
              <w:left w:val="nil"/>
              <w:bottom w:val="single" w:sz="4" w:space="0" w:color="auto"/>
              <w:right w:val="single" w:sz="4" w:space="0" w:color="auto"/>
            </w:tcBorders>
            <w:shd w:val="clear" w:color="auto" w:fill="auto"/>
            <w:vAlign w:val="center"/>
            <w:hideMark/>
          </w:tcPr>
          <w:p w14:paraId="11F4C898" w14:textId="77777777" w:rsidR="003727CB" w:rsidRPr="00E21C60" w:rsidRDefault="003727CB" w:rsidP="00EF31B9">
            <w:pPr>
              <w:jc w:val="center"/>
              <w:rPr>
                <w:rFonts w:ascii="Arial" w:hAnsi="Arial" w:cs="Arial"/>
                <w:color w:val="000000"/>
                <w:sz w:val="16"/>
                <w:szCs w:val="16"/>
              </w:rPr>
            </w:pPr>
            <w:r w:rsidRPr="00E21C60">
              <w:rPr>
                <w:rFonts w:ascii="Arial" w:hAnsi="Arial" w:cs="Arial"/>
                <w:color w:val="000000"/>
                <w:sz w:val="16"/>
                <w:szCs w:val="16"/>
              </w:rPr>
              <w:t>0</w:t>
            </w:r>
          </w:p>
        </w:tc>
      </w:tr>
      <w:tr w:rsidR="003727CB" w:rsidRPr="00E21C60" w14:paraId="6B34E59D" w14:textId="77777777" w:rsidTr="007253AA">
        <w:trPr>
          <w:trHeight w:val="675"/>
        </w:trPr>
        <w:tc>
          <w:tcPr>
            <w:tcW w:w="2320" w:type="dxa"/>
            <w:tcBorders>
              <w:top w:val="nil"/>
              <w:left w:val="single" w:sz="4" w:space="0" w:color="auto"/>
              <w:bottom w:val="single" w:sz="4" w:space="0" w:color="auto"/>
              <w:right w:val="single" w:sz="4" w:space="0" w:color="auto"/>
            </w:tcBorders>
            <w:shd w:val="clear" w:color="auto" w:fill="auto"/>
            <w:vAlign w:val="center"/>
            <w:hideMark/>
          </w:tcPr>
          <w:p w14:paraId="4724B420" w14:textId="77777777" w:rsidR="003727CB" w:rsidRPr="00E21C60" w:rsidRDefault="003727CB">
            <w:pPr>
              <w:rPr>
                <w:rFonts w:ascii="Arial" w:hAnsi="Arial" w:cs="Arial"/>
                <w:color w:val="000000"/>
                <w:sz w:val="16"/>
                <w:szCs w:val="16"/>
              </w:rPr>
            </w:pPr>
            <w:r w:rsidRPr="00E21C60">
              <w:rPr>
                <w:rFonts w:ascii="Arial" w:hAnsi="Arial" w:cs="Arial"/>
                <w:color w:val="000000"/>
                <w:sz w:val="16"/>
                <w:szCs w:val="16"/>
              </w:rPr>
              <w:t>7 Budovanie povodňového varovného a predpovedného systému</w:t>
            </w:r>
          </w:p>
        </w:tc>
        <w:tc>
          <w:tcPr>
            <w:tcW w:w="960" w:type="dxa"/>
            <w:tcBorders>
              <w:top w:val="nil"/>
              <w:left w:val="nil"/>
              <w:bottom w:val="single" w:sz="4" w:space="0" w:color="auto"/>
              <w:right w:val="single" w:sz="4" w:space="0" w:color="auto"/>
            </w:tcBorders>
            <w:shd w:val="clear" w:color="auto" w:fill="auto"/>
            <w:vAlign w:val="center"/>
            <w:hideMark/>
          </w:tcPr>
          <w:p w14:paraId="661F062A" w14:textId="760866DE" w:rsidR="003727CB" w:rsidRPr="00E21C60" w:rsidRDefault="001C33EB" w:rsidP="00EF31B9">
            <w:pPr>
              <w:jc w:val="center"/>
              <w:rPr>
                <w:rFonts w:ascii="Arial" w:hAnsi="Arial" w:cs="Arial"/>
                <w:color w:val="000000"/>
                <w:sz w:val="16"/>
                <w:szCs w:val="16"/>
              </w:rPr>
            </w:pPr>
            <w:r>
              <w:rPr>
                <w:rFonts w:ascii="Arial" w:hAnsi="Arial" w:cs="Arial"/>
                <w:color w:val="000000"/>
                <w:sz w:val="16"/>
                <w:szCs w:val="16"/>
              </w:rPr>
              <w:t>1</w:t>
            </w:r>
          </w:p>
        </w:tc>
        <w:tc>
          <w:tcPr>
            <w:tcW w:w="1440" w:type="dxa"/>
            <w:tcBorders>
              <w:top w:val="nil"/>
              <w:left w:val="nil"/>
              <w:bottom w:val="single" w:sz="4" w:space="0" w:color="auto"/>
              <w:right w:val="single" w:sz="4" w:space="0" w:color="auto"/>
            </w:tcBorders>
            <w:shd w:val="clear" w:color="auto" w:fill="auto"/>
            <w:vAlign w:val="center"/>
            <w:hideMark/>
          </w:tcPr>
          <w:p w14:paraId="4F3C7198" w14:textId="77777777" w:rsidR="003727CB" w:rsidRPr="00E21C60" w:rsidRDefault="003727CB" w:rsidP="00EF31B9">
            <w:pPr>
              <w:jc w:val="center"/>
              <w:rPr>
                <w:rFonts w:ascii="Arial" w:hAnsi="Arial" w:cs="Arial"/>
                <w:color w:val="000000"/>
                <w:sz w:val="16"/>
                <w:szCs w:val="16"/>
              </w:rPr>
            </w:pPr>
            <w:r w:rsidRPr="00E21C60">
              <w:rPr>
                <w:rFonts w:ascii="Arial" w:hAnsi="Arial" w:cs="Arial"/>
                <w:color w:val="000000"/>
                <w:sz w:val="16"/>
                <w:szCs w:val="16"/>
              </w:rPr>
              <w:t>0</w:t>
            </w:r>
          </w:p>
        </w:tc>
        <w:tc>
          <w:tcPr>
            <w:tcW w:w="2080" w:type="dxa"/>
            <w:tcBorders>
              <w:top w:val="nil"/>
              <w:left w:val="nil"/>
              <w:bottom w:val="single" w:sz="4" w:space="0" w:color="auto"/>
              <w:right w:val="single" w:sz="4" w:space="0" w:color="auto"/>
            </w:tcBorders>
            <w:shd w:val="clear" w:color="auto" w:fill="auto"/>
            <w:vAlign w:val="center"/>
            <w:hideMark/>
          </w:tcPr>
          <w:p w14:paraId="5CDEA31E" w14:textId="01B31F97" w:rsidR="003727CB" w:rsidRPr="00E21C60" w:rsidRDefault="001C33EB" w:rsidP="00EF31B9">
            <w:pPr>
              <w:jc w:val="center"/>
              <w:rPr>
                <w:rFonts w:ascii="Arial" w:hAnsi="Arial" w:cs="Arial"/>
                <w:color w:val="000000"/>
                <w:sz w:val="16"/>
                <w:szCs w:val="16"/>
              </w:rPr>
            </w:pPr>
            <w:r>
              <w:rPr>
                <w:rFonts w:ascii="Arial" w:hAnsi="Arial" w:cs="Arial"/>
                <w:color w:val="000000"/>
                <w:sz w:val="16"/>
                <w:szCs w:val="16"/>
              </w:rPr>
              <w:t>19 999 910</w:t>
            </w:r>
          </w:p>
        </w:tc>
        <w:tc>
          <w:tcPr>
            <w:tcW w:w="2220" w:type="dxa"/>
            <w:tcBorders>
              <w:top w:val="nil"/>
              <w:left w:val="nil"/>
              <w:bottom w:val="single" w:sz="4" w:space="0" w:color="auto"/>
              <w:right w:val="single" w:sz="4" w:space="0" w:color="auto"/>
            </w:tcBorders>
            <w:shd w:val="clear" w:color="auto" w:fill="auto"/>
            <w:vAlign w:val="center"/>
            <w:hideMark/>
          </w:tcPr>
          <w:p w14:paraId="64249A00" w14:textId="77777777" w:rsidR="003727CB" w:rsidRPr="00E21C60" w:rsidRDefault="003727CB" w:rsidP="00EF31B9">
            <w:pPr>
              <w:jc w:val="center"/>
              <w:rPr>
                <w:rFonts w:ascii="Arial" w:hAnsi="Arial" w:cs="Arial"/>
                <w:color w:val="000000"/>
                <w:sz w:val="16"/>
                <w:szCs w:val="16"/>
              </w:rPr>
            </w:pPr>
            <w:r w:rsidRPr="00E21C60">
              <w:rPr>
                <w:rFonts w:ascii="Arial" w:hAnsi="Arial" w:cs="Arial"/>
                <w:color w:val="000000"/>
                <w:sz w:val="16"/>
                <w:szCs w:val="16"/>
              </w:rPr>
              <w:t>0</w:t>
            </w:r>
          </w:p>
        </w:tc>
      </w:tr>
      <w:tr w:rsidR="003727CB" w:rsidRPr="00E21C60" w14:paraId="11FD57E6" w14:textId="77777777" w:rsidTr="007253AA">
        <w:trPr>
          <w:trHeight w:val="225"/>
        </w:trPr>
        <w:tc>
          <w:tcPr>
            <w:tcW w:w="2320" w:type="dxa"/>
            <w:tcBorders>
              <w:top w:val="nil"/>
              <w:left w:val="single" w:sz="4" w:space="0" w:color="auto"/>
              <w:bottom w:val="single" w:sz="4" w:space="0" w:color="auto"/>
              <w:right w:val="single" w:sz="4" w:space="0" w:color="auto"/>
            </w:tcBorders>
            <w:shd w:val="clear" w:color="000000" w:fill="EBF1DE"/>
            <w:vAlign w:val="center"/>
            <w:hideMark/>
          </w:tcPr>
          <w:p w14:paraId="67599C4A" w14:textId="77777777" w:rsidR="003727CB" w:rsidRPr="00E21C60" w:rsidRDefault="003727CB">
            <w:pPr>
              <w:rPr>
                <w:rFonts w:ascii="Arial" w:hAnsi="Arial" w:cs="Arial"/>
                <w:b/>
                <w:bCs/>
                <w:color w:val="000000"/>
                <w:sz w:val="16"/>
                <w:szCs w:val="16"/>
              </w:rPr>
            </w:pPr>
            <w:r w:rsidRPr="00E21C60">
              <w:rPr>
                <w:rFonts w:ascii="Arial" w:hAnsi="Arial" w:cs="Arial"/>
                <w:b/>
                <w:bCs/>
                <w:color w:val="000000"/>
                <w:sz w:val="16"/>
                <w:szCs w:val="16"/>
              </w:rPr>
              <w:t>Spolu za program</w:t>
            </w:r>
          </w:p>
        </w:tc>
        <w:tc>
          <w:tcPr>
            <w:tcW w:w="960" w:type="dxa"/>
            <w:tcBorders>
              <w:top w:val="nil"/>
              <w:left w:val="nil"/>
              <w:bottom w:val="single" w:sz="4" w:space="0" w:color="auto"/>
              <w:right w:val="single" w:sz="4" w:space="0" w:color="auto"/>
            </w:tcBorders>
            <w:shd w:val="clear" w:color="000000" w:fill="EBF1DE"/>
            <w:vAlign w:val="center"/>
            <w:hideMark/>
          </w:tcPr>
          <w:p w14:paraId="73CD9E38" w14:textId="60D72216" w:rsidR="003727CB" w:rsidRPr="00E21C60" w:rsidRDefault="00756C43">
            <w:pPr>
              <w:jc w:val="center"/>
              <w:rPr>
                <w:rFonts w:ascii="Arial" w:hAnsi="Arial" w:cs="Arial"/>
                <w:b/>
                <w:bCs/>
                <w:color w:val="000000"/>
                <w:sz w:val="16"/>
                <w:szCs w:val="16"/>
              </w:rPr>
            </w:pPr>
            <w:r>
              <w:rPr>
                <w:rFonts w:ascii="Arial" w:hAnsi="Arial" w:cs="Arial"/>
                <w:b/>
                <w:bCs/>
                <w:color w:val="000000"/>
                <w:sz w:val="16"/>
                <w:szCs w:val="16"/>
              </w:rPr>
              <w:t>805</w:t>
            </w:r>
          </w:p>
        </w:tc>
        <w:tc>
          <w:tcPr>
            <w:tcW w:w="1440" w:type="dxa"/>
            <w:tcBorders>
              <w:top w:val="nil"/>
              <w:left w:val="nil"/>
              <w:bottom w:val="single" w:sz="4" w:space="0" w:color="auto"/>
              <w:right w:val="single" w:sz="4" w:space="0" w:color="auto"/>
            </w:tcBorders>
            <w:shd w:val="clear" w:color="000000" w:fill="EBF1DE"/>
            <w:vAlign w:val="center"/>
            <w:hideMark/>
          </w:tcPr>
          <w:p w14:paraId="323BB44B" w14:textId="38438FDE" w:rsidR="003727CB" w:rsidRPr="00E21C60" w:rsidRDefault="003727CB">
            <w:pPr>
              <w:jc w:val="center"/>
              <w:rPr>
                <w:rFonts w:ascii="Arial" w:hAnsi="Arial" w:cs="Arial"/>
                <w:b/>
                <w:bCs/>
                <w:color w:val="000000"/>
                <w:sz w:val="16"/>
                <w:szCs w:val="16"/>
              </w:rPr>
            </w:pPr>
            <w:r w:rsidRPr="00E21C60">
              <w:rPr>
                <w:rFonts w:ascii="Arial" w:hAnsi="Arial" w:cs="Arial"/>
                <w:b/>
                <w:bCs/>
                <w:color w:val="000000"/>
                <w:sz w:val="16"/>
                <w:szCs w:val="16"/>
              </w:rPr>
              <w:t>24</w:t>
            </w:r>
            <w:r w:rsidR="00756C43">
              <w:rPr>
                <w:rFonts w:ascii="Arial" w:hAnsi="Arial" w:cs="Arial"/>
                <w:b/>
                <w:bCs/>
                <w:color w:val="000000"/>
                <w:sz w:val="16"/>
                <w:szCs w:val="16"/>
              </w:rPr>
              <w:t>0</w:t>
            </w:r>
          </w:p>
        </w:tc>
        <w:tc>
          <w:tcPr>
            <w:tcW w:w="2080" w:type="dxa"/>
            <w:tcBorders>
              <w:top w:val="nil"/>
              <w:left w:val="nil"/>
              <w:bottom w:val="single" w:sz="4" w:space="0" w:color="auto"/>
              <w:right w:val="single" w:sz="4" w:space="0" w:color="auto"/>
            </w:tcBorders>
            <w:shd w:val="clear" w:color="000000" w:fill="EBF1DE"/>
            <w:vAlign w:val="center"/>
            <w:hideMark/>
          </w:tcPr>
          <w:p w14:paraId="37807517" w14:textId="665460E1" w:rsidR="003727CB" w:rsidRPr="00E21C60" w:rsidRDefault="00756C43" w:rsidP="00B53CD4">
            <w:pPr>
              <w:jc w:val="center"/>
              <w:rPr>
                <w:rFonts w:ascii="Arial" w:hAnsi="Arial" w:cs="Arial"/>
                <w:b/>
                <w:bCs/>
                <w:color w:val="000000"/>
                <w:sz w:val="16"/>
                <w:szCs w:val="16"/>
              </w:rPr>
            </w:pPr>
            <w:r>
              <w:rPr>
                <w:rFonts w:ascii="Arial" w:hAnsi="Arial" w:cs="Arial"/>
                <w:b/>
                <w:bCs/>
                <w:color w:val="000000"/>
                <w:sz w:val="16"/>
                <w:szCs w:val="16"/>
              </w:rPr>
              <w:t>1 945 168 554</w:t>
            </w:r>
          </w:p>
        </w:tc>
        <w:tc>
          <w:tcPr>
            <w:tcW w:w="2220" w:type="dxa"/>
            <w:tcBorders>
              <w:top w:val="nil"/>
              <w:left w:val="nil"/>
              <w:bottom w:val="single" w:sz="4" w:space="0" w:color="auto"/>
              <w:right w:val="single" w:sz="4" w:space="0" w:color="auto"/>
            </w:tcBorders>
            <w:shd w:val="clear" w:color="000000" w:fill="EBF1DE"/>
            <w:vAlign w:val="center"/>
            <w:hideMark/>
          </w:tcPr>
          <w:p w14:paraId="5618D702" w14:textId="4E159804" w:rsidR="003727CB" w:rsidRPr="00E21C60" w:rsidRDefault="00B53CD4" w:rsidP="00B53CD4">
            <w:pPr>
              <w:rPr>
                <w:rFonts w:ascii="Arial" w:hAnsi="Arial" w:cs="Arial"/>
                <w:b/>
                <w:bCs/>
                <w:color w:val="000000"/>
                <w:sz w:val="16"/>
                <w:szCs w:val="16"/>
              </w:rPr>
            </w:pPr>
            <w:r>
              <w:rPr>
                <w:rFonts w:ascii="Arial" w:hAnsi="Arial" w:cs="Arial"/>
                <w:b/>
                <w:bCs/>
                <w:color w:val="000000"/>
                <w:sz w:val="16"/>
                <w:szCs w:val="16"/>
              </w:rPr>
              <w:t xml:space="preserve">          </w:t>
            </w:r>
            <w:r w:rsidR="00756C43">
              <w:rPr>
                <w:rFonts w:ascii="Arial" w:hAnsi="Arial" w:cs="Arial"/>
                <w:b/>
                <w:bCs/>
                <w:color w:val="000000"/>
                <w:sz w:val="16"/>
                <w:szCs w:val="16"/>
              </w:rPr>
              <w:t>470 842 323</w:t>
            </w:r>
          </w:p>
        </w:tc>
      </w:tr>
    </w:tbl>
    <w:p w14:paraId="3F21C2CF" w14:textId="77777777" w:rsidR="002416B1" w:rsidRPr="00123376" w:rsidRDefault="00000CC9" w:rsidP="00123376">
      <w:pPr>
        <w:jc w:val="both"/>
        <w:rPr>
          <w:rFonts w:ascii="Arial" w:hAnsi="Arial" w:cs="Arial"/>
          <w:sz w:val="16"/>
          <w:szCs w:val="16"/>
        </w:rPr>
      </w:pPr>
      <w:r w:rsidRPr="00123376">
        <w:rPr>
          <w:rFonts w:ascii="Arial" w:hAnsi="Arial" w:cs="Arial"/>
          <w:sz w:val="16"/>
          <w:szCs w:val="16"/>
        </w:rPr>
        <w:t>Zdroj: RO, ITMS</w:t>
      </w:r>
    </w:p>
    <w:p w14:paraId="0D3B5824" w14:textId="3660C090" w:rsidR="00514AE2" w:rsidRPr="00E21C60" w:rsidRDefault="000F1765" w:rsidP="00123376">
      <w:pPr>
        <w:jc w:val="both"/>
        <w:rPr>
          <w:rFonts w:ascii="Arial" w:hAnsi="Arial" w:cs="Arial"/>
          <w:i/>
          <w:sz w:val="16"/>
          <w:szCs w:val="16"/>
        </w:rPr>
      </w:pPr>
      <w:r w:rsidRPr="00EF13F1">
        <w:rPr>
          <w:rFonts w:ascii="Arial" w:hAnsi="Arial" w:cs="Arial"/>
          <w:i/>
          <w:sz w:val="16"/>
          <w:szCs w:val="16"/>
        </w:rPr>
        <w:t xml:space="preserve">Pozn.: Suma zazmluvnených projektov </w:t>
      </w:r>
      <w:r w:rsidR="00A60C0B" w:rsidRPr="00912C87">
        <w:rPr>
          <w:rFonts w:ascii="Arial" w:hAnsi="Arial" w:cs="Arial"/>
          <w:i/>
          <w:sz w:val="16"/>
          <w:szCs w:val="16"/>
        </w:rPr>
        <w:t>ne</w:t>
      </w:r>
      <w:r w:rsidRPr="00EF13F1">
        <w:rPr>
          <w:rFonts w:ascii="Arial" w:hAnsi="Arial" w:cs="Arial"/>
          <w:i/>
          <w:sz w:val="16"/>
          <w:szCs w:val="16"/>
        </w:rPr>
        <w:t>zahŕňa  projekty, ktoré boli mimoriadne ukončené.</w:t>
      </w:r>
    </w:p>
    <w:p w14:paraId="5C6E87C9" w14:textId="77777777" w:rsidR="00F84050" w:rsidRDefault="00F84050" w:rsidP="00123376">
      <w:pPr>
        <w:spacing w:before="120" w:after="120"/>
        <w:jc w:val="both"/>
        <w:rPr>
          <w:rFonts w:ascii="Arial" w:hAnsi="Arial" w:cs="Arial"/>
          <w:sz w:val="20"/>
          <w:szCs w:val="20"/>
        </w:rPr>
      </w:pPr>
      <w:r w:rsidRPr="00F84050">
        <w:rPr>
          <w:rFonts w:ascii="Arial" w:hAnsi="Arial" w:cs="Arial"/>
          <w:sz w:val="20"/>
          <w:szCs w:val="20"/>
        </w:rPr>
        <w:t>Na úrovni OP bolo zazmluvených 240 projektov s príspevkom k cieľom OP ŽP. Najviac projektov 128 s príspevkom k cieľom HP RP bolo podporených v rámci PO 4  v celkovej výške zazmluvnených finančných prostriedkov 192 957 140 €, čo predstavuje 44 % podiel z celkového počtu zazmluvených projektov v rámci OP ŽP  . V rámci PO 1 bolo podporených 42 projektov s príspevkom k cieľom HP RP v celkovej výške 181 270 125 €. V rámci PO 3 bolo podporených 41 projektov v celkovej výške finančných prostriedkov 66 285 863. V rámci PO 2 bolo podporených 24 projektov v celkovej výške zazmluvnených finančných prostriedkov 16 197 862 €. Najmenej projektov v celkovom počte 5, ktoré prispeli k cieľom HP RP boli podporené v rámci PO 5 v celkovej výške zazmluvnených finančných prostriedkov  14 131 332,7 €. V rámci PO 6 a PO 7 nebol podporený žiadny projekt, ktorý by prispieval k napĺňaniu HP RP. Celkový podiel projektov s príspevkom k cieľom HP RP k celkovému počtu projektov zazmluvnených v rámci OP ŽP predstavuje 29,84%.</w:t>
      </w:r>
    </w:p>
    <w:p w14:paraId="2990065D" w14:textId="1312005B" w:rsidR="006C6650" w:rsidRPr="00E21C60" w:rsidRDefault="006D4048" w:rsidP="00DD5406">
      <w:pPr>
        <w:spacing w:before="120" w:after="120"/>
        <w:jc w:val="both"/>
        <w:rPr>
          <w:rFonts w:ascii="Arial" w:hAnsi="Arial" w:cs="Arial"/>
          <w:sz w:val="20"/>
          <w:szCs w:val="20"/>
        </w:rPr>
      </w:pPr>
      <w:r w:rsidRPr="006D4048">
        <w:rPr>
          <w:rFonts w:ascii="Arial" w:hAnsi="Arial" w:cs="Arial"/>
          <w:sz w:val="20"/>
          <w:szCs w:val="20"/>
        </w:rPr>
        <w:t xml:space="preserve">V oblasti informovania a publicity </w:t>
      </w:r>
      <w:r w:rsidR="00DD5406">
        <w:rPr>
          <w:rFonts w:ascii="Arial" w:hAnsi="Arial" w:cs="Arial"/>
          <w:sz w:val="20"/>
          <w:szCs w:val="20"/>
        </w:rPr>
        <w:t>bolo</w:t>
      </w:r>
      <w:r w:rsidRPr="006D4048">
        <w:rPr>
          <w:rFonts w:ascii="Arial" w:hAnsi="Arial" w:cs="Arial"/>
          <w:sz w:val="20"/>
          <w:szCs w:val="20"/>
        </w:rPr>
        <w:t xml:space="preserve"> informovanie zabezpečené prostredníctvom web</w:t>
      </w:r>
      <w:r>
        <w:rPr>
          <w:rFonts w:ascii="Arial" w:hAnsi="Arial" w:cs="Arial"/>
          <w:sz w:val="20"/>
          <w:szCs w:val="20"/>
        </w:rPr>
        <w:t xml:space="preserve">ového sídla </w:t>
      </w:r>
      <w:hyperlink r:id="rId35" w:history="1">
        <w:r w:rsidRPr="00451FB8">
          <w:rPr>
            <w:rStyle w:val="Hypertextovprepojenie"/>
            <w:rFonts w:ascii="Arial" w:hAnsi="Arial" w:cs="Arial"/>
            <w:sz w:val="20"/>
            <w:szCs w:val="20"/>
          </w:rPr>
          <w:t>www.gender.gov.sk</w:t>
        </w:r>
      </w:hyperlink>
      <w:r w:rsidR="00DD5406">
        <w:rPr>
          <w:rFonts w:ascii="Arial" w:hAnsi="Arial" w:cs="Arial"/>
          <w:sz w:val="20"/>
          <w:szCs w:val="20"/>
        </w:rPr>
        <w:t>, kde boli zverejnené všetky dokumenty a informácie týkajúce sa HP RP.</w:t>
      </w:r>
    </w:p>
    <w:p w14:paraId="1550ED70" w14:textId="77777777" w:rsidR="002416B1" w:rsidRPr="00D641FF" w:rsidRDefault="002416B1" w:rsidP="00123376">
      <w:pPr>
        <w:pStyle w:val="Nadpis2"/>
        <w:spacing w:after="120"/>
        <w:rPr>
          <w:rFonts w:cs="Arial"/>
        </w:rPr>
      </w:pPr>
      <w:bookmarkStart w:id="107" w:name="_Toc466914551"/>
      <w:bookmarkEnd w:id="103"/>
      <w:bookmarkEnd w:id="104"/>
      <w:bookmarkEnd w:id="105"/>
      <w:bookmarkEnd w:id="106"/>
      <w:r w:rsidRPr="0020746A">
        <w:rPr>
          <w:rFonts w:cs="Arial"/>
        </w:rPr>
        <w:lastRenderedPageBreak/>
        <w:t>4.</w:t>
      </w:r>
      <w:r w:rsidRPr="00D641FF">
        <w:rPr>
          <w:rFonts w:cs="Arial"/>
        </w:rPr>
        <w:t>4 Horizontálna priorita Trvalo udržateľný rozvoj</w:t>
      </w:r>
      <w:bookmarkEnd w:id="107"/>
    </w:p>
    <w:p w14:paraId="5CB19862" w14:textId="041CC415" w:rsidR="00055361" w:rsidRPr="00E21C60" w:rsidRDefault="00055361" w:rsidP="00123376">
      <w:pPr>
        <w:spacing w:before="120" w:after="120"/>
        <w:jc w:val="both"/>
        <w:rPr>
          <w:rFonts w:ascii="Arial" w:hAnsi="Arial" w:cs="Arial"/>
          <w:sz w:val="20"/>
          <w:szCs w:val="20"/>
        </w:rPr>
      </w:pPr>
      <w:r w:rsidRPr="00E21C60">
        <w:rPr>
          <w:rFonts w:ascii="Arial" w:hAnsi="Arial" w:cs="Arial"/>
          <w:sz w:val="20"/>
          <w:szCs w:val="20"/>
        </w:rPr>
        <w:t xml:space="preserve">Hlavným cieľom horizontálnej priority Trvalo udržateľný rozvoj (ďalej len „HP TUR“) </w:t>
      </w:r>
      <w:r w:rsidR="000B02E6">
        <w:rPr>
          <w:rFonts w:ascii="Arial" w:hAnsi="Arial" w:cs="Arial"/>
          <w:sz w:val="20"/>
          <w:szCs w:val="20"/>
        </w:rPr>
        <w:t>bolo</w:t>
      </w:r>
      <w:r w:rsidR="000B02E6" w:rsidRPr="00E21C60">
        <w:rPr>
          <w:rFonts w:ascii="Arial" w:hAnsi="Arial" w:cs="Arial"/>
          <w:sz w:val="20"/>
          <w:szCs w:val="20"/>
        </w:rPr>
        <w:t xml:space="preserve"> </w:t>
      </w:r>
      <w:r w:rsidRPr="00E21C60">
        <w:rPr>
          <w:rFonts w:ascii="Arial" w:hAnsi="Arial" w:cs="Arial"/>
          <w:sz w:val="20"/>
          <w:szCs w:val="20"/>
        </w:rPr>
        <w:t xml:space="preserve">zabezpečenie environmentálnej, ekonomickej a sociálnej udržateľnosti ekonomického rastu. Špecifické ciele HP TUR </w:t>
      </w:r>
      <w:r w:rsidR="000B02E6">
        <w:rPr>
          <w:rFonts w:ascii="Arial" w:hAnsi="Arial" w:cs="Arial"/>
          <w:sz w:val="20"/>
          <w:szCs w:val="20"/>
        </w:rPr>
        <w:t>boli</w:t>
      </w:r>
      <w:r w:rsidRPr="00E21C60">
        <w:rPr>
          <w:rFonts w:ascii="Arial" w:hAnsi="Arial" w:cs="Arial"/>
          <w:sz w:val="20"/>
          <w:szCs w:val="20"/>
        </w:rPr>
        <w:t xml:space="preserve"> zamerané na štyri oblasti: zvýšenie ekonomickej prosperity, zvýšenie kvality životného prostredia, sociálnu solidaritu a inklúziu a vyrovnaný regionálny rozvoj.</w:t>
      </w:r>
    </w:p>
    <w:p w14:paraId="242FD85F" w14:textId="7F7A7DA5" w:rsidR="00203875" w:rsidRDefault="00055361" w:rsidP="00123376">
      <w:pPr>
        <w:spacing w:before="120" w:after="120"/>
        <w:jc w:val="both"/>
        <w:rPr>
          <w:rFonts w:ascii="Arial" w:hAnsi="Arial" w:cs="Arial"/>
          <w:sz w:val="20"/>
          <w:szCs w:val="20"/>
        </w:rPr>
      </w:pPr>
      <w:r w:rsidRPr="00E21C60">
        <w:rPr>
          <w:rFonts w:ascii="Arial" w:hAnsi="Arial" w:cs="Arial"/>
          <w:sz w:val="20"/>
          <w:szCs w:val="20"/>
        </w:rPr>
        <w:t xml:space="preserve">Koordinátor HP TUR </w:t>
      </w:r>
      <w:r w:rsidR="000B02E6">
        <w:rPr>
          <w:rFonts w:ascii="Arial" w:hAnsi="Arial" w:cs="Arial"/>
          <w:sz w:val="20"/>
          <w:szCs w:val="20"/>
        </w:rPr>
        <w:t>bol</w:t>
      </w:r>
      <w:r w:rsidRPr="00E21C60">
        <w:rPr>
          <w:rFonts w:ascii="Arial" w:hAnsi="Arial" w:cs="Arial"/>
          <w:sz w:val="20"/>
          <w:szCs w:val="20"/>
        </w:rPr>
        <w:t xml:space="preserve"> zapojený do systému riadenia a kontroly ŠF a KF na úrovni NSRR v súlade s ustanoveniami </w:t>
      </w:r>
      <w:r w:rsidR="00C31485" w:rsidRPr="00E21C60">
        <w:rPr>
          <w:rFonts w:ascii="Arial" w:hAnsi="Arial" w:cs="Arial"/>
          <w:sz w:val="20"/>
          <w:szCs w:val="20"/>
        </w:rPr>
        <w:t>n</w:t>
      </w:r>
      <w:r w:rsidRPr="00E21C60">
        <w:rPr>
          <w:rFonts w:ascii="Arial" w:hAnsi="Arial" w:cs="Arial"/>
          <w:sz w:val="20"/>
          <w:szCs w:val="20"/>
        </w:rPr>
        <w:t xml:space="preserve">ariadenia Rady (ES) </w:t>
      </w:r>
      <w:r w:rsidR="00FC305F">
        <w:rPr>
          <w:rFonts w:ascii="Arial" w:hAnsi="Arial" w:cs="Arial"/>
          <w:sz w:val="20"/>
          <w:szCs w:val="20"/>
        </w:rPr>
        <w:t xml:space="preserve">č. </w:t>
      </w:r>
      <w:r w:rsidRPr="00E21C60">
        <w:rPr>
          <w:rFonts w:ascii="Arial" w:hAnsi="Arial" w:cs="Arial"/>
          <w:sz w:val="20"/>
          <w:szCs w:val="20"/>
        </w:rPr>
        <w:t xml:space="preserve">1083/2006 a rozhodnutím vlády SR. Inštitucionálnym koordinátorom HP TUR </w:t>
      </w:r>
      <w:r w:rsidR="000B02E6">
        <w:rPr>
          <w:rFonts w:ascii="Arial" w:hAnsi="Arial" w:cs="Arial"/>
          <w:sz w:val="20"/>
          <w:szCs w:val="20"/>
        </w:rPr>
        <w:t>bol</w:t>
      </w:r>
      <w:r w:rsidR="000B02E6" w:rsidRPr="00E21C60">
        <w:rPr>
          <w:rFonts w:ascii="Arial" w:hAnsi="Arial" w:cs="Arial"/>
          <w:sz w:val="20"/>
          <w:szCs w:val="20"/>
        </w:rPr>
        <w:t xml:space="preserve"> </w:t>
      </w:r>
      <w:r w:rsidRPr="00E21C60">
        <w:rPr>
          <w:rFonts w:ascii="Arial" w:hAnsi="Arial" w:cs="Arial"/>
          <w:sz w:val="20"/>
          <w:szCs w:val="20"/>
        </w:rPr>
        <w:t>Úrad vlády SR, odbor prierezových priorít, ktorý v súlade s uplatňovaním princípu partnerstva a s cieľom zabezpečenia koordinovaného postupu všetkých RO pri implementácii HP TUR vedie Pracovnú skupinu pre HP TUR.</w:t>
      </w:r>
      <w:r w:rsidR="00FB4E90" w:rsidRPr="00FB4E90">
        <w:rPr>
          <w:rFonts w:ascii="Arial" w:hAnsi="Arial" w:cs="Arial"/>
          <w:sz w:val="20"/>
          <w:szCs w:val="20"/>
        </w:rPr>
        <w:t xml:space="preserve"> </w:t>
      </w:r>
    </w:p>
    <w:p w14:paraId="61F43609" w14:textId="77777777" w:rsidR="00055361" w:rsidRPr="006E5D4B" w:rsidRDefault="00DF2933" w:rsidP="00123376">
      <w:pPr>
        <w:spacing w:before="120" w:after="120"/>
        <w:jc w:val="both"/>
        <w:rPr>
          <w:rFonts w:ascii="Arial" w:hAnsi="Arial" w:cs="Arial"/>
          <w:sz w:val="20"/>
          <w:szCs w:val="20"/>
          <w:lang w:eastAsia="cs-CZ"/>
        </w:rPr>
      </w:pPr>
      <w:r w:rsidRPr="006E5D4B">
        <w:rPr>
          <w:rFonts w:ascii="Arial" w:hAnsi="Arial" w:cs="Arial"/>
          <w:b/>
          <w:i/>
          <w:sz w:val="20"/>
          <w:szCs w:val="20"/>
        </w:rPr>
        <w:t>Dosiahnutie cieľov a analýza dosiahnutého pokroku</w:t>
      </w:r>
      <w:r w:rsidRPr="006E5D4B" w:rsidDel="00B85390">
        <w:rPr>
          <w:rFonts w:ascii="Arial" w:hAnsi="Arial" w:cs="Arial"/>
          <w:b/>
          <w:i/>
          <w:sz w:val="20"/>
          <w:szCs w:val="20"/>
        </w:rPr>
        <w:t xml:space="preserve"> </w:t>
      </w:r>
      <w:r w:rsidRPr="006E5D4B">
        <w:rPr>
          <w:rFonts w:ascii="Arial" w:hAnsi="Arial" w:cs="Arial"/>
          <w:b/>
          <w:i/>
          <w:sz w:val="20"/>
          <w:szCs w:val="20"/>
        </w:rPr>
        <w:t>vo vzťahu k HP TUR</w:t>
      </w:r>
    </w:p>
    <w:p w14:paraId="70C9ECE7" w14:textId="62F346A1"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Spomedzi horizontálnych priorít, stanovených na úrovni NSRR SR na roky 2007 – 2013, </w:t>
      </w:r>
      <w:r w:rsidR="00A75E53">
        <w:rPr>
          <w:rFonts w:ascii="Arial" w:hAnsi="Arial" w:cs="Arial"/>
          <w:sz w:val="20"/>
          <w:szCs w:val="20"/>
          <w:lang w:eastAsia="cs-CZ"/>
        </w:rPr>
        <w:t>bol</w:t>
      </w:r>
      <w:r w:rsidR="00A75E53" w:rsidRPr="006E5D4B">
        <w:rPr>
          <w:rFonts w:ascii="Arial" w:hAnsi="Arial" w:cs="Arial"/>
          <w:sz w:val="20"/>
          <w:szCs w:val="20"/>
          <w:lang w:eastAsia="cs-CZ"/>
        </w:rPr>
        <w:t xml:space="preserve"> </w:t>
      </w:r>
      <w:r w:rsidRPr="006E5D4B">
        <w:rPr>
          <w:rFonts w:ascii="Arial" w:hAnsi="Arial" w:cs="Arial"/>
          <w:sz w:val="20"/>
          <w:szCs w:val="20"/>
          <w:lang w:eastAsia="cs-CZ"/>
        </w:rPr>
        <w:t xml:space="preserve">vo vzťahu k OP ŽP najviac významnou HP TUR, </w:t>
      </w:r>
      <w:r w:rsidR="00376114" w:rsidRPr="006E5D4B">
        <w:rPr>
          <w:rFonts w:ascii="Arial" w:hAnsi="Arial" w:cs="Arial"/>
          <w:sz w:val="20"/>
          <w:szCs w:val="20"/>
          <w:lang w:eastAsia="cs-CZ"/>
        </w:rPr>
        <w:t>s</w:t>
      </w:r>
      <w:r w:rsidRPr="006E5D4B">
        <w:rPr>
          <w:rFonts w:ascii="Arial" w:hAnsi="Arial" w:cs="Arial"/>
          <w:sz w:val="20"/>
          <w:szCs w:val="20"/>
          <w:lang w:eastAsia="cs-CZ"/>
        </w:rPr>
        <w:t xml:space="preserve"> podporou ktorej </w:t>
      </w:r>
      <w:r w:rsidR="00A75E53">
        <w:rPr>
          <w:rFonts w:ascii="Arial" w:hAnsi="Arial" w:cs="Arial"/>
          <w:sz w:val="20"/>
          <w:szCs w:val="20"/>
          <w:lang w:eastAsia="cs-CZ"/>
        </w:rPr>
        <w:t>boli</w:t>
      </w:r>
      <w:r w:rsidRPr="006E5D4B">
        <w:rPr>
          <w:rFonts w:ascii="Arial" w:hAnsi="Arial" w:cs="Arial"/>
          <w:sz w:val="20"/>
          <w:szCs w:val="20"/>
          <w:lang w:eastAsia="cs-CZ"/>
        </w:rPr>
        <w:t xml:space="preserve"> priamo prepojené ciele OP ŽP. Preto aj veľká časť projektov implementovaných v rámci OP ŽP prispieva</w:t>
      </w:r>
      <w:r w:rsidR="00A75E53">
        <w:rPr>
          <w:rFonts w:ascii="Arial" w:hAnsi="Arial" w:cs="Arial"/>
          <w:sz w:val="20"/>
          <w:szCs w:val="20"/>
          <w:lang w:eastAsia="cs-CZ"/>
        </w:rPr>
        <w:t>la</w:t>
      </w:r>
      <w:r w:rsidRPr="006E5D4B">
        <w:rPr>
          <w:rFonts w:ascii="Arial" w:hAnsi="Arial" w:cs="Arial"/>
          <w:sz w:val="20"/>
          <w:szCs w:val="20"/>
          <w:lang w:eastAsia="cs-CZ"/>
        </w:rPr>
        <w:t xml:space="preserve"> k napĺňaniu cieľov HP TUR. </w:t>
      </w:r>
    </w:p>
    <w:p w14:paraId="4318D258" w14:textId="21A2F707"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Pri charakteristike príspevku OP ŽP k plneniu cieľov a ukazovateľov HP TUR ako horizontálnej priority NSRR SR na roky 2007 – 2013 </w:t>
      </w:r>
      <w:r w:rsidR="00F41887" w:rsidRPr="006E5D4B">
        <w:rPr>
          <w:rFonts w:ascii="Arial" w:hAnsi="Arial" w:cs="Arial"/>
          <w:sz w:val="20"/>
          <w:szCs w:val="20"/>
          <w:lang w:eastAsia="cs-CZ"/>
        </w:rPr>
        <w:t>RO</w:t>
      </w:r>
      <w:r w:rsidRPr="006E5D4B">
        <w:rPr>
          <w:rFonts w:ascii="Arial" w:hAnsi="Arial" w:cs="Arial"/>
          <w:sz w:val="20"/>
          <w:szCs w:val="20"/>
          <w:lang w:eastAsia="cs-CZ"/>
        </w:rPr>
        <w:t xml:space="preserve"> pre OP ŽP </w:t>
      </w:r>
      <w:r w:rsidR="00A765C1">
        <w:rPr>
          <w:rFonts w:ascii="Arial" w:hAnsi="Arial" w:cs="Arial"/>
          <w:sz w:val="20"/>
          <w:szCs w:val="20"/>
          <w:lang w:eastAsia="cs-CZ"/>
        </w:rPr>
        <w:t xml:space="preserve">sa </w:t>
      </w:r>
      <w:r w:rsidRPr="006E5D4B">
        <w:rPr>
          <w:rFonts w:ascii="Arial" w:hAnsi="Arial" w:cs="Arial"/>
          <w:sz w:val="20"/>
          <w:szCs w:val="20"/>
          <w:lang w:eastAsia="cs-CZ"/>
        </w:rPr>
        <w:t>vychádza</w:t>
      </w:r>
      <w:r w:rsidR="00A765C1">
        <w:rPr>
          <w:rFonts w:ascii="Arial" w:hAnsi="Arial" w:cs="Arial"/>
          <w:sz w:val="20"/>
          <w:szCs w:val="20"/>
          <w:lang w:eastAsia="cs-CZ"/>
        </w:rPr>
        <w:t>lo</w:t>
      </w:r>
      <w:r w:rsidRPr="006E5D4B">
        <w:rPr>
          <w:rFonts w:ascii="Arial" w:hAnsi="Arial" w:cs="Arial"/>
          <w:sz w:val="20"/>
          <w:szCs w:val="20"/>
          <w:lang w:eastAsia="cs-CZ"/>
        </w:rPr>
        <w:t xml:space="preserve"> z charakteristiky cieľa HP TUR v kap. 4.3.5 NSRR, v súlade s ktorou </w:t>
      </w:r>
      <w:r w:rsidR="00A765C1">
        <w:rPr>
          <w:rFonts w:ascii="Arial" w:hAnsi="Arial" w:cs="Arial"/>
          <w:sz w:val="20"/>
          <w:szCs w:val="20"/>
          <w:lang w:eastAsia="cs-CZ"/>
        </w:rPr>
        <w:t>bolo</w:t>
      </w:r>
      <w:r w:rsidRPr="006E5D4B">
        <w:rPr>
          <w:rFonts w:ascii="Arial" w:hAnsi="Arial" w:cs="Arial"/>
          <w:sz w:val="20"/>
          <w:szCs w:val="20"/>
          <w:lang w:eastAsia="cs-CZ"/>
        </w:rPr>
        <w:t xml:space="preserve"> cieľom HP TUR zabezpečiť, aby výsledný efekt všetkých intervencií financovaných v rámci NSRR synergicky podporoval trvalo udržateľný rozvoj vo všetkých jeho zložkách, t.j. v environmentálnej, ekonomickej a sociálnej zložke</w:t>
      </w:r>
      <w:r w:rsidR="00530FBD" w:rsidRPr="006E5D4B">
        <w:rPr>
          <w:rFonts w:ascii="Arial" w:hAnsi="Arial" w:cs="Arial"/>
          <w:sz w:val="20"/>
          <w:szCs w:val="20"/>
          <w:lang w:eastAsia="cs-CZ"/>
        </w:rPr>
        <w:t>.</w:t>
      </w:r>
      <w:r w:rsidRPr="006E5D4B">
        <w:rPr>
          <w:rFonts w:ascii="Arial" w:hAnsi="Arial" w:cs="Arial"/>
          <w:bCs/>
          <w:sz w:val="20"/>
          <w:szCs w:val="20"/>
          <w:lang w:eastAsia="cs-CZ"/>
        </w:rPr>
        <w:t xml:space="preserve"> </w:t>
      </w:r>
    </w:p>
    <w:p w14:paraId="2A4A626C" w14:textId="7D53CF8B"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Vo vzťahu k OP ŽP </w:t>
      </w:r>
      <w:r w:rsidR="00710101">
        <w:rPr>
          <w:rFonts w:ascii="Arial" w:hAnsi="Arial" w:cs="Arial"/>
          <w:sz w:val="20"/>
          <w:szCs w:val="20"/>
          <w:lang w:eastAsia="cs-CZ"/>
        </w:rPr>
        <w:t>bol</w:t>
      </w:r>
      <w:r w:rsidR="00710101" w:rsidRPr="006E5D4B">
        <w:rPr>
          <w:rFonts w:ascii="Arial" w:hAnsi="Arial" w:cs="Arial"/>
          <w:sz w:val="20"/>
          <w:szCs w:val="20"/>
          <w:lang w:eastAsia="cs-CZ"/>
        </w:rPr>
        <w:t xml:space="preserve"> </w:t>
      </w:r>
      <w:r w:rsidRPr="006E5D4B">
        <w:rPr>
          <w:rFonts w:ascii="Arial" w:hAnsi="Arial" w:cs="Arial"/>
          <w:sz w:val="20"/>
          <w:szCs w:val="20"/>
          <w:lang w:eastAsia="cs-CZ"/>
        </w:rPr>
        <w:t>HP TUR významn</w:t>
      </w:r>
      <w:r w:rsidRPr="006E5D4B" w:rsidDel="00AE22D5">
        <w:rPr>
          <w:rFonts w:ascii="Arial" w:hAnsi="Arial" w:cs="Arial"/>
          <w:sz w:val="20"/>
          <w:szCs w:val="20"/>
          <w:lang w:eastAsia="cs-CZ"/>
        </w:rPr>
        <w:t>ou</w:t>
      </w:r>
      <w:r w:rsidRPr="006E5D4B">
        <w:rPr>
          <w:rFonts w:ascii="Arial" w:hAnsi="Arial" w:cs="Arial"/>
          <w:sz w:val="20"/>
          <w:szCs w:val="20"/>
          <w:lang w:eastAsia="cs-CZ"/>
        </w:rPr>
        <w:t xml:space="preserve"> z hľadiska jeho celkového zamerania i hlavného obsahu, čo priamo vyplýva i z globálneho cieľa OP ŽP, ktorého súčasťou </w:t>
      </w:r>
      <w:r w:rsidR="00BF1D63">
        <w:rPr>
          <w:rFonts w:ascii="Arial" w:hAnsi="Arial" w:cs="Arial"/>
          <w:sz w:val="20"/>
          <w:szCs w:val="20"/>
          <w:lang w:eastAsia="cs-CZ"/>
        </w:rPr>
        <w:t>bolo</w:t>
      </w:r>
      <w:r w:rsidR="00BF1D63" w:rsidRPr="006E5D4B">
        <w:rPr>
          <w:rFonts w:ascii="Arial" w:hAnsi="Arial" w:cs="Arial"/>
          <w:sz w:val="20"/>
          <w:szCs w:val="20"/>
          <w:lang w:eastAsia="cs-CZ"/>
        </w:rPr>
        <w:t xml:space="preserve"> </w:t>
      </w:r>
      <w:r w:rsidRPr="006E5D4B">
        <w:rPr>
          <w:rFonts w:ascii="Arial" w:hAnsi="Arial" w:cs="Arial"/>
          <w:sz w:val="20"/>
          <w:szCs w:val="20"/>
          <w:lang w:eastAsia="cs-CZ"/>
        </w:rPr>
        <w:t>posilnenie efektívnosti environmentálnej zložky TUR. Prioritné osi OP ŽP prispievajú k ochrane a zlepšeniu stavu jednotlivých zložiek životného prostredia, pričom OP ŽP ako celok prostredníctvom ich podpory prispieva</w:t>
      </w:r>
      <w:r w:rsidR="00BF1D63">
        <w:rPr>
          <w:rFonts w:ascii="Arial" w:hAnsi="Arial" w:cs="Arial"/>
          <w:sz w:val="20"/>
          <w:szCs w:val="20"/>
          <w:lang w:eastAsia="cs-CZ"/>
        </w:rPr>
        <w:t>lo</w:t>
      </w:r>
      <w:r w:rsidRPr="006E5D4B">
        <w:rPr>
          <w:rFonts w:ascii="Arial" w:hAnsi="Arial" w:cs="Arial"/>
          <w:sz w:val="20"/>
          <w:szCs w:val="20"/>
          <w:lang w:eastAsia="cs-CZ"/>
        </w:rPr>
        <w:t xml:space="preserve"> k zachovaniu priaznivého životného prostredia pre budúce generácie.</w:t>
      </w:r>
    </w:p>
    <w:p w14:paraId="02AE84A8" w14:textId="134E047B"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Napriek tomu, že OP ŽP vzhľadom na jeho vyššie uvedený globálny cieľ, ako aj hlavné obsahové zameranie na plnenie záväzkov SR vyplývajúcich z environmentálneho acquis, prioritne prispieva</w:t>
      </w:r>
      <w:r w:rsidR="00BF1D63">
        <w:rPr>
          <w:rFonts w:ascii="Arial" w:hAnsi="Arial" w:cs="Arial"/>
          <w:sz w:val="20"/>
          <w:szCs w:val="20"/>
          <w:lang w:eastAsia="cs-CZ"/>
        </w:rPr>
        <w:t>l</w:t>
      </w:r>
      <w:r w:rsidRPr="006E5D4B">
        <w:rPr>
          <w:rFonts w:ascii="Arial" w:hAnsi="Arial" w:cs="Arial"/>
          <w:sz w:val="20"/>
          <w:szCs w:val="20"/>
          <w:lang w:eastAsia="cs-CZ"/>
        </w:rPr>
        <w:t xml:space="preserve"> k posilneniu environmentálneho piliera TUR, aktivity podporované v rámci OP ŽP prispieva</w:t>
      </w:r>
      <w:r w:rsidR="00BF1D63">
        <w:rPr>
          <w:rFonts w:ascii="Arial" w:hAnsi="Arial" w:cs="Arial"/>
          <w:sz w:val="20"/>
          <w:szCs w:val="20"/>
          <w:lang w:eastAsia="cs-CZ"/>
        </w:rPr>
        <w:t>li</w:t>
      </w:r>
      <w:r w:rsidRPr="006E5D4B">
        <w:rPr>
          <w:rFonts w:ascii="Arial" w:hAnsi="Arial" w:cs="Arial"/>
          <w:sz w:val="20"/>
          <w:szCs w:val="20"/>
          <w:lang w:eastAsia="cs-CZ"/>
        </w:rPr>
        <w:t xml:space="preserve"> taktiež k realizácii ekonomického a sociálneho aspektu TUR.</w:t>
      </w:r>
    </w:p>
    <w:p w14:paraId="7C23D614" w14:textId="5180F61E"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Vo vzťahu k vyššie uvedeným témam OP ŽP výrazne prispieva</w:t>
      </w:r>
      <w:r w:rsidR="00BF1D63">
        <w:rPr>
          <w:rFonts w:ascii="Arial" w:hAnsi="Arial" w:cs="Arial"/>
          <w:sz w:val="20"/>
          <w:szCs w:val="20"/>
          <w:lang w:eastAsia="cs-CZ"/>
        </w:rPr>
        <w:t>l</w:t>
      </w:r>
      <w:r w:rsidRPr="006E5D4B">
        <w:rPr>
          <w:rFonts w:ascii="Arial" w:hAnsi="Arial" w:cs="Arial"/>
          <w:sz w:val="20"/>
          <w:szCs w:val="20"/>
          <w:lang w:eastAsia="cs-CZ"/>
        </w:rPr>
        <w:t xml:space="preserve"> k realizácii témy „zmena klímy a čistá energia“, a to najmä v rámci prioritnej osi 3 Ochrana ovzdušia a minimalizácia nepriaznivých vplyvov zmeny klímy. Aktivity, ktorých súčasťou </w:t>
      </w:r>
      <w:r w:rsidR="00BF1D63">
        <w:rPr>
          <w:rFonts w:ascii="Arial" w:hAnsi="Arial" w:cs="Arial"/>
          <w:sz w:val="20"/>
          <w:szCs w:val="20"/>
          <w:lang w:eastAsia="cs-CZ"/>
        </w:rPr>
        <w:t>boli</w:t>
      </w:r>
      <w:r w:rsidRPr="006E5D4B">
        <w:rPr>
          <w:rFonts w:ascii="Arial" w:hAnsi="Arial" w:cs="Arial"/>
          <w:sz w:val="20"/>
          <w:szCs w:val="20"/>
          <w:lang w:eastAsia="cs-CZ"/>
        </w:rPr>
        <w:t xml:space="preserve"> opatrenia na zdrojoch znečisťovania ovzdušia (a to nielen inštalácia účinnejších odlučovacích zariadení, desulfurizačných zariadení atď., ale najmä zmena surovinovej základne s cieľom dosiahnuť nižší obsah/vznik emisií znečisťujúcich látok, zmena princípu technológie výroby, ktorej výsledkom </w:t>
      </w:r>
      <w:r w:rsidR="009277FA">
        <w:rPr>
          <w:rFonts w:ascii="Arial" w:hAnsi="Arial" w:cs="Arial"/>
          <w:sz w:val="20"/>
          <w:szCs w:val="20"/>
          <w:lang w:eastAsia="cs-CZ"/>
        </w:rPr>
        <w:t>bolo</w:t>
      </w:r>
      <w:r w:rsidRPr="006E5D4B">
        <w:rPr>
          <w:rFonts w:ascii="Arial" w:hAnsi="Arial" w:cs="Arial"/>
          <w:sz w:val="20"/>
          <w:szCs w:val="20"/>
          <w:lang w:eastAsia="cs-CZ"/>
        </w:rPr>
        <w:t xml:space="preserve"> zníženie emisií), ako aj projekty zamerané na dosiahnutie výraznejšie nižších emisií (nad rámec požiadaviek vyplývajúcich zo smerníc EÚ) v porovnaní so štandardným stavom technológií predstavujúcich zdroje znečisťovania ovzdušia smerujú nielen k zlepšeniu kvality ovzdušia, ale zároveň tiež k zavádzaniu environmentálne priaznivých technológií, a tým k podpore udržateľného ekonomického rastu. </w:t>
      </w:r>
    </w:p>
    <w:p w14:paraId="05D8AE30" w14:textId="5B6EC160"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Rovnako </w:t>
      </w:r>
      <w:r w:rsidR="00793840">
        <w:rPr>
          <w:rFonts w:ascii="Arial" w:hAnsi="Arial" w:cs="Arial"/>
          <w:sz w:val="20"/>
          <w:szCs w:val="20"/>
          <w:lang w:eastAsia="cs-CZ"/>
        </w:rPr>
        <w:t>t</w:t>
      </w:r>
      <w:r w:rsidRPr="006E5D4B">
        <w:rPr>
          <w:rFonts w:ascii="Arial" w:hAnsi="Arial" w:cs="Arial"/>
          <w:sz w:val="20"/>
          <w:szCs w:val="20"/>
          <w:lang w:eastAsia="cs-CZ"/>
        </w:rPr>
        <w:t>omu</w:t>
      </w:r>
      <w:r w:rsidR="00793840">
        <w:rPr>
          <w:rFonts w:ascii="Arial" w:hAnsi="Arial" w:cs="Arial"/>
          <w:sz w:val="20"/>
          <w:szCs w:val="20"/>
          <w:lang w:eastAsia="cs-CZ"/>
        </w:rPr>
        <w:t xml:space="preserve"> bolo</w:t>
      </w:r>
      <w:r w:rsidRPr="006E5D4B">
        <w:rPr>
          <w:rFonts w:ascii="Arial" w:hAnsi="Arial" w:cs="Arial"/>
          <w:sz w:val="20"/>
          <w:szCs w:val="20"/>
          <w:lang w:eastAsia="cs-CZ"/>
        </w:rPr>
        <w:t xml:space="preserve"> aj v prípade aktivít zameraných na znižovanie emisií skleníkových plynov spolu so znižovaním emisií základných znečisťujúcich látok v oblasti výroby tepla, vrátane zmeny palivovej základne energetických zdrojov v prospech využívania </w:t>
      </w:r>
      <w:r w:rsidR="00B575AD">
        <w:rPr>
          <w:rFonts w:ascii="Arial" w:hAnsi="Arial" w:cs="Arial"/>
          <w:iCs/>
          <w:sz w:val="20"/>
          <w:szCs w:val="20"/>
          <w:lang w:eastAsia="en-US"/>
        </w:rPr>
        <w:t>OZE</w:t>
      </w:r>
      <w:r w:rsidRPr="006E5D4B">
        <w:rPr>
          <w:rFonts w:ascii="Arial" w:hAnsi="Arial" w:cs="Arial"/>
          <w:sz w:val="20"/>
          <w:szCs w:val="20"/>
          <w:lang w:eastAsia="cs-CZ"/>
        </w:rPr>
        <w:t>.</w:t>
      </w:r>
    </w:p>
    <w:p w14:paraId="649F27A6" w14:textId="6C35F215"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Dôležitou súčasťou príspevku OP ŽP k napĺňaniu HP TUR </w:t>
      </w:r>
      <w:r w:rsidR="00793840">
        <w:rPr>
          <w:rFonts w:ascii="Arial" w:hAnsi="Arial" w:cs="Arial"/>
          <w:sz w:val="20"/>
          <w:szCs w:val="20"/>
          <w:lang w:eastAsia="cs-CZ"/>
        </w:rPr>
        <w:t>bol</w:t>
      </w:r>
      <w:r w:rsidRPr="006E5D4B">
        <w:rPr>
          <w:rFonts w:ascii="Arial" w:hAnsi="Arial" w:cs="Arial"/>
          <w:sz w:val="20"/>
          <w:szCs w:val="20"/>
          <w:lang w:eastAsia="cs-CZ"/>
        </w:rPr>
        <w:t xml:space="preserve"> tiež príspevok OP ŽP k napĺňaniu horizontálnej priority TUR energetická efektívnosť. Primárne k napĺňaniu uvedenej horizontálnej priority prispievajú projekty v rámci prioritnej osi 3. Ochrana ovzdušia a minimalizácia nepriaznivých vplyvov zmeny klímy, avšak z dôvodu podporiť snahu žiadateľov o zvyšovanie energetickej efektívnosti a dosahovanie energetických úspor sa ukazovatele energetickej efektívnosti sled</w:t>
      </w:r>
      <w:r w:rsidR="00B11884">
        <w:rPr>
          <w:rFonts w:ascii="Arial" w:hAnsi="Arial" w:cs="Arial"/>
          <w:sz w:val="20"/>
          <w:szCs w:val="20"/>
          <w:lang w:eastAsia="cs-CZ"/>
        </w:rPr>
        <w:t>ovali</w:t>
      </w:r>
      <w:r w:rsidRPr="006E5D4B">
        <w:rPr>
          <w:rFonts w:ascii="Arial" w:hAnsi="Arial" w:cs="Arial"/>
          <w:sz w:val="20"/>
          <w:szCs w:val="20"/>
          <w:lang w:eastAsia="cs-CZ"/>
        </w:rPr>
        <w:t xml:space="preserve"> na úrovni viacerých prioritných osí OP ŽP (prioritných osí 1, 3, 4 a 5), keďže ich súčasťou </w:t>
      </w:r>
      <w:r w:rsidR="00B11884">
        <w:rPr>
          <w:rFonts w:ascii="Arial" w:hAnsi="Arial" w:cs="Arial"/>
          <w:sz w:val="20"/>
          <w:szCs w:val="20"/>
          <w:lang w:eastAsia="cs-CZ"/>
        </w:rPr>
        <w:t>bola</w:t>
      </w:r>
      <w:r w:rsidRPr="006E5D4B">
        <w:rPr>
          <w:rFonts w:ascii="Arial" w:hAnsi="Arial" w:cs="Arial"/>
          <w:sz w:val="20"/>
          <w:szCs w:val="20"/>
          <w:lang w:eastAsia="cs-CZ"/>
        </w:rPr>
        <w:t xml:space="preserve"> v určitej miere výstavba budov alebo zariadení.</w:t>
      </w:r>
    </w:p>
    <w:p w14:paraId="48C0FEB2" w14:textId="2633EC0F"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Prioritná os 3 </w:t>
      </w:r>
      <w:r w:rsidR="00B11884">
        <w:rPr>
          <w:rFonts w:ascii="Arial" w:hAnsi="Arial" w:cs="Arial"/>
          <w:sz w:val="20"/>
          <w:szCs w:val="20"/>
          <w:lang w:eastAsia="cs-CZ"/>
        </w:rPr>
        <w:t>bola</w:t>
      </w:r>
      <w:r w:rsidR="00B11884" w:rsidRPr="006E5D4B">
        <w:rPr>
          <w:rFonts w:ascii="Arial" w:hAnsi="Arial" w:cs="Arial"/>
          <w:sz w:val="20"/>
          <w:szCs w:val="20"/>
          <w:lang w:eastAsia="cs-CZ"/>
        </w:rPr>
        <w:t xml:space="preserve"> </w:t>
      </w:r>
      <w:r w:rsidRPr="006E5D4B">
        <w:rPr>
          <w:rFonts w:ascii="Arial" w:hAnsi="Arial" w:cs="Arial"/>
          <w:sz w:val="20"/>
          <w:szCs w:val="20"/>
          <w:lang w:eastAsia="cs-CZ"/>
        </w:rPr>
        <w:t>zároveň príspevkom k realizácii témy „trvalo udržateľná doprava“, pretože v rámci nej sa podpor</w:t>
      </w:r>
      <w:r w:rsidR="00B11884">
        <w:rPr>
          <w:rFonts w:ascii="Arial" w:hAnsi="Arial" w:cs="Arial"/>
          <w:sz w:val="20"/>
          <w:szCs w:val="20"/>
          <w:lang w:eastAsia="cs-CZ"/>
        </w:rPr>
        <w:t>ovali</w:t>
      </w:r>
      <w:r w:rsidRPr="006E5D4B">
        <w:rPr>
          <w:rFonts w:ascii="Arial" w:hAnsi="Arial" w:cs="Arial"/>
          <w:sz w:val="20"/>
          <w:szCs w:val="20"/>
          <w:lang w:eastAsia="cs-CZ"/>
        </w:rPr>
        <w:t xml:space="preserve"> tiež aktivity zamerané na zníženie emisií znečisťujúcich látok z verejnej dopravy (prioritne v oblastiach vyžadujúcich osobitnú ochranu ovzdušia), konkrétne plynofikácia autobusov </w:t>
      </w:r>
      <w:r w:rsidRPr="006E5D4B">
        <w:rPr>
          <w:rFonts w:ascii="Arial" w:hAnsi="Arial" w:cs="Arial"/>
          <w:sz w:val="20"/>
          <w:szCs w:val="20"/>
          <w:lang w:eastAsia="cs-CZ"/>
        </w:rPr>
        <w:lastRenderedPageBreak/>
        <w:t>verejnej dopravy a náhrada autobusovej verejnej dopravy trolejbusovou alebo električkovou dopravou</w:t>
      </w:r>
      <w:r w:rsidR="00E44219">
        <w:rPr>
          <w:rFonts w:ascii="Arial" w:hAnsi="Arial" w:cs="Arial"/>
          <w:sz w:val="20"/>
          <w:szCs w:val="20"/>
          <w:lang w:eastAsia="cs-CZ"/>
        </w:rPr>
        <w:t>, príp. elektrobusmi</w:t>
      </w:r>
      <w:r w:rsidRPr="006E5D4B">
        <w:rPr>
          <w:rFonts w:ascii="Arial" w:hAnsi="Arial" w:cs="Arial"/>
          <w:sz w:val="20"/>
          <w:szCs w:val="20"/>
          <w:lang w:eastAsia="cs-CZ"/>
        </w:rPr>
        <w:t>).</w:t>
      </w:r>
    </w:p>
    <w:p w14:paraId="2EF7C204" w14:textId="1B3221C2"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Príspevkom k téme „trvalo udržateľná spotreba a výroba“ </w:t>
      </w:r>
      <w:r w:rsidR="00B11884">
        <w:rPr>
          <w:rFonts w:ascii="Arial" w:hAnsi="Arial" w:cs="Arial"/>
          <w:sz w:val="20"/>
          <w:szCs w:val="20"/>
          <w:lang w:eastAsia="cs-CZ"/>
        </w:rPr>
        <w:t>boli</w:t>
      </w:r>
      <w:r w:rsidRPr="006E5D4B">
        <w:rPr>
          <w:rFonts w:ascii="Arial" w:hAnsi="Arial" w:cs="Arial"/>
          <w:sz w:val="20"/>
          <w:szCs w:val="20"/>
          <w:lang w:eastAsia="cs-CZ"/>
        </w:rPr>
        <w:t xml:space="preserve"> taktiež aktivity podporované v rámci prioritnej osi 4 Odpadové hospodárstvo, najmä v oblasti </w:t>
      </w:r>
      <w:r w:rsidR="00F67DF1">
        <w:rPr>
          <w:rFonts w:ascii="Arial" w:hAnsi="Arial" w:cs="Arial"/>
          <w:sz w:val="20"/>
          <w:szCs w:val="20"/>
          <w:lang w:eastAsia="cs-CZ"/>
        </w:rPr>
        <w:t xml:space="preserve">triedeného </w:t>
      </w:r>
      <w:r w:rsidRPr="006E5D4B">
        <w:rPr>
          <w:rFonts w:ascii="Arial" w:hAnsi="Arial" w:cs="Arial"/>
          <w:sz w:val="20"/>
          <w:szCs w:val="20"/>
          <w:lang w:eastAsia="cs-CZ"/>
        </w:rPr>
        <w:t>zberu odpadov, zhodnocovania odpadov a nakladania s nebezpečnými odpadmi spôsobom priaznivým pre životné prostredie. Uvedené aktivity ma</w:t>
      </w:r>
      <w:r w:rsidR="00F607DB">
        <w:rPr>
          <w:rFonts w:ascii="Arial" w:hAnsi="Arial" w:cs="Arial"/>
          <w:sz w:val="20"/>
          <w:szCs w:val="20"/>
          <w:lang w:eastAsia="cs-CZ"/>
        </w:rPr>
        <w:t>li</w:t>
      </w:r>
      <w:r w:rsidRPr="006E5D4B">
        <w:rPr>
          <w:rFonts w:ascii="Arial" w:hAnsi="Arial" w:cs="Arial"/>
          <w:sz w:val="20"/>
          <w:szCs w:val="20"/>
          <w:lang w:eastAsia="cs-CZ"/>
        </w:rPr>
        <w:t xml:space="preserve"> okrem environmentálnych a výrazné ekonomické efekty, keďže napomáhajú nielen znižovaniu surovinovej náročnosti ekonomiky, ale aj stimulovaniu rozvoja oblasti ekonomickej činnosti odpadové hospodárstvo.</w:t>
      </w:r>
    </w:p>
    <w:p w14:paraId="71DAD4A3" w14:textId="7A655A0A" w:rsidR="001362DC" w:rsidRPr="00E21C60" w:rsidRDefault="001362DC" w:rsidP="00123376">
      <w:pPr>
        <w:spacing w:before="120" w:after="120"/>
        <w:jc w:val="both"/>
        <w:rPr>
          <w:rFonts w:ascii="Arial" w:hAnsi="Arial" w:cs="Arial"/>
          <w:sz w:val="20"/>
          <w:szCs w:val="20"/>
          <w:lang w:eastAsia="cs-CZ"/>
        </w:rPr>
      </w:pPr>
      <w:r w:rsidRPr="00E21C60">
        <w:rPr>
          <w:rFonts w:ascii="Arial" w:hAnsi="Arial" w:cs="Arial"/>
          <w:sz w:val="20"/>
          <w:szCs w:val="20"/>
          <w:lang w:eastAsia="cs-CZ"/>
        </w:rPr>
        <w:t>Uvedené aktivity predstav</w:t>
      </w:r>
      <w:r w:rsidR="00F607DB">
        <w:rPr>
          <w:rFonts w:ascii="Arial" w:hAnsi="Arial" w:cs="Arial"/>
          <w:sz w:val="20"/>
          <w:szCs w:val="20"/>
          <w:lang w:eastAsia="cs-CZ"/>
        </w:rPr>
        <w:t>ovali</w:t>
      </w:r>
      <w:r w:rsidRPr="00E21C60">
        <w:rPr>
          <w:rFonts w:ascii="Arial" w:hAnsi="Arial" w:cs="Arial"/>
          <w:sz w:val="20"/>
          <w:szCs w:val="20"/>
          <w:lang w:eastAsia="cs-CZ"/>
        </w:rPr>
        <w:t xml:space="preserve"> zároveň príspevok k realizácii témy „zachovanie prírodných zdrojov </w:t>
      </w:r>
      <w:r w:rsidR="00E62C53">
        <w:rPr>
          <w:rFonts w:ascii="Arial" w:hAnsi="Arial" w:cs="Arial"/>
          <w:sz w:val="20"/>
          <w:szCs w:val="20"/>
          <w:lang w:eastAsia="cs-CZ"/>
        </w:rPr>
        <w:br/>
      </w:r>
      <w:r w:rsidRPr="00E21C60">
        <w:rPr>
          <w:rFonts w:ascii="Arial" w:hAnsi="Arial" w:cs="Arial"/>
          <w:sz w:val="20"/>
          <w:szCs w:val="20"/>
          <w:lang w:eastAsia="cs-CZ"/>
        </w:rPr>
        <w:t>a hospodárenie s nimi“. S podporou uvedenej témy veľmi úzko súvis</w:t>
      </w:r>
      <w:r w:rsidR="00F607DB">
        <w:rPr>
          <w:rFonts w:ascii="Arial" w:hAnsi="Arial" w:cs="Arial"/>
          <w:sz w:val="20"/>
          <w:szCs w:val="20"/>
          <w:lang w:eastAsia="cs-CZ"/>
        </w:rPr>
        <w:t>ela</w:t>
      </w:r>
      <w:r w:rsidRPr="00E21C60">
        <w:rPr>
          <w:rFonts w:ascii="Arial" w:hAnsi="Arial" w:cs="Arial"/>
          <w:sz w:val="20"/>
          <w:szCs w:val="20"/>
          <w:lang w:eastAsia="cs-CZ"/>
        </w:rPr>
        <w:t xml:space="preserve"> prioritná os 5 Ochrana a regenerácia prírodného prostredia a krajiny. </w:t>
      </w:r>
    </w:p>
    <w:p w14:paraId="731C7277" w14:textId="0D4A179B" w:rsidR="00376114" w:rsidRPr="00E21C60" w:rsidRDefault="001362DC" w:rsidP="00123376">
      <w:pPr>
        <w:spacing w:before="120"/>
        <w:jc w:val="both"/>
        <w:rPr>
          <w:rFonts w:ascii="Arial" w:hAnsi="Arial" w:cs="Arial"/>
          <w:sz w:val="20"/>
          <w:szCs w:val="20"/>
          <w:lang w:eastAsia="cs-CZ"/>
        </w:rPr>
      </w:pPr>
      <w:r w:rsidRPr="00E21C60">
        <w:rPr>
          <w:rFonts w:ascii="Arial" w:hAnsi="Arial" w:cs="Arial"/>
          <w:sz w:val="20"/>
          <w:szCs w:val="20"/>
          <w:lang w:eastAsia="cs-CZ"/>
        </w:rPr>
        <w:t xml:space="preserve">Významným príspevkom nielen k plneniu záväzkov SR vyplývajúcich z environmentálneho acquis, </w:t>
      </w:r>
      <w:r w:rsidR="00C3360B">
        <w:rPr>
          <w:rFonts w:ascii="Arial" w:hAnsi="Arial" w:cs="Arial"/>
          <w:sz w:val="20"/>
          <w:szCs w:val="20"/>
          <w:lang w:eastAsia="cs-CZ"/>
        </w:rPr>
        <w:br/>
      </w:r>
      <w:r w:rsidRPr="00E21C60">
        <w:rPr>
          <w:rFonts w:ascii="Arial" w:hAnsi="Arial" w:cs="Arial"/>
          <w:sz w:val="20"/>
          <w:szCs w:val="20"/>
          <w:lang w:eastAsia="cs-CZ"/>
        </w:rPr>
        <w:t xml:space="preserve">ale tiež k realizácii prioritnej témy „verejné zdravie“ </w:t>
      </w:r>
      <w:r w:rsidR="00F607DB">
        <w:rPr>
          <w:rFonts w:ascii="Arial" w:hAnsi="Arial" w:cs="Arial"/>
          <w:sz w:val="20"/>
          <w:szCs w:val="20"/>
          <w:lang w:eastAsia="cs-CZ"/>
        </w:rPr>
        <w:t xml:space="preserve">boli </w:t>
      </w:r>
      <w:r w:rsidRPr="00E21C60">
        <w:rPr>
          <w:rFonts w:ascii="Arial" w:hAnsi="Arial" w:cs="Arial"/>
          <w:sz w:val="20"/>
          <w:szCs w:val="20"/>
          <w:lang w:eastAsia="cs-CZ"/>
        </w:rPr>
        <w:t xml:space="preserve">aktivity v rámci prioritnej osi 1 Integrovaná ochrana a racionálne využívanie vôd, zamerané na zásobovanie obyvateľstva pitnou vodou z verejných vodovodov, odvádzanie a čistenie komunálnych odpadových vôd, ale aj na zabezpečenie primeraného sledovania a hodnotenia stavu povrchových a podzemných vôd. Prínosom z hľadiska predchádzania ohrozeniu ľudského zdravia a života </w:t>
      </w:r>
      <w:r w:rsidR="00D07D4D">
        <w:rPr>
          <w:rFonts w:ascii="Arial" w:hAnsi="Arial" w:cs="Arial"/>
          <w:sz w:val="20"/>
          <w:szCs w:val="20"/>
          <w:lang w:eastAsia="cs-CZ"/>
        </w:rPr>
        <w:t>boli</w:t>
      </w:r>
      <w:r w:rsidRPr="00E21C60">
        <w:rPr>
          <w:rFonts w:ascii="Arial" w:hAnsi="Arial" w:cs="Arial"/>
          <w:sz w:val="20"/>
          <w:szCs w:val="20"/>
          <w:lang w:eastAsia="cs-CZ"/>
        </w:rPr>
        <w:t xml:space="preserve"> taktiež preventívne opatrenia na ochranu pred povodňami realizované v rámci prioritnej osi 2 Ochrana pred povodňami</w:t>
      </w:r>
      <w:r w:rsidR="00F95D04">
        <w:rPr>
          <w:rFonts w:ascii="Arial" w:hAnsi="Arial" w:cs="Arial"/>
          <w:sz w:val="20"/>
          <w:szCs w:val="20"/>
          <w:lang w:eastAsia="cs-CZ"/>
        </w:rPr>
        <w:t xml:space="preserve"> a</w:t>
      </w:r>
      <w:r w:rsidR="00376114" w:rsidRPr="00E21C60">
        <w:rPr>
          <w:rFonts w:ascii="Arial" w:hAnsi="Arial" w:cs="Arial"/>
          <w:sz w:val="20"/>
          <w:szCs w:val="20"/>
          <w:lang w:eastAsia="cs-CZ"/>
        </w:rPr>
        <w:t xml:space="preserve"> prioritnej osi 7 Budovanie povodňového varovného a predpovedného systému“.</w:t>
      </w:r>
    </w:p>
    <w:p w14:paraId="1483F31B" w14:textId="6584C53F" w:rsidR="00021D46" w:rsidRDefault="001362DC" w:rsidP="0008447E">
      <w:pPr>
        <w:spacing w:before="120" w:after="120"/>
        <w:jc w:val="both"/>
        <w:rPr>
          <w:rFonts w:ascii="Arial" w:hAnsi="Arial" w:cs="Arial"/>
          <w:sz w:val="20"/>
          <w:szCs w:val="20"/>
          <w:lang w:eastAsia="cs-CZ"/>
        </w:rPr>
      </w:pPr>
      <w:r w:rsidRPr="00E21C60">
        <w:rPr>
          <w:rFonts w:ascii="Arial" w:hAnsi="Arial" w:cs="Arial"/>
          <w:sz w:val="20"/>
          <w:szCs w:val="20"/>
          <w:lang w:eastAsia="cs-CZ"/>
        </w:rPr>
        <w:t>Vybudovanie a skvalitnenie environmentálnej infraštruktúry zároveň výrazne prispieva</w:t>
      </w:r>
      <w:r w:rsidR="00D07D4D">
        <w:rPr>
          <w:rFonts w:ascii="Arial" w:hAnsi="Arial" w:cs="Arial"/>
          <w:sz w:val="20"/>
          <w:szCs w:val="20"/>
          <w:lang w:eastAsia="cs-CZ"/>
        </w:rPr>
        <w:t>lo</w:t>
      </w:r>
      <w:r w:rsidRPr="00E21C60">
        <w:rPr>
          <w:rFonts w:ascii="Arial" w:hAnsi="Arial" w:cs="Arial"/>
          <w:sz w:val="20"/>
          <w:szCs w:val="20"/>
          <w:lang w:eastAsia="cs-CZ"/>
        </w:rPr>
        <w:t xml:space="preserve"> k realizácii sociálneho aspektu </w:t>
      </w:r>
      <w:r w:rsidR="004E7A74" w:rsidRPr="00E21C60">
        <w:rPr>
          <w:rFonts w:ascii="Arial" w:hAnsi="Arial" w:cs="Arial"/>
          <w:sz w:val="20"/>
          <w:szCs w:val="20"/>
          <w:lang w:eastAsia="cs-CZ"/>
        </w:rPr>
        <w:t>TUR</w:t>
      </w:r>
      <w:r w:rsidRPr="00E21C60">
        <w:rPr>
          <w:rFonts w:ascii="Arial" w:hAnsi="Arial" w:cs="Arial"/>
          <w:sz w:val="20"/>
          <w:szCs w:val="20"/>
          <w:lang w:eastAsia="cs-CZ"/>
        </w:rPr>
        <w:t>. Vybavenosť územia environmentálnou infraštruktúrou zvyš</w:t>
      </w:r>
      <w:r w:rsidR="00D07D4D">
        <w:rPr>
          <w:rFonts w:ascii="Arial" w:hAnsi="Arial" w:cs="Arial"/>
          <w:sz w:val="20"/>
          <w:szCs w:val="20"/>
          <w:lang w:eastAsia="cs-CZ"/>
        </w:rPr>
        <w:t>ovalo</w:t>
      </w:r>
      <w:r w:rsidRPr="00E21C60">
        <w:rPr>
          <w:rFonts w:ascii="Arial" w:hAnsi="Arial" w:cs="Arial"/>
          <w:sz w:val="20"/>
          <w:szCs w:val="20"/>
          <w:lang w:eastAsia="cs-CZ"/>
        </w:rPr>
        <w:t xml:space="preserve"> jeho atraktívnosť pre obyvateľstvo, </w:t>
      </w:r>
      <w:r w:rsidR="00D07D4D" w:rsidRPr="00E21C60">
        <w:rPr>
          <w:rFonts w:ascii="Arial" w:hAnsi="Arial" w:cs="Arial"/>
          <w:sz w:val="20"/>
          <w:szCs w:val="20"/>
          <w:lang w:eastAsia="cs-CZ"/>
        </w:rPr>
        <w:t>zlepš</w:t>
      </w:r>
      <w:r w:rsidR="00D07D4D">
        <w:rPr>
          <w:rFonts w:ascii="Arial" w:hAnsi="Arial" w:cs="Arial"/>
          <w:sz w:val="20"/>
          <w:szCs w:val="20"/>
          <w:lang w:eastAsia="cs-CZ"/>
        </w:rPr>
        <w:t>ilo</w:t>
      </w:r>
      <w:r w:rsidR="00D07D4D" w:rsidRPr="00E21C60">
        <w:rPr>
          <w:rFonts w:ascii="Arial" w:hAnsi="Arial" w:cs="Arial"/>
          <w:sz w:val="20"/>
          <w:szCs w:val="20"/>
          <w:lang w:eastAsia="cs-CZ"/>
        </w:rPr>
        <w:t xml:space="preserve"> </w:t>
      </w:r>
      <w:r w:rsidRPr="00E21C60">
        <w:rPr>
          <w:rFonts w:ascii="Arial" w:hAnsi="Arial" w:cs="Arial"/>
          <w:sz w:val="20"/>
          <w:szCs w:val="20"/>
          <w:lang w:eastAsia="cs-CZ"/>
        </w:rPr>
        <w:t>podmienky života ľudí, m</w:t>
      </w:r>
      <w:r w:rsidR="00D07D4D">
        <w:rPr>
          <w:rFonts w:ascii="Arial" w:hAnsi="Arial" w:cs="Arial"/>
          <w:sz w:val="20"/>
          <w:szCs w:val="20"/>
          <w:lang w:eastAsia="cs-CZ"/>
        </w:rPr>
        <w:t>alo</w:t>
      </w:r>
      <w:r w:rsidRPr="00E21C60">
        <w:rPr>
          <w:rFonts w:ascii="Arial" w:hAnsi="Arial" w:cs="Arial"/>
          <w:sz w:val="20"/>
          <w:szCs w:val="20"/>
          <w:lang w:eastAsia="cs-CZ"/>
        </w:rPr>
        <w:t xml:space="preserve"> priaznivý vplyv na zdravotný stav populácie a životnú úroveň.</w:t>
      </w:r>
    </w:p>
    <w:p w14:paraId="7497434C" w14:textId="7571D20A" w:rsidR="005B03BA" w:rsidRPr="00E21C60" w:rsidRDefault="001362DC" w:rsidP="00123376">
      <w:pPr>
        <w:rPr>
          <w:rFonts w:ascii="Arial" w:hAnsi="Arial" w:cs="Arial"/>
          <w:sz w:val="20"/>
          <w:szCs w:val="20"/>
          <w:lang w:eastAsia="cs-CZ"/>
        </w:rPr>
      </w:pPr>
      <w:r w:rsidRPr="00CE0728">
        <w:rPr>
          <w:rFonts w:ascii="Arial" w:hAnsi="Arial" w:cs="Arial"/>
          <w:sz w:val="20"/>
          <w:szCs w:val="20"/>
          <w:lang w:eastAsia="cs-CZ"/>
        </w:rPr>
        <w:t>Tab</w:t>
      </w:r>
      <w:r w:rsidR="005B03BA" w:rsidRPr="00CE0728">
        <w:rPr>
          <w:rFonts w:ascii="Arial" w:hAnsi="Arial" w:cs="Arial"/>
          <w:sz w:val="20"/>
          <w:szCs w:val="20"/>
          <w:lang w:eastAsia="cs-CZ"/>
        </w:rPr>
        <w:t>uľka</w:t>
      </w:r>
      <w:r w:rsidRPr="00CE0728">
        <w:rPr>
          <w:rFonts w:ascii="Arial" w:hAnsi="Arial" w:cs="Arial"/>
          <w:sz w:val="20"/>
          <w:szCs w:val="20"/>
          <w:lang w:eastAsia="cs-CZ"/>
        </w:rPr>
        <w:t xml:space="preserve"> č. </w:t>
      </w:r>
      <w:r w:rsidR="00B256C7" w:rsidRPr="00CE0728">
        <w:rPr>
          <w:rFonts w:ascii="Arial" w:hAnsi="Arial" w:cs="Arial"/>
          <w:sz w:val="20"/>
          <w:szCs w:val="20"/>
          <w:lang w:eastAsia="cs-CZ"/>
        </w:rPr>
        <w:t>8</w:t>
      </w:r>
      <w:r w:rsidR="007B1CB9">
        <w:rPr>
          <w:rFonts w:ascii="Arial" w:hAnsi="Arial" w:cs="Arial"/>
          <w:sz w:val="20"/>
          <w:szCs w:val="20"/>
          <w:lang w:eastAsia="cs-CZ"/>
        </w:rPr>
        <w:t>7</w:t>
      </w:r>
      <w:r w:rsidRPr="00CE0728">
        <w:rPr>
          <w:rFonts w:ascii="Arial" w:hAnsi="Arial" w:cs="Arial"/>
          <w:sz w:val="20"/>
          <w:szCs w:val="20"/>
          <w:lang w:eastAsia="cs-CZ"/>
        </w:rPr>
        <w:t xml:space="preserve">: Plnenie fyzických ukazovateľov HP TUR na úrovni </w:t>
      </w:r>
      <w:r w:rsidR="00EE1EE0" w:rsidRPr="00CE0728">
        <w:rPr>
          <w:rFonts w:ascii="Arial" w:hAnsi="Arial" w:cs="Arial"/>
          <w:sz w:val="20"/>
          <w:szCs w:val="20"/>
          <w:lang w:eastAsia="cs-CZ"/>
        </w:rPr>
        <w:t xml:space="preserve">OP </w:t>
      </w:r>
      <w:r w:rsidRPr="00CE0728">
        <w:rPr>
          <w:rFonts w:ascii="Arial" w:hAnsi="Arial" w:cs="Arial"/>
          <w:sz w:val="20"/>
          <w:szCs w:val="20"/>
          <w:lang w:eastAsia="cs-CZ"/>
        </w:rPr>
        <w:t>k 31.</w:t>
      </w:r>
      <w:r w:rsidR="0092054D">
        <w:rPr>
          <w:rFonts w:ascii="Arial" w:hAnsi="Arial" w:cs="Arial"/>
          <w:sz w:val="20"/>
          <w:szCs w:val="20"/>
          <w:lang w:eastAsia="cs-CZ"/>
        </w:rPr>
        <w:t>10</w:t>
      </w:r>
      <w:r w:rsidRPr="00CE0728">
        <w:rPr>
          <w:rFonts w:ascii="Arial" w:hAnsi="Arial" w:cs="Arial"/>
          <w:sz w:val="20"/>
          <w:szCs w:val="20"/>
          <w:lang w:eastAsia="cs-CZ"/>
        </w:rPr>
        <w:t>.</w:t>
      </w:r>
      <w:r w:rsidR="008170B8" w:rsidRPr="00CE0728">
        <w:rPr>
          <w:rFonts w:ascii="Arial" w:hAnsi="Arial" w:cs="Arial"/>
          <w:sz w:val="20"/>
          <w:szCs w:val="20"/>
          <w:lang w:eastAsia="cs-CZ"/>
        </w:rPr>
        <w:t>201</w:t>
      </w:r>
      <w:r w:rsidR="0092054D">
        <w:rPr>
          <w:rFonts w:ascii="Arial" w:hAnsi="Arial" w:cs="Arial"/>
          <w:sz w:val="20"/>
          <w:szCs w:val="20"/>
          <w:lang w:eastAsia="cs-CZ"/>
        </w:rPr>
        <w:t>6</w:t>
      </w:r>
    </w:p>
    <w:tbl>
      <w:tblPr>
        <w:tblW w:w="9087" w:type="dxa"/>
        <w:tblInd w:w="55" w:type="dxa"/>
        <w:tblLayout w:type="fixed"/>
        <w:tblCellMar>
          <w:left w:w="70" w:type="dxa"/>
          <w:right w:w="70" w:type="dxa"/>
        </w:tblCellMar>
        <w:tblLook w:val="04A0" w:firstRow="1" w:lastRow="0" w:firstColumn="1" w:lastColumn="0" w:noHBand="0" w:noVBand="1"/>
      </w:tblPr>
      <w:tblGrid>
        <w:gridCol w:w="1057"/>
        <w:gridCol w:w="1014"/>
        <w:gridCol w:w="628"/>
        <w:gridCol w:w="628"/>
        <w:gridCol w:w="638"/>
        <w:gridCol w:w="628"/>
        <w:gridCol w:w="628"/>
        <w:gridCol w:w="628"/>
        <w:gridCol w:w="638"/>
        <w:gridCol w:w="616"/>
        <w:gridCol w:w="631"/>
        <w:gridCol w:w="645"/>
        <w:gridCol w:w="708"/>
      </w:tblGrid>
      <w:tr w:rsidR="0096368F" w:rsidRPr="00E21C60" w14:paraId="5F8DD98C" w14:textId="77777777" w:rsidTr="007D7B08">
        <w:trPr>
          <w:trHeight w:val="465"/>
        </w:trPr>
        <w:tc>
          <w:tcPr>
            <w:tcW w:w="2071" w:type="dxa"/>
            <w:gridSpan w:val="2"/>
            <w:tcBorders>
              <w:top w:val="single" w:sz="8" w:space="0" w:color="auto"/>
              <w:left w:val="single" w:sz="8" w:space="0" w:color="auto"/>
              <w:bottom w:val="single" w:sz="8" w:space="0" w:color="auto"/>
              <w:right w:val="single" w:sz="8" w:space="0" w:color="000000"/>
            </w:tcBorders>
            <w:shd w:val="clear" w:color="auto" w:fill="C2D69B" w:themeFill="accent3" w:themeFillTint="99"/>
            <w:vAlign w:val="center"/>
            <w:hideMark/>
          </w:tcPr>
          <w:p w14:paraId="69FDB74A"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Ukazovatele</w:t>
            </w:r>
          </w:p>
        </w:tc>
        <w:tc>
          <w:tcPr>
            <w:tcW w:w="628" w:type="dxa"/>
            <w:tcBorders>
              <w:top w:val="single" w:sz="8" w:space="0" w:color="auto"/>
              <w:left w:val="nil"/>
              <w:bottom w:val="nil"/>
              <w:right w:val="single" w:sz="8" w:space="0" w:color="auto"/>
            </w:tcBorders>
            <w:shd w:val="clear" w:color="auto" w:fill="C2D69B" w:themeFill="accent3" w:themeFillTint="99"/>
            <w:vAlign w:val="center"/>
            <w:hideMark/>
          </w:tcPr>
          <w:p w14:paraId="456D7550"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2007</w:t>
            </w:r>
          </w:p>
        </w:tc>
        <w:tc>
          <w:tcPr>
            <w:tcW w:w="62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33A5954"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2008</w:t>
            </w:r>
          </w:p>
        </w:tc>
        <w:tc>
          <w:tcPr>
            <w:tcW w:w="638" w:type="dxa"/>
            <w:tcBorders>
              <w:top w:val="single" w:sz="8" w:space="0" w:color="auto"/>
              <w:left w:val="nil"/>
              <w:bottom w:val="nil"/>
              <w:right w:val="single" w:sz="8" w:space="0" w:color="auto"/>
            </w:tcBorders>
            <w:shd w:val="clear" w:color="auto" w:fill="C2D69B" w:themeFill="accent3" w:themeFillTint="99"/>
            <w:vAlign w:val="center"/>
            <w:hideMark/>
          </w:tcPr>
          <w:p w14:paraId="4081A822"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2009</w:t>
            </w:r>
          </w:p>
        </w:tc>
        <w:tc>
          <w:tcPr>
            <w:tcW w:w="628" w:type="dxa"/>
            <w:tcBorders>
              <w:top w:val="single" w:sz="8" w:space="0" w:color="auto"/>
              <w:left w:val="nil"/>
              <w:bottom w:val="nil"/>
              <w:right w:val="single" w:sz="8" w:space="0" w:color="auto"/>
            </w:tcBorders>
            <w:shd w:val="clear" w:color="auto" w:fill="C2D69B" w:themeFill="accent3" w:themeFillTint="99"/>
            <w:vAlign w:val="center"/>
            <w:hideMark/>
          </w:tcPr>
          <w:p w14:paraId="491BF82B"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2010</w:t>
            </w:r>
          </w:p>
        </w:tc>
        <w:tc>
          <w:tcPr>
            <w:tcW w:w="628" w:type="dxa"/>
            <w:tcBorders>
              <w:top w:val="single" w:sz="8" w:space="0" w:color="auto"/>
              <w:left w:val="nil"/>
              <w:bottom w:val="nil"/>
              <w:right w:val="single" w:sz="8" w:space="0" w:color="auto"/>
            </w:tcBorders>
            <w:shd w:val="clear" w:color="auto" w:fill="C2D69B" w:themeFill="accent3" w:themeFillTint="99"/>
            <w:vAlign w:val="center"/>
            <w:hideMark/>
          </w:tcPr>
          <w:p w14:paraId="510C5EF7"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2011</w:t>
            </w:r>
          </w:p>
        </w:tc>
        <w:tc>
          <w:tcPr>
            <w:tcW w:w="628" w:type="dxa"/>
            <w:tcBorders>
              <w:top w:val="single" w:sz="8" w:space="0" w:color="auto"/>
              <w:left w:val="nil"/>
              <w:bottom w:val="nil"/>
              <w:right w:val="single" w:sz="8" w:space="0" w:color="auto"/>
            </w:tcBorders>
            <w:shd w:val="clear" w:color="auto" w:fill="C2D69B" w:themeFill="accent3" w:themeFillTint="99"/>
            <w:vAlign w:val="center"/>
            <w:hideMark/>
          </w:tcPr>
          <w:p w14:paraId="62A3FF4C"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2012</w:t>
            </w:r>
          </w:p>
        </w:tc>
        <w:tc>
          <w:tcPr>
            <w:tcW w:w="638" w:type="dxa"/>
            <w:tcBorders>
              <w:top w:val="single" w:sz="8" w:space="0" w:color="auto"/>
              <w:left w:val="nil"/>
              <w:bottom w:val="nil"/>
              <w:right w:val="single" w:sz="8" w:space="0" w:color="auto"/>
            </w:tcBorders>
            <w:shd w:val="clear" w:color="auto" w:fill="C2D69B" w:themeFill="accent3" w:themeFillTint="99"/>
            <w:vAlign w:val="center"/>
            <w:hideMark/>
          </w:tcPr>
          <w:p w14:paraId="4885F115"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2013</w:t>
            </w:r>
          </w:p>
        </w:tc>
        <w:tc>
          <w:tcPr>
            <w:tcW w:w="616" w:type="dxa"/>
            <w:tcBorders>
              <w:top w:val="single" w:sz="8" w:space="0" w:color="auto"/>
              <w:left w:val="nil"/>
              <w:bottom w:val="nil"/>
              <w:right w:val="single" w:sz="8" w:space="0" w:color="auto"/>
            </w:tcBorders>
            <w:shd w:val="clear" w:color="auto" w:fill="C2D69B" w:themeFill="accent3" w:themeFillTint="99"/>
            <w:vAlign w:val="center"/>
            <w:hideMark/>
          </w:tcPr>
          <w:p w14:paraId="557E90BD"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2014</w:t>
            </w:r>
          </w:p>
        </w:tc>
        <w:tc>
          <w:tcPr>
            <w:tcW w:w="631" w:type="dxa"/>
            <w:tcBorders>
              <w:top w:val="single" w:sz="8" w:space="0" w:color="auto"/>
              <w:left w:val="nil"/>
              <w:bottom w:val="nil"/>
              <w:right w:val="single" w:sz="8" w:space="0" w:color="auto"/>
            </w:tcBorders>
            <w:shd w:val="clear" w:color="auto" w:fill="C2D69B" w:themeFill="accent3" w:themeFillTint="99"/>
            <w:vAlign w:val="center"/>
            <w:hideMark/>
          </w:tcPr>
          <w:p w14:paraId="738381E4"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2015</w:t>
            </w:r>
          </w:p>
        </w:tc>
        <w:tc>
          <w:tcPr>
            <w:tcW w:w="645"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71B02DD"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Spolu</w:t>
            </w:r>
          </w:p>
        </w:tc>
        <w:tc>
          <w:tcPr>
            <w:tcW w:w="708" w:type="dxa"/>
            <w:tcBorders>
              <w:top w:val="single" w:sz="8" w:space="0" w:color="auto"/>
              <w:left w:val="nil"/>
              <w:bottom w:val="nil"/>
              <w:right w:val="single" w:sz="8" w:space="0" w:color="auto"/>
            </w:tcBorders>
            <w:shd w:val="clear" w:color="auto" w:fill="C2D69B" w:themeFill="accent3" w:themeFillTint="99"/>
            <w:vAlign w:val="center"/>
            <w:hideMark/>
          </w:tcPr>
          <w:p w14:paraId="024995A8" w14:textId="77777777" w:rsidR="008A1DC9"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Ko</w:t>
            </w:r>
            <w:r w:rsidR="008A1DC9" w:rsidRPr="00E21C60">
              <w:rPr>
                <w:rFonts w:ascii="Arial" w:hAnsi="Arial" w:cs="Arial"/>
                <w:b/>
                <w:bCs/>
                <w:color w:val="000000"/>
                <w:sz w:val="16"/>
                <w:szCs w:val="16"/>
              </w:rPr>
              <w:t>-</w:t>
            </w:r>
          </w:p>
          <w:p w14:paraId="5BFEF870" w14:textId="77777777" w:rsidR="001B42C1" w:rsidRPr="00E21C60" w:rsidRDefault="001B42C1">
            <w:pPr>
              <w:jc w:val="center"/>
              <w:rPr>
                <w:rFonts w:ascii="Arial" w:hAnsi="Arial" w:cs="Arial"/>
                <w:b/>
                <w:bCs/>
                <w:color w:val="000000"/>
                <w:sz w:val="16"/>
                <w:szCs w:val="16"/>
              </w:rPr>
            </w:pPr>
            <w:r w:rsidRPr="00E21C60">
              <w:rPr>
                <w:rFonts w:ascii="Arial" w:hAnsi="Arial" w:cs="Arial"/>
                <w:b/>
                <w:bCs/>
                <w:color w:val="000000"/>
                <w:sz w:val="16"/>
                <w:szCs w:val="16"/>
              </w:rPr>
              <w:t>mentár</w:t>
            </w:r>
          </w:p>
        </w:tc>
      </w:tr>
      <w:tr w:rsidR="008A1DC9" w:rsidRPr="00E21C60" w14:paraId="2F3C393F" w14:textId="77777777" w:rsidTr="00123376">
        <w:trPr>
          <w:trHeight w:val="570"/>
        </w:trPr>
        <w:tc>
          <w:tcPr>
            <w:tcW w:w="1057"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5FDFC02D"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Emisie skleníkových plynov (tis. ton CO</w:t>
            </w:r>
            <w:r w:rsidRPr="00123376">
              <w:rPr>
                <w:rFonts w:ascii="Arial" w:hAnsi="Arial" w:cs="Arial"/>
                <w:color w:val="000000"/>
                <w:sz w:val="16"/>
                <w:szCs w:val="16"/>
                <w:vertAlign w:val="subscript"/>
              </w:rPr>
              <w:t>2</w:t>
            </w:r>
            <w:r w:rsidRPr="00E21C60">
              <w:rPr>
                <w:rFonts w:ascii="Arial" w:hAnsi="Arial" w:cs="Arial"/>
                <w:color w:val="000000"/>
                <w:sz w:val="16"/>
                <w:szCs w:val="16"/>
              </w:rPr>
              <w:t xml:space="preserve"> ekv.) kontext</w:t>
            </w:r>
          </w:p>
        </w:tc>
        <w:tc>
          <w:tcPr>
            <w:tcW w:w="1014" w:type="dxa"/>
            <w:tcBorders>
              <w:top w:val="nil"/>
              <w:left w:val="nil"/>
              <w:bottom w:val="dotted" w:sz="4" w:space="0" w:color="auto"/>
              <w:right w:val="single" w:sz="8" w:space="0" w:color="auto"/>
            </w:tcBorders>
            <w:shd w:val="clear" w:color="auto" w:fill="auto"/>
            <w:vAlign w:val="center"/>
            <w:hideMark/>
          </w:tcPr>
          <w:p w14:paraId="25DC62E7"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Dosiahnutý výsledok</w:t>
            </w:r>
          </w:p>
        </w:tc>
        <w:tc>
          <w:tcPr>
            <w:tcW w:w="628" w:type="dxa"/>
            <w:tcBorders>
              <w:top w:val="single" w:sz="8" w:space="0" w:color="auto"/>
              <w:left w:val="nil"/>
              <w:bottom w:val="dotted" w:sz="4" w:space="0" w:color="auto"/>
              <w:right w:val="dotted" w:sz="4" w:space="0" w:color="auto"/>
            </w:tcBorders>
            <w:shd w:val="clear" w:color="auto" w:fill="auto"/>
            <w:vAlign w:val="center"/>
            <w:hideMark/>
          </w:tcPr>
          <w:p w14:paraId="121660EE" w14:textId="1F72678F" w:rsidR="001B42C1" w:rsidRPr="00E21C60" w:rsidRDefault="008D4359">
            <w:pPr>
              <w:jc w:val="center"/>
              <w:rPr>
                <w:rFonts w:ascii="Arial" w:hAnsi="Arial" w:cs="Arial"/>
                <w:color w:val="000000"/>
                <w:sz w:val="16"/>
                <w:szCs w:val="16"/>
              </w:rPr>
            </w:pPr>
            <w:r>
              <w:rPr>
                <w:rFonts w:ascii="Arial" w:hAnsi="Arial" w:cs="Arial"/>
                <w:color w:val="000000"/>
                <w:sz w:val="16"/>
                <w:szCs w:val="16"/>
              </w:rPr>
              <w:t>49 405</w:t>
            </w:r>
          </w:p>
        </w:tc>
        <w:tc>
          <w:tcPr>
            <w:tcW w:w="628" w:type="dxa"/>
            <w:tcBorders>
              <w:top w:val="nil"/>
              <w:left w:val="nil"/>
              <w:bottom w:val="dotted" w:sz="4" w:space="0" w:color="auto"/>
              <w:right w:val="dotted" w:sz="4" w:space="0" w:color="auto"/>
            </w:tcBorders>
            <w:shd w:val="clear" w:color="auto" w:fill="auto"/>
            <w:vAlign w:val="center"/>
            <w:hideMark/>
          </w:tcPr>
          <w:p w14:paraId="028BEBA8" w14:textId="0B49351B" w:rsidR="001B42C1" w:rsidRPr="00E21C60" w:rsidRDefault="008D4359">
            <w:pPr>
              <w:jc w:val="center"/>
              <w:rPr>
                <w:rFonts w:ascii="Arial" w:hAnsi="Arial" w:cs="Arial"/>
                <w:color w:val="000000"/>
                <w:sz w:val="16"/>
                <w:szCs w:val="16"/>
              </w:rPr>
            </w:pPr>
            <w:r>
              <w:rPr>
                <w:rFonts w:ascii="Arial" w:hAnsi="Arial" w:cs="Arial"/>
                <w:color w:val="000000"/>
                <w:sz w:val="16"/>
                <w:szCs w:val="16"/>
              </w:rPr>
              <w:t>50 089</w:t>
            </w:r>
          </w:p>
        </w:tc>
        <w:tc>
          <w:tcPr>
            <w:tcW w:w="638" w:type="dxa"/>
            <w:tcBorders>
              <w:top w:val="single" w:sz="8" w:space="0" w:color="auto"/>
              <w:left w:val="nil"/>
              <w:bottom w:val="dotted" w:sz="4" w:space="0" w:color="auto"/>
              <w:right w:val="dotted" w:sz="4" w:space="0" w:color="auto"/>
            </w:tcBorders>
            <w:shd w:val="clear" w:color="auto" w:fill="auto"/>
            <w:vAlign w:val="center"/>
            <w:hideMark/>
          </w:tcPr>
          <w:p w14:paraId="378BBAC4" w14:textId="5E0F111C" w:rsidR="001B42C1" w:rsidRPr="00E21C60" w:rsidRDefault="008D4359">
            <w:pPr>
              <w:jc w:val="center"/>
              <w:rPr>
                <w:rFonts w:ascii="Arial" w:hAnsi="Arial" w:cs="Arial"/>
                <w:color w:val="000000"/>
                <w:sz w:val="16"/>
                <w:szCs w:val="16"/>
              </w:rPr>
            </w:pPr>
            <w:r>
              <w:rPr>
                <w:rFonts w:ascii="Arial" w:hAnsi="Arial" w:cs="Arial"/>
                <w:color w:val="000000"/>
                <w:sz w:val="16"/>
                <w:szCs w:val="16"/>
              </w:rPr>
              <w:t>45 558</w:t>
            </w:r>
          </w:p>
        </w:tc>
        <w:tc>
          <w:tcPr>
            <w:tcW w:w="628" w:type="dxa"/>
            <w:tcBorders>
              <w:top w:val="single" w:sz="8" w:space="0" w:color="auto"/>
              <w:left w:val="nil"/>
              <w:bottom w:val="dotted" w:sz="4" w:space="0" w:color="auto"/>
              <w:right w:val="dotted" w:sz="4" w:space="0" w:color="auto"/>
            </w:tcBorders>
            <w:shd w:val="clear" w:color="auto" w:fill="auto"/>
            <w:vAlign w:val="center"/>
            <w:hideMark/>
          </w:tcPr>
          <w:p w14:paraId="46A63067" w14:textId="21B6DAA9" w:rsidR="001B42C1" w:rsidRPr="00E21C60" w:rsidRDefault="008D4359">
            <w:pPr>
              <w:jc w:val="center"/>
              <w:rPr>
                <w:rFonts w:ascii="Arial" w:hAnsi="Arial" w:cs="Arial"/>
                <w:color w:val="000000"/>
                <w:sz w:val="16"/>
                <w:szCs w:val="16"/>
              </w:rPr>
            </w:pPr>
            <w:r>
              <w:rPr>
                <w:rFonts w:ascii="Arial" w:hAnsi="Arial" w:cs="Arial"/>
                <w:color w:val="000000"/>
                <w:sz w:val="16"/>
                <w:szCs w:val="16"/>
              </w:rPr>
              <w:t>46 483</w:t>
            </w:r>
          </w:p>
        </w:tc>
        <w:tc>
          <w:tcPr>
            <w:tcW w:w="628" w:type="dxa"/>
            <w:tcBorders>
              <w:top w:val="single" w:sz="8" w:space="0" w:color="auto"/>
              <w:left w:val="nil"/>
              <w:bottom w:val="dotted" w:sz="4" w:space="0" w:color="auto"/>
              <w:right w:val="dotted" w:sz="4" w:space="0" w:color="auto"/>
            </w:tcBorders>
            <w:shd w:val="clear" w:color="auto" w:fill="auto"/>
            <w:vAlign w:val="center"/>
            <w:hideMark/>
          </w:tcPr>
          <w:p w14:paraId="23387277" w14:textId="3C991257" w:rsidR="001B42C1" w:rsidRPr="00E21C60" w:rsidRDefault="008D4359">
            <w:pPr>
              <w:jc w:val="center"/>
              <w:rPr>
                <w:rFonts w:ascii="Arial" w:hAnsi="Arial" w:cs="Arial"/>
                <w:color w:val="000000"/>
                <w:sz w:val="16"/>
                <w:szCs w:val="16"/>
              </w:rPr>
            </w:pPr>
            <w:r>
              <w:rPr>
                <w:rFonts w:ascii="Arial" w:hAnsi="Arial" w:cs="Arial"/>
                <w:color w:val="000000"/>
                <w:sz w:val="16"/>
                <w:szCs w:val="16"/>
              </w:rPr>
              <w:t>45 604</w:t>
            </w:r>
          </w:p>
        </w:tc>
        <w:tc>
          <w:tcPr>
            <w:tcW w:w="628" w:type="dxa"/>
            <w:tcBorders>
              <w:top w:val="single" w:sz="8" w:space="0" w:color="auto"/>
              <w:left w:val="nil"/>
              <w:bottom w:val="dotted" w:sz="4" w:space="0" w:color="auto"/>
              <w:right w:val="dotted" w:sz="4" w:space="0" w:color="auto"/>
            </w:tcBorders>
            <w:shd w:val="clear" w:color="auto" w:fill="auto"/>
            <w:vAlign w:val="center"/>
            <w:hideMark/>
          </w:tcPr>
          <w:p w14:paraId="641ADFAD" w14:textId="4DF5D400" w:rsidR="001B42C1" w:rsidRPr="00E21C60" w:rsidRDefault="008D4359">
            <w:pPr>
              <w:jc w:val="center"/>
              <w:rPr>
                <w:rFonts w:ascii="Arial" w:hAnsi="Arial" w:cs="Arial"/>
                <w:color w:val="000000"/>
                <w:sz w:val="16"/>
                <w:szCs w:val="16"/>
              </w:rPr>
            </w:pPr>
            <w:r>
              <w:rPr>
                <w:rFonts w:ascii="Arial" w:hAnsi="Arial" w:cs="Arial"/>
                <w:color w:val="000000"/>
                <w:sz w:val="16"/>
                <w:szCs w:val="16"/>
              </w:rPr>
              <w:t>43 176</w:t>
            </w:r>
          </w:p>
        </w:tc>
        <w:tc>
          <w:tcPr>
            <w:tcW w:w="638" w:type="dxa"/>
            <w:tcBorders>
              <w:top w:val="single" w:sz="8" w:space="0" w:color="auto"/>
              <w:left w:val="nil"/>
              <w:bottom w:val="dotted" w:sz="4" w:space="0" w:color="auto"/>
              <w:right w:val="dotted" w:sz="4" w:space="0" w:color="auto"/>
            </w:tcBorders>
            <w:shd w:val="clear" w:color="auto" w:fill="auto"/>
            <w:vAlign w:val="center"/>
            <w:hideMark/>
          </w:tcPr>
          <w:p w14:paraId="7603D778" w14:textId="6AD2F238" w:rsidR="001B42C1" w:rsidRPr="00E21C60" w:rsidRDefault="008D4359">
            <w:pPr>
              <w:jc w:val="center"/>
              <w:rPr>
                <w:rFonts w:ascii="Arial" w:hAnsi="Arial" w:cs="Arial"/>
                <w:color w:val="000000"/>
                <w:sz w:val="16"/>
                <w:szCs w:val="16"/>
              </w:rPr>
            </w:pPr>
            <w:r>
              <w:rPr>
                <w:rFonts w:ascii="Arial" w:hAnsi="Arial" w:cs="Arial"/>
                <w:color w:val="000000"/>
                <w:sz w:val="16"/>
                <w:szCs w:val="16"/>
              </w:rPr>
              <w:t>42 792</w:t>
            </w:r>
          </w:p>
        </w:tc>
        <w:tc>
          <w:tcPr>
            <w:tcW w:w="616" w:type="dxa"/>
            <w:tcBorders>
              <w:top w:val="single" w:sz="8" w:space="0" w:color="auto"/>
              <w:left w:val="nil"/>
              <w:bottom w:val="dotted" w:sz="4" w:space="0" w:color="auto"/>
              <w:right w:val="dotted" w:sz="4" w:space="0" w:color="auto"/>
            </w:tcBorders>
            <w:shd w:val="clear" w:color="auto" w:fill="auto"/>
            <w:vAlign w:val="center"/>
            <w:hideMark/>
          </w:tcPr>
          <w:p w14:paraId="0C6E1ED1"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single" w:sz="8" w:space="0" w:color="auto"/>
              <w:left w:val="nil"/>
              <w:bottom w:val="dotted" w:sz="4" w:space="0" w:color="auto"/>
              <w:right w:val="dotted" w:sz="4" w:space="0" w:color="auto"/>
            </w:tcBorders>
            <w:shd w:val="clear" w:color="auto" w:fill="auto"/>
            <w:vAlign w:val="center"/>
            <w:hideMark/>
          </w:tcPr>
          <w:p w14:paraId="77A0F417" w14:textId="77777777" w:rsidR="001B42C1" w:rsidRPr="00BF750B" w:rsidRDefault="001B42C1">
            <w:pPr>
              <w:jc w:val="center"/>
              <w:rPr>
                <w:rFonts w:ascii="Arial" w:hAnsi="Arial" w:cs="Arial"/>
                <w:color w:val="000000"/>
                <w:sz w:val="16"/>
                <w:szCs w:val="16"/>
              </w:rPr>
            </w:pPr>
            <w:r w:rsidRPr="00BF750B">
              <w:rPr>
                <w:rFonts w:ascii="Arial" w:hAnsi="Arial" w:cs="Arial"/>
                <w:color w:val="000000"/>
                <w:sz w:val="16"/>
                <w:szCs w:val="16"/>
              </w:rPr>
              <w:t>N/A</w:t>
            </w:r>
          </w:p>
        </w:tc>
        <w:tc>
          <w:tcPr>
            <w:tcW w:w="645" w:type="dxa"/>
            <w:tcBorders>
              <w:top w:val="nil"/>
              <w:left w:val="nil"/>
              <w:bottom w:val="dotted" w:sz="4" w:space="0" w:color="auto"/>
              <w:right w:val="dotted" w:sz="4" w:space="0" w:color="auto"/>
            </w:tcBorders>
            <w:shd w:val="clear" w:color="auto" w:fill="auto"/>
            <w:vAlign w:val="center"/>
            <w:hideMark/>
          </w:tcPr>
          <w:p w14:paraId="2DB96737" w14:textId="010E7761" w:rsidR="001B42C1" w:rsidRPr="00BF750B" w:rsidRDefault="00BF750B">
            <w:pPr>
              <w:jc w:val="center"/>
              <w:rPr>
                <w:rFonts w:ascii="Arial" w:hAnsi="Arial" w:cs="Arial"/>
                <w:color w:val="000000"/>
                <w:sz w:val="16"/>
                <w:szCs w:val="16"/>
              </w:rPr>
            </w:pPr>
            <w:r w:rsidRPr="00BF750B">
              <w:rPr>
                <w:rFonts w:ascii="Arial" w:hAnsi="Arial" w:cs="Arial"/>
                <w:color w:val="000000"/>
                <w:sz w:val="16"/>
                <w:szCs w:val="16"/>
              </w:rPr>
              <w:t>42 792</w:t>
            </w:r>
          </w:p>
        </w:tc>
        <w:tc>
          <w:tcPr>
            <w:tcW w:w="708" w:type="dxa"/>
            <w:vMerge w:val="restart"/>
            <w:tcBorders>
              <w:top w:val="single" w:sz="8" w:space="0" w:color="auto"/>
              <w:left w:val="dotted" w:sz="4" w:space="0" w:color="auto"/>
              <w:bottom w:val="single" w:sz="8" w:space="0" w:color="000000"/>
              <w:right w:val="single" w:sz="8" w:space="0" w:color="auto"/>
            </w:tcBorders>
            <w:shd w:val="clear" w:color="auto" w:fill="auto"/>
            <w:vAlign w:val="center"/>
            <w:hideMark/>
          </w:tcPr>
          <w:p w14:paraId="3CB963F3"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Zdroj</w:t>
            </w:r>
            <w:r w:rsidRPr="00E21C60">
              <w:rPr>
                <w:rFonts w:ascii="Arial" w:hAnsi="Arial" w:cs="Arial"/>
                <w:color w:val="000000"/>
                <w:sz w:val="16"/>
                <w:szCs w:val="16"/>
              </w:rPr>
              <w:br/>
              <w:t>SHMÚ</w:t>
            </w:r>
          </w:p>
        </w:tc>
      </w:tr>
      <w:tr w:rsidR="008A1DC9" w:rsidRPr="00E21C60" w14:paraId="52A8473D"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346CE2CE" w14:textId="77777777" w:rsidR="001B42C1" w:rsidRPr="00E21C60" w:rsidRDefault="001B42C1">
            <w:pPr>
              <w:rPr>
                <w:rFonts w:ascii="Arial" w:hAnsi="Arial" w:cs="Arial"/>
                <w:color w:val="000000"/>
                <w:sz w:val="16"/>
                <w:szCs w:val="16"/>
              </w:rPr>
            </w:pPr>
          </w:p>
        </w:tc>
        <w:tc>
          <w:tcPr>
            <w:tcW w:w="1014" w:type="dxa"/>
            <w:tcBorders>
              <w:top w:val="nil"/>
              <w:left w:val="nil"/>
              <w:bottom w:val="dotted" w:sz="4" w:space="0" w:color="auto"/>
              <w:right w:val="single" w:sz="8" w:space="0" w:color="auto"/>
            </w:tcBorders>
            <w:shd w:val="clear" w:color="auto" w:fill="auto"/>
            <w:vAlign w:val="center"/>
            <w:hideMark/>
          </w:tcPr>
          <w:p w14:paraId="5045C629"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Cieľ</w:t>
            </w:r>
            <w:r w:rsidRPr="00E21C60">
              <w:rPr>
                <w:rFonts w:ascii="Arial" w:hAnsi="Arial" w:cs="Arial"/>
                <w:color w:val="000000"/>
                <w:sz w:val="16"/>
                <w:szCs w:val="16"/>
                <w:vertAlign w:val="superscript"/>
              </w:rPr>
              <w:t>1</w:t>
            </w:r>
          </w:p>
        </w:tc>
        <w:tc>
          <w:tcPr>
            <w:tcW w:w="628" w:type="dxa"/>
            <w:tcBorders>
              <w:top w:val="nil"/>
              <w:left w:val="nil"/>
              <w:bottom w:val="dotted" w:sz="4" w:space="0" w:color="auto"/>
              <w:right w:val="dotted" w:sz="4" w:space="0" w:color="auto"/>
            </w:tcBorders>
            <w:shd w:val="clear" w:color="auto" w:fill="auto"/>
            <w:vAlign w:val="center"/>
            <w:hideMark/>
          </w:tcPr>
          <w:p w14:paraId="1FCFFE1F"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9549BF8"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0DF02F1F"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24C6A50"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89765CA"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4328D15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0FF40A71"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dotted" w:sz="4" w:space="0" w:color="auto"/>
              <w:right w:val="dotted" w:sz="4" w:space="0" w:color="auto"/>
            </w:tcBorders>
            <w:shd w:val="clear" w:color="auto" w:fill="auto"/>
            <w:vAlign w:val="center"/>
            <w:hideMark/>
          </w:tcPr>
          <w:p w14:paraId="204152FD"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dotted" w:sz="4" w:space="0" w:color="auto"/>
              <w:right w:val="dotted" w:sz="4" w:space="0" w:color="auto"/>
            </w:tcBorders>
            <w:shd w:val="clear" w:color="auto" w:fill="auto"/>
            <w:vAlign w:val="center"/>
            <w:hideMark/>
          </w:tcPr>
          <w:p w14:paraId="051987C2" w14:textId="77777777" w:rsidR="00A80B9D" w:rsidRPr="000A4DF7" w:rsidRDefault="001B42C1">
            <w:pPr>
              <w:jc w:val="center"/>
              <w:rPr>
                <w:rFonts w:ascii="Arial" w:hAnsi="Arial" w:cs="Arial"/>
                <w:color w:val="000000"/>
                <w:sz w:val="16"/>
                <w:szCs w:val="16"/>
              </w:rPr>
            </w:pPr>
            <w:r w:rsidRPr="000A4DF7">
              <w:rPr>
                <w:rFonts w:ascii="Arial" w:hAnsi="Arial" w:cs="Arial"/>
                <w:color w:val="000000"/>
                <w:sz w:val="16"/>
                <w:szCs w:val="16"/>
              </w:rPr>
              <w:t>61</w:t>
            </w:r>
          </w:p>
          <w:p w14:paraId="3F79DAC5" w14:textId="77777777" w:rsidR="001B42C1" w:rsidRPr="000A4DF7" w:rsidRDefault="001B42C1">
            <w:pPr>
              <w:jc w:val="center"/>
              <w:rPr>
                <w:rFonts w:ascii="Arial" w:hAnsi="Arial" w:cs="Arial"/>
                <w:color w:val="000000"/>
                <w:sz w:val="16"/>
                <w:szCs w:val="16"/>
              </w:rPr>
            </w:pPr>
            <w:r w:rsidRPr="000A4DF7">
              <w:rPr>
                <w:rFonts w:ascii="Arial" w:hAnsi="Arial" w:cs="Arial"/>
                <w:color w:val="000000"/>
                <w:sz w:val="16"/>
                <w:szCs w:val="16"/>
              </w:rPr>
              <w:t>902</w:t>
            </w:r>
          </w:p>
        </w:tc>
        <w:tc>
          <w:tcPr>
            <w:tcW w:w="645" w:type="dxa"/>
            <w:tcBorders>
              <w:top w:val="nil"/>
              <w:left w:val="nil"/>
              <w:bottom w:val="dotted" w:sz="4" w:space="0" w:color="auto"/>
              <w:right w:val="dotted" w:sz="4" w:space="0" w:color="auto"/>
            </w:tcBorders>
            <w:shd w:val="clear" w:color="auto" w:fill="auto"/>
            <w:vAlign w:val="center"/>
            <w:hideMark/>
          </w:tcPr>
          <w:p w14:paraId="40CA815F" w14:textId="77777777" w:rsidR="00A80B9D" w:rsidRPr="000A4DF7" w:rsidRDefault="001B42C1">
            <w:pPr>
              <w:jc w:val="center"/>
              <w:rPr>
                <w:rFonts w:ascii="Arial" w:hAnsi="Arial" w:cs="Arial"/>
                <w:color w:val="000000"/>
                <w:sz w:val="16"/>
                <w:szCs w:val="16"/>
              </w:rPr>
            </w:pPr>
            <w:r w:rsidRPr="000A4DF7">
              <w:rPr>
                <w:rFonts w:ascii="Arial" w:hAnsi="Arial" w:cs="Arial"/>
                <w:color w:val="000000"/>
                <w:sz w:val="16"/>
                <w:szCs w:val="16"/>
              </w:rPr>
              <w:t>61</w:t>
            </w:r>
          </w:p>
          <w:p w14:paraId="33D1F021" w14:textId="77777777" w:rsidR="001B42C1" w:rsidRPr="000A4DF7" w:rsidRDefault="001B42C1">
            <w:pPr>
              <w:jc w:val="center"/>
              <w:rPr>
                <w:rFonts w:ascii="Arial" w:hAnsi="Arial" w:cs="Arial"/>
                <w:color w:val="000000"/>
                <w:sz w:val="16"/>
                <w:szCs w:val="16"/>
              </w:rPr>
            </w:pPr>
            <w:r w:rsidRPr="000A4DF7">
              <w:rPr>
                <w:rFonts w:ascii="Arial" w:hAnsi="Arial" w:cs="Arial"/>
                <w:color w:val="000000"/>
                <w:sz w:val="16"/>
                <w:szCs w:val="16"/>
              </w:rPr>
              <w:t>902</w:t>
            </w:r>
          </w:p>
        </w:tc>
        <w:tc>
          <w:tcPr>
            <w:tcW w:w="708" w:type="dxa"/>
            <w:vMerge/>
            <w:tcBorders>
              <w:top w:val="single" w:sz="8" w:space="0" w:color="auto"/>
              <w:left w:val="dotted" w:sz="4" w:space="0" w:color="auto"/>
              <w:bottom w:val="single" w:sz="8" w:space="0" w:color="000000"/>
              <w:right w:val="single" w:sz="8" w:space="0" w:color="auto"/>
            </w:tcBorders>
            <w:vAlign w:val="center"/>
            <w:hideMark/>
          </w:tcPr>
          <w:p w14:paraId="17F5FAEE" w14:textId="77777777" w:rsidR="001B42C1" w:rsidRPr="00E21C60" w:rsidRDefault="001B42C1">
            <w:pPr>
              <w:rPr>
                <w:rFonts w:ascii="Arial" w:hAnsi="Arial" w:cs="Arial"/>
                <w:color w:val="000000"/>
                <w:sz w:val="16"/>
                <w:szCs w:val="16"/>
              </w:rPr>
            </w:pPr>
          </w:p>
        </w:tc>
      </w:tr>
      <w:tr w:rsidR="008A1DC9" w:rsidRPr="00E21C60" w14:paraId="4FA5D0A6"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1CC1D3A4" w14:textId="77777777" w:rsidR="001B42C1" w:rsidRPr="00E21C60" w:rsidRDefault="001B42C1">
            <w:pPr>
              <w:rPr>
                <w:rFonts w:ascii="Arial" w:hAnsi="Arial" w:cs="Arial"/>
                <w:color w:val="000000"/>
                <w:sz w:val="16"/>
                <w:szCs w:val="16"/>
              </w:rPr>
            </w:pPr>
          </w:p>
        </w:tc>
        <w:tc>
          <w:tcPr>
            <w:tcW w:w="1014" w:type="dxa"/>
            <w:tcBorders>
              <w:top w:val="nil"/>
              <w:left w:val="nil"/>
              <w:bottom w:val="single" w:sz="8" w:space="0" w:color="auto"/>
              <w:right w:val="single" w:sz="8" w:space="0" w:color="auto"/>
            </w:tcBorders>
            <w:shd w:val="clear" w:color="auto" w:fill="auto"/>
            <w:vAlign w:val="center"/>
            <w:hideMark/>
          </w:tcPr>
          <w:p w14:paraId="52E1044F"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Východisko</w:t>
            </w:r>
            <w:r w:rsidRPr="00E21C60">
              <w:rPr>
                <w:rFonts w:ascii="Arial" w:hAnsi="Arial" w:cs="Arial"/>
                <w:color w:val="000000"/>
                <w:sz w:val="16"/>
                <w:szCs w:val="16"/>
                <w:vertAlign w:val="superscript"/>
              </w:rPr>
              <w:t>2</w:t>
            </w:r>
          </w:p>
        </w:tc>
        <w:tc>
          <w:tcPr>
            <w:tcW w:w="628" w:type="dxa"/>
            <w:tcBorders>
              <w:top w:val="nil"/>
              <w:left w:val="nil"/>
              <w:bottom w:val="single" w:sz="8" w:space="0" w:color="auto"/>
              <w:right w:val="dotted" w:sz="4" w:space="0" w:color="auto"/>
            </w:tcBorders>
            <w:shd w:val="clear" w:color="auto" w:fill="auto"/>
            <w:vAlign w:val="center"/>
            <w:hideMark/>
          </w:tcPr>
          <w:p w14:paraId="1D6F1A5A" w14:textId="77777777" w:rsidR="00A80B9D" w:rsidRDefault="001B42C1">
            <w:pPr>
              <w:jc w:val="center"/>
              <w:rPr>
                <w:rFonts w:ascii="Arial" w:hAnsi="Arial" w:cs="Arial"/>
                <w:color w:val="000000"/>
                <w:sz w:val="16"/>
                <w:szCs w:val="16"/>
              </w:rPr>
            </w:pPr>
            <w:r w:rsidRPr="00E21C60">
              <w:rPr>
                <w:rFonts w:ascii="Arial" w:hAnsi="Arial" w:cs="Arial"/>
                <w:color w:val="000000"/>
                <w:sz w:val="16"/>
                <w:szCs w:val="16"/>
              </w:rPr>
              <w:t>51</w:t>
            </w:r>
          </w:p>
          <w:p w14:paraId="4A52A565"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046</w:t>
            </w:r>
          </w:p>
        </w:tc>
        <w:tc>
          <w:tcPr>
            <w:tcW w:w="628" w:type="dxa"/>
            <w:tcBorders>
              <w:top w:val="nil"/>
              <w:left w:val="nil"/>
              <w:bottom w:val="single" w:sz="8" w:space="0" w:color="auto"/>
              <w:right w:val="dotted" w:sz="4" w:space="0" w:color="auto"/>
            </w:tcBorders>
            <w:shd w:val="clear" w:color="auto" w:fill="auto"/>
            <w:vAlign w:val="center"/>
            <w:hideMark/>
          </w:tcPr>
          <w:p w14:paraId="5F9FDE18"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single" w:sz="8" w:space="0" w:color="auto"/>
              <w:right w:val="dotted" w:sz="4" w:space="0" w:color="auto"/>
            </w:tcBorders>
            <w:shd w:val="clear" w:color="auto" w:fill="auto"/>
            <w:vAlign w:val="center"/>
            <w:hideMark/>
          </w:tcPr>
          <w:p w14:paraId="131826B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20923F2E"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258E957D"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6A09A4B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single" w:sz="8" w:space="0" w:color="auto"/>
              <w:right w:val="dotted" w:sz="4" w:space="0" w:color="auto"/>
            </w:tcBorders>
            <w:shd w:val="clear" w:color="auto" w:fill="auto"/>
            <w:vAlign w:val="center"/>
            <w:hideMark/>
          </w:tcPr>
          <w:p w14:paraId="0F00E530"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single" w:sz="8" w:space="0" w:color="auto"/>
              <w:right w:val="dotted" w:sz="4" w:space="0" w:color="auto"/>
            </w:tcBorders>
            <w:shd w:val="clear" w:color="auto" w:fill="auto"/>
            <w:vAlign w:val="center"/>
            <w:hideMark/>
          </w:tcPr>
          <w:p w14:paraId="30651AB6"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single" w:sz="8" w:space="0" w:color="auto"/>
              <w:right w:val="dotted" w:sz="4" w:space="0" w:color="auto"/>
            </w:tcBorders>
            <w:shd w:val="clear" w:color="auto" w:fill="auto"/>
            <w:vAlign w:val="center"/>
            <w:hideMark/>
          </w:tcPr>
          <w:p w14:paraId="31BE7B6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45" w:type="dxa"/>
            <w:tcBorders>
              <w:top w:val="nil"/>
              <w:left w:val="nil"/>
              <w:bottom w:val="single" w:sz="8" w:space="0" w:color="auto"/>
              <w:right w:val="dotted" w:sz="4" w:space="0" w:color="auto"/>
            </w:tcBorders>
            <w:shd w:val="clear" w:color="auto" w:fill="auto"/>
            <w:vAlign w:val="center"/>
            <w:hideMark/>
          </w:tcPr>
          <w:p w14:paraId="7390FC9A" w14:textId="77777777" w:rsidR="00A80B9D" w:rsidRDefault="001B42C1">
            <w:pPr>
              <w:jc w:val="center"/>
              <w:rPr>
                <w:rFonts w:ascii="Arial" w:hAnsi="Arial" w:cs="Arial"/>
                <w:color w:val="000000"/>
                <w:sz w:val="16"/>
                <w:szCs w:val="16"/>
              </w:rPr>
            </w:pPr>
            <w:r w:rsidRPr="00E21C60">
              <w:rPr>
                <w:rFonts w:ascii="Arial" w:hAnsi="Arial" w:cs="Arial"/>
                <w:color w:val="000000"/>
                <w:sz w:val="16"/>
                <w:szCs w:val="16"/>
              </w:rPr>
              <w:t>51</w:t>
            </w:r>
          </w:p>
          <w:p w14:paraId="1C378626"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046</w:t>
            </w:r>
          </w:p>
        </w:tc>
        <w:tc>
          <w:tcPr>
            <w:tcW w:w="708" w:type="dxa"/>
            <w:vMerge/>
            <w:tcBorders>
              <w:top w:val="single" w:sz="8" w:space="0" w:color="auto"/>
              <w:left w:val="dotted" w:sz="4" w:space="0" w:color="auto"/>
              <w:bottom w:val="single" w:sz="8" w:space="0" w:color="000000"/>
              <w:right w:val="single" w:sz="8" w:space="0" w:color="auto"/>
            </w:tcBorders>
            <w:vAlign w:val="center"/>
            <w:hideMark/>
          </w:tcPr>
          <w:p w14:paraId="1922305B" w14:textId="77777777" w:rsidR="001B42C1" w:rsidRPr="00E21C60" w:rsidRDefault="001B42C1">
            <w:pPr>
              <w:rPr>
                <w:rFonts w:ascii="Arial" w:hAnsi="Arial" w:cs="Arial"/>
                <w:color w:val="000000"/>
                <w:sz w:val="16"/>
                <w:szCs w:val="16"/>
              </w:rPr>
            </w:pPr>
          </w:p>
        </w:tc>
      </w:tr>
      <w:tr w:rsidR="00EA5B89" w:rsidRPr="00E21C60" w14:paraId="4EF491C4" w14:textId="77777777" w:rsidTr="00123376">
        <w:trPr>
          <w:trHeight w:val="570"/>
        </w:trPr>
        <w:tc>
          <w:tcPr>
            <w:tcW w:w="1057"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274255FC" w14:textId="77777777" w:rsidR="00EA5B89" w:rsidRPr="00E21C60" w:rsidRDefault="00EA5B89">
            <w:pPr>
              <w:rPr>
                <w:rFonts w:ascii="Arial" w:hAnsi="Arial" w:cs="Arial"/>
                <w:color w:val="000000"/>
                <w:sz w:val="16"/>
                <w:szCs w:val="16"/>
              </w:rPr>
            </w:pPr>
            <w:r w:rsidRPr="00E21C60">
              <w:rPr>
                <w:rFonts w:ascii="Arial" w:hAnsi="Arial" w:cs="Arial"/>
                <w:color w:val="000000"/>
                <w:sz w:val="16"/>
                <w:szCs w:val="16"/>
              </w:rPr>
              <w:t>Miera zhodnoco-</w:t>
            </w:r>
            <w:r w:rsidRPr="00E21C60">
              <w:rPr>
                <w:rFonts w:ascii="Arial" w:hAnsi="Arial" w:cs="Arial"/>
                <w:color w:val="000000"/>
                <w:sz w:val="16"/>
                <w:szCs w:val="16"/>
              </w:rPr>
              <w:br/>
              <w:t>vania odpadov (%) kontext</w:t>
            </w:r>
          </w:p>
        </w:tc>
        <w:tc>
          <w:tcPr>
            <w:tcW w:w="1014" w:type="dxa"/>
            <w:tcBorders>
              <w:top w:val="nil"/>
              <w:left w:val="nil"/>
              <w:bottom w:val="dotted" w:sz="4" w:space="0" w:color="auto"/>
              <w:right w:val="single" w:sz="8" w:space="0" w:color="auto"/>
            </w:tcBorders>
            <w:shd w:val="clear" w:color="auto" w:fill="auto"/>
            <w:vAlign w:val="center"/>
            <w:hideMark/>
          </w:tcPr>
          <w:p w14:paraId="36E96AAE" w14:textId="77777777" w:rsidR="00EA5B89" w:rsidRPr="00E21C60" w:rsidRDefault="00EA5B89">
            <w:pPr>
              <w:rPr>
                <w:rFonts w:ascii="Arial" w:hAnsi="Arial" w:cs="Arial"/>
                <w:color w:val="000000"/>
                <w:sz w:val="16"/>
                <w:szCs w:val="16"/>
              </w:rPr>
            </w:pPr>
            <w:r w:rsidRPr="00E21C60">
              <w:rPr>
                <w:rFonts w:ascii="Arial" w:hAnsi="Arial" w:cs="Arial"/>
                <w:color w:val="000000"/>
                <w:sz w:val="16"/>
                <w:szCs w:val="16"/>
              </w:rPr>
              <w:t>Dosiahnutý výsledok</w:t>
            </w:r>
          </w:p>
        </w:tc>
        <w:tc>
          <w:tcPr>
            <w:tcW w:w="628" w:type="dxa"/>
            <w:tcBorders>
              <w:top w:val="nil"/>
              <w:left w:val="nil"/>
              <w:bottom w:val="dotted" w:sz="4" w:space="0" w:color="auto"/>
              <w:right w:val="dotted" w:sz="4" w:space="0" w:color="auto"/>
            </w:tcBorders>
            <w:shd w:val="clear" w:color="auto" w:fill="auto"/>
            <w:vAlign w:val="center"/>
            <w:hideMark/>
          </w:tcPr>
          <w:p w14:paraId="33AE6FA7" w14:textId="10624D3C" w:rsidR="00EA5B89" w:rsidRPr="00E21C60" w:rsidRDefault="00EA5B89">
            <w:pPr>
              <w:jc w:val="center"/>
              <w:rPr>
                <w:rFonts w:ascii="Arial" w:hAnsi="Arial" w:cs="Arial"/>
                <w:color w:val="000000"/>
                <w:sz w:val="16"/>
                <w:szCs w:val="16"/>
              </w:rPr>
            </w:pPr>
            <w:r>
              <w:rPr>
                <w:rFonts w:ascii="Arial" w:hAnsi="Arial" w:cs="Arial"/>
                <w:color w:val="000000"/>
                <w:sz w:val="16"/>
                <w:szCs w:val="16"/>
              </w:rPr>
              <w:t>32 %</w:t>
            </w:r>
          </w:p>
        </w:tc>
        <w:tc>
          <w:tcPr>
            <w:tcW w:w="628" w:type="dxa"/>
            <w:tcBorders>
              <w:top w:val="nil"/>
              <w:left w:val="nil"/>
              <w:bottom w:val="dotted" w:sz="4" w:space="0" w:color="auto"/>
              <w:right w:val="dotted" w:sz="4" w:space="0" w:color="auto"/>
            </w:tcBorders>
            <w:shd w:val="clear" w:color="auto" w:fill="auto"/>
            <w:vAlign w:val="center"/>
            <w:hideMark/>
          </w:tcPr>
          <w:p w14:paraId="45FE165C" w14:textId="2639BFA1" w:rsidR="00EA5B89" w:rsidRPr="00E21C60" w:rsidRDefault="00EA5B89">
            <w:pPr>
              <w:jc w:val="center"/>
              <w:rPr>
                <w:rFonts w:ascii="Arial" w:hAnsi="Arial" w:cs="Arial"/>
                <w:color w:val="000000"/>
                <w:sz w:val="16"/>
                <w:szCs w:val="16"/>
              </w:rPr>
            </w:pPr>
            <w:r w:rsidRPr="00E21C60">
              <w:rPr>
                <w:rFonts w:ascii="Arial" w:hAnsi="Arial" w:cs="Arial"/>
                <w:color w:val="000000"/>
                <w:sz w:val="16"/>
                <w:szCs w:val="16"/>
              </w:rPr>
              <w:t>53</w:t>
            </w:r>
            <w:r>
              <w:rPr>
                <w:rFonts w:ascii="Arial" w:hAnsi="Arial" w:cs="Arial"/>
                <w:color w:val="000000"/>
                <w:sz w:val="16"/>
                <w:szCs w:val="16"/>
              </w:rPr>
              <w:t xml:space="preserve"> </w:t>
            </w:r>
            <w:r w:rsidRPr="00E21C60">
              <w:rPr>
                <w:rFonts w:ascii="Arial" w:hAnsi="Arial" w:cs="Arial"/>
                <w:color w:val="000000"/>
                <w:sz w:val="16"/>
                <w:szCs w:val="16"/>
              </w:rPr>
              <w:t>%</w:t>
            </w:r>
          </w:p>
        </w:tc>
        <w:tc>
          <w:tcPr>
            <w:tcW w:w="638" w:type="dxa"/>
            <w:tcBorders>
              <w:top w:val="nil"/>
              <w:left w:val="nil"/>
              <w:bottom w:val="dotted" w:sz="4" w:space="0" w:color="auto"/>
              <w:right w:val="dotted" w:sz="4" w:space="0" w:color="auto"/>
            </w:tcBorders>
            <w:shd w:val="clear" w:color="auto" w:fill="auto"/>
            <w:vAlign w:val="center"/>
            <w:hideMark/>
          </w:tcPr>
          <w:p w14:paraId="3FACA635" w14:textId="10794C3F" w:rsidR="00EA5B89" w:rsidRPr="00E21C60" w:rsidRDefault="00EA5B89">
            <w:pPr>
              <w:jc w:val="center"/>
              <w:rPr>
                <w:rFonts w:ascii="Arial" w:hAnsi="Arial" w:cs="Arial"/>
                <w:color w:val="000000"/>
                <w:sz w:val="16"/>
                <w:szCs w:val="16"/>
              </w:rPr>
            </w:pPr>
            <w:r w:rsidRPr="00E21C60">
              <w:rPr>
                <w:rFonts w:ascii="Arial" w:hAnsi="Arial" w:cs="Arial"/>
                <w:color w:val="000000"/>
                <w:sz w:val="16"/>
                <w:szCs w:val="16"/>
              </w:rPr>
              <w:t>49</w:t>
            </w:r>
            <w:r>
              <w:rPr>
                <w:rFonts w:ascii="Arial" w:hAnsi="Arial" w:cs="Arial"/>
                <w:color w:val="000000"/>
                <w:sz w:val="16"/>
                <w:szCs w:val="16"/>
              </w:rPr>
              <w:t xml:space="preserve"> </w:t>
            </w:r>
            <w:r w:rsidRPr="00E21C60">
              <w:rPr>
                <w:rFonts w:ascii="Arial" w:hAnsi="Arial" w:cs="Arial"/>
                <w:color w:val="000000"/>
                <w:sz w:val="16"/>
                <w:szCs w:val="16"/>
              </w:rPr>
              <w:t>%</w:t>
            </w:r>
          </w:p>
        </w:tc>
        <w:tc>
          <w:tcPr>
            <w:tcW w:w="628" w:type="dxa"/>
            <w:tcBorders>
              <w:top w:val="nil"/>
              <w:left w:val="nil"/>
              <w:bottom w:val="dotted" w:sz="4" w:space="0" w:color="auto"/>
              <w:right w:val="dotted" w:sz="4" w:space="0" w:color="auto"/>
            </w:tcBorders>
            <w:shd w:val="clear" w:color="auto" w:fill="auto"/>
            <w:vAlign w:val="center"/>
            <w:hideMark/>
          </w:tcPr>
          <w:p w14:paraId="5D71107A" w14:textId="186ECEAD" w:rsidR="00EA5B89" w:rsidRPr="00E21C60" w:rsidRDefault="00EA5B89">
            <w:pPr>
              <w:jc w:val="center"/>
              <w:rPr>
                <w:rFonts w:ascii="Arial" w:hAnsi="Arial" w:cs="Arial"/>
                <w:color w:val="000000"/>
                <w:sz w:val="16"/>
                <w:szCs w:val="16"/>
              </w:rPr>
            </w:pPr>
            <w:r w:rsidRPr="00E21C60">
              <w:rPr>
                <w:rFonts w:ascii="Arial" w:hAnsi="Arial" w:cs="Arial"/>
                <w:color w:val="000000"/>
                <w:sz w:val="16"/>
                <w:szCs w:val="16"/>
              </w:rPr>
              <w:t>55</w:t>
            </w:r>
            <w:r>
              <w:rPr>
                <w:rFonts w:ascii="Arial" w:hAnsi="Arial" w:cs="Arial"/>
                <w:color w:val="000000"/>
                <w:sz w:val="16"/>
                <w:szCs w:val="16"/>
              </w:rPr>
              <w:t xml:space="preserve"> </w:t>
            </w:r>
            <w:r w:rsidRPr="00E21C60">
              <w:rPr>
                <w:rFonts w:ascii="Arial" w:hAnsi="Arial" w:cs="Arial"/>
                <w:color w:val="000000"/>
                <w:sz w:val="16"/>
                <w:szCs w:val="16"/>
              </w:rPr>
              <w:t>%</w:t>
            </w:r>
          </w:p>
        </w:tc>
        <w:tc>
          <w:tcPr>
            <w:tcW w:w="628" w:type="dxa"/>
            <w:tcBorders>
              <w:top w:val="nil"/>
              <w:left w:val="nil"/>
              <w:bottom w:val="dotted" w:sz="4" w:space="0" w:color="auto"/>
              <w:right w:val="dotted" w:sz="4" w:space="0" w:color="auto"/>
            </w:tcBorders>
            <w:shd w:val="clear" w:color="auto" w:fill="auto"/>
            <w:vAlign w:val="center"/>
          </w:tcPr>
          <w:p w14:paraId="5591EE43" w14:textId="6DFB88C1" w:rsidR="00EA5B89" w:rsidRPr="00E21C60" w:rsidRDefault="00EA5B89">
            <w:pPr>
              <w:jc w:val="center"/>
              <w:rPr>
                <w:rFonts w:ascii="Arial" w:hAnsi="Arial" w:cs="Arial"/>
                <w:color w:val="000000"/>
                <w:sz w:val="16"/>
                <w:szCs w:val="16"/>
              </w:rPr>
            </w:pPr>
            <w:r w:rsidRPr="00E21C60">
              <w:rPr>
                <w:rFonts w:ascii="Arial" w:hAnsi="Arial" w:cs="Arial"/>
                <w:color w:val="000000"/>
                <w:sz w:val="16"/>
                <w:szCs w:val="16"/>
              </w:rPr>
              <w:t>48</w:t>
            </w:r>
            <w:r>
              <w:rPr>
                <w:rFonts w:ascii="Arial" w:hAnsi="Arial" w:cs="Arial"/>
                <w:color w:val="000000"/>
                <w:sz w:val="16"/>
                <w:szCs w:val="16"/>
              </w:rPr>
              <w:t xml:space="preserve"> </w:t>
            </w:r>
            <w:r w:rsidRPr="00E21C60">
              <w:rPr>
                <w:rFonts w:ascii="Arial" w:hAnsi="Arial" w:cs="Arial"/>
                <w:color w:val="000000"/>
                <w:sz w:val="16"/>
                <w:szCs w:val="16"/>
              </w:rPr>
              <w:t>%</w:t>
            </w:r>
          </w:p>
        </w:tc>
        <w:tc>
          <w:tcPr>
            <w:tcW w:w="628" w:type="dxa"/>
            <w:tcBorders>
              <w:top w:val="nil"/>
              <w:left w:val="nil"/>
              <w:bottom w:val="dotted" w:sz="4" w:space="0" w:color="auto"/>
              <w:right w:val="dotted" w:sz="4" w:space="0" w:color="auto"/>
            </w:tcBorders>
            <w:shd w:val="clear" w:color="auto" w:fill="auto"/>
            <w:vAlign w:val="center"/>
          </w:tcPr>
          <w:p w14:paraId="5A6E674A" w14:textId="65BA4002" w:rsidR="00EA5B89" w:rsidRPr="00E21C60" w:rsidRDefault="00EA5B89">
            <w:pPr>
              <w:jc w:val="center"/>
              <w:rPr>
                <w:rFonts w:ascii="Arial" w:hAnsi="Arial" w:cs="Arial"/>
                <w:color w:val="000000"/>
                <w:sz w:val="16"/>
                <w:szCs w:val="16"/>
              </w:rPr>
            </w:pPr>
            <w:r w:rsidRPr="00E21C60">
              <w:rPr>
                <w:rFonts w:ascii="Arial" w:hAnsi="Arial" w:cs="Arial"/>
                <w:color w:val="000000"/>
                <w:sz w:val="16"/>
                <w:szCs w:val="16"/>
              </w:rPr>
              <w:t>45</w:t>
            </w:r>
            <w:r>
              <w:rPr>
                <w:rFonts w:ascii="Arial" w:hAnsi="Arial" w:cs="Arial"/>
                <w:color w:val="000000"/>
                <w:sz w:val="16"/>
                <w:szCs w:val="16"/>
              </w:rPr>
              <w:t xml:space="preserve"> </w:t>
            </w:r>
            <w:r w:rsidRPr="00E21C60">
              <w:rPr>
                <w:rFonts w:ascii="Arial" w:hAnsi="Arial" w:cs="Arial"/>
                <w:color w:val="000000"/>
                <w:sz w:val="16"/>
                <w:szCs w:val="16"/>
              </w:rPr>
              <w:t>%</w:t>
            </w:r>
          </w:p>
        </w:tc>
        <w:tc>
          <w:tcPr>
            <w:tcW w:w="638" w:type="dxa"/>
            <w:tcBorders>
              <w:top w:val="nil"/>
              <w:left w:val="nil"/>
              <w:bottom w:val="dotted" w:sz="4" w:space="0" w:color="auto"/>
              <w:right w:val="dotted" w:sz="4" w:space="0" w:color="auto"/>
            </w:tcBorders>
            <w:shd w:val="clear" w:color="auto" w:fill="auto"/>
            <w:vAlign w:val="center"/>
            <w:hideMark/>
          </w:tcPr>
          <w:p w14:paraId="587D71C0" w14:textId="35367C25" w:rsidR="00EA5B89" w:rsidRPr="00EA5B89" w:rsidRDefault="00EA5B89">
            <w:pPr>
              <w:jc w:val="center"/>
              <w:rPr>
                <w:rFonts w:ascii="Arial" w:hAnsi="Arial" w:cs="Arial"/>
                <w:color w:val="000000"/>
                <w:sz w:val="16"/>
                <w:szCs w:val="16"/>
              </w:rPr>
            </w:pPr>
            <w:r w:rsidRPr="00EA5B89">
              <w:rPr>
                <w:rFonts w:ascii="Arial" w:hAnsi="Arial" w:cs="Arial"/>
                <w:color w:val="000000"/>
                <w:sz w:val="16"/>
                <w:szCs w:val="16"/>
              </w:rPr>
              <w:t>43</w:t>
            </w:r>
            <w:r>
              <w:rPr>
                <w:rFonts w:ascii="Arial" w:hAnsi="Arial" w:cs="Arial"/>
                <w:color w:val="000000"/>
                <w:sz w:val="16"/>
                <w:szCs w:val="16"/>
              </w:rPr>
              <w:t xml:space="preserve"> %</w:t>
            </w:r>
          </w:p>
        </w:tc>
        <w:tc>
          <w:tcPr>
            <w:tcW w:w="616" w:type="dxa"/>
            <w:tcBorders>
              <w:top w:val="nil"/>
              <w:left w:val="nil"/>
              <w:bottom w:val="dotted" w:sz="4" w:space="0" w:color="auto"/>
              <w:right w:val="dotted" w:sz="4" w:space="0" w:color="auto"/>
            </w:tcBorders>
            <w:shd w:val="clear" w:color="auto" w:fill="auto"/>
            <w:vAlign w:val="center"/>
            <w:hideMark/>
          </w:tcPr>
          <w:p w14:paraId="5F81B3DB" w14:textId="0645751B" w:rsidR="00EA5B89" w:rsidRPr="00EA5B89" w:rsidRDefault="00EA5B89">
            <w:pPr>
              <w:jc w:val="center"/>
              <w:rPr>
                <w:rFonts w:ascii="Arial" w:hAnsi="Arial" w:cs="Arial"/>
                <w:color w:val="000000"/>
                <w:sz w:val="16"/>
                <w:szCs w:val="16"/>
              </w:rPr>
            </w:pPr>
            <w:r w:rsidRPr="00EA5B89">
              <w:rPr>
                <w:rFonts w:ascii="Arial" w:hAnsi="Arial" w:cs="Arial"/>
                <w:color w:val="000000"/>
                <w:sz w:val="16"/>
                <w:szCs w:val="16"/>
              </w:rPr>
              <w:t>48</w:t>
            </w:r>
            <w:r>
              <w:rPr>
                <w:rFonts w:ascii="Arial" w:hAnsi="Arial" w:cs="Arial"/>
                <w:color w:val="000000"/>
                <w:sz w:val="16"/>
                <w:szCs w:val="16"/>
              </w:rPr>
              <w:t xml:space="preserve"> %</w:t>
            </w:r>
          </w:p>
        </w:tc>
        <w:tc>
          <w:tcPr>
            <w:tcW w:w="631" w:type="dxa"/>
            <w:tcBorders>
              <w:top w:val="nil"/>
              <w:left w:val="nil"/>
              <w:bottom w:val="dotted" w:sz="4" w:space="0" w:color="auto"/>
              <w:right w:val="dotted" w:sz="4" w:space="0" w:color="auto"/>
            </w:tcBorders>
            <w:shd w:val="clear" w:color="auto" w:fill="auto"/>
            <w:vAlign w:val="center"/>
            <w:hideMark/>
          </w:tcPr>
          <w:p w14:paraId="0DDDC1FC" w14:textId="7DECF420" w:rsidR="00EA5B89" w:rsidRPr="00E21C60" w:rsidRDefault="00EA5B89">
            <w:pPr>
              <w:jc w:val="center"/>
              <w:rPr>
                <w:rFonts w:ascii="Arial" w:hAnsi="Arial" w:cs="Arial"/>
                <w:color w:val="000000"/>
                <w:sz w:val="16"/>
                <w:szCs w:val="16"/>
              </w:rPr>
            </w:pPr>
            <w:r w:rsidRPr="00E21C60">
              <w:rPr>
                <w:rFonts w:ascii="Arial" w:hAnsi="Arial" w:cs="Arial"/>
                <w:color w:val="000000"/>
                <w:sz w:val="16"/>
                <w:szCs w:val="16"/>
              </w:rPr>
              <w:t>N/A</w:t>
            </w:r>
          </w:p>
        </w:tc>
        <w:tc>
          <w:tcPr>
            <w:tcW w:w="645" w:type="dxa"/>
            <w:tcBorders>
              <w:top w:val="nil"/>
              <w:left w:val="nil"/>
              <w:bottom w:val="dotted" w:sz="4" w:space="0" w:color="auto"/>
              <w:right w:val="dotted" w:sz="4" w:space="0" w:color="auto"/>
            </w:tcBorders>
            <w:shd w:val="clear" w:color="auto" w:fill="auto"/>
            <w:vAlign w:val="center"/>
            <w:hideMark/>
          </w:tcPr>
          <w:p w14:paraId="0F67A9D4" w14:textId="70E65EE5" w:rsidR="00EA5B89" w:rsidRPr="00E21C60" w:rsidRDefault="00EA5B89">
            <w:pPr>
              <w:jc w:val="center"/>
              <w:rPr>
                <w:rFonts w:ascii="Arial" w:hAnsi="Arial" w:cs="Arial"/>
                <w:color w:val="000000"/>
                <w:sz w:val="16"/>
                <w:szCs w:val="16"/>
              </w:rPr>
            </w:pPr>
            <w:r>
              <w:rPr>
                <w:rFonts w:ascii="Arial" w:hAnsi="Arial" w:cs="Arial"/>
                <w:color w:val="000000"/>
                <w:sz w:val="16"/>
                <w:szCs w:val="16"/>
              </w:rPr>
              <w:t xml:space="preserve">48 </w:t>
            </w:r>
            <w:r w:rsidRPr="00E21C60">
              <w:rPr>
                <w:rFonts w:ascii="Arial" w:hAnsi="Arial" w:cs="Arial"/>
                <w:color w:val="000000"/>
                <w:sz w:val="16"/>
                <w:szCs w:val="16"/>
              </w:rPr>
              <w:t>%</w:t>
            </w:r>
          </w:p>
        </w:tc>
        <w:tc>
          <w:tcPr>
            <w:tcW w:w="708" w:type="dxa"/>
            <w:vMerge w:val="restart"/>
            <w:tcBorders>
              <w:top w:val="nil"/>
              <w:left w:val="dotted" w:sz="4" w:space="0" w:color="auto"/>
              <w:bottom w:val="single" w:sz="8" w:space="0" w:color="000000"/>
              <w:right w:val="single" w:sz="8" w:space="0" w:color="auto"/>
            </w:tcBorders>
            <w:shd w:val="clear" w:color="auto" w:fill="auto"/>
            <w:vAlign w:val="center"/>
            <w:hideMark/>
          </w:tcPr>
          <w:p w14:paraId="16EAF638" w14:textId="77777777" w:rsidR="00EA5B89" w:rsidRPr="00E21C60" w:rsidRDefault="00EA5B89">
            <w:pPr>
              <w:jc w:val="center"/>
              <w:rPr>
                <w:rFonts w:ascii="Arial" w:hAnsi="Arial" w:cs="Arial"/>
                <w:color w:val="000000"/>
                <w:sz w:val="16"/>
                <w:szCs w:val="16"/>
              </w:rPr>
            </w:pPr>
            <w:r w:rsidRPr="00E21C60">
              <w:rPr>
                <w:rFonts w:ascii="Arial" w:hAnsi="Arial" w:cs="Arial"/>
                <w:color w:val="000000"/>
                <w:sz w:val="16"/>
                <w:szCs w:val="16"/>
              </w:rPr>
              <w:t xml:space="preserve">Zdroj </w:t>
            </w:r>
            <w:r w:rsidRPr="00E21C60">
              <w:rPr>
                <w:rFonts w:ascii="Arial" w:hAnsi="Arial" w:cs="Arial"/>
                <w:color w:val="000000"/>
                <w:sz w:val="16"/>
                <w:szCs w:val="16"/>
              </w:rPr>
              <w:br/>
              <w:t>MŽP SR</w:t>
            </w:r>
          </w:p>
        </w:tc>
      </w:tr>
      <w:tr w:rsidR="008A1DC9" w:rsidRPr="00E21C60" w14:paraId="15117733"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1788FABA" w14:textId="77777777" w:rsidR="001B42C1" w:rsidRPr="00E21C60" w:rsidRDefault="001B42C1">
            <w:pPr>
              <w:rPr>
                <w:rFonts w:ascii="Arial" w:hAnsi="Arial" w:cs="Arial"/>
                <w:color w:val="000000"/>
                <w:sz w:val="16"/>
                <w:szCs w:val="16"/>
              </w:rPr>
            </w:pPr>
          </w:p>
        </w:tc>
        <w:tc>
          <w:tcPr>
            <w:tcW w:w="1014" w:type="dxa"/>
            <w:tcBorders>
              <w:top w:val="nil"/>
              <w:left w:val="nil"/>
              <w:bottom w:val="dotted" w:sz="4" w:space="0" w:color="auto"/>
              <w:right w:val="single" w:sz="8" w:space="0" w:color="auto"/>
            </w:tcBorders>
            <w:shd w:val="clear" w:color="auto" w:fill="auto"/>
            <w:vAlign w:val="center"/>
            <w:hideMark/>
          </w:tcPr>
          <w:p w14:paraId="7D0761F8"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Cieľ</w:t>
            </w:r>
          </w:p>
        </w:tc>
        <w:tc>
          <w:tcPr>
            <w:tcW w:w="628" w:type="dxa"/>
            <w:tcBorders>
              <w:top w:val="nil"/>
              <w:left w:val="nil"/>
              <w:bottom w:val="dotted" w:sz="4" w:space="0" w:color="auto"/>
              <w:right w:val="dotted" w:sz="4" w:space="0" w:color="auto"/>
            </w:tcBorders>
            <w:shd w:val="clear" w:color="auto" w:fill="auto"/>
            <w:vAlign w:val="center"/>
            <w:hideMark/>
          </w:tcPr>
          <w:p w14:paraId="1F467456"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6CE9C9DA"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5FF19C64"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3098D41"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307CEA2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432FB774"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189DBC74"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dotted" w:sz="4" w:space="0" w:color="auto"/>
              <w:right w:val="dotted" w:sz="4" w:space="0" w:color="auto"/>
            </w:tcBorders>
            <w:shd w:val="clear" w:color="auto" w:fill="auto"/>
            <w:vAlign w:val="center"/>
            <w:hideMark/>
          </w:tcPr>
          <w:p w14:paraId="7653636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dotted" w:sz="4" w:space="0" w:color="auto"/>
              <w:right w:val="dotted" w:sz="4" w:space="0" w:color="auto"/>
            </w:tcBorders>
            <w:shd w:val="clear" w:color="auto" w:fill="auto"/>
            <w:vAlign w:val="center"/>
            <w:hideMark/>
          </w:tcPr>
          <w:p w14:paraId="7819B8F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60%</w:t>
            </w:r>
          </w:p>
        </w:tc>
        <w:tc>
          <w:tcPr>
            <w:tcW w:w="645" w:type="dxa"/>
            <w:tcBorders>
              <w:top w:val="nil"/>
              <w:left w:val="nil"/>
              <w:bottom w:val="dotted" w:sz="4" w:space="0" w:color="auto"/>
              <w:right w:val="dotted" w:sz="4" w:space="0" w:color="auto"/>
            </w:tcBorders>
            <w:shd w:val="clear" w:color="auto" w:fill="auto"/>
            <w:vAlign w:val="center"/>
            <w:hideMark/>
          </w:tcPr>
          <w:p w14:paraId="0DD9C575"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60</w:t>
            </w:r>
            <w:r w:rsidR="00FC305F">
              <w:rPr>
                <w:rFonts w:ascii="Arial" w:hAnsi="Arial" w:cs="Arial"/>
                <w:color w:val="000000"/>
                <w:sz w:val="16"/>
                <w:szCs w:val="16"/>
              </w:rPr>
              <w:t xml:space="preserve"> </w:t>
            </w:r>
            <w:r w:rsidRPr="00E21C60">
              <w:rPr>
                <w:rFonts w:ascii="Arial" w:hAnsi="Arial" w:cs="Arial"/>
                <w:color w:val="000000"/>
                <w:sz w:val="16"/>
                <w:szCs w:val="16"/>
              </w:rPr>
              <w:t>%</w:t>
            </w:r>
          </w:p>
        </w:tc>
        <w:tc>
          <w:tcPr>
            <w:tcW w:w="708" w:type="dxa"/>
            <w:vMerge/>
            <w:tcBorders>
              <w:top w:val="nil"/>
              <w:left w:val="dotted" w:sz="4" w:space="0" w:color="auto"/>
              <w:bottom w:val="single" w:sz="8" w:space="0" w:color="000000"/>
              <w:right w:val="single" w:sz="8" w:space="0" w:color="auto"/>
            </w:tcBorders>
            <w:vAlign w:val="center"/>
            <w:hideMark/>
          </w:tcPr>
          <w:p w14:paraId="7678D85E" w14:textId="77777777" w:rsidR="001B42C1" w:rsidRPr="00E21C60" w:rsidRDefault="001B42C1">
            <w:pPr>
              <w:rPr>
                <w:rFonts w:ascii="Arial" w:hAnsi="Arial" w:cs="Arial"/>
                <w:color w:val="000000"/>
                <w:sz w:val="16"/>
                <w:szCs w:val="16"/>
              </w:rPr>
            </w:pPr>
          </w:p>
        </w:tc>
      </w:tr>
      <w:tr w:rsidR="008A1DC9" w:rsidRPr="00E21C60" w14:paraId="7A9781E2"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5A16AC7A" w14:textId="77777777" w:rsidR="001B42C1" w:rsidRPr="00E21C60" w:rsidRDefault="001B42C1">
            <w:pPr>
              <w:rPr>
                <w:rFonts w:ascii="Arial" w:hAnsi="Arial" w:cs="Arial"/>
                <w:color w:val="000000"/>
                <w:sz w:val="16"/>
                <w:szCs w:val="16"/>
              </w:rPr>
            </w:pPr>
          </w:p>
        </w:tc>
        <w:tc>
          <w:tcPr>
            <w:tcW w:w="1014" w:type="dxa"/>
            <w:tcBorders>
              <w:top w:val="nil"/>
              <w:left w:val="nil"/>
              <w:bottom w:val="single" w:sz="8" w:space="0" w:color="auto"/>
              <w:right w:val="single" w:sz="8" w:space="0" w:color="auto"/>
            </w:tcBorders>
            <w:shd w:val="clear" w:color="auto" w:fill="auto"/>
            <w:vAlign w:val="center"/>
            <w:hideMark/>
          </w:tcPr>
          <w:p w14:paraId="32E3B311"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Východisko</w:t>
            </w:r>
            <w:r w:rsidRPr="00E21C60">
              <w:rPr>
                <w:rFonts w:ascii="Arial" w:hAnsi="Arial" w:cs="Arial"/>
                <w:color w:val="000000"/>
                <w:sz w:val="16"/>
                <w:szCs w:val="16"/>
                <w:vertAlign w:val="superscript"/>
              </w:rPr>
              <w:t>2</w:t>
            </w:r>
          </w:p>
        </w:tc>
        <w:tc>
          <w:tcPr>
            <w:tcW w:w="628" w:type="dxa"/>
            <w:tcBorders>
              <w:top w:val="nil"/>
              <w:left w:val="nil"/>
              <w:bottom w:val="single" w:sz="8" w:space="0" w:color="auto"/>
              <w:right w:val="dotted" w:sz="4" w:space="0" w:color="auto"/>
            </w:tcBorders>
            <w:shd w:val="clear" w:color="auto" w:fill="auto"/>
            <w:vAlign w:val="center"/>
            <w:hideMark/>
          </w:tcPr>
          <w:p w14:paraId="6459587C" w14:textId="77777777" w:rsidR="001B42C1" w:rsidRPr="00E21C60" w:rsidRDefault="008A1DC9">
            <w:pPr>
              <w:jc w:val="center"/>
              <w:rPr>
                <w:rFonts w:ascii="Arial" w:hAnsi="Arial" w:cs="Arial"/>
                <w:color w:val="000000"/>
                <w:sz w:val="16"/>
                <w:szCs w:val="16"/>
              </w:rPr>
            </w:pPr>
            <w:r w:rsidRPr="00E21C60">
              <w:rPr>
                <w:rFonts w:ascii="Arial" w:hAnsi="Arial" w:cs="Arial"/>
                <w:color w:val="000000"/>
                <w:sz w:val="16"/>
                <w:szCs w:val="16"/>
              </w:rPr>
              <w:t>44%</w:t>
            </w:r>
          </w:p>
        </w:tc>
        <w:tc>
          <w:tcPr>
            <w:tcW w:w="628" w:type="dxa"/>
            <w:tcBorders>
              <w:top w:val="nil"/>
              <w:left w:val="nil"/>
              <w:bottom w:val="single" w:sz="8" w:space="0" w:color="auto"/>
              <w:right w:val="dotted" w:sz="4" w:space="0" w:color="auto"/>
            </w:tcBorders>
            <w:shd w:val="clear" w:color="auto" w:fill="auto"/>
            <w:vAlign w:val="center"/>
            <w:hideMark/>
          </w:tcPr>
          <w:p w14:paraId="52A4678F"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single" w:sz="8" w:space="0" w:color="auto"/>
              <w:right w:val="dotted" w:sz="4" w:space="0" w:color="auto"/>
            </w:tcBorders>
            <w:shd w:val="clear" w:color="auto" w:fill="auto"/>
            <w:vAlign w:val="center"/>
            <w:hideMark/>
          </w:tcPr>
          <w:p w14:paraId="0825C2FA"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2BB5A51F"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728C67DB"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0F79355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single" w:sz="8" w:space="0" w:color="auto"/>
              <w:right w:val="dotted" w:sz="4" w:space="0" w:color="auto"/>
            </w:tcBorders>
            <w:shd w:val="clear" w:color="auto" w:fill="auto"/>
            <w:vAlign w:val="center"/>
            <w:hideMark/>
          </w:tcPr>
          <w:p w14:paraId="38004351"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single" w:sz="8" w:space="0" w:color="auto"/>
              <w:right w:val="dotted" w:sz="4" w:space="0" w:color="auto"/>
            </w:tcBorders>
            <w:shd w:val="clear" w:color="auto" w:fill="auto"/>
            <w:vAlign w:val="center"/>
            <w:hideMark/>
          </w:tcPr>
          <w:p w14:paraId="7D2345CD"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single" w:sz="8" w:space="0" w:color="auto"/>
              <w:right w:val="dotted" w:sz="4" w:space="0" w:color="auto"/>
            </w:tcBorders>
            <w:shd w:val="clear" w:color="auto" w:fill="auto"/>
            <w:vAlign w:val="center"/>
            <w:hideMark/>
          </w:tcPr>
          <w:p w14:paraId="4D39BF56"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45" w:type="dxa"/>
            <w:tcBorders>
              <w:top w:val="nil"/>
              <w:left w:val="nil"/>
              <w:bottom w:val="single" w:sz="8" w:space="0" w:color="auto"/>
              <w:right w:val="dotted" w:sz="4" w:space="0" w:color="auto"/>
            </w:tcBorders>
            <w:shd w:val="clear" w:color="auto" w:fill="auto"/>
            <w:vAlign w:val="center"/>
            <w:hideMark/>
          </w:tcPr>
          <w:p w14:paraId="3B6E1571"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44%</w:t>
            </w:r>
          </w:p>
        </w:tc>
        <w:tc>
          <w:tcPr>
            <w:tcW w:w="708" w:type="dxa"/>
            <w:vMerge/>
            <w:tcBorders>
              <w:top w:val="nil"/>
              <w:left w:val="dotted" w:sz="4" w:space="0" w:color="auto"/>
              <w:bottom w:val="single" w:sz="8" w:space="0" w:color="000000"/>
              <w:right w:val="single" w:sz="8" w:space="0" w:color="auto"/>
            </w:tcBorders>
            <w:vAlign w:val="center"/>
            <w:hideMark/>
          </w:tcPr>
          <w:p w14:paraId="093969AB" w14:textId="77777777" w:rsidR="001B42C1" w:rsidRPr="00E21C60" w:rsidRDefault="001B42C1">
            <w:pPr>
              <w:rPr>
                <w:rFonts w:ascii="Arial" w:hAnsi="Arial" w:cs="Arial"/>
                <w:color w:val="000000"/>
                <w:sz w:val="16"/>
                <w:szCs w:val="16"/>
              </w:rPr>
            </w:pPr>
          </w:p>
        </w:tc>
      </w:tr>
      <w:tr w:rsidR="008A1DC9" w:rsidRPr="00E21C60" w14:paraId="44C2A0B4" w14:textId="77777777" w:rsidTr="00123376">
        <w:trPr>
          <w:trHeight w:val="570"/>
        </w:trPr>
        <w:tc>
          <w:tcPr>
            <w:tcW w:w="1057"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215EC738"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Percento obyvateľov napojených na ČOV (%) kontext</w:t>
            </w:r>
          </w:p>
        </w:tc>
        <w:tc>
          <w:tcPr>
            <w:tcW w:w="1014" w:type="dxa"/>
            <w:tcBorders>
              <w:top w:val="nil"/>
              <w:left w:val="nil"/>
              <w:bottom w:val="dotted" w:sz="4" w:space="0" w:color="auto"/>
              <w:right w:val="single" w:sz="8" w:space="0" w:color="auto"/>
            </w:tcBorders>
            <w:shd w:val="clear" w:color="auto" w:fill="auto"/>
            <w:vAlign w:val="center"/>
            <w:hideMark/>
          </w:tcPr>
          <w:p w14:paraId="4C0D7C98"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Dosiahnutý výsledok</w:t>
            </w:r>
          </w:p>
        </w:tc>
        <w:tc>
          <w:tcPr>
            <w:tcW w:w="628" w:type="dxa"/>
            <w:tcBorders>
              <w:top w:val="nil"/>
              <w:left w:val="nil"/>
              <w:bottom w:val="dotted" w:sz="4" w:space="0" w:color="auto"/>
              <w:right w:val="dotted" w:sz="4" w:space="0" w:color="auto"/>
            </w:tcBorders>
            <w:shd w:val="clear" w:color="auto" w:fill="auto"/>
            <w:vAlign w:val="center"/>
            <w:hideMark/>
          </w:tcPr>
          <w:p w14:paraId="3C71B77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56,7</w:t>
            </w:r>
            <w:r w:rsidRPr="00E21C60">
              <w:rPr>
                <w:rFonts w:ascii="Arial" w:hAnsi="Arial" w:cs="Arial"/>
                <w:color w:val="000000"/>
                <w:sz w:val="16"/>
                <w:szCs w:val="16"/>
              </w:rPr>
              <w:br/>
              <w:t>%</w:t>
            </w:r>
          </w:p>
        </w:tc>
        <w:tc>
          <w:tcPr>
            <w:tcW w:w="628" w:type="dxa"/>
            <w:tcBorders>
              <w:top w:val="nil"/>
              <w:left w:val="nil"/>
              <w:bottom w:val="dotted" w:sz="4" w:space="0" w:color="auto"/>
              <w:right w:val="dotted" w:sz="4" w:space="0" w:color="auto"/>
            </w:tcBorders>
            <w:shd w:val="clear" w:color="auto" w:fill="auto"/>
            <w:vAlign w:val="center"/>
            <w:hideMark/>
          </w:tcPr>
          <w:p w14:paraId="71987824"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57,4</w:t>
            </w:r>
            <w:r w:rsidRPr="00E21C60">
              <w:rPr>
                <w:rFonts w:ascii="Arial" w:hAnsi="Arial" w:cs="Arial"/>
                <w:color w:val="000000"/>
                <w:sz w:val="16"/>
                <w:szCs w:val="16"/>
              </w:rPr>
              <w:br/>
              <w:t>%</w:t>
            </w:r>
          </w:p>
        </w:tc>
        <w:tc>
          <w:tcPr>
            <w:tcW w:w="638" w:type="dxa"/>
            <w:tcBorders>
              <w:top w:val="nil"/>
              <w:left w:val="nil"/>
              <w:bottom w:val="dotted" w:sz="4" w:space="0" w:color="auto"/>
              <w:right w:val="dotted" w:sz="4" w:space="0" w:color="auto"/>
            </w:tcBorders>
            <w:shd w:val="clear" w:color="auto" w:fill="auto"/>
            <w:vAlign w:val="center"/>
            <w:hideMark/>
          </w:tcPr>
          <w:p w14:paraId="0145FF75"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57,9</w:t>
            </w:r>
            <w:r w:rsidRPr="00E21C60">
              <w:rPr>
                <w:rFonts w:ascii="Arial" w:hAnsi="Arial" w:cs="Arial"/>
                <w:color w:val="000000"/>
                <w:sz w:val="16"/>
                <w:szCs w:val="16"/>
              </w:rPr>
              <w:br/>
              <w:t>%</w:t>
            </w:r>
          </w:p>
        </w:tc>
        <w:tc>
          <w:tcPr>
            <w:tcW w:w="628" w:type="dxa"/>
            <w:tcBorders>
              <w:top w:val="nil"/>
              <w:left w:val="nil"/>
              <w:bottom w:val="dotted" w:sz="4" w:space="0" w:color="auto"/>
              <w:right w:val="dotted" w:sz="4" w:space="0" w:color="auto"/>
            </w:tcBorders>
            <w:shd w:val="clear" w:color="auto" w:fill="auto"/>
            <w:vAlign w:val="center"/>
            <w:hideMark/>
          </w:tcPr>
          <w:p w14:paraId="7565E113"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58,9</w:t>
            </w:r>
            <w:r w:rsidRPr="00E21C60">
              <w:rPr>
                <w:rFonts w:ascii="Arial" w:hAnsi="Arial" w:cs="Arial"/>
                <w:color w:val="000000"/>
                <w:sz w:val="16"/>
                <w:szCs w:val="16"/>
              </w:rPr>
              <w:br/>
              <w:t>%</w:t>
            </w:r>
          </w:p>
        </w:tc>
        <w:tc>
          <w:tcPr>
            <w:tcW w:w="628" w:type="dxa"/>
            <w:tcBorders>
              <w:top w:val="nil"/>
              <w:left w:val="nil"/>
              <w:bottom w:val="dotted" w:sz="4" w:space="0" w:color="auto"/>
              <w:right w:val="dotted" w:sz="4" w:space="0" w:color="auto"/>
            </w:tcBorders>
            <w:shd w:val="clear" w:color="auto" w:fill="auto"/>
            <w:vAlign w:val="center"/>
            <w:hideMark/>
          </w:tcPr>
          <w:p w14:paraId="6078913C"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58,9</w:t>
            </w:r>
            <w:r w:rsidRPr="00E21C60">
              <w:rPr>
                <w:rFonts w:ascii="Arial" w:hAnsi="Arial" w:cs="Arial"/>
                <w:color w:val="000000"/>
                <w:sz w:val="16"/>
                <w:szCs w:val="16"/>
              </w:rPr>
              <w:br/>
              <w:t>%</w:t>
            </w:r>
          </w:p>
        </w:tc>
        <w:tc>
          <w:tcPr>
            <w:tcW w:w="628" w:type="dxa"/>
            <w:tcBorders>
              <w:top w:val="nil"/>
              <w:left w:val="nil"/>
              <w:bottom w:val="dotted" w:sz="4" w:space="0" w:color="auto"/>
              <w:right w:val="dotted" w:sz="4" w:space="0" w:color="auto"/>
            </w:tcBorders>
            <w:shd w:val="clear" w:color="auto" w:fill="auto"/>
            <w:vAlign w:val="center"/>
            <w:hideMark/>
          </w:tcPr>
          <w:p w14:paraId="0C688F6E"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62,4</w:t>
            </w:r>
          </w:p>
          <w:p w14:paraId="22532044"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w:t>
            </w:r>
          </w:p>
        </w:tc>
        <w:tc>
          <w:tcPr>
            <w:tcW w:w="638" w:type="dxa"/>
            <w:tcBorders>
              <w:top w:val="nil"/>
              <w:left w:val="nil"/>
              <w:bottom w:val="dotted" w:sz="4" w:space="0" w:color="auto"/>
              <w:right w:val="dotted" w:sz="4" w:space="0" w:color="auto"/>
            </w:tcBorders>
            <w:shd w:val="clear" w:color="auto" w:fill="auto"/>
            <w:vAlign w:val="center"/>
            <w:hideMark/>
          </w:tcPr>
          <w:p w14:paraId="6A09981C" w14:textId="61BB39AA" w:rsidR="001B42C1" w:rsidRPr="00E21C60" w:rsidRDefault="00591A9F">
            <w:pPr>
              <w:jc w:val="center"/>
              <w:rPr>
                <w:rFonts w:ascii="Arial" w:hAnsi="Arial" w:cs="Arial"/>
                <w:color w:val="000000"/>
                <w:sz w:val="16"/>
                <w:szCs w:val="16"/>
              </w:rPr>
            </w:pPr>
            <w:r w:rsidRPr="00CE0728">
              <w:rPr>
                <w:rFonts w:ascii="Arial" w:hAnsi="Arial" w:cs="Arial"/>
                <w:color w:val="000000"/>
                <w:sz w:val="16"/>
                <w:szCs w:val="16"/>
              </w:rPr>
              <w:t>62,7 %</w:t>
            </w:r>
          </w:p>
        </w:tc>
        <w:tc>
          <w:tcPr>
            <w:tcW w:w="616" w:type="dxa"/>
            <w:tcBorders>
              <w:top w:val="nil"/>
              <w:left w:val="nil"/>
              <w:bottom w:val="dotted" w:sz="4" w:space="0" w:color="auto"/>
              <w:right w:val="dotted" w:sz="4" w:space="0" w:color="auto"/>
            </w:tcBorders>
            <w:shd w:val="clear" w:color="auto" w:fill="auto"/>
            <w:vAlign w:val="center"/>
            <w:hideMark/>
          </w:tcPr>
          <w:p w14:paraId="0D1D47FC" w14:textId="15687880" w:rsidR="001B42C1" w:rsidRPr="00E21C60" w:rsidRDefault="00E6765A">
            <w:pPr>
              <w:jc w:val="center"/>
              <w:rPr>
                <w:rFonts w:ascii="Arial" w:hAnsi="Arial" w:cs="Arial"/>
                <w:color w:val="000000"/>
                <w:sz w:val="16"/>
                <w:szCs w:val="16"/>
              </w:rPr>
            </w:pPr>
            <w:r>
              <w:rPr>
                <w:rFonts w:ascii="Arial" w:hAnsi="Arial" w:cs="Arial"/>
                <w:color w:val="000000"/>
                <w:sz w:val="16"/>
                <w:szCs w:val="16"/>
              </w:rPr>
              <w:t>63,69</w:t>
            </w:r>
            <w:r w:rsidR="002A3825">
              <w:rPr>
                <w:rFonts w:ascii="Arial" w:hAnsi="Arial" w:cs="Arial"/>
                <w:color w:val="000000"/>
                <w:sz w:val="16"/>
                <w:szCs w:val="16"/>
              </w:rPr>
              <w:t xml:space="preserve"> %</w:t>
            </w:r>
          </w:p>
        </w:tc>
        <w:tc>
          <w:tcPr>
            <w:tcW w:w="631" w:type="dxa"/>
            <w:tcBorders>
              <w:top w:val="nil"/>
              <w:left w:val="nil"/>
              <w:bottom w:val="dotted" w:sz="4" w:space="0" w:color="auto"/>
              <w:right w:val="dotted" w:sz="4" w:space="0" w:color="auto"/>
            </w:tcBorders>
            <w:shd w:val="clear" w:color="auto" w:fill="auto"/>
            <w:vAlign w:val="center"/>
            <w:hideMark/>
          </w:tcPr>
          <w:p w14:paraId="375F51E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45" w:type="dxa"/>
            <w:tcBorders>
              <w:top w:val="nil"/>
              <w:left w:val="nil"/>
              <w:bottom w:val="dotted" w:sz="4" w:space="0" w:color="auto"/>
              <w:right w:val="dotted" w:sz="4" w:space="0" w:color="auto"/>
            </w:tcBorders>
            <w:shd w:val="clear" w:color="auto" w:fill="auto"/>
            <w:vAlign w:val="center"/>
            <w:hideMark/>
          </w:tcPr>
          <w:p w14:paraId="5ED6166F" w14:textId="16EB7FB2" w:rsidR="001B42C1" w:rsidRPr="00E6765A" w:rsidRDefault="00E6765A">
            <w:pPr>
              <w:jc w:val="center"/>
              <w:rPr>
                <w:rFonts w:ascii="Arial" w:hAnsi="Arial" w:cs="Arial"/>
                <w:color w:val="000000"/>
                <w:sz w:val="16"/>
                <w:szCs w:val="16"/>
              </w:rPr>
            </w:pPr>
            <w:r w:rsidRPr="00AB3787">
              <w:rPr>
                <w:rFonts w:ascii="Arial" w:hAnsi="Arial" w:cs="Arial"/>
                <w:color w:val="000000"/>
                <w:sz w:val="16"/>
                <w:szCs w:val="16"/>
              </w:rPr>
              <w:t>63,69</w:t>
            </w:r>
            <w:r w:rsidR="001B42C1" w:rsidRPr="00E6765A">
              <w:rPr>
                <w:rFonts w:ascii="Arial" w:hAnsi="Arial" w:cs="Arial"/>
                <w:color w:val="000000"/>
                <w:sz w:val="16"/>
                <w:szCs w:val="16"/>
              </w:rPr>
              <w:br/>
              <w:t>%</w:t>
            </w:r>
          </w:p>
        </w:tc>
        <w:tc>
          <w:tcPr>
            <w:tcW w:w="708" w:type="dxa"/>
            <w:vMerge w:val="restart"/>
            <w:tcBorders>
              <w:top w:val="nil"/>
              <w:left w:val="dotted" w:sz="4" w:space="0" w:color="auto"/>
              <w:bottom w:val="single" w:sz="8" w:space="0" w:color="000000"/>
              <w:right w:val="single" w:sz="8" w:space="0" w:color="auto"/>
            </w:tcBorders>
            <w:shd w:val="clear" w:color="auto" w:fill="auto"/>
            <w:vAlign w:val="center"/>
            <w:hideMark/>
          </w:tcPr>
          <w:p w14:paraId="56278268"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 xml:space="preserve">Zdroj </w:t>
            </w:r>
            <w:r w:rsidRPr="00E21C60">
              <w:rPr>
                <w:rFonts w:ascii="Arial" w:hAnsi="Arial" w:cs="Arial"/>
                <w:color w:val="000000"/>
                <w:sz w:val="16"/>
                <w:szCs w:val="16"/>
              </w:rPr>
              <w:br/>
              <w:t>ŠÚ SR</w:t>
            </w:r>
          </w:p>
        </w:tc>
      </w:tr>
      <w:tr w:rsidR="008A1DC9" w:rsidRPr="00E21C60" w14:paraId="5E63D5D6"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799BF9D2" w14:textId="77777777" w:rsidR="001B42C1" w:rsidRPr="00E21C60" w:rsidRDefault="001B42C1">
            <w:pPr>
              <w:rPr>
                <w:rFonts w:ascii="Arial" w:hAnsi="Arial" w:cs="Arial"/>
                <w:color w:val="000000"/>
                <w:sz w:val="16"/>
                <w:szCs w:val="16"/>
              </w:rPr>
            </w:pPr>
          </w:p>
        </w:tc>
        <w:tc>
          <w:tcPr>
            <w:tcW w:w="1014" w:type="dxa"/>
            <w:tcBorders>
              <w:top w:val="nil"/>
              <w:left w:val="nil"/>
              <w:bottom w:val="dotted" w:sz="4" w:space="0" w:color="auto"/>
              <w:right w:val="single" w:sz="8" w:space="0" w:color="auto"/>
            </w:tcBorders>
            <w:shd w:val="clear" w:color="auto" w:fill="auto"/>
            <w:vAlign w:val="center"/>
            <w:hideMark/>
          </w:tcPr>
          <w:p w14:paraId="6FCBE4B9"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Cieľ</w:t>
            </w:r>
          </w:p>
        </w:tc>
        <w:tc>
          <w:tcPr>
            <w:tcW w:w="628" w:type="dxa"/>
            <w:tcBorders>
              <w:top w:val="nil"/>
              <w:left w:val="nil"/>
              <w:bottom w:val="dotted" w:sz="4" w:space="0" w:color="auto"/>
              <w:right w:val="dotted" w:sz="4" w:space="0" w:color="auto"/>
            </w:tcBorders>
            <w:shd w:val="clear" w:color="auto" w:fill="auto"/>
            <w:vAlign w:val="center"/>
            <w:hideMark/>
          </w:tcPr>
          <w:p w14:paraId="7C127BB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6C21656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583C5B10"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1E7E60A3"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714E0F4D"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AADDEC1"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5B476D9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dotted" w:sz="4" w:space="0" w:color="auto"/>
              <w:right w:val="dotted" w:sz="4" w:space="0" w:color="auto"/>
            </w:tcBorders>
            <w:shd w:val="clear" w:color="auto" w:fill="auto"/>
            <w:vAlign w:val="center"/>
            <w:hideMark/>
          </w:tcPr>
          <w:p w14:paraId="5E447E7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dotted" w:sz="4" w:space="0" w:color="auto"/>
              <w:right w:val="dotted" w:sz="4" w:space="0" w:color="auto"/>
            </w:tcBorders>
            <w:shd w:val="clear" w:color="auto" w:fill="auto"/>
            <w:vAlign w:val="center"/>
            <w:hideMark/>
          </w:tcPr>
          <w:p w14:paraId="04B48D0D"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81%</w:t>
            </w:r>
          </w:p>
        </w:tc>
        <w:tc>
          <w:tcPr>
            <w:tcW w:w="645" w:type="dxa"/>
            <w:tcBorders>
              <w:top w:val="nil"/>
              <w:left w:val="nil"/>
              <w:bottom w:val="dotted" w:sz="4" w:space="0" w:color="auto"/>
              <w:right w:val="dotted" w:sz="4" w:space="0" w:color="auto"/>
            </w:tcBorders>
            <w:shd w:val="clear" w:color="auto" w:fill="auto"/>
            <w:vAlign w:val="center"/>
            <w:hideMark/>
          </w:tcPr>
          <w:p w14:paraId="1D93DBD4" w14:textId="77777777" w:rsidR="001B42C1" w:rsidRPr="00E6765A" w:rsidRDefault="001B42C1">
            <w:pPr>
              <w:jc w:val="center"/>
              <w:rPr>
                <w:rFonts w:ascii="Arial" w:hAnsi="Arial" w:cs="Arial"/>
                <w:color w:val="000000"/>
                <w:sz w:val="16"/>
                <w:szCs w:val="16"/>
              </w:rPr>
            </w:pPr>
            <w:r w:rsidRPr="00E6765A">
              <w:rPr>
                <w:rFonts w:ascii="Arial" w:hAnsi="Arial" w:cs="Arial"/>
                <w:color w:val="000000"/>
                <w:sz w:val="16"/>
                <w:szCs w:val="16"/>
              </w:rPr>
              <w:t>81</w:t>
            </w:r>
            <w:r w:rsidR="00FC305F" w:rsidRPr="00E6765A">
              <w:rPr>
                <w:rFonts w:ascii="Arial" w:hAnsi="Arial" w:cs="Arial"/>
                <w:color w:val="000000"/>
                <w:sz w:val="16"/>
                <w:szCs w:val="16"/>
              </w:rPr>
              <w:t xml:space="preserve"> </w:t>
            </w:r>
            <w:r w:rsidRPr="00E6765A">
              <w:rPr>
                <w:rFonts w:ascii="Arial" w:hAnsi="Arial" w:cs="Arial"/>
                <w:color w:val="000000"/>
                <w:sz w:val="16"/>
                <w:szCs w:val="16"/>
              </w:rPr>
              <w:t>%</w:t>
            </w:r>
          </w:p>
        </w:tc>
        <w:tc>
          <w:tcPr>
            <w:tcW w:w="708" w:type="dxa"/>
            <w:vMerge/>
            <w:tcBorders>
              <w:top w:val="nil"/>
              <w:left w:val="dotted" w:sz="4" w:space="0" w:color="auto"/>
              <w:bottom w:val="single" w:sz="8" w:space="0" w:color="000000"/>
              <w:right w:val="single" w:sz="8" w:space="0" w:color="auto"/>
            </w:tcBorders>
            <w:vAlign w:val="center"/>
            <w:hideMark/>
          </w:tcPr>
          <w:p w14:paraId="4C651F05" w14:textId="77777777" w:rsidR="001B42C1" w:rsidRPr="00E21C60" w:rsidRDefault="001B42C1">
            <w:pPr>
              <w:rPr>
                <w:rFonts w:ascii="Arial" w:hAnsi="Arial" w:cs="Arial"/>
                <w:color w:val="000000"/>
                <w:sz w:val="16"/>
                <w:szCs w:val="16"/>
              </w:rPr>
            </w:pPr>
          </w:p>
        </w:tc>
      </w:tr>
      <w:tr w:rsidR="008A1DC9" w:rsidRPr="00E21C60" w14:paraId="0183C2E8"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370F5679" w14:textId="77777777" w:rsidR="001B42C1" w:rsidRPr="00E21C60" w:rsidRDefault="001B42C1">
            <w:pPr>
              <w:rPr>
                <w:rFonts w:ascii="Arial" w:hAnsi="Arial" w:cs="Arial"/>
                <w:color w:val="000000"/>
                <w:sz w:val="16"/>
                <w:szCs w:val="16"/>
              </w:rPr>
            </w:pPr>
          </w:p>
        </w:tc>
        <w:tc>
          <w:tcPr>
            <w:tcW w:w="1014" w:type="dxa"/>
            <w:tcBorders>
              <w:top w:val="nil"/>
              <w:left w:val="nil"/>
              <w:bottom w:val="single" w:sz="8" w:space="0" w:color="auto"/>
              <w:right w:val="single" w:sz="8" w:space="0" w:color="auto"/>
            </w:tcBorders>
            <w:shd w:val="clear" w:color="auto" w:fill="auto"/>
            <w:vAlign w:val="center"/>
            <w:hideMark/>
          </w:tcPr>
          <w:p w14:paraId="627530BA"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Východisko</w:t>
            </w:r>
            <w:r w:rsidRPr="00E21C60">
              <w:rPr>
                <w:rFonts w:ascii="Arial" w:hAnsi="Arial" w:cs="Arial"/>
                <w:color w:val="000000"/>
                <w:sz w:val="16"/>
                <w:szCs w:val="16"/>
                <w:vertAlign w:val="superscript"/>
              </w:rPr>
              <w:t>2</w:t>
            </w:r>
          </w:p>
        </w:tc>
        <w:tc>
          <w:tcPr>
            <w:tcW w:w="628" w:type="dxa"/>
            <w:tcBorders>
              <w:top w:val="nil"/>
              <w:left w:val="nil"/>
              <w:bottom w:val="single" w:sz="8" w:space="0" w:color="auto"/>
              <w:right w:val="dotted" w:sz="4" w:space="0" w:color="auto"/>
            </w:tcBorders>
            <w:shd w:val="clear" w:color="auto" w:fill="auto"/>
            <w:vAlign w:val="center"/>
            <w:hideMark/>
          </w:tcPr>
          <w:p w14:paraId="44DB486E"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54,1</w:t>
            </w:r>
            <w:r w:rsidRPr="00E21C60">
              <w:rPr>
                <w:rFonts w:ascii="Arial" w:hAnsi="Arial" w:cs="Arial"/>
                <w:color w:val="000000"/>
                <w:sz w:val="16"/>
                <w:szCs w:val="16"/>
              </w:rPr>
              <w:br/>
              <w:t>%</w:t>
            </w:r>
          </w:p>
        </w:tc>
        <w:tc>
          <w:tcPr>
            <w:tcW w:w="628" w:type="dxa"/>
            <w:tcBorders>
              <w:top w:val="nil"/>
              <w:left w:val="nil"/>
              <w:bottom w:val="single" w:sz="8" w:space="0" w:color="auto"/>
              <w:right w:val="dotted" w:sz="4" w:space="0" w:color="auto"/>
            </w:tcBorders>
            <w:shd w:val="clear" w:color="auto" w:fill="auto"/>
            <w:vAlign w:val="center"/>
            <w:hideMark/>
          </w:tcPr>
          <w:p w14:paraId="2B767D4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single" w:sz="8" w:space="0" w:color="auto"/>
              <w:right w:val="dotted" w:sz="4" w:space="0" w:color="auto"/>
            </w:tcBorders>
            <w:shd w:val="clear" w:color="auto" w:fill="auto"/>
            <w:vAlign w:val="center"/>
            <w:hideMark/>
          </w:tcPr>
          <w:p w14:paraId="7BB0D40C"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49C3C69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76A6A755"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726E5A3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single" w:sz="8" w:space="0" w:color="auto"/>
              <w:right w:val="dotted" w:sz="4" w:space="0" w:color="auto"/>
            </w:tcBorders>
            <w:shd w:val="clear" w:color="auto" w:fill="auto"/>
            <w:vAlign w:val="center"/>
            <w:hideMark/>
          </w:tcPr>
          <w:p w14:paraId="0E87F761"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single" w:sz="8" w:space="0" w:color="auto"/>
              <w:right w:val="dotted" w:sz="4" w:space="0" w:color="auto"/>
            </w:tcBorders>
            <w:shd w:val="clear" w:color="auto" w:fill="auto"/>
            <w:vAlign w:val="center"/>
            <w:hideMark/>
          </w:tcPr>
          <w:p w14:paraId="112A006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single" w:sz="8" w:space="0" w:color="auto"/>
              <w:right w:val="dotted" w:sz="4" w:space="0" w:color="auto"/>
            </w:tcBorders>
            <w:shd w:val="clear" w:color="auto" w:fill="auto"/>
            <w:vAlign w:val="center"/>
            <w:hideMark/>
          </w:tcPr>
          <w:p w14:paraId="135E6A2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45" w:type="dxa"/>
            <w:tcBorders>
              <w:top w:val="nil"/>
              <w:left w:val="nil"/>
              <w:bottom w:val="single" w:sz="8" w:space="0" w:color="auto"/>
              <w:right w:val="dotted" w:sz="4" w:space="0" w:color="auto"/>
            </w:tcBorders>
            <w:shd w:val="clear" w:color="auto" w:fill="auto"/>
            <w:vAlign w:val="center"/>
            <w:hideMark/>
          </w:tcPr>
          <w:p w14:paraId="281B21E0" w14:textId="77777777" w:rsidR="001B42C1" w:rsidRPr="00E6765A" w:rsidRDefault="001B42C1">
            <w:pPr>
              <w:jc w:val="center"/>
              <w:rPr>
                <w:rFonts w:ascii="Arial" w:hAnsi="Arial" w:cs="Arial"/>
                <w:color w:val="000000"/>
                <w:sz w:val="16"/>
                <w:szCs w:val="16"/>
              </w:rPr>
            </w:pPr>
            <w:r w:rsidRPr="00E6765A">
              <w:rPr>
                <w:rFonts w:ascii="Arial" w:hAnsi="Arial" w:cs="Arial"/>
                <w:color w:val="000000"/>
                <w:sz w:val="16"/>
                <w:szCs w:val="16"/>
              </w:rPr>
              <w:t>54,1</w:t>
            </w:r>
            <w:r w:rsidRPr="00E6765A">
              <w:rPr>
                <w:rFonts w:ascii="Arial" w:hAnsi="Arial" w:cs="Arial"/>
                <w:color w:val="000000"/>
                <w:sz w:val="16"/>
                <w:szCs w:val="16"/>
              </w:rPr>
              <w:br/>
              <w:t>%</w:t>
            </w:r>
          </w:p>
        </w:tc>
        <w:tc>
          <w:tcPr>
            <w:tcW w:w="708" w:type="dxa"/>
            <w:vMerge/>
            <w:tcBorders>
              <w:top w:val="nil"/>
              <w:left w:val="dotted" w:sz="4" w:space="0" w:color="auto"/>
              <w:bottom w:val="single" w:sz="8" w:space="0" w:color="000000"/>
              <w:right w:val="single" w:sz="8" w:space="0" w:color="auto"/>
            </w:tcBorders>
            <w:vAlign w:val="center"/>
            <w:hideMark/>
          </w:tcPr>
          <w:p w14:paraId="33EF61B2" w14:textId="77777777" w:rsidR="001B42C1" w:rsidRPr="00E21C60" w:rsidRDefault="001B42C1">
            <w:pPr>
              <w:rPr>
                <w:rFonts w:ascii="Arial" w:hAnsi="Arial" w:cs="Arial"/>
                <w:color w:val="000000"/>
                <w:sz w:val="16"/>
                <w:szCs w:val="16"/>
              </w:rPr>
            </w:pPr>
          </w:p>
        </w:tc>
      </w:tr>
      <w:tr w:rsidR="008A1DC9" w:rsidRPr="00E21C60" w14:paraId="4F0A4D6E" w14:textId="77777777" w:rsidTr="00123376">
        <w:trPr>
          <w:trHeight w:val="570"/>
        </w:trPr>
        <w:tc>
          <w:tcPr>
            <w:tcW w:w="1057"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36D8FE92"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Podiel obyvateľov zásobova-</w:t>
            </w:r>
            <w:r w:rsidRPr="00E21C60">
              <w:rPr>
                <w:rFonts w:ascii="Arial" w:hAnsi="Arial" w:cs="Arial"/>
                <w:color w:val="000000"/>
                <w:sz w:val="16"/>
                <w:szCs w:val="16"/>
              </w:rPr>
              <w:br/>
              <w:t xml:space="preserve">ných vodou z verejných vodovodov </w:t>
            </w:r>
            <w:r w:rsidRPr="00E21C60">
              <w:rPr>
                <w:rFonts w:ascii="Arial" w:hAnsi="Arial" w:cs="Arial"/>
                <w:color w:val="000000"/>
                <w:sz w:val="16"/>
                <w:szCs w:val="16"/>
              </w:rPr>
              <w:lastRenderedPageBreak/>
              <w:t>(%) kontext</w:t>
            </w:r>
          </w:p>
        </w:tc>
        <w:tc>
          <w:tcPr>
            <w:tcW w:w="1014" w:type="dxa"/>
            <w:tcBorders>
              <w:top w:val="nil"/>
              <w:left w:val="nil"/>
              <w:bottom w:val="dotted" w:sz="4" w:space="0" w:color="auto"/>
              <w:right w:val="single" w:sz="8" w:space="0" w:color="auto"/>
            </w:tcBorders>
            <w:shd w:val="clear" w:color="auto" w:fill="auto"/>
            <w:vAlign w:val="center"/>
            <w:hideMark/>
          </w:tcPr>
          <w:p w14:paraId="3DAAFB09"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lastRenderedPageBreak/>
              <w:t>Dosiahnutý výsledok</w:t>
            </w:r>
          </w:p>
        </w:tc>
        <w:tc>
          <w:tcPr>
            <w:tcW w:w="628" w:type="dxa"/>
            <w:tcBorders>
              <w:top w:val="nil"/>
              <w:left w:val="nil"/>
              <w:bottom w:val="dotted" w:sz="4" w:space="0" w:color="auto"/>
              <w:right w:val="dotted" w:sz="4" w:space="0" w:color="auto"/>
            </w:tcBorders>
            <w:shd w:val="clear" w:color="auto" w:fill="auto"/>
            <w:vAlign w:val="center"/>
            <w:hideMark/>
          </w:tcPr>
          <w:p w14:paraId="636D5EF6"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86,6</w:t>
            </w:r>
            <w:r w:rsidR="00DD3E86" w:rsidRPr="00E21C60">
              <w:rPr>
                <w:rFonts w:ascii="Arial" w:hAnsi="Arial" w:cs="Arial"/>
                <w:color w:val="000000"/>
                <w:sz w:val="16"/>
                <w:szCs w:val="16"/>
              </w:rPr>
              <w:t>2</w:t>
            </w:r>
            <w:r w:rsidRPr="00E21C60">
              <w:rPr>
                <w:rFonts w:ascii="Arial" w:hAnsi="Arial" w:cs="Arial"/>
                <w:color w:val="000000"/>
                <w:sz w:val="16"/>
                <w:szCs w:val="16"/>
              </w:rPr>
              <w:br/>
              <w:t>%</w:t>
            </w:r>
          </w:p>
        </w:tc>
        <w:tc>
          <w:tcPr>
            <w:tcW w:w="628" w:type="dxa"/>
            <w:tcBorders>
              <w:top w:val="nil"/>
              <w:left w:val="nil"/>
              <w:bottom w:val="dotted" w:sz="4" w:space="0" w:color="auto"/>
              <w:right w:val="dotted" w:sz="4" w:space="0" w:color="auto"/>
            </w:tcBorders>
            <w:shd w:val="clear" w:color="auto" w:fill="auto"/>
            <w:vAlign w:val="center"/>
            <w:hideMark/>
          </w:tcPr>
          <w:p w14:paraId="75E0E346"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86,3</w:t>
            </w:r>
            <w:r w:rsidRPr="00E21C60">
              <w:rPr>
                <w:rFonts w:ascii="Arial" w:hAnsi="Arial" w:cs="Arial"/>
                <w:color w:val="000000"/>
                <w:sz w:val="16"/>
                <w:szCs w:val="16"/>
              </w:rPr>
              <w:br/>
              <w:t>%</w:t>
            </w:r>
          </w:p>
        </w:tc>
        <w:tc>
          <w:tcPr>
            <w:tcW w:w="638" w:type="dxa"/>
            <w:tcBorders>
              <w:top w:val="nil"/>
              <w:left w:val="nil"/>
              <w:bottom w:val="dotted" w:sz="4" w:space="0" w:color="auto"/>
              <w:right w:val="dotted" w:sz="4" w:space="0" w:color="auto"/>
            </w:tcBorders>
            <w:shd w:val="clear" w:color="auto" w:fill="auto"/>
            <w:vAlign w:val="center"/>
            <w:hideMark/>
          </w:tcPr>
          <w:p w14:paraId="4F7BE173"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86,3</w:t>
            </w:r>
            <w:r w:rsidRPr="00E21C60">
              <w:rPr>
                <w:rFonts w:ascii="Arial" w:hAnsi="Arial" w:cs="Arial"/>
                <w:color w:val="000000"/>
                <w:sz w:val="16"/>
                <w:szCs w:val="16"/>
              </w:rPr>
              <w:br/>
              <w:t>%</w:t>
            </w:r>
          </w:p>
        </w:tc>
        <w:tc>
          <w:tcPr>
            <w:tcW w:w="628" w:type="dxa"/>
            <w:tcBorders>
              <w:top w:val="nil"/>
              <w:left w:val="nil"/>
              <w:bottom w:val="dotted" w:sz="4" w:space="0" w:color="auto"/>
              <w:right w:val="dotted" w:sz="4" w:space="0" w:color="auto"/>
            </w:tcBorders>
            <w:shd w:val="clear" w:color="auto" w:fill="auto"/>
            <w:vAlign w:val="center"/>
            <w:hideMark/>
          </w:tcPr>
          <w:p w14:paraId="5E84DDB4"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86,</w:t>
            </w:r>
            <w:r w:rsidR="006C23F3" w:rsidRPr="00E21C60">
              <w:rPr>
                <w:rFonts w:ascii="Arial" w:hAnsi="Arial" w:cs="Arial"/>
                <w:color w:val="000000"/>
                <w:sz w:val="16"/>
                <w:szCs w:val="16"/>
              </w:rPr>
              <w:t>6</w:t>
            </w:r>
            <w:r w:rsidRPr="00E21C60">
              <w:rPr>
                <w:rFonts w:ascii="Arial" w:hAnsi="Arial" w:cs="Arial"/>
                <w:color w:val="000000"/>
                <w:sz w:val="16"/>
                <w:szCs w:val="16"/>
              </w:rPr>
              <w:br/>
              <w:t>%</w:t>
            </w:r>
          </w:p>
        </w:tc>
        <w:tc>
          <w:tcPr>
            <w:tcW w:w="628" w:type="dxa"/>
            <w:tcBorders>
              <w:top w:val="nil"/>
              <w:left w:val="nil"/>
              <w:bottom w:val="dotted" w:sz="4" w:space="0" w:color="auto"/>
              <w:right w:val="dotted" w:sz="4" w:space="0" w:color="auto"/>
            </w:tcBorders>
            <w:shd w:val="clear" w:color="auto" w:fill="auto"/>
            <w:vAlign w:val="center"/>
            <w:hideMark/>
          </w:tcPr>
          <w:p w14:paraId="2A3A35EF"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86,9</w:t>
            </w:r>
            <w:r w:rsidRPr="00E21C60">
              <w:rPr>
                <w:rFonts w:ascii="Arial" w:hAnsi="Arial" w:cs="Arial"/>
                <w:color w:val="000000"/>
                <w:sz w:val="16"/>
                <w:szCs w:val="16"/>
              </w:rPr>
              <w:br/>
              <w:t>%</w:t>
            </w:r>
          </w:p>
        </w:tc>
        <w:tc>
          <w:tcPr>
            <w:tcW w:w="628" w:type="dxa"/>
            <w:tcBorders>
              <w:top w:val="nil"/>
              <w:left w:val="nil"/>
              <w:bottom w:val="dotted" w:sz="4" w:space="0" w:color="auto"/>
              <w:right w:val="dotted" w:sz="4" w:space="0" w:color="auto"/>
            </w:tcBorders>
            <w:shd w:val="clear" w:color="auto" w:fill="auto"/>
            <w:vAlign w:val="center"/>
            <w:hideMark/>
          </w:tcPr>
          <w:p w14:paraId="1633C8C0"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87,0</w:t>
            </w:r>
            <w:r w:rsidRPr="00E21C60">
              <w:rPr>
                <w:rFonts w:ascii="Arial" w:hAnsi="Arial" w:cs="Arial"/>
                <w:color w:val="000000"/>
                <w:sz w:val="16"/>
                <w:szCs w:val="16"/>
              </w:rPr>
              <w:br/>
              <w:t>%</w:t>
            </w:r>
          </w:p>
        </w:tc>
        <w:tc>
          <w:tcPr>
            <w:tcW w:w="638" w:type="dxa"/>
            <w:tcBorders>
              <w:top w:val="nil"/>
              <w:left w:val="nil"/>
              <w:bottom w:val="dotted" w:sz="4" w:space="0" w:color="auto"/>
              <w:right w:val="dotted" w:sz="4" w:space="0" w:color="auto"/>
            </w:tcBorders>
            <w:shd w:val="clear" w:color="auto" w:fill="auto"/>
            <w:vAlign w:val="center"/>
            <w:hideMark/>
          </w:tcPr>
          <w:p w14:paraId="5BA926B2" w14:textId="66A00F0A" w:rsidR="001B42C1" w:rsidRPr="00E21C60" w:rsidRDefault="000C1041">
            <w:pPr>
              <w:jc w:val="center"/>
              <w:rPr>
                <w:rFonts w:ascii="Arial" w:hAnsi="Arial" w:cs="Arial"/>
                <w:color w:val="000000"/>
                <w:sz w:val="16"/>
                <w:szCs w:val="16"/>
              </w:rPr>
            </w:pPr>
            <w:r>
              <w:rPr>
                <w:rFonts w:ascii="Arial" w:hAnsi="Arial" w:cs="Arial"/>
                <w:color w:val="000000"/>
                <w:sz w:val="16"/>
                <w:szCs w:val="16"/>
              </w:rPr>
              <w:t>87,4 %</w:t>
            </w:r>
          </w:p>
        </w:tc>
        <w:tc>
          <w:tcPr>
            <w:tcW w:w="616" w:type="dxa"/>
            <w:tcBorders>
              <w:top w:val="nil"/>
              <w:left w:val="nil"/>
              <w:bottom w:val="dotted" w:sz="4" w:space="0" w:color="auto"/>
              <w:right w:val="dotted" w:sz="4" w:space="0" w:color="auto"/>
            </w:tcBorders>
            <w:shd w:val="clear" w:color="auto" w:fill="auto"/>
            <w:vAlign w:val="center"/>
            <w:hideMark/>
          </w:tcPr>
          <w:p w14:paraId="0F4506F8" w14:textId="638E945F" w:rsidR="001B42C1" w:rsidRDefault="00E6765A">
            <w:pPr>
              <w:jc w:val="center"/>
              <w:rPr>
                <w:rFonts w:ascii="Arial" w:hAnsi="Arial" w:cs="Arial"/>
                <w:color w:val="000000"/>
                <w:sz w:val="16"/>
                <w:szCs w:val="16"/>
              </w:rPr>
            </w:pPr>
            <w:r>
              <w:rPr>
                <w:rFonts w:ascii="Arial" w:hAnsi="Arial" w:cs="Arial"/>
                <w:color w:val="000000"/>
                <w:sz w:val="16"/>
                <w:szCs w:val="16"/>
              </w:rPr>
              <w:t>87,7</w:t>
            </w:r>
          </w:p>
          <w:p w14:paraId="033E564E" w14:textId="5134A01F" w:rsidR="00E6765A" w:rsidRPr="00E21C60" w:rsidRDefault="00E6765A">
            <w:pPr>
              <w:jc w:val="center"/>
              <w:rPr>
                <w:rFonts w:ascii="Arial" w:hAnsi="Arial" w:cs="Arial"/>
                <w:color w:val="000000"/>
                <w:sz w:val="16"/>
                <w:szCs w:val="16"/>
              </w:rPr>
            </w:pPr>
            <w:r>
              <w:rPr>
                <w:rFonts w:ascii="Arial" w:hAnsi="Arial" w:cs="Arial"/>
                <w:color w:val="000000"/>
                <w:sz w:val="16"/>
                <w:szCs w:val="16"/>
              </w:rPr>
              <w:t>%</w:t>
            </w:r>
          </w:p>
        </w:tc>
        <w:tc>
          <w:tcPr>
            <w:tcW w:w="631" w:type="dxa"/>
            <w:tcBorders>
              <w:top w:val="nil"/>
              <w:left w:val="nil"/>
              <w:bottom w:val="dotted" w:sz="4" w:space="0" w:color="auto"/>
              <w:right w:val="dotted" w:sz="4" w:space="0" w:color="auto"/>
            </w:tcBorders>
            <w:shd w:val="clear" w:color="auto" w:fill="auto"/>
            <w:vAlign w:val="center"/>
            <w:hideMark/>
          </w:tcPr>
          <w:p w14:paraId="0981A76F"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45" w:type="dxa"/>
            <w:tcBorders>
              <w:top w:val="nil"/>
              <w:left w:val="nil"/>
              <w:bottom w:val="dotted" w:sz="4" w:space="0" w:color="auto"/>
              <w:right w:val="dotted" w:sz="4" w:space="0" w:color="auto"/>
            </w:tcBorders>
            <w:shd w:val="clear" w:color="auto" w:fill="auto"/>
            <w:vAlign w:val="center"/>
            <w:hideMark/>
          </w:tcPr>
          <w:p w14:paraId="4E011089" w14:textId="6FDEF001" w:rsidR="001B42C1" w:rsidRPr="00E6765A" w:rsidRDefault="001B42C1" w:rsidP="00E6765A">
            <w:pPr>
              <w:jc w:val="center"/>
              <w:rPr>
                <w:rFonts w:ascii="Arial" w:hAnsi="Arial" w:cs="Arial"/>
                <w:color w:val="000000"/>
                <w:sz w:val="16"/>
                <w:szCs w:val="16"/>
              </w:rPr>
            </w:pPr>
            <w:r w:rsidRPr="00E6765A">
              <w:rPr>
                <w:rFonts w:ascii="Arial" w:hAnsi="Arial" w:cs="Arial"/>
                <w:color w:val="000000"/>
                <w:sz w:val="16"/>
                <w:szCs w:val="16"/>
              </w:rPr>
              <w:t>87,</w:t>
            </w:r>
            <w:r w:rsidR="00E6765A">
              <w:rPr>
                <w:rFonts w:ascii="Arial" w:hAnsi="Arial" w:cs="Arial"/>
                <w:color w:val="000000"/>
                <w:sz w:val="16"/>
                <w:szCs w:val="16"/>
              </w:rPr>
              <w:t>7</w:t>
            </w:r>
            <w:r w:rsidRPr="00E6765A">
              <w:rPr>
                <w:rFonts w:ascii="Arial" w:hAnsi="Arial" w:cs="Arial"/>
                <w:color w:val="000000"/>
                <w:sz w:val="16"/>
                <w:szCs w:val="16"/>
              </w:rPr>
              <w:br/>
              <w:t>%</w:t>
            </w:r>
          </w:p>
        </w:tc>
        <w:tc>
          <w:tcPr>
            <w:tcW w:w="708" w:type="dxa"/>
            <w:vMerge w:val="restart"/>
            <w:tcBorders>
              <w:top w:val="nil"/>
              <w:left w:val="dotted" w:sz="4" w:space="0" w:color="auto"/>
              <w:bottom w:val="single" w:sz="8" w:space="0" w:color="000000"/>
              <w:right w:val="single" w:sz="8" w:space="0" w:color="auto"/>
            </w:tcBorders>
            <w:shd w:val="clear" w:color="auto" w:fill="auto"/>
            <w:vAlign w:val="center"/>
            <w:hideMark/>
          </w:tcPr>
          <w:p w14:paraId="19E445FB" w14:textId="77777777" w:rsidR="008A1DC9" w:rsidRPr="00E21C60" w:rsidRDefault="001B42C1">
            <w:pPr>
              <w:jc w:val="center"/>
              <w:rPr>
                <w:rFonts w:ascii="Arial" w:hAnsi="Arial" w:cs="Arial"/>
                <w:color w:val="000000"/>
                <w:sz w:val="16"/>
                <w:szCs w:val="16"/>
              </w:rPr>
            </w:pPr>
            <w:r w:rsidRPr="00E21C60">
              <w:rPr>
                <w:rFonts w:ascii="Arial" w:hAnsi="Arial" w:cs="Arial"/>
                <w:color w:val="000000"/>
                <w:sz w:val="16"/>
                <w:szCs w:val="16"/>
              </w:rPr>
              <w:t>Zdroj</w:t>
            </w:r>
          </w:p>
          <w:p w14:paraId="655D802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ŠÚ SR</w:t>
            </w:r>
          </w:p>
        </w:tc>
      </w:tr>
      <w:tr w:rsidR="008A1DC9" w:rsidRPr="00E21C60" w14:paraId="3B8B4586"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59495910" w14:textId="662915C2" w:rsidR="001B42C1" w:rsidRPr="00E21C60" w:rsidRDefault="001B42C1">
            <w:pPr>
              <w:rPr>
                <w:rFonts w:ascii="Arial" w:hAnsi="Arial" w:cs="Arial"/>
                <w:color w:val="000000"/>
                <w:sz w:val="16"/>
                <w:szCs w:val="16"/>
              </w:rPr>
            </w:pPr>
          </w:p>
        </w:tc>
        <w:tc>
          <w:tcPr>
            <w:tcW w:w="1014" w:type="dxa"/>
            <w:tcBorders>
              <w:top w:val="nil"/>
              <w:left w:val="nil"/>
              <w:bottom w:val="dotted" w:sz="4" w:space="0" w:color="auto"/>
              <w:right w:val="single" w:sz="8" w:space="0" w:color="auto"/>
            </w:tcBorders>
            <w:shd w:val="clear" w:color="auto" w:fill="auto"/>
            <w:vAlign w:val="center"/>
            <w:hideMark/>
          </w:tcPr>
          <w:p w14:paraId="6DEAAE6D"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Cieľ</w:t>
            </w:r>
          </w:p>
        </w:tc>
        <w:tc>
          <w:tcPr>
            <w:tcW w:w="628" w:type="dxa"/>
            <w:tcBorders>
              <w:top w:val="nil"/>
              <w:left w:val="nil"/>
              <w:bottom w:val="dotted" w:sz="4" w:space="0" w:color="auto"/>
              <w:right w:val="dotted" w:sz="4" w:space="0" w:color="auto"/>
            </w:tcBorders>
            <w:shd w:val="clear" w:color="auto" w:fill="auto"/>
            <w:vAlign w:val="center"/>
            <w:hideMark/>
          </w:tcPr>
          <w:p w14:paraId="5F326FDA"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2CF9D98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081B205C"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13B516C2"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2536BFD5"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406A206D"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426ACB7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dotted" w:sz="4" w:space="0" w:color="auto"/>
              <w:right w:val="dotted" w:sz="4" w:space="0" w:color="auto"/>
            </w:tcBorders>
            <w:shd w:val="clear" w:color="auto" w:fill="auto"/>
            <w:vAlign w:val="center"/>
            <w:hideMark/>
          </w:tcPr>
          <w:p w14:paraId="160C7437"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dotted" w:sz="4" w:space="0" w:color="auto"/>
              <w:right w:val="dotted" w:sz="4" w:space="0" w:color="auto"/>
            </w:tcBorders>
            <w:shd w:val="clear" w:color="auto" w:fill="auto"/>
            <w:vAlign w:val="center"/>
            <w:hideMark/>
          </w:tcPr>
          <w:p w14:paraId="76D32F9A"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91%</w:t>
            </w:r>
          </w:p>
        </w:tc>
        <w:tc>
          <w:tcPr>
            <w:tcW w:w="645" w:type="dxa"/>
            <w:tcBorders>
              <w:top w:val="nil"/>
              <w:left w:val="nil"/>
              <w:bottom w:val="dotted" w:sz="4" w:space="0" w:color="auto"/>
              <w:right w:val="dotted" w:sz="4" w:space="0" w:color="auto"/>
            </w:tcBorders>
            <w:shd w:val="clear" w:color="auto" w:fill="auto"/>
            <w:vAlign w:val="center"/>
            <w:hideMark/>
          </w:tcPr>
          <w:p w14:paraId="1ED62E0B" w14:textId="77777777" w:rsidR="001B42C1" w:rsidRPr="00E6765A" w:rsidRDefault="001B42C1">
            <w:pPr>
              <w:jc w:val="center"/>
              <w:rPr>
                <w:rFonts w:ascii="Arial" w:hAnsi="Arial" w:cs="Arial"/>
                <w:color w:val="000000"/>
                <w:sz w:val="16"/>
                <w:szCs w:val="16"/>
              </w:rPr>
            </w:pPr>
            <w:r w:rsidRPr="00E6765A">
              <w:rPr>
                <w:rFonts w:ascii="Arial" w:hAnsi="Arial" w:cs="Arial"/>
                <w:color w:val="000000"/>
                <w:sz w:val="16"/>
                <w:szCs w:val="16"/>
              </w:rPr>
              <w:t>91</w:t>
            </w:r>
            <w:r w:rsidR="00FC305F" w:rsidRPr="00E6765A">
              <w:rPr>
                <w:rFonts w:ascii="Arial" w:hAnsi="Arial" w:cs="Arial"/>
                <w:color w:val="000000"/>
                <w:sz w:val="16"/>
                <w:szCs w:val="16"/>
              </w:rPr>
              <w:t xml:space="preserve"> </w:t>
            </w:r>
            <w:r w:rsidRPr="00E6765A">
              <w:rPr>
                <w:rFonts w:ascii="Arial" w:hAnsi="Arial" w:cs="Arial"/>
                <w:color w:val="000000"/>
                <w:sz w:val="16"/>
                <w:szCs w:val="16"/>
              </w:rPr>
              <w:t>%</w:t>
            </w:r>
          </w:p>
        </w:tc>
        <w:tc>
          <w:tcPr>
            <w:tcW w:w="708" w:type="dxa"/>
            <w:vMerge/>
            <w:tcBorders>
              <w:top w:val="nil"/>
              <w:left w:val="dotted" w:sz="4" w:space="0" w:color="auto"/>
              <w:bottom w:val="single" w:sz="8" w:space="0" w:color="000000"/>
              <w:right w:val="single" w:sz="8" w:space="0" w:color="auto"/>
            </w:tcBorders>
            <w:vAlign w:val="center"/>
            <w:hideMark/>
          </w:tcPr>
          <w:p w14:paraId="19B122A8" w14:textId="77777777" w:rsidR="001B42C1" w:rsidRPr="00E21C60" w:rsidRDefault="001B42C1">
            <w:pPr>
              <w:rPr>
                <w:rFonts w:ascii="Arial" w:hAnsi="Arial" w:cs="Arial"/>
                <w:color w:val="000000"/>
                <w:sz w:val="16"/>
                <w:szCs w:val="16"/>
              </w:rPr>
            </w:pPr>
          </w:p>
        </w:tc>
      </w:tr>
      <w:tr w:rsidR="008A1DC9" w:rsidRPr="00E21C60" w14:paraId="716A7063"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68F6EBE3" w14:textId="77777777" w:rsidR="001B42C1" w:rsidRPr="00E21C60" w:rsidRDefault="001B42C1">
            <w:pPr>
              <w:rPr>
                <w:rFonts w:ascii="Arial" w:hAnsi="Arial" w:cs="Arial"/>
                <w:color w:val="000000"/>
                <w:sz w:val="16"/>
                <w:szCs w:val="16"/>
              </w:rPr>
            </w:pPr>
          </w:p>
        </w:tc>
        <w:tc>
          <w:tcPr>
            <w:tcW w:w="1014" w:type="dxa"/>
            <w:tcBorders>
              <w:top w:val="nil"/>
              <w:left w:val="nil"/>
              <w:bottom w:val="single" w:sz="8" w:space="0" w:color="auto"/>
              <w:right w:val="single" w:sz="8" w:space="0" w:color="auto"/>
            </w:tcBorders>
            <w:shd w:val="clear" w:color="auto" w:fill="auto"/>
            <w:vAlign w:val="center"/>
            <w:hideMark/>
          </w:tcPr>
          <w:p w14:paraId="63C444DF"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Východisko</w:t>
            </w:r>
            <w:r w:rsidRPr="00E21C60">
              <w:rPr>
                <w:rFonts w:ascii="Arial" w:hAnsi="Arial" w:cs="Arial"/>
                <w:color w:val="000000"/>
                <w:sz w:val="16"/>
                <w:szCs w:val="16"/>
                <w:vertAlign w:val="superscript"/>
              </w:rPr>
              <w:t>2</w:t>
            </w:r>
          </w:p>
        </w:tc>
        <w:tc>
          <w:tcPr>
            <w:tcW w:w="628" w:type="dxa"/>
            <w:tcBorders>
              <w:top w:val="nil"/>
              <w:left w:val="nil"/>
              <w:bottom w:val="single" w:sz="8" w:space="0" w:color="auto"/>
              <w:right w:val="dotted" w:sz="4" w:space="0" w:color="auto"/>
            </w:tcBorders>
            <w:shd w:val="clear" w:color="auto" w:fill="auto"/>
            <w:vAlign w:val="center"/>
            <w:hideMark/>
          </w:tcPr>
          <w:p w14:paraId="7B92FDF1"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85%</w:t>
            </w:r>
          </w:p>
        </w:tc>
        <w:tc>
          <w:tcPr>
            <w:tcW w:w="628" w:type="dxa"/>
            <w:tcBorders>
              <w:top w:val="nil"/>
              <w:left w:val="nil"/>
              <w:bottom w:val="single" w:sz="8" w:space="0" w:color="auto"/>
              <w:right w:val="dotted" w:sz="4" w:space="0" w:color="auto"/>
            </w:tcBorders>
            <w:shd w:val="clear" w:color="auto" w:fill="auto"/>
            <w:vAlign w:val="center"/>
            <w:hideMark/>
          </w:tcPr>
          <w:p w14:paraId="51250C13"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single" w:sz="8" w:space="0" w:color="auto"/>
              <w:right w:val="dotted" w:sz="4" w:space="0" w:color="auto"/>
            </w:tcBorders>
            <w:shd w:val="clear" w:color="auto" w:fill="auto"/>
            <w:vAlign w:val="center"/>
            <w:hideMark/>
          </w:tcPr>
          <w:p w14:paraId="154D02C1"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466F7563"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3CF7378C"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731AD4DE"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single" w:sz="8" w:space="0" w:color="auto"/>
              <w:right w:val="dotted" w:sz="4" w:space="0" w:color="auto"/>
            </w:tcBorders>
            <w:shd w:val="clear" w:color="auto" w:fill="auto"/>
            <w:vAlign w:val="center"/>
            <w:hideMark/>
          </w:tcPr>
          <w:p w14:paraId="67652EC6"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single" w:sz="8" w:space="0" w:color="auto"/>
              <w:right w:val="dotted" w:sz="4" w:space="0" w:color="auto"/>
            </w:tcBorders>
            <w:shd w:val="clear" w:color="auto" w:fill="auto"/>
            <w:vAlign w:val="center"/>
            <w:hideMark/>
          </w:tcPr>
          <w:p w14:paraId="2FC051F3"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single" w:sz="8" w:space="0" w:color="auto"/>
              <w:right w:val="dotted" w:sz="4" w:space="0" w:color="auto"/>
            </w:tcBorders>
            <w:shd w:val="clear" w:color="auto" w:fill="auto"/>
            <w:vAlign w:val="center"/>
            <w:hideMark/>
          </w:tcPr>
          <w:p w14:paraId="00149FF6"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45" w:type="dxa"/>
            <w:tcBorders>
              <w:top w:val="nil"/>
              <w:left w:val="nil"/>
              <w:bottom w:val="single" w:sz="8" w:space="0" w:color="auto"/>
              <w:right w:val="dotted" w:sz="4" w:space="0" w:color="auto"/>
            </w:tcBorders>
            <w:shd w:val="clear" w:color="auto" w:fill="auto"/>
            <w:vAlign w:val="center"/>
            <w:hideMark/>
          </w:tcPr>
          <w:p w14:paraId="32495B30" w14:textId="77777777" w:rsidR="001B42C1" w:rsidRPr="00AB3787" w:rsidRDefault="001B42C1">
            <w:pPr>
              <w:jc w:val="center"/>
              <w:rPr>
                <w:rFonts w:ascii="Arial" w:hAnsi="Arial" w:cs="Arial"/>
                <w:color w:val="000000"/>
                <w:sz w:val="16"/>
                <w:szCs w:val="16"/>
                <w:highlight w:val="yellow"/>
              </w:rPr>
            </w:pPr>
            <w:r w:rsidRPr="00E6765A">
              <w:rPr>
                <w:rFonts w:ascii="Arial" w:hAnsi="Arial" w:cs="Arial"/>
                <w:color w:val="000000"/>
                <w:sz w:val="16"/>
                <w:szCs w:val="16"/>
              </w:rPr>
              <w:t>85</w:t>
            </w:r>
            <w:r w:rsidR="00FC305F" w:rsidRPr="00E6765A">
              <w:rPr>
                <w:rFonts w:ascii="Arial" w:hAnsi="Arial" w:cs="Arial"/>
                <w:color w:val="000000"/>
                <w:sz w:val="16"/>
                <w:szCs w:val="16"/>
              </w:rPr>
              <w:t xml:space="preserve"> </w:t>
            </w:r>
            <w:r w:rsidRPr="00E6765A">
              <w:rPr>
                <w:rFonts w:ascii="Arial" w:hAnsi="Arial" w:cs="Arial"/>
                <w:color w:val="000000"/>
                <w:sz w:val="16"/>
                <w:szCs w:val="16"/>
              </w:rPr>
              <w:t>%</w:t>
            </w:r>
          </w:p>
        </w:tc>
        <w:tc>
          <w:tcPr>
            <w:tcW w:w="708" w:type="dxa"/>
            <w:vMerge/>
            <w:tcBorders>
              <w:top w:val="nil"/>
              <w:left w:val="dotted" w:sz="4" w:space="0" w:color="auto"/>
              <w:bottom w:val="single" w:sz="8" w:space="0" w:color="000000"/>
              <w:right w:val="single" w:sz="8" w:space="0" w:color="auto"/>
            </w:tcBorders>
            <w:vAlign w:val="center"/>
            <w:hideMark/>
          </w:tcPr>
          <w:p w14:paraId="433C0A78" w14:textId="77777777" w:rsidR="001B42C1" w:rsidRPr="00E21C60" w:rsidRDefault="001B42C1">
            <w:pPr>
              <w:rPr>
                <w:rFonts w:ascii="Arial" w:hAnsi="Arial" w:cs="Arial"/>
                <w:color w:val="000000"/>
                <w:sz w:val="16"/>
                <w:szCs w:val="16"/>
              </w:rPr>
            </w:pPr>
          </w:p>
        </w:tc>
      </w:tr>
      <w:tr w:rsidR="00BA7421" w:rsidRPr="00E21C60" w14:paraId="6403B998" w14:textId="77777777" w:rsidTr="00123376">
        <w:trPr>
          <w:trHeight w:val="570"/>
        </w:trPr>
        <w:tc>
          <w:tcPr>
            <w:tcW w:w="1057"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1B667B28" w14:textId="77777777" w:rsidR="00BA7421" w:rsidRPr="00E21C60" w:rsidRDefault="00BA7421">
            <w:pPr>
              <w:rPr>
                <w:rFonts w:ascii="Arial" w:hAnsi="Arial" w:cs="Arial"/>
                <w:color w:val="000000"/>
                <w:sz w:val="16"/>
                <w:szCs w:val="16"/>
              </w:rPr>
            </w:pPr>
            <w:r w:rsidRPr="00E21C60">
              <w:rPr>
                <w:rFonts w:ascii="Arial" w:hAnsi="Arial" w:cs="Arial"/>
                <w:color w:val="000000"/>
                <w:sz w:val="16"/>
                <w:szCs w:val="16"/>
              </w:rPr>
              <w:lastRenderedPageBreak/>
              <w:t>Počet projektov s príspevkom k HP TUR (počet) výsledok</w:t>
            </w:r>
          </w:p>
        </w:tc>
        <w:tc>
          <w:tcPr>
            <w:tcW w:w="1014" w:type="dxa"/>
            <w:tcBorders>
              <w:top w:val="nil"/>
              <w:left w:val="nil"/>
              <w:bottom w:val="dotted" w:sz="4" w:space="0" w:color="auto"/>
              <w:right w:val="single" w:sz="8" w:space="0" w:color="auto"/>
            </w:tcBorders>
            <w:shd w:val="clear" w:color="auto" w:fill="auto"/>
            <w:vAlign w:val="center"/>
            <w:hideMark/>
          </w:tcPr>
          <w:p w14:paraId="458F644E" w14:textId="77777777" w:rsidR="00BA7421" w:rsidRPr="00E21C60" w:rsidRDefault="00BA7421">
            <w:pPr>
              <w:rPr>
                <w:rFonts w:ascii="Arial" w:hAnsi="Arial" w:cs="Arial"/>
                <w:color w:val="000000"/>
                <w:sz w:val="16"/>
                <w:szCs w:val="16"/>
              </w:rPr>
            </w:pPr>
            <w:r w:rsidRPr="00E21C60">
              <w:rPr>
                <w:rFonts w:ascii="Arial" w:hAnsi="Arial" w:cs="Arial"/>
                <w:color w:val="000000"/>
                <w:sz w:val="16"/>
                <w:szCs w:val="16"/>
              </w:rPr>
              <w:t>Dosiahnutý výsledok</w:t>
            </w:r>
          </w:p>
        </w:tc>
        <w:tc>
          <w:tcPr>
            <w:tcW w:w="628" w:type="dxa"/>
            <w:tcBorders>
              <w:top w:val="nil"/>
              <w:left w:val="nil"/>
              <w:bottom w:val="dotted" w:sz="4" w:space="0" w:color="auto"/>
              <w:right w:val="dotted" w:sz="4" w:space="0" w:color="auto"/>
            </w:tcBorders>
            <w:shd w:val="clear" w:color="auto" w:fill="auto"/>
            <w:vAlign w:val="center"/>
            <w:hideMark/>
          </w:tcPr>
          <w:p w14:paraId="2907D5B6"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2C9E64A3"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34</w:t>
            </w:r>
          </w:p>
        </w:tc>
        <w:tc>
          <w:tcPr>
            <w:tcW w:w="638" w:type="dxa"/>
            <w:tcBorders>
              <w:top w:val="nil"/>
              <w:left w:val="nil"/>
              <w:bottom w:val="dotted" w:sz="4" w:space="0" w:color="auto"/>
              <w:right w:val="dotted" w:sz="4" w:space="0" w:color="auto"/>
            </w:tcBorders>
            <w:shd w:val="clear" w:color="auto" w:fill="auto"/>
            <w:vAlign w:val="center"/>
            <w:hideMark/>
          </w:tcPr>
          <w:p w14:paraId="5387798F"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150</w:t>
            </w:r>
          </w:p>
        </w:tc>
        <w:tc>
          <w:tcPr>
            <w:tcW w:w="628" w:type="dxa"/>
            <w:tcBorders>
              <w:top w:val="nil"/>
              <w:left w:val="nil"/>
              <w:bottom w:val="dotted" w:sz="4" w:space="0" w:color="auto"/>
              <w:right w:val="dotted" w:sz="4" w:space="0" w:color="auto"/>
            </w:tcBorders>
            <w:shd w:val="clear" w:color="auto" w:fill="auto"/>
            <w:vAlign w:val="center"/>
            <w:hideMark/>
          </w:tcPr>
          <w:p w14:paraId="0F4F5392"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426</w:t>
            </w:r>
          </w:p>
        </w:tc>
        <w:tc>
          <w:tcPr>
            <w:tcW w:w="628" w:type="dxa"/>
            <w:tcBorders>
              <w:top w:val="nil"/>
              <w:left w:val="nil"/>
              <w:bottom w:val="dotted" w:sz="4" w:space="0" w:color="auto"/>
              <w:right w:val="dotted" w:sz="4" w:space="0" w:color="auto"/>
            </w:tcBorders>
            <w:shd w:val="clear" w:color="auto" w:fill="auto"/>
            <w:vAlign w:val="center"/>
            <w:hideMark/>
          </w:tcPr>
          <w:p w14:paraId="7145BBBD"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531</w:t>
            </w:r>
          </w:p>
        </w:tc>
        <w:tc>
          <w:tcPr>
            <w:tcW w:w="628" w:type="dxa"/>
            <w:tcBorders>
              <w:top w:val="nil"/>
              <w:left w:val="nil"/>
              <w:bottom w:val="dotted" w:sz="4" w:space="0" w:color="auto"/>
              <w:right w:val="dotted" w:sz="4" w:space="0" w:color="auto"/>
            </w:tcBorders>
            <w:shd w:val="clear" w:color="auto" w:fill="auto"/>
            <w:vAlign w:val="center"/>
            <w:hideMark/>
          </w:tcPr>
          <w:p w14:paraId="1B40283D"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525</w:t>
            </w:r>
          </w:p>
        </w:tc>
        <w:tc>
          <w:tcPr>
            <w:tcW w:w="638" w:type="dxa"/>
            <w:tcBorders>
              <w:top w:val="nil"/>
              <w:left w:val="nil"/>
              <w:bottom w:val="dotted" w:sz="4" w:space="0" w:color="auto"/>
              <w:right w:val="dotted" w:sz="4" w:space="0" w:color="auto"/>
            </w:tcBorders>
            <w:shd w:val="clear" w:color="auto" w:fill="auto"/>
            <w:vAlign w:val="center"/>
            <w:hideMark/>
          </w:tcPr>
          <w:p w14:paraId="07547944"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644</w:t>
            </w:r>
          </w:p>
        </w:tc>
        <w:tc>
          <w:tcPr>
            <w:tcW w:w="616" w:type="dxa"/>
            <w:tcBorders>
              <w:top w:val="nil"/>
              <w:left w:val="nil"/>
              <w:bottom w:val="dotted" w:sz="4" w:space="0" w:color="auto"/>
              <w:right w:val="dotted" w:sz="4" w:space="0" w:color="auto"/>
            </w:tcBorders>
            <w:shd w:val="clear" w:color="auto" w:fill="auto"/>
            <w:vAlign w:val="center"/>
            <w:hideMark/>
          </w:tcPr>
          <w:p w14:paraId="4EBCD5A8" w14:textId="77777777" w:rsidR="00BA7421" w:rsidRPr="00E21C60" w:rsidRDefault="00BA7421">
            <w:pPr>
              <w:jc w:val="center"/>
              <w:rPr>
                <w:rFonts w:ascii="Arial" w:hAnsi="Arial" w:cs="Arial"/>
                <w:color w:val="000000"/>
                <w:sz w:val="16"/>
                <w:szCs w:val="16"/>
              </w:rPr>
            </w:pPr>
            <w:r>
              <w:rPr>
                <w:rFonts w:ascii="Arial" w:hAnsi="Arial" w:cs="Arial"/>
                <w:color w:val="000000"/>
                <w:sz w:val="16"/>
                <w:szCs w:val="16"/>
              </w:rPr>
              <w:t>705</w:t>
            </w:r>
          </w:p>
        </w:tc>
        <w:tc>
          <w:tcPr>
            <w:tcW w:w="631" w:type="dxa"/>
            <w:tcBorders>
              <w:top w:val="nil"/>
              <w:left w:val="nil"/>
              <w:bottom w:val="dotted" w:sz="4" w:space="0" w:color="auto"/>
              <w:right w:val="dotted" w:sz="4" w:space="0" w:color="auto"/>
            </w:tcBorders>
            <w:shd w:val="clear" w:color="auto" w:fill="auto"/>
            <w:vAlign w:val="center"/>
            <w:hideMark/>
          </w:tcPr>
          <w:p w14:paraId="3D5D7176" w14:textId="56AA3AFE" w:rsidR="00BA7421" w:rsidRPr="00E21C60" w:rsidRDefault="00D5372F">
            <w:pPr>
              <w:jc w:val="center"/>
              <w:rPr>
                <w:rFonts w:ascii="Arial" w:hAnsi="Arial" w:cs="Arial"/>
                <w:color w:val="000000"/>
                <w:sz w:val="16"/>
                <w:szCs w:val="16"/>
              </w:rPr>
            </w:pPr>
            <w:r>
              <w:rPr>
                <w:rFonts w:ascii="Arial" w:hAnsi="Arial" w:cs="Arial"/>
                <w:color w:val="000000"/>
                <w:sz w:val="16"/>
                <w:szCs w:val="16"/>
              </w:rPr>
              <w:t>711</w:t>
            </w:r>
          </w:p>
        </w:tc>
        <w:tc>
          <w:tcPr>
            <w:tcW w:w="645" w:type="dxa"/>
            <w:tcBorders>
              <w:top w:val="nil"/>
              <w:left w:val="nil"/>
              <w:bottom w:val="dotted" w:sz="4" w:space="0" w:color="auto"/>
              <w:right w:val="dotted" w:sz="4" w:space="0" w:color="auto"/>
            </w:tcBorders>
            <w:shd w:val="clear" w:color="auto" w:fill="auto"/>
            <w:vAlign w:val="center"/>
            <w:hideMark/>
          </w:tcPr>
          <w:p w14:paraId="44D69721" w14:textId="5BA5FA03" w:rsidR="00BA7421" w:rsidRPr="00E21C60" w:rsidRDefault="00BA7421" w:rsidP="00D5372F">
            <w:pPr>
              <w:jc w:val="center"/>
              <w:rPr>
                <w:rFonts w:ascii="Arial" w:hAnsi="Arial" w:cs="Arial"/>
                <w:color w:val="000000"/>
                <w:sz w:val="16"/>
                <w:szCs w:val="16"/>
              </w:rPr>
            </w:pPr>
            <w:r>
              <w:rPr>
                <w:rFonts w:ascii="Arial" w:hAnsi="Arial" w:cs="Arial"/>
                <w:color w:val="000000"/>
                <w:sz w:val="16"/>
                <w:szCs w:val="16"/>
              </w:rPr>
              <w:t>70</w:t>
            </w:r>
            <w:r w:rsidR="00D5372F">
              <w:rPr>
                <w:rFonts w:ascii="Arial" w:hAnsi="Arial" w:cs="Arial"/>
                <w:color w:val="000000"/>
                <w:sz w:val="16"/>
                <w:szCs w:val="16"/>
              </w:rPr>
              <w:t>4</w:t>
            </w:r>
          </w:p>
        </w:tc>
        <w:tc>
          <w:tcPr>
            <w:tcW w:w="708" w:type="dxa"/>
            <w:vMerge w:val="restart"/>
            <w:tcBorders>
              <w:top w:val="nil"/>
              <w:left w:val="dotted" w:sz="4" w:space="0" w:color="auto"/>
              <w:bottom w:val="single" w:sz="8" w:space="0" w:color="000000"/>
              <w:right w:val="single" w:sz="8" w:space="0" w:color="auto"/>
            </w:tcBorders>
            <w:shd w:val="clear" w:color="auto" w:fill="auto"/>
            <w:vAlign w:val="center"/>
            <w:hideMark/>
          </w:tcPr>
          <w:p w14:paraId="7770AFF7" w14:textId="77777777" w:rsidR="00BA7421" w:rsidRPr="00E21C60" w:rsidRDefault="00BA7421" w:rsidP="00BA7421">
            <w:pPr>
              <w:jc w:val="center"/>
              <w:rPr>
                <w:rFonts w:ascii="Arial" w:hAnsi="Arial" w:cs="Arial"/>
                <w:color w:val="000000"/>
                <w:sz w:val="16"/>
                <w:szCs w:val="16"/>
              </w:rPr>
            </w:pPr>
            <w:r w:rsidRPr="00E21C60">
              <w:rPr>
                <w:rFonts w:ascii="Arial" w:hAnsi="Arial" w:cs="Arial"/>
                <w:color w:val="000000"/>
                <w:sz w:val="16"/>
                <w:szCs w:val="16"/>
              </w:rPr>
              <w:t>Riadne ukon-</w:t>
            </w:r>
          </w:p>
          <w:p w14:paraId="391B94E9" w14:textId="77777777" w:rsidR="00BA7421" w:rsidRPr="00E21C60" w:rsidRDefault="00BA7421" w:rsidP="00BA7421">
            <w:pPr>
              <w:jc w:val="center"/>
              <w:rPr>
                <w:rFonts w:ascii="Arial" w:hAnsi="Arial" w:cs="Arial"/>
                <w:color w:val="000000"/>
                <w:sz w:val="16"/>
                <w:szCs w:val="16"/>
              </w:rPr>
            </w:pPr>
            <w:r w:rsidRPr="00E21C60">
              <w:rPr>
                <w:rFonts w:ascii="Arial" w:hAnsi="Arial" w:cs="Arial"/>
                <w:color w:val="000000"/>
                <w:sz w:val="16"/>
                <w:szCs w:val="16"/>
              </w:rPr>
              <w:t>čené projekty</w:t>
            </w:r>
          </w:p>
          <w:p w14:paraId="439270F2" w14:textId="097539D5" w:rsidR="00BA7421" w:rsidRPr="00E21C60" w:rsidRDefault="00BA7421" w:rsidP="00D5372F">
            <w:pPr>
              <w:jc w:val="center"/>
              <w:rPr>
                <w:rFonts w:ascii="Arial" w:hAnsi="Arial" w:cs="Arial"/>
                <w:color w:val="000000"/>
                <w:sz w:val="16"/>
                <w:szCs w:val="16"/>
              </w:rPr>
            </w:pPr>
            <w:r w:rsidRPr="00E21C60">
              <w:rPr>
                <w:rFonts w:ascii="Arial" w:hAnsi="Arial" w:cs="Arial"/>
                <w:color w:val="000000"/>
                <w:sz w:val="16"/>
                <w:szCs w:val="16"/>
              </w:rPr>
              <w:t xml:space="preserve"> </w:t>
            </w:r>
            <w:r w:rsidR="00D5372F">
              <w:rPr>
                <w:rFonts w:ascii="Arial" w:hAnsi="Arial" w:cs="Arial"/>
                <w:color w:val="000000"/>
                <w:sz w:val="16"/>
                <w:szCs w:val="16"/>
              </w:rPr>
              <w:t>685</w:t>
            </w:r>
          </w:p>
        </w:tc>
      </w:tr>
      <w:tr w:rsidR="00BA7421" w:rsidRPr="00E21C60" w14:paraId="3AD869BB"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7DF3F992" w14:textId="77777777" w:rsidR="00BA7421" w:rsidRPr="00E21C60" w:rsidRDefault="00BA7421">
            <w:pPr>
              <w:rPr>
                <w:rFonts w:ascii="Arial" w:hAnsi="Arial" w:cs="Arial"/>
                <w:color w:val="000000"/>
                <w:sz w:val="16"/>
                <w:szCs w:val="16"/>
              </w:rPr>
            </w:pPr>
          </w:p>
        </w:tc>
        <w:tc>
          <w:tcPr>
            <w:tcW w:w="1014" w:type="dxa"/>
            <w:tcBorders>
              <w:top w:val="nil"/>
              <w:left w:val="nil"/>
              <w:bottom w:val="dotted" w:sz="4" w:space="0" w:color="auto"/>
              <w:right w:val="single" w:sz="8" w:space="0" w:color="auto"/>
            </w:tcBorders>
            <w:shd w:val="clear" w:color="auto" w:fill="auto"/>
            <w:vAlign w:val="center"/>
            <w:hideMark/>
          </w:tcPr>
          <w:p w14:paraId="13BA51D3" w14:textId="77777777" w:rsidR="00BA7421" w:rsidRPr="00E21C60" w:rsidRDefault="00BA7421">
            <w:pPr>
              <w:rPr>
                <w:rFonts w:ascii="Arial" w:hAnsi="Arial" w:cs="Arial"/>
                <w:color w:val="000000"/>
                <w:sz w:val="16"/>
                <w:szCs w:val="16"/>
              </w:rPr>
            </w:pPr>
            <w:r w:rsidRPr="00E21C60">
              <w:rPr>
                <w:rFonts w:ascii="Arial" w:hAnsi="Arial" w:cs="Arial"/>
                <w:color w:val="000000"/>
                <w:sz w:val="16"/>
                <w:szCs w:val="16"/>
              </w:rPr>
              <w:t>Cieľ</w:t>
            </w:r>
          </w:p>
        </w:tc>
        <w:tc>
          <w:tcPr>
            <w:tcW w:w="628" w:type="dxa"/>
            <w:tcBorders>
              <w:top w:val="nil"/>
              <w:left w:val="nil"/>
              <w:bottom w:val="dotted" w:sz="4" w:space="0" w:color="auto"/>
              <w:right w:val="dotted" w:sz="4" w:space="0" w:color="auto"/>
            </w:tcBorders>
            <w:shd w:val="clear" w:color="auto" w:fill="auto"/>
            <w:vAlign w:val="center"/>
            <w:hideMark/>
          </w:tcPr>
          <w:p w14:paraId="6DE1C1D3"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8D5A202"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06B4DF00"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63DBC649"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152BCB5"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E1E2B97"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467B36C5"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dotted" w:sz="4" w:space="0" w:color="auto"/>
              <w:right w:val="dotted" w:sz="4" w:space="0" w:color="auto"/>
            </w:tcBorders>
            <w:shd w:val="clear" w:color="auto" w:fill="auto"/>
            <w:vAlign w:val="center"/>
            <w:hideMark/>
          </w:tcPr>
          <w:p w14:paraId="7FF0EC9E"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dotted" w:sz="4" w:space="0" w:color="auto"/>
              <w:right w:val="dotted" w:sz="4" w:space="0" w:color="auto"/>
            </w:tcBorders>
            <w:shd w:val="clear" w:color="auto" w:fill="auto"/>
            <w:vAlign w:val="center"/>
            <w:hideMark/>
          </w:tcPr>
          <w:p w14:paraId="58B26D6C"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550</w:t>
            </w:r>
          </w:p>
        </w:tc>
        <w:tc>
          <w:tcPr>
            <w:tcW w:w="645" w:type="dxa"/>
            <w:tcBorders>
              <w:top w:val="nil"/>
              <w:left w:val="nil"/>
              <w:bottom w:val="dotted" w:sz="4" w:space="0" w:color="auto"/>
              <w:right w:val="dotted" w:sz="4" w:space="0" w:color="auto"/>
            </w:tcBorders>
            <w:shd w:val="clear" w:color="auto" w:fill="auto"/>
            <w:vAlign w:val="center"/>
            <w:hideMark/>
          </w:tcPr>
          <w:p w14:paraId="501CA42C"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550</w:t>
            </w:r>
          </w:p>
        </w:tc>
        <w:tc>
          <w:tcPr>
            <w:tcW w:w="708" w:type="dxa"/>
            <w:vMerge/>
            <w:tcBorders>
              <w:top w:val="nil"/>
              <w:left w:val="dotted" w:sz="4" w:space="0" w:color="auto"/>
              <w:bottom w:val="single" w:sz="8" w:space="0" w:color="000000"/>
              <w:right w:val="single" w:sz="8" w:space="0" w:color="auto"/>
            </w:tcBorders>
            <w:vAlign w:val="center"/>
            <w:hideMark/>
          </w:tcPr>
          <w:p w14:paraId="75D300F3" w14:textId="77777777" w:rsidR="00BA7421" w:rsidRPr="00E21C60" w:rsidRDefault="00BA7421">
            <w:pPr>
              <w:rPr>
                <w:rFonts w:ascii="Arial" w:hAnsi="Arial" w:cs="Arial"/>
                <w:color w:val="000000"/>
                <w:sz w:val="16"/>
                <w:szCs w:val="16"/>
              </w:rPr>
            </w:pPr>
          </w:p>
        </w:tc>
      </w:tr>
      <w:tr w:rsidR="00BA7421" w:rsidRPr="00E21C60" w14:paraId="58D569AF"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1B5D03BA" w14:textId="77777777" w:rsidR="00BA7421" w:rsidRPr="00E21C60" w:rsidRDefault="00BA7421">
            <w:pPr>
              <w:rPr>
                <w:rFonts w:ascii="Arial" w:hAnsi="Arial" w:cs="Arial"/>
                <w:color w:val="000000"/>
                <w:sz w:val="16"/>
                <w:szCs w:val="16"/>
              </w:rPr>
            </w:pPr>
          </w:p>
        </w:tc>
        <w:tc>
          <w:tcPr>
            <w:tcW w:w="1014" w:type="dxa"/>
            <w:tcBorders>
              <w:top w:val="nil"/>
              <w:left w:val="nil"/>
              <w:bottom w:val="single" w:sz="8" w:space="0" w:color="auto"/>
              <w:right w:val="single" w:sz="8" w:space="0" w:color="auto"/>
            </w:tcBorders>
            <w:shd w:val="clear" w:color="auto" w:fill="auto"/>
            <w:vAlign w:val="center"/>
            <w:hideMark/>
          </w:tcPr>
          <w:p w14:paraId="5A64B369" w14:textId="77777777" w:rsidR="00BA7421" w:rsidRPr="00E21C60" w:rsidRDefault="00BA7421">
            <w:pPr>
              <w:rPr>
                <w:rFonts w:ascii="Arial" w:hAnsi="Arial" w:cs="Arial"/>
                <w:color w:val="000000"/>
                <w:sz w:val="16"/>
                <w:szCs w:val="16"/>
              </w:rPr>
            </w:pPr>
            <w:r w:rsidRPr="00E21C60">
              <w:rPr>
                <w:rFonts w:ascii="Arial" w:hAnsi="Arial" w:cs="Arial"/>
                <w:color w:val="000000"/>
                <w:sz w:val="16"/>
                <w:szCs w:val="16"/>
              </w:rPr>
              <w:t>Východisko</w:t>
            </w:r>
          </w:p>
        </w:tc>
        <w:tc>
          <w:tcPr>
            <w:tcW w:w="628" w:type="dxa"/>
            <w:tcBorders>
              <w:top w:val="nil"/>
              <w:left w:val="nil"/>
              <w:bottom w:val="single" w:sz="8" w:space="0" w:color="auto"/>
              <w:right w:val="dotted" w:sz="4" w:space="0" w:color="auto"/>
            </w:tcBorders>
            <w:shd w:val="clear" w:color="auto" w:fill="auto"/>
            <w:vAlign w:val="center"/>
            <w:hideMark/>
          </w:tcPr>
          <w:p w14:paraId="6443AFDD"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single" w:sz="8" w:space="0" w:color="auto"/>
              <w:right w:val="dotted" w:sz="4" w:space="0" w:color="auto"/>
            </w:tcBorders>
            <w:shd w:val="clear" w:color="auto" w:fill="auto"/>
            <w:vAlign w:val="center"/>
            <w:hideMark/>
          </w:tcPr>
          <w:p w14:paraId="13BEA0A2"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single" w:sz="8" w:space="0" w:color="auto"/>
              <w:right w:val="dotted" w:sz="4" w:space="0" w:color="auto"/>
            </w:tcBorders>
            <w:shd w:val="clear" w:color="auto" w:fill="auto"/>
            <w:vAlign w:val="center"/>
            <w:hideMark/>
          </w:tcPr>
          <w:p w14:paraId="1325172F"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10F71F9F"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7384DD6B"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4B2F36B9"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single" w:sz="8" w:space="0" w:color="auto"/>
              <w:right w:val="dotted" w:sz="4" w:space="0" w:color="auto"/>
            </w:tcBorders>
            <w:shd w:val="clear" w:color="auto" w:fill="auto"/>
            <w:vAlign w:val="center"/>
            <w:hideMark/>
          </w:tcPr>
          <w:p w14:paraId="6D5343ED"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single" w:sz="8" w:space="0" w:color="auto"/>
              <w:right w:val="dotted" w:sz="4" w:space="0" w:color="auto"/>
            </w:tcBorders>
            <w:shd w:val="clear" w:color="auto" w:fill="auto"/>
            <w:vAlign w:val="center"/>
            <w:hideMark/>
          </w:tcPr>
          <w:p w14:paraId="2E61CA71"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single" w:sz="8" w:space="0" w:color="auto"/>
              <w:right w:val="dotted" w:sz="4" w:space="0" w:color="auto"/>
            </w:tcBorders>
            <w:shd w:val="clear" w:color="auto" w:fill="auto"/>
            <w:vAlign w:val="center"/>
            <w:hideMark/>
          </w:tcPr>
          <w:p w14:paraId="78A027E4"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N/A</w:t>
            </w:r>
          </w:p>
        </w:tc>
        <w:tc>
          <w:tcPr>
            <w:tcW w:w="645" w:type="dxa"/>
            <w:tcBorders>
              <w:top w:val="nil"/>
              <w:left w:val="nil"/>
              <w:bottom w:val="single" w:sz="8" w:space="0" w:color="auto"/>
              <w:right w:val="dotted" w:sz="4" w:space="0" w:color="auto"/>
            </w:tcBorders>
            <w:shd w:val="clear" w:color="auto" w:fill="auto"/>
            <w:vAlign w:val="center"/>
            <w:hideMark/>
          </w:tcPr>
          <w:p w14:paraId="332743AD"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0</w:t>
            </w:r>
          </w:p>
        </w:tc>
        <w:tc>
          <w:tcPr>
            <w:tcW w:w="708" w:type="dxa"/>
            <w:vMerge/>
            <w:tcBorders>
              <w:top w:val="nil"/>
              <w:left w:val="dotted" w:sz="4" w:space="0" w:color="auto"/>
              <w:bottom w:val="single" w:sz="8" w:space="0" w:color="000000"/>
              <w:right w:val="single" w:sz="8" w:space="0" w:color="auto"/>
            </w:tcBorders>
            <w:vAlign w:val="center"/>
            <w:hideMark/>
          </w:tcPr>
          <w:p w14:paraId="045C026B" w14:textId="77777777" w:rsidR="00BA7421" w:rsidRPr="00E21C60" w:rsidRDefault="00BA7421">
            <w:pPr>
              <w:rPr>
                <w:rFonts w:ascii="Arial" w:hAnsi="Arial" w:cs="Arial"/>
                <w:color w:val="000000"/>
                <w:sz w:val="16"/>
                <w:szCs w:val="16"/>
              </w:rPr>
            </w:pPr>
          </w:p>
        </w:tc>
      </w:tr>
      <w:tr w:rsidR="00BA7421" w:rsidRPr="00E21C60" w14:paraId="19859D4F" w14:textId="77777777" w:rsidTr="00123376">
        <w:trPr>
          <w:trHeight w:val="570"/>
        </w:trPr>
        <w:tc>
          <w:tcPr>
            <w:tcW w:w="1057" w:type="dxa"/>
            <w:vMerge w:val="restart"/>
            <w:tcBorders>
              <w:top w:val="nil"/>
              <w:left w:val="single" w:sz="8" w:space="0" w:color="auto"/>
              <w:bottom w:val="single" w:sz="8" w:space="0" w:color="000000"/>
              <w:right w:val="single" w:sz="8" w:space="0" w:color="auto"/>
            </w:tcBorders>
            <w:shd w:val="clear" w:color="000000" w:fill="EAF1DD"/>
            <w:vAlign w:val="center"/>
            <w:hideMark/>
          </w:tcPr>
          <w:p w14:paraId="0E443BDD" w14:textId="3E4811D2" w:rsidR="00BA7421" w:rsidRPr="00E21C60" w:rsidRDefault="00BA7421">
            <w:pPr>
              <w:rPr>
                <w:rFonts w:ascii="Arial" w:hAnsi="Arial" w:cs="Arial"/>
                <w:color w:val="000000"/>
                <w:sz w:val="16"/>
                <w:szCs w:val="16"/>
              </w:rPr>
            </w:pPr>
            <w:r w:rsidRPr="00E21C60">
              <w:rPr>
                <w:rFonts w:ascii="Arial" w:hAnsi="Arial" w:cs="Arial"/>
                <w:color w:val="000000"/>
                <w:sz w:val="16"/>
                <w:szCs w:val="16"/>
              </w:rPr>
              <w:t>Objem finančných prostriedkov projektov s príspevkom k HP TUR</w:t>
            </w:r>
            <w:r w:rsidRPr="00E21C60">
              <w:rPr>
                <w:rFonts w:ascii="Arial" w:hAnsi="Arial" w:cs="Arial"/>
                <w:color w:val="000000"/>
                <w:sz w:val="16"/>
                <w:szCs w:val="16"/>
              </w:rPr>
              <w:br/>
              <w:t xml:space="preserve">TUR (mil. </w:t>
            </w:r>
            <w:r w:rsidR="00366C2D">
              <w:rPr>
                <w:rFonts w:ascii="Arial" w:hAnsi="Arial" w:cs="Arial"/>
                <w:color w:val="000000"/>
                <w:sz w:val="16"/>
                <w:szCs w:val="16"/>
              </w:rPr>
              <w:t>€</w:t>
            </w:r>
            <w:r w:rsidRPr="00E21C60">
              <w:rPr>
                <w:rFonts w:ascii="Arial" w:hAnsi="Arial" w:cs="Arial"/>
                <w:color w:val="000000"/>
                <w:sz w:val="16"/>
                <w:szCs w:val="16"/>
              </w:rPr>
              <w:t>) výsledok</w:t>
            </w:r>
          </w:p>
        </w:tc>
        <w:tc>
          <w:tcPr>
            <w:tcW w:w="1014" w:type="dxa"/>
            <w:tcBorders>
              <w:top w:val="nil"/>
              <w:left w:val="nil"/>
              <w:bottom w:val="dotted" w:sz="4" w:space="0" w:color="auto"/>
              <w:right w:val="single" w:sz="8" w:space="0" w:color="auto"/>
            </w:tcBorders>
            <w:shd w:val="clear" w:color="auto" w:fill="auto"/>
            <w:vAlign w:val="center"/>
            <w:hideMark/>
          </w:tcPr>
          <w:p w14:paraId="6AB9463A" w14:textId="77777777" w:rsidR="00BA7421" w:rsidRPr="00E21C60" w:rsidRDefault="00BA7421">
            <w:pPr>
              <w:rPr>
                <w:rFonts w:ascii="Arial" w:hAnsi="Arial" w:cs="Arial"/>
                <w:color w:val="000000"/>
                <w:sz w:val="16"/>
                <w:szCs w:val="16"/>
              </w:rPr>
            </w:pPr>
            <w:r w:rsidRPr="00E21C60">
              <w:rPr>
                <w:rFonts w:ascii="Arial" w:hAnsi="Arial" w:cs="Arial"/>
                <w:color w:val="000000"/>
                <w:sz w:val="16"/>
                <w:szCs w:val="16"/>
              </w:rPr>
              <w:t>Dosiahnutý výsledok</w:t>
            </w:r>
          </w:p>
        </w:tc>
        <w:tc>
          <w:tcPr>
            <w:tcW w:w="628" w:type="dxa"/>
            <w:tcBorders>
              <w:top w:val="nil"/>
              <w:left w:val="nil"/>
              <w:bottom w:val="dotted" w:sz="4" w:space="0" w:color="auto"/>
              <w:right w:val="dotted" w:sz="4" w:space="0" w:color="auto"/>
            </w:tcBorders>
            <w:shd w:val="clear" w:color="auto" w:fill="auto"/>
            <w:vAlign w:val="center"/>
            <w:hideMark/>
          </w:tcPr>
          <w:p w14:paraId="60C82112"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78A98EFF"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36,</w:t>
            </w:r>
          </w:p>
          <w:p w14:paraId="1BDFB637"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6</w:t>
            </w:r>
          </w:p>
        </w:tc>
        <w:tc>
          <w:tcPr>
            <w:tcW w:w="638" w:type="dxa"/>
            <w:tcBorders>
              <w:top w:val="nil"/>
              <w:left w:val="nil"/>
              <w:bottom w:val="dotted" w:sz="4" w:space="0" w:color="auto"/>
              <w:right w:val="dotted" w:sz="4" w:space="0" w:color="auto"/>
            </w:tcBorders>
            <w:shd w:val="clear" w:color="auto" w:fill="auto"/>
            <w:vAlign w:val="center"/>
            <w:hideMark/>
          </w:tcPr>
          <w:p w14:paraId="705E0CE8"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264,</w:t>
            </w:r>
          </w:p>
          <w:p w14:paraId="63221192"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85</w:t>
            </w:r>
          </w:p>
        </w:tc>
        <w:tc>
          <w:tcPr>
            <w:tcW w:w="628" w:type="dxa"/>
            <w:tcBorders>
              <w:top w:val="nil"/>
              <w:left w:val="nil"/>
              <w:bottom w:val="dotted" w:sz="4" w:space="0" w:color="auto"/>
              <w:right w:val="dotted" w:sz="4" w:space="0" w:color="auto"/>
            </w:tcBorders>
            <w:shd w:val="clear" w:color="auto" w:fill="auto"/>
            <w:vAlign w:val="center"/>
            <w:hideMark/>
          </w:tcPr>
          <w:p w14:paraId="2D090075"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826,</w:t>
            </w:r>
          </w:p>
          <w:p w14:paraId="4D6349FE"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53</w:t>
            </w:r>
          </w:p>
        </w:tc>
        <w:tc>
          <w:tcPr>
            <w:tcW w:w="628" w:type="dxa"/>
            <w:tcBorders>
              <w:top w:val="nil"/>
              <w:left w:val="nil"/>
              <w:bottom w:val="dotted" w:sz="4" w:space="0" w:color="auto"/>
              <w:right w:val="dotted" w:sz="4" w:space="0" w:color="auto"/>
            </w:tcBorders>
            <w:shd w:val="clear" w:color="auto" w:fill="auto"/>
            <w:vAlign w:val="center"/>
            <w:hideMark/>
          </w:tcPr>
          <w:p w14:paraId="751A65AB" w14:textId="77777777" w:rsidR="00BA7421" w:rsidRDefault="00BA7421">
            <w:pPr>
              <w:jc w:val="center"/>
              <w:rPr>
                <w:rFonts w:ascii="Arial" w:hAnsi="Arial" w:cs="Arial"/>
                <w:color w:val="000000"/>
                <w:sz w:val="16"/>
                <w:szCs w:val="16"/>
              </w:rPr>
            </w:pPr>
            <w:r w:rsidRPr="00E21C60">
              <w:rPr>
                <w:rFonts w:ascii="Arial" w:hAnsi="Arial" w:cs="Arial"/>
                <w:color w:val="000000"/>
                <w:sz w:val="16"/>
                <w:szCs w:val="16"/>
              </w:rPr>
              <w:t>1</w:t>
            </w:r>
            <w:r>
              <w:rPr>
                <w:rFonts w:ascii="Arial" w:hAnsi="Arial" w:cs="Arial"/>
                <w:color w:val="000000"/>
                <w:sz w:val="16"/>
                <w:szCs w:val="16"/>
              </w:rPr>
              <w:t> </w:t>
            </w:r>
            <w:r w:rsidRPr="00E21C60">
              <w:rPr>
                <w:rFonts w:ascii="Arial" w:hAnsi="Arial" w:cs="Arial"/>
                <w:color w:val="000000"/>
                <w:sz w:val="16"/>
                <w:szCs w:val="16"/>
              </w:rPr>
              <w:t>022</w:t>
            </w:r>
          </w:p>
          <w:p w14:paraId="10BB4D81" w14:textId="77777777" w:rsidR="00BA7421" w:rsidRPr="00E21C60" w:rsidRDefault="00BA7421">
            <w:pPr>
              <w:jc w:val="center"/>
              <w:rPr>
                <w:rFonts w:ascii="Arial" w:hAnsi="Arial" w:cs="Arial"/>
                <w:color w:val="000000"/>
                <w:sz w:val="16"/>
                <w:szCs w:val="16"/>
              </w:rPr>
            </w:pPr>
            <w:r w:rsidRPr="00E21C60">
              <w:rPr>
                <w:rFonts w:ascii="Arial" w:hAnsi="Arial" w:cs="Arial"/>
                <w:color w:val="000000"/>
                <w:sz w:val="16"/>
                <w:szCs w:val="16"/>
              </w:rPr>
              <w:t>,8</w:t>
            </w:r>
          </w:p>
        </w:tc>
        <w:tc>
          <w:tcPr>
            <w:tcW w:w="628" w:type="dxa"/>
            <w:tcBorders>
              <w:top w:val="nil"/>
              <w:left w:val="nil"/>
              <w:bottom w:val="dotted" w:sz="4" w:space="0" w:color="auto"/>
              <w:right w:val="dotted" w:sz="4" w:space="0" w:color="auto"/>
            </w:tcBorders>
            <w:shd w:val="clear" w:color="auto" w:fill="auto"/>
            <w:vAlign w:val="center"/>
            <w:hideMark/>
          </w:tcPr>
          <w:p w14:paraId="7C99156B" w14:textId="77777777" w:rsidR="00BA7421" w:rsidRDefault="00BA7421">
            <w:pPr>
              <w:jc w:val="center"/>
              <w:rPr>
                <w:rFonts w:ascii="Arial" w:hAnsi="Arial" w:cs="Arial"/>
                <w:color w:val="000000"/>
                <w:sz w:val="16"/>
                <w:szCs w:val="16"/>
              </w:rPr>
            </w:pPr>
            <w:r w:rsidRPr="00E21C60">
              <w:rPr>
                <w:rFonts w:ascii="Arial" w:hAnsi="Arial" w:cs="Arial"/>
                <w:color w:val="000000"/>
                <w:sz w:val="16"/>
                <w:szCs w:val="16"/>
              </w:rPr>
              <w:t>1</w:t>
            </w:r>
            <w:r>
              <w:rPr>
                <w:rFonts w:ascii="Arial" w:hAnsi="Arial" w:cs="Arial"/>
                <w:color w:val="000000"/>
                <w:sz w:val="16"/>
                <w:szCs w:val="16"/>
              </w:rPr>
              <w:t> </w:t>
            </w:r>
            <w:r w:rsidRPr="00E21C60">
              <w:rPr>
                <w:rFonts w:ascii="Arial" w:hAnsi="Arial" w:cs="Arial"/>
                <w:color w:val="000000"/>
                <w:sz w:val="16"/>
                <w:szCs w:val="16"/>
              </w:rPr>
              <w:t>171</w:t>
            </w:r>
          </w:p>
          <w:p w14:paraId="17D7959F" w14:textId="77777777" w:rsidR="00BA7421" w:rsidRPr="00E21C60" w:rsidRDefault="00BA7421" w:rsidP="006004B8">
            <w:pPr>
              <w:jc w:val="center"/>
              <w:rPr>
                <w:rFonts w:ascii="Arial" w:hAnsi="Arial" w:cs="Arial"/>
                <w:color w:val="000000"/>
                <w:sz w:val="16"/>
                <w:szCs w:val="16"/>
              </w:rPr>
            </w:pPr>
            <w:r w:rsidRPr="00E21C60">
              <w:rPr>
                <w:rFonts w:ascii="Arial" w:hAnsi="Arial" w:cs="Arial"/>
                <w:color w:val="000000"/>
                <w:sz w:val="16"/>
                <w:szCs w:val="16"/>
              </w:rPr>
              <w:t xml:space="preserve">,8   </w:t>
            </w:r>
          </w:p>
        </w:tc>
        <w:tc>
          <w:tcPr>
            <w:tcW w:w="638" w:type="dxa"/>
            <w:tcBorders>
              <w:top w:val="nil"/>
              <w:left w:val="nil"/>
              <w:bottom w:val="dotted" w:sz="4" w:space="0" w:color="auto"/>
              <w:right w:val="dotted" w:sz="4" w:space="0" w:color="auto"/>
            </w:tcBorders>
            <w:shd w:val="clear" w:color="auto" w:fill="auto"/>
            <w:vAlign w:val="center"/>
            <w:hideMark/>
          </w:tcPr>
          <w:p w14:paraId="4493B008" w14:textId="77777777" w:rsidR="00BA7421" w:rsidRDefault="00BA7421">
            <w:pPr>
              <w:jc w:val="center"/>
              <w:rPr>
                <w:rFonts w:ascii="Arial" w:hAnsi="Arial" w:cs="Arial"/>
                <w:color w:val="000000"/>
                <w:sz w:val="16"/>
                <w:szCs w:val="16"/>
              </w:rPr>
            </w:pPr>
            <w:r w:rsidRPr="00E21C60">
              <w:rPr>
                <w:rFonts w:ascii="Arial" w:hAnsi="Arial" w:cs="Arial"/>
                <w:color w:val="000000"/>
                <w:sz w:val="16"/>
                <w:szCs w:val="16"/>
              </w:rPr>
              <w:t>1</w:t>
            </w:r>
            <w:r>
              <w:rPr>
                <w:rFonts w:ascii="Arial" w:hAnsi="Arial" w:cs="Arial"/>
                <w:color w:val="000000"/>
                <w:sz w:val="16"/>
                <w:szCs w:val="16"/>
              </w:rPr>
              <w:t> </w:t>
            </w:r>
            <w:r w:rsidRPr="00E21C60">
              <w:rPr>
                <w:rFonts w:ascii="Arial" w:hAnsi="Arial" w:cs="Arial"/>
                <w:color w:val="000000"/>
                <w:sz w:val="16"/>
                <w:szCs w:val="16"/>
              </w:rPr>
              <w:t>336</w:t>
            </w:r>
          </w:p>
          <w:p w14:paraId="70D4F061" w14:textId="77777777" w:rsidR="00BA7421" w:rsidRPr="00E21C60" w:rsidRDefault="00BA7421" w:rsidP="006004B8">
            <w:pPr>
              <w:jc w:val="center"/>
              <w:rPr>
                <w:rFonts w:ascii="Arial" w:hAnsi="Arial" w:cs="Arial"/>
                <w:color w:val="000000"/>
                <w:sz w:val="16"/>
                <w:szCs w:val="16"/>
              </w:rPr>
            </w:pPr>
            <w:r w:rsidRPr="00E21C60">
              <w:rPr>
                <w:rFonts w:ascii="Arial" w:hAnsi="Arial" w:cs="Arial"/>
                <w:color w:val="000000"/>
                <w:sz w:val="16"/>
                <w:szCs w:val="16"/>
              </w:rPr>
              <w:t>,4</w:t>
            </w:r>
          </w:p>
        </w:tc>
        <w:tc>
          <w:tcPr>
            <w:tcW w:w="616" w:type="dxa"/>
            <w:tcBorders>
              <w:top w:val="nil"/>
              <w:left w:val="nil"/>
              <w:bottom w:val="dotted" w:sz="4" w:space="0" w:color="auto"/>
              <w:right w:val="dotted" w:sz="4" w:space="0" w:color="auto"/>
            </w:tcBorders>
            <w:shd w:val="clear" w:color="auto" w:fill="auto"/>
            <w:vAlign w:val="center"/>
            <w:hideMark/>
          </w:tcPr>
          <w:p w14:paraId="3416B266" w14:textId="77777777" w:rsidR="00BA7421" w:rsidRPr="00E21C60" w:rsidRDefault="00BA7421">
            <w:pPr>
              <w:jc w:val="center"/>
              <w:rPr>
                <w:rFonts w:ascii="Arial" w:hAnsi="Arial" w:cs="Arial"/>
                <w:color w:val="000000"/>
                <w:sz w:val="16"/>
                <w:szCs w:val="16"/>
              </w:rPr>
            </w:pPr>
            <w:r>
              <w:rPr>
                <w:rFonts w:ascii="Arial" w:hAnsi="Arial" w:cs="Arial"/>
                <w:color w:val="000000"/>
                <w:sz w:val="16"/>
                <w:szCs w:val="16"/>
              </w:rPr>
              <w:t>1578,5</w:t>
            </w:r>
          </w:p>
        </w:tc>
        <w:tc>
          <w:tcPr>
            <w:tcW w:w="631" w:type="dxa"/>
            <w:tcBorders>
              <w:top w:val="nil"/>
              <w:left w:val="nil"/>
              <w:bottom w:val="dotted" w:sz="4" w:space="0" w:color="auto"/>
              <w:right w:val="dotted" w:sz="4" w:space="0" w:color="auto"/>
            </w:tcBorders>
            <w:shd w:val="clear" w:color="auto" w:fill="auto"/>
            <w:vAlign w:val="center"/>
            <w:hideMark/>
          </w:tcPr>
          <w:p w14:paraId="65C6C1F4" w14:textId="713853B4" w:rsidR="00BA7421" w:rsidRPr="00E21C60" w:rsidRDefault="00D5372F">
            <w:pPr>
              <w:jc w:val="center"/>
              <w:rPr>
                <w:rFonts w:ascii="Arial" w:hAnsi="Arial" w:cs="Arial"/>
                <w:color w:val="000000"/>
                <w:sz w:val="16"/>
                <w:szCs w:val="16"/>
              </w:rPr>
            </w:pPr>
            <w:r>
              <w:rPr>
                <w:rFonts w:ascii="Arial" w:hAnsi="Arial" w:cs="Arial"/>
                <w:color w:val="000000"/>
                <w:sz w:val="16"/>
                <w:szCs w:val="16"/>
              </w:rPr>
              <w:t>1697,36</w:t>
            </w:r>
          </w:p>
        </w:tc>
        <w:tc>
          <w:tcPr>
            <w:tcW w:w="645" w:type="dxa"/>
            <w:tcBorders>
              <w:top w:val="nil"/>
              <w:left w:val="nil"/>
              <w:bottom w:val="dotted" w:sz="4" w:space="0" w:color="auto"/>
              <w:right w:val="dotted" w:sz="4" w:space="0" w:color="auto"/>
            </w:tcBorders>
            <w:shd w:val="clear" w:color="auto" w:fill="auto"/>
            <w:vAlign w:val="center"/>
            <w:hideMark/>
          </w:tcPr>
          <w:p w14:paraId="77E319A2" w14:textId="18F00A7E" w:rsidR="00BA7421" w:rsidRPr="00123376" w:rsidRDefault="00BA7421" w:rsidP="00D5372F">
            <w:pPr>
              <w:jc w:val="center"/>
              <w:rPr>
                <w:rFonts w:ascii="Arial" w:hAnsi="Arial" w:cs="Arial"/>
                <w:sz w:val="16"/>
                <w:szCs w:val="16"/>
              </w:rPr>
            </w:pPr>
            <w:r>
              <w:rPr>
                <w:rFonts w:ascii="Arial" w:hAnsi="Arial" w:cs="Arial"/>
                <w:color w:val="000000"/>
                <w:sz w:val="16"/>
                <w:szCs w:val="16"/>
              </w:rPr>
              <w:t>1</w:t>
            </w:r>
            <w:r w:rsidR="00D5372F">
              <w:rPr>
                <w:rFonts w:ascii="Arial" w:hAnsi="Arial" w:cs="Arial"/>
                <w:color w:val="000000"/>
                <w:sz w:val="16"/>
                <w:szCs w:val="16"/>
              </w:rPr>
              <w:t>630,81</w:t>
            </w:r>
          </w:p>
        </w:tc>
        <w:tc>
          <w:tcPr>
            <w:tcW w:w="708" w:type="dxa"/>
            <w:vMerge w:val="restart"/>
            <w:tcBorders>
              <w:top w:val="nil"/>
              <w:left w:val="dotted" w:sz="4" w:space="0" w:color="auto"/>
              <w:bottom w:val="single" w:sz="8" w:space="0" w:color="000000"/>
              <w:right w:val="single" w:sz="8" w:space="0" w:color="auto"/>
            </w:tcBorders>
            <w:shd w:val="clear" w:color="auto" w:fill="auto"/>
            <w:vAlign w:val="center"/>
            <w:hideMark/>
          </w:tcPr>
          <w:p w14:paraId="5E5B6678" w14:textId="77777777" w:rsidR="00BA7421" w:rsidRPr="00123376" w:rsidRDefault="00BA7421" w:rsidP="00BA7421">
            <w:pPr>
              <w:jc w:val="center"/>
              <w:rPr>
                <w:rFonts w:ascii="Arial" w:hAnsi="Arial" w:cs="Arial"/>
                <w:sz w:val="16"/>
                <w:szCs w:val="16"/>
              </w:rPr>
            </w:pPr>
            <w:r w:rsidRPr="00123376">
              <w:rPr>
                <w:rFonts w:ascii="Arial" w:hAnsi="Arial" w:cs="Arial"/>
                <w:sz w:val="16"/>
                <w:szCs w:val="16"/>
              </w:rPr>
              <w:t>EU</w:t>
            </w:r>
          </w:p>
          <w:p w14:paraId="7376E4EE" w14:textId="77777777" w:rsidR="00BA7421" w:rsidRPr="00123376" w:rsidRDefault="00BA7421" w:rsidP="00BA7421">
            <w:pPr>
              <w:jc w:val="center"/>
              <w:rPr>
                <w:rFonts w:ascii="Arial" w:hAnsi="Arial" w:cs="Arial"/>
                <w:sz w:val="16"/>
                <w:szCs w:val="16"/>
              </w:rPr>
            </w:pPr>
            <w:r w:rsidRPr="00123376">
              <w:rPr>
                <w:rFonts w:ascii="Arial" w:hAnsi="Arial" w:cs="Arial"/>
                <w:sz w:val="16"/>
                <w:szCs w:val="16"/>
              </w:rPr>
              <w:t>zdroj:</w:t>
            </w:r>
          </w:p>
          <w:p w14:paraId="3BB7E980" w14:textId="4BCF3F0B" w:rsidR="00BA7421" w:rsidRPr="00123376" w:rsidRDefault="00BA7421" w:rsidP="00D5372F">
            <w:pPr>
              <w:jc w:val="center"/>
              <w:rPr>
                <w:rFonts w:ascii="Arial" w:hAnsi="Arial" w:cs="Arial"/>
                <w:sz w:val="16"/>
                <w:szCs w:val="16"/>
              </w:rPr>
            </w:pPr>
            <w:r>
              <w:rPr>
                <w:rFonts w:ascii="Arial" w:hAnsi="Arial" w:cs="Arial"/>
                <w:sz w:val="16"/>
                <w:szCs w:val="16"/>
              </w:rPr>
              <w:t>1</w:t>
            </w:r>
            <w:r w:rsidR="00D5372F">
              <w:rPr>
                <w:rFonts w:ascii="Arial" w:hAnsi="Arial" w:cs="Arial"/>
                <w:sz w:val="16"/>
                <w:szCs w:val="16"/>
              </w:rPr>
              <w:t>630,81</w:t>
            </w:r>
          </w:p>
        </w:tc>
      </w:tr>
      <w:tr w:rsidR="008A1DC9" w:rsidRPr="00E21C60" w14:paraId="55F89A73"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35F08FF4" w14:textId="77777777" w:rsidR="001B42C1" w:rsidRPr="00E21C60" w:rsidRDefault="001B42C1">
            <w:pPr>
              <w:rPr>
                <w:rFonts w:ascii="Arial" w:hAnsi="Arial" w:cs="Arial"/>
                <w:color w:val="000000"/>
                <w:sz w:val="16"/>
                <w:szCs w:val="16"/>
              </w:rPr>
            </w:pPr>
          </w:p>
        </w:tc>
        <w:tc>
          <w:tcPr>
            <w:tcW w:w="1014" w:type="dxa"/>
            <w:tcBorders>
              <w:top w:val="nil"/>
              <w:left w:val="nil"/>
              <w:bottom w:val="dotted" w:sz="4" w:space="0" w:color="auto"/>
              <w:right w:val="single" w:sz="8" w:space="0" w:color="auto"/>
            </w:tcBorders>
            <w:shd w:val="clear" w:color="auto" w:fill="auto"/>
            <w:vAlign w:val="center"/>
            <w:hideMark/>
          </w:tcPr>
          <w:p w14:paraId="68CF5C94"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Cieľ</w:t>
            </w:r>
          </w:p>
        </w:tc>
        <w:tc>
          <w:tcPr>
            <w:tcW w:w="628" w:type="dxa"/>
            <w:tcBorders>
              <w:top w:val="nil"/>
              <w:left w:val="nil"/>
              <w:bottom w:val="dotted" w:sz="4" w:space="0" w:color="auto"/>
              <w:right w:val="dotted" w:sz="4" w:space="0" w:color="auto"/>
            </w:tcBorders>
            <w:shd w:val="clear" w:color="auto" w:fill="auto"/>
            <w:vAlign w:val="center"/>
            <w:hideMark/>
          </w:tcPr>
          <w:p w14:paraId="761F8AE8"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3320CAC3"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0C0F64A6"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4594E48F"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7C111AE3"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3741679C"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nil"/>
              <w:left w:val="nil"/>
              <w:bottom w:val="dotted" w:sz="4" w:space="0" w:color="auto"/>
              <w:right w:val="dotted" w:sz="4" w:space="0" w:color="auto"/>
            </w:tcBorders>
            <w:shd w:val="clear" w:color="auto" w:fill="auto"/>
            <w:vAlign w:val="center"/>
            <w:hideMark/>
          </w:tcPr>
          <w:p w14:paraId="633089EF"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nil"/>
              <w:left w:val="nil"/>
              <w:bottom w:val="dotted" w:sz="4" w:space="0" w:color="auto"/>
              <w:right w:val="dotted" w:sz="4" w:space="0" w:color="auto"/>
            </w:tcBorders>
            <w:shd w:val="clear" w:color="auto" w:fill="auto"/>
            <w:vAlign w:val="center"/>
            <w:hideMark/>
          </w:tcPr>
          <w:p w14:paraId="582893DA"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nil"/>
              <w:left w:val="nil"/>
              <w:bottom w:val="dotted" w:sz="4" w:space="0" w:color="auto"/>
              <w:right w:val="dotted" w:sz="4" w:space="0" w:color="auto"/>
            </w:tcBorders>
            <w:shd w:val="clear" w:color="auto" w:fill="auto"/>
            <w:vAlign w:val="center"/>
            <w:hideMark/>
          </w:tcPr>
          <w:p w14:paraId="27BCFFF8" w14:textId="77777777" w:rsidR="006004B8" w:rsidRDefault="001B42C1">
            <w:pPr>
              <w:jc w:val="center"/>
              <w:rPr>
                <w:rFonts w:ascii="Arial" w:hAnsi="Arial" w:cs="Arial"/>
                <w:color w:val="000000"/>
                <w:sz w:val="16"/>
                <w:szCs w:val="16"/>
              </w:rPr>
            </w:pPr>
            <w:r w:rsidRPr="00E21C60">
              <w:rPr>
                <w:rFonts w:ascii="Arial" w:hAnsi="Arial" w:cs="Arial"/>
                <w:color w:val="000000"/>
                <w:sz w:val="16"/>
                <w:szCs w:val="16"/>
              </w:rPr>
              <w:t>1</w:t>
            </w:r>
            <w:r w:rsidR="006004B8">
              <w:rPr>
                <w:rFonts w:ascii="Arial" w:hAnsi="Arial" w:cs="Arial"/>
                <w:color w:val="000000"/>
                <w:sz w:val="16"/>
                <w:szCs w:val="16"/>
              </w:rPr>
              <w:t> </w:t>
            </w:r>
            <w:r w:rsidRPr="00E21C60">
              <w:rPr>
                <w:rFonts w:ascii="Arial" w:hAnsi="Arial" w:cs="Arial"/>
                <w:color w:val="000000"/>
                <w:sz w:val="16"/>
                <w:szCs w:val="16"/>
              </w:rPr>
              <w:t>712</w:t>
            </w:r>
          </w:p>
          <w:p w14:paraId="18B4848B" w14:textId="77777777" w:rsidR="001B42C1" w:rsidRPr="00E21C60" w:rsidRDefault="001B42C1" w:rsidP="006004B8">
            <w:pPr>
              <w:jc w:val="center"/>
              <w:rPr>
                <w:rFonts w:ascii="Arial" w:hAnsi="Arial" w:cs="Arial"/>
                <w:color w:val="000000"/>
                <w:sz w:val="16"/>
                <w:szCs w:val="16"/>
              </w:rPr>
            </w:pPr>
            <w:r w:rsidRPr="00E21C60">
              <w:rPr>
                <w:rFonts w:ascii="Arial" w:hAnsi="Arial" w:cs="Arial"/>
                <w:color w:val="000000"/>
                <w:sz w:val="16"/>
                <w:szCs w:val="16"/>
              </w:rPr>
              <w:t>,9</w:t>
            </w:r>
          </w:p>
        </w:tc>
        <w:tc>
          <w:tcPr>
            <w:tcW w:w="645" w:type="dxa"/>
            <w:tcBorders>
              <w:top w:val="nil"/>
              <w:left w:val="nil"/>
              <w:bottom w:val="dotted" w:sz="4" w:space="0" w:color="auto"/>
              <w:right w:val="dotted" w:sz="4" w:space="0" w:color="auto"/>
            </w:tcBorders>
            <w:shd w:val="clear" w:color="auto" w:fill="auto"/>
            <w:vAlign w:val="center"/>
            <w:hideMark/>
          </w:tcPr>
          <w:p w14:paraId="604D8BDB" w14:textId="77777777" w:rsidR="006004B8" w:rsidRDefault="001B42C1">
            <w:pPr>
              <w:jc w:val="center"/>
              <w:rPr>
                <w:rFonts w:ascii="Arial" w:hAnsi="Arial" w:cs="Arial"/>
                <w:color w:val="000000"/>
                <w:sz w:val="16"/>
                <w:szCs w:val="16"/>
              </w:rPr>
            </w:pPr>
            <w:r w:rsidRPr="00E21C60">
              <w:rPr>
                <w:rFonts w:ascii="Arial" w:hAnsi="Arial" w:cs="Arial"/>
                <w:color w:val="000000"/>
                <w:sz w:val="16"/>
                <w:szCs w:val="16"/>
              </w:rPr>
              <w:t>1</w:t>
            </w:r>
            <w:r w:rsidR="006004B8">
              <w:rPr>
                <w:rFonts w:ascii="Arial" w:hAnsi="Arial" w:cs="Arial"/>
                <w:color w:val="000000"/>
                <w:sz w:val="16"/>
                <w:szCs w:val="16"/>
              </w:rPr>
              <w:t> </w:t>
            </w:r>
            <w:r w:rsidRPr="00E21C60">
              <w:rPr>
                <w:rFonts w:ascii="Arial" w:hAnsi="Arial" w:cs="Arial"/>
                <w:color w:val="000000"/>
                <w:sz w:val="16"/>
                <w:szCs w:val="16"/>
              </w:rPr>
              <w:t>712</w:t>
            </w:r>
          </w:p>
          <w:p w14:paraId="19FB35B7" w14:textId="77777777" w:rsidR="001B42C1" w:rsidRPr="00E21C60" w:rsidRDefault="001B42C1" w:rsidP="006004B8">
            <w:pPr>
              <w:jc w:val="center"/>
              <w:rPr>
                <w:rFonts w:ascii="Arial" w:hAnsi="Arial" w:cs="Arial"/>
                <w:color w:val="000000"/>
                <w:sz w:val="16"/>
                <w:szCs w:val="16"/>
              </w:rPr>
            </w:pPr>
            <w:r w:rsidRPr="00E21C60">
              <w:rPr>
                <w:rFonts w:ascii="Arial" w:hAnsi="Arial" w:cs="Arial"/>
                <w:color w:val="000000"/>
                <w:sz w:val="16"/>
                <w:szCs w:val="16"/>
              </w:rPr>
              <w:t>,9</w:t>
            </w:r>
          </w:p>
        </w:tc>
        <w:tc>
          <w:tcPr>
            <w:tcW w:w="708" w:type="dxa"/>
            <w:vMerge/>
            <w:tcBorders>
              <w:top w:val="nil"/>
              <w:left w:val="dotted" w:sz="4" w:space="0" w:color="auto"/>
              <w:bottom w:val="single" w:sz="8" w:space="0" w:color="000000"/>
              <w:right w:val="single" w:sz="8" w:space="0" w:color="auto"/>
            </w:tcBorders>
            <w:vAlign w:val="center"/>
            <w:hideMark/>
          </w:tcPr>
          <w:p w14:paraId="55486933" w14:textId="77777777" w:rsidR="001B42C1" w:rsidRPr="00E21C60" w:rsidRDefault="001B42C1">
            <w:pPr>
              <w:rPr>
                <w:rFonts w:ascii="Arial" w:hAnsi="Arial" w:cs="Arial"/>
                <w:color w:val="000000"/>
                <w:sz w:val="16"/>
                <w:szCs w:val="16"/>
              </w:rPr>
            </w:pPr>
          </w:p>
        </w:tc>
      </w:tr>
      <w:tr w:rsidR="008A1DC9" w:rsidRPr="00E21C60" w14:paraId="2C22290C" w14:textId="77777777" w:rsidTr="00123376">
        <w:trPr>
          <w:trHeight w:val="570"/>
        </w:trPr>
        <w:tc>
          <w:tcPr>
            <w:tcW w:w="1057" w:type="dxa"/>
            <w:vMerge/>
            <w:tcBorders>
              <w:top w:val="nil"/>
              <w:left w:val="single" w:sz="8" w:space="0" w:color="auto"/>
              <w:bottom w:val="single" w:sz="8" w:space="0" w:color="000000"/>
              <w:right w:val="single" w:sz="8" w:space="0" w:color="auto"/>
            </w:tcBorders>
            <w:vAlign w:val="center"/>
            <w:hideMark/>
          </w:tcPr>
          <w:p w14:paraId="3D4A0E36" w14:textId="77777777" w:rsidR="001B42C1" w:rsidRPr="00E21C60" w:rsidRDefault="001B42C1">
            <w:pPr>
              <w:rPr>
                <w:rFonts w:ascii="Arial" w:hAnsi="Arial" w:cs="Arial"/>
                <w:color w:val="000000"/>
                <w:sz w:val="16"/>
                <w:szCs w:val="16"/>
              </w:rPr>
            </w:pPr>
          </w:p>
        </w:tc>
        <w:tc>
          <w:tcPr>
            <w:tcW w:w="1014" w:type="dxa"/>
            <w:tcBorders>
              <w:top w:val="dotted" w:sz="4" w:space="0" w:color="auto"/>
              <w:left w:val="nil"/>
              <w:bottom w:val="single" w:sz="8" w:space="0" w:color="auto"/>
              <w:right w:val="single" w:sz="8" w:space="0" w:color="auto"/>
            </w:tcBorders>
            <w:shd w:val="clear" w:color="auto" w:fill="auto"/>
            <w:vAlign w:val="center"/>
            <w:hideMark/>
          </w:tcPr>
          <w:p w14:paraId="5D0FFEB0" w14:textId="77777777" w:rsidR="001B42C1" w:rsidRPr="00E21C60" w:rsidRDefault="001B42C1">
            <w:pPr>
              <w:rPr>
                <w:rFonts w:ascii="Arial" w:hAnsi="Arial" w:cs="Arial"/>
                <w:color w:val="000000"/>
                <w:sz w:val="16"/>
                <w:szCs w:val="16"/>
              </w:rPr>
            </w:pPr>
            <w:r w:rsidRPr="00E21C60">
              <w:rPr>
                <w:rFonts w:ascii="Arial" w:hAnsi="Arial" w:cs="Arial"/>
                <w:color w:val="000000"/>
                <w:sz w:val="16"/>
                <w:szCs w:val="16"/>
              </w:rPr>
              <w:t>Východisko</w:t>
            </w:r>
          </w:p>
        </w:tc>
        <w:tc>
          <w:tcPr>
            <w:tcW w:w="628" w:type="dxa"/>
            <w:tcBorders>
              <w:top w:val="dotted" w:sz="4" w:space="0" w:color="auto"/>
              <w:left w:val="nil"/>
              <w:bottom w:val="single" w:sz="8" w:space="0" w:color="auto"/>
              <w:right w:val="dotted" w:sz="4" w:space="0" w:color="auto"/>
            </w:tcBorders>
            <w:shd w:val="clear" w:color="auto" w:fill="auto"/>
            <w:vAlign w:val="center"/>
            <w:hideMark/>
          </w:tcPr>
          <w:p w14:paraId="49AA944E"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dotted" w:sz="4" w:space="0" w:color="auto"/>
              <w:left w:val="nil"/>
              <w:bottom w:val="single" w:sz="8" w:space="0" w:color="auto"/>
              <w:right w:val="dotted" w:sz="4" w:space="0" w:color="auto"/>
            </w:tcBorders>
            <w:shd w:val="clear" w:color="auto" w:fill="auto"/>
            <w:vAlign w:val="center"/>
            <w:hideMark/>
          </w:tcPr>
          <w:p w14:paraId="30086388"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dotted" w:sz="4" w:space="0" w:color="auto"/>
              <w:left w:val="nil"/>
              <w:bottom w:val="single" w:sz="8" w:space="0" w:color="auto"/>
              <w:right w:val="dotted" w:sz="4" w:space="0" w:color="auto"/>
            </w:tcBorders>
            <w:shd w:val="clear" w:color="auto" w:fill="auto"/>
            <w:vAlign w:val="center"/>
            <w:hideMark/>
          </w:tcPr>
          <w:p w14:paraId="4CDF2129"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dotted" w:sz="4" w:space="0" w:color="auto"/>
              <w:left w:val="nil"/>
              <w:bottom w:val="single" w:sz="8" w:space="0" w:color="auto"/>
              <w:right w:val="dotted" w:sz="4" w:space="0" w:color="auto"/>
            </w:tcBorders>
            <w:shd w:val="clear" w:color="auto" w:fill="auto"/>
            <w:vAlign w:val="center"/>
            <w:hideMark/>
          </w:tcPr>
          <w:p w14:paraId="27080A0C"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dotted" w:sz="4" w:space="0" w:color="auto"/>
              <w:left w:val="nil"/>
              <w:bottom w:val="single" w:sz="8" w:space="0" w:color="auto"/>
              <w:right w:val="dotted" w:sz="4" w:space="0" w:color="auto"/>
            </w:tcBorders>
            <w:shd w:val="clear" w:color="auto" w:fill="auto"/>
            <w:vAlign w:val="center"/>
            <w:hideMark/>
          </w:tcPr>
          <w:p w14:paraId="7A763444"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dotted" w:sz="4" w:space="0" w:color="auto"/>
              <w:left w:val="nil"/>
              <w:bottom w:val="single" w:sz="8" w:space="0" w:color="auto"/>
              <w:right w:val="dotted" w:sz="4" w:space="0" w:color="auto"/>
            </w:tcBorders>
            <w:shd w:val="clear" w:color="auto" w:fill="auto"/>
            <w:vAlign w:val="center"/>
            <w:hideMark/>
          </w:tcPr>
          <w:p w14:paraId="23C0009A"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8" w:type="dxa"/>
            <w:tcBorders>
              <w:top w:val="dotted" w:sz="4" w:space="0" w:color="auto"/>
              <w:left w:val="nil"/>
              <w:bottom w:val="single" w:sz="8" w:space="0" w:color="auto"/>
              <w:right w:val="dotted" w:sz="4" w:space="0" w:color="auto"/>
            </w:tcBorders>
            <w:shd w:val="clear" w:color="auto" w:fill="auto"/>
            <w:vAlign w:val="center"/>
            <w:hideMark/>
          </w:tcPr>
          <w:p w14:paraId="17E3DD01"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16" w:type="dxa"/>
            <w:tcBorders>
              <w:top w:val="dotted" w:sz="4" w:space="0" w:color="auto"/>
              <w:left w:val="nil"/>
              <w:bottom w:val="single" w:sz="8" w:space="0" w:color="auto"/>
              <w:right w:val="dotted" w:sz="4" w:space="0" w:color="auto"/>
            </w:tcBorders>
            <w:shd w:val="clear" w:color="auto" w:fill="auto"/>
            <w:vAlign w:val="center"/>
            <w:hideMark/>
          </w:tcPr>
          <w:p w14:paraId="1BA226AA"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31" w:type="dxa"/>
            <w:tcBorders>
              <w:top w:val="dotted" w:sz="4" w:space="0" w:color="auto"/>
              <w:left w:val="nil"/>
              <w:bottom w:val="single" w:sz="8" w:space="0" w:color="auto"/>
              <w:right w:val="dotted" w:sz="4" w:space="0" w:color="auto"/>
            </w:tcBorders>
            <w:shd w:val="clear" w:color="auto" w:fill="auto"/>
            <w:vAlign w:val="center"/>
            <w:hideMark/>
          </w:tcPr>
          <w:p w14:paraId="36B1FD2F"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N/A</w:t>
            </w:r>
          </w:p>
        </w:tc>
        <w:tc>
          <w:tcPr>
            <w:tcW w:w="645" w:type="dxa"/>
            <w:tcBorders>
              <w:top w:val="dotted" w:sz="4" w:space="0" w:color="auto"/>
              <w:left w:val="nil"/>
              <w:bottom w:val="single" w:sz="8" w:space="0" w:color="auto"/>
              <w:right w:val="dotted" w:sz="4" w:space="0" w:color="auto"/>
            </w:tcBorders>
            <w:shd w:val="clear" w:color="auto" w:fill="auto"/>
            <w:vAlign w:val="center"/>
            <w:hideMark/>
          </w:tcPr>
          <w:p w14:paraId="654ABB1B" w14:textId="77777777" w:rsidR="001B42C1" w:rsidRPr="00E21C60" w:rsidRDefault="001B42C1">
            <w:pPr>
              <w:jc w:val="center"/>
              <w:rPr>
                <w:rFonts w:ascii="Arial" w:hAnsi="Arial" w:cs="Arial"/>
                <w:color w:val="000000"/>
                <w:sz w:val="16"/>
                <w:szCs w:val="16"/>
              </w:rPr>
            </w:pPr>
            <w:r w:rsidRPr="00E21C60">
              <w:rPr>
                <w:rFonts w:ascii="Arial" w:hAnsi="Arial" w:cs="Arial"/>
                <w:color w:val="000000"/>
                <w:sz w:val="16"/>
                <w:szCs w:val="16"/>
              </w:rPr>
              <w:t>0</w:t>
            </w:r>
          </w:p>
        </w:tc>
        <w:tc>
          <w:tcPr>
            <w:tcW w:w="708" w:type="dxa"/>
            <w:vMerge/>
            <w:tcBorders>
              <w:top w:val="nil"/>
              <w:left w:val="dotted" w:sz="4" w:space="0" w:color="auto"/>
              <w:bottom w:val="single" w:sz="8" w:space="0" w:color="000000"/>
              <w:right w:val="single" w:sz="8" w:space="0" w:color="auto"/>
            </w:tcBorders>
            <w:vAlign w:val="center"/>
            <w:hideMark/>
          </w:tcPr>
          <w:p w14:paraId="7EF8DC23" w14:textId="77777777" w:rsidR="001B42C1" w:rsidRPr="00E21C60" w:rsidRDefault="001B42C1">
            <w:pPr>
              <w:rPr>
                <w:rFonts w:ascii="Arial" w:hAnsi="Arial" w:cs="Arial"/>
                <w:color w:val="000000"/>
                <w:sz w:val="16"/>
                <w:szCs w:val="16"/>
              </w:rPr>
            </w:pPr>
          </w:p>
        </w:tc>
      </w:tr>
    </w:tbl>
    <w:p w14:paraId="358D6E6D" w14:textId="77777777" w:rsidR="001362DC" w:rsidRPr="00123376" w:rsidRDefault="00000CC9" w:rsidP="00123376">
      <w:pPr>
        <w:jc w:val="both"/>
        <w:rPr>
          <w:rFonts w:ascii="Arial" w:hAnsi="Arial" w:cs="Arial"/>
          <w:sz w:val="16"/>
          <w:szCs w:val="16"/>
          <w:lang w:eastAsia="cs-CZ"/>
        </w:rPr>
      </w:pPr>
      <w:r w:rsidRPr="00123376">
        <w:rPr>
          <w:rFonts w:ascii="Arial" w:hAnsi="Arial" w:cs="Arial"/>
          <w:sz w:val="16"/>
          <w:szCs w:val="16"/>
          <w:lang w:eastAsia="cs-CZ"/>
        </w:rPr>
        <w:t>Zdroj: RO, ITMS</w:t>
      </w:r>
    </w:p>
    <w:tbl>
      <w:tblPr>
        <w:tblW w:w="0" w:type="auto"/>
        <w:tblCellMar>
          <w:left w:w="0" w:type="dxa"/>
          <w:right w:w="0" w:type="dxa"/>
        </w:tblCellMar>
        <w:tblLook w:val="0000" w:firstRow="0" w:lastRow="0" w:firstColumn="0" w:lastColumn="0" w:noHBand="0" w:noVBand="0"/>
      </w:tblPr>
      <w:tblGrid>
        <w:gridCol w:w="9100"/>
      </w:tblGrid>
      <w:tr w:rsidR="001362DC" w:rsidRPr="00E21C60" w14:paraId="5229A8E7" w14:textId="77777777" w:rsidTr="000A5C0F">
        <w:trPr>
          <w:trHeight w:val="540"/>
        </w:trPr>
        <w:tc>
          <w:tcPr>
            <w:tcW w:w="0" w:type="auto"/>
            <w:tcBorders>
              <w:top w:val="nil"/>
              <w:left w:val="nil"/>
              <w:bottom w:val="nil"/>
              <w:right w:val="nil"/>
            </w:tcBorders>
            <w:tcMar>
              <w:top w:w="15" w:type="dxa"/>
              <w:left w:w="15" w:type="dxa"/>
              <w:bottom w:w="0" w:type="dxa"/>
              <w:right w:w="15" w:type="dxa"/>
            </w:tcMar>
            <w:vAlign w:val="center"/>
          </w:tcPr>
          <w:p w14:paraId="0DD226DD" w14:textId="245D6875" w:rsidR="001362DC" w:rsidRPr="00E21C60" w:rsidRDefault="001362DC" w:rsidP="00123376">
            <w:pPr>
              <w:spacing w:after="120"/>
              <w:jc w:val="both"/>
              <w:rPr>
                <w:rFonts w:ascii="Arial" w:hAnsi="Arial" w:cs="Arial"/>
                <w:sz w:val="16"/>
                <w:szCs w:val="16"/>
              </w:rPr>
            </w:pPr>
            <w:r w:rsidRPr="00E21C60">
              <w:rPr>
                <w:rFonts w:ascii="Arial" w:hAnsi="Arial" w:cs="Arial"/>
                <w:sz w:val="16"/>
                <w:szCs w:val="16"/>
                <w:vertAlign w:val="superscript"/>
              </w:rPr>
              <w:t>1</w:t>
            </w:r>
            <w:r w:rsidRPr="00E21C60">
              <w:rPr>
                <w:rFonts w:ascii="Arial" w:hAnsi="Arial" w:cs="Arial"/>
                <w:sz w:val="16"/>
                <w:szCs w:val="16"/>
              </w:rPr>
              <w:t xml:space="preserve"> </w:t>
            </w:r>
            <w:r w:rsidRPr="00E21C60">
              <w:rPr>
                <w:rFonts w:ascii="Arial" w:hAnsi="Arial" w:cs="Arial"/>
                <w:i/>
                <w:iCs/>
                <w:sz w:val="16"/>
                <w:szCs w:val="16"/>
              </w:rPr>
              <w:t>Údaj podľa projekcií emisií skleníkových plynov SR – scenár s opatreniami, r. 2005. Podľa projekcií sa emisie skleníkových plynov s rastom HDP zvyšujú. Cieľom je preto spomalenie rastu emisií skleníkových plynov vo vzťahu k rastu HDP (decoupling).</w:t>
            </w:r>
            <w:r w:rsidR="008D4359">
              <w:t xml:space="preserve"> </w:t>
            </w:r>
            <w:r w:rsidR="008D4359" w:rsidRPr="008D4359">
              <w:rPr>
                <w:rFonts w:ascii="Arial" w:hAnsi="Arial" w:cs="Arial"/>
                <w:i/>
                <w:iCs/>
                <w:sz w:val="16"/>
                <w:szCs w:val="16"/>
              </w:rPr>
              <w:t xml:space="preserve">Podľa projekcií emisií skleníkových plynov SR – scenár s </w:t>
            </w:r>
            <w:r w:rsidR="008D4359" w:rsidRPr="00BF750B">
              <w:rPr>
                <w:rFonts w:ascii="Arial" w:hAnsi="Arial" w:cs="Arial"/>
                <w:i/>
                <w:iCs/>
                <w:sz w:val="16"/>
                <w:szCs w:val="16"/>
              </w:rPr>
              <w:t>opatreniami</w:t>
            </w:r>
            <w:r w:rsidR="008D4359" w:rsidRPr="000A4DF7">
              <w:rPr>
                <w:rFonts w:ascii="Arial" w:hAnsi="Arial" w:cs="Arial"/>
                <w:i/>
                <w:iCs/>
                <w:sz w:val="16"/>
                <w:szCs w:val="16"/>
              </w:rPr>
              <w:t>, r. 2015</w:t>
            </w:r>
            <w:r w:rsidR="008D4359" w:rsidRPr="00BF750B">
              <w:rPr>
                <w:rFonts w:ascii="Arial" w:hAnsi="Arial" w:cs="Arial"/>
                <w:i/>
                <w:iCs/>
                <w:sz w:val="16"/>
                <w:szCs w:val="16"/>
              </w:rPr>
              <w:t xml:space="preserve"> – Druhá</w:t>
            </w:r>
            <w:r w:rsidR="008D4359" w:rsidRPr="008D4359">
              <w:rPr>
                <w:rFonts w:ascii="Arial" w:hAnsi="Arial" w:cs="Arial"/>
                <w:i/>
                <w:iCs/>
                <w:sz w:val="16"/>
                <w:szCs w:val="16"/>
              </w:rPr>
              <w:t xml:space="preserve"> dvojročná správa SR o zmene klímy http://unfccc.int/national_reports/biennial_reports_and_iar/submitted_biennial_reports/items/7550.php je cieľ na rok 2015 na úrovni 43 966 tis. ton CO2 ekv.</w:t>
            </w:r>
            <w:r w:rsidRPr="00E21C60">
              <w:rPr>
                <w:rFonts w:ascii="Arial" w:hAnsi="Arial" w:cs="Arial"/>
                <w:i/>
                <w:iCs/>
                <w:sz w:val="16"/>
                <w:szCs w:val="16"/>
              </w:rPr>
              <w:t xml:space="preserve"> </w:t>
            </w:r>
          </w:p>
        </w:tc>
      </w:tr>
      <w:tr w:rsidR="001362DC" w:rsidRPr="00E21C60" w14:paraId="22816AA4" w14:textId="77777777" w:rsidTr="000A5C0F">
        <w:trPr>
          <w:trHeight w:val="555"/>
        </w:trPr>
        <w:tc>
          <w:tcPr>
            <w:tcW w:w="0" w:type="auto"/>
            <w:tcBorders>
              <w:top w:val="nil"/>
              <w:left w:val="nil"/>
              <w:bottom w:val="nil"/>
              <w:right w:val="nil"/>
            </w:tcBorders>
            <w:tcMar>
              <w:top w:w="15" w:type="dxa"/>
              <w:left w:w="15" w:type="dxa"/>
              <w:bottom w:w="0" w:type="dxa"/>
              <w:right w:w="15" w:type="dxa"/>
            </w:tcMar>
            <w:vAlign w:val="center"/>
          </w:tcPr>
          <w:p w14:paraId="23417DBC" w14:textId="77777777" w:rsidR="001362DC" w:rsidRPr="00E21C60" w:rsidRDefault="001362DC" w:rsidP="00123376">
            <w:pPr>
              <w:jc w:val="both"/>
              <w:rPr>
                <w:rFonts w:ascii="Arial" w:hAnsi="Arial" w:cs="Arial"/>
                <w:spacing w:val="-5"/>
                <w:sz w:val="16"/>
                <w:szCs w:val="16"/>
                <w:lang w:val="en-GB"/>
              </w:rPr>
            </w:pPr>
            <w:r w:rsidRPr="00E21C60">
              <w:rPr>
                <w:rFonts w:ascii="Arial" w:hAnsi="Arial" w:cs="Arial"/>
                <w:sz w:val="16"/>
                <w:szCs w:val="16"/>
                <w:vertAlign w:val="superscript"/>
              </w:rPr>
              <w:t>2</w:t>
            </w:r>
            <w:r w:rsidRPr="00E21C60">
              <w:rPr>
                <w:rFonts w:ascii="Arial" w:hAnsi="Arial" w:cs="Arial"/>
                <w:sz w:val="16"/>
                <w:szCs w:val="16"/>
              </w:rPr>
              <w:t xml:space="preserve"> </w:t>
            </w:r>
            <w:r w:rsidRPr="00E21C60">
              <w:rPr>
                <w:rFonts w:ascii="Arial" w:hAnsi="Arial" w:cs="Arial"/>
                <w:i/>
                <w:iCs/>
                <w:sz w:val="16"/>
                <w:szCs w:val="16"/>
              </w:rPr>
              <w:t xml:space="preserve">V prípade uvedených ukazovateľov ide o kontextové ukazovatele, ktorých oficiálne štatistické hodnoty za SR sú k dispozícii v roku n (t.j. v roku 2006, kedy sa vypracúval operačný program) iba spätne za rok n-2, preto v rámci OP ŽP boli východiskové hodnoty uvedených ukazovateľov stanovené za rok 2004 </w:t>
            </w:r>
          </w:p>
        </w:tc>
      </w:tr>
    </w:tbl>
    <w:p w14:paraId="59E4EB25" w14:textId="77777777" w:rsidR="000F4A28" w:rsidRPr="00123376" w:rsidRDefault="00574993"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Príspevok</w:t>
      </w:r>
      <w:r w:rsidR="00317B93" w:rsidRPr="006E5D4B">
        <w:rPr>
          <w:rFonts w:ascii="Arial" w:hAnsi="Arial" w:cs="Arial"/>
          <w:sz w:val="20"/>
          <w:szCs w:val="20"/>
          <w:lang w:eastAsia="cs-CZ"/>
        </w:rPr>
        <w:t xml:space="preserve"> OP ŽP</w:t>
      </w:r>
      <w:r w:rsidRPr="006E5D4B">
        <w:rPr>
          <w:rFonts w:ascii="Arial" w:hAnsi="Arial" w:cs="Arial"/>
          <w:sz w:val="20"/>
          <w:szCs w:val="20"/>
          <w:lang w:eastAsia="cs-CZ"/>
        </w:rPr>
        <w:t xml:space="preserve"> k napĺňaniu jednotlivých vyššie uvedených ukazovateľov je uvedený v kapitole 2.1 Dosiahnutý výsledok a analýza dosiahnutého pokroku.</w:t>
      </w:r>
    </w:p>
    <w:p w14:paraId="3E1DD4EA" w14:textId="77777777" w:rsidR="001362DC" w:rsidRPr="006E5D4B" w:rsidRDefault="001362DC" w:rsidP="00123376">
      <w:pPr>
        <w:spacing w:before="120" w:after="120"/>
        <w:jc w:val="both"/>
        <w:rPr>
          <w:rFonts w:ascii="Arial" w:hAnsi="Arial" w:cs="Arial"/>
          <w:sz w:val="20"/>
          <w:szCs w:val="20"/>
          <w:u w:val="single"/>
          <w:lang w:eastAsia="cs-CZ"/>
        </w:rPr>
      </w:pPr>
      <w:r w:rsidRPr="006E5D4B">
        <w:rPr>
          <w:rFonts w:ascii="Arial" w:hAnsi="Arial" w:cs="Arial"/>
          <w:sz w:val="20"/>
          <w:szCs w:val="20"/>
          <w:u w:val="single"/>
          <w:lang w:eastAsia="cs-CZ"/>
        </w:rPr>
        <w:t>Emisie skleníkových plynov (tis. ton CO</w:t>
      </w:r>
      <w:r w:rsidRPr="00123376">
        <w:rPr>
          <w:rFonts w:ascii="Arial" w:hAnsi="Arial" w:cs="Arial"/>
          <w:sz w:val="20"/>
          <w:szCs w:val="20"/>
          <w:u w:val="single"/>
          <w:vertAlign w:val="subscript"/>
          <w:lang w:eastAsia="cs-CZ"/>
        </w:rPr>
        <w:t>2</w:t>
      </w:r>
      <w:r w:rsidRPr="006E5D4B">
        <w:rPr>
          <w:rFonts w:ascii="Arial" w:hAnsi="Arial" w:cs="Arial"/>
          <w:sz w:val="20"/>
          <w:szCs w:val="20"/>
          <w:u w:val="single"/>
          <w:lang w:eastAsia="cs-CZ"/>
        </w:rPr>
        <w:t xml:space="preserve"> ekv.)</w:t>
      </w:r>
    </w:p>
    <w:p w14:paraId="197DF31F" w14:textId="77777777"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Údaje reprezentujú celkové emisie skleníkových plynov </w:t>
      </w:r>
      <w:r w:rsidR="00BE6E04" w:rsidRPr="006E5D4B">
        <w:rPr>
          <w:rFonts w:ascii="Arial" w:hAnsi="Arial" w:cs="Arial"/>
          <w:sz w:val="20"/>
          <w:szCs w:val="20"/>
          <w:lang w:eastAsia="cs-CZ"/>
        </w:rPr>
        <w:t xml:space="preserve">bez </w:t>
      </w:r>
      <w:r w:rsidR="008C7531">
        <w:rPr>
          <w:rFonts w:ascii="Arial" w:hAnsi="Arial" w:cs="Arial"/>
          <w:sz w:val="20"/>
          <w:szCs w:val="20"/>
          <w:lang w:eastAsia="cs-CZ"/>
        </w:rPr>
        <w:t>z</w:t>
      </w:r>
      <w:r w:rsidR="008C7531" w:rsidRPr="006E5D4B">
        <w:rPr>
          <w:rFonts w:ascii="Arial" w:hAnsi="Arial" w:cs="Arial"/>
          <w:sz w:val="20"/>
          <w:szCs w:val="20"/>
          <w:lang w:eastAsia="cs-CZ"/>
        </w:rPr>
        <w:t xml:space="preserve">apočítania </w:t>
      </w:r>
      <w:r w:rsidR="00BE6E04" w:rsidRPr="006E5D4B">
        <w:rPr>
          <w:rFonts w:ascii="Arial" w:hAnsi="Arial" w:cs="Arial"/>
          <w:sz w:val="20"/>
          <w:szCs w:val="20"/>
          <w:lang w:eastAsia="cs-CZ"/>
        </w:rPr>
        <w:t xml:space="preserve">záchytov </w:t>
      </w:r>
      <w:r w:rsidRPr="006E5D4B">
        <w:rPr>
          <w:rFonts w:ascii="Arial" w:hAnsi="Arial" w:cs="Arial"/>
          <w:sz w:val="20"/>
          <w:szCs w:val="20"/>
          <w:lang w:eastAsia="cs-CZ"/>
        </w:rPr>
        <w:t>sektora LULUCF vyjadrené v CO</w:t>
      </w:r>
      <w:r w:rsidRPr="00123376">
        <w:rPr>
          <w:rFonts w:ascii="Arial" w:hAnsi="Arial" w:cs="Arial"/>
          <w:sz w:val="20"/>
          <w:szCs w:val="20"/>
          <w:vertAlign w:val="subscript"/>
          <w:lang w:eastAsia="cs-CZ"/>
        </w:rPr>
        <w:t>2</w:t>
      </w:r>
      <w:r w:rsidRPr="006E5D4B">
        <w:rPr>
          <w:rFonts w:ascii="Arial" w:hAnsi="Arial" w:cs="Arial"/>
          <w:sz w:val="20"/>
          <w:szCs w:val="20"/>
          <w:lang w:eastAsia="cs-CZ"/>
        </w:rPr>
        <w:t xml:space="preserve"> ekvivalentoch. Zdrojom údajov je Slovenský hydrometeorologický ústav (SHMÚ). SHMÚ ako rozpočtová organizácia ministerstva predkladá ročne </w:t>
      </w:r>
      <w:r w:rsidR="007650FB" w:rsidRPr="006E5D4B">
        <w:rPr>
          <w:rFonts w:ascii="Arial" w:hAnsi="Arial" w:cs="Arial"/>
          <w:sz w:val="20"/>
          <w:szCs w:val="20"/>
          <w:lang w:eastAsia="cs-CZ"/>
        </w:rPr>
        <w:t xml:space="preserve">okrem Európskej komisie, Eurostatu a OSN </w:t>
      </w:r>
      <w:r w:rsidRPr="006E5D4B">
        <w:rPr>
          <w:rFonts w:ascii="Arial" w:hAnsi="Arial" w:cs="Arial"/>
          <w:sz w:val="20"/>
          <w:szCs w:val="20"/>
          <w:lang w:eastAsia="cs-CZ"/>
        </w:rPr>
        <w:t>výkazy o tvorbe emisií skleníkových plynov (GHG) za rok n-2</w:t>
      </w:r>
      <w:r w:rsidR="007650FB" w:rsidRPr="006E5D4B">
        <w:rPr>
          <w:rFonts w:ascii="Arial" w:hAnsi="Arial" w:cs="Arial"/>
          <w:sz w:val="20"/>
          <w:szCs w:val="20"/>
          <w:lang w:eastAsia="cs-CZ"/>
        </w:rPr>
        <w:t xml:space="preserve"> aj Štatistickému úradu SR </w:t>
      </w:r>
      <w:r w:rsidR="00C3360B">
        <w:rPr>
          <w:rFonts w:ascii="Arial" w:hAnsi="Arial" w:cs="Arial"/>
          <w:sz w:val="20"/>
          <w:szCs w:val="20"/>
          <w:lang w:eastAsia="cs-CZ"/>
        </w:rPr>
        <w:br/>
      </w:r>
      <w:r w:rsidR="007650FB" w:rsidRPr="006E5D4B">
        <w:rPr>
          <w:rFonts w:ascii="Arial" w:hAnsi="Arial" w:cs="Arial"/>
          <w:sz w:val="20"/>
          <w:szCs w:val="20"/>
          <w:lang w:eastAsia="cs-CZ"/>
        </w:rPr>
        <w:t>(ŠÚ SR)</w:t>
      </w:r>
      <w:r w:rsidRPr="006E5D4B">
        <w:rPr>
          <w:rFonts w:ascii="Arial" w:hAnsi="Arial" w:cs="Arial"/>
          <w:sz w:val="20"/>
          <w:szCs w:val="20"/>
          <w:lang w:eastAsia="cs-CZ"/>
        </w:rPr>
        <w:t xml:space="preserve">. Vypĺňajú sa za rok n-2 </w:t>
      </w:r>
      <w:r w:rsidR="007650FB" w:rsidRPr="006E5D4B">
        <w:rPr>
          <w:rFonts w:ascii="Arial" w:hAnsi="Arial" w:cs="Arial"/>
          <w:sz w:val="20"/>
          <w:szCs w:val="20"/>
          <w:lang w:eastAsia="cs-CZ"/>
        </w:rPr>
        <w:t xml:space="preserve">k 15. aprílu </w:t>
      </w:r>
      <w:r w:rsidRPr="006E5D4B">
        <w:rPr>
          <w:rFonts w:ascii="Arial" w:hAnsi="Arial" w:cs="Arial"/>
          <w:sz w:val="20"/>
          <w:szCs w:val="20"/>
          <w:lang w:eastAsia="cs-CZ"/>
        </w:rPr>
        <w:t xml:space="preserve">a zároveň sa vykonáva revízia údajov </w:t>
      </w:r>
      <w:r w:rsidR="007650FB" w:rsidRPr="006E5D4B">
        <w:rPr>
          <w:rFonts w:ascii="Arial" w:hAnsi="Arial" w:cs="Arial"/>
          <w:sz w:val="20"/>
          <w:szCs w:val="20"/>
          <w:lang w:eastAsia="cs-CZ"/>
        </w:rPr>
        <w:t xml:space="preserve">od </w:t>
      </w:r>
      <w:r w:rsidRPr="006E5D4B">
        <w:rPr>
          <w:rFonts w:ascii="Arial" w:hAnsi="Arial" w:cs="Arial"/>
          <w:sz w:val="20"/>
          <w:szCs w:val="20"/>
          <w:lang w:eastAsia="cs-CZ"/>
        </w:rPr>
        <w:t xml:space="preserve">roku </w:t>
      </w:r>
      <w:r w:rsidR="007650FB" w:rsidRPr="006E5D4B">
        <w:rPr>
          <w:rFonts w:ascii="Arial" w:hAnsi="Arial" w:cs="Arial"/>
          <w:sz w:val="20"/>
          <w:szCs w:val="20"/>
          <w:lang w:eastAsia="cs-CZ"/>
        </w:rPr>
        <w:t>1990</w:t>
      </w:r>
      <w:r w:rsidRPr="006E5D4B">
        <w:rPr>
          <w:rFonts w:ascii="Arial" w:hAnsi="Arial" w:cs="Arial"/>
          <w:sz w:val="20"/>
          <w:szCs w:val="20"/>
          <w:lang w:eastAsia="cs-CZ"/>
        </w:rPr>
        <w:t xml:space="preserve">. </w:t>
      </w:r>
    </w:p>
    <w:p w14:paraId="264C4A5E" w14:textId="77777777" w:rsidR="00E44219" w:rsidRPr="009C29B7" w:rsidRDefault="001362DC" w:rsidP="00E44219">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Od roku 2013 </w:t>
      </w:r>
      <w:r w:rsidR="007650FB" w:rsidRPr="006E5D4B">
        <w:rPr>
          <w:rFonts w:ascii="Arial" w:hAnsi="Arial" w:cs="Arial"/>
          <w:sz w:val="20"/>
          <w:szCs w:val="20"/>
          <w:lang w:eastAsia="cs-CZ"/>
        </w:rPr>
        <w:t xml:space="preserve">je </w:t>
      </w:r>
      <w:r w:rsidRPr="006E5D4B">
        <w:rPr>
          <w:rFonts w:ascii="Arial" w:hAnsi="Arial" w:cs="Arial"/>
          <w:sz w:val="20"/>
          <w:szCs w:val="20"/>
          <w:lang w:eastAsia="cs-CZ"/>
        </w:rPr>
        <w:t xml:space="preserve">SHMÚ plne zodpovedný za plnenie reportovacích povinností v rámci nariadenia </w:t>
      </w:r>
      <w:r w:rsidR="00912D84">
        <w:rPr>
          <w:rFonts w:ascii="Arial" w:hAnsi="Arial" w:cs="Arial"/>
          <w:sz w:val="20"/>
          <w:szCs w:val="20"/>
          <w:lang w:eastAsia="cs-CZ"/>
        </w:rPr>
        <w:t>EP</w:t>
      </w:r>
      <w:r w:rsidRPr="006E5D4B">
        <w:rPr>
          <w:rFonts w:ascii="Arial" w:hAnsi="Arial" w:cs="Arial"/>
          <w:sz w:val="20"/>
          <w:szCs w:val="20"/>
          <w:lang w:eastAsia="cs-CZ"/>
        </w:rPr>
        <w:t xml:space="preserve"> a  Rady č. 691/2011 o environmentálnych ekonomických účtoch</w:t>
      </w:r>
      <w:r w:rsidR="00E44219">
        <w:rPr>
          <w:rFonts w:ascii="Arial" w:hAnsi="Arial" w:cs="Arial"/>
          <w:sz w:val="20"/>
          <w:szCs w:val="20"/>
          <w:lang w:eastAsia="cs-CZ"/>
        </w:rPr>
        <w:t xml:space="preserve">, pričom </w:t>
      </w:r>
      <w:r w:rsidR="00E44219" w:rsidRPr="006E5D4B">
        <w:rPr>
          <w:rFonts w:ascii="Arial" w:hAnsi="Arial" w:cs="Arial"/>
          <w:sz w:val="20"/>
          <w:szCs w:val="20"/>
          <w:lang w:eastAsia="cs-CZ"/>
        </w:rPr>
        <w:t>pri stanovení emisií skleníkových plynov postupuje podľa metodík návodov a príručiek zverejnených IPCC (t.j. Medzinárodný panel pre zmenu klímy)</w:t>
      </w:r>
      <w:r w:rsidR="00E44219">
        <w:rPr>
          <w:rFonts w:ascii="Arial" w:hAnsi="Arial" w:cs="Arial"/>
          <w:sz w:val="20"/>
          <w:szCs w:val="20"/>
          <w:lang w:eastAsia="cs-CZ"/>
        </w:rPr>
        <w:t xml:space="preserve"> na </w:t>
      </w:r>
      <w:r w:rsidR="00E44219" w:rsidRPr="006E5D4B">
        <w:rPr>
          <w:rFonts w:ascii="Arial" w:hAnsi="Arial" w:cs="Arial"/>
          <w:sz w:val="20"/>
          <w:szCs w:val="20"/>
          <w:lang w:eastAsia="cs-CZ"/>
        </w:rPr>
        <w:t xml:space="preserve">webovom sídle IPPC: </w:t>
      </w:r>
      <w:hyperlink r:id="rId36" w:history="1">
        <w:r w:rsidR="00E44219" w:rsidRPr="00123376">
          <w:rPr>
            <w:rStyle w:val="Hypertextovprepojenie"/>
            <w:rFonts w:ascii="Arial" w:hAnsi="Arial" w:cs="Arial"/>
            <w:sz w:val="20"/>
            <w:szCs w:val="20"/>
          </w:rPr>
          <w:t>http://www.ipcc-nggip.iges.or.jp/public/index.html</w:t>
        </w:r>
      </w:hyperlink>
      <w:r w:rsidR="00E44219" w:rsidRPr="006E5D4B">
        <w:rPr>
          <w:rFonts w:ascii="Arial" w:hAnsi="Arial" w:cs="Arial"/>
          <w:sz w:val="20"/>
          <w:szCs w:val="20"/>
          <w:lang w:eastAsia="cs-CZ"/>
        </w:rPr>
        <w:t>.</w:t>
      </w:r>
      <w:r w:rsidR="00E44219">
        <w:rPr>
          <w:rFonts w:ascii="Arial" w:hAnsi="Arial" w:cs="Arial"/>
          <w:sz w:val="20"/>
          <w:szCs w:val="20"/>
          <w:lang w:eastAsia="cs-CZ"/>
        </w:rPr>
        <w:t xml:space="preserve"> </w:t>
      </w:r>
      <w:r w:rsidR="00E44219" w:rsidRPr="009C29B7">
        <w:rPr>
          <w:rFonts w:ascii="Arial" w:hAnsi="Arial" w:cs="Arial"/>
          <w:sz w:val="20"/>
          <w:szCs w:val="20"/>
          <w:lang w:eastAsia="cs-CZ"/>
        </w:rPr>
        <w:t xml:space="preserve">Emisné inventúry prešli </w:t>
      </w:r>
      <w:r w:rsidR="00E44219">
        <w:rPr>
          <w:rFonts w:ascii="Arial" w:hAnsi="Arial" w:cs="Arial"/>
          <w:sz w:val="20"/>
          <w:szCs w:val="20"/>
          <w:lang w:eastAsia="cs-CZ"/>
        </w:rPr>
        <w:t xml:space="preserve">v posledných rokoch </w:t>
      </w:r>
      <w:r w:rsidR="00E44219" w:rsidRPr="009C29B7">
        <w:rPr>
          <w:rFonts w:ascii="Arial" w:hAnsi="Arial" w:cs="Arial"/>
          <w:sz w:val="20"/>
          <w:szCs w:val="20"/>
          <w:lang w:eastAsia="cs-CZ"/>
        </w:rPr>
        <w:t xml:space="preserve">významnými metodickými zmenami a rekalkuláciami súvisiacimi s prechodom na aktualizované metodické príručky IPCC (obsahujú nové plyny, nové hodnoty pre potenciály otepľovania alebo aj nové kategórie) ako aj začatia druhého záväzného reportovacieho obdobia pod Kjótskym protokolom, čo ovplyvňuje aj úrovne emisií stanovené ako východiskové a cieľové hodnoty kontextového ukazovateľa OP ŽP. </w:t>
      </w:r>
    </w:p>
    <w:p w14:paraId="519FDE05" w14:textId="54C1238C" w:rsidR="001362DC" w:rsidRPr="006E5D4B" w:rsidRDefault="00E44219" w:rsidP="00123376">
      <w:pPr>
        <w:spacing w:before="120" w:after="120"/>
        <w:jc w:val="both"/>
        <w:rPr>
          <w:rFonts w:ascii="Arial" w:hAnsi="Arial" w:cs="Arial"/>
          <w:sz w:val="20"/>
          <w:szCs w:val="20"/>
          <w:lang w:eastAsia="cs-CZ"/>
        </w:rPr>
      </w:pPr>
      <w:r w:rsidRPr="009C29B7">
        <w:rPr>
          <w:rFonts w:ascii="Arial" w:hAnsi="Arial" w:cs="Arial"/>
          <w:sz w:val="20"/>
          <w:szCs w:val="20"/>
          <w:lang w:eastAsia="cs-CZ"/>
        </w:rPr>
        <w:t xml:space="preserve">Celkové emisie skleníkových plynov v SR v roku </w:t>
      </w:r>
      <w:r w:rsidRPr="005B63DE">
        <w:rPr>
          <w:rFonts w:ascii="Arial" w:hAnsi="Arial" w:cs="Arial"/>
          <w:iCs/>
          <w:sz w:val="20"/>
          <w:szCs w:val="20"/>
          <w:lang w:eastAsia="en-US"/>
        </w:rPr>
        <w:t>201</w:t>
      </w:r>
      <w:r>
        <w:rPr>
          <w:rFonts w:ascii="Arial" w:hAnsi="Arial" w:cs="Arial"/>
          <w:iCs/>
          <w:sz w:val="20"/>
          <w:szCs w:val="20"/>
          <w:lang w:eastAsia="en-US"/>
        </w:rPr>
        <w:t>3</w:t>
      </w:r>
      <w:r w:rsidRPr="005B63DE">
        <w:rPr>
          <w:rFonts w:ascii="Arial" w:hAnsi="Arial" w:cs="Arial"/>
          <w:iCs/>
          <w:sz w:val="20"/>
          <w:szCs w:val="20"/>
          <w:lang w:eastAsia="en-US"/>
        </w:rPr>
        <w:t xml:space="preserve"> predstavovali </w:t>
      </w:r>
      <w:r>
        <w:rPr>
          <w:rFonts w:ascii="Arial" w:hAnsi="Arial" w:cs="Arial"/>
          <w:iCs/>
          <w:sz w:val="20"/>
          <w:szCs w:val="20"/>
          <w:lang w:eastAsia="en-US"/>
        </w:rPr>
        <w:t>42 792,48</w:t>
      </w:r>
      <w:r w:rsidRPr="005B63DE">
        <w:rPr>
          <w:rFonts w:ascii="Arial" w:hAnsi="Arial" w:cs="Arial"/>
          <w:iCs/>
          <w:sz w:val="20"/>
          <w:szCs w:val="20"/>
          <w:lang w:eastAsia="en-US"/>
        </w:rPr>
        <w:t xml:space="preserve"> Gg (tis. ton) CO</w:t>
      </w:r>
      <w:r w:rsidRPr="005B63DE">
        <w:rPr>
          <w:rFonts w:ascii="Arial" w:hAnsi="Arial" w:cs="Arial"/>
          <w:iCs/>
          <w:sz w:val="20"/>
          <w:szCs w:val="20"/>
          <w:vertAlign w:val="subscript"/>
          <w:lang w:eastAsia="en-US"/>
        </w:rPr>
        <w:t>2</w:t>
      </w:r>
      <w:r w:rsidRPr="005B63DE">
        <w:rPr>
          <w:rFonts w:ascii="Arial" w:hAnsi="Arial" w:cs="Arial"/>
          <w:iCs/>
          <w:sz w:val="20"/>
          <w:szCs w:val="20"/>
          <w:lang w:eastAsia="en-US"/>
        </w:rPr>
        <w:t xml:space="preserve"> ekv. bez započítania záchytov zo sektora lesy a využívanie krajiny (LULUCF), čo predstavuje pokračujúci klesajúci trend od roku 2010 (</w:t>
      </w:r>
      <w:r>
        <w:rPr>
          <w:rFonts w:ascii="Arial" w:hAnsi="Arial" w:cs="Arial"/>
          <w:iCs/>
          <w:sz w:val="20"/>
          <w:szCs w:val="20"/>
          <w:lang w:eastAsia="en-US"/>
        </w:rPr>
        <w:t>46 483</w:t>
      </w:r>
      <w:r w:rsidRPr="005B63DE">
        <w:rPr>
          <w:rFonts w:ascii="Arial" w:hAnsi="Arial" w:cs="Arial"/>
          <w:iCs/>
          <w:sz w:val="20"/>
          <w:szCs w:val="20"/>
          <w:lang w:eastAsia="en-US"/>
        </w:rPr>
        <w:t xml:space="preserve"> Gg)</w:t>
      </w:r>
      <w:r>
        <w:rPr>
          <w:rFonts w:ascii="Arial" w:hAnsi="Arial" w:cs="Arial"/>
          <w:iCs/>
          <w:sz w:val="20"/>
          <w:szCs w:val="20"/>
          <w:lang w:eastAsia="en-US"/>
        </w:rPr>
        <w:t>,</w:t>
      </w:r>
      <w:r w:rsidRPr="005B63DE">
        <w:rPr>
          <w:rFonts w:ascii="Arial" w:hAnsi="Arial" w:cs="Arial"/>
          <w:iCs/>
          <w:sz w:val="20"/>
          <w:szCs w:val="20"/>
          <w:lang w:eastAsia="en-US"/>
        </w:rPr>
        <w:t> 2011 (</w:t>
      </w:r>
      <w:r>
        <w:rPr>
          <w:rFonts w:ascii="Arial" w:hAnsi="Arial" w:cs="Arial"/>
          <w:iCs/>
          <w:sz w:val="20"/>
          <w:szCs w:val="20"/>
          <w:lang w:eastAsia="en-US"/>
        </w:rPr>
        <w:t> 45 604</w:t>
      </w:r>
      <w:r w:rsidRPr="005B63DE">
        <w:rPr>
          <w:rFonts w:ascii="Arial" w:hAnsi="Arial" w:cs="Arial"/>
          <w:iCs/>
          <w:sz w:val="20"/>
          <w:szCs w:val="20"/>
          <w:lang w:eastAsia="en-US"/>
        </w:rPr>
        <w:t xml:space="preserve"> Gg)</w:t>
      </w:r>
      <w:r>
        <w:rPr>
          <w:rFonts w:ascii="Arial" w:hAnsi="Arial" w:cs="Arial"/>
          <w:iCs/>
          <w:sz w:val="20"/>
          <w:szCs w:val="20"/>
          <w:lang w:eastAsia="en-US"/>
        </w:rPr>
        <w:t>, 2012 (43 176 Gg) a 2013 (42 792 Gg)</w:t>
      </w:r>
      <w:r w:rsidRPr="005B63DE">
        <w:rPr>
          <w:rFonts w:ascii="Arial" w:hAnsi="Arial" w:cs="Arial"/>
          <w:iCs/>
          <w:sz w:val="20"/>
          <w:szCs w:val="20"/>
          <w:lang w:eastAsia="en-US"/>
        </w:rPr>
        <w:t>.</w:t>
      </w:r>
      <w:r w:rsidR="001362DC" w:rsidRPr="006E5D4B">
        <w:rPr>
          <w:rFonts w:ascii="Arial" w:hAnsi="Arial" w:cs="Arial"/>
          <w:sz w:val="20"/>
          <w:szCs w:val="20"/>
          <w:lang w:eastAsia="cs-CZ"/>
        </w:rPr>
        <w:t>.</w:t>
      </w:r>
    </w:p>
    <w:p w14:paraId="7D154965" w14:textId="77777777" w:rsidR="001362DC" w:rsidRPr="006E5D4B" w:rsidRDefault="001362DC" w:rsidP="00123376">
      <w:pPr>
        <w:spacing w:before="120" w:after="120"/>
        <w:jc w:val="both"/>
        <w:rPr>
          <w:rFonts w:ascii="Arial" w:hAnsi="Arial" w:cs="Arial"/>
          <w:sz w:val="20"/>
          <w:szCs w:val="20"/>
          <w:u w:val="single"/>
          <w:lang w:eastAsia="cs-CZ"/>
        </w:rPr>
      </w:pPr>
      <w:r w:rsidRPr="006E5D4B">
        <w:rPr>
          <w:rFonts w:ascii="Arial" w:hAnsi="Arial" w:cs="Arial"/>
          <w:sz w:val="20"/>
          <w:szCs w:val="20"/>
          <w:u w:val="single"/>
          <w:lang w:eastAsia="cs-CZ"/>
        </w:rPr>
        <w:t>Miera zhodnocovania odpadov (%)</w:t>
      </w:r>
    </w:p>
    <w:p w14:paraId="34AD90E4" w14:textId="3241A85D" w:rsidR="001362DC" w:rsidRPr="00E21C60"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MŽP SR pri metodike výpočtu zahrnul do celkovej miery zhodnocovania aj komunálne odpady, keďže predmetom podpory v rámci OP ŽP, operačného cieľa 4.2 sú aj aktivity zamerané na zhodnocovanie komunálnych odpadov. V tomto prípade predstavuje hodnota ukazovateľa </w:t>
      </w:r>
      <w:r w:rsidRPr="00E21C60">
        <w:rPr>
          <w:rFonts w:ascii="Arial" w:hAnsi="Arial" w:cs="Arial"/>
          <w:sz w:val="20"/>
          <w:szCs w:val="20"/>
          <w:lang w:eastAsia="cs-CZ"/>
        </w:rPr>
        <w:t xml:space="preserve">za rok </w:t>
      </w:r>
      <w:r w:rsidR="00EA5B89">
        <w:rPr>
          <w:rFonts w:ascii="Arial" w:hAnsi="Arial" w:cs="Arial"/>
          <w:sz w:val="20"/>
          <w:szCs w:val="20"/>
          <w:lang w:eastAsia="cs-CZ"/>
        </w:rPr>
        <w:t>2014</w:t>
      </w:r>
      <w:r w:rsidR="00510153" w:rsidRPr="00E21C60">
        <w:rPr>
          <w:rFonts w:ascii="Arial" w:hAnsi="Arial" w:cs="Arial"/>
          <w:sz w:val="20"/>
          <w:szCs w:val="20"/>
          <w:lang w:eastAsia="cs-CZ"/>
        </w:rPr>
        <w:t xml:space="preserve"> </w:t>
      </w:r>
      <w:r w:rsidR="00702352" w:rsidRPr="00E21C60">
        <w:rPr>
          <w:rFonts w:ascii="Arial" w:hAnsi="Arial" w:cs="Arial"/>
          <w:sz w:val="20"/>
          <w:szCs w:val="20"/>
          <w:lang w:eastAsia="cs-CZ"/>
        </w:rPr>
        <w:t xml:space="preserve">celkovo </w:t>
      </w:r>
      <w:r w:rsidR="00EA5B89">
        <w:rPr>
          <w:rFonts w:ascii="Arial" w:hAnsi="Arial" w:cs="Arial"/>
          <w:sz w:val="20"/>
          <w:szCs w:val="20"/>
          <w:lang w:eastAsia="cs-CZ"/>
        </w:rPr>
        <w:t>48</w:t>
      </w:r>
      <w:r w:rsidR="003E0C54">
        <w:rPr>
          <w:rFonts w:ascii="Arial" w:hAnsi="Arial" w:cs="Arial"/>
          <w:sz w:val="20"/>
          <w:szCs w:val="20"/>
          <w:lang w:eastAsia="cs-CZ"/>
        </w:rPr>
        <w:t xml:space="preserve"> </w:t>
      </w:r>
      <w:r w:rsidR="00EA5B89">
        <w:rPr>
          <w:rFonts w:ascii="Arial" w:hAnsi="Arial" w:cs="Arial"/>
          <w:sz w:val="20"/>
          <w:szCs w:val="20"/>
          <w:lang w:eastAsia="cs-CZ"/>
        </w:rPr>
        <w:t xml:space="preserve">%. </w:t>
      </w:r>
    </w:p>
    <w:p w14:paraId="019C5592" w14:textId="77777777" w:rsidR="001362DC" w:rsidRPr="00E21C60" w:rsidRDefault="001362DC" w:rsidP="00123376">
      <w:pPr>
        <w:spacing w:before="120" w:after="120"/>
        <w:jc w:val="both"/>
        <w:rPr>
          <w:rFonts w:ascii="Arial" w:hAnsi="Arial" w:cs="Arial"/>
          <w:sz w:val="20"/>
          <w:szCs w:val="20"/>
          <w:u w:val="single"/>
          <w:lang w:eastAsia="cs-CZ"/>
        </w:rPr>
      </w:pPr>
      <w:r w:rsidRPr="00E21C60">
        <w:rPr>
          <w:rFonts w:ascii="Arial" w:hAnsi="Arial" w:cs="Arial"/>
          <w:sz w:val="20"/>
          <w:szCs w:val="20"/>
          <w:u w:val="single"/>
          <w:lang w:eastAsia="cs-CZ"/>
        </w:rPr>
        <w:t>Percento obyvateľov napojených na ČOV (%)</w:t>
      </w:r>
    </w:p>
    <w:p w14:paraId="658B743D" w14:textId="40C002D0" w:rsidR="001362DC" w:rsidRDefault="001362DC" w:rsidP="00123376">
      <w:pPr>
        <w:spacing w:before="120" w:after="120"/>
        <w:jc w:val="both"/>
        <w:rPr>
          <w:rFonts w:ascii="Arial" w:hAnsi="Arial" w:cs="Arial"/>
          <w:sz w:val="20"/>
          <w:szCs w:val="20"/>
          <w:lang w:eastAsia="cs-CZ"/>
        </w:rPr>
      </w:pPr>
      <w:r w:rsidRPr="00E21C60">
        <w:rPr>
          <w:rFonts w:ascii="Arial" w:hAnsi="Arial" w:cs="Arial"/>
          <w:b/>
          <w:sz w:val="20"/>
          <w:szCs w:val="20"/>
          <w:lang w:eastAsia="cs-CZ"/>
        </w:rPr>
        <w:tab/>
      </w:r>
      <w:r w:rsidRPr="00CE0728">
        <w:rPr>
          <w:rFonts w:ascii="Arial" w:hAnsi="Arial" w:cs="Arial"/>
          <w:sz w:val="20"/>
          <w:szCs w:val="20"/>
          <w:lang w:eastAsia="cs-CZ"/>
        </w:rPr>
        <w:t xml:space="preserve">Zdrojom údajov </w:t>
      </w:r>
      <w:r w:rsidR="002A3825">
        <w:rPr>
          <w:rFonts w:ascii="Arial" w:hAnsi="Arial" w:cs="Arial"/>
          <w:sz w:val="20"/>
          <w:szCs w:val="20"/>
          <w:lang w:eastAsia="cs-CZ"/>
        </w:rPr>
        <w:t>boli informácie poskytované</w:t>
      </w:r>
      <w:r w:rsidR="002A3825" w:rsidRPr="00CE0728">
        <w:rPr>
          <w:rFonts w:ascii="Arial" w:hAnsi="Arial" w:cs="Arial"/>
          <w:sz w:val="20"/>
          <w:szCs w:val="20"/>
          <w:lang w:eastAsia="cs-CZ"/>
        </w:rPr>
        <w:t xml:space="preserve"> </w:t>
      </w:r>
      <w:r w:rsidRPr="00CE0728">
        <w:rPr>
          <w:rFonts w:ascii="Arial" w:hAnsi="Arial" w:cs="Arial"/>
          <w:sz w:val="20"/>
          <w:szCs w:val="20"/>
          <w:lang w:eastAsia="cs-CZ"/>
        </w:rPr>
        <w:t>ŠÚ SR.</w:t>
      </w:r>
      <w:r w:rsidRPr="00CE0728">
        <w:rPr>
          <w:rFonts w:ascii="Arial" w:hAnsi="Arial" w:cs="Arial"/>
          <w:b/>
          <w:sz w:val="20"/>
          <w:szCs w:val="20"/>
          <w:lang w:eastAsia="cs-CZ"/>
        </w:rPr>
        <w:t xml:space="preserve"> </w:t>
      </w:r>
      <w:r w:rsidRPr="00CE0728">
        <w:rPr>
          <w:rFonts w:ascii="Arial" w:hAnsi="Arial" w:cs="Arial"/>
          <w:sz w:val="20"/>
          <w:szCs w:val="20"/>
          <w:lang w:eastAsia="cs-CZ"/>
        </w:rPr>
        <w:t>Na základe vzájomnej dohody medzi MŽP SR a ŠÚ SR sú od roku 2009 vykazované jednotné údaje v oblasti vôd</w:t>
      </w:r>
      <w:r w:rsidRPr="008D5C88">
        <w:rPr>
          <w:rFonts w:ascii="Arial" w:hAnsi="Arial" w:cs="Arial"/>
          <w:sz w:val="20"/>
          <w:szCs w:val="20"/>
          <w:lang w:eastAsia="cs-CZ"/>
        </w:rPr>
        <w:t>.</w:t>
      </w:r>
      <w:r w:rsidR="002A3825">
        <w:rPr>
          <w:rFonts w:ascii="Arial" w:hAnsi="Arial" w:cs="Arial"/>
          <w:sz w:val="20"/>
          <w:szCs w:val="20"/>
          <w:lang w:eastAsia="cs-CZ"/>
        </w:rPr>
        <w:t xml:space="preserve"> </w:t>
      </w:r>
    </w:p>
    <w:p w14:paraId="31F73CD3" w14:textId="0C1AEE8D" w:rsidR="0056774B" w:rsidRPr="00E21C60" w:rsidRDefault="00D75C82" w:rsidP="00123376">
      <w:pPr>
        <w:spacing w:before="120" w:after="120"/>
        <w:jc w:val="both"/>
        <w:rPr>
          <w:rFonts w:ascii="Arial" w:hAnsi="Arial" w:cs="Arial"/>
          <w:sz w:val="20"/>
          <w:szCs w:val="20"/>
          <w:lang w:eastAsia="cs-CZ"/>
        </w:rPr>
      </w:pPr>
      <w:r w:rsidRPr="00D75C82">
        <w:rPr>
          <w:rFonts w:ascii="Arial" w:hAnsi="Arial" w:cs="Arial"/>
          <w:sz w:val="20"/>
          <w:szCs w:val="20"/>
          <w:lang w:eastAsia="cs-CZ"/>
        </w:rPr>
        <w:lastRenderedPageBreak/>
        <w:t xml:space="preserve">Podiel obyvateľov </w:t>
      </w:r>
      <w:r w:rsidR="007656BE" w:rsidRPr="007656BE">
        <w:rPr>
          <w:rFonts w:ascii="Arial" w:hAnsi="Arial" w:cs="Arial"/>
          <w:sz w:val="20"/>
          <w:szCs w:val="20"/>
          <w:lang w:eastAsia="cs-CZ"/>
        </w:rPr>
        <w:t xml:space="preserve">napojených na ČOV </w:t>
      </w:r>
      <w:r w:rsidRPr="00D75C82">
        <w:rPr>
          <w:rFonts w:ascii="Arial" w:hAnsi="Arial" w:cs="Arial"/>
          <w:sz w:val="20"/>
          <w:szCs w:val="20"/>
          <w:lang w:eastAsia="cs-CZ"/>
        </w:rPr>
        <w:t>pr</w:t>
      </w:r>
      <w:r w:rsidR="007656BE">
        <w:rPr>
          <w:rFonts w:ascii="Arial" w:hAnsi="Arial" w:cs="Arial"/>
          <w:sz w:val="20"/>
          <w:szCs w:val="20"/>
          <w:lang w:eastAsia="cs-CZ"/>
        </w:rPr>
        <w:t xml:space="preserve">edstavoval v roku </w:t>
      </w:r>
      <w:r w:rsidR="002A3825">
        <w:rPr>
          <w:rFonts w:ascii="Arial" w:hAnsi="Arial" w:cs="Arial"/>
          <w:sz w:val="20"/>
          <w:szCs w:val="20"/>
          <w:lang w:eastAsia="cs-CZ"/>
        </w:rPr>
        <w:t xml:space="preserve">2014 </w:t>
      </w:r>
      <w:r w:rsidR="007656BE">
        <w:rPr>
          <w:rFonts w:ascii="Arial" w:hAnsi="Arial" w:cs="Arial"/>
          <w:sz w:val="20"/>
          <w:szCs w:val="20"/>
          <w:lang w:eastAsia="cs-CZ"/>
        </w:rPr>
        <w:t xml:space="preserve">hodnotu </w:t>
      </w:r>
      <w:r>
        <w:rPr>
          <w:rFonts w:ascii="Arial" w:hAnsi="Arial" w:cs="Arial"/>
          <w:sz w:val="20"/>
          <w:szCs w:val="20"/>
          <w:lang w:eastAsia="cs-CZ"/>
        </w:rPr>
        <w:t>6</w:t>
      </w:r>
      <w:r w:rsidR="002A3825">
        <w:rPr>
          <w:rFonts w:ascii="Arial" w:hAnsi="Arial" w:cs="Arial"/>
          <w:sz w:val="20"/>
          <w:szCs w:val="20"/>
          <w:lang w:eastAsia="cs-CZ"/>
        </w:rPr>
        <w:t>3</w:t>
      </w:r>
      <w:r>
        <w:rPr>
          <w:rFonts w:ascii="Arial" w:hAnsi="Arial" w:cs="Arial"/>
          <w:sz w:val="20"/>
          <w:szCs w:val="20"/>
          <w:lang w:eastAsia="cs-CZ"/>
        </w:rPr>
        <w:t>,</w:t>
      </w:r>
      <w:r w:rsidR="002A3825">
        <w:rPr>
          <w:rFonts w:ascii="Arial" w:hAnsi="Arial" w:cs="Arial"/>
          <w:sz w:val="20"/>
          <w:szCs w:val="20"/>
          <w:lang w:eastAsia="cs-CZ"/>
        </w:rPr>
        <w:t>69</w:t>
      </w:r>
      <w:r w:rsidRPr="00D75C82">
        <w:rPr>
          <w:rFonts w:ascii="Arial" w:hAnsi="Arial" w:cs="Arial"/>
          <w:sz w:val="20"/>
          <w:szCs w:val="20"/>
          <w:lang w:eastAsia="cs-CZ"/>
        </w:rPr>
        <w:t xml:space="preserve"> %, čo je postupný mierny nárast oproti predchádzajúcim rokom</w:t>
      </w:r>
      <w:r w:rsidR="002A3825">
        <w:rPr>
          <w:rFonts w:ascii="Arial" w:hAnsi="Arial" w:cs="Arial"/>
          <w:sz w:val="20"/>
          <w:szCs w:val="20"/>
          <w:lang w:eastAsia="cs-CZ"/>
        </w:rPr>
        <w:t xml:space="preserve"> a je možné predpokladať, že v tomto trende bude narastať hodnota aj v nasledovnom období. </w:t>
      </w:r>
      <w:r w:rsidR="0056774B" w:rsidRPr="00E21C60">
        <w:rPr>
          <w:rFonts w:ascii="Arial" w:hAnsi="Arial" w:cs="Arial"/>
          <w:sz w:val="20"/>
          <w:szCs w:val="20"/>
          <w:lang w:eastAsia="cs-CZ"/>
        </w:rPr>
        <w:t>Percento obyvateľov napojených na ČOV každoročne vykaz</w:t>
      </w:r>
      <w:r w:rsidR="002A3825">
        <w:rPr>
          <w:rFonts w:ascii="Arial" w:hAnsi="Arial" w:cs="Arial"/>
          <w:sz w:val="20"/>
          <w:szCs w:val="20"/>
          <w:lang w:eastAsia="cs-CZ"/>
        </w:rPr>
        <w:t>ovalo v sledovaných obdobiach</w:t>
      </w:r>
      <w:r w:rsidR="0056774B" w:rsidRPr="00E21C60">
        <w:rPr>
          <w:rFonts w:ascii="Arial" w:hAnsi="Arial" w:cs="Arial"/>
          <w:sz w:val="20"/>
          <w:szCs w:val="20"/>
          <w:lang w:eastAsia="cs-CZ"/>
        </w:rPr>
        <w:t xml:space="preserve"> </w:t>
      </w:r>
      <w:r w:rsidR="009145C3" w:rsidRPr="00E21C60">
        <w:rPr>
          <w:rFonts w:ascii="Arial" w:hAnsi="Arial" w:cs="Arial"/>
          <w:sz w:val="20"/>
          <w:szCs w:val="20"/>
          <w:lang w:eastAsia="cs-CZ"/>
        </w:rPr>
        <w:t xml:space="preserve">postupný </w:t>
      </w:r>
      <w:r w:rsidR="0056774B" w:rsidRPr="00E21C60">
        <w:rPr>
          <w:rFonts w:ascii="Arial" w:hAnsi="Arial" w:cs="Arial"/>
          <w:sz w:val="20"/>
          <w:szCs w:val="20"/>
          <w:lang w:eastAsia="cs-CZ"/>
        </w:rPr>
        <w:t>nárast, k čomu výrazne prispiev</w:t>
      </w:r>
      <w:r w:rsidR="00496087" w:rsidRPr="00E21C60">
        <w:rPr>
          <w:rFonts w:ascii="Arial" w:hAnsi="Arial" w:cs="Arial"/>
          <w:sz w:val="20"/>
          <w:szCs w:val="20"/>
          <w:lang w:eastAsia="cs-CZ"/>
        </w:rPr>
        <w:t>a</w:t>
      </w:r>
      <w:r w:rsidR="002A3825">
        <w:rPr>
          <w:rFonts w:ascii="Arial" w:hAnsi="Arial" w:cs="Arial"/>
          <w:sz w:val="20"/>
          <w:szCs w:val="20"/>
          <w:lang w:eastAsia="cs-CZ"/>
        </w:rPr>
        <w:t>la práve</w:t>
      </w:r>
      <w:r w:rsidR="00496087" w:rsidRPr="00E21C60">
        <w:rPr>
          <w:rFonts w:ascii="Arial" w:hAnsi="Arial" w:cs="Arial"/>
          <w:sz w:val="20"/>
          <w:szCs w:val="20"/>
          <w:lang w:eastAsia="cs-CZ"/>
        </w:rPr>
        <w:t xml:space="preserve"> realizácia projektov schválených v rámci OP</w:t>
      </w:r>
      <w:r w:rsidR="00AC20AA">
        <w:rPr>
          <w:rFonts w:ascii="Arial" w:hAnsi="Arial" w:cs="Arial"/>
          <w:sz w:val="20"/>
          <w:szCs w:val="20"/>
          <w:lang w:eastAsia="cs-CZ"/>
        </w:rPr>
        <w:t xml:space="preserve"> </w:t>
      </w:r>
      <w:r w:rsidR="00496087" w:rsidRPr="00E21C60">
        <w:rPr>
          <w:rFonts w:ascii="Arial" w:hAnsi="Arial" w:cs="Arial"/>
          <w:sz w:val="20"/>
          <w:szCs w:val="20"/>
          <w:lang w:eastAsia="cs-CZ"/>
        </w:rPr>
        <w:t>ŽP.</w:t>
      </w:r>
    </w:p>
    <w:p w14:paraId="74E548D6" w14:textId="77777777" w:rsidR="001362DC" w:rsidRPr="00E21C60" w:rsidRDefault="001362DC" w:rsidP="00123376">
      <w:pPr>
        <w:spacing w:before="120" w:after="120"/>
        <w:jc w:val="both"/>
        <w:rPr>
          <w:rFonts w:ascii="Arial" w:hAnsi="Arial" w:cs="Arial"/>
          <w:sz w:val="20"/>
          <w:szCs w:val="20"/>
          <w:u w:val="single"/>
          <w:lang w:eastAsia="cs-CZ"/>
        </w:rPr>
      </w:pPr>
      <w:r w:rsidRPr="00E21C60">
        <w:rPr>
          <w:rFonts w:ascii="Arial" w:hAnsi="Arial" w:cs="Arial"/>
          <w:sz w:val="20"/>
          <w:szCs w:val="20"/>
          <w:u w:val="single"/>
          <w:lang w:eastAsia="cs-CZ"/>
        </w:rPr>
        <w:t>Podiel obyvateľov zásobovaných vodou z verejných vodovodov (%)</w:t>
      </w:r>
    </w:p>
    <w:p w14:paraId="1B281FF2" w14:textId="003E3D71" w:rsidR="003F363E" w:rsidRPr="00E21C60" w:rsidRDefault="001362DC" w:rsidP="00123376">
      <w:pPr>
        <w:spacing w:before="120"/>
        <w:jc w:val="both"/>
        <w:rPr>
          <w:rFonts w:ascii="Arial" w:hAnsi="Arial" w:cs="Arial"/>
          <w:sz w:val="20"/>
          <w:szCs w:val="20"/>
          <w:lang w:eastAsia="cs-CZ"/>
        </w:rPr>
      </w:pPr>
      <w:r w:rsidRPr="00E21C60">
        <w:rPr>
          <w:rFonts w:ascii="Arial" w:hAnsi="Arial" w:cs="Arial"/>
          <w:sz w:val="20"/>
          <w:szCs w:val="20"/>
          <w:lang w:eastAsia="cs-CZ"/>
        </w:rPr>
        <w:t>Zdrojom údajov je</w:t>
      </w:r>
      <w:r w:rsidR="002A3825">
        <w:rPr>
          <w:rFonts w:ascii="Arial" w:hAnsi="Arial" w:cs="Arial"/>
          <w:sz w:val="20"/>
          <w:szCs w:val="20"/>
          <w:lang w:eastAsia="cs-CZ"/>
        </w:rPr>
        <w:t xml:space="preserve"> rovnako ako v predchádzajúcom prípade </w:t>
      </w:r>
      <w:r w:rsidRPr="00E21C60">
        <w:rPr>
          <w:rFonts w:ascii="Arial" w:hAnsi="Arial" w:cs="Arial"/>
          <w:sz w:val="20"/>
          <w:szCs w:val="20"/>
          <w:lang w:eastAsia="cs-CZ"/>
        </w:rPr>
        <w:t>ŠÚ SR.</w:t>
      </w:r>
      <w:r w:rsidRPr="00E21C60">
        <w:rPr>
          <w:rFonts w:ascii="Arial" w:hAnsi="Arial" w:cs="Arial"/>
          <w:b/>
          <w:sz w:val="20"/>
          <w:szCs w:val="20"/>
          <w:lang w:eastAsia="cs-CZ"/>
        </w:rPr>
        <w:t xml:space="preserve"> </w:t>
      </w:r>
      <w:r w:rsidRPr="00E21C60">
        <w:rPr>
          <w:rFonts w:ascii="Arial" w:hAnsi="Arial" w:cs="Arial"/>
          <w:sz w:val="20"/>
          <w:szCs w:val="20"/>
          <w:lang w:eastAsia="cs-CZ"/>
        </w:rPr>
        <w:t>Na základe vzájomnej dohody medzi MŽP SR a ŠÚ SR sú</w:t>
      </w:r>
      <w:r w:rsidR="002A3825">
        <w:rPr>
          <w:rFonts w:ascii="Arial" w:hAnsi="Arial" w:cs="Arial"/>
          <w:sz w:val="20"/>
          <w:szCs w:val="20"/>
          <w:lang w:eastAsia="cs-CZ"/>
        </w:rPr>
        <w:t xml:space="preserve"> taktiež</w:t>
      </w:r>
      <w:r w:rsidRPr="00E21C60">
        <w:rPr>
          <w:rFonts w:ascii="Arial" w:hAnsi="Arial" w:cs="Arial"/>
          <w:sz w:val="20"/>
          <w:szCs w:val="20"/>
          <w:lang w:eastAsia="cs-CZ"/>
        </w:rPr>
        <w:t xml:space="preserve"> od roku 2009 vykazované jednotné údaje v oblasti vôd.</w:t>
      </w:r>
      <w:r w:rsidR="003F363E" w:rsidRPr="00E21C60">
        <w:rPr>
          <w:rFonts w:ascii="Arial" w:hAnsi="Arial" w:cs="Arial"/>
          <w:sz w:val="20"/>
          <w:szCs w:val="20"/>
          <w:lang w:eastAsia="cs-CZ"/>
        </w:rPr>
        <w:t xml:space="preserve"> </w:t>
      </w:r>
    </w:p>
    <w:p w14:paraId="6D5E5776" w14:textId="2F862398" w:rsidR="00496087" w:rsidRPr="00E21C60" w:rsidRDefault="00613DA4" w:rsidP="00123376">
      <w:pPr>
        <w:spacing w:before="120"/>
        <w:jc w:val="both"/>
        <w:rPr>
          <w:rFonts w:ascii="Arial" w:hAnsi="Arial" w:cs="Arial"/>
          <w:sz w:val="20"/>
          <w:szCs w:val="20"/>
          <w:lang w:eastAsia="cs-CZ"/>
        </w:rPr>
      </w:pPr>
      <w:r w:rsidRPr="00E21C60">
        <w:rPr>
          <w:rFonts w:ascii="Arial" w:hAnsi="Arial" w:cs="Arial"/>
          <w:sz w:val="20"/>
          <w:szCs w:val="20"/>
          <w:lang w:eastAsia="cs-CZ"/>
        </w:rPr>
        <w:t xml:space="preserve">Podiel obyvateľov </w:t>
      </w:r>
      <w:r w:rsidR="00104ED2" w:rsidRPr="00E21C60">
        <w:rPr>
          <w:rFonts w:ascii="Arial" w:hAnsi="Arial" w:cs="Arial"/>
          <w:sz w:val="20"/>
          <w:szCs w:val="20"/>
          <w:lang w:eastAsia="cs-CZ"/>
        </w:rPr>
        <w:t xml:space="preserve">zásobovaných vodou </w:t>
      </w:r>
      <w:r w:rsidR="00AB0375" w:rsidRPr="00E21C60">
        <w:rPr>
          <w:rFonts w:ascii="Arial" w:hAnsi="Arial" w:cs="Arial"/>
          <w:sz w:val="20"/>
          <w:szCs w:val="20"/>
          <w:lang w:eastAsia="cs-CZ"/>
        </w:rPr>
        <w:t xml:space="preserve">z verejných vodovodoch predstavoval v roku </w:t>
      </w:r>
      <w:r w:rsidR="008825E9" w:rsidRPr="00E21C60">
        <w:rPr>
          <w:rFonts w:ascii="Arial" w:hAnsi="Arial" w:cs="Arial"/>
          <w:sz w:val="20"/>
          <w:szCs w:val="20"/>
          <w:lang w:eastAsia="cs-CZ"/>
        </w:rPr>
        <w:t>201</w:t>
      </w:r>
      <w:r w:rsidR="002A3825">
        <w:rPr>
          <w:rFonts w:ascii="Arial" w:hAnsi="Arial" w:cs="Arial"/>
          <w:sz w:val="20"/>
          <w:szCs w:val="20"/>
          <w:lang w:eastAsia="cs-CZ"/>
        </w:rPr>
        <w:t>4</w:t>
      </w:r>
      <w:r w:rsidR="008825E9" w:rsidRPr="00E21C60">
        <w:rPr>
          <w:rFonts w:ascii="Arial" w:hAnsi="Arial" w:cs="Arial"/>
          <w:sz w:val="20"/>
          <w:szCs w:val="20"/>
          <w:lang w:eastAsia="cs-CZ"/>
        </w:rPr>
        <w:t xml:space="preserve"> </w:t>
      </w:r>
      <w:r w:rsidR="00AB0375" w:rsidRPr="00E21C60">
        <w:rPr>
          <w:rFonts w:ascii="Arial" w:hAnsi="Arial" w:cs="Arial"/>
          <w:sz w:val="20"/>
          <w:szCs w:val="20"/>
          <w:lang w:eastAsia="cs-CZ"/>
        </w:rPr>
        <w:t xml:space="preserve">hodnotu </w:t>
      </w:r>
      <w:r w:rsidR="003E0C54">
        <w:rPr>
          <w:rFonts w:ascii="Arial" w:hAnsi="Arial" w:cs="Arial"/>
          <w:sz w:val="20"/>
          <w:szCs w:val="20"/>
          <w:lang w:eastAsia="cs-CZ"/>
        </w:rPr>
        <w:br/>
      </w:r>
      <w:r w:rsidR="00AB0375" w:rsidRPr="00E21C60">
        <w:rPr>
          <w:rFonts w:ascii="Arial" w:hAnsi="Arial" w:cs="Arial"/>
          <w:sz w:val="20"/>
          <w:szCs w:val="20"/>
          <w:lang w:eastAsia="cs-CZ"/>
        </w:rPr>
        <w:t>87</w:t>
      </w:r>
      <w:r w:rsidR="008825E9">
        <w:rPr>
          <w:rFonts w:ascii="Arial" w:hAnsi="Arial" w:cs="Arial"/>
          <w:sz w:val="20"/>
          <w:szCs w:val="20"/>
          <w:lang w:eastAsia="cs-CZ"/>
        </w:rPr>
        <w:t>,</w:t>
      </w:r>
      <w:r w:rsidR="002A3825">
        <w:rPr>
          <w:rFonts w:ascii="Arial" w:hAnsi="Arial" w:cs="Arial"/>
          <w:sz w:val="20"/>
          <w:szCs w:val="20"/>
          <w:lang w:eastAsia="cs-CZ"/>
        </w:rPr>
        <w:t>7</w:t>
      </w:r>
      <w:r w:rsidR="003E0C54">
        <w:rPr>
          <w:rFonts w:ascii="Arial" w:hAnsi="Arial" w:cs="Arial"/>
          <w:sz w:val="20"/>
          <w:szCs w:val="20"/>
          <w:lang w:eastAsia="cs-CZ"/>
        </w:rPr>
        <w:t xml:space="preserve"> </w:t>
      </w:r>
      <w:r w:rsidR="00AB0375" w:rsidRPr="00E21C60">
        <w:rPr>
          <w:rFonts w:ascii="Arial" w:hAnsi="Arial" w:cs="Arial"/>
          <w:sz w:val="20"/>
          <w:szCs w:val="20"/>
          <w:lang w:eastAsia="cs-CZ"/>
        </w:rPr>
        <w:t>%</w:t>
      </w:r>
      <w:r w:rsidR="008C1A14" w:rsidRPr="00E21C60">
        <w:rPr>
          <w:rFonts w:ascii="Arial" w:hAnsi="Arial" w:cs="Arial"/>
          <w:sz w:val="20"/>
          <w:szCs w:val="20"/>
          <w:lang w:eastAsia="cs-CZ"/>
        </w:rPr>
        <w:t xml:space="preserve">, čo </w:t>
      </w:r>
      <w:r w:rsidR="002A3825">
        <w:rPr>
          <w:rFonts w:ascii="Arial" w:hAnsi="Arial" w:cs="Arial"/>
          <w:sz w:val="20"/>
          <w:szCs w:val="20"/>
          <w:lang w:eastAsia="cs-CZ"/>
        </w:rPr>
        <w:t>bol</w:t>
      </w:r>
      <w:r w:rsidR="008C1A14" w:rsidRPr="00E21C60">
        <w:rPr>
          <w:rFonts w:ascii="Arial" w:hAnsi="Arial" w:cs="Arial"/>
          <w:sz w:val="20"/>
          <w:szCs w:val="20"/>
          <w:lang w:eastAsia="cs-CZ"/>
        </w:rPr>
        <w:t xml:space="preserve"> postupný mierny nárast oproti predchádzajúcim rokom.</w:t>
      </w:r>
      <w:r w:rsidR="002A3825">
        <w:rPr>
          <w:rFonts w:ascii="Arial" w:hAnsi="Arial" w:cs="Arial"/>
          <w:sz w:val="20"/>
          <w:szCs w:val="20"/>
          <w:lang w:eastAsia="cs-CZ"/>
        </w:rPr>
        <w:t xml:space="preserve"> Vzhľadom k postupnému pripájaniu obyvateľov na verejný vodovod je možné očakávať podobný nárast hodnoty aj v nasledovnom roku.</w:t>
      </w:r>
    </w:p>
    <w:p w14:paraId="574E2DD2" w14:textId="65A054DB" w:rsidR="001362DC" w:rsidRPr="00E21C60" w:rsidRDefault="001362DC" w:rsidP="00123376">
      <w:pPr>
        <w:spacing w:before="120" w:after="120"/>
        <w:jc w:val="both"/>
        <w:rPr>
          <w:rFonts w:ascii="Arial" w:hAnsi="Arial" w:cs="Arial"/>
          <w:sz w:val="20"/>
          <w:szCs w:val="20"/>
          <w:lang w:eastAsia="cs-CZ"/>
        </w:rPr>
      </w:pPr>
      <w:r w:rsidRPr="00E21C60">
        <w:rPr>
          <w:rFonts w:ascii="Arial" w:hAnsi="Arial" w:cs="Arial"/>
          <w:sz w:val="20"/>
          <w:szCs w:val="20"/>
          <w:lang w:eastAsia="cs-CZ"/>
        </w:rPr>
        <w:t>V rámci OP ŽP bolo zazmluvnených</w:t>
      </w:r>
      <w:r w:rsidR="0017218D">
        <w:rPr>
          <w:rFonts w:ascii="Arial" w:hAnsi="Arial" w:cs="Arial"/>
          <w:sz w:val="20"/>
          <w:szCs w:val="20"/>
          <w:lang w:eastAsia="cs-CZ"/>
        </w:rPr>
        <w:t xml:space="preserve"> spolu</w:t>
      </w:r>
      <w:r w:rsidRPr="00E21C60">
        <w:rPr>
          <w:rFonts w:ascii="Arial" w:hAnsi="Arial" w:cs="Arial"/>
          <w:sz w:val="20"/>
          <w:szCs w:val="20"/>
          <w:lang w:eastAsia="cs-CZ"/>
        </w:rPr>
        <w:t xml:space="preserve"> celkovo </w:t>
      </w:r>
      <w:r w:rsidR="0017218D">
        <w:rPr>
          <w:rFonts w:ascii="Arial" w:hAnsi="Arial" w:cs="Arial"/>
          <w:sz w:val="20"/>
          <w:szCs w:val="20"/>
          <w:lang w:eastAsia="cs-CZ"/>
        </w:rPr>
        <w:t>704</w:t>
      </w:r>
      <w:r w:rsidR="0017218D" w:rsidRPr="00E21C60">
        <w:rPr>
          <w:rFonts w:ascii="Arial" w:hAnsi="Arial" w:cs="Arial"/>
          <w:sz w:val="20"/>
          <w:szCs w:val="20"/>
          <w:lang w:eastAsia="cs-CZ"/>
        </w:rPr>
        <w:t xml:space="preserve"> </w:t>
      </w:r>
      <w:r w:rsidRPr="00E21C60">
        <w:rPr>
          <w:rFonts w:ascii="Arial" w:hAnsi="Arial" w:cs="Arial"/>
          <w:sz w:val="20"/>
          <w:szCs w:val="20"/>
          <w:lang w:eastAsia="cs-CZ"/>
        </w:rPr>
        <w:t>projektov s príspevkom k HP TUR s c</w:t>
      </w:r>
      <w:r w:rsidRPr="00E21C60">
        <w:rPr>
          <w:rFonts w:ascii="Arial" w:hAnsi="Arial" w:cs="Arial"/>
          <w:bCs/>
          <w:sz w:val="20"/>
          <w:szCs w:val="20"/>
          <w:lang w:eastAsia="cs-CZ"/>
        </w:rPr>
        <w:t>elkovou výškou zazmluvnených prostriedkov z fondov EÚ 1</w:t>
      </w:r>
      <w:r w:rsidR="0017218D">
        <w:rPr>
          <w:rFonts w:ascii="Arial" w:hAnsi="Arial" w:cs="Arial"/>
          <w:bCs/>
          <w:sz w:val="20"/>
          <w:szCs w:val="20"/>
          <w:lang w:eastAsia="cs-CZ"/>
        </w:rPr>
        <w:t>630,81 mil</w:t>
      </w:r>
      <w:r w:rsidR="00D33F02">
        <w:rPr>
          <w:rFonts w:ascii="Arial" w:hAnsi="Arial" w:cs="Arial"/>
          <w:bCs/>
          <w:sz w:val="20"/>
          <w:szCs w:val="20"/>
          <w:lang w:eastAsia="cs-CZ"/>
        </w:rPr>
        <w:t>.</w:t>
      </w:r>
      <w:r w:rsidRPr="00E21C60">
        <w:rPr>
          <w:rFonts w:ascii="Arial" w:hAnsi="Arial" w:cs="Arial"/>
          <w:bCs/>
          <w:sz w:val="20"/>
          <w:szCs w:val="20"/>
          <w:lang w:eastAsia="cs-CZ"/>
        </w:rPr>
        <w:t xml:space="preserve"> </w:t>
      </w:r>
      <w:r w:rsidR="0017218D">
        <w:rPr>
          <w:rFonts w:ascii="Arial" w:hAnsi="Arial" w:cs="Arial"/>
          <w:bCs/>
          <w:sz w:val="20"/>
          <w:szCs w:val="20"/>
          <w:lang w:eastAsia="cs-CZ"/>
        </w:rPr>
        <w:t>€</w:t>
      </w:r>
      <w:r w:rsidRPr="00E21C60">
        <w:rPr>
          <w:rFonts w:ascii="Arial" w:hAnsi="Arial" w:cs="Arial"/>
          <w:sz w:val="20"/>
          <w:szCs w:val="20"/>
          <w:lang w:eastAsia="cs-CZ"/>
        </w:rPr>
        <w:t xml:space="preserve">. </w:t>
      </w:r>
      <w:r w:rsidR="009C2702" w:rsidRPr="00E21C60">
        <w:rPr>
          <w:rFonts w:ascii="Arial" w:hAnsi="Arial" w:cs="Arial"/>
          <w:sz w:val="20"/>
          <w:szCs w:val="20"/>
          <w:lang w:eastAsia="cs-CZ"/>
        </w:rPr>
        <w:t xml:space="preserve">Takýto stav celkového objemu zazmluvnených prostriedkov OP ŽP je v súlade s globálnym cieľom OP ŽP, ktorého súčasťou </w:t>
      </w:r>
      <w:r w:rsidR="0017218D">
        <w:rPr>
          <w:rFonts w:ascii="Arial" w:hAnsi="Arial" w:cs="Arial"/>
          <w:sz w:val="20"/>
          <w:szCs w:val="20"/>
          <w:lang w:eastAsia="cs-CZ"/>
        </w:rPr>
        <w:t>bolo</w:t>
      </w:r>
      <w:r w:rsidR="009C2702" w:rsidRPr="00E21C60">
        <w:rPr>
          <w:rFonts w:ascii="Arial" w:hAnsi="Arial" w:cs="Arial"/>
          <w:sz w:val="20"/>
          <w:szCs w:val="20"/>
          <w:lang w:eastAsia="cs-CZ"/>
        </w:rPr>
        <w:t xml:space="preserve"> posilnenie efektívnosti environmentálnej zložky TUR.</w:t>
      </w:r>
    </w:p>
    <w:p w14:paraId="6D40B71D" w14:textId="041A3841" w:rsidR="00003531" w:rsidRPr="00E21C60" w:rsidRDefault="001362DC" w:rsidP="008A1902">
      <w:pPr>
        <w:keepNext/>
        <w:jc w:val="both"/>
        <w:rPr>
          <w:rFonts w:ascii="Arial" w:hAnsi="Arial" w:cs="Arial"/>
          <w:sz w:val="20"/>
          <w:szCs w:val="20"/>
          <w:lang w:eastAsia="cs-CZ"/>
        </w:rPr>
      </w:pPr>
      <w:r w:rsidRPr="00E21C60">
        <w:rPr>
          <w:rFonts w:ascii="Arial" w:hAnsi="Arial" w:cs="Arial"/>
          <w:sz w:val="20"/>
          <w:szCs w:val="20"/>
          <w:lang w:eastAsia="cs-CZ"/>
        </w:rPr>
        <w:t>Tab</w:t>
      </w:r>
      <w:r w:rsidR="00C249F6" w:rsidRPr="00E21C60">
        <w:rPr>
          <w:rFonts w:ascii="Arial" w:hAnsi="Arial" w:cs="Arial"/>
          <w:sz w:val="20"/>
          <w:szCs w:val="20"/>
          <w:lang w:eastAsia="cs-CZ"/>
        </w:rPr>
        <w:t>uľka</w:t>
      </w:r>
      <w:r w:rsidRPr="00E21C60">
        <w:rPr>
          <w:rFonts w:ascii="Arial" w:hAnsi="Arial" w:cs="Arial"/>
          <w:sz w:val="20"/>
          <w:szCs w:val="20"/>
          <w:lang w:eastAsia="cs-CZ"/>
        </w:rPr>
        <w:t xml:space="preserve"> č. </w:t>
      </w:r>
      <w:r w:rsidR="00B256C7">
        <w:rPr>
          <w:rFonts w:ascii="Arial" w:hAnsi="Arial" w:cs="Arial"/>
          <w:sz w:val="20"/>
          <w:szCs w:val="20"/>
          <w:lang w:eastAsia="cs-CZ"/>
        </w:rPr>
        <w:t>8</w:t>
      </w:r>
      <w:r w:rsidR="007B1CB9">
        <w:rPr>
          <w:rFonts w:ascii="Arial" w:hAnsi="Arial" w:cs="Arial"/>
          <w:sz w:val="20"/>
          <w:szCs w:val="20"/>
          <w:lang w:eastAsia="cs-CZ"/>
        </w:rPr>
        <w:t>8</w:t>
      </w:r>
      <w:r w:rsidRPr="00E21C60">
        <w:rPr>
          <w:rFonts w:ascii="Arial" w:hAnsi="Arial" w:cs="Arial"/>
          <w:sz w:val="20"/>
          <w:szCs w:val="20"/>
          <w:lang w:eastAsia="cs-CZ"/>
        </w:rPr>
        <w:t xml:space="preserve">: Stav </w:t>
      </w:r>
      <w:r w:rsidR="00972A96">
        <w:rPr>
          <w:rFonts w:ascii="Arial" w:hAnsi="Arial" w:cs="Arial"/>
          <w:sz w:val="20"/>
          <w:szCs w:val="20"/>
          <w:lang w:eastAsia="cs-CZ"/>
        </w:rPr>
        <w:t>čerpania</w:t>
      </w:r>
      <w:r w:rsidR="00972A96" w:rsidRPr="00E21C60">
        <w:rPr>
          <w:rFonts w:ascii="Arial" w:hAnsi="Arial" w:cs="Arial"/>
          <w:sz w:val="20"/>
          <w:szCs w:val="20"/>
          <w:lang w:eastAsia="cs-CZ"/>
        </w:rPr>
        <w:t xml:space="preserve"> </w:t>
      </w:r>
      <w:r w:rsidRPr="00E21C60">
        <w:rPr>
          <w:rFonts w:ascii="Arial" w:hAnsi="Arial" w:cs="Arial"/>
          <w:sz w:val="20"/>
          <w:szCs w:val="20"/>
          <w:lang w:eastAsia="cs-CZ"/>
        </w:rPr>
        <w:t>projektov s príspevkom k HP TUR podľa NUTS III k 31.1</w:t>
      </w:r>
      <w:r w:rsidR="00972A96">
        <w:rPr>
          <w:rFonts w:ascii="Arial" w:hAnsi="Arial" w:cs="Arial"/>
          <w:sz w:val="20"/>
          <w:szCs w:val="20"/>
          <w:lang w:eastAsia="cs-CZ"/>
        </w:rPr>
        <w:t>0</w:t>
      </w:r>
      <w:r w:rsidRPr="00E21C60">
        <w:rPr>
          <w:rFonts w:ascii="Arial" w:hAnsi="Arial" w:cs="Arial"/>
          <w:sz w:val="20"/>
          <w:szCs w:val="20"/>
          <w:lang w:eastAsia="cs-CZ"/>
        </w:rPr>
        <w:t>.</w:t>
      </w:r>
      <w:r w:rsidR="001023F6" w:rsidRPr="00E21C60">
        <w:rPr>
          <w:rFonts w:ascii="Arial" w:hAnsi="Arial" w:cs="Arial"/>
          <w:sz w:val="20"/>
          <w:szCs w:val="20"/>
          <w:lang w:eastAsia="cs-CZ"/>
        </w:rPr>
        <w:t>201</w:t>
      </w:r>
      <w:r w:rsidR="00972A96">
        <w:rPr>
          <w:rFonts w:ascii="Arial" w:hAnsi="Arial" w:cs="Arial"/>
          <w:sz w:val="20"/>
          <w:szCs w:val="20"/>
          <w:lang w:eastAsia="cs-CZ"/>
        </w:rPr>
        <w:t>6</w:t>
      </w:r>
    </w:p>
    <w:tbl>
      <w:tblPr>
        <w:tblW w:w="9060" w:type="dxa"/>
        <w:tblInd w:w="55" w:type="dxa"/>
        <w:tblCellMar>
          <w:left w:w="70" w:type="dxa"/>
          <w:right w:w="70" w:type="dxa"/>
        </w:tblCellMar>
        <w:tblLook w:val="04A0" w:firstRow="1" w:lastRow="0" w:firstColumn="1" w:lastColumn="0" w:noHBand="0" w:noVBand="1"/>
      </w:tblPr>
      <w:tblGrid>
        <w:gridCol w:w="1660"/>
        <w:gridCol w:w="1480"/>
        <w:gridCol w:w="1480"/>
        <w:gridCol w:w="1480"/>
        <w:gridCol w:w="1480"/>
        <w:gridCol w:w="1480"/>
      </w:tblGrid>
      <w:tr w:rsidR="00D11A56" w:rsidRPr="00E21C60" w14:paraId="1925FFB3" w14:textId="77777777" w:rsidTr="00D84D37">
        <w:trPr>
          <w:trHeight w:val="1350"/>
        </w:trPr>
        <w:tc>
          <w:tcPr>
            <w:tcW w:w="166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6BDCDF7" w14:textId="77777777" w:rsidR="00D11A56" w:rsidRPr="00E21C60" w:rsidRDefault="00D11A56" w:rsidP="008A1902">
            <w:pPr>
              <w:keepNext/>
              <w:jc w:val="center"/>
              <w:rPr>
                <w:rFonts w:ascii="Arial" w:hAnsi="Arial" w:cs="Arial"/>
                <w:b/>
                <w:bCs/>
                <w:color w:val="000000"/>
                <w:sz w:val="16"/>
                <w:szCs w:val="16"/>
              </w:rPr>
            </w:pPr>
            <w:r w:rsidRPr="00E21C60">
              <w:rPr>
                <w:rFonts w:ascii="Arial" w:hAnsi="Arial" w:cs="Arial"/>
                <w:b/>
                <w:bCs/>
                <w:color w:val="000000"/>
                <w:sz w:val="16"/>
                <w:szCs w:val="16"/>
              </w:rPr>
              <w:t>Územie NUTS III</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A937571" w14:textId="24A17D90" w:rsidR="00D11A56" w:rsidRPr="00E21C60" w:rsidRDefault="00D11A56" w:rsidP="00972A96">
            <w:pPr>
              <w:keepNext/>
              <w:jc w:val="center"/>
              <w:rPr>
                <w:rFonts w:ascii="Arial" w:hAnsi="Arial" w:cs="Arial"/>
                <w:b/>
                <w:bCs/>
                <w:color w:val="000000"/>
                <w:sz w:val="16"/>
                <w:szCs w:val="16"/>
              </w:rPr>
            </w:pPr>
            <w:r w:rsidRPr="00E21C60">
              <w:rPr>
                <w:rFonts w:ascii="Arial" w:hAnsi="Arial" w:cs="Arial"/>
                <w:b/>
                <w:bCs/>
                <w:color w:val="000000"/>
                <w:sz w:val="16"/>
                <w:szCs w:val="16"/>
              </w:rPr>
              <w:t xml:space="preserve">Počet </w:t>
            </w:r>
            <w:r w:rsidR="00972A96">
              <w:rPr>
                <w:rFonts w:ascii="Arial" w:hAnsi="Arial" w:cs="Arial"/>
                <w:b/>
                <w:bCs/>
                <w:color w:val="000000"/>
                <w:sz w:val="16"/>
                <w:szCs w:val="16"/>
              </w:rPr>
              <w:t>riadne ukončených</w:t>
            </w:r>
            <w:r w:rsidR="00972A96" w:rsidRPr="00E21C60">
              <w:rPr>
                <w:rFonts w:ascii="Arial" w:hAnsi="Arial" w:cs="Arial"/>
                <w:b/>
                <w:bCs/>
                <w:color w:val="000000"/>
                <w:sz w:val="16"/>
                <w:szCs w:val="16"/>
              </w:rPr>
              <w:t xml:space="preserve"> </w:t>
            </w:r>
            <w:r w:rsidRPr="00E21C60">
              <w:rPr>
                <w:rFonts w:ascii="Arial" w:hAnsi="Arial" w:cs="Arial"/>
                <w:b/>
                <w:bCs/>
                <w:color w:val="000000"/>
                <w:sz w:val="16"/>
                <w:szCs w:val="16"/>
              </w:rPr>
              <w:t>projektov celkovo</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260D3B6E" w14:textId="625AB5BB" w:rsidR="00D11A56" w:rsidRPr="00E21C60" w:rsidRDefault="00D11A56" w:rsidP="000F28F0">
            <w:pPr>
              <w:keepNext/>
              <w:jc w:val="center"/>
              <w:rPr>
                <w:rFonts w:ascii="Arial" w:hAnsi="Arial" w:cs="Arial"/>
                <w:b/>
                <w:bCs/>
                <w:color w:val="000000"/>
                <w:sz w:val="16"/>
                <w:szCs w:val="16"/>
              </w:rPr>
            </w:pPr>
            <w:r w:rsidRPr="00E21C60">
              <w:rPr>
                <w:rFonts w:ascii="Arial" w:hAnsi="Arial" w:cs="Arial"/>
                <w:b/>
                <w:bCs/>
                <w:color w:val="000000"/>
                <w:sz w:val="16"/>
                <w:szCs w:val="16"/>
              </w:rPr>
              <w:t xml:space="preserve">Celková výška </w:t>
            </w:r>
            <w:r w:rsidR="000F28F0">
              <w:rPr>
                <w:rFonts w:ascii="Arial" w:hAnsi="Arial" w:cs="Arial"/>
                <w:b/>
                <w:bCs/>
                <w:color w:val="000000"/>
                <w:sz w:val="16"/>
                <w:szCs w:val="16"/>
              </w:rPr>
              <w:t>čerpaných</w:t>
            </w:r>
            <w:r w:rsidR="000F28F0" w:rsidRPr="00E21C60">
              <w:rPr>
                <w:rFonts w:ascii="Arial" w:hAnsi="Arial" w:cs="Arial"/>
                <w:b/>
                <w:bCs/>
                <w:color w:val="000000"/>
                <w:sz w:val="16"/>
                <w:szCs w:val="16"/>
              </w:rPr>
              <w:t xml:space="preserve"> </w:t>
            </w:r>
            <w:r w:rsidRPr="00E21C60">
              <w:rPr>
                <w:rFonts w:ascii="Arial" w:hAnsi="Arial" w:cs="Arial"/>
                <w:b/>
                <w:bCs/>
                <w:color w:val="000000"/>
                <w:sz w:val="16"/>
                <w:szCs w:val="16"/>
              </w:rPr>
              <w:t>prostriedkov v €  (EU zdroje)</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64ADBA75" w14:textId="4CFABE85" w:rsidR="00D11A56" w:rsidRPr="00E21C60" w:rsidRDefault="00D11A56" w:rsidP="00972A96">
            <w:pPr>
              <w:keepNext/>
              <w:jc w:val="center"/>
              <w:rPr>
                <w:rFonts w:ascii="Arial" w:hAnsi="Arial" w:cs="Arial"/>
                <w:b/>
                <w:bCs/>
                <w:color w:val="000000"/>
                <w:sz w:val="16"/>
                <w:szCs w:val="16"/>
              </w:rPr>
            </w:pPr>
            <w:r w:rsidRPr="00E21C60">
              <w:rPr>
                <w:rFonts w:ascii="Arial" w:hAnsi="Arial" w:cs="Arial"/>
                <w:b/>
                <w:bCs/>
                <w:color w:val="000000"/>
                <w:sz w:val="16"/>
                <w:szCs w:val="16"/>
              </w:rPr>
              <w:t xml:space="preserve">Počet </w:t>
            </w:r>
            <w:r w:rsidR="00972A96">
              <w:rPr>
                <w:rFonts w:ascii="Arial" w:hAnsi="Arial" w:cs="Arial"/>
                <w:b/>
                <w:bCs/>
                <w:color w:val="000000"/>
                <w:sz w:val="16"/>
                <w:szCs w:val="16"/>
              </w:rPr>
              <w:t>riadne ukončených</w:t>
            </w:r>
            <w:r w:rsidR="00972A96" w:rsidRPr="00E21C60">
              <w:rPr>
                <w:rFonts w:ascii="Arial" w:hAnsi="Arial" w:cs="Arial"/>
                <w:b/>
                <w:bCs/>
                <w:color w:val="000000"/>
                <w:sz w:val="16"/>
                <w:szCs w:val="16"/>
              </w:rPr>
              <w:t xml:space="preserve"> </w:t>
            </w:r>
            <w:r w:rsidRPr="00E21C60">
              <w:rPr>
                <w:rFonts w:ascii="Arial" w:hAnsi="Arial" w:cs="Arial"/>
                <w:b/>
                <w:bCs/>
                <w:color w:val="000000"/>
                <w:sz w:val="16"/>
                <w:szCs w:val="16"/>
              </w:rPr>
              <w:t>projektov s príspevkom HP TUR</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77D70FFD" w14:textId="4A6BCA42" w:rsidR="00D11A56" w:rsidRPr="00E21C60" w:rsidRDefault="00D11A56" w:rsidP="000F28F0">
            <w:pPr>
              <w:keepNext/>
              <w:jc w:val="center"/>
              <w:rPr>
                <w:rFonts w:ascii="Arial" w:hAnsi="Arial" w:cs="Arial"/>
                <w:b/>
                <w:bCs/>
                <w:color w:val="000000"/>
                <w:sz w:val="16"/>
                <w:szCs w:val="16"/>
              </w:rPr>
            </w:pPr>
            <w:r w:rsidRPr="00E21C60">
              <w:rPr>
                <w:rFonts w:ascii="Arial" w:hAnsi="Arial" w:cs="Arial"/>
                <w:b/>
                <w:bCs/>
                <w:color w:val="000000"/>
                <w:sz w:val="16"/>
                <w:szCs w:val="16"/>
              </w:rPr>
              <w:t xml:space="preserve">Výška </w:t>
            </w:r>
            <w:r w:rsidR="000F28F0">
              <w:rPr>
                <w:rFonts w:ascii="Arial" w:hAnsi="Arial" w:cs="Arial"/>
                <w:b/>
                <w:bCs/>
                <w:color w:val="000000"/>
                <w:sz w:val="16"/>
                <w:szCs w:val="16"/>
              </w:rPr>
              <w:t>čerpaných</w:t>
            </w:r>
            <w:r w:rsidR="000F28F0" w:rsidRPr="00E21C60">
              <w:rPr>
                <w:rFonts w:ascii="Arial" w:hAnsi="Arial" w:cs="Arial"/>
                <w:b/>
                <w:bCs/>
                <w:color w:val="000000"/>
                <w:sz w:val="16"/>
                <w:szCs w:val="16"/>
              </w:rPr>
              <w:t xml:space="preserve"> </w:t>
            </w:r>
            <w:r w:rsidRPr="00E21C60">
              <w:rPr>
                <w:rFonts w:ascii="Arial" w:hAnsi="Arial" w:cs="Arial"/>
                <w:b/>
                <w:bCs/>
                <w:color w:val="000000"/>
                <w:sz w:val="16"/>
                <w:szCs w:val="16"/>
              </w:rPr>
              <w:t>prostriedkov v € s príspevkom HP TUR (EU zdroje)</w:t>
            </w:r>
          </w:p>
        </w:tc>
        <w:tc>
          <w:tcPr>
            <w:tcW w:w="1480" w:type="dxa"/>
            <w:tcBorders>
              <w:top w:val="single" w:sz="4" w:space="0" w:color="auto"/>
              <w:left w:val="nil"/>
              <w:bottom w:val="single" w:sz="4" w:space="0" w:color="auto"/>
              <w:right w:val="single" w:sz="4" w:space="0" w:color="auto"/>
            </w:tcBorders>
            <w:shd w:val="clear" w:color="auto" w:fill="C2D69B" w:themeFill="accent3" w:themeFillTint="99"/>
            <w:vAlign w:val="center"/>
            <w:hideMark/>
          </w:tcPr>
          <w:p w14:paraId="108D55EC" w14:textId="0D376FF8" w:rsidR="00D11A56" w:rsidRPr="00E21C60" w:rsidRDefault="00D11A56" w:rsidP="000F28F0">
            <w:pPr>
              <w:keepNext/>
              <w:jc w:val="center"/>
              <w:rPr>
                <w:rFonts w:ascii="Arial" w:hAnsi="Arial" w:cs="Arial"/>
                <w:b/>
                <w:bCs/>
                <w:color w:val="000000"/>
                <w:sz w:val="16"/>
                <w:szCs w:val="16"/>
              </w:rPr>
            </w:pPr>
            <w:r w:rsidRPr="00E21C60">
              <w:rPr>
                <w:rFonts w:ascii="Arial" w:hAnsi="Arial" w:cs="Arial"/>
                <w:b/>
                <w:bCs/>
                <w:color w:val="000000"/>
                <w:sz w:val="16"/>
                <w:szCs w:val="16"/>
              </w:rPr>
              <w:t xml:space="preserve">% </w:t>
            </w:r>
            <w:r w:rsidR="000F28F0">
              <w:rPr>
                <w:rFonts w:ascii="Arial" w:hAnsi="Arial" w:cs="Arial"/>
                <w:b/>
                <w:bCs/>
                <w:color w:val="000000"/>
                <w:sz w:val="16"/>
                <w:szCs w:val="16"/>
              </w:rPr>
              <w:t>čerpania</w:t>
            </w:r>
            <w:r w:rsidR="000F28F0" w:rsidRPr="00E21C60">
              <w:rPr>
                <w:rFonts w:ascii="Arial" w:hAnsi="Arial" w:cs="Arial"/>
                <w:b/>
                <w:bCs/>
                <w:color w:val="000000"/>
                <w:sz w:val="16"/>
                <w:szCs w:val="16"/>
              </w:rPr>
              <w:t xml:space="preserve"> </w:t>
            </w:r>
            <w:r w:rsidRPr="00E21C60">
              <w:rPr>
                <w:rFonts w:ascii="Arial" w:hAnsi="Arial" w:cs="Arial"/>
                <w:b/>
                <w:bCs/>
                <w:color w:val="000000"/>
                <w:sz w:val="16"/>
                <w:szCs w:val="16"/>
              </w:rPr>
              <w:t xml:space="preserve">k HP TUR z celkového objemu </w:t>
            </w:r>
            <w:r w:rsidR="000F28F0">
              <w:rPr>
                <w:rFonts w:ascii="Arial" w:hAnsi="Arial" w:cs="Arial"/>
                <w:b/>
                <w:bCs/>
                <w:color w:val="000000"/>
                <w:sz w:val="16"/>
                <w:szCs w:val="16"/>
              </w:rPr>
              <w:t>čerpaných</w:t>
            </w:r>
            <w:r w:rsidR="000F28F0" w:rsidRPr="00E21C60">
              <w:rPr>
                <w:rFonts w:ascii="Arial" w:hAnsi="Arial" w:cs="Arial"/>
                <w:b/>
                <w:bCs/>
                <w:color w:val="000000"/>
                <w:sz w:val="16"/>
                <w:szCs w:val="16"/>
              </w:rPr>
              <w:t xml:space="preserve"> </w:t>
            </w:r>
            <w:r w:rsidRPr="00E21C60">
              <w:rPr>
                <w:rFonts w:ascii="Arial" w:hAnsi="Arial" w:cs="Arial"/>
                <w:b/>
                <w:bCs/>
                <w:color w:val="000000"/>
                <w:sz w:val="16"/>
                <w:szCs w:val="16"/>
              </w:rPr>
              <w:t>prostriedkov</w:t>
            </w:r>
          </w:p>
        </w:tc>
      </w:tr>
      <w:tr w:rsidR="00D11A56" w:rsidRPr="00E21C60" w14:paraId="1617B5E3" w14:textId="77777777" w:rsidTr="00D11A56">
        <w:trPr>
          <w:trHeight w:val="450"/>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61CF3C02" w14:textId="77777777" w:rsidR="00D11A56" w:rsidRPr="00E21C60" w:rsidRDefault="00D11A56" w:rsidP="008A1902">
            <w:pPr>
              <w:keepNext/>
              <w:jc w:val="center"/>
              <w:rPr>
                <w:rFonts w:ascii="Arial" w:hAnsi="Arial" w:cs="Arial"/>
                <w:color w:val="000000"/>
                <w:sz w:val="16"/>
                <w:szCs w:val="16"/>
              </w:rPr>
            </w:pPr>
            <w:r w:rsidRPr="00E21C60">
              <w:rPr>
                <w:rFonts w:ascii="Arial" w:hAnsi="Arial" w:cs="Arial"/>
                <w:color w:val="000000"/>
                <w:sz w:val="16"/>
                <w:szCs w:val="16"/>
              </w:rPr>
              <w:t>A</w:t>
            </w:r>
          </w:p>
        </w:tc>
        <w:tc>
          <w:tcPr>
            <w:tcW w:w="1480" w:type="dxa"/>
            <w:tcBorders>
              <w:top w:val="nil"/>
              <w:left w:val="nil"/>
              <w:bottom w:val="single" w:sz="4" w:space="0" w:color="auto"/>
              <w:right w:val="single" w:sz="4" w:space="0" w:color="auto"/>
            </w:tcBorders>
            <w:shd w:val="clear" w:color="000000" w:fill="EBF1DE"/>
            <w:vAlign w:val="center"/>
            <w:hideMark/>
          </w:tcPr>
          <w:p w14:paraId="663E0B97" w14:textId="77777777" w:rsidR="00D11A56" w:rsidRPr="00E21C60" w:rsidRDefault="00D11A56" w:rsidP="008A1902">
            <w:pPr>
              <w:keepNext/>
              <w:jc w:val="center"/>
              <w:rPr>
                <w:rFonts w:ascii="Arial" w:hAnsi="Arial" w:cs="Arial"/>
                <w:color w:val="000000"/>
                <w:sz w:val="16"/>
                <w:szCs w:val="16"/>
              </w:rPr>
            </w:pPr>
            <w:r w:rsidRPr="00E21C60">
              <w:rPr>
                <w:rFonts w:ascii="Arial" w:hAnsi="Arial" w:cs="Arial"/>
                <w:color w:val="000000"/>
                <w:sz w:val="16"/>
                <w:szCs w:val="16"/>
              </w:rPr>
              <w:t>B</w:t>
            </w:r>
          </w:p>
        </w:tc>
        <w:tc>
          <w:tcPr>
            <w:tcW w:w="1480" w:type="dxa"/>
            <w:tcBorders>
              <w:top w:val="nil"/>
              <w:left w:val="nil"/>
              <w:bottom w:val="single" w:sz="4" w:space="0" w:color="auto"/>
              <w:right w:val="single" w:sz="4" w:space="0" w:color="auto"/>
            </w:tcBorders>
            <w:shd w:val="clear" w:color="000000" w:fill="EBF1DE"/>
            <w:vAlign w:val="center"/>
            <w:hideMark/>
          </w:tcPr>
          <w:p w14:paraId="754F8B26" w14:textId="77777777" w:rsidR="00D11A56" w:rsidRPr="00E21C60" w:rsidRDefault="005E3A31" w:rsidP="008A1902">
            <w:pPr>
              <w:keepNext/>
              <w:jc w:val="center"/>
              <w:rPr>
                <w:rFonts w:ascii="Arial" w:hAnsi="Arial" w:cs="Arial"/>
                <w:color w:val="000000"/>
                <w:sz w:val="16"/>
                <w:szCs w:val="16"/>
              </w:rPr>
            </w:pPr>
            <w:r w:rsidRPr="00E21C60">
              <w:rPr>
                <w:rFonts w:ascii="Arial" w:hAnsi="Arial" w:cs="Arial"/>
                <w:color w:val="000000"/>
                <w:sz w:val="16"/>
                <w:szCs w:val="16"/>
              </w:rPr>
              <w:t>C</w:t>
            </w:r>
          </w:p>
        </w:tc>
        <w:tc>
          <w:tcPr>
            <w:tcW w:w="1480" w:type="dxa"/>
            <w:tcBorders>
              <w:top w:val="nil"/>
              <w:left w:val="nil"/>
              <w:bottom w:val="single" w:sz="4" w:space="0" w:color="auto"/>
              <w:right w:val="single" w:sz="4" w:space="0" w:color="auto"/>
            </w:tcBorders>
            <w:shd w:val="clear" w:color="000000" w:fill="EBF1DE"/>
            <w:vAlign w:val="center"/>
            <w:hideMark/>
          </w:tcPr>
          <w:p w14:paraId="079A3535" w14:textId="77777777" w:rsidR="00D11A56" w:rsidRPr="00E21C60" w:rsidRDefault="00D11A56" w:rsidP="008A1902">
            <w:pPr>
              <w:keepNext/>
              <w:jc w:val="center"/>
              <w:rPr>
                <w:rFonts w:ascii="Arial" w:hAnsi="Arial" w:cs="Arial"/>
                <w:color w:val="000000"/>
                <w:sz w:val="16"/>
                <w:szCs w:val="16"/>
              </w:rPr>
            </w:pPr>
            <w:r w:rsidRPr="00E21C60">
              <w:rPr>
                <w:rFonts w:ascii="Arial" w:hAnsi="Arial" w:cs="Arial"/>
                <w:color w:val="000000"/>
                <w:sz w:val="16"/>
                <w:szCs w:val="16"/>
              </w:rPr>
              <w:t>D</w:t>
            </w:r>
          </w:p>
        </w:tc>
        <w:tc>
          <w:tcPr>
            <w:tcW w:w="1480" w:type="dxa"/>
            <w:tcBorders>
              <w:top w:val="nil"/>
              <w:left w:val="nil"/>
              <w:bottom w:val="single" w:sz="4" w:space="0" w:color="auto"/>
              <w:right w:val="single" w:sz="4" w:space="0" w:color="auto"/>
            </w:tcBorders>
            <w:shd w:val="clear" w:color="000000" w:fill="EBF1DE"/>
            <w:vAlign w:val="center"/>
            <w:hideMark/>
          </w:tcPr>
          <w:p w14:paraId="41F7E43B" w14:textId="77777777" w:rsidR="00D11A56" w:rsidRPr="00E21C60" w:rsidRDefault="00D11A56" w:rsidP="008A1902">
            <w:pPr>
              <w:keepNext/>
              <w:jc w:val="center"/>
              <w:rPr>
                <w:rFonts w:ascii="Arial" w:hAnsi="Arial" w:cs="Arial"/>
                <w:color w:val="000000"/>
                <w:sz w:val="16"/>
                <w:szCs w:val="16"/>
              </w:rPr>
            </w:pPr>
            <w:r w:rsidRPr="00E21C60">
              <w:rPr>
                <w:rFonts w:ascii="Arial" w:hAnsi="Arial" w:cs="Arial"/>
                <w:color w:val="000000"/>
                <w:sz w:val="16"/>
                <w:szCs w:val="16"/>
              </w:rPr>
              <w:t>E</w:t>
            </w:r>
          </w:p>
        </w:tc>
        <w:tc>
          <w:tcPr>
            <w:tcW w:w="1480" w:type="dxa"/>
            <w:tcBorders>
              <w:top w:val="nil"/>
              <w:left w:val="nil"/>
              <w:bottom w:val="single" w:sz="4" w:space="0" w:color="auto"/>
              <w:right w:val="single" w:sz="4" w:space="0" w:color="auto"/>
            </w:tcBorders>
            <w:shd w:val="clear" w:color="000000" w:fill="EBF1DE"/>
            <w:vAlign w:val="center"/>
            <w:hideMark/>
          </w:tcPr>
          <w:p w14:paraId="5DFB8B31" w14:textId="77777777" w:rsidR="00D11A56" w:rsidRPr="00E21C60" w:rsidRDefault="00D11A56" w:rsidP="008A1902">
            <w:pPr>
              <w:keepNext/>
              <w:jc w:val="center"/>
              <w:rPr>
                <w:rFonts w:ascii="Arial" w:hAnsi="Arial" w:cs="Arial"/>
                <w:color w:val="000000"/>
                <w:sz w:val="16"/>
                <w:szCs w:val="16"/>
              </w:rPr>
            </w:pPr>
            <w:r w:rsidRPr="00E21C60">
              <w:rPr>
                <w:rFonts w:ascii="Arial" w:hAnsi="Arial" w:cs="Arial"/>
                <w:color w:val="000000"/>
                <w:sz w:val="16"/>
                <w:szCs w:val="16"/>
              </w:rPr>
              <w:t>F=E/C</w:t>
            </w:r>
          </w:p>
        </w:tc>
      </w:tr>
      <w:tr w:rsidR="00DA0F23" w:rsidRPr="00E21C60" w14:paraId="03F3F95F" w14:textId="77777777" w:rsidTr="00DA0F23">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6A98C33" w14:textId="77777777" w:rsidR="00DA0F23" w:rsidRPr="00E21C60" w:rsidRDefault="00DA0F23" w:rsidP="008A1902">
            <w:pPr>
              <w:keepNext/>
              <w:rPr>
                <w:rFonts w:ascii="Arial" w:hAnsi="Arial" w:cs="Arial"/>
                <w:color w:val="000000"/>
                <w:sz w:val="16"/>
                <w:szCs w:val="16"/>
              </w:rPr>
            </w:pPr>
            <w:r w:rsidRPr="00E21C60">
              <w:rPr>
                <w:rFonts w:ascii="Arial" w:hAnsi="Arial" w:cs="Arial"/>
                <w:color w:val="000000"/>
                <w:sz w:val="16"/>
                <w:szCs w:val="16"/>
              </w:rPr>
              <w:t>Bratislavský</w:t>
            </w:r>
          </w:p>
        </w:tc>
        <w:tc>
          <w:tcPr>
            <w:tcW w:w="1480" w:type="dxa"/>
            <w:tcBorders>
              <w:top w:val="nil"/>
              <w:left w:val="nil"/>
              <w:bottom w:val="single" w:sz="4" w:space="0" w:color="auto"/>
              <w:right w:val="single" w:sz="4" w:space="0" w:color="auto"/>
            </w:tcBorders>
            <w:shd w:val="clear" w:color="auto" w:fill="auto"/>
            <w:vAlign w:val="center"/>
            <w:hideMark/>
          </w:tcPr>
          <w:p w14:paraId="517445FC" w14:textId="04F20A27" w:rsidR="00DA0F23" w:rsidRPr="00CA084D" w:rsidRDefault="00DA0F23" w:rsidP="00DA0F23">
            <w:pPr>
              <w:keepNext/>
              <w:jc w:val="center"/>
              <w:rPr>
                <w:rFonts w:ascii="Arial" w:hAnsi="Arial" w:cs="Arial"/>
                <w:color w:val="000000"/>
                <w:sz w:val="16"/>
                <w:szCs w:val="16"/>
              </w:rPr>
            </w:pPr>
            <w:r w:rsidRPr="00DA0F23">
              <w:rPr>
                <w:rFonts w:ascii="Arial" w:hAnsi="Arial" w:cs="Arial"/>
                <w:color w:val="000000"/>
                <w:sz w:val="16"/>
                <w:szCs w:val="16"/>
              </w:rPr>
              <w:t>21</w:t>
            </w:r>
          </w:p>
        </w:tc>
        <w:tc>
          <w:tcPr>
            <w:tcW w:w="1480" w:type="dxa"/>
            <w:tcBorders>
              <w:top w:val="nil"/>
              <w:left w:val="nil"/>
              <w:bottom w:val="single" w:sz="4" w:space="0" w:color="auto"/>
              <w:right w:val="single" w:sz="4" w:space="0" w:color="auto"/>
            </w:tcBorders>
            <w:shd w:val="clear" w:color="auto" w:fill="auto"/>
            <w:vAlign w:val="center"/>
            <w:hideMark/>
          </w:tcPr>
          <w:p w14:paraId="74ADBCFE" w14:textId="34A464D9" w:rsidR="00DA0F23" w:rsidRPr="00CA084D" w:rsidRDefault="00DA0F23" w:rsidP="00DA0F23">
            <w:pPr>
              <w:keepNext/>
              <w:jc w:val="center"/>
              <w:rPr>
                <w:rFonts w:ascii="Arial" w:hAnsi="Arial" w:cs="Arial"/>
                <w:color w:val="000000"/>
                <w:sz w:val="16"/>
                <w:szCs w:val="16"/>
              </w:rPr>
            </w:pPr>
            <w:r w:rsidRPr="00DA0F23">
              <w:rPr>
                <w:rFonts w:ascii="Arial" w:hAnsi="Arial" w:cs="Arial"/>
                <w:color w:val="000000"/>
                <w:sz w:val="16"/>
                <w:szCs w:val="16"/>
              </w:rPr>
              <w:t>77 038 738</w:t>
            </w:r>
          </w:p>
        </w:tc>
        <w:tc>
          <w:tcPr>
            <w:tcW w:w="1480" w:type="dxa"/>
            <w:tcBorders>
              <w:top w:val="nil"/>
              <w:left w:val="nil"/>
              <w:bottom w:val="single" w:sz="4" w:space="0" w:color="auto"/>
              <w:right w:val="single" w:sz="4" w:space="0" w:color="auto"/>
            </w:tcBorders>
            <w:shd w:val="clear" w:color="auto" w:fill="auto"/>
            <w:vAlign w:val="center"/>
            <w:hideMark/>
          </w:tcPr>
          <w:p w14:paraId="4838646B" w14:textId="6EE0B060" w:rsidR="00DA0F23" w:rsidRPr="00CA084D" w:rsidRDefault="00DA0F23" w:rsidP="00DA0F23">
            <w:pPr>
              <w:keepNext/>
              <w:jc w:val="center"/>
              <w:rPr>
                <w:rFonts w:ascii="Arial" w:hAnsi="Arial" w:cs="Arial"/>
                <w:color w:val="000000"/>
                <w:sz w:val="16"/>
                <w:szCs w:val="16"/>
              </w:rPr>
            </w:pPr>
            <w:r w:rsidRPr="00DA0F23">
              <w:rPr>
                <w:rFonts w:ascii="Arial" w:hAnsi="Arial" w:cs="Arial"/>
                <w:color w:val="000000"/>
                <w:sz w:val="16"/>
                <w:szCs w:val="16"/>
              </w:rPr>
              <w:t>19</w:t>
            </w:r>
          </w:p>
        </w:tc>
        <w:tc>
          <w:tcPr>
            <w:tcW w:w="1480" w:type="dxa"/>
            <w:tcBorders>
              <w:top w:val="nil"/>
              <w:left w:val="nil"/>
              <w:bottom w:val="single" w:sz="4" w:space="0" w:color="auto"/>
              <w:right w:val="single" w:sz="4" w:space="0" w:color="auto"/>
            </w:tcBorders>
            <w:shd w:val="clear" w:color="auto" w:fill="auto"/>
            <w:vAlign w:val="center"/>
            <w:hideMark/>
          </w:tcPr>
          <w:p w14:paraId="3671385C" w14:textId="21BD9EBE" w:rsidR="00DA0F23" w:rsidRPr="00CA084D" w:rsidRDefault="00DA0F23" w:rsidP="00DA0F23">
            <w:pPr>
              <w:keepNext/>
              <w:jc w:val="center"/>
              <w:rPr>
                <w:rFonts w:ascii="Arial" w:hAnsi="Arial" w:cs="Arial"/>
                <w:color w:val="000000"/>
                <w:sz w:val="16"/>
                <w:szCs w:val="16"/>
              </w:rPr>
            </w:pPr>
            <w:r w:rsidRPr="00DA0F23">
              <w:rPr>
                <w:rFonts w:ascii="Arial" w:hAnsi="Arial" w:cs="Arial"/>
                <w:color w:val="000000"/>
                <w:sz w:val="16"/>
                <w:szCs w:val="16"/>
              </w:rPr>
              <w:t>66 768 48</w:t>
            </w:r>
            <w:r w:rsidR="000877B4">
              <w:rPr>
                <w:rFonts w:ascii="Arial" w:hAnsi="Arial" w:cs="Arial"/>
                <w:color w:val="000000"/>
                <w:sz w:val="16"/>
                <w:szCs w:val="16"/>
              </w:rPr>
              <w:t>3</w:t>
            </w:r>
          </w:p>
        </w:tc>
        <w:tc>
          <w:tcPr>
            <w:tcW w:w="1480" w:type="dxa"/>
            <w:tcBorders>
              <w:top w:val="nil"/>
              <w:left w:val="nil"/>
              <w:bottom w:val="single" w:sz="4" w:space="0" w:color="auto"/>
              <w:right w:val="single" w:sz="4" w:space="0" w:color="auto"/>
            </w:tcBorders>
            <w:shd w:val="clear" w:color="auto" w:fill="auto"/>
            <w:vAlign w:val="center"/>
            <w:hideMark/>
          </w:tcPr>
          <w:p w14:paraId="308BF2F2" w14:textId="6C3B5973" w:rsidR="00DA0F23" w:rsidRPr="00CA084D" w:rsidRDefault="00DA0F23" w:rsidP="00DA0F23">
            <w:pPr>
              <w:keepNext/>
              <w:jc w:val="center"/>
              <w:rPr>
                <w:rFonts w:ascii="Arial" w:hAnsi="Arial" w:cs="Arial"/>
                <w:color w:val="000000"/>
                <w:sz w:val="16"/>
                <w:szCs w:val="16"/>
              </w:rPr>
            </w:pPr>
            <w:r w:rsidRPr="00DA0F23">
              <w:rPr>
                <w:rFonts w:ascii="Arial" w:hAnsi="Arial" w:cs="Arial"/>
                <w:color w:val="000000"/>
                <w:sz w:val="16"/>
                <w:szCs w:val="16"/>
              </w:rPr>
              <w:t>86,67%</w:t>
            </w:r>
          </w:p>
        </w:tc>
      </w:tr>
      <w:tr w:rsidR="00DA0F23" w:rsidRPr="00E21C60" w14:paraId="7917C500" w14:textId="77777777" w:rsidTr="00DA0F23">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41B2619E" w14:textId="77777777" w:rsidR="00DA0F23" w:rsidRPr="00E21C60" w:rsidRDefault="00DA0F23">
            <w:pPr>
              <w:rPr>
                <w:rFonts w:ascii="Arial" w:hAnsi="Arial" w:cs="Arial"/>
                <w:color w:val="000000"/>
                <w:sz w:val="16"/>
                <w:szCs w:val="16"/>
              </w:rPr>
            </w:pPr>
            <w:r w:rsidRPr="00E21C60">
              <w:rPr>
                <w:rFonts w:ascii="Arial" w:hAnsi="Arial" w:cs="Arial"/>
                <w:color w:val="000000"/>
                <w:sz w:val="16"/>
                <w:szCs w:val="16"/>
              </w:rPr>
              <w:t>Trnavský</w:t>
            </w:r>
          </w:p>
        </w:tc>
        <w:tc>
          <w:tcPr>
            <w:tcW w:w="1480" w:type="dxa"/>
            <w:tcBorders>
              <w:top w:val="nil"/>
              <w:left w:val="nil"/>
              <w:bottom w:val="single" w:sz="4" w:space="0" w:color="auto"/>
              <w:right w:val="single" w:sz="4" w:space="0" w:color="auto"/>
            </w:tcBorders>
            <w:shd w:val="clear" w:color="auto" w:fill="auto"/>
            <w:vAlign w:val="center"/>
            <w:hideMark/>
          </w:tcPr>
          <w:p w14:paraId="7357B566" w14:textId="230A2CB2"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79</w:t>
            </w:r>
          </w:p>
        </w:tc>
        <w:tc>
          <w:tcPr>
            <w:tcW w:w="1480" w:type="dxa"/>
            <w:tcBorders>
              <w:top w:val="nil"/>
              <w:left w:val="nil"/>
              <w:bottom w:val="single" w:sz="4" w:space="0" w:color="auto"/>
              <w:right w:val="single" w:sz="4" w:space="0" w:color="auto"/>
            </w:tcBorders>
            <w:shd w:val="clear" w:color="auto" w:fill="auto"/>
            <w:vAlign w:val="center"/>
            <w:hideMark/>
          </w:tcPr>
          <w:p w14:paraId="06D70371" w14:textId="027FA490"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145 774 91</w:t>
            </w:r>
            <w:r w:rsidR="000877B4">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auto" w:fill="auto"/>
            <w:vAlign w:val="center"/>
            <w:hideMark/>
          </w:tcPr>
          <w:p w14:paraId="01ABC36C" w14:textId="705D8A62"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73</w:t>
            </w:r>
          </w:p>
        </w:tc>
        <w:tc>
          <w:tcPr>
            <w:tcW w:w="1480" w:type="dxa"/>
            <w:tcBorders>
              <w:top w:val="nil"/>
              <w:left w:val="nil"/>
              <w:bottom w:val="single" w:sz="4" w:space="0" w:color="auto"/>
              <w:right w:val="single" w:sz="4" w:space="0" w:color="auto"/>
            </w:tcBorders>
            <w:shd w:val="clear" w:color="auto" w:fill="auto"/>
            <w:vAlign w:val="center"/>
            <w:hideMark/>
          </w:tcPr>
          <w:p w14:paraId="3574B0A5" w14:textId="75D8CB00"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127 232 995</w:t>
            </w:r>
          </w:p>
        </w:tc>
        <w:tc>
          <w:tcPr>
            <w:tcW w:w="1480" w:type="dxa"/>
            <w:tcBorders>
              <w:top w:val="nil"/>
              <w:left w:val="nil"/>
              <w:bottom w:val="single" w:sz="4" w:space="0" w:color="auto"/>
              <w:right w:val="single" w:sz="4" w:space="0" w:color="auto"/>
            </w:tcBorders>
            <w:shd w:val="clear" w:color="auto" w:fill="auto"/>
            <w:vAlign w:val="center"/>
            <w:hideMark/>
          </w:tcPr>
          <w:p w14:paraId="58A97C70" w14:textId="590E6A75"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87,28%</w:t>
            </w:r>
          </w:p>
        </w:tc>
      </w:tr>
      <w:tr w:rsidR="00DA0F23" w:rsidRPr="00E21C60" w14:paraId="0800F2A2" w14:textId="77777777" w:rsidTr="00DA0F23">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1FED9BEB" w14:textId="77777777" w:rsidR="00DA0F23" w:rsidRPr="00E21C60" w:rsidRDefault="00DA0F23">
            <w:pPr>
              <w:rPr>
                <w:rFonts w:ascii="Arial" w:hAnsi="Arial" w:cs="Arial"/>
                <w:color w:val="000000"/>
                <w:sz w:val="16"/>
                <w:szCs w:val="16"/>
              </w:rPr>
            </w:pPr>
            <w:r w:rsidRPr="00E21C60">
              <w:rPr>
                <w:rFonts w:ascii="Arial" w:hAnsi="Arial" w:cs="Arial"/>
                <w:color w:val="000000"/>
                <w:sz w:val="16"/>
                <w:szCs w:val="16"/>
              </w:rPr>
              <w:t>Trenčiansky</w:t>
            </w:r>
          </w:p>
        </w:tc>
        <w:tc>
          <w:tcPr>
            <w:tcW w:w="1480" w:type="dxa"/>
            <w:tcBorders>
              <w:top w:val="nil"/>
              <w:left w:val="nil"/>
              <w:bottom w:val="single" w:sz="4" w:space="0" w:color="auto"/>
              <w:right w:val="single" w:sz="4" w:space="0" w:color="auto"/>
            </w:tcBorders>
            <w:shd w:val="clear" w:color="auto" w:fill="auto"/>
            <w:vAlign w:val="center"/>
            <w:hideMark/>
          </w:tcPr>
          <w:p w14:paraId="79835737" w14:textId="210315F5"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66</w:t>
            </w:r>
          </w:p>
        </w:tc>
        <w:tc>
          <w:tcPr>
            <w:tcW w:w="1480" w:type="dxa"/>
            <w:tcBorders>
              <w:top w:val="nil"/>
              <w:left w:val="nil"/>
              <w:bottom w:val="single" w:sz="4" w:space="0" w:color="auto"/>
              <w:right w:val="single" w:sz="4" w:space="0" w:color="auto"/>
            </w:tcBorders>
            <w:shd w:val="clear" w:color="auto" w:fill="auto"/>
            <w:vAlign w:val="center"/>
            <w:hideMark/>
          </w:tcPr>
          <w:p w14:paraId="3EB5D8CF" w14:textId="18F0C307"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150 591 80</w:t>
            </w:r>
            <w:r w:rsidR="000877B4">
              <w:rPr>
                <w:rFonts w:ascii="Arial" w:hAnsi="Arial" w:cs="Arial"/>
                <w:color w:val="000000"/>
                <w:sz w:val="16"/>
                <w:szCs w:val="16"/>
              </w:rPr>
              <w:t>7</w:t>
            </w:r>
          </w:p>
        </w:tc>
        <w:tc>
          <w:tcPr>
            <w:tcW w:w="1480" w:type="dxa"/>
            <w:tcBorders>
              <w:top w:val="nil"/>
              <w:left w:val="nil"/>
              <w:bottom w:val="single" w:sz="4" w:space="0" w:color="auto"/>
              <w:right w:val="single" w:sz="4" w:space="0" w:color="auto"/>
            </w:tcBorders>
            <w:shd w:val="clear" w:color="auto" w:fill="auto"/>
            <w:vAlign w:val="center"/>
            <w:hideMark/>
          </w:tcPr>
          <w:p w14:paraId="614B528A" w14:textId="3CEC028D"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61</w:t>
            </w:r>
          </w:p>
        </w:tc>
        <w:tc>
          <w:tcPr>
            <w:tcW w:w="1480" w:type="dxa"/>
            <w:tcBorders>
              <w:top w:val="nil"/>
              <w:left w:val="nil"/>
              <w:bottom w:val="single" w:sz="4" w:space="0" w:color="auto"/>
              <w:right w:val="single" w:sz="4" w:space="0" w:color="auto"/>
            </w:tcBorders>
            <w:shd w:val="clear" w:color="auto" w:fill="auto"/>
            <w:vAlign w:val="center"/>
            <w:hideMark/>
          </w:tcPr>
          <w:p w14:paraId="21AA7411" w14:textId="6776B00B"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131 768 076</w:t>
            </w:r>
          </w:p>
        </w:tc>
        <w:tc>
          <w:tcPr>
            <w:tcW w:w="1480" w:type="dxa"/>
            <w:tcBorders>
              <w:top w:val="nil"/>
              <w:left w:val="nil"/>
              <w:bottom w:val="single" w:sz="4" w:space="0" w:color="auto"/>
              <w:right w:val="single" w:sz="4" w:space="0" w:color="auto"/>
            </w:tcBorders>
            <w:shd w:val="clear" w:color="auto" w:fill="auto"/>
            <w:vAlign w:val="center"/>
            <w:hideMark/>
          </w:tcPr>
          <w:p w14:paraId="2333744A" w14:textId="0102C420"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87,50%</w:t>
            </w:r>
          </w:p>
        </w:tc>
      </w:tr>
      <w:tr w:rsidR="00DA0F23" w:rsidRPr="00E21C60" w14:paraId="6F5BEFD8" w14:textId="77777777" w:rsidTr="00DA0F23">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768E9B9" w14:textId="77777777" w:rsidR="00DA0F23" w:rsidRPr="00E21C60" w:rsidRDefault="00DA0F23">
            <w:pPr>
              <w:rPr>
                <w:rFonts w:ascii="Arial" w:hAnsi="Arial" w:cs="Arial"/>
                <w:color w:val="000000"/>
                <w:sz w:val="16"/>
                <w:szCs w:val="16"/>
              </w:rPr>
            </w:pPr>
            <w:r w:rsidRPr="00E21C60">
              <w:rPr>
                <w:rFonts w:ascii="Arial" w:hAnsi="Arial" w:cs="Arial"/>
                <w:color w:val="000000"/>
                <w:sz w:val="16"/>
                <w:szCs w:val="16"/>
              </w:rPr>
              <w:t>Nitriansky</w:t>
            </w:r>
          </w:p>
        </w:tc>
        <w:tc>
          <w:tcPr>
            <w:tcW w:w="1480" w:type="dxa"/>
            <w:tcBorders>
              <w:top w:val="nil"/>
              <w:left w:val="nil"/>
              <w:bottom w:val="single" w:sz="4" w:space="0" w:color="auto"/>
              <w:right w:val="single" w:sz="4" w:space="0" w:color="auto"/>
            </w:tcBorders>
            <w:shd w:val="clear" w:color="auto" w:fill="auto"/>
            <w:vAlign w:val="center"/>
            <w:hideMark/>
          </w:tcPr>
          <w:p w14:paraId="7EDB32DF" w14:textId="19B2EECE"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80</w:t>
            </w:r>
          </w:p>
        </w:tc>
        <w:tc>
          <w:tcPr>
            <w:tcW w:w="1480" w:type="dxa"/>
            <w:tcBorders>
              <w:top w:val="nil"/>
              <w:left w:val="nil"/>
              <w:bottom w:val="single" w:sz="4" w:space="0" w:color="auto"/>
              <w:right w:val="single" w:sz="4" w:space="0" w:color="auto"/>
            </w:tcBorders>
            <w:shd w:val="clear" w:color="auto" w:fill="auto"/>
            <w:vAlign w:val="center"/>
            <w:hideMark/>
          </w:tcPr>
          <w:p w14:paraId="3A3B9EF5" w14:textId="4F4C814B"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163 906 762</w:t>
            </w:r>
          </w:p>
        </w:tc>
        <w:tc>
          <w:tcPr>
            <w:tcW w:w="1480" w:type="dxa"/>
            <w:tcBorders>
              <w:top w:val="nil"/>
              <w:left w:val="nil"/>
              <w:bottom w:val="single" w:sz="4" w:space="0" w:color="auto"/>
              <w:right w:val="single" w:sz="4" w:space="0" w:color="auto"/>
            </w:tcBorders>
            <w:shd w:val="clear" w:color="auto" w:fill="auto"/>
            <w:vAlign w:val="center"/>
            <w:hideMark/>
          </w:tcPr>
          <w:p w14:paraId="1C4DDFEB" w14:textId="6D2B1FA1"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77</w:t>
            </w:r>
          </w:p>
        </w:tc>
        <w:tc>
          <w:tcPr>
            <w:tcW w:w="1480" w:type="dxa"/>
            <w:tcBorders>
              <w:top w:val="nil"/>
              <w:left w:val="nil"/>
              <w:bottom w:val="single" w:sz="4" w:space="0" w:color="auto"/>
              <w:right w:val="single" w:sz="4" w:space="0" w:color="auto"/>
            </w:tcBorders>
            <w:shd w:val="clear" w:color="auto" w:fill="auto"/>
            <w:vAlign w:val="center"/>
            <w:hideMark/>
          </w:tcPr>
          <w:p w14:paraId="7293F5B6" w14:textId="4508F848"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136 902 948</w:t>
            </w:r>
          </w:p>
        </w:tc>
        <w:tc>
          <w:tcPr>
            <w:tcW w:w="1480" w:type="dxa"/>
            <w:tcBorders>
              <w:top w:val="nil"/>
              <w:left w:val="nil"/>
              <w:bottom w:val="single" w:sz="4" w:space="0" w:color="auto"/>
              <w:right w:val="single" w:sz="4" w:space="0" w:color="auto"/>
            </w:tcBorders>
            <w:shd w:val="clear" w:color="auto" w:fill="auto"/>
            <w:vAlign w:val="center"/>
            <w:hideMark/>
          </w:tcPr>
          <w:p w14:paraId="314641ED" w14:textId="64371384"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83,52%</w:t>
            </w:r>
          </w:p>
        </w:tc>
      </w:tr>
      <w:tr w:rsidR="00DA0F23" w:rsidRPr="00E21C60" w14:paraId="72A86049" w14:textId="77777777" w:rsidTr="00DA0F23">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350D2E00" w14:textId="77777777" w:rsidR="00DA0F23" w:rsidRPr="00E21C60" w:rsidRDefault="00DA0F23">
            <w:pPr>
              <w:rPr>
                <w:rFonts w:ascii="Arial" w:hAnsi="Arial" w:cs="Arial"/>
                <w:color w:val="000000"/>
                <w:sz w:val="16"/>
                <w:szCs w:val="16"/>
              </w:rPr>
            </w:pPr>
            <w:r w:rsidRPr="00E21C60">
              <w:rPr>
                <w:rFonts w:ascii="Arial" w:hAnsi="Arial" w:cs="Arial"/>
                <w:color w:val="000000"/>
                <w:sz w:val="16"/>
                <w:szCs w:val="16"/>
              </w:rPr>
              <w:t>Žilinský</w:t>
            </w:r>
          </w:p>
        </w:tc>
        <w:tc>
          <w:tcPr>
            <w:tcW w:w="1480" w:type="dxa"/>
            <w:tcBorders>
              <w:top w:val="nil"/>
              <w:left w:val="nil"/>
              <w:bottom w:val="single" w:sz="4" w:space="0" w:color="auto"/>
              <w:right w:val="single" w:sz="4" w:space="0" w:color="auto"/>
            </w:tcBorders>
            <w:shd w:val="clear" w:color="auto" w:fill="auto"/>
            <w:vAlign w:val="center"/>
            <w:hideMark/>
          </w:tcPr>
          <w:p w14:paraId="55AA8BA4" w14:textId="5333854A"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118</w:t>
            </w:r>
          </w:p>
        </w:tc>
        <w:tc>
          <w:tcPr>
            <w:tcW w:w="1480" w:type="dxa"/>
            <w:tcBorders>
              <w:top w:val="nil"/>
              <w:left w:val="nil"/>
              <w:bottom w:val="single" w:sz="4" w:space="0" w:color="auto"/>
              <w:right w:val="single" w:sz="4" w:space="0" w:color="auto"/>
            </w:tcBorders>
            <w:shd w:val="clear" w:color="auto" w:fill="auto"/>
            <w:vAlign w:val="center"/>
            <w:hideMark/>
          </w:tcPr>
          <w:p w14:paraId="0ABC0406" w14:textId="0429BA6D"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252 086 907</w:t>
            </w:r>
          </w:p>
        </w:tc>
        <w:tc>
          <w:tcPr>
            <w:tcW w:w="1480" w:type="dxa"/>
            <w:tcBorders>
              <w:top w:val="nil"/>
              <w:left w:val="nil"/>
              <w:bottom w:val="single" w:sz="4" w:space="0" w:color="auto"/>
              <w:right w:val="single" w:sz="4" w:space="0" w:color="auto"/>
            </w:tcBorders>
            <w:shd w:val="clear" w:color="auto" w:fill="auto"/>
            <w:vAlign w:val="center"/>
            <w:hideMark/>
          </w:tcPr>
          <w:p w14:paraId="69F30DCE" w14:textId="2496CFB8"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110</w:t>
            </w:r>
          </w:p>
        </w:tc>
        <w:tc>
          <w:tcPr>
            <w:tcW w:w="1480" w:type="dxa"/>
            <w:tcBorders>
              <w:top w:val="nil"/>
              <w:left w:val="nil"/>
              <w:bottom w:val="single" w:sz="4" w:space="0" w:color="auto"/>
              <w:right w:val="single" w:sz="4" w:space="0" w:color="auto"/>
            </w:tcBorders>
            <w:shd w:val="clear" w:color="auto" w:fill="auto"/>
            <w:vAlign w:val="center"/>
            <w:hideMark/>
          </w:tcPr>
          <w:p w14:paraId="2C657772" w14:textId="4FE19A06"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203 848 71</w:t>
            </w:r>
            <w:r w:rsidR="000877B4">
              <w:rPr>
                <w:rFonts w:ascii="Arial" w:hAnsi="Arial" w:cs="Arial"/>
                <w:color w:val="000000"/>
                <w:sz w:val="16"/>
                <w:szCs w:val="16"/>
              </w:rPr>
              <w:t>1</w:t>
            </w:r>
          </w:p>
        </w:tc>
        <w:tc>
          <w:tcPr>
            <w:tcW w:w="1480" w:type="dxa"/>
            <w:tcBorders>
              <w:top w:val="nil"/>
              <w:left w:val="nil"/>
              <w:bottom w:val="single" w:sz="4" w:space="0" w:color="auto"/>
              <w:right w:val="single" w:sz="4" w:space="0" w:color="auto"/>
            </w:tcBorders>
            <w:shd w:val="clear" w:color="auto" w:fill="auto"/>
            <w:vAlign w:val="center"/>
            <w:hideMark/>
          </w:tcPr>
          <w:p w14:paraId="4BA42190" w14:textId="61F8B740"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80,86%</w:t>
            </w:r>
          </w:p>
        </w:tc>
      </w:tr>
      <w:tr w:rsidR="00DA0F23" w:rsidRPr="00E21C60" w14:paraId="401DBBB4" w14:textId="77777777" w:rsidTr="00DA0F23">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4082BB98" w14:textId="77777777" w:rsidR="00DA0F23" w:rsidRPr="00E21C60" w:rsidRDefault="00DA0F23">
            <w:pPr>
              <w:rPr>
                <w:rFonts w:ascii="Arial" w:hAnsi="Arial" w:cs="Arial"/>
                <w:color w:val="000000"/>
                <w:sz w:val="16"/>
                <w:szCs w:val="16"/>
              </w:rPr>
            </w:pPr>
            <w:r w:rsidRPr="00E21C60">
              <w:rPr>
                <w:rFonts w:ascii="Arial" w:hAnsi="Arial" w:cs="Arial"/>
                <w:color w:val="000000"/>
                <w:sz w:val="16"/>
                <w:szCs w:val="16"/>
              </w:rPr>
              <w:t>Banskobystrický</w:t>
            </w:r>
          </w:p>
        </w:tc>
        <w:tc>
          <w:tcPr>
            <w:tcW w:w="1480" w:type="dxa"/>
            <w:tcBorders>
              <w:top w:val="nil"/>
              <w:left w:val="nil"/>
              <w:bottom w:val="single" w:sz="4" w:space="0" w:color="auto"/>
              <w:right w:val="single" w:sz="4" w:space="0" w:color="auto"/>
            </w:tcBorders>
            <w:shd w:val="clear" w:color="auto" w:fill="auto"/>
            <w:vAlign w:val="center"/>
            <w:hideMark/>
          </w:tcPr>
          <w:p w14:paraId="72637F6C" w14:textId="60C6A1D2"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107</w:t>
            </w:r>
          </w:p>
        </w:tc>
        <w:tc>
          <w:tcPr>
            <w:tcW w:w="1480" w:type="dxa"/>
            <w:tcBorders>
              <w:top w:val="nil"/>
              <w:left w:val="nil"/>
              <w:bottom w:val="single" w:sz="4" w:space="0" w:color="auto"/>
              <w:right w:val="single" w:sz="4" w:space="0" w:color="auto"/>
            </w:tcBorders>
            <w:shd w:val="clear" w:color="auto" w:fill="auto"/>
            <w:vAlign w:val="center"/>
            <w:hideMark/>
          </w:tcPr>
          <w:p w14:paraId="6E1C3DD4" w14:textId="1CDEBB63"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207 105 559</w:t>
            </w:r>
          </w:p>
        </w:tc>
        <w:tc>
          <w:tcPr>
            <w:tcW w:w="1480" w:type="dxa"/>
            <w:tcBorders>
              <w:top w:val="nil"/>
              <w:left w:val="nil"/>
              <w:bottom w:val="single" w:sz="4" w:space="0" w:color="auto"/>
              <w:right w:val="single" w:sz="4" w:space="0" w:color="auto"/>
            </w:tcBorders>
            <w:shd w:val="clear" w:color="auto" w:fill="auto"/>
            <w:vAlign w:val="center"/>
            <w:hideMark/>
          </w:tcPr>
          <w:p w14:paraId="4C7CE7EC" w14:textId="61EF204B"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85</w:t>
            </w:r>
          </w:p>
        </w:tc>
        <w:tc>
          <w:tcPr>
            <w:tcW w:w="1480" w:type="dxa"/>
            <w:tcBorders>
              <w:top w:val="nil"/>
              <w:left w:val="nil"/>
              <w:bottom w:val="single" w:sz="4" w:space="0" w:color="auto"/>
              <w:right w:val="single" w:sz="4" w:space="0" w:color="auto"/>
            </w:tcBorders>
            <w:shd w:val="clear" w:color="auto" w:fill="auto"/>
            <w:vAlign w:val="center"/>
            <w:hideMark/>
          </w:tcPr>
          <w:p w14:paraId="6EDA36F4" w14:textId="27C78B53"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155 963 3</w:t>
            </w:r>
            <w:r w:rsidR="000877B4">
              <w:rPr>
                <w:rFonts w:ascii="Arial" w:hAnsi="Arial" w:cs="Arial"/>
                <w:color w:val="000000"/>
                <w:sz w:val="16"/>
                <w:szCs w:val="16"/>
              </w:rPr>
              <w:t>30</w:t>
            </w:r>
          </w:p>
        </w:tc>
        <w:tc>
          <w:tcPr>
            <w:tcW w:w="1480" w:type="dxa"/>
            <w:tcBorders>
              <w:top w:val="nil"/>
              <w:left w:val="nil"/>
              <w:bottom w:val="single" w:sz="4" w:space="0" w:color="auto"/>
              <w:right w:val="single" w:sz="4" w:space="0" w:color="auto"/>
            </w:tcBorders>
            <w:shd w:val="clear" w:color="auto" w:fill="auto"/>
            <w:vAlign w:val="center"/>
            <w:hideMark/>
          </w:tcPr>
          <w:p w14:paraId="447B0FE6" w14:textId="54297494"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75,31%</w:t>
            </w:r>
          </w:p>
        </w:tc>
      </w:tr>
      <w:tr w:rsidR="00DA0F23" w:rsidRPr="00E21C60" w14:paraId="16A88381" w14:textId="77777777" w:rsidTr="00DA0F23">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4FB6B75D" w14:textId="77777777" w:rsidR="00DA0F23" w:rsidRPr="00E21C60" w:rsidRDefault="00DA0F23">
            <w:pPr>
              <w:rPr>
                <w:rFonts w:ascii="Arial" w:hAnsi="Arial" w:cs="Arial"/>
                <w:color w:val="000000"/>
                <w:sz w:val="16"/>
                <w:szCs w:val="16"/>
              </w:rPr>
            </w:pPr>
            <w:r w:rsidRPr="00E21C60">
              <w:rPr>
                <w:rFonts w:ascii="Arial" w:hAnsi="Arial" w:cs="Arial"/>
                <w:color w:val="000000"/>
                <w:sz w:val="16"/>
                <w:szCs w:val="16"/>
              </w:rPr>
              <w:t>Prešovský</w:t>
            </w:r>
          </w:p>
        </w:tc>
        <w:tc>
          <w:tcPr>
            <w:tcW w:w="1480" w:type="dxa"/>
            <w:tcBorders>
              <w:top w:val="nil"/>
              <w:left w:val="nil"/>
              <w:bottom w:val="single" w:sz="4" w:space="0" w:color="auto"/>
              <w:right w:val="single" w:sz="4" w:space="0" w:color="auto"/>
            </w:tcBorders>
            <w:shd w:val="clear" w:color="auto" w:fill="auto"/>
            <w:vAlign w:val="center"/>
            <w:hideMark/>
          </w:tcPr>
          <w:p w14:paraId="2FA555DC" w14:textId="65EF4147"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150</w:t>
            </w:r>
          </w:p>
        </w:tc>
        <w:tc>
          <w:tcPr>
            <w:tcW w:w="1480" w:type="dxa"/>
            <w:tcBorders>
              <w:top w:val="nil"/>
              <w:left w:val="nil"/>
              <w:bottom w:val="single" w:sz="4" w:space="0" w:color="auto"/>
              <w:right w:val="single" w:sz="4" w:space="0" w:color="auto"/>
            </w:tcBorders>
            <w:shd w:val="clear" w:color="auto" w:fill="auto"/>
            <w:vAlign w:val="center"/>
            <w:hideMark/>
          </w:tcPr>
          <w:p w14:paraId="74DBA20D" w14:textId="2D38B822"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242 725 486</w:t>
            </w:r>
          </w:p>
        </w:tc>
        <w:tc>
          <w:tcPr>
            <w:tcW w:w="1480" w:type="dxa"/>
            <w:tcBorders>
              <w:top w:val="nil"/>
              <w:left w:val="nil"/>
              <w:bottom w:val="single" w:sz="4" w:space="0" w:color="auto"/>
              <w:right w:val="single" w:sz="4" w:space="0" w:color="auto"/>
            </w:tcBorders>
            <w:shd w:val="clear" w:color="auto" w:fill="auto"/>
            <w:vAlign w:val="center"/>
            <w:hideMark/>
          </w:tcPr>
          <w:p w14:paraId="28E4B15A" w14:textId="1CFBC17C"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148</w:t>
            </w:r>
          </w:p>
        </w:tc>
        <w:tc>
          <w:tcPr>
            <w:tcW w:w="1480" w:type="dxa"/>
            <w:tcBorders>
              <w:top w:val="nil"/>
              <w:left w:val="nil"/>
              <w:bottom w:val="single" w:sz="4" w:space="0" w:color="auto"/>
              <w:right w:val="single" w:sz="4" w:space="0" w:color="auto"/>
            </w:tcBorders>
            <w:shd w:val="clear" w:color="auto" w:fill="auto"/>
            <w:vAlign w:val="center"/>
            <w:hideMark/>
          </w:tcPr>
          <w:p w14:paraId="6874A16F" w14:textId="73FCC70A"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218 193 683</w:t>
            </w:r>
          </w:p>
        </w:tc>
        <w:tc>
          <w:tcPr>
            <w:tcW w:w="1480" w:type="dxa"/>
            <w:tcBorders>
              <w:top w:val="nil"/>
              <w:left w:val="nil"/>
              <w:bottom w:val="single" w:sz="4" w:space="0" w:color="auto"/>
              <w:right w:val="single" w:sz="4" w:space="0" w:color="auto"/>
            </w:tcBorders>
            <w:shd w:val="clear" w:color="auto" w:fill="auto"/>
            <w:vAlign w:val="center"/>
            <w:hideMark/>
          </w:tcPr>
          <w:p w14:paraId="5D621410" w14:textId="05279A7C"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89,89%</w:t>
            </w:r>
          </w:p>
        </w:tc>
      </w:tr>
      <w:tr w:rsidR="00DA0F23" w:rsidRPr="00E21C60" w14:paraId="32C42943" w14:textId="77777777" w:rsidTr="00DA0F23">
        <w:trPr>
          <w:trHeight w:val="2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59C9AF99" w14:textId="77777777" w:rsidR="00DA0F23" w:rsidRPr="00E21C60" w:rsidRDefault="00DA0F23">
            <w:pPr>
              <w:rPr>
                <w:rFonts w:ascii="Arial" w:hAnsi="Arial" w:cs="Arial"/>
                <w:color w:val="000000"/>
                <w:sz w:val="16"/>
                <w:szCs w:val="16"/>
              </w:rPr>
            </w:pPr>
            <w:r w:rsidRPr="00E21C60">
              <w:rPr>
                <w:rFonts w:ascii="Arial" w:hAnsi="Arial" w:cs="Arial"/>
                <w:color w:val="000000"/>
                <w:sz w:val="16"/>
                <w:szCs w:val="16"/>
              </w:rPr>
              <w:t>Košický</w:t>
            </w:r>
          </w:p>
        </w:tc>
        <w:tc>
          <w:tcPr>
            <w:tcW w:w="1480" w:type="dxa"/>
            <w:tcBorders>
              <w:top w:val="nil"/>
              <w:left w:val="nil"/>
              <w:bottom w:val="single" w:sz="4" w:space="0" w:color="auto"/>
              <w:right w:val="single" w:sz="4" w:space="0" w:color="auto"/>
            </w:tcBorders>
            <w:shd w:val="clear" w:color="auto" w:fill="auto"/>
            <w:vAlign w:val="center"/>
            <w:hideMark/>
          </w:tcPr>
          <w:p w14:paraId="29626237" w14:textId="471ACDD2"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90</w:t>
            </w:r>
          </w:p>
        </w:tc>
        <w:tc>
          <w:tcPr>
            <w:tcW w:w="1480" w:type="dxa"/>
            <w:tcBorders>
              <w:top w:val="nil"/>
              <w:left w:val="nil"/>
              <w:bottom w:val="single" w:sz="4" w:space="0" w:color="auto"/>
              <w:right w:val="single" w:sz="4" w:space="0" w:color="auto"/>
            </w:tcBorders>
            <w:shd w:val="clear" w:color="auto" w:fill="auto"/>
            <w:vAlign w:val="center"/>
            <w:hideMark/>
          </w:tcPr>
          <w:p w14:paraId="3E5EA575" w14:textId="436CD0E8"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213 142 826</w:t>
            </w:r>
          </w:p>
        </w:tc>
        <w:tc>
          <w:tcPr>
            <w:tcW w:w="1480" w:type="dxa"/>
            <w:tcBorders>
              <w:top w:val="nil"/>
              <w:left w:val="nil"/>
              <w:bottom w:val="single" w:sz="4" w:space="0" w:color="auto"/>
              <w:right w:val="single" w:sz="4" w:space="0" w:color="auto"/>
            </w:tcBorders>
            <w:shd w:val="clear" w:color="auto" w:fill="auto"/>
            <w:vAlign w:val="center"/>
            <w:hideMark/>
          </w:tcPr>
          <w:p w14:paraId="4FFE4C4D" w14:textId="01572898"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87</w:t>
            </w:r>
          </w:p>
        </w:tc>
        <w:tc>
          <w:tcPr>
            <w:tcW w:w="1480" w:type="dxa"/>
            <w:tcBorders>
              <w:top w:val="nil"/>
              <w:left w:val="nil"/>
              <w:bottom w:val="single" w:sz="4" w:space="0" w:color="auto"/>
              <w:right w:val="single" w:sz="4" w:space="0" w:color="auto"/>
            </w:tcBorders>
            <w:shd w:val="clear" w:color="auto" w:fill="auto"/>
            <w:vAlign w:val="center"/>
            <w:hideMark/>
          </w:tcPr>
          <w:p w14:paraId="69C1F4CC" w14:textId="40971AF0"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205 289 19</w:t>
            </w:r>
            <w:r w:rsidR="000877B4">
              <w:rPr>
                <w:rFonts w:ascii="Arial" w:hAnsi="Arial" w:cs="Arial"/>
                <w:color w:val="000000"/>
                <w:sz w:val="16"/>
                <w:szCs w:val="16"/>
              </w:rPr>
              <w:t>3</w:t>
            </w:r>
          </w:p>
        </w:tc>
        <w:tc>
          <w:tcPr>
            <w:tcW w:w="1480" w:type="dxa"/>
            <w:tcBorders>
              <w:top w:val="nil"/>
              <w:left w:val="nil"/>
              <w:bottom w:val="single" w:sz="4" w:space="0" w:color="auto"/>
              <w:right w:val="single" w:sz="4" w:space="0" w:color="auto"/>
            </w:tcBorders>
            <w:shd w:val="clear" w:color="auto" w:fill="auto"/>
            <w:vAlign w:val="center"/>
            <w:hideMark/>
          </w:tcPr>
          <w:p w14:paraId="50D9133F" w14:textId="3D551D73"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96,32%</w:t>
            </w:r>
          </w:p>
        </w:tc>
      </w:tr>
      <w:tr w:rsidR="00DA0F23" w:rsidRPr="00E21C60" w14:paraId="1475535C" w14:textId="77777777" w:rsidTr="00DA0F23">
        <w:trPr>
          <w:trHeight w:val="450"/>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2A6FACDC" w14:textId="77777777" w:rsidR="00DA0F23" w:rsidRPr="00E21C60" w:rsidRDefault="00DA0F23">
            <w:pPr>
              <w:rPr>
                <w:rFonts w:ascii="Arial" w:hAnsi="Arial" w:cs="Arial"/>
                <w:color w:val="000000"/>
                <w:sz w:val="16"/>
                <w:szCs w:val="16"/>
              </w:rPr>
            </w:pPr>
            <w:r w:rsidRPr="00E21C60">
              <w:rPr>
                <w:rFonts w:ascii="Arial" w:hAnsi="Arial" w:cs="Arial"/>
                <w:color w:val="000000"/>
                <w:sz w:val="16"/>
                <w:szCs w:val="16"/>
              </w:rPr>
              <w:t>Projekty nezaradené do NUTS III</w:t>
            </w:r>
          </w:p>
        </w:tc>
        <w:tc>
          <w:tcPr>
            <w:tcW w:w="1480" w:type="dxa"/>
            <w:tcBorders>
              <w:top w:val="nil"/>
              <w:left w:val="nil"/>
              <w:bottom w:val="single" w:sz="4" w:space="0" w:color="auto"/>
              <w:right w:val="single" w:sz="4" w:space="0" w:color="auto"/>
            </w:tcBorders>
            <w:shd w:val="clear" w:color="000000" w:fill="EBF1DE"/>
            <w:vAlign w:val="center"/>
            <w:hideMark/>
          </w:tcPr>
          <w:p w14:paraId="19472C45" w14:textId="0BF45604"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88</w:t>
            </w:r>
          </w:p>
        </w:tc>
        <w:tc>
          <w:tcPr>
            <w:tcW w:w="1480" w:type="dxa"/>
            <w:tcBorders>
              <w:top w:val="nil"/>
              <w:left w:val="nil"/>
              <w:bottom w:val="single" w:sz="4" w:space="0" w:color="auto"/>
              <w:right w:val="single" w:sz="4" w:space="0" w:color="auto"/>
            </w:tcBorders>
            <w:shd w:val="clear" w:color="000000" w:fill="EBF1DE"/>
            <w:vAlign w:val="center"/>
            <w:hideMark/>
          </w:tcPr>
          <w:p w14:paraId="5A7A1D52" w14:textId="7FF14E0A"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276 725 89</w:t>
            </w:r>
            <w:r w:rsidR="000877B4">
              <w:rPr>
                <w:rFonts w:ascii="Arial" w:hAnsi="Arial" w:cs="Arial"/>
                <w:color w:val="000000"/>
                <w:sz w:val="16"/>
                <w:szCs w:val="16"/>
              </w:rPr>
              <w:t>4</w:t>
            </w:r>
          </w:p>
        </w:tc>
        <w:tc>
          <w:tcPr>
            <w:tcW w:w="1480" w:type="dxa"/>
            <w:tcBorders>
              <w:top w:val="nil"/>
              <w:left w:val="nil"/>
              <w:bottom w:val="single" w:sz="4" w:space="0" w:color="auto"/>
              <w:right w:val="single" w:sz="4" w:space="0" w:color="auto"/>
            </w:tcBorders>
            <w:shd w:val="clear" w:color="000000" w:fill="EBF1DE"/>
            <w:vAlign w:val="center"/>
            <w:hideMark/>
          </w:tcPr>
          <w:p w14:paraId="19C3ACDB" w14:textId="0905988A"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38</w:t>
            </w:r>
          </w:p>
        </w:tc>
        <w:tc>
          <w:tcPr>
            <w:tcW w:w="1480" w:type="dxa"/>
            <w:tcBorders>
              <w:top w:val="nil"/>
              <w:left w:val="nil"/>
              <w:bottom w:val="single" w:sz="4" w:space="0" w:color="auto"/>
              <w:right w:val="single" w:sz="4" w:space="0" w:color="auto"/>
            </w:tcBorders>
            <w:shd w:val="clear" w:color="000000" w:fill="EBF1DE"/>
            <w:vAlign w:val="center"/>
            <w:hideMark/>
          </w:tcPr>
          <w:p w14:paraId="02CB0DC7" w14:textId="674BC234"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199 814 97</w:t>
            </w:r>
            <w:r w:rsidR="000877B4">
              <w:rPr>
                <w:rFonts w:ascii="Arial" w:hAnsi="Arial" w:cs="Arial"/>
                <w:color w:val="000000"/>
                <w:sz w:val="16"/>
                <w:szCs w:val="16"/>
              </w:rPr>
              <w:t>8</w:t>
            </w:r>
          </w:p>
        </w:tc>
        <w:tc>
          <w:tcPr>
            <w:tcW w:w="1480" w:type="dxa"/>
            <w:tcBorders>
              <w:top w:val="nil"/>
              <w:left w:val="nil"/>
              <w:bottom w:val="single" w:sz="4" w:space="0" w:color="auto"/>
              <w:right w:val="single" w:sz="4" w:space="0" w:color="auto"/>
            </w:tcBorders>
            <w:shd w:val="clear" w:color="000000" w:fill="EBF1DE"/>
            <w:vAlign w:val="center"/>
            <w:hideMark/>
          </w:tcPr>
          <w:p w14:paraId="42DC31F5" w14:textId="6BE4F58B"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72,21%</w:t>
            </w:r>
          </w:p>
        </w:tc>
      </w:tr>
      <w:tr w:rsidR="00DA0F23" w:rsidRPr="00E21C60" w14:paraId="5422B696" w14:textId="77777777" w:rsidTr="00DA0F23">
        <w:trPr>
          <w:trHeight w:val="255"/>
        </w:trPr>
        <w:tc>
          <w:tcPr>
            <w:tcW w:w="1660" w:type="dxa"/>
            <w:tcBorders>
              <w:top w:val="nil"/>
              <w:left w:val="single" w:sz="4" w:space="0" w:color="auto"/>
              <w:bottom w:val="single" w:sz="4" w:space="0" w:color="auto"/>
              <w:right w:val="single" w:sz="4" w:space="0" w:color="auto"/>
            </w:tcBorders>
            <w:shd w:val="clear" w:color="000000" w:fill="EBF1DE"/>
            <w:vAlign w:val="center"/>
            <w:hideMark/>
          </w:tcPr>
          <w:p w14:paraId="740BA23F" w14:textId="77777777" w:rsidR="00DA0F23" w:rsidRPr="00E21C60" w:rsidRDefault="00DA0F23">
            <w:pPr>
              <w:rPr>
                <w:rFonts w:ascii="Arial" w:hAnsi="Arial" w:cs="Arial"/>
                <w:b/>
                <w:bCs/>
                <w:color w:val="000000"/>
                <w:sz w:val="16"/>
                <w:szCs w:val="16"/>
              </w:rPr>
            </w:pPr>
            <w:r w:rsidRPr="00E21C60">
              <w:rPr>
                <w:rFonts w:ascii="Arial" w:hAnsi="Arial" w:cs="Arial"/>
                <w:b/>
                <w:bCs/>
                <w:color w:val="000000"/>
                <w:sz w:val="16"/>
                <w:szCs w:val="16"/>
              </w:rPr>
              <w:t>Spolu</w:t>
            </w:r>
          </w:p>
        </w:tc>
        <w:tc>
          <w:tcPr>
            <w:tcW w:w="1480" w:type="dxa"/>
            <w:tcBorders>
              <w:top w:val="nil"/>
              <w:left w:val="nil"/>
              <w:bottom w:val="single" w:sz="4" w:space="0" w:color="auto"/>
              <w:right w:val="single" w:sz="4" w:space="0" w:color="auto"/>
            </w:tcBorders>
            <w:shd w:val="clear" w:color="000000" w:fill="EBF1DE"/>
            <w:vAlign w:val="center"/>
            <w:hideMark/>
          </w:tcPr>
          <w:p w14:paraId="7D5C4311" w14:textId="047B3DC7"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799</w:t>
            </w:r>
          </w:p>
        </w:tc>
        <w:tc>
          <w:tcPr>
            <w:tcW w:w="1480" w:type="dxa"/>
            <w:tcBorders>
              <w:top w:val="nil"/>
              <w:left w:val="nil"/>
              <w:bottom w:val="single" w:sz="4" w:space="0" w:color="auto"/>
              <w:right w:val="single" w:sz="4" w:space="0" w:color="auto"/>
            </w:tcBorders>
            <w:shd w:val="clear" w:color="000000" w:fill="EBF1DE"/>
            <w:vAlign w:val="center"/>
            <w:hideMark/>
          </w:tcPr>
          <w:p w14:paraId="5785F0DD" w14:textId="6066265F"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1 729 098 89</w:t>
            </w:r>
            <w:r w:rsidR="000877B4">
              <w:rPr>
                <w:rFonts w:ascii="Arial" w:hAnsi="Arial" w:cs="Arial"/>
                <w:color w:val="000000"/>
                <w:sz w:val="16"/>
                <w:szCs w:val="16"/>
              </w:rPr>
              <w:t>2</w:t>
            </w:r>
          </w:p>
        </w:tc>
        <w:tc>
          <w:tcPr>
            <w:tcW w:w="1480" w:type="dxa"/>
            <w:tcBorders>
              <w:top w:val="nil"/>
              <w:left w:val="nil"/>
              <w:bottom w:val="single" w:sz="4" w:space="0" w:color="auto"/>
              <w:right w:val="single" w:sz="4" w:space="0" w:color="auto"/>
            </w:tcBorders>
            <w:shd w:val="clear" w:color="000000" w:fill="EBF1DE"/>
            <w:vAlign w:val="center"/>
            <w:hideMark/>
          </w:tcPr>
          <w:p w14:paraId="48763AB5" w14:textId="6D5294C3"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698</w:t>
            </w:r>
          </w:p>
        </w:tc>
        <w:tc>
          <w:tcPr>
            <w:tcW w:w="1480" w:type="dxa"/>
            <w:tcBorders>
              <w:top w:val="nil"/>
              <w:left w:val="nil"/>
              <w:bottom w:val="single" w:sz="4" w:space="0" w:color="auto"/>
              <w:right w:val="single" w:sz="4" w:space="0" w:color="auto"/>
            </w:tcBorders>
            <w:shd w:val="clear" w:color="000000" w:fill="EBF1DE"/>
            <w:vAlign w:val="center"/>
            <w:hideMark/>
          </w:tcPr>
          <w:p w14:paraId="7AB70539" w14:textId="49DAF06A"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1 445 782 39</w:t>
            </w:r>
            <w:r w:rsidR="000877B4">
              <w:rPr>
                <w:rFonts w:ascii="Arial" w:hAnsi="Arial" w:cs="Arial"/>
                <w:color w:val="000000"/>
                <w:sz w:val="16"/>
                <w:szCs w:val="16"/>
              </w:rPr>
              <w:t>7</w:t>
            </w:r>
          </w:p>
        </w:tc>
        <w:tc>
          <w:tcPr>
            <w:tcW w:w="1480" w:type="dxa"/>
            <w:tcBorders>
              <w:top w:val="nil"/>
              <w:left w:val="nil"/>
              <w:bottom w:val="single" w:sz="4" w:space="0" w:color="auto"/>
              <w:right w:val="single" w:sz="4" w:space="0" w:color="auto"/>
            </w:tcBorders>
            <w:shd w:val="clear" w:color="000000" w:fill="EBF1DE"/>
            <w:vAlign w:val="center"/>
            <w:hideMark/>
          </w:tcPr>
          <w:p w14:paraId="5A5042E2" w14:textId="39C5D0A8" w:rsidR="00DA0F23" w:rsidRPr="00CA084D" w:rsidRDefault="00DA0F23" w:rsidP="00DA0F23">
            <w:pPr>
              <w:jc w:val="center"/>
              <w:rPr>
                <w:rFonts w:ascii="Arial" w:hAnsi="Arial" w:cs="Arial"/>
                <w:color w:val="000000"/>
                <w:sz w:val="16"/>
                <w:szCs w:val="16"/>
              </w:rPr>
            </w:pPr>
            <w:r w:rsidRPr="00DA0F23">
              <w:rPr>
                <w:rFonts w:ascii="Arial" w:hAnsi="Arial" w:cs="Arial"/>
                <w:color w:val="000000"/>
                <w:sz w:val="16"/>
                <w:szCs w:val="16"/>
              </w:rPr>
              <w:t>83,61%</w:t>
            </w:r>
          </w:p>
        </w:tc>
      </w:tr>
    </w:tbl>
    <w:p w14:paraId="2F4DD552" w14:textId="4163E783" w:rsidR="008777B8" w:rsidRPr="00E21C60" w:rsidRDefault="00000CC9" w:rsidP="00AB3787">
      <w:pPr>
        <w:jc w:val="both"/>
        <w:rPr>
          <w:rFonts w:ascii="Arial" w:hAnsi="Arial" w:cs="Arial"/>
          <w:sz w:val="16"/>
          <w:szCs w:val="16"/>
        </w:rPr>
      </w:pPr>
      <w:r w:rsidRPr="00123376">
        <w:rPr>
          <w:rFonts w:ascii="Arial" w:hAnsi="Arial" w:cs="Arial"/>
          <w:sz w:val="16"/>
          <w:szCs w:val="16"/>
          <w:lang w:eastAsia="cs-CZ"/>
        </w:rPr>
        <w:t>Zdroj: RO, ITMS</w:t>
      </w:r>
    </w:p>
    <w:p w14:paraId="48D5454D" w14:textId="77777777" w:rsidR="00CA084D" w:rsidRPr="00123376" w:rsidRDefault="00CA084D" w:rsidP="00CA084D">
      <w:pPr>
        <w:spacing w:before="120" w:after="120"/>
        <w:jc w:val="both"/>
        <w:rPr>
          <w:rFonts w:ascii="Arial" w:hAnsi="Arial" w:cs="Arial"/>
          <w:sz w:val="20"/>
          <w:szCs w:val="20"/>
        </w:rPr>
      </w:pPr>
      <w:r w:rsidRPr="006E5D4B">
        <w:rPr>
          <w:rFonts w:ascii="Arial" w:hAnsi="Arial" w:cs="Arial"/>
          <w:sz w:val="20"/>
          <w:szCs w:val="20"/>
          <w:lang w:eastAsia="cs-CZ"/>
        </w:rPr>
        <w:t xml:space="preserve">Vyššie uvedená tabuľka </w:t>
      </w:r>
      <w:r>
        <w:rPr>
          <w:rFonts w:ascii="Arial" w:hAnsi="Arial" w:cs="Arial"/>
          <w:sz w:val="20"/>
          <w:szCs w:val="20"/>
          <w:lang w:eastAsia="cs-CZ"/>
        </w:rPr>
        <w:t xml:space="preserve">informuje </w:t>
      </w:r>
      <w:r w:rsidRPr="006E5D4B">
        <w:rPr>
          <w:rFonts w:ascii="Arial" w:hAnsi="Arial" w:cs="Arial"/>
          <w:sz w:val="20"/>
          <w:szCs w:val="20"/>
          <w:lang w:eastAsia="cs-CZ"/>
        </w:rPr>
        <w:t xml:space="preserve">o príspevku zazmluvnených projektov k HP TUR v rámci jednotlivých krajov. </w:t>
      </w:r>
      <w:r w:rsidRPr="006E5D4B">
        <w:rPr>
          <w:rFonts w:ascii="Arial" w:hAnsi="Arial" w:cs="Arial"/>
          <w:sz w:val="20"/>
          <w:szCs w:val="20"/>
        </w:rPr>
        <w:t>Najviac projektov s deklarovaným príspevkom k HP TUR sa v rámci OP ŽP realizovalo v Prešovskom (</w:t>
      </w:r>
      <w:r>
        <w:rPr>
          <w:rFonts w:ascii="Arial" w:hAnsi="Arial" w:cs="Arial"/>
          <w:sz w:val="20"/>
          <w:szCs w:val="20"/>
        </w:rPr>
        <w:t>148</w:t>
      </w:r>
      <w:r w:rsidRPr="006E5D4B">
        <w:rPr>
          <w:rFonts w:ascii="Arial" w:hAnsi="Arial" w:cs="Arial"/>
          <w:sz w:val="20"/>
          <w:szCs w:val="20"/>
        </w:rPr>
        <w:t>) a Žilinskom kraji (</w:t>
      </w:r>
      <w:r>
        <w:rPr>
          <w:rFonts w:ascii="Arial" w:hAnsi="Arial" w:cs="Arial"/>
          <w:sz w:val="20"/>
          <w:szCs w:val="20"/>
        </w:rPr>
        <w:t>110</w:t>
      </w:r>
      <w:r w:rsidRPr="006E5D4B">
        <w:rPr>
          <w:rFonts w:ascii="Arial" w:hAnsi="Arial" w:cs="Arial"/>
          <w:sz w:val="20"/>
          <w:szCs w:val="20"/>
        </w:rPr>
        <w:t xml:space="preserve">). </w:t>
      </w:r>
      <w:r>
        <w:rPr>
          <w:rFonts w:ascii="Arial" w:hAnsi="Arial" w:cs="Arial"/>
          <w:sz w:val="20"/>
          <w:szCs w:val="20"/>
        </w:rPr>
        <w:t>Vyšší počet projektov v týchto regiónoch s</w:t>
      </w:r>
      <w:r w:rsidRPr="006E5D4B">
        <w:rPr>
          <w:rFonts w:ascii="Arial" w:hAnsi="Arial" w:cs="Arial"/>
          <w:sz w:val="20"/>
          <w:szCs w:val="20"/>
        </w:rPr>
        <w:t>úvis</w:t>
      </w:r>
      <w:r>
        <w:rPr>
          <w:rFonts w:ascii="Arial" w:hAnsi="Arial" w:cs="Arial"/>
          <w:sz w:val="20"/>
          <w:szCs w:val="20"/>
        </w:rPr>
        <w:t>el</w:t>
      </w:r>
      <w:r w:rsidRPr="006E5D4B">
        <w:rPr>
          <w:rFonts w:ascii="Arial" w:hAnsi="Arial" w:cs="Arial"/>
          <w:sz w:val="20"/>
          <w:szCs w:val="20"/>
        </w:rPr>
        <w:t xml:space="preserve"> s</w:t>
      </w:r>
      <w:r>
        <w:rPr>
          <w:rFonts w:ascii="Arial" w:hAnsi="Arial" w:cs="Arial"/>
          <w:sz w:val="20"/>
          <w:szCs w:val="20"/>
        </w:rPr>
        <w:t> c</w:t>
      </w:r>
      <w:r w:rsidRPr="006E5D4B">
        <w:rPr>
          <w:rFonts w:ascii="Arial" w:hAnsi="Arial" w:cs="Arial"/>
          <w:sz w:val="20"/>
          <w:szCs w:val="20"/>
        </w:rPr>
        <w:t>elkovým</w:t>
      </w:r>
      <w:r>
        <w:rPr>
          <w:rFonts w:ascii="Arial" w:hAnsi="Arial" w:cs="Arial"/>
          <w:sz w:val="20"/>
          <w:szCs w:val="20"/>
        </w:rPr>
        <w:t xml:space="preserve"> </w:t>
      </w:r>
      <w:r w:rsidRPr="006E5D4B">
        <w:rPr>
          <w:rFonts w:ascii="Arial" w:hAnsi="Arial" w:cs="Arial"/>
          <w:sz w:val="20"/>
          <w:szCs w:val="20"/>
        </w:rPr>
        <w:t>a</w:t>
      </w:r>
      <w:r>
        <w:rPr>
          <w:rFonts w:ascii="Arial" w:hAnsi="Arial" w:cs="Arial"/>
          <w:sz w:val="20"/>
          <w:szCs w:val="20"/>
        </w:rPr>
        <w:t> </w:t>
      </w:r>
      <w:r w:rsidRPr="006E5D4B">
        <w:rPr>
          <w:rFonts w:ascii="Arial" w:hAnsi="Arial" w:cs="Arial"/>
          <w:sz w:val="20"/>
          <w:szCs w:val="20"/>
        </w:rPr>
        <w:t>dlhodobým</w:t>
      </w:r>
      <w:r>
        <w:rPr>
          <w:rFonts w:ascii="Arial" w:hAnsi="Arial" w:cs="Arial"/>
          <w:sz w:val="20"/>
          <w:szCs w:val="20"/>
        </w:rPr>
        <w:t xml:space="preserve"> </w:t>
      </w:r>
      <w:r w:rsidRPr="006E5D4B">
        <w:rPr>
          <w:rFonts w:ascii="Arial" w:hAnsi="Arial" w:cs="Arial"/>
          <w:sz w:val="20"/>
          <w:szCs w:val="20"/>
        </w:rPr>
        <w:t xml:space="preserve">stavom </w:t>
      </w:r>
      <w:r>
        <w:rPr>
          <w:rFonts w:ascii="Arial" w:hAnsi="Arial" w:cs="Arial"/>
          <w:sz w:val="20"/>
          <w:szCs w:val="20"/>
        </w:rPr>
        <w:t xml:space="preserve">ich </w:t>
      </w:r>
      <w:r w:rsidRPr="006E5D4B">
        <w:rPr>
          <w:rFonts w:ascii="Arial" w:hAnsi="Arial" w:cs="Arial"/>
          <w:sz w:val="20"/>
          <w:szCs w:val="20"/>
        </w:rPr>
        <w:t>environmentálnej infraštruktúry a</w:t>
      </w:r>
      <w:r>
        <w:rPr>
          <w:rFonts w:ascii="Arial" w:hAnsi="Arial" w:cs="Arial"/>
          <w:sz w:val="20"/>
          <w:szCs w:val="20"/>
        </w:rPr>
        <w:t xml:space="preserve"> teda </w:t>
      </w:r>
      <w:r w:rsidRPr="006E5D4B">
        <w:rPr>
          <w:rFonts w:ascii="Arial" w:hAnsi="Arial" w:cs="Arial"/>
          <w:sz w:val="20"/>
          <w:szCs w:val="20"/>
        </w:rPr>
        <w:t>s</w:t>
      </w:r>
      <w:r>
        <w:rPr>
          <w:rFonts w:ascii="Arial" w:hAnsi="Arial" w:cs="Arial"/>
          <w:sz w:val="20"/>
          <w:szCs w:val="20"/>
        </w:rPr>
        <w:t>o súvisiacou</w:t>
      </w:r>
      <w:r w:rsidRPr="006E5D4B">
        <w:rPr>
          <w:rFonts w:ascii="Arial" w:hAnsi="Arial" w:cs="Arial"/>
          <w:sz w:val="20"/>
          <w:szCs w:val="20"/>
        </w:rPr>
        <w:t> potrebou investícií do opatrení implementovaných v rámci jednotlivých prioritných osí.</w:t>
      </w:r>
    </w:p>
    <w:p w14:paraId="2FD3B455" w14:textId="4863F749" w:rsidR="001362DC" w:rsidRPr="006E5D4B" w:rsidRDefault="001362DC" w:rsidP="00123376">
      <w:pPr>
        <w:spacing w:before="120" w:after="120"/>
        <w:jc w:val="both"/>
        <w:rPr>
          <w:rFonts w:ascii="Arial" w:hAnsi="Arial" w:cs="Arial"/>
          <w:sz w:val="20"/>
          <w:szCs w:val="20"/>
          <w:lang w:eastAsia="cs-CZ"/>
        </w:rPr>
      </w:pPr>
      <w:r w:rsidRPr="006E5D4B">
        <w:rPr>
          <w:rFonts w:ascii="Arial" w:hAnsi="Arial" w:cs="Arial"/>
          <w:sz w:val="20"/>
          <w:szCs w:val="20"/>
          <w:lang w:eastAsia="cs-CZ"/>
        </w:rPr>
        <w:t xml:space="preserve">Na úrovni jednotlivých prioritných osí OP ŽP sa </w:t>
      </w:r>
      <w:r w:rsidR="00302C24" w:rsidRPr="006E5D4B">
        <w:rPr>
          <w:rFonts w:ascii="Arial" w:hAnsi="Arial" w:cs="Arial"/>
          <w:sz w:val="20"/>
          <w:szCs w:val="20"/>
          <w:lang w:eastAsia="cs-CZ"/>
        </w:rPr>
        <w:t>TUR</w:t>
      </w:r>
      <w:r w:rsidRPr="006E5D4B">
        <w:rPr>
          <w:rFonts w:ascii="Arial" w:hAnsi="Arial" w:cs="Arial"/>
          <w:sz w:val="20"/>
          <w:szCs w:val="20"/>
          <w:lang w:eastAsia="cs-CZ"/>
        </w:rPr>
        <w:t xml:space="preserve"> ako horizontálna priorita premieta do ich cieľov, ako aj očakávaných dopadov realizácie aktivít, podporovaných v ich rámci. Všetky prioritné osi boli identifikované ako relevantné, t.j. prínosné pre napĺňanie cieľov HP TUR. Čo sa týka ukazovateľov HP TUR, jednotlivé </w:t>
      </w:r>
      <w:r w:rsidR="00302C24" w:rsidRPr="006E5D4B">
        <w:rPr>
          <w:rFonts w:ascii="Arial" w:hAnsi="Arial" w:cs="Arial"/>
          <w:bCs/>
          <w:sz w:val="20"/>
          <w:szCs w:val="20"/>
          <w:lang w:eastAsia="cs-CZ"/>
        </w:rPr>
        <w:t>RO</w:t>
      </w:r>
      <w:r w:rsidRPr="006E5D4B">
        <w:rPr>
          <w:rFonts w:ascii="Arial" w:hAnsi="Arial" w:cs="Arial"/>
          <w:bCs/>
          <w:sz w:val="20"/>
          <w:szCs w:val="20"/>
          <w:lang w:eastAsia="cs-CZ"/>
        </w:rPr>
        <w:t xml:space="preserve"> </w:t>
      </w:r>
      <w:r w:rsidR="00FE11FC" w:rsidRPr="006E5D4B">
        <w:rPr>
          <w:rFonts w:ascii="Arial" w:hAnsi="Arial" w:cs="Arial"/>
          <w:bCs/>
          <w:sz w:val="20"/>
          <w:szCs w:val="20"/>
          <w:lang w:eastAsia="cs-CZ"/>
        </w:rPr>
        <w:t>m</w:t>
      </w:r>
      <w:r w:rsidR="00FE11FC">
        <w:rPr>
          <w:rFonts w:ascii="Arial" w:hAnsi="Arial" w:cs="Arial"/>
          <w:bCs/>
          <w:sz w:val="20"/>
          <w:szCs w:val="20"/>
          <w:lang w:eastAsia="cs-CZ"/>
        </w:rPr>
        <w:t>ohli</w:t>
      </w:r>
      <w:r w:rsidR="00FE11FC" w:rsidRPr="006E5D4B">
        <w:rPr>
          <w:rFonts w:ascii="Arial" w:hAnsi="Arial" w:cs="Arial"/>
          <w:bCs/>
          <w:sz w:val="20"/>
          <w:szCs w:val="20"/>
          <w:lang w:eastAsia="cs-CZ"/>
        </w:rPr>
        <w:t xml:space="preserve"> </w:t>
      </w:r>
      <w:r w:rsidRPr="006E5D4B">
        <w:rPr>
          <w:rFonts w:ascii="Arial" w:hAnsi="Arial" w:cs="Arial"/>
          <w:sz w:val="20"/>
          <w:szCs w:val="20"/>
          <w:lang w:eastAsia="cs-CZ"/>
        </w:rPr>
        <w:t xml:space="preserve">v súlade so schváleným </w:t>
      </w:r>
      <w:r w:rsidRPr="006E5D4B">
        <w:rPr>
          <w:rFonts w:ascii="Arial" w:hAnsi="Arial" w:cs="Arial"/>
          <w:bCs/>
          <w:sz w:val="20"/>
          <w:szCs w:val="20"/>
          <w:lang w:eastAsia="cs-CZ"/>
        </w:rPr>
        <w:t>Systémom koordinácie a implementácie HP TUR okrem ukazovateľov HP TUR uvedených v prílohe č. 2 zároveň sledovať ako relevantné pre HP TUR na úrovni príslušného operačného programu aj ďalšie ukazovatele, ktoré si dohod</w:t>
      </w:r>
      <w:r w:rsidR="00FE11FC">
        <w:rPr>
          <w:rFonts w:ascii="Arial" w:hAnsi="Arial" w:cs="Arial"/>
          <w:bCs/>
          <w:sz w:val="20"/>
          <w:szCs w:val="20"/>
          <w:lang w:eastAsia="cs-CZ"/>
        </w:rPr>
        <w:t>li</w:t>
      </w:r>
      <w:r w:rsidRPr="006E5D4B">
        <w:rPr>
          <w:rFonts w:ascii="Arial" w:hAnsi="Arial" w:cs="Arial"/>
          <w:bCs/>
          <w:sz w:val="20"/>
          <w:szCs w:val="20"/>
          <w:lang w:eastAsia="cs-CZ"/>
        </w:rPr>
        <w:t xml:space="preserve"> s</w:t>
      </w:r>
      <w:r w:rsidR="002F27E5" w:rsidRPr="006E5D4B">
        <w:rPr>
          <w:rFonts w:ascii="Arial" w:hAnsi="Arial" w:cs="Arial"/>
          <w:bCs/>
          <w:sz w:val="20"/>
          <w:szCs w:val="20"/>
          <w:lang w:eastAsia="cs-CZ"/>
        </w:rPr>
        <w:t> </w:t>
      </w:r>
      <w:r w:rsidRPr="006E5D4B">
        <w:rPr>
          <w:rFonts w:ascii="Arial" w:hAnsi="Arial" w:cs="Arial"/>
          <w:bCs/>
          <w:sz w:val="20"/>
          <w:szCs w:val="20"/>
          <w:lang w:eastAsia="cs-CZ"/>
        </w:rPr>
        <w:t xml:space="preserve">koordinátorom HP TUR. </w:t>
      </w:r>
      <w:r w:rsidRPr="006E5D4B">
        <w:rPr>
          <w:rFonts w:ascii="Arial" w:hAnsi="Arial" w:cs="Arial"/>
          <w:sz w:val="20"/>
          <w:szCs w:val="20"/>
          <w:lang w:eastAsia="cs-CZ"/>
        </w:rPr>
        <w:t>Keďže prevažná časť aktivít podporovaných v rámci OP ŽP priamo prispieva</w:t>
      </w:r>
      <w:r w:rsidR="00FE11FC">
        <w:rPr>
          <w:rFonts w:ascii="Arial" w:hAnsi="Arial" w:cs="Arial"/>
          <w:sz w:val="20"/>
          <w:szCs w:val="20"/>
          <w:lang w:eastAsia="cs-CZ"/>
        </w:rPr>
        <w:t>la</w:t>
      </w:r>
      <w:r w:rsidRPr="006E5D4B">
        <w:rPr>
          <w:rFonts w:ascii="Arial" w:hAnsi="Arial" w:cs="Arial"/>
          <w:sz w:val="20"/>
          <w:szCs w:val="20"/>
          <w:lang w:eastAsia="cs-CZ"/>
        </w:rPr>
        <w:t xml:space="preserve"> k podpore TUR, </w:t>
      </w:r>
      <w:r w:rsidR="00302C24" w:rsidRPr="006E5D4B">
        <w:rPr>
          <w:rFonts w:ascii="Arial" w:hAnsi="Arial" w:cs="Arial"/>
          <w:sz w:val="20"/>
          <w:szCs w:val="20"/>
          <w:lang w:eastAsia="cs-CZ"/>
        </w:rPr>
        <w:t>RO</w:t>
      </w:r>
      <w:r w:rsidRPr="006E5D4B">
        <w:rPr>
          <w:rFonts w:ascii="Arial" w:hAnsi="Arial" w:cs="Arial"/>
          <w:sz w:val="20"/>
          <w:szCs w:val="20"/>
          <w:lang w:eastAsia="cs-CZ"/>
        </w:rPr>
        <w:t xml:space="preserve"> pre OP ŽP pri sledovaní príspevku OP ŽP k napĺňaniu cieľov HP TUR využíva</w:t>
      </w:r>
      <w:r w:rsidR="00FE11FC">
        <w:rPr>
          <w:rFonts w:ascii="Arial" w:hAnsi="Arial" w:cs="Arial"/>
          <w:sz w:val="20"/>
          <w:szCs w:val="20"/>
          <w:lang w:eastAsia="cs-CZ"/>
        </w:rPr>
        <w:t>lo</w:t>
      </w:r>
      <w:r w:rsidRPr="006E5D4B">
        <w:rPr>
          <w:rFonts w:ascii="Arial" w:hAnsi="Arial" w:cs="Arial"/>
          <w:sz w:val="20"/>
          <w:szCs w:val="20"/>
          <w:lang w:eastAsia="cs-CZ"/>
        </w:rPr>
        <w:t xml:space="preserve"> aj ďalšie ukazovatele, ktoré </w:t>
      </w:r>
      <w:r w:rsidR="00FE11FC">
        <w:rPr>
          <w:rFonts w:ascii="Arial" w:hAnsi="Arial" w:cs="Arial"/>
          <w:sz w:val="20"/>
          <w:szCs w:val="20"/>
          <w:lang w:eastAsia="cs-CZ"/>
        </w:rPr>
        <w:t>boli</w:t>
      </w:r>
      <w:r w:rsidRPr="006E5D4B">
        <w:rPr>
          <w:rFonts w:ascii="Arial" w:hAnsi="Arial" w:cs="Arial"/>
          <w:sz w:val="20"/>
          <w:szCs w:val="20"/>
          <w:lang w:eastAsia="cs-CZ"/>
        </w:rPr>
        <w:t xml:space="preserve"> súčasťou súboru projektových ukazovateľov stanovených v rámci OP ŽP. Súbor projektových ukazovateľov HP TUR v rámci OP ŽP bol vzájomne dohodnutý medzi </w:t>
      </w:r>
      <w:r w:rsidR="00302C24" w:rsidRPr="006E5D4B">
        <w:rPr>
          <w:rFonts w:ascii="Arial" w:hAnsi="Arial" w:cs="Arial"/>
          <w:sz w:val="20"/>
          <w:szCs w:val="20"/>
          <w:lang w:eastAsia="cs-CZ"/>
        </w:rPr>
        <w:t>RO</w:t>
      </w:r>
      <w:r w:rsidRPr="006E5D4B">
        <w:rPr>
          <w:rFonts w:ascii="Arial" w:hAnsi="Arial" w:cs="Arial"/>
          <w:sz w:val="20"/>
          <w:szCs w:val="20"/>
          <w:lang w:eastAsia="cs-CZ"/>
        </w:rPr>
        <w:t xml:space="preserve"> pre OP </w:t>
      </w:r>
      <w:r w:rsidRPr="006E5D4B">
        <w:rPr>
          <w:rFonts w:ascii="Arial" w:hAnsi="Arial" w:cs="Arial"/>
          <w:sz w:val="20"/>
          <w:szCs w:val="20"/>
          <w:lang w:eastAsia="cs-CZ"/>
        </w:rPr>
        <w:lastRenderedPageBreak/>
        <w:t xml:space="preserve">ŽP a koordinátorom HP TUR - ÚV SR, </w:t>
      </w:r>
      <w:r w:rsidR="00EF16E6" w:rsidRPr="006E5D4B">
        <w:rPr>
          <w:rFonts w:ascii="Arial" w:hAnsi="Arial" w:cs="Arial"/>
          <w:sz w:val="20"/>
          <w:szCs w:val="20"/>
          <w:lang w:eastAsia="cs-CZ"/>
        </w:rPr>
        <w:t>odbor</w:t>
      </w:r>
      <w:r w:rsidR="00CA6E84">
        <w:rPr>
          <w:rFonts w:ascii="Arial" w:hAnsi="Arial" w:cs="Arial"/>
          <w:sz w:val="20"/>
          <w:szCs w:val="20"/>
          <w:lang w:eastAsia="cs-CZ"/>
        </w:rPr>
        <w:t>om</w:t>
      </w:r>
      <w:r w:rsidR="00EF16E6" w:rsidRPr="006E5D4B">
        <w:rPr>
          <w:rFonts w:ascii="Arial" w:hAnsi="Arial" w:cs="Arial"/>
          <w:sz w:val="20"/>
          <w:szCs w:val="20"/>
          <w:lang w:eastAsia="cs-CZ"/>
        </w:rPr>
        <w:t xml:space="preserve"> </w:t>
      </w:r>
      <w:r w:rsidR="003F363E" w:rsidRPr="006E5D4B">
        <w:rPr>
          <w:rFonts w:ascii="Arial" w:hAnsi="Arial" w:cs="Arial"/>
          <w:sz w:val="20"/>
          <w:szCs w:val="20"/>
          <w:lang w:eastAsia="cs-CZ"/>
        </w:rPr>
        <w:t>prierezových priorít</w:t>
      </w:r>
      <w:r w:rsidRPr="006E5D4B">
        <w:rPr>
          <w:rFonts w:ascii="Arial" w:hAnsi="Arial" w:cs="Arial"/>
          <w:sz w:val="20"/>
          <w:szCs w:val="20"/>
          <w:lang w:eastAsia="cs-CZ"/>
        </w:rPr>
        <w:t xml:space="preserve">, ktorým bol tento súbor ukazovateľov HP TUR zároveň odsúhlasený. Súbor ukazovateľov projektových ukazovateľov HP TUR v členení podľa jednotlivých prioritných osí OP ŽP </w:t>
      </w:r>
      <w:r w:rsidR="00CA6E84">
        <w:rPr>
          <w:rFonts w:ascii="Arial" w:hAnsi="Arial" w:cs="Arial"/>
          <w:sz w:val="20"/>
          <w:szCs w:val="20"/>
          <w:lang w:eastAsia="cs-CZ"/>
        </w:rPr>
        <w:t>bol</w:t>
      </w:r>
      <w:r w:rsidRPr="006E5D4B">
        <w:rPr>
          <w:rFonts w:ascii="Arial" w:hAnsi="Arial" w:cs="Arial"/>
          <w:sz w:val="20"/>
          <w:szCs w:val="20"/>
          <w:lang w:eastAsia="cs-CZ"/>
        </w:rPr>
        <w:t xml:space="preserve"> súčasťou príručky pre žiadateľa. </w:t>
      </w:r>
    </w:p>
    <w:p w14:paraId="67B9E151" w14:textId="5F2EBE42" w:rsidR="001362DC" w:rsidRPr="006E5D4B" w:rsidRDefault="001362DC" w:rsidP="00123376">
      <w:pPr>
        <w:spacing w:before="120" w:after="120"/>
        <w:jc w:val="both"/>
        <w:rPr>
          <w:rFonts w:ascii="Arial" w:hAnsi="Arial" w:cs="Arial"/>
          <w:sz w:val="20"/>
          <w:szCs w:val="20"/>
          <w:lang w:eastAsia="cs-CZ"/>
        </w:rPr>
      </w:pPr>
      <w:r w:rsidRPr="006E5D4B" w:rsidDel="003752C9">
        <w:rPr>
          <w:rFonts w:ascii="Arial" w:hAnsi="Arial" w:cs="Arial"/>
          <w:sz w:val="20"/>
          <w:szCs w:val="20"/>
          <w:lang w:eastAsia="cs-CZ"/>
        </w:rPr>
        <w:t xml:space="preserve">Dôležitou súčasťou príspevku OP ŽP k napĺňaniu HP TUR </w:t>
      </w:r>
      <w:r w:rsidR="00CA6E84">
        <w:rPr>
          <w:rFonts w:ascii="Arial" w:hAnsi="Arial" w:cs="Arial"/>
          <w:sz w:val="20"/>
          <w:szCs w:val="20"/>
          <w:lang w:eastAsia="cs-CZ"/>
        </w:rPr>
        <w:t>bol</w:t>
      </w:r>
      <w:r w:rsidRPr="006E5D4B" w:rsidDel="003752C9">
        <w:rPr>
          <w:rFonts w:ascii="Arial" w:hAnsi="Arial" w:cs="Arial"/>
          <w:sz w:val="20"/>
          <w:szCs w:val="20"/>
          <w:lang w:eastAsia="cs-CZ"/>
        </w:rPr>
        <w:t xml:space="preserve"> tiež príspevok OP ŽP k napĺňaniu </w:t>
      </w:r>
      <w:r w:rsidRPr="006E5D4B">
        <w:rPr>
          <w:rFonts w:ascii="Arial" w:hAnsi="Arial" w:cs="Arial"/>
          <w:sz w:val="20"/>
          <w:szCs w:val="20"/>
          <w:lang w:eastAsia="cs-CZ"/>
        </w:rPr>
        <w:t>ukazovateľov HP</w:t>
      </w:r>
      <w:r w:rsidRPr="006E5D4B" w:rsidDel="003752C9">
        <w:rPr>
          <w:rFonts w:ascii="Arial" w:hAnsi="Arial" w:cs="Arial"/>
          <w:sz w:val="20"/>
          <w:szCs w:val="20"/>
          <w:lang w:eastAsia="cs-CZ"/>
        </w:rPr>
        <w:t xml:space="preserve"> TUR</w:t>
      </w:r>
      <w:r w:rsidRPr="006E5D4B">
        <w:rPr>
          <w:rFonts w:ascii="Arial" w:hAnsi="Arial" w:cs="Arial"/>
          <w:sz w:val="20"/>
          <w:szCs w:val="20"/>
          <w:lang w:eastAsia="cs-CZ"/>
        </w:rPr>
        <w:t>, týkajúcich sa</w:t>
      </w:r>
      <w:r w:rsidRPr="006E5D4B" w:rsidDel="003752C9">
        <w:rPr>
          <w:rFonts w:ascii="Arial" w:hAnsi="Arial" w:cs="Arial"/>
          <w:sz w:val="20"/>
          <w:szCs w:val="20"/>
          <w:lang w:eastAsia="cs-CZ"/>
        </w:rPr>
        <w:t xml:space="preserve"> energetick</w:t>
      </w:r>
      <w:r w:rsidRPr="006E5D4B">
        <w:rPr>
          <w:rFonts w:ascii="Arial" w:hAnsi="Arial" w:cs="Arial"/>
          <w:sz w:val="20"/>
          <w:szCs w:val="20"/>
          <w:lang w:eastAsia="cs-CZ"/>
        </w:rPr>
        <w:t>ej</w:t>
      </w:r>
      <w:r w:rsidRPr="006E5D4B" w:rsidDel="003752C9">
        <w:rPr>
          <w:rFonts w:ascii="Arial" w:hAnsi="Arial" w:cs="Arial"/>
          <w:sz w:val="20"/>
          <w:szCs w:val="20"/>
          <w:lang w:eastAsia="cs-CZ"/>
        </w:rPr>
        <w:t xml:space="preserve"> efektívno</w:t>
      </w:r>
      <w:r w:rsidRPr="006E5D4B">
        <w:rPr>
          <w:rFonts w:ascii="Arial" w:hAnsi="Arial" w:cs="Arial"/>
          <w:sz w:val="20"/>
          <w:szCs w:val="20"/>
          <w:lang w:eastAsia="cs-CZ"/>
        </w:rPr>
        <w:t>sti</w:t>
      </w:r>
      <w:r w:rsidRPr="006E5D4B" w:rsidDel="003752C9">
        <w:rPr>
          <w:rFonts w:ascii="Arial" w:hAnsi="Arial" w:cs="Arial"/>
          <w:sz w:val="20"/>
          <w:szCs w:val="20"/>
          <w:lang w:eastAsia="cs-CZ"/>
        </w:rPr>
        <w:t>.</w:t>
      </w:r>
      <w:r w:rsidRPr="006E5D4B">
        <w:rPr>
          <w:rFonts w:ascii="Arial" w:hAnsi="Arial" w:cs="Arial"/>
          <w:sz w:val="20"/>
          <w:szCs w:val="20"/>
          <w:lang w:eastAsia="cs-CZ"/>
        </w:rPr>
        <w:t xml:space="preserve"> V prípade, ak projekt v rámci HP TUR prispieva</w:t>
      </w:r>
      <w:r w:rsidR="00CA6E84">
        <w:rPr>
          <w:rFonts w:ascii="Arial" w:hAnsi="Arial" w:cs="Arial"/>
          <w:sz w:val="20"/>
          <w:szCs w:val="20"/>
          <w:lang w:eastAsia="cs-CZ"/>
        </w:rPr>
        <w:t>l</w:t>
      </w:r>
      <w:r w:rsidRPr="006E5D4B">
        <w:rPr>
          <w:rFonts w:ascii="Arial" w:hAnsi="Arial" w:cs="Arial"/>
          <w:sz w:val="20"/>
          <w:szCs w:val="20"/>
          <w:lang w:eastAsia="cs-CZ"/>
        </w:rPr>
        <w:t xml:space="preserve"> tiež k zvyšovaniu energetickej efektívnosti, žiadateľ </w:t>
      </w:r>
      <w:r w:rsidR="00CA6E84">
        <w:rPr>
          <w:rFonts w:ascii="Arial" w:hAnsi="Arial" w:cs="Arial"/>
          <w:sz w:val="20"/>
          <w:szCs w:val="20"/>
          <w:lang w:eastAsia="cs-CZ"/>
        </w:rPr>
        <w:t>bol</w:t>
      </w:r>
      <w:r w:rsidRPr="006E5D4B">
        <w:rPr>
          <w:rFonts w:ascii="Arial" w:hAnsi="Arial" w:cs="Arial"/>
          <w:sz w:val="20"/>
          <w:szCs w:val="20"/>
          <w:lang w:eastAsia="cs-CZ"/>
        </w:rPr>
        <w:t xml:space="preserve"> povinný k ním indikovaným projektovým ukazovateľom HP TUR doplniť </w:t>
      </w:r>
      <w:r w:rsidR="00BE2009" w:rsidRPr="006E5D4B">
        <w:rPr>
          <w:rFonts w:ascii="Arial" w:hAnsi="Arial" w:cs="Arial"/>
          <w:sz w:val="20"/>
          <w:szCs w:val="20"/>
          <w:lang w:eastAsia="cs-CZ"/>
        </w:rPr>
        <w:t>tak</w:t>
      </w:r>
      <w:r w:rsidRPr="006E5D4B">
        <w:rPr>
          <w:rFonts w:ascii="Arial" w:hAnsi="Arial" w:cs="Arial"/>
          <w:sz w:val="20"/>
          <w:szCs w:val="20"/>
          <w:lang w:eastAsia="cs-CZ"/>
        </w:rPr>
        <w:t xml:space="preserve">tiež minimálne jeden z ukazovateľov, slúžiacich na sledovanie energetickej efektívnosti, ktorými </w:t>
      </w:r>
      <w:r w:rsidR="00EB5349">
        <w:rPr>
          <w:rFonts w:ascii="Arial" w:hAnsi="Arial" w:cs="Arial"/>
          <w:sz w:val="20"/>
          <w:szCs w:val="20"/>
          <w:lang w:eastAsia="cs-CZ"/>
        </w:rPr>
        <w:t>boli</w:t>
      </w:r>
      <w:r w:rsidRPr="006E5D4B">
        <w:rPr>
          <w:rFonts w:ascii="Arial" w:hAnsi="Arial" w:cs="Arial"/>
          <w:sz w:val="20"/>
          <w:szCs w:val="20"/>
          <w:lang w:eastAsia="cs-CZ"/>
        </w:rPr>
        <w:t xml:space="preserve">: zvýšený inštalovaný výkon zariadenia zodpovedajúci </w:t>
      </w:r>
      <w:r w:rsidR="00B575AD">
        <w:rPr>
          <w:rFonts w:ascii="Arial" w:hAnsi="Arial" w:cs="Arial"/>
          <w:iCs/>
          <w:sz w:val="20"/>
          <w:szCs w:val="20"/>
          <w:lang w:eastAsia="en-US"/>
        </w:rPr>
        <w:t>OZE</w:t>
      </w:r>
      <w:r w:rsidRPr="006E5D4B">
        <w:rPr>
          <w:rFonts w:ascii="Arial" w:hAnsi="Arial" w:cs="Arial"/>
          <w:sz w:val="20"/>
          <w:szCs w:val="20"/>
          <w:lang w:eastAsia="cs-CZ"/>
        </w:rPr>
        <w:t>; zateplená plocha; ročné úspory energie realizovaním projektu. Hodnoty uvedených ukazovateľov sa vykaz</w:t>
      </w:r>
      <w:r w:rsidR="00EB5349">
        <w:rPr>
          <w:rFonts w:ascii="Arial" w:hAnsi="Arial" w:cs="Arial"/>
          <w:sz w:val="20"/>
          <w:szCs w:val="20"/>
          <w:lang w:eastAsia="cs-CZ"/>
        </w:rPr>
        <w:t>ovali</w:t>
      </w:r>
      <w:r w:rsidRPr="006E5D4B">
        <w:rPr>
          <w:rFonts w:ascii="Arial" w:hAnsi="Arial" w:cs="Arial"/>
          <w:sz w:val="20"/>
          <w:szCs w:val="20"/>
          <w:lang w:eastAsia="cs-CZ"/>
        </w:rPr>
        <w:t xml:space="preserve"> kumulatívne za všetky prioritné osi OP ŽP, avšak žiadateľ pri výbere ukazovateľa energetickej efektívnosti postup</w:t>
      </w:r>
      <w:r w:rsidR="00EB5349">
        <w:rPr>
          <w:rFonts w:ascii="Arial" w:hAnsi="Arial" w:cs="Arial"/>
          <w:sz w:val="20"/>
          <w:szCs w:val="20"/>
          <w:lang w:eastAsia="cs-CZ"/>
        </w:rPr>
        <w:t>oval</w:t>
      </w:r>
      <w:r w:rsidRPr="006E5D4B">
        <w:rPr>
          <w:rFonts w:ascii="Arial" w:hAnsi="Arial" w:cs="Arial"/>
          <w:sz w:val="20"/>
          <w:szCs w:val="20"/>
          <w:lang w:eastAsia="cs-CZ"/>
        </w:rPr>
        <w:t xml:space="preserve"> podľa príslušnej tabuľky v príručke pre žiadateľa, ktorá pre každý z troch uvedených ukazovateľov stanov</w:t>
      </w:r>
      <w:r w:rsidR="00EB5349">
        <w:rPr>
          <w:rFonts w:ascii="Arial" w:hAnsi="Arial" w:cs="Arial"/>
          <w:sz w:val="20"/>
          <w:szCs w:val="20"/>
          <w:lang w:eastAsia="cs-CZ"/>
        </w:rPr>
        <w:t>ovala</w:t>
      </w:r>
      <w:r w:rsidRPr="006E5D4B">
        <w:rPr>
          <w:rFonts w:ascii="Arial" w:hAnsi="Arial" w:cs="Arial"/>
          <w:sz w:val="20"/>
          <w:szCs w:val="20"/>
          <w:lang w:eastAsia="cs-CZ"/>
        </w:rPr>
        <w:t>, pre aké operačné ciele sú relevantné.</w:t>
      </w:r>
    </w:p>
    <w:p w14:paraId="30BF35FC" w14:textId="7AB5F4A8" w:rsidR="00021D46" w:rsidRPr="0008447E" w:rsidRDefault="001362DC" w:rsidP="0008447E">
      <w:pPr>
        <w:spacing w:before="120" w:after="120"/>
        <w:jc w:val="both"/>
        <w:rPr>
          <w:rFonts w:ascii="Arial" w:hAnsi="Arial" w:cs="Arial"/>
          <w:bCs/>
          <w:sz w:val="20"/>
          <w:szCs w:val="20"/>
          <w:lang w:eastAsia="cs-CZ"/>
        </w:rPr>
      </w:pPr>
      <w:r w:rsidRPr="00193108">
        <w:rPr>
          <w:rFonts w:ascii="Arial" w:hAnsi="Arial" w:cs="Arial"/>
          <w:bCs/>
          <w:sz w:val="20"/>
          <w:szCs w:val="20"/>
          <w:lang w:eastAsia="cs-CZ"/>
        </w:rPr>
        <w:t xml:space="preserve">V prípade ukazovateľa </w:t>
      </w:r>
      <w:r w:rsidR="00BE2009" w:rsidRPr="00193108">
        <w:rPr>
          <w:rFonts w:ascii="Arial" w:hAnsi="Arial" w:cs="Arial"/>
          <w:bCs/>
          <w:sz w:val="20"/>
          <w:szCs w:val="20"/>
          <w:lang w:eastAsia="cs-CZ"/>
        </w:rPr>
        <w:t>„</w:t>
      </w:r>
      <w:r w:rsidRPr="00193108">
        <w:rPr>
          <w:rFonts w:ascii="Arial" w:hAnsi="Arial" w:cs="Arial"/>
          <w:bCs/>
          <w:sz w:val="20"/>
          <w:szCs w:val="20"/>
          <w:lang w:eastAsia="cs-CZ"/>
        </w:rPr>
        <w:t>Novovytvorené pracovné miesta</w:t>
      </w:r>
      <w:r w:rsidR="00BE2009" w:rsidRPr="00193108">
        <w:rPr>
          <w:rFonts w:ascii="Arial" w:hAnsi="Arial" w:cs="Arial"/>
          <w:bCs/>
          <w:sz w:val="20"/>
          <w:szCs w:val="20"/>
          <w:lang w:eastAsia="cs-CZ"/>
        </w:rPr>
        <w:t>“</w:t>
      </w:r>
      <w:r w:rsidRPr="00193108">
        <w:rPr>
          <w:rFonts w:ascii="Arial" w:hAnsi="Arial" w:cs="Arial"/>
          <w:bCs/>
          <w:sz w:val="20"/>
          <w:szCs w:val="20"/>
          <w:lang w:eastAsia="cs-CZ"/>
        </w:rPr>
        <w:t xml:space="preserve"> </w:t>
      </w:r>
      <w:r w:rsidR="002D2299" w:rsidRPr="00193108">
        <w:rPr>
          <w:rFonts w:ascii="Arial" w:hAnsi="Arial" w:cs="Arial"/>
          <w:bCs/>
          <w:sz w:val="20"/>
          <w:szCs w:val="20"/>
          <w:lang w:eastAsia="cs-CZ"/>
        </w:rPr>
        <w:t xml:space="preserve">išlo </w:t>
      </w:r>
      <w:r w:rsidRPr="00193108">
        <w:rPr>
          <w:rFonts w:ascii="Arial" w:hAnsi="Arial" w:cs="Arial"/>
          <w:bCs/>
          <w:sz w:val="20"/>
          <w:szCs w:val="20"/>
          <w:lang w:eastAsia="cs-CZ"/>
        </w:rPr>
        <w:t>o čistý prírastok pracovných miest v subjekte prijímateľa za sledované obdobie. V rámci projektov, bolo</w:t>
      </w:r>
      <w:r w:rsidR="00193108">
        <w:rPr>
          <w:rFonts w:ascii="Arial" w:hAnsi="Arial" w:cs="Arial"/>
          <w:bCs/>
          <w:sz w:val="20"/>
          <w:szCs w:val="20"/>
          <w:lang w:eastAsia="cs-CZ"/>
        </w:rPr>
        <w:t xml:space="preserve"> v rámci OP ŽP</w:t>
      </w:r>
      <w:r w:rsidRPr="00193108">
        <w:rPr>
          <w:rFonts w:ascii="Arial" w:hAnsi="Arial" w:cs="Arial"/>
          <w:bCs/>
          <w:sz w:val="20"/>
          <w:szCs w:val="20"/>
          <w:lang w:eastAsia="cs-CZ"/>
        </w:rPr>
        <w:t xml:space="preserve"> k </w:t>
      </w:r>
      <w:r w:rsidR="00304350">
        <w:rPr>
          <w:rFonts w:ascii="Arial" w:hAnsi="Arial" w:cs="Arial"/>
          <w:bCs/>
          <w:sz w:val="20"/>
          <w:szCs w:val="20"/>
          <w:lang w:eastAsia="cs-CZ"/>
        </w:rPr>
        <w:t>31.10.2016</w:t>
      </w:r>
      <w:r w:rsidR="00193108" w:rsidRPr="0097675D">
        <w:rPr>
          <w:rFonts w:ascii="Arial" w:hAnsi="Arial" w:cs="Arial"/>
          <w:bCs/>
          <w:sz w:val="20"/>
          <w:szCs w:val="20"/>
          <w:lang w:eastAsia="cs-CZ"/>
        </w:rPr>
        <w:t xml:space="preserve"> spolu</w:t>
      </w:r>
      <w:r w:rsidR="00193108">
        <w:rPr>
          <w:rFonts w:ascii="Arial" w:hAnsi="Arial" w:cs="Arial"/>
          <w:bCs/>
          <w:sz w:val="20"/>
          <w:szCs w:val="20"/>
          <w:lang w:eastAsia="cs-CZ"/>
        </w:rPr>
        <w:t xml:space="preserve"> </w:t>
      </w:r>
      <w:r w:rsidRPr="00193108">
        <w:rPr>
          <w:rFonts w:ascii="Arial" w:hAnsi="Arial" w:cs="Arial"/>
          <w:bCs/>
          <w:sz w:val="20"/>
          <w:szCs w:val="20"/>
          <w:lang w:eastAsia="cs-CZ"/>
        </w:rPr>
        <w:t>vytvorených</w:t>
      </w:r>
      <w:r w:rsidR="00193108">
        <w:rPr>
          <w:rFonts w:ascii="Arial" w:hAnsi="Arial" w:cs="Arial"/>
          <w:bCs/>
          <w:sz w:val="20"/>
          <w:szCs w:val="20"/>
          <w:lang w:eastAsia="cs-CZ"/>
        </w:rPr>
        <w:t xml:space="preserve"> </w:t>
      </w:r>
      <w:r w:rsidR="00193108" w:rsidRPr="0097675D">
        <w:rPr>
          <w:rFonts w:ascii="Arial" w:hAnsi="Arial" w:cs="Arial"/>
          <w:bCs/>
          <w:sz w:val="20"/>
          <w:szCs w:val="20"/>
          <w:lang w:eastAsia="cs-CZ"/>
        </w:rPr>
        <w:t>251</w:t>
      </w:r>
      <w:r w:rsidR="00193108" w:rsidRPr="00193108">
        <w:rPr>
          <w:rFonts w:ascii="Arial" w:hAnsi="Arial" w:cs="Arial"/>
          <w:bCs/>
          <w:sz w:val="20"/>
          <w:szCs w:val="20"/>
          <w:lang w:eastAsia="cs-CZ"/>
        </w:rPr>
        <w:t xml:space="preserve"> </w:t>
      </w:r>
      <w:r w:rsidRPr="00193108">
        <w:rPr>
          <w:rFonts w:ascii="Arial" w:hAnsi="Arial" w:cs="Arial"/>
          <w:bCs/>
          <w:sz w:val="20"/>
          <w:szCs w:val="20"/>
          <w:lang w:eastAsia="cs-CZ"/>
        </w:rPr>
        <w:t>pracovných miest</w:t>
      </w:r>
      <w:r w:rsidR="00A00B0E" w:rsidRPr="00193108">
        <w:rPr>
          <w:rFonts w:ascii="Arial" w:hAnsi="Arial" w:cs="Arial"/>
          <w:bCs/>
          <w:sz w:val="20"/>
          <w:szCs w:val="20"/>
          <w:lang w:eastAsia="cs-CZ"/>
        </w:rPr>
        <w:t>.</w:t>
      </w:r>
    </w:p>
    <w:p w14:paraId="4F0CD4D4" w14:textId="20648621" w:rsidR="001362DC" w:rsidRPr="00E21C60" w:rsidRDefault="001362DC" w:rsidP="00123376">
      <w:pPr>
        <w:jc w:val="both"/>
        <w:rPr>
          <w:rFonts w:ascii="Arial" w:hAnsi="Arial" w:cs="Arial"/>
          <w:sz w:val="20"/>
          <w:szCs w:val="20"/>
          <w:lang w:eastAsia="cs-CZ"/>
        </w:rPr>
      </w:pPr>
      <w:r w:rsidRPr="00E21C60">
        <w:rPr>
          <w:rFonts w:ascii="Arial" w:hAnsi="Arial" w:cs="Arial"/>
          <w:sz w:val="20"/>
          <w:szCs w:val="20"/>
          <w:lang w:eastAsia="cs-CZ"/>
        </w:rPr>
        <w:t>Tab</w:t>
      </w:r>
      <w:r w:rsidR="003B37A8" w:rsidRPr="00E21C60">
        <w:rPr>
          <w:rFonts w:ascii="Arial" w:hAnsi="Arial" w:cs="Arial"/>
          <w:sz w:val="20"/>
          <w:szCs w:val="20"/>
          <w:lang w:eastAsia="cs-CZ"/>
        </w:rPr>
        <w:t>uľka</w:t>
      </w:r>
      <w:r w:rsidRPr="00E21C60">
        <w:rPr>
          <w:rFonts w:ascii="Arial" w:hAnsi="Arial" w:cs="Arial"/>
          <w:sz w:val="20"/>
          <w:szCs w:val="20"/>
          <w:lang w:eastAsia="cs-CZ"/>
        </w:rPr>
        <w:t xml:space="preserve"> č. </w:t>
      </w:r>
      <w:r w:rsidR="00590529">
        <w:rPr>
          <w:rFonts w:ascii="Arial" w:hAnsi="Arial" w:cs="Arial"/>
          <w:sz w:val="20"/>
          <w:szCs w:val="20"/>
          <w:lang w:eastAsia="cs-CZ"/>
        </w:rPr>
        <w:t>8</w:t>
      </w:r>
      <w:r w:rsidR="007B1CB9">
        <w:rPr>
          <w:rFonts w:ascii="Arial" w:hAnsi="Arial" w:cs="Arial"/>
          <w:sz w:val="20"/>
          <w:szCs w:val="20"/>
          <w:lang w:eastAsia="cs-CZ"/>
        </w:rPr>
        <w:t>9</w:t>
      </w:r>
      <w:r w:rsidRPr="00E21C60">
        <w:rPr>
          <w:rFonts w:ascii="Arial" w:hAnsi="Arial" w:cs="Arial"/>
          <w:sz w:val="20"/>
          <w:szCs w:val="20"/>
          <w:lang w:eastAsia="cs-CZ"/>
        </w:rPr>
        <w:t xml:space="preserve">: Plnenie </w:t>
      </w:r>
      <w:r w:rsidR="00EE1EE0" w:rsidRPr="00E21C60">
        <w:rPr>
          <w:rFonts w:ascii="Arial" w:hAnsi="Arial" w:cs="Arial"/>
          <w:sz w:val="20"/>
          <w:szCs w:val="20"/>
          <w:lang w:eastAsia="cs-CZ"/>
        </w:rPr>
        <w:t xml:space="preserve">fyzických </w:t>
      </w:r>
      <w:r w:rsidRPr="00E21C60">
        <w:rPr>
          <w:rFonts w:ascii="Arial" w:hAnsi="Arial" w:cs="Arial"/>
          <w:sz w:val="20"/>
          <w:szCs w:val="20"/>
          <w:lang w:eastAsia="cs-CZ"/>
        </w:rPr>
        <w:t xml:space="preserve">ukazovateľov HP TUR </w:t>
      </w:r>
      <w:r w:rsidR="00EE1EE0" w:rsidRPr="00E21C60">
        <w:rPr>
          <w:rFonts w:ascii="Arial" w:hAnsi="Arial" w:cs="Arial"/>
          <w:sz w:val="20"/>
          <w:szCs w:val="20"/>
          <w:lang w:eastAsia="cs-CZ"/>
        </w:rPr>
        <w:t xml:space="preserve">na úrovni prioritnej osi </w:t>
      </w:r>
      <w:r w:rsidRPr="00E21C60">
        <w:rPr>
          <w:rFonts w:ascii="Arial" w:hAnsi="Arial" w:cs="Arial"/>
          <w:sz w:val="20"/>
          <w:szCs w:val="20"/>
          <w:lang w:eastAsia="cs-CZ"/>
        </w:rPr>
        <w:t>k 31.</w:t>
      </w:r>
      <w:r w:rsidR="00516BFC">
        <w:rPr>
          <w:rFonts w:ascii="Arial" w:hAnsi="Arial" w:cs="Arial"/>
          <w:sz w:val="20"/>
          <w:szCs w:val="20"/>
          <w:lang w:eastAsia="cs-CZ"/>
        </w:rPr>
        <w:t xml:space="preserve"> </w:t>
      </w:r>
      <w:r w:rsidRPr="00E21C60">
        <w:rPr>
          <w:rFonts w:ascii="Arial" w:hAnsi="Arial" w:cs="Arial"/>
          <w:sz w:val="20"/>
          <w:szCs w:val="20"/>
          <w:lang w:eastAsia="cs-CZ"/>
        </w:rPr>
        <w:t>1</w:t>
      </w:r>
      <w:r w:rsidR="0092054D">
        <w:rPr>
          <w:rFonts w:ascii="Arial" w:hAnsi="Arial" w:cs="Arial"/>
          <w:sz w:val="20"/>
          <w:szCs w:val="20"/>
          <w:lang w:eastAsia="cs-CZ"/>
        </w:rPr>
        <w:t>0</w:t>
      </w:r>
      <w:r w:rsidRPr="00E21C60">
        <w:rPr>
          <w:rFonts w:ascii="Arial" w:hAnsi="Arial" w:cs="Arial"/>
          <w:sz w:val="20"/>
          <w:szCs w:val="20"/>
          <w:lang w:eastAsia="cs-CZ"/>
        </w:rPr>
        <w:t>.</w:t>
      </w:r>
      <w:r w:rsidR="00516BFC">
        <w:rPr>
          <w:rFonts w:ascii="Arial" w:hAnsi="Arial" w:cs="Arial"/>
          <w:sz w:val="20"/>
          <w:szCs w:val="20"/>
          <w:lang w:eastAsia="cs-CZ"/>
        </w:rPr>
        <w:t xml:space="preserve"> </w:t>
      </w:r>
      <w:r w:rsidR="00E55E97" w:rsidRPr="00E21C60">
        <w:rPr>
          <w:rFonts w:ascii="Arial" w:hAnsi="Arial" w:cs="Arial"/>
          <w:sz w:val="20"/>
          <w:szCs w:val="20"/>
          <w:lang w:eastAsia="cs-CZ"/>
        </w:rPr>
        <w:t>201</w:t>
      </w:r>
      <w:r w:rsidR="0092054D">
        <w:rPr>
          <w:rFonts w:ascii="Arial" w:hAnsi="Arial" w:cs="Arial"/>
          <w:sz w:val="20"/>
          <w:szCs w:val="20"/>
          <w:lang w:eastAsia="cs-CZ"/>
        </w:rPr>
        <w:t>6</w:t>
      </w:r>
    </w:p>
    <w:tbl>
      <w:tblPr>
        <w:tblW w:w="9087" w:type="dxa"/>
        <w:tblInd w:w="55" w:type="dxa"/>
        <w:tblLayout w:type="fixed"/>
        <w:tblCellMar>
          <w:left w:w="70" w:type="dxa"/>
          <w:right w:w="70" w:type="dxa"/>
        </w:tblCellMar>
        <w:tblLook w:val="04A0" w:firstRow="1" w:lastRow="0" w:firstColumn="1" w:lastColumn="0" w:noHBand="0" w:noVBand="1"/>
      </w:tblPr>
      <w:tblGrid>
        <w:gridCol w:w="1095"/>
        <w:gridCol w:w="959"/>
        <w:gridCol w:w="622"/>
        <w:gridCol w:w="622"/>
        <w:gridCol w:w="622"/>
        <w:gridCol w:w="628"/>
        <w:gridCol w:w="628"/>
        <w:gridCol w:w="639"/>
        <w:gridCol w:w="639"/>
        <w:gridCol w:w="507"/>
        <w:gridCol w:w="567"/>
        <w:gridCol w:w="709"/>
        <w:gridCol w:w="850"/>
      </w:tblGrid>
      <w:tr w:rsidR="00123376" w:rsidRPr="00E21C60" w14:paraId="5CF0AFDF" w14:textId="77777777" w:rsidTr="00BB5CD0">
        <w:trPr>
          <w:trHeight w:val="465"/>
        </w:trPr>
        <w:tc>
          <w:tcPr>
            <w:tcW w:w="2054" w:type="dxa"/>
            <w:gridSpan w:val="2"/>
            <w:tcBorders>
              <w:top w:val="single" w:sz="8" w:space="0" w:color="auto"/>
              <w:left w:val="single" w:sz="8" w:space="0" w:color="auto"/>
              <w:bottom w:val="single" w:sz="8" w:space="0" w:color="auto"/>
              <w:right w:val="single" w:sz="8" w:space="0" w:color="000000"/>
            </w:tcBorders>
            <w:shd w:val="clear" w:color="auto" w:fill="C2D69B" w:themeFill="accent3" w:themeFillTint="99"/>
            <w:vAlign w:val="center"/>
            <w:hideMark/>
          </w:tcPr>
          <w:p w14:paraId="3A4D9811"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Ukazovatele</w:t>
            </w:r>
          </w:p>
        </w:tc>
        <w:tc>
          <w:tcPr>
            <w:tcW w:w="622"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4DCF8FDA"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2007</w:t>
            </w:r>
          </w:p>
        </w:tc>
        <w:tc>
          <w:tcPr>
            <w:tcW w:w="622"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2ECE8992"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2008</w:t>
            </w:r>
          </w:p>
        </w:tc>
        <w:tc>
          <w:tcPr>
            <w:tcW w:w="622"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448064AE"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2009</w:t>
            </w:r>
          </w:p>
        </w:tc>
        <w:tc>
          <w:tcPr>
            <w:tcW w:w="62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CA33B5C"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2010</w:t>
            </w:r>
          </w:p>
        </w:tc>
        <w:tc>
          <w:tcPr>
            <w:tcW w:w="628"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6D28EB39"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2011</w:t>
            </w:r>
          </w:p>
        </w:tc>
        <w:tc>
          <w:tcPr>
            <w:tcW w:w="639"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5D4C964"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2012</w:t>
            </w:r>
          </w:p>
        </w:tc>
        <w:tc>
          <w:tcPr>
            <w:tcW w:w="639"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5F3ED984"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2013</w:t>
            </w:r>
          </w:p>
        </w:tc>
        <w:tc>
          <w:tcPr>
            <w:tcW w:w="507"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092B9524"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2014</w:t>
            </w:r>
          </w:p>
        </w:tc>
        <w:tc>
          <w:tcPr>
            <w:tcW w:w="567"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6805470A"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2015</w:t>
            </w:r>
          </w:p>
        </w:tc>
        <w:tc>
          <w:tcPr>
            <w:tcW w:w="709" w:type="dxa"/>
            <w:tcBorders>
              <w:top w:val="single" w:sz="8" w:space="0" w:color="auto"/>
              <w:left w:val="nil"/>
              <w:bottom w:val="nil"/>
              <w:right w:val="single" w:sz="8" w:space="0" w:color="auto"/>
            </w:tcBorders>
            <w:shd w:val="clear" w:color="auto" w:fill="C2D69B" w:themeFill="accent3" w:themeFillTint="99"/>
            <w:vAlign w:val="center"/>
            <w:hideMark/>
          </w:tcPr>
          <w:p w14:paraId="2D8336FB"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Spolu</w:t>
            </w:r>
          </w:p>
        </w:tc>
        <w:tc>
          <w:tcPr>
            <w:tcW w:w="850" w:type="dxa"/>
            <w:tcBorders>
              <w:top w:val="single" w:sz="8" w:space="0" w:color="auto"/>
              <w:left w:val="nil"/>
              <w:bottom w:val="single" w:sz="8" w:space="0" w:color="auto"/>
              <w:right w:val="single" w:sz="8" w:space="0" w:color="auto"/>
            </w:tcBorders>
            <w:shd w:val="clear" w:color="auto" w:fill="C2D69B" w:themeFill="accent3" w:themeFillTint="99"/>
            <w:vAlign w:val="center"/>
            <w:hideMark/>
          </w:tcPr>
          <w:p w14:paraId="1DE107B0" w14:textId="77777777" w:rsidR="00FF2980" w:rsidRPr="00E21C60" w:rsidRDefault="00FF2980">
            <w:pPr>
              <w:jc w:val="center"/>
              <w:rPr>
                <w:rFonts w:ascii="Arial" w:hAnsi="Arial" w:cs="Arial"/>
                <w:b/>
                <w:bCs/>
                <w:color w:val="000000"/>
                <w:sz w:val="16"/>
                <w:szCs w:val="16"/>
              </w:rPr>
            </w:pPr>
            <w:r w:rsidRPr="00E21C60">
              <w:rPr>
                <w:rFonts w:ascii="Arial" w:hAnsi="Arial" w:cs="Arial"/>
                <w:b/>
                <w:bCs/>
                <w:color w:val="000000"/>
                <w:sz w:val="16"/>
                <w:szCs w:val="16"/>
              </w:rPr>
              <w:t>Komen</w:t>
            </w:r>
            <w:r w:rsidR="007445F0" w:rsidRPr="00E21C60">
              <w:rPr>
                <w:rFonts w:ascii="Arial" w:hAnsi="Arial" w:cs="Arial"/>
                <w:b/>
                <w:bCs/>
                <w:color w:val="000000"/>
                <w:sz w:val="16"/>
                <w:szCs w:val="16"/>
              </w:rPr>
              <w:t>-</w:t>
            </w:r>
            <w:r w:rsidRPr="00E21C60">
              <w:rPr>
                <w:rFonts w:ascii="Arial" w:hAnsi="Arial" w:cs="Arial"/>
                <w:b/>
                <w:bCs/>
                <w:color w:val="000000"/>
                <w:sz w:val="16"/>
                <w:szCs w:val="16"/>
              </w:rPr>
              <w:t>tár</w:t>
            </w:r>
            <w:r w:rsidRPr="00E21C60">
              <w:rPr>
                <w:rFonts w:ascii="Arial" w:hAnsi="Arial" w:cs="Arial"/>
                <w:b/>
                <w:bCs/>
                <w:color w:val="000000"/>
                <w:sz w:val="16"/>
                <w:szCs w:val="16"/>
                <w:vertAlign w:val="superscript"/>
              </w:rPr>
              <w:t>2</w:t>
            </w:r>
          </w:p>
        </w:tc>
      </w:tr>
      <w:tr w:rsidR="00FF2980" w:rsidRPr="00E21C60" w14:paraId="14E190A1" w14:textId="77777777" w:rsidTr="00BB5CD0">
        <w:trPr>
          <w:trHeight w:val="285"/>
        </w:trPr>
        <w:tc>
          <w:tcPr>
            <w:tcW w:w="9087" w:type="dxa"/>
            <w:gridSpan w:val="13"/>
            <w:tcBorders>
              <w:top w:val="single" w:sz="8" w:space="0" w:color="auto"/>
              <w:left w:val="single" w:sz="8" w:space="0" w:color="auto"/>
              <w:bottom w:val="single" w:sz="8" w:space="0" w:color="auto"/>
              <w:right w:val="single" w:sz="8" w:space="0" w:color="000000"/>
            </w:tcBorders>
            <w:shd w:val="clear" w:color="auto" w:fill="C2D69B" w:themeFill="accent3" w:themeFillTint="99"/>
            <w:vAlign w:val="center"/>
            <w:hideMark/>
          </w:tcPr>
          <w:p w14:paraId="1897DC0D" w14:textId="77777777" w:rsidR="00FF2980" w:rsidRPr="00E21C60" w:rsidRDefault="00FF2980">
            <w:pPr>
              <w:rPr>
                <w:rFonts w:ascii="Arial" w:hAnsi="Arial" w:cs="Arial"/>
                <w:b/>
                <w:bCs/>
                <w:color w:val="000000"/>
                <w:sz w:val="16"/>
                <w:szCs w:val="16"/>
              </w:rPr>
            </w:pPr>
            <w:r w:rsidRPr="00E21C60">
              <w:rPr>
                <w:rFonts w:ascii="Arial" w:hAnsi="Arial" w:cs="Arial"/>
                <w:b/>
                <w:bCs/>
                <w:color w:val="000000"/>
                <w:sz w:val="16"/>
                <w:szCs w:val="16"/>
              </w:rPr>
              <w:t>Prioritná os 1 - Integrovaná ochrana a racionálne využívanie vôd</w:t>
            </w:r>
          </w:p>
        </w:tc>
      </w:tr>
      <w:tr w:rsidR="00123376" w:rsidRPr="00E21C60" w14:paraId="5424525E" w14:textId="77777777" w:rsidTr="00123376">
        <w:trPr>
          <w:trHeight w:val="855"/>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2C7622EB" w14:textId="77777777" w:rsidR="00FF2980" w:rsidRPr="00E21C60" w:rsidRDefault="00FF2980">
            <w:pPr>
              <w:rPr>
                <w:rFonts w:ascii="Arial" w:hAnsi="Arial" w:cs="Arial"/>
                <w:color w:val="000000"/>
                <w:sz w:val="16"/>
                <w:szCs w:val="16"/>
              </w:rPr>
            </w:pPr>
            <w:r w:rsidRPr="00E21C60">
              <w:rPr>
                <w:rFonts w:ascii="Arial" w:hAnsi="Arial" w:cs="Arial"/>
                <w:color w:val="000000"/>
                <w:sz w:val="16"/>
                <w:szCs w:val="16"/>
              </w:rPr>
              <w:t>Počet ekviva-</w:t>
            </w:r>
            <w:r w:rsidRPr="00E21C60">
              <w:rPr>
                <w:rFonts w:ascii="Arial" w:hAnsi="Arial" w:cs="Arial"/>
                <w:color w:val="000000"/>
                <w:sz w:val="16"/>
                <w:szCs w:val="16"/>
              </w:rPr>
              <w:br/>
              <w:t>lentných obyvateľov napojených na novovy-</w:t>
            </w:r>
            <w:r w:rsidRPr="00E21C60">
              <w:rPr>
                <w:rFonts w:ascii="Arial" w:hAnsi="Arial" w:cs="Arial"/>
                <w:color w:val="000000"/>
                <w:sz w:val="16"/>
                <w:szCs w:val="16"/>
              </w:rPr>
              <w:br/>
              <w:t>budovanú kanalizačnú sieť [počet] výsledok</w:t>
            </w:r>
          </w:p>
        </w:tc>
        <w:tc>
          <w:tcPr>
            <w:tcW w:w="959" w:type="dxa"/>
            <w:tcBorders>
              <w:top w:val="nil"/>
              <w:left w:val="nil"/>
              <w:bottom w:val="dotted" w:sz="4" w:space="0" w:color="auto"/>
              <w:right w:val="dotted" w:sz="4" w:space="0" w:color="auto"/>
            </w:tcBorders>
            <w:shd w:val="clear" w:color="000000" w:fill="FFFFFF"/>
            <w:vAlign w:val="center"/>
            <w:hideMark/>
          </w:tcPr>
          <w:p w14:paraId="4B264E36" w14:textId="77777777" w:rsidR="00FF2980" w:rsidRPr="00E21C60" w:rsidRDefault="00FF2980">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17935A57"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0AFD8497"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3AD4452F"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7C6EFBFB"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48C5B934"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487</w:t>
            </w:r>
          </w:p>
        </w:tc>
        <w:tc>
          <w:tcPr>
            <w:tcW w:w="639" w:type="dxa"/>
            <w:tcBorders>
              <w:top w:val="nil"/>
              <w:left w:val="nil"/>
              <w:bottom w:val="dotted" w:sz="4" w:space="0" w:color="auto"/>
              <w:right w:val="dotted" w:sz="4" w:space="0" w:color="auto"/>
            </w:tcBorders>
            <w:shd w:val="clear" w:color="auto" w:fill="auto"/>
            <w:vAlign w:val="center"/>
            <w:hideMark/>
          </w:tcPr>
          <w:p w14:paraId="645EE4D1"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1</w:t>
            </w:r>
            <w:r w:rsidR="00F8725C" w:rsidRPr="00E21C60">
              <w:rPr>
                <w:rFonts w:ascii="Arial" w:hAnsi="Arial" w:cs="Arial"/>
                <w:color w:val="000000"/>
                <w:sz w:val="16"/>
                <w:szCs w:val="16"/>
              </w:rPr>
              <w:t xml:space="preserve"> </w:t>
            </w:r>
            <w:r w:rsidRPr="00E21C60">
              <w:rPr>
                <w:rFonts w:ascii="Arial" w:hAnsi="Arial" w:cs="Arial"/>
                <w:color w:val="000000"/>
                <w:sz w:val="16"/>
                <w:szCs w:val="16"/>
              </w:rPr>
              <w:t>890</w:t>
            </w:r>
          </w:p>
        </w:tc>
        <w:tc>
          <w:tcPr>
            <w:tcW w:w="639" w:type="dxa"/>
            <w:tcBorders>
              <w:top w:val="nil"/>
              <w:left w:val="nil"/>
              <w:bottom w:val="dotted" w:sz="4" w:space="0" w:color="auto"/>
              <w:right w:val="dotted" w:sz="4" w:space="0" w:color="auto"/>
            </w:tcBorders>
            <w:shd w:val="clear" w:color="auto" w:fill="auto"/>
            <w:vAlign w:val="center"/>
            <w:hideMark/>
          </w:tcPr>
          <w:p w14:paraId="277D1978"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13</w:t>
            </w:r>
            <w:r w:rsidR="00F8725C" w:rsidRPr="00E21C60">
              <w:rPr>
                <w:rFonts w:ascii="Arial" w:hAnsi="Arial" w:cs="Arial"/>
                <w:color w:val="000000"/>
                <w:sz w:val="16"/>
                <w:szCs w:val="16"/>
              </w:rPr>
              <w:t xml:space="preserve"> </w:t>
            </w:r>
            <w:r w:rsidRPr="00E21C60">
              <w:rPr>
                <w:rFonts w:ascii="Arial" w:hAnsi="Arial" w:cs="Arial"/>
                <w:color w:val="000000"/>
                <w:sz w:val="16"/>
                <w:szCs w:val="16"/>
              </w:rPr>
              <w:t xml:space="preserve">883 </w:t>
            </w:r>
          </w:p>
        </w:tc>
        <w:tc>
          <w:tcPr>
            <w:tcW w:w="507" w:type="dxa"/>
            <w:tcBorders>
              <w:top w:val="nil"/>
              <w:left w:val="nil"/>
              <w:bottom w:val="dotted" w:sz="4" w:space="0" w:color="auto"/>
              <w:right w:val="dotted" w:sz="4" w:space="0" w:color="auto"/>
            </w:tcBorders>
            <w:shd w:val="clear" w:color="auto" w:fill="auto"/>
            <w:vAlign w:val="center"/>
            <w:hideMark/>
          </w:tcPr>
          <w:p w14:paraId="0546C785" w14:textId="6131D098" w:rsidR="00FF2980" w:rsidRPr="00E21C60" w:rsidRDefault="00FD074C">
            <w:pPr>
              <w:jc w:val="center"/>
              <w:rPr>
                <w:rFonts w:ascii="Arial" w:hAnsi="Arial" w:cs="Arial"/>
                <w:color w:val="000000"/>
                <w:sz w:val="16"/>
                <w:szCs w:val="16"/>
              </w:rPr>
            </w:pPr>
            <w:r>
              <w:rPr>
                <w:rFonts w:ascii="Arial" w:hAnsi="Arial" w:cs="Arial"/>
                <w:color w:val="000000"/>
                <w:sz w:val="16"/>
                <w:szCs w:val="16"/>
              </w:rPr>
              <w:t>44 195</w:t>
            </w:r>
          </w:p>
        </w:tc>
        <w:tc>
          <w:tcPr>
            <w:tcW w:w="567" w:type="dxa"/>
            <w:tcBorders>
              <w:top w:val="nil"/>
              <w:left w:val="nil"/>
              <w:bottom w:val="dotted" w:sz="4" w:space="0" w:color="auto"/>
              <w:right w:val="dotted" w:sz="4" w:space="0" w:color="auto"/>
            </w:tcBorders>
            <w:shd w:val="clear" w:color="auto" w:fill="auto"/>
            <w:vAlign w:val="center"/>
            <w:hideMark/>
          </w:tcPr>
          <w:p w14:paraId="0760F244" w14:textId="30B5618F" w:rsidR="00FF2980" w:rsidRPr="00E21C60" w:rsidRDefault="00BE0BA7">
            <w:pPr>
              <w:jc w:val="center"/>
              <w:rPr>
                <w:rFonts w:ascii="Arial" w:hAnsi="Arial" w:cs="Arial"/>
                <w:color w:val="000000"/>
                <w:sz w:val="16"/>
                <w:szCs w:val="16"/>
              </w:rPr>
            </w:pPr>
            <w:r w:rsidRPr="00BE0BA7">
              <w:rPr>
                <w:rFonts w:ascii="Arial" w:hAnsi="Arial" w:cs="Arial"/>
                <w:color w:val="000000"/>
                <w:sz w:val="16"/>
                <w:szCs w:val="16"/>
              </w:rPr>
              <w:t>67683,86</w:t>
            </w:r>
          </w:p>
        </w:tc>
        <w:tc>
          <w:tcPr>
            <w:tcW w:w="709" w:type="dxa"/>
            <w:tcBorders>
              <w:top w:val="nil"/>
              <w:left w:val="nil"/>
              <w:bottom w:val="dotted" w:sz="4" w:space="0" w:color="auto"/>
              <w:right w:val="dotted" w:sz="4" w:space="0" w:color="auto"/>
            </w:tcBorders>
            <w:shd w:val="clear" w:color="auto" w:fill="auto"/>
            <w:vAlign w:val="center"/>
            <w:hideMark/>
          </w:tcPr>
          <w:p w14:paraId="2D3ACFFB" w14:textId="13124C5A" w:rsidR="00FF2980" w:rsidRPr="00E21C60" w:rsidRDefault="00BE0BA7">
            <w:pPr>
              <w:jc w:val="center"/>
              <w:rPr>
                <w:rFonts w:ascii="Arial" w:hAnsi="Arial" w:cs="Arial"/>
                <w:color w:val="000000"/>
                <w:sz w:val="16"/>
                <w:szCs w:val="16"/>
              </w:rPr>
            </w:pPr>
            <w:r w:rsidRPr="00BE0BA7">
              <w:rPr>
                <w:rFonts w:ascii="Arial" w:hAnsi="Arial" w:cs="Arial"/>
                <w:color w:val="000000"/>
                <w:sz w:val="16"/>
                <w:szCs w:val="16"/>
              </w:rPr>
              <w:t>99101</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44498947" w14:textId="4007CE92" w:rsidR="00FF2980" w:rsidRPr="00E21C60" w:rsidRDefault="00751C55">
            <w:pPr>
              <w:jc w:val="center"/>
              <w:rPr>
                <w:rFonts w:ascii="Arial" w:hAnsi="Arial" w:cs="Arial"/>
                <w:color w:val="000000"/>
                <w:sz w:val="16"/>
                <w:szCs w:val="16"/>
              </w:rPr>
            </w:pPr>
            <w:r w:rsidRPr="00751C55">
              <w:rPr>
                <w:rFonts w:ascii="Arial" w:hAnsi="Arial" w:cs="Arial"/>
                <w:color w:val="000000"/>
                <w:sz w:val="16"/>
                <w:szCs w:val="16"/>
              </w:rPr>
              <w:t>299902</w:t>
            </w:r>
          </w:p>
        </w:tc>
      </w:tr>
      <w:tr w:rsidR="00123376" w:rsidRPr="00E21C60" w14:paraId="6DF8EA9A" w14:textId="77777777" w:rsidTr="00123376">
        <w:trPr>
          <w:trHeight w:val="855"/>
        </w:trPr>
        <w:tc>
          <w:tcPr>
            <w:tcW w:w="1095" w:type="dxa"/>
            <w:vMerge/>
            <w:tcBorders>
              <w:top w:val="nil"/>
              <w:left w:val="single" w:sz="8" w:space="0" w:color="auto"/>
              <w:bottom w:val="single" w:sz="8" w:space="0" w:color="000000"/>
              <w:right w:val="single" w:sz="8" w:space="0" w:color="auto"/>
            </w:tcBorders>
            <w:vAlign w:val="center"/>
            <w:hideMark/>
          </w:tcPr>
          <w:p w14:paraId="1078B75E" w14:textId="77777777" w:rsidR="00FF2980" w:rsidRPr="00E21C60" w:rsidRDefault="00FF2980">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021F551D" w14:textId="77777777" w:rsidR="00FF2980" w:rsidRPr="00E21C60" w:rsidRDefault="00FF2980">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0710E359"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2DEE8E73"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33DB9654"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A22E6D4"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77FE07B9"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677B4F4F"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009E7F1E"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5B7F4736"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3CDBCDFE" w14:textId="068C8186" w:rsidR="00FF2980" w:rsidRPr="00E21C60" w:rsidRDefault="00751C55">
            <w:pPr>
              <w:jc w:val="center"/>
              <w:rPr>
                <w:rFonts w:ascii="Arial" w:hAnsi="Arial" w:cs="Arial"/>
                <w:color w:val="000000"/>
                <w:sz w:val="16"/>
                <w:szCs w:val="16"/>
              </w:rPr>
            </w:pPr>
            <w:r w:rsidRPr="00751C55">
              <w:rPr>
                <w:rFonts w:ascii="Arial" w:hAnsi="Arial" w:cs="Arial"/>
                <w:color w:val="000000"/>
                <w:sz w:val="16"/>
                <w:szCs w:val="16"/>
              </w:rPr>
              <w:t>323147</w:t>
            </w:r>
          </w:p>
        </w:tc>
        <w:tc>
          <w:tcPr>
            <w:tcW w:w="709" w:type="dxa"/>
            <w:tcBorders>
              <w:top w:val="nil"/>
              <w:left w:val="nil"/>
              <w:bottom w:val="dotted" w:sz="4" w:space="0" w:color="auto"/>
              <w:right w:val="dotted" w:sz="4" w:space="0" w:color="auto"/>
            </w:tcBorders>
            <w:shd w:val="clear" w:color="auto" w:fill="auto"/>
            <w:vAlign w:val="center"/>
            <w:hideMark/>
          </w:tcPr>
          <w:p w14:paraId="577A5360" w14:textId="6FA49EF2" w:rsidR="00FF2980" w:rsidRPr="00E21C60" w:rsidRDefault="00751C55">
            <w:pPr>
              <w:jc w:val="center"/>
              <w:rPr>
                <w:rFonts w:ascii="Arial" w:hAnsi="Arial" w:cs="Arial"/>
                <w:color w:val="000000"/>
                <w:sz w:val="16"/>
                <w:szCs w:val="16"/>
              </w:rPr>
            </w:pPr>
            <w:r w:rsidRPr="00751C55">
              <w:rPr>
                <w:rFonts w:ascii="Arial" w:hAnsi="Arial" w:cs="Arial"/>
                <w:color w:val="000000"/>
                <w:sz w:val="16"/>
                <w:szCs w:val="16"/>
              </w:rPr>
              <w:t>323147</w:t>
            </w:r>
          </w:p>
        </w:tc>
        <w:tc>
          <w:tcPr>
            <w:tcW w:w="850" w:type="dxa"/>
            <w:vMerge/>
            <w:tcBorders>
              <w:top w:val="nil"/>
              <w:left w:val="dotted" w:sz="4" w:space="0" w:color="auto"/>
              <w:bottom w:val="single" w:sz="8" w:space="0" w:color="000000"/>
              <w:right w:val="single" w:sz="8" w:space="0" w:color="auto"/>
            </w:tcBorders>
            <w:vAlign w:val="center"/>
            <w:hideMark/>
          </w:tcPr>
          <w:p w14:paraId="0ADD7C5E" w14:textId="77777777" w:rsidR="00FF2980" w:rsidRPr="00E21C60" w:rsidRDefault="00FF2980">
            <w:pPr>
              <w:rPr>
                <w:rFonts w:ascii="Arial" w:hAnsi="Arial" w:cs="Arial"/>
                <w:color w:val="000000"/>
                <w:sz w:val="16"/>
                <w:szCs w:val="16"/>
              </w:rPr>
            </w:pPr>
          </w:p>
        </w:tc>
      </w:tr>
      <w:tr w:rsidR="00123376" w:rsidRPr="00E21C60" w14:paraId="3DFE980A" w14:textId="77777777" w:rsidTr="00123376">
        <w:trPr>
          <w:trHeight w:val="855"/>
        </w:trPr>
        <w:tc>
          <w:tcPr>
            <w:tcW w:w="1095" w:type="dxa"/>
            <w:vMerge/>
            <w:tcBorders>
              <w:top w:val="nil"/>
              <w:left w:val="single" w:sz="8" w:space="0" w:color="auto"/>
              <w:bottom w:val="single" w:sz="8" w:space="0" w:color="000000"/>
              <w:right w:val="single" w:sz="8" w:space="0" w:color="auto"/>
            </w:tcBorders>
            <w:vAlign w:val="center"/>
            <w:hideMark/>
          </w:tcPr>
          <w:p w14:paraId="014D0897" w14:textId="77777777" w:rsidR="00FF2980" w:rsidRPr="00E21C60" w:rsidRDefault="00FF2980">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034F390A" w14:textId="77777777" w:rsidR="00FF2980" w:rsidRPr="00E21C60" w:rsidRDefault="00FF2980">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114BE03F"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4 696</w:t>
            </w:r>
          </w:p>
        </w:tc>
        <w:tc>
          <w:tcPr>
            <w:tcW w:w="622" w:type="dxa"/>
            <w:tcBorders>
              <w:top w:val="nil"/>
              <w:left w:val="nil"/>
              <w:bottom w:val="single" w:sz="8" w:space="0" w:color="auto"/>
              <w:right w:val="dotted" w:sz="4" w:space="0" w:color="auto"/>
            </w:tcBorders>
            <w:shd w:val="clear" w:color="auto" w:fill="auto"/>
            <w:vAlign w:val="center"/>
            <w:hideMark/>
          </w:tcPr>
          <w:p w14:paraId="26E684ED"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74862D7B"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5A8BC4C6"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3F08D68B"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511B5A94"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216EAF91"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2E521250"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1D95493A"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0326F876"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4 696</w:t>
            </w:r>
          </w:p>
        </w:tc>
        <w:tc>
          <w:tcPr>
            <w:tcW w:w="850" w:type="dxa"/>
            <w:vMerge/>
            <w:tcBorders>
              <w:top w:val="nil"/>
              <w:left w:val="dotted" w:sz="4" w:space="0" w:color="auto"/>
              <w:bottom w:val="single" w:sz="8" w:space="0" w:color="000000"/>
              <w:right w:val="single" w:sz="8" w:space="0" w:color="auto"/>
            </w:tcBorders>
            <w:vAlign w:val="center"/>
            <w:hideMark/>
          </w:tcPr>
          <w:p w14:paraId="091677CD" w14:textId="77777777" w:rsidR="00FF2980" w:rsidRPr="00E21C60" w:rsidRDefault="00FF2980">
            <w:pPr>
              <w:rPr>
                <w:rFonts w:ascii="Arial" w:hAnsi="Arial" w:cs="Arial"/>
                <w:color w:val="000000"/>
                <w:sz w:val="16"/>
                <w:szCs w:val="16"/>
              </w:rPr>
            </w:pPr>
          </w:p>
        </w:tc>
      </w:tr>
      <w:tr w:rsidR="00123376" w:rsidRPr="00E21C60" w14:paraId="699949B5" w14:textId="77777777" w:rsidTr="00123376">
        <w:trPr>
          <w:trHeight w:val="450"/>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6B1B9AAD" w14:textId="77777777" w:rsidR="00FF2980" w:rsidRPr="00E21C60" w:rsidRDefault="00FF2980">
            <w:pPr>
              <w:rPr>
                <w:rFonts w:ascii="Arial" w:hAnsi="Arial" w:cs="Arial"/>
                <w:color w:val="000000"/>
                <w:sz w:val="16"/>
                <w:szCs w:val="16"/>
              </w:rPr>
            </w:pPr>
            <w:r w:rsidRPr="00E21C60">
              <w:rPr>
                <w:rFonts w:ascii="Arial" w:hAnsi="Arial" w:cs="Arial"/>
                <w:color w:val="000000"/>
                <w:sz w:val="16"/>
                <w:szCs w:val="16"/>
              </w:rPr>
              <w:t>Počet novovytvo-</w:t>
            </w:r>
            <w:r w:rsidRPr="00E21C60">
              <w:rPr>
                <w:rFonts w:ascii="Arial" w:hAnsi="Arial" w:cs="Arial"/>
                <w:color w:val="000000"/>
                <w:sz w:val="16"/>
                <w:szCs w:val="16"/>
              </w:rPr>
              <w:br/>
              <w:t>rených pracovných miest (počet) dopad</w:t>
            </w:r>
          </w:p>
        </w:tc>
        <w:tc>
          <w:tcPr>
            <w:tcW w:w="959" w:type="dxa"/>
            <w:tcBorders>
              <w:top w:val="nil"/>
              <w:left w:val="nil"/>
              <w:bottom w:val="dotted" w:sz="4" w:space="0" w:color="auto"/>
              <w:right w:val="dotted" w:sz="4" w:space="0" w:color="auto"/>
            </w:tcBorders>
            <w:shd w:val="clear" w:color="000000" w:fill="FFFFFF"/>
            <w:vAlign w:val="center"/>
            <w:hideMark/>
          </w:tcPr>
          <w:p w14:paraId="1D09D4B6" w14:textId="77777777" w:rsidR="00FF2980" w:rsidRPr="00E21C60" w:rsidRDefault="00FF2980">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1D321952"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2602120B"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387AECC4"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5ED9DA97"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66A3C651"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33FC0E1C"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67B6053D"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507" w:type="dxa"/>
            <w:tcBorders>
              <w:top w:val="nil"/>
              <w:left w:val="nil"/>
              <w:bottom w:val="dotted" w:sz="4" w:space="0" w:color="auto"/>
              <w:right w:val="dotted" w:sz="4" w:space="0" w:color="auto"/>
            </w:tcBorders>
            <w:shd w:val="clear" w:color="auto" w:fill="auto"/>
            <w:vAlign w:val="center"/>
            <w:hideMark/>
          </w:tcPr>
          <w:p w14:paraId="4CF3D06C" w14:textId="6462930B" w:rsidR="00FF2980" w:rsidRPr="00E21C60" w:rsidRDefault="00475E71">
            <w:pPr>
              <w:jc w:val="center"/>
              <w:rPr>
                <w:rFonts w:ascii="Arial" w:hAnsi="Arial" w:cs="Arial"/>
                <w:color w:val="000000"/>
                <w:sz w:val="16"/>
                <w:szCs w:val="16"/>
              </w:rPr>
            </w:pPr>
            <w:r>
              <w:rPr>
                <w:rFonts w:ascii="Arial" w:hAnsi="Arial" w:cs="Arial"/>
                <w:color w:val="000000"/>
                <w:sz w:val="16"/>
                <w:szCs w:val="16"/>
              </w:rPr>
              <w:t>0</w:t>
            </w:r>
          </w:p>
        </w:tc>
        <w:tc>
          <w:tcPr>
            <w:tcW w:w="567" w:type="dxa"/>
            <w:tcBorders>
              <w:top w:val="nil"/>
              <w:left w:val="nil"/>
              <w:bottom w:val="dotted" w:sz="4" w:space="0" w:color="auto"/>
              <w:right w:val="dotted" w:sz="4" w:space="0" w:color="auto"/>
            </w:tcBorders>
            <w:shd w:val="clear" w:color="auto" w:fill="auto"/>
            <w:vAlign w:val="center"/>
            <w:hideMark/>
          </w:tcPr>
          <w:p w14:paraId="408FA237" w14:textId="19729E6E" w:rsidR="00FF2980" w:rsidRPr="00E21C60" w:rsidRDefault="00751C55">
            <w:pPr>
              <w:jc w:val="center"/>
              <w:rPr>
                <w:rFonts w:ascii="Arial" w:hAnsi="Arial" w:cs="Arial"/>
                <w:color w:val="000000"/>
                <w:sz w:val="16"/>
                <w:szCs w:val="16"/>
              </w:rPr>
            </w:pPr>
            <w:r>
              <w:rPr>
                <w:rFonts w:ascii="Arial" w:hAnsi="Arial" w:cs="Arial"/>
                <w:color w:val="000000"/>
                <w:sz w:val="16"/>
                <w:szCs w:val="16"/>
              </w:rPr>
              <w:t>10</w:t>
            </w:r>
          </w:p>
        </w:tc>
        <w:tc>
          <w:tcPr>
            <w:tcW w:w="709" w:type="dxa"/>
            <w:tcBorders>
              <w:top w:val="nil"/>
              <w:left w:val="nil"/>
              <w:bottom w:val="dotted" w:sz="4" w:space="0" w:color="auto"/>
              <w:right w:val="dotted" w:sz="4" w:space="0" w:color="auto"/>
            </w:tcBorders>
            <w:shd w:val="clear" w:color="auto" w:fill="auto"/>
            <w:vAlign w:val="center"/>
            <w:hideMark/>
          </w:tcPr>
          <w:p w14:paraId="614EEFCB" w14:textId="5D34A6D2" w:rsidR="00FF2980" w:rsidRPr="00E21C60" w:rsidRDefault="00751C55">
            <w:pPr>
              <w:jc w:val="center"/>
              <w:rPr>
                <w:rFonts w:ascii="Arial" w:hAnsi="Arial" w:cs="Arial"/>
                <w:color w:val="000000"/>
                <w:sz w:val="16"/>
                <w:szCs w:val="16"/>
              </w:rPr>
            </w:pPr>
            <w:r>
              <w:rPr>
                <w:rFonts w:ascii="Arial" w:hAnsi="Arial" w:cs="Arial"/>
                <w:color w:val="000000"/>
                <w:sz w:val="16"/>
                <w:szCs w:val="16"/>
              </w:rPr>
              <w:t>25</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2C523A74" w14:textId="0EB119F8" w:rsidR="00FF2980" w:rsidRPr="00E21C60" w:rsidRDefault="000B78EA">
            <w:pPr>
              <w:jc w:val="center"/>
              <w:rPr>
                <w:rFonts w:ascii="Arial" w:hAnsi="Arial" w:cs="Arial"/>
                <w:color w:val="000000"/>
                <w:sz w:val="16"/>
                <w:szCs w:val="16"/>
              </w:rPr>
            </w:pPr>
            <w:r>
              <w:rPr>
                <w:rFonts w:ascii="Arial" w:hAnsi="Arial" w:cs="Arial"/>
                <w:color w:val="000000"/>
                <w:sz w:val="16"/>
                <w:szCs w:val="16"/>
              </w:rPr>
              <w:t>23</w:t>
            </w:r>
            <w:r w:rsidR="00FF2980" w:rsidRPr="00E21C60">
              <w:rPr>
                <w:rFonts w:ascii="Arial" w:hAnsi="Arial" w:cs="Arial"/>
                <w:color w:val="000000"/>
                <w:sz w:val="16"/>
                <w:szCs w:val="16"/>
              </w:rPr>
              <w:br/>
            </w:r>
            <w:r w:rsidR="00184DE8" w:rsidRPr="00E21C60">
              <w:rPr>
                <w:rFonts w:ascii="Arial" w:hAnsi="Arial" w:cs="Arial"/>
                <w:color w:val="000000"/>
                <w:sz w:val="16"/>
                <w:szCs w:val="16"/>
              </w:rPr>
              <w:t>p</w:t>
            </w:r>
            <w:r w:rsidR="00FF2980" w:rsidRPr="00E21C60">
              <w:rPr>
                <w:rFonts w:ascii="Arial" w:hAnsi="Arial" w:cs="Arial"/>
                <w:color w:val="000000"/>
                <w:sz w:val="16"/>
                <w:szCs w:val="16"/>
              </w:rPr>
              <w:t>o ukončení realizácie všetkých projektov</w:t>
            </w:r>
          </w:p>
        </w:tc>
      </w:tr>
      <w:tr w:rsidR="00123376" w:rsidRPr="00E21C60" w14:paraId="445AD4F2" w14:textId="77777777" w:rsidTr="00123376">
        <w:trPr>
          <w:trHeight w:val="450"/>
        </w:trPr>
        <w:tc>
          <w:tcPr>
            <w:tcW w:w="1095" w:type="dxa"/>
            <w:vMerge/>
            <w:tcBorders>
              <w:top w:val="nil"/>
              <w:left w:val="single" w:sz="8" w:space="0" w:color="auto"/>
              <w:bottom w:val="single" w:sz="8" w:space="0" w:color="000000"/>
              <w:right w:val="single" w:sz="8" w:space="0" w:color="auto"/>
            </w:tcBorders>
            <w:vAlign w:val="center"/>
            <w:hideMark/>
          </w:tcPr>
          <w:p w14:paraId="38AD8F3A" w14:textId="77777777" w:rsidR="00FF2980" w:rsidRPr="00E21C60" w:rsidRDefault="00FF2980">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755C822D" w14:textId="77777777" w:rsidR="00FF2980" w:rsidRPr="00E21C60" w:rsidRDefault="00FF2980">
            <w:pPr>
              <w:rPr>
                <w:rFonts w:ascii="Arial" w:hAnsi="Arial" w:cs="Arial"/>
                <w:color w:val="000000"/>
                <w:sz w:val="16"/>
                <w:szCs w:val="16"/>
              </w:rPr>
            </w:pPr>
            <w:r w:rsidRPr="00E21C60">
              <w:rPr>
                <w:rFonts w:ascii="Arial" w:hAnsi="Arial" w:cs="Arial"/>
                <w:color w:val="000000"/>
                <w:sz w:val="16"/>
                <w:szCs w:val="16"/>
              </w:rPr>
              <w:t xml:space="preserve">Cieľ </w:t>
            </w:r>
          </w:p>
        </w:tc>
        <w:tc>
          <w:tcPr>
            <w:tcW w:w="622" w:type="dxa"/>
            <w:tcBorders>
              <w:top w:val="nil"/>
              <w:left w:val="nil"/>
              <w:bottom w:val="dotted" w:sz="4" w:space="0" w:color="auto"/>
              <w:right w:val="dotted" w:sz="4" w:space="0" w:color="auto"/>
            </w:tcBorders>
            <w:shd w:val="clear" w:color="auto" w:fill="auto"/>
            <w:vAlign w:val="center"/>
            <w:hideMark/>
          </w:tcPr>
          <w:p w14:paraId="78FAFDF1"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4FED01A8"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526574A7"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193916B8"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3E294179"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4FC19460"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50660369"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749DB97E"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61E21B9F"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200</w:t>
            </w:r>
          </w:p>
        </w:tc>
        <w:tc>
          <w:tcPr>
            <w:tcW w:w="709" w:type="dxa"/>
            <w:tcBorders>
              <w:top w:val="nil"/>
              <w:left w:val="nil"/>
              <w:bottom w:val="dotted" w:sz="4" w:space="0" w:color="auto"/>
              <w:right w:val="dotted" w:sz="4" w:space="0" w:color="auto"/>
            </w:tcBorders>
            <w:shd w:val="clear" w:color="auto" w:fill="auto"/>
            <w:vAlign w:val="center"/>
            <w:hideMark/>
          </w:tcPr>
          <w:p w14:paraId="3A4A7E8D"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200</w:t>
            </w:r>
          </w:p>
        </w:tc>
        <w:tc>
          <w:tcPr>
            <w:tcW w:w="850" w:type="dxa"/>
            <w:vMerge/>
            <w:tcBorders>
              <w:top w:val="nil"/>
              <w:left w:val="dotted" w:sz="4" w:space="0" w:color="auto"/>
              <w:bottom w:val="single" w:sz="8" w:space="0" w:color="000000"/>
              <w:right w:val="single" w:sz="8" w:space="0" w:color="auto"/>
            </w:tcBorders>
            <w:vAlign w:val="center"/>
            <w:hideMark/>
          </w:tcPr>
          <w:p w14:paraId="56E5AE41" w14:textId="77777777" w:rsidR="00FF2980" w:rsidRPr="00E21C60" w:rsidRDefault="00FF2980">
            <w:pPr>
              <w:rPr>
                <w:rFonts w:ascii="Arial" w:hAnsi="Arial" w:cs="Arial"/>
                <w:color w:val="000000"/>
                <w:sz w:val="16"/>
                <w:szCs w:val="16"/>
              </w:rPr>
            </w:pPr>
          </w:p>
        </w:tc>
      </w:tr>
      <w:tr w:rsidR="00123376" w:rsidRPr="00E21C60" w14:paraId="1AEBC40B" w14:textId="77777777" w:rsidTr="00123376">
        <w:trPr>
          <w:trHeight w:val="450"/>
        </w:trPr>
        <w:tc>
          <w:tcPr>
            <w:tcW w:w="1095" w:type="dxa"/>
            <w:vMerge/>
            <w:tcBorders>
              <w:top w:val="nil"/>
              <w:left w:val="single" w:sz="8" w:space="0" w:color="auto"/>
              <w:bottom w:val="single" w:sz="8" w:space="0" w:color="000000"/>
              <w:right w:val="single" w:sz="8" w:space="0" w:color="auto"/>
            </w:tcBorders>
            <w:vAlign w:val="center"/>
            <w:hideMark/>
          </w:tcPr>
          <w:p w14:paraId="6BA81FE1" w14:textId="77777777" w:rsidR="00FF2980" w:rsidRPr="00E21C60" w:rsidRDefault="00FF2980">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2BDBDE05" w14:textId="77777777" w:rsidR="00FF2980" w:rsidRPr="00E21C60" w:rsidRDefault="00FF2980">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2CE13338"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single" w:sz="8" w:space="0" w:color="auto"/>
              <w:right w:val="dotted" w:sz="4" w:space="0" w:color="auto"/>
            </w:tcBorders>
            <w:shd w:val="clear" w:color="auto" w:fill="auto"/>
            <w:vAlign w:val="center"/>
            <w:hideMark/>
          </w:tcPr>
          <w:p w14:paraId="5676B72C"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235DE5EF"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644AB838"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218A379A"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4E83E111"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345E2603"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1AE51CF4"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62948AA4"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709" w:type="dxa"/>
            <w:tcBorders>
              <w:top w:val="nil"/>
              <w:left w:val="nil"/>
              <w:bottom w:val="single" w:sz="8" w:space="0" w:color="auto"/>
              <w:right w:val="dotted" w:sz="4" w:space="0" w:color="auto"/>
            </w:tcBorders>
            <w:shd w:val="clear" w:color="auto" w:fill="auto"/>
            <w:vAlign w:val="center"/>
            <w:hideMark/>
          </w:tcPr>
          <w:p w14:paraId="779792C9" w14:textId="77777777" w:rsidR="00FF2980" w:rsidRPr="00E21C60" w:rsidRDefault="00FF2980">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tcBorders>
              <w:top w:val="nil"/>
              <w:left w:val="dotted" w:sz="4" w:space="0" w:color="auto"/>
              <w:bottom w:val="single" w:sz="8" w:space="0" w:color="000000"/>
              <w:right w:val="single" w:sz="8" w:space="0" w:color="auto"/>
            </w:tcBorders>
            <w:vAlign w:val="center"/>
            <w:hideMark/>
          </w:tcPr>
          <w:p w14:paraId="0CE727BA" w14:textId="77777777" w:rsidR="00FF2980" w:rsidRPr="00E21C60" w:rsidRDefault="00FF2980">
            <w:pPr>
              <w:rPr>
                <w:rFonts w:ascii="Arial" w:hAnsi="Arial" w:cs="Arial"/>
                <w:color w:val="000000"/>
                <w:sz w:val="16"/>
                <w:szCs w:val="16"/>
              </w:rPr>
            </w:pPr>
          </w:p>
        </w:tc>
      </w:tr>
      <w:tr w:rsidR="00FF2980" w:rsidRPr="00E21C60" w14:paraId="0130B78E" w14:textId="77777777" w:rsidTr="00123376">
        <w:trPr>
          <w:trHeight w:val="285"/>
        </w:trPr>
        <w:tc>
          <w:tcPr>
            <w:tcW w:w="9087" w:type="dxa"/>
            <w:gridSpan w:val="13"/>
            <w:tcBorders>
              <w:top w:val="single" w:sz="8" w:space="0" w:color="auto"/>
              <w:left w:val="single" w:sz="8" w:space="0" w:color="auto"/>
              <w:bottom w:val="single" w:sz="8" w:space="0" w:color="auto"/>
              <w:right w:val="single" w:sz="8" w:space="0" w:color="000000"/>
            </w:tcBorders>
            <w:shd w:val="clear" w:color="000000" w:fill="D8E4BC"/>
            <w:vAlign w:val="center"/>
            <w:hideMark/>
          </w:tcPr>
          <w:p w14:paraId="61CC99AF" w14:textId="77777777" w:rsidR="00FF2980" w:rsidRPr="00E21C60" w:rsidRDefault="00FF2980">
            <w:pPr>
              <w:rPr>
                <w:rFonts w:ascii="Arial" w:hAnsi="Arial" w:cs="Arial"/>
                <w:b/>
                <w:bCs/>
                <w:color w:val="000000"/>
                <w:sz w:val="16"/>
                <w:szCs w:val="16"/>
              </w:rPr>
            </w:pPr>
            <w:r w:rsidRPr="00E21C60">
              <w:rPr>
                <w:rFonts w:ascii="Arial" w:hAnsi="Arial" w:cs="Arial"/>
                <w:b/>
                <w:bCs/>
                <w:color w:val="000000"/>
                <w:sz w:val="16"/>
                <w:szCs w:val="16"/>
              </w:rPr>
              <w:t>Prioritná os 2 - Ochrana pred povodňami</w:t>
            </w:r>
          </w:p>
        </w:tc>
      </w:tr>
      <w:tr w:rsidR="00751C55" w:rsidRPr="00E21C60" w14:paraId="21CA0A53" w14:textId="77777777" w:rsidTr="00123376">
        <w:trPr>
          <w:trHeight w:val="705"/>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44FE620E" w14:textId="77777777" w:rsidR="00751C55" w:rsidRPr="00E21C60" w:rsidRDefault="00751C55">
            <w:pPr>
              <w:rPr>
                <w:rFonts w:ascii="Arial" w:hAnsi="Arial" w:cs="Arial"/>
                <w:color w:val="000000"/>
                <w:sz w:val="16"/>
                <w:szCs w:val="16"/>
              </w:rPr>
            </w:pPr>
            <w:r w:rsidRPr="00E21C60">
              <w:rPr>
                <w:rFonts w:ascii="Arial" w:hAnsi="Arial" w:cs="Arial"/>
                <w:color w:val="000000"/>
                <w:sz w:val="16"/>
                <w:szCs w:val="16"/>
              </w:rPr>
              <w:t>Plocha územia so zabezpe-</w:t>
            </w:r>
            <w:r w:rsidRPr="00E21C60">
              <w:rPr>
                <w:rFonts w:ascii="Arial" w:hAnsi="Arial" w:cs="Arial"/>
                <w:color w:val="000000"/>
                <w:sz w:val="16"/>
                <w:szCs w:val="16"/>
              </w:rPr>
              <w:br/>
              <w:t>čenou protipovod-</w:t>
            </w:r>
            <w:r w:rsidRPr="00E21C60">
              <w:rPr>
                <w:rFonts w:ascii="Arial" w:hAnsi="Arial" w:cs="Arial"/>
                <w:color w:val="000000"/>
                <w:sz w:val="16"/>
                <w:szCs w:val="16"/>
              </w:rPr>
              <w:br/>
              <w:t>ňovou ochranou [km</w:t>
            </w:r>
            <w:r w:rsidRPr="00123376">
              <w:rPr>
                <w:rFonts w:ascii="Arial" w:hAnsi="Arial" w:cs="Arial"/>
                <w:color w:val="000000"/>
                <w:sz w:val="16"/>
                <w:szCs w:val="16"/>
                <w:vertAlign w:val="superscript"/>
              </w:rPr>
              <w:t>2</w:t>
            </w:r>
            <w:r w:rsidRPr="00E21C60">
              <w:rPr>
                <w:rFonts w:ascii="Arial" w:hAnsi="Arial" w:cs="Arial"/>
                <w:color w:val="000000"/>
                <w:sz w:val="16"/>
                <w:szCs w:val="16"/>
              </w:rPr>
              <w:t>] výsledok</w:t>
            </w:r>
          </w:p>
        </w:tc>
        <w:tc>
          <w:tcPr>
            <w:tcW w:w="959" w:type="dxa"/>
            <w:tcBorders>
              <w:top w:val="nil"/>
              <w:left w:val="nil"/>
              <w:bottom w:val="dotted" w:sz="4" w:space="0" w:color="auto"/>
              <w:right w:val="dotted" w:sz="4" w:space="0" w:color="auto"/>
            </w:tcBorders>
            <w:shd w:val="clear" w:color="000000" w:fill="FFFFFF"/>
            <w:vAlign w:val="center"/>
            <w:hideMark/>
          </w:tcPr>
          <w:p w14:paraId="6E049803" w14:textId="77777777" w:rsidR="00751C55" w:rsidRPr="00E21C60" w:rsidRDefault="00751C55">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4148AA18" w14:textId="77777777" w:rsidR="00751C55" w:rsidRPr="00E21C60" w:rsidRDefault="00751C55">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1BB23011" w14:textId="77777777" w:rsidR="00751C55" w:rsidRPr="00E21C60" w:rsidRDefault="00751C55">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1DEAAB62" w14:textId="77777777" w:rsidR="00751C55" w:rsidRPr="00E21C60" w:rsidRDefault="00751C55">
            <w:pPr>
              <w:jc w:val="center"/>
              <w:rPr>
                <w:rFonts w:ascii="Arial" w:hAnsi="Arial" w:cs="Arial"/>
                <w:color w:val="000000"/>
                <w:sz w:val="16"/>
                <w:szCs w:val="16"/>
              </w:rPr>
            </w:pPr>
            <w:r w:rsidRPr="00E21C60">
              <w:rPr>
                <w:rFonts w:ascii="Arial" w:hAnsi="Arial" w:cs="Arial"/>
                <w:color w:val="000000"/>
                <w:sz w:val="16"/>
                <w:szCs w:val="16"/>
              </w:rPr>
              <w:t>3,05</w:t>
            </w:r>
          </w:p>
        </w:tc>
        <w:tc>
          <w:tcPr>
            <w:tcW w:w="628" w:type="dxa"/>
            <w:tcBorders>
              <w:top w:val="nil"/>
              <w:left w:val="nil"/>
              <w:bottom w:val="dotted" w:sz="4" w:space="0" w:color="auto"/>
              <w:right w:val="dotted" w:sz="4" w:space="0" w:color="auto"/>
            </w:tcBorders>
            <w:shd w:val="clear" w:color="auto" w:fill="auto"/>
            <w:vAlign w:val="center"/>
            <w:hideMark/>
          </w:tcPr>
          <w:p w14:paraId="4EBD92B6" w14:textId="77777777" w:rsidR="00751C55" w:rsidRPr="00E21C60" w:rsidRDefault="00751C55">
            <w:pPr>
              <w:jc w:val="center"/>
              <w:rPr>
                <w:rFonts w:ascii="Arial" w:hAnsi="Arial" w:cs="Arial"/>
                <w:color w:val="000000"/>
                <w:sz w:val="16"/>
                <w:szCs w:val="16"/>
              </w:rPr>
            </w:pPr>
            <w:r w:rsidRPr="00E21C60">
              <w:rPr>
                <w:rFonts w:ascii="Arial" w:hAnsi="Arial" w:cs="Arial"/>
                <w:color w:val="000000"/>
                <w:sz w:val="16"/>
                <w:szCs w:val="16"/>
              </w:rPr>
              <w:t>3,141</w:t>
            </w:r>
          </w:p>
        </w:tc>
        <w:tc>
          <w:tcPr>
            <w:tcW w:w="628" w:type="dxa"/>
            <w:tcBorders>
              <w:top w:val="nil"/>
              <w:left w:val="nil"/>
              <w:bottom w:val="dotted" w:sz="4" w:space="0" w:color="auto"/>
              <w:right w:val="dotted" w:sz="4" w:space="0" w:color="auto"/>
            </w:tcBorders>
            <w:shd w:val="clear" w:color="auto" w:fill="auto"/>
            <w:vAlign w:val="center"/>
            <w:hideMark/>
          </w:tcPr>
          <w:p w14:paraId="59B22E3A" w14:textId="77777777" w:rsidR="00751C55" w:rsidRPr="00E21C60" w:rsidRDefault="00751C55">
            <w:pPr>
              <w:jc w:val="center"/>
              <w:rPr>
                <w:rFonts w:ascii="Arial" w:hAnsi="Arial" w:cs="Arial"/>
                <w:color w:val="000000"/>
                <w:sz w:val="16"/>
                <w:szCs w:val="16"/>
              </w:rPr>
            </w:pPr>
            <w:r w:rsidRPr="00E21C60">
              <w:rPr>
                <w:rFonts w:ascii="Arial" w:hAnsi="Arial" w:cs="Arial"/>
                <w:color w:val="000000"/>
                <w:sz w:val="16"/>
                <w:szCs w:val="16"/>
              </w:rPr>
              <w:t>0,257</w:t>
            </w:r>
          </w:p>
        </w:tc>
        <w:tc>
          <w:tcPr>
            <w:tcW w:w="639" w:type="dxa"/>
            <w:tcBorders>
              <w:top w:val="nil"/>
              <w:left w:val="nil"/>
              <w:bottom w:val="dotted" w:sz="4" w:space="0" w:color="auto"/>
              <w:right w:val="dotted" w:sz="4" w:space="0" w:color="auto"/>
            </w:tcBorders>
            <w:shd w:val="clear" w:color="auto" w:fill="auto"/>
            <w:vAlign w:val="center"/>
            <w:hideMark/>
          </w:tcPr>
          <w:p w14:paraId="23A4464E" w14:textId="77777777" w:rsidR="00751C55" w:rsidRPr="00E21C60" w:rsidRDefault="00751C55">
            <w:pPr>
              <w:jc w:val="center"/>
              <w:rPr>
                <w:rFonts w:ascii="Arial" w:hAnsi="Arial" w:cs="Arial"/>
                <w:color w:val="000000"/>
                <w:sz w:val="16"/>
                <w:szCs w:val="16"/>
              </w:rPr>
            </w:pPr>
            <w:r w:rsidRPr="00E21C60">
              <w:rPr>
                <w:rFonts w:ascii="Arial" w:hAnsi="Arial" w:cs="Arial"/>
                <w:color w:val="000000"/>
                <w:sz w:val="16"/>
                <w:szCs w:val="16"/>
              </w:rPr>
              <w:t>35,304</w:t>
            </w:r>
          </w:p>
        </w:tc>
        <w:tc>
          <w:tcPr>
            <w:tcW w:w="639" w:type="dxa"/>
            <w:tcBorders>
              <w:top w:val="nil"/>
              <w:left w:val="nil"/>
              <w:bottom w:val="dotted" w:sz="4" w:space="0" w:color="auto"/>
              <w:right w:val="dotted" w:sz="4" w:space="0" w:color="auto"/>
            </w:tcBorders>
            <w:shd w:val="clear" w:color="auto" w:fill="auto"/>
            <w:vAlign w:val="center"/>
            <w:hideMark/>
          </w:tcPr>
          <w:p w14:paraId="7029F301" w14:textId="77777777" w:rsidR="00751C55" w:rsidRPr="00E21C60" w:rsidRDefault="00751C55">
            <w:pPr>
              <w:jc w:val="center"/>
              <w:rPr>
                <w:rFonts w:ascii="Arial" w:hAnsi="Arial" w:cs="Arial"/>
                <w:color w:val="000000"/>
                <w:sz w:val="16"/>
                <w:szCs w:val="16"/>
              </w:rPr>
            </w:pPr>
            <w:r w:rsidRPr="00E21C60">
              <w:rPr>
                <w:rFonts w:ascii="Arial" w:hAnsi="Arial" w:cs="Arial"/>
                <w:color w:val="000000"/>
                <w:sz w:val="16"/>
                <w:szCs w:val="16"/>
              </w:rPr>
              <w:t>160,85</w:t>
            </w:r>
          </w:p>
        </w:tc>
        <w:tc>
          <w:tcPr>
            <w:tcW w:w="507" w:type="dxa"/>
            <w:tcBorders>
              <w:top w:val="nil"/>
              <w:left w:val="nil"/>
              <w:bottom w:val="dotted" w:sz="4" w:space="0" w:color="auto"/>
              <w:right w:val="dotted" w:sz="4" w:space="0" w:color="auto"/>
            </w:tcBorders>
            <w:shd w:val="clear" w:color="auto" w:fill="auto"/>
            <w:vAlign w:val="center"/>
            <w:hideMark/>
          </w:tcPr>
          <w:p w14:paraId="145C50F2" w14:textId="1F619BFC" w:rsidR="00751C55" w:rsidRPr="00E21C60" w:rsidRDefault="00751C55">
            <w:pPr>
              <w:jc w:val="center"/>
              <w:rPr>
                <w:rFonts w:ascii="Arial" w:hAnsi="Arial" w:cs="Arial"/>
                <w:color w:val="000000"/>
                <w:sz w:val="16"/>
                <w:szCs w:val="16"/>
              </w:rPr>
            </w:pPr>
            <w:r>
              <w:rPr>
                <w:rFonts w:ascii="Arial" w:hAnsi="Arial" w:cs="Arial"/>
                <w:color w:val="000000"/>
                <w:sz w:val="16"/>
                <w:szCs w:val="16"/>
              </w:rPr>
              <w:t>350,2374</w:t>
            </w:r>
          </w:p>
        </w:tc>
        <w:tc>
          <w:tcPr>
            <w:tcW w:w="567" w:type="dxa"/>
            <w:tcBorders>
              <w:top w:val="nil"/>
              <w:left w:val="nil"/>
              <w:bottom w:val="dotted" w:sz="4" w:space="0" w:color="auto"/>
              <w:right w:val="dotted" w:sz="4" w:space="0" w:color="auto"/>
            </w:tcBorders>
            <w:shd w:val="clear" w:color="auto" w:fill="auto"/>
            <w:vAlign w:val="center"/>
            <w:hideMark/>
          </w:tcPr>
          <w:p w14:paraId="349A16D3" w14:textId="47F09D5B" w:rsidR="00751C55" w:rsidRPr="00E21C60" w:rsidRDefault="00751C55">
            <w:pPr>
              <w:jc w:val="center"/>
              <w:rPr>
                <w:rFonts w:ascii="Arial" w:hAnsi="Arial" w:cs="Arial"/>
                <w:color w:val="000000"/>
                <w:sz w:val="16"/>
                <w:szCs w:val="16"/>
              </w:rPr>
            </w:pPr>
            <w:r>
              <w:rPr>
                <w:rFonts w:ascii="Arial" w:hAnsi="Arial" w:cs="Arial"/>
                <w:color w:val="000000"/>
                <w:sz w:val="16"/>
                <w:szCs w:val="16"/>
              </w:rPr>
              <w:t>486,1864</w:t>
            </w:r>
          </w:p>
        </w:tc>
        <w:tc>
          <w:tcPr>
            <w:tcW w:w="709" w:type="dxa"/>
            <w:tcBorders>
              <w:top w:val="nil"/>
              <w:left w:val="nil"/>
              <w:bottom w:val="dotted" w:sz="4" w:space="0" w:color="auto"/>
              <w:right w:val="dotted" w:sz="4" w:space="0" w:color="auto"/>
            </w:tcBorders>
            <w:shd w:val="clear" w:color="auto" w:fill="auto"/>
            <w:vAlign w:val="center"/>
            <w:hideMark/>
          </w:tcPr>
          <w:p w14:paraId="166A7E5D" w14:textId="74D18871" w:rsidR="00751C55" w:rsidRPr="00E21C60" w:rsidRDefault="00751C55">
            <w:pPr>
              <w:jc w:val="center"/>
              <w:rPr>
                <w:rFonts w:ascii="Arial" w:hAnsi="Arial" w:cs="Arial"/>
                <w:color w:val="000000"/>
                <w:sz w:val="16"/>
                <w:szCs w:val="16"/>
              </w:rPr>
            </w:pPr>
            <w:r>
              <w:rPr>
                <w:rFonts w:ascii="Arial" w:hAnsi="Arial" w:cs="Arial"/>
                <w:b/>
                <w:bCs/>
                <w:color w:val="000000"/>
                <w:sz w:val="16"/>
                <w:szCs w:val="16"/>
              </w:rPr>
              <w:t>568,2854</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0E7E63DF" w14:textId="256C55D5" w:rsidR="00751C55" w:rsidRPr="00E21C60" w:rsidRDefault="00064042">
            <w:pPr>
              <w:jc w:val="center"/>
              <w:rPr>
                <w:rFonts w:ascii="Arial" w:hAnsi="Arial" w:cs="Arial"/>
                <w:color w:val="000000"/>
                <w:sz w:val="16"/>
                <w:szCs w:val="16"/>
              </w:rPr>
            </w:pPr>
            <w:r w:rsidRPr="00064042">
              <w:rPr>
                <w:rFonts w:ascii="Arial" w:hAnsi="Arial" w:cs="Arial"/>
                <w:color w:val="000000"/>
                <w:sz w:val="16"/>
                <w:szCs w:val="16"/>
              </w:rPr>
              <w:t>1011,0946</w:t>
            </w:r>
          </w:p>
        </w:tc>
      </w:tr>
      <w:tr w:rsidR="007803AE" w:rsidRPr="00E21C60" w14:paraId="56DC7B74" w14:textId="77777777" w:rsidTr="00123376">
        <w:trPr>
          <w:trHeight w:val="705"/>
        </w:trPr>
        <w:tc>
          <w:tcPr>
            <w:tcW w:w="1095" w:type="dxa"/>
            <w:vMerge/>
            <w:tcBorders>
              <w:top w:val="nil"/>
              <w:left w:val="single" w:sz="8" w:space="0" w:color="auto"/>
              <w:bottom w:val="single" w:sz="8" w:space="0" w:color="000000"/>
              <w:right w:val="single" w:sz="8" w:space="0" w:color="auto"/>
            </w:tcBorders>
            <w:vAlign w:val="center"/>
            <w:hideMark/>
          </w:tcPr>
          <w:p w14:paraId="5EFAE15A"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59A4134F"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0685A0D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4F77CAC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41AAB4A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4CE1DA7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F85DE1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1DA7002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2ABE07E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5740F43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71E4D12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5 987</w:t>
            </w:r>
          </w:p>
        </w:tc>
        <w:tc>
          <w:tcPr>
            <w:tcW w:w="709" w:type="dxa"/>
            <w:tcBorders>
              <w:top w:val="nil"/>
              <w:left w:val="nil"/>
              <w:bottom w:val="dotted" w:sz="4" w:space="0" w:color="auto"/>
              <w:right w:val="dotted" w:sz="4" w:space="0" w:color="auto"/>
            </w:tcBorders>
            <w:shd w:val="clear" w:color="auto" w:fill="auto"/>
            <w:vAlign w:val="center"/>
            <w:hideMark/>
          </w:tcPr>
          <w:p w14:paraId="72384E0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5 987</w:t>
            </w:r>
          </w:p>
        </w:tc>
        <w:tc>
          <w:tcPr>
            <w:tcW w:w="850" w:type="dxa"/>
            <w:vMerge/>
            <w:tcBorders>
              <w:top w:val="nil"/>
              <w:left w:val="dotted" w:sz="4" w:space="0" w:color="auto"/>
              <w:bottom w:val="single" w:sz="8" w:space="0" w:color="000000"/>
              <w:right w:val="single" w:sz="8" w:space="0" w:color="auto"/>
            </w:tcBorders>
            <w:vAlign w:val="center"/>
            <w:hideMark/>
          </w:tcPr>
          <w:p w14:paraId="75158D59" w14:textId="77777777" w:rsidR="007803AE" w:rsidRPr="00E21C60" w:rsidRDefault="007803AE">
            <w:pPr>
              <w:rPr>
                <w:rFonts w:ascii="Arial" w:hAnsi="Arial" w:cs="Arial"/>
                <w:color w:val="000000"/>
                <w:sz w:val="16"/>
                <w:szCs w:val="16"/>
              </w:rPr>
            </w:pPr>
          </w:p>
        </w:tc>
      </w:tr>
      <w:tr w:rsidR="007803AE" w:rsidRPr="00E21C60" w14:paraId="6ED0C1AB" w14:textId="77777777" w:rsidTr="00123376">
        <w:trPr>
          <w:trHeight w:val="705"/>
        </w:trPr>
        <w:tc>
          <w:tcPr>
            <w:tcW w:w="1095" w:type="dxa"/>
            <w:vMerge/>
            <w:tcBorders>
              <w:top w:val="nil"/>
              <w:left w:val="single" w:sz="8" w:space="0" w:color="auto"/>
              <w:bottom w:val="single" w:sz="8" w:space="0" w:color="000000"/>
              <w:right w:val="single" w:sz="8" w:space="0" w:color="auto"/>
            </w:tcBorders>
            <w:vAlign w:val="center"/>
            <w:hideMark/>
          </w:tcPr>
          <w:p w14:paraId="6378EF2C"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317C699D"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0CEC84D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5 800</w:t>
            </w:r>
          </w:p>
        </w:tc>
        <w:tc>
          <w:tcPr>
            <w:tcW w:w="622" w:type="dxa"/>
            <w:tcBorders>
              <w:top w:val="nil"/>
              <w:left w:val="nil"/>
              <w:bottom w:val="single" w:sz="8" w:space="0" w:color="auto"/>
              <w:right w:val="dotted" w:sz="4" w:space="0" w:color="auto"/>
            </w:tcBorders>
            <w:shd w:val="clear" w:color="auto" w:fill="auto"/>
            <w:vAlign w:val="center"/>
            <w:hideMark/>
          </w:tcPr>
          <w:p w14:paraId="68B075D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54A63F4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08D6762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267EF36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6F4CBCB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6DEF98F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1BCBD3E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758E451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6DFCCE2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5 800</w:t>
            </w:r>
          </w:p>
        </w:tc>
        <w:tc>
          <w:tcPr>
            <w:tcW w:w="850" w:type="dxa"/>
            <w:vMerge/>
            <w:tcBorders>
              <w:top w:val="nil"/>
              <w:left w:val="dotted" w:sz="4" w:space="0" w:color="auto"/>
              <w:bottom w:val="single" w:sz="8" w:space="0" w:color="000000"/>
              <w:right w:val="single" w:sz="8" w:space="0" w:color="auto"/>
            </w:tcBorders>
            <w:vAlign w:val="center"/>
            <w:hideMark/>
          </w:tcPr>
          <w:p w14:paraId="167DAFDF" w14:textId="77777777" w:rsidR="007803AE" w:rsidRPr="00E21C60" w:rsidRDefault="007803AE">
            <w:pPr>
              <w:rPr>
                <w:rFonts w:ascii="Arial" w:hAnsi="Arial" w:cs="Arial"/>
                <w:color w:val="000000"/>
                <w:sz w:val="16"/>
                <w:szCs w:val="16"/>
              </w:rPr>
            </w:pPr>
          </w:p>
        </w:tc>
      </w:tr>
      <w:tr w:rsidR="007803AE" w:rsidRPr="00E21C60" w14:paraId="48ED7A8E" w14:textId="77777777" w:rsidTr="00123376">
        <w:trPr>
          <w:trHeight w:val="525"/>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59A2BE25"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Počet novovytvo-</w:t>
            </w:r>
            <w:r w:rsidRPr="00E21C60">
              <w:rPr>
                <w:rFonts w:ascii="Arial" w:hAnsi="Arial" w:cs="Arial"/>
                <w:color w:val="000000"/>
                <w:sz w:val="16"/>
                <w:szCs w:val="16"/>
              </w:rPr>
              <w:br/>
              <w:t>rených pracovných miest (počet) dopad</w:t>
            </w:r>
          </w:p>
        </w:tc>
        <w:tc>
          <w:tcPr>
            <w:tcW w:w="959" w:type="dxa"/>
            <w:tcBorders>
              <w:top w:val="nil"/>
              <w:left w:val="nil"/>
              <w:bottom w:val="dotted" w:sz="4" w:space="0" w:color="auto"/>
              <w:right w:val="dotted" w:sz="4" w:space="0" w:color="auto"/>
            </w:tcBorders>
            <w:shd w:val="clear" w:color="000000" w:fill="FFFFFF"/>
            <w:vAlign w:val="center"/>
            <w:hideMark/>
          </w:tcPr>
          <w:p w14:paraId="5365898D"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795AC69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2A810C3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33BF260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47219D6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6FA126C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145890E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24BAEEC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507" w:type="dxa"/>
            <w:tcBorders>
              <w:top w:val="nil"/>
              <w:left w:val="nil"/>
              <w:bottom w:val="dotted" w:sz="4" w:space="0" w:color="auto"/>
              <w:right w:val="dotted" w:sz="4" w:space="0" w:color="auto"/>
            </w:tcBorders>
            <w:shd w:val="clear" w:color="auto" w:fill="auto"/>
            <w:vAlign w:val="center"/>
            <w:hideMark/>
          </w:tcPr>
          <w:p w14:paraId="3266A5AD" w14:textId="3D7DFF0F" w:rsidR="007803AE" w:rsidRPr="00E21C60" w:rsidRDefault="00B92232">
            <w:pPr>
              <w:jc w:val="center"/>
              <w:rPr>
                <w:rFonts w:ascii="Arial" w:hAnsi="Arial" w:cs="Arial"/>
                <w:color w:val="000000"/>
                <w:sz w:val="16"/>
                <w:szCs w:val="16"/>
              </w:rPr>
            </w:pPr>
            <w:r>
              <w:rPr>
                <w:rFonts w:ascii="Arial" w:hAnsi="Arial" w:cs="Arial"/>
                <w:color w:val="000000"/>
                <w:sz w:val="16"/>
                <w:szCs w:val="16"/>
              </w:rPr>
              <w:t>2</w:t>
            </w:r>
          </w:p>
        </w:tc>
        <w:tc>
          <w:tcPr>
            <w:tcW w:w="567" w:type="dxa"/>
            <w:tcBorders>
              <w:top w:val="nil"/>
              <w:left w:val="nil"/>
              <w:bottom w:val="dotted" w:sz="4" w:space="0" w:color="auto"/>
              <w:right w:val="dotted" w:sz="4" w:space="0" w:color="auto"/>
            </w:tcBorders>
            <w:shd w:val="clear" w:color="auto" w:fill="auto"/>
            <w:vAlign w:val="center"/>
            <w:hideMark/>
          </w:tcPr>
          <w:p w14:paraId="26EEBAD6" w14:textId="48258CBE" w:rsidR="007803AE" w:rsidRPr="00E21C60" w:rsidRDefault="002E67E1">
            <w:pPr>
              <w:jc w:val="center"/>
              <w:rPr>
                <w:rFonts w:ascii="Arial" w:hAnsi="Arial" w:cs="Arial"/>
                <w:color w:val="000000"/>
                <w:sz w:val="16"/>
                <w:szCs w:val="16"/>
              </w:rPr>
            </w:pPr>
            <w:r>
              <w:rPr>
                <w:rFonts w:ascii="Arial" w:hAnsi="Arial" w:cs="Arial"/>
                <w:color w:val="000000"/>
                <w:sz w:val="16"/>
                <w:szCs w:val="16"/>
              </w:rPr>
              <w:t>2</w:t>
            </w:r>
          </w:p>
        </w:tc>
        <w:tc>
          <w:tcPr>
            <w:tcW w:w="709" w:type="dxa"/>
            <w:tcBorders>
              <w:top w:val="nil"/>
              <w:left w:val="nil"/>
              <w:bottom w:val="dotted" w:sz="4" w:space="0" w:color="auto"/>
              <w:right w:val="dotted" w:sz="4" w:space="0" w:color="auto"/>
            </w:tcBorders>
            <w:shd w:val="clear" w:color="auto" w:fill="auto"/>
            <w:vAlign w:val="center"/>
            <w:hideMark/>
          </w:tcPr>
          <w:p w14:paraId="2F82672E" w14:textId="63952FFC" w:rsidR="007803AE" w:rsidRPr="00E21C60" w:rsidRDefault="002E67E1">
            <w:pPr>
              <w:jc w:val="center"/>
              <w:rPr>
                <w:rFonts w:ascii="Arial" w:hAnsi="Arial" w:cs="Arial"/>
                <w:color w:val="000000"/>
                <w:sz w:val="16"/>
                <w:szCs w:val="16"/>
              </w:rPr>
            </w:pPr>
            <w:r>
              <w:rPr>
                <w:rFonts w:ascii="Arial" w:hAnsi="Arial" w:cs="Arial"/>
                <w:color w:val="000000"/>
                <w:sz w:val="16"/>
                <w:szCs w:val="16"/>
              </w:rPr>
              <w:t>4</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38BD1578" w14:textId="6792B5C0" w:rsidR="007803AE" w:rsidRPr="00E21C60" w:rsidRDefault="002E67E1">
            <w:pPr>
              <w:jc w:val="center"/>
              <w:rPr>
                <w:rFonts w:ascii="Arial" w:hAnsi="Arial" w:cs="Arial"/>
                <w:color w:val="000000"/>
                <w:sz w:val="16"/>
                <w:szCs w:val="16"/>
              </w:rPr>
            </w:pPr>
            <w:r>
              <w:rPr>
                <w:rFonts w:ascii="Arial" w:hAnsi="Arial" w:cs="Arial"/>
                <w:color w:val="000000"/>
                <w:sz w:val="16"/>
                <w:szCs w:val="16"/>
              </w:rPr>
              <w:t>27</w:t>
            </w:r>
            <w:r w:rsidRPr="00E21C60">
              <w:rPr>
                <w:rFonts w:ascii="Arial" w:hAnsi="Arial" w:cs="Arial"/>
                <w:color w:val="000000"/>
                <w:sz w:val="16"/>
                <w:szCs w:val="16"/>
              </w:rPr>
              <w:t xml:space="preserve"> </w:t>
            </w:r>
            <w:r w:rsidR="007803AE" w:rsidRPr="00E21C60">
              <w:rPr>
                <w:rFonts w:ascii="Arial" w:hAnsi="Arial" w:cs="Arial"/>
                <w:color w:val="000000"/>
                <w:sz w:val="16"/>
                <w:szCs w:val="16"/>
              </w:rPr>
              <w:br/>
              <w:t>po ukončení realizácie všetkých projektov</w:t>
            </w:r>
          </w:p>
        </w:tc>
      </w:tr>
      <w:tr w:rsidR="007803AE" w:rsidRPr="00E21C60" w14:paraId="015FBF43" w14:textId="77777777" w:rsidTr="00123376">
        <w:trPr>
          <w:trHeight w:val="525"/>
        </w:trPr>
        <w:tc>
          <w:tcPr>
            <w:tcW w:w="1095" w:type="dxa"/>
            <w:vMerge/>
            <w:tcBorders>
              <w:top w:val="nil"/>
              <w:left w:val="single" w:sz="8" w:space="0" w:color="auto"/>
              <w:bottom w:val="single" w:sz="8" w:space="0" w:color="000000"/>
              <w:right w:val="single" w:sz="8" w:space="0" w:color="auto"/>
            </w:tcBorders>
            <w:vAlign w:val="center"/>
            <w:hideMark/>
          </w:tcPr>
          <w:p w14:paraId="59836AE2"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21A83D04"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 xml:space="preserve">Cieľ </w:t>
            </w:r>
          </w:p>
        </w:tc>
        <w:tc>
          <w:tcPr>
            <w:tcW w:w="622" w:type="dxa"/>
            <w:tcBorders>
              <w:top w:val="nil"/>
              <w:left w:val="nil"/>
              <w:bottom w:val="dotted" w:sz="4" w:space="0" w:color="auto"/>
              <w:right w:val="dotted" w:sz="4" w:space="0" w:color="auto"/>
            </w:tcBorders>
            <w:shd w:val="clear" w:color="auto" w:fill="auto"/>
            <w:vAlign w:val="center"/>
            <w:hideMark/>
          </w:tcPr>
          <w:p w14:paraId="4E397EE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0EC6ED9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00967DA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285E119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3BD54C4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00DC529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1F5A3B2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639B68F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5C17648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24</w:t>
            </w:r>
          </w:p>
        </w:tc>
        <w:tc>
          <w:tcPr>
            <w:tcW w:w="709" w:type="dxa"/>
            <w:tcBorders>
              <w:top w:val="nil"/>
              <w:left w:val="nil"/>
              <w:bottom w:val="dotted" w:sz="4" w:space="0" w:color="auto"/>
              <w:right w:val="dotted" w:sz="4" w:space="0" w:color="auto"/>
            </w:tcBorders>
            <w:shd w:val="clear" w:color="auto" w:fill="auto"/>
            <w:vAlign w:val="center"/>
            <w:hideMark/>
          </w:tcPr>
          <w:p w14:paraId="08784A1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24</w:t>
            </w:r>
          </w:p>
        </w:tc>
        <w:tc>
          <w:tcPr>
            <w:tcW w:w="850" w:type="dxa"/>
            <w:vMerge/>
            <w:tcBorders>
              <w:top w:val="nil"/>
              <w:left w:val="dotted" w:sz="4" w:space="0" w:color="auto"/>
              <w:bottom w:val="single" w:sz="8" w:space="0" w:color="000000"/>
              <w:right w:val="single" w:sz="8" w:space="0" w:color="auto"/>
            </w:tcBorders>
            <w:vAlign w:val="center"/>
            <w:hideMark/>
          </w:tcPr>
          <w:p w14:paraId="09BF0CEE" w14:textId="77777777" w:rsidR="007803AE" w:rsidRPr="00E21C60" w:rsidRDefault="007803AE">
            <w:pPr>
              <w:rPr>
                <w:rFonts w:ascii="Arial" w:hAnsi="Arial" w:cs="Arial"/>
                <w:color w:val="000000"/>
                <w:sz w:val="16"/>
                <w:szCs w:val="16"/>
              </w:rPr>
            </w:pPr>
          </w:p>
        </w:tc>
      </w:tr>
      <w:tr w:rsidR="007803AE" w:rsidRPr="00E21C60" w14:paraId="0FBDA339" w14:textId="77777777" w:rsidTr="00123376">
        <w:trPr>
          <w:trHeight w:val="525"/>
        </w:trPr>
        <w:tc>
          <w:tcPr>
            <w:tcW w:w="1095" w:type="dxa"/>
            <w:vMerge/>
            <w:tcBorders>
              <w:top w:val="nil"/>
              <w:left w:val="single" w:sz="8" w:space="0" w:color="auto"/>
              <w:bottom w:val="single" w:sz="8" w:space="0" w:color="000000"/>
              <w:right w:val="single" w:sz="8" w:space="0" w:color="auto"/>
            </w:tcBorders>
            <w:vAlign w:val="center"/>
            <w:hideMark/>
          </w:tcPr>
          <w:p w14:paraId="513914AD"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15DB188D"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1149A72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single" w:sz="8" w:space="0" w:color="auto"/>
              <w:right w:val="dotted" w:sz="4" w:space="0" w:color="auto"/>
            </w:tcBorders>
            <w:shd w:val="clear" w:color="auto" w:fill="auto"/>
            <w:vAlign w:val="center"/>
            <w:hideMark/>
          </w:tcPr>
          <w:p w14:paraId="519E330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3D192FD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0A4C6AA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30A52B1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4B72ECB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12EF2C4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7C8166F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0B5727A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709" w:type="dxa"/>
            <w:tcBorders>
              <w:top w:val="nil"/>
              <w:left w:val="nil"/>
              <w:bottom w:val="single" w:sz="8" w:space="0" w:color="auto"/>
              <w:right w:val="dotted" w:sz="4" w:space="0" w:color="auto"/>
            </w:tcBorders>
            <w:shd w:val="clear" w:color="auto" w:fill="auto"/>
            <w:vAlign w:val="center"/>
            <w:hideMark/>
          </w:tcPr>
          <w:p w14:paraId="299843E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tcBorders>
              <w:top w:val="nil"/>
              <w:left w:val="dotted" w:sz="4" w:space="0" w:color="auto"/>
              <w:bottom w:val="single" w:sz="8" w:space="0" w:color="000000"/>
              <w:right w:val="single" w:sz="8" w:space="0" w:color="auto"/>
            </w:tcBorders>
            <w:vAlign w:val="center"/>
            <w:hideMark/>
          </w:tcPr>
          <w:p w14:paraId="5171A46C" w14:textId="77777777" w:rsidR="007803AE" w:rsidRPr="00E21C60" w:rsidRDefault="007803AE">
            <w:pPr>
              <w:rPr>
                <w:rFonts w:ascii="Arial" w:hAnsi="Arial" w:cs="Arial"/>
                <w:color w:val="000000"/>
                <w:sz w:val="16"/>
                <w:szCs w:val="16"/>
              </w:rPr>
            </w:pPr>
          </w:p>
        </w:tc>
      </w:tr>
      <w:tr w:rsidR="007803AE" w:rsidRPr="00E21C60" w14:paraId="1166D2D4" w14:textId="77777777" w:rsidTr="00123376">
        <w:trPr>
          <w:trHeight w:val="285"/>
        </w:trPr>
        <w:tc>
          <w:tcPr>
            <w:tcW w:w="9087" w:type="dxa"/>
            <w:gridSpan w:val="13"/>
            <w:tcBorders>
              <w:top w:val="single" w:sz="8" w:space="0" w:color="auto"/>
              <w:left w:val="single" w:sz="8" w:space="0" w:color="auto"/>
              <w:bottom w:val="single" w:sz="8" w:space="0" w:color="auto"/>
              <w:right w:val="single" w:sz="8" w:space="0" w:color="000000"/>
            </w:tcBorders>
            <w:shd w:val="clear" w:color="000000" w:fill="D8E4BC"/>
            <w:vAlign w:val="center"/>
            <w:hideMark/>
          </w:tcPr>
          <w:p w14:paraId="792B68F7" w14:textId="77777777" w:rsidR="007803AE" w:rsidRPr="00E21C60" w:rsidRDefault="007803AE">
            <w:pPr>
              <w:rPr>
                <w:rFonts w:ascii="Arial" w:hAnsi="Arial" w:cs="Arial"/>
                <w:b/>
                <w:bCs/>
                <w:color w:val="000000"/>
                <w:sz w:val="16"/>
                <w:szCs w:val="16"/>
              </w:rPr>
            </w:pPr>
            <w:r w:rsidRPr="00E21C60">
              <w:rPr>
                <w:rFonts w:ascii="Arial" w:hAnsi="Arial" w:cs="Arial"/>
                <w:b/>
                <w:bCs/>
                <w:color w:val="000000"/>
                <w:sz w:val="16"/>
                <w:szCs w:val="16"/>
              </w:rPr>
              <w:lastRenderedPageBreak/>
              <w:t>Prioritná os 3 - Ochrana ovzdušia a minimalizácia nepriaznivých vplyvov zmeny klímy</w:t>
            </w:r>
          </w:p>
        </w:tc>
      </w:tr>
      <w:tr w:rsidR="002E67E1" w:rsidRPr="00E21C60" w14:paraId="285A8181" w14:textId="77777777" w:rsidTr="00123376">
        <w:trPr>
          <w:trHeight w:val="540"/>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30B2D5AD" w14:textId="3AFBBA3F" w:rsidR="002E67E1" w:rsidRPr="00E21C60" w:rsidRDefault="002E67E1">
            <w:pPr>
              <w:rPr>
                <w:rFonts w:ascii="Arial" w:hAnsi="Arial" w:cs="Arial"/>
                <w:color w:val="000000"/>
                <w:sz w:val="16"/>
                <w:szCs w:val="16"/>
              </w:rPr>
            </w:pPr>
            <w:r>
              <w:rPr>
                <w:rFonts w:ascii="Arial" w:hAnsi="Arial" w:cs="Arial"/>
                <w:color w:val="000000"/>
                <w:sz w:val="16"/>
                <w:szCs w:val="16"/>
              </w:rPr>
              <w:t xml:space="preserve"> </w:t>
            </w:r>
            <w:r w:rsidRPr="00E21C60">
              <w:rPr>
                <w:rFonts w:ascii="Arial" w:hAnsi="Arial" w:cs="Arial"/>
                <w:color w:val="000000"/>
                <w:sz w:val="16"/>
                <w:szCs w:val="16"/>
              </w:rPr>
              <w:t xml:space="preserve"> na CO</w:t>
            </w:r>
            <w:r w:rsidRPr="00123376">
              <w:rPr>
                <w:rFonts w:ascii="Arial" w:hAnsi="Arial" w:cs="Arial"/>
                <w:color w:val="000000"/>
                <w:sz w:val="16"/>
                <w:szCs w:val="16"/>
                <w:vertAlign w:val="subscript"/>
              </w:rPr>
              <w:t>2</w:t>
            </w:r>
            <w:r w:rsidRPr="00E21C60">
              <w:rPr>
                <w:rFonts w:ascii="Arial" w:hAnsi="Arial" w:cs="Arial"/>
                <w:color w:val="000000"/>
                <w:sz w:val="16"/>
                <w:szCs w:val="16"/>
              </w:rPr>
              <w:t xml:space="preserve"> - [tis.ton] výstup</w:t>
            </w:r>
          </w:p>
        </w:tc>
        <w:tc>
          <w:tcPr>
            <w:tcW w:w="959" w:type="dxa"/>
            <w:tcBorders>
              <w:top w:val="nil"/>
              <w:left w:val="nil"/>
              <w:bottom w:val="dotted" w:sz="4" w:space="0" w:color="auto"/>
              <w:right w:val="dotted" w:sz="4" w:space="0" w:color="auto"/>
            </w:tcBorders>
            <w:shd w:val="clear" w:color="000000" w:fill="FFFFFF"/>
            <w:vAlign w:val="center"/>
            <w:hideMark/>
          </w:tcPr>
          <w:p w14:paraId="57BC0C56" w14:textId="77777777" w:rsidR="002E67E1" w:rsidRPr="00E21C60" w:rsidRDefault="002E67E1">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64322BD0" w14:textId="77777777" w:rsidR="002E67E1" w:rsidRPr="00E21C60" w:rsidRDefault="002E67E1">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73C7ABF7" w14:textId="77777777" w:rsidR="002E67E1" w:rsidRPr="00E21C60" w:rsidRDefault="002E67E1">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4E1D2807" w14:textId="77777777" w:rsidR="002E67E1" w:rsidRPr="00E21C60" w:rsidRDefault="002E67E1">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4F9573C7" w14:textId="77777777" w:rsidR="002E67E1" w:rsidRPr="00E21C60" w:rsidRDefault="002E67E1">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33876DF7" w14:textId="77777777" w:rsidR="002E67E1" w:rsidRPr="00E21C60" w:rsidRDefault="002E67E1">
            <w:pPr>
              <w:jc w:val="center"/>
              <w:rPr>
                <w:rFonts w:ascii="Arial" w:hAnsi="Arial" w:cs="Arial"/>
                <w:color w:val="000000"/>
                <w:sz w:val="16"/>
                <w:szCs w:val="16"/>
              </w:rPr>
            </w:pPr>
            <w:r w:rsidRPr="00E21C60">
              <w:rPr>
                <w:rFonts w:ascii="Arial" w:hAnsi="Arial" w:cs="Arial"/>
                <w:color w:val="000000"/>
                <w:sz w:val="16"/>
                <w:szCs w:val="16"/>
              </w:rPr>
              <w:t>0,261</w:t>
            </w:r>
          </w:p>
        </w:tc>
        <w:tc>
          <w:tcPr>
            <w:tcW w:w="639" w:type="dxa"/>
            <w:tcBorders>
              <w:top w:val="nil"/>
              <w:left w:val="nil"/>
              <w:bottom w:val="dotted" w:sz="4" w:space="0" w:color="auto"/>
              <w:right w:val="dotted" w:sz="4" w:space="0" w:color="auto"/>
            </w:tcBorders>
            <w:shd w:val="clear" w:color="auto" w:fill="auto"/>
            <w:vAlign w:val="center"/>
            <w:hideMark/>
          </w:tcPr>
          <w:p w14:paraId="6D9259F2" w14:textId="77777777" w:rsidR="002E67E1" w:rsidRPr="006B256C" w:rsidRDefault="002E67E1">
            <w:pPr>
              <w:jc w:val="center"/>
              <w:rPr>
                <w:rFonts w:ascii="Arial" w:hAnsi="Arial" w:cs="Arial"/>
                <w:color w:val="000000"/>
                <w:sz w:val="16"/>
                <w:szCs w:val="16"/>
              </w:rPr>
            </w:pPr>
            <w:r w:rsidRPr="006B256C">
              <w:rPr>
                <w:rFonts w:ascii="Arial" w:hAnsi="Arial" w:cs="Arial"/>
                <w:color w:val="000000"/>
                <w:sz w:val="16"/>
                <w:szCs w:val="16"/>
              </w:rPr>
              <w:t>8,688</w:t>
            </w:r>
          </w:p>
        </w:tc>
        <w:tc>
          <w:tcPr>
            <w:tcW w:w="639" w:type="dxa"/>
            <w:tcBorders>
              <w:top w:val="nil"/>
              <w:left w:val="nil"/>
              <w:bottom w:val="dotted" w:sz="4" w:space="0" w:color="auto"/>
              <w:right w:val="dotted" w:sz="4" w:space="0" w:color="auto"/>
            </w:tcBorders>
            <w:shd w:val="clear" w:color="auto" w:fill="auto"/>
            <w:vAlign w:val="center"/>
            <w:hideMark/>
          </w:tcPr>
          <w:p w14:paraId="2291821E" w14:textId="77777777" w:rsidR="002E67E1" w:rsidRPr="006B256C" w:rsidRDefault="002E67E1">
            <w:pPr>
              <w:jc w:val="center"/>
              <w:rPr>
                <w:rFonts w:ascii="Arial" w:hAnsi="Arial" w:cs="Arial"/>
                <w:color w:val="000000"/>
                <w:sz w:val="16"/>
                <w:szCs w:val="16"/>
              </w:rPr>
            </w:pPr>
            <w:r w:rsidRPr="006B256C">
              <w:rPr>
                <w:rFonts w:ascii="Arial" w:hAnsi="Arial" w:cs="Arial"/>
                <w:color w:val="000000"/>
                <w:sz w:val="16"/>
                <w:szCs w:val="16"/>
              </w:rPr>
              <w:t>29,549</w:t>
            </w:r>
          </w:p>
        </w:tc>
        <w:tc>
          <w:tcPr>
            <w:tcW w:w="507" w:type="dxa"/>
            <w:tcBorders>
              <w:top w:val="nil"/>
              <w:left w:val="nil"/>
              <w:bottom w:val="dotted" w:sz="4" w:space="0" w:color="auto"/>
              <w:right w:val="dotted" w:sz="4" w:space="0" w:color="auto"/>
            </w:tcBorders>
            <w:shd w:val="clear" w:color="auto" w:fill="auto"/>
            <w:vAlign w:val="center"/>
            <w:hideMark/>
          </w:tcPr>
          <w:p w14:paraId="43396D46" w14:textId="6624D1C9" w:rsidR="002E67E1" w:rsidRPr="006B256C" w:rsidRDefault="002E67E1">
            <w:pPr>
              <w:jc w:val="center"/>
              <w:rPr>
                <w:rFonts w:ascii="Arial" w:hAnsi="Arial" w:cs="Arial"/>
                <w:color w:val="000000"/>
                <w:sz w:val="16"/>
                <w:szCs w:val="16"/>
              </w:rPr>
            </w:pPr>
            <w:r w:rsidRPr="006B256C">
              <w:rPr>
                <w:rFonts w:ascii="Arial" w:hAnsi="Arial" w:cs="Arial"/>
                <w:color w:val="000000"/>
                <w:sz w:val="16"/>
                <w:szCs w:val="16"/>
              </w:rPr>
              <w:t>33,627</w:t>
            </w:r>
          </w:p>
        </w:tc>
        <w:tc>
          <w:tcPr>
            <w:tcW w:w="567" w:type="dxa"/>
            <w:tcBorders>
              <w:top w:val="nil"/>
              <w:left w:val="nil"/>
              <w:bottom w:val="dotted" w:sz="4" w:space="0" w:color="auto"/>
              <w:right w:val="dotted" w:sz="4" w:space="0" w:color="auto"/>
            </w:tcBorders>
            <w:shd w:val="clear" w:color="auto" w:fill="auto"/>
            <w:vAlign w:val="center"/>
            <w:hideMark/>
          </w:tcPr>
          <w:p w14:paraId="0D21EF00" w14:textId="025380F6" w:rsidR="002E67E1" w:rsidRPr="006B256C" w:rsidRDefault="002E67E1">
            <w:pPr>
              <w:jc w:val="center"/>
              <w:rPr>
                <w:rFonts w:ascii="Arial" w:hAnsi="Arial" w:cs="Arial"/>
                <w:color w:val="000000"/>
                <w:sz w:val="16"/>
                <w:szCs w:val="16"/>
              </w:rPr>
            </w:pPr>
            <w:r>
              <w:rPr>
                <w:rFonts w:ascii="Arial" w:hAnsi="Arial" w:cs="Arial"/>
                <w:color w:val="000000"/>
                <w:sz w:val="16"/>
                <w:szCs w:val="16"/>
              </w:rPr>
              <w:t>33,94</w:t>
            </w:r>
          </w:p>
        </w:tc>
        <w:tc>
          <w:tcPr>
            <w:tcW w:w="709" w:type="dxa"/>
            <w:tcBorders>
              <w:top w:val="nil"/>
              <w:left w:val="nil"/>
              <w:bottom w:val="dotted" w:sz="4" w:space="0" w:color="auto"/>
              <w:right w:val="dotted" w:sz="4" w:space="0" w:color="auto"/>
            </w:tcBorders>
            <w:shd w:val="clear" w:color="auto" w:fill="auto"/>
            <w:vAlign w:val="center"/>
            <w:hideMark/>
          </w:tcPr>
          <w:p w14:paraId="69DA7AEF" w14:textId="58871AA8" w:rsidR="002E67E1" w:rsidRPr="006B256C" w:rsidRDefault="002E67E1" w:rsidP="009E077C">
            <w:pPr>
              <w:jc w:val="center"/>
              <w:rPr>
                <w:rFonts w:ascii="Arial" w:hAnsi="Arial" w:cs="Arial"/>
                <w:color w:val="000000"/>
                <w:sz w:val="16"/>
                <w:szCs w:val="16"/>
              </w:rPr>
            </w:pPr>
            <w:r>
              <w:rPr>
                <w:rFonts w:ascii="Arial" w:hAnsi="Arial" w:cs="Arial"/>
                <w:b/>
                <w:bCs/>
                <w:color w:val="000000"/>
                <w:sz w:val="16"/>
                <w:szCs w:val="16"/>
              </w:rPr>
              <w:t>34,01</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7DAB1BE8" w14:textId="565F8131" w:rsidR="002E67E1" w:rsidRPr="006B256C" w:rsidRDefault="004D5AB2">
            <w:pPr>
              <w:jc w:val="center"/>
              <w:rPr>
                <w:rFonts w:ascii="Arial" w:hAnsi="Arial" w:cs="Arial"/>
                <w:color w:val="000000"/>
                <w:sz w:val="16"/>
                <w:szCs w:val="16"/>
              </w:rPr>
            </w:pPr>
            <w:r>
              <w:rPr>
                <w:rFonts w:ascii="Arial" w:hAnsi="Arial" w:cs="Arial"/>
                <w:color w:val="000000"/>
                <w:sz w:val="16"/>
                <w:szCs w:val="16"/>
              </w:rPr>
              <w:t>39,21</w:t>
            </w:r>
          </w:p>
        </w:tc>
      </w:tr>
      <w:tr w:rsidR="007803AE" w:rsidRPr="00E21C60" w14:paraId="5FAA90B1" w14:textId="77777777" w:rsidTr="00123376">
        <w:trPr>
          <w:trHeight w:val="540"/>
        </w:trPr>
        <w:tc>
          <w:tcPr>
            <w:tcW w:w="1095" w:type="dxa"/>
            <w:vMerge/>
            <w:tcBorders>
              <w:top w:val="nil"/>
              <w:left w:val="single" w:sz="8" w:space="0" w:color="auto"/>
              <w:bottom w:val="single" w:sz="8" w:space="0" w:color="000000"/>
              <w:right w:val="single" w:sz="8" w:space="0" w:color="auto"/>
            </w:tcBorders>
            <w:vAlign w:val="center"/>
            <w:hideMark/>
          </w:tcPr>
          <w:p w14:paraId="3326ECD5"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77587F57"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191A364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1DA002A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1E928C7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7724B71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6907D6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00273A60" w14:textId="77777777" w:rsidR="007803AE" w:rsidRPr="006B256C" w:rsidRDefault="007803AE">
            <w:pPr>
              <w:jc w:val="center"/>
              <w:rPr>
                <w:rFonts w:ascii="Arial" w:hAnsi="Arial" w:cs="Arial"/>
                <w:color w:val="000000"/>
                <w:sz w:val="16"/>
                <w:szCs w:val="16"/>
              </w:rPr>
            </w:pPr>
            <w:r w:rsidRPr="006B256C">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7BF72E91" w14:textId="77777777" w:rsidR="007803AE" w:rsidRPr="006B256C" w:rsidRDefault="007803AE">
            <w:pPr>
              <w:jc w:val="center"/>
              <w:rPr>
                <w:rFonts w:ascii="Arial" w:hAnsi="Arial" w:cs="Arial"/>
                <w:color w:val="000000"/>
                <w:sz w:val="16"/>
                <w:szCs w:val="16"/>
              </w:rPr>
            </w:pPr>
            <w:r w:rsidRPr="006B256C">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54C26BA2" w14:textId="77777777" w:rsidR="007803AE" w:rsidRPr="006B256C" w:rsidRDefault="007803AE">
            <w:pPr>
              <w:jc w:val="center"/>
              <w:rPr>
                <w:rFonts w:ascii="Arial" w:hAnsi="Arial" w:cs="Arial"/>
                <w:color w:val="000000"/>
                <w:sz w:val="16"/>
                <w:szCs w:val="16"/>
              </w:rPr>
            </w:pPr>
            <w:r w:rsidRPr="006B256C">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41A810ED" w14:textId="0914ADC4" w:rsidR="007803AE" w:rsidRPr="006B256C" w:rsidRDefault="00161B5E" w:rsidP="00161B5E">
            <w:pPr>
              <w:jc w:val="center"/>
              <w:rPr>
                <w:rFonts w:ascii="Arial" w:hAnsi="Arial" w:cs="Arial"/>
                <w:color w:val="000000"/>
                <w:sz w:val="16"/>
                <w:szCs w:val="16"/>
              </w:rPr>
            </w:pPr>
            <w:r w:rsidRPr="006B256C">
              <w:rPr>
                <w:rFonts w:ascii="Arial" w:hAnsi="Arial" w:cs="Arial"/>
                <w:color w:val="000000"/>
                <w:sz w:val="16"/>
                <w:szCs w:val="16"/>
              </w:rPr>
              <w:t>234</w:t>
            </w:r>
          </w:p>
        </w:tc>
        <w:tc>
          <w:tcPr>
            <w:tcW w:w="709" w:type="dxa"/>
            <w:tcBorders>
              <w:top w:val="nil"/>
              <w:left w:val="nil"/>
              <w:bottom w:val="dotted" w:sz="4" w:space="0" w:color="auto"/>
              <w:right w:val="dotted" w:sz="4" w:space="0" w:color="auto"/>
            </w:tcBorders>
            <w:shd w:val="clear" w:color="auto" w:fill="auto"/>
            <w:vAlign w:val="center"/>
            <w:hideMark/>
          </w:tcPr>
          <w:p w14:paraId="679E1D3A" w14:textId="795AE1C9" w:rsidR="007803AE" w:rsidRPr="006B256C" w:rsidRDefault="00071D24">
            <w:pPr>
              <w:jc w:val="center"/>
              <w:rPr>
                <w:rFonts w:ascii="Arial" w:hAnsi="Arial" w:cs="Arial"/>
                <w:color w:val="000000"/>
                <w:sz w:val="16"/>
                <w:szCs w:val="16"/>
              </w:rPr>
            </w:pPr>
            <w:r w:rsidRPr="006B256C">
              <w:rPr>
                <w:rFonts w:ascii="Arial" w:hAnsi="Arial" w:cs="Arial"/>
                <w:color w:val="000000"/>
                <w:sz w:val="16"/>
                <w:szCs w:val="16"/>
              </w:rPr>
              <w:t>234</w:t>
            </w:r>
          </w:p>
        </w:tc>
        <w:tc>
          <w:tcPr>
            <w:tcW w:w="850" w:type="dxa"/>
            <w:vMerge/>
            <w:tcBorders>
              <w:top w:val="nil"/>
              <w:left w:val="dotted" w:sz="4" w:space="0" w:color="auto"/>
              <w:bottom w:val="single" w:sz="8" w:space="0" w:color="000000"/>
              <w:right w:val="single" w:sz="8" w:space="0" w:color="auto"/>
            </w:tcBorders>
            <w:vAlign w:val="center"/>
            <w:hideMark/>
          </w:tcPr>
          <w:p w14:paraId="37D41EB3" w14:textId="77777777" w:rsidR="007803AE" w:rsidRPr="006B256C" w:rsidRDefault="007803AE">
            <w:pPr>
              <w:rPr>
                <w:rFonts w:ascii="Arial" w:hAnsi="Arial" w:cs="Arial"/>
                <w:color w:val="000000"/>
                <w:sz w:val="16"/>
                <w:szCs w:val="16"/>
              </w:rPr>
            </w:pPr>
          </w:p>
        </w:tc>
      </w:tr>
      <w:tr w:rsidR="007803AE" w:rsidRPr="00E21C60" w14:paraId="127492DD" w14:textId="77777777" w:rsidTr="00123376">
        <w:trPr>
          <w:trHeight w:val="540"/>
        </w:trPr>
        <w:tc>
          <w:tcPr>
            <w:tcW w:w="1095" w:type="dxa"/>
            <w:vMerge/>
            <w:tcBorders>
              <w:top w:val="nil"/>
              <w:left w:val="single" w:sz="8" w:space="0" w:color="auto"/>
              <w:bottom w:val="single" w:sz="8" w:space="0" w:color="000000"/>
              <w:right w:val="single" w:sz="8" w:space="0" w:color="auto"/>
            </w:tcBorders>
            <w:vAlign w:val="center"/>
            <w:hideMark/>
          </w:tcPr>
          <w:p w14:paraId="2D7DC412"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4CD7C459"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0C94740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124</w:t>
            </w:r>
          </w:p>
        </w:tc>
        <w:tc>
          <w:tcPr>
            <w:tcW w:w="622" w:type="dxa"/>
            <w:tcBorders>
              <w:top w:val="nil"/>
              <w:left w:val="nil"/>
              <w:bottom w:val="single" w:sz="8" w:space="0" w:color="auto"/>
              <w:right w:val="dotted" w:sz="4" w:space="0" w:color="auto"/>
            </w:tcBorders>
            <w:shd w:val="clear" w:color="auto" w:fill="auto"/>
            <w:vAlign w:val="center"/>
            <w:hideMark/>
          </w:tcPr>
          <w:p w14:paraId="3635223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2F6F603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5ECBFB7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527A24D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32E469E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7FBFB14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78012CB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601D313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5AF6B30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124</w:t>
            </w:r>
          </w:p>
        </w:tc>
        <w:tc>
          <w:tcPr>
            <w:tcW w:w="850" w:type="dxa"/>
            <w:vMerge/>
            <w:tcBorders>
              <w:top w:val="nil"/>
              <w:left w:val="dotted" w:sz="4" w:space="0" w:color="auto"/>
              <w:bottom w:val="single" w:sz="8" w:space="0" w:color="000000"/>
              <w:right w:val="single" w:sz="8" w:space="0" w:color="auto"/>
            </w:tcBorders>
            <w:vAlign w:val="center"/>
            <w:hideMark/>
          </w:tcPr>
          <w:p w14:paraId="453EBA0E" w14:textId="77777777" w:rsidR="007803AE" w:rsidRPr="00E21C60" w:rsidRDefault="007803AE">
            <w:pPr>
              <w:rPr>
                <w:rFonts w:ascii="Arial" w:hAnsi="Arial" w:cs="Arial"/>
                <w:color w:val="000000"/>
                <w:sz w:val="16"/>
                <w:szCs w:val="16"/>
              </w:rPr>
            </w:pPr>
          </w:p>
        </w:tc>
      </w:tr>
      <w:tr w:rsidR="007803AE" w:rsidRPr="00E21C60" w14:paraId="7BAFB2A7" w14:textId="77777777" w:rsidTr="00510690">
        <w:trPr>
          <w:trHeight w:val="730"/>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1D32F1B8"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Počet novovytvo-</w:t>
            </w:r>
            <w:r w:rsidRPr="00E21C60">
              <w:rPr>
                <w:rFonts w:ascii="Arial" w:hAnsi="Arial" w:cs="Arial"/>
                <w:color w:val="000000"/>
                <w:sz w:val="16"/>
                <w:szCs w:val="16"/>
              </w:rPr>
              <w:br/>
              <w:t>rených pracovných miest (počet) dopad</w:t>
            </w:r>
          </w:p>
        </w:tc>
        <w:tc>
          <w:tcPr>
            <w:tcW w:w="959" w:type="dxa"/>
            <w:tcBorders>
              <w:top w:val="nil"/>
              <w:left w:val="nil"/>
              <w:bottom w:val="dotted" w:sz="4" w:space="0" w:color="auto"/>
              <w:right w:val="dotted" w:sz="4" w:space="0" w:color="auto"/>
            </w:tcBorders>
            <w:shd w:val="clear" w:color="000000" w:fill="FFFFFF"/>
            <w:vAlign w:val="center"/>
            <w:hideMark/>
          </w:tcPr>
          <w:p w14:paraId="466FD39E"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4B1641F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2FECA9D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253BAD0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7D69301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4767DB8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765E4C0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5</w:t>
            </w:r>
          </w:p>
        </w:tc>
        <w:tc>
          <w:tcPr>
            <w:tcW w:w="639" w:type="dxa"/>
            <w:tcBorders>
              <w:top w:val="nil"/>
              <w:left w:val="nil"/>
              <w:bottom w:val="dotted" w:sz="4" w:space="0" w:color="auto"/>
              <w:right w:val="dotted" w:sz="4" w:space="0" w:color="auto"/>
            </w:tcBorders>
            <w:shd w:val="clear" w:color="auto" w:fill="auto"/>
            <w:vAlign w:val="center"/>
            <w:hideMark/>
          </w:tcPr>
          <w:p w14:paraId="1A97449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7</w:t>
            </w:r>
          </w:p>
        </w:tc>
        <w:tc>
          <w:tcPr>
            <w:tcW w:w="507" w:type="dxa"/>
            <w:tcBorders>
              <w:top w:val="nil"/>
              <w:left w:val="nil"/>
              <w:bottom w:val="dotted" w:sz="4" w:space="0" w:color="auto"/>
              <w:right w:val="dotted" w:sz="4" w:space="0" w:color="auto"/>
            </w:tcBorders>
            <w:shd w:val="clear" w:color="auto" w:fill="auto"/>
            <w:vAlign w:val="center"/>
            <w:hideMark/>
          </w:tcPr>
          <w:p w14:paraId="382E461E" w14:textId="2C58C8E1" w:rsidR="007803AE" w:rsidRPr="00E21C60" w:rsidRDefault="009E077C" w:rsidP="009E077C">
            <w:pPr>
              <w:jc w:val="center"/>
              <w:rPr>
                <w:rFonts w:ascii="Arial" w:hAnsi="Arial" w:cs="Arial"/>
                <w:color w:val="000000"/>
                <w:sz w:val="16"/>
                <w:szCs w:val="16"/>
              </w:rPr>
            </w:pPr>
            <w:r>
              <w:rPr>
                <w:rFonts w:ascii="Arial" w:hAnsi="Arial" w:cs="Arial"/>
                <w:color w:val="000000"/>
                <w:sz w:val="16"/>
                <w:szCs w:val="16"/>
              </w:rPr>
              <w:t>7</w:t>
            </w:r>
          </w:p>
        </w:tc>
        <w:tc>
          <w:tcPr>
            <w:tcW w:w="567" w:type="dxa"/>
            <w:tcBorders>
              <w:top w:val="nil"/>
              <w:left w:val="nil"/>
              <w:bottom w:val="dotted" w:sz="4" w:space="0" w:color="auto"/>
              <w:right w:val="dotted" w:sz="4" w:space="0" w:color="auto"/>
            </w:tcBorders>
            <w:shd w:val="clear" w:color="auto" w:fill="auto"/>
            <w:vAlign w:val="center"/>
            <w:hideMark/>
          </w:tcPr>
          <w:p w14:paraId="6244C5C3" w14:textId="46808526" w:rsidR="007803AE" w:rsidRPr="00E21C60" w:rsidRDefault="00B82882">
            <w:pPr>
              <w:jc w:val="center"/>
              <w:rPr>
                <w:rFonts w:ascii="Arial" w:hAnsi="Arial" w:cs="Arial"/>
                <w:color w:val="000000"/>
                <w:sz w:val="16"/>
                <w:szCs w:val="16"/>
              </w:rPr>
            </w:pPr>
            <w:r>
              <w:rPr>
                <w:rFonts w:ascii="Arial" w:hAnsi="Arial" w:cs="Arial"/>
                <w:color w:val="000000"/>
                <w:sz w:val="16"/>
                <w:szCs w:val="16"/>
              </w:rPr>
              <w:t>7</w:t>
            </w:r>
          </w:p>
        </w:tc>
        <w:tc>
          <w:tcPr>
            <w:tcW w:w="709" w:type="dxa"/>
            <w:tcBorders>
              <w:top w:val="nil"/>
              <w:left w:val="nil"/>
              <w:bottom w:val="dotted" w:sz="4" w:space="0" w:color="auto"/>
              <w:right w:val="dotted" w:sz="4" w:space="0" w:color="auto"/>
            </w:tcBorders>
            <w:shd w:val="clear" w:color="auto" w:fill="auto"/>
            <w:vAlign w:val="center"/>
            <w:hideMark/>
          </w:tcPr>
          <w:p w14:paraId="0363B40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7</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22FDBFB1" w14:textId="1EBA7513" w:rsidR="007803AE" w:rsidRPr="00E21C60" w:rsidRDefault="002D3145">
            <w:pPr>
              <w:jc w:val="center"/>
              <w:rPr>
                <w:rFonts w:ascii="Arial" w:hAnsi="Arial" w:cs="Arial"/>
                <w:color w:val="000000"/>
                <w:sz w:val="16"/>
                <w:szCs w:val="16"/>
              </w:rPr>
            </w:pPr>
            <w:r>
              <w:rPr>
                <w:rFonts w:ascii="Arial" w:hAnsi="Arial" w:cs="Arial"/>
                <w:color w:val="000000"/>
                <w:sz w:val="16"/>
                <w:szCs w:val="16"/>
              </w:rPr>
              <w:t>7</w:t>
            </w:r>
            <w:r w:rsidRPr="00E21C60">
              <w:rPr>
                <w:rFonts w:ascii="Arial" w:hAnsi="Arial" w:cs="Arial"/>
                <w:color w:val="FF0000"/>
                <w:sz w:val="16"/>
                <w:szCs w:val="16"/>
              </w:rPr>
              <w:t xml:space="preserve"> </w:t>
            </w:r>
            <w:r w:rsidR="007803AE" w:rsidRPr="00E21C60">
              <w:rPr>
                <w:rFonts w:ascii="Arial" w:hAnsi="Arial" w:cs="Arial"/>
                <w:color w:val="FF0000"/>
                <w:sz w:val="16"/>
                <w:szCs w:val="16"/>
              </w:rPr>
              <w:br/>
            </w:r>
            <w:r w:rsidR="007803AE" w:rsidRPr="00E21C60">
              <w:rPr>
                <w:rFonts w:ascii="Arial" w:hAnsi="Arial" w:cs="Arial"/>
                <w:sz w:val="16"/>
                <w:szCs w:val="16"/>
              </w:rPr>
              <w:t>po u</w:t>
            </w:r>
            <w:r w:rsidR="007803AE" w:rsidRPr="00E21C60">
              <w:rPr>
                <w:rFonts w:ascii="Arial" w:hAnsi="Arial" w:cs="Arial"/>
                <w:color w:val="000000"/>
                <w:sz w:val="16"/>
                <w:szCs w:val="16"/>
              </w:rPr>
              <w:t>končení realizácie všetkých projektov</w:t>
            </w:r>
          </w:p>
        </w:tc>
      </w:tr>
      <w:tr w:rsidR="007803AE" w:rsidRPr="00E21C60" w14:paraId="034F0804" w14:textId="77777777" w:rsidTr="00510690">
        <w:trPr>
          <w:trHeight w:val="554"/>
        </w:trPr>
        <w:tc>
          <w:tcPr>
            <w:tcW w:w="1095" w:type="dxa"/>
            <w:vMerge/>
            <w:tcBorders>
              <w:top w:val="nil"/>
              <w:left w:val="single" w:sz="8" w:space="0" w:color="auto"/>
              <w:bottom w:val="single" w:sz="8" w:space="0" w:color="000000"/>
              <w:right w:val="single" w:sz="8" w:space="0" w:color="auto"/>
            </w:tcBorders>
            <w:vAlign w:val="center"/>
            <w:hideMark/>
          </w:tcPr>
          <w:p w14:paraId="1E65AA34"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3D3F5858"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 xml:space="preserve">Cieľ </w:t>
            </w:r>
          </w:p>
        </w:tc>
        <w:tc>
          <w:tcPr>
            <w:tcW w:w="622" w:type="dxa"/>
            <w:tcBorders>
              <w:top w:val="nil"/>
              <w:left w:val="nil"/>
              <w:bottom w:val="dotted" w:sz="4" w:space="0" w:color="auto"/>
              <w:right w:val="dotted" w:sz="4" w:space="0" w:color="auto"/>
            </w:tcBorders>
            <w:shd w:val="clear" w:color="auto" w:fill="auto"/>
            <w:vAlign w:val="center"/>
            <w:hideMark/>
          </w:tcPr>
          <w:p w14:paraId="422CFE7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5329D9B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07912E5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67AAE38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21E7361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3E12E2D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75959E8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07EECED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6F822AC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65</w:t>
            </w:r>
          </w:p>
        </w:tc>
        <w:tc>
          <w:tcPr>
            <w:tcW w:w="709" w:type="dxa"/>
            <w:tcBorders>
              <w:top w:val="nil"/>
              <w:left w:val="nil"/>
              <w:bottom w:val="dotted" w:sz="4" w:space="0" w:color="auto"/>
              <w:right w:val="dotted" w:sz="4" w:space="0" w:color="auto"/>
            </w:tcBorders>
            <w:shd w:val="clear" w:color="auto" w:fill="auto"/>
            <w:vAlign w:val="center"/>
            <w:hideMark/>
          </w:tcPr>
          <w:p w14:paraId="6FB00D3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65</w:t>
            </w:r>
          </w:p>
        </w:tc>
        <w:tc>
          <w:tcPr>
            <w:tcW w:w="850" w:type="dxa"/>
            <w:vMerge/>
            <w:tcBorders>
              <w:top w:val="nil"/>
              <w:left w:val="dotted" w:sz="4" w:space="0" w:color="auto"/>
              <w:bottom w:val="single" w:sz="8" w:space="0" w:color="000000"/>
              <w:right w:val="single" w:sz="8" w:space="0" w:color="auto"/>
            </w:tcBorders>
            <w:vAlign w:val="center"/>
            <w:hideMark/>
          </w:tcPr>
          <w:p w14:paraId="4FF84A81" w14:textId="77777777" w:rsidR="007803AE" w:rsidRPr="00E21C60" w:rsidRDefault="007803AE">
            <w:pPr>
              <w:rPr>
                <w:rFonts w:ascii="Arial" w:hAnsi="Arial" w:cs="Arial"/>
                <w:color w:val="000000"/>
                <w:sz w:val="16"/>
                <w:szCs w:val="16"/>
              </w:rPr>
            </w:pPr>
          </w:p>
        </w:tc>
      </w:tr>
      <w:tr w:rsidR="007803AE" w:rsidRPr="00E21C60" w14:paraId="2B9E9E75" w14:textId="77777777" w:rsidTr="00510690">
        <w:trPr>
          <w:trHeight w:val="676"/>
        </w:trPr>
        <w:tc>
          <w:tcPr>
            <w:tcW w:w="1095" w:type="dxa"/>
            <w:vMerge/>
            <w:tcBorders>
              <w:top w:val="nil"/>
              <w:left w:val="single" w:sz="8" w:space="0" w:color="auto"/>
              <w:bottom w:val="single" w:sz="8" w:space="0" w:color="000000"/>
              <w:right w:val="single" w:sz="8" w:space="0" w:color="auto"/>
            </w:tcBorders>
            <w:vAlign w:val="center"/>
            <w:hideMark/>
          </w:tcPr>
          <w:p w14:paraId="09F32A11"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50A192E3"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618CEE9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single" w:sz="8" w:space="0" w:color="auto"/>
              <w:right w:val="dotted" w:sz="4" w:space="0" w:color="auto"/>
            </w:tcBorders>
            <w:shd w:val="clear" w:color="auto" w:fill="auto"/>
            <w:vAlign w:val="center"/>
            <w:hideMark/>
          </w:tcPr>
          <w:p w14:paraId="76A9E32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6E7B65B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0EFB148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514E2A5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3EBA71F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11B3EDD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3EB7753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1F19B13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709" w:type="dxa"/>
            <w:tcBorders>
              <w:top w:val="nil"/>
              <w:left w:val="nil"/>
              <w:bottom w:val="single" w:sz="8" w:space="0" w:color="auto"/>
              <w:right w:val="dotted" w:sz="4" w:space="0" w:color="auto"/>
            </w:tcBorders>
            <w:shd w:val="clear" w:color="auto" w:fill="auto"/>
            <w:vAlign w:val="center"/>
            <w:hideMark/>
          </w:tcPr>
          <w:p w14:paraId="37AFDE0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tcBorders>
              <w:top w:val="nil"/>
              <w:left w:val="dotted" w:sz="4" w:space="0" w:color="auto"/>
              <w:bottom w:val="single" w:sz="8" w:space="0" w:color="000000"/>
              <w:right w:val="single" w:sz="8" w:space="0" w:color="auto"/>
            </w:tcBorders>
            <w:vAlign w:val="center"/>
            <w:hideMark/>
          </w:tcPr>
          <w:p w14:paraId="70E5669E" w14:textId="77777777" w:rsidR="007803AE" w:rsidRPr="00E21C60" w:rsidRDefault="007803AE">
            <w:pPr>
              <w:rPr>
                <w:rFonts w:ascii="Arial" w:hAnsi="Arial" w:cs="Arial"/>
                <w:color w:val="000000"/>
                <w:sz w:val="16"/>
                <w:szCs w:val="16"/>
              </w:rPr>
            </w:pPr>
          </w:p>
        </w:tc>
      </w:tr>
      <w:tr w:rsidR="007803AE" w:rsidRPr="00E21C60" w14:paraId="2EE36310" w14:textId="77777777" w:rsidTr="00123376">
        <w:trPr>
          <w:trHeight w:val="285"/>
        </w:trPr>
        <w:tc>
          <w:tcPr>
            <w:tcW w:w="9087" w:type="dxa"/>
            <w:gridSpan w:val="13"/>
            <w:tcBorders>
              <w:top w:val="single" w:sz="8" w:space="0" w:color="auto"/>
              <w:left w:val="single" w:sz="8" w:space="0" w:color="auto"/>
              <w:bottom w:val="single" w:sz="8" w:space="0" w:color="auto"/>
              <w:right w:val="single" w:sz="8" w:space="0" w:color="000000"/>
            </w:tcBorders>
            <w:shd w:val="clear" w:color="000000" w:fill="D8E4BC"/>
            <w:vAlign w:val="center"/>
            <w:hideMark/>
          </w:tcPr>
          <w:p w14:paraId="7F31A712" w14:textId="77777777" w:rsidR="007803AE" w:rsidRPr="00E21C60" w:rsidRDefault="007803AE">
            <w:pPr>
              <w:rPr>
                <w:rFonts w:ascii="Arial" w:hAnsi="Arial" w:cs="Arial"/>
                <w:b/>
                <w:bCs/>
                <w:color w:val="000000"/>
                <w:sz w:val="16"/>
                <w:szCs w:val="16"/>
              </w:rPr>
            </w:pPr>
            <w:r w:rsidRPr="00E21C60">
              <w:rPr>
                <w:rFonts w:ascii="Arial" w:hAnsi="Arial" w:cs="Arial"/>
                <w:b/>
                <w:bCs/>
                <w:color w:val="000000"/>
                <w:sz w:val="16"/>
                <w:szCs w:val="16"/>
              </w:rPr>
              <w:t>Prioritná os 4 - Odpadové hospodárstvo</w:t>
            </w:r>
          </w:p>
        </w:tc>
      </w:tr>
      <w:tr w:rsidR="007803AE" w:rsidRPr="00E21C60" w14:paraId="171C5983" w14:textId="77777777" w:rsidTr="008A1902">
        <w:trPr>
          <w:trHeight w:val="690"/>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645C2AA9"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Počet uzavretých a zrekultivo-</w:t>
            </w:r>
            <w:r w:rsidRPr="00E21C60">
              <w:rPr>
                <w:rFonts w:ascii="Arial" w:hAnsi="Arial" w:cs="Arial"/>
                <w:color w:val="000000"/>
                <w:sz w:val="16"/>
                <w:szCs w:val="16"/>
              </w:rPr>
              <w:br/>
              <w:t>vaných skládok odpadu [počet] výstup</w:t>
            </w:r>
          </w:p>
        </w:tc>
        <w:tc>
          <w:tcPr>
            <w:tcW w:w="959" w:type="dxa"/>
            <w:tcBorders>
              <w:top w:val="single" w:sz="4" w:space="0" w:color="auto"/>
              <w:left w:val="nil"/>
              <w:bottom w:val="dotted" w:sz="4" w:space="0" w:color="auto"/>
              <w:right w:val="dotted" w:sz="4" w:space="0" w:color="auto"/>
            </w:tcBorders>
            <w:shd w:val="clear" w:color="000000" w:fill="FFFFFF"/>
            <w:vAlign w:val="center"/>
            <w:hideMark/>
          </w:tcPr>
          <w:p w14:paraId="3EDD8B08"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single" w:sz="4" w:space="0" w:color="auto"/>
              <w:left w:val="nil"/>
              <w:bottom w:val="dotted" w:sz="4" w:space="0" w:color="auto"/>
              <w:right w:val="dotted" w:sz="4" w:space="0" w:color="auto"/>
            </w:tcBorders>
            <w:shd w:val="clear" w:color="auto" w:fill="auto"/>
            <w:vAlign w:val="center"/>
            <w:hideMark/>
          </w:tcPr>
          <w:p w14:paraId="542B927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single" w:sz="4" w:space="0" w:color="auto"/>
              <w:left w:val="nil"/>
              <w:bottom w:val="dotted" w:sz="4" w:space="0" w:color="auto"/>
              <w:right w:val="dotted" w:sz="4" w:space="0" w:color="auto"/>
            </w:tcBorders>
            <w:shd w:val="clear" w:color="auto" w:fill="auto"/>
            <w:vAlign w:val="center"/>
            <w:hideMark/>
          </w:tcPr>
          <w:p w14:paraId="269FA46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single" w:sz="4" w:space="0" w:color="auto"/>
              <w:left w:val="nil"/>
              <w:bottom w:val="dotted" w:sz="4" w:space="0" w:color="auto"/>
              <w:right w:val="dotted" w:sz="4" w:space="0" w:color="auto"/>
            </w:tcBorders>
            <w:shd w:val="clear" w:color="auto" w:fill="auto"/>
            <w:vAlign w:val="center"/>
            <w:hideMark/>
          </w:tcPr>
          <w:p w14:paraId="557382F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5</w:t>
            </w:r>
          </w:p>
        </w:tc>
        <w:tc>
          <w:tcPr>
            <w:tcW w:w="628" w:type="dxa"/>
            <w:tcBorders>
              <w:top w:val="single" w:sz="4" w:space="0" w:color="auto"/>
              <w:left w:val="nil"/>
              <w:bottom w:val="dotted" w:sz="4" w:space="0" w:color="auto"/>
              <w:right w:val="dotted" w:sz="4" w:space="0" w:color="auto"/>
            </w:tcBorders>
            <w:shd w:val="clear" w:color="auto" w:fill="auto"/>
            <w:vAlign w:val="center"/>
            <w:hideMark/>
          </w:tcPr>
          <w:p w14:paraId="4B75609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20</w:t>
            </w:r>
          </w:p>
        </w:tc>
        <w:tc>
          <w:tcPr>
            <w:tcW w:w="628" w:type="dxa"/>
            <w:tcBorders>
              <w:top w:val="single" w:sz="4" w:space="0" w:color="auto"/>
              <w:left w:val="nil"/>
              <w:bottom w:val="dotted" w:sz="4" w:space="0" w:color="auto"/>
              <w:right w:val="dotted" w:sz="4" w:space="0" w:color="auto"/>
            </w:tcBorders>
            <w:shd w:val="clear" w:color="auto" w:fill="auto"/>
            <w:vAlign w:val="center"/>
            <w:hideMark/>
          </w:tcPr>
          <w:p w14:paraId="7106F5D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31</w:t>
            </w:r>
          </w:p>
        </w:tc>
        <w:tc>
          <w:tcPr>
            <w:tcW w:w="639" w:type="dxa"/>
            <w:tcBorders>
              <w:top w:val="single" w:sz="4" w:space="0" w:color="auto"/>
              <w:left w:val="nil"/>
              <w:bottom w:val="dotted" w:sz="4" w:space="0" w:color="auto"/>
              <w:right w:val="dotted" w:sz="4" w:space="0" w:color="auto"/>
            </w:tcBorders>
            <w:shd w:val="clear" w:color="auto" w:fill="auto"/>
            <w:vAlign w:val="center"/>
            <w:hideMark/>
          </w:tcPr>
          <w:p w14:paraId="33121E6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44</w:t>
            </w:r>
          </w:p>
        </w:tc>
        <w:tc>
          <w:tcPr>
            <w:tcW w:w="639" w:type="dxa"/>
            <w:tcBorders>
              <w:top w:val="single" w:sz="4" w:space="0" w:color="auto"/>
              <w:left w:val="nil"/>
              <w:bottom w:val="dotted" w:sz="4" w:space="0" w:color="auto"/>
              <w:right w:val="dotted" w:sz="4" w:space="0" w:color="auto"/>
            </w:tcBorders>
            <w:shd w:val="clear" w:color="auto" w:fill="auto"/>
            <w:vAlign w:val="center"/>
            <w:hideMark/>
          </w:tcPr>
          <w:p w14:paraId="59256BC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46</w:t>
            </w:r>
          </w:p>
        </w:tc>
        <w:tc>
          <w:tcPr>
            <w:tcW w:w="507" w:type="dxa"/>
            <w:tcBorders>
              <w:top w:val="single" w:sz="4" w:space="0" w:color="auto"/>
              <w:left w:val="nil"/>
              <w:bottom w:val="dotted" w:sz="4" w:space="0" w:color="auto"/>
              <w:right w:val="dotted" w:sz="4" w:space="0" w:color="auto"/>
            </w:tcBorders>
            <w:shd w:val="clear" w:color="auto" w:fill="auto"/>
            <w:vAlign w:val="center"/>
            <w:hideMark/>
          </w:tcPr>
          <w:p w14:paraId="0BA56028" w14:textId="75AEBCDB" w:rsidR="007803AE" w:rsidRPr="00E21C60" w:rsidRDefault="003E0EEE">
            <w:pPr>
              <w:jc w:val="center"/>
              <w:rPr>
                <w:rFonts w:ascii="Arial" w:hAnsi="Arial" w:cs="Arial"/>
                <w:color w:val="000000"/>
                <w:sz w:val="16"/>
                <w:szCs w:val="16"/>
              </w:rPr>
            </w:pPr>
            <w:r>
              <w:rPr>
                <w:rFonts w:ascii="Arial" w:hAnsi="Arial" w:cs="Arial"/>
                <w:color w:val="000000"/>
                <w:sz w:val="16"/>
                <w:szCs w:val="16"/>
              </w:rPr>
              <w:t>47</w:t>
            </w:r>
          </w:p>
        </w:tc>
        <w:tc>
          <w:tcPr>
            <w:tcW w:w="567" w:type="dxa"/>
            <w:tcBorders>
              <w:top w:val="single" w:sz="4" w:space="0" w:color="auto"/>
              <w:left w:val="nil"/>
              <w:bottom w:val="dotted" w:sz="4" w:space="0" w:color="auto"/>
              <w:right w:val="dotted" w:sz="4" w:space="0" w:color="auto"/>
            </w:tcBorders>
            <w:shd w:val="clear" w:color="auto" w:fill="auto"/>
            <w:vAlign w:val="center"/>
            <w:hideMark/>
          </w:tcPr>
          <w:p w14:paraId="62669959" w14:textId="4B80D2AE" w:rsidR="007803AE" w:rsidRPr="00E21C60" w:rsidRDefault="00B82882">
            <w:pPr>
              <w:jc w:val="center"/>
              <w:rPr>
                <w:rFonts w:ascii="Arial" w:hAnsi="Arial" w:cs="Arial"/>
                <w:color w:val="000000"/>
                <w:sz w:val="16"/>
                <w:szCs w:val="16"/>
              </w:rPr>
            </w:pPr>
            <w:r>
              <w:rPr>
                <w:rFonts w:ascii="Arial" w:hAnsi="Arial" w:cs="Arial"/>
                <w:color w:val="000000"/>
                <w:sz w:val="16"/>
                <w:szCs w:val="16"/>
              </w:rPr>
              <w:t>48</w:t>
            </w:r>
          </w:p>
        </w:tc>
        <w:tc>
          <w:tcPr>
            <w:tcW w:w="709" w:type="dxa"/>
            <w:tcBorders>
              <w:top w:val="single" w:sz="4" w:space="0" w:color="auto"/>
              <w:left w:val="nil"/>
              <w:bottom w:val="dotted" w:sz="4" w:space="0" w:color="auto"/>
              <w:right w:val="dotted" w:sz="4" w:space="0" w:color="auto"/>
            </w:tcBorders>
            <w:shd w:val="clear" w:color="auto" w:fill="auto"/>
            <w:vAlign w:val="center"/>
            <w:hideMark/>
          </w:tcPr>
          <w:p w14:paraId="1515DBBA" w14:textId="281F28D1" w:rsidR="007803AE" w:rsidRPr="00E21C60" w:rsidRDefault="00161B5E" w:rsidP="00B82882">
            <w:pPr>
              <w:jc w:val="center"/>
              <w:rPr>
                <w:rFonts w:ascii="Arial" w:hAnsi="Arial" w:cs="Arial"/>
                <w:color w:val="000000"/>
                <w:sz w:val="16"/>
                <w:szCs w:val="16"/>
              </w:rPr>
            </w:pPr>
            <w:r>
              <w:rPr>
                <w:rFonts w:ascii="Arial" w:hAnsi="Arial" w:cs="Arial"/>
                <w:color w:val="000000"/>
                <w:sz w:val="16"/>
                <w:szCs w:val="16"/>
              </w:rPr>
              <w:t>4</w:t>
            </w:r>
            <w:r w:rsidR="00B82882">
              <w:rPr>
                <w:rFonts w:ascii="Arial" w:hAnsi="Arial" w:cs="Arial"/>
                <w:color w:val="000000"/>
                <w:sz w:val="16"/>
                <w:szCs w:val="16"/>
              </w:rPr>
              <w:t>9</w:t>
            </w:r>
          </w:p>
        </w:tc>
        <w:tc>
          <w:tcPr>
            <w:tcW w:w="850" w:type="dxa"/>
            <w:vMerge w:val="restart"/>
            <w:tcBorders>
              <w:top w:val="single" w:sz="4" w:space="0" w:color="auto"/>
              <w:left w:val="dotted" w:sz="4" w:space="0" w:color="auto"/>
              <w:bottom w:val="single" w:sz="8" w:space="0" w:color="000000"/>
              <w:right w:val="single" w:sz="8" w:space="0" w:color="auto"/>
            </w:tcBorders>
            <w:shd w:val="clear" w:color="auto" w:fill="auto"/>
            <w:vAlign w:val="center"/>
            <w:hideMark/>
          </w:tcPr>
          <w:p w14:paraId="029B33B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49</w:t>
            </w:r>
          </w:p>
        </w:tc>
      </w:tr>
      <w:tr w:rsidR="007803AE" w:rsidRPr="00E21C60" w14:paraId="62D3C004" w14:textId="77777777" w:rsidTr="00123376">
        <w:trPr>
          <w:trHeight w:val="690"/>
        </w:trPr>
        <w:tc>
          <w:tcPr>
            <w:tcW w:w="1095" w:type="dxa"/>
            <w:vMerge/>
            <w:tcBorders>
              <w:top w:val="nil"/>
              <w:left w:val="single" w:sz="8" w:space="0" w:color="auto"/>
              <w:bottom w:val="single" w:sz="8" w:space="0" w:color="000000"/>
              <w:right w:val="single" w:sz="8" w:space="0" w:color="auto"/>
            </w:tcBorders>
            <w:vAlign w:val="center"/>
            <w:hideMark/>
          </w:tcPr>
          <w:p w14:paraId="35A2C27F"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400C4CB1"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32E6F1E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60D9F47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24846E1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7815C8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8C7628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641C042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21D8129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794E6DE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50DABCC3" w14:textId="56BF80D3" w:rsidR="007803AE" w:rsidRPr="00E21C60" w:rsidRDefault="00161B5E" w:rsidP="00161B5E">
            <w:pPr>
              <w:jc w:val="center"/>
              <w:rPr>
                <w:rFonts w:ascii="Arial" w:hAnsi="Arial" w:cs="Arial"/>
                <w:color w:val="000000"/>
                <w:sz w:val="16"/>
                <w:szCs w:val="16"/>
              </w:rPr>
            </w:pPr>
            <w:r w:rsidRPr="00E21C60">
              <w:rPr>
                <w:rFonts w:ascii="Arial" w:hAnsi="Arial" w:cs="Arial"/>
                <w:color w:val="000000"/>
                <w:sz w:val="16"/>
                <w:szCs w:val="16"/>
              </w:rPr>
              <w:t>5</w:t>
            </w:r>
            <w:r>
              <w:rPr>
                <w:rFonts w:ascii="Arial" w:hAnsi="Arial" w:cs="Arial"/>
                <w:color w:val="000000"/>
                <w:sz w:val="16"/>
                <w:szCs w:val="16"/>
              </w:rPr>
              <w:t>7</w:t>
            </w:r>
          </w:p>
        </w:tc>
        <w:tc>
          <w:tcPr>
            <w:tcW w:w="709" w:type="dxa"/>
            <w:tcBorders>
              <w:top w:val="nil"/>
              <w:left w:val="nil"/>
              <w:bottom w:val="dotted" w:sz="4" w:space="0" w:color="auto"/>
              <w:right w:val="dotted" w:sz="4" w:space="0" w:color="auto"/>
            </w:tcBorders>
            <w:shd w:val="clear" w:color="auto" w:fill="auto"/>
            <w:vAlign w:val="center"/>
            <w:hideMark/>
          </w:tcPr>
          <w:p w14:paraId="72886545" w14:textId="0BBE0DED"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5</w:t>
            </w:r>
            <w:r w:rsidR="00161B5E">
              <w:rPr>
                <w:rFonts w:ascii="Arial" w:hAnsi="Arial" w:cs="Arial"/>
                <w:color w:val="000000"/>
                <w:sz w:val="16"/>
                <w:szCs w:val="16"/>
              </w:rPr>
              <w:t>7</w:t>
            </w:r>
          </w:p>
        </w:tc>
        <w:tc>
          <w:tcPr>
            <w:tcW w:w="850" w:type="dxa"/>
            <w:vMerge/>
            <w:tcBorders>
              <w:top w:val="nil"/>
              <w:left w:val="dotted" w:sz="4" w:space="0" w:color="auto"/>
              <w:bottom w:val="single" w:sz="8" w:space="0" w:color="000000"/>
              <w:right w:val="single" w:sz="8" w:space="0" w:color="auto"/>
            </w:tcBorders>
            <w:vAlign w:val="center"/>
            <w:hideMark/>
          </w:tcPr>
          <w:p w14:paraId="75A1FF80" w14:textId="77777777" w:rsidR="007803AE" w:rsidRPr="00E21C60" w:rsidRDefault="007803AE">
            <w:pPr>
              <w:rPr>
                <w:rFonts w:ascii="Arial" w:hAnsi="Arial" w:cs="Arial"/>
                <w:color w:val="000000"/>
                <w:sz w:val="16"/>
                <w:szCs w:val="16"/>
              </w:rPr>
            </w:pPr>
          </w:p>
        </w:tc>
      </w:tr>
      <w:tr w:rsidR="007803AE" w:rsidRPr="00E21C60" w14:paraId="33252272" w14:textId="77777777" w:rsidTr="00123376">
        <w:trPr>
          <w:trHeight w:val="690"/>
        </w:trPr>
        <w:tc>
          <w:tcPr>
            <w:tcW w:w="1095" w:type="dxa"/>
            <w:vMerge/>
            <w:tcBorders>
              <w:top w:val="nil"/>
              <w:left w:val="single" w:sz="8" w:space="0" w:color="auto"/>
              <w:bottom w:val="single" w:sz="8" w:space="0" w:color="000000"/>
              <w:right w:val="single" w:sz="8" w:space="0" w:color="auto"/>
            </w:tcBorders>
            <w:vAlign w:val="center"/>
            <w:hideMark/>
          </w:tcPr>
          <w:p w14:paraId="707A56A8"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205B58E1"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6B6D6E4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24</w:t>
            </w:r>
          </w:p>
        </w:tc>
        <w:tc>
          <w:tcPr>
            <w:tcW w:w="622" w:type="dxa"/>
            <w:tcBorders>
              <w:top w:val="nil"/>
              <w:left w:val="nil"/>
              <w:bottom w:val="single" w:sz="8" w:space="0" w:color="auto"/>
              <w:right w:val="dotted" w:sz="4" w:space="0" w:color="auto"/>
            </w:tcBorders>
            <w:shd w:val="clear" w:color="auto" w:fill="auto"/>
            <w:vAlign w:val="center"/>
            <w:hideMark/>
          </w:tcPr>
          <w:p w14:paraId="602D738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4AB5460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274C416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3376C5F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6E96817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1EF22E3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4BE3C86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7C8CCC4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408568A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24</w:t>
            </w:r>
          </w:p>
        </w:tc>
        <w:tc>
          <w:tcPr>
            <w:tcW w:w="850" w:type="dxa"/>
            <w:vMerge/>
            <w:tcBorders>
              <w:top w:val="nil"/>
              <w:left w:val="dotted" w:sz="4" w:space="0" w:color="auto"/>
              <w:bottom w:val="single" w:sz="8" w:space="0" w:color="000000"/>
              <w:right w:val="single" w:sz="8" w:space="0" w:color="auto"/>
            </w:tcBorders>
            <w:vAlign w:val="center"/>
            <w:hideMark/>
          </w:tcPr>
          <w:p w14:paraId="590BC22D" w14:textId="77777777" w:rsidR="007803AE" w:rsidRPr="00E21C60" w:rsidRDefault="007803AE">
            <w:pPr>
              <w:rPr>
                <w:rFonts w:ascii="Arial" w:hAnsi="Arial" w:cs="Arial"/>
                <w:color w:val="000000"/>
                <w:sz w:val="16"/>
                <w:szCs w:val="16"/>
              </w:rPr>
            </w:pPr>
          </w:p>
        </w:tc>
      </w:tr>
      <w:tr w:rsidR="006D4CF0" w:rsidRPr="00E21C60" w14:paraId="7855E90F" w14:textId="77777777" w:rsidTr="00123376">
        <w:trPr>
          <w:trHeight w:val="510"/>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32A7510C" w14:textId="77777777" w:rsidR="006D4CF0" w:rsidRPr="00E21C60" w:rsidRDefault="006D4CF0">
            <w:pPr>
              <w:rPr>
                <w:rFonts w:ascii="Arial" w:hAnsi="Arial" w:cs="Arial"/>
                <w:color w:val="000000"/>
                <w:sz w:val="16"/>
                <w:szCs w:val="16"/>
              </w:rPr>
            </w:pPr>
            <w:r w:rsidRPr="00E21C60">
              <w:rPr>
                <w:rFonts w:ascii="Arial" w:hAnsi="Arial" w:cs="Arial"/>
                <w:color w:val="000000"/>
                <w:sz w:val="16"/>
                <w:szCs w:val="16"/>
              </w:rPr>
              <w:t>Množstvo materiálovo zhodnote-</w:t>
            </w:r>
            <w:r w:rsidRPr="00E21C60">
              <w:rPr>
                <w:rFonts w:ascii="Arial" w:hAnsi="Arial" w:cs="Arial"/>
                <w:color w:val="000000"/>
                <w:sz w:val="16"/>
                <w:szCs w:val="16"/>
              </w:rPr>
              <w:br/>
              <w:t>ných odpadov [t/rok] výsledok</w:t>
            </w:r>
          </w:p>
        </w:tc>
        <w:tc>
          <w:tcPr>
            <w:tcW w:w="959" w:type="dxa"/>
            <w:tcBorders>
              <w:top w:val="nil"/>
              <w:left w:val="nil"/>
              <w:bottom w:val="dotted" w:sz="4" w:space="0" w:color="auto"/>
              <w:right w:val="dotted" w:sz="4" w:space="0" w:color="auto"/>
            </w:tcBorders>
            <w:shd w:val="clear" w:color="000000" w:fill="FFFFFF"/>
            <w:vAlign w:val="center"/>
            <w:hideMark/>
          </w:tcPr>
          <w:p w14:paraId="57DD06D6" w14:textId="77777777" w:rsidR="006D4CF0" w:rsidRPr="00E21C60" w:rsidRDefault="006D4CF0">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555C1289" w14:textId="77777777" w:rsidR="006D4CF0" w:rsidRPr="00E21C60" w:rsidRDefault="006D4CF0">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484006F5" w14:textId="77777777" w:rsidR="006D4CF0" w:rsidRPr="00E21C60" w:rsidRDefault="006D4CF0">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5B57C223" w14:textId="77777777" w:rsidR="006D4CF0" w:rsidRPr="00E21C60" w:rsidRDefault="006D4CF0">
            <w:pPr>
              <w:jc w:val="center"/>
              <w:rPr>
                <w:rFonts w:ascii="Arial" w:hAnsi="Arial" w:cs="Arial"/>
                <w:color w:val="000000"/>
                <w:sz w:val="16"/>
                <w:szCs w:val="16"/>
              </w:rPr>
            </w:pPr>
            <w:r w:rsidRPr="00E21C60">
              <w:rPr>
                <w:rFonts w:ascii="Arial" w:hAnsi="Arial" w:cs="Arial"/>
                <w:color w:val="000000"/>
                <w:sz w:val="16"/>
                <w:szCs w:val="16"/>
              </w:rPr>
              <w:t>7</w:t>
            </w:r>
            <w:r w:rsidRPr="00E21C60">
              <w:rPr>
                <w:rFonts w:ascii="Arial" w:hAnsi="Arial" w:cs="Arial"/>
                <w:color w:val="000000"/>
                <w:sz w:val="16"/>
                <w:szCs w:val="16"/>
              </w:rPr>
              <w:br/>
              <w:t>000</w:t>
            </w:r>
          </w:p>
        </w:tc>
        <w:tc>
          <w:tcPr>
            <w:tcW w:w="628" w:type="dxa"/>
            <w:tcBorders>
              <w:top w:val="nil"/>
              <w:left w:val="nil"/>
              <w:bottom w:val="dotted" w:sz="4" w:space="0" w:color="auto"/>
              <w:right w:val="dotted" w:sz="4" w:space="0" w:color="auto"/>
            </w:tcBorders>
            <w:shd w:val="clear" w:color="auto" w:fill="auto"/>
            <w:vAlign w:val="center"/>
            <w:hideMark/>
          </w:tcPr>
          <w:p w14:paraId="50BFB073" w14:textId="77777777" w:rsidR="006D4CF0" w:rsidRPr="00E21C60" w:rsidRDefault="006D4CF0">
            <w:pPr>
              <w:jc w:val="center"/>
              <w:rPr>
                <w:rFonts w:ascii="Arial" w:hAnsi="Arial" w:cs="Arial"/>
                <w:color w:val="000000"/>
                <w:sz w:val="16"/>
                <w:szCs w:val="16"/>
              </w:rPr>
            </w:pPr>
            <w:r w:rsidRPr="00E21C60">
              <w:rPr>
                <w:rFonts w:ascii="Arial" w:hAnsi="Arial" w:cs="Arial"/>
                <w:color w:val="000000"/>
                <w:sz w:val="16"/>
                <w:szCs w:val="16"/>
              </w:rPr>
              <w:t>33</w:t>
            </w:r>
            <w:r w:rsidRPr="00E21C60">
              <w:rPr>
                <w:rFonts w:ascii="Arial" w:hAnsi="Arial" w:cs="Arial"/>
                <w:color w:val="000000"/>
                <w:sz w:val="16"/>
                <w:szCs w:val="16"/>
              </w:rPr>
              <w:br/>
              <w:t>954</w:t>
            </w:r>
          </w:p>
        </w:tc>
        <w:tc>
          <w:tcPr>
            <w:tcW w:w="628" w:type="dxa"/>
            <w:tcBorders>
              <w:top w:val="nil"/>
              <w:left w:val="nil"/>
              <w:bottom w:val="dotted" w:sz="4" w:space="0" w:color="auto"/>
              <w:right w:val="dotted" w:sz="4" w:space="0" w:color="auto"/>
            </w:tcBorders>
            <w:shd w:val="clear" w:color="auto" w:fill="auto"/>
            <w:vAlign w:val="center"/>
            <w:hideMark/>
          </w:tcPr>
          <w:p w14:paraId="64E10FA8" w14:textId="77777777" w:rsidR="006D4CF0" w:rsidRPr="00E21C60" w:rsidRDefault="006D4CF0">
            <w:pPr>
              <w:jc w:val="center"/>
              <w:rPr>
                <w:rFonts w:ascii="Arial" w:hAnsi="Arial" w:cs="Arial"/>
                <w:color w:val="000000"/>
                <w:sz w:val="16"/>
                <w:szCs w:val="16"/>
              </w:rPr>
            </w:pPr>
            <w:r w:rsidRPr="00E21C60">
              <w:rPr>
                <w:rFonts w:ascii="Arial" w:hAnsi="Arial" w:cs="Arial"/>
                <w:color w:val="000000"/>
                <w:sz w:val="16"/>
                <w:szCs w:val="16"/>
              </w:rPr>
              <w:t>37</w:t>
            </w:r>
            <w:r w:rsidRPr="00E21C60">
              <w:rPr>
                <w:rFonts w:ascii="Arial" w:hAnsi="Arial" w:cs="Arial"/>
                <w:color w:val="000000"/>
                <w:sz w:val="16"/>
                <w:szCs w:val="16"/>
              </w:rPr>
              <w:br/>
              <w:t>585</w:t>
            </w:r>
          </w:p>
        </w:tc>
        <w:tc>
          <w:tcPr>
            <w:tcW w:w="639" w:type="dxa"/>
            <w:tcBorders>
              <w:top w:val="nil"/>
              <w:left w:val="nil"/>
              <w:bottom w:val="dotted" w:sz="4" w:space="0" w:color="auto"/>
              <w:right w:val="dotted" w:sz="4" w:space="0" w:color="auto"/>
            </w:tcBorders>
            <w:shd w:val="clear" w:color="auto" w:fill="auto"/>
            <w:vAlign w:val="center"/>
            <w:hideMark/>
          </w:tcPr>
          <w:p w14:paraId="29227EBE" w14:textId="77777777" w:rsidR="006D4CF0" w:rsidRPr="00E21C60" w:rsidRDefault="006D4CF0">
            <w:pPr>
              <w:jc w:val="center"/>
              <w:rPr>
                <w:rFonts w:ascii="Arial" w:hAnsi="Arial" w:cs="Arial"/>
                <w:color w:val="000000"/>
                <w:sz w:val="16"/>
                <w:szCs w:val="16"/>
              </w:rPr>
            </w:pPr>
            <w:r w:rsidRPr="00E21C60">
              <w:rPr>
                <w:rFonts w:ascii="Arial" w:hAnsi="Arial" w:cs="Arial"/>
                <w:color w:val="000000"/>
                <w:sz w:val="16"/>
                <w:szCs w:val="16"/>
              </w:rPr>
              <w:t>168</w:t>
            </w:r>
            <w:r w:rsidRPr="00E21C60">
              <w:rPr>
                <w:rFonts w:ascii="Arial" w:hAnsi="Arial" w:cs="Arial"/>
                <w:color w:val="000000"/>
                <w:sz w:val="16"/>
                <w:szCs w:val="16"/>
              </w:rPr>
              <w:br/>
              <w:t>175</w:t>
            </w:r>
          </w:p>
        </w:tc>
        <w:tc>
          <w:tcPr>
            <w:tcW w:w="639" w:type="dxa"/>
            <w:tcBorders>
              <w:top w:val="nil"/>
              <w:left w:val="nil"/>
              <w:bottom w:val="dotted" w:sz="4" w:space="0" w:color="auto"/>
              <w:right w:val="dotted" w:sz="4" w:space="0" w:color="auto"/>
            </w:tcBorders>
            <w:shd w:val="clear" w:color="auto" w:fill="auto"/>
            <w:vAlign w:val="center"/>
            <w:hideMark/>
          </w:tcPr>
          <w:p w14:paraId="2B650947" w14:textId="77777777" w:rsidR="006D4CF0" w:rsidRPr="00E21C60" w:rsidRDefault="006D4CF0">
            <w:pPr>
              <w:jc w:val="center"/>
              <w:rPr>
                <w:rFonts w:ascii="Arial" w:hAnsi="Arial" w:cs="Arial"/>
                <w:color w:val="000000"/>
                <w:sz w:val="16"/>
                <w:szCs w:val="16"/>
              </w:rPr>
            </w:pPr>
            <w:r w:rsidRPr="00E21C60">
              <w:rPr>
                <w:rFonts w:ascii="Arial" w:hAnsi="Arial" w:cs="Arial"/>
                <w:color w:val="000000"/>
                <w:sz w:val="16"/>
                <w:szCs w:val="16"/>
              </w:rPr>
              <w:t>315</w:t>
            </w:r>
            <w:r w:rsidRPr="00E21C60">
              <w:rPr>
                <w:rFonts w:ascii="Arial" w:hAnsi="Arial" w:cs="Arial"/>
                <w:color w:val="000000"/>
                <w:sz w:val="16"/>
                <w:szCs w:val="16"/>
              </w:rPr>
              <w:br/>
              <w:t xml:space="preserve">051 </w:t>
            </w:r>
          </w:p>
        </w:tc>
        <w:tc>
          <w:tcPr>
            <w:tcW w:w="507" w:type="dxa"/>
            <w:tcBorders>
              <w:top w:val="nil"/>
              <w:left w:val="nil"/>
              <w:bottom w:val="dotted" w:sz="4" w:space="0" w:color="auto"/>
              <w:right w:val="dotted" w:sz="4" w:space="0" w:color="auto"/>
            </w:tcBorders>
            <w:shd w:val="clear" w:color="auto" w:fill="auto"/>
            <w:vAlign w:val="center"/>
            <w:hideMark/>
          </w:tcPr>
          <w:p w14:paraId="5E21C2DB" w14:textId="4B901FDC" w:rsidR="006D4CF0" w:rsidRPr="00E21C60" w:rsidRDefault="006D4CF0">
            <w:pPr>
              <w:jc w:val="center"/>
              <w:rPr>
                <w:rFonts w:ascii="Arial" w:hAnsi="Arial" w:cs="Arial"/>
                <w:color w:val="000000"/>
                <w:sz w:val="16"/>
                <w:szCs w:val="16"/>
              </w:rPr>
            </w:pPr>
            <w:r>
              <w:rPr>
                <w:rFonts w:ascii="Arial" w:hAnsi="Arial" w:cs="Arial"/>
                <w:color w:val="000000"/>
                <w:sz w:val="16"/>
                <w:szCs w:val="16"/>
              </w:rPr>
              <w:t>356018</w:t>
            </w:r>
          </w:p>
        </w:tc>
        <w:tc>
          <w:tcPr>
            <w:tcW w:w="567" w:type="dxa"/>
            <w:tcBorders>
              <w:top w:val="nil"/>
              <w:left w:val="nil"/>
              <w:bottom w:val="dotted" w:sz="4" w:space="0" w:color="auto"/>
              <w:right w:val="dotted" w:sz="4" w:space="0" w:color="auto"/>
            </w:tcBorders>
            <w:shd w:val="clear" w:color="auto" w:fill="auto"/>
            <w:vAlign w:val="center"/>
            <w:hideMark/>
          </w:tcPr>
          <w:p w14:paraId="503D3222" w14:textId="4E6D97F7" w:rsidR="006D4CF0" w:rsidRPr="00E21C60" w:rsidRDefault="006D4CF0">
            <w:pPr>
              <w:jc w:val="center"/>
              <w:rPr>
                <w:rFonts w:ascii="Arial" w:hAnsi="Arial" w:cs="Arial"/>
                <w:color w:val="000000"/>
                <w:sz w:val="16"/>
                <w:szCs w:val="16"/>
              </w:rPr>
            </w:pPr>
            <w:r>
              <w:rPr>
                <w:rFonts w:ascii="Arial" w:hAnsi="Arial" w:cs="Arial"/>
                <w:color w:val="000000"/>
                <w:sz w:val="16"/>
                <w:szCs w:val="16"/>
              </w:rPr>
              <w:t xml:space="preserve">   654 994   </w:t>
            </w:r>
          </w:p>
        </w:tc>
        <w:tc>
          <w:tcPr>
            <w:tcW w:w="709" w:type="dxa"/>
            <w:tcBorders>
              <w:top w:val="nil"/>
              <w:left w:val="nil"/>
              <w:bottom w:val="dotted" w:sz="4" w:space="0" w:color="auto"/>
              <w:right w:val="dotted" w:sz="4" w:space="0" w:color="auto"/>
            </w:tcBorders>
            <w:shd w:val="clear" w:color="auto" w:fill="auto"/>
            <w:vAlign w:val="center"/>
            <w:hideMark/>
          </w:tcPr>
          <w:p w14:paraId="56B935BD" w14:textId="0ADEF055" w:rsidR="006D4CF0" w:rsidRPr="00E21C60" w:rsidRDefault="006D4CF0">
            <w:pPr>
              <w:jc w:val="center"/>
              <w:rPr>
                <w:rFonts w:ascii="Arial" w:hAnsi="Arial" w:cs="Arial"/>
                <w:color w:val="000000"/>
                <w:sz w:val="16"/>
                <w:szCs w:val="16"/>
              </w:rPr>
            </w:pPr>
            <w:r>
              <w:rPr>
                <w:rFonts w:ascii="Arial" w:hAnsi="Arial" w:cs="Arial"/>
                <w:b/>
                <w:bCs/>
                <w:sz w:val="16"/>
                <w:szCs w:val="16"/>
              </w:rPr>
              <w:t xml:space="preserve">        668 987   </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1A4F8960" w14:textId="232856CA" w:rsidR="006D4CF0" w:rsidRPr="00E21C60" w:rsidRDefault="006D4CF0">
            <w:pPr>
              <w:jc w:val="center"/>
              <w:rPr>
                <w:rFonts w:ascii="Arial" w:hAnsi="Arial" w:cs="Arial"/>
                <w:color w:val="000000"/>
                <w:sz w:val="16"/>
                <w:szCs w:val="16"/>
              </w:rPr>
            </w:pPr>
            <w:r>
              <w:rPr>
                <w:rFonts w:ascii="Arial" w:hAnsi="Arial" w:cs="Arial"/>
                <w:color w:val="000000"/>
                <w:sz w:val="16"/>
                <w:szCs w:val="16"/>
              </w:rPr>
              <w:t>866 534</w:t>
            </w:r>
          </w:p>
        </w:tc>
      </w:tr>
      <w:tr w:rsidR="007803AE" w:rsidRPr="00E21C60" w14:paraId="4FDF6797" w14:textId="77777777" w:rsidTr="00123376">
        <w:trPr>
          <w:trHeight w:val="510"/>
        </w:trPr>
        <w:tc>
          <w:tcPr>
            <w:tcW w:w="1095" w:type="dxa"/>
            <w:vMerge/>
            <w:tcBorders>
              <w:top w:val="nil"/>
              <w:left w:val="single" w:sz="8" w:space="0" w:color="auto"/>
              <w:bottom w:val="single" w:sz="8" w:space="0" w:color="000000"/>
              <w:right w:val="single" w:sz="8" w:space="0" w:color="auto"/>
            </w:tcBorders>
            <w:vAlign w:val="center"/>
            <w:hideMark/>
          </w:tcPr>
          <w:p w14:paraId="12DAE5B4"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72AAEA9A"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21F7095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1D2DF79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0780436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EA6C7A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3F46D1A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1AE4AD2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51D4B78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689236A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4C4842E5" w14:textId="1528E676" w:rsidR="007803AE" w:rsidRPr="00E21C60" w:rsidRDefault="00161B5E">
            <w:pPr>
              <w:jc w:val="center"/>
              <w:rPr>
                <w:rFonts w:ascii="Arial" w:hAnsi="Arial" w:cs="Arial"/>
                <w:color w:val="000000"/>
                <w:sz w:val="16"/>
                <w:szCs w:val="16"/>
              </w:rPr>
            </w:pPr>
            <w:r>
              <w:rPr>
                <w:rFonts w:ascii="Arial" w:hAnsi="Arial" w:cs="Arial"/>
                <w:color w:val="000000"/>
                <w:sz w:val="16"/>
                <w:szCs w:val="16"/>
              </w:rPr>
              <w:t>198 590</w:t>
            </w:r>
          </w:p>
        </w:tc>
        <w:tc>
          <w:tcPr>
            <w:tcW w:w="709" w:type="dxa"/>
            <w:tcBorders>
              <w:top w:val="nil"/>
              <w:left w:val="nil"/>
              <w:bottom w:val="dotted" w:sz="4" w:space="0" w:color="auto"/>
              <w:right w:val="dotted" w:sz="4" w:space="0" w:color="auto"/>
            </w:tcBorders>
            <w:shd w:val="clear" w:color="auto" w:fill="auto"/>
            <w:vAlign w:val="center"/>
            <w:hideMark/>
          </w:tcPr>
          <w:p w14:paraId="0B3B1FF0" w14:textId="5D1DFA88" w:rsidR="007803AE" w:rsidRPr="00E21C60" w:rsidRDefault="00161B5E">
            <w:pPr>
              <w:jc w:val="center"/>
              <w:rPr>
                <w:rFonts w:ascii="Arial" w:hAnsi="Arial" w:cs="Arial"/>
                <w:color w:val="000000"/>
                <w:sz w:val="16"/>
                <w:szCs w:val="16"/>
              </w:rPr>
            </w:pPr>
            <w:r>
              <w:rPr>
                <w:rFonts w:ascii="Arial" w:hAnsi="Arial" w:cs="Arial"/>
                <w:color w:val="000000"/>
                <w:sz w:val="16"/>
                <w:szCs w:val="16"/>
              </w:rPr>
              <w:t>198 590</w:t>
            </w:r>
          </w:p>
        </w:tc>
        <w:tc>
          <w:tcPr>
            <w:tcW w:w="850" w:type="dxa"/>
            <w:vMerge/>
            <w:tcBorders>
              <w:top w:val="nil"/>
              <w:left w:val="dotted" w:sz="4" w:space="0" w:color="auto"/>
              <w:bottom w:val="single" w:sz="8" w:space="0" w:color="000000"/>
              <w:right w:val="single" w:sz="8" w:space="0" w:color="auto"/>
            </w:tcBorders>
            <w:vAlign w:val="center"/>
            <w:hideMark/>
          </w:tcPr>
          <w:p w14:paraId="7644FE5F" w14:textId="77777777" w:rsidR="007803AE" w:rsidRPr="00E21C60" w:rsidRDefault="007803AE">
            <w:pPr>
              <w:rPr>
                <w:rFonts w:ascii="Arial" w:hAnsi="Arial" w:cs="Arial"/>
                <w:color w:val="000000"/>
                <w:sz w:val="16"/>
                <w:szCs w:val="16"/>
              </w:rPr>
            </w:pPr>
          </w:p>
        </w:tc>
      </w:tr>
      <w:tr w:rsidR="007803AE" w:rsidRPr="00E21C60" w14:paraId="39D08515" w14:textId="77777777" w:rsidTr="00123376">
        <w:trPr>
          <w:trHeight w:val="510"/>
        </w:trPr>
        <w:tc>
          <w:tcPr>
            <w:tcW w:w="1095" w:type="dxa"/>
            <w:vMerge/>
            <w:tcBorders>
              <w:top w:val="nil"/>
              <w:left w:val="single" w:sz="8" w:space="0" w:color="auto"/>
              <w:bottom w:val="single" w:sz="8" w:space="0" w:color="000000"/>
              <w:right w:val="single" w:sz="8" w:space="0" w:color="auto"/>
            </w:tcBorders>
            <w:vAlign w:val="center"/>
            <w:hideMark/>
          </w:tcPr>
          <w:p w14:paraId="4895E70B"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39CD6D02"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18DBC1A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105</w:t>
            </w:r>
            <w:r w:rsidRPr="00E21C60">
              <w:rPr>
                <w:rFonts w:ascii="Arial" w:hAnsi="Arial" w:cs="Arial"/>
                <w:color w:val="000000"/>
                <w:sz w:val="16"/>
                <w:szCs w:val="16"/>
              </w:rPr>
              <w:br/>
              <w:t>000</w:t>
            </w:r>
          </w:p>
        </w:tc>
        <w:tc>
          <w:tcPr>
            <w:tcW w:w="622" w:type="dxa"/>
            <w:tcBorders>
              <w:top w:val="nil"/>
              <w:left w:val="nil"/>
              <w:bottom w:val="single" w:sz="8" w:space="0" w:color="auto"/>
              <w:right w:val="dotted" w:sz="4" w:space="0" w:color="auto"/>
            </w:tcBorders>
            <w:shd w:val="clear" w:color="auto" w:fill="auto"/>
            <w:vAlign w:val="center"/>
            <w:hideMark/>
          </w:tcPr>
          <w:p w14:paraId="41A16BB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68AE97A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0CFD071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6206996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32381BA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2D8891B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6B4B8D2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4C72B8F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682E53D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105</w:t>
            </w:r>
            <w:r w:rsidRPr="00E21C60">
              <w:rPr>
                <w:rFonts w:ascii="Arial" w:hAnsi="Arial" w:cs="Arial"/>
                <w:color w:val="000000"/>
                <w:sz w:val="16"/>
                <w:szCs w:val="16"/>
              </w:rPr>
              <w:br/>
              <w:t>000</w:t>
            </w:r>
          </w:p>
        </w:tc>
        <w:tc>
          <w:tcPr>
            <w:tcW w:w="850" w:type="dxa"/>
            <w:vMerge/>
            <w:tcBorders>
              <w:top w:val="nil"/>
              <w:left w:val="dotted" w:sz="4" w:space="0" w:color="auto"/>
              <w:bottom w:val="single" w:sz="8" w:space="0" w:color="000000"/>
              <w:right w:val="single" w:sz="8" w:space="0" w:color="auto"/>
            </w:tcBorders>
            <w:vAlign w:val="center"/>
            <w:hideMark/>
          </w:tcPr>
          <w:p w14:paraId="54541C5A" w14:textId="77777777" w:rsidR="007803AE" w:rsidRPr="00E21C60" w:rsidRDefault="007803AE">
            <w:pPr>
              <w:rPr>
                <w:rFonts w:ascii="Arial" w:hAnsi="Arial" w:cs="Arial"/>
                <w:color w:val="000000"/>
                <w:sz w:val="16"/>
                <w:szCs w:val="16"/>
              </w:rPr>
            </w:pPr>
          </w:p>
        </w:tc>
      </w:tr>
      <w:tr w:rsidR="007803AE" w:rsidRPr="00E21C60" w14:paraId="43FB9ACA" w14:textId="77777777" w:rsidTr="00123376">
        <w:trPr>
          <w:trHeight w:val="525"/>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0F8E4F0C"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Počet novovytvo-</w:t>
            </w:r>
            <w:r w:rsidRPr="00E21C60">
              <w:rPr>
                <w:rFonts w:ascii="Arial" w:hAnsi="Arial" w:cs="Arial"/>
                <w:color w:val="000000"/>
                <w:sz w:val="16"/>
                <w:szCs w:val="16"/>
              </w:rPr>
              <w:br/>
              <w:t>rených pracovných miest (počet) dopad</w:t>
            </w:r>
          </w:p>
        </w:tc>
        <w:tc>
          <w:tcPr>
            <w:tcW w:w="959" w:type="dxa"/>
            <w:tcBorders>
              <w:top w:val="nil"/>
              <w:left w:val="nil"/>
              <w:bottom w:val="dotted" w:sz="4" w:space="0" w:color="auto"/>
              <w:right w:val="dotted" w:sz="4" w:space="0" w:color="auto"/>
            </w:tcBorders>
            <w:shd w:val="clear" w:color="000000" w:fill="FFFFFF"/>
            <w:vAlign w:val="center"/>
            <w:hideMark/>
          </w:tcPr>
          <w:p w14:paraId="617B3FB9"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5048772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07109A1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22F44CA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112D9CE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1DE8210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6D47F9B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39</w:t>
            </w:r>
          </w:p>
        </w:tc>
        <w:tc>
          <w:tcPr>
            <w:tcW w:w="639" w:type="dxa"/>
            <w:tcBorders>
              <w:top w:val="nil"/>
              <w:left w:val="nil"/>
              <w:bottom w:val="dotted" w:sz="4" w:space="0" w:color="auto"/>
              <w:right w:val="dotted" w:sz="4" w:space="0" w:color="auto"/>
            </w:tcBorders>
            <w:shd w:val="clear" w:color="auto" w:fill="auto"/>
            <w:vAlign w:val="center"/>
            <w:hideMark/>
          </w:tcPr>
          <w:p w14:paraId="7D4391B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82</w:t>
            </w:r>
          </w:p>
        </w:tc>
        <w:tc>
          <w:tcPr>
            <w:tcW w:w="507" w:type="dxa"/>
            <w:tcBorders>
              <w:top w:val="nil"/>
              <w:left w:val="nil"/>
              <w:bottom w:val="dotted" w:sz="4" w:space="0" w:color="auto"/>
              <w:right w:val="dotted" w:sz="4" w:space="0" w:color="auto"/>
            </w:tcBorders>
            <w:shd w:val="clear" w:color="auto" w:fill="auto"/>
            <w:vAlign w:val="center"/>
            <w:hideMark/>
          </w:tcPr>
          <w:p w14:paraId="243AB23D" w14:textId="5D965820" w:rsidR="007803AE" w:rsidRPr="00E21C60" w:rsidRDefault="00973164">
            <w:pPr>
              <w:jc w:val="center"/>
              <w:rPr>
                <w:rFonts w:ascii="Arial" w:hAnsi="Arial" w:cs="Arial"/>
                <w:color w:val="000000"/>
                <w:sz w:val="16"/>
                <w:szCs w:val="16"/>
              </w:rPr>
            </w:pPr>
            <w:r>
              <w:rPr>
                <w:rFonts w:ascii="Arial" w:hAnsi="Arial" w:cs="Arial"/>
                <w:color w:val="000000"/>
                <w:sz w:val="16"/>
                <w:szCs w:val="16"/>
              </w:rPr>
              <w:t>96</w:t>
            </w:r>
          </w:p>
        </w:tc>
        <w:tc>
          <w:tcPr>
            <w:tcW w:w="567" w:type="dxa"/>
            <w:tcBorders>
              <w:top w:val="nil"/>
              <w:left w:val="nil"/>
              <w:bottom w:val="dotted" w:sz="4" w:space="0" w:color="auto"/>
              <w:right w:val="dotted" w:sz="4" w:space="0" w:color="auto"/>
            </w:tcBorders>
            <w:shd w:val="clear" w:color="auto" w:fill="auto"/>
            <w:vAlign w:val="center"/>
            <w:hideMark/>
          </w:tcPr>
          <w:p w14:paraId="7AD49903" w14:textId="25B6A334" w:rsidR="007803AE" w:rsidRPr="00E21C60" w:rsidRDefault="006D4CF0">
            <w:pPr>
              <w:jc w:val="center"/>
              <w:rPr>
                <w:rFonts w:ascii="Arial" w:hAnsi="Arial" w:cs="Arial"/>
                <w:color w:val="000000"/>
                <w:sz w:val="16"/>
                <w:szCs w:val="16"/>
              </w:rPr>
            </w:pPr>
            <w:r>
              <w:rPr>
                <w:rFonts w:ascii="Arial" w:hAnsi="Arial" w:cs="Arial"/>
                <w:color w:val="000000"/>
                <w:sz w:val="16"/>
                <w:szCs w:val="16"/>
              </w:rPr>
              <w:t>137</w:t>
            </w:r>
          </w:p>
        </w:tc>
        <w:tc>
          <w:tcPr>
            <w:tcW w:w="709" w:type="dxa"/>
            <w:tcBorders>
              <w:top w:val="nil"/>
              <w:left w:val="nil"/>
              <w:bottom w:val="dotted" w:sz="4" w:space="0" w:color="auto"/>
              <w:right w:val="dotted" w:sz="4" w:space="0" w:color="auto"/>
            </w:tcBorders>
            <w:shd w:val="clear" w:color="auto" w:fill="auto"/>
            <w:vAlign w:val="center"/>
            <w:hideMark/>
          </w:tcPr>
          <w:p w14:paraId="48FEF389" w14:textId="6A9FCFD0" w:rsidR="007803AE" w:rsidRPr="00E21C60" w:rsidRDefault="006D4CF0" w:rsidP="006D4CF0">
            <w:pPr>
              <w:jc w:val="center"/>
              <w:rPr>
                <w:rFonts w:ascii="Arial" w:hAnsi="Arial" w:cs="Arial"/>
                <w:color w:val="000000"/>
                <w:sz w:val="16"/>
                <w:szCs w:val="16"/>
              </w:rPr>
            </w:pPr>
            <w:r>
              <w:rPr>
                <w:rFonts w:ascii="Arial" w:hAnsi="Arial" w:cs="Arial"/>
                <w:color w:val="000000"/>
                <w:sz w:val="16"/>
                <w:szCs w:val="16"/>
              </w:rPr>
              <w:t>136</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77D1BAE3" w14:textId="0FF45B2C" w:rsidR="007803AE" w:rsidRPr="00E21C60" w:rsidRDefault="006D4CF0" w:rsidP="00973164">
            <w:pPr>
              <w:jc w:val="center"/>
              <w:rPr>
                <w:rFonts w:ascii="Arial" w:hAnsi="Arial" w:cs="Arial"/>
                <w:color w:val="000000"/>
                <w:sz w:val="16"/>
                <w:szCs w:val="16"/>
              </w:rPr>
            </w:pPr>
            <w:r>
              <w:rPr>
                <w:rFonts w:ascii="Arial" w:hAnsi="Arial" w:cs="Arial"/>
                <w:color w:val="000000"/>
                <w:sz w:val="16"/>
                <w:szCs w:val="16"/>
              </w:rPr>
              <w:t>225</w:t>
            </w:r>
            <w:r w:rsidR="007803AE" w:rsidRPr="00E21C60">
              <w:rPr>
                <w:rFonts w:ascii="Arial" w:hAnsi="Arial" w:cs="Arial"/>
                <w:color w:val="000000"/>
                <w:sz w:val="16"/>
                <w:szCs w:val="16"/>
              </w:rPr>
              <w:br/>
              <w:t>po ukončení realizácie všetkých projektov</w:t>
            </w:r>
          </w:p>
        </w:tc>
      </w:tr>
      <w:tr w:rsidR="007803AE" w:rsidRPr="00E21C60" w14:paraId="7B4D7F46" w14:textId="77777777" w:rsidTr="00123376">
        <w:trPr>
          <w:trHeight w:val="525"/>
        </w:trPr>
        <w:tc>
          <w:tcPr>
            <w:tcW w:w="1095" w:type="dxa"/>
            <w:vMerge/>
            <w:tcBorders>
              <w:top w:val="nil"/>
              <w:left w:val="single" w:sz="8" w:space="0" w:color="auto"/>
              <w:bottom w:val="single" w:sz="8" w:space="0" w:color="000000"/>
              <w:right w:val="single" w:sz="8" w:space="0" w:color="auto"/>
            </w:tcBorders>
            <w:vAlign w:val="center"/>
            <w:hideMark/>
          </w:tcPr>
          <w:p w14:paraId="266E08D5"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665597DD"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7CAFD3D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0060030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7E6013E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46E87D4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601A03E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61146DD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67C792E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6E5C473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65240C5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105</w:t>
            </w:r>
          </w:p>
        </w:tc>
        <w:tc>
          <w:tcPr>
            <w:tcW w:w="709" w:type="dxa"/>
            <w:tcBorders>
              <w:top w:val="nil"/>
              <w:left w:val="nil"/>
              <w:bottom w:val="dotted" w:sz="4" w:space="0" w:color="auto"/>
              <w:right w:val="dotted" w:sz="4" w:space="0" w:color="auto"/>
            </w:tcBorders>
            <w:shd w:val="clear" w:color="auto" w:fill="auto"/>
            <w:vAlign w:val="center"/>
            <w:hideMark/>
          </w:tcPr>
          <w:p w14:paraId="32FB962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105</w:t>
            </w:r>
          </w:p>
        </w:tc>
        <w:tc>
          <w:tcPr>
            <w:tcW w:w="850" w:type="dxa"/>
            <w:vMerge/>
            <w:tcBorders>
              <w:top w:val="nil"/>
              <w:left w:val="dotted" w:sz="4" w:space="0" w:color="auto"/>
              <w:bottom w:val="single" w:sz="8" w:space="0" w:color="000000"/>
              <w:right w:val="single" w:sz="8" w:space="0" w:color="auto"/>
            </w:tcBorders>
            <w:vAlign w:val="center"/>
            <w:hideMark/>
          </w:tcPr>
          <w:p w14:paraId="78BCBA8C" w14:textId="77777777" w:rsidR="007803AE" w:rsidRPr="00E21C60" w:rsidRDefault="007803AE">
            <w:pPr>
              <w:rPr>
                <w:rFonts w:ascii="Arial" w:hAnsi="Arial" w:cs="Arial"/>
                <w:color w:val="000000"/>
                <w:sz w:val="16"/>
                <w:szCs w:val="16"/>
              </w:rPr>
            </w:pPr>
          </w:p>
        </w:tc>
      </w:tr>
      <w:tr w:rsidR="007803AE" w:rsidRPr="00E21C60" w14:paraId="00A9BE02" w14:textId="77777777" w:rsidTr="00123376">
        <w:trPr>
          <w:trHeight w:val="525"/>
        </w:trPr>
        <w:tc>
          <w:tcPr>
            <w:tcW w:w="1095" w:type="dxa"/>
            <w:vMerge/>
            <w:tcBorders>
              <w:top w:val="nil"/>
              <w:left w:val="single" w:sz="8" w:space="0" w:color="auto"/>
              <w:bottom w:val="single" w:sz="8" w:space="0" w:color="000000"/>
              <w:right w:val="single" w:sz="8" w:space="0" w:color="auto"/>
            </w:tcBorders>
            <w:vAlign w:val="center"/>
            <w:hideMark/>
          </w:tcPr>
          <w:p w14:paraId="6718885A"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3333E280"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6885215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single" w:sz="8" w:space="0" w:color="auto"/>
              <w:right w:val="dotted" w:sz="4" w:space="0" w:color="auto"/>
            </w:tcBorders>
            <w:shd w:val="clear" w:color="auto" w:fill="auto"/>
            <w:vAlign w:val="center"/>
            <w:hideMark/>
          </w:tcPr>
          <w:p w14:paraId="565DD6F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690C5D9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1A6FCCA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4E0B68E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26C53DC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77DF50B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4D290F8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3B4619D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709" w:type="dxa"/>
            <w:tcBorders>
              <w:top w:val="nil"/>
              <w:left w:val="nil"/>
              <w:bottom w:val="single" w:sz="8" w:space="0" w:color="auto"/>
              <w:right w:val="dotted" w:sz="4" w:space="0" w:color="auto"/>
            </w:tcBorders>
            <w:shd w:val="clear" w:color="auto" w:fill="auto"/>
            <w:vAlign w:val="center"/>
            <w:hideMark/>
          </w:tcPr>
          <w:p w14:paraId="0B5A3ED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tcBorders>
              <w:top w:val="nil"/>
              <w:left w:val="dotted" w:sz="4" w:space="0" w:color="auto"/>
              <w:bottom w:val="single" w:sz="8" w:space="0" w:color="000000"/>
              <w:right w:val="single" w:sz="8" w:space="0" w:color="auto"/>
            </w:tcBorders>
            <w:vAlign w:val="center"/>
            <w:hideMark/>
          </w:tcPr>
          <w:p w14:paraId="2029DA55" w14:textId="77777777" w:rsidR="007803AE" w:rsidRPr="00E21C60" w:rsidRDefault="007803AE">
            <w:pPr>
              <w:rPr>
                <w:rFonts w:ascii="Arial" w:hAnsi="Arial" w:cs="Arial"/>
                <w:color w:val="000000"/>
                <w:sz w:val="16"/>
                <w:szCs w:val="16"/>
              </w:rPr>
            </w:pPr>
          </w:p>
        </w:tc>
      </w:tr>
      <w:tr w:rsidR="007803AE" w:rsidRPr="00E21C60" w14:paraId="7445D6FA" w14:textId="77777777" w:rsidTr="00123376">
        <w:trPr>
          <w:trHeight w:val="285"/>
        </w:trPr>
        <w:tc>
          <w:tcPr>
            <w:tcW w:w="9087" w:type="dxa"/>
            <w:gridSpan w:val="13"/>
            <w:tcBorders>
              <w:top w:val="single" w:sz="8" w:space="0" w:color="auto"/>
              <w:left w:val="single" w:sz="8" w:space="0" w:color="auto"/>
              <w:bottom w:val="single" w:sz="8" w:space="0" w:color="auto"/>
              <w:right w:val="single" w:sz="8" w:space="0" w:color="000000"/>
            </w:tcBorders>
            <w:shd w:val="clear" w:color="000000" w:fill="D8E4BC"/>
            <w:vAlign w:val="center"/>
            <w:hideMark/>
          </w:tcPr>
          <w:p w14:paraId="0AEAFF03" w14:textId="77777777" w:rsidR="007803AE" w:rsidRPr="00E21C60" w:rsidRDefault="007803AE">
            <w:pPr>
              <w:rPr>
                <w:rFonts w:ascii="Arial" w:hAnsi="Arial" w:cs="Arial"/>
                <w:b/>
                <w:bCs/>
                <w:color w:val="000000"/>
                <w:sz w:val="16"/>
                <w:szCs w:val="16"/>
              </w:rPr>
            </w:pPr>
            <w:r w:rsidRPr="00E21C60">
              <w:rPr>
                <w:rFonts w:ascii="Arial" w:hAnsi="Arial" w:cs="Arial"/>
                <w:b/>
                <w:bCs/>
                <w:color w:val="000000"/>
                <w:sz w:val="16"/>
                <w:szCs w:val="16"/>
              </w:rPr>
              <w:t>Prioritná os 5 - Ochrana a regenerácia prírodného prostredia a krajiny</w:t>
            </w:r>
          </w:p>
        </w:tc>
      </w:tr>
      <w:tr w:rsidR="007803AE" w:rsidRPr="00E21C60" w14:paraId="35096E67" w14:textId="77777777" w:rsidTr="00123376">
        <w:trPr>
          <w:trHeight w:val="645"/>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365525B3"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Počet realizova-</w:t>
            </w:r>
            <w:r w:rsidRPr="00E21C60">
              <w:rPr>
                <w:rFonts w:ascii="Arial" w:hAnsi="Arial" w:cs="Arial"/>
                <w:color w:val="000000"/>
                <w:sz w:val="16"/>
                <w:szCs w:val="16"/>
              </w:rPr>
              <w:br/>
              <w:t>ných dokumentov starostlivosti o územia [počet] výstup</w:t>
            </w:r>
          </w:p>
        </w:tc>
        <w:tc>
          <w:tcPr>
            <w:tcW w:w="959" w:type="dxa"/>
            <w:tcBorders>
              <w:top w:val="nil"/>
              <w:left w:val="nil"/>
              <w:bottom w:val="dotted" w:sz="4" w:space="0" w:color="auto"/>
              <w:right w:val="dotted" w:sz="4" w:space="0" w:color="auto"/>
            </w:tcBorders>
            <w:shd w:val="clear" w:color="000000" w:fill="FFFFFF"/>
            <w:vAlign w:val="center"/>
            <w:hideMark/>
          </w:tcPr>
          <w:p w14:paraId="7B942368"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7D1F55B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3629821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7170700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0186241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122464A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1935EE4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4503D59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507" w:type="dxa"/>
            <w:tcBorders>
              <w:top w:val="nil"/>
              <w:left w:val="nil"/>
              <w:bottom w:val="dotted" w:sz="4" w:space="0" w:color="auto"/>
              <w:right w:val="dotted" w:sz="4" w:space="0" w:color="auto"/>
            </w:tcBorders>
            <w:shd w:val="clear" w:color="auto" w:fill="auto"/>
            <w:vAlign w:val="center"/>
            <w:hideMark/>
          </w:tcPr>
          <w:p w14:paraId="3F25698B" w14:textId="44A74800" w:rsidR="007803AE" w:rsidRPr="00E21C60" w:rsidRDefault="00601026">
            <w:pPr>
              <w:jc w:val="center"/>
              <w:rPr>
                <w:rFonts w:ascii="Arial" w:hAnsi="Arial" w:cs="Arial"/>
                <w:color w:val="000000"/>
                <w:sz w:val="16"/>
                <w:szCs w:val="16"/>
              </w:rPr>
            </w:pPr>
            <w:r>
              <w:rPr>
                <w:rFonts w:ascii="Arial" w:hAnsi="Arial" w:cs="Arial"/>
                <w:color w:val="000000"/>
                <w:sz w:val="16"/>
                <w:szCs w:val="16"/>
              </w:rPr>
              <w:t>0</w:t>
            </w:r>
          </w:p>
        </w:tc>
        <w:tc>
          <w:tcPr>
            <w:tcW w:w="567" w:type="dxa"/>
            <w:tcBorders>
              <w:top w:val="nil"/>
              <w:left w:val="nil"/>
              <w:bottom w:val="dotted" w:sz="4" w:space="0" w:color="auto"/>
              <w:right w:val="dotted" w:sz="4" w:space="0" w:color="auto"/>
            </w:tcBorders>
            <w:shd w:val="clear" w:color="auto" w:fill="auto"/>
            <w:vAlign w:val="center"/>
            <w:hideMark/>
          </w:tcPr>
          <w:p w14:paraId="194EC254" w14:textId="2C5A5D16" w:rsidR="007803AE" w:rsidRPr="00E21C60" w:rsidRDefault="006D4CF0">
            <w:pPr>
              <w:jc w:val="center"/>
              <w:rPr>
                <w:rFonts w:ascii="Arial" w:hAnsi="Arial" w:cs="Arial"/>
                <w:color w:val="000000"/>
                <w:sz w:val="16"/>
                <w:szCs w:val="16"/>
              </w:rPr>
            </w:pPr>
            <w:r>
              <w:rPr>
                <w:rFonts w:ascii="Arial" w:hAnsi="Arial" w:cs="Arial"/>
                <w:color w:val="000000"/>
                <w:sz w:val="16"/>
                <w:szCs w:val="16"/>
              </w:rPr>
              <w:t>6</w:t>
            </w:r>
          </w:p>
        </w:tc>
        <w:tc>
          <w:tcPr>
            <w:tcW w:w="709" w:type="dxa"/>
            <w:tcBorders>
              <w:top w:val="nil"/>
              <w:left w:val="nil"/>
              <w:bottom w:val="dotted" w:sz="4" w:space="0" w:color="auto"/>
              <w:right w:val="dotted" w:sz="4" w:space="0" w:color="auto"/>
            </w:tcBorders>
            <w:shd w:val="clear" w:color="auto" w:fill="auto"/>
            <w:vAlign w:val="center"/>
            <w:hideMark/>
          </w:tcPr>
          <w:p w14:paraId="7D81D944" w14:textId="21B1CE04" w:rsidR="007803AE" w:rsidRPr="00E21C60" w:rsidRDefault="002F2674">
            <w:pPr>
              <w:jc w:val="center"/>
              <w:rPr>
                <w:rFonts w:ascii="Arial" w:hAnsi="Arial" w:cs="Arial"/>
                <w:color w:val="000000"/>
                <w:sz w:val="16"/>
                <w:szCs w:val="16"/>
              </w:rPr>
            </w:pPr>
            <w:r>
              <w:rPr>
                <w:rFonts w:ascii="Arial" w:hAnsi="Arial" w:cs="Arial"/>
                <w:color w:val="000000"/>
                <w:sz w:val="16"/>
                <w:szCs w:val="16"/>
              </w:rPr>
              <w:t>54</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79791437" w14:textId="3D392BB2" w:rsidR="007803AE" w:rsidRPr="00E21C60" w:rsidRDefault="002F2674">
            <w:pPr>
              <w:jc w:val="center"/>
              <w:rPr>
                <w:rFonts w:ascii="Arial" w:hAnsi="Arial" w:cs="Arial"/>
                <w:color w:val="000000"/>
                <w:sz w:val="16"/>
                <w:szCs w:val="16"/>
              </w:rPr>
            </w:pPr>
            <w:r w:rsidRPr="002F2674">
              <w:rPr>
                <w:rFonts w:ascii="Arial" w:hAnsi="Arial" w:cs="Arial"/>
                <w:color w:val="000000"/>
                <w:sz w:val="16"/>
                <w:szCs w:val="16"/>
              </w:rPr>
              <w:t>54 Po ukončení realizácie všetkých projektov</w:t>
            </w:r>
          </w:p>
        </w:tc>
      </w:tr>
      <w:tr w:rsidR="007803AE" w:rsidRPr="00E21C60" w14:paraId="1591A686" w14:textId="77777777" w:rsidTr="00321598">
        <w:trPr>
          <w:trHeight w:val="447"/>
        </w:trPr>
        <w:tc>
          <w:tcPr>
            <w:tcW w:w="1095" w:type="dxa"/>
            <w:vMerge/>
            <w:tcBorders>
              <w:top w:val="nil"/>
              <w:left w:val="single" w:sz="8" w:space="0" w:color="auto"/>
              <w:bottom w:val="single" w:sz="8" w:space="0" w:color="000000"/>
              <w:right w:val="single" w:sz="8" w:space="0" w:color="auto"/>
            </w:tcBorders>
            <w:vAlign w:val="center"/>
            <w:hideMark/>
          </w:tcPr>
          <w:p w14:paraId="45DD38F7"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52DF2383"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556232E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3346B6D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3AE1D69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4F208F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44EC8B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6D76FE4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0905D5E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3FEC500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67C78E42" w14:textId="049A48E6" w:rsidR="007803AE" w:rsidRPr="00E21C60" w:rsidRDefault="00161B5E">
            <w:pPr>
              <w:jc w:val="center"/>
              <w:rPr>
                <w:rFonts w:ascii="Arial" w:hAnsi="Arial" w:cs="Arial"/>
                <w:color w:val="000000"/>
                <w:sz w:val="16"/>
                <w:szCs w:val="16"/>
              </w:rPr>
            </w:pPr>
            <w:r>
              <w:rPr>
                <w:rFonts w:ascii="Arial" w:hAnsi="Arial" w:cs="Arial"/>
                <w:color w:val="000000"/>
                <w:sz w:val="16"/>
                <w:szCs w:val="16"/>
              </w:rPr>
              <w:t>280</w:t>
            </w:r>
          </w:p>
        </w:tc>
        <w:tc>
          <w:tcPr>
            <w:tcW w:w="709" w:type="dxa"/>
            <w:tcBorders>
              <w:top w:val="nil"/>
              <w:left w:val="nil"/>
              <w:bottom w:val="dotted" w:sz="4" w:space="0" w:color="auto"/>
              <w:right w:val="dotted" w:sz="4" w:space="0" w:color="auto"/>
            </w:tcBorders>
            <w:shd w:val="clear" w:color="auto" w:fill="auto"/>
            <w:vAlign w:val="center"/>
            <w:hideMark/>
          </w:tcPr>
          <w:p w14:paraId="6DA97921" w14:textId="2DEB58BA" w:rsidR="007803AE" w:rsidRPr="00E21C60" w:rsidRDefault="00161B5E">
            <w:pPr>
              <w:jc w:val="center"/>
              <w:rPr>
                <w:rFonts w:ascii="Arial" w:hAnsi="Arial" w:cs="Arial"/>
                <w:color w:val="000000"/>
                <w:sz w:val="16"/>
                <w:szCs w:val="16"/>
              </w:rPr>
            </w:pPr>
            <w:r>
              <w:rPr>
                <w:rFonts w:ascii="Arial" w:hAnsi="Arial" w:cs="Arial"/>
                <w:color w:val="000000"/>
                <w:sz w:val="16"/>
                <w:szCs w:val="16"/>
              </w:rPr>
              <w:t>280</w:t>
            </w:r>
          </w:p>
        </w:tc>
        <w:tc>
          <w:tcPr>
            <w:tcW w:w="850" w:type="dxa"/>
            <w:vMerge/>
            <w:tcBorders>
              <w:top w:val="nil"/>
              <w:left w:val="dotted" w:sz="4" w:space="0" w:color="auto"/>
              <w:bottom w:val="single" w:sz="8" w:space="0" w:color="000000"/>
              <w:right w:val="single" w:sz="8" w:space="0" w:color="auto"/>
            </w:tcBorders>
            <w:vAlign w:val="center"/>
            <w:hideMark/>
          </w:tcPr>
          <w:p w14:paraId="1998CA32" w14:textId="77777777" w:rsidR="007803AE" w:rsidRPr="00E21C60" w:rsidRDefault="007803AE">
            <w:pPr>
              <w:rPr>
                <w:rFonts w:ascii="Arial" w:hAnsi="Arial" w:cs="Arial"/>
                <w:color w:val="000000"/>
                <w:sz w:val="16"/>
                <w:szCs w:val="16"/>
              </w:rPr>
            </w:pPr>
          </w:p>
        </w:tc>
      </w:tr>
      <w:tr w:rsidR="007803AE" w:rsidRPr="00E21C60" w14:paraId="0E8E6040" w14:textId="77777777" w:rsidTr="00321598">
        <w:trPr>
          <w:trHeight w:val="410"/>
        </w:trPr>
        <w:tc>
          <w:tcPr>
            <w:tcW w:w="1095" w:type="dxa"/>
            <w:vMerge/>
            <w:tcBorders>
              <w:top w:val="nil"/>
              <w:left w:val="single" w:sz="8" w:space="0" w:color="auto"/>
              <w:bottom w:val="single" w:sz="8" w:space="0" w:color="000000"/>
              <w:right w:val="single" w:sz="8" w:space="0" w:color="auto"/>
            </w:tcBorders>
            <w:vAlign w:val="center"/>
            <w:hideMark/>
          </w:tcPr>
          <w:p w14:paraId="0FAE2BAA"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27CDC917"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1CA830E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7</w:t>
            </w:r>
          </w:p>
        </w:tc>
        <w:tc>
          <w:tcPr>
            <w:tcW w:w="622" w:type="dxa"/>
            <w:tcBorders>
              <w:top w:val="nil"/>
              <w:left w:val="nil"/>
              <w:bottom w:val="single" w:sz="8" w:space="0" w:color="auto"/>
              <w:right w:val="dotted" w:sz="4" w:space="0" w:color="auto"/>
            </w:tcBorders>
            <w:shd w:val="clear" w:color="auto" w:fill="auto"/>
            <w:vAlign w:val="center"/>
            <w:hideMark/>
          </w:tcPr>
          <w:p w14:paraId="7B68D49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7FAFF04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1BA0DA5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04E4DE4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5B30E74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7E251DD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70F7219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53D07F3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00AC2C7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7</w:t>
            </w:r>
          </w:p>
        </w:tc>
        <w:tc>
          <w:tcPr>
            <w:tcW w:w="850" w:type="dxa"/>
            <w:vMerge/>
            <w:tcBorders>
              <w:top w:val="nil"/>
              <w:left w:val="dotted" w:sz="4" w:space="0" w:color="auto"/>
              <w:bottom w:val="single" w:sz="8" w:space="0" w:color="000000"/>
              <w:right w:val="single" w:sz="8" w:space="0" w:color="auto"/>
            </w:tcBorders>
            <w:vAlign w:val="center"/>
            <w:hideMark/>
          </w:tcPr>
          <w:p w14:paraId="68332E91" w14:textId="77777777" w:rsidR="007803AE" w:rsidRPr="00E21C60" w:rsidRDefault="007803AE">
            <w:pPr>
              <w:rPr>
                <w:rFonts w:ascii="Arial" w:hAnsi="Arial" w:cs="Arial"/>
                <w:color w:val="000000"/>
                <w:sz w:val="16"/>
                <w:szCs w:val="16"/>
              </w:rPr>
            </w:pPr>
          </w:p>
        </w:tc>
      </w:tr>
      <w:tr w:rsidR="007803AE" w:rsidRPr="00E21C60" w14:paraId="02DF8040" w14:textId="77777777" w:rsidTr="00123376">
        <w:trPr>
          <w:trHeight w:val="510"/>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070F2197"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Počet novovytvo-</w:t>
            </w:r>
            <w:r w:rsidRPr="00E21C60">
              <w:rPr>
                <w:rFonts w:ascii="Arial" w:hAnsi="Arial" w:cs="Arial"/>
                <w:color w:val="000000"/>
                <w:sz w:val="16"/>
                <w:szCs w:val="16"/>
              </w:rPr>
              <w:br/>
              <w:t>rených pracovných miest (počet) dopad</w:t>
            </w:r>
          </w:p>
        </w:tc>
        <w:tc>
          <w:tcPr>
            <w:tcW w:w="959" w:type="dxa"/>
            <w:tcBorders>
              <w:top w:val="nil"/>
              <w:left w:val="nil"/>
              <w:bottom w:val="dotted" w:sz="4" w:space="0" w:color="auto"/>
              <w:right w:val="dotted" w:sz="4" w:space="0" w:color="auto"/>
            </w:tcBorders>
            <w:shd w:val="clear" w:color="000000" w:fill="FFFFFF"/>
            <w:vAlign w:val="center"/>
            <w:hideMark/>
          </w:tcPr>
          <w:p w14:paraId="6A884305"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087FF44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2FCA287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7980638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4D77389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71C3C19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7DE5AC0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6F06103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507" w:type="dxa"/>
            <w:tcBorders>
              <w:top w:val="nil"/>
              <w:left w:val="nil"/>
              <w:bottom w:val="dotted" w:sz="4" w:space="0" w:color="auto"/>
              <w:right w:val="dotted" w:sz="4" w:space="0" w:color="auto"/>
            </w:tcBorders>
            <w:shd w:val="clear" w:color="auto" w:fill="auto"/>
            <w:vAlign w:val="center"/>
            <w:hideMark/>
          </w:tcPr>
          <w:p w14:paraId="56A8EF50" w14:textId="60820403" w:rsidR="007803AE" w:rsidRPr="00E21C60" w:rsidRDefault="00601026">
            <w:pPr>
              <w:jc w:val="center"/>
              <w:rPr>
                <w:rFonts w:ascii="Arial" w:hAnsi="Arial" w:cs="Arial"/>
                <w:color w:val="000000"/>
                <w:sz w:val="16"/>
                <w:szCs w:val="16"/>
              </w:rPr>
            </w:pPr>
            <w:r>
              <w:rPr>
                <w:rFonts w:ascii="Arial" w:hAnsi="Arial" w:cs="Arial"/>
                <w:color w:val="000000"/>
                <w:sz w:val="16"/>
                <w:szCs w:val="16"/>
              </w:rPr>
              <w:t>0</w:t>
            </w:r>
          </w:p>
        </w:tc>
        <w:tc>
          <w:tcPr>
            <w:tcW w:w="567" w:type="dxa"/>
            <w:tcBorders>
              <w:top w:val="nil"/>
              <w:left w:val="nil"/>
              <w:bottom w:val="dotted" w:sz="4" w:space="0" w:color="auto"/>
              <w:right w:val="dotted" w:sz="4" w:space="0" w:color="auto"/>
            </w:tcBorders>
            <w:shd w:val="clear" w:color="auto" w:fill="auto"/>
            <w:vAlign w:val="center"/>
            <w:hideMark/>
          </w:tcPr>
          <w:p w14:paraId="29F1A81B" w14:textId="554E2700" w:rsidR="007803AE" w:rsidRPr="00E21C60" w:rsidRDefault="002F2674">
            <w:pPr>
              <w:jc w:val="center"/>
              <w:rPr>
                <w:rFonts w:ascii="Arial" w:hAnsi="Arial" w:cs="Arial"/>
                <w:color w:val="000000"/>
                <w:sz w:val="16"/>
                <w:szCs w:val="16"/>
              </w:rPr>
            </w:pPr>
            <w:r>
              <w:rPr>
                <w:rFonts w:ascii="Arial" w:hAnsi="Arial" w:cs="Arial"/>
                <w:color w:val="000000"/>
                <w:sz w:val="16"/>
                <w:szCs w:val="16"/>
              </w:rPr>
              <w:t>0</w:t>
            </w:r>
          </w:p>
        </w:tc>
        <w:tc>
          <w:tcPr>
            <w:tcW w:w="709" w:type="dxa"/>
            <w:tcBorders>
              <w:top w:val="nil"/>
              <w:left w:val="nil"/>
              <w:bottom w:val="dotted" w:sz="4" w:space="0" w:color="auto"/>
              <w:right w:val="dotted" w:sz="4" w:space="0" w:color="auto"/>
            </w:tcBorders>
            <w:shd w:val="clear" w:color="auto" w:fill="auto"/>
            <w:vAlign w:val="center"/>
            <w:hideMark/>
          </w:tcPr>
          <w:p w14:paraId="36CAD7B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1EC190D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r w:rsidRPr="00E21C60">
              <w:rPr>
                <w:rFonts w:ascii="Arial" w:hAnsi="Arial" w:cs="Arial"/>
                <w:color w:val="000000"/>
                <w:sz w:val="16"/>
                <w:szCs w:val="16"/>
              </w:rPr>
              <w:br/>
              <w:t>po ukončení realizácie všetkých projektov</w:t>
            </w:r>
          </w:p>
        </w:tc>
      </w:tr>
      <w:tr w:rsidR="007803AE" w:rsidRPr="00E21C60" w14:paraId="5083BCD1" w14:textId="77777777" w:rsidTr="00123376">
        <w:trPr>
          <w:trHeight w:val="510"/>
        </w:trPr>
        <w:tc>
          <w:tcPr>
            <w:tcW w:w="1095" w:type="dxa"/>
            <w:vMerge/>
            <w:tcBorders>
              <w:top w:val="nil"/>
              <w:left w:val="single" w:sz="8" w:space="0" w:color="auto"/>
              <w:bottom w:val="single" w:sz="8" w:space="0" w:color="000000"/>
              <w:right w:val="single" w:sz="8" w:space="0" w:color="auto"/>
            </w:tcBorders>
            <w:vAlign w:val="center"/>
            <w:hideMark/>
          </w:tcPr>
          <w:p w14:paraId="5347C46E"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03479E1D"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6D89631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4AABA88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366C0EF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6A87ED9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7BB32A2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2364E1A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7031823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365E04F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4FF1A1E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3</w:t>
            </w:r>
          </w:p>
        </w:tc>
        <w:tc>
          <w:tcPr>
            <w:tcW w:w="709" w:type="dxa"/>
            <w:tcBorders>
              <w:top w:val="nil"/>
              <w:left w:val="nil"/>
              <w:bottom w:val="dotted" w:sz="4" w:space="0" w:color="auto"/>
              <w:right w:val="dotted" w:sz="4" w:space="0" w:color="auto"/>
            </w:tcBorders>
            <w:shd w:val="clear" w:color="auto" w:fill="auto"/>
            <w:vAlign w:val="center"/>
            <w:hideMark/>
          </w:tcPr>
          <w:p w14:paraId="03DC951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3</w:t>
            </w:r>
          </w:p>
        </w:tc>
        <w:tc>
          <w:tcPr>
            <w:tcW w:w="850" w:type="dxa"/>
            <w:vMerge/>
            <w:tcBorders>
              <w:top w:val="nil"/>
              <w:left w:val="dotted" w:sz="4" w:space="0" w:color="auto"/>
              <w:bottom w:val="single" w:sz="8" w:space="0" w:color="000000"/>
              <w:right w:val="single" w:sz="8" w:space="0" w:color="auto"/>
            </w:tcBorders>
            <w:vAlign w:val="center"/>
            <w:hideMark/>
          </w:tcPr>
          <w:p w14:paraId="404FCD4C" w14:textId="77777777" w:rsidR="007803AE" w:rsidRPr="00E21C60" w:rsidRDefault="007803AE">
            <w:pPr>
              <w:rPr>
                <w:rFonts w:ascii="Arial" w:hAnsi="Arial" w:cs="Arial"/>
                <w:color w:val="000000"/>
                <w:sz w:val="16"/>
                <w:szCs w:val="16"/>
              </w:rPr>
            </w:pPr>
          </w:p>
        </w:tc>
      </w:tr>
      <w:tr w:rsidR="007803AE" w:rsidRPr="00E21C60" w14:paraId="59CB1E69" w14:textId="77777777" w:rsidTr="00123376">
        <w:trPr>
          <w:trHeight w:val="510"/>
        </w:trPr>
        <w:tc>
          <w:tcPr>
            <w:tcW w:w="1095" w:type="dxa"/>
            <w:vMerge/>
            <w:tcBorders>
              <w:top w:val="nil"/>
              <w:left w:val="single" w:sz="8" w:space="0" w:color="auto"/>
              <w:bottom w:val="single" w:sz="8" w:space="0" w:color="000000"/>
              <w:right w:val="single" w:sz="8" w:space="0" w:color="auto"/>
            </w:tcBorders>
            <w:vAlign w:val="center"/>
            <w:hideMark/>
          </w:tcPr>
          <w:p w14:paraId="68EF8074"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471FDCE0"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2C69451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single" w:sz="8" w:space="0" w:color="auto"/>
              <w:right w:val="dotted" w:sz="4" w:space="0" w:color="auto"/>
            </w:tcBorders>
            <w:shd w:val="clear" w:color="auto" w:fill="auto"/>
            <w:vAlign w:val="center"/>
            <w:hideMark/>
          </w:tcPr>
          <w:p w14:paraId="5D8C09F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6066888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5890169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2AC00C4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24A4D79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62EE973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762CD68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312ECAF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709" w:type="dxa"/>
            <w:tcBorders>
              <w:top w:val="nil"/>
              <w:left w:val="nil"/>
              <w:bottom w:val="single" w:sz="8" w:space="0" w:color="auto"/>
              <w:right w:val="dotted" w:sz="4" w:space="0" w:color="auto"/>
            </w:tcBorders>
            <w:shd w:val="clear" w:color="auto" w:fill="auto"/>
            <w:vAlign w:val="center"/>
            <w:hideMark/>
          </w:tcPr>
          <w:p w14:paraId="6B2C478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tcBorders>
              <w:top w:val="nil"/>
              <w:left w:val="dotted" w:sz="4" w:space="0" w:color="auto"/>
              <w:bottom w:val="single" w:sz="8" w:space="0" w:color="000000"/>
              <w:right w:val="single" w:sz="8" w:space="0" w:color="auto"/>
            </w:tcBorders>
            <w:vAlign w:val="center"/>
            <w:hideMark/>
          </w:tcPr>
          <w:p w14:paraId="1CC201C8" w14:textId="77777777" w:rsidR="007803AE" w:rsidRPr="00E21C60" w:rsidRDefault="007803AE">
            <w:pPr>
              <w:rPr>
                <w:rFonts w:ascii="Arial" w:hAnsi="Arial" w:cs="Arial"/>
                <w:color w:val="000000"/>
                <w:sz w:val="16"/>
                <w:szCs w:val="16"/>
              </w:rPr>
            </w:pPr>
          </w:p>
        </w:tc>
      </w:tr>
      <w:tr w:rsidR="007803AE" w:rsidRPr="00E21C60" w14:paraId="0C784B85" w14:textId="77777777" w:rsidTr="00123376">
        <w:trPr>
          <w:trHeight w:val="285"/>
        </w:trPr>
        <w:tc>
          <w:tcPr>
            <w:tcW w:w="9087" w:type="dxa"/>
            <w:gridSpan w:val="13"/>
            <w:tcBorders>
              <w:top w:val="single" w:sz="8" w:space="0" w:color="auto"/>
              <w:left w:val="single" w:sz="8" w:space="0" w:color="auto"/>
              <w:bottom w:val="single" w:sz="8" w:space="0" w:color="auto"/>
              <w:right w:val="single" w:sz="8" w:space="0" w:color="000000"/>
            </w:tcBorders>
            <w:shd w:val="clear" w:color="000000" w:fill="D8E4BC"/>
            <w:vAlign w:val="center"/>
            <w:hideMark/>
          </w:tcPr>
          <w:p w14:paraId="605A8A4B" w14:textId="77777777" w:rsidR="007803AE" w:rsidRPr="00E21C60" w:rsidRDefault="007803AE">
            <w:pPr>
              <w:rPr>
                <w:rFonts w:ascii="Arial" w:hAnsi="Arial" w:cs="Arial"/>
                <w:b/>
                <w:bCs/>
                <w:color w:val="000000"/>
                <w:sz w:val="16"/>
                <w:szCs w:val="16"/>
              </w:rPr>
            </w:pPr>
            <w:r w:rsidRPr="00E21C60">
              <w:rPr>
                <w:rFonts w:ascii="Arial" w:hAnsi="Arial" w:cs="Arial"/>
                <w:b/>
                <w:bCs/>
                <w:color w:val="000000"/>
                <w:sz w:val="16"/>
                <w:szCs w:val="16"/>
              </w:rPr>
              <w:lastRenderedPageBreak/>
              <w:t>Prioritná os 7 – Budovanie povodňového varovného a predpovedného systému</w:t>
            </w:r>
          </w:p>
        </w:tc>
      </w:tr>
      <w:tr w:rsidR="007803AE" w:rsidRPr="00E21C60" w14:paraId="22356C0C" w14:textId="77777777" w:rsidTr="006B256C">
        <w:trPr>
          <w:trHeight w:val="618"/>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7DF5F2D9"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Počet vydaných hydrologický predpovedí, varovaní a výstrah [počet] výsledok</w:t>
            </w:r>
          </w:p>
        </w:tc>
        <w:tc>
          <w:tcPr>
            <w:tcW w:w="959" w:type="dxa"/>
            <w:tcBorders>
              <w:top w:val="nil"/>
              <w:left w:val="nil"/>
              <w:bottom w:val="dotted" w:sz="4" w:space="0" w:color="auto"/>
              <w:right w:val="dotted" w:sz="4" w:space="0" w:color="auto"/>
            </w:tcBorders>
            <w:shd w:val="clear" w:color="000000" w:fill="FFFFFF"/>
            <w:vAlign w:val="center"/>
            <w:hideMark/>
          </w:tcPr>
          <w:p w14:paraId="5F725E40"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41969AF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49C4984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1613AB4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0B9D719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321BA8A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6A22506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4174818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507" w:type="dxa"/>
            <w:tcBorders>
              <w:top w:val="nil"/>
              <w:left w:val="nil"/>
              <w:bottom w:val="dotted" w:sz="4" w:space="0" w:color="auto"/>
              <w:right w:val="dotted" w:sz="4" w:space="0" w:color="auto"/>
            </w:tcBorders>
            <w:shd w:val="clear" w:color="auto" w:fill="auto"/>
            <w:vAlign w:val="center"/>
            <w:hideMark/>
          </w:tcPr>
          <w:p w14:paraId="2D99CB4C" w14:textId="76E0C306" w:rsidR="007803AE" w:rsidRPr="00E21C60" w:rsidRDefault="00601026">
            <w:pPr>
              <w:jc w:val="center"/>
              <w:rPr>
                <w:rFonts w:ascii="Arial" w:hAnsi="Arial" w:cs="Arial"/>
                <w:color w:val="000000"/>
                <w:sz w:val="16"/>
                <w:szCs w:val="16"/>
              </w:rPr>
            </w:pPr>
            <w:r>
              <w:rPr>
                <w:rFonts w:ascii="Arial" w:hAnsi="Arial" w:cs="Arial"/>
                <w:color w:val="000000"/>
                <w:sz w:val="16"/>
                <w:szCs w:val="16"/>
              </w:rPr>
              <w:t>0</w:t>
            </w:r>
          </w:p>
        </w:tc>
        <w:tc>
          <w:tcPr>
            <w:tcW w:w="567" w:type="dxa"/>
            <w:tcBorders>
              <w:top w:val="nil"/>
              <w:left w:val="nil"/>
              <w:bottom w:val="dotted" w:sz="4" w:space="0" w:color="auto"/>
              <w:right w:val="dotted" w:sz="4" w:space="0" w:color="auto"/>
            </w:tcBorders>
            <w:shd w:val="clear" w:color="auto" w:fill="auto"/>
            <w:vAlign w:val="center"/>
            <w:hideMark/>
          </w:tcPr>
          <w:p w14:paraId="0018DF61" w14:textId="323B14F3" w:rsidR="007803AE" w:rsidRPr="00E21C60" w:rsidRDefault="002F2674">
            <w:pPr>
              <w:jc w:val="center"/>
              <w:rPr>
                <w:rFonts w:ascii="Arial" w:hAnsi="Arial" w:cs="Arial"/>
                <w:color w:val="000000"/>
                <w:sz w:val="16"/>
                <w:szCs w:val="16"/>
              </w:rPr>
            </w:pPr>
            <w:r>
              <w:rPr>
                <w:rFonts w:ascii="Arial" w:hAnsi="Arial" w:cs="Arial"/>
                <w:color w:val="000000"/>
                <w:sz w:val="16"/>
                <w:szCs w:val="16"/>
              </w:rPr>
              <w:t>0</w:t>
            </w:r>
          </w:p>
        </w:tc>
        <w:tc>
          <w:tcPr>
            <w:tcW w:w="709" w:type="dxa"/>
            <w:tcBorders>
              <w:top w:val="nil"/>
              <w:left w:val="nil"/>
              <w:bottom w:val="dotted" w:sz="4" w:space="0" w:color="auto"/>
              <w:right w:val="dotted" w:sz="4" w:space="0" w:color="auto"/>
            </w:tcBorders>
            <w:shd w:val="clear" w:color="auto" w:fill="auto"/>
            <w:vAlign w:val="center"/>
            <w:hideMark/>
          </w:tcPr>
          <w:p w14:paraId="553E4BA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530380CF" w14:textId="454A032D" w:rsidR="00E81FBC" w:rsidRDefault="002F2674" w:rsidP="0004683E">
            <w:pPr>
              <w:jc w:val="center"/>
              <w:rPr>
                <w:rFonts w:ascii="Arial" w:hAnsi="Arial" w:cs="Arial"/>
                <w:color w:val="000000"/>
                <w:sz w:val="16"/>
                <w:szCs w:val="16"/>
              </w:rPr>
            </w:pPr>
            <w:r w:rsidRPr="002F2674">
              <w:rPr>
                <w:rFonts w:ascii="Arial" w:hAnsi="Arial" w:cs="Arial"/>
                <w:color w:val="000000"/>
                <w:sz w:val="16"/>
                <w:szCs w:val="16"/>
              </w:rPr>
              <w:t>7800 Po ukončení realizácie všetkých projektov</w:t>
            </w:r>
          </w:p>
          <w:p w14:paraId="48716AE0" w14:textId="77777777" w:rsidR="00E81FBC" w:rsidRDefault="00E81FBC" w:rsidP="0004683E">
            <w:pPr>
              <w:jc w:val="center"/>
              <w:rPr>
                <w:rFonts w:ascii="Arial" w:hAnsi="Arial" w:cs="Arial"/>
                <w:color w:val="000000"/>
                <w:sz w:val="16"/>
                <w:szCs w:val="16"/>
              </w:rPr>
            </w:pPr>
          </w:p>
          <w:p w14:paraId="421DFFDF" w14:textId="77777777" w:rsidR="00924D55" w:rsidRDefault="00924D55" w:rsidP="0004683E">
            <w:pPr>
              <w:jc w:val="center"/>
              <w:rPr>
                <w:rFonts w:ascii="Arial" w:hAnsi="Arial" w:cs="Arial"/>
                <w:color w:val="000000"/>
                <w:sz w:val="16"/>
                <w:szCs w:val="16"/>
              </w:rPr>
            </w:pPr>
          </w:p>
          <w:p w14:paraId="13EDE874" w14:textId="77777777" w:rsidR="00924D55" w:rsidRDefault="00924D55" w:rsidP="0004683E">
            <w:pPr>
              <w:jc w:val="center"/>
              <w:rPr>
                <w:rFonts w:ascii="Arial" w:hAnsi="Arial" w:cs="Arial"/>
                <w:color w:val="000000"/>
                <w:sz w:val="16"/>
                <w:szCs w:val="16"/>
              </w:rPr>
            </w:pPr>
          </w:p>
          <w:p w14:paraId="28FB66D6" w14:textId="77777777" w:rsidR="00924D55" w:rsidRDefault="00924D55" w:rsidP="0004683E">
            <w:pPr>
              <w:jc w:val="center"/>
              <w:rPr>
                <w:rFonts w:ascii="Arial" w:hAnsi="Arial" w:cs="Arial"/>
                <w:color w:val="000000"/>
                <w:sz w:val="16"/>
                <w:szCs w:val="16"/>
              </w:rPr>
            </w:pPr>
          </w:p>
          <w:p w14:paraId="4FA4D82A" w14:textId="77777777" w:rsidR="00924D55" w:rsidRDefault="00924D55" w:rsidP="0004683E">
            <w:pPr>
              <w:jc w:val="center"/>
              <w:rPr>
                <w:rFonts w:ascii="Arial" w:hAnsi="Arial" w:cs="Arial"/>
                <w:color w:val="000000"/>
                <w:sz w:val="16"/>
                <w:szCs w:val="16"/>
              </w:rPr>
            </w:pPr>
          </w:p>
          <w:p w14:paraId="346BAF6B" w14:textId="4049D4F4" w:rsidR="007803AE" w:rsidRPr="008A1902" w:rsidRDefault="007803AE" w:rsidP="0004683E">
            <w:pPr>
              <w:jc w:val="center"/>
              <w:rPr>
                <w:rFonts w:ascii="Arial" w:hAnsi="Arial" w:cs="Arial"/>
                <w:color w:val="000000"/>
                <w:sz w:val="14"/>
                <w:szCs w:val="14"/>
              </w:rPr>
            </w:pPr>
          </w:p>
        </w:tc>
      </w:tr>
      <w:tr w:rsidR="007803AE" w:rsidRPr="00E21C60" w14:paraId="7ABAB13E" w14:textId="77777777" w:rsidTr="00321598">
        <w:trPr>
          <w:trHeight w:val="414"/>
        </w:trPr>
        <w:tc>
          <w:tcPr>
            <w:tcW w:w="1095" w:type="dxa"/>
            <w:vMerge/>
            <w:tcBorders>
              <w:top w:val="nil"/>
              <w:left w:val="single" w:sz="8" w:space="0" w:color="auto"/>
              <w:bottom w:val="single" w:sz="8" w:space="0" w:color="000000"/>
              <w:right w:val="single" w:sz="8" w:space="0" w:color="auto"/>
            </w:tcBorders>
            <w:vAlign w:val="center"/>
            <w:hideMark/>
          </w:tcPr>
          <w:p w14:paraId="767EC978"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7903FAE0"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28BC4E0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5B091BC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077ABF7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B0EFCF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90C2C7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4312675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3413181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5B913AD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6D8B6BA6" w14:textId="4368A765" w:rsidR="007803AE" w:rsidRPr="00E21C60" w:rsidRDefault="002F2674">
            <w:pPr>
              <w:jc w:val="center"/>
              <w:rPr>
                <w:rFonts w:ascii="Arial" w:hAnsi="Arial" w:cs="Arial"/>
                <w:color w:val="000000"/>
                <w:sz w:val="16"/>
                <w:szCs w:val="16"/>
              </w:rPr>
            </w:pPr>
            <w:r>
              <w:rPr>
                <w:rFonts w:ascii="Arial" w:hAnsi="Arial" w:cs="Arial"/>
                <w:color w:val="000000"/>
                <w:sz w:val="16"/>
                <w:szCs w:val="16"/>
              </w:rPr>
              <w:t>15000</w:t>
            </w:r>
          </w:p>
        </w:tc>
        <w:tc>
          <w:tcPr>
            <w:tcW w:w="709" w:type="dxa"/>
            <w:tcBorders>
              <w:top w:val="nil"/>
              <w:left w:val="nil"/>
              <w:bottom w:val="dotted" w:sz="4" w:space="0" w:color="auto"/>
              <w:right w:val="dotted" w:sz="4" w:space="0" w:color="auto"/>
            </w:tcBorders>
            <w:shd w:val="clear" w:color="auto" w:fill="auto"/>
            <w:vAlign w:val="center"/>
            <w:hideMark/>
          </w:tcPr>
          <w:p w14:paraId="18ADB0D3" w14:textId="20EAA390" w:rsidR="007803AE" w:rsidRPr="00E21C60" w:rsidRDefault="002F2674" w:rsidP="002F2674">
            <w:pPr>
              <w:jc w:val="center"/>
              <w:rPr>
                <w:rFonts w:ascii="Arial" w:hAnsi="Arial" w:cs="Arial"/>
                <w:color w:val="000000"/>
                <w:sz w:val="16"/>
                <w:szCs w:val="16"/>
              </w:rPr>
            </w:pPr>
            <w:r>
              <w:rPr>
                <w:rFonts w:ascii="Arial" w:hAnsi="Arial" w:cs="Arial"/>
                <w:color w:val="000000"/>
                <w:sz w:val="16"/>
                <w:szCs w:val="16"/>
              </w:rPr>
              <w:t>15000</w:t>
            </w:r>
          </w:p>
        </w:tc>
        <w:tc>
          <w:tcPr>
            <w:tcW w:w="850" w:type="dxa"/>
            <w:vMerge/>
            <w:tcBorders>
              <w:top w:val="nil"/>
              <w:left w:val="dotted" w:sz="4" w:space="0" w:color="auto"/>
              <w:bottom w:val="single" w:sz="8" w:space="0" w:color="000000"/>
              <w:right w:val="single" w:sz="8" w:space="0" w:color="auto"/>
            </w:tcBorders>
            <w:vAlign w:val="center"/>
            <w:hideMark/>
          </w:tcPr>
          <w:p w14:paraId="5A654952" w14:textId="77777777" w:rsidR="007803AE" w:rsidRPr="00E21C60" w:rsidRDefault="007803AE">
            <w:pPr>
              <w:rPr>
                <w:rFonts w:ascii="Arial" w:hAnsi="Arial" w:cs="Arial"/>
                <w:color w:val="000000"/>
                <w:sz w:val="16"/>
                <w:szCs w:val="16"/>
              </w:rPr>
            </w:pPr>
          </w:p>
        </w:tc>
      </w:tr>
      <w:tr w:rsidR="007803AE" w:rsidRPr="00E21C60" w14:paraId="757FC19D" w14:textId="77777777" w:rsidTr="006B256C">
        <w:trPr>
          <w:trHeight w:val="536"/>
        </w:trPr>
        <w:tc>
          <w:tcPr>
            <w:tcW w:w="1095" w:type="dxa"/>
            <w:vMerge/>
            <w:tcBorders>
              <w:top w:val="nil"/>
              <w:left w:val="single" w:sz="8" w:space="0" w:color="auto"/>
              <w:bottom w:val="single" w:sz="8" w:space="0" w:color="000000"/>
              <w:right w:val="single" w:sz="8" w:space="0" w:color="auto"/>
            </w:tcBorders>
            <w:vAlign w:val="center"/>
            <w:hideMark/>
          </w:tcPr>
          <w:p w14:paraId="672E8B49"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7FA261C8"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138E35F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7 200</w:t>
            </w:r>
          </w:p>
        </w:tc>
        <w:tc>
          <w:tcPr>
            <w:tcW w:w="622" w:type="dxa"/>
            <w:tcBorders>
              <w:top w:val="nil"/>
              <w:left w:val="nil"/>
              <w:bottom w:val="single" w:sz="8" w:space="0" w:color="auto"/>
              <w:right w:val="dotted" w:sz="4" w:space="0" w:color="auto"/>
            </w:tcBorders>
            <w:shd w:val="clear" w:color="auto" w:fill="auto"/>
            <w:vAlign w:val="center"/>
            <w:hideMark/>
          </w:tcPr>
          <w:p w14:paraId="51B7EA7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17AAAC8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09A8791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1F3AA2A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277FA49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66D9CAE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4C49296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2DC5299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7FD90D9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7 200</w:t>
            </w:r>
          </w:p>
        </w:tc>
        <w:tc>
          <w:tcPr>
            <w:tcW w:w="850" w:type="dxa"/>
            <w:vMerge/>
            <w:tcBorders>
              <w:top w:val="nil"/>
              <w:left w:val="dotted" w:sz="4" w:space="0" w:color="auto"/>
              <w:bottom w:val="single" w:sz="8" w:space="0" w:color="000000"/>
              <w:right w:val="single" w:sz="8" w:space="0" w:color="auto"/>
            </w:tcBorders>
            <w:vAlign w:val="center"/>
            <w:hideMark/>
          </w:tcPr>
          <w:p w14:paraId="44EA8F14" w14:textId="77777777" w:rsidR="007803AE" w:rsidRPr="00E21C60" w:rsidRDefault="007803AE">
            <w:pPr>
              <w:rPr>
                <w:rFonts w:ascii="Arial" w:hAnsi="Arial" w:cs="Arial"/>
                <w:color w:val="000000"/>
                <w:sz w:val="16"/>
                <w:szCs w:val="16"/>
              </w:rPr>
            </w:pPr>
          </w:p>
        </w:tc>
      </w:tr>
      <w:tr w:rsidR="007803AE" w:rsidRPr="00E21C60" w14:paraId="488FECB0" w14:textId="77777777" w:rsidTr="006B256C">
        <w:trPr>
          <w:trHeight w:val="402"/>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41338B96"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Počet inštitúcií napoje-</w:t>
            </w:r>
            <w:r w:rsidRPr="00E21C60">
              <w:rPr>
                <w:rFonts w:ascii="Arial" w:hAnsi="Arial" w:cs="Arial"/>
                <w:color w:val="000000"/>
                <w:sz w:val="16"/>
                <w:szCs w:val="16"/>
              </w:rPr>
              <w:br/>
              <w:t>ných na POVAPSYS [počet]  výsledok</w:t>
            </w:r>
          </w:p>
        </w:tc>
        <w:tc>
          <w:tcPr>
            <w:tcW w:w="959" w:type="dxa"/>
            <w:tcBorders>
              <w:top w:val="nil"/>
              <w:left w:val="nil"/>
              <w:bottom w:val="dotted" w:sz="4" w:space="0" w:color="auto"/>
              <w:right w:val="dotted" w:sz="4" w:space="0" w:color="auto"/>
            </w:tcBorders>
            <w:shd w:val="clear" w:color="000000" w:fill="FFFFFF"/>
            <w:vAlign w:val="center"/>
            <w:hideMark/>
          </w:tcPr>
          <w:p w14:paraId="717ED487"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29AC337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4E3FDA0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029B874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23A053C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58BAD59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12A183C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59488B4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507" w:type="dxa"/>
            <w:tcBorders>
              <w:top w:val="nil"/>
              <w:left w:val="nil"/>
              <w:bottom w:val="dotted" w:sz="4" w:space="0" w:color="auto"/>
              <w:right w:val="dotted" w:sz="4" w:space="0" w:color="auto"/>
            </w:tcBorders>
            <w:shd w:val="clear" w:color="auto" w:fill="auto"/>
            <w:vAlign w:val="center"/>
            <w:hideMark/>
          </w:tcPr>
          <w:p w14:paraId="4F133E63" w14:textId="6B7B67CF" w:rsidR="007803AE" w:rsidRPr="00E21C60" w:rsidRDefault="00FB6424">
            <w:pPr>
              <w:jc w:val="center"/>
              <w:rPr>
                <w:rFonts w:ascii="Arial" w:hAnsi="Arial" w:cs="Arial"/>
                <w:color w:val="000000"/>
                <w:sz w:val="16"/>
                <w:szCs w:val="16"/>
              </w:rPr>
            </w:pPr>
            <w:r>
              <w:rPr>
                <w:rFonts w:ascii="Arial" w:hAnsi="Arial" w:cs="Arial"/>
                <w:color w:val="000000"/>
                <w:sz w:val="16"/>
                <w:szCs w:val="16"/>
              </w:rPr>
              <w:t>1</w:t>
            </w:r>
          </w:p>
        </w:tc>
        <w:tc>
          <w:tcPr>
            <w:tcW w:w="567" w:type="dxa"/>
            <w:tcBorders>
              <w:top w:val="nil"/>
              <w:left w:val="nil"/>
              <w:bottom w:val="dotted" w:sz="4" w:space="0" w:color="auto"/>
              <w:right w:val="dotted" w:sz="4" w:space="0" w:color="auto"/>
            </w:tcBorders>
            <w:shd w:val="clear" w:color="auto" w:fill="auto"/>
            <w:vAlign w:val="center"/>
            <w:hideMark/>
          </w:tcPr>
          <w:p w14:paraId="304D4CE2" w14:textId="649184EE" w:rsidR="007803AE" w:rsidRPr="00E21C60" w:rsidRDefault="008718F1">
            <w:pPr>
              <w:jc w:val="center"/>
              <w:rPr>
                <w:rFonts w:ascii="Arial" w:hAnsi="Arial" w:cs="Arial"/>
                <w:color w:val="000000"/>
                <w:sz w:val="16"/>
                <w:szCs w:val="16"/>
              </w:rPr>
            </w:pPr>
            <w:r>
              <w:rPr>
                <w:rFonts w:ascii="Arial" w:hAnsi="Arial" w:cs="Arial"/>
                <w:color w:val="000000"/>
                <w:sz w:val="16"/>
                <w:szCs w:val="16"/>
              </w:rPr>
              <w:t>0</w:t>
            </w:r>
          </w:p>
        </w:tc>
        <w:tc>
          <w:tcPr>
            <w:tcW w:w="709" w:type="dxa"/>
            <w:tcBorders>
              <w:top w:val="nil"/>
              <w:left w:val="nil"/>
              <w:bottom w:val="dotted" w:sz="4" w:space="0" w:color="auto"/>
              <w:right w:val="dotted" w:sz="4" w:space="0" w:color="auto"/>
            </w:tcBorders>
            <w:shd w:val="clear" w:color="auto" w:fill="auto"/>
            <w:vAlign w:val="center"/>
            <w:hideMark/>
          </w:tcPr>
          <w:p w14:paraId="208B49AD" w14:textId="3DA59273" w:rsidR="007803AE" w:rsidRPr="00E21C60" w:rsidRDefault="008718F1">
            <w:pPr>
              <w:jc w:val="center"/>
              <w:rPr>
                <w:rFonts w:ascii="Arial" w:hAnsi="Arial" w:cs="Arial"/>
                <w:color w:val="000000"/>
                <w:sz w:val="16"/>
                <w:szCs w:val="16"/>
              </w:rPr>
            </w:pPr>
            <w:r>
              <w:rPr>
                <w:rFonts w:ascii="Arial" w:hAnsi="Arial" w:cs="Arial"/>
                <w:color w:val="000000"/>
                <w:sz w:val="16"/>
                <w:szCs w:val="16"/>
              </w:rPr>
              <w:t>2</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1252B714" w14:textId="12E513DF" w:rsidR="00924D55" w:rsidRDefault="008718F1">
            <w:pPr>
              <w:jc w:val="center"/>
              <w:rPr>
                <w:rFonts w:ascii="Arial" w:hAnsi="Arial" w:cs="Arial"/>
                <w:color w:val="000000"/>
                <w:sz w:val="16"/>
                <w:szCs w:val="16"/>
              </w:rPr>
            </w:pPr>
            <w:r w:rsidRPr="008718F1">
              <w:rPr>
                <w:rFonts w:ascii="Arial" w:hAnsi="Arial" w:cs="Arial"/>
                <w:color w:val="000000"/>
                <w:sz w:val="16"/>
                <w:szCs w:val="16"/>
              </w:rPr>
              <w:t>2 Po ukončení realizácie všetkých projektov</w:t>
            </w:r>
          </w:p>
          <w:p w14:paraId="0A463B88" w14:textId="77777777" w:rsidR="00924D55" w:rsidRDefault="00924D55">
            <w:pPr>
              <w:jc w:val="center"/>
              <w:rPr>
                <w:rFonts w:ascii="Arial" w:hAnsi="Arial" w:cs="Arial"/>
                <w:color w:val="000000"/>
                <w:sz w:val="16"/>
                <w:szCs w:val="16"/>
              </w:rPr>
            </w:pPr>
          </w:p>
          <w:p w14:paraId="43668BE6" w14:textId="77777777" w:rsidR="00924D55" w:rsidRDefault="00924D55">
            <w:pPr>
              <w:jc w:val="center"/>
              <w:rPr>
                <w:rFonts w:ascii="Arial" w:hAnsi="Arial" w:cs="Arial"/>
                <w:color w:val="000000"/>
                <w:sz w:val="16"/>
                <w:szCs w:val="16"/>
              </w:rPr>
            </w:pPr>
          </w:p>
          <w:p w14:paraId="5011D8EF" w14:textId="77777777" w:rsidR="00924D55" w:rsidRDefault="00924D55">
            <w:pPr>
              <w:jc w:val="center"/>
              <w:rPr>
                <w:rFonts w:ascii="Arial" w:hAnsi="Arial" w:cs="Arial"/>
                <w:color w:val="000000"/>
                <w:sz w:val="16"/>
                <w:szCs w:val="16"/>
              </w:rPr>
            </w:pPr>
          </w:p>
          <w:p w14:paraId="57BC359E" w14:textId="77777777" w:rsidR="00924D55" w:rsidRDefault="00924D55">
            <w:pPr>
              <w:jc w:val="center"/>
              <w:rPr>
                <w:rFonts w:ascii="Arial" w:hAnsi="Arial" w:cs="Arial"/>
                <w:color w:val="000000"/>
                <w:sz w:val="16"/>
                <w:szCs w:val="16"/>
              </w:rPr>
            </w:pPr>
          </w:p>
          <w:p w14:paraId="6A61E4B5" w14:textId="77777777" w:rsidR="00924D55" w:rsidRPr="00E21C60" w:rsidRDefault="00924D55">
            <w:pPr>
              <w:jc w:val="center"/>
              <w:rPr>
                <w:rFonts w:ascii="Arial" w:hAnsi="Arial" w:cs="Arial"/>
                <w:color w:val="000000"/>
                <w:sz w:val="16"/>
                <w:szCs w:val="16"/>
              </w:rPr>
            </w:pPr>
          </w:p>
        </w:tc>
      </w:tr>
      <w:tr w:rsidR="007803AE" w:rsidRPr="00E21C60" w14:paraId="04540BD2" w14:textId="77777777" w:rsidTr="006B256C">
        <w:trPr>
          <w:trHeight w:val="408"/>
        </w:trPr>
        <w:tc>
          <w:tcPr>
            <w:tcW w:w="1095" w:type="dxa"/>
            <w:vMerge/>
            <w:tcBorders>
              <w:top w:val="nil"/>
              <w:left w:val="single" w:sz="8" w:space="0" w:color="auto"/>
              <w:bottom w:val="single" w:sz="8" w:space="0" w:color="000000"/>
              <w:right w:val="single" w:sz="8" w:space="0" w:color="auto"/>
            </w:tcBorders>
            <w:vAlign w:val="center"/>
            <w:hideMark/>
          </w:tcPr>
          <w:p w14:paraId="5477FC38"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1A13D9D8"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069903B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373071E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588F60E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F851C3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09745F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4663D71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7F40713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66433B3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3C42B14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3</w:t>
            </w:r>
          </w:p>
        </w:tc>
        <w:tc>
          <w:tcPr>
            <w:tcW w:w="709" w:type="dxa"/>
            <w:tcBorders>
              <w:top w:val="nil"/>
              <w:left w:val="nil"/>
              <w:bottom w:val="dotted" w:sz="4" w:space="0" w:color="auto"/>
              <w:right w:val="dotted" w:sz="4" w:space="0" w:color="auto"/>
            </w:tcBorders>
            <w:shd w:val="clear" w:color="auto" w:fill="auto"/>
            <w:vAlign w:val="center"/>
            <w:hideMark/>
          </w:tcPr>
          <w:p w14:paraId="6597A88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3</w:t>
            </w:r>
          </w:p>
        </w:tc>
        <w:tc>
          <w:tcPr>
            <w:tcW w:w="850" w:type="dxa"/>
            <w:vMerge/>
            <w:tcBorders>
              <w:top w:val="nil"/>
              <w:left w:val="dotted" w:sz="4" w:space="0" w:color="auto"/>
              <w:bottom w:val="single" w:sz="8" w:space="0" w:color="000000"/>
              <w:right w:val="single" w:sz="8" w:space="0" w:color="auto"/>
            </w:tcBorders>
            <w:vAlign w:val="center"/>
            <w:hideMark/>
          </w:tcPr>
          <w:p w14:paraId="0629955F" w14:textId="77777777" w:rsidR="007803AE" w:rsidRPr="00E21C60" w:rsidRDefault="007803AE">
            <w:pPr>
              <w:rPr>
                <w:rFonts w:ascii="Arial" w:hAnsi="Arial" w:cs="Arial"/>
                <w:color w:val="000000"/>
                <w:sz w:val="16"/>
                <w:szCs w:val="16"/>
              </w:rPr>
            </w:pPr>
          </w:p>
        </w:tc>
      </w:tr>
      <w:tr w:rsidR="007803AE" w:rsidRPr="00E21C60" w14:paraId="0C67531C" w14:textId="77777777" w:rsidTr="006B256C">
        <w:trPr>
          <w:trHeight w:val="414"/>
        </w:trPr>
        <w:tc>
          <w:tcPr>
            <w:tcW w:w="1095" w:type="dxa"/>
            <w:vMerge/>
            <w:tcBorders>
              <w:top w:val="nil"/>
              <w:left w:val="single" w:sz="8" w:space="0" w:color="auto"/>
              <w:bottom w:val="single" w:sz="8" w:space="0" w:color="000000"/>
              <w:right w:val="single" w:sz="8" w:space="0" w:color="auto"/>
            </w:tcBorders>
            <w:vAlign w:val="center"/>
            <w:hideMark/>
          </w:tcPr>
          <w:p w14:paraId="27563482" w14:textId="77777777" w:rsidR="007803AE" w:rsidRPr="00E21C60" w:rsidRDefault="007803AE">
            <w:pPr>
              <w:rPr>
                <w:rFonts w:ascii="Arial" w:hAnsi="Arial" w:cs="Arial"/>
                <w:color w:val="000000"/>
                <w:sz w:val="16"/>
                <w:szCs w:val="16"/>
              </w:rPr>
            </w:pPr>
          </w:p>
        </w:tc>
        <w:tc>
          <w:tcPr>
            <w:tcW w:w="959" w:type="dxa"/>
            <w:tcBorders>
              <w:top w:val="dotted" w:sz="4" w:space="0" w:color="auto"/>
              <w:left w:val="nil"/>
              <w:bottom w:val="single" w:sz="8" w:space="0" w:color="auto"/>
              <w:right w:val="dotted" w:sz="4" w:space="0" w:color="auto"/>
            </w:tcBorders>
            <w:shd w:val="clear" w:color="000000" w:fill="FFFFFF"/>
            <w:vAlign w:val="center"/>
            <w:hideMark/>
          </w:tcPr>
          <w:p w14:paraId="31292210"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dotted" w:sz="4" w:space="0" w:color="auto"/>
              <w:left w:val="nil"/>
              <w:bottom w:val="single" w:sz="8" w:space="0" w:color="auto"/>
              <w:right w:val="dotted" w:sz="4" w:space="0" w:color="auto"/>
            </w:tcBorders>
            <w:shd w:val="clear" w:color="auto" w:fill="auto"/>
            <w:vAlign w:val="center"/>
            <w:hideMark/>
          </w:tcPr>
          <w:p w14:paraId="120C9A8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1</w:t>
            </w:r>
          </w:p>
        </w:tc>
        <w:tc>
          <w:tcPr>
            <w:tcW w:w="622" w:type="dxa"/>
            <w:tcBorders>
              <w:top w:val="dotted" w:sz="4" w:space="0" w:color="auto"/>
              <w:left w:val="nil"/>
              <w:bottom w:val="single" w:sz="8" w:space="0" w:color="auto"/>
              <w:right w:val="dotted" w:sz="4" w:space="0" w:color="auto"/>
            </w:tcBorders>
            <w:shd w:val="clear" w:color="auto" w:fill="auto"/>
            <w:vAlign w:val="center"/>
            <w:hideMark/>
          </w:tcPr>
          <w:p w14:paraId="0891EBC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dotted" w:sz="4" w:space="0" w:color="auto"/>
              <w:left w:val="nil"/>
              <w:bottom w:val="single" w:sz="8" w:space="0" w:color="auto"/>
              <w:right w:val="dotted" w:sz="4" w:space="0" w:color="auto"/>
            </w:tcBorders>
            <w:shd w:val="clear" w:color="auto" w:fill="auto"/>
            <w:vAlign w:val="center"/>
            <w:hideMark/>
          </w:tcPr>
          <w:p w14:paraId="610F72A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dotted" w:sz="4" w:space="0" w:color="auto"/>
              <w:left w:val="nil"/>
              <w:bottom w:val="single" w:sz="8" w:space="0" w:color="auto"/>
              <w:right w:val="dotted" w:sz="4" w:space="0" w:color="auto"/>
            </w:tcBorders>
            <w:shd w:val="clear" w:color="auto" w:fill="auto"/>
            <w:vAlign w:val="center"/>
            <w:hideMark/>
          </w:tcPr>
          <w:p w14:paraId="28AF764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dotted" w:sz="4" w:space="0" w:color="auto"/>
              <w:left w:val="nil"/>
              <w:bottom w:val="single" w:sz="8" w:space="0" w:color="auto"/>
              <w:right w:val="dotted" w:sz="4" w:space="0" w:color="auto"/>
            </w:tcBorders>
            <w:shd w:val="clear" w:color="auto" w:fill="auto"/>
            <w:vAlign w:val="center"/>
            <w:hideMark/>
          </w:tcPr>
          <w:p w14:paraId="6E5A097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dotted" w:sz="4" w:space="0" w:color="auto"/>
              <w:left w:val="nil"/>
              <w:bottom w:val="single" w:sz="8" w:space="0" w:color="auto"/>
              <w:right w:val="dotted" w:sz="4" w:space="0" w:color="auto"/>
            </w:tcBorders>
            <w:shd w:val="clear" w:color="auto" w:fill="auto"/>
            <w:vAlign w:val="center"/>
            <w:hideMark/>
          </w:tcPr>
          <w:p w14:paraId="0F29FB7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dotted" w:sz="4" w:space="0" w:color="auto"/>
              <w:left w:val="nil"/>
              <w:bottom w:val="single" w:sz="8" w:space="0" w:color="auto"/>
              <w:right w:val="dotted" w:sz="4" w:space="0" w:color="auto"/>
            </w:tcBorders>
            <w:shd w:val="clear" w:color="auto" w:fill="auto"/>
            <w:vAlign w:val="center"/>
            <w:hideMark/>
          </w:tcPr>
          <w:p w14:paraId="58A1BB8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dotted" w:sz="4" w:space="0" w:color="auto"/>
              <w:left w:val="nil"/>
              <w:bottom w:val="single" w:sz="8" w:space="0" w:color="auto"/>
              <w:right w:val="dotted" w:sz="4" w:space="0" w:color="auto"/>
            </w:tcBorders>
            <w:shd w:val="clear" w:color="auto" w:fill="auto"/>
            <w:vAlign w:val="center"/>
            <w:hideMark/>
          </w:tcPr>
          <w:p w14:paraId="4FA52BE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dotted" w:sz="4" w:space="0" w:color="auto"/>
              <w:left w:val="nil"/>
              <w:bottom w:val="single" w:sz="8" w:space="0" w:color="auto"/>
              <w:right w:val="dotted" w:sz="4" w:space="0" w:color="auto"/>
            </w:tcBorders>
            <w:shd w:val="clear" w:color="auto" w:fill="auto"/>
            <w:vAlign w:val="center"/>
            <w:hideMark/>
          </w:tcPr>
          <w:p w14:paraId="0E92E7C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dotted" w:sz="4" w:space="0" w:color="auto"/>
              <w:left w:val="nil"/>
              <w:bottom w:val="single" w:sz="8" w:space="0" w:color="auto"/>
              <w:right w:val="dotted" w:sz="4" w:space="0" w:color="auto"/>
            </w:tcBorders>
            <w:shd w:val="clear" w:color="auto" w:fill="auto"/>
            <w:vAlign w:val="center"/>
            <w:hideMark/>
          </w:tcPr>
          <w:p w14:paraId="34D3B95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1</w:t>
            </w:r>
          </w:p>
        </w:tc>
        <w:tc>
          <w:tcPr>
            <w:tcW w:w="850" w:type="dxa"/>
            <w:vMerge/>
            <w:tcBorders>
              <w:top w:val="nil"/>
              <w:left w:val="dotted" w:sz="4" w:space="0" w:color="auto"/>
              <w:bottom w:val="single" w:sz="8" w:space="0" w:color="000000"/>
              <w:right w:val="single" w:sz="8" w:space="0" w:color="auto"/>
            </w:tcBorders>
            <w:vAlign w:val="center"/>
            <w:hideMark/>
          </w:tcPr>
          <w:p w14:paraId="3979B025" w14:textId="77777777" w:rsidR="007803AE" w:rsidRPr="00E21C60" w:rsidRDefault="007803AE">
            <w:pPr>
              <w:rPr>
                <w:rFonts w:ascii="Arial" w:hAnsi="Arial" w:cs="Arial"/>
                <w:color w:val="000000"/>
                <w:sz w:val="16"/>
                <w:szCs w:val="16"/>
              </w:rPr>
            </w:pPr>
          </w:p>
        </w:tc>
      </w:tr>
      <w:tr w:rsidR="007803AE" w:rsidRPr="00E21C60" w14:paraId="16197363" w14:textId="77777777" w:rsidTr="00321598">
        <w:trPr>
          <w:trHeight w:val="390"/>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72EC2093"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Počet novovytvo-</w:t>
            </w:r>
            <w:r w:rsidRPr="00E21C60">
              <w:rPr>
                <w:rFonts w:ascii="Arial" w:hAnsi="Arial" w:cs="Arial"/>
                <w:color w:val="000000"/>
                <w:sz w:val="16"/>
                <w:szCs w:val="16"/>
              </w:rPr>
              <w:br/>
              <w:t>rených pracovných miest (počet) dopad</w:t>
            </w:r>
          </w:p>
        </w:tc>
        <w:tc>
          <w:tcPr>
            <w:tcW w:w="959" w:type="dxa"/>
            <w:tcBorders>
              <w:top w:val="nil"/>
              <w:left w:val="nil"/>
              <w:bottom w:val="dotted" w:sz="4" w:space="0" w:color="auto"/>
              <w:right w:val="dotted" w:sz="4" w:space="0" w:color="auto"/>
            </w:tcBorders>
            <w:shd w:val="clear" w:color="000000" w:fill="FFFFFF"/>
            <w:vAlign w:val="center"/>
            <w:hideMark/>
          </w:tcPr>
          <w:p w14:paraId="67AAAB93"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1985102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20C880C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4701346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144317C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6CF4CD8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067E1E9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2F678F3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507" w:type="dxa"/>
            <w:tcBorders>
              <w:top w:val="nil"/>
              <w:left w:val="nil"/>
              <w:bottom w:val="dotted" w:sz="4" w:space="0" w:color="auto"/>
              <w:right w:val="dotted" w:sz="4" w:space="0" w:color="auto"/>
            </w:tcBorders>
            <w:shd w:val="clear" w:color="auto" w:fill="auto"/>
            <w:vAlign w:val="center"/>
            <w:hideMark/>
          </w:tcPr>
          <w:p w14:paraId="32ED47EF" w14:textId="784A61DD" w:rsidR="007803AE" w:rsidRPr="00E21C60" w:rsidRDefault="00924D55">
            <w:pPr>
              <w:jc w:val="center"/>
              <w:rPr>
                <w:rFonts w:ascii="Arial" w:hAnsi="Arial" w:cs="Arial"/>
                <w:color w:val="000000"/>
                <w:sz w:val="16"/>
                <w:szCs w:val="16"/>
              </w:rPr>
            </w:pPr>
            <w:r>
              <w:rPr>
                <w:rFonts w:ascii="Arial" w:hAnsi="Arial" w:cs="Arial"/>
                <w:color w:val="000000"/>
                <w:sz w:val="16"/>
                <w:szCs w:val="16"/>
              </w:rPr>
              <w:t>0</w:t>
            </w:r>
          </w:p>
        </w:tc>
        <w:tc>
          <w:tcPr>
            <w:tcW w:w="567" w:type="dxa"/>
            <w:tcBorders>
              <w:top w:val="nil"/>
              <w:left w:val="nil"/>
              <w:bottom w:val="dotted" w:sz="4" w:space="0" w:color="auto"/>
              <w:right w:val="dotted" w:sz="4" w:space="0" w:color="auto"/>
            </w:tcBorders>
            <w:shd w:val="clear" w:color="auto" w:fill="auto"/>
            <w:vAlign w:val="center"/>
            <w:hideMark/>
          </w:tcPr>
          <w:p w14:paraId="53ED5C56" w14:textId="79381C6A" w:rsidR="007803AE" w:rsidRPr="00E21C60" w:rsidRDefault="008718F1">
            <w:pPr>
              <w:jc w:val="center"/>
              <w:rPr>
                <w:rFonts w:ascii="Arial" w:hAnsi="Arial" w:cs="Arial"/>
                <w:color w:val="000000"/>
                <w:sz w:val="16"/>
                <w:szCs w:val="16"/>
              </w:rPr>
            </w:pPr>
            <w:r>
              <w:rPr>
                <w:rFonts w:ascii="Arial" w:hAnsi="Arial" w:cs="Arial"/>
                <w:color w:val="000000"/>
                <w:sz w:val="16"/>
                <w:szCs w:val="16"/>
              </w:rPr>
              <w:t>0</w:t>
            </w:r>
          </w:p>
        </w:tc>
        <w:tc>
          <w:tcPr>
            <w:tcW w:w="709" w:type="dxa"/>
            <w:tcBorders>
              <w:top w:val="nil"/>
              <w:left w:val="nil"/>
              <w:bottom w:val="dotted" w:sz="4" w:space="0" w:color="auto"/>
              <w:right w:val="dotted" w:sz="4" w:space="0" w:color="auto"/>
            </w:tcBorders>
            <w:shd w:val="clear" w:color="auto" w:fill="auto"/>
            <w:vAlign w:val="center"/>
            <w:hideMark/>
          </w:tcPr>
          <w:p w14:paraId="53FC382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0E02A24F" w14:textId="171EDA81" w:rsidR="007803AE" w:rsidRPr="00E21C60" w:rsidRDefault="008718F1">
            <w:pPr>
              <w:jc w:val="center"/>
              <w:rPr>
                <w:rFonts w:ascii="Arial" w:hAnsi="Arial" w:cs="Arial"/>
                <w:color w:val="000000"/>
                <w:sz w:val="16"/>
                <w:szCs w:val="16"/>
              </w:rPr>
            </w:pPr>
            <w:r w:rsidRPr="008718F1">
              <w:rPr>
                <w:rFonts w:ascii="Arial" w:hAnsi="Arial" w:cs="Arial"/>
                <w:color w:val="000000"/>
                <w:sz w:val="16"/>
                <w:szCs w:val="16"/>
              </w:rPr>
              <w:t>0 po ukončení realizácie všetkých projektov</w:t>
            </w:r>
            <w:r w:rsidR="007803AE" w:rsidRPr="00E21C60">
              <w:rPr>
                <w:rFonts w:ascii="Arial" w:hAnsi="Arial" w:cs="Arial"/>
                <w:color w:val="000000"/>
                <w:sz w:val="16"/>
                <w:szCs w:val="16"/>
              </w:rPr>
              <w:t> </w:t>
            </w:r>
          </w:p>
        </w:tc>
      </w:tr>
      <w:tr w:rsidR="007803AE" w:rsidRPr="00E21C60" w14:paraId="07DE5D53" w14:textId="77777777" w:rsidTr="00321598">
        <w:trPr>
          <w:trHeight w:val="396"/>
        </w:trPr>
        <w:tc>
          <w:tcPr>
            <w:tcW w:w="1095" w:type="dxa"/>
            <w:vMerge/>
            <w:tcBorders>
              <w:top w:val="nil"/>
              <w:left w:val="single" w:sz="8" w:space="0" w:color="auto"/>
              <w:bottom w:val="single" w:sz="8" w:space="0" w:color="000000"/>
              <w:right w:val="single" w:sz="8" w:space="0" w:color="auto"/>
            </w:tcBorders>
            <w:vAlign w:val="center"/>
            <w:hideMark/>
          </w:tcPr>
          <w:p w14:paraId="696C69C4"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7F226502"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6589F1A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7807FA6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651EAC8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64CE2A0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42F776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3C05A0D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3EF7FE7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4AEA1B6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122B430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1</w:t>
            </w:r>
          </w:p>
        </w:tc>
        <w:tc>
          <w:tcPr>
            <w:tcW w:w="709" w:type="dxa"/>
            <w:tcBorders>
              <w:top w:val="nil"/>
              <w:left w:val="nil"/>
              <w:bottom w:val="dotted" w:sz="4" w:space="0" w:color="auto"/>
              <w:right w:val="dotted" w:sz="4" w:space="0" w:color="auto"/>
            </w:tcBorders>
            <w:shd w:val="clear" w:color="auto" w:fill="auto"/>
            <w:vAlign w:val="center"/>
            <w:hideMark/>
          </w:tcPr>
          <w:p w14:paraId="20B60A07"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1</w:t>
            </w:r>
          </w:p>
        </w:tc>
        <w:tc>
          <w:tcPr>
            <w:tcW w:w="850" w:type="dxa"/>
            <w:vMerge/>
            <w:tcBorders>
              <w:top w:val="nil"/>
              <w:left w:val="dotted" w:sz="4" w:space="0" w:color="auto"/>
              <w:bottom w:val="single" w:sz="8" w:space="0" w:color="000000"/>
              <w:right w:val="single" w:sz="8" w:space="0" w:color="auto"/>
            </w:tcBorders>
            <w:vAlign w:val="center"/>
            <w:hideMark/>
          </w:tcPr>
          <w:p w14:paraId="02AB7CC6" w14:textId="77777777" w:rsidR="007803AE" w:rsidRPr="00E21C60" w:rsidRDefault="007803AE">
            <w:pPr>
              <w:rPr>
                <w:rFonts w:ascii="Arial" w:hAnsi="Arial" w:cs="Arial"/>
                <w:color w:val="000000"/>
                <w:sz w:val="16"/>
                <w:szCs w:val="16"/>
              </w:rPr>
            </w:pPr>
          </w:p>
        </w:tc>
      </w:tr>
      <w:tr w:rsidR="007803AE" w:rsidRPr="00E21C60" w14:paraId="65C8E4EE" w14:textId="77777777" w:rsidTr="00321598">
        <w:trPr>
          <w:trHeight w:val="416"/>
        </w:trPr>
        <w:tc>
          <w:tcPr>
            <w:tcW w:w="1095" w:type="dxa"/>
            <w:vMerge/>
            <w:tcBorders>
              <w:top w:val="nil"/>
              <w:left w:val="single" w:sz="8" w:space="0" w:color="auto"/>
              <w:bottom w:val="single" w:sz="8" w:space="0" w:color="000000"/>
              <w:right w:val="single" w:sz="8" w:space="0" w:color="auto"/>
            </w:tcBorders>
            <w:vAlign w:val="center"/>
            <w:hideMark/>
          </w:tcPr>
          <w:p w14:paraId="78AEDEC4"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67A4FD14"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3F8DCAF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single" w:sz="8" w:space="0" w:color="auto"/>
              <w:right w:val="dotted" w:sz="4" w:space="0" w:color="auto"/>
            </w:tcBorders>
            <w:shd w:val="clear" w:color="auto" w:fill="auto"/>
            <w:vAlign w:val="center"/>
            <w:hideMark/>
          </w:tcPr>
          <w:p w14:paraId="3DAF883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1209B22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1905160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732BE94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76A152F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25F87F1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4931239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7D306B6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709" w:type="dxa"/>
            <w:tcBorders>
              <w:top w:val="nil"/>
              <w:left w:val="nil"/>
              <w:bottom w:val="single" w:sz="8" w:space="0" w:color="auto"/>
              <w:right w:val="dotted" w:sz="4" w:space="0" w:color="auto"/>
            </w:tcBorders>
            <w:shd w:val="clear" w:color="auto" w:fill="auto"/>
            <w:vAlign w:val="center"/>
            <w:hideMark/>
          </w:tcPr>
          <w:p w14:paraId="4595CDD9"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tcBorders>
              <w:top w:val="nil"/>
              <w:left w:val="dotted" w:sz="4" w:space="0" w:color="auto"/>
              <w:bottom w:val="single" w:sz="8" w:space="0" w:color="000000"/>
              <w:right w:val="single" w:sz="8" w:space="0" w:color="auto"/>
            </w:tcBorders>
            <w:vAlign w:val="center"/>
            <w:hideMark/>
          </w:tcPr>
          <w:p w14:paraId="1F06DFEA" w14:textId="77777777" w:rsidR="007803AE" w:rsidRPr="00E21C60" w:rsidRDefault="007803AE">
            <w:pPr>
              <w:rPr>
                <w:rFonts w:ascii="Arial" w:hAnsi="Arial" w:cs="Arial"/>
                <w:color w:val="000000"/>
                <w:sz w:val="16"/>
                <w:szCs w:val="16"/>
              </w:rPr>
            </w:pPr>
          </w:p>
        </w:tc>
      </w:tr>
      <w:tr w:rsidR="007803AE" w:rsidRPr="00E21C60" w14:paraId="075C4845" w14:textId="77777777" w:rsidTr="00123376">
        <w:trPr>
          <w:trHeight w:val="285"/>
        </w:trPr>
        <w:tc>
          <w:tcPr>
            <w:tcW w:w="9087" w:type="dxa"/>
            <w:gridSpan w:val="13"/>
            <w:tcBorders>
              <w:top w:val="single" w:sz="8" w:space="0" w:color="auto"/>
              <w:left w:val="single" w:sz="8" w:space="0" w:color="auto"/>
              <w:bottom w:val="single" w:sz="8" w:space="0" w:color="auto"/>
              <w:right w:val="single" w:sz="8" w:space="0" w:color="000000"/>
            </w:tcBorders>
            <w:shd w:val="clear" w:color="000000" w:fill="D8E4BC"/>
            <w:vAlign w:val="center"/>
            <w:hideMark/>
          </w:tcPr>
          <w:p w14:paraId="67035EE4" w14:textId="77777777" w:rsidR="007803AE" w:rsidRPr="00E21C60" w:rsidRDefault="007803AE">
            <w:pPr>
              <w:rPr>
                <w:rFonts w:ascii="Arial" w:hAnsi="Arial" w:cs="Arial"/>
                <w:b/>
                <w:bCs/>
                <w:color w:val="000000"/>
                <w:sz w:val="16"/>
                <w:szCs w:val="16"/>
              </w:rPr>
            </w:pPr>
            <w:r w:rsidRPr="00E21C60">
              <w:rPr>
                <w:rFonts w:ascii="Arial" w:hAnsi="Arial" w:cs="Arial"/>
                <w:b/>
                <w:bCs/>
                <w:color w:val="000000"/>
                <w:sz w:val="16"/>
                <w:szCs w:val="16"/>
              </w:rPr>
              <w:t>PO 3, 5</w:t>
            </w:r>
          </w:p>
        </w:tc>
      </w:tr>
      <w:tr w:rsidR="00103E30" w:rsidRPr="00E21C60" w14:paraId="1CF7FEBE" w14:textId="77777777" w:rsidTr="00321598">
        <w:trPr>
          <w:trHeight w:val="654"/>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7A4D20B5" w14:textId="77777777" w:rsidR="00103E30" w:rsidRPr="00E21C60" w:rsidRDefault="00103E30">
            <w:pPr>
              <w:rPr>
                <w:rFonts w:ascii="Arial" w:hAnsi="Arial" w:cs="Arial"/>
                <w:color w:val="000000"/>
                <w:sz w:val="16"/>
                <w:szCs w:val="16"/>
              </w:rPr>
            </w:pPr>
            <w:r w:rsidRPr="00E21C60">
              <w:rPr>
                <w:rFonts w:ascii="Arial" w:hAnsi="Arial" w:cs="Arial"/>
                <w:color w:val="000000"/>
                <w:sz w:val="16"/>
                <w:szCs w:val="16"/>
              </w:rPr>
              <w:t>Zvýšený inštalovaný výkon zariadenia zodpoveda-</w:t>
            </w:r>
            <w:r w:rsidRPr="00E21C60">
              <w:rPr>
                <w:rFonts w:ascii="Arial" w:hAnsi="Arial" w:cs="Arial"/>
                <w:color w:val="000000"/>
                <w:sz w:val="16"/>
                <w:szCs w:val="16"/>
              </w:rPr>
              <w:br/>
              <w:t>júci obnoviteľným zdrojom energie [MW] výsledok</w:t>
            </w:r>
          </w:p>
        </w:tc>
        <w:tc>
          <w:tcPr>
            <w:tcW w:w="959" w:type="dxa"/>
            <w:tcBorders>
              <w:top w:val="nil"/>
              <w:left w:val="nil"/>
              <w:bottom w:val="dotted" w:sz="4" w:space="0" w:color="auto"/>
              <w:right w:val="dotted" w:sz="4" w:space="0" w:color="auto"/>
            </w:tcBorders>
            <w:shd w:val="clear" w:color="000000" w:fill="FFFFFF"/>
            <w:vAlign w:val="center"/>
            <w:hideMark/>
          </w:tcPr>
          <w:p w14:paraId="7BECAEF2" w14:textId="77777777" w:rsidR="00103E30" w:rsidRPr="00E21C60" w:rsidRDefault="00103E30">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42006908"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24CA4022"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7E0B2539"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0CA009D9"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2,005</w:t>
            </w:r>
          </w:p>
        </w:tc>
        <w:tc>
          <w:tcPr>
            <w:tcW w:w="628" w:type="dxa"/>
            <w:tcBorders>
              <w:top w:val="nil"/>
              <w:left w:val="nil"/>
              <w:bottom w:val="dotted" w:sz="4" w:space="0" w:color="auto"/>
              <w:right w:val="dotted" w:sz="4" w:space="0" w:color="auto"/>
            </w:tcBorders>
            <w:shd w:val="clear" w:color="auto" w:fill="auto"/>
            <w:vAlign w:val="center"/>
            <w:hideMark/>
          </w:tcPr>
          <w:p w14:paraId="72A69355"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9,315</w:t>
            </w:r>
          </w:p>
        </w:tc>
        <w:tc>
          <w:tcPr>
            <w:tcW w:w="639" w:type="dxa"/>
            <w:tcBorders>
              <w:top w:val="nil"/>
              <w:left w:val="nil"/>
              <w:bottom w:val="dotted" w:sz="4" w:space="0" w:color="auto"/>
              <w:right w:val="dotted" w:sz="4" w:space="0" w:color="auto"/>
            </w:tcBorders>
            <w:shd w:val="clear" w:color="auto" w:fill="auto"/>
            <w:vAlign w:val="center"/>
            <w:hideMark/>
          </w:tcPr>
          <w:p w14:paraId="7B6F2B59"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9,805</w:t>
            </w:r>
          </w:p>
        </w:tc>
        <w:tc>
          <w:tcPr>
            <w:tcW w:w="639" w:type="dxa"/>
            <w:tcBorders>
              <w:top w:val="nil"/>
              <w:left w:val="nil"/>
              <w:bottom w:val="dotted" w:sz="4" w:space="0" w:color="auto"/>
              <w:right w:val="dotted" w:sz="4" w:space="0" w:color="auto"/>
            </w:tcBorders>
            <w:shd w:val="clear" w:color="auto" w:fill="auto"/>
            <w:vAlign w:val="center"/>
            <w:hideMark/>
          </w:tcPr>
          <w:p w14:paraId="72DEDEC1"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10,45</w:t>
            </w:r>
          </w:p>
        </w:tc>
        <w:tc>
          <w:tcPr>
            <w:tcW w:w="507" w:type="dxa"/>
            <w:tcBorders>
              <w:top w:val="nil"/>
              <w:left w:val="nil"/>
              <w:bottom w:val="dotted" w:sz="4" w:space="0" w:color="auto"/>
              <w:right w:val="dotted" w:sz="4" w:space="0" w:color="auto"/>
            </w:tcBorders>
            <w:shd w:val="clear" w:color="auto" w:fill="auto"/>
            <w:vAlign w:val="center"/>
            <w:hideMark/>
          </w:tcPr>
          <w:p w14:paraId="6B1481D4" w14:textId="58994A41" w:rsidR="00103E30" w:rsidRPr="00E21C60" w:rsidRDefault="00103E30">
            <w:pPr>
              <w:jc w:val="center"/>
              <w:rPr>
                <w:rFonts w:ascii="Arial" w:hAnsi="Arial" w:cs="Arial"/>
                <w:color w:val="000000"/>
                <w:sz w:val="16"/>
                <w:szCs w:val="16"/>
              </w:rPr>
            </w:pPr>
            <w:r>
              <w:rPr>
                <w:rFonts w:ascii="Arial" w:hAnsi="Arial" w:cs="Arial"/>
                <w:color w:val="000000"/>
                <w:sz w:val="16"/>
                <w:szCs w:val="16"/>
              </w:rPr>
              <w:t>11,545</w:t>
            </w:r>
          </w:p>
        </w:tc>
        <w:tc>
          <w:tcPr>
            <w:tcW w:w="567" w:type="dxa"/>
            <w:tcBorders>
              <w:top w:val="nil"/>
              <w:left w:val="nil"/>
              <w:bottom w:val="dotted" w:sz="4" w:space="0" w:color="auto"/>
              <w:right w:val="dotted" w:sz="4" w:space="0" w:color="auto"/>
            </w:tcBorders>
            <w:shd w:val="clear" w:color="auto" w:fill="auto"/>
            <w:vAlign w:val="center"/>
            <w:hideMark/>
          </w:tcPr>
          <w:p w14:paraId="0CC59BA1" w14:textId="78A6F681" w:rsidR="00103E30" w:rsidRPr="00E21C60" w:rsidRDefault="00103E30">
            <w:pPr>
              <w:jc w:val="center"/>
              <w:rPr>
                <w:rFonts w:ascii="Arial" w:hAnsi="Arial" w:cs="Arial"/>
                <w:color w:val="000000"/>
                <w:sz w:val="16"/>
                <w:szCs w:val="16"/>
              </w:rPr>
            </w:pPr>
            <w:r>
              <w:rPr>
                <w:rFonts w:ascii="Arial" w:hAnsi="Arial" w:cs="Arial"/>
                <w:color w:val="000000"/>
                <w:sz w:val="16"/>
                <w:szCs w:val="16"/>
              </w:rPr>
              <w:t>15,5017</w:t>
            </w:r>
          </w:p>
        </w:tc>
        <w:tc>
          <w:tcPr>
            <w:tcW w:w="709" w:type="dxa"/>
            <w:tcBorders>
              <w:top w:val="nil"/>
              <w:left w:val="nil"/>
              <w:bottom w:val="dotted" w:sz="4" w:space="0" w:color="auto"/>
              <w:right w:val="dotted" w:sz="4" w:space="0" w:color="auto"/>
            </w:tcBorders>
            <w:shd w:val="clear" w:color="auto" w:fill="auto"/>
            <w:vAlign w:val="center"/>
            <w:hideMark/>
          </w:tcPr>
          <w:p w14:paraId="13F01B79" w14:textId="1ECC20EC" w:rsidR="00103E30" w:rsidRPr="00E21C60" w:rsidRDefault="00103E30" w:rsidP="000128DA">
            <w:pPr>
              <w:jc w:val="center"/>
              <w:rPr>
                <w:rFonts w:ascii="Arial" w:hAnsi="Arial" w:cs="Arial"/>
                <w:color w:val="000000"/>
                <w:sz w:val="16"/>
                <w:szCs w:val="16"/>
              </w:rPr>
            </w:pPr>
            <w:r>
              <w:rPr>
                <w:rFonts w:ascii="Arial" w:hAnsi="Arial" w:cs="Arial"/>
                <w:b/>
                <w:bCs/>
                <w:color w:val="000000"/>
                <w:sz w:val="16"/>
                <w:szCs w:val="16"/>
              </w:rPr>
              <w:t>15,5017</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7D5ABC55" w14:textId="057B42EA" w:rsidR="00103E30" w:rsidRPr="00E21C60" w:rsidRDefault="00103E30" w:rsidP="000128DA">
            <w:pPr>
              <w:jc w:val="center"/>
              <w:rPr>
                <w:rFonts w:ascii="Arial" w:hAnsi="Arial" w:cs="Arial"/>
                <w:color w:val="000000"/>
                <w:sz w:val="16"/>
                <w:szCs w:val="16"/>
              </w:rPr>
            </w:pPr>
            <w:r w:rsidRPr="00103E30">
              <w:rPr>
                <w:rFonts w:ascii="Arial" w:hAnsi="Arial" w:cs="Arial"/>
                <w:color w:val="000000"/>
                <w:sz w:val="16"/>
                <w:szCs w:val="16"/>
              </w:rPr>
              <w:t>15,5017 po ukončení realizácie všetkých projekto</w:t>
            </w:r>
          </w:p>
        </w:tc>
      </w:tr>
      <w:tr w:rsidR="00103E30" w:rsidRPr="00E21C60" w14:paraId="77A1F2F7" w14:textId="77777777" w:rsidTr="00321598">
        <w:trPr>
          <w:trHeight w:val="408"/>
        </w:trPr>
        <w:tc>
          <w:tcPr>
            <w:tcW w:w="1095" w:type="dxa"/>
            <w:vMerge/>
            <w:tcBorders>
              <w:top w:val="nil"/>
              <w:left w:val="single" w:sz="8" w:space="0" w:color="auto"/>
              <w:bottom w:val="single" w:sz="8" w:space="0" w:color="000000"/>
              <w:right w:val="single" w:sz="8" w:space="0" w:color="auto"/>
            </w:tcBorders>
            <w:vAlign w:val="center"/>
            <w:hideMark/>
          </w:tcPr>
          <w:p w14:paraId="70F48E38" w14:textId="77777777" w:rsidR="00103E30" w:rsidRPr="00E21C60" w:rsidRDefault="00103E30">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7100FA52" w14:textId="77777777" w:rsidR="00103E30" w:rsidRPr="00E21C60" w:rsidRDefault="00103E30">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4D8FFEEB"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28336333"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56716F99"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58D312C7"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34844019"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509BD6D3"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058D2B08"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13B8853C" w14:textId="77777777" w:rsidR="00103E30" w:rsidRPr="00E21C60" w:rsidRDefault="00103E30">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28DC1289" w14:textId="64C2AE4C" w:rsidR="00103E30" w:rsidRPr="00E21C60" w:rsidRDefault="00103E30">
            <w:pPr>
              <w:jc w:val="center"/>
              <w:rPr>
                <w:rFonts w:ascii="Arial" w:hAnsi="Arial" w:cs="Arial"/>
                <w:color w:val="000000"/>
                <w:sz w:val="16"/>
                <w:szCs w:val="16"/>
              </w:rPr>
            </w:pPr>
            <w:r>
              <w:rPr>
                <w:rFonts w:ascii="Arial" w:hAnsi="Arial" w:cs="Arial"/>
                <w:color w:val="000000"/>
                <w:sz w:val="16"/>
                <w:szCs w:val="16"/>
              </w:rPr>
              <w:t>115</w:t>
            </w:r>
          </w:p>
        </w:tc>
        <w:tc>
          <w:tcPr>
            <w:tcW w:w="709" w:type="dxa"/>
            <w:tcBorders>
              <w:top w:val="nil"/>
              <w:left w:val="nil"/>
              <w:bottom w:val="dotted" w:sz="4" w:space="0" w:color="auto"/>
              <w:right w:val="dotted" w:sz="4" w:space="0" w:color="auto"/>
            </w:tcBorders>
            <w:shd w:val="clear" w:color="auto" w:fill="auto"/>
            <w:vAlign w:val="center"/>
            <w:hideMark/>
          </w:tcPr>
          <w:p w14:paraId="1DBFCD0A" w14:textId="1BA588A8" w:rsidR="00103E30" w:rsidRPr="00E21C60" w:rsidRDefault="00103E30">
            <w:pPr>
              <w:jc w:val="center"/>
              <w:rPr>
                <w:rFonts w:ascii="Arial" w:hAnsi="Arial" w:cs="Arial"/>
                <w:color w:val="000000"/>
                <w:sz w:val="16"/>
                <w:szCs w:val="16"/>
              </w:rPr>
            </w:pPr>
            <w:r>
              <w:rPr>
                <w:rFonts w:ascii="Arial" w:hAnsi="Arial" w:cs="Arial"/>
                <w:b/>
                <w:bCs/>
                <w:color w:val="000000"/>
                <w:sz w:val="16"/>
                <w:szCs w:val="16"/>
              </w:rPr>
              <w:t>115</w:t>
            </w:r>
          </w:p>
        </w:tc>
        <w:tc>
          <w:tcPr>
            <w:tcW w:w="850" w:type="dxa"/>
            <w:vMerge/>
            <w:tcBorders>
              <w:top w:val="nil"/>
              <w:left w:val="dotted" w:sz="4" w:space="0" w:color="auto"/>
              <w:bottom w:val="single" w:sz="8" w:space="0" w:color="000000"/>
              <w:right w:val="single" w:sz="8" w:space="0" w:color="auto"/>
            </w:tcBorders>
            <w:vAlign w:val="center"/>
            <w:hideMark/>
          </w:tcPr>
          <w:p w14:paraId="6229C61B" w14:textId="77777777" w:rsidR="00103E30" w:rsidRPr="00E21C60" w:rsidRDefault="00103E30">
            <w:pPr>
              <w:rPr>
                <w:rFonts w:ascii="Arial" w:hAnsi="Arial" w:cs="Arial"/>
                <w:color w:val="000000"/>
                <w:sz w:val="16"/>
                <w:szCs w:val="16"/>
              </w:rPr>
            </w:pPr>
          </w:p>
        </w:tc>
      </w:tr>
      <w:tr w:rsidR="007803AE" w:rsidRPr="00E21C60" w14:paraId="713A2CF7" w14:textId="77777777" w:rsidTr="00321598">
        <w:trPr>
          <w:trHeight w:val="542"/>
        </w:trPr>
        <w:tc>
          <w:tcPr>
            <w:tcW w:w="1095" w:type="dxa"/>
            <w:vMerge/>
            <w:tcBorders>
              <w:top w:val="nil"/>
              <w:left w:val="single" w:sz="8" w:space="0" w:color="auto"/>
              <w:bottom w:val="single" w:sz="8" w:space="0" w:color="000000"/>
              <w:right w:val="single" w:sz="8" w:space="0" w:color="auto"/>
            </w:tcBorders>
            <w:vAlign w:val="center"/>
            <w:hideMark/>
          </w:tcPr>
          <w:p w14:paraId="1AF2E2EC"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72F82E81"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361D029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95</w:t>
            </w:r>
          </w:p>
        </w:tc>
        <w:tc>
          <w:tcPr>
            <w:tcW w:w="622" w:type="dxa"/>
            <w:tcBorders>
              <w:top w:val="nil"/>
              <w:left w:val="nil"/>
              <w:bottom w:val="single" w:sz="8" w:space="0" w:color="auto"/>
              <w:right w:val="dotted" w:sz="4" w:space="0" w:color="auto"/>
            </w:tcBorders>
            <w:shd w:val="clear" w:color="auto" w:fill="auto"/>
            <w:vAlign w:val="center"/>
            <w:hideMark/>
          </w:tcPr>
          <w:p w14:paraId="11F98B9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2D6DCC5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684427C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19B7BE4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390BD60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161FA14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567A80CC"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34ABFCC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450E5DD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95</w:t>
            </w:r>
          </w:p>
        </w:tc>
        <w:tc>
          <w:tcPr>
            <w:tcW w:w="850" w:type="dxa"/>
            <w:vMerge/>
            <w:tcBorders>
              <w:top w:val="nil"/>
              <w:left w:val="dotted" w:sz="4" w:space="0" w:color="auto"/>
              <w:bottom w:val="single" w:sz="8" w:space="0" w:color="000000"/>
              <w:right w:val="single" w:sz="8" w:space="0" w:color="auto"/>
            </w:tcBorders>
            <w:vAlign w:val="center"/>
            <w:hideMark/>
          </w:tcPr>
          <w:p w14:paraId="53334711" w14:textId="77777777" w:rsidR="007803AE" w:rsidRPr="00E21C60" w:rsidRDefault="007803AE">
            <w:pPr>
              <w:rPr>
                <w:rFonts w:ascii="Arial" w:hAnsi="Arial" w:cs="Arial"/>
                <w:color w:val="000000"/>
                <w:sz w:val="16"/>
                <w:szCs w:val="16"/>
              </w:rPr>
            </w:pPr>
          </w:p>
        </w:tc>
      </w:tr>
      <w:tr w:rsidR="007803AE" w:rsidRPr="00E21C60" w14:paraId="15D6A6EC" w14:textId="77777777" w:rsidTr="00123376">
        <w:trPr>
          <w:trHeight w:val="285"/>
        </w:trPr>
        <w:tc>
          <w:tcPr>
            <w:tcW w:w="9087" w:type="dxa"/>
            <w:gridSpan w:val="13"/>
            <w:tcBorders>
              <w:top w:val="single" w:sz="8" w:space="0" w:color="auto"/>
              <w:left w:val="single" w:sz="8" w:space="0" w:color="auto"/>
              <w:bottom w:val="single" w:sz="8" w:space="0" w:color="auto"/>
              <w:right w:val="single" w:sz="8" w:space="0" w:color="000000"/>
            </w:tcBorders>
            <w:shd w:val="clear" w:color="000000" w:fill="D8E4BC"/>
            <w:vAlign w:val="center"/>
            <w:hideMark/>
          </w:tcPr>
          <w:p w14:paraId="5FDBFF1B" w14:textId="77777777" w:rsidR="007803AE" w:rsidRPr="00E21C60" w:rsidRDefault="007803AE">
            <w:pPr>
              <w:rPr>
                <w:rFonts w:ascii="Arial" w:hAnsi="Arial" w:cs="Arial"/>
                <w:b/>
                <w:bCs/>
                <w:color w:val="000000"/>
                <w:sz w:val="16"/>
                <w:szCs w:val="16"/>
              </w:rPr>
            </w:pPr>
            <w:r w:rsidRPr="00E21C60">
              <w:rPr>
                <w:rFonts w:ascii="Arial" w:hAnsi="Arial" w:cs="Arial"/>
                <w:b/>
                <w:bCs/>
                <w:color w:val="000000"/>
                <w:sz w:val="16"/>
                <w:szCs w:val="16"/>
              </w:rPr>
              <w:t xml:space="preserve">PO 1, 3, 4, 5 </w:t>
            </w:r>
          </w:p>
        </w:tc>
      </w:tr>
      <w:tr w:rsidR="00336172" w:rsidRPr="00E21C60" w14:paraId="460B73F3" w14:textId="77777777" w:rsidTr="00123376">
        <w:trPr>
          <w:trHeight w:val="570"/>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66CE65BA" w14:textId="77777777" w:rsidR="00336172" w:rsidRPr="00E21C60" w:rsidRDefault="00336172">
            <w:pPr>
              <w:rPr>
                <w:rFonts w:ascii="Arial" w:hAnsi="Arial" w:cs="Arial"/>
                <w:color w:val="000000"/>
                <w:sz w:val="16"/>
                <w:szCs w:val="16"/>
              </w:rPr>
            </w:pPr>
            <w:r w:rsidRPr="00E21C60">
              <w:rPr>
                <w:rFonts w:ascii="Arial" w:hAnsi="Arial" w:cs="Arial"/>
                <w:color w:val="000000"/>
                <w:sz w:val="16"/>
                <w:szCs w:val="16"/>
              </w:rPr>
              <w:t>Zateplená plocha [m</w:t>
            </w:r>
            <w:r w:rsidRPr="00E21C60">
              <w:rPr>
                <w:rFonts w:ascii="Arial" w:hAnsi="Arial" w:cs="Arial"/>
                <w:color w:val="000000"/>
                <w:sz w:val="16"/>
                <w:szCs w:val="16"/>
                <w:vertAlign w:val="superscript"/>
              </w:rPr>
              <w:t>2</w:t>
            </w:r>
            <w:r w:rsidRPr="00E21C60">
              <w:rPr>
                <w:rFonts w:ascii="Arial" w:hAnsi="Arial" w:cs="Arial"/>
                <w:color w:val="000000"/>
                <w:sz w:val="16"/>
                <w:szCs w:val="16"/>
              </w:rPr>
              <w:t>] výsledok</w:t>
            </w:r>
          </w:p>
        </w:tc>
        <w:tc>
          <w:tcPr>
            <w:tcW w:w="959" w:type="dxa"/>
            <w:tcBorders>
              <w:top w:val="nil"/>
              <w:left w:val="nil"/>
              <w:bottom w:val="dotted" w:sz="4" w:space="0" w:color="auto"/>
              <w:right w:val="dotted" w:sz="4" w:space="0" w:color="auto"/>
            </w:tcBorders>
            <w:shd w:val="clear" w:color="000000" w:fill="FFFFFF"/>
            <w:vAlign w:val="center"/>
            <w:hideMark/>
          </w:tcPr>
          <w:p w14:paraId="1721810A" w14:textId="77777777" w:rsidR="00336172" w:rsidRPr="00E21C60" w:rsidRDefault="00336172">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7B6028C2" w14:textId="77777777" w:rsidR="00336172" w:rsidRPr="00E21C60" w:rsidRDefault="00336172">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3308894C" w14:textId="77777777" w:rsidR="00336172" w:rsidRPr="00E21C60" w:rsidRDefault="00336172">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6987F4F6" w14:textId="77777777" w:rsidR="00336172" w:rsidRPr="00E21C60" w:rsidRDefault="00336172">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24B7EBD9" w14:textId="2A8920DD" w:rsidR="00336172" w:rsidRPr="00E21C60" w:rsidRDefault="00336172" w:rsidP="006004B8">
            <w:pPr>
              <w:jc w:val="center"/>
              <w:rPr>
                <w:rFonts w:ascii="Arial" w:hAnsi="Arial" w:cs="Arial"/>
                <w:color w:val="000000"/>
                <w:sz w:val="16"/>
                <w:szCs w:val="16"/>
              </w:rPr>
            </w:pPr>
            <w:r>
              <w:rPr>
                <w:rFonts w:ascii="Arial" w:hAnsi="Arial" w:cs="Arial"/>
                <w:color w:val="000000"/>
                <w:sz w:val="16"/>
                <w:szCs w:val="16"/>
              </w:rPr>
              <w:t>1 405,81</w:t>
            </w:r>
          </w:p>
        </w:tc>
        <w:tc>
          <w:tcPr>
            <w:tcW w:w="628" w:type="dxa"/>
            <w:tcBorders>
              <w:top w:val="nil"/>
              <w:left w:val="nil"/>
              <w:bottom w:val="dotted" w:sz="4" w:space="0" w:color="auto"/>
              <w:right w:val="dotted" w:sz="4" w:space="0" w:color="auto"/>
            </w:tcBorders>
            <w:shd w:val="clear" w:color="auto" w:fill="auto"/>
            <w:vAlign w:val="center"/>
            <w:hideMark/>
          </w:tcPr>
          <w:p w14:paraId="2823252B" w14:textId="5235F30C" w:rsidR="00336172" w:rsidRPr="00E21C60" w:rsidRDefault="00336172" w:rsidP="006004B8">
            <w:pPr>
              <w:jc w:val="center"/>
              <w:rPr>
                <w:rFonts w:ascii="Arial" w:hAnsi="Arial" w:cs="Arial"/>
                <w:color w:val="000000"/>
                <w:sz w:val="16"/>
                <w:szCs w:val="16"/>
              </w:rPr>
            </w:pPr>
            <w:r>
              <w:rPr>
                <w:rFonts w:ascii="Arial" w:hAnsi="Arial" w:cs="Arial"/>
                <w:color w:val="000000"/>
                <w:sz w:val="16"/>
                <w:szCs w:val="16"/>
              </w:rPr>
              <w:t>2 729,92</w:t>
            </w:r>
          </w:p>
        </w:tc>
        <w:tc>
          <w:tcPr>
            <w:tcW w:w="639" w:type="dxa"/>
            <w:tcBorders>
              <w:top w:val="nil"/>
              <w:left w:val="nil"/>
              <w:bottom w:val="dotted" w:sz="4" w:space="0" w:color="auto"/>
              <w:right w:val="dotted" w:sz="4" w:space="0" w:color="auto"/>
            </w:tcBorders>
            <w:shd w:val="clear" w:color="auto" w:fill="auto"/>
            <w:vAlign w:val="center"/>
            <w:hideMark/>
          </w:tcPr>
          <w:p w14:paraId="5B4099AC" w14:textId="49D90EAE" w:rsidR="00336172" w:rsidRPr="00E21C60" w:rsidRDefault="00336172" w:rsidP="00D42ADF">
            <w:pPr>
              <w:jc w:val="center"/>
              <w:rPr>
                <w:rFonts w:ascii="Arial" w:hAnsi="Arial" w:cs="Arial"/>
                <w:color w:val="000000"/>
                <w:sz w:val="16"/>
                <w:szCs w:val="16"/>
              </w:rPr>
            </w:pPr>
            <w:r>
              <w:rPr>
                <w:rFonts w:ascii="Arial" w:hAnsi="Arial" w:cs="Arial"/>
                <w:color w:val="000000"/>
                <w:sz w:val="16"/>
                <w:szCs w:val="16"/>
              </w:rPr>
              <w:t xml:space="preserve">   3 028,62   </w:t>
            </w:r>
          </w:p>
        </w:tc>
        <w:tc>
          <w:tcPr>
            <w:tcW w:w="639" w:type="dxa"/>
            <w:tcBorders>
              <w:top w:val="nil"/>
              <w:left w:val="nil"/>
              <w:bottom w:val="dotted" w:sz="4" w:space="0" w:color="auto"/>
              <w:right w:val="dotted" w:sz="4" w:space="0" w:color="auto"/>
            </w:tcBorders>
            <w:shd w:val="clear" w:color="auto" w:fill="auto"/>
            <w:vAlign w:val="center"/>
            <w:hideMark/>
          </w:tcPr>
          <w:p w14:paraId="344EC324" w14:textId="271518A2" w:rsidR="00336172" w:rsidRPr="00E21C60" w:rsidRDefault="00336172" w:rsidP="00D42ADF">
            <w:pPr>
              <w:jc w:val="center"/>
              <w:rPr>
                <w:rFonts w:ascii="Arial" w:hAnsi="Arial" w:cs="Arial"/>
                <w:color w:val="000000"/>
                <w:sz w:val="16"/>
                <w:szCs w:val="16"/>
              </w:rPr>
            </w:pPr>
            <w:r>
              <w:rPr>
                <w:rFonts w:ascii="Arial" w:hAnsi="Arial" w:cs="Arial"/>
                <w:color w:val="000000"/>
                <w:sz w:val="16"/>
                <w:szCs w:val="16"/>
              </w:rPr>
              <w:t xml:space="preserve">        2 085,70   </w:t>
            </w:r>
          </w:p>
        </w:tc>
        <w:tc>
          <w:tcPr>
            <w:tcW w:w="507" w:type="dxa"/>
            <w:tcBorders>
              <w:top w:val="nil"/>
              <w:left w:val="nil"/>
              <w:bottom w:val="dotted" w:sz="4" w:space="0" w:color="auto"/>
              <w:right w:val="dotted" w:sz="4" w:space="0" w:color="auto"/>
            </w:tcBorders>
            <w:shd w:val="clear" w:color="auto" w:fill="auto"/>
            <w:vAlign w:val="center"/>
            <w:hideMark/>
          </w:tcPr>
          <w:p w14:paraId="4CA10941" w14:textId="6F5EB625" w:rsidR="00336172" w:rsidRPr="00E21C60" w:rsidRDefault="00336172">
            <w:pPr>
              <w:jc w:val="center"/>
              <w:rPr>
                <w:rFonts w:ascii="Arial" w:hAnsi="Arial" w:cs="Arial"/>
                <w:color w:val="000000"/>
                <w:sz w:val="16"/>
                <w:szCs w:val="16"/>
              </w:rPr>
            </w:pPr>
            <w:r>
              <w:rPr>
                <w:rFonts w:ascii="Arial" w:hAnsi="Arial" w:cs="Arial"/>
                <w:color w:val="000000"/>
                <w:sz w:val="16"/>
                <w:szCs w:val="16"/>
              </w:rPr>
              <w:t>2 445,09</w:t>
            </w:r>
          </w:p>
        </w:tc>
        <w:tc>
          <w:tcPr>
            <w:tcW w:w="567" w:type="dxa"/>
            <w:tcBorders>
              <w:top w:val="nil"/>
              <w:left w:val="nil"/>
              <w:bottom w:val="dotted" w:sz="4" w:space="0" w:color="auto"/>
              <w:right w:val="dotted" w:sz="4" w:space="0" w:color="auto"/>
            </w:tcBorders>
            <w:shd w:val="clear" w:color="auto" w:fill="auto"/>
            <w:vAlign w:val="center"/>
            <w:hideMark/>
          </w:tcPr>
          <w:p w14:paraId="58ECDFE6" w14:textId="1F7EAB98" w:rsidR="00336172" w:rsidRPr="00E21C60" w:rsidRDefault="00336172">
            <w:pPr>
              <w:jc w:val="center"/>
              <w:rPr>
                <w:rFonts w:ascii="Arial" w:hAnsi="Arial" w:cs="Arial"/>
                <w:color w:val="000000"/>
                <w:sz w:val="16"/>
                <w:szCs w:val="16"/>
              </w:rPr>
            </w:pPr>
            <w:r>
              <w:rPr>
                <w:rFonts w:ascii="Arial" w:hAnsi="Arial" w:cs="Arial"/>
                <w:color w:val="000000"/>
                <w:sz w:val="16"/>
                <w:szCs w:val="16"/>
              </w:rPr>
              <w:t>2445,09</w:t>
            </w:r>
          </w:p>
        </w:tc>
        <w:tc>
          <w:tcPr>
            <w:tcW w:w="709" w:type="dxa"/>
            <w:tcBorders>
              <w:top w:val="nil"/>
              <w:left w:val="nil"/>
              <w:bottom w:val="dotted" w:sz="4" w:space="0" w:color="auto"/>
              <w:right w:val="dotted" w:sz="4" w:space="0" w:color="auto"/>
            </w:tcBorders>
            <w:shd w:val="clear" w:color="auto" w:fill="auto"/>
            <w:vAlign w:val="center"/>
            <w:hideMark/>
          </w:tcPr>
          <w:p w14:paraId="15C24EED" w14:textId="5989AD53" w:rsidR="00336172" w:rsidRPr="00E21C60" w:rsidRDefault="00336172" w:rsidP="002612B2">
            <w:pPr>
              <w:jc w:val="center"/>
              <w:rPr>
                <w:rFonts w:ascii="Arial" w:hAnsi="Arial" w:cs="Arial"/>
                <w:color w:val="000000"/>
                <w:sz w:val="16"/>
                <w:szCs w:val="16"/>
              </w:rPr>
            </w:pPr>
            <w:r>
              <w:rPr>
                <w:rFonts w:ascii="Arial" w:hAnsi="Arial" w:cs="Arial"/>
                <w:b/>
                <w:bCs/>
                <w:color w:val="000000"/>
                <w:sz w:val="16"/>
                <w:szCs w:val="16"/>
              </w:rPr>
              <w:t xml:space="preserve">       2 445,09   </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5A5A9331" w14:textId="77777777" w:rsidR="00336172" w:rsidRDefault="00336172" w:rsidP="002612B2">
            <w:pPr>
              <w:jc w:val="center"/>
              <w:rPr>
                <w:rFonts w:ascii="Arial" w:hAnsi="Arial" w:cs="Arial"/>
                <w:color w:val="000000"/>
                <w:sz w:val="16"/>
                <w:szCs w:val="16"/>
              </w:rPr>
            </w:pPr>
          </w:p>
          <w:p w14:paraId="5FCDA860" w14:textId="77777777" w:rsidR="00336172" w:rsidRDefault="00336172" w:rsidP="002612B2">
            <w:pPr>
              <w:jc w:val="center"/>
              <w:rPr>
                <w:rFonts w:ascii="Arial" w:hAnsi="Arial" w:cs="Arial"/>
                <w:color w:val="000000"/>
                <w:sz w:val="16"/>
                <w:szCs w:val="16"/>
              </w:rPr>
            </w:pPr>
          </w:p>
          <w:p w14:paraId="6FC14217" w14:textId="77777777" w:rsidR="00336172" w:rsidRDefault="00336172" w:rsidP="002612B2">
            <w:pPr>
              <w:jc w:val="center"/>
              <w:rPr>
                <w:rFonts w:ascii="Arial" w:hAnsi="Arial" w:cs="Arial"/>
                <w:color w:val="000000"/>
                <w:sz w:val="16"/>
                <w:szCs w:val="16"/>
              </w:rPr>
            </w:pPr>
          </w:p>
          <w:p w14:paraId="641156AD" w14:textId="77777777" w:rsidR="00336172" w:rsidRDefault="00336172" w:rsidP="002612B2">
            <w:pPr>
              <w:jc w:val="center"/>
              <w:rPr>
                <w:rFonts w:ascii="Arial" w:hAnsi="Arial" w:cs="Arial"/>
                <w:color w:val="000000"/>
                <w:sz w:val="16"/>
                <w:szCs w:val="16"/>
              </w:rPr>
            </w:pPr>
          </w:p>
          <w:p w14:paraId="08372176" w14:textId="1E5DD1B3" w:rsidR="00336172" w:rsidRPr="00E21C60" w:rsidRDefault="00336172" w:rsidP="002612B2">
            <w:pPr>
              <w:jc w:val="center"/>
              <w:rPr>
                <w:rFonts w:ascii="Arial" w:hAnsi="Arial" w:cs="Arial"/>
                <w:color w:val="000000"/>
                <w:sz w:val="16"/>
                <w:szCs w:val="16"/>
              </w:rPr>
            </w:pPr>
            <w:r w:rsidRPr="00336172">
              <w:rPr>
                <w:rFonts w:ascii="Arial" w:hAnsi="Arial" w:cs="Arial"/>
                <w:color w:val="000000"/>
                <w:sz w:val="16"/>
                <w:szCs w:val="16"/>
              </w:rPr>
              <w:t>2445,09 po ukončení realizácie všetkých projektov</w:t>
            </w:r>
          </w:p>
        </w:tc>
      </w:tr>
      <w:tr w:rsidR="007803AE" w:rsidRPr="00E21C60" w14:paraId="3B009B78" w14:textId="77777777" w:rsidTr="00321598">
        <w:trPr>
          <w:trHeight w:val="466"/>
        </w:trPr>
        <w:tc>
          <w:tcPr>
            <w:tcW w:w="1095" w:type="dxa"/>
            <w:vMerge/>
            <w:tcBorders>
              <w:top w:val="nil"/>
              <w:left w:val="single" w:sz="8" w:space="0" w:color="auto"/>
              <w:bottom w:val="single" w:sz="8" w:space="0" w:color="000000"/>
              <w:right w:val="single" w:sz="8" w:space="0" w:color="auto"/>
            </w:tcBorders>
            <w:vAlign w:val="center"/>
            <w:hideMark/>
          </w:tcPr>
          <w:p w14:paraId="406C0114"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0A7220E7"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5765001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58C0E80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7B91B8B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2069425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121E97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0D06D52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5A2CC96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0336962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6029F96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2</w:t>
            </w:r>
            <w:r>
              <w:rPr>
                <w:rFonts w:ascii="Arial" w:hAnsi="Arial" w:cs="Arial"/>
                <w:color w:val="000000"/>
                <w:sz w:val="16"/>
                <w:szCs w:val="16"/>
              </w:rPr>
              <w:t xml:space="preserve"> </w:t>
            </w:r>
            <w:r w:rsidRPr="00E21C60">
              <w:rPr>
                <w:rFonts w:ascii="Arial" w:hAnsi="Arial" w:cs="Arial"/>
                <w:color w:val="000000"/>
                <w:sz w:val="16"/>
                <w:szCs w:val="16"/>
              </w:rPr>
              <w:t>500</w:t>
            </w:r>
          </w:p>
        </w:tc>
        <w:tc>
          <w:tcPr>
            <w:tcW w:w="709" w:type="dxa"/>
            <w:tcBorders>
              <w:top w:val="nil"/>
              <w:left w:val="nil"/>
              <w:bottom w:val="dotted" w:sz="4" w:space="0" w:color="auto"/>
              <w:right w:val="dotted" w:sz="4" w:space="0" w:color="auto"/>
            </w:tcBorders>
            <w:shd w:val="clear" w:color="auto" w:fill="auto"/>
            <w:vAlign w:val="center"/>
            <w:hideMark/>
          </w:tcPr>
          <w:p w14:paraId="4552C67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2</w:t>
            </w:r>
            <w:r>
              <w:rPr>
                <w:rFonts w:ascii="Arial" w:hAnsi="Arial" w:cs="Arial"/>
                <w:color w:val="000000"/>
                <w:sz w:val="16"/>
                <w:szCs w:val="16"/>
              </w:rPr>
              <w:t xml:space="preserve"> </w:t>
            </w:r>
            <w:r w:rsidRPr="00E21C60">
              <w:rPr>
                <w:rFonts w:ascii="Arial" w:hAnsi="Arial" w:cs="Arial"/>
                <w:color w:val="000000"/>
                <w:sz w:val="16"/>
                <w:szCs w:val="16"/>
              </w:rPr>
              <w:t>500</w:t>
            </w:r>
          </w:p>
        </w:tc>
        <w:tc>
          <w:tcPr>
            <w:tcW w:w="850" w:type="dxa"/>
            <w:vMerge/>
            <w:tcBorders>
              <w:top w:val="nil"/>
              <w:left w:val="dotted" w:sz="4" w:space="0" w:color="auto"/>
              <w:bottom w:val="single" w:sz="8" w:space="0" w:color="000000"/>
              <w:right w:val="single" w:sz="8" w:space="0" w:color="auto"/>
            </w:tcBorders>
            <w:vAlign w:val="center"/>
            <w:hideMark/>
          </w:tcPr>
          <w:p w14:paraId="13944AA7" w14:textId="77777777" w:rsidR="007803AE" w:rsidRPr="00E21C60" w:rsidRDefault="007803AE">
            <w:pPr>
              <w:rPr>
                <w:rFonts w:ascii="Arial" w:hAnsi="Arial" w:cs="Arial"/>
                <w:color w:val="000000"/>
                <w:sz w:val="16"/>
                <w:szCs w:val="16"/>
              </w:rPr>
            </w:pPr>
          </w:p>
        </w:tc>
      </w:tr>
      <w:tr w:rsidR="007803AE" w:rsidRPr="00E21C60" w14:paraId="1243EAC5" w14:textId="77777777" w:rsidTr="00321598">
        <w:trPr>
          <w:trHeight w:val="544"/>
        </w:trPr>
        <w:tc>
          <w:tcPr>
            <w:tcW w:w="1095" w:type="dxa"/>
            <w:vMerge/>
            <w:tcBorders>
              <w:top w:val="nil"/>
              <w:left w:val="single" w:sz="8" w:space="0" w:color="auto"/>
              <w:bottom w:val="single" w:sz="8" w:space="0" w:color="000000"/>
              <w:right w:val="single" w:sz="8" w:space="0" w:color="auto"/>
            </w:tcBorders>
            <w:vAlign w:val="center"/>
            <w:hideMark/>
          </w:tcPr>
          <w:p w14:paraId="21592A48"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74B7BDE8"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47FD5E7F"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single" w:sz="8" w:space="0" w:color="auto"/>
              <w:right w:val="dotted" w:sz="4" w:space="0" w:color="auto"/>
            </w:tcBorders>
            <w:shd w:val="clear" w:color="auto" w:fill="auto"/>
            <w:vAlign w:val="center"/>
            <w:hideMark/>
          </w:tcPr>
          <w:p w14:paraId="5E1F19A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6A2834F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2385005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406BA35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7C65F2E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6E239D5E"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6759144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5F6B249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2C67449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tcBorders>
              <w:top w:val="nil"/>
              <w:left w:val="dotted" w:sz="4" w:space="0" w:color="auto"/>
              <w:bottom w:val="single" w:sz="8" w:space="0" w:color="000000"/>
              <w:right w:val="single" w:sz="8" w:space="0" w:color="auto"/>
            </w:tcBorders>
            <w:vAlign w:val="center"/>
            <w:hideMark/>
          </w:tcPr>
          <w:p w14:paraId="10BF343E" w14:textId="77777777" w:rsidR="007803AE" w:rsidRPr="00E21C60" w:rsidRDefault="007803AE">
            <w:pPr>
              <w:rPr>
                <w:rFonts w:ascii="Arial" w:hAnsi="Arial" w:cs="Arial"/>
                <w:color w:val="000000"/>
                <w:sz w:val="16"/>
                <w:szCs w:val="16"/>
              </w:rPr>
            </w:pPr>
          </w:p>
        </w:tc>
      </w:tr>
      <w:tr w:rsidR="0072535A" w:rsidRPr="00E21C60" w14:paraId="7081A3E3" w14:textId="77777777" w:rsidTr="00123376">
        <w:trPr>
          <w:trHeight w:val="570"/>
        </w:trPr>
        <w:tc>
          <w:tcPr>
            <w:tcW w:w="1095" w:type="dxa"/>
            <w:vMerge w:val="restart"/>
            <w:tcBorders>
              <w:top w:val="nil"/>
              <w:left w:val="single" w:sz="8" w:space="0" w:color="auto"/>
              <w:bottom w:val="single" w:sz="8" w:space="0" w:color="000000"/>
              <w:right w:val="single" w:sz="8" w:space="0" w:color="auto"/>
            </w:tcBorders>
            <w:shd w:val="clear" w:color="000000" w:fill="D8E4BC"/>
            <w:vAlign w:val="center"/>
            <w:hideMark/>
          </w:tcPr>
          <w:p w14:paraId="52923C8A" w14:textId="77777777" w:rsidR="0072535A" w:rsidRPr="00E21C60" w:rsidRDefault="0072535A">
            <w:pPr>
              <w:rPr>
                <w:rFonts w:ascii="Arial" w:hAnsi="Arial" w:cs="Arial"/>
                <w:color w:val="000000"/>
                <w:sz w:val="16"/>
                <w:szCs w:val="16"/>
              </w:rPr>
            </w:pPr>
            <w:r w:rsidRPr="00E21C60">
              <w:rPr>
                <w:rFonts w:ascii="Arial" w:hAnsi="Arial" w:cs="Arial"/>
                <w:color w:val="000000"/>
                <w:sz w:val="16"/>
                <w:szCs w:val="16"/>
              </w:rPr>
              <w:t>Ročné úspory energie realizovaním projektu/</w:t>
            </w:r>
            <w:r w:rsidRPr="00E21C60">
              <w:rPr>
                <w:rFonts w:ascii="Arial" w:hAnsi="Arial" w:cs="Arial"/>
                <w:color w:val="000000"/>
                <w:sz w:val="16"/>
                <w:szCs w:val="16"/>
              </w:rPr>
              <w:br/>
              <w:t>Úspora energie [GJ/rok] dopad</w:t>
            </w:r>
          </w:p>
        </w:tc>
        <w:tc>
          <w:tcPr>
            <w:tcW w:w="959" w:type="dxa"/>
            <w:tcBorders>
              <w:top w:val="nil"/>
              <w:left w:val="nil"/>
              <w:bottom w:val="dotted" w:sz="4" w:space="0" w:color="auto"/>
              <w:right w:val="dotted" w:sz="4" w:space="0" w:color="auto"/>
            </w:tcBorders>
            <w:shd w:val="clear" w:color="000000" w:fill="FFFFFF"/>
            <w:vAlign w:val="center"/>
            <w:hideMark/>
          </w:tcPr>
          <w:p w14:paraId="4F296415" w14:textId="77777777" w:rsidR="0072535A" w:rsidRPr="00E21C60" w:rsidRDefault="0072535A">
            <w:pPr>
              <w:rPr>
                <w:rFonts w:ascii="Arial" w:hAnsi="Arial" w:cs="Arial"/>
                <w:color w:val="000000"/>
                <w:sz w:val="16"/>
                <w:szCs w:val="16"/>
              </w:rPr>
            </w:pPr>
            <w:r w:rsidRPr="00E21C60">
              <w:rPr>
                <w:rFonts w:ascii="Arial" w:hAnsi="Arial" w:cs="Arial"/>
                <w:color w:val="000000"/>
                <w:sz w:val="16"/>
                <w:szCs w:val="16"/>
              </w:rPr>
              <w:t>Dosiahnutý výsledok</w:t>
            </w:r>
          </w:p>
        </w:tc>
        <w:tc>
          <w:tcPr>
            <w:tcW w:w="622" w:type="dxa"/>
            <w:tcBorders>
              <w:top w:val="nil"/>
              <w:left w:val="nil"/>
              <w:bottom w:val="dotted" w:sz="4" w:space="0" w:color="auto"/>
              <w:right w:val="dotted" w:sz="4" w:space="0" w:color="auto"/>
            </w:tcBorders>
            <w:shd w:val="clear" w:color="auto" w:fill="auto"/>
            <w:vAlign w:val="center"/>
            <w:hideMark/>
          </w:tcPr>
          <w:p w14:paraId="01F14D54" w14:textId="77777777" w:rsidR="0072535A" w:rsidRPr="00E21C60" w:rsidRDefault="0072535A">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21303EDF" w14:textId="77777777" w:rsidR="0072535A" w:rsidRPr="00E21C60" w:rsidRDefault="0072535A">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dotted" w:sz="4" w:space="0" w:color="auto"/>
              <w:right w:val="dotted" w:sz="4" w:space="0" w:color="auto"/>
            </w:tcBorders>
            <w:shd w:val="clear" w:color="auto" w:fill="auto"/>
            <w:vAlign w:val="center"/>
            <w:hideMark/>
          </w:tcPr>
          <w:p w14:paraId="52E8C30F" w14:textId="77777777" w:rsidR="0072535A" w:rsidRPr="00E21C60" w:rsidRDefault="0072535A">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46900352" w14:textId="77777777" w:rsidR="0072535A" w:rsidRPr="00E21C60" w:rsidRDefault="0072535A">
            <w:pPr>
              <w:jc w:val="center"/>
              <w:rPr>
                <w:rFonts w:ascii="Arial" w:hAnsi="Arial" w:cs="Arial"/>
                <w:color w:val="000000"/>
                <w:sz w:val="16"/>
                <w:szCs w:val="16"/>
              </w:rPr>
            </w:pPr>
            <w:r w:rsidRPr="00E21C60">
              <w:rPr>
                <w:rFonts w:ascii="Arial" w:hAnsi="Arial" w:cs="Arial"/>
                <w:color w:val="000000"/>
                <w:sz w:val="16"/>
                <w:szCs w:val="16"/>
              </w:rPr>
              <w:t>0</w:t>
            </w:r>
          </w:p>
        </w:tc>
        <w:tc>
          <w:tcPr>
            <w:tcW w:w="628" w:type="dxa"/>
            <w:tcBorders>
              <w:top w:val="nil"/>
              <w:left w:val="nil"/>
              <w:bottom w:val="dotted" w:sz="4" w:space="0" w:color="auto"/>
              <w:right w:val="dotted" w:sz="4" w:space="0" w:color="auto"/>
            </w:tcBorders>
            <w:shd w:val="clear" w:color="auto" w:fill="auto"/>
            <w:vAlign w:val="center"/>
            <w:hideMark/>
          </w:tcPr>
          <w:p w14:paraId="1DDC37B5" w14:textId="77777777" w:rsidR="0072535A" w:rsidRPr="00E21C60" w:rsidRDefault="0072535A">
            <w:pPr>
              <w:jc w:val="center"/>
              <w:rPr>
                <w:rFonts w:ascii="Arial" w:hAnsi="Arial" w:cs="Arial"/>
                <w:color w:val="000000"/>
                <w:sz w:val="16"/>
                <w:szCs w:val="16"/>
              </w:rPr>
            </w:pPr>
            <w:r w:rsidRPr="00E21C60">
              <w:rPr>
                <w:rFonts w:ascii="Arial" w:hAnsi="Arial" w:cs="Arial"/>
                <w:color w:val="000000"/>
                <w:sz w:val="16"/>
                <w:szCs w:val="16"/>
              </w:rPr>
              <w:t>0</w:t>
            </w:r>
          </w:p>
        </w:tc>
        <w:tc>
          <w:tcPr>
            <w:tcW w:w="639" w:type="dxa"/>
            <w:tcBorders>
              <w:top w:val="nil"/>
              <w:left w:val="nil"/>
              <w:bottom w:val="dotted" w:sz="4" w:space="0" w:color="auto"/>
              <w:right w:val="dotted" w:sz="4" w:space="0" w:color="auto"/>
            </w:tcBorders>
            <w:shd w:val="clear" w:color="auto" w:fill="auto"/>
            <w:vAlign w:val="center"/>
            <w:hideMark/>
          </w:tcPr>
          <w:p w14:paraId="2451E935" w14:textId="77777777" w:rsidR="0072535A" w:rsidRPr="00E21C60" w:rsidRDefault="0072535A">
            <w:pPr>
              <w:jc w:val="center"/>
              <w:rPr>
                <w:rFonts w:ascii="Arial" w:hAnsi="Arial" w:cs="Arial"/>
                <w:color w:val="000000"/>
                <w:sz w:val="16"/>
                <w:szCs w:val="16"/>
              </w:rPr>
            </w:pPr>
            <w:r w:rsidRPr="00E21C60">
              <w:rPr>
                <w:rFonts w:ascii="Arial" w:hAnsi="Arial" w:cs="Arial"/>
                <w:color w:val="000000"/>
                <w:sz w:val="16"/>
                <w:szCs w:val="16"/>
              </w:rPr>
              <w:t>636</w:t>
            </w:r>
          </w:p>
        </w:tc>
        <w:tc>
          <w:tcPr>
            <w:tcW w:w="639" w:type="dxa"/>
            <w:tcBorders>
              <w:top w:val="nil"/>
              <w:left w:val="nil"/>
              <w:bottom w:val="dotted" w:sz="4" w:space="0" w:color="auto"/>
              <w:right w:val="dotted" w:sz="4" w:space="0" w:color="auto"/>
            </w:tcBorders>
            <w:shd w:val="clear" w:color="auto" w:fill="auto"/>
            <w:vAlign w:val="center"/>
            <w:hideMark/>
          </w:tcPr>
          <w:p w14:paraId="756C508C" w14:textId="77777777" w:rsidR="0072535A" w:rsidRPr="00E21C60" w:rsidRDefault="0072535A">
            <w:pPr>
              <w:jc w:val="center"/>
              <w:rPr>
                <w:rFonts w:ascii="Arial" w:hAnsi="Arial" w:cs="Arial"/>
                <w:color w:val="000000"/>
                <w:sz w:val="16"/>
                <w:szCs w:val="16"/>
              </w:rPr>
            </w:pPr>
            <w:r w:rsidRPr="00E21C60">
              <w:rPr>
                <w:rFonts w:ascii="Arial" w:hAnsi="Arial" w:cs="Arial"/>
                <w:color w:val="000000"/>
                <w:sz w:val="16"/>
                <w:szCs w:val="16"/>
              </w:rPr>
              <w:t>63</w:t>
            </w:r>
            <w:r w:rsidRPr="00E21C60">
              <w:rPr>
                <w:rFonts w:ascii="Arial" w:hAnsi="Arial" w:cs="Arial"/>
                <w:color w:val="000000"/>
                <w:sz w:val="16"/>
                <w:szCs w:val="16"/>
              </w:rPr>
              <w:br/>
              <w:t>353</w:t>
            </w:r>
            <w:r>
              <w:rPr>
                <w:rFonts w:ascii="Arial" w:hAnsi="Arial" w:cs="Arial"/>
                <w:color w:val="000000"/>
                <w:sz w:val="16"/>
                <w:szCs w:val="16"/>
              </w:rPr>
              <w:t>,19</w:t>
            </w:r>
          </w:p>
        </w:tc>
        <w:tc>
          <w:tcPr>
            <w:tcW w:w="507" w:type="dxa"/>
            <w:tcBorders>
              <w:top w:val="nil"/>
              <w:left w:val="nil"/>
              <w:bottom w:val="dotted" w:sz="4" w:space="0" w:color="auto"/>
              <w:right w:val="dotted" w:sz="4" w:space="0" w:color="auto"/>
            </w:tcBorders>
            <w:shd w:val="clear" w:color="auto" w:fill="auto"/>
            <w:vAlign w:val="center"/>
            <w:hideMark/>
          </w:tcPr>
          <w:p w14:paraId="575AF0D6" w14:textId="4133AB58" w:rsidR="0072535A" w:rsidRPr="00E21C60" w:rsidRDefault="0072535A" w:rsidP="00D5057A">
            <w:pPr>
              <w:jc w:val="center"/>
              <w:rPr>
                <w:rFonts w:ascii="Arial" w:hAnsi="Arial" w:cs="Arial"/>
                <w:color w:val="000000"/>
                <w:sz w:val="16"/>
                <w:szCs w:val="16"/>
              </w:rPr>
            </w:pPr>
            <w:r>
              <w:rPr>
                <w:rFonts w:ascii="Arial" w:hAnsi="Arial" w:cs="Arial"/>
                <w:color w:val="000000"/>
                <w:sz w:val="16"/>
                <w:szCs w:val="16"/>
              </w:rPr>
              <w:t>146,138,72</w:t>
            </w:r>
          </w:p>
        </w:tc>
        <w:tc>
          <w:tcPr>
            <w:tcW w:w="567" w:type="dxa"/>
            <w:tcBorders>
              <w:top w:val="nil"/>
              <w:left w:val="nil"/>
              <w:bottom w:val="dotted" w:sz="4" w:space="0" w:color="auto"/>
              <w:right w:val="dotted" w:sz="4" w:space="0" w:color="auto"/>
            </w:tcBorders>
            <w:shd w:val="clear" w:color="auto" w:fill="auto"/>
            <w:vAlign w:val="center"/>
            <w:hideMark/>
          </w:tcPr>
          <w:p w14:paraId="56D623D2" w14:textId="1042705C" w:rsidR="0072535A" w:rsidRPr="00E21C60" w:rsidRDefault="0072535A">
            <w:pPr>
              <w:jc w:val="center"/>
              <w:rPr>
                <w:rFonts w:ascii="Arial" w:hAnsi="Arial" w:cs="Arial"/>
                <w:color w:val="000000"/>
                <w:sz w:val="16"/>
                <w:szCs w:val="16"/>
              </w:rPr>
            </w:pPr>
            <w:r>
              <w:rPr>
                <w:rFonts w:ascii="Arial" w:hAnsi="Arial" w:cs="Arial"/>
                <w:color w:val="000000"/>
                <w:sz w:val="16"/>
                <w:szCs w:val="16"/>
              </w:rPr>
              <w:t>144 219,50</w:t>
            </w:r>
          </w:p>
        </w:tc>
        <w:tc>
          <w:tcPr>
            <w:tcW w:w="709" w:type="dxa"/>
            <w:tcBorders>
              <w:top w:val="nil"/>
              <w:left w:val="nil"/>
              <w:bottom w:val="dotted" w:sz="4" w:space="0" w:color="auto"/>
              <w:right w:val="dotted" w:sz="4" w:space="0" w:color="auto"/>
            </w:tcBorders>
            <w:shd w:val="clear" w:color="auto" w:fill="auto"/>
            <w:vAlign w:val="center"/>
            <w:hideMark/>
          </w:tcPr>
          <w:p w14:paraId="70292693" w14:textId="5FDD32F7" w:rsidR="0072535A" w:rsidRPr="00E21C60" w:rsidRDefault="0072535A" w:rsidP="00D5057A">
            <w:pPr>
              <w:jc w:val="center"/>
              <w:rPr>
                <w:rFonts w:ascii="Arial" w:hAnsi="Arial" w:cs="Arial"/>
                <w:color w:val="000000"/>
                <w:sz w:val="16"/>
                <w:szCs w:val="16"/>
              </w:rPr>
            </w:pPr>
            <w:r>
              <w:rPr>
                <w:rFonts w:ascii="Arial" w:hAnsi="Arial" w:cs="Arial"/>
                <w:b/>
                <w:bCs/>
                <w:color w:val="000000"/>
                <w:sz w:val="16"/>
                <w:szCs w:val="16"/>
              </w:rPr>
              <w:t xml:space="preserve">   142 346,79   </w:t>
            </w:r>
          </w:p>
        </w:tc>
        <w:tc>
          <w:tcPr>
            <w:tcW w:w="850" w:type="dxa"/>
            <w:vMerge w:val="restart"/>
            <w:tcBorders>
              <w:top w:val="nil"/>
              <w:left w:val="dotted" w:sz="4" w:space="0" w:color="auto"/>
              <w:bottom w:val="single" w:sz="8" w:space="0" w:color="000000"/>
              <w:right w:val="single" w:sz="8" w:space="0" w:color="auto"/>
            </w:tcBorders>
            <w:shd w:val="clear" w:color="auto" w:fill="auto"/>
            <w:vAlign w:val="center"/>
            <w:hideMark/>
          </w:tcPr>
          <w:p w14:paraId="75B9B5D5" w14:textId="43F91AC0" w:rsidR="0072535A" w:rsidRPr="00E21C60" w:rsidRDefault="0072535A" w:rsidP="0072535A">
            <w:pPr>
              <w:jc w:val="center"/>
              <w:rPr>
                <w:rFonts w:ascii="Arial" w:hAnsi="Arial" w:cs="Arial"/>
                <w:color w:val="000000"/>
                <w:sz w:val="16"/>
                <w:szCs w:val="16"/>
              </w:rPr>
            </w:pPr>
            <w:r w:rsidRPr="0072535A">
              <w:rPr>
                <w:rFonts w:ascii="Arial" w:hAnsi="Arial" w:cs="Arial"/>
                <w:color w:val="000000"/>
                <w:sz w:val="16"/>
                <w:szCs w:val="16"/>
              </w:rPr>
              <w:t>142346,7899</w:t>
            </w:r>
          </w:p>
        </w:tc>
      </w:tr>
      <w:tr w:rsidR="007803AE" w:rsidRPr="00E21C60" w14:paraId="7E85E141" w14:textId="77777777" w:rsidTr="00123376">
        <w:trPr>
          <w:trHeight w:val="570"/>
        </w:trPr>
        <w:tc>
          <w:tcPr>
            <w:tcW w:w="1095" w:type="dxa"/>
            <w:vMerge/>
            <w:tcBorders>
              <w:top w:val="nil"/>
              <w:left w:val="single" w:sz="8" w:space="0" w:color="auto"/>
              <w:bottom w:val="single" w:sz="8" w:space="0" w:color="000000"/>
              <w:right w:val="single" w:sz="8" w:space="0" w:color="auto"/>
            </w:tcBorders>
            <w:vAlign w:val="center"/>
            <w:hideMark/>
          </w:tcPr>
          <w:p w14:paraId="387930E1" w14:textId="77777777" w:rsidR="007803AE" w:rsidRPr="00E21C60" w:rsidRDefault="007803AE">
            <w:pPr>
              <w:rPr>
                <w:rFonts w:ascii="Arial" w:hAnsi="Arial" w:cs="Arial"/>
                <w:color w:val="000000"/>
                <w:sz w:val="16"/>
                <w:szCs w:val="16"/>
              </w:rPr>
            </w:pPr>
          </w:p>
        </w:tc>
        <w:tc>
          <w:tcPr>
            <w:tcW w:w="959" w:type="dxa"/>
            <w:tcBorders>
              <w:top w:val="nil"/>
              <w:left w:val="nil"/>
              <w:bottom w:val="dotted" w:sz="4" w:space="0" w:color="auto"/>
              <w:right w:val="dotted" w:sz="4" w:space="0" w:color="auto"/>
            </w:tcBorders>
            <w:shd w:val="clear" w:color="000000" w:fill="FFFFFF"/>
            <w:vAlign w:val="center"/>
            <w:hideMark/>
          </w:tcPr>
          <w:p w14:paraId="1C54F37E"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Cieľ</w:t>
            </w:r>
          </w:p>
        </w:tc>
        <w:tc>
          <w:tcPr>
            <w:tcW w:w="622" w:type="dxa"/>
            <w:tcBorders>
              <w:top w:val="nil"/>
              <w:left w:val="nil"/>
              <w:bottom w:val="dotted" w:sz="4" w:space="0" w:color="auto"/>
              <w:right w:val="dotted" w:sz="4" w:space="0" w:color="auto"/>
            </w:tcBorders>
            <w:shd w:val="clear" w:color="auto" w:fill="auto"/>
            <w:vAlign w:val="center"/>
            <w:hideMark/>
          </w:tcPr>
          <w:p w14:paraId="020DF4C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6C734AA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dotted" w:sz="4" w:space="0" w:color="auto"/>
              <w:right w:val="dotted" w:sz="4" w:space="0" w:color="auto"/>
            </w:tcBorders>
            <w:shd w:val="clear" w:color="auto" w:fill="auto"/>
            <w:vAlign w:val="center"/>
            <w:hideMark/>
          </w:tcPr>
          <w:p w14:paraId="1E02FD6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73BF123B"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dotted" w:sz="4" w:space="0" w:color="auto"/>
              <w:right w:val="dotted" w:sz="4" w:space="0" w:color="auto"/>
            </w:tcBorders>
            <w:shd w:val="clear" w:color="auto" w:fill="auto"/>
            <w:vAlign w:val="center"/>
            <w:hideMark/>
          </w:tcPr>
          <w:p w14:paraId="042B50C8"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0CC6B923"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dotted" w:sz="4" w:space="0" w:color="auto"/>
              <w:right w:val="dotted" w:sz="4" w:space="0" w:color="auto"/>
            </w:tcBorders>
            <w:shd w:val="clear" w:color="auto" w:fill="auto"/>
            <w:vAlign w:val="center"/>
            <w:hideMark/>
          </w:tcPr>
          <w:p w14:paraId="3EB93B3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dotted" w:sz="4" w:space="0" w:color="auto"/>
              <w:right w:val="dotted" w:sz="4" w:space="0" w:color="auto"/>
            </w:tcBorders>
            <w:shd w:val="clear" w:color="auto" w:fill="auto"/>
            <w:vAlign w:val="center"/>
            <w:hideMark/>
          </w:tcPr>
          <w:p w14:paraId="6320D1F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dotted" w:sz="4" w:space="0" w:color="auto"/>
              <w:right w:val="dotted" w:sz="4" w:space="0" w:color="auto"/>
            </w:tcBorders>
            <w:shd w:val="clear" w:color="auto" w:fill="auto"/>
            <w:vAlign w:val="center"/>
            <w:hideMark/>
          </w:tcPr>
          <w:p w14:paraId="7D22F026"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30x</w:t>
            </w:r>
            <w:r w:rsidRPr="00E21C60">
              <w:rPr>
                <w:rFonts w:ascii="Arial" w:hAnsi="Arial" w:cs="Arial"/>
                <w:color w:val="000000"/>
                <w:sz w:val="16"/>
                <w:szCs w:val="16"/>
              </w:rPr>
              <w:br/>
              <w:t>10</w:t>
            </w:r>
            <w:r w:rsidRPr="00E21C60">
              <w:rPr>
                <w:rFonts w:ascii="Arial" w:hAnsi="Arial" w:cs="Arial"/>
                <w:color w:val="000000"/>
                <w:sz w:val="16"/>
                <w:szCs w:val="16"/>
                <w:vertAlign w:val="superscript"/>
              </w:rPr>
              <w:t>3</w:t>
            </w:r>
          </w:p>
        </w:tc>
        <w:tc>
          <w:tcPr>
            <w:tcW w:w="709" w:type="dxa"/>
            <w:tcBorders>
              <w:top w:val="nil"/>
              <w:left w:val="nil"/>
              <w:bottom w:val="dotted" w:sz="4" w:space="0" w:color="auto"/>
              <w:right w:val="dotted" w:sz="4" w:space="0" w:color="auto"/>
            </w:tcBorders>
            <w:shd w:val="clear" w:color="auto" w:fill="auto"/>
            <w:vAlign w:val="center"/>
            <w:hideMark/>
          </w:tcPr>
          <w:p w14:paraId="4063EDB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30x</w:t>
            </w:r>
            <w:r w:rsidRPr="00E21C60">
              <w:rPr>
                <w:rFonts w:ascii="Arial" w:hAnsi="Arial" w:cs="Arial"/>
                <w:color w:val="000000"/>
                <w:sz w:val="16"/>
                <w:szCs w:val="16"/>
              </w:rPr>
              <w:br/>
              <w:t>10</w:t>
            </w:r>
            <w:r w:rsidRPr="00E21C60">
              <w:rPr>
                <w:rFonts w:ascii="Arial" w:hAnsi="Arial" w:cs="Arial"/>
                <w:color w:val="000000"/>
                <w:sz w:val="16"/>
                <w:szCs w:val="16"/>
                <w:vertAlign w:val="superscript"/>
              </w:rPr>
              <w:t>3</w:t>
            </w:r>
          </w:p>
        </w:tc>
        <w:tc>
          <w:tcPr>
            <w:tcW w:w="850" w:type="dxa"/>
            <w:vMerge/>
            <w:tcBorders>
              <w:top w:val="nil"/>
              <w:left w:val="dotted" w:sz="4" w:space="0" w:color="auto"/>
              <w:bottom w:val="single" w:sz="8" w:space="0" w:color="000000"/>
              <w:right w:val="single" w:sz="8" w:space="0" w:color="auto"/>
            </w:tcBorders>
            <w:vAlign w:val="center"/>
            <w:hideMark/>
          </w:tcPr>
          <w:p w14:paraId="54A2A44C" w14:textId="77777777" w:rsidR="007803AE" w:rsidRPr="00E21C60" w:rsidRDefault="007803AE">
            <w:pPr>
              <w:rPr>
                <w:rFonts w:ascii="Arial" w:hAnsi="Arial" w:cs="Arial"/>
                <w:color w:val="000000"/>
                <w:sz w:val="16"/>
                <w:szCs w:val="16"/>
              </w:rPr>
            </w:pPr>
          </w:p>
        </w:tc>
      </w:tr>
      <w:tr w:rsidR="007803AE" w:rsidRPr="00E21C60" w14:paraId="53CD378B" w14:textId="77777777" w:rsidTr="00321598">
        <w:trPr>
          <w:trHeight w:val="356"/>
        </w:trPr>
        <w:tc>
          <w:tcPr>
            <w:tcW w:w="1095" w:type="dxa"/>
            <w:vMerge/>
            <w:tcBorders>
              <w:top w:val="nil"/>
              <w:left w:val="single" w:sz="8" w:space="0" w:color="auto"/>
              <w:bottom w:val="single" w:sz="8" w:space="0" w:color="000000"/>
              <w:right w:val="single" w:sz="8" w:space="0" w:color="auto"/>
            </w:tcBorders>
            <w:vAlign w:val="center"/>
            <w:hideMark/>
          </w:tcPr>
          <w:p w14:paraId="711F7F29" w14:textId="77777777" w:rsidR="007803AE" w:rsidRPr="00E21C60" w:rsidRDefault="007803AE">
            <w:pPr>
              <w:rPr>
                <w:rFonts w:ascii="Arial" w:hAnsi="Arial" w:cs="Arial"/>
                <w:color w:val="000000"/>
                <w:sz w:val="16"/>
                <w:szCs w:val="16"/>
              </w:rPr>
            </w:pPr>
          </w:p>
        </w:tc>
        <w:tc>
          <w:tcPr>
            <w:tcW w:w="959" w:type="dxa"/>
            <w:tcBorders>
              <w:top w:val="nil"/>
              <w:left w:val="nil"/>
              <w:bottom w:val="single" w:sz="8" w:space="0" w:color="auto"/>
              <w:right w:val="dotted" w:sz="4" w:space="0" w:color="auto"/>
            </w:tcBorders>
            <w:shd w:val="clear" w:color="000000" w:fill="FFFFFF"/>
            <w:vAlign w:val="center"/>
            <w:hideMark/>
          </w:tcPr>
          <w:p w14:paraId="605E2E2C" w14:textId="77777777" w:rsidR="007803AE" w:rsidRPr="00E21C60" w:rsidRDefault="007803AE">
            <w:pPr>
              <w:rPr>
                <w:rFonts w:ascii="Arial" w:hAnsi="Arial" w:cs="Arial"/>
                <w:color w:val="000000"/>
                <w:sz w:val="16"/>
                <w:szCs w:val="16"/>
              </w:rPr>
            </w:pPr>
            <w:r w:rsidRPr="00E21C60">
              <w:rPr>
                <w:rFonts w:ascii="Arial" w:hAnsi="Arial" w:cs="Arial"/>
                <w:color w:val="000000"/>
                <w:sz w:val="16"/>
                <w:szCs w:val="16"/>
              </w:rPr>
              <w:t>Východisko</w:t>
            </w:r>
          </w:p>
        </w:tc>
        <w:tc>
          <w:tcPr>
            <w:tcW w:w="622" w:type="dxa"/>
            <w:tcBorders>
              <w:top w:val="nil"/>
              <w:left w:val="nil"/>
              <w:bottom w:val="single" w:sz="8" w:space="0" w:color="auto"/>
              <w:right w:val="dotted" w:sz="4" w:space="0" w:color="auto"/>
            </w:tcBorders>
            <w:shd w:val="clear" w:color="auto" w:fill="auto"/>
            <w:vAlign w:val="center"/>
            <w:hideMark/>
          </w:tcPr>
          <w:p w14:paraId="181E259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622" w:type="dxa"/>
            <w:tcBorders>
              <w:top w:val="nil"/>
              <w:left w:val="nil"/>
              <w:bottom w:val="single" w:sz="8" w:space="0" w:color="auto"/>
              <w:right w:val="dotted" w:sz="4" w:space="0" w:color="auto"/>
            </w:tcBorders>
            <w:shd w:val="clear" w:color="auto" w:fill="auto"/>
            <w:vAlign w:val="center"/>
            <w:hideMark/>
          </w:tcPr>
          <w:p w14:paraId="57945F3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2" w:type="dxa"/>
            <w:tcBorders>
              <w:top w:val="nil"/>
              <w:left w:val="nil"/>
              <w:bottom w:val="single" w:sz="8" w:space="0" w:color="auto"/>
              <w:right w:val="dotted" w:sz="4" w:space="0" w:color="auto"/>
            </w:tcBorders>
            <w:shd w:val="clear" w:color="auto" w:fill="auto"/>
            <w:vAlign w:val="center"/>
            <w:hideMark/>
          </w:tcPr>
          <w:p w14:paraId="72152FD2"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31D874A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28" w:type="dxa"/>
            <w:tcBorders>
              <w:top w:val="nil"/>
              <w:left w:val="nil"/>
              <w:bottom w:val="single" w:sz="8" w:space="0" w:color="auto"/>
              <w:right w:val="dotted" w:sz="4" w:space="0" w:color="auto"/>
            </w:tcBorders>
            <w:shd w:val="clear" w:color="auto" w:fill="auto"/>
            <w:vAlign w:val="center"/>
            <w:hideMark/>
          </w:tcPr>
          <w:p w14:paraId="57FF7A0A"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7EF9AFE4"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639" w:type="dxa"/>
            <w:tcBorders>
              <w:top w:val="nil"/>
              <w:left w:val="nil"/>
              <w:bottom w:val="single" w:sz="8" w:space="0" w:color="auto"/>
              <w:right w:val="dotted" w:sz="4" w:space="0" w:color="auto"/>
            </w:tcBorders>
            <w:shd w:val="clear" w:color="auto" w:fill="auto"/>
            <w:vAlign w:val="center"/>
            <w:hideMark/>
          </w:tcPr>
          <w:p w14:paraId="4BDDAB00"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07" w:type="dxa"/>
            <w:tcBorders>
              <w:top w:val="nil"/>
              <w:left w:val="nil"/>
              <w:bottom w:val="single" w:sz="8" w:space="0" w:color="auto"/>
              <w:right w:val="dotted" w:sz="4" w:space="0" w:color="auto"/>
            </w:tcBorders>
            <w:shd w:val="clear" w:color="auto" w:fill="auto"/>
            <w:vAlign w:val="center"/>
            <w:hideMark/>
          </w:tcPr>
          <w:p w14:paraId="11F5EB81"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567" w:type="dxa"/>
            <w:tcBorders>
              <w:top w:val="nil"/>
              <w:left w:val="nil"/>
              <w:bottom w:val="single" w:sz="8" w:space="0" w:color="auto"/>
              <w:right w:val="dotted" w:sz="4" w:space="0" w:color="auto"/>
            </w:tcBorders>
            <w:shd w:val="clear" w:color="auto" w:fill="auto"/>
            <w:vAlign w:val="center"/>
            <w:hideMark/>
          </w:tcPr>
          <w:p w14:paraId="225878CD"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N/A</w:t>
            </w:r>
          </w:p>
        </w:tc>
        <w:tc>
          <w:tcPr>
            <w:tcW w:w="709" w:type="dxa"/>
            <w:tcBorders>
              <w:top w:val="nil"/>
              <w:left w:val="nil"/>
              <w:bottom w:val="single" w:sz="8" w:space="0" w:color="auto"/>
              <w:right w:val="dotted" w:sz="4" w:space="0" w:color="auto"/>
            </w:tcBorders>
            <w:shd w:val="clear" w:color="auto" w:fill="auto"/>
            <w:vAlign w:val="center"/>
            <w:hideMark/>
          </w:tcPr>
          <w:p w14:paraId="371F0825" w14:textId="77777777" w:rsidR="007803AE" w:rsidRPr="00E21C60" w:rsidRDefault="007803AE">
            <w:pPr>
              <w:jc w:val="center"/>
              <w:rPr>
                <w:rFonts w:ascii="Arial" w:hAnsi="Arial" w:cs="Arial"/>
                <w:color w:val="000000"/>
                <w:sz w:val="16"/>
                <w:szCs w:val="16"/>
              </w:rPr>
            </w:pPr>
            <w:r w:rsidRPr="00E21C60">
              <w:rPr>
                <w:rFonts w:ascii="Arial" w:hAnsi="Arial" w:cs="Arial"/>
                <w:color w:val="000000"/>
                <w:sz w:val="16"/>
                <w:szCs w:val="16"/>
              </w:rPr>
              <w:t>0</w:t>
            </w:r>
          </w:p>
        </w:tc>
        <w:tc>
          <w:tcPr>
            <w:tcW w:w="850" w:type="dxa"/>
            <w:vMerge/>
            <w:tcBorders>
              <w:top w:val="nil"/>
              <w:left w:val="dotted" w:sz="4" w:space="0" w:color="auto"/>
              <w:bottom w:val="single" w:sz="8" w:space="0" w:color="000000"/>
              <w:right w:val="single" w:sz="8" w:space="0" w:color="auto"/>
            </w:tcBorders>
            <w:vAlign w:val="center"/>
            <w:hideMark/>
          </w:tcPr>
          <w:p w14:paraId="3C884BB5" w14:textId="77777777" w:rsidR="007803AE" w:rsidRPr="00E21C60" w:rsidRDefault="007803AE">
            <w:pPr>
              <w:rPr>
                <w:rFonts w:ascii="Arial" w:hAnsi="Arial" w:cs="Arial"/>
                <w:color w:val="000000"/>
                <w:sz w:val="16"/>
                <w:szCs w:val="16"/>
              </w:rPr>
            </w:pPr>
          </w:p>
        </w:tc>
      </w:tr>
    </w:tbl>
    <w:p w14:paraId="02D8B2B5" w14:textId="77777777" w:rsidR="00FF5344" w:rsidRPr="00123376" w:rsidRDefault="00000CC9" w:rsidP="00123376">
      <w:pPr>
        <w:jc w:val="both"/>
        <w:rPr>
          <w:rFonts w:ascii="Arial" w:hAnsi="Arial" w:cs="Arial"/>
          <w:sz w:val="16"/>
          <w:szCs w:val="16"/>
          <w:lang w:eastAsia="cs-CZ"/>
        </w:rPr>
      </w:pPr>
      <w:r w:rsidRPr="00123376">
        <w:rPr>
          <w:rFonts w:ascii="Arial" w:hAnsi="Arial" w:cs="Arial"/>
          <w:sz w:val="16"/>
          <w:szCs w:val="16"/>
          <w:lang w:eastAsia="cs-CZ"/>
        </w:rPr>
        <w:t>Zdroj: RO, ITMS</w:t>
      </w:r>
    </w:p>
    <w:tbl>
      <w:tblPr>
        <w:tblW w:w="0" w:type="auto"/>
        <w:tblCellMar>
          <w:left w:w="0" w:type="dxa"/>
          <w:right w:w="0" w:type="dxa"/>
        </w:tblCellMar>
        <w:tblLook w:val="0000" w:firstRow="0" w:lastRow="0" w:firstColumn="0" w:lastColumn="0" w:noHBand="0" w:noVBand="0"/>
      </w:tblPr>
      <w:tblGrid>
        <w:gridCol w:w="9100"/>
      </w:tblGrid>
      <w:tr w:rsidR="001362DC" w:rsidRPr="00E21C60" w14:paraId="6481B3BB" w14:textId="77777777" w:rsidTr="000A5C0F">
        <w:trPr>
          <w:trHeight w:val="450"/>
        </w:trPr>
        <w:tc>
          <w:tcPr>
            <w:tcW w:w="0" w:type="auto"/>
            <w:tcMar>
              <w:top w:w="15" w:type="dxa"/>
              <w:left w:w="15" w:type="dxa"/>
              <w:bottom w:w="0" w:type="dxa"/>
              <w:right w:w="15" w:type="dxa"/>
            </w:tcMar>
            <w:vAlign w:val="center"/>
          </w:tcPr>
          <w:p w14:paraId="4E4C69BF" w14:textId="77777777" w:rsidR="001362DC" w:rsidRPr="00E21C60" w:rsidRDefault="001362DC" w:rsidP="0002711C">
            <w:pPr>
              <w:jc w:val="both"/>
              <w:rPr>
                <w:rFonts w:ascii="Arial" w:hAnsi="Arial" w:cs="Arial"/>
                <w:i/>
                <w:iCs/>
                <w:sz w:val="16"/>
                <w:szCs w:val="16"/>
              </w:rPr>
            </w:pPr>
            <w:r w:rsidRPr="00E21C60">
              <w:rPr>
                <w:rFonts w:ascii="Arial" w:hAnsi="Arial" w:cs="Arial"/>
                <w:i/>
                <w:iCs/>
                <w:sz w:val="16"/>
                <w:szCs w:val="16"/>
              </w:rPr>
              <w:t>Uvedené hodnoty ukazovateľov vrátane východiskových a cieľových sú vykazované len pre projekty OP ŽP s relevanciou k HP TUR.</w:t>
            </w:r>
            <w:r w:rsidR="00F8725C" w:rsidRPr="00E21C60">
              <w:rPr>
                <w:rFonts w:ascii="Arial" w:hAnsi="Arial" w:cs="Arial"/>
                <w:i/>
                <w:iCs/>
                <w:sz w:val="16"/>
                <w:szCs w:val="16"/>
              </w:rPr>
              <w:t xml:space="preserve"> </w:t>
            </w:r>
            <w:r w:rsidRPr="00E21C60">
              <w:rPr>
                <w:rFonts w:ascii="Arial" w:hAnsi="Arial" w:cs="Arial"/>
                <w:i/>
                <w:iCs/>
                <w:sz w:val="16"/>
                <w:szCs w:val="16"/>
              </w:rPr>
              <w:t xml:space="preserve">V prípade, že hodnoty „dosiahnutý výsledok“ vyššie uvedených ukazovateľov sú menšie než hodnoty ukazovateľov, ktoré sa vykazujú na úrovni OP ŽP, je to z dôvodu, že v prípade vyššie uvedených ukazovateľov </w:t>
            </w:r>
            <w:r w:rsidR="0002711C">
              <w:rPr>
                <w:rFonts w:ascii="Arial" w:hAnsi="Arial" w:cs="Arial"/>
                <w:i/>
                <w:iCs/>
                <w:sz w:val="16"/>
                <w:szCs w:val="16"/>
              </w:rPr>
              <w:t>ide</w:t>
            </w:r>
            <w:r w:rsidRPr="00E21C60">
              <w:rPr>
                <w:rFonts w:ascii="Arial" w:hAnsi="Arial" w:cs="Arial"/>
                <w:i/>
                <w:iCs/>
                <w:sz w:val="16"/>
                <w:szCs w:val="16"/>
              </w:rPr>
              <w:t xml:space="preserve"> o hodnoty len tých projektov, ktoré si vykázali relevanciu k HP TUR.</w:t>
            </w:r>
          </w:p>
        </w:tc>
      </w:tr>
      <w:tr w:rsidR="001362DC" w:rsidRPr="00E21C60" w14:paraId="4513C955" w14:textId="77777777" w:rsidTr="000A5C0F">
        <w:trPr>
          <w:trHeight w:val="450"/>
        </w:trPr>
        <w:tc>
          <w:tcPr>
            <w:tcW w:w="0" w:type="auto"/>
            <w:tcMar>
              <w:top w:w="15" w:type="dxa"/>
              <w:left w:w="15" w:type="dxa"/>
              <w:bottom w:w="0" w:type="dxa"/>
              <w:right w:w="15" w:type="dxa"/>
            </w:tcMar>
            <w:vAlign w:val="center"/>
          </w:tcPr>
          <w:p w14:paraId="5ED8FAA1" w14:textId="77777777" w:rsidR="001362DC" w:rsidRPr="00E21C60" w:rsidRDefault="001362DC" w:rsidP="00123376">
            <w:pPr>
              <w:jc w:val="both"/>
              <w:rPr>
                <w:rFonts w:ascii="Arial" w:hAnsi="Arial" w:cs="Arial"/>
                <w:i/>
                <w:iCs/>
                <w:sz w:val="16"/>
                <w:szCs w:val="16"/>
              </w:rPr>
            </w:pPr>
            <w:r w:rsidRPr="00E21C60">
              <w:rPr>
                <w:rFonts w:ascii="Arial" w:hAnsi="Arial" w:cs="Arial"/>
                <w:i/>
                <w:iCs/>
                <w:sz w:val="16"/>
                <w:szCs w:val="16"/>
              </w:rPr>
              <w:t>1- Cieľová hodnota zadefinovaná pre všetky prioritné osi operačného programu SPOLU pre ukazovatele: zateplená plocha, ročné úspory energie realizovaním projektu/úspora energie a zvýšený inštalovaný výkon zariadenia zodpovedajúci obnoviteľným zdrojom energie</w:t>
            </w:r>
          </w:p>
        </w:tc>
      </w:tr>
      <w:tr w:rsidR="001362DC" w:rsidRPr="00E21C60" w14:paraId="0BE57334" w14:textId="77777777" w:rsidTr="00123376">
        <w:trPr>
          <w:trHeight w:val="136"/>
        </w:trPr>
        <w:tc>
          <w:tcPr>
            <w:tcW w:w="0" w:type="auto"/>
            <w:tcMar>
              <w:top w:w="15" w:type="dxa"/>
              <w:left w:w="15" w:type="dxa"/>
              <w:bottom w:w="0" w:type="dxa"/>
              <w:right w:w="15" w:type="dxa"/>
            </w:tcMar>
            <w:vAlign w:val="center"/>
          </w:tcPr>
          <w:p w14:paraId="231F895D" w14:textId="25824C8F" w:rsidR="001362DC" w:rsidRPr="00E21C60" w:rsidRDefault="001362DC" w:rsidP="00185698">
            <w:pPr>
              <w:jc w:val="both"/>
              <w:rPr>
                <w:rFonts w:ascii="Arial" w:hAnsi="Arial" w:cs="Arial"/>
                <w:i/>
                <w:iCs/>
                <w:sz w:val="16"/>
                <w:szCs w:val="16"/>
              </w:rPr>
            </w:pPr>
            <w:r w:rsidRPr="00E21C60">
              <w:rPr>
                <w:rFonts w:ascii="Arial" w:hAnsi="Arial" w:cs="Arial"/>
                <w:sz w:val="16"/>
                <w:szCs w:val="16"/>
                <w:vertAlign w:val="superscript"/>
              </w:rPr>
              <w:t>2</w:t>
            </w:r>
            <w:r w:rsidRPr="00E21C60">
              <w:rPr>
                <w:rFonts w:ascii="Arial" w:hAnsi="Arial" w:cs="Arial"/>
                <w:sz w:val="16"/>
                <w:szCs w:val="16"/>
              </w:rPr>
              <w:t xml:space="preserve"> - </w:t>
            </w:r>
            <w:r w:rsidRPr="00E21C60">
              <w:rPr>
                <w:rFonts w:ascii="Arial" w:hAnsi="Arial" w:cs="Arial"/>
                <w:i/>
                <w:iCs/>
                <w:sz w:val="16"/>
                <w:szCs w:val="16"/>
              </w:rPr>
              <w:t>Údaj obsahuje deklarovanú cieľovú hodnotu projektov v zmysle zmluvy o NFP k 31.1</w:t>
            </w:r>
            <w:r w:rsidR="00185698">
              <w:rPr>
                <w:rFonts w:ascii="Arial" w:hAnsi="Arial" w:cs="Arial"/>
                <w:i/>
                <w:iCs/>
                <w:sz w:val="16"/>
                <w:szCs w:val="16"/>
              </w:rPr>
              <w:t>0</w:t>
            </w:r>
            <w:r w:rsidRPr="00E21C60">
              <w:rPr>
                <w:rFonts w:ascii="Arial" w:hAnsi="Arial" w:cs="Arial"/>
                <w:i/>
                <w:iCs/>
                <w:sz w:val="16"/>
                <w:szCs w:val="16"/>
              </w:rPr>
              <w:t>.</w:t>
            </w:r>
            <w:r w:rsidR="004D5AB2" w:rsidRPr="00E21C60">
              <w:rPr>
                <w:rFonts w:ascii="Arial" w:hAnsi="Arial" w:cs="Arial"/>
                <w:i/>
                <w:iCs/>
                <w:sz w:val="16"/>
                <w:szCs w:val="16"/>
              </w:rPr>
              <w:t>201</w:t>
            </w:r>
            <w:r w:rsidR="00185698">
              <w:rPr>
                <w:rFonts w:ascii="Arial" w:hAnsi="Arial" w:cs="Arial"/>
                <w:i/>
                <w:iCs/>
                <w:sz w:val="16"/>
                <w:szCs w:val="16"/>
              </w:rPr>
              <w:t>6</w:t>
            </w:r>
            <w:r w:rsidRPr="00E21C60">
              <w:rPr>
                <w:rFonts w:ascii="Arial" w:hAnsi="Arial" w:cs="Arial"/>
                <w:i/>
                <w:iCs/>
                <w:sz w:val="16"/>
                <w:szCs w:val="16"/>
              </w:rPr>
              <w:t xml:space="preserve">. Hodnota ukazovateľa dopadu </w:t>
            </w:r>
            <w:r w:rsidRPr="00E21C60">
              <w:rPr>
                <w:rFonts w:ascii="Arial" w:hAnsi="Arial" w:cs="Arial"/>
                <w:i/>
                <w:iCs/>
                <w:sz w:val="16"/>
                <w:szCs w:val="16"/>
              </w:rPr>
              <w:lastRenderedPageBreak/>
              <w:t xml:space="preserve">na úrovni projektov sa vykazuje na základe následných monitorovacích správ, ktoré sú predkladané rok po skončení realizácie projektu. </w:t>
            </w:r>
            <w:r w:rsidR="002A361C" w:rsidRPr="00E21C60">
              <w:rPr>
                <w:rFonts w:ascii="Arial" w:hAnsi="Arial" w:cs="Arial"/>
                <w:i/>
                <w:sz w:val="16"/>
                <w:szCs w:val="16"/>
              </w:rPr>
              <w:t xml:space="preserve">Hodnota ukazovateľa výsledku na úrovni projektov sa vykazuje na základe záverečných monitorovacích správ, ktoré sú predkladané po skončení realizácie projektu. </w:t>
            </w:r>
            <w:r w:rsidRPr="00E21C60">
              <w:rPr>
                <w:rFonts w:ascii="Arial" w:hAnsi="Arial" w:cs="Arial"/>
                <w:i/>
                <w:iCs/>
                <w:sz w:val="16"/>
                <w:szCs w:val="16"/>
              </w:rPr>
              <w:t xml:space="preserve">V súčasnosti prebieha realizácia projektov. </w:t>
            </w:r>
          </w:p>
        </w:tc>
      </w:tr>
    </w:tbl>
    <w:p w14:paraId="7C815120" w14:textId="45D6C3AD" w:rsidR="001362DC" w:rsidRPr="00E21C60" w:rsidRDefault="001362DC" w:rsidP="00510690">
      <w:pPr>
        <w:spacing w:before="120" w:after="120"/>
        <w:jc w:val="both"/>
        <w:rPr>
          <w:rFonts w:ascii="Arial" w:hAnsi="Arial" w:cs="Arial"/>
          <w:sz w:val="20"/>
          <w:szCs w:val="20"/>
          <w:lang w:eastAsia="cs-CZ"/>
        </w:rPr>
      </w:pPr>
      <w:r w:rsidRPr="00E21C60">
        <w:rPr>
          <w:rFonts w:ascii="Arial" w:hAnsi="Arial" w:cs="Arial"/>
          <w:bCs/>
          <w:sz w:val="20"/>
          <w:szCs w:val="20"/>
          <w:lang w:eastAsia="cs-CZ"/>
        </w:rPr>
        <w:lastRenderedPageBreak/>
        <w:t xml:space="preserve">Prioritná os </w:t>
      </w:r>
      <w:r w:rsidRPr="00E21C60">
        <w:rPr>
          <w:rFonts w:ascii="Arial" w:hAnsi="Arial" w:cs="Arial"/>
          <w:sz w:val="20"/>
          <w:szCs w:val="20"/>
          <w:lang w:eastAsia="cs-CZ"/>
        </w:rPr>
        <w:t>1 Integrovaná ochrana a racionálne využívanie vôd prispieva</w:t>
      </w:r>
      <w:r w:rsidR="00BA74EC">
        <w:rPr>
          <w:rFonts w:ascii="Arial" w:hAnsi="Arial" w:cs="Arial"/>
          <w:sz w:val="20"/>
          <w:szCs w:val="20"/>
          <w:lang w:eastAsia="cs-CZ"/>
        </w:rPr>
        <w:t>la</w:t>
      </w:r>
      <w:r w:rsidRPr="00E21C60">
        <w:rPr>
          <w:rFonts w:ascii="Arial" w:hAnsi="Arial" w:cs="Arial"/>
          <w:sz w:val="20"/>
          <w:szCs w:val="20"/>
          <w:lang w:eastAsia="cs-CZ"/>
        </w:rPr>
        <w:t xml:space="preserve"> – podobne ako všetky ďalšie prioritné osi OP ŽP – k plneniu špecifického cieľa 2. Zvýšenie kvality životného prostredia, predovšetkým k zníženiu znečisťovania povrchových a podzemných vôd. Veľmi významný </w:t>
      </w:r>
      <w:r w:rsidR="00BA74EC">
        <w:rPr>
          <w:rFonts w:ascii="Arial" w:hAnsi="Arial" w:cs="Arial"/>
          <w:sz w:val="20"/>
          <w:szCs w:val="20"/>
          <w:lang w:eastAsia="cs-CZ"/>
        </w:rPr>
        <w:t>bol</w:t>
      </w:r>
      <w:r w:rsidRPr="00E21C60">
        <w:rPr>
          <w:rFonts w:ascii="Arial" w:hAnsi="Arial" w:cs="Arial"/>
          <w:sz w:val="20"/>
          <w:szCs w:val="20"/>
          <w:lang w:eastAsia="cs-CZ"/>
        </w:rPr>
        <w:t xml:space="preserve"> z tohto hľadiska najmä prínos aktivít v oblasti odvádzania a čistenia komunálnych odpadových vôd v súlade s požiadavkami vyplývajúcimi z legislatívy EÚ a s tým súvisiacimi záväzkami SR, týkajúcimi sa splnenia prechodných období na jej implementáciu tak, ako sú zakotvené v Zmluve o pristúpení k EÚ. Budovanie verejných kanalizácií a čistiarní odpadových vôd významnou mierou prispieva</w:t>
      </w:r>
      <w:r w:rsidR="00BA74EC">
        <w:rPr>
          <w:rFonts w:ascii="Arial" w:hAnsi="Arial" w:cs="Arial"/>
          <w:sz w:val="20"/>
          <w:szCs w:val="20"/>
          <w:lang w:eastAsia="cs-CZ"/>
        </w:rPr>
        <w:t>lo</w:t>
      </w:r>
      <w:r w:rsidRPr="00E21C60">
        <w:rPr>
          <w:rFonts w:ascii="Arial" w:hAnsi="Arial" w:cs="Arial"/>
          <w:sz w:val="20"/>
          <w:szCs w:val="20"/>
          <w:lang w:eastAsia="cs-CZ"/>
        </w:rPr>
        <w:t xml:space="preserve"> k zníženiu znečistenia vodných tokov, k zníženiu obsahu škodlivých látok v povrchových vodách a v konečnom dôsledku tiež zlepšeniu podmienok na zachovanie biodiverzity organizmov žijúcich vo vodnom prostredí. Aktivity v oblasti dobudovania a skvalitnenia stavu infraštruktúry v oblasti zásobovania obyvateľstva pitnou vodou, ako aj podpora monitorovania stavu povrchových a podzemných vôd prispieva</w:t>
      </w:r>
      <w:r w:rsidR="00C4015F">
        <w:rPr>
          <w:rFonts w:ascii="Arial" w:hAnsi="Arial" w:cs="Arial"/>
          <w:sz w:val="20"/>
          <w:szCs w:val="20"/>
          <w:lang w:eastAsia="cs-CZ"/>
        </w:rPr>
        <w:t>li</w:t>
      </w:r>
      <w:r w:rsidRPr="00E21C60">
        <w:rPr>
          <w:rFonts w:ascii="Arial" w:hAnsi="Arial" w:cs="Arial"/>
          <w:sz w:val="20"/>
          <w:szCs w:val="20"/>
          <w:lang w:eastAsia="cs-CZ"/>
        </w:rPr>
        <w:t xml:space="preserve"> k racionálnemu využívaniu vodných zdrojov, ktoré patrí medzi ďalšie čiastkové ciele v rámci špecifického cieľa HP TUR č. 2 Zvýšenie kvality životného prostredia.</w:t>
      </w:r>
    </w:p>
    <w:p w14:paraId="08124485" w14:textId="2C511D81" w:rsidR="001362DC" w:rsidRPr="00E21C60" w:rsidRDefault="001362DC" w:rsidP="00123376">
      <w:pPr>
        <w:spacing w:before="120" w:after="120"/>
        <w:jc w:val="both"/>
        <w:rPr>
          <w:rFonts w:ascii="Arial" w:hAnsi="Arial" w:cs="Arial"/>
          <w:sz w:val="20"/>
          <w:szCs w:val="20"/>
          <w:lang w:eastAsia="cs-CZ"/>
        </w:rPr>
      </w:pPr>
      <w:r w:rsidRPr="00E21C60">
        <w:rPr>
          <w:rFonts w:ascii="Arial" w:hAnsi="Arial" w:cs="Arial"/>
          <w:sz w:val="20"/>
          <w:szCs w:val="20"/>
          <w:lang w:eastAsia="cs-CZ"/>
        </w:rPr>
        <w:t xml:space="preserve">Ako už bolo zmienené v texte vyššie, aktivity v rámci </w:t>
      </w:r>
      <w:r w:rsidR="003E0C54">
        <w:rPr>
          <w:rFonts w:ascii="Arial" w:hAnsi="Arial" w:cs="Arial"/>
          <w:sz w:val="20"/>
          <w:szCs w:val="20"/>
          <w:lang w:eastAsia="cs-CZ"/>
        </w:rPr>
        <w:t>p</w:t>
      </w:r>
      <w:r w:rsidR="003E0C54" w:rsidRPr="00E21C60">
        <w:rPr>
          <w:rFonts w:ascii="Arial" w:hAnsi="Arial" w:cs="Arial"/>
          <w:sz w:val="20"/>
          <w:szCs w:val="20"/>
          <w:lang w:eastAsia="cs-CZ"/>
        </w:rPr>
        <w:t xml:space="preserve">rioritnej </w:t>
      </w:r>
      <w:r w:rsidRPr="00E21C60">
        <w:rPr>
          <w:rFonts w:ascii="Arial" w:hAnsi="Arial" w:cs="Arial"/>
          <w:sz w:val="20"/>
          <w:szCs w:val="20"/>
          <w:lang w:eastAsia="cs-CZ"/>
        </w:rPr>
        <w:t xml:space="preserve">osi 1 Integrovaná ochrana a racionálne využívanie vôd, zamerané na zásobovanie obyvateľstva pitnou vodou z verejných vodovodov, odvádzanie a čistenie komunálnych odpadových vôd, ale aj na zabezpečenie primeraného sledovania a hodnotenia stavu povrchových a podzemných vôd zároveň </w:t>
      </w:r>
      <w:r w:rsidR="00C4015F" w:rsidRPr="00E21C60">
        <w:rPr>
          <w:rFonts w:ascii="Arial" w:hAnsi="Arial" w:cs="Arial"/>
          <w:sz w:val="20"/>
          <w:szCs w:val="20"/>
          <w:lang w:eastAsia="cs-CZ"/>
        </w:rPr>
        <w:t>prispiev</w:t>
      </w:r>
      <w:r w:rsidR="00C4015F">
        <w:rPr>
          <w:rFonts w:ascii="Arial" w:hAnsi="Arial" w:cs="Arial"/>
          <w:sz w:val="20"/>
          <w:szCs w:val="20"/>
          <w:lang w:eastAsia="cs-CZ"/>
        </w:rPr>
        <w:t>alo</w:t>
      </w:r>
      <w:r w:rsidR="00C4015F" w:rsidRPr="00E21C60">
        <w:rPr>
          <w:rFonts w:ascii="Arial" w:hAnsi="Arial" w:cs="Arial"/>
          <w:sz w:val="20"/>
          <w:szCs w:val="20"/>
          <w:lang w:eastAsia="cs-CZ"/>
        </w:rPr>
        <w:t xml:space="preserve"> </w:t>
      </w:r>
      <w:r w:rsidRPr="00E21C60">
        <w:rPr>
          <w:rFonts w:ascii="Arial" w:hAnsi="Arial" w:cs="Arial"/>
          <w:sz w:val="20"/>
          <w:szCs w:val="20"/>
          <w:lang w:eastAsia="cs-CZ"/>
        </w:rPr>
        <w:t xml:space="preserve">k zabezpečeniu ochrany zdravia obyvateľstva, čo </w:t>
      </w:r>
      <w:r w:rsidR="00C4015F">
        <w:rPr>
          <w:rFonts w:ascii="Arial" w:hAnsi="Arial" w:cs="Arial"/>
          <w:sz w:val="20"/>
          <w:szCs w:val="20"/>
          <w:lang w:eastAsia="cs-CZ"/>
        </w:rPr>
        <w:t>bolo</w:t>
      </w:r>
      <w:r w:rsidR="00C4015F" w:rsidRPr="00E21C60">
        <w:rPr>
          <w:rFonts w:ascii="Arial" w:hAnsi="Arial" w:cs="Arial"/>
          <w:sz w:val="20"/>
          <w:szCs w:val="20"/>
          <w:lang w:eastAsia="cs-CZ"/>
        </w:rPr>
        <w:t xml:space="preserve"> </w:t>
      </w:r>
      <w:r w:rsidRPr="00E21C60">
        <w:rPr>
          <w:rFonts w:ascii="Arial" w:hAnsi="Arial" w:cs="Arial"/>
          <w:sz w:val="20"/>
          <w:szCs w:val="20"/>
          <w:lang w:eastAsia="cs-CZ"/>
        </w:rPr>
        <w:t>jedným z čiastkových cieľov v rámci špecifického cieľa HP TUR č. 3 Sociálna solidarita a inklúzia. Zlepšenie vybavenosti územia infraštruktúrou verejných vodovodov s kanalizácií m</w:t>
      </w:r>
      <w:r w:rsidR="00210D31">
        <w:rPr>
          <w:rFonts w:ascii="Arial" w:hAnsi="Arial" w:cs="Arial"/>
          <w:sz w:val="20"/>
          <w:szCs w:val="20"/>
          <w:lang w:eastAsia="cs-CZ"/>
        </w:rPr>
        <w:t>alo</w:t>
      </w:r>
      <w:r w:rsidRPr="00E21C60">
        <w:rPr>
          <w:rFonts w:ascii="Arial" w:hAnsi="Arial" w:cs="Arial"/>
          <w:sz w:val="20"/>
          <w:szCs w:val="20"/>
          <w:lang w:eastAsia="cs-CZ"/>
        </w:rPr>
        <w:t xml:space="preserve"> taktiež priaznivý dopad na zlepšenie posilnenia znevýhodnených a marginalizovaných skupín obyvateľstva žijúcich na danom území.</w:t>
      </w:r>
    </w:p>
    <w:p w14:paraId="3FDB5A97" w14:textId="09A65587" w:rsidR="001362DC" w:rsidRPr="00E21C60" w:rsidRDefault="001362DC" w:rsidP="00123376">
      <w:pPr>
        <w:spacing w:before="120" w:after="120"/>
        <w:jc w:val="both"/>
        <w:rPr>
          <w:rFonts w:ascii="Arial" w:hAnsi="Arial" w:cs="Arial"/>
          <w:sz w:val="20"/>
          <w:szCs w:val="20"/>
          <w:lang w:eastAsia="cs-CZ"/>
        </w:rPr>
      </w:pPr>
      <w:r w:rsidRPr="00E21C60">
        <w:rPr>
          <w:rFonts w:ascii="Arial" w:hAnsi="Arial" w:cs="Arial"/>
          <w:sz w:val="20"/>
          <w:szCs w:val="20"/>
          <w:lang w:eastAsia="cs-CZ"/>
        </w:rPr>
        <w:t>Vybavenosť územia environmentálnou infraštruktúrou v oblasti zásobovania pitnou vodou a odvádzania odpadových vôd celkovo zvyš</w:t>
      </w:r>
      <w:r w:rsidR="00210D31">
        <w:rPr>
          <w:rFonts w:ascii="Arial" w:hAnsi="Arial" w:cs="Arial"/>
          <w:sz w:val="20"/>
          <w:szCs w:val="20"/>
          <w:lang w:eastAsia="cs-CZ"/>
        </w:rPr>
        <w:t>ovalo</w:t>
      </w:r>
      <w:r w:rsidRPr="00E21C60">
        <w:rPr>
          <w:rFonts w:ascii="Arial" w:hAnsi="Arial" w:cs="Arial"/>
          <w:sz w:val="20"/>
          <w:szCs w:val="20"/>
          <w:lang w:eastAsia="cs-CZ"/>
        </w:rPr>
        <w:t xml:space="preserve"> jeho atraktívnosť pre investorov, ako aj obyvateľstvo, zlepš</w:t>
      </w:r>
      <w:r w:rsidR="00210D31">
        <w:rPr>
          <w:rFonts w:ascii="Arial" w:hAnsi="Arial" w:cs="Arial"/>
          <w:sz w:val="20"/>
          <w:szCs w:val="20"/>
          <w:lang w:eastAsia="cs-CZ"/>
        </w:rPr>
        <w:t>ovalo</w:t>
      </w:r>
      <w:r w:rsidRPr="00E21C60">
        <w:rPr>
          <w:rFonts w:ascii="Arial" w:hAnsi="Arial" w:cs="Arial"/>
          <w:sz w:val="20"/>
          <w:szCs w:val="20"/>
          <w:lang w:eastAsia="cs-CZ"/>
        </w:rPr>
        <w:t xml:space="preserve"> podmienky života ľudí a vytvára priestor pre rozvoj podnikateľských aktivít. Tým prioritná os 1 Integrovaná ochrana a racionálne využívanie vôd prispieva</w:t>
      </w:r>
      <w:r w:rsidR="00210D31">
        <w:rPr>
          <w:rFonts w:ascii="Arial" w:hAnsi="Arial" w:cs="Arial"/>
          <w:sz w:val="20"/>
          <w:szCs w:val="20"/>
          <w:lang w:eastAsia="cs-CZ"/>
        </w:rPr>
        <w:t>la</w:t>
      </w:r>
      <w:r w:rsidRPr="00E21C60">
        <w:rPr>
          <w:rFonts w:ascii="Arial" w:hAnsi="Arial" w:cs="Arial"/>
          <w:sz w:val="20"/>
          <w:szCs w:val="20"/>
          <w:lang w:eastAsia="cs-CZ"/>
        </w:rPr>
        <w:t xml:space="preserve"> k posilneniu celkového ekonomického, sociálneho a kultúrneho potenciálu regiónov, a teda k napĺňaniu jedného z dôležitých čiastkových cieľov v rámci špecifického cieľa HP TUR č. 4 Vyrovnaný regionálny rozvoj.</w:t>
      </w:r>
    </w:p>
    <w:p w14:paraId="5D2F1624" w14:textId="16B3F43B" w:rsidR="001362DC" w:rsidRPr="00E21C60" w:rsidRDefault="001362DC" w:rsidP="00123376">
      <w:pPr>
        <w:spacing w:before="120" w:after="120"/>
        <w:jc w:val="both"/>
        <w:rPr>
          <w:rFonts w:ascii="Arial" w:hAnsi="Arial" w:cs="Arial"/>
          <w:sz w:val="20"/>
          <w:szCs w:val="20"/>
          <w:lang w:eastAsia="cs-CZ"/>
        </w:rPr>
      </w:pPr>
      <w:r w:rsidRPr="00E21C60">
        <w:rPr>
          <w:rFonts w:ascii="Arial" w:hAnsi="Arial" w:cs="Arial"/>
          <w:bCs/>
          <w:sz w:val="20"/>
          <w:szCs w:val="20"/>
          <w:lang w:eastAsia="cs-CZ"/>
        </w:rPr>
        <w:t>Prioritná os 2 Ochrana pred povodňami</w:t>
      </w:r>
      <w:r w:rsidRPr="00E21C60">
        <w:rPr>
          <w:rFonts w:ascii="Arial" w:hAnsi="Arial" w:cs="Arial"/>
          <w:sz w:val="20"/>
          <w:szCs w:val="20"/>
          <w:lang w:eastAsia="cs-CZ"/>
        </w:rPr>
        <w:t xml:space="preserve"> </w:t>
      </w:r>
      <w:r w:rsidR="00210D31">
        <w:rPr>
          <w:rFonts w:ascii="Arial" w:hAnsi="Arial" w:cs="Arial"/>
          <w:sz w:val="20"/>
          <w:szCs w:val="20"/>
          <w:lang w:eastAsia="cs-CZ"/>
        </w:rPr>
        <w:t>bola</w:t>
      </w:r>
      <w:r w:rsidR="00210D31" w:rsidRPr="00E21C60">
        <w:rPr>
          <w:rFonts w:ascii="Arial" w:hAnsi="Arial" w:cs="Arial"/>
          <w:sz w:val="20"/>
          <w:szCs w:val="20"/>
          <w:lang w:eastAsia="cs-CZ"/>
        </w:rPr>
        <w:t xml:space="preserve"> </w:t>
      </w:r>
      <w:r w:rsidRPr="00E21C60">
        <w:rPr>
          <w:rFonts w:ascii="Arial" w:hAnsi="Arial" w:cs="Arial"/>
          <w:sz w:val="20"/>
          <w:szCs w:val="20"/>
          <w:lang w:eastAsia="cs-CZ"/>
        </w:rPr>
        <w:t xml:space="preserve">zameraná predovšetkým na realizáciu preventívnych opatrení na ochranu pred povodňami s cieľom eliminovať alebo zmierniť škody na životnom prostredí, zdraví obyvateľstva, majetku občanov, štátu, verejných a podnikateľských subjektov, spôsobené povodňami. </w:t>
      </w:r>
      <w:r w:rsidR="00216DA9">
        <w:rPr>
          <w:rFonts w:ascii="Arial" w:hAnsi="Arial" w:cs="Arial"/>
          <w:sz w:val="20"/>
          <w:szCs w:val="20"/>
          <w:lang w:eastAsia="cs-CZ"/>
        </w:rPr>
        <w:t>P</w:t>
      </w:r>
      <w:r w:rsidR="00216DA9" w:rsidRPr="00E21C60">
        <w:rPr>
          <w:rFonts w:ascii="Arial" w:hAnsi="Arial" w:cs="Arial"/>
          <w:sz w:val="20"/>
          <w:szCs w:val="20"/>
          <w:lang w:eastAsia="cs-CZ"/>
        </w:rPr>
        <w:t xml:space="preserve">rioritná </w:t>
      </w:r>
      <w:r w:rsidRPr="00E21C60">
        <w:rPr>
          <w:rFonts w:ascii="Arial" w:hAnsi="Arial" w:cs="Arial"/>
          <w:sz w:val="20"/>
          <w:szCs w:val="20"/>
          <w:lang w:eastAsia="cs-CZ"/>
        </w:rPr>
        <w:t>os 2 preventívnym charakterom svojich opatrení prispieva</w:t>
      </w:r>
      <w:r w:rsidR="00216DA9">
        <w:rPr>
          <w:rFonts w:ascii="Arial" w:hAnsi="Arial" w:cs="Arial"/>
          <w:sz w:val="20"/>
          <w:szCs w:val="20"/>
          <w:lang w:eastAsia="cs-CZ"/>
        </w:rPr>
        <w:t>la</w:t>
      </w:r>
      <w:r w:rsidRPr="00E21C60">
        <w:rPr>
          <w:rFonts w:ascii="Arial" w:hAnsi="Arial" w:cs="Arial"/>
          <w:sz w:val="20"/>
          <w:szCs w:val="20"/>
          <w:lang w:eastAsia="cs-CZ"/>
        </w:rPr>
        <w:t xml:space="preserve"> k napĺňaniu špecifického cieľa HP TUR č. 2 Zvýšenie kvality životného prostredia a prostredníctvom predchádzania ohrozeniu ľudského zdravia a života v prípade povodní aj k zabezpečeniu ochrany zdravia obyvateľstva, čo </w:t>
      </w:r>
      <w:r w:rsidR="00216DA9">
        <w:rPr>
          <w:rFonts w:ascii="Arial" w:hAnsi="Arial" w:cs="Arial"/>
          <w:sz w:val="20"/>
          <w:szCs w:val="20"/>
          <w:lang w:eastAsia="cs-CZ"/>
        </w:rPr>
        <w:t>bol</w:t>
      </w:r>
      <w:r w:rsidRPr="00E21C60">
        <w:rPr>
          <w:rFonts w:ascii="Arial" w:hAnsi="Arial" w:cs="Arial"/>
          <w:sz w:val="20"/>
          <w:szCs w:val="20"/>
          <w:lang w:eastAsia="cs-CZ"/>
        </w:rPr>
        <w:t xml:space="preserve"> jedným z čiastkových cieľov v rámci špecifického cieľa HP TUR č. 3 Sociálna solidarita a inklúzia.  </w:t>
      </w:r>
    </w:p>
    <w:p w14:paraId="72714143" w14:textId="78FFE464" w:rsidR="001362DC" w:rsidRPr="00E21C60" w:rsidRDefault="001362DC" w:rsidP="00123376">
      <w:pPr>
        <w:spacing w:before="120" w:after="120"/>
        <w:jc w:val="both"/>
        <w:rPr>
          <w:rFonts w:ascii="Arial" w:hAnsi="Arial" w:cs="Arial"/>
          <w:sz w:val="20"/>
          <w:szCs w:val="20"/>
          <w:lang w:eastAsia="cs-CZ"/>
        </w:rPr>
      </w:pPr>
      <w:r w:rsidRPr="00E21C60">
        <w:rPr>
          <w:rFonts w:ascii="Arial" w:hAnsi="Arial" w:cs="Arial"/>
          <w:sz w:val="20"/>
          <w:szCs w:val="20"/>
          <w:lang w:eastAsia="cs-CZ"/>
        </w:rPr>
        <w:t>Príspevok prioritnej osi 3 Ochrana ovzdušia a minimalizácia nepriaznivých vplyvov zmeny klímy k napĺňaniu čiastkových cieľov HP TUR smer</w:t>
      </w:r>
      <w:r w:rsidR="00216DA9">
        <w:rPr>
          <w:rFonts w:ascii="Arial" w:hAnsi="Arial" w:cs="Arial"/>
          <w:sz w:val="20"/>
          <w:szCs w:val="20"/>
          <w:lang w:eastAsia="cs-CZ"/>
        </w:rPr>
        <w:t>ovala</w:t>
      </w:r>
      <w:r w:rsidRPr="00E21C60">
        <w:rPr>
          <w:rFonts w:ascii="Arial" w:hAnsi="Arial" w:cs="Arial"/>
          <w:sz w:val="20"/>
          <w:szCs w:val="20"/>
          <w:lang w:eastAsia="cs-CZ"/>
        </w:rPr>
        <w:t xml:space="preserve"> k podpore čiastkových cieľov v rámci špecifického cieľa HP TUR č. 1 Zvýšenie ekonomickej prosperity a špecifického cieľa HP TUR č. 2 Zvýšenie kvality životného prostredia. Vo vzťahu k špecifickému cieľu HP TUR č. 1 sa prioritná os č. 3 vyznač</w:t>
      </w:r>
      <w:r w:rsidR="00216DA9">
        <w:rPr>
          <w:rFonts w:ascii="Arial" w:hAnsi="Arial" w:cs="Arial"/>
          <w:sz w:val="20"/>
          <w:szCs w:val="20"/>
          <w:lang w:eastAsia="cs-CZ"/>
        </w:rPr>
        <w:t>ovala</w:t>
      </w:r>
      <w:r w:rsidRPr="00E21C60">
        <w:rPr>
          <w:rFonts w:ascii="Arial" w:hAnsi="Arial" w:cs="Arial"/>
          <w:sz w:val="20"/>
          <w:szCs w:val="20"/>
          <w:lang w:eastAsia="cs-CZ"/>
        </w:rPr>
        <w:t xml:space="preserve"> predovšetkým príspevkom k zvýšeniu využívania obnoviteľných zdrojov energie a znižovaniu energetickej náročnosti hospodárstva, ktorý sa dosah</w:t>
      </w:r>
      <w:r w:rsidR="00216DA9">
        <w:rPr>
          <w:rFonts w:ascii="Arial" w:hAnsi="Arial" w:cs="Arial"/>
          <w:sz w:val="20"/>
          <w:szCs w:val="20"/>
          <w:lang w:eastAsia="cs-CZ"/>
        </w:rPr>
        <w:t>oval</w:t>
      </w:r>
      <w:r w:rsidRPr="00E21C60">
        <w:rPr>
          <w:rFonts w:ascii="Arial" w:hAnsi="Arial" w:cs="Arial"/>
          <w:sz w:val="20"/>
          <w:szCs w:val="20"/>
          <w:lang w:eastAsia="cs-CZ"/>
        </w:rPr>
        <w:t xml:space="preserve"> podporou aktivít zameraných na znižovanie emisií skleníkových plynov spolu so znižovaním emisií základných znečisťujúcich látok najmä v oblasti výroby tepla prostredníctvom zmeny palivovej základne energetických zdrojov v prospech využívania </w:t>
      </w:r>
      <w:r w:rsidR="00B575AD">
        <w:rPr>
          <w:rFonts w:ascii="Arial" w:hAnsi="Arial" w:cs="Arial"/>
          <w:iCs/>
          <w:sz w:val="20"/>
          <w:szCs w:val="20"/>
          <w:lang w:eastAsia="en-US"/>
        </w:rPr>
        <w:t>OZE</w:t>
      </w:r>
      <w:r w:rsidRPr="00E21C60">
        <w:rPr>
          <w:rFonts w:ascii="Arial" w:hAnsi="Arial" w:cs="Arial"/>
          <w:sz w:val="20"/>
          <w:szCs w:val="20"/>
          <w:lang w:eastAsia="cs-CZ"/>
        </w:rPr>
        <w:t>.</w:t>
      </w:r>
    </w:p>
    <w:p w14:paraId="7DE18D8A" w14:textId="20FDC518" w:rsidR="001362DC" w:rsidRPr="00E21C60" w:rsidRDefault="001362DC" w:rsidP="00123376">
      <w:pPr>
        <w:spacing w:before="120" w:after="120"/>
        <w:jc w:val="both"/>
        <w:rPr>
          <w:rFonts w:ascii="Arial" w:hAnsi="Arial" w:cs="Arial"/>
          <w:sz w:val="20"/>
          <w:szCs w:val="20"/>
          <w:lang w:eastAsia="cs-CZ"/>
        </w:rPr>
      </w:pPr>
      <w:r w:rsidRPr="00E21C60">
        <w:rPr>
          <w:rFonts w:ascii="Arial" w:hAnsi="Arial" w:cs="Arial"/>
          <w:sz w:val="20"/>
          <w:szCs w:val="20"/>
          <w:lang w:eastAsia="cs-CZ"/>
        </w:rPr>
        <w:t>Všetky aktivity podporované v rámci prioritnej osi 3, či už i</w:t>
      </w:r>
      <w:r w:rsidR="00865063">
        <w:rPr>
          <w:rFonts w:ascii="Arial" w:hAnsi="Arial" w:cs="Arial"/>
          <w:sz w:val="20"/>
          <w:szCs w:val="20"/>
          <w:lang w:eastAsia="cs-CZ"/>
        </w:rPr>
        <w:t>šlo</w:t>
      </w:r>
      <w:r w:rsidRPr="00E21C60">
        <w:rPr>
          <w:rFonts w:ascii="Arial" w:hAnsi="Arial" w:cs="Arial"/>
          <w:sz w:val="20"/>
          <w:szCs w:val="20"/>
          <w:lang w:eastAsia="cs-CZ"/>
        </w:rPr>
        <w:t xml:space="preserve"> o opatrenia na zdrojoch znečisťovania ovzdušia (inštalácia účinnejších odlučovacích zariadení, desulfurizačných zariadení atď., zmena surovinovej základne výroby s cieľom dosiahnuť nižší obsah/vznik emisií znečisťujúcich látok, zmena princípu technológie výroby, ktorej výsledkom je zníženie emisií), aktivity zamerané na znižovanie emisií znečisťujúcich látok z prostriedkov verejnej dopravy (plynofikácia autobusov, náhrada autobusov električkami alebo trolejbusmi prioritne v oblastiach vyžadujúcich osobitnú ochranu ovzdušia) alebo projekty zmeny palivovej základne energetických zdrojov najmä v oblasti výroby tepla </w:t>
      </w:r>
      <w:r w:rsidRPr="00E21C60">
        <w:rPr>
          <w:rFonts w:ascii="Arial" w:hAnsi="Arial" w:cs="Arial"/>
          <w:sz w:val="20"/>
          <w:szCs w:val="20"/>
          <w:lang w:eastAsia="cs-CZ"/>
        </w:rPr>
        <w:lastRenderedPageBreak/>
        <w:t xml:space="preserve">v prospech využívania nízko emisných alebo </w:t>
      </w:r>
      <w:r w:rsidR="00B575AD">
        <w:rPr>
          <w:rFonts w:ascii="Arial" w:hAnsi="Arial" w:cs="Arial"/>
          <w:iCs/>
          <w:sz w:val="20"/>
          <w:szCs w:val="20"/>
          <w:lang w:eastAsia="en-US"/>
        </w:rPr>
        <w:t>OZE</w:t>
      </w:r>
      <w:r w:rsidR="00B575AD" w:rsidRPr="00E21C60" w:rsidDel="00B575AD">
        <w:rPr>
          <w:rFonts w:ascii="Arial" w:hAnsi="Arial" w:cs="Arial"/>
          <w:sz w:val="20"/>
          <w:szCs w:val="20"/>
          <w:lang w:eastAsia="cs-CZ"/>
        </w:rPr>
        <w:t xml:space="preserve"> </w:t>
      </w:r>
      <w:r w:rsidRPr="00E21C60">
        <w:rPr>
          <w:rFonts w:ascii="Arial" w:hAnsi="Arial" w:cs="Arial"/>
          <w:sz w:val="20"/>
          <w:szCs w:val="20"/>
          <w:lang w:eastAsia="cs-CZ"/>
        </w:rPr>
        <w:t>významnou mierou prispieva</w:t>
      </w:r>
      <w:r w:rsidR="00865063">
        <w:rPr>
          <w:rFonts w:ascii="Arial" w:hAnsi="Arial" w:cs="Arial"/>
          <w:sz w:val="20"/>
          <w:szCs w:val="20"/>
          <w:lang w:eastAsia="cs-CZ"/>
        </w:rPr>
        <w:t>li</w:t>
      </w:r>
      <w:r w:rsidRPr="00E21C60">
        <w:rPr>
          <w:rFonts w:ascii="Arial" w:hAnsi="Arial" w:cs="Arial"/>
          <w:sz w:val="20"/>
          <w:szCs w:val="20"/>
          <w:lang w:eastAsia="cs-CZ"/>
        </w:rPr>
        <w:t xml:space="preserve"> k napĺňaniu špecifického cieľa HP TUR č. 2 Zvýšenie kvality životného prostredia, konkrétne k zlepšeniu kvality ovzdušia a zmierneniu dôsledkov zmeny klímy. Problematika zlepšenia kvality ovzdušia a predchádzania nepriaznivým dôsledkom klimatických zmien je zároveň jednou z prioritných oblastí kohéznej a environmentálnej politiky EÚ.</w:t>
      </w:r>
    </w:p>
    <w:p w14:paraId="50FFDE0B" w14:textId="182EE412" w:rsidR="001362DC" w:rsidRPr="00E21C60" w:rsidRDefault="001362DC" w:rsidP="00123376">
      <w:pPr>
        <w:spacing w:before="120" w:after="120"/>
        <w:jc w:val="both"/>
        <w:rPr>
          <w:rFonts w:ascii="Arial" w:hAnsi="Arial" w:cs="Arial"/>
          <w:sz w:val="20"/>
          <w:szCs w:val="20"/>
          <w:lang w:eastAsia="cs-CZ"/>
        </w:rPr>
      </w:pPr>
      <w:r w:rsidRPr="00E21C60">
        <w:rPr>
          <w:rFonts w:ascii="Arial" w:hAnsi="Arial" w:cs="Arial"/>
          <w:sz w:val="20"/>
          <w:szCs w:val="20"/>
          <w:lang w:eastAsia="cs-CZ"/>
        </w:rPr>
        <w:t xml:space="preserve">Aktivity podporované v rámci prioritnej osi 4 Odpadové hospodárstvo, najmä v oblasti </w:t>
      </w:r>
      <w:r w:rsidR="00F67DF1">
        <w:rPr>
          <w:rFonts w:ascii="Arial" w:hAnsi="Arial" w:cs="Arial"/>
          <w:sz w:val="20"/>
          <w:szCs w:val="20"/>
          <w:lang w:eastAsia="cs-CZ"/>
        </w:rPr>
        <w:t>triedeného</w:t>
      </w:r>
      <w:r w:rsidRPr="00E21C60">
        <w:rPr>
          <w:rFonts w:ascii="Arial" w:hAnsi="Arial" w:cs="Arial"/>
          <w:sz w:val="20"/>
          <w:szCs w:val="20"/>
          <w:lang w:eastAsia="cs-CZ"/>
        </w:rPr>
        <w:t xml:space="preserve"> zberu odpadov, zhodnocovania odpadov (ich recykláciou a materiálovým a energetickým využitím) </w:t>
      </w:r>
      <w:r w:rsidR="00475DC8" w:rsidRPr="00E21C60">
        <w:rPr>
          <w:rFonts w:ascii="Arial" w:hAnsi="Arial" w:cs="Arial"/>
          <w:sz w:val="20"/>
          <w:szCs w:val="20"/>
          <w:lang w:eastAsia="cs-CZ"/>
        </w:rPr>
        <w:t>ma</w:t>
      </w:r>
      <w:r w:rsidR="00475DC8">
        <w:rPr>
          <w:rFonts w:ascii="Arial" w:hAnsi="Arial" w:cs="Arial"/>
          <w:sz w:val="20"/>
          <w:szCs w:val="20"/>
          <w:lang w:eastAsia="cs-CZ"/>
        </w:rPr>
        <w:t>li</w:t>
      </w:r>
      <w:r w:rsidR="00475DC8" w:rsidRPr="00E21C60">
        <w:rPr>
          <w:rFonts w:ascii="Arial" w:hAnsi="Arial" w:cs="Arial"/>
          <w:sz w:val="20"/>
          <w:szCs w:val="20"/>
          <w:lang w:eastAsia="cs-CZ"/>
        </w:rPr>
        <w:t xml:space="preserve"> </w:t>
      </w:r>
      <w:r w:rsidRPr="00E21C60">
        <w:rPr>
          <w:rFonts w:ascii="Arial" w:hAnsi="Arial" w:cs="Arial"/>
          <w:sz w:val="20"/>
          <w:szCs w:val="20"/>
          <w:lang w:eastAsia="cs-CZ"/>
        </w:rPr>
        <w:t xml:space="preserve">pozitívne environmentálne a ekonomické efekty. Z environmentálneho hľadiska </w:t>
      </w:r>
      <w:r w:rsidR="00475DC8" w:rsidRPr="00E21C60">
        <w:rPr>
          <w:rFonts w:ascii="Arial" w:hAnsi="Arial" w:cs="Arial"/>
          <w:sz w:val="20"/>
          <w:szCs w:val="20"/>
          <w:lang w:eastAsia="cs-CZ"/>
        </w:rPr>
        <w:t>prispieva</w:t>
      </w:r>
      <w:r w:rsidR="00475DC8">
        <w:rPr>
          <w:rFonts w:ascii="Arial" w:hAnsi="Arial" w:cs="Arial"/>
          <w:sz w:val="20"/>
          <w:szCs w:val="20"/>
          <w:lang w:eastAsia="cs-CZ"/>
        </w:rPr>
        <w:t>li</w:t>
      </w:r>
      <w:r w:rsidR="00475DC8" w:rsidRPr="00E21C60">
        <w:rPr>
          <w:rFonts w:ascii="Arial" w:hAnsi="Arial" w:cs="Arial"/>
          <w:sz w:val="20"/>
          <w:szCs w:val="20"/>
          <w:lang w:eastAsia="cs-CZ"/>
        </w:rPr>
        <w:t xml:space="preserve"> </w:t>
      </w:r>
      <w:r w:rsidRPr="00E21C60">
        <w:rPr>
          <w:rFonts w:ascii="Arial" w:hAnsi="Arial" w:cs="Arial"/>
          <w:sz w:val="20"/>
          <w:szCs w:val="20"/>
          <w:lang w:eastAsia="cs-CZ"/>
        </w:rPr>
        <w:t xml:space="preserve">k racionálnemu využívaniu prírodných zdrojov, čo </w:t>
      </w:r>
      <w:r w:rsidR="00475DC8">
        <w:rPr>
          <w:rFonts w:ascii="Arial" w:hAnsi="Arial" w:cs="Arial"/>
          <w:sz w:val="20"/>
          <w:szCs w:val="20"/>
          <w:lang w:eastAsia="cs-CZ"/>
        </w:rPr>
        <w:t>bol</w:t>
      </w:r>
      <w:r w:rsidRPr="00E21C60">
        <w:rPr>
          <w:rFonts w:ascii="Arial" w:hAnsi="Arial" w:cs="Arial"/>
          <w:sz w:val="20"/>
          <w:szCs w:val="20"/>
          <w:lang w:eastAsia="cs-CZ"/>
        </w:rPr>
        <w:t xml:space="preserve"> jeden z dôležitých čiastkových cieľov v rámci špecifického cieľa HP TUR č. 2 Zvýšenie kvality životného prostredia. K napĺňaniu uvedeného špecifického cieľa HP TUR, konkrétne čiastkového cieľa zníženie znečisťovania zložiek životného prostredia prispieva</w:t>
      </w:r>
      <w:r w:rsidR="00475DC8">
        <w:rPr>
          <w:rFonts w:ascii="Arial" w:hAnsi="Arial" w:cs="Arial"/>
          <w:sz w:val="20"/>
          <w:szCs w:val="20"/>
          <w:lang w:eastAsia="cs-CZ"/>
        </w:rPr>
        <w:t>li</w:t>
      </w:r>
      <w:r w:rsidRPr="00E21C60">
        <w:rPr>
          <w:rFonts w:ascii="Arial" w:hAnsi="Arial" w:cs="Arial"/>
          <w:sz w:val="20"/>
          <w:szCs w:val="20"/>
          <w:lang w:eastAsia="cs-CZ"/>
        </w:rPr>
        <w:t xml:space="preserve"> tiež aktivity v oblasti uzatvárania a rekultivácie skládok odpadov. </w:t>
      </w:r>
    </w:p>
    <w:p w14:paraId="02F63008" w14:textId="136D7CE8" w:rsidR="001362DC" w:rsidRPr="00E21C60" w:rsidRDefault="001362DC" w:rsidP="00123376">
      <w:pPr>
        <w:spacing w:before="120" w:after="120"/>
        <w:jc w:val="both"/>
        <w:rPr>
          <w:rFonts w:ascii="Arial" w:hAnsi="Arial" w:cs="Arial"/>
          <w:sz w:val="20"/>
          <w:szCs w:val="20"/>
          <w:lang w:eastAsia="cs-CZ"/>
        </w:rPr>
      </w:pPr>
      <w:r w:rsidRPr="00E21C60">
        <w:rPr>
          <w:rFonts w:ascii="Arial" w:hAnsi="Arial" w:cs="Arial"/>
          <w:sz w:val="20"/>
          <w:szCs w:val="20"/>
          <w:lang w:eastAsia="cs-CZ"/>
        </w:rPr>
        <w:t>Ekonomický efekt aktivít podporovaných v rámci prioritnej osi 4 Odpadové hospodárstvo sa prejav</w:t>
      </w:r>
      <w:r w:rsidR="00475DC8">
        <w:rPr>
          <w:rFonts w:ascii="Arial" w:hAnsi="Arial" w:cs="Arial"/>
          <w:sz w:val="20"/>
          <w:szCs w:val="20"/>
          <w:lang w:eastAsia="cs-CZ"/>
        </w:rPr>
        <w:t>oval</w:t>
      </w:r>
      <w:r w:rsidRPr="00E21C60">
        <w:rPr>
          <w:rFonts w:ascii="Arial" w:hAnsi="Arial" w:cs="Arial"/>
          <w:sz w:val="20"/>
          <w:szCs w:val="20"/>
          <w:lang w:eastAsia="cs-CZ"/>
        </w:rPr>
        <w:t xml:space="preserve"> predovšetkým znižovaním surovinovej náročnosti hospodárstva, čím uvedená prioritná os prispieva</w:t>
      </w:r>
      <w:r w:rsidR="00B76609">
        <w:rPr>
          <w:rFonts w:ascii="Arial" w:hAnsi="Arial" w:cs="Arial"/>
          <w:sz w:val="20"/>
          <w:szCs w:val="20"/>
          <w:lang w:eastAsia="cs-CZ"/>
        </w:rPr>
        <w:t>la</w:t>
      </w:r>
      <w:r w:rsidRPr="00E21C60">
        <w:rPr>
          <w:rFonts w:ascii="Arial" w:hAnsi="Arial" w:cs="Arial"/>
          <w:sz w:val="20"/>
          <w:szCs w:val="20"/>
          <w:lang w:eastAsia="cs-CZ"/>
        </w:rPr>
        <w:t xml:space="preserve"> k napĺňaniu špecifického cieľa HP TUR č. 1 Zvýšenie ekonomickej prosperity</w:t>
      </w:r>
      <w:r w:rsidR="0070389F" w:rsidRPr="00E21C60">
        <w:rPr>
          <w:rFonts w:ascii="Arial" w:hAnsi="Arial" w:cs="Arial"/>
          <w:sz w:val="20"/>
          <w:szCs w:val="20"/>
          <w:lang w:eastAsia="cs-CZ"/>
        </w:rPr>
        <w:t>.</w:t>
      </w:r>
    </w:p>
    <w:p w14:paraId="399D42D4" w14:textId="6A5D99EF" w:rsidR="001362DC" w:rsidRPr="00E21C60" w:rsidRDefault="001362DC" w:rsidP="00123376">
      <w:pPr>
        <w:spacing w:before="120" w:after="120"/>
        <w:jc w:val="both"/>
        <w:rPr>
          <w:rFonts w:ascii="Arial" w:hAnsi="Arial" w:cs="Arial"/>
          <w:sz w:val="20"/>
          <w:szCs w:val="20"/>
          <w:lang w:eastAsia="cs-CZ"/>
        </w:rPr>
      </w:pPr>
      <w:r w:rsidRPr="00E21C60">
        <w:rPr>
          <w:rFonts w:ascii="Arial" w:hAnsi="Arial" w:cs="Arial"/>
          <w:sz w:val="20"/>
          <w:szCs w:val="20"/>
          <w:lang w:eastAsia="cs-CZ"/>
        </w:rPr>
        <w:t xml:space="preserve">Prioritná os 5 Ochrana a regenerácia prírodného prostredia a krajiny </w:t>
      </w:r>
      <w:r w:rsidR="00B76609">
        <w:rPr>
          <w:rFonts w:ascii="Arial" w:hAnsi="Arial" w:cs="Arial"/>
          <w:sz w:val="20"/>
          <w:szCs w:val="20"/>
          <w:lang w:eastAsia="cs-CZ"/>
        </w:rPr>
        <w:t>bola</w:t>
      </w:r>
      <w:r w:rsidRPr="00E21C60">
        <w:rPr>
          <w:rFonts w:ascii="Arial" w:hAnsi="Arial" w:cs="Arial"/>
          <w:sz w:val="20"/>
          <w:szCs w:val="20"/>
          <w:lang w:eastAsia="cs-CZ"/>
        </w:rPr>
        <w:t xml:space="preserve"> zameraná na dobudovanie sústavy chránených území NATURA 2000 a zachovanie priaznivého stavu druhov a biotopov európskeho významu, čím v rámci špecifických cieľov HP TUR prispieva</w:t>
      </w:r>
      <w:r w:rsidR="00B76609">
        <w:rPr>
          <w:rFonts w:ascii="Arial" w:hAnsi="Arial" w:cs="Arial"/>
          <w:sz w:val="20"/>
          <w:szCs w:val="20"/>
          <w:lang w:eastAsia="cs-CZ"/>
        </w:rPr>
        <w:t>la</w:t>
      </w:r>
      <w:r w:rsidRPr="00E21C60">
        <w:rPr>
          <w:rFonts w:ascii="Arial" w:hAnsi="Arial" w:cs="Arial"/>
          <w:sz w:val="20"/>
          <w:szCs w:val="20"/>
          <w:lang w:eastAsia="cs-CZ"/>
        </w:rPr>
        <w:t xml:space="preserve"> k plneniu </w:t>
      </w:r>
      <w:r w:rsidR="00F80444" w:rsidRPr="00E21C60">
        <w:rPr>
          <w:rFonts w:ascii="Arial" w:hAnsi="Arial" w:cs="Arial"/>
          <w:sz w:val="20"/>
          <w:szCs w:val="20"/>
          <w:lang w:eastAsia="cs-CZ"/>
        </w:rPr>
        <w:t xml:space="preserve">najmä </w:t>
      </w:r>
      <w:r w:rsidRPr="00E21C60">
        <w:rPr>
          <w:rFonts w:ascii="Arial" w:hAnsi="Arial" w:cs="Arial"/>
          <w:sz w:val="20"/>
          <w:szCs w:val="20"/>
          <w:lang w:eastAsia="cs-CZ"/>
        </w:rPr>
        <w:t>cieľa č. 2 Zvýšenie kvality životného prostredia</w:t>
      </w:r>
      <w:r w:rsidR="00F80444" w:rsidRPr="00E21C60">
        <w:rPr>
          <w:rFonts w:ascii="Arial" w:hAnsi="Arial" w:cs="Arial"/>
          <w:sz w:val="20"/>
          <w:szCs w:val="20"/>
          <w:lang w:eastAsia="cs-CZ"/>
        </w:rPr>
        <w:t xml:space="preserve"> a preto priamo neprispieva</w:t>
      </w:r>
      <w:r w:rsidR="00B76609">
        <w:rPr>
          <w:rFonts w:ascii="Arial" w:hAnsi="Arial" w:cs="Arial"/>
          <w:sz w:val="20"/>
          <w:szCs w:val="20"/>
          <w:lang w:eastAsia="cs-CZ"/>
        </w:rPr>
        <w:t>la</w:t>
      </w:r>
      <w:r w:rsidR="00F80444" w:rsidRPr="00E21C60">
        <w:rPr>
          <w:rFonts w:ascii="Arial" w:hAnsi="Arial" w:cs="Arial"/>
          <w:sz w:val="20"/>
          <w:szCs w:val="20"/>
          <w:lang w:eastAsia="cs-CZ"/>
        </w:rPr>
        <w:t xml:space="preserve"> k tvorbe nových pracovných miest</w:t>
      </w:r>
      <w:r w:rsidRPr="00E21C60">
        <w:rPr>
          <w:rFonts w:ascii="Arial" w:hAnsi="Arial" w:cs="Arial"/>
          <w:sz w:val="20"/>
          <w:szCs w:val="20"/>
          <w:lang w:eastAsia="cs-CZ"/>
        </w:rPr>
        <w:t xml:space="preserve">. </w:t>
      </w:r>
    </w:p>
    <w:p w14:paraId="213EABD5" w14:textId="77777777" w:rsidR="002416B1" w:rsidRPr="0020746A" w:rsidRDefault="002416B1" w:rsidP="00123376">
      <w:pPr>
        <w:pStyle w:val="Nadpis1"/>
        <w:spacing w:after="120"/>
        <w:rPr>
          <w:rFonts w:cs="Arial"/>
        </w:rPr>
      </w:pPr>
      <w:bookmarkStart w:id="108" w:name="_Toc466914552"/>
      <w:r w:rsidRPr="0020746A">
        <w:rPr>
          <w:rFonts w:cs="Arial"/>
        </w:rPr>
        <w:t>5. Veľké projekty</w:t>
      </w:r>
      <w:bookmarkEnd w:id="108"/>
    </w:p>
    <w:p w14:paraId="57AA0151" w14:textId="22248F54" w:rsidR="00386D37" w:rsidRPr="007255B3" w:rsidRDefault="00386D37" w:rsidP="00386D37">
      <w:pPr>
        <w:jc w:val="both"/>
        <w:rPr>
          <w:rFonts w:ascii="Arial" w:hAnsi="Arial" w:cs="Arial"/>
          <w:sz w:val="20"/>
          <w:szCs w:val="20"/>
        </w:rPr>
      </w:pPr>
      <w:r w:rsidRPr="00AD2352">
        <w:rPr>
          <w:rFonts w:ascii="Arial" w:hAnsi="Arial" w:cs="Arial"/>
          <w:sz w:val="20"/>
          <w:szCs w:val="20"/>
        </w:rPr>
        <w:t xml:space="preserve">MŽP SR ako riadiaci orgán pre OP ŽP zverejnil </w:t>
      </w:r>
      <w:r w:rsidR="00B01E91">
        <w:rPr>
          <w:rFonts w:ascii="Arial" w:hAnsi="Arial" w:cs="Arial"/>
          <w:sz w:val="20"/>
          <w:szCs w:val="20"/>
        </w:rPr>
        <w:t xml:space="preserve">dňa </w:t>
      </w:r>
      <w:r w:rsidRPr="00AD2352">
        <w:rPr>
          <w:rFonts w:ascii="Arial" w:hAnsi="Arial" w:cs="Arial"/>
          <w:sz w:val="20"/>
          <w:szCs w:val="20"/>
        </w:rPr>
        <w:t>17.</w:t>
      </w:r>
      <w:r w:rsidR="0072604B">
        <w:rPr>
          <w:rFonts w:ascii="Arial" w:hAnsi="Arial" w:cs="Arial"/>
          <w:sz w:val="20"/>
          <w:szCs w:val="20"/>
        </w:rPr>
        <w:t xml:space="preserve"> </w:t>
      </w:r>
      <w:r w:rsidRPr="00AD2352">
        <w:rPr>
          <w:rFonts w:ascii="Arial" w:hAnsi="Arial" w:cs="Arial"/>
          <w:sz w:val="20"/>
          <w:szCs w:val="20"/>
        </w:rPr>
        <w:t>7.</w:t>
      </w:r>
      <w:r w:rsidR="0072604B">
        <w:rPr>
          <w:rFonts w:ascii="Arial" w:hAnsi="Arial" w:cs="Arial"/>
          <w:sz w:val="20"/>
          <w:szCs w:val="20"/>
        </w:rPr>
        <w:t xml:space="preserve"> </w:t>
      </w:r>
      <w:r w:rsidRPr="007255B3">
        <w:rPr>
          <w:rFonts w:ascii="Arial" w:hAnsi="Arial" w:cs="Arial"/>
          <w:sz w:val="20"/>
          <w:szCs w:val="20"/>
        </w:rPr>
        <w:t xml:space="preserve">2008 Oznamy o predkladaní projektových zámerov veľkých projektov </w:t>
      </w:r>
      <w:r w:rsidRPr="00CB6995">
        <w:rPr>
          <w:rFonts w:ascii="Arial" w:hAnsi="Arial" w:cs="Arial"/>
          <w:sz w:val="20"/>
          <w:szCs w:val="20"/>
        </w:rPr>
        <w:t xml:space="preserve">(ďalej len „PZ VP“) </w:t>
      </w:r>
      <w:r w:rsidRPr="007255B3">
        <w:rPr>
          <w:rFonts w:ascii="Arial" w:hAnsi="Arial" w:cs="Arial"/>
          <w:sz w:val="20"/>
          <w:szCs w:val="20"/>
        </w:rPr>
        <w:t xml:space="preserve">k nasledovným prioritným osiam (operačným cieľom): </w:t>
      </w:r>
    </w:p>
    <w:p w14:paraId="300175EA" w14:textId="2979A840" w:rsidR="00386D37" w:rsidRPr="007255B3" w:rsidRDefault="00386D37" w:rsidP="00386D37">
      <w:pPr>
        <w:jc w:val="both"/>
        <w:rPr>
          <w:rFonts w:ascii="Arial" w:hAnsi="Arial" w:cs="Arial"/>
          <w:sz w:val="20"/>
          <w:szCs w:val="20"/>
        </w:rPr>
      </w:pPr>
      <w:r w:rsidRPr="007255B3">
        <w:rPr>
          <w:rFonts w:ascii="Arial" w:hAnsi="Arial" w:cs="Arial"/>
          <w:sz w:val="20"/>
          <w:szCs w:val="20"/>
        </w:rPr>
        <w:t>prioritná os 1 Integrovaná ochrana a racionálne využívanie vôd</w:t>
      </w:r>
      <w:r w:rsidR="00877327">
        <w:rPr>
          <w:rFonts w:ascii="Arial" w:hAnsi="Arial" w:cs="Arial"/>
          <w:sz w:val="20"/>
          <w:szCs w:val="20"/>
        </w:rPr>
        <w:t>:</w:t>
      </w:r>
      <w:r w:rsidRPr="007255B3">
        <w:rPr>
          <w:rFonts w:ascii="Arial" w:hAnsi="Arial" w:cs="Arial"/>
          <w:sz w:val="20"/>
          <w:szCs w:val="20"/>
        </w:rPr>
        <w:t xml:space="preserve"> </w:t>
      </w:r>
    </w:p>
    <w:p w14:paraId="431564A7" w14:textId="1FDF8043" w:rsidR="00386D37" w:rsidRPr="007255B3" w:rsidRDefault="00386D37" w:rsidP="00D66206">
      <w:pPr>
        <w:numPr>
          <w:ilvl w:val="0"/>
          <w:numId w:val="64"/>
        </w:numPr>
        <w:tabs>
          <w:tab w:val="clear" w:pos="1633"/>
          <w:tab w:val="num" w:pos="993"/>
        </w:tabs>
        <w:jc w:val="both"/>
        <w:rPr>
          <w:rFonts w:ascii="Arial" w:hAnsi="Arial" w:cs="Arial"/>
          <w:sz w:val="20"/>
          <w:szCs w:val="20"/>
        </w:rPr>
      </w:pPr>
      <w:r w:rsidRPr="007255B3">
        <w:rPr>
          <w:rFonts w:ascii="Arial" w:hAnsi="Arial" w:cs="Arial"/>
          <w:sz w:val="20"/>
          <w:szCs w:val="20"/>
        </w:rPr>
        <w:t>operačný cieľ 1.1 Zásobovanie obyvateľstva pitnou vodou z verejných vodovodov</w:t>
      </w:r>
      <w:r w:rsidR="00D66206">
        <w:rPr>
          <w:rFonts w:ascii="Arial" w:hAnsi="Arial" w:cs="Arial"/>
          <w:sz w:val="20"/>
          <w:szCs w:val="20"/>
        </w:rPr>
        <w:t>,</w:t>
      </w:r>
    </w:p>
    <w:p w14:paraId="26C341EC" w14:textId="7F8EAF14" w:rsidR="00386D37" w:rsidRPr="007255B3" w:rsidRDefault="00386D37" w:rsidP="00D66206">
      <w:pPr>
        <w:numPr>
          <w:ilvl w:val="0"/>
          <w:numId w:val="64"/>
        </w:numPr>
        <w:tabs>
          <w:tab w:val="clear" w:pos="1633"/>
          <w:tab w:val="num" w:pos="993"/>
        </w:tabs>
        <w:ind w:left="993" w:hanging="245"/>
        <w:jc w:val="both"/>
        <w:rPr>
          <w:rFonts w:ascii="Arial" w:hAnsi="Arial" w:cs="Arial"/>
          <w:sz w:val="20"/>
          <w:szCs w:val="20"/>
        </w:rPr>
      </w:pPr>
      <w:r w:rsidRPr="007255B3">
        <w:rPr>
          <w:rFonts w:ascii="Arial" w:hAnsi="Arial" w:cs="Arial"/>
          <w:sz w:val="20"/>
          <w:szCs w:val="20"/>
        </w:rPr>
        <w:t>operačný cieľ 1.2 Odvádzanie a čistenie komunálnych odpadových vôd v zmysle záväzkov SR voči EÚ</w:t>
      </w:r>
      <w:r w:rsidR="00D66206">
        <w:rPr>
          <w:rFonts w:ascii="Arial" w:hAnsi="Arial" w:cs="Arial"/>
          <w:sz w:val="20"/>
          <w:szCs w:val="20"/>
        </w:rPr>
        <w:t>;</w:t>
      </w:r>
    </w:p>
    <w:p w14:paraId="2BC4B9C0" w14:textId="3B387139" w:rsidR="00386D37" w:rsidRPr="00AD2352" w:rsidRDefault="00D92FB1" w:rsidP="00386D37">
      <w:pPr>
        <w:jc w:val="both"/>
        <w:rPr>
          <w:rFonts w:ascii="Arial" w:hAnsi="Arial" w:cs="Arial"/>
          <w:sz w:val="20"/>
          <w:szCs w:val="20"/>
        </w:rPr>
      </w:pPr>
      <w:hyperlink r:id="rId37" w:history="1">
        <w:r w:rsidR="00386D37" w:rsidRPr="0002421E">
          <w:t>p</w:t>
        </w:r>
      </w:hyperlink>
      <w:r w:rsidR="00386D37" w:rsidRPr="00AD2352">
        <w:rPr>
          <w:rFonts w:ascii="Arial" w:hAnsi="Arial" w:cs="Arial"/>
          <w:sz w:val="20"/>
          <w:szCs w:val="20"/>
        </w:rPr>
        <w:t>rioritná os 2 Ochrana pred povodňami</w:t>
      </w:r>
      <w:r w:rsidR="00877327">
        <w:rPr>
          <w:rFonts w:ascii="Arial" w:hAnsi="Arial" w:cs="Arial"/>
          <w:sz w:val="20"/>
          <w:szCs w:val="20"/>
        </w:rPr>
        <w:t>:</w:t>
      </w:r>
      <w:r w:rsidR="00386D37" w:rsidRPr="00AD2352">
        <w:rPr>
          <w:rFonts w:ascii="Arial" w:hAnsi="Arial" w:cs="Arial"/>
          <w:sz w:val="20"/>
          <w:szCs w:val="20"/>
        </w:rPr>
        <w:t xml:space="preserve"> </w:t>
      </w:r>
    </w:p>
    <w:p w14:paraId="3516CB60" w14:textId="62E17D3E" w:rsidR="00386D37" w:rsidRPr="007255B3" w:rsidRDefault="00386D37" w:rsidP="00D66206">
      <w:pPr>
        <w:numPr>
          <w:ilvl w:val="0"/>
          <w:numId w:val="64"/>
        </w:numPr>
        <w:tabs>
          <w:tab w:val="clear" w:pos="1633"/>
          <w:tab w:val="num" w:pos="993"/>
        </w:tabs>
        <w:jc w:val="both"/>
        <w:rPr>
          <w:rFonts w:ascii="Arial" w:hAnsi="Arial" w:cs="Arial"/>
          <w:sz w:val="20"/>
          <w:szCs w:val="20"/>
        </w:rPr>
      </w:pPr>
      <w:r w:rsidRPr="007255B3">
        <w:rPr>
          <w:rFonts w:ascii="Arial" w:hAnsi="Arial" w:cs="Arial"/>
          <w:sz w:val="20"/>
          <w:szCs w:val="20"/>
        </w:rPr>
        <w:t>operačný cieľ 2.1 Preventívne opatrenia na ochranu pred povodňami</w:t>
      </w:r>
      <w:r w:rsidR="00D66206">
        <w:rPr>
          <w:rFonts w:ascii="Arial" w:hAnsi="Arial" w:cs="Arial"/>
          <w:sz w:val="20"/>
          <w:szCs w:val="20"/>
        </w:rPr>
        <w:t>,</w:t>
      </w:r>
    </w:p>
    <w:p w14:paraId="4684E66F" w14:textId="1AAC6669" w:rsidR="00386D37" w:rsidRPr="007255B3" w:rsidRDefault="00386D37" w:rsidP="00D66206">
      <w:pPr>
        <w:numPr>
          <w:ilvl w:val="0"/>
          <w:numId w:val="64"/>
        </w:numPr>
        <w:tabs>
          <w:tab w:val="clear" w:pos="1633"/>
          <w:tab w:val="num" w:pos="993"/>
          <w:tab w:val="num" w:pos="2148"/>
        </w:tabs>
        <w:jc w:val="both"/>
        <w:rPr>
          <w:rFonts w:ascii="Arial" w:hAnsi="Arial" w:cs="Arial"/>
          <w:sz w:val="20"/>
          <w:szCs w:val="20"/>
        </w:rPr>
      </w:pPr>
      <w:r w:rsidRPr="007255B3">
        <w:rPr>
          <w:rFonts w:ascii="Arial" w:hAnsi="Arial" w:cs="Arial"/>
          <w:sz w:val="20"/>
          <w:szCs w:val="20"/>
        </w:rPr>
        <w:t>operačný cieľ 2.2 Vybudovanie povodňového varovného a predpovedného systému</w:t>
      </w:r>
      <w:r w:rsidR="00D66206">
        <w:rPr>
          <w:rFonts w:ascii="Arial" w:hAnsi="Arial" w:cs="Arial"/>
          <w:sz w:val="20"/>
          <w:szCs w:val="20"/>
        </w:rPr>
        <w:t>.</w:t>
      </w:r>
    </w:p>
    <w:p w14:paraId="738911E1" w14:textId="33263AEF" w:rsidR="00386D37" w:rsidRPr="0002421E" w:rsidRDefault="00386D37" w:rsidP="00D66206">
      <w:pPr>
        <w:spacing w:before="120"/>
        <w:jc w:val="both"/>
        <w:rPr>
          <w:rFonts w:ascii="Arial" w:hAnsi="Arial" w:cs="Arial"/>
          <w:sz w:val="20"/>
          <w:szCs w:val="20"/>
        </w:rPr>
      </w:pPr>
      <w:r w:rsidRPr="0002421E">
        <w:rPr>
          <w:rFonts w:ascii="Arial" w:hAnsi="Arial" w:cs="Arial"/>
          <w:sz w:val="20"/>
          <w:szCs w:val="20"/>
        </w:rPr>
        <w:t xml:space="preserve">Oznamy o predkladaní PZ VP boli MŽP SR uzatvorené </w:t>
      </w:r>
      <w:r w:rsidR="00B01E91">
        <w:rPr>
          <w:rFonts w:ascii="Arial" w:hAnsi="Arial" w:cs="Arial"/>
          <w:sz w:val="20"/>
          <w:szCs w:val="20"/>
        </w:rPr>
        <w:t xml:space="preserve">dňa </w:t>
      </w:r>
      <w:r w:rsidRPr="0002421E">
        <w:rPr>
          <w:rFonts w:ascii="Arial" w:hAnsi="Arial" w:cs="Arial"/>
          <w:sz w:val="20"/>
          <w:szCs w:val="20"/>
        </w:rPr>
        <w:t>31.</w:t>
      </w:r>
      <w:r w:rsidR="0072604B">
        <w:rPr>
          <w:rFonts w:ascii="Arial" w:hAnsi="Arial" w:cs="Arial"/>
          <w:sz w:val="20"/>
          <w:szCs w:val="20"/>
        </w:rPr>
        <w:t xml:space="preserve"> </w:t>
      </w:r>
      <w:r w:rsidRPr="0002421E">
        <w:rPr>
          <w:rFonts w:ascii="Arial" w:hAnsi="Arial" w:cs="Arial"/>
          <w:sz w:val="20"/>
          <w:szCs w:val="20"/>
        </w:rPr>
        <w:t>12.</w:t>
      </w:r>
      <w:r w:rsidR="0072604B">
        <w:rPr>
          <w:rFonts w:ascii="Arial" w:hAnsi="Arial" w:cs="Arial"/>
          <w:sz w:val="20"/>
          <w:szCs w:val="20"/>
        </w:rPr>
        <w:t xml:space="preserve"> </w:t>
      </w:r>
      <w:r w:rsidRPr="0002421E">
        <w:rPr>
          <w:rFonts w:ascii="Arial" w:hAnsi="Arial" w:cs="Arial"/>
          <w:sz w:val="20"/>
          <w:szCs w:val="20"/>
        </w:rPr>
        <w:t xml:space="preserve">2008. Do uvedeného termínu bolo na MŽP SR doručených 22 </w:t>
      </w:r>
      <w:r>
        <w:rPr>
          <w:rFonts w:ascii="Arial" w:hAnsi="Arial" w:cs="Arial"/>
          <w:sz w:val="20"/>
          <w:szCs w:val="20"/>
        </w:rPr>
        <w:t>PZ VP, z toho 21 pre prioritnú os 1 a 1 pre prioritnú os 2</w:t>
      </w:r>
      <w:r w:rsidRPr="0002421E">
        <w:rPr>
          <w:rFonts w:ascii="Arial" w:hAnsi="Arial" w:cs="Arial"/>
          <w:sz w:val="20"/>
          <w:szCs w:val="20"/>
        </w:rPr>
        <w:t>.</w:t>
      </w:r>
      <w:r w:rsidRPr="00AD2352">
        <w:rPr>
          <w:rFonts w:ascii="Arial" w:hAnsi="Arial" w:cs="Arial"/>
          <w:sz w:val="20"/>
          <w:szCs w:val="20"/>
        </w:rPr>
        <w:t xml:space="preserve"> </w:t>
      </w:r>
    </w:p>
    <w:p w14:paraId="6C7FD19B" w14:textId="77777777" w:rsidR="00386D37" w:rsidRDefault="00386D37" w:rsidP="00386D37">
      <w:pPr>
        <w:jc w:val="both"/>
        <w:rPr>
          <w:rFonts w:ascii="Arial" w:hAnsi="Arial" w:cs="Arial"/>
          <w:sz w:val="20"/>
          <w:szCs w:val="20"/>
        </w:rPr>
      </w:pPr>
    </w:p>
    <w:p w14:paraId="7E9924A9" w14:textId="78E51ED7" w:rsidR="00386D37" w:rsidRDefault="00386D37" w:rsidP="00386D37">
      <w:pPr>
        <w:jc w:val="both"/>
        <w:rPr>
          <w:rFonts w:ascii="Arial" w:hAnsi="Arial" w:cs="Arial"/>
          <w:sz w:val="20"/>
          <w:szCs w:val="20"/>
        </w:rPr>
      </w:pPr>
      <w:r w:rsidRPr="007255B3">
        <w:rPr>
          <w:rFonts w:ascii="Arial" w:hAnsi="Arial"/>
          <w:sz w:val="20"/>
        </w:rPr>
        <w:t xml:space="preserve">V nadväznosti na revíziu OP ŽP verzia 4.0 schválenú Európskou komisiou </w:t>
      </w:r>
      <w:r w:rsidR="00D66206">
        <w:rPr>
          <w:rFonts w:ascii="Arial" w:hAnsi="Arial"/>
          <w:sz w:val="20"/>
        </w:rPr>
        <w:t xml:space="preserve">dňa </w:t>
      </w:r>
      <w:r w:rsidRPr="007255B3">
        <w:rPr>
          <w:rFonts w:ascii="Arial" w:hAnsi="Arial"/>
          <w:sz w:val="20"/>
        </w:rPr>
        <w:t>17.</w:t>
      </w:r>
      <w:r w:rsidR="0072604B">
        <w:rPr>
          <w:rFonts w:ascii="Arial" w:hAnsi="Arial"/>
          <w:sz w:val="20"/>
        </w:rPr>
        <w:t xml:space="preserve"> </w:t>
      </w:r>
      <w:r w:rsidRPr="007255B3">
        <w:rPr>
          <w:rFonts w:ascii="Arial" w:hAnsi="Arial"/>
          <w:sz w:val="20"/>
        </w:rPr>
        <w:t>12.</w:t>
      </w:r>
      <w:r w:rsidR="0072604B">
        <w:rPr>
          <w:rFonts w:ascii="Arial" w:hAnsi="Arial"/>
          <w:sz w:val="20"/>
        </w:rPr>
        <w:t xml:space="preserve"> </w:t>
      </w:r>
      <w:r w:rsidRPr="007255B3">
        <w:rPr>
          <w:rFonts w:ascii="Arial" w:hAnsi="Arial"/>
          <w:sz w:val="20"/>
        </w:rPr>
        <w:t xml:space="preserve">2013 RO pre OP ŽP zverejnil </w:t>
      </w:r>
      <w:r w:rsidR="00B01E91">
        <w:rPr>
          <w:rFonts w:ascii="Arial" w:hAnsi="Arial"/>
          <w:sz w:val="20"/>
        </w:rPr>
        <w:t xml:space="preserve">dňa </w:t>
      </w:r>
      <w:r w:rsidRPr="007255B3">
        <w:rPr>
          <w:rFonts w:ascii="Arial" w:hAnsi="Arial"/>
          <w:sz w:val="20"/>
        </w:rPr>
        <w:t>9.</w:t>
      </w:r>
      <w:r w:rsidR="0072604B">
        <w:rPr>
          <w:rFonts w:ascii="Arial" w:hAnsi="Arial"/>
          <w:sz w:val="20"/>
        </w:rPr>
        <w:t xml:space="preserve"> </w:t>
      </w:r>
      <w:r w:rsidRPr="007255B3">
        <w:rPr>
          <w:rFonts w:ascii="Arial" w:hAnsi="Arial"/>
          <w:sz w:val="20"/>
        </w:rPr>
        <w:t>6.</w:t>
      </w:r>
      <w:r w:rsidR="0072604B">
        <w:rPr>
          <w:rFonts w:ascii="Arial" w:hAnsi="Arial"/>
          <w:sz w:val="20"/>
        </w:rPr>
        <w:t xml:space="preserve"> </w:t>
      </w:r>
      <w:r w:rsidRPr="007255B3">
        <w:rPr>
          <w:rFonts w:ascii="Arial" w:hAnsi="Arial"/>
          <w:sz w:val="20"/>
        </w:rPr>
        <w:t xml:space="preserve">2014 Oznam o predkladaní </w:t>
      </w:r>
      <w:r w:rsidRPr="0002421E">
        <w:rPr>
          <w:rFonts w:ascii="Arial" w:hAnsi="Arial" w:cs="Arial"/>
          <w:sz w:val="20"/>
          <w:szCs w:val="20"/>
        </w:rPr>
        <w:t xml:space="preserve">PZ VP </w:t>
      </w:r>
      <w:r w:rsidRPr="007255B3">
        <w:rPr>
          <w:rFonts w:ascii="Arial" w:hAnsi="Arial"/>
          <w:sz w:val="20"/>
        </w:rPr>
        <w:t xml:space="preserve">pre prioritnú os 2 Ochrana pred povodňami. </w:t>
      </w:r>
      <w:r w:rsidRPr="0002421E">
        <w:rPr>
          <w:rFonts w:ascii="Arial" w:hAnsi="Arial" w:cs="Arial"/>
          <w:sz w:val="20"/>
          <w:szCs w:val="20"/>
        </w:rPr>
        <w:t xml:space="preserve">Špecifickým cieľom oznamu bola realizácia aktivít zameraných na podporu intervenčných opatrení zabezpečujúcich účinnú reakciu na povodňovú situáciu a umožňujúcich efektívnu realizáciu povodňových zabezpečovacích a záchranných prác s cieľom výrazne znížiť škody spôsobené povodňami. Oznam o predkladaní PZ VP bol uzatvorený </w:t>
      </w:r>
      <w:r w:rsidR="00B01E91">
        <w:rPr>
          <w:rFonts w:ascii="Arial" w:hAnsi="Arial" w:cs="Arial"/>
          <w:sz w:val="20"/>
          <w:szCs w:val="20"/>
        </w:rPr>
        <w:t xml:space="preserve">dňa </w:t>
      </w:r>
      <w:r w:rsidRPr="0002421E">
        <w:rPr>
          <w:rFonts w:ascii="Arial" w:hAnsi="Arial" w:cs="Arial"/>
          <w:sz w:val="20"/>
          <w:szCs w:val="20"/>
        </w:rPr>
        <w:t>7.</w:t>
      </w:r>
      <w:r w:rsidR="0072604B">
        <w:rPr>
          <w:rFonts w:ascii="Arial" w:hAnsi="Arial" w:cs="Arial"/>
          <w:sz w:val="20"/>
          <w:szCs w:val="20"/>
        </w:rPr>
        <w:t xml:space="preserve"> </w:t>
      </w:r>
      <w:r w:rsidRPr="0002421E">
        <w:rPr>
          <w:rFonts w:ascii="Arial" w:hAnsi="Arial" w:cs="Arial"/>
          <w:sz w:val="20"/>
          <w:szCs w:val="20"/>
        </w:rPr>
        <w:t>7.</w:t>
      </w:r>
      <w:r w:rsidR="0072604B">
        <w:rPr>
          <w:rFonts w:ascii="Arial" w:hAnsi="Arial" w:cs="Arial"/>
          <w:sz w:val="20"/>
          <w:szCs w:val="20"/>
        </w:rPr>
        <w:t xml:space="preserve"> </w:t>
      </w:r>
      <w:r w:rsidRPr="0002421E">
        <w:rPr>
          <w:rFonts w:ascii="Arial" w:hAnsi="Arial" w:cs="Arial"/>
          <w:sz w:val="20"/>
          <w:szCs w:val="20"/>
        </w:rPr>
        <w:t>2014.</w:t>
      </w:r>
      <w:r w:rsidRPr="00AD2352">
        <w:rPr>
          <w:rFonts w:ascii="Arial" w:hAnsi="Arial" w:cs="Arial"/>
          <w:sz w:val="20"/>
          <w:szCs w:val="20"/>
        </w:rPr>
        <w:t xml:space="preserve"> Do uvedeného termínu bol na MŽP SR doručený 1 </w:t>
      </w:r>
      <w:r>
        <w:rPr>
          <w:rFonts w:ascii="Arial" w:hAnsi="Arial" w:cs="Arial"/>
          <w:sz w:val="20"/>
          <w:szCs w:val="20"/>
        </w:rPr>
        <w:t>PZ VP</w:t>
      </w:r>
      <w:r w:rsidRPr="00AD2352">
        <w:rPr>
          <w:rFonts w:ascii="Arial" w:hAnsi="Arial" w:cs="Arial"/>
          <w:sz w:val="20"/>
          <w:szCs w:val="20"/>
        </w:rPr>
        <w:t>.</w:t>
      </w:r>
    </w:p>
    <w:p w14:paraId="54206340" w14:textId="77777777" w:rsidR="00386D37" w:rsidRPr="0002421E" w:rsidRDefault="00386D37" w:rsidP="00386D37">
      <w:pPr>
        <w:jc w:val="both"/>
        <w:rPr>
          <w:rFonts w:ascii="Arial" w:hAnsi="Arial" w:cs="Arial"/>
          <w:sz w:val="20"/>
          <w:szCs w:val="20"/>
        </w:rPr>
      </w:pPr>
    </w:p>
    <w:p w14:paraId="798C71D4" w14:textId="54A718AE" w:rsidR="00386D37" w:rsidRDefault="00386D37" w:rsidP="00386D37">
      <w:pPr>
        <w:jc w:val="both"/>
        <w:rPr>
          <w:rFonts w:ascii="Arial" w:hAnsi="Arial" w:cs="Arial"/>
          <w:sz w:val="20"/>
          <w:szCs w:val="20"/>
        </w:rPr>
      </w:pPr>
      <w:r w:rsidRPr="00AD2352">
        <w:rPr>
          <w:rFonts w:ascii="Arial" w:hAnsi="Arial" w:cs="Arial"/>
          <w:sz w:val="20"/>
          <w:szCs w:val="20"/>
        </w:rPr>
        <w:t xml:space="preserve">V súlade s § 19, odsek 4 zákona č. 528/2008 Z. z. </w:t>
      </w:r>
      <w:r w:rsidR="00D66206">
        <w:rPr>
          <w:rFonts w:ascii="Arial" w:hAnsi="Arial" w:cs="Arial"/>
          <w:sz w:val="20"/>
          <w:szCs w:val="20"/>
        </w:rPr>
        <w:t>bol</w:t>
      </w:r>
      <w:r w:rsidRPr="00AD2352">
        <w:rPr>
          <w:rFonts w:ascii="Arial" w:hAnsi="Arial" w:cs="Arial"/>
          <w:sz w:val="20"/>
          <w:szCs w:val="20"/>
        </w:rPr>
        <w:t xml:space="preserve"> žiadateľ povinný predložiť na schválenie projektový zámer veľkého projektu</w:t>
      </w:r>
      <w:r w:rsidR="00D66206">
        <w:rPr>
          <w:rFonts w:ascii="Arial" w:hAnsi="Arial" w:cs="Arial"/>
          <w:sz w:val="20"/>
          <w:szCs w:val="20"/>
        </w:rPr>
        <w:t xml:space="preserve"> a po jeho schválení bol</w:t>
      </w:r>
      <w:r w:rsidRPr="007255B3">
        <w:rPr>
          <w:rFonts w:ascii="Arial" w:hAnsi="Arial" w:cs="Arial"/>
          <w:sz w:val="20"/>
          <w:szCs w:val="20"/>
        </w:rPr>
        <w:t xml:space="preserve"> veľký projekt zaradený do zoznamu veľkých projektov.</w:t>
      </w:r>
    </w:p>
    <w:p w14:paraId="1BF7BB38" w14:textId="77777777" w:rsidR="00386D37" w:rsidRPr="00AD2352" w:rsidRDefault="00386D37" w:rsidP="00386D37">
      <w:pPr>
        <w:jc w:val="both"/>
        <w:rPr>
          <w:rFonts w:ascii="Arial" w:hAnsi="Arial" w:cs="Arial"/>
          <w:sz w:val="20"/>
          <w:szCs w:val="20"/>
        </w:rPr>
      </w:pPr>
    </w:p>
    <w:p w14:paraId="09D607B9" w14:textId="4F68CD74" w:rsidR="00386D37" w:rsidRDefault="00386D37" w:rsidP="00386D37">
      <w:pPr>
        <w:jc w:val="both"/>
        <w:rPr>
          <w:rFonts w:ascii="Arial" w:hAnsi="Arial" w:cs="Arial"/>
          <w:sz w:val="20"/>
          <w:szCs w:val="20"/>
        </w:rPr>
      </w:pPr>
      <w:r w:rsidRPr="007255B3">
        <w:rPr>
          <w:rFonts w:ascii="Arial" w:hAnsi="Arial" w:cs="Arial"/>
          <w:sz w:val="20"/>
          <w:szCs w:val="20"/>
        </w:rPr>
        <w:t>Projektový zámer veľkého projektu slúži</w:t>
      </w:r>
      <w:r w:rsidR="00D66206">
        <w:rPr>
          <w:rFonts w:ascii="Arial" w:hAnsi="Arial" w:cs="Arial"/>
          <w:sz w:val="20"/>
          <w:szCs w:val="20"/>
        </w:rPr>
        <w:t>l</w:t>
      </w:r>
      <w:r w:rsidRPr="007255B3">
        <w:rPr>
          <w:rFonts w:ascii="Arial" w:hAnsi="Arial" w:cs="Arial"/>
          <w:sz w:val="20"/>
          <w:szCs w:val="20"/>
        </w:rPr>
        <w:t xml:space="preserve"> ako základný registračný dokument a dokument pre prvotné posudzovanie </w:t>
      </w:r>
      <w:r w:rsidR="00B01E91">
        <w:rPr>
          <w:rFonts w:ascii="Arial" w:hAnsi="Arial" w:cs="Arial"/>
          <w:sz w:val="20"/>
          <w:szCs w:val="20"/>
        </w:rPr>
        <w:t>veľkého projektu. PZ VP definoval</w:t>
      </w:r>
      <w:r w:rsidRPr="007255B3">
        <w:rPr>
          <w:rFonts w:ascii="Arial" w:hAnsi="Arial" w:cs="Arial"/>
          <w:sz w:val="20"/>
          <w:szCs w:val="20"/>
        </w:rPr>
        <w:t xml:space="preserve"> základné ciele projektu s uvedením stručného technického popisu, súladu s národnými pravidlami a politikami ES a s uvedením odhadovaných celkových nákladov. </w:t>
      </w:r>
      <w:r w:rsidR="00B01E91">
        <w:rPr>
          <w:rFonts w:ascii="Arial" w:hAnsi="Arial" w:cs="Arial"/>
          <w:sz w:val="20"/>
          <w:szCs w:val="20"/>
        </w:rPr>
        <w:t>Tento bol</w:t>
      </w:r>
      <w:r w:rsidRPr="007255B3">
        <w:rPr>
          <w:rFonts w:ascii="Arial" w:hAnsi="Arial" w:cs="Arial"/>
          <w:sz w:val="20"/>
          <w:szCs w:val="20"/>
        </w:rPr>
        <w:t xml:space="preserve"> odborne hodnotený a slúži</w:t>
      </w:r>
      <w:r w:rsidR="00B01E91">
        <w:rPr>
          <w:rFonts w:ascii="Arial" w:hAnsi="Arial" w:cs="Arial"/>
          <w:sz w:val="20"/>
          <w:szCs w:val="20"/>
        </w:rPr>
        <w:t>l</w:t>
      </w:r>
      <w:r w:rsidRPr="007255B3">
        <w:rPr>
          <w:rFonts w:ascii="Arial" w:hAnsi="Arial" w:cs="Arial"/>
          <w:sz w:val="20"/>
          <w:szCs w:val="20"/>
        </w:rPr>
        <w:t xml:space="preserve"> ako podkladový materiál pre výber projektov.</w:t>
      </w:r>
    </w:p>
    <w:p w14:paraId="72F2F668" w14:textId="77777777" w:rsidR="00386D37" w:rsidRPr="00AD2352" w:rsidRDefault="00386D37" w:rsidP="00386D37">
      <w:pPr>
        <w:jc w:val="both"/>
        <w:rPr>
          <w:rFonts w:ascii="Arial" w:hAnsi="Arial" w:cs="Arial"/>
          <w:sz w:val="20"/>
          <w:szCs w:val="20"/>
        </w:rPr>
      </w:pPr>
    </w:p>
    <w:p w14:paraId="6DE3E871" w14:textId="77777777" w:rsidR="00386D37" w:rsidRDefault="00386D37" w:rsidP="00386D37">
      <w:pPr>
        <w:jc w:val="both"/>
        <w:rPr>
          <w:rFonts w:ascii="Arial" w:hAnsi="Arial" w:cs="Arial"/>
          <w:sz w:val="20"/>
          <w:szCs w:val="20"/>
        </w:rPr>
      </w:pPr>
      <w:r w:rsidRPr="007255B3">
        <w:rPr>
          <w:rFonts w:ascii="Arial" w:hAnsi="Arial" w:cs="Arial"/>
          <w:sz w:val="20"/>
          <w:szCs w:val="20"/>
        </w:rPr>
        <w:t>V zmysle čl. 40 všeobecného nariadenia predloží riadiaci orgán Európskej komisii informácie o veľkom projekte prostredníctvom Žiadosti o potvrdenie pomoci. Európska komisia následne prijme rozhodnutie o schválení alebo zamietnutí veľkého projektu v súlade s čl. 41 všeobecného nariadenia.</w:t>
      </w:r>
    </w:p>
    <w:p w14:paraId="5B593035" w14:textId="77777777" w:rsidR="00386D37" w:rsidRPr="00AD2352" w:rsidRDefault="00386D37" w:rsidP="00386D37">
      <w:pPr>
        <w:jc w:val="both"/>
        <w:rPr>
          <w:rFonts w:ascii="Arial" w:hAnsi="Arial" w:cs="Arial"/>
          <w:sz w:val="20"/>
          <w:szCs w:val="20"/>
        </w:rPr>
      </w:pPr>
    </w:p>
    <w:p w14:paraId="079B5685" w14:textId="5D7ED164" w:rsidR="00386D37" w:rsidRDefault="00386D37" w:rsidP="00386D37">
      <w:pPr>
        <w:jc w:val="both"/>
        <w:rPr>
          <w:rFonts w:ascii="Arial" w:hAnsi="Arial" w:cs="Arial"/>
          <w:sz w:val="20"/>
          <w:szCs w:val="20"/>
        </w:rPr>
      </w:pPr>
      <w:r w:rsidRPr="007255B3">
        <w:rPr>
          <w:rFonts w:ascii="Arial" w:hAnsi="Arial" w:cs="Arial"/>
          <w:sz w:val="20"/>
          <w:szCs w:val="20"/>
        </w:rPr>
        <w:t xml:space="preserve">Zoznam veľkých projektov pre OP ŽP pre programové obdobie 2007 - 2013, ktorý bol schválený vládou SR </w:t>
      </w:r>
      <w:r w:rsidR="00D66206">
        <w:rPr>
          <w:rFonts w:ascii="Arial" w:hAnsi="Arial" w:cs="Arial"/>
          <w:sz w:val="20"/>
          <w:szCs w:val="20"/>
        </w:rPr>
        <w:t xml:space="preserve">dňa </w:t>
      </w:r>
      <w:r w:rsidRPr="007255B3">
        <w:rPr>
          <w:rFonts w:ascii="Arial" w:hAnsi="Arial" w:cs="Arial"/>
          <w:sz w:val="20"/>
          <w:szCs w:val="20"/>
        </w:rPr>
        <w:t>6.</w:t>
      </w:r>
      <w:r w:rsidR="0072604B">
        <w:rPr>
          <w:rFonts w:ascii="Arial" w:hAnsi="Arial" w:cs="Arial"/>
          <w:sz w:val="20"/>
          <w:szCs w:val="20"/>
        </w:rPr>
        <w:t xml:space="preserve"> </w:t>
      </w:r>
      <w:r w:rsidRPr="007255B3">
        <w:rPr>
          <w:rFonts w:ascii="Arial" w:hAnsi="Arial" w:cs="Arial"/>
          <w:sz w:val="20"/>
          <w:szCs w:val="20"/>
        </w:rPr>
        <w:t>12.</w:t>
      </w:r>
      <w:r w:rsidR="0072604B">
        <w:rPr>
          <w:rFonts w:ascii="Arial" w:hAnsi="Arial" w:cs="Arial"/>
          <w:sz w:val="20"/>
          <w:szCs w:val="20"/>
        </w:rPr>
        <w:t xml:space="preserve"> </w:t>
      </w:r>
      <w:r w:rsidRPr="007255B3">
        <w:rPr>
          <w:rFonts w:ascii="Arial" w:hAnsi="Arial" w:cs="Arial"/>
          <w:sz w:val="20"/>
          <w:szCs w:val="20"/>
        </w:rPr>
        <w:t xml:space="preserve">2006, uznesením vlády SR č. 1015/2006 a následne Európskou komisiou </w:t>
      </w:r>
      <w:r w:rsidR="0072604B">
        <w:rPr>
          <w:rFonts w:ascii="Arial" w:hAnsi="Arial" w:cs="Arial"/>
          <w:sz w:val="20"/>
          <w:szCs w:val="20"/>
        </w:rPr>
        <w:t xml:space="preserve">      </w:t>
      </w:r>
      <w:r>
        <w:rPr>
          <w:rFonts w:ascii="Arial" w:hAnsi="Arial" w:cs="Arial"/>
          <w:sz w:val="20"/>
          <w:szCs w:val="20"/>
        </w:rPr>
        <w:t>0</w:t>
      </w:r>
      <w:r w:rsidRPr="007255B3">
        <w:rPr>
          <w:rFonts w:ascii="Arial" w:hAnsi="Arial" w:cs="Arial"/>
          <w:sz w:val="20"/>
          <w:szCs w:val="20"/>
        </w:rPr>
        <w:t>8.</w:t>
      </w:r>
      <w:r w:rsidR="0072604B">
        <w:rPr>
          <w:rFonts w:ascii="Arial" w:hAnsi="Arial" w:cs="Arial"/>
          <w:sz w:val="20"/>
          <w:szCs w:val="20"/>
        </w:rPr>
        <w:t xml:space="preserve"> </w:t>
      </w:r>
      <w:r w:rsidRPr="007255B3">
        <w:rPr>
          <w:rFonts w:ascii="Arial" w:hAnsi="Arial" w:cs="Arial"/>
          <w:sz w:val="20"/>
          <w:szCs w:val="20"/>
        </w:rPr>
        <w:t>11.</w:t>
      </w:r>
      <w:r w:rsidR="0072604B">
        <w:rPr>
          <w:rFonts w:ascii="Arial" w:hAnsi="Arial" w:cs="Arial"/>
          <w:sz w:val="20"/>
          <w:szCs w:val="20"/>
        </w:rPr>
        <w:t xml:space="preserve"> </w:t>
      </w:r>
      <w:r w:rsidRPr="007255B3">
        <w:rPr>
          <w:rFonts w:ascii="Arial" w:hAnsi="Arial" w:cs="Arial"/>
          <w:sz w:val="20"/>
          <w:szCs w:val="20"/>
        </w:rPr>
        <w:t xml:space="preserve">2007, tvorí prílohu č.1 OP ŽP. Tento zoznam </w:t>
      </w:r>
      <w:r w:rsidR="00D66206">
        <w:rPr>
          <w:rFonts w:ascii="Arial" w:hAnsi="Arial" w:cs="Arial"/>
          <w:sz w:val="20"/>
          <w:szCs w:val="20"/>
        </w:rPr>
        <w:t>bol</w:t>
      </w:r>
      <w:r w:rsidR="00D66206" w:rsidRPr="007255B3">
        <w:rPr>
          <w:rFonts w:ascii="Arial" w:hAnsi="Arial" w:cs="Arial"/>
          <w:sz w:val="20"/>
          <w:szCs w:val="20"/>
        </w:rPr>
        <w:t xml:space="preserve"> </w:t>
      </w:r>
      <w:r w:rsidRPr="007255B3">
        <w:rPr>
          <w:rFonts w:ascii="Arial" w:hAnsi="Arial" w:cs="Arial"/>
          <w:sz w:val="20"/>
          <w:szCs w:val="20"/>
        </w:rPr>
        <w:t>indikatívny a zaradenie projektu do zoznamu neznamen</w:t>
      </w:r>
      <w:r w:rsidR="00D66206">
        <w:rPr>
          <w:rFonts w:ascii="Arial" w:hAnsi="Arial" w:cs="Arial"/>
          <w:sz w:val="20"/>
          <w:szCs w:val="20"/>
        </w:rPr>
        <w:t>alo</w:t>
      </w:r>
      <w:r w:rsidRPr="007255B3">
        <w:rPr>
          <w:rFonts w:ascii="Arial" w:hAnsi="Arial" w:cs="Arial"/>
          <w:sz w:val="20"/>
          <w:szCs w:val="20"/>
        </w:rPr>
        <w:t xml:space="preserve"> automaticky </w:t>
      </w:r>
      <w:r w:rsidR="00D66206">
        <w:rPr>
          <w:rFonts w:ascii="Arial" w:hAnsi="Arial" w:cs="Arial"/>
          <w:sz w:val="20"/>
          <w:szCs w:val="20"/>
        </w:rPr>
        <w:t xml:space="preserve">aj </w:t>
      </w:r>
      <w:r w:rsidRPr="007255B3">
        <w:rPr>
          <w:rFonts w:ascii="Arial" w:hAnsi="Arial" w:cs="Arial"/>
          <w:sz w:val="20"/>
          <w:szCs w:val="20"/>
        </w:rPr>
        <w:t>jeho schválenie.</w:t>
      </w:r>
    </w:p>
    <w:p w14:paraId="6D52EA0E" w14:textId="77777777" w:rsidR="00386D37" w:rsidRPr="00AD2352" w:rsidRDefault="00386D37" w:rsidP="00386D37">
      <w:pPr>
        <w:jc w:val="both"/>
        <w:rPr>
          <w:rFonts w:ascii="Arial" w:hAnsi="Arial" w:cs="Arial"/>
          <w:sz w:val="20"/>
          <w:szCs w:val="20"/>
        </w:rPr>
      </w:pPr>
    </w:p>
    <w:p w14:paraId="20EA0EB4" w14:textId="77777777" w:rsidR="00386D37" w:rsidRPr="007255B3" w:rsidRDefault="00386D37" w:rsidP="00386D37">
      <w:pPr>
        <w:jc w:val="both"/>
        <w:rPr>
          <w:rFonts w:ascii="Arial" w:hAnsi="Arial" w:cs="Arial"/>
          <w:sz w:val="20"/>
          <w:szCs w:val="20"/>
        </w:rPr>
      </w:pPr>
      <w:r w:rsidRPr="007255B3">
        <w:rPr>
          <w:rFonts w:ascii="Arial" w:hAnsi="Arial" w:cs="Arial"/>
          <w:sz w:val="20"/>
          <w:szCs w:val="20"/>
        </w:rPr>
        <w:t xml:space="preserve">Indikatívny zoznam veľkých projektov bol priebežne aktualizovaný a schvaľovaný Monitorovacím výborom pre OP ŽP.  </w:t>
      </w:r>
    </w:p>
    <w:p w14:paraId="1421CE1E" w14:textId="2FCC834D" w:rsidR="002416B1" w:rsidRPr="00E21C60" w:rsidRDefault="002416B1" w:rsidP="00912C87">
      <w:pPr>
        <w:spacing w:before="120" w:after="120"/>
        <w:jc w:val="both"/>
        <w:rPr>
          <w:rFonts w:ascii="Arial" w:hAnsi="Arial" w:cs="Arial"/>
          <w:sz w:val="20"/>
          <w:szCs w:val="20"/>
        </w:rPr>
      </w:pPr>
      <w:r w:rsidRPr="00E21C60">
        <w:rPr>
          <w:rFonts w:ascii="Arial" w:hAnsi="Arial" w:cs="Arial"/>
          <w:sz w:val="20"/>
          <w:szCs w:val="20"/>
        </w:rPr>
        <w:t>Tab</w:t>
      </w:r>
      <w:r w:rsidR="00FC5F41" w:rsidRPr="00E21C60">
        <w:rPr>
          <w:rFonts w:ascii="Arial" w:hAnsi="Arial" w:cs="Arial"/>
          <w:sz w:val="20"/>
          <w:szCs w:val="20"/>
        </w:rPr>
        <w:t>uľka</w:t>
      </w:r>
      <w:r w:rsidRPr="00E21C60">
        <w:rPr>
          <w:rFonts w:ascii="Arial" w:hAnsi="Arial" w:cs="Arial"/>
          <w:sz w:val="20"/>
          <w:szCs w:val="20"/>
        </w:rPr>
        <w:t xml:space="preserve"> č.</w:t>
      </w:r>
      <w:r w:rsidR="00DF4409" w:rsidRPr="00E21C60">
        <w:rPr>
          <w:rFonts w:ascii="Arial" w:hAnsi="Arial" w:cs="Arial"/>
          <w:sz w:val="20"/>
          <w:szCs w:val="20"/>
        </w:rPr>
        <w:t xml:space="preserve"> </w:t>
      </w:r>
      <w:r w:rsidR="007B1CB9">
        <w:rPr>
          <w:rFonts w:ascii="Arial" w:hAnsi="Arial" w:cs="Arial"/>
          <w:sz w:val="20"/>
          <w:szCs w:val="20"/>
        </w:rPr>
        <w:t>90</w:t>
      </w:r>
      <w:r w:rsidRPr="00E21C60">
        <w:rPr>
          <w:rFonts w:ascii="Arial" w:hAnsi="Arial" w:cs="Arial"/>
          <w:sz w:val="20"/>
          <w:szCs w:val="20"/>
        </w:rPr>
        <w:t xml:space="preserve">: </w:t>
      </w:r>
      <w:bookmarkStart w:id="109" w:name="OLE_LINK47"/>
      <w:bookmarkStart w:id="110" w:name="OLE_LINK48"/>
      <w:r w:rsidRPr="00E21C60">
        <w:rPr>
          <w:rFonts w:ascii="Arial" w:hAnsi="Arial" w:cs="Arial"/>
          <w:sz w:val="20"/>
          <w:szCs w:val="20"/>
        </w:rPr>
        <w:t>Aktualizovaný zoznam veľkých projektov s uvedením ich stavu k 31.12.</w:t>
      </w:r>
      <w:bookmarkEnd w:id="109"/>
      <w:bookmarkEnd w:id="110"/>
      <w:r w:rsidR="00FC5F41" w:rsidRPr="00E21C60">
        <w:rPr>
          <w:rFonts w:ascii="Arial" w:hAnsi="Arial" w:cs="Arial"/>
          <w:sz w:val="20"/>
          <w:szCs w:val="20"/>
        </w:rPr>
        <w:t>201</w:t>
      </w:r>
      <w:r w:rsidR="00386D37">
        <w:rPr>
          <w:rFonts w:ascii="Arial" w:hAnsi="Arial" w:cs="Arial"/>
          <w:sz w:val="20"/>
          <w:szCs w:val="20"/>
        </w:rPr>
        <w:t>5</w:t>
      </w:r>
    </w:p>
    <w:tbl>
      <w:tblPr>
        <w:tblW w:w="89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32"/>
        <w:gridCol w:w="1751"/>
        <w:gridCol w:w="850"/>
        <w:gridCol w:w="945"/>
        <w:gridCol w:w="4110"/>
        <w:gridCol w:w="993"/>
      </w:tblGrid>
      <w:tr w:rsidR="000B0A84" w:rsidRPr="00E21C60" w14:paraId="3EECA040" w14:textId="77777777" w:rsidTr="00BB5CD0">
        <w:trPr>
          <w:trHeight w:val="612"/>
          <w:jc w:val="center"/>
        </w:trPr>
        <w:tc>
          <w:tcPr>
            <w:tcW w:w="332" w:type="dxa"/>
            <w:shd w:val="clear" w:color="auto" w:fill="C2D69B" w:themeFill="accent3" w:themeFillTint="99"/>
            <w:vAlign w:val="center"/>
          </w:tcPr>
          <w:p w14:paraId="6FED03BA" w14:textId="77777777" w:rsidR="000B0A84" w:rsidRPr="00E21C60" w:rsidRDefault="000B0A84">
            <w:pPr>
              <w:jc w:val="center"/>
              <w:rPr>
                <w:rFonts w:ascii="Arial" w:hAnsi="Arial" w:cs="Arial"/>
                <w:b/>
                <w:bCs/>
                <w:sz w:val="16"/>
                <w:szCs w:val="16"/>
              </w:rPr>
            </w:pPr>
            <w:r w:rsidRPr="00E21C60">
              <w:rPr>
                <w:rFonts w:ascii="Arial" w:hAnsi="Arial" w:cs="Arial"/>
                <w:b/>
                <w:bCs/>
                <w:sz w:val="16"/>
                <w:szCs w:val="16"/>
              </w:rPr>
              <w:t>P.č.</w:t>
            </w:r>
          </w:p>
        </w:tc>
        <w:tc>
          <w:tcPr>
            <w:tcW w:w="1751" w:type="dxa"/>
            <w:shd w:val="clear" w:color="auto" w:fill="C2D69B" w:themeFill="accent3" w:themeFillTint="99"/>
            <w:vAlign w:val="center"/>
          </w:tcPr>
          <w:p w14:paraId="72B4E490" w14:textId="77777777" w:rsidR="000B0A84" w:rsidRPr="00E21C60" w:rsidRDefault="000B0A84">
            <w:pPr>
              <w:jc w:val="center"/>
              <w:rPr>
                <w:rFonts w:ascii="Arial" w:hAnsi="Arial" w:cs="Arial"/>
                <w:b/>
                <w:bCs/>
                <w:sz w:val="16"/>
                <w:szCs w:val="16"/>
              </w:rPr>
            </w:pPr>
            <w:r w:rsidRPr="00E21C60">
              <w:rPr>
                <w:rFonts w:ascii="Arial" w:hAnsi="Arial" w:cs="Arial"/>
                <w:b/>
                <w:bCs/>
                <w:sz w:val="16"/>
                <w:szCs w:val="16"/>
              </w:rPr>
              <w:t>Názov projektu</w:t>
            </w:r>
          </w:p>
        </w:tc>
        <w:tc>
          <w:tcPr>
            <w:tcW w:w="850" w:type="dxa"/>
            <w:shd w:val="clear" w:color="auto" w:fill="C2D69B" w:themeFill="accent3" w:themeFillTint="99"/>
            <w:vAlign w:val="center"/>
          </w:tcPr>
          <w:p w14:paraId="20B15B08" w14:textId="77777777" w:rsidR="000B0A84" w:rsidRPr="00E21C60" w:rsidRDefault="000B0A84">
            <w:pPr>
              <w:jc w:val="center"/>
              <w:rPr>
                <w:rFonts w:ascii="Arial" w:hAnsi="Arial" w:cs="Arial"/>
                <w:b/>
                <w:bCs/>
                <w:sz w:val="16"/>
                <w:szCs w:val="16"/>
              </w:rPr>
            </w:pPr>
            <w:r w:rsidRPr="00E21C60">
              <w:rPr>
                <w:rFonts w:ascii="Arial" w:hAnsi="Arial" w:cs="Arial"/>
                <w:b/>
                <w:bCs/>
                <w:sz w:val="16"/>
                <w:szCs w:val="16"/>
              </w:rPr>
              <w:t>Žiadateľ</w:t>
            </w:r>
          </w:p>
        </w:tc>
        <w:tc>
          <w:tcPr>
            <w:tcW w:w="945" w:type="dxa"/>
            <w:shd w:val="clear" w:color="auto" w:fill="C2D69B" w:themeFill="accent3" w:themeFillTint="99"/>
            <w:vAlign w:val="center"/>
          </w:tcPr>
          <w:p w14:paraId="4EFDF8FA" w14:textId="77777777" w:rsidR="000B0A84" w:rsidRPr="00E21C60" w:rsidRDefault="000B0A84">
            <w:pPr>
              <w:jc w:val="center"/>
              <w:rPr>
                <w:rFonts w:ascii="Arial" w:hAnsi="Arial" w:cs="Arial"/>
                <w:b/>
                <w:bCs/>
                <w:sz w:val="16"/>
                <w:szCs w:val="16"/>
              </w:rPr>
            </w:pPr>
            <w:r w:rsidRPr="00E21C60">
              <w:rPr>
                <w:rFonts w:ascii="Arial" w:hAnsi="Arial" w:cs="Arial"/>
                <w:b/>
                <w:bCs/>
                <w:sz w:val="16"/>
                <w:szCs w:val="16"/>
              </w:rPr>
              <w:t>Zaslanie EK</w:t>
            </w:r>
          </w:p>
        </w:tc>
        <w:tc>
          <w:tcPr>
            <w:tcW w:w="4110" w:type="dxa"/>
            <w:shd w:val="clear" w:color="auto" w:fill="C2D69B" w:themeFill="accent3" w:themeFillTint="99"/>
            <w:vAlign w:val="center"/>
          </w:tcPr>
          <w:p w14:paraId="00457C12" w14:textId="77777777" w:rsidR="000B0A84" w:rsidRPr="00E21C60" w:rsidRDefault="000B0A84">
            <w:pPr>
              <w:jc w:val="center"/>
              <w:rPr>
                <w:rFonts w:ascii="Arial" w:hAnsi="Arial" w:cs="Arial"/>
                <w:b/>
                <w:bCs/>
                <w:sz w:val="16"/>
                <w:szCs w:val="16"/>
              </w:rPr>
            </w:pPr>
            <w:r w:rsidRPr="00E21C60">
              <w:rPr>
                <w:rFonts w:ascii="Arial" w:hAnsi="Arial" w:cs="Arial"/>
                <w:b/>
                <w:bCs/>
                <w:sz w:val="16"/>
                <w:szCs w:val="16"/>
              </w:rPr>
              <w:t>Prehľad prerušení</w:t>
            </w:r>
          </w:p>
        </w:tc>
        <w:tc>
          <w:tcPr>
            <w:tcW w:w="993" w:type="dxa"/>
            <w:shd w:val="clear" w:color="auto" w:fill="C2D69B" w:themeFill="accent3" w:themeFillTint="99"/>
            <w:vAlign w:val="center"/>
          </w:tcPr>
          <w:p w14:paraId="04B56B93" w14:textId="77777777" w:rsidR="000B0A84" w:rsidRPr="00E21C60" w:rsidRDefault="000B0A84">
            <w:pPr>
              <w:jc w:val="center"/>
              <w:rPr>
                <w:rFonts w:ascii="Arial" w:hAnsi="Arial" w:cs="Arial"/>
                <w:b/>
                <w:bCs/>
                <w:sz w:val="16"/>
                <w:szCs w:val="16"/>
              </w:rPr>
            </w:pPr>
            <w:r w:rsidRPr="00E21C60">
              <w:rPr>
                <w:rFonts w:ascii="Arial" w:hAnsi="Arial" w:cs="Arial"/>
                <w:b/>
                <w:bCs/>
                <w:sz w:val="16"/>
                <w:szCs w:val="16"/>
              </w:rPr>
              <w:t>Schválenie EK</w:t>
            </w:r>
          </w:p>
        </w:tc>
      </w:tr>
      <w:tr w:rsidR="000B0A84" w:rsidRPr="00E21C60" w14:paraId="57DEEBF2" w14:textId="77777777" w:rsidTr="00123376">
        <w:trPr>
          <w:trHeight w:val="460"/>
          <w:jc w:val="center"/>
        </w:trPr>
        <w:tc>
          <w:tcPr>
            <w:tcW w:w="332" w:type="dxa"/>
            <w:vAlign w:val="center"/>
          </w:tcPr>
          <w:p w14:paraId="16CC81CB"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1.</w:t>
            </w:r>
          </w:p>
        </w:tc>
        <w:tc>
          <w:tcPr>
            <w:tcW w:w="1751" w:type="dxa"/>
            <w:vAlign w:val="center"/>
          </w:tcPr>
          <w:p w14:paraId="3E9C0178" w14:textId="77777777" w:rsidR="000B0A84" w:rsidRPr="00E21C60" w:rsidRDefault="000B0A84" w:rsidP="00510690">
            <w:pPr>
              <w:rPr>
                <w:rFonts w:ascii="Arial" w:hAnsi="Arial" w:cs="Arial"/>
                <w:sz w:val="16"/>
                <w:szCs w:val="16"/>
              </w:rPr>
            </w:pPr>
            <w:r w:rsidRPr="00E21C60">
              <w:rPr>
                <w:rFonts w:ascii="Arial" w:hAnsi="Arial" w:cs="Arial"/>
                <w:sz w:val="16"/>
                <w:szCs w:val="16"/>
              </w:rPr>
              <w:t>SKK Ružomberok a ČOV Liptovská Teplá, Liptovské Sliače</w:t>
            </w:r>
          </w:p>
        </w:tc>
        <w:tc>
          <w:tcPr>
            <w:tcW w:w="850" w:type="dxa"/>
            <w:vAlign w:val="center"/>
          </w:tcPr>
          <w:p w14:paraId="01F11F55" w14:textId="77777777" w:rsidR="000B0A84" w:rsidRPr="00E21C60" w:rsidRDefault="000B0A84">
            <w:pPr>
              <w:rPr>
                <w:rFonts w:ascii="Arial" w:hAnsi="Arial" w:cs="Arial"/>
                <w:sz w:val="16"/>
                <w:szCs w:val="16"/>
              </w:rPr>
            </w:pPr>
            <w:r w:rsidRPr="00E21C60">
              <w:rPr>
                <w:rFonts w:ascii="Arial" w:hAnsi="Arial" w:cs="Arial"/>
                <w:sz w:val="16"/>
                <w:szCs w:val="16"/>
              </w:rPr>
              <w:t xml:space="preserve">VSR, </w:t>
            </w:r>
          </w:p>
          <w:p w14:paraId="1A4B9EFA" w14:textId="77777777" w:rsidR="000B0A84" w:rsidRPr="00E21C60" w:rsidRDefault="000B0A84">
            <w:pPr>
              <w:rPr>
                <w:rFonts w:ascii="Arial" w:hAnsi="Arial" w:cs="Arial"/>
                <w:sz w:val="16"/>
                <w:szCs w:val="16"/>
              </w:rPr>
            </w:pPr>
            <w:r w:rsidRPr="00E21C60">
              <w:rPr>
                <w:rFonts w:ascii="Arial" w:hAnsi="Arial" w:cs="Arial"/>
                <w:sz w:val="16"/>
                <w:szCs w:val="16"/>
              </w:rPr>
              <w:t>a.s.</w:t>
            </w:r>
          </w:p>
        </w:tc>
        <w:tc>
          <w:tcPr>
            <w:tcW w:w="945" w:type="dxa"/>
            <w:vAlign w:val="center"/>
          </w:tcPr>
          <w:p w14:paraId="621E9EE8"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04.05.2010</w:t>
            </w:r>
          </w:p>
        </w:tc>
        <w:tc>
          <w:tcPr>
            <w:tcW w:w="4110" w:type="dxa"/>
            <w:vAlign w:val="center"/>
          </w:tcPr>
          <w:p w14:paraId="4BC32311" w14:textId="77777777" w:rsidR="000B0A84" w:rsidRPr="00E21C60" w:rsidRDefault="000B0A84" w:rsidP="00123376">
            <w:pPr>
              <w:rPr>
                <w:rFonts w:ascii="Arial" w:hAnsi="Arial" w:cs="Arial"/>
                <w:sz w:val="16"/>
                <w:szCs w:val="16"/>
              </w:rPr>
            </w:pPr>
            <w:r w:rsidRPr="00E21C60">
              <w:rPr>
                <w:rFonts w:ascii="Arial" w:hAnsi="Arial" w:cs="Arial"/>
                <w:sz w:val="16"/>
                <w:szCs w:val="16"/>
              </w:rPr>
              <w:t>I. prerušenie 07.09.2010,    odpoveď RO 30.11.2010</w:t>
            </w:r>
          </w:p>
          <w:p w14:paraId="18251586" w14:textId="77777777" w:rsidR="000B0A84" w:rsidRPr="00E21C60" w:rsidRDefault="000B0A84" w:rsidP="00123376">
            <w:pPr>
              <w:rPr>
                <w:rFonts w:ascii="Arial" w:hAnsi="Arial" w:cs="Arial"/>
                <w:sz w:val="16"/>
                <w:szCs w:val="16"/>
              </w:rPr>
            </w:pPr>
            <w:r w:rsidRPr="00E21C60">
              <w:rPr>
                <w:rFonts w:ascii="Arial" w:hAnsi="Arial" w:cs="Arial"/>
                <w:sz w:val="16"/>
                <w:szCs w:val="16"/>
              </w:rPr>
              <w:t>II. prerušenie 22.03.2011,   odpoveď RO 12.07.2011</w:t>
            </w:r>
          </w:p>
        </w:tc>
        <w:tc>
          <w:tcPr>
            <w:tcW w:w="993" w:type="dxa"/>
            <w:shd w:val="clear" w:color="auto" w:fill="EAF1DD" w:themeFill="accent3" w:themeFillTint="33"/>
            <w:vAlign w:val="center"/>
          </w:tcPr>
          <w:p w14:paraId="61B7810E" w14:textId="77777777" w:rsidR="000B0A84" w:rsidRPr="00E21C60" w:rsidRDefault="000B0A84">
            <w:pPr>
              <w:spacing w:before="120"/>
              <w:jc w:val="center"/>
              <w:rPr>
                <w:rFonts w:ascii="Arial" w:hAnsi="Arial" w:cs="Arial"/>
                <w:b/>
                <w:sz w:val="16"/>
                <w:szCs w:val="16"/>
              </w:rPr>
            </w:pPr>
            <w:r w:rsidRPr="00E21C60">
              <w:rPr>
                <w:rFonts w:ascii="Arial" w:hAnsi="Arial" w:cs="Arial"/>
                <w:b/>
                <w:sz w:val="16"/>
                <w:szCs w:val="16"/>
              </w:rPr>
              <w:t>16.02.2012</w:t>
            </w:r>
          </w:p>
        </w:tc>
      </w:tr>
      <w:tr w:rsidR="000B0A84" w:rsidRPr="00E21C60" w14:paraId="544CF87B" w14:textId="77777777" w:rsidTr="00123376">
        <w:trPr>
          <w:trHeight w:val="460"/>
          <w:jc w:val="center"/>
        </w:trPr>
        <w:tc>
          <w:tcPr>
            <w:tcW w:w="332" w:type="dxa"/>
            <w:vAlign w:val="center"/>
          </w:tcPr>
          <w:p w14:paraId="1E0E9867"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2.</w:t>
            </w:r>
          </w:p>
        </w:tc>
        <w:tc>
          <w:tcPr>
            <w:tcW w:w="1751" w:type="dxa"/>
            <w:vAlign w:val="center"/>
          </w:tcPr>
          <w:p w14:paraId="30F97A11" w14:textId="77777777" w:rsidR="000B0A84" w:rsidRPr="00E21C60" w:rsidRDefault="000B0A84" w:rsidP="00510690">
            <w:pPr>
              <w:rPr>
                <w:rFonts w:ascii="Arial" w:hAnsi="Arial" w:cs="Arial"/>
                <w:sz w:val="16"/>
                <w:szCs w:val="16"/>
              </w:rPr>
            </w:pPr>
            <w:r w:rsidRPr="00E21C60">
              <w:rPr>
                <w:rFonts w:ascii="Arial" w:hAnsi="Arial" w:cs="Arial"/>
                <w:sz w:val="16"/>
                <w:szCs w:val="16"/>
              </w:rPr>
              <w:t>Zásobovanie vodou, odkanalizovanie a čistenie odpadových vôd v okrese Ilava</w:t>
            </w:r>
          </w:p>
        </w:tc>
        <w:tc>
          <w:tcPr>
            <w:tcW w:w="850" w:type="dxa"/>
            <w:vAlign w:val="center"/>
          </w:tcPr>
          <w:p w14:paraId="6DCC9F10" w14:textId="77777777" w:rsidR="000B0A84" w:rsidRPr="00E21C60" w:rsidRDefault="000B0A84">
            <w:pPr>
              <w:rPr>
                <w:rFonts w:ascii="Arial" w:hAnsi="Arial" w:cs="Arial"/>
                <w:sz w:val="16"/>
                <w:szCs w:val="16"/>
              </w:rPr>
            </w:pPr>
            <w:r w:rsidRPr="00E21C60">
              <w:rPr>
                <w:rFonts w:ascii="Arial" w:hAnsi="Arial" w:cs="Arial"/>
                <w:sz w:val="16"/>
                <w:szCs w:val="16"/>
              </w:rPr>
              <w:t>PoVS,</w:t>
            </w:r>
          </w:p>
          <w:p w14:paraId="5DFF0E30" w14:textId="77777777" w:rsidR="000B0A84" w:rsidRPr="00E21C60" w:rsidRDefault="000B0A84">
            <w:pPr>
              <w:rPr>
                <w:rFonts w:ascii="Arial" w:hAnsi="Arial" w:cs="Arial"/>
                <w:sz w:val="16"/>
                <w:szCs w:val="16"/>
              </w:rPr>
            </w:pPr>
            <w:r w:rsidRPr="00E21C60">
              <w:rPr>
                <w:rFonts w:ascii="Arial" w:hAnsi="Arial" w:cs="Arial"/>
                <w:sz w:val="16"/>
                <w:szCs w:val="16"/>
              </w:rPr>
              <w:t>a.s.</w:t>
            </w:r>
          </w:p>
        </w:tc>
        <w:tc>
          <w:tcPr>
            <w:tcW w:w="945" w:type="dxa"/>
            <w:vAlign w:val="center"/>
          </w:tcPr>
          <w:p w14:paraId="1CD03E80"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03.09.2010</w:t>
            </w:r>
          </w:p>
        </w:tc>
        <w:tc>
          <w:tcPr>
            <w:tcW w:w="4110" w:type="dxa"/>
            <w:vAlign w:val="center"/>
          </w:tcPr>
          <w:p w14:paraId="7BFA8006" w14:textId="77777777" w:rsidR="000B0A84" w:rsidRPr="00E21C60" w:rsidRDefault="000B0A84" w:rsidP="00123376">
            <w:pPr>
              <w:rPr>
                <w:rFonts w:ascii="Arial" w:hAnsi="Arial" w:cs="Arial"/>
                <w:sz w:val="16"/>
                <w:szCs w:val="16"/>
              </w:rPr>
            </w:pPr>
            <w:r w:rsidRPr="00E21C60">
              <w:rPr>
                <w:rFonts w:ascii="Arial" w:hAnsi="Arial" w:cs="Arial"/>
                <w:sz w:val="16"/>
                <w:szCs w:val="16"/>
              </w:rPr>
              <w:t>I. prerušenie 23.11.2010,    odpoveď RO 29.03.2011</w:t>
            </w:r>
          </w:p>
          <w:p w14:paraId="540E69FA" w14:textId="77777777" w:rsidR="000B0A84" w:rsidRPr="00E21C60" w:rsidRDefault="000B0A84" w:rsidP="00123376">
            <w:pPr>
              <w:rPr>
                <w:rFonts w:ascii="Arial" w:hAnsi="Arial" w:cs="Arial"/>
                <w:sz w:val="16"/>
                <w:szCs w:val="16"/>
              </w:rPr>
            </w:pPr>
            <w:r w:rsidRPr="00E21C60">
              <w:rPr>
                <w:rFonts w:ascii="Arial" w:hAnsi="Arial" w:cs="Arial"/>
                <w:sz w:val="16"/>
                <w:szCs w:val="16"/>
              </w:rPr>
              <w:t>II. prerušenie 27.07.2011,   odpoveď RO 26.10.2011</w:t>
            </w:r>
          </w:p>
          <w:p w14:paraId="48048924" w14:textId="77777777" w:rsidR="000B0A84" w:rsidRPr="00E21C60" w:rsidRDefault="000B0A84" w:rsidP="00123376">
            <w:pPr>
              <w:rPr>
                <w:rFonts w:ascii="Arial" w:hAnsi="Arial" w:cs="Arial"/>
                <w:sz w:val="16"/>
                <w:szCs w:val="16"/>
              </w:rPr>
            </w:pPr>
            <w:r w:rsidRPr="00E21C60">
              <w:rPr>
                <w:rFonts w:ascii="Arial" w:hAnsi="Arial" w:cs="Arial"/>
                <w:sz w:val="16"/>
                <w:szCs w:val="16"/>
              </w:rPr>
              <w:t>III. prerušenie  08.02.2012, odpoveď RO 01.03.2012</w:t>
            </w:r>
          </w:p>
          <w:p w14:paraId="710E0470" w14:textId="77777777" w:rsidR="000B0A84" w:rsidRPr="00E21C60" w:rsidRDefault="000B0A84" w:rsidP="00123376">
            <w:pPr>
              <w:rPr>
                <w:rFonts w:ascii="Arial" w:hAnsi="Arial" w:cs="Arial"/>
                <w:sz w:val="16"/>
                <w:szCs w:val="16"/>
              </w:rPr>
            </w:pPr>
            <w:r w:rsidRPr="00E21C60">
              <w:rPr>
                <w:rFonts w:ascii="Arial" w:hAnsi="Arial" w:cs="Arial"/>
                <w:sz w:val="16"/>
                <w:szCs w:val="16"/>
              </w:rPr>
              <w:t>IV. prerušenie 19.03.2012,  odpoveď RO 13.04.2012</w:t>
            </w:r>
          </w:p>
          <w:p w14:paraId="41CD3F23" w14:textId="77777777" w:rsidR="000B0A84" w:rsidRPr="00E21C60" w:rsidRDefault="000B0A84" w:rsidP="00123376">
            <w:pPr>
              <w:rPr>
                <w:rFonts w:ascii="Arial" w:hAnsi="Arial" w:cs="Arial"/>
                <w:sz w:val="16"/>
                <w:szCs w:val="16"/>
              </w:rPr>
            </w:pPr>
            <w:r w:rsidRPr="00E21C60">
              <w:rPr>
                <w:rFonts w:ascii="Arial" w:hAnsi="Arial" w:cs="Arial"/>
                <w:sz w:val="16"/>
                <w:szCs w:val="16"/>
              </w:rPr>
              <w:t>V. prerušenie 07.05.2012,   odpoveď RO 18.05.2012</w:t>
            </w:r>
          </w:p>
        </w:tc>
        <w:tc>
          <w:tcPr>
            <w:tcW w:w="993" w:type="dxa"/>
            <w:shd w:val="clear" w:color="auto" w:fill="EAF1DD" w:themeFill="accent3" w:themeFillTint="33"/>
            <w:vAlign w:val="center"/>
          </w:tcPr>
          <w:p w14:paraId="79FC04B1" w14:textId="77777777" w:rsidR="000B0A84" w:rsidRPr="00E21C60" w:rsidRDefault="000B0A84">
            <w:pPr>
              <w:spacing w:before="120"/>
              <w:jc w:val="center"/>
              <w:rPr>
                <w:rFonts w:ascii="Arial" w:hAnsi="Arial" w:cs="Arial"/>
                <w:b/>
                <w:sz w:val="16"/>
                <w:szCs w:val="16"/>
              </w:rPr>
            </w:pPr>
            <w:r w:rsidRPr="00E21C60">
              <w:rPr>
                <w:rFonts w:ascii="Arial" w:hAnsi="Arial" w:cs="Arial"/>
                <w:b/>
                <w:sz w:val="16"/>
                <w:szCs w:val="16"/>
              </w:rPr>
              <w:t>16.07.2012</w:t>
            </w:r>
          </w:p>
        </w:tc>
      </w:tr>
      <w:tr w:rsidR="000B0A84" w:rsidRPr="00E21C60" w14:paraId="1974866F" w14:textId="77777777" w:rsidTr="00123376">
        <w:trPr>
          <w:trHeight w:val="460"/>
          <w:jc w:val="center"/>
        </w:trPr>
        <w:tc>
          <w:tcPr>
            <w:tcW w:w="332" w:type="dxa"/>
            <w:vAlign w:val="center"/>
          </w:tcPr>
          <w:p w14:paraId="27E55C07"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3.</w:t>
            </w:r>
          </w:p>
        </w:tc>
        <w:tc>
          <w:tcPr>
            <w:tcW w:w="1751" w:type="dxa"/>
            <w:vAlign w:val="center"/>
          </w:tcPr>
          <w:p w14:paraId="25084E1D" w14:textId="77777777" w:rsidR="000B0A84" w:rsidRPr="00E21C60" w:rsidRDefault="000B0A84" w:rsidP="00510690">
            <w:pPr>
              <w:rPr>
                <w:rFonts w:ascii="Arial" w:hAnsi="Arial" w:cs="Arial"/>
                <w:sz w:val="16"/>
                <w:szCs w:val="16"/>
              </w:rPr>
            </w:pPr>
            <w:r w:rsidRPr="00E21C60">
              <w:rPr>
                <w:rFonts w:ascii="Arial" w:hAnsi="Arial" w:cs="Arial"/>
                <w:sz w:val="16"/>
                <w:szCs w:val="16"/>
              </w:rPr>
              <w:t>Intenzifikácia ČOV, odkanalizovanie a zásobovanie pitnou vodou v Trenčianskom regióne</w:t>
            </w:r>
          </w:p>
        </w:tc>
        <w:tc>
          <w:tcPr>
            <w:tcW w:w="850" w:type="dxa"/>
            <w:vAlign w:val="center"/>
          </w:tcPr>
          <w:p w14:paraId="4AA972A5" w14:textId="77777777" w:rsidR="000B0A84" w:rsidRPr="00E21C60" w:rsidRDefault="000B0A84">
            <w:pPr>
              <w:rPr>
                <w:rFonts w:ascii="Arial" w:hAnsi="Arial" w:cs="Arial"/>
                <w:sz w:val="16"/>
                <w:szCs w:val="16"/>
              </w:rPr>
            </w:pPr>
            <w:r w:rsidRPr="00E21C60">
              <w:rPr>
                <w:rFonts w:ascii="Arial" w:hAnsi="Arial" w:cs="Arial"/>
                <w:sz w:val="16"/>
                <w:szCs w:val="16"/>
              </w:rPr>
              <w:t xml:space="preserve">TVaK, </w:t>
            </w:r>
          </w:p>
          <w:p w14:paraId="61A0020D" w14:textId="77777777" w:rsidR="000B0A84" w:rsidRPr="00E21C60" w:rsidRDefault="000B0A84">
            <w:pPr>
              <w:rPr>
                <w:rFonts w:ascii="Arial" w:hAnsi="Arial" w:cs="Arial"/>
                <w:sz w:val="16"/>
                <w:szCs w:val="16"/>
              </w:rPr>
            </w:pPr>
            <w:r w:rsidRPr="00E21C60">
              <w:rPr>
                <w:rFonts w:ascii="Arial" w:hAnsi="Arial" w:cs="Arial"/>
                <w:sz w:val="16"/>
                <w:szCs w:val="16"/>
              </w:rPr>
              <w:t>a.s.</w:t>
            </w:r>
          </w:p>
        </w:tc>
        <w:tc>
          <w:tcPr>
            <w:tcW w:w="945" w:type="dxa"/>
            <w:vAlign w:val="center"/>
          </w:tcPr>
          <w:p w14:paraId="527B8BF5"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21.09.2010</w:t>
            </w:r>
          </w:p>
        </w:tc>
        <w:tc>
          <w:tcPr>
            <w:tcW w:w="4110" w:type="dxa"/>
            <w:vAlign w:val="center"/>
          </w:tcPr>
          <w:p w14:paraId="68B50AAC" w14:textId="77777777" w:rsidR="000B0A84" w:rsidRPr="00E21C60" w:rsidRDefault="000B0A84" w:rsidP="00123376">
            <w:pPr>
              <w:rPr>
                <w:rFonts w:ascii="Arial" w:hAnsi="Arial" w:cs="Arial"/>
                <w:sz w:val="16"/>
                <w:szCs w:val="16"/>
              </w:rPr>
            </w:pPr>
            <w:r w:rsidRPr="00E21C60">
              <w:rPr>
                <w:rFonts w:ascii="Arial" w:hAnsi="Arial" w:cs="Arial"/>
                <w:sz w:val="16"/>
                <w:szCs w:val="16"/>
              </w:rPr>
              <w:t>I. prerušenie 02.02. 2011,    odpoveď RO 17.05.2011</w:t>
            </w:r>
          </w:p>
          <w:p w14:paraId="04674C11" w14:textId="77777777" w:rsidR="000B0A84" w:rsidRPr="00E21C60" w:rsidRDefault="000B0A84" w:rsidP="00123376">
            <w:pPr>
              <w:rPr>
                <w:rFonts w:ascii="Arial" w:hAnsi="Arial" w:cs="Arial"/>
                <w:sz w:val="16"/>
                <w:szCs w:val="16"/>
              </w:rPr>
            </w:pPr>
            <w:r w:rsidRPr="00E21C60">
              <w:rPr>
                <w:rFonts w:ascii="Arial" w:hAnsi="Arial" w:cs="Arial"/>
                <w:sz w:val="16"/>
                <w:szCs w:val="16"/>
              </w:rPr>
              <w:t>II. prerušenie 13.09.2011,    odpoveď RO 05.12.2011</w:t>
            </w:r>
          </w:p>
          <w:p w14:paraId="09DDEB04" w14:textId="77777777" w:rsidR="000B0A84" w:rsidRPr="00E21C60" w:rsidRDefault="000B0A84" w:rsidP="00123376">
            <w:pPr>
              <w:rPr>
                <w:rFonts w:ascii="Arial" w:hAnsi="Arial" w:cs="Arial"/>
                <w:sz w:val="16"/>
                <w:szCs w:val="16"/>
              </w:rPr>
            </w:pPr>
            <w:r w:rsidRPr="00E21C60">
              <w:rPr>
                <w:rFonts w:ascii="Arial" w:hAnsi="Arial" w:cs="Arial"/>
                <w:sz w:val="16"/>
                <w:szCs w:val="16"/>
              </w:rPr>
              <w:t>III. prerušenie 06.02. 2012,  odpoveď RO 20.02.2012</w:t>
            </w:r>
          </w:p>
          <w:p w14:paraId="218DACD5" w14:textId="77777777" w:rsidR="000B0A84" w:rsidRPr="00E21C60" w:rsidRDefault="000B0A84" w:rsidP="00123376">
            <w:pPr>
              <w:rPr>
                <w:rFonts w:ascii="Arial" w:hAnsi="Arial" w:cs="Arial"/>
                <w:sz w:val="16"/>
                <w:szCs w:val="16"/>
              </w:rPr>
            </w:pPr>
            <w:r w:rsidRPr="00E21C60">
              <w:rPr>
                <w:rFonts w:ascii="Arial" w:hAnsi="Arial" w:cs="Arial"/>
                <w:sz w:val="16"/>
                <w:szCs w:val="16"/>
              </w:rPr>
              <w:t>IV. prerušenie 02.04. 2012,  odpoveď RO 13.04.2012</w:t>
            </w:r>
          </w:p>
          <w:p w14:paraId="532C1994" w14:textId="77777777" w:rsidR="000B0A84" w:rsidRPr="00E21C60" w:rsidRDefault="000B0A84" w:rsidP="00123376">
            <w:pPr>
              <w:rPr>
                <w:rFonts w:ascii="Arial" w:hAnsi="Arial" w:cs="Arial"/>
                <w:sz w:val="16"/>
                <w:szCs w:val="16"/>
              </w:rPr>
            </w:pPr>
            <w:r w:rsidRPr="00E21C60">
              <w:rPr>
                <w:rFonts w:ascii="Arial" w:hAnsi="Arial" w:cs="Arial"/>
                <w:sz w:val="16"/>
                <w:szCs w:val="16"/>
              </w:rPr>
              <w:t>V. prerušenie 07.</w:t>
            </w:r>
            <w:r w:rsidR="0002711C">
              <w:rPr>
                <w:rFonts w:ascii="Arial" w:hAnsi="Arial" w:cs="Arial"/>
                <w:sz w:val="16"/>
                <w:szCs w:val="16"/>
              </w:rPr>
              <w:t>0</w:t>
            </w:r>
            <w:r w:rsidRPr="00E21C60">
              <w:rPr>
                <w:rFonts w:ascii="Arial" w:hAnsi="Arial" w:cs="Arial"/>
                <w:sz w:val="16"/>
                <w:szCs w:val="16"/>
              </w:rPr>
              <w:t>5. 2012,   odpoveď RO 18.05.2012</w:t>
            </w:r>
          </w:p>
        </w:tc>
        <w:tc>
          <w:tcPr>
            <w:tcW w:w="993" w:type="dxa"/>
            <w:shd w:val="clear" w:color="auto" w:fill="EAF1DD" w:themeFill="accent3" w:themeFillTint="33"/>
            <w:vAlign w:val="center"/>
          </w:tcPr>
          <w:p w14:paraId="5DDE376D" w14:textId="77777777" w:rsidR="000B0A84" w:rsidRPr="00E21C60" w:rsidRDefault="000B0A84">
            <w:pPr>
              <w:spacing w:before="120"/>
              <w:jc w:val="center"/>
              <w:rPr>
                <w:rFonts w:ascii="Arial" w:hAnsi="Arial" w:cs="Arial"/>
                <w:b/>
                <w:sz w:val="16"/>
                <w:szCs w:val="16"/>
              </w:rPr>
            </w:pPr>
            <w:r w:rsidRPr="00E21C60">
              <w:rPr>
                <w:rFonts w:ascii="Arial" w:hAnsi="Arial" w:cs="Arial"/>
                <w:b/>
                <w:sz w:val="16"/>
                <w:szCs w:val="16"/>
              </w:rPr>
              <w:t>03.07.2012</w:t>
            </w:r>
          </w:p>
          <w:p w14:paraId="310149AF" w14:textId="77777777" w:rsidR="000B0A84" w:rsidRPr="00E21C60" w:rsidRDefault="000B0A84">
            <w:pPr>
              <w:spacing w:before="120"/>
              <w:jc w:val="center"/>
              <w:rPr>
                <w:rFonts w:ascii="Arial" w:hAnsi="Arial" w:cs="Arial"/>
                <w:sz w:val="16"/>
                <w:szCs w:val="16"/>
              </w:rPr>
            </w:pPr>
          </w:p>
        </w:tc>
      </w:tr>
      <w:tr w:rsidR="000B0A84" w:rsidRPr="00E21C60" w14:paraId="352AD5B5" w14:textId="77777777" w:rsidTr="00123376">
        <w:trPr>
          <w:trHeight w:val="460"/>
          <w:jc w:val="center"/>
        </w:trPr>
        <w:tc>
          <w:tcPr>
            <w:tcW w:w="332" w:type="dxa"/>
            <w:vAlign w:val="center"/>
          </w:tcPr>
          <w:p w14:paraId="26560B38"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4.</w:t>
            </w:r>
          </w:p>
        </w:tc>
        <w:tc>
          <w:tcPr>
            <w:tcW w:w="1751" w:type="dxa"/>
            <w:vAlign w:val="center"/>
          </w:tcPr>
          <w:p w14:paraId="4DF93457" w14:textId="77777777" w:rsidR="000B0A84" w:rsidRPr="00E21C60" w:rsidRDefault="000B0A84" w:rsidP="00510690">
            <w:pPr>
              <w:rPr>
                <w:rFonts w:ascii="Arial" w:hAnsi="Arial" w:cs="Arial"/>
                <w:sz w:val="16"/>
                <w:szCs w:val="16"/>
              </w:rPr>
            </w:pPr>
            <w:r w:rsidRPr="00E21C60">
              <w:rPr>
                <w:rFonts w:ascii="Arial" w:hAnsi="Arial" w:cs="Arial"/>
                <w:sz w:val="16"/>
                <w:szCs w:val="16"/>
              </w:rPr>
              <w:t>Zásobovanie vodou a kanalizácia oravského regiónu,</w:t>
            </w:r>
            <w:r w:rsidR="0014391F">
              <w:rPr>
                <w:rFonts w:ascii="Arial" w:hAnsi="Arial" w:cs="Arial"/>
                <w:sz w:val="16"/>
                <w:szCs w:val="16"/>
              </w:rPr>
              <w:t xml:space="preserve"> </w:t>
            </w:r>
            <w:r w:rsidR="0014391F">
              <w:rPr>
                <w:rFonts w:ascii="Arial" w:hAnsi="Arial" w:cs="Arial"/>
                <w:sz w:val="16"/>
                <w:szCs w:val="16"/>
              </w:rPr>
              <w:br/>
            </w:r>
            <w:r w:rsidRPr="00E21C60">
              <w:rPr>
                <w:rFonts w:ascii="Arial" w:hAnsi="Arial" w:cs="Arial"/>
                <w:sz w:val="16"/>
                <w:szCs w:val="16"/>
              </w:rPr>
              <w:t>2. etapa</w:t>
            </w:r>
          </w:p>
        </w:tc>
        <w:tc>
          <w:tcPr>
            <w:tcW w:w="850" w:type="dxa"/>
            <w:vAlign w:val="center"/>
          </w:tcPr>
          <w:p w14:paraId="6C59D501" w14:textId="77777777" w:rsidR="000B0A84" w:rsidRPr="00E21C60" w:rsidRDefault="000B0A84">
            <w:pPr>
              <w:rPr>
                <w:rFonts w:ascii="Arial" w:hAnsi="Arial" w:cs="Arial"/>
                <w:sz w:val="16"/>
                <w:szCs w:val="16"/>
              </w:rPr>
            </w:pPr>
            <w:r w:rsidRPr="00E21C60">
              <w:rPr>
                <w:rFonts w:ascii="Arial" w:hAnsi="Arial" w:cs="Arial"/>
                <w:sz w:val="16"/>
                <w:szCs w:val="16"/>
              </w:rPr>
              <w:t xml:space="preserve">OVS, </w:t>
            </w:r>
          </w:p>
          <w:p w14:paraId="4D4D7AAD" w14:textId="77777777" w:rsidR="000B0A84" w:rsidRPr="00E21C60" w:rsidRDefault="000B0A84">
            <w:pPr>
              <w:rPr>
                <w:rFonts w:ascii="Arial" w:hAnsi="Arial" w:cs="Arial"/>
                <w:sz w:val="16"/>
                <w:szCs w:val="16"/>
              </w:rPr>
            </w:pPr>
            <w:r w:rsidRPr="00E21C60">
              <w:rPr>
                <w:rFonts w:ascii="Arial" w:hAnsi="Arial" w:cs="Arial"/>
                <w:sz w:val="16"/>
                <w:szCs w:val="16"/>
              </w:rPr>
              <w:t>a.s.</w:t>
            </w:r>
          </w:p>
        </w:tc>
        <w:tc>
          <w:tcPr>
            <w:tcW w:w="945" w:type="dxa"/>
            <w:vAlign w:val="center"/>
          </w:tcPr>
          <w:p w14:paraId="30682DAB"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20.04.2011</w:t>
            </w:r>
          </w:p>
        </w:tc>
        <w:tc>
          <w:tcPr>
            <w:tcW w:w="4110" w:type="dxa"/>
            <w:vAlign w:val="center"/>
          </w:tcPr>
          <w:p w14:paraId="27ACC566" w14:textId="77777777" w:rsidR="000B0A84" w:rsidRPr="00E21C60" w:rsidRDefault="000B0A84" w:rsidP="00123376">
            <w:pPr>
              <w:rPr>
                <w:rFonts w:ascii="Arial" w:hAnsi="Arial" w:cs="Arial"/>
                <w:sz w:val="16"/>
                <w:szCs w:val="16"/>
              </w:rPr>
            </w:pPr>
            <w:r w:rsidRPr="00E21C60">
              <w:rPr>
                <w:rFonts w:ascii="Arial" w:hAnsi="Arial" w:cs="Arial"/>
                <w:sz w:val="16"/>
                <w:szCs w:val="16"/>
              </w:rPr>
              <w:t>I. prerušenie 03.10.2011,    odpoveď RO 27.</w:t>
            </w:r>
            <w:r w:rsidR="00BA56E4">
              <w:rPr>
                <w:rFonts w:ascii="Arial" w:hAnsi="Arial" w:cs="Arial"/>
                <w:sz w:val="16"/>
                <w:szCs w:val="16"/>
              </w:rPr>
              <w:t>0</w:t>
            </w:r>
            <w:r w:rsidRPr="00E21C60">
              <w:rPr>
                <w:rFonts w:ascii="Arial" w:hAnsi="Arial" w:cs="Arial"/>
                <w:sz w:val="16"/>
                <w:szCs w:val="16"/>
              </w:rPr>
              <w:t xml:space="preserve">2.2012  </w:t>
            </w:r>
          </w:p>
          <w:p w14:paraId="2A1DB073" w14:textId="77777777" w:rsidR="000B0A84" w:rsidRPr="00E21C60" w:rsidRDefault="000B0A84" w:rsidP="00123376">
            <w:pPr>
              <w:rPr>
                <w:rFonts w:ascii="Arial" w:hAnsi="Arial" w:cs="Arial"/>
                <w:sz w:val="16"/>
                <w:szCs w:val="16"/>
              </w:rPr>
            </w:pPr>
            <w:r w:rsidRPr="00E21C60">
              <w:rPr>
                <w:rFonts w:ascii="Arial" w:hAnsi="Arial" w:cs="Arial"/>
                <w:sz w:val="16"/>
                <w:szCs w:val="16"/>
              </w:rPr>
              <w:t>II. prerušenie 07.06.2012,   odpoveď RO 18.07.2012</w:t>
            </w:r>
          </w:p>
        </w:tc>
        <w:tc>
          <w:tcPr>
            <w:tcW w:w="993" w:type="dxa"/>
            <w:shd w:val="clear" w:color="auto" w:fill="EAF1DD" w:themeFill="accent3" w:themeFillTint="33"/>
            <w:vAlign w:val="center"/>
          </w:tcPr>
          <w:p w14:paraId="5006EFD0" w14:textId="77777777" w:rsidR="000B0A84" w:rsidRPr="00E21C60" w:rsidRDefault="000B0A84">
            <w:pPr>
              <w:spacing w:before="120"/>
              <w:jc w:val="center"/>
              <w:rPr>
                <w:rFonts w:ascii="Arial" w:hAnsi="Arial" w:cs="Arial"/>
                <w:b/>
                <w:sz w:val="16"/>
                <w:szCs w:val="16"/>
              </w:rPr>
            </w:pPr>
            <w:r w:rsidRPr="00E21C60">
              <w:rPr>
                <w:rFonts w:ascii="Arial" w:hAnsi="Arial" w:cs="Arial"/>
                <w:b/>
                <w:sz w:val="16"/>
                <w:szCs w:val="16"/>
              </w:rPr>
              <w:t>14.11.2012</w:t>
            </w:r>
          </w:p>
        </w:tc>
      </w:tr>
      <w:tr w:rsidR="000B0A84" w:rsidRPr="00E21C60" w14:paraId="124B65DB" w14:textId="77777777" w:rsidTr="00123376">
        <w:trPr>
          <w:trHeight w:val="460"/>
          <w:jc w:val="center"/>
        </w:trPr>
        <w:tc>
          <w:tcPr>
            <w:tcW w:w="332" w:type="dxa"/>
            <w:vAlign w:val="center"/>
          </w:tcPr>
          <w:p w14:paraId="47553DBF"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5.</w:t>
            </w:r>
          </w:p>
        </w:tc>
        <w:tc>
          <w:tcPr>
            <w:tcW w:w="1751" w:type="dxa"/>
            <w:vAlign w:val="center"/>
          </w:tcPr>
          <w:p w14:paraId="2C2E9CAF" w14:textId="77777777" w:rsidR="000B0A84" w:rsidRPr="00E21C60" w:rsidRDefault="000B0A84" w:rsidP="00510690">
            <w:pPr>
              <w:rPr>
                <w:rFonts w:ascii="Arial" w:hAnsi="Arial" w:cs="Arial"/>
                <w:sz w:val="16"/>
                <w:szCs w:val="16"/>
              </w:rPr>
            </w:pPr>
            <w:r w:rsidRPr="00E21C60">
              <w:rPr>
                <w:rFonts w:ascii="Arial" w:hAnsi="Arial" w:cs="Arial"/>
                <w:sz w:val="16"/>
                <w:szCs w:val="16"/>
              </w:rPr>
              <w:t xml:space="preserve">ČOV sever – </w:t>
            </w:r>
            <w:r w:rsidR="00CA071C" w:rsidRPr="00E21C60">
              <w:rPr>
                <w:rFonts w:ascii="Arial" w:hAnsi="Arial" w:cs="Arial"/>
                <w:sz w:val="16"/>
                <w:szCs w:val="16"/>
              </w:rPr>
              <w:t>r</w:t>
            </w:r>
            <w:r w:rsidRPr="00E21C60">
              <w:rPr>
                <w:rFonts w:ascii="Arial" w:hAnsi="Arial" w:cs="Arial"/>
                <w:sz w:val="16"/>
                <w:szCs w:val="16"/>
              </w:rPr>
              <w:t>ekonštrukcia a intenzifikácia ČOV Bánovce nad Bebravou, Partizánske, Topoľčany</w:t>
            </w:r>
          </w:p>
        </w:tc>
        <w:tc>
          <w:tcPr>
            <w:tcW w:w="850" w:type="dxa"/>
            <w:vAlign w:val="center"/>
          </w:tcPr>
          <w:p w14:paraId="133DA651" w14:textId="77777777" w:rsidR="000B0A84" w:rsidRPr="00E21C60" w:rsidRDefault="000B0A84">
            <w:pPr>
              <w:rPr>
                <w:rFonts w:ascii="Arial" w:hAnsi="Arial" w:cs="Arial"/>
                <w:sz w:val="16"/>
                <w:szCs w:val="16"/>
              </w:rPr>
            </w:pPr>
            <w:r w:rsidRPr="00E21C60">
              <w:rPr>
                <w:rFonts w:ascii="Arial" w:hAnsi="Arial" w:cs="Arial"/>
                <w:sz w:val="16"/>
                <w:szCs w:val="16"/>
              </w:rPr>
              <w:t xml:space="preserve">ZsVS, </w:t>
            </w:r>
          </w:p>
          <w:p w14:paraId="3F222281" w14:textId="77777777" w:rsidR="000B0A84" w:rsidRPr="00E21C60" w:rsidRDefault="000B0A84">
            <w:pPr>
              <w:rPr>
                <w:rFonts w:ascii="Arial" w:hAnsi="Arial" w:cs="Arial"/>
                <w:sz w:val="16"/>
                <w:szCs w:val="16"/>
              </w:rPr>
            </w:pPr>
            <w:r w:rsidRPr="00E21C60">
              <w:rPr>
                <w:rFonts w:ascii="Arial" w:hAnsi="Arial" w:cs="Arial"/>
                <w:sz w:val="16"/>
                <w:szCs w:val="16"/>
              </w:rPr>
              <w:t>a.s.</w:t>
            </w:r>
          </w:p>
        </w:tc>
        <w:tc>
          <w:tcPr>
            <w:tcW w:w="945" w:type="dxa"/>
            <w:vAlign w:val="center"/>
          </w:tcPr>
          <w:p w14:paraId="1B9287BB"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10.05.2011</w:t>
            </w:r>
          </w:p>
        </w:tc>
        <w:tc>
          <w:tcPr>
            <w:tcW w:w="4110" w:type="dxa"/>
            <w:vAlign w:val="center"/>
          </w:tcPr>
          <w:p w14:paraId="5F6DD4BE" w14:textId="77777777" w:rsidR="000B0A84" w:rsidRPr="00E21C60" w:rsidRDefault="000B0A84" w:rsidP="00123376">
            <w:pPr>
              <w:rPr>
                <w:rFonts w:ascii="Arial" w:hAnsi="Arial" w:cs="Arial"/>
                <w:sz w:val="16"/>
                <w:szCs w:val="16"/>
              </w:rPr>
            </w:pPr>
            <w:r w:rsidRPr="00E21C60">
              <w:rPr>
                <w:rFonts w:ascii="Arial" w:hAnsi="Arial" w:cs="Arial"/>
                <w:sz w:val="16"/>
                <w:szCs w:val="16"/>
              </w:rPr>
              <w:t>I. prerušenie 03.10.2011,    odpoveď RO 21.12.2011</w:t>
            </w:r>
          </w:p>
          <w:p w14:paraId="138765A0" w14:textId="77777777" w:rsidR="000B0A84" w:rsidRPr="00E21C60" w:rsidRDefault="000B0A84" w:rsidP="00123376">
            <w:pPr>
              <w:rPr>
                <w:rFonts w:ascii="Arial" w:hAnsi="Arial" w:cs="Arial"/>
                <w:sz w:val="16"/>
                <w:szCs w:val="16"/>
              </w:rPr>
            </w:pPr>
            <w:r w:rsidRPr="00E21C60">
              <w:rPr>
                <w:rFonts w:ascii="Arial" w:hAnsi="Arial" w:cs="Arial"/>
                <w:sz w:val="16"/>
                <w:szCs w:val="16"/>
              </w:rPr>
              <w:t>II. prerušenie 21.06.2012,   odpoveď RO 26.06.2012</w:t>
            </w:r>
          </w:p>
        </w:tc>
        <w:tc>
          <w:tcPr>
            <w:tcW w:w="993" w:type="dxa"/>
            <w:shd w:val="clear" w:color="auto" w:fill="EAF1DD" w:themeFill="accent3" w:themeFillTint="33"/>
            <w:vAlign w:val="center"/>
          </w:tcPr>
          <w:p w14:paraId="4C52747B" w14:textId="77777777" w:rsidR="000B0A84" w:rsidRPr="00E21C60" w:rsidRDefault="000B0A84">
            <w:pPr>
              <w:spacing w:before="120"/>
              <w:jc w:val="center"/>
              <w:rPr>
                <w:rFonts w:ascii="Arial" w:hAnsi="Arial" w:cs="Arial"/>
                <w:b/>
                <w:sz w:val="16"/>
                <w:szCs w:val="16"/>
              </w:rPr>
            </w:pPr>
            <w:r w:rsidRPr="00E21C60">
              <w:rPr>
                <w:rFonts w:ascii="Arial" w:hAnsi="Arial" w:cs="Arial"/>
                <w:b/>
                <w:sz w:val="16"/>
                <w:szCs w:val="16"/>
              </w:rPr>
              <w:t>03.08.2012</w:t>
            </w:r>
          </w:p>
        </w:tc>
      </w:tr>
      <w:tr w:rsidR="000B0A84" w:rsidRPr="00E21C60" w14:paraId="55861BFF" w14:textId="77777777" w:rsidTr="00123376">
        <w:trPr>
          <w:trHeight w:val="460"/>
          <w:jc w:val="center"/>
        </w:trPr>
        <w:tc>
          <w:tcPr>
            <w:tcW w:w="332" w:type="dxa"/>
            <w:vAlign w:val="center"/>
          </w:tcPr>
          <w:p w14:paraId="718F4DDC"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6.</w:t>
            </w:r>
          </w:p>
        </w:tc>
        <w:tc>
          <w:tcPr>
            <w:tcW w:w="1751" w:type="dxa"/>
            <w:vAlign w:val="center"/>
          </w:tcPr>
          <w:p w14:paraId="21AADFD1" w14:textId="77777777" w:rsidR="000B0A84" w:rsidRPr="00E21C60" w:rsidRDefault="000B0A84" w:rsidP="00510690">
            <w:pPr>
              <w:rPr>
                <w:rFonts w:ascii="Arial" w:hAnsi="Arial" w:cs="Arial"/>
                <w:sz w:val="16"/>
                <w:szCs w:val="16"/>
              </w:rPr>
            </w:pPr>
            <w:r w:rsidRPr="00E21C60">
              <w:rPr>
                <w:rFonts w:ascii="Arial" w:hAnsi="Arial" w:cs="Arial"/>
                <w:sz w:val="16"/>
                <w:szCs w:val="16"/>
              </w:rPr>
              <w:t>Podunajsko – odkanalizovanie podunajskej časti bratislavského regiónu</w:t>
            </w:r>
          </w:p>
        </w:tc>
        <w:tc>
          <w:tcPr>
            <w:tcW w:w="850" w:type="dxa"/>
            <w:vAlign w:val="center"/>
          </w:tcPr>
          <w:p w14:paraId="3359282C" w14:textId="77777777" w:rsidR="000B0A84" w:rsidRPr="00E21C60" w:rsidRDefault="000B0A84">
            <w:pPr>
              <w:rPr>
                <w:rFonts w:ascii="Arial" w:hAnsi="Arial" w:cs="Arial"/>
                <w:sz w:val="16"/>
                <w:szCs w:val="16"/>
              </w:rPr>
            </w:pPr>
            <w:r w:rsidRPr="00E21C60">
              <w:rPr>
                <w:rFonts w:ascii="Arial" w:hAnsi="Arial" w:cs="Arial"/>
                <w:sz w:val="16"/>
                <w:szCs w:val="16"/>
              </w:rPr>
              <w:t xml:space="preserve">BVS, </w:t>
            </w:r>
          </w:p>
          <w:p w14:paraId="7E66F241" w14:textId="77777777" w:rsidR="000B0A84" w:rsidRPr="00E21C60" w:rsidRDefault="000B0A84">
            <w:pPr>
              <w:rPr>
                <w:rFonts w:ascii="Arial" w:hAnsi="Arial" w:cs="Arial"/>
                <w:sz w:val="16"/>
                <w:szCs w:val="16"/>
              </w:rPr>
            </w:pPr>
            <w:r w:rsidRPr="00E21C60">
              <w:rPr>
                <w:rFonts w:ascii="Arial" w:hAnsi="Arial" w:cs="Arial"/>
                <w:sz w:val="16"/>
                <w:szCs w:val="16"/>
              </w:rPr>
              <w:t>a.s.</w:t>
            </w:r>
          </w:p>
        </w:tc>
        <w:tc>
          <w:tcPr>
            <w:tcW w:w="945" w:type="dxa"/>
            <w:vAlign w:val="center"/>
          </w:tcPr>
          <w:p w14:paraId="4E689263"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13.10.2011</w:t>
            </w:r>
          </w:p>
        </w:tc>
        <w:tc>
          <w:tcPr>
            <w:tcW w:w="4110" w:type="dxa"/>
            <w:vAlign w:val="center"/>
          </w:tcPr>
          <w:p w14:paraId="1CC4B3AA" w14:textId="77777777" w:rsidR="000B0A84" w:rsidRPr="00E21C60" w:rsidRDefault="000B0A84" w:rsidP="00123376">
            <w:pPr>
              <w:rPr>
                <w:rFonts w:ascii="Arial" w:hAnsi="Arial" w:cs="Arial"/>
                <w:sz w:val="16"/>
                <w:szCs w:val="16"/>
              </w:rPr>
            </w:pPr>
            <w:r w:rsidRPr="00E21C60">
              <w:rPr>
                <w:rFonts w:ascii="Arial" w:hAnsi="Arial" w:cs="Arial"/>
                <w:sz w:val="16"/>
                <w:szCs w:val="16"/>
              </w:rPr>
              <w:t>I. prerušenie 10.02.2012,    odpoveď RO 21.03.2012</w:t>
            </w:r>
          </w:p>
          <w:p w14:paraId="412D301D" w14:textId="77777777" w:rsidR="000B0A84" w:rsidRPr="00E21C60" w:rsidRDefault="000B0A84" w:rsidP="00123376">
            <w:pPr>
              <w:rPr>
                <w:rFonts w:ascii="Arial" w:hAnsi="Arial" w:cs="Arial"/>
                <w:sz w:val="16"/>
                <w:szCs w:val="16"/>
              </w:rPr>
            </w:pPr>
            <w:r w:rsidRPr="00E21C60">
              <w:rPr>
                <w:rFonts w:ascii="Arial" w:hAnsi="Arial" w:cs="Arial"/>
                <w:sz w:val="16"/>
                <w:szCs w:val="16"/>
              </w:rPr>
              <w:t>II. prerušenie 27.06.2012,   odpoveď RO 25.09.2012</w:t>
            </w:r>
          </w:p>
        </w:tc>
        <w:tc>
          <w:tcPr>
            <w:tcW w:w="993" w:type="dxa"/>
            <w:shd w:val="clear" w:color="auto" w:fill="EAF1DD" w:themeFill="accent3" w:themeFillTint="33"/>
            <w:vAlign w:val="center"/>
          </w:tcPr>
          <w:p w14:paraId="7D9B9A94" w14:textId="77777777" w:rsidR="000B0A84" w:rsidRPr="00E21C60" w:rsidRDefault="000B0A84">
            <w:pPr>
              <w:spacing w:before="120"/>
              <w:jc w:val="center"/>
              <w:rPr>
                <w:rFonts w:ascii="Arial" w:hAnsi="Arial" w:cs="Arial"/>
                <w:b/>
                <w:sz w:val="16"/>
                <w:szCs w:val="16"/>
              </w:rPr>
            </w:pPr>
            <w:r w:rsidRPr="00E21C60">
              <w:rPr>
                <w:rFonts w:ascii="Arial" w:hAnsi="Arial" w:cs="Arial"/>
                <w:b/>
                <w:sz w:val="16"/>
                <w:szCs w:val="16"/>
              </w:rPr>
              <w:t>31.01.2013</w:t>
            </w:r>
          </w:p>
        </w:tc>
      </w:tr>
      <w:tr w:rsidR="000B0A84" w:rsidRPr="00E21C60" w14:paraId="1279E5F5" w14:textId="77777777" w:rsidTr="00123376">
        <w:trPr>
          <w:trHeight w:val="460"/>
          <w:jc w:val="center"/>
        </w:trPr>
        <w:tc>
          <w:tcPr>
            <w:tcW w:w="332" w:type="dxa"/>
            <w:vAlign w:val="center"/>
          </w:tcPr>
          <w:p w14:paraId="14ECE5C6"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7.</w:t>
            </w:r>
          </w:p>
        </w:tc>
        <w:tc>
          <w:tcPr>
            <w:tcW w:w="1751" w:type="dxa"/>
            <w:vAlign w:val="center"/>
          </w:tcPr>
          <w:p w14:paraId="5F379221" w14:textId="77777777" w:rsidR="000B0A84" w:rsidRPr="00E21C60" w:rsidRDefault="000B0A84" w:rsidP="00510690">
            <w:pPr>
              <w:rPr>
                <w:rFonts w:ascii="Arial" w:hAnsi="Arial" w:cs="Arial"/>
                <w:sz w:val="16"/>
                <w:szCs w:val="16"/>
              </w:rPr>
            </w:pPr>
            <w:r w:rsidRPr="00E21C60">
              <w:rPr>
                <w:rFonts w:ascii="Arial" w:hAnsi="Arial" w:cs="Arial"/>
                <w:sz w:val="16"/>
                <w:szCs w:val="16"/>
              </w:rPr>
              <w:t xml:space="preserve">Zásobovanie vodou, odkanalizovanie a čistenie odpadových vôd okresu Bytča </w:t>
            </w:r>
          </w:p>
        </w:tc>
        <w:tc>
          <w:tcPr>
            <w:tcW w:w="850" w:type="dxa"/>
            <w:vAlign w:val="center"/>
          </w:tcPr>
          <w:p w14:paraId="71EDD47A" w14:textId="77777777" w:rsidR="000B0A84" w:rsidRPr="00E21C60" w:rsidRDefault="000B0A84">
            <w:pPr>
              <w:rPr>
                <w:rFonts w:ascii="Arial" w:hAnsi="Arial" w:cs="Arial"/>
                <w:sz w:val="16"/>
                <w:szCs w:val="16"/>
              </w:rPr>
            </w:pPr>
            <w:r w:rsidRPr="00E21C60">
              <w:rPr>
                <w:rFonts w:ascii="Arial" w:hAnsi="Arial" w:cs="Arial"/>
                <w:sz w:val="16"/>
                <w:szCs w:val="16"/>
              </w:rPr>
              <w:t xml:space="preserve">SeVaK, </w:t>
            </w:r>
          </w:p>
          <w:p w14:paraId="4BFD3A04" w14:textId="77777777" w:rsidR="000B0A84" w:rsidRPr="00E21C60" w:rsidRDefault="000B0A84">
            <w:pPr>
              <w:rPr>
                <w:rFonts w:ascii="Arial" w:hAnsi="Arial" w:cs="Arial"/>
                <w:sz w:val="16"/>
                <w:szCs w:val="16"/>
              </w:rPr>
            </w:pPr>
            <w:r w:rsidRPr="00E21C60">
              <w:rPr>
                <w:rFonts w:ascii="Arial" w:hAnsi="Arial" w:cs="Arial"/>
                <w:sz w:val="16"/>
                <w:szCs w:val="16"/>
              </w:rPr>
              <w:t>a.s.</w:t>
            </w:r>
          </w:p>
        </w:tc>
        <w:tc>
          <w:tcPr>
            <w:tcW w:w="945" w:type="dxa"/>
            <w:vAlign w:val="center"/>
          </w:tcPr>
          <w:p w14:paraId="4CA7824B"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02.04.2013</w:t>
            </w:r>
          </w:p>
        </w:tc>
        <w:tc>
          <w:tcPr>
            <w:tcW w:w="4110" w:type="dxa"/>
            <w:vAlign w:val="center"/>
          </w:tcPr>
          <w:p w14:paraId="513E6517" w14:textId="77777777" w:rsidR="000B0A84" w:rsidRPr="00E21C60" w:rsidRDefault="000B0A84" w:rsidP="00F34E0D">
            <w:pPr>
              <w:rPr>
                <w:rFonts w:ascii="Arial" w:hAnsi="Arial" w:cs="Arial"/>
                <w:sz w:val="16"/>
                <w:szCs w:val="16"/>
              </w:rPr>
            </w:pPr>
            <w:r w:rsidRPr="00E21C60">
              <w:rPr>
                <w:rFonts w:ascii="Arial" w:hAnsi="Arial" w:cs="Arial"/>
                <w:sz w:val="16"/>
                <w:szCs w:val="16"/>
              </w:rPr>
              <w:t>I. prerušenie 28.06.2013,    odpoveď RO 22.10.2013</w:t>
            </w:r>
          </w:p>
        </w:tc>
        <w:tc>
          <w:tcPr>
            <w:tcW w:w="993" w:type="dxa"/>
            <w:shd w:val="clear" w:color="auto" w:fill="EAF1DD" w:themeFill="accent3" w:themeFillTint="33"/>
            <w:vAlign w:val="center"/>
          </w:tcPr>
          <w:p w14:paraId="61B90822" w14:textId="47EEDFC9" w:rsidR="000B0A84" w:rsidRPr="00E21C60" w:rsidRDefault="005048C0" w:rsidP="005048C0">
            <w:pPr>
              <w:spacing w:before="120"/>
              <w:jc w:val="center"/>
              <w:rPr>
                <w:rFonts w:ascii="Arial" w:hAnsi="Arial" w:cs="Arial"/>
                <w:sz w:val="16"/>
                <w:szCs w:val="16"/>
              </w:rPr>
            </w:pPr>
            <w:r w:rsidRPr="00912C87">
              <w:rPr>
                <w:rFonts w:ascii="Arial" w:hAnsi="Arial" w:cs="Arial"/>
                <w:b/>
                <w:sz w:val="16"/>
                <w:szCs w:val="16"/>
              </w:rPr>
              <w:t>05.02.2014</w:t>
            </w:r>
          </w:p>
        </w:tc>
      </w:tr>
      <w:tr w:rsidR="000B0A84" w:rsidRPr="00E21C60" w14:paraId="394FE1E6" w14:textId="77777777" w:rsidTr="00123376">
        <w:trPr>
          <w:trHeight w:val="460"/>
          <w:jc w:val="center"/>
        </w:trPr>
        <w:tc>
          <w:tcPr>
            <w:tcW w:w="332" w:type="dxa"/>
            <w:vAlign w:val="center"/>
          </w:tcPr>
          <w:p w14:paraId="6977A72B"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8.</w:t>
            </w:r>
          </w:p>
        </w:tc>
        <w:tc>
          <w:tcPr>
            <w:tcW w:w="1751" w:type="dxa"/>
            <w:vAlign w:val="center"/>
          </w:tcPr>
          <w:p w14:paraId="2E54FB2F" w14:textId="77777777" w:rsidR="000B0A84" w:rsidRPr="00E21C60" w:rsidRDefault="000B0A84" w:rsidP="00510690">
            <w:pPr>
              <w:rPr>
                <w:rFonts w:ascii="Arial" w:hAnsi="Arial" w:cs="Arial"/>
                <w:sz w:val="16"/>
                <w:szCs w:val="16"/>
              </w:rPr>
            </w:pPr>
            <w:r w:rsidRPr="00E21C60">
              <w:rPr>
                <w:rFonts w:ascii="Arial" w:hAnsi="Arial" w:cs="Arial"/>
                <w:sz w:val="16"/>
                <w:szCs w:val="16"/>
              </w:rPr>
              <w:t>Zásobovanie pitnou vodou a odkanalizovanie obcí v mikroregióne Bodva</w:t>
            </w:r>
          </w:p>
        </w:tc>
        <w:tc>
          <w:tcPr>
            <w:tcW w:w="850" w:type="dxa"/>
            <w:vAlign w:val="center"/>
          </w:tcPr>
          <w:p w14:paraId="0D34F665" w14:textId="77777777" w:rsidR="000B0A84" w:rsidRPr="00E21C60" w:rsidRDefault="000B0A84">
            <w:pPr>
              <w:rPr>
                <w:rFonts w:ascii="Arial" w:hAnsi="Arial" w:cs="Arial"/>
                <w:sz w:val="16"/>
                <w:szCs w:val="16"/>
              </w:rPr>
            </w:pPr>
            <w:r w:rsidRPr="00E21C60">
              <w:rPr>
                <w:rFonts w:ascii="Arial" w:hAnsi="Arial" w:cs="Arial"/>
                <w:sz w:val="16"/>
                <w:szCs w:val="16"/>
              </w:rPr>
              <w:t xml:space="preserve">VVS, </w:t>
            </w:r>
          </w:p>
          <w:p w14:paraId="43DD3CA2" w14:textId="77777777" w:rsidR="000B0A84" w:rsidRPr="00E21C60" w:rsidRDefault="000B0A84">
            <w:pPr>
              <w:rPr>
                <w:rFonts w:ascii="Arial" w:hAnsi="Arial" w:cs="Arial"/>
                <w:sz w:val="16"/>
                <w:szCs w:val="16"/>
              </w:rPr>
            </w:pPr>
            <w:r w:rsidRPr="00E21C60">
              <w:rPr>
                <w:rFonts w:ascii="Arial" w:hAnsi="Arial" w:cs="Arial"/>
                <w:sz w:val="16"/>
                <w:szCs w:val="16"/>
              </w:rPr>
              <w:t>a.s.</w:t>
            </w:r>
          </w:p>
        </w:tc>
        <w:tc>
          <w:tcPr>
            <w:tcW w:w="945" w:type="dxa"/>
            <w:vAlign w:val="center"/>
          </w:tcPr>
          <w:p w14:paraId="196BF8AF" w14:textId="77777777" w:rsidR="000B0A84" w:rsidRPr="00E21C60" w:rsidRDefault="000B0A84">
            <w:pPr>
              <w:spacing w:before="120"/>
              <w:jc w:val="center"/>
              <w:rPr>
                <w:rFonts w:ascii="Arial" w:hAnsi="Arial" w:cs="Arial"/>
                <w:sz w:val="16"/>
                <w:szCs w:val="16"/>
              </w:rPr>
            </w:pPr>
            <w:r w:rsidRPr="00E21C60">
              <w:rPr>
                <w:rFonts w:ascii="Arial" w:hAnsi="Arial" w:cs="Arial"/>
                <w:sz w:val="16"/>
                <w:szCs w:val="16"/>
              </w:rPr>
              <w:t>25.06.2013</w:t>
            </w:r>
          </w:p>
        </w:tc>
        <w:tc>
          <w:tcPr>
            <w:tcW w:w="4110" w:type="dxa"/>
            <w:vAlign w:val="center"/>
          </w:tcPr>
          <w:p w14:paraId="5E2FFF47" w14:textId="77777777" w:rsidR="000B0A84" w:rsidRPr="00E21C60" w:rsidRDefault="000B0A84" w:rsidP="00123376">
            <w:pPr>
              <w:rPr>
                <w:rFonts w:ascii="Arial" w:hAnsi="Arial" w:cs="Arial"/>
                <w:sz w:val="16"/>
                <w:szCs w:val="16"/>
              </w:rPr>
            </w:pPr>
            <w:r w:rsidRPr="00E21C60">
              <w:rPr>
                <w:rFonts w:ascii="Arial" w:hAnsi="Arial" w:cs="Arial"/>
                <w:sz w:val="16"/>
                <w:szCs w:val="16"/>
              </w:rPr>
              <w:t>17.07.2013 žiadosť vrátená</w:t>
            </w:r>
          </w:p>
          <w:p w14:paraId="72613F5A" w14:textId="77777777" w:rsidR="000B0A84" w:rsidRPr="00E21C60" w:rsidRDefault="000B0A84" w:rsidP="00123376">
            <w:pPr>
              <w:rPr>
                <w:rFonts w:ascii="Arial" w:hAnsi="Arial" w:cs="Arial"/>
                <w:sz w:val="16"/>
                <w:szCs w:val="16"/>
              </w:rPr>
            </w:pPr>
            <w:r w:rsidRPr="00E21C60">
              <w:rPr>
                <w:rFonts w:ascii="Arial" w:hAnsi="Arial" w:cs="Arial"/>
                <w:sz w:val="16"/>
                <w:szCs w:val="16"/>
              </w:rPr>
              <w:t>22.08.2013 žiadosť opätovne predložená</w:t>
            </w:r>
          </w:p>
          <w:p w14:paraId="17C84381" w14:textId="77777777" w:rsidR="000B0A84" w:rsidRPr="00E21C60" w:rsidRDefault="000B0A84" w:rsidP="00123376">
            <w:pPr>
              <w:rPr>
                <w:rFonts w:ascii="Arial" w:hAnsi="Arial" w:cs="Arial"/>
                <w:sz w:val="16"/>
                <w:szCs w:val="16"/>
              </w:rPr>
            </w:pPr>
            <w:r w:rsidRPr="00E21C60">
              <w:rPr>
                <w:rFonts w:ascii="Arial" w:hAnsi="Arial" w:cs="Arial"/>
                <w:sz w:val="16"/>
                <w:szCs w:val="16"/>
              </w:rPr>
              <w:t>I. prerušenie 11.10.2013,    odpoveď RO 19.12.2013</w:t>
            </w:r>
          </w:p>
        </w:tc>
        <w:tc>
          <w:tcPr>
            <w:tcW w:w="993" w:type="dxa"/>
            <w:shd w:val="clear" w:color="auto" w:fill="EAF1DD" w:themeFill="accent3" w:themeFillTint="33"/>
            <w:vAlign w:val="center"/>
          </w:tcPr>
          <w:p w14:paraId="78D25D3D" w14:textId="320BFCAF" w:rsidR="000B0A84" w:rsidRPr="00E21C60" w:rsidRDefault="005048C0">
            <w:pPr>
              <w:spacing w:before="120"/>
              <w:jc w:val="center"/>
              <w:rPr>
                <w:rFonts w:ascii="Arial" w:hAnsi="Arial" w:cs="Arial"/>
                <w:sz w:val="16"/>
                <w:szCs w:val="16"/>
              </w:rPr>
            </w:pPr>
            <w:r w:rsidRPr="00912C87">
              <w:rPr>
                <w:rFonts w:ascii="Arial" w:hAnsi="Arial" w:cs="Arial"/>
                <w:b/>
                <w:sz w:val="16"/>
                <w:szCs w:val="16"/>
              </w:rPr>
              <w:t>05.05.2014</w:t>
            </w:r>
          </w:p>
        </w:tc>
      </w:tr>
      <w:tr w:rsidR="00386D37" w:rsidRPr="00E21C60" w14:paraId="6509801B" w14:textId="77777777" w:rsidTr="00123376">
        <w:trPr>
          <w:trHeight w:val="460"/>
          <w:jc w:val="center"/>
        </w:trPr>
        <w:tc>
          <w:tcPr>
            <w:tcW w:w="332" w:type="dxa"/>
            <w:vAlign w:val="center"/>
          </w:tcPr>
          <w:p w14:paraId="489A0E65" w14:textId="77777777" w:rsidR="00386D37" w:rsidRPr="00E21C60" w:rsidRDefault="00386D37" w:rsidP="00386D37">
            <w:pPr>
              <w:spacing w:before="120"/>
              <w:jc w:val="center"/>
              <w:rPr>
                <w:rFonts w:ascii="Arial" w:hAnsi="Arial" w:cs="Arial"/>
                <w:sz w:val="16"/>
                <w:szCs w:val="16"/>
              </w:rPr>
            </w:pPr>
            <w:r>
              <w:rPr>
                <w:rFonts w:ascii="Arial" w:hAnsi="Arial" w:cs="Arial"/>
                <w:sz w:val="16"/>
                <w:szCs w:val="16"/>
              </w:rPr>
              <w:t>9.</w:t>
            </w:r>
          </w:p>
        </w:tc>
        <w:tc>
          <w:tcPr>
            <w:tcW w:w="1751" w:type="dxa"/>
            <w:vAlign w:val="center"/>
          </w:tcPr>
          <w:p w14:paraId="59270A5D" w14:textId="77777777" w:rsidR="00386D37" w:rsidRPr="00E21C60" w:rsidRDefault="00386D37" w:rsidP="00386D37">
            <w:pPr>
              <w:rPr>
                <w:rFonts w:ascii="Arial" w:hAnsi="Arial" w:cs="Arial"/>
                <w:sz w:val="16"/>
                <w:szCs w:val="16"/>
              </w:rPr>
            </w:pPr>
            <w:r>
              <w:rPr>
                <w:rFonts w:ascii="Arial" w:hAnsi="Arial" w:cs="Arial"/>
                <w:sz w:val="16"/>
                <w:szCs w:val="16"/>
              </w:rPr>
              <w:t>Aktívne protipovodňové opatrenia</w:t>
            </w:r>
          </w:p>
        </w:tc>
        <w:tc>
          <w:tcPr>
            <w:tcW w:w="850" w:type="dxa"/>
            <w:vAlign w:val="center"/>
          </w:tcPr>
          <w:p w14:paraId="49C56B2D" w14:textId="77777777" w:rsidR="00386D37" w:rsidRPr="00E21C60" w:rsidRDefault="00386D37" w:rsidP="00386D37">
            <w:pPr>
              <w:rPr>
                <w:rFonts w:ascii="Arial" w:hAnsi="Arial" w:cs="Arial"/>
                <w:sz w:val="16"/>
                <w:szCs w:val="16"/>
              </w:rPr>
            </w:pPr>
            <w:r>
              <w:rPr>
                <w:rFonts w:ascii="Arial" w:hAnsi="Arial" w:cs="Arial"/>
                <w:sz w:val="16"/>
                <w:szCs w:val="16"/>
              </w:rPr>
              <w:t>MV SR</w:t>
            </w:r>
          </w:p>
        </w:tc>
        <w:tc>
          <w:tcPr>
            <w:tcW w:w="945" w:type="dxa"/>
            <w:vAlign w:val="center"/>
          </w:tcPr>
          <w:p w14:paraId="35AD6B93" w14:textId="77777777" w:rsidR="00386D37" w:rsidRPr="00E21C60" w:rsidRDefault="00386D37" w:rsidP="00386D37">
            <w:pPr>
              <w:spacing w:before="120"/>
              <w:jc w:val="center"/>
              <w:rPr>
                <w:rFonts w:ascii="Arial" w:hAnsi="Arial" w:cs="Arial"/>
                <w:sz w:val="16"/>
                <w:szCs w:val="16"/>
              </w:rPr>
            </w:pPr>
            <w:r>
              <w:rPr>
                <w:rFonts w:ascii="Arial" w:hAnsi="Arial" w:cs="Arial"/>
                <w:sz w:val="16"/>
                <w:szCs w:val="16"/>
              </w:rPr>
              <w:t>19.12.2014</w:t>
            </w:r>
          </w:p>
        </w:tc>
        <w:tc>
          <w:tcPr>
            <w:tcW w:w="4110" w:type="dxa"/>
            <w:vAlign w:val="center"/>
          </w:tcPr>
          <w:p w14:paraId="6B4DF5A6" w14:textId="77777777" w:rsidR="00386D37" w:rsidRPr="00E21C60" w:rsidRDefault="00386D37" w:rsidP="00386D37">
            <w:pPr>
              <w:rPr>
                <w:rFonts w:ascii="Arial" w:hAnsi="Arial" w:cs="Arial"/>
                <w:sz w:val="16"/>
                <w:szCs w:val="16"/>
              </w:rPr>
            </w:pPr>
            <w:r w:rsidRPr="00E21C60">
              <w:rPr>
                <w:rFonts w:ascii="Arial" w:hAnsi="Arial" w:cs="Arial"/>
                <w:sz w:val="16"/>
                <w:szCs w:val="16"/>
              </w:rPr>
              <w:t xml:space="preserve">I. prerušenie </w:t>
            </w:r>
            <w:r>
              <w:rPr>
                <w:rFonts w:ascii="Arial" w:hAnsi="Arial" w:cs="Arial"/>
                <w:sz w:val="16"/>
                <w:szCs w:val="16"/>
              </w:rPr>
              <w:t>05</w:t>
            </w:r>
            <w:r w:rsidRPr="00E21C60">
              <w:rPr>
                <w:rFonts w:ascii="Arial" w:hAnsi="Arial" w:cs="Arial"/>
                <w:sz w:val="16"/>
                <w:szCs w:val="16"/>
              </w:rPr>
              <w:t>.02.201</w:t>
            </w:r>
            <w:r>
              <w:rPr>
                <w:rFonts w:ascii="Arial" w:hAnsi="Arial" w:cs="Arial"/>
                <w:sz w:val="16"/>
                <w:szCs w:val="16"/>
              </w:rPr>
              <w:t>5</w:t>
            </w:r>
            <w:r w:rsidRPr="00E21C60">
              <w:rPr>
                <w:rFonts w:ascii="Arial" w:hAnsi="Arial" w:cs="Arial"/>
                <w:sz w:val="16"/>
                <w:szCs w:val="16"/>
              </w:rPr>
              <w:t>,    odpoveď RO 1</w:t>
            </w:r>
            <w:r>
              <w:rPr>
                <w:rFonts w:ascii="Arial" w:hAnsi="Arial" w:cs="Arial"/>
                <w:sz w:val="16"/>
                <w:szCs w:val="16"/>
              </w:rPr>
              <w:t>0</w:t>
            </w:r>
            <w:r w:rsidRPr="00E21C60">
              <w:rPr>
                <w:rFonts w:ascii="Arial" w:hAnsi="Arial" w:cs="Arial"/>
                <w:sz w:val="16"/>
                <w:szCs w:val="16"/>
              </w:rPr>
              <w:t>.0</w:t>
            </w:r>
            <w:r>
              <w:rPr>
                <w:rFonts w:ascii="Arial" w:hAnsi="Arial" w:cs="Arial"/>
                <w:sz w:val="16"/>
                <w:szCs w:val="16"/>
              </w:rPr>
              <w:t>2</w:t>
            </w:r>
            <w:r w:rsidRPr="00E21C60">
              <w:rPr>
                <w:rFonts w:ascii="Arial" w:hAnsi="Arial" w:cs="Arial"/>
                <w:sz w:val="16"/>
                <w:szCs w:val="16"/>
              </w:rPr>
              <w:t>.201</w:t>
            </w:r>
            <w:r>
              <w:rPr>
                <w:rFonts w:ascii="Arial" w:hAnsi="Arial" w:cs="Arial"/>
                <w:sz w:val="16"/>
                <w:szCs w:val="16"/>
              </w:rPr>
              <w:t>5</w:t>
            </w:r>
          </w:p>
          <w:p w14:paraId="5904B227" w14:textId="77777777" w:rsidR="00386D37" w:rsidRPr="00E21C60" w:rsidRDefault="00386D37" w:rsidP="00386D37">
            <w:pPr>
              <w:rPr>
                <w:rFonts w:ascii="Arial" w:hAnsi="Arial" w:cs="Arial"/>
                <w:sz w:val="16"/>
                <w:szCs w:val="16"/>
              </w:rPr>
            </w:pPr>
          </w:p>
        </w:tc>
        <w:tc>
          <w:tcPr>
            <w:tcW w:w="993" w:type="dxa"/>
            <w:shd w:val="clear" w:color="auto" w:fill="EAF1DD" w:themeFill="accent3" w:themeFillTint="33"/>
            <w:vAlign w:val="center"/>
          </w:tcPr>
          <w:p w14:paraId="24337483" w14:textId="28D5DE5D" w:rsidR="00386D37" w:rsidRPr="00590529" w:rsidRDefault="00386D37" w:rsidP="00386D37">
            <w:pPr>
              <w:spacing w:before="120"/>
              <w:jc w:val="center"/>
              <w:rPr>
                <w:rFonts w:ascii="Arial" w:hAnsi="Arial" w:cs="Arial"/>
                <w:b/>
                <w:sz w:val="16"/>
                <w:szCs w:val="16"/>
              </w:rPr>
            </w:pPr>
            <w:r w:rsidRPr="00590529">
              <w:rPr>
                <w:rFonts w:ascii="Arial" w:hAnsi="Arial" w:cs="Arial"/>
                <w:b/>
                <w:sz w:val="16"/>
                <w:szCs w:val="16"/>
              </w:rPr>
              <w:t>23.03.2015</w:t>
            </w:r>
          </w:p>
        </w:tc>
      </w:tr>
    </w:tbl>
    <w:p w14:paraId="388486B1" w14:textId="77777777" w:rsidR="002416B1" w:rsidRPr="00123376" w:rsidRDefault="002416B1" w:rsidP="00123376">
      <w:pPr>
        <w:jc w:val="both"/>
        <w:rPr>
          <w:rFonts w:ascii="Arial" w:hAnsi="Arial" w:cs="Arial"/>
          <w:sz w:val="16"/>
          <w:szCs w:val="16"/>
        </w:rPr>
      </w:pPr>
      <w:r w:rsidRPr="00123376">
        <w:rPr>
          <w:rFonts w:ascii="Arial" w:hAnsi="Arial" w:cs="Arial"/>
          <w:sz w:val="16"/>
          <w:szCs w:val="16"/>
        </w:rPr>
        <w:t>Zdroj: RO</w:t>
      </w:r>
    </w:p>
    <w:p w14:paraId="64C5B0B2" w14:textId="77777777" w:rsidR="00B01E91" w:rsidRDefault="00B01E91" w:rsidP="00B01E91">
      <w:pPr>
        <w:spacing w:before="120"/>
        <w:jc w:val="both"/>
        <w:rPr>
          <w:rFonts w:ascii="Arial" w:hAnsi="Arial" w:cs="Arial"/>
          <w:sz w:val="20"/>
          <w:szCs w:val="20"/>
        </w:rPr>
      </w:pPr>
      <w:r w:rsidRPr="00060CDA">
        <w:rPr>
          <w:rFonts w:ascii="Arial" w:hAnsi="Arial" w:cs="Arial"/>
          <w:sz w:val="20"/>
          <w:szCs w:val="20"/>
        </w:rPr>
        <w:t xml:space="preserve">Počas prípravy veľkých projektov bola využívaná </w:t>
      </w:r>
      <w:r>
        <w:rPr>
          <w:rFonts w:ascii="Arial" w:hAnsi="Arial" w:cs="Arial"/>
          <w:sz w:val="20"/>
          <w:szCs w:val="20"/>
        </w:rPr>
        <w:t xml:space="preserve">aj </w:t>
      </w:r>
      <w:r w:rsidRPr="00060CDA">
        <w:rPr>
          <w:rFonts w:ascii="Arial" w:hAnsi="Arial" w:cs="Arial"/>
          <w:sz w:val="20"/>
          <w:szCs w:val="20"/>
        </w:rPr>
        <w:t>iniciatíva JASPERS</w:t>
      </w:r>
      <w:r>
        <w:rPr>
          <w:rFonts w:ascii="Arial" w:hAnsi="Arial" w:cs="Arial"/>
          <w:sz w:val="20"/>
          <w:szCs w:val="20"/>
        </w:rPr>
        <w:t xml:space="preserve"> </w:t>
      </w:r>
      <w:r w:rsidRPr="00FB7AB8">
        <w:rPr>
          <w:rFonts w:ascii="Arial" w:hAnsi="Arial" w:cs="Arial"/>
          <w:sz w:val="20"/>
          <w:szCs w:val="20"/>
        </w:rPr>
        <w:t>(</w:t>
      </w:r>
      <w:r w:rsidRPr="00060CDA">
        <w:rPr>
          <w:rFonts w:ascii="Arial" w:hAnsi="Arial" w:cs="Arial"/>
          <w:sz w:val="20"/>
          <w:szCs w:val="20"/>
        </w:rPr>
        <w:t>Joint Assistance to Support Projects in European Regions) zriadená pre podporu členských štátov pre podporu čerpania fondov EÚ</w:t>
      </w:r>
      <w:r>
        <w:rPr>
          <w:rFonts w:ascii="Arial" w:hAnsi="Arial" w:cs="Arial"/>
          <w:sz w:val="20"/>
          <w:szCs w:val="20"/>
        </w:rPr>
        <w:t>. Spoluprácu je možné veľmi pozitívne hodnotiť, pričom jej výsledkom boli kvalitne pripravené žiadosti pre veľké projekty. Kooperácia sa týkala najmä pripomienkovania štúdií uskutočniteľnosti, návrhov žiadostí o potvrdenie pomoci a končila sa vypracovaním  záverečných správ (</w:t>
      </w:r>
      <w:r w:rsidRPr="0002421E">
        <w:rPr>
          <w:rFonts w:ascii="Arial" w:hAnsi="Arial" w:cs="Arial"/>
          <w:i/>
          <w:sz w:val="20"/>
          <w:szCs w:val="20"/>
        </w:rPr>
        <w:t>Completion Note</w:t>
      </w:r>
      <w:r>
        <w:rPr>
          <w:rFonts w:ascii="Arial" w:hAnsi="Arial" w:cs="Arial"/>
          <w:i/>
          <w:sz w:val="20"/>
          <w:szCs w:val="20"/>
        </w:rPr>
        <w:t>)</w:t>
      </w:r>
      <w:r>
        <w:rPr>
          <w:rFonts w:ascii="Arial" w:hAnsi="Arial" w:cs="Arial"/>
          <w:sz w:val="20"/>
          <w:szCs w:val="20"/>
        </w:rPr>
        <w:t>, ktoré boli zasielané EK spolu so žiadosťami o potvrdenie pomoci. Experti JASPERS boli zapojení aj do riešenia horizontálnych úloh, a to najmä vypracovania modelu pre finančno-ekonomickú analýzu a modelu zhodnocujúceho dopad novej regulačnej politiky na finančnú udržateľnosť projektov. Finančná udržateľnosť VP</w:t>
      </w:r>
      <w:r w:rsidRPr="00E94D1F">
        <w:rPr>
          <w:rFonts w:ascii="Arial" w:hAnsi="Arial" w:cs="Arial"/>
          <w:sz w:val="20"/>
          <w:szCs w:val="20"/>
        </w:rPr>
        <w:t xml:space="preserve"> úzko súvis</w:t>
      </w:r>
      <w:r>
        <w:rPr>
          <w:rFonts w:ascii="Arial" w:hAnsi="Arial" w:cs="Arial"/>
          <w:sz w:val="20"/>
          <w:szCs w:val="20"/>
        </w:rPr>
        <w:t>ela</w:t>
      </w:r>
      <w:r w:rsidRPr="00E94D1F">
        <w:rPr>
          <w:rFonts w:ascii="Arial" w:hAnsi="Arial" w:cs="Arial"/>
          <w:sz w:val="20"/>
          <w:szCs w:val="20"/>
        </w:rPr>
        <w:t xml:space="preserve"> s cenotvorbou</w:t>
      </w:r>
      <w:r>
        <w:rPr>
          <w:rFonts w:ascii="Arial" w:hAnsi="Arial" w:cs="Arial"/>
          <w:sz w:val="20"/>
          <w:szCs w:val="20"/>
        </w:rPr>
        <w:t xml:space="preserve"> v oblasti vodného hospodárstva, ktorá nebola</w:t>
      </w:r>
      <w:r w:rsidRPr="00E94D1F">
        <w:rPr>
          <w:rFonts w:ascii="Arial" w:hAnsi="Arial" w:cs="Arial"/>
          <w:sz w:val="20"/>
          <w:szCs w:val="20"/>
        </w:rPr>
        <w:t xml:space="preserve"> v kompetencii RO pre OP ŽP</w:t>
      </w:r>
      <w:r>
        <w:rPr>
          <w:rFonts w:ascii="Arial" w:hAnsi="Arial" w:cs="Arial"/>
          <w:sz w:val="20"/>
          <w:szCs w:val="20"/>
        </w:rPr>
        <w:t xml:space="preserve">, ale v pôsobnosti </w:t>
      </w:r>
      <w:r w:rsidRPr="008B7322">
        <w:rPr>
          <w:rFonts w:ascii="Arial" w:hAnsi="Arial" w:cs="Arial"/>
          <w:sz w:val="20"/>
          <w:szCs w:val="20"/>
        </w:rPr>
        <w:t>Úrad</w:t>
      </w:r>
      <w:r>
        <w:rPr>
          <w:rFonts w:ascii="Arial" w:hAnsi="Arial" w:cs="Arial"/>
          <w:sz w:val="20"/>
          <w:szCs w:val="20"/>
        </w:rPr>
        <w:t>u</w:t>
      </w:r>
      <w:r w:rsidRPr="008B7322">
        <w:rPr>
          <w:rFonts w:ascii="Arial" w:hAnsi="Arial" w:cs="Arial"/>
          <w:sz w:val="20"/>
          <w:szCs w:val="20"/>
        </w:rPr>
        <w:t xml:space="preserve"> pre reguláciu sieťových odvetví</w:t>
      </w:r>
      <w:r w:rsidRPr="00E94D1F">
        <w:rPr>
          <w:rFonts w:ascii="Arial" w:hAnsi="Arial" w:cs="Arial"/>
          <w:sz w:val="20"/>
          <w:szCs w:val="20"/>
        </w:rPr>
        <w:t xml:space="preserve">, a preto jej </w:t>
      </w:r>
      <w:r w:rsidRPr="00E94D1F">
        <w:rPr>
          <w:rFonts w:ascii="Arial" w:hAnsi="Arial" w:cs="Arial"/>
          <w:sz w:val="20"/>
          <w:szCs w:val="20"/>
        </w:rPr>
        <w:lastRenderedPageBreak/>
        <w:t xml:space="preserve">riešenie </w:t>
      </w:r>
      <w:r>
        <w:rPr>
          <w:rFonts w:ascii="Arial" w:hAnsi="Arial" w:cs="Arial"/>
          <w:sz w:val="20"/>
          <w:szCs w:val="20"/>
        </w:rPr>
        <w:t>malo</w:t>
      </w:r>
      <w:r w:rsidRPr="00E94D1F">
        <w:rPr>
          <w:rFonts w:ascii="Arial" w:hAnsi="Arial" w:cs="Arial"/>
          <w:sz w:val="20"/>
          <w:szCs w:val="20"/>
        </w:rPr>
        <w:t xml:space="preserve"> nadrezortn</w:t>
      </w:r>
      <w:r>
        <w:rPr>
          <w:rFonts w:ascii="Arial" w:hAnsi="Arial" w:cs="Arial"/>
          <w:sz w:val="20"/>
          <w:szCs w:val="20"/>
        </w:rPr>
        <w:t>ý charakter,</w:t>
      </w:r>
      <w:r w:rsidRPr="00E94D1F">
        <w:rPr>
          <w:rFonts w:ascii="Arial" w:hAnsi="Arial" w:cs="Arial"/>
          <w:sz w:val="20"/>
          <w:szCs w:val="20"/>
        </w:rPr>
        <w:t xml:space="preserve"> </w:t>
      </w:r>
      <w:r>
        <w:rPr>
          <w:rFonts w:ascii="Arial" w:hAnsi="Arial" w:cs="Arial"/>
          <w:sz w:val="20"/>
          <w:szCs w:val="20"/>
        </w:rPr>
        <w:t>bolo aj časovo náročné a v neposlednom rade  malo vplyv na oneskorenie schvaľovania VP, a tým aj ich realizácie s dopadom na stav kontrahovania a čerpania OP ŽP.</w:t>
      </w:r>
    </w:p>
    <w:p w14:paraId="44E07340" w14:textId="77777777" w:rsidR="00B01E91" w:rsidRDefault="00B01E91" w:rsidP="00B01E91">
      <w:pPr>
        <w:tabs>
          <w:tab w:val="left" w:pos="360"/>
        </w:tabs>
        <w:autoSpaceDE w:val="0"/>
        <w:autoSpaceDN w:val="0"/>
        <w:adjustRightInd w:val="0"/>
        <w:spacing w:before="120"/>
        <w:jc w:val="both"/>
        <w:rPr>
          <w:rFonts w:ascii="Arial" w:hAnsi="Arial" w:cs="Arial"/>
          <w:sz w:val="20"/>
          <w:szCs w:val="20"/>
        </w:rPr>
      </w:pPr>
      <w:r>
        <w:rPr>
          <w:rFonts w:ascii="Arial" w:hAnsi="Arial" w:cs="Arial"/>
          <w:sz w:val="20"/>
          <w:szCs w:val="20"/>
        </w:rPr>
        <w:t xml:space="preserve">Samotná realizácia veľkých projektov bola poznačená jednak zdĺhavým procesom verejného obstarávania a následne aj nedostatočnou prípravou, resp. mobilizáciou zo strany vybraných zhotoviteľov, čo sa prejavilo v oneskorení začatia stavebných prác. RO priebežne monitoroval stav implementácie všetkých veľkých projektov a s blížiacim sa koncom programového obdobia v rámci krízového riadenia zintenzívnil komunikáciu s prijímateľmi a taktiež na mesačnej báze informoval o pokroku aj zástupcov EK. Vzhľadom na výrazný sklz v implementácii VP v priebehu roku 2015 RO komunikoval a posudzoval s prijímateľmi možnosť fázovania VP. Fázovanie sa netýkalo tých projektov, u ktorých bol vysoký predpoklad ich </w:t>
      </w:r>
      <w:r w:rsidRPr="006228C4">
        <w:rPr>
          <w:rFonts w:ascii="Arial" w:hAnsi="Arial" w:cs="Arial"/>
          <w:sz w:val="20"/>
          <w:szCs w:val="20"/>
        </w:rPr>
        <w:t>fyzického ukončenia</w:t>
      </w:r>
      <w:r>
        <w:rPr>
          <w:rFonts w:ascii="Arial" w:hAnsi="Arial" w:cs="Arial"/>
          <w:sz w:val="20"/>
          <w:szCs w:val="20"/>
        </w:rPr>
        <w:t>, tzn.</w:t>
      </w:r>
      <w:r w:rsidRPr="006228C4">
        <w:rPr>
          <w:rFonts w:ascii="Arial" w:hAnsi="Arial" w:cs="Arial"/>
          <w:sz w:val="20"/>
          <w:szCs w:val="20"/>
        </w:rPr>
        <w:t xml:space="preserve"> </w:t>
      </w:r>
      <w:r>
        <w:rPr>
          <w:rFonts w:ascii="Arial" w:hAnsi="Arial" w:cs="Arial"/>
          <w:sz w:val="20"/>
          <w:szCs w:val="20"/>
        </w:rPr>
        <w:t xml:space="preserve">predpokladalo sa ukončenie stavebných prác </w:t>
      </w:r>
      <w:r w:rsidRPr="006228C4">
        <w:rPr>
          <w:rFonts w:ascii="Arial" w:hAnsi="Arial" w:cs="Arial"/>
          <w:sz w:val="20"/>
          <w:szCs w:val="20"/>
        </w:rPr>
        <w:t xml:space="preserve">do konca roka 2015 a v roku 2016 </w:t>
      </w:r>
      <w:r>
        <w:rPr>
          <w:rFonts w:ascii="Arial" w:hAnsi="Arial" w:cs="Arial"/>
          <w:sz w:val="20"/>
          <w:szCs w:val="20"/>
        </w:rPr>
        <w:t xml:space="preserve">by už </w:t>
      </w:r>
      <w:r w:rsidRPr="006228C4">
        <w:rPr>
          <w:rFonts w:ascii="Arial" w:hAnsi="Arial" w:cs="Arial"/>
          <w:sz w:val="20"/>
          <w:szCs w:val="20"/>
        </w:rPr>
        <w:t xml:space="preserve"> prebieha</w:t>
      </w:r>
      <w:r>
        <w:rPr>
          <w:rFonts w:ascii="Arial" w:hAnsi="Arial" w:cs="Arial"/>
          <w:sz w:val="20"/>
          <w:szCs w:val="20"/>
        </w:rPr>
        <w:t>la</w:t>
      </w:r>
      <w:r w:rsidRPr="006228C4">
        <w:rPr>
          <w:rFonts w:ascii="Arial" w:hAnsi="Arial" w:cs="Arial"/>
          <w:sz w:val="20"/>
          <w:szCs w:val="20"/>
        </w:rPr>
        <w:t xml:space="preserve"> len skúšobná prevádzka</w:t>
      </w:r>
      <w:r>
        <w:rPr>
          <w:rFonts w:ascii="Arial" w:hAnsi="Arial" w:cs="Arial"/>
          <w:sz w:val="20"/>
          <w:szCs w:val="20"/>
        </w:rPr>
        <w:t xml:space="preserve">. RO na základe posúdenia stavu realizácie a predpokladu vývoja realizácie VP  dňa 24. 6. 2015 zaslal zoznam veľkých projektov, u ktorých sa navrhovalo ich fázovanie. Zoznam obsahoval 4 projekty: ČOV Sever, </w:t>
      </w:r>
      <w:r w:rsidRPr="0079757D">
        <w:rPr>
          <w:rFonts w:ascii="Arial" w:hAnsi="Arial" w:cs="Arial"/>
          <w:sz w:val="20"/>
          <w:szCs w:val="20"/>
        </w:rPr>
        <w:t>Zásobovanie vodou, odkanalizovanie a čistenie odpadových vôd okresu Bytča</w:t>
      </w:r>
      <w:r>
        <w:rPr>
          <w:rFonts w:ascii="Arial" w:hAnsi="Arial" w:cs="Arial"/>
          <w:sz w:val="20"/>
          <w:szCs w:val="20"/>
        </w:rPr>
        <w:t xml:space="preserve">, </w:t>
      </w:r>
      <w:r w:rsidRPr="0079757D">
        <w:rPr>
          <w:rFonts w:ascii="Arial" w:hAnsi="Arial" w:cs="Arial"/>
          <w:sz w:val="20"/>
          <w:szCs w:val="20"/>
        </w:rPr>
        <w:t>Zásobovanie pitnou vodou a odkanalizovanie obcí v mikroregióne Bodva</w:t>
      </w:r>
      <w:r>
        <w:rPr>
          <w:rFonts w:ascii="Arial" w:hAnsi="Arial" w:cs="Arial"/>
          <w:sz w:val="20"/>
          <w:szCs w:val="20"/>
        </w:rPr>
        <w:t xml:space="preserve"> a </w:t>
      </w:r>
      <w:r w:rsidRPr="0079757D">
        <w:rPr>
          <w:rFonts w:ascii="Arial" w:hAnsi="Arial" w:cs="Arial"/>
          <w:sz w:val="20"/>
          <w:szCs w:val="20"/>
        </w:rPr>
        <w:t>Zásobovanie vodou a kanalizácia oravského regiónu, 2. etapa</w:t>
      </w:r>
      <w:r>
        <w:rPr>
          <w:rFonts w:ascii="Arial" w:hAnsi="Arial" w:cs="Arial"/>
          <w:sz w:val="20"/>
          <w:szCs w:val="20"/>
        </w:rPr>
        <w:t>.</w:t>
      </w:r>
    </w:p>
    <w:p w14:paraId="66EBDCF9" w14:textId="77777777" w:rsidR="00A74B9B" w:rsidRDefault="00A74B9B" w:rsidP="00B01E91">
      <w:pPr>
        <w:tabs>
          <w:tab w:val="left" w:pos="360"/>
        </w:tabs>
        <w:autoSpaceDE w:val="0"/>
        <w:autoSpaceDN w:val="0"/>
        <w:adjustRightInd w:val="0"/>
        <w:spacing w:before="120"/>
        <w:jc w:val="both"/>
        <w:rPr>
          <w:rFonts w:ascii="Arial" w:hAnsi="Arial" w:cs="Arial"/>
          <w:sz w:val="20"/>
          <w:szCs w:val="20"/>
        </w:rPr>
      </w:pPr>
      <w:r w:rsidRPr="006228C4">
        <w:rPr>
          <w:rFonts w:ascii="Arial" w:hAnsi="Arial" w:cs="Arial"/>
          <w:sz w:val="20"/>
          <w:szCs w:val="20"/>
        </w:rPr>
        <w:t>V súvislosti so spoločným cieľom zástupcov Európskej komisie a zástupcov riadiacich orgánov operačných programov jednotlivých členských krajín EÚ urýchliť čerpanie operačných programov v programovom období 2007</w:t>
      </w:r>
      <w:r>
        <w:rPr>
          <w:rFonts w:ascii="Arial" w:hAnsi="Arial" w:cs="Arial"/>
          <w:sz w:val="20"/>
          <w:szCs w:val="20"/>
        </w:rPr>
        <w:t xml:space="preserve"> </w:t>
      </w:r>
      <w:r w:rsidRPr="006228C4">
        <w:rPr>
          <w:rFonts w:ascii="Arial" w:hAnsi="Arial" w:cs="Arial"/>
          <w:sz w:val="20"/>
          <w:szCs w:val="20"/>
        </w:rPr>
        <w:t>-</w:t>
      </w:r>
      <w:r>
        <w:rPr>
          <w:rFonts w:ascii="Arial" w:hAnsi="Arial" w:cs="Arial"/>
          <w:sz w:val="20"/>
          <w:szCs w:val="20"/>
        </w:rPr>
        <w:t xml:space="preserve"> </w:t>
      </w:r>
      <w:r w:rsidRPr="006228C4">
        <w:rPr>
          <w:rFonts w:ascii="Arial" w:hAnsi="Arial" w:cs="Arial"/>
          <w:sz w:val="20"/>
          <w:szCs w:val="20"/>
        </w:rPr>
        <w:t xml:space="preserve">2013 a zároveň v maximálnej miere znížiť riziko zrušenia finančných záväzkov, </w:t>
      </w:r>
      <w:r>
        <w:rPr>
          <w:rFonts w:ascii="Arial" w:hAnsi="Arial" w:cs="Arial"/>
          <w:sz w:val="20"/>
          <w:szCs w:val="20"/>
        </w:rPr>
        <w:t xml:space="preserve">bola v rámci Task Force </w:t>
      </w:r>
      <w:r w:rsidRPr="006228C4">
        <w:rPr>
          <w:rFonts w:ascii="Arial" w:hAnsi="Arial" w:cs="Arial"/>
          <w:sz w:val="20"/>
          <w:szCs w:val="20"/>
        </w:rPr>
        <w:t>navrh</w:t>
      </w:r>
      <w:r>
        <w:rPr>
          <w:rFonts w:ascii="Arial" w:hAnsi="Arial" w:cs="Arial"/>
          <w:sz w:val="20"/>
          <w:szCs w:val="20"/>
        </w:rPr>
        <w:t xml:space="preserve">nutá </w:t>
      </w:r>
      <w:r w:rsidRPr="006228C4">
        <w:rPr>
          <w:rFonts w:ascii="Arial" w:hAnsi="Arial" w:cs="Arial"/>
          <w:sz w:val="20"/>
          <w:szCs w:val="20"/>
        </w:rPr>
        <w:t>nov</w:t>
      </w:r>
      <w:r>
        <w:rPr>
          <w:rFonts w:ascii="Arial" w:hAnsi="Arial" w:cs="Arial"/>
          <w:sz w:val="20"/>
          <w:szCs w:val="20"/>
        </w:rPr>
        <w:t>á</w:t>
      </w:r>
      <w:r w:rsidRPr="006228C4">
        <w:rPr>
          <w:rFonts w:ascii="Arial" w:hAnsi="Arial" w:cs="Arial"/>
          <w:sz w:val="20"/>
          <w:szCs w:val="20"/>
        </w:rPr>
        <w:t xml:space="preserve"> flexibilit</w:t>
      </w:r>
      <w:r>
        <w:rPr>
          <w:rFonts w:ascii="Arial" w:hAnsi="Arial" w:cs="Arial"/>
          <w:sz w:val="20"/>
          <w:szCs w:val="20"/>
        </w:rPr>
        <w:t>a. Išlo o</w:t>
      </w:r>
      <w:r w:rsidRPr="006228C4">
        <w:rPr>
          <w:rFonts w:ascii="Arial" w:hAnsi="Arial" w:cs="Arial"/>
          <w:sz w:val="20"/>
          <w:szCs w:val="20"/>
        </w:rPr>
        <w:t xml:space="preserve"> „uhrádzanie oprávnených výdavkov pri projektoch generujúcich príjem bez priebežného znižovania výšky oprávnených výdavkov o finančnú medzeru“. </w:t>
      </w:r>
      <w:r>
        <w:rPr>
          <w:rFonts w:ascii="Arial" w:hAnsi="Arial" w:cs="Arial"/>
          <w:sz w:val="20"/>
          <w:szCs w:val="20"/>
        </w:rPr>
        <w:t xml:space="preserve">RO po udelení výnimky zo Systému finančného riadenia ŠF a KF využíval túto flexibilitu a </w:t>
      </w:r>
      <w:r w:rsidRPr="006228C4">
        <w:rPr>
          <w:rFonts w:ascii="Arial" w:hAnsi="Arial" w:cs="Arial"/>
          <w:sz w:val="20"/>
          <w:szCs w:val="20"/>
        </w:rPr>
        <w:t>uhrádza</w:t>
      </w:r>
      <w:r>
        <w:rPr>
          <w:rFonts w:ascii="Arial" w:hAnsi="Arial" w:cs="Arial"/>
          <w:sz w:val="20"/>
          <w:szCs w:val="20"/>
        </w:rPr>
        <w:t>l</w:t>
      </w:r>
      <w:r w:rsidRPr="006228C4">
        <w:rPr>
          <w:rFonts w:ascii="Arial" w:hAnsi="Arial" w:cs="Arial"/>
          <w:sz w:val="20"/>
          <w:szCs w:val="20"/>
        </w:rPr>
        <w:t xml:space="preserve"> oprávnené výdavky pri projektoch generujúcich príjem bez priebežného znižovania výšky oprávnených výdavkov o finančnú medzeru a</w:t>
      </w:r>
      <w:r>
        <w:rPr>
          <w:rFonts w:ascii="Arial" w:hAnsi="Arial" w:cs="Arial"/>
          <w:sz w:val="20"/>
          <w:szCs w:val="20"/>
        </w:rPr>
        <w:t> taktiež využíval aj možnosť</w:t>
      </w:r>
      <w:r w:rsidRPr="006228C4">
        <w:rPr>
          <w:rFonts w:ascii="Arial" w:hAnsi="Arial" w:cs="Arial"/>
          <w:sz w:val="20"/>
          <w:szCs w:val="20"/>
        </w:rPr>
        <w:t xml:space="preserve"> uhrádzať oprávnené výdavky formou predfinancovania až do výšky 100 % oprávnených výdavkov na projekt. </w:t>
      </w:r>
    </w:p>
    <w:p w14:paraId="01892643" w14:textId="08A879E9" w:rsidR="00A74B9B" w:rsidRDefault="00A74B9B" w:rsidP="00A74B9B">
      <w:pPr>
        <w:tabs>
          <w:tab w:val="left" w:pos="360"/>
        </w:tabs>
        <w:autoSpaceDE w:val="0"/>
        <w:autoSpaceDN w:val="0"/>
        <w:adjustRightInd w:val="0"/>
        <w:spacing w:before="240" w:after="120"/>
        <w:jc w:val="both"/>
        <w:rPr>
          <w:rFonts w:ascii="Arial" w:hAnsi="Arial" w:cs="Arial"/>
          <w:sz w:val="20"/>
          <w:szCs w:val="20"/>
          <w:u w:val="single"/>
        </w:rPr>
      </w:pPr>
      <w:r w:rsidRPr="006228C4">
        <w:rPr>
          <w:rFonts w:ascii="Arial" w:hAnsi="Arial" w:cs="Arial"/>
          <w:sz w:val="20"/>
          <w:szCs w:val="20"/>
        </w:rPr>
        <w:t xml:space="preserve">Uvedené flexibility </w:t>
      </w:r>
      <w:r>
        <w:rPr>
          <w:rFonts w:ascii="Arial" w:hAnsi="Arial" w:cs="Arial"/>
          <w:sz w:val="20"/>
          <w:szCs w:val="20"/>
        </w:rPr>
        <w:t>výrazne napomohli riadnemu ukončeniu 7 z 8 veľkých projektov bez potreby ich fázovania. Len jeden veľký projekt bolo potrebné aj napriek udeleniu výnimky rozdeliť do dvoch fáz</w:t>
      </w:r>
      <w:r w:rsidRPr="006228C4">
        <w:rPr>
          <w:rFonts w:ascii="Arial" w:hAnsi="Arial" w:cs="Arial"/>
          <w:sz w:val="20"/>
          <w:szCs w:val="20"/>
        </w:rPr>
        <w:t>.</w:t>
      </w:r>
      <w:r>
        <w:rPr>
          <w:rFonts w:ascii="Arial" w:hAnsi="Arial" w:cs="Arial"/>
          <w:sz w:val="20"/>
          <w:szCs w:val="20"/>
        </w:rPr>
        <w:t xml:space="preserve"> V prípade tohto projektu (ČOV Sever) RO zaslal 25.</w:t>
      </w:r>
      <w:r w:rsidR="0072604B">
        <w:rPr>
          <w:rFonts w:ascii="Arial" w:hAnsi="Arial" w:cs="Arial"/>
          <w:sz w:val="20"/>
          <w:szCs w:val="20"/>
        </w:rPr>
        <w:t xml:space="preserve"> </w:t>
      </w:r>
      <w:r>
        <w:rPr>
          <w:rFonts w:ascii="Arial" w:hAnsi="Arial" w:cs="Arial"/>
          <w:sz w:val="20"/>
          <w:szCs w:val="20"/>
        </w:rPr>
        <w:t>9.</w:t>
      </w:r>
      <w:r w:rsidR="0072604B">
        <w:rPr>
          <w:rFonts w:ascii="Arial" w:hAnsi="Arial" w:cs="Arial"/>
          <w:sz w:val="20"/>
          <w:szCs w:val="20"/>
        </w:rPr>
        <w:t xml:space="preserve"> </w:t>
      </w:r>
      <w:r>
        <w:rPr>
          <w:rFonts w:ascii="Arial" w:hAnsi="Arial" w:cs="Arial"/>
          <w:sz w:val="20"/>
          <w:szCs w:val="20"/>
        </w:rPr>
        <w:t>2015 EK žiadosť o modifikáciu rozhodnutia EK, v ktorej navrhol projekt rozdeliť do dvoch fáz. Žiadosť bola EK schválená 4.</w:t>
      </w:r>
      <w:r w:rsidR="0072604B">
        <w:rPr>
          <w:rFonts w:ascii="Arial" w:hAnsi="Arial" w:cs="Arial"/>
          <w:sz w:val="20"/>
          <w:szCs w:val="20"/>
        </w:rPr>
        <w:t xml:space="preserve"> </w:t>
      </w:r>
      <w:r>
        <w:rPr>
          <w:rFonts w:ascii="Arial" w:hAnsi="Arial" w:cs="Arial"/>
          <w:sz w:val="20"/>
          <w:szCs w:val="20"/>
        </w:rPr>
        <w:t>12.</w:t>
      </w:r>
      <w:r w:rsidR="0072604B">
        <w:rPr>
          <w:rFonts w:ascii="Arial" w:hAnsi="Arial" w:cs="Arial"/>
          <w:sz w:val="20"/>
          <w:szCs w:val="20"/>
        </w:rPr>
        <w:t xml:space="preserve"> </w:t>
      </w:r>
      <w:r>
        <w:rPr>
          <w:rFonts w:ascii="Arial" w:hAnsi="Arial" w:cs="Arial"/>
          <w:sz w:val="20"/>
          <w:szCs w:val="20"/>
        </w:rPr>
        <w:t>2015.</w:t>
      </w:r>
      <w:r w:rsidRPr="0002421E">
        <w:rPr>
          <w:rFonts w:ascii="Arial" w:hAnsi="Arial" w:cs="Arial"/>
          <w:sz w:val="20"/>
          <w:szCs w:val="20"/>
        </w:rPr>
        <w:t xml:space="preserve"> Vzhľadom na vývoj implementácie projektu bola RO v spolupráci s prijímateľom pripravená a zaslaná druhá žiadosť o zmenu projektu, ktorá reflektovala na stav projektu ku koncu programového obdobia (k decembru 2015). Predmetná žiadosť bola EK zaslaná 11.</w:t>
      </w:r>
      <w:r w:rsidR="0072604B">
        <w:rPr>
          <w:rFonts w:ascii="Arial" w:hAnsi="Arial" w:cs="Arial"/>
          <w:sz w:val="20"/>
          <w:szCs w:val="20"/>
        </w:rPr>
        <w:t xml:space="preserve"> </w:t>
      </w:r>
      <w:r w:rsidRPr="0002421E">
        <w:rPr>
          <w:rFonts w:ascii="Arial" w:hAnsi="Arial" w:cs="Arial"/>
          <w:sz w:val="20"/>
          <w:szCs w:val="20"/>
        </w:rPr>
        <w:t>3.</w:t>
      </w:r>
      <w:r w:rsidR="0072604B">
        <w:rPr>
          <w:rFonts w:ascii="Arial" w:hAnsi="Arial" w:cs="Arial"/>
          <w:sz w:val="20"/>
          <w:szCs w:val="20"/>
        </w:rPr>
        <w:t xml:space="preserve"> </w:t>
      </w:r>
      <w:r w:rsidRPr="0002421E">
        <w:rPr>
          <w:rFonts w:ascii="Arial" w:hAnsi="Arial" w:cs="Arial"/>
          <w:sz w:val="20"/>
          <w:szCs w:val="20"/>
        </w:rPr>
        <w:t>2016 a 15.</w:t>
      </w:r>
      <w:r w:rsidR="0072604B">
        <w:rPr>
          <w:rFonts w:ascii="Arial" w:hAnsi="Arial" w:cs="Arial"/>
          <w:sz w:val="20"/>
          <w:szCs w:val="20"/>
        </w:rPr>
        <w:t xml:space="preserve"> </w:t>
      </w:r>
      <w:r w:rsidRPr="0002421E">
        <w:rPr>
          <w:rFonts w:ascii="Arial" w:hAnsi="Arial" w:cs="Arial"/>
          <w:sz w:val="20"/>
          <w:szCs w:val="20"/>
        </w:rPr>
        <w:t>6.</w:t>
      </w:r>
      <w:r w:rsidR="0072604B">
        <w:rPr>
          <w:rFonts w:ascii="Arial" w:hAnsi="Arial" w:cs="Arial"/>
          <w:sz w:val="20"/>
          <w:szCs w:val="20"/>
        </w:rPr>
        <w:t xml:space="preserve"> </w:t>
      </w:r>
      <w:r w:rsidRPr="0002421E">
        <w:rPr>
          <w:rFonts w:ascii="Arial" w:hAnsi="Arial" w:cs="Arial"/>
          <w:sz w:val="20"/>
          <w:szCs w:val="20"/>
        </w:rPr>
        <w:t>2016 EK prijala rozhodnutie, ktorým schválila druhú zmenu projektu.</w:t>
      </w:r>
      <w:r>
        <w:rPr>
          <w:rFonts w:ascii="Arial" w:hAnsi="Arial" w:cs="Arial"/>
          <w:sz w:val="20"/>
          <w:szCs w:val="20"/>
        </w:rPr>
        <w:t xml:space="preserve"> Prvá fáza projektu bola riadne ukončená. Zoznam ukončených </w:t>
      </w:r>
      <w:r w:rsidRPr="00E21C60">
        <w:rPr>
          <w:rFonts w:ascii="Arial" w:hAnsi="Arial" w:cs="Arial"/>
          <w:sz w:val="20"/>
          <w:szCs w:val="20"/>
        </w:rPr>
        <w:t>veľkých projektov je uvedený v Prílohe č. 8</w:t>
      </w:r>
      <w:r>
        <w:rPr>
          <w:rFonts w:ascii="Arial" w:hAnsi="Arial" w:cs="Arial"/>
          <w:sz w:val="20"/>
          <w:szCs w:val="20"/>
        </w:rPr>
        <w:t xml:space="preserve"> A</w:t>
      </w:r>
      <w:r w:rsidRPr="00E21C60">
        <w:rPr>
          <w:rFonts w:ascii="Arial" w:hAnsi="Arial" w:cs="Arial"/>
          <w:bCs/>
          <w:sz w:val="20"/>
          <w:szCs w:val="20"/>
        </w:rPr>
        <w:t>.</w:t>
      </w:r>
      <w:r>
        <w:rPr>
          <w:rFonts w:ascii="Arial" w:hAnsi="Arial" w:cs="Arial"/>
          <w:sz w:val="20"/>
          <w:szCs w:val="20"/>
        </w:rPr>
        <w:t>a informácie o fázovanom veľkom projekte</w:t>
      </w:r>
      <w:r w:rsidRPr="00E21C60">
        <w:rPr>
          <w:rFonts w:ascii="Arial" w:hAnsi="Arial" w:cs="Arial"/>
          <w:sz w:val="20"/>
          <w:szCs w:val="20"/>
        </w:rPr>
        <w:t xml:space="preserve"> </w:t>
      </w:r>
      <w:r>
        <w:rPr>
          <w:rFonts w:ascii="Arial" w:hAnsi="Arial" w:cs="Arial"/>
          <w:sz w:val="20"/>
          <w:szCs w:val="20"/>
        </w:rPr>
        <w:t xml:space="preserve">sú uvedené v Prílohe č. 8 B. </w:t>
      </w:r>
      <w:r w:rsidRPr="00867963">
        <w:rPr>
          <w:rFonts w:ascii="Arial" w:hAnsi="Arial" w:cs="Arial"/>
          <w:sz w:val="20"/>
          <w:szCs w:val="20"/>
        </w:rPr>
        <w:t>Jeden veľký projekt (Trenčín) bol zaradený do zoznamu nefungujúcich projektov. Projekt bol fyzicky ukončený, ale nie je ukončený finančne, a to z dôvodu prebiehajúcej kontroly verejného obstarávania na stavebné práce Úradom pre verejné obstarávanie.</w:t>
      </w:r>
    </w:p>
    <w:p w14:paraId="058D77BD" w14:textId="77777777" w:rsidR="00A74B9B" w:rsidRDefault="00A74B9B" w:rsidP="00A74B9B">
      <w:pPr>
        <w:spacing w:before="120" w:after="120"/>
        <w:jc w:val="both"/>
        <w:rPr>
          <w:rFonts w:ascii="Arial" w:hAnsi="Arial" w:cs="Arial"/>
          <w:sz w:val="20"/>
          <w:szCs w:val="20"/>
        </w:rPr>
      </w:pPr>
      <w:r>
        <w:rPr>
          <w:rFonts w:ascii="Arial" w:hAnsi="Arial" w:cs="Arial"/>
          <w:sz w:val="20"/>
          <w:szCs w:val="20"/>
        </w:rPr>
        <w:t>V</w:t>
      </w:r>
      <w:r w:rsidRPr="00E21C60">
        <w:rPr>
          <w:rFonts w:ascii="Arial" w:hAnsi="Arial" w:cs="Arial"/>
          <w:sz w:val="20"/>
          <w:szCs w:val="20"/>
        </w:rPr>
        <w:t>eľk</w:t>
      </w:r>
      <w:r>
        <w:rPr>
          <w:rFonts w:ascii="Arial" w:hAnsi="Arial" w:cs="Arial"/>
          <w:sz w:val="20"/>
          <w:szCs w:val="20"/>
        </w:rPr>
        <w:t>é</w:t>
      </w:r>
      <w:r w:rsidRPr="00E21C60">
        <w:rPr>
          <w:rFonts w:ascii="Arial" w:hAnsi="Arial" w:cs="Arial"/>
          <w:sz w:val="20"/>
          <w:szCs w:val="20"/>
        </w:rPr>
        <w:t xml:space="preserve"> projekt</w:t>
      </w:r>
      <w:r>
        <w:rPr>
          <w:rFonts w:ascii="Arial" w:hAnsi="Arial" w:cs="Arial"/>
          <w:sz w:val="20"/>
          <w:szCs w:val="20"/>
        </w:rPr>
        <w:t>y</w:t>
      </w:r>
      <w:r w:rsidRPr="00E21C60">
        <w:rPr>
          <w:rFonts w:ascii="Arial" w:hAnsi="Arial" w:cs="Arial"/>
          <w:sz w:val="20"/>
          <w:szCs w:val="20"/>
        </w:rPr>
        <w:t xml:space="preserve"> </w:t>
      </w:r>
      <w:r>
        <w:rPr>
          <w:rFonts w:ascii="Arial" w:hAnsi="Arial" w:cs="Arial"/>
          <w:sz w:val="20"/>
          <w:szCs w:val="20"/>
        </w:rPr>
        <w:t xml:space="preserve">v rámci PO 1 prispeli </w:t>
      </w:r>
      <w:r w:rsidRPr="00E21C60">
        <w:rPr>
          <w:rFonts w:ascii="Arial" w:hAnsi="Arial" w:cs="Arial"/>
          <w:sz w:val="20"/>
          <w:szCs w:val="20"/>
        </w:rPr>
        <w:t>skvalitneni</w:t>
      </w:r>
      <w:r>
        <w:rPr>
          <w:rFonts w:ascii="Arial" w:hAnsi="Arial" w:cs="Arial"/>
          <w:sz w:val="20"/>
          <w:szCs w:val="20"/>
        </w:rPr>
        <w:t>u</w:t>
      </w:r>
      <w:r w:rsidRPr="00E21C60">
        <w:rPr>
          <w:rFonts w:ascii="Arial" w:hAnsi="Arial" w:cs="Arial"/>
          <w:sz w:val="20"/>
          <w:szCs w:val="20"/>
        </w:rPr>
        <w:t xml:space="preserve"> vodohospodárskej infraštruktúry</w:t>
      </w:r>
      <w:r>
        <w:rPr>
          <w:rFonts w:ascii="Arial" w:hAnsi="Arial" w:cs="Arial"/>
          <w:sz w:val="20"/>
          <w:szCs w:val="20"/>
        </w:rPr>
        <w:t xml:space="preserve">, </w:t>
      </w:r>
      <w:r w:rsidRPr="00E21C60">
        <w:rPr>
          <w:rFonts w:ascii="Arial" w:hAnsi="Arial" w:cs="Arial"/>
          <w:sz w:val="20"/>
          <w:szCs w:val="20"/>
        </w:rPr>
        <w:t>k</w:t>
      </w:r>
      <w:r>
        <w:rPr>
          <w:rFonts w:ascii="Arial" w:hAnsi="Arial" w:cs="Arial"/>
          <w:sz w:val="20"/>
          <w:szCs w:val="20"/>
        </w:rPr>
        <w:t xml:space="preserve"> zlepšeniu </w:t>
      </w:r>
      <w:r w:rsidRPr="00E21C60">
        <w:rPr>
          <w:rFonts w:ascii="Arial" w:hAnsi="Arial" w:cs="Arial"/>
          <w:sz w:val="20"/>
          <w:szCs w:val="20"/>
        </w:rPr>
        <w:t>bezproblémového zásobovania obyvateľov kvalitnou pitnou vodou a k efektívnemu zneškodňovaniu odpadových vôd bez negatívnych dopadov na životné prostredie. Bezpečné odvádzanie a čistenie odpadových vôd je jedným z významných faktorov ochrany vôd pred znečistením smerujúcim k naplneniu cieľa Rámcovej smernice o vode dosiahnuť dobrý ekologický stav vôd do roku 2015.</w:t>
      </w:r>
    </w:p>
    <w:p w14:paraId="1F374543" w14:textId="77777777" w:rsidR="00A74B9B" w:rsidRDefault="00A74B9B" w:rsidP="00A74B9B">
      <w:pPr>
        <w:spacing w:before="120"/>
        <w:jc w:val="both"/>
        <w:rPr>
          <w:rFonts w:ascii="Arial" w:hAnsi="Arial" w:cs="Arial"/>
          <w:sz w:val="20"/>
          <w:szCs w:val="20"/>
        </w:rPr>
      </w:pPr>
      <w:r>
        <w:rPr>
          <w:rFonts w:ascii="Arial" w:hAnsi="Arial" w:cs="Arial"/>
          <w:sz w:val="20"/>
          <w:szCs w:val="20"/>
        </w:rPr>
        <w:t>V rámci zrealizovaných VP boli dosiahnuté nasledovné výsledky:</w:t>
      </w:r>
    </w:p>
    <w:p w14:paraId="2668D1C6" w14:textId="2A449594" w:rsidR="00A74B9B" w:rsidRDefault="00A74B9B" w:rsidP="00A74B9B">
      <w:pPr>
        <w:jc w:val="both"/>
        <w:rPr>
          <w:rFonts w:ascii="Arial" w:hAnsi="Arial" w:cs="Arial"/>
          <w:sz w:val="20"/>
          <w:szCs w:val="20"/>
        </w:rPr>
      </w:pPr>
      <w:r>
        <w:rPr>
          <w:rFonts w:ascii="Arial" w:hAnsi="Arial" w:cs="Arial"/>
          <w:sz w:val="20"/>
          <w:szCs w:val="20"/>
        </w:rPr>
        <w:t xml:space="preserve">- bolo vybudovaných, resp. zrekonštruovaných </w:t>
      </w:r>
      <w:r w:rsidR="008A7579">
        <w:rPr>
          <w:rFonts w:ascii="Arial" w:hAnsi="Arial" w:cs="Arial"/>
          <w:sz w:val="20"/>
          <w:szCs w:val="20"/>
        </w:rPr>
        <w:t>10</w:t>
      </w:r>
      <w:r>
        <w:rPr>
          <w:rFonts w:ascii="Arial" w:hAnsi="Arial" w:cs="Arial"/>
          <w:sz w:val="20"/>
          <w:szCs w:val="20"/>
        </w:rPr>
        <w:t xml:space="preserve"> ČOV, </w:t>
      </w:r>
    </w:p>
    <w:p w14:paraId="1E44567C" w14:textId="11BABE21" w:rsidR="00A74B9B" w:rsidRDefault="00A74B9B" w:rsidP="00A74B9B">
      <w:pPr>
        <w:jc w:val="both"/>
        <w:rPr>
          <w:rFonts w:ascii="Arial" w:hAnsi="Arial" w:cs="Arial"/>
          <w:sz w:val="20"/>
          <w:szCs w:val="20"/>
        </w:rPr>
      </w:pPr>
      <w:r>
        <w:rPr>
          <w:rFonts w:ascii="Arial" w:hAnsi="Arial" w:cs="Arial"/>
          <w:sz w:val="20"/>
          <w:szCs w:val="20"/>
        </w:rPr>
        <w:t xml:space="preserve">- bolo novovybudovaných kanalizačných sietí v dĺžke </w:t>
      </w:r>
      <w:r w:rsidR="002A3360">
        <w:rPr>
          <w:rFonts w:ascii="Arial" w:hAnsi="Arial" w:cs="Arial"/>
          <w:sz w:val="20"/>
          <w:szCs w:val="20"/>
        </w:rPr>
        <w:t>402,05 km</w:t>
      </w:r>
      <w:r>
        <w:rPr>
          <w:rFonts w:ascii="Arial" w:hAnsi="Arial" w:cs="Arial"/>
          <w:sz w:val="20"/>
          <w:szCs w:val="20"/>
        </w:rPr>
        <w:t>,</w:t>
      </w:r>
    </w:p>
    <w:p w14:paraId="3EB6A20F" w14:textId="77777777" w:rsidR="00A74B9B" w:rsidRDefault="00A74B9B" w:rsidP="00A74B9B">
      <w:pPr>
        <w:jc w:val="both"/>
        <w:rPr>
          <w:rFonts w:ascii="Arial" w:hAnsi="Arial" w:cs="Arial"/>
          <w:sz w:val="20"/>
          <w:szCs w:val="20"/>
        </w:rPr>
      </w:pPr>
      <w:r>
        <w:rPr>
          <w:rFonts w:ascii="Arial" w:hAnsi="Arial" w:cs="Arial"/>
          <w:sz w:val="20"/>
          <w:szCs w:val="20"/>
        </w:rPr>
        <w:t>- bolo novovybudovaných rozvodov pitnej vody v dĺžke 140,16 km.</w:t>
      </w:r>
    </w:p>
    <w:p w14:paraId="6A4B0499" w14:textId="112F2D04" w:rsidR="008A7579" w:rsidRDefault="008A7579" w:rsidP="002A3360">
      <w:pPr>
        <w:spacing w:before="120" w:after="120"/>
        <w:jc w:val="both"/>
        <w:rPr>
          <w:rFonts w:ascii="Arial" w:hAnsi="Arial" w:cs="Arial"/>
          <w:sz w:val="20"/>
          <w:szCs w:val="20"/>
        </w:rPr>
      </w:pPr>
      <w:r w:rsidRPr="008A7579">
        <w:rPr>
          <w:rFonts w:ascii="Arial" w:hAnsi="Arial" w:cs="Arial"/>
          <w:sz w:val="20"/>
          <w:szCs w:val="20"/>
        </w:rPr>
        <w:t xml:space="preserve">Veľké projekty sa v rámci prioritnej osi 1 celkovo podieľali na čerpaní finančných prostriedkov </w:t>
      </w:r>
      <w:r w:rsidR="00DC15C4">
        <w:rPr>
          <w:rFonts w:ascii="Arial" w:hAnsi="Arial" w:cs="Arial"/>
          <w:sz w:val="20"/>
          <w:szCs w:val="20"/>
        </w:rPr>
        <w:t xml:space="preserve">na úrovni </w:t>
      </w:r>
      <w:r w:rsidRPr="008A7579">
        <w:rPr>
          <w:rFonts w:ascii="Arial" w:hAnsi="Arial" w:cs="Arial"/>
          <w:sz w:val="20"/>
          <w:szCs w:val="20"/>
        </w:rPr>
        <w:t xml:space="preserve">18,78 %. Realizácia týchto projektov prispela k hodnote ukazovateľa „Počet novovybudovaných / zrekonštruovaných ČOV“ vo výške 12,2 % a k hodnote ukazovateľa „Dĺžka novovybudovaných kanalizačných sietí (bez kanal. prípojok)“ 24 %. Najvyšší príspevok veľkých projektov 40,04 % bol </w:t>
      </w:r>
      <w:r w:rsidRPr="008A7579">
        <w:rPr>
          <w:rFonts w:ascii="Arial" w:hAnsi="Arial" w:cs="Arial"/>
          <w:sz w:val="20"/>
          <w:szCs w:val="20"/>
        </w:rPr>
        <w:lastRenderedPageBreak/>
        <w:t>dosiahnutý  v rámci ukazovateľa „Dĺžka novovybudovaných rozvodov pitnej vody (bez vodovod. prípojok)“</w:t>
      </w:r>
      <w:r>
        <w:rPr>
          <w:rFonts w:ascii="Arial" w:hAnsi="Arial" w:cs="Arial"/>
          <w:sz w:val="20"/>
          <w:szCs w:val="20"/>
        </w:rPr>
        <w:t>.</w:t>
      </w:r>
    </w:p>
    <w:p w14:paraId="7DA3D255" w14:textId="5AFC50D9" w:rsidR="002A3360" w:rsidRPr="00E21C60" w:rsidRDefault="002A3360" w:rsidP="002A3360">
      <w:pPr>
        <w:spacing w:before="120" w:after="120"/>
        <w:jc w:val="both"/>
        <w:rPr>
          <w:rFonts w:ascii="Arial" w:hAnsi="Arial" w:cs="Arial"/>
          <w:sz w:val="20"/>
          <w:szCs w:val="20"/>
        </w:rPr>
      </w:pPr>
      <w:r w:rsidRPr="00E21C60">
        <w:rPr>
          <w:rFonts w:ascii="Arial" w:hAnsi="Arial" w:cs="Arial"/>
          <w:sz w:val="20"/>
          <w:szCs w:val="20"/>
        </w:rPr>
        <w:t>Veľké projekty predstav</w:t>
      </w:r>
      <w:r>
        <w:rPr>
          <w:rFonts w:ascii="Arial" w:hAnsi="Arial" w:cs="Arial"/>
          <w:sz w:val="20"/>
          <w:szCs w:val="20"/>
        </w:rPr>
        <w:t>ovali</w:t>
      </w:r>
      <w:r w:rsidRPr="00E21C60">
        <w:rPr>
          <w:rFonts w:ascii="Arial" w:hAnsi="Arial" w:cs="Arial"/>
          <w:sz w:val="20"/>
          <w:szCs w:val="20"/>
        </w:rPr>
        <w:t xml:space="preserve"> taktiež významný </w:t>
      </w:r>
      <w:r>
        <w:rPr>
          <w:rFonts w:ascii="Arial" w:hAnsi="Arial" w:cs="Arial"/>
          <w:sz w:val="20"/>
          <w:szCs w:val="20"/>
        </w:rPr>
        <w:t>prvok</w:t>
      </w:r>
      <w:r w:rsidRPr="00E21C60">
        <w:rPr>
          <w:rFonts w:ascii="Arial" w:hAnsi="Arial" w:cs="Arial"/>
          <w:sz w:val="20"/>
          <w:szCs w:val="20"/>
        </w:rPr>
        <w:t xml:space="preserve"> pri napĺňaní záväzkov SR vyplývajúcich zo Zmluvy o pristúpení k EÚ, t.j. stanovených prechodných období na implementáciu smernice Rady 91/271/EHS o čistení komunálnych odpadových vôd. Naplnenie uvedených cieľov a záväzkov SR bolo premietnuté do strategických dokumentov ako Národný program Slovenskej republiky pre vykonávanie smernice Rady 91/271/EHS z 21. mája 1991 o čistení komunálnych odpadových vôd v znení smernice Komisie 98/15/ES a nariadenia Európskeho parlamentu a Rady 1882/2003/ES, Plán rozvoja verejných vodovodov a verejných kanalizácií pre územie Slovenskej republiky a Vodný plán Slovenska, ktoré </w:t>
      </w:r>
      <w:r>
        <w:rPr>
          <w:rFonts w:ascii="Arial" w:hAnsi="Arial" w:cs="Arial"/>
          <w:sz w:val="20"/>
          <w:szCs w:val="20"/>
        </w:rPr>
        <w:t>boli</w:t>
      </w:r>
      <w:r w:rsidRPr="00E21C60">
        <w:rPr>
          <w:rFonts w:ascii="Arial" w:hAnsi="Arial" w:cs="Arial"/>
          <w:sz w:val="20"/>
          <w:szCs w:val="20"/>
        </w:rPr>
        <w:t xml:space="preserve"> východiskovými dokumentmi pri napĺňaní operačných cieľov 1.1 a 1.2 OP ŽP. </w:t>
      </w:r>
    </w:p>
    <w:p w14:paraId="03DC2568" w14:textId="38078D9A" w:rsidR="00386D37" w:rsidRPr="00E21C60" w:rsidRDefault="00A74B9B" w:rsidP="00867963">
      <w:pPr>
        <w:jc w:val="both"/>
        <w:rPr>
          <w:rFonts w:ascii="Arial" w:hAnsi="Arial" w:cs="Arial"/>
          <w:sz w:val="20"/>
          <w:szCs w:val="20"/>
        </w:rPr>
      </w:pPr>
      <w:r>
        <w:rPr>
          <w:rFonts w:ascii="Arial" w:hAnsi="Arial" w:cs="Arial"/>
          <w:sz w:val="20"/>
          <w:szCs w:val="20"/>
        </w:rPr>
        <w:t>V rámci PO 2 bol implementovaný jeden projekt. Išlo o projekt Aktívne protipovodňové opatrenia zmeraný na</w:t>
      </w:r>
      <w:r w:rsidRPr="00241052">
        <w:rPr>
          <w:rFonts w:ascii="Arial" w:hAnsi="Arial" w:cs="Arial"/>
          <w:sz w:val="20"/>
          <w:szCs w:val="20"/>
        </w:rPr>
        <w:t xml:space="preserve"> </w:t>
      </w:r>
      <w:r w:rsidRPr="00316966">
        <w:rPr>
          <w:rFonts w:ascii="Arial" w:hAnsi="Arial" w:cs="Arial"/>
          <w:sz w:val="20"/>
          <w:szCs w:val="20"/>
        </w:rPr>
        <w:t>aktivitu „intervenčné prostriedky na aktívnu ochranu pred povodňami“</w:t>
      </w:r>
      <w:r>
        <w:rPr>
          <w:rFonts w:ascii="Arial" w:hAnsi="Arial" w:cs="Arial"/>
          <w:sz w:val="20"/>
          <w:szCs w:val="20"/>
        </w:rPr>
        <w:t xml:space="preserve">. </w:t>
      </w:r>
      <w:r w:rsidRPr="00EF4F78">
        <w:rPr>
          <w:rFonts w:ascii="Arial" w:hAnsi="Arial" w:cs="Arial"/>
          <w:sz w:val="20"/>
          <w:szCs w:val="20"/>
        </w:rPr>
        <w:t>Realizáciou projektu sa dosiah</w:t>
      </w:r>
      <w:r>
        <w:rPr>
          <w:rFonts w:ascii="Arial" w:hAnsi="Arial" w:cs="Arial"/>
          <w:sz w:val="20"/>
          <w:szCs w:val="20"/>
        </w:rPr>
        <w:t xml:space="preserve">lo zvýšenie </w:t>
      </w:r>
      <w:r w:rsidRPr="00EF4F78">
        <w:rPr>
          <w:rFonts w:ascii="Arial" w:hAnsi="Arial" w:cs="Arial"/>
          <w:sz w:val="20"/>
          <w:szCs w:val="20"/>
        </w:rPr>
        <w:t>kvalit</w:t>
      </w:r>
      <w:r>
        <w:rPr>
          <w:rFonts w:ascii="Arial" w:hAnsi="Arial" w:cs="Arial"/>
          <w:sz w:val="20"/>
          <w:szCs w:val="20"/>
        </w:rPr>
        <w:t>y</w:t>
      </w:r>
      <w:r w:rsidRPr="00EF4F78">
        <w:rPr>
          <w:rFonts w:ascii="Arial" w:hAnsi="Arial" w:cs="Arial"/>
          <w:sz w:val="20"/>
          <w:szCs w:val="20"/>
        </w:rPr>
        <w:t xml:space="preserve"> technického vybavenia intervenčných jednotiek,</w:t>
      </w:r>
      <w:r>
        <w:rPr>
          <w:rFonts w:ascii="Arial" w:hAnsi="Arial" w:cs="Arial"/>
          <w:sz w:val="20"/>
          <w:szCs w:val="20"/>
        </w:rPr>
        <w:t xml:space="preserve"> čím sa umožnila rýchlejšia a efektívnejšia reakcia na </w:t>
      </w:r>
      <w:r w:rsidRPr="00EF4F78">
        <w:rPr>
          <w:rFonts w:ascii="Arial" w:hAnsi="Arial" w:cs="Arial"/>
          <w:sz w:val="20"/>
          <w:szCs w:val="20"/>
        </w:rPr>
        <w:t>stále častejšie sa opakujúce bleskové a intenzívnejšie povodňové stavy</w:t>
      </w:r>
      <w:r>
        <w:rPr>
          <w:rFonts w:ascii="Arial" w:hAnsi="Arial" w:cs="Arial"/>
          <w:sz w:val="20"/>
          <w:szCs w:val="20"/>
        </w:rPr>
        <w:t xml:space="preserve">. Uvedeným projektom sa preto zabezpečila </w:t>
      </w:r>
      <w:r w:rsidRPr="00EF4F78">
        <w:rPr>
          <w:rFonts w:ascii="Arial" w:hAnsi="Arial" w:cs="Arial"/>
          <w:sz w:val="20"/>
          <w:szCs w:val="20"/>
        </w:rPr>
        <w:t>účinnejšia ochrana života a zdravia občanov,</w:t>
      </w:r>
      <w:r>
        <w:rPr>
          <w:rFonts w:ascii="Arial" w:hAnsi="Arial" w:cs="Arial"/>
          <w:sz w:val="20"/>
          <w:szCs w:val="20"/>
        </w:rPr>
        <w:t xml:space="preserve">  </w:t>
      </w:r>
      <w:r w:rsidRPr="00EF4F78">
        <w:rPr>
          <w:rFonts w:ascii="Arial" w:hAnsi="Arial" w:cs="Arial"/>
          <w:sz w:val="20"/>
          <w:szCs w:val="20"/>
        </w:rPr>
        <w:t>ochrana súkromného a verejného majetku,</w:t>
      </w:r>
      <w:r>
        <w:rPr>
          <w:rFonts w:ascii="Arial" w:hAnsi="Arial" w:cs="Arial"/>
          <w:sz w:val="20"/>
          <w:szCs w:val="20"/>
        </w:rPr>
        <w:t xml:space="preserve"> ale aj vyššia ochrana životného prostredia (napr.</w:t>
      </w:r>
      <w:r w:rsidRPr="00EF4F78">
        <w:rPr>
          <w:rFonts w:ascii="Arial" w:hAnsi="Arial" w:cs="Arial"/>
          <w:sz w:val="20"/>
          <w:szCs w:val="20"/>
        </w:rPr>
        <w:t xml:space="preserve"> </w:t>
      </w:r>
      <w:r>
        <w:rPr>
          <w:rFonts w:ascii="Arial" w:hAnsi="Arial" w:cs="Arial"/>
          <w:sz w:val="20"/>
          <w:szCs w:val="20"/>
        </w:rPr>
        <w:t xml:space="preserve">znížením </w:t>
      </w:r>
      <w:r w:rsidRPr="00EF4F78">
        <w:rPr>
          <w:rFonts w:ascii="Arial" w:hAnsi="Arial" w:cs="Arial"/>
          <w:sz w:val="20"/>
          <w:szCs w:val="20"/>
        </w:rPr>
        <w:t>znečistenia vôd/územia počas povodní</w:t>
      </w:r>
      <w:r>
        <w:rPr>
          <w:rFonts w:ascii="Arial" w:hAnsi="Arial" w:cs="Arial"/>
          <w:sz w:val="20"/>
          <w:szCs w:val="20"/>
        </w:rPr>
        <w:t xml:space="preserve">). Tento projekt bol schválený </w:t>
      </w:r>
      <w:r w:rsidRPr="00316966">
        <w:rPr>
          <w:rFonts w:ascii="Arial" w:hAnsi="Arial" w:cs="Arial"/>
          <w:sz w:val="20"/>
          <w:szCs w:val="20"/>
        </w:rPr>
        <w:t xml:space="preserve">rozhodnutím </w:t>
      </w:r>
      <w:r>
        <w:rPr>
          <w:rFonts w:ascii="Arial" w:hAnsi="Arial" w:cs="Arial"/>
          <w:sz w:val="20"/>
          <w:szCs w:val="20"/>
        </w:rPr>
        <w:t>v marci 2015 a v súvislosti s revíziou OP ŽP na verziu 5 aj následne modifikovaný –</w:t>
      </w:r>
      <w:r w:rsidR="00DC15C4">
        <w:rPr>
          <w:rFonts w:ascii="Arial" w:hAnsi="Arial" w:cs="Arial"/>
          <w:sz w:val="20"/>
          <w:szCs w:val="20"/>
        </w:rPr>
        <w:t xml:space="preserve"> rozšírený a opätovne </w:t>
      </w:r>
      <w:r w:rsidR="00DC15C4" w:rsidRPr="00E24A02">
        <w:rPr>
          <w:rFonts w:ascii="Arial" w:hAnsi="Arial" w:cs="Arial"/>
          <w:sz w:val="20"/>
          <w:szCs w:val="20"/>
        </w:rPr>
        <w:t xml:space="preserve">schválený dňa </w:t>
      </w:r>
      <w:r w:rsidR="00DC15C4">
        <w:rPr>
          <w:rFonts w:ascii="Arial" w:hAnsi="Arial" w:cs="Arial"/>
          <w:sz w:val="20"/>
          <w:szCs w:val="20"/>
        </w:rPr>
        <w:t xml:space="preserve">21. 12. 2015 a dňa </w:t>
      </w:r>
      <w:r w:rsidR="00DC15C4" w:rsidRPr="00E24A02">
        <w:rPr>
          <w:rFonts w:ascii="Arial" w:hAnsi="Arial" w:cs="Arial"/>
          <w:sz w:val="20"/>
          <w:szCs w:val="20"/>
        </w:rPr>
        <w:t>6. 4. 2016.</w:t>
      </w:r>
      <w:r w:rsidR="000C5B9D">
        <w:rPr>
          <w:rFonts w:ascii="Arial" w:hAnsi="Arial" w:cs="Arial"/>
          <w:sz w:val="20"/>
          <w:szCs w:val="20"/>
        </w:rPr>
        <w:t xml:space="preserve"> Na čerpaní celkovej alokácie PO</w:t>
      </w:r>
      <w:r w:rsidR="00DC15C4">
        <w:rPr>
          <w:rFonts w:ascii="Arial" w:hAnsi="Arial" w:cs="Arial"/>
          <w:sz w:val="20"/>
          <w:szCs w:val="20"/>
        </w:rPr>
        <w:t xml:space="preserve"> </w:t>
      </w:r>
      <w:r w:rsidR="000C5B9D">
        <w:rPr>
          <w:rFonts w:ascii="Arial" w:hAnsi="Arial" w:cs="Arial"/>
          <w:sz w:val="20"/>
          <w:szCs w:val="20"/>
        </w:rPr>
        <w:t xml:space="preserve">2 sa predmetný projekt podieľal 58 %, pričom celkové investičné náklady projektu predstavovali </w:t>
      </w:r>
      <w:r w:rsidR="000C5B9D" w:rsidRPr="00C62173">
        <w:rPr>
          <w:rFonts w:ascii="Arial" w:hAnsi="Arial" w:cs="Arial"/>
          <w:sz w:val="20"/>
          <w:szCs w:val="20"/>
        </w:rPr>
        <w:t>149 122 966,75</w:t>
      </w:r>
      <w:r w:rsidR="000C5B9D">
        <w:rPr>
          <w:rFonts w:ascii="Arial" w:hAnsi="Arial" w:cs="Arial"/>
          <w:sz w:val="20"/>
          <w:szCs w:val="20"/>
        </w:rPr>
        <w:t xml:space="preserve"> €.</w:t>
      </w:r>
    </w:p>
    <w:p w14:paraId="7BDD6EF9" w14:textId="77777777" w:rsidR="002416B1" w:rsidRPr="0020746A" w:rsidRDefault="002416B1" w:rsidP="00123376">
      <w:pPr>
        <w:pStyle w:val="Nadpis2"/>
        <w:spacing w:after="120"/>
        <w:jc w:val="both"/>
        <w:rPr>
          <w:rFonts w:cs="Arial"/>
        </w:rPr>
      </w:pPr>
      <w:bookmarkStart w:id="111" w:name="_Toc466914553"/>
      <w:r w:rsidRPr="00A43B92">
        <w:rPr>
          <w:rFonts w:cs="Arial"/>
        </w:rPr>
        <w:t xml:space="preserve">5.1 Environmentálne projekty s celkovými investičnými nákladmi </w:t>
      </w:r>
      <w:r w:rsidR="00D641FF" w:rsidRPr="00A43B92">
        <w:rPr>
          <w:rFonts w:cs="Arial"/>
        </w:rPr>
        <w:t>od</w:t>
      </w:r>
      <w:r w:rsidRPr="00A43B92">
        <w:rPr>
          <w:rFonts w:cs="Arial"/>
        </w:rPr>
        <w:t xml:space="preserve"> 25 </w:t>
      </w:r>
      <w:r w:rsidR="00D641FF" w:rsidRPr="00815E06">
        <w:rPr>
          <w:rFonts w:cs="Arial"/>
        </w:rPr>
        <w:t>mil. do</w:t>
      </w:r>
      <w:r w:rsidRPr="00815E06">
        <w:rPr>
          <w:rFonts w:cs="Arial"/>
        </w:rPr>
        <w:t xml:space="preserve"> 50 </w:t>
      </w:r>
      <w:r w:rsidR="00D641FF" w:rsidRPr="00815E06">
        <w:rPr>
          <w:rFonts w:cs="Arial"/>
        </w:rPr>
        <w:t>mil. €</w:t>
      </w:r>
      <w:bookmarkEnd w:id="111"/>
    </w:p>
    <w:p w14:paraId="0DBCE1F6" w14:textId="56188214" w:rsidR="00386D37" w:rsidRDefault="0013726B" w:rsidP="00386D37">
      <w:pPr>
        <w:spacing w:before="240" w:after="120"/>
        <w:jc w:val="both"/>
        <w:rPr>
          <w:rFonts w:ascii="Arial" w:hAnsi="Arial" w:cs="Arial"/>
          <w:sz w:val="20"/>
          <w:szCs w:val="20"/>
        </w:rPr>
      </w:pPr>
      <w:r w:rsidRPr="00A43B92">
        <w:rPr>
          <w:rFonts w:ascii="Arial" w:hAnsi="Arial" w:cs="Arial"/>
          <w:sz w:val="20"/>
          <w:szCs w:val="20"/>
        </w:rPr>
        <w:t xml:space="preserve">Pri projektoch, u ktorých bola príprava ukončená z dôvodu zmeny hranice pre veľké projekty </w:t>
      </w:r>
      <w:r w:rsidR="0014391F" w:rsidRPr="00A43B92">
        <w:rPr>
          <w:rFonts w:ascii="Arial" w:hAnsi="Arial" w:cs="Arial"/>
          <w:sz w:val="20"/>
          <w:szCs w:val="20"/>
        </w:rPr>
        <w:br/>
      </w:r>
      <w:r w:rsidRPr="00815E06">
        <w:rPr>
          <w:rFonts w:ascii="Arial" w:hAnsi="Arial" w:cs="Arial"/>
          <w:sz w:val="20"/>
          <w:szCs w:val="20"/>
        </w:rPr>
        <w:t xml:space="preserve">z 25 na 50 miliónov </w:t>
      </w:r>
      <w:r w:rsidR="00366C2D">
        <w:rPr>
          <w:rFonts w:ascii="Arial" w:hAnsi="Arial" w:cs="Arial"/>
          <w:sz w:val="20"/>
          <w:szCs w:val="20"/>
        </w:rPr>
        <w:t>€</w:t>
      </w:r>
      <w:r w:rsidRPr="00815E06">
        <w:rPr>
          <w:rFonts w:ascii="Arial" w:hAnsi="Arial" w:cs="Arial"/>
          <w:sz w:val="20"/>
          <w:szCs w:val="20"/>
        </w:rPr>
        <w:t xml:space="preserve"> boli žiadatelia informovaní o možnosti predložiť projekty v rámci zverejnených výziev na predkladanie žiadostí o NFP pre projekty do 50 miliónov </w:t>
      </w:r>
      <w:r w:rsidR="00CC14A9">
        <w:rPr>
          <w:rFonts w:ascii="Arial" w:hAnsi="Arial" w:cs="Arial"/>
          <w:sz w:val="20"/>
          <w:szCs w:val="20"/>
        </w:rPr>
        <w:t>€</w:t>
      </w:r>
      <w:r w:rsidRPr="00815E06">
        <w:rPr>
          <w:rFonts w:ascii="Arial" w:hAnsi="Arial" w:cs="Arial"/>
          <w:sz w:val="20"/>
          <w:szCs w:val="20"/>
        </w:rPr>
        <w:t xml:space="preserve">. </w:t>
      </w:r>
    </w:p>
    <w:p w14:paraId="0FDC3B0F" w14:textId="73D273CD" w:rsidR="00386D37" w:rsidRPr="00815E06" w:rsidRDefault="00386D37" w:rsidP="00386D37">
      <w:pPr>
        <w:spacing w:before="240" w:after="120"/>
        <w:jc w:val="both"/>
        <w:rPr>
          <w:rFonts w:ascii="Arial" w:hAnsi="Arial" w:cs="Arial"/>
          <w:sz w:val="20"/>
          <w:szCs w:val="20"/>
        </w:rPr>
      </w:pPr>
      <w:r>
        <w:rPr>
          <w:rFonts w:ascii="Arial" w:hAnsi="Arial" w:cs="Arial"/>
          <w:sz w:val="20"/>
          <w:szCs w:val="20"/>
        </w:rPr>
        <w:t>Zoznam týchto projektov je uvedený v prílohe č. 8 C.</w:t>
      </w:r>
    </w:p>
    <w:p w14:paraId="0C0D7DEC" w14:textId="77777777" w:rsidR="008E01A5" w:rsidRDefault="008E01A5">
      <w:pPr>
        <w:rPr>
          <w:rFonts w:ascii="Arial" w:hAnsi="Arial" w:cs="Arial"/>
          <w:sz w:val="20"/>
          <w:szCs w:val="20"/>
        </w:rPr>
      </w:pPr>
      <w:r>
        <w:rPr>
          <w:rFonts w:ascii="Arial" w:hAnsi="Arial" w:cs="Arial"/>
          <w:sz w:val="20"/>
          <w:szCs w:val="20"/>
        </w:rPr>
        <w:br w:type="page"/>
      </w:r>
    </w:p>
    <w:p w14:paraId="66FF5412" w14:textId="39193D88" w:rsidR="002416B1" w:rsidRPr="00B256C7" w:rsidRDefault="002416B1" w:rsidP="00123376">
      <w:pPr>
        <w:pStyle w:val="Nadpis1"/>
        <w:spacing w:after="120"/>
        <w:rPr>
          <w:rFonts w:cs="Arial"/>
        </w:rPr>
      </w:pPr>
      <w:bookmarkStart w:id="112" w:name="_5._Informovanosť_"/>
      <w:bookmarkStart w:id="113" w:name="_Toc466914554"/>
      <w:bookmarkEnd w:id="49"/>
      <w:bookmarkEnd w:id="112"/>
      <w:r w:rsidRPr="00B256C7">
        <w:rPr>
          <w:rFonts w:cs="Arial"/>
        </w:rPr>
        <w:lastRenderedPageBreak/>
        <w:t>6. Technická pomoc</w:t>
      </w:r>
      <w:bookmarkEnd w:id="113"/>
    </w:p>
    <w:p w14:paraId="6C492E7F" w14:textId="0CC08BCF" w:rsidR="002416B1" w:rsidRPr="00B256C7" w:rsidRDefault="002416B1" w:rsidP="00123376">
      <w:pPr>
        <w:pStyle w:val="Zkladntextb"/>
        <w:spacing w:before="120" w:after="120" w:line="240" w:lineRule="auto"/>
        <w:ind w:left="0"/>
        <w:jc w:val="both"/>
        <w:rPr>
          <w:rFonts w:cs="Arial"/>
          <w:lang w:val="sk-SK"/>
        </w:rPr>
      </w:pPr>
      <w:r w:rsidRPr="00B256C7">
        <w:rPr>
          <w:rFonts w:cs="Arial"/>
          <w:lang w:val="sk-SK"/>
        </w:rPr>
        <w:t xml:space="preserve">V zmysle čl. 46 všeobecného nariadenia, s cieľom zabezpečenia vysokej kvality realizácie operačného programu a jeho prioritných osí, </w:t>
      </w:r>
      <w:r w:rsidR="00C90CF5">
        <w:rPr>
          <w:rFonts w:cs="Arial"/>
          <w:lang w:val="sk-SK"/>
        </w:rPr>
        <w:t>mohli</w:t>
      </w:r>
      <w:r w:rsidRPr="00B256C7">
        <w:rPr>
          <w:rFonts w:cs="Arial"/>
          <w:lang w:val="sk-SK"/>
        </w:rPr>
        <w:t xml:space="preserve"> RO na všetkých úrovniach riadiacich štruktúr využívať finančné prostriedky v rámci technickej pomoci jednotlivých OP na podporu vykonávaných činností a funkcií týkajúcich sa riadenia a kontroly pomoci zo ŠF a KF v rámci daného OP, </w:t>
      </w:r>
      <w:r w:rsidR="0014391F" w:rsidRPr="00B256C7">
        <w:rPr>
          <w:rFonts w:cs="Arial"/>
          <w:lang w:val="sk-SK"/>
        </w:rPr>
        <w:br/>
      </w:r>
      <w:r w:rsidRPr="00B256C7">
        <w:rPr>
          <w:rFonts w:cs="Arial"/>
          <w:lang w:val="sk-SK"/>
        </w:rPr>
        <w:t>t.</w:t>
      </w:r>
      <w:r w:rsidR="003A2130" w:rsidRPr="00B256C7">
        <w:rPr>
          <w:rFonts w:cs="Arial"/>
          <w:lang w:val="sk-SK"/>
        </w:rPr>
        <w:t xml:space="preserve"> </w:t>
      </w:r>
      <w:r w:rsidRPr="00B256C7">
        <w:rPr>
          <w:rFonts w:cs="Arial"/>
          <w:lang w:val="sk-SK"/>
        </w:rPr>
        <w:t>j. súvisiacich s prípravou, riadením, monitorovaním, hodnotením, informovaním, kontrolou a auditom spolu s činnosťami na posilnenie administratívnych kapacít v súvislosti so získaním a udržaním potrebných dostatočne erudovaných ľudských zdrojov, zabezpečením ich profesionálneho rastu a</w:t>
      </w:r>
      <w:r w:rsidR="00551ABD" w:rsidRPr="00B256C7">
        <w:rPr>
          <w:rFonts w:cs="Arial"/>
          <w:lang w:val="sk-SK"/>
        </w:rPr>
        <w:t> </w:t>
      </w:r>
      <w:r w:rsidRPr="00B256C7">
        <w:rPr>
          <w:rFonts w:cs="Arial"/>
          <w:lang w:val="sk-SK"/>
        </w:rPr>
        <w:t>nevyhnutných</w:t>
      </w:r>
      <w:r w:rsidR="00551ABD" w:rsidRPr="00B256C7">
        <w:rPr>
          <w:rFonts w:cs="Arial"/>
          <w:lang w:val="sk-SK"/>
        </w:rPr>
        <w:t> </w:t>
      </w:r>
      <w:r w:rsidRPr="00B256C7">
        <w:rPr>
          <w:rFonts w:cs="Arial"/>
          <w:lang w:val="sk-SK"/>
        </w:rPr>
        <w:t>odborných podkladov a adekvátnych podmienok pre ich kvalitné rozhodovanie.</w:t>
      </w:r>
    </w:p>
    <w:p w14:paraId="4D83D4B1" w14:textId="364A220F" w:rsidR="008E01A5" w:rsidRPr="0097675D" w:rsidRDefault="003E0C54" w:rsidP="0097675D">
      <w:pPr>
        <w:pStyle w:val="Zkladntextb"/>
        <w:spacing w:before="120" w:after="120" w:line="240" w:lineRule="auto"/>
        <w:ind w:left="0"/>
        <w:jc w:val="both"/>
        <w:rPr>
          <w:rFonts w:cs="Arial"/>
          <w:lang w:val="sk-SK"/>
        </w:rPr>
      </w:pPr>
      <w:r w:rsidRPr="00B256C7">
        <w:rPr>
          <w:rFonts w:cs="Arial"/>
          <w:lang w:val="sk-SK"/>
        </w:rPr>
        <w:t>Prehľadom</w:t>
      </w:r>
      <w:r w:rsidR="002416B1" w:rsidRPr="00B256C7">
        <w:rPr>
          <w:rFonts w:cs="Arial"/>
          <w:lang w:val="sk-SK"/>
        </w:rPr>
        <w:t xml:space="preserve"> využitia prostriedkov technickej pomoci v rámci OP ŽP podľa jednotlivých prioritných činností </w:t>
      </w:r>
      <w:r w:rsidRPr="00B256C7">
        <w:rPr>
          <w:rFonts w:cs="Arial"/>
          <w:lang w:val="sk-SK"/>
        </w:rPr>
        <w:t xml:space="preserve">sa zaoberá </w:t>
      </w:r>
      <w:r w:rsidR="002416B1" w:rsidRPr="00B256C7">
        <w:rPr>
          <w:rFonts w:cs="Arial"/>
          <w:lang w:val="sk-SK"/>
        </w:rPr>
        <w:t>nasledovná tabuľka.</w:t>
      </w:r>
    </w:p>
    <w:p w14:paraId="709C43B3" w14:textId="4E4C858D" w:rsidR="00052D45" w:rsidRDefault="002416B1" w:rsidP="0097675D">
      <w:pPr>
        <w:pStyle w:val="Zkladntextb"/>
        <w:spacing w:after="0" w:line="240" w:lineRule="auto"/>
        <w:ind w:left="0"/>
        <w:rPr>
          <w:rFonts w:cs="Arial"/>
          <w:lang w:val="sk-SK"/>
        </w:rPr>
      </w:pPr>
      <w:r w:rsidRPr="00B256C7">
        <w:rPr>
          <w:rFonts w:cs="Arial"/>
          <w:lang w:val="sk-SK"/>
        </w:rPr>
        <w:t>Tab</w:t>
      </w:r>
      <w:r w:rsidR="00012642" w:rsidRPr="00B256C7">
        <w:rPr>
          <w:rFonts w:cs="Arial"/>
          <w:lang w:val="sk-SK"/>
        </w:rPr>
        <w:t>uľka</w:t>
      </w:r>
      <w:r w:rsidRPr="00B256C7">
        <w:rPr>
          <w:rFonts w:cs="Arial"/>
          <w:lang w:val="sk-SK"/>
        </w:rPr>
        <w:t xml:space="preserve"> č.</w:t>
      </w:r>
      <w:r w:rsidR="00012642" w:rsidRPr="00B256C7">
        <w:rPr>
          <w:rFonts w:cs="Arial"/>
          <w:lang w:val="sk-SK"/>
        </w:rPr>
        <w:t xml:space="preserve"> </w:t>
      </w:r>
      <w:r w:rsidR="00B256C7">
        <w:rPr>
          <w:rFonts w:cs="Arial"/>
          <w:lang w:val="sk-SK"/>
        </w:rPr>
        <w:t>9</w:t>
      </w:r>
      <w:r w:rsidR="007B1CB9">
        <w:rPr>
          <w:rFonts w:cs="Arial"/>
          <w:lang w:val="sk-SK"/>
        </w:rPr>
        <w:t>1</w:t>
      </w:r>
      <w:r w:rsidRPr="00B256C7">
        <w:rPr>
          <w:rFonts w:cs="Arial"/>
          <w:lang w:val="sk-SK"/>
        </w:rPr>
        <w:t>: Prehľad využitia prostriedkov technickej pomoci podľa prioritných činností k 31.1</w:t>
      </w:r>
      <w:r w:rsidR="009A05F9">
        <w:rPr>
          <w:rFonts w:cs="Arial"/>
          <w:lang w:val="sk-SK"/>
        </w:rPr>
        <w:t>2</w:t>
      </w:r>
      <w:r w:rsidRPr="00B256C7">
        <w:rPr>
          <w:rFonts w:cs="Arial"/>
          <w:lang w:val="sk-SK"/>
        </w:rPr>
        <w:t>.</w:t>
      </w:r>
      <w:r w:rsidR="00012642" w:rsidRPr="00B256C7">
        <w:rPr>
          <w:rFonts w:cs="Arial"/>
          <w:lang w:val="sk-SK"/>
        </w:rPr>
        <w:t>201</w:t>
      </w:r>
      <w:r w:rsidR="009A05F9">
        <w:rPr>
          <w:rFonts w:cs="Arial"/>
          <w:lang w:val="sk-SK"/>
        </w:rPr>
        <w:t>5</w:t>
      </w:r>
    </w:p>
    <w:tbl>
      <w:tblPr>
        <w:tblW w:w="9089"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797"/>
        <w:gridCol w:w="1440"/>
        <w:gridCol w:w="1980"/>
        <w:gridCol w:w="1872"/>
      </w:tblGrid>
      <w:tr w:rsidR="00052D45" w:rsidRPr="00052D45" w14:paraId="4E80BD5F" w14:textId="77777777" w:rsidTr="0008447E">
        <w:trPr>
          <w:trHeight w:val="284"/>
        </w:trPr>
        <w:tc>
          <w:tcPr>
            <w:tcW w:w="3797" w:type="dxa"/>
            <w:vMerge w:val="restart"/>
            <w:shd w:val="clear" w:color="auto" w:fill="C2D69B" w:themeFill="accent3" w:themeFillTint="99"/>
            <w:vAlign w:val="center"/>
          </w:tcPr>
          <w:p w14:paraId="6F28BBA0" w14:textId="77777777" w:rsidR="00052D45" w:rsidRPr="00052D45" w:rsidRDefault="00052D45" w:rsidP="00052D45">
            <w:pPr>
              <w:spacing w:after="200" w:line="276" w:lineRule="auto"/>
              <w:jc w:val="center"/>
              <w:rPr>
                <w:rFonts w:ascii="Calibri" w:eastAsia="Calibri" w:hAnsi="Calibri" w:cs="Arial"/>
                <w:b/>
                <w:bCs/>
                <w:sz w:val="18"/>
                <w:szCs w:val="18"/>
                <w:lang w:eastAsia="en-US"/>
              </w:rPr>
            </w:pPr>
            <w:r w:rsidRPr="00052D45">
              <w:rPr>
                <w:rFonts w:ascii="Calibri" w:eastAsia="Calibri" w:hAnsi="Calibri" w:cs="Arial"/>
                <w:b/>
                <w:bCs/>
                <w:sz w:val="18"/>
                <w:szCs w:val="18"/>
                <w:lang w:eastAsia="en-US"/>
              </w:rPr>
              <w:t>Prioritné činnosti</w:t>
            </w:r>
          </w:p>
        </w:tc>
        <w:tc>
          <w:tcPr>
            <w:tcW w:w="5292" w:type="dxa"/>
            <w:gridSpan w:val="3"/>
            <w:shd w:val="clear" w:color="auto" w:fill="C2D69B" w:themeFill="accent3" w:themeFillTint="99"/>
            <w:vAlign w:val="center"/>
          </w:tcPr>
          <w:p w14:paraId="08B2CD75" w14:textId="77777777" w:rsidR="00052D45" w:rsidRPr="00052D45" w:rsidRDefault="00052D45" w:rsidP="00052D45">
            <w:pPr>
              <w:spacing w:after="200" w:line="276" w:lineRule="auto"/>
              <w:jc w:val="center"/>
              <w:rPr>
                <w:rFonts w:ascii="Calibri" w:eastAsia="Calibri" w:hAnsi="Calibri" w:cs="Arial"/>
                <w:b/>
                <w:bCs/>
                <w:sz w:val="18"/>
                <w:szCs w:val="18"/>
                <w:lang w:eastAsia="en-US"/>
              </w:rPr>
            </w:pPr>
            <w:r w:rsidRPr="00052D45">
              <w:rPr>
                <w:rFonts w:ascii="Calibri" w:eastAsia="Calibri" w:hAnsi="Calibri" w:cs="Arial"/>
                <w:b/>
                <w:bCs/>
                <w:sz w:val="18"/>
                <w:szCs w:val="18"/>
                <w:lang w:eastAsia="en-US"/>
              </w:rPr>
              <w:t>Čerpaná suma (EÚ zdroje)</w:t>
            </w:r>
          </w:p>
        </w:tc>
      </w:tr>
      <w:tr w:rsidR="00052D45" w:rsidRPr="00052D45" w14:paraId="79C31AE5" w14:textId="77777777" w:rsidTr="0008447E">
        <w:trPr>
          <w:trHeight w:val="501"/>
        </w:trPr>
        <w:tc>
          <w:tcPr>
            <w:tcW w:w="3797" w:type="dxa"/>
            <w:vMerge/>
            <w:shd w:val="clear" w:color="auto" w:fill="C2D69B" w:themeFill="accent3" w:themeFillTint="99"/>
            <w:vAlign w:val="center"/>
          </w:tcPr>
          <w:p w14:paraId="3BEDC45F" w14:textId="77777777" w:rsidR="00052D45" w:rsidRPr="00052D45" w:rsidRDefault="00052D45" w:rsidP="00052D45">
            <w:pPr>
              <w:spacing w:after="200" w:line="276" w:lineRule="auto"/>
              <w:jc w:val="center"/>
              <w:rPr>
                <w:rFonts w:ascii="Calibri" w:eastAsia="Calibri" w:hAnsi="Calibri" w:cs="Arial"/>
                <w:b/>
                <w:bCs/>
                <w:sz w:val="18"/>
                <w:szCs w:val="18"/>
                <w:lang w:eastAsia="en-US"/>
              </w:rPr>
            </w:pPr>
          </w:p>
        </w:tc>
        <w:tc>
          <w:tcPr>
            <w:tcW w:w="1440" w:type="dxa"/>
            <w:shd w:val="clear" w:color="auto" w:fill="C2D69B" w:themeFill="accent3" w:themeFillTint="99"/>
            <w:vAlign w:val="center"/>
          </w:tcPr>
          <w:p w14:paraId="2B9348B4" w14:textId="77777777" w:rsidR="00052D45" w:rsidRPr="00052D45" w:rsidRDefault="00052D45" w:rsidP="00052D45">
            <w:pPr>
              <w:spacing w:after="200" w:line="276" w:lineRule="auto"/>
              <w:jc w:val="center"/>
              <w:rPr>
                <w:rFonts w:ascii="Calibri" w:eastAsia="Calibri" w:hAnsi="Calibri" w:cs="Arial"/>
                <w:b/>
                <w:bCs/>
                <w:sz w:val="18"/>
                <w:szCs w:val="18"/>
                <w:lang w:eastAsia="en-US"/>
              </w:rPr>
            </w:pPr>
            <w:r w:rsidRPr="00052D45">
              <w:rPr>
                <w:rFonts w:ascii="Calibri" w:eastAsia="Calibri" w:hAnsi="Calibri" w:cs="Arial"/>
                <w:b/>
                <w:bCs/>
                <w:sz w:val="18"/>
                <w:szCs w:val="18"/>
                <w:lang w:eastAsia="en-US"/>
              </w:rPr>
              <w:t>v €</w:t>
            </w:r>
          </w:p>
        </w:tc>
        <w:tc>
          <w:tcPr>
            <w:tcW w:w="1980" w:type="dxa"/>
            <w:shd w:val="clear" w:color="auto" w:fill="C2D69B" w:themeFill="accent3" w:themeFillTint="99"/>
            <w:vAlign w:val="center"/>
          </w:tcPr>
          <w:p w14:paraId="4C58F336" w14:textId="77777777" w:rsidR="00052D45" w:rsidRPr="00052D45" w:rsidRDefault="00052D45" w:rsidP="00052D45">
            <w:pPr>
              <w:spacing w:after="200" w:line="276" w:lineRule="auto"/>
              <w:jc w:val="center"/>
              <w:rPr>
                <w:rFonts w:ascii="Calibri" w:eastAsia="Calibri" w:hAnsi="Calibri" w:cs="Arial"/>
                <w:b/>
                <w:bCs/>
                <w:sz w:val="18"/>
                <w:szCs w:val="18"/>
                <w:lang w:eastAsia="en-US"/>
              </w:rPr>
            </w:pPr>
            <w:r w:rsidRPr="00052D45">
              <w:rPr>
                <w:rFonts w:ascii="Calibri" w:eastAsia="Calibri" w:hAnsi="Calibri" w:cs="Arial"/>
                <w:b/>
                <w:bCs/>
                <w:sz w:val="18"/>
                <w:szCs w:val="18"/>
                <w:lang w:eastAsia="en-US"/>
              </w:rPr>
              <w:t>ako % z alokácie na TP programu</w:t>
            </w:r>
          </w:p>
        </w:tc>
        <w:tc>
          <w:tcPr>
            <w:tcW w:w="1872" w:type="dxa"/>
            <w:shd w:val="clear" w:color="auto" w:fill="C2D69B" w:themeFill="accent3" w:themeFillTint="99"/>
            <w:vAlign w:val="center"/>
          </w:tcPr>
          <w:p w14:paraId="0B7745F2" w14:textId="77777777" w:rsidR="00052D45" w:rsidRPr="00052D45" w:rsidRDefault="00052D45" w:rsidP="00052D45">
            <w:pPr>
              <w:spacing w:after="200" w:line="276" w:lineRule="auto"/>
              <w:jc w:val="center"/>
              <w:rPr>
                <w:rFonts w:ascii="Calibri" w:eastAsia="Calibri" w:hAnsi="Calibri" w:cs="Arial"/>
                <w:b/>
                <w:bCs/>
                <w:sz w:val="18"/>
                <w:szCs w:val="18"/>
                <w:lang w:eastAsia="en-US"/>
              </w:rPr>
            </w:pPr>
            <w:r w:rsidRPr="00052D45">
              <w:rPr>
                <w:rFonts w:ascii="Calibri" w:eastAsia="Calibri" w:hAnsi="Calibri" w:cs="Arial"/>
                <w:b/>
                <w:bCs/>
                <w:sz w:val="18"/>
                <w:szCs w:val="18"/>
                <w:lang w:eastAsia="en-US"/>
              </w:rPr>
              <w:t>ako % z celkovej čerpanej sumy na TP programu</w:t>
            </w:r>
          </w:p>
        </w:tc>
      </w:tr>
      <w:tr w:rsidR="00052D45" w:rsidRPr="00052D45" w14:paraId="470307AD" w14:textId="77777777" w:rsidTr="0008447E">
        <w:trPr>
          <w:trHeight w:val="255"/>
        </w:trPr>
        <w:tc>
          <w:tcPr>
            <w:tcW w:w="3797" w:type="dxa"/>
            <w:shd w:val="clear" w:color="auto" w:fill="auto"/>
            <w:vAlign w:val="center"/>
          </w:tcPr>
          <w:p w14:paraId="4CEBB60E" w14:textId="77777777" w:rsidR="00052D45" w:rsidRPr="00052D45" w:rsidRDefault="00052D45" w:rsidP="0008447E">
            <w:pPr>
              <w:spacing w:after="200" w:line="276" w:lineRule="auto"/>
              <w:jc w:val="center"/>
              <w:rPr>
                <w:rFonts w:ascii="Calibri" w:eastAsia="Calibri" w:hAnsi="Calibri" w:cs="Arial"/>
                <w:sz w:val="18"/>
                <w:szCs w:val="18"/>
                <w:lang w:eastAsia="en-US"/>
              </w:rPr>
            </w:pPr>
            <w:r w:rsidRPr="00052D45">
              <w:rPr>
                <w:rFonts w:ascii="Calibri" w:eastAsia="Calibri" w:hAnsi="Calibri" w:cs="Arial"/>
                <w:sz w:val="18"/>
                <w:szCs w:val="18"/>
                <w:lang w:eastAsia="en-US"/>
              </w:rPr>
              <w:t>Školenia, monitorovacie, pracovné a koordinačné skupiny, výbory a komisie</w:t>
            </w:r>
          </w:p>
        </w:tc>
        <w:tc>
          <w:tcPr>
            <w:tcW w:w="1440" w:type="dxa"/>
            <w:shd w:val="clear" w:color="auto" w:fill="auto"/>
            <w:vAlign w:val="center"/>
          </w:tcPr>
          <w:p w14:paraId="09B42276" w14:textId="51C0490F" w:rsidR="00052D45" w:rsidRPr="0008447E" w:rsidRDefault="00052D45" w:rsidP="000877B4">
            <w:pPr>
              <w:spacing w:after="200" w:line="276" w:lineRule="auto"/>
              <w:jc w:val="center"/>
              <w:rPr>
                <w:rFonts w:ascii="Calibri" w:eastAsia="Calibri" w:hAnsi="Calibri" w:cs="Arial"/>
                <w:sz w:val="18"/>
                <w:szCs w:val="18"/>
                <w:lang w:eastAsia="en-US"/>
              </w:rPr>
            </w:pPr>
            <w:r w:rsidRPr="0008447E">
              <w:rPr>
                <w:rFonts w:ascii="Calibri" w:eastAsia="Calibri" w:hAnsi="Calibri" w:cs="Arial"/>
                <w:sz w:val="18"/>
                <w:szCs w:val="18"/>
                <w:lang w:eastAsia="en-US"/>
              </w:rPr>
              <w:t>535 908</w:t>
            </w:r>
          </w:p>
        </w:tc>
        <w:tc>
          <w:tcPr>
            <w:tcW w:w="1980" w:type="dxa"/>
            <w:shd w:val="clear" w:color="auto" w:fill="auto"/>
            <w:noWrap/>
            <w:vAlign w:val="center"/>
          </w:tcPr>
          <w:p w14:paraId="5E9AC781" w14:textId="77777777" w:rsidR="00052D45" w:rsidRPr="0008447E" w:rsidRDefault="00052D45" w:rsidP="00052D45">
            <w:pPr>
              <w:spacing w:after="200" w:line="276" w:lineRule="auto"/>
              <w:jc w:val="center"/>
              <w:rPr>
                <w:rFonts w:ascii="Calibri" w:eastAsia="Calibri" w:hAnsi="Calibri" w:cs="Arial"/>
                <w:sz w:val="18"/>
                <w:szCs w:val="18"/>
                <w:lang w:eastAsia="en-US"/>
              </w:rPr>
            </w:pPr>
            <w:r w:rsidRPr="0008447E">
              <w:rPr>
                <w:rFonts w:ascii="Calibri" w:eastAsia="Calibri" w:hAnsi="Calibri" w:cs="Arial"/>
                <w:sz w:val="18"/>
                <w:szCs w:val="18"/>
                <w:lang w:eastAsia="en-US"/>
              </w:rPr>
              <w:t>1,10</w:t>
            </w:r>
          </w:p>
        </w:tc>
        <w:tc>
          <w:tcPr>
            <w:tcW w:w="1872" w:type="dxa"/>
            <w:shd w:val="clear" w:color="auto" w:fill="auto"/>
            <w:noWrap/>
            <w:vAlign w:val="center"/>
          </w:tcPr>
          <w:p w14:paraId="72E49A5E" w14:textId="77777777" w:rsidR="00052D45" w:rsidRPr="0008447E" w:rsidRDefault="00052D45" w:rsidP="00052D45">
            <w:pPr>
              <w:spacing w:after="200" w:line="276" w:lineRule="auto"/>
              <w:jc w:val="center"/>
              <w:rPr>
                <w:rFonts w:ascii="Calibri" w:eastAsia="Calibri" w:hAnsi="Calibri" w:cs="Arial"/>
                <w:sz w:val="18"/>
                <w:szCs w:val="18"/>
                <w:lang w:eastAsia="en-US"/>
              </w:rPr>
            </w:pPr>
            <w:r w:rsidRPr="0008447E">
              <w:rPr>
                <w:rFonts w:ascii="Calibri" w:eastAsia="Calibri" w:hAnsi="Calibri" w:cs="Arial"/>
                <w:sz w:val="18"/>
                <w:szCs w:val="18"/>
                <w:lang w:eastAsia="en-US"/>
              </w:rPr>
              <w:t>1,13</w:t>
            </w:r>
          </w:p>
        </w:tc>
      </w:tr>
      <w:tr w:rsidR="00052D45" w:rsidRPr="00052D45" w14:paraId="5E24FCD9" w14:textId="77777777" w:rsidTr="0008447E">
        <w:trPr>
          <w:trHeight w:val="255"/>
        </w:trPr>
        <w:tc>
          <w:tcPr>
            <w:tcW w:w="3797" w:type="dxa"/>
            <w:shd w:val="clear" w:color="auto" w:fill="auto"/>
            <w:vAlign w:val="center"/>
          </w:tcPr>
          <w:p w14:paraId="5A4A57AE" w14:textId="77777777" w:rsidR="00052D45" w:rsidRPr="00052D45" w:rsidRDefault="00052D45" w:rsidP="0008447E">
            <w:pPr>
              <w:spacing w:after="200" w:line="276" w:lineRule="auto"/>
              <w:jc w:val="center"/>
              <w:rPr>
                <w:rFonts w:ascii="Calibri" w:eastAsia="Calibri" w:hAnsi="Calibri" w:cs="Arial"/>
                <w:sz w:val="18"/>
                <w:szCs w:val="18"/>
                <w:lang w:eastAsia="en-US"/>
              </w:rPr>
            </w:pPr>
            <w:r w:rsidRPr="00052D45">
              <w:rPr>
                <w:rFonts w:ascii="Calibri" w:eastAsia="Calibri" w:hAnsi="Calibri" w:cs="Arial"/>
                <w:sz w:val="18"/>
                <w:szCs w:val="18"/>
                <w:lang w:eastAsia="en-US"/>
              </w:rPr>
              <w:t>Hodnotenie a štúdie</w:t>
            </w:r>
          </w:p>
        </w:tc>
        <w:tc>
          <w:tcPr>
            <w:tcW w:w="1440" w:type="dxa"/>
            <w:shd w:val="clear" w:color="auto" w:fill="auto"/>
            <w:vAlign w:val="center"/>
          </w:tcPr>
          <w:p w14:paraId="71129443" w14:textId="58BF9B84" w:rsidR="00052D45" w:rsidRPr="0008447E" w:rsidRDefault="00052D45" w:rsidP="000877B4">
            <w:pPr>
              <w:spacing w:after="200" w:line="276" w:lineRule="auto"/>
              <w:jc w:val="center"/>
              <w:rPr>
                <w:rFonts w:ascii="Calibri" w:eastAsia="Calibri" w:hAnsi="Calibri" w:cs="Arial"/>
                <w:sz w:val="18"/>
                <w:szCs w:val="18"/>
                <w:lang w:eastAsia="en-US"/>
              </w:rPr>
            </w:pPr>
            <w:r w:rsidRPr="0008447E">
              <w:rPr>
                <w:rFonts w:ascii="Calibri" w:eastAsia="Calibri" w:hAnsi="Calibri" w:cs="Arial"/>
                <w:sz w:val="18"/>
                <w:szCs w:val="18"/>
                <w:lang w:eastAsia="en-US"/>
              </w:rPr>
              <w:t>1 539 053</w:t>
            </w:r>
          </w:p>
        </w:tc>
        <w:tc>
          <w:tcPr>
            <w:tcW w:w="1980" w:type="dxa"/>
            <w:shd w:val="clear" w:color="auto" w:fill="auto"/>
            <w:noWrap/>
            <w:vAlign w:val="center"/>
          </w:tcPr>
          <w:p w14:paraId="70CEB750" w14:textId="77777777" w:rsidR="00052D45" w:rsidRPr="0008447E" w:rsidRDefault="00052D45" w:rsidP="00052D45">
            <w:pPr>
              <w:spacing w:after="200" w:line="276" w:lineRule="auto"/>
              <w:jc w:val="center"/>
              <w:rPr>
                <w:rFonts w:ascii="Calibri" w:eastAsia="Calibri" w:hAnsi="Calibri" w:cs="Arial"/>
                <w:sz w:val="18"/>
                <w:szCs w:val="18"/>
                <w:lang w:eastAsia="en-US"/>
              </w:rPr>
            </w:pPr>
            <w:r w:rsidRPr="0008447E">
              <w:rPr>
                <w:rFonts w:ascii="Calibri" w:eastAsia="Calibri" w:hAnsi="Calibri" w:cs="Arial"/>
                <w:sz w:val="18"/>
                <w:szCs w:val="18"/>
                <w:lang w:eastAsia="en-US"/>
              </w:rPr>
              <w:t>3,17 </w:t>
            </w:r>
          </w:p>
        </w:tc>
        <w:tc>
          <w:tcPr>
            <w:tcW w:w="1872" w:type="dxa"/>
            <w:shd w:val="clear" w:color="auto" w:fill="auto"/>
            <w:noWrap/>
            <w:vAlign w:val="center"/>
          </w:tcPr>
          <w:p w14:paraId="455B6455" w14:textId="77777777" w:rsidR="00052D45" w:rsidRPr="0008447E" w:rsidRDefault="00052D45" w:rsidP="00052D45">
            <w:pPr>
              <w:spacing w:after="200" w:line="276" w:lineRule="auto"/>
              <w:jc w:val="center"/>
              <w:rPr>
                <w:rFonts w:ascii="Calibri" w:eastAsia="Calibri" w:hAnsi="Calibri" w:cs="Arial"/>
                <w:sz w:val="18"/>
                <w:szCs w:val="18"/>
                <w:lang w:eastAsia="en-US"/>
              </w:rPr>
            </w:pPr>
            <w:r w:rsidRPr="0008447E">
              <w:rPr>
                <w:rFonts w:ascii="Calibri" w:eastAsia="Calibri" w:hAnsi="Calibri" w:cs="Arial"/>
                <w:sz w:val="18"/>
                <w:szCs w:val="18"/>
                <w:lang w:eastAsia="en-US"/>
              </w:rPr>
              <w:t>3,26 </w:t>
            </w:r>
          </w:p>
        </w:tc>
      </w:tr>
      <w:tr w:rsidR="00052D45" w:rsidRPr="00052D45" w14:paraId="53A96073" w14:textId="77777777" w:rsidTr="0008447E">
        <w:trPr>
          <w:trHeight w:val="255"/>
        </w:trPr>
        <w:tc>
          <w:tcPr>
            <w:tcW w:w="3797" w:type="dxa"/>
            <w:shd w:val="clear" w:color="auto" w:fill="auto"/>
            <w:vAlign w:val="center"/>
          </w:tcPr>
          <w:p w14:paraId="4C050738" w14:textId="77777777" w:rsidR="00052D45" w:rsidRPr="00052D45" w:rsidRDefault="00052D45" w:rsidP="0008447E">
            <w:pPr>
              <w:spacing w:after="200" w:line="276" w:lineRule="auto"/>
              <w:jc w:val="center"/>
              <w:rPr>
                <w:rFonts w:ascii="Calibri" w:eastAsia="Calibri" w:hAnsi="Calibri" w:cs="Arial"/>
                <w:sz w:val="18"/>
                <w:szCs w:val="18"/>
                <w:lang w:eastAsia="en-US"/>
              </w:rPr>
            </w:pPr>
            <w:r w:rsidRPr="00052D45">
              <w:rPr>
                <w:rFonts w:ascii="Calibri" w:eastAsia="Calibri" w:hAnsi="Calibri" w:cs="Arial"/>
                <w:sz w:val="18"/>
                <w:szCs w:val="18"/>
                <w:lang w:eastAsia="en-US"/>
              </w:rPr>
              <w:t>Informovanie a publicita</w:t>
            </w:r>
          </w:p>
        </w:tc>
        <w:tc>
          <w:tcPr>
            <w:tcW w:w="1440" w:type="dxa"/>
            <w:shd w:val="clear" w:color="auto" w:fill="auto"/>
            <w:vAlign w:val="center"/>
          </w:tcPr>
          <w:p w14:paraId="77F2C8E1" w14:textId="49BDF357" w:rsidR="00052D45" w:rsidRPr="0008447E" w:rsidRDefault="00052D45" w:rsidP="000877B4">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16 804 340</w:t>
            </w:r>
          </w:p>
        </w:tc>
        <w:tc>
          <w:tcPr>
            <w:tcW w:w="1980" w:type="dxa"/>
            <w:shd w:val="clear" w:color="auto" w:fill="auto"/>
            <w:noWrap/>
            <w:vAlign w:val="center"/>
          </w:tcPr>
          <w:p w14:paraId="38116244"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 34,58</w:t>
            </w:r>
          </w:p>
        </w:tc>
        <w:tc>
          <w:tcPr>
            <w:tcW w:w="1872" w:type="dxa"/>
            <w:shd w:val="clear" w:color="auto" w:fill="auto"/>
            <w:noWrap/>
            <w:vAlign w:val="center"/>
          </w:tcPr>
          <w:p w14:paraId="0DF38E5E"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35,57 </w:t>
            </w:r>
          </w:p>
        </w:tc>
      </w:tr>
      <w:tr w:rsidR="00052D45" w:rsidRPr="00052D45" w14:paraId="6E87DC19" w14:textId="77777777" w:rsidTr="0008447E">
        <w:trPr>
          <w:trHeight w:val="255"/>
        </w:trPr>
        <w:tc>
          <w:tcPr>
            <w:tcW w:w="3797" w:type="dxa"/>
            <w:shd w:val="clear" w:color="auto" w:fill="auto"/>
            <w:vAlign w:val="center"/>
          </w:tcPr>
          <w:p w14:paraId="23E5ED60" w14:textId="77777777" w:rsidR="00052D45" w:rsidRPr="00052D45" w:rsidRDefault="00052D45" w:rsidP="0008447E">
            <w:pPr>
              <w:spacing w:after="200" w:line="276" w:lineRule="auto"/>
              <w:jc w:val="center"/>
              <w:rPr>
                <w:rFonts w:ascii="Calibri" w:eastAsia="Calibri" w:hAnsi="Calibri" w:cs="Arial"/>
                <w:sz w:val="18"/>
                <w:szCs w:val="18"/>
                <w:lang w:eastAsia="en-US"/>
              </w:rPr>
            </w:pPr>
            <w:r w:rsidRPr="00052D45">
              <w:rPr>
                <w:rFonts w:ascii="Calibri" w:eastAsia="Calibri" w:hAnsi="Calibri" w:cs="Arial"/>
                <w:sz w:val="18"/>
                <w:szCs w:val="18"/>
                <w:lang w:eastAsia="en-US"/>
              </w:rPr>
              <w:t>Mzdy</w:t>
            </w:r>
            <w:r w:rsidRPr="00052D45">
              <w:rPr>
                <w:rFonts w:ascii="Calibri" w:eastAsia="Calibri" w:hAnsi="Calibri" w:cs="Arial"/>
                <w:sz w:val="18"/>
                <w:szCs w:val="18"/>
                <w:vertAlign w:val="superscript"/>
                <w:lang w:eastAsia="en-US"/>
              </w:rPr>
              <w:footnoteReference w:id="10"/>
            </w:r>
          </w:p>
        </w:tc>
        <w:tc>
          <w:tcPr>
            <w:tcW w:w="1440" w:type="dxa"/>
            <w:shd w:val="clear" w:color="auto" w:fill="auto"/>
            <w:vAlign w:val="center"/>
          </w:tcPr>
          <w:p w14:paraId="46D04E4C" w14:textId="172D2906" w:rsidR="00052D45" w:rsidRPr="0008447E" w:rsidRDefault="00052D45" w:rsidP="000877B4">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25 995 968</w:t>
            </w:r>
          </w:p>
        </w:tc>
        <w:tc>
          <w:tcPr>
            <w:tcW w:w="1980" w:type="dxa"/>
            <w:shd w:val="clear" w:color="auto" w:fill="auto"/>
            <w:noWrap/>
            <w:vAlign w:val="center"/>
          </w:tcPr>
          <w:p w14:paraId="40588BF5"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53,49</w:t>
            </w:r>
          </w:p>
        </w:tc>
        <w:tc>
          <w:tcPr>
            <w:tcW w:w="1872" w:type="dxa"/>
            <w:shd w:val="clear" w:color="auto" w:fill="auto"/>
            <w:noWrap/>
            <w:vAlign w:val="center"/>
          </w:tcPr>
          <w:p w14:paraId="1FFE0162"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55,02</w:t>
            </w:r>
          </w:p>
        </w:tc>
      </w:tr>
      <w:tr w:rsidR="00052D45" w:rsidRPr="00052D45" w14:paraId="375BA06C" w14:textId="77777777" w:rsidTr="0008447E">
        <w:trPr>
          <w:trHeight w:val="270"/>
        </w:trPr>
        <w:tc>
          <w:tcPr>
            <w:tcW w:w="3797" w:type="dxa"/>
            <w:shd w:val="clear" w:color="auto" w:fill="auto"/>
            <w:vAlign w:val="center"/>
          </w:tcPr>
          <w:p w14:paraId="6D13A091" w14:textId="77777777" w:rsidR="00052D45" w:rsidRPr="00052D45" w:rsidRDefault="00052D45" w:rsidP="0008447E">
            <w:pPr>
              <w:spacing w:after="200" w:line="276" w:lineRule="auto"/>
              <w:jc w:val="center"/>
              <w:rPr>
                <w:rFonts w:ascii="Calibri" w:eastAsia="Calibri" w:hAnsi="Calibri" w:cs="Arial"/>
                <w:sz w:val="18"/>
                <w:szCs w:val="18"/>
                <w:lang w:eastAsia="en-US"/>
              </w:rPr>
            </w:pPr>
            <w:r w:rsidRPr="00052D45">
              <w:rPr>
                <w:rFonts w:ascii="Calibri" w:eastAsia="Calibri" w:hAnsi="Calibri" w:cs="Arial"/>
                <w:sz w:val="18"/>
                <w:szCs w:val="18"/>
                <w:lang w:eastAsia="en-US"/>
              </w:rPr>
              <w:t>Prevádzkové činnosti a cestovné náhrady</w:t>
            </w:r>
            <w:r w:rsidRPr="00052D45">
              <w:rPr>
                <w:rFonts w:ascii="Calibri" w:eastAsia="Calibri" w:hAnsi="Calibri" w:cs="Arial"/>
                <w:sz w:val="18"/>
                <w:szCs w:val="18"/>
                <w:vertAlign w:val="superscript"/>
                <w:lang w:eastAsia="en-US"/>
              </w:rPr>
              <w:footnoteReference w:id="11"/>
            </w:r>
          </w:p>
        </w:tc>
        <w:tc>
          <w:tcPr>
            <w:tcW w:w="1440" w:type="dxa"/>
            <w:shd w:val="clear" w:color="auto" w:fill="auto"/>
            <w:vAlign w:val="center"/>
          </w:tcPr>
          <w:p w14:paraId="2503D3B0" w14:textId="3A8B8B8B" w:rsidR="00052D45" w:rsidRPr="0008447E" w:rsidRDefault="00052D45" w:rsidP="000877B4">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310 709</w:t>
            </w:r>
          </w:p>
        </w:tc>
        <w:tc>
          <w:tcPr>
            <w:tcW w:w="1980" w:type="dxa"/>
            <w:shd w:val="clear" w:color="auto" w:fill="auto"/>
            <w:noWrap/>
            <w:vAlign w:val="center"/>
          </w:tcPr>
          <w:p w14:paraId="1EDCC7E7"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0,64</w:t>
            </w:r>
          </w:p>
        </w:tc>
        <w:tc>
          <w:tcPr>
            <w:tcW w:w="1872" w:type="dxa"/>
            <w:shd w:val="clear" w:color="auto" w:fill="auto"/>
            <w:noWrap/>
            <w:vAlign w:val="center"/>
          </w:tcPr>
          <w:p w14:paraId="16EDAEE7"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0,66</w:t>
            </w:r>
          </w:p>
        </w:tc>
      </w:tr>
      <w:tr w:rsidR="00052D45" w:rsidRPr="00052D45" w14:paraId="7597C442" w14:textId="77777777" w:rsidTr="0008447E">
        <w:trPr>
          <w:trHeight w:val="270"/>
        </w:trPr>
        <w:tc>
          <w:tcPr>
            <w:tcW w:w="3797" w:type="dxa"/>
            <w:shd w:val="clear" w:color="auto" w:fill="auto"/>
            <w:vAlign w:val="center"/>
          </w:tcPr>
          <w:p w14:paraId="5126142B" w14:textId="77777777" w:rsidR="00052D45" w:rsidRPr="00052D45" w:rsidRDefault="00052D45" w:rsidP="0008447E">
            <w:pPr>
              <w:spacing w:after="200" w:line="276" w:lineRule="auto"/>
              <w:jc w:val="center"/>
              <w:rPr>
                <w:rFonts w:ascii="Calibri" w:eastAsia="Calibri" w:hAnsi="Calibri" w:cs="Arial"/>
                <w:sz w:val="18"/>
                <w:szCs w:val="18"/>
                <w:lang w:eastAsia="en-US"/>
              </w:rPr>
            </w:pPr>
            <w:r w:rsidRPr="00052D45">
              <w:rPr>
                <w:rFonts w:ascii="Calibri" w:eastAsia="Calibri" w:hAnsi="Calibri" w:cs="Arial"/>
                <w:sz w:val="18"/>
                <w:szCs w:val="18"/>
                <w:lang w:eastAsia="en-US"/>
              </w:rPr>
              <w:t>Technické vybavenie (hardvér, softvér, nábytok, autá a pod.)</w:t>
            </w:r>
          </w:p>
        </w:tc>
        <w:tc>
          <w:tcPr>
            <w:tcW w:w="1440" w:type="dxa"/>
            <w:shd w:val="clear" w:color="auto" w:fill="auto"/>
            <w:vAlign w:val="center"/>
          </w:tcPr>
          <w:p w14:paraId="3CE093A8" w14:textId="16752E76" w:rsidR="00052D45" w:rsidRPr="0008447E" w:rsidRDefault="00052D45" w:rsidP="000877B4">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2 062 005</w:t>
            </w:r>
          </w:p>
        </w:tc>
        <w:tc>
          <w:tcPr>
            <w:tcW w:w="1980" w:type="dxa"/>
            <w:shd w:val="clear" w:color="auto" w:fill="auto"/>
            <w:noWrap/>
            <w:vAlign w:val="center"/>
          </w:tcPr>
          <w:p w14:paraId="0E8D6C4D"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4,24</w:t>
            </w:r>
          </w:p>
        </w:tc>
        <w:tc>
          <w:tcPr>
            <w:tcW w:w="1872" w:type="dxa"/>
            <w:shd w:val="clear" w:color="auto" w:fill="auto"/>
            <w:noWrap/>
            <w:vAlign w:val="center"/>
          </w:tcPr>
          <w:p w14:paraId="62807866"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4,36</w:t>
            </w:r>
          </w:p>
        </w:tc>
      </w:tr>
      <w:tr w:rsidR="00052D45" w:rsidRPr="00052D45" w14:paraId="31FAE242" w14:textId="77777777" w:rsidTr="0008447E">
        <w:trPr>
          <w:trHeight w:val="270"/>
        </w:trPr>
        <w:tc>
          <w:tcPr>
            <w:tcW w:w="3797" w:type="dxa"/>
            <w:shd w:val="clear" w:color="auto" w:fill="auto"/>
            <w:vAlign w:val="center"/>
          </w:tcPr>
          <w:p w14:paraId="5A5104B2" w14:textId="77777777" w:rsidR="00052D45" w:rsidRPr="00052D45" w:rsidRDefault="00052D45" w:rsidP="0008447E">
            <w:pPr>
              <w:spacing w:after="200" w:line="276" w:lineRule="auto"/>
              <w:jc w:val="center"/>
              <w:rPr>
                <w:rFonts w:ascii="Calibri" w:eastAsia="Calibri" w:hAnsi="Calibri" w:cs="Arial"/>
                <w:sz w:val="18"/>
                <w:szCs w:val="18"/>
                <w:lang w:eastAsia="en-US"/>
              </w:rPr>
            </w:pPr>
            <w:r w:rsidRPr="00052D45">
              <w:rPr>
                <w:rFonts w:ascii="Calibri" w:eastAsia="Calibri" w:hAnsi="Calibri" w:cs="Arial"/>
                <w:sz w:val="18"/>
                <w:szCs w:val="18"/>
                <w:lang w:eastAsia="en-US"/>
              </w:rPr>
              <w:t>Ostatné (uveďte aké)</w:t>
            </w:r>
          </w:p>
        </w:tc>
        <w:tc>
          <w:tcPr>
            <w:tcW w:w="1440" w:type="dxa"/>
            <w:shd w:val="clear" w:color="auto" w:fill="auto"/>
            <w:vAlign w:val="center"/>
          </w:tcPr>
          <w:p w14:paraId="712E1014" w14:textId="28842BFA" w:rsidR="00052D45" w:rsidRPr="0008447E" w:rsidRDefault="00052D45" w:rsidP="000877B4">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0</w:t>
            </w:r>
          </w:p>
        </w:tc>
        <w:tc>
          <w:tcPr>
            <w:tcW w:w="1980" w:type="dxa"/>
            <w:shd w:val="clear" w:color="auto" w:fill="auto"/>
            <w:noWrap/>
            <w:vAlign w:val="center"/>
          </w:tcPr>
          <w:p w14:paraId="0F2BD34B"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0,00</w:t>
            </w:r>
          </w:p>
        </w:tc>
        <w:tc>
          <w:tcPr>
            <w:tcW w:w="1872" w:type="dxa"/>
            <w:shd w:val="clear" w:color="auto" w:fill="auto"/>
            <w:noWrap/>
            <w:vAlign w:val="center"/>
          </w:tcPr>
          <w:p w14:paraId="1F5599D2"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0,00</w:t>
            </w:r>
          </w:p>
        </w:tc>
      </w:tr>
      <w:tr w:rsidR="00052D45" w:rsidRPr="00052D45" w14:paraId="7D8EF9D9" w14:textId="77777777" w:rsidTr="0008447E">
        <w:trPr>
          <w:trHeight w:val="270"/>
        </w:trPr>
        <w:tc>
          <w:tcPr>
            <w:tcW w:w="3797" w:type="dxa"/>
            <w:shd w:val="clear" w:color="auto" w:fill="auto"/>
            <w:vAlign w:val="center"/>
          </w:tcPr>
          <w:p w14:paraId="00C6D712" w14:textId="77777777" w:rsidR="00052D45" w:rsidRPr="00052D45" w:rsidRDefault="00052D45" w:rsidP="0008447E">
            <w:pPr>
              <w:spacing w:after="200" w:line="276" w:lineRule="auto"/>
              <w:jc w:val="center"/>
              <w:rPr>
                <w:rFonts w:ascii="Calibri" w:eastAsia="Calibri" w:hAnsi="Calibri" w:cs="Arial"/>
                <w:b/>
                <w:sz w:val="18"/>
                <w:szCs w:val="18"/>
                <w:lang w:eastAsia="en-US"/>
              </w:rPr>
            </w:pPr>
            <w:r w:rsidRPr="00052D45">
              <w:rPr>
                <w:rFonts w:ascii="Calibri" w:eastAsia="Calibri" w:hAnsi="Calibri" w:cs="Arial"/>
                <w:b/>
                <w:sz w:val="18"/>
                <w:szCs w:val="18"/>
                <w:lang w:eastAsia="en-US"/>
              </w:rPr>
              <w:t>Spolu</w:t>
            </w:r>
          </w:p>
        </w:tc>
        <w:tc>
          <w:tcPr>
            <w:tcW w:w="1440" w:type="dxa"/>
            <w:shd w:val="clear" w:color="auto" w:fill="auto"/>
            <w:vAlign w:val="center"/>
          </w:tcPr>
          <w:p w14:paraId="67357FE4" w14:textId="7197D7C1" w:rsidR="00052D45" w:rsidRPr="0008447E" w:rsidRDefault="00052D45" w:rsidP="000877B4">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47 247 984</w:t>
            </w:r>
          </w:p>
        </w:tc>
        <w:tc>
          <w:tcPr>
            <w:tcW w:w="1980" w:type="dxa"/>
            <w:shd w:val="clear" w:color="auto" w:fill="auto"/>
            <w:noWrap/>
            <w:vAlign w:val="center"/>
          </w:tcPr>
          <w:p w14:paraId="0A782A12"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97,22</w:t>
            </w:r>
          </w:p>
        </w:tc>
        <w:tc>
          <w:tcPr>
            <w:tcW w:w="1872" w:type="dxa"/>
            <w:shd w:val="clear" w:color="auto" w:fill="auto"/>
            <w:noWrap/>
            <w:vAlign w:val="center"/>
          </w:tcPr>
          <w:p w14:paraId="3EF2A41E" w14:textId="77777777" w:rsidR="00052D45" w:rsidRPr="0008447E" w:rsidRDefault="00052D45" w:rsidP="00052D45">
            <w:pPr>
              <w:spacing w:after="200" w:line="276" w:lineRule="auto"/>
              <w:jc w:val="center"/>
              <w:rPr>
                <w:rFonts w:ascii="Calibri" w:eastAsia="Calibri" w:hAnsi="Calibri" w:cs="Arial"/>
                <w:bCs/>
                <w:sz w:val="18"/>
                <w:szCs w:val="18"/>
                <w:lang w:eastAsia="en-US"/>
              </w:rPr>
            </w:pPr>
            <w:r w:rsidRPr="0008447E">
              <w:rPr>
                <w:rFonts w:ascii="Calibri" w:eastAsia="Calibri" w:hAnsi="Calibri" w:cs="Arial"/>
                <w:bCs/>
                <w:sz w:val="18"/>
                <w:szCs w:val="18"/>
                <w:lang w:eastAsia="en-US"/>
              </w:rPr>
              <w:t>100,00</w:t>
            </w:r>
          </w:p>
        </w:tc>
      </w:tr>
    </w:tbl>
    <w:p w14:paraId="35DE2E6D" w14:textId="74235C85" w:rsidR="00052D45" w:rsidRPr="0097675D" w:rsidRDefault="00052D45" w:rsidP="0097675D">
      <w:pPr>
        <w:pStyle w:val="Zkladntextb"/>
        <w:spacing w:after="120" w:line="240" w:lineRule="auto"/>
        <w:ind w:left="0"/>
        <w:rPr>
          <w:rFonts w:cs="Arial"/>
          <w:sz w:val="16"/>
          <w:szCs w:val="16"/>
        </w:rPr>
      </w:pPr>
      <w:r>
        <w:rPr>
          <w:rFonts w:cs="Arial"/>
          <w:sz w:val="16"/>
          <w:szCs w:val="16"/>
          <w:lang w:val="sk-SK"/>
        </w:rPr>
        <w:t>Zdroj: RO</w:t>
      </w:r>
    </w:p>
    <w:p w14:paraId="6F64FA9A" w14:textId="6B9EDCDF" w:rsidR="003A158B" w:rsidRDefault="003A158B" w:rsidP="00912C87">
      <w:pPr>
        <w:pStyle w:val="Zkladntextb"/>
        <w:spacing w:after="120" w:line="240" w:lineRule="auto"/>
        <w:ind w:left="0"/>
        <w:jc w:val="both"/>
        <w:rPr>
          <w:rFonts w:cs="Arial"/>
          <w:lang w:val="sk-SK"/>
        </w:rPr>
      </w:pPr>
      <w:r w:rsidRPr="003A158B">
        <w:rPr>
          <w:rFonts w:cs="Arial"/>
          <w:lang w:val="sk-SK"/>
        </w:rPr>
        <w:t xml:space="preserve">Vyššie uvedená tabuľka </w:t>
      </w:r>
      <w:r w:rsidR="00877327">
        <w:rPr>
          <w:rFonts w:cs="Arial"/>
          <w:lang w:val="sk-SK"/>
        </w:rPr>
        <w:t>poskytuje informácie o</w:t>
      </w:r>
      <w:r w:rsidR="00877327" w:rsidRPr="003A158B">
        <w:rPr>
          <w:rFonts w:cs="Arial"/>
          <w:lang w:val="sk-SK"/>
        </w:rPr>
        <w:t xml:space="preserve"> </w:t>
      </w:r>
      <w:r w:rsidRPr="003A158B">
        <w:rPr>
          <w:rFonts w:cs="Arial"/>
          <w:lang w:val="sk-SK"/>
        </w:rPr>
        <w:t>využit</w:t>
      </w:r>
      <w:r w:rsidR="00877327">
        <w:rPr>
          <w:rFonts w:cs="Arial"/>
          <w:lang w:val="sk-SK"/>
        </w:rPr>
        <w:t>í</w:t>
      </w:r>
      <w:r w:rsidRPr="003A158B">
        <w:rPr>
          <w:rFonts w:cs="Arial"/>
          <w:lang w:val="sk-SK"/>
        </w:rPr>
        <w:t xml:space="preserve"> prostriedkov technickej pomoci a zahŕňa projekty, ktoré boli k 31.1</w:t>
      </w:r>
      <w:r w:rsidR="009A05F9">
        <w:rPr>
          <w:rFonts w:cs="Arial"/>
          <w:lang w:val="sk-SK"/>
        </w:rPr>
        <w:t>2</w:t>
      </w:r>
      <w:r w:rsidRPr="003A158B">
        <w:rPr>
          <w:rFonts w:cs="Arial"/>
          <w:lang w:val="sk-SK"/>
        </w:rPr>
        <w:t>.201</w:t>
      </w:r>
      <w:r w:rsidR="009A05F9">
        <w:rPr>
          <w:rFonts w:cs="Arial"/>
          <w:lang w:val="sk-SK"/>
        </w:rPr>
        <w:t>5</w:t>
      </w:r>
      <w:r w:rsidRPr="003A158B">
        <w:rPr>
          <w:rFonts w:cs="Arial"/>
          <w:lang w:val="sk-SK"/>
        </w:rPr>
        <w:t xml:space="preserve"> všetky ukončené. K uvedenému dátumu bolo vyčerpaných 97,22 % finančných prostriedkov. Z celkovej vyčerpanej  sumy 47 247 984,16 </w:t>
      </w:r>
      <w:r w:rsidR="000560D9" w:rsidRPr="000560D9">
        <w:rPr>
          <w:rFonts w:cs="Arial"/>
          <w:lang w:val="sk-SK"/>
        </w:rPr>
        <w:t>€</w:t>
      </w:r>
      <w:r w:rsidRPr="003A158B">
        <w:rPr>
          <w:rFonts w:cs="Arial"/>
          <w:lang w:val="sk-SK"/>
        </w:rPr>
        <w:t xml:space="preserve"> (zdroje EÚ) bolo viac ako 53,4 % finančných prostriedkov použitých na mzdy, viac ako 34,5 % na činnosti v oblasti informovania a publicity, 1,1 % bolo použité na školenia, monitorovacie, pracovné a koordinačné </w:t>
      </w:r>
      <w:r w:rsidR="00877327" w:rsidRPr="003A158B">
        <w:rPr>
          <w:rFonts w:cs="Arial"/>
          <w:lang w:val="sk-SK"/>
        </w:rPr>
        <w:t>výbory</w:t>
      </w:r>
      <w:r w:rsidR="00877327">
        <w:rPr>
          <w:rFonts w:cs="Arial"/>
          <w:lang w:val="sk-SK"/>
        </w:rPr>
        <w:t xml:space="preserve">, </w:t>
      </w:r>
      <w:r w:rsidR="00877327" w:rsidRPr="003A158B">
        <w:rPr>
          <w:rFonts w:cs="Arial"/>
          <w:lang w:val="sk-SK"/>
        </w:rPr>
        <w:t xml:space="preserve"> </w:t>
      </w:r>
      <w:r w:rsidRPr="003A158B">
        <w:rPr>
          <w:rFonts w:cs="Arial"/>
          <w:lang w:val="sk-SK"/>
        </w:rPr>
        <w:t xml:space="preserve">skupiny a komisie, viac ako 4,2 % na technické vybavenie, 0,64 % na prevádzkové činnosti a cestovné náhrady a 3,17 % bolo použitých na činnosti hodnotenia a štúdie. Pre ostatné všeobecné a špeciálne služby neboli čerpané žiadne finančné prostriedky.  </w:t>
      </w:r>
    </w:p>
    <w:p w14:paraId="26EEECA0" w14:textId="77777777" w:rsidR="00A4639A" w:rsidRPr="00B256C7" w:rsidRDefault="00A4639A" w:rsidP="00912C87">
      <w:pPr>
        <w:pStyle w:val="Zkladntextb"/>
        <w:spacing w:after="120" w:line="240" w:lineRule="auto"/>
        <w:ind w:left="0"/>
        <w:jc w:val="both"/>
        <w:rPr>
          <w:rFonts w:cs="Arial"/>
          <w:lang w:val="sk-SK"/>
        </w:rPr>
      </w:pPr>
      <w:r w:rsidRPr="00B256C7">
        <w:rPr>
          <w:rFonts w:cs="Arial"/>
          <w:lang w:val="sk-SK"/>
        </w:rPr>
        <w:t>Aktivity financované prostredníctvom prioritnej osi 6 na úrovni administratívnych kapacít riadiaceho orgánu sú uvedené v časti 2.8 Administratívne kapacity, aktivity na úrovni žiadateľov a prijímateľov sú uvedené v časti 7. Informovanosť a publicita.</w:t>
      </w:r>
    </w:p>
    <w:p w14:paraId="5167ED67" w14:textId="6A55FB80" w:rsidR="00A4639A" w:rsidRPr="00912C87" w:rsidRDefault="00A4639A" w:rsidP="00123376">
      <w:pPr>
        <w:pStyle w:val="Zkladntextb"/>
        <w:spacing w:before="120" w:after="120" w:line="240" w:lineRule="auto"/>
        <w:ind w:left="0"/>
        <w:jc w:val="both"/>
        <w:rPr>
          <w:rFonts w:cs="Arial"/>
          <w:lang w:val="sk-SK"/>
        </w:rPr>
      </w:pPr>
      <w:r w:rsidRPr="00B256C7">
        <w:rPr>
          <w:rFonts w:cs="Arial"/>
        </w:rPr>
        <w:t xml:space="preserve">Ďalšie informácie o stave fyzického pokroku, finančnej implementácii prioritnej osi 6 Technická pomoc, ako aj faktory ovplyvňujúce jej implementáciu sú uvedené v časti 3.6 </w:t>
      </w:r>
      <w:r w:rsidR="00C90CF5">
        <w:rPr>
          <w:rFonts w:cs="Arial"/>
        </w:rPr>
        <w:t xml:space="preserve">tejto </w:t>
      </w:r>
      <w:r w:rsidRPr="00B256C7">
        <w:rPr>
          <w:rFonts w:cs="Arial"/>
        </w:rPr>
        <w:t>správy.</w:t>
      </w:r>
    </w:p>
    <w:p w14:paraId="0A551E07" w14:textId="77777777" w:rsidR="002416B1" w:rsidRDefault="002416B1" w:rsidP="00123376">
      <w:pPr>
        <w:pStyle w:val="Nadpis1"/>
        <w:spacing w:after="120"/>
        <w:rPr>
          <w:rFonts w:cs="Arial"/>
        </w:rPr>
      </w:pPr>
      <w:bookmarkStart w:id="114" w:name="_Toc466914555"/>
      <w:r w:rsidRPr="00EC6B78">
        <w:rPr>
          <w:rFonts w:cs="Arial"/>
        </w:rPr>
        <w:lastRenderedPageBreak/>
        <w:t>7. Informovanosť a publicita</w:t>
      </w:r>
      <w:bookmarkEnd w:id="114"/>
    </w:p>
    <w:p w14:paraId="5FFB4596" w14:textId="3CCD7AF5" w:rsidR="0014175B" w:rsidRDefault="0014175B" w:rsidP="0014175B">
      <w:pPr>
        <w:jc w:val="both"/>
        <w:rPr>
          <w:rFonts w:ascii="Arial" w:hAnsi="Arial" w:cs="Arial"/>
          <w:sz w:val="20"/>
          <w:szCs w:val="20"/>
        </w:rPr>
      </w:pPr>
      <w:r w:rsidRPr="0055051B">
        <w:rPr>
          <w:rFonts w:ascii="Arial" w:hAnsi="Arial" w:cs="Arial"/>
          <w:sz w:val="20"/>
          <w:szCs w:val="20"/>
        </w:rPr>
        <w:t>Ministerstvo životného prostredia SR ako RO pre Operačný program Životné prostredie zabezpečovalo  v súlade s článkom 69 nariadenia Rady (ES) č. 1083/2006</w:t>
      </w:r>
      <w:r w:rsidRPr="0055051B">
        <w:rPr>
          <w:rFonts w:ascii="Arial" w:hAnsi="Arial" w:cs="Arial"/>
          <w:color w:val="00B0F0"/>
          <w:sz w:val="20"/>
          <w:szCs w:val="20"/>
        </w:rPr>
        <w:t xml:space="preserve"> </w:t>
      </w:r>
      <w:r w:rsidRPr="0055051B">
        <w:rPr>
          <w:rFonts w:ascii="Arial" w:hAnsi="Arial" w:cs="Arial"/>
          <w:sz w:val="20"/>
          <w:szCs w:val="20"/>
        </w:rPr>
        <w:t xml:space="preserve">počas programového obdobia 2007 – 2013 poskytovanie informácií o projektoch a programoch spolufinancovaných z fondov Európskej únie a ich publicitu. </w:t>
      </w:r>
    </w:p>
    <w:p w14:paraId="6D85C114" w14:textId="77777777" w:rsidR="005C7DD3" w:rsidRPr="0055051B" w:rsidRDefault="005C7DD3" w:rsidP="0014175B">
      <w:pPr>
        <w:jc w:val="both"/>
        <w:rPr>
          <w:rFonts w:ascii="Arial" w:hAnsi="Arial" w:cs="Arial"/>
          <w:sz w:val="20"/>
          <w:szCs w:val="20"/>
        </w:rPr>
      </w:pPr>
    </w:p>
    <w:p w14:paraId="45A972F8" w14:textId="31F2E83D" w:rsidR="0014175B" w:rsidRDefault="0014175B" w:rsidP="0014175B">
      <w:pPr>
        <w:jc w:val="both"/>
        <w:rPr>
          <w:rFonts w:ascii="Arial" w:hAnsi="Arial" w:cs="Arial"/>
          <w:sz w:val="20"/>
          <w:szCs w:val="20"/>
        </w:rPr>
      </w:pPr>
      <w:r w:rsidRPr="0055051B">
        <w:rPr>
          <w:rFonts w:ascii="Arial" w:hAnsi="Arial" w:cs="Arial"/>
          <w:sz w:val="20"/>
          <w:szCs w:val="20"/>
        </w:rPr>
        <w:t>Včasná a korektná informovanosť prispieva k transparentnej implementácii regionálnej a kohéznej politiky EÚ. Predpokladom úspešnej realizácie politiky hospodárskej a sociálnej súdržnosti v Slovenskej republike bolo poskytovanie kvalitných informácií o možnostiach využitia finančných prostriedkov zo štrukturálnych fondov a z Kohézneho fondu Európskej únie, pričom cieľom bolo tiež zabezpečiť dodržiavanie požiadaviek pre informovanie a publicitu v súlade s relevantnými kľúčovými dokumentmi na úrovni EÚ aj SR.</w:t>
      </w:r>
    </w:p>
    <w:p w14:paraId="0D255DA2" w14:textId="77777777" w:rsidR="005C7DD3" w:rsidRDefault="005C7DD3" w:rsidP="0014175B">
      <w:pPr>
        <w:jc w:val="both"/>
        <w:rPr>
          <w:rFonts w:ascii="Arial" w:hAnsi="Arial" w:cs="Arial"/>
          <w:sz w:val="20"/>
          <w:szCs w:val="20"/>
        </w:rPr>
      </w:pPr>
    </w:p>
    <w:p w14:paraId="5D886464" w14:textId="1996E117" w:rsidR="005C7DD3" w:rsidRPr="0055051B" w:rsidRDefault="001B21CC" w:rsidP="0014175B">
      <w:pPr>
        <w:jc w:val="both"/>
        <w:rPr>
          <w:rFonts w:ascii="Arial" w:hAnsi="Arial" w:cs="Arial"/>
          <w:sz w:val="20"/>
          <w:szCs w:val="20"/>
        </w:rPr>
      </w:pPr>
      <w:r>
        <w:rPr>
          <w:rFonts w:ascii="Arial" w:hAnsi="Arial" w:cs="Arial"/>
          <w:sz w:val="20"/>
          <w:szCs w:val="20"/>
        </w:rPr>
        <w:t>R</w:t>
      </w:r>
      <w:r w:rsidR="000604FE">
        <w:rPr>
          <w:rFonts w:ascii="Arial" w:hAnsi="Arial" w:cs="Arial"/>
          <w:sz w:val="20"/>
          <w:szCs w:val="20"/>
        </w:rPr>
        <w:t>O</w:t>
      </w:r>
      <w:r>
        <w:rPr>
          <w:rFonts w:ascii="Arial" w:hAnsi="Arial" w:cs="Arial"/>
          <w:sz w:val="20"/>
          <w:szCs w:val="20"/>
        </w:rPr>
        <w:t xml:space="preserve"> pre OP ŽP</w:t>
      </w:r>
      <w:r w:rsidR="005C7DD3">
        <w:rPr>
          <w:rFonts w:ascii="Arial" w:hAnsi="Arial" w:cs="Arial"/>
          <w:sz w:val="20"/>
          <w:szCs w:val="20"/>
        </w:rPr>
        <w:t xml:space="preserve"> </w:t>
      </w:r>
      <w:r w:rsidR="003A226B">
        <w:rPr>
          <w:rFonts w:ascii="Arial" w:hAnsi="Arial" w:cs="Arial"/>
          <w:sz w:val="20"/>
          <w:szCs w:val="20"/>
        </w:rPr>
        <w:t>vykonával aktivity v oblasti informovania a publicity podľa</w:t>
      </w:r>
      <w:r w:rsidR="005C7DD3">
        <w:rPr>
          <w:rFonts w:ascii="Arial" w:hAnsi="Arial" w:cs="Arial"/>
          <w:sz w:val="20"/>
          <w:szCs w:val="20"/>
        </w:rPr>
        <w:t xml:space="preserve"> Komunikačn</w:t>
      </w:r>
      <w:r w:rsidR="003A226B">
        <w:rPr>
          <w:rFonts w:ascii="Arial" w:hAnsi="Arial" w:cs="Arial"/>
          <w:sz w:val="20"/>
          <w:szCs w:val="20"/>
        </w:rPr>
        <w:t>ého</w:t>
      </w:r>
      <w:r w:rsidR="005C7DD3">
        <w:rPr>
          <w:rFonts w:ascii="Arial" w:hAnsi="Arial" w:cs="Arial"/>
          <w:sz w:val="20"/>
          <w:szCs w:val="20"/>
        </w:rPr>
        <w:t xml:space="preserve"> plán</w:t>
      </w:r>
      <w:r w:rsidR="003A226B">
        <w:rPr>
          <w:rFonts w:ascii="Arial" w:hAnsi="Arial" w:cs="Arial"/>
          <w:sz w:val="20"/>
          <w:szCs w:val="20"/>
        </w:rPr>
        <w:t>u</w:t>
      </w:r>
      <w:r w:rsidR="005C7DD3">
        <w:rPr>
          <w:rFonts w:ascii="Arial" w:hAnsi="Arial" w:cs="Arial"/>
          <w:sz w:val="20"/>
          <w:szCs w:val="20"/>
        </w:rPr>
        <w:t xml:space="preserve"> </w:t>
      </w:r>
      <w:r w:rsidR="00C90CF5">
        <w:rPr>
          <w:rFonts w:ascii="Arial" w:hAnsi="Arial" w:cs="Arial"/>
          <w:sz w:val="20"/>
          <w:szCs w:val="20"/>
        </w:rPr>
        <w:t xml:space="preserve">      </w:t>
      </w:r>
      <w:r w:rsidR="003A226B">
        <w:rPr>
          <w:rFonts w:ascii="Arial" w:hAnsi="Arial" w:cs="Arial"/>
          <w:sz w:val="20"/>
          <w:szCs w:val="20"/>
        </w:rPr>
        <w:t>OP ŽP (KoP OP ŽP).</w:t>
      </w:r>
      <w:r w:rsidR="005C7DD3">
        <w:rPr>
          <w:rFonts w:ascii="Arial" w:hAnsi="Arial" w:cs="Arial"/>
          <w:sz w:val="20"/>
          <w:szCs w:val="20"/>
        </w:rPr>
        <w:t xml:space="preserve"> </w:t>
      </w:r>
      <w:r w:rsidR="005C7DD3" w:rsidRPr="0055051B">
        <w:rPr>
          <w:rFonts w:ascii="Arial" w:hAnsi="Arial" w:cs="Arial"/>
          <w:sz w:val="20"/>
          <w:szCs w:val="20"/>
        </w:rPr>
        <w:t>Plán zahŕňal aktivity a opatrenia na všetkých úrovniach implementácie s použitím širokého spektra nástrojov komunikácie na jednotlivých stupňoch implementácie OP ŽP.</w:t>
      </w:r>
    </w:p>
    <w:p w14:paraId="07A7EEE8" w14:textId="194B0E34" w:rsidR="0014175B" w:rsidRPr="0055051B" w:rsidRDefault="0014175B" w:rsidP="0014175B">
      <w:pPr>
        <w:rPr>
          <w:rFonts w:ascii="Arial" w:hAnsi="Arial" w:cs="Arial"/>
          <w:b/>
          <w:sz w:val="20"/>
          <w:szCs w:val="20"/>
          <w:u w:val="single"/>
        </w:rPr>
      </w:pPr>
    </w:p>
    <w:p w14:paraId="5084F3E7" w14:textId="77777777" w:rsidR="0014175B" w:rsidRDefault="0014175B" w:rsidP="0014175B">
      <w:pPr>
        <w:rPr>
          <w:rFonts w:ascii="Arial" w:hAnsi="Arial" w:cs="Arial"/>
          <w:b/>
          <w:sz w:val="20"/>
          <w:szCs w:val="20"/>
        </w:rPr>
      </w:pPr>
      <w:r w:rsidRPr="0055051B">
        <w:rPr>
          <w:rFonts w:ascii="Arial" w:hAnsi="Arial" w:cs="Arial"/>
          <w:b/>
          <w:sz w:val="20"/>
          <w:szCs w:val="20"/>
        </w:rPr>
        <w:t>Prehľad informačných aktivít realizovaných za účelom propagácie výsledkov programového obdobia 2007 – 2013</w:t>
      </w:r>
    </w:p>
    <w:p w14:paraId="57F67B22" w14:textId="77777777" w:rsidR="005C7DD3" w:rsidRPr="0055051B" w:rsidRDefault="005C7DD3" w:rsidP="0014175B">
      <w:pPr>
        <w:rPr>
          <w:rFonts w:ascii="Arial" w:hAnsi="Arial" w:cs="Arial"/>
          <w:b/>
          <w:sz w:val="20"/>
          <w:szCs w:val="20"/>
        </w:rPr>
      </w:pPr>
    </w:p>
    <w:p w14:paraId="178DB28C" w14:textId="6B199120" w:rsidR="0014175B" w:rsidRDefault="0014175B" w:rsidP="0014175B">
      <w:pPr>
        <w:jc w:val="both"/>
        <w:rPr>
          <w:rFonts w:ascii="Arial" w:hAnsi="Arial" w:cs="Arial"/>
          <w:sz w:val="20"/>
          <w:szCs w:val="20"/>
        </w:rPr>
      </w:pPr>
      <w:r w:rsidRPr="0055051B">
        <w:rPr>
          <w:rFonts w:ascii="Arial" w:hAnsi="Arial" w:cs="Arial"/>
          <w:sz w:val="20"/>
          <w:szCs w:val="20"/>
        </w:rPr>
        <w:t>Informovanosť a publicita OP ŽP prebiehala v súlade s KoP OP ŽP, z ktorého každoročne vychádzal Ročný operatívny plán pre KoP OP ŽP pre programové obdobie 2007</w:t>
      </w:r>
      <w:r w:rsidR="003A226B">
        <w:rPr>
          <w:rFonts w:ascii="Arial" w:hAnsi="Arial" w:cs="Arial"/>
          <w:sz w:val="20"/>
          <w:szCs w:val="20"/>
        </w:rPr>
        <w:t xml:space="preserve"> </w:t>
      </w:r>
      <w:r w:rsidRPr="0055051B">
        <w:rPr>
          <w:rFonts w:ascii="Arial" w:hAnsi="Arial" w:cs="Arial"/>
          <w:sz w:val="20"/>
          <w:szCs w:val="20"/>
        </w:rPr>
        <w:t>-</w:t>
      </w:r>
      <w:r w:rsidR="003A226B">
        <w:rPr>
          <w:rFonts w:ascii="Arial" w:hAnsi="Arial" w:cs="Arial"/>
          <w:sz w:val="20"/>
          <w:szCs w:val="20"/>
        </w:rPr>
        <w:t xml:space="preserve"> </w:t>
      </w:r>
      <w:r w:rsidRPr="0055051B">
        <w:rPr>
          <w:rFonts w:ascii="Arial" w:hAnsi="Arial" w:cs="Arial"/>
          <w:sz w:val="20"/>
          <w:szCs w:val="20"/>
        </w:rPr>
        <w:t xml:space="preserve">2013. Dokument slúžil na detailné stanovenie mixu komunikačných nástrojov a ich zameranie na cieľové skupiny tak, aby bol priebežne napĺňaný cieľ tejto stratégie. </w:t>
      </w:r>
    </w:p>
    <w:p w14:paraId="1FB35D37" w14:textId="77777777" w:rsidR="008B1927" w:rsidRPr="0055051B" w:rsidRDefault="008B1927" w:rsidP="0014175B">
      <w:pPr>
        <w:jc w:val="both"/>
        <w:rPr>
          <w:rFonts w:ascii="Arial" w:hAnsi="Arial" w:cs="Arial"/>
          <w:sz w:val="20"/>
          <w:szCs w:val="20"/>
        </w:rPr>
      </w:pPr>
    </w:p>
    <w:p w14:paraId="32075F3B" w14:textId="018E1FE2" w:rsidR="0014175B" w:rsidRPr="0055051B" w:rsidRDefault="00F97791" w:rsidP="0014175B">
      <w:pPr>
        <w:jc w:val="both"/>
        <w:rPr>
          <w:rFonts w:ascii="Arial" w:hAnsi="Arial" w:cs="Arial"/>
          <w:sz w:val="20"/>
          <w:szCs w:val="20"/>
        </w:rPr>
      </w:pPr>
      <w:r>
        <w:rPr>
          <w:rFonts w:ascii="Arial" w:hAnsi="Arial" w:cs="Arial"/>
          <w:sz w:val="20"/>
          <w:szCs w:val="20"/>
        </w:rPr>
        <w:t>Nižšie uvedené</w:t>
      </w:r>
      <w:r w:rsidR="008B1927">
        <w:rPr>
          <w:rFonts w:ascii="Arial" w:hAnsi="Arial" w:cs="Arial"/>
          <w:sz w:val="20"/>
          <w:szCs w:val="20"/>
        </w:rPr>
        <w:t xml:space="preserve"> informačné aktivity poskytujú súhrnný prehľad o aktivitách za účelom propagácie OP ŽP </w:t>
      </w:r>
      <w:r>
        <w:rPr>
          <w:rFonts w:ascii="Arial" w:hAnsi="Arial" w:cs="Arial"/>
          <w:sz w:val="20"/>
          <w:szCs w:val="20"/>
        </w:rPr>
        <w:t>a špeciálne sa zameriavajú na realizované aktivity za účelom propagácie výsledkov programového obdobia 2207 – 2013.</w:t>
      </w:r>
      <w:r w:rsidR="008B1927">
        <w:rPr>
          <w:rFonts w:ascii="Arial" w:hAnsi="Arial" w:cs="Arial"/>
          <w:sz w:val="20"/>
          <w:szCs w:val="20"/>
        </w:rPr>
        <w:t xml:space="preserve"> </w:t>
      </w:r>
    </w:p>
    <w:p w14:paraId="7C4D42F9" w14:textId="77777777" w:rsidR="005C7DD3" w:rsidRDefault="005C7DD3" w:rsidP="0014175B">
      <w:pPr>
        <w:jc w:val="both"/>
        <w:rPr>
          <w:rFonts w:ascii="Arial" w:hAnsi="Arial" w:cs="Arial"/>
          <w:b/>
          <w:sz w:val="20"/>
          <w:szCs w:val="20"/>
          <w:u w:val="single"/>
        </w:rPr>
      </w:pPr>
    </w:p>
    <w:p w14:paraId="5FDD2104" w14:textId="77777777" w:rsidR="0014175B" w:rsidRPr="00590529" w:rsidRDefault="0014175B" w:rsidP="0014175B">
      <w:pPr>
        <w:jc w:val="both"/>
        <w:rPr>
          <w:rFonts w:ascii="Arial" w:hAnsi="Arial" w:cs="Arial"/>
          <w:b/>
          <w:sz w:val="20"/>
          <w:szCs w:val="20"/>
        </w:rPr>
      </w:pPr>
      <w:r w:rsidRPr="00590529">
        <w:rPr>
          <w:rFonts w:ascii="Arial" w:hAnsi="Arial" w:cs="Arial"/>
          <w:b/>
          <w:sz w:val="20"/>
          <w:szCs w:val="20"/>
        </w:rPr>
        <w:t>Poskytovanie konzultácii</w:t>
      </w:r>
    </w:p>
    <w:p w14:paraId="41487457" w14:textId="77777777" w:rsidR="0014175B" w:rsidRPr="0055051B" w:rsidRDefault="0014175B" w:rsidP="003A1992">
      <w:pPr>
        <w:spacing w:before="120"/>
        <w:jc w:val="both"/>
        <w:rPr>
          <w:rFonts w:ascii="Arial" w:hAnsi="Arial" w:cs="Arial"/>
          <w:sz w:val="20"/>
          <w:szCs w:val="20"/>
          <w:u w:val="single"/>
        </w:rPr>
      </w:pPr>
      <w:r w:rsidRPr="0055051B">
        <w:rPr>
          <w:rFonts w:ascii="Arial" w:hAnsi="Arial" w:cs="Arial"/>
          <w:sz w:val="20"/>
          <w:szCs w:val="20"/>
          <w:u w:val="single"/>
        </w:rPr>
        <w:t>Priame informovanie</w:t>
      </w:r>
    </w:p>
    <w:p w14:paraId="13A3F7F0" w14:textId="77777777" w:rsidR="0014175B" w:rsidRPr="0055051B" w:rsidRDefault="0014175B" w:rsidP="0014175B">
      <w:pPr>
        <w:jc w:val="both"/>
        <w:rPr>
          <w:rFonts w:ascii="Arial" w:hAnsi="Arial" w:cs="Arial"/>
          <w:sz w:val="20"/>
          <w:szCs w:val="20"/>
        </w:rPr>
      </w:pPr>
      <w:r w:rsidRPr="0055051B">
        <w:rPr>
          <w:rFonts w:ascii="Arial" w:hAnsi="Arial" w:cs="Arial"/>
          <w:sz w:val="20"/>
          <w:szCs w:val="20"/>
        </w:rPr>
        <w:t>MŽP SR v spolupráci s Regionálnymi environmentálnymi poradenskými informačnými strediskami (ďalej len „REPIS“) poskytovalo konzultačnú činnosť formou písomnej a telefonickej komunikácie, elektronickej e-mailovej komunikácie a osobných konzultácií.</w:t>
      </w:r>
    </w:p>
    <w:p w14:paraId="6C21204E" w14:textId="77777777" w:rsidR="001B21CC" w:rsidRDefault="001B21CC" w:rsidP="0014175B">
      <w:pPr>
        <w:jc w:val="both"/>
        <w:rPr>
          <w:rFonts w:ascii="Arial" w:hAnsi="Arial" w:cs="Arial"/>
          <w:sz w:val="20"/>
          <w:szCs w:val="20"/>
          <w:u w:val="single"/>
        </w:rPr>
      </w:pPr>
    </w:p>
    <w:p w14:paraId="783BF003" w14:textId="77777777" w:rsidR="0014175B" w:rsidRPr="0055051B" w:rsidRDefault="0014175B" w:rsidP="0014175B">
      <w:pPr>
        <w:jc w:val="both"/>
        <w:rPr>
          <w:rFonts w:ascii="Arial" w:hAnsi="Arial" w:cs="Arial"/>
          <w:sz w:val="20"/>
          <w:szCs w:val="20"/>
          <w:u w:val="single"/>
        </w:rPr>
      </w:pPr>
      <w:r w:rsidRPr="0055051B">
        <w:rPr>
          <w:rFonts w:ascii="Arial" w:hAnsi="Arial" w:cs="Arial"/>
          <w:sz w:val="20"/>
          <w:szCs w:val="20"/>
          <w:u w:val="single"/>
        </w:rPr>
        <w:t xml:space="preserve">Komunikácia prostredníctvom REPIS </w:t>
      </w:r>
    </w:p>
    <w:p w14:paraId="2E7396DB" w14:textId="77777777" w:rsidR="0014175B" w:rsidRPr="0055051B" w:rsidRDefault="0014175B" w:rsidP="0014175B">
      <w:pPr>
        <w:jc w:val="both"/>
        <w:rPr>
          <w:rFonts w:ascii="Arial" w:hAnsi="Arial" w:cs="Arial"/>
          <w:sz w:val="20"/>
          <w:szCs w:val="20"/>
        </w:rPr>
      </w:pPr>
      <w:r w:rsidRPr="0055051B">
        <w:rPr>
          <w:rFonts w:ascii="Arial" w:hAnsi="Arial" w:cs="Arial"/>
          <w:sz w:val="20"/>
          <w:szCs w:val="20"/>
        </w:rPr>
        <w:t>V rámci informačných centier prvého kontaktu REPIS Slovenskej agentúry životného prostredia prebiehalo informovanie o možnostiach pomoci z fondov EÚ prostredníctvom OP ŽP najčastejšie osobnými stretnutiami v jednotlivých regionálnych strediskách: REPIS Nitra, REPIS Poprad, REPIS Trnava, REPIS Banská Bystrica, REPIS Banská Štiavnica, REPIS Košice, REPIS Prešov, REPIS Prievidza, REPIS Rimavská Sobota a REPIS Žilina.</w:t>
      </w:r>
    </w:p>
    <w:p w14:paraId="236F1B77" w14:textId="2C0FB7CD" w:rsidR="0014175B" w:rsidRPr="0055051B" w:rsidRDefault="0014175B" w:rsidP="0014175B">
      <w:pPr>
        <w:spacing w:before="120"/>
        <w:jc w:val="both"/>
        <w:rPr>
          <w:rFonts w:ascii="Arial" w:hAnsi="Arial" w:cs="Arial"/>
          <w:bCs/>
          <w:sz w:val="20"/>
          <w:szCs w:val="20"/>
        </w:rPr>
      </w:pPr>
      <w:r w:rsidRPr="0055051B">
        <w:rPr>
          <w:rFonts w:ascii="Arial" w:hAnsi="Arial" w:cs="Arial"/>
          <w:sz w:val="20"/>
          <w:szCs w:val="20"/>
        </w:rPr>
        <w:t>Konzultácie boli prioritne zamerané na podmienky poskytnutia pomoci, podmienky pre korektné vypracovanie žiadostí o NFP, podmienky týkajúce sa povinných príloh, formálne náležitosti prípravy a predkladania projektov, ITMS a špecifické konzultácie projektov – odborné a legislatívne podmienky konkrétnych projektov.</w:t>
      </w:r>
      <w:r w:rsidRPr="0055051B">
        <w:rPr>
          <w:rFonts w:ascii="Arial" w:hAnsi="Arial" w:cs="Arial"/>
          <w:bCs/>
          <w:sz w:val="20"/>
          <w:szCs w:val="20"/>
        </w:rPr>
        <w:t xml:space="preserve"> </w:t>
      </w:r>
    </w:p>
    <w:p w14:paraId="218CAAC0" w14:textId="77777777" w:rsidR="001B21CC" w:rsidRDefault="001B21CC" w:rsidP="0014175B">
      <w:pPr>
        <w:jc w:val="both"/>
        <w:rPr>
          <w:rFonts w:ascii="Arial" w:hAnsi="Arial" w:cs="Arial"/>
          <w:b/>
          <w:sz w:val="20"/>
          <w:szCs w:val="20"/>
          <w:u w:val="single"/>
        </w:rPr>
      </w:pPr>
    </w:p>
    <w:p w14:paraId="787D57C7" w14:textId="77777777" w:rsidR="0014175B" w:rsidRPr="00590529" w:rsidRDefault="0014175B" w:rsidP="0014175B">
      <w:pPr>
        <w:jc w:val="both"/>
        <w:rPr>
          <w:rFonts w:ascii="Arial" w:hAnsi="Arial" w:cs="Arial"/>
          <w:sz w:val="20"/>
          <w:szCs w:val="20"/>
          <w:u w:val="single"/>
        </w:rPr>
      </w:pPr>
      <w:r w:rsidRPr="00590529">
        <w:rPr>
          <w:rFonts w:ascii="Arial" w:hAnsi="Arial" w:cs="Arial"/>
          <w:sz w:val="20"/>
          <w:szCs w:val="20"/>
          <w:u w:val="single"/>
        </w:rPr>
        <w:t>Informačné portály</w:t>
      </w:r>
    </w:p>
    <w:p w14:paraId="7B9D6C4B" w14:textId="77777777" w:rsidR="0014175B" w:rsidRPr="0055051B" w:rsidRDefault="0014175B" w:rsidP="0014175B">
      <w:pPr>
        <w:jc w:val="both"/>
        <w:rPr>
          <w:rFonts w:ascii="Arial" w:hAnsi="Arial" w:cs="Arial"/>
          <w:b/>
          <w:sz w:val="20"/>
          <w:szCs w:val="20"/>
        </w:rPr>
      </w:pPr>
      <w:r w:rsidRPr="0055051B">
        <w:rPr>
          <w:rFonts w:ascii="Arial" w:hAnsi="Arial" w:cs="Arial"/>
          <w:sz w:val="20"/>
          <w:szCs w:val="20"/>
        </w:rPr>
        <w:t>MŽP SR informovalo verejnosť o OP ŽP najmä prostredníctvom webstránky OP ŽP</w:t>
      </w:r>
      <w:r w:rsidRPr="0055051B">
        <w:rPr>
          <w:rFonts w:ascii="Arial" w:hAnsi="Arial" w:cs="Arial"/>
          <w:b/>
          <w:sz w:val="20"/>
          <w:szCs w:val="20"/>
        </w:rPr>
        <w:t xml:space="preserve"> </w:t>
      </w:r>
      <w:hyperlink r:id="rId38" w:history="1">
        <w:r w:rsidRPr="0055051B">
          <w:rPr>
            <w:rStyle w:val="Hypertextovprepojenie"/>
            <w:rFonts w:ascii="Arial" w:hAnsi="Arial" w:cs="Arial"/>
            <w:sz w:val="20"/>
            <w:szCs w:val="20"/>
          </w:rPr>
          <w:t>www.opzp.sk</w:t>
        </w:r>
      </w:hyperlink>
      <w:r w:rsidRPr="0055051B">
        <w:rPr>
          <w:rFonts w:ascii="Arial" w:hAnsi="Arial" w:cs="Arial"/>
          <w:b/>
          <w:sz w:val="20"/>
          <w:szCs w:val="20"/>
        </w:rPr>
        <w:t xml:space="preserve"> </w:t>
      </w:r>
      <w:r w:rsidRPr="0055051B">
        <w:rPr>
          <w:rFonts w:ascii="Arial" w:hAnsi="Arial" w:cs="Arial"/>
          <w:sz w:val="20"/>
          <w:szCs w:val="20"/>
        </w:rPr>
        <w:t>s prepojením na stránky</w:t>
      </w:r>
      <w:r w:rsidRPr="0055051B">
        <w:rPr>
          <w:rFonts w:ascii="Arial" w:hAnsi="Arial" w:cs="Arial"/>
          <w:b/>
          <w:sz w:val="20"/>
          <w:szCs w:val="20"/>
        </w:rPr>
        <w:t xml:space="preserve"> </w:t>
      </w:r>
      <w:hyperlink r:id="rId39" w:history="1">
        <w:r w:rsidRPr="0055051B">
          <w:rPr>
            <w:rStyle w:val="Hypertextovprepojenie"/>
            <w:rFonts w:ascii="Arial" w:hAnsi="Arial" w:cs="Arial"/>
            <w:sz w:val="20"/>
            <w:szCs w:val="20"/>
          </w:rPr>
          <w:t>www.repis.sk</w:t>
        </w:r>
      </w:hyperlink>
      <w:r w:rsidRPr="0055051B">
        <w:rPr>
          <w:rFonts w:ascii="Arial" w:hAnsi="Arial" w:cs="Arial"/>
          <w:sz w:val="20"/>
          <w:szCs w:val="20"/>
        </w:rPr>
        <w:t xml:space="preserve">; </w:t>
      </w:r>
      <w:hyperlink r:id="rId40" w:history="1">
        <w:r w:rsidRPr="0055051B">
          <w:rPr>
            <w:rStyle w:val="Hypertextovprepojenie"/>
            <w:rFonts w:ascii="Arial" w:hAnsi="Arial" w:cs="Arial"/>
            <w:sz w:val="20"/>
            <w:szCs w:val="20"/>
          </w:rPr>
          <w:t>www.minzp.sk</w:t>
        </w:r>
      </w:hyperlink>
      <w:r w:rsidRPr="0055051B">
        <w:rPr>
          <w:rFonts w:ascii="Arial" w:hAnsi="Arial" w:cs="Arial"/>
          <w:sz w:val="20"/>
          <w:szCs w:val="20"/>
        </w:rPr>
        <w:t>;</w:t>
      </w:r>
      <w:r w:rsidRPr="0055051B">
        <w:rPr>
          <w:rFonts w:ascii="Arial" w:hAnsi="Arial" w:cs="Arial"/>
          <w:b/>
          <w:sz w:val="20"/>
          <w:szCs w:val="20"/>
        </w:rPr>
        <w:t xml:space="preserve"> </w:t>
      </w:r>
      <w:hyperlink r:id="rId41" w:history="1">
        <w:r w:rsidRPr="0055051B">
          <w:rPr>
            <w:rStyle w:val="Hypertextovprepojenie"/>
            <w:rFonts w:ascii="Arial" w:hAnsi="Arial" w:cs="Arial"/>
            <w:sz w:val="20"/>
            <w:szCs w:val="20"/>
          </w:rPr>
          <w:t>www.nsrr.sk</w:t>
        </w:r>
      </w:hyperlink>
      <w:r w:rsidRPr="0055051B">
        <w:rPr>
          <w:rFonts w:ascii="Arial" w:hAnsi="Arial" w:cs="Arial"/>
          <w:b/>
          <w:sz w:val="20"/>
          <w:szCs w:val="20"/>
        </w:rPr>
        <w:t xml:space="preserve">  </w:t>
      </w:r>
      <w:r w:rsidRPr="0055051B">
        <w:rPr>
          <w:rFonts w:ascii="Arial" w:hAnsi="Arial" w:cs="Arial"/>
          <w:sz w:val="20"/>
          <w:szCs w:val="20"/>
        </w:rPr>
        <w:t>a sociálnej siete Facebook.</w:t>
      </w:r>
    </w:p>
    <w:p w14:paraId="615074F3" w14:textId="5A9A83CF" w:rsidR="0014175B" w:rsidRPr="0055051B" w:rsidRDefault="0014175B" w:rsidP="0014175B">
      <w:pPr>
        <w:jc w:val="both"/>
        <w:rPr>
          <w:rFonts w:ascii="Arial" w:hAnsi="Arial" w:cs="Arial"/>
          <w:sz w:val="20"/>
          <w:szCs w:val="20"/>
        </w:rPr>
      </w:pPr>
      <w:r w:rsidRPr="0055051B">
        <w:rPr>
          <w:rFonts w:ascii="Arial" w:hAnsi="Arial" w:cs="Arial"/>
          <w:sz w:val="20"/>
          <w:szCs w:val="20"/>
        </w:rPr>
        <w:t>V rámci programového obdobia 2007</w:t>
      </w:r>
      <w:r w:rsidR="003A4354">
        <w:rPr>
          <w:rFonts w:ascii="Arial" w:hAnsi="Arial" w:cs="Arial"/>
          <w:sz w:val="20"/>
          <w:szCs w:val="20"/>
        </w:rPr>
        <w:t xml:space="preserve"> </w:t>
      </w:r>
      <w:r w:rsidRPr="0055051B">
        <w:rPr>
          <w:rFonts w:ascii="Arial" w:hAnsi="Arial" w:cs="Arial"/>
          <w:sz w:val="20"/>
          <w:szCs w:val="20"/>
        </w:rPr>
        <w:t>-</w:t>
      </w:r>
      <w:r w:rsidR="003A4354">
        <w:rPr>
          <w:rFonts w:ascii="Arial" w:hAnsi="Arial" w:cs="Arial"/>
          <w:sz w:val="20"/>
          <w:szCs w:val="20"/>
        </w:rPr>
        <w:t xml:space="preserve"> </w:t>
      </w:r>
      <w:r w:rsidRPr="0055051B">
        <w:rPr>
          <w:rFonts w:ascii="Arial" w:hAnsi="Arial" w:cs="Arial"/>
          <w:sz w:val="20"/>
          <w:szCs w:val="20"/>
        </w:rPr>
        <w:t xml:space="preserve">2013 medzi hlavné informačné nástroje RO patril informačný portál </w:t>
      </w:r>
      <w:hyperlink r:id="rId42" w:history="1">
        <w:r w:rsidRPr="0055051B">
          <w:rPr>
            <w:rStyle w:val="Hypertextovprepojenie"/>
            <w:rFonts w:ascii="Arial" w:hAnsi="Arial" w:cs="Arial"/>
            <w:sz w:val="20"/>
            <w:szCs w:val="20"/>
          </w:rPr>
          <w:t>www.opzp.sk</w:t>
        </w:r>
      </w:hyperlink>
      <w:r w:rsidR="003A4354">
        <w:rPr>
          <w:rFonts w:ascii="Arial" w:hAnsi="Arial" w:cs="Arial"/>
          <w:sz w:val="20"/>
          <w:szCs w:val="20"/>
        </w:rPr>
        <w:t xml:space="preserve"> a poskytoval </w:t>
      </w:r>
      <w:r w:rsidRPr="0055051B">
        <w:rPr>
          <w:rFonts w:ascii="Arial" w:hAnsi="Arial" w:cs="Arial"/>
          <w:sz w:val="20"/>
          <w:szCs w:val="20"/>
        </w:rPr>
        <w:t xml:space="preserve">základné informácie o OP ŽP potenciálnym žiadateľom o NFP, žiadateľom o NFP, prijímateľom a širokej verejnosti. Informačný portál bol a aj v súčasnosti je medializovaný RO pomocou ostatných komunikačných opatrení (napr. odkazy o IP, informácia na publikáciách a pod.). </w:t>
      </w:r>
    </w:p>
    <w:p w14:paraId="5B237B64" w14:textId="77777777" w:rsidR="001B21CC" w:rsidRDefault="001B21CC" w:rsidP="0014175B">
      <w:pPr>
        <w:jc w:val="both"/>
        <w:rPr>
          <w:rFonts w:ascii="Arial" w:hAnsi="Arial" w:cs="Arial"/>
          <w:sz w:val="20"/>
          <w:szCs w:val="20"/>
        </w:rPr>
      </w:pPr>
    </w:p>
    <w:p w14:paraId="3BA48E1E" w14:textId="4CB68621" w:rsidR="0014175B" w:rsidRPr="0055051B" w:rsidRDefault="0014175B" w:rsidP="0014175B">
      <w:pPr>
        <w:jc w:val="both"/>
        <w:rPr>
          <w:rFonts w:ascii="Arial" w:hAnsi="Arial" w:cs="Arial"/>
          <w:sz w:val="20"/>
          <w:szCs w:val="20"/>
        </w:rPr>
      </w:pPr>
      <w:r w:rsidRPr="0055051B">
        <w:rPr>
          <w:rFonts w:ascii="Arial" w:hAnsi="Arial" w:cs="Arial"/>
          <w:sz w:val="20"/>
          <w:szCs w:val="20"/>
        </w:rPr>
        <w:lastRenderedPageBreak/>
        <w:t xml:space="preserve">Ako podpora k internetovému portálu OP ŽP bola vo februári 2012 zriadená aj </w:t>
      </w:r>
      <w:r w:rsidR="003A4354">
        <w:rPr>
          <w:rFonts w:ascii="Arial" w:hAnsi="Arial" w:cs="Arial"/>
          <w:sz w:val="20"/>
          <w:szCs w:val="20"/>
        </w:rPr>
        <w:t>„</w:t>
      </w:r>
      <w:r w:rsidRPr="0055051B">
        <w:rPr>
          <w:rFonts w:ascii="Arial" w:hAnsi="Arial" w:cs="Arial"/>
          <w:sz w:val="20"/>
          <w:szCs w:val="20"/>
        </w:rPr>
        <w:t>Fun page</w:t>
      </w:r>
      <w:r w:rsidR="003A4354">
        <w:rPr>
          <w:rFonts w:ascii="Arial" w:hAnsi="Arial" w:cs="Arial"/>
          <w:sz w:val="20"/>
          <w:szCs w:val="20"/>
        </w:rPr>
        <w:t>“</w:t>
      </w:r>
      <w:r w:rsidRPr="0055051B">
        <w:rPr>
          <w:rFonts w:ascii="Arial" w:hAnsi="Arial" w:cs="Arial"/>
          <w:sz w:val="20"/>
          <w:szCs w:val="20"/>
        </w:rPr>
        <w:t xml:space="preserve"> stránka OP</w:t>
      </w:r>
      <w:r w:rsidR="003A4354">
        <w:rPr>
          <w:rFonts w:ascii="Arial" w:hAnsi="Arial" w:cs="Arial"/>
          <w:sz w:val="20"/>
          <w:szCs w:val="20"/>
        </w:rPr>
        <w:t> </w:t>
      </w:r>
      <w:r w:rsidRPr="0055051B">
        <w:rPr>
          <w:rFonts w:ascii="Arial" w:hAnsi="Arial" w:cs="Arial"/>
          <w:sz w:val="20"/>
          <w:szCs w:val="20"/>
        </w:rPr>
        <w:t xml:space="preserve">ŽP na sociálnej sieti Facebook, ktorá </w:t>
      </w:r>
      <w:r w:rsidR="003A4354">
        <w:rPr>
          <w:rFonts w:ascii="Arial" w:hAnsi="Arial" w:cs="Arial"/>
          <w:sz w:val="20"/>
          <w:szCs w:val="20"/>
        </w:rPr>
        <w:t>bola</w:t>
      </w:r>
      <w:r w:rsidRPr="0055051B">
        <w:rPr>
          <w:rFonts w:ascii="Arial" w:hAnsi="Arial" w:cs="Arial"/>
          <w:sz w:val="20"/>
          <w:szCs w:val="20"/>
        </w:rPr>
        <w:t xml:space="preserve"> priebežne dopĺňaná o informácie z procesu implementácie OP ŽP. </w:t>
      </w:r>
    </w:p>
    <w:p w14:paraId="0641375F" w14:textId="77777777" w:rsidR="001B21CC" w:rsidRDefault="001B21CC" w:rsidP="0014175B">
      <w:pPr>
        <w:jc w:val="both"/>
        <w:rPr>
          <w:rFonts w:ascii="Arial" w:hAnsi="Arial" w:cs="Arial"/>
          <w:b/>
          <w:sz w:val="20"/>
          <w:szCs w:val="20"/>
        </w:rPr>
      </w:pPr>
    </w:p>
    <w:p w14:paraId="28C403F2" w14:textId="77777777" w:rsidR="0014175B" w:rsidRDefault="0014175B" w:rsidP="0014175B">
      <w:pPr>
        <w:jc w:val="both"/>
        <w:rPr>
          <w:rFonts w:ascii="Arial" w:hAnsi="Arial" w:cs="Arial"/>
          <w:sz w:val="20"/>
          <w:szCs w:val="20"/>
        </w:rPr>
      </w:pPr>
      <w:r w:rsidRPr="00590529">
        <w:rPr>
          <w:rFonts w:ascii="Arial" w:hAnsi="Arial" w:cs="Arial"/>
          <w:sz w:val="20"/>
          <w:szCs w:val="20"/>
          <w:u w:val="single"/>
        </w:rPr>
        <w:t>Wikipedia</w:t>
      </w:r>
      <w:r w:rsidRPr="0055051B">
        <w:rPr>
          <w:rFonts w:ascii="Arial" w:hAnsi="Arial" w:cs="Arial"/>
          <w:b/>
          <w:sz w:val="20"/>
          <w:szCs w:val="20"/>
        </w:rPr>
        <w:br/>
      </w:r>
      <w:r w:rsidRPr="0055051B">
        <w:rPr>
          <w:rFonts w:ascii="Arial" w:hAnsi="Arial" w:cs="Arial"/>
          <w:sz w:val="20"/>
          <w:szCs w:val="20"/>
        </w:rPr>
        <w:t>RO v roku 2012 doplnil 30 základných pojmov spojených s implementáciou OP ŽP do globálnej elektronickej encyklopédie – Wikipedia.</w:t>
      </w:r>
    </w:p>
    <w:p w14:paraId="6477D289" w14:textId="77777777" w:rsidR="001B21CC" w:rsidRPr="0055051B" w:rsidRDefault="001B21CC" w:rsidP="0014175B">
      <w:pPr>
        <w:jc w:val="both"/>
        <w:rPr>
          <w:rFonts w:ascii="Arial" w:hAnsi="Arial" w:cs="Arial"/>
          <w:b/>
          <w:sz w:val="20"/>
          <w:szCs w:val="20"/>
        </w:rPr>
      </w:pPr>
    </w:p>
    <w:p w14:paraId="404AF7BD" w14:textId="77777777" w:rsidR="0014175B" w:rsidRPr="00590529" w:rsidRDefault="0014175B" w:rsidP="0014175B">
      <w:pPr>
        <w:jc w:val="both"/>
        <w:rPr>
          <w:rFonts w:ascii="Arial" w:hAnsi="Arial" w:cs="Arial"/>
          <w:sz w:val="20"/>
          <w:szCs w:val="20"/>
          <w:u w:val="single"/>
        </w:rPr>
      </w:pPr>
      <w:r w:rsidRPr="00590529">
        <w:rPr>
          <w:rFonts w:ascii="Arial" w:hAnsi="Arial" w:cs="Arial"/>
          <w:sz w:val="20"/>
          <w:szCs w:val="20"/>
          <w:u w:val="single"/>
        </w:rPr>
        <w:t xml:space="preserve">Konferencie a semináre, informačné podujatia </w:t>
      </w:r>
    </w:p>
    <w:p w14:paraId="1D3F52C8" w14:textId="4C4601DA" w:rsidR="009D4B16" w:rsidRDefault="0033246F" w:rsidP="009D4B16">
      <w:pPr>
        <w:jc w:val="both"/>
        <w:rPr>
          <w:rFonts w:ascii="Arial" w:hAnsi="Arial" w:cs="Arial"/>
          <w:sz w:val="20"/>
          <w:szCs w:val="20"/>
        </w:rPr>
      </w:pPr>
      <w:r w:rsidRPr="0055051B">
        <w:rPr>
          <w:rFonts w:ascii="Arial" w:hAnsi="Arial" w:cs="Arial"/>
          <w:sz w:val="20"/>
          <w:szCs w:val="20"/>
        </w:rPr>
        <w:t>Organiz</w:t>
      </w:r>
      <w:r>
        <w:rPr>
          <w:rFonts w:ascii="Arial" w:hAnsi="Arial" w:cs="Arial"/>
          <w:sz w:val="20"/>
          <w:szCs w:val="20"/>
        </w:rPr>
        <w:t>ovanie</w:t>
      </w:r>
      <w:r w:rsidRPr="0055051B">
        <w:rPr>
          <w:rFonts w:ascii="Arial" w:hAnsi="Arial" w:cs="Arial"/>
          <w:sz w:val="20"/>
          <w:szCs w:val="20"/>
        </w:rPr>
        <w:t xml:space="preserve"> </w:t>
      </w:r>
      <w:r w:rsidR="0014175B" w:rsidRPr="0055051B">
        <w:rPr>
          <w:rFonts w:ascii="Arial" w:hAnsi="Arial" w:cs="Arial"/>
          <w:sz w:val="20"/>
          <w:szCs w:val="20"/>
        </w:rPr>
        <w:t xml:space="preserve">rôznych podujatí RO a SAŽP počas celého programového obdobia 2007 – 2013 </w:t>
      </w:r>
      <w:r w:rsidRPr="0055051B">
        <w:rPr>
          <w:rFonts w:ascii="Arial" w:hAnsi="Arial" w:cs="Arial"/>
          <w:sz w:val="20"/>
          <w:szCs w:val="20"/>
        </w:rPr>
        <w:t>posilnil</w:t>
      </w:r>
      <w:r>
        <w:rPr>
          <w:rFonts w:ascii="Arial" w:hAnsi="Arial" w:cs="Arial"/>
          <w:sz w:val="20"/>
          <w:szCs w:val="20"/>
        </w:rPr>
        <w:t>o</w:t>
      </w:r>
      <w:r w:rsidRPr="0055051B">
        <w:rPr>
          <w:rFonts w:ascii="Arial" w:hAnsi="Arial" w:cs="Arial"/>
          <w:sz w:val="20"/>
          <w:szCs w:val="20"/>
        </w:rPr>
        <w:t xml:space="preserve"> </w:t>
      </w:r>
      <w:r w:rsidR="0014175B" w:rsidRPr="0055051B">
        <w:rPr>
          <w:rFonts w:ascii="Arial" w:hAnsi="Arial" w:cs="Arial"/>
          <w:sz w:val="20"/>
          <w:szCs w:val="20"/>
        </w:rPr>
        <w:t>informovan</w:t>
      </w:r>
      <w:r>
        <w:rPr>
          <w:rFonts w:ascii="Arial" w:hAnsi="Arial" w:cs="Arial"/>
          <w:sz w:val="20"/>
          <w:szCs w:val="20"/>
        </w:rPr>
        <w:t>ie</w:t>
      </w:r>
      <w:r w:rsidR="009D4B16">
        <w:rPr>
          <w:rFonts w:ascii="Arial" w:hAnsi="Arial" w:cs="Arial"/>
          <w:sz w:val="20"/>
          <w:szCs w:val="20"/>
        </w:rPr>
        <w:t xml:space="preserve"> </w:t>
      </w:r>
      <w:r>
        <w:rPr>
          <w:rFonts w:ascii="Arial" w:hAnsi="Arial" w:cs="Arial"/>
          <w:sz w:val="20"/>
          <w:szCs w:val="20"/>
        </w:rPr>
        <w:t xml:space="preserve">verejnosti </w:t>
      </w:r>
      <w:r w:rsidR="009D4B16" w:rsidRPr="0055051B">
        <w:rPr>
          <w:rFonts w:ascii="Arial" w:hAnsi="Arial" w:cs="Arial"/>
          <w:sz w:val="20"/>
          <w:szCs w:val="20"/>
        </w:rPr>
        <w:t>o možnostiach a podmienkach zís</w:t>
      </w:r>
      <w:r>
        <w:rPr>
          <w:rFonts w:ascii="Arial" w:hAnsi="Arial" w:cs="Arial"/>
          <w:sz w:val="20"/>
          <w:szCs w:val="20"/>
        </w:rPr>
        <w:t xml:space="preserve">kania NFP prostredníctvom OP ŽP a napomohlo tak k zvýšeniu </w:t>
      </w:r>
      <w:r w:rsidR="009D4B16" w:rsidRPr="0055051B">
        <w:rPr>
          <w:rFonts w:ascii="Arial" w:hAnsi="Arial" w:cs="Arial"/>
          <w:sz w:val="20"/>
          <w:szCs w:val="20"/>
        </w:rPr>
        <w:t>kvalit</w:t>
      </w:r>
      <w:r w:rsidR="00C90CF5">
        <w:rPr>
          <w:rFonts w:ascii="Arial" w:hAnsi="Arial" w:cs="Arial"/>
          <w:sz w:val="20"/>
          <w:szCs w:val="20"/>
        </w:rPr>
        <w:t>y</w:t>
      </w:r>
      <w:r w:rsidR="009D4B16" w:rsidRPr="0055051B">
        <w:rPr>
          <w:rFonts w:ascii="Arial" w:hAnsi="Arial" w:cs="Arial"/>
          <w:sz w:val="20"/>
          <w:szCs w:val="20"/>
        </w:rPr>
        <w:t xml:space="preserve"> pri príprave a realizácii environmentálnych projektov</w:t>
      </w:r>
      <w:r>
        <w:rPr>
          <w:rFonts w:ascii="Arial" w:hAnsi="Arial" w:cs="Arial"/>
          <w:sz w:val="20"/>
          <w:szCs w:val="20"/>
        </w:rPr>
        <w:t>.</w:t>
      </w:r>
    </w:p>
    <w:p w14:paraId="3CBD1119" w14:textId="77777777" w:rsidR="0033246F" w:rsidRDefault="0033246F" w:rsidP="009D4B16">
      <w:pPr>
        <w:jc w:val="both"/>
        <w:rPr>
          <w:rFonts w:ascii="Arial" w:hAnsi="Arial" w:cs="Arial"/>
          <w:sz w:val="20"/>
          <w:szCs w:val="20"/>
        </w:rPr>
      </w:pPr>
    </w:p>
    <w:p w14:paraId="448C2066" w14:textId="3ABF932C" w:rsidR="005B02BA" w:rsidRDefault="0033246F" w:rsidP="009D4B16">
      <w:pPr>
        <w:jc w:val="both"/>
        <w:rPr>
          <w:rFonts w:ascii="Arial" w:hAnsi="Arial" w:cs="Arial"/>
          <w:sz w:val="20"/>
          <w:szCs w:val="20"/>
        </w:rPr>
      </w:pPr>
      <w:r>
        <w:rPr>
          <w:rFonts w:ascii="Arial" w:hAnsi="Arial" w:cs="Arial"/>
          <w:sz w:val="20"/>
          <w:szCs w:val="20"/>
        </w:rPr>
        <w:t xml:space="preserve">Spolu bolo zrealizovaných 24 konferencií a viac ako </w:t>
      </w:r>
      <w:r w:rsidR="005B02BA">
        <w:rPr>
          <w:rFonts w:ascii="Arial" w:hAnsi="Arial" w:cs="Arial"/>
          <w:sz w:val="20"/>
          <w:szCs w:val="20"/>
        </w:rPr>
        <w:t>956</w:t>
      </w:r>
      <w:r>
        <w:rPr>
          <w:rFonts w:ascii="Arial" w:hAnsi="Arial" w:cs="Arial"/>
          <w:sz w:val="20"/>
          <w:szCs w:val="20"/>
        </w:rPr>
        <w:t xml:space="preserve"> </w:t>
      </w:r>
      <w:r w:rsidR="005B02BA" w:rsidRPr="0055051B">
        <w:rPr>
          <w:rFonts w:ascii="Arial" w:hAnsi="Arial" w:cs="Arial"/>
          <w:sz w:val="20"/>
          <w:szCs w:val="20"/>
        </w:rPr>
        <w:t>workshopov, informačných seminárov, informačno-konzultačných dní či pracovných stretnutí</w:t>
      </w:r>
      <w:r>
        <w:rPr>
          <w:rFonts w:ascii="Arial" w:hAnsi="Arial" w:cs="Arial"/>
          <w:sz w:val="20"/>
          <w:szCs w:val="20"/>
        </w:rPr>
        <w:t xml:space="preserve">. </w:t>
      </w:r>
    </w:p>
    <w:p w14:paraId="4E98D56E" w14:textId="77777777" w:rsidR="005B02BA" w:rsidRDefault="005B02BA" w:rsidP="009D4B16">
      <w:pPr>
        <w:jc w:val="both"/>
        <w:rPr>
          <w:rFonts w:ascii="Arial" w:hAnsi="Arial" w:cs="Arial"/>
          <w:sz w:val="20"/>
          <w:szCs w:val="20"/>
        </w:rPr>
      </w:pPr>
    </w:p>
    <w:p w14:paraId="711EB1FC" w14:textId="393AEF87" w:rsidR="0033246F" w:rsidRPr="0055051B" w:rsidRDefault="0033246F" w:rsidP="009D4B16">
      <w:pPr>
        <w:jc w:val="both"/>
        <w:rPr>
          <w:rFonts w:ascii="Arial" w:hAnsi="Arial" w:cs="Arial"/>
          <w:sz w:val="20"/>
          <w:szCs w:val="20"/>
        </w:rPr>
      </w:pPr>
      <w:r w:rsidRPr="0055051B">
        <w:rPr>
          <w:rFonts w:ascii="Arial" w:hAnsi="Arial" w:cs="Arial"/>
          <w:b/>
          <w:color w:val="000000"/>
          <w:sz w:val="20"/>
          <w:szCs w:val="20"/>
        </w:rPr>
        <w:t xml:space="preserve">Slávnostné ukončenie Operačného programu Životné prostredie </w:t>
      </w:r>
      <w:r w:rsidRPr="0055051B">
        <w:rPr>
          <w:rFonts w:ascii="Arial" w:hAnsi="Arial" w:cs="Arial"/>
          <w:color w:val="000000"/>
          <w:sz w:val="20"/>
          <w:szCs w:val="20"/>
        </w:rPr>
        <w:t>sa uskutočnilo dňa 15.</w:t>
      </w:r>
      <w:r w:rsidR="00F80FE1">
        <w:rPr>
          <w:rFonts w:ascii="Arial" w:hAnsi="Arial" w:cs="Arial"/>
          <w:color w:val="000000"/>
          <w:sz w:val="20"/>
          <w:szCs w:val="20"/>
        </w:rPr>
        <w:t xml:space="preserve"> </w:t>
      </w:r>
      <w:r w:rsidRPr="0055051B">
        <w:rPr>
          <w:rFonts w:ascii="Arial" w:hAnsi="Arial" w:cs="Arial"/>
          <w:color w:val="000000"/>
          <w:sz w:val="20"/>
          <w:szCs w:val="20"/>
        </w:rPr>
        <w:t>12.</w:t>
      </w:r>
      <w:r w:rsidR="00F80FE1">
        <w:rPr>
          <w:rFonts w:ascii="Arial" w:hAnsi="Arial" w:cs="Arial"/>
          <w:color w:val="000000"/>
          <w:sz w:val="20"/>
          <w:szCs w:val="20"/>
        </w:rPr>
        <w:t xml:space="preserve"> </w:t>
      </w:r>
      <w:r w:rsidRPr="0055051B">
        <w:rPr>
          <w:rFonts w:ascii="Arial" w:hAnsi="Arial" w:cs="Arial"/>
          <w:color w:val="000000"/>
          <w:sz w:val="20"/>
          <w:szCs w:val="20"/>
        </w:rPr>
        <w:t xml:space="preserve">2015 v Bratislave. </w:t>
      </w:r>
      <w:r w:rsidRPr="0055051B">
        <w:rPr>
          <w:rFonts w:ascii="Arial" w:hAnsi="Arial" w:cs="Arial"/>
          <w:sz w:val="20"/>
          <w:szCs w:val="20"/>
        </w:rPr>
        <w:t>Účastníkmi podujatia boli úspešní prijímatelia NFP - zástupcovia obcí a miest, odborných inštitúcií, súkromného sektora, mimovládnych organizácií. Pre pozvaných hostí bola pripravená výstava úspešných projektov OP ŽP, ako aj prezentácia relácií Zelená pre Slovensko. Podujatie sa uskutočnilo za účasti zástupcu EK a štátneho tajomníka MŽP SR.</w:t>
      </w:r>
    </w:p>
    <w:p w14:paraId="17D2A059" w14:textId="77777777" w:rsidR="0014175B" w:rsidRPr="0055051B" w:rsidRDefault="0014175B" w:rsidP="0014175B">
      <w:pPr>
        <w:rPr>
          <w:rFonts w:ascii="Arial" w:hAnsi="Arial" w:cs="Arial"/>
          <w:i/>
          <w:sz w:val="20"/>
          <w:szCs w:val="20"/>
        </w:rPr>
      </w:pPr>
    </w:p>
    <w:p w14:paraId="065E2B3C" w14:textId="77777777" w:rsidR="0014175B" w:rsidRPr="0055051B" w:rsidRDefault="0014175B" w:rsidP="0014175B">
      <w:pPr>
        <w:rPr>
          <w:rFonts w:ascii="Arial" w:hAnsi="Arial" w:cs="Arial"/>
          <w:b/>
          <w:i/>
          <w:sz w:val="20"/>
          <w:szCs w:val="20"/>
        </w:rPr>
      </w:pPr>
      <w:r w:rsidRPr="0055051B">
        <w:rPr>
          <w:rFonts w:ascii="Arial" w:hAnsi="Arial" w:cs="Arial"/>
          <w:b/>
          <w:i/>
          <w:sz w:val="20"/>
          <w:szCs w:val="20"/>
        </w:rPr>
        <w:t xml:space="preserve">Ďalšie informačné podujatia </w:t>
      </w:r>
    </w:p>
    <w:p w14:paraId="6423386B" w14:textId="77777777" w:rsidR="005B02BA" w:rsidRDefault="005B02BA" w:rsidP="0014175B">
      <w:pPr>
        <w:jc w:val="both"/>
        <w:rPr>
          <w:rFonts w:ascii="Arial" w:hAnsi="Arial" w:cs="Arial"/>
          <w:bCs/>
          <w:sz w:val="20"/>
          <w:szCs w:val="20"/>
        </w:rPr>
      </w:pPr>
    </w:p>
    <w:p w14:paraId="65AD5969" w14:textId="77777777" w:rsidR="0014175B" w:rsidRPr="0055051B" w:rsidRDefault="0014175B" w:rsidP="0014175B">
      <w:pPr>
        <w:jc w:val="both"/>
        <w:rPr>
          <w:rFonts w:ascii="Arial" w:hAnsi="Arial" w:cs="Arial"/>
          <w:sz w:val="20"/>
          <w:szCs w:val="20"/>
        </w:rPr>
      </w:pPr>
      <w:r w:rsidRPr="0055051B">
        <w:rPr>
          <w:rFonts w:ascii="Arial" w:hAnsi="Arial" w:cs="Arial"/>
          <w:bCs/>
          <w:sz w:val="20"/>
          <w:szCs w:val="20"/>
        </w:rPr>
        <w:t xml:space="preserve">Účasť na výstavách bola organizovaná s cieľom sprostredkovať relevantné informácie o finančnej podpore EÚ a OP ŽP laickej a odbornej verejnosti. </w:t>
      </w:r>
      <w:r w:rsidRPr="0055051B">
        <w:rPr>
          <w:rFonts w:ascii="Arial" w:hAnsi="Arial" w:cs="Arial"/>
          <w:sz w:val="20"/>
          <w:szCs w:val="20"/>
        </w:rPr>
        <w:t xml:space="preserve">V rámci výstav boli pri prezentačných stánkoch poskytované informácie o možnostiach, ktoré poskytuje EÚ prostredníctvom OP ŽP, ako aj organizované workshopy pre verejnosť za účelom vysvetlenia procesu prípravy a predkladania žiadostí o NFP. </w:t>
      </w:r>
    </w:p>
    <w:p w14:paraId="06FD4A42" w14:textId="77777777" w:rsidR="005B02BA" w:rsidRDefault="005B02BA" w:rsidP="0014175B">
      <w:pPr>
        <w:pStyle w:val="Default"/>
        <w:rPr>
          <w:rFonts w:ascii="Arial" w:hAnsi="Arial" w:cs="Arial"/>
          <w:sz w:val="20"/>
          <w:szCs w:val="20"/>
          <w:u w:val="single"/>
        </w:rPr>
      </w:pPr>
    </w:p>
    <w:p w14:paraId="6EF4B87E" w14:textId="34C1E183" w:rsidR="0014175B" w:rsidRPr="0055051B" w:rsidRDefault="0014175B" w:rsidP="0014175B">
      <w:pPr>
        <w:pStyle w:val="Default"/>
        <w:rPr>
          <w:rFonts w:ascii="Arial" w:hAnsi="Arial" w:cs="Arial"/>
          <w:bCs/>
          <w:color w:val="auto"/>
          <w:sz w:val="20"/>
          <w:szCs w:val="20"/>
        </w:rPr>
      </w:pPr>
      <w:r w:rsidRPr="0055051B">
        <w:rPr>
          <w:rFonts w:ascii="Arial" w:hAnsi="Arial" w:cs="Arial"/>
          <w:sz w:val="20"/>
          <w:szCs w:val="20"/>
          <w:u w:val="single"/>
        </w:rPr>
        <w:t>Výstavy</w:t>
      </w:r>
      <w:r w:rsidRPr="0055051B">
        <w:rPr>
          <w:rFonts w:ascii="Arial" w:hAnsi="Arial" w:cs="Arial"/>
          <w:sz w:val="20"/>
          <w:szCs w:val="20"/>
        </w:rPr>
        <w:br/>
      </w:r>
      <w:r w:rsidRPr="0055051B">
        <w:rPr>
          <w:rFonts w:ascii="Arial" w:hAnsi="Arial" w:cs="Arial"/>
          <w:bCs/>
          <w:color w:val="auto"/>
          <w:sz w:val="20"/>
          <w:szCs w:val="20"/>
        </w:rPr>
        <w:t>RO v spolupráci s SAŽP aktívne prezentovali OP ŽP na mnohých výstavách a festivalo</w:t>
      </w:r>
      <w:r w:rsidR="00C90CF5">
        <w:rPr>
          <w:rFonts w:ascii="Arial" w:hAnsi="Arial" w:cs="Arial"/>
          <w:bCs/>
          <w:color w:val="auto"/>
          <w:sz w:val="20"/>
          <w:szCs w:val="20"/>
        </w:rPr>
        <w:t>ch</w:t>
      </w:r>
      <w:r w:rsidRPr="0055051B">
        <w:rPr>
          <w:rFonts w:ascii="Arial" w:hAnsi="Arial" w:cs="Arial"/>
          <w:bCs/>
          <w:color w:val="auto"/>
          <w:sz w:val="20"/>
          <w:szCs w:val="20"/>
        </w:rPr>
        <w:t xml:space="preserve">. </w:t>
      </w:r>
    </w:p>
    <w:p w14:paraId="41663B57" w14:textId="77777777" w:rsidR="005B02BA" w:rsidRDefault="005B02BA" w:rsidP="0014175B">
      <w:pPr>
        <w:pStyle w:val="Default"/>
        <w:rPr>
          <w:rFonts w:ascii="Arial" w:hAnsi="Arial" w:cs="Arial"/>
          <w:bCs/>
          <w:i/>
          <w:color w:val="auto"/>
          <w:sz w:val="20"/>
          <w:szCs w:val="20"/>
          <w:u w:val="single"/>
        </w:rPr>
      </w:pPr>
    </w:p>
    <w:p w14:paraId="3D56B5B5" w14:textId="77777777" w:rsidR="0014175B" w:rsidRPr="0055051B" w:rsidRDefault="0014175B" w:rsidP="0014175B">
      <w:pPr>
        <w:pStyle w:val="Default"/>
        <w:rPr>
          <w:rFonts w:ascii="Arial" w:hAnsi="Arial" w:cs="Arial"/>
          <w:bCs/>
          <w:i/>
          <w:color w:val="auto"/>
          <w:sz w:val="20"/>
          <w:szCs w:val="20"/>
          <w:u w:val="single"/>
        </w:rPr>
      </w:pPr>
      <w:r w:rsidRPr="0055051B">
        <w:rPr>
          <w:rFonts w:ascii="Arial" w:hAnsi="Arial" w:cs="Arial"/>
          <w:bCs/>
          <w:i/>
          <w:color w:val="auto"/>
          <w:sz w:val="20"/>
          <w:szCs w:val="20"/>
          <w:u w:val="single"/>
        </w:rPr>
        <w:t xml:space="preserve">Výber podujatí:  </w:t>
      </w:r>
    </w:p>
    <w:p w14:paraId="4285A504" w14:textId="77777777" w:rsidR="0014175B" w:rsidRPr="0055051B" w:rsidRDefault="0014175B" w:rsidP="0014175B">
      <w:pPr>
        <w:pStyle w:val="Default"/>
        <w:rPr>
          <w:rFonts w:ascii="Arial" w:hAnsi="Arial" w:cs="Arial"/>
          <w:sz w:val="20"/>
          <w:szCs w:val="20"/>
        </w:rPr>
      </w:pPr>
      <w:r w:rsidRPr="0055051B">
        <w:rPr>
          <w:rFonts w:ascii="Arial" w:hAnsi="Arial" w:cs="Arial"/>
          <w:bCs/>
          <w:color w:val="auto"/>
          <w:sz w:val="20"/>
          <w:szCs w:val="20"/>
        </w:rPr>
        <w:t xml:space="preserve">Deň otvorených dverí MŽP SR, CONECO Bratislava, PRO EKO Banská Bystrica, Agrokomplex Nitra, AQUA Trenčín, ELOSYS Trenčín, PRO EKO Banská Bystrica, Svetový deň vody v Banskej Bystrici, </w:t>
      </w:r>
    </w:p>
    <w:p w14:paraId="1C185024" w14:textId="77777777" w:rsidR="0014175B" w:rsidRPr="0055051B" w:rsidRDefault="0014175B" w:rsidP="0014175B">
      <w:pPr>
        <w:pStyle w:val="Default"/>
        <w:rPr>
          <w:rFonts w:ascii="Arial" w:hAnsi="Arial" w:cs="Arial"/>
          <w:sz w:val="20"/>
          <w:szCs w:val="20"/>
        </w:rPr>
      </w:pPr>
      <w:r w:rsidRPr="0055051B">
        <w:rPr>
          <w:rFonts w:ascii="Arial" w:hAnsi="Arial" w:cs="Arial"/>
          <w:sz w:val="20"/>
          <w:szCs w:val="20"/>
        </w:rPr>
        <w:t>ENVIROFILM-EKOTOPFILM v Bratislave, Banskej Bystrici a Košiciach.</w:t>
      </w:r>
    </w:p>
    <w:p w14:paraId="4351823F" w14:textId="77777777" w:rsidR="005B02BA" w:rsidRDefault="005B02BA" w:rsidP="0014175B">
      <w:pPr>
        <w:jc w:val="both"/>
        <w:rPr>
          <w:rFonts w:ascii="Arial" w:hAnsi="Arial" w:cs="Arial"/>
          <w:b/>
          <w:sz w:val="20"/>
          <w:szCs w:val="20"/>
        </w:rPr>
      </w:pPr>
    </w:p>
    <w:p w14:paraId="45DADA05" w14:textId="77777777" w:rsidR="0014175B" w:rsidRDefault="0014175B" w:rsidP="0014175B">
      <w:pPr>
        <w:jc w:val="both"/>
        <w:rPr>
          <w:rFonts w:ascii="Arial" w:hAnsi="Arial" w:cs="Arial"/>
          <w:b/>
          <w:sz w:val="20"/>
          <w:szCs w:val="20"/>
        </w:rPr>
      </w:pPr>
      <w:r w:rsidRPr="0055051B">
        <w:rPr>
          <w:rFonts w:ascii="Arial" w:hAnsi="Arial" w:cs="Arial"/>
          <w:b/>
          <w:sz w:val="20"/>
          <w:szCs w:val="20"/>
        </w:rPr>
        <w:t>Mediálne aktivity</w:t>
      </w:r>
    </w:p>
    <w:p w14:paraId="79F372F5" w14:textId="0CF525DA" w:rsidR="005B02BA" w:rsidRDefault="005B02BA" w:rsidP="0014175B">
      <w:pPr>
        <w:jc w:val="both"/>
        <w:rPr>
          <w:rFonts w:ascii="Arial" w:hAnsi="Arial" w:cs="Arial"/>
          <w:sz w:val="20"/>
          <w:szCs w:val="20"/>
        </w:rPr>
      </w:pPr>
      <w:r w:rsidRPr="00590529">
        <w:rPr>
          <w:rFonts w:ascii="Arial" w:hAnsi="Arial" w:cs="Arial"/>
          <w:sz w:val="20"/>
          <w:szCs w:val="20"/>
        </w:rPr>
        <w:t>RO realizoval viacero mediálnych kampaní</w:t>
      </w:r>
      <w:r w:rsidRPr="005B02BA">
        <w:rPr>
          <w:rFonts w:ascii="Arial" w:hAnsi="Arial" w:cs="Arial"/>
          <w:sz w:val="20"/>
          <w:szCs w:val="20"/>
        </w:rPr>
        <w:t>, ktorými priebežne informoval širokú verejnosť</w:t>
      </w:r>
      <w:r w:rsidR="003A4354">
        <w:rPr>
          <w:rFonts w:ascii="Arial" w:hAnsi="Arial" w:cs="Arial"/>
          <w:sz w:val="20"/>
          <w:szCs w:val="20"/>
        </w:rPr>
        <w:t>,</w:t>
      </w:r>
      <w:r w:rsidRPr="005B02BA">
        <w:rPr>
          <w:rFonts w:ascii="Arial" w:hAnsi="Arial" w:cs="Arial"/>
          <w:sz w:val="20"/>
          <w:szCs w:val="20"/>
        </w:rPr>
        <w:t xml:space="preserve"> </w:t>
      </w:r>
      <w:r>
        <w:rPr>
          <w:rFonts w:ascii="Arial" w:hAnsi="Arial" w:cs="Arial"/>
          <w:sz w:val="20"/>
          <w:szCs w:val="20"/>
        </w:rPr>
        <w:t xml:space="preserve">či už o možnostiach </w:t>
      </w:r>
      <w:r w:rsidR="0055787B" w:rsidRPr="0055051B">
        <w:rPr>
          <w:rFonts w:ascii="Arial" w:hAnsi="Arial" w:cs="Arial"/>
          <w:sz w:val="20"/>
          <w:szCs w:val="20"/>
        </w:rPr>
        <w:t>spolufinancovania environmentálnych projektov z fondov EÚ</w:t>
      </w:r>
      <w:r w:rsidR="0055787B">
        <w:rPr>
          <w:rFonts w:ascii="Arial" w:hAnsi="Arial" w:cs="Arial"/>
          <w:sz w:val="20"/>
          <w:szCs w:val="20"/>
        </w:rPr>
        <w:t xml:space="preserve"> v úvodnej informačnej kampani v roku 2007</w:t>
      </w:r>
      <w:r w:rsidR="003A4354">
        <w:rPr>
          <w:rFonts w:ascii="Arial" w:hAnsi="Arial" w:cs="Arial"/>
          <w:sz w:val="20"/>
          <w:szCs w:val="20"/>
        </w:rPr>
        <w:t>,</w:t>
      </w:r>
      <w:r w:rsidR="0055787B">
        <w:rPr>
          <w:rFonts w:ascii="Arial" w:hAnsi="Arial" w:cs="Arial"/>
          <w:sz w:val="20"/>
          <w:szCs w:val="20"/>
        </w:rPr>
        <w:t xml:space="preserve"> alebo</w:t>
      </w:r>
      <w:r w:rsidR="0055787B" w:rsidRPr="0055051B">
        <w:rPr>
          <w:rFonts w:ascii="Arial" w:hAnsi="Arial" w:cs="Arial"/>
          <w:sz w:val="20"/>
          <w:szCs w:val="20"/>
        </w:rPr>
        <w:t xml:space="preserve"> o aktuálne vyhlásených výzvach, školeniach a</w:t>
      </w:r>
      <w:r w:rsidR="0055787B">
        <w:rPr>
          <w:rFonts w:ascii="Arial" w:hAnsi="Arial" w:cs="Arial"/>
          <w:sz w:val="20"/>
          <w:szCs w:val="20"/>
        </w:rPr>
        <w:t xml:space="preserve"> stav</w:t>
      </w:r>
      <w:r w:rsidR="00C90CF5">
        <w:rPr>
          <w:rFonts w:ascii="Arial" w:hAnsi="Arial" w:cs="Arial"/>
          <w:sz w:val="20"/>
          <w:szCs w:val="20"/>
        </w:rPr>
        <w:t>e</w:t>
      </w:r>
      <w:r w:rsidR="0055787B" w:rsidRPr="0055051B">
        <w:rPr>
          <w:rFonts w:ascii="Arial" w:hAnsi="Arial" w:cs="Arial"/>
          <w:sz w:val="20"/>
          <w:szCs w:val="20"/>
        </w:rPr>
        <w:t> implementáci</w:t>
      </w:r>
      <w:r w:rsidR="0055787B">
        <w:rPr>
          <w:rFonts w:ascii="Arial" w:hAnsi="Arial" w:cs="Arial"/>
          <w:sz w:val="20"/>
          <w:szCs w:val="20"/>
        </w:rPr>
        <w:t>e</w:t>
      </w:r>
      <w:r w:rsidR="0055787B" w:rsidRPr="0055051B">
        <w:rPr>
          <w:rFonts w:ascii="Arial" w:hAnsi="Arial" w:cs="Arial"/>
          <w:sz w:val="20"/>
          <w:szCs w:val="20"/>
        </w:rPr>
        <w:t xml:space="preserve"> OP</w:t>
      </w:r>
      <w:r w:rsidR="0055787B">
        <w:rPr>
          <w:rFonts w:ascii="Arial" w:hAnsi="Arial" w:cs="Arial"/>
          <w:sz w:val="20"/>
          <w:szCs w:val="20"/>
        </w:rPr>
        <w:t xml:space="preserve"> v priebežných informačných kampaniach v rokoch 2008 až 2014. </w:t>
      </w:r>
    </w:p>
    <w:p w14:paraId="44F31457" w14:textId="77777777" w:rsidR="0055787B" w:rsidRDefault="0055787B" w:rsidP="0014175B">
      <w:pPr>
        <w:jc w:val="both"/>
        <w:rPr>
          <w:rFonts w:ascii="Arial" w:hAnsi="Arial" w:cs="Arial"/>
          <w:sz w:val="20"/>
          <w:szCs w:val="20"/>
        </w:rPr>
      </w:pPr>
    </w:p>
    <w:p w14:paraId="6B65312D" w14:textId="213B66D8" w:rsidR="0055787B" w:rsidRDefault="0055787B" w:rsidP="0014175B">
      <w:pPr>
        <w:jc w:val="both"/>
        <w:rPr>
          <w:rFonts w:ascii="Arial" w:hAnsi="Arial" w:cs="Arial"/>
          <w:sz w:val="20"/>
          <w:szCs w:val="20"/>
        </w:rPr>
      </w:pPr>
      <w:r>
        <w:rPr>
          <w:rFonts w:ascii="Arial" w:hAnsi="Arial" w:cs="Arial"/>
          <w:sz w:val="20"/>
          <w:szCs w:val="20"/>
        </w:rPr>
        <w:t>Za účelom oslovenia</w:t>
      </w:r>
      <w:r w:rsidR="003A4354">
        <w:rPr>
          <w:rFonts w:ascii="Arial" w:hAnsi="Arial" w:cs="Arial"/>
          <w:sz w:val="20"/>
          <w:szCs w:val="20"/>
        </w:rPr>
        <w:t>,</w:t>
      </w:r>
      <w:r>
        <w:rPr>
          <w:rFonts w:ascii="Arial" w:hAnsi="Arial" w:cs="Arial"/>
          <w:sz w:val="20"/>
          <w:szCs w:val="20"/>
        </w:rPr>
        <w:t xml:space="preserve"> čo najširšej skupiny občanov</w:t>
      </w:r>
      <w:r w:rsidR="003A4354">
        <w:rPr>
          <w:rFonts w:ascii="Arial" w:hAnsi="Arial" w:cs="Arial"/>
          <w:sz w:val="20"/>
          <w:szCs w:val="20"/>
        </w:rPr>
        <w:t>,</w:t>
      </w:r>
      <w:r>
        <w:rPr>
          <w:rFonts w:ascii="Arial" w:hAnsi="Arial" w:cs="Arial"/>
          <w:sz w:val="20"/>
          <w:szCs w:val="20"/>
        </w:rPr>
        <w:t xml:space="preserve"> bol použitý mediálny mix, ktorý v sebe zahŕňal printové média, rozhlas, televíziu a bannery </w:t>
      </w:r>
      <w:r w:rsidRPr="0055051B">
        <w:rPr>
          <w:rFonts w:ascii="Arial" w:hAnsi="Arial" w:cs="Arial"/>
          <w:bCs/>
          <w:sz w:val="20"/>
          <w:szCs w:val="20"/>
        </w:rPr>
        <w:t xml:space="preserve">dlhodobo </w:t>
      </w:r>
      <w:r w:rsidRPr="0055051B">
        <w:rPr>
          <w:rFonts w:ascii="Arial" w:hAnsi="Arial" w:cs="Arial"/>
          <w:sz w:val="20"/>
          <w:szCs w:val="20"/>
        </w:rPr>
        <w:t>umiestnené na verejných a inštitucionálnych stránkach</w:t>
      </w:r>
      <w:r>
        <w:rPr>
          <w:rFonts w:ascii="Arial" w:hAnsi="Arial" w:cs="Arial"/>
          <w:sz w:val="20"/>
          <w:szCs w:val="20"/>
        </w:rPr>
        <w:t>.</w:t>
      </w:r>
    </w:p>
    <w:p w14:paraId="76599545" w14:textId="77777777" w:rsidR="0055787B" w:rsidRDefault="0055787B" w:rsidP="0014175B">
      <w:pPr>
        <w:jc w:val="both"/>
        <w:rPr>
          <w:rFonts w:ascii="Arial" w:hAnsi="Arial" w:cs="Arial"/>
          <w:sz w:val="20"/>
          <w:szCs w:val="20"/>
        </w:rPr>
      </w:pPr>
    </w:p>
    <w:p w14:paraId="3F8B83F0" w14:textId="77777777" w:rsidR="0014175B" w:rsidRPr="00590529" w:rsidRDefault="0014175B" w:rsidP="00590529">
      <w:pPr>
        <w:jc w:val="both"/>
        <w:rPr>
          <w:rFonts w:ascii="Arial" w:hAnsi="Arial" w:cs="Arial"/>
          <w:sz w:val="20"/>
          <w:szCs w:val="20"/>
        </w:rPr>
      </w:pPr>
      <w:r w:rsidRPr="00590529">
        <w:rPr>
          <w:rFonts w:ascii="Arial" w:hAnsi="Arial" w:cs="Arial"/>
          <w:sz w:val="20"/>
          <w:szCs w:val="20"/>
        </w:rPr>
        <w:t>Záverečná mediálna kampaň v roku 2015</w:t>
      </w:r>
      <w:r w:rsidRPr="00590529">
        <w:rPr>
          <w:rFonts w:ascii="Arial" w:hAnsi="Arial" w:cs="Arial"/>
          <w:b/>
          <w:sz w:val="20"/>
          <w:szCs w:val="20"/>
        </w:rPr>
        <w:t xml:space="preserve"> </w:t>
      </w:r>
      <w:r w:rsidRPr="00590529">
        <w:rPr>
          <w:rFonts w:ascii="Arial" w:hAnsi="Arial" w:cs="Arial"/>
          <w:sz w:val="20"/>
          <w:szCs w:val="20"/>
        </w:rPr>
        <w:t>informovala širokú verejnosť o dosiahnutých výsledkoch v rámci úspešných projektov a OP.</w:t>
      </w:r>
      <w:r w:rsidRPr="00590529">
        <w:rPr>
          <w:rFonts w:ascii="Arial" w:hAnsi="Arial" w:cs="Arial"/>
          <w:b/>
          <w:sz w:val="20"/>
          <w:szCs w:val="20"/>
        </w:rPr>
        <w:t xml:space="preserve"> </w:t>
      </w:r>
      <w:r w:rsidRPr="00590529">
        <w:rPr>
          <w:rFonts w:ascii="Arial" w:hAnsi="Arial" w:cs="Arial"/>
          <w:sz w:val="20"/>
          <w:szCs w:val="20"/>
        </w:rPr>
        <w:t>Záverečná informačná mediálna kampaň prebiehala v TV, rozhlase a v printových médiách vo forme TV spotov a relácií, rozhlasových spotov a inzercií.</w:t>
      </w:r>
    </w:p>
    <w:p w14:paraId="6A3AA89C" w14:textId="77777777" w:rsidR="005B02BA" w:rsidRDefault="005B02BA" w:rsidP="00590529">
      <w:pPr>
        <w:jc w:val="both"/>
        <w:rPr>
          <w:rFonts w:ascii="Arial" w:hAnsi="Arial" w:cs="Arial"/>
          <w:sz w:val="20"/>
          <w:szCs w:val="20"/>
        </w:rPr>
      </w:pPr>
    </w:p>
    <w:p w14:paraId="66516E8B" w14:textId="78E27C5A" w:rsidR="0014175B" w:rsidRPr="00590529" w:rsidRDefault="0014175B" w:rsidP="00590529">
      <w:pPr>
        <w:jc w:val="both"/>
        <w:rPr>
          <w:rFonts w:ascii="Arial" w:hAnsi="Arial" w:cs="Arial"/>
          <w:sz w:val="20"/>
          <w:szCs w:val="20"/>
        </w:rPr>
      </w:pPr>
      <w:r w:rsidRPr="00590529">
        <w:rPr>
          <w:rFonts w:ascii="Arial" w:hAnsi="Arial" w:cs="Arial"/>
          <w:b/>
          <w:sz w:val="20"/>
          <w:szCs w:val="20"/>
        </w:rPr>
        <w:t>1.</w:t>
      </w:r>
      <w:r w:rsidRPr="00590529">
        <w:rPr>
          <w:rFonts w:ascii="Arial" w:hAnsi="Arial" w:cs="Arial"/>
          <w:sz w:val="20"/>
          <w:szCs w:val="20"/>
        </w:rPr>
        <w:t xml:space="preserve">Televízna kampaň pre OP ŽP 2015 prebiehala </w:t>
      </w:r>
      <w:r w:rsidRPr="00590529">
        <w:rPr>
          <w:rFonts w:ascii="Arial" w:hAnsi="Arial" w:cs="Arial"/>
          <w:bCs/>
          <w:sz w:val="20"/>
          <w:szCs w:val="20"/>
        </w:rPr>
        <w:t>vo forme 20 a 30 sek. spotov</w:t>
      </w:r>
      <w:r w:rsidRPr="00590529">
        <w:rPr>
          <w:rFonts w:ascii="Arial" w:hAnsi="Arial" w:cs="Arial"/>
          <w:sz w:val="20"/>
          <w:szCs w:val="20"/>
        </w:rPr>
        <w:t xml:space="preserve"> od augusta do decembra 2015 na televíznych staniciach štyroch spoločností: Slovenská produkčná, a.s. (TV JOJ, TV PLUS, TV WAW, TV JOJ CINEMA), MARKÍZA- SLOVAKIA, spol. s r.o. (Markíza, Doma, Dajto), MEDIA RTVS, s.r.o. (Jednotka),</w:t>
      </w:r>
      <w:r w:rsidR="003A4354">
        <w:rPr>
          <w:rFonts w:ascii="Arial" w:hAnsi="Arial" w:cs="Arial"/>
          <w:sz w:val="20"/>
          <w:szCs w:val="20"/>
        </w:rPr>
        <w:t xml:space="preserve"> </w:t>
      </w:r>
      <w:r w:rsidRPr="00590529">
        <w:rPr>
          <w:rFonts w:ascii="Arial" w:hAnsi="Arial" w:cs="Arial"/>
          <w:sz w:val="20"/>
          <w:szCs w:val="20"/>
        </w:rPr>
        <w:t>C.E.N. s.r.o. (TA3)</w:t>
      </w:r>
      <w:r w:rsidRPr="00590529">
        <w:rPr>
          <w:rFonts w:ascii="Arial" w:hAnsi="Arial" w:cs="Arial"/>
          <w:bCs/>
          <w:sz w:val="20"/>
          <w:szCs w:val="20"/>
        </w:rPr>
        <w:t xml:space="preserve">Súčasťou TV kampane bolo odvysielanie 15 relácií </w:t>
      </w:r>
      <w:r w:rsidRPr="00590529">
        <w:rPr>
          <w:rFonts w:ascii="Arial" w:hAnsi="Arial" w:cs="Arial"/>
          <w:b/>
          <w:sz w:val="20"/>
          <w:szCs w:val="20"/>
        </w:rPr>
        <w:t>Zelená pre Slovensko</w:t>
      </w:r>
      <w:r w:rsidRPr="00590529">
        <w:rPr>
          <w:rFonts w:ascii="Arial" w:hAnsi="Arial" w:cs="Arial"/>
          <w:bCs/>
          <w:sz w:val="20"/>
          <w:szCs w:val="20"/>
        </w:rPr>
        <w:t>, ktoré prezentovali príklady úspešných projektov v rámci OP ŽP.</w:t>
      </w:r>
    </w:p>
    <w:p w14:paraId="1D04DA69" w14:textId="77777777" w:rsidR="005B02BA" w:rsidRDefault="005B02BA" w:rsidP="00590529">
      <w:pPr>
        <w:jc w:val="both"/>
        <w:rPr>
          <w:rFonts w:ascii="Arial" w:hAnsi="Arial" w:cs="Arial"/>
          <w:b/>
          <w:sz w:val="20"/>
          <w:szCs w:val="20"/>
        </w:rPr>
      </w:pPr>
    </w:p>
    <w:p w14:paraId="1BC8B0D4" w14:textId="23C99377" w:rsidR="005B02BA" w:rsidRDefault="0014175B" w:rsidP="00590529">
      <w:pPr>
        <w:jc w:val="both"/>
        <w:rPr>
          <w:rFonts w:ascii="Arial" w:hAnsi="Arial" w:cs="Arial"/>
          <w:b/>
          <w:sz w:val="20"/>
          <w:szCs w:val="20"/>
        </w:rPr>
      </w:pPr>
      <w:r w:rsidRPr="00590529">
        <w:rPr>
          <w:rFonts w:ascii="Arial" w:hAnsi="Arial" w:cs="Arial"/>
          <w:b/>
          <w:sz w:val="20"/>
          <w:szCs w:val="20"/>
        </w:rPr>
        <w:t xml:space="preserve">2. </w:t>
      </w:r>
      <w:r w:rsidRPr="00590529">
        <w:rPr>
          <w:rFonts w:ascii="Arial" w:hAnsi="Arial" w:cs="Arial"/>
          <w:sz w:val="20"/>
          <w:szCs w:val="20"/>
        </w:rPr>
        <w:t xml:space="preserve">Rozhlasová kampaň </w:t>
      </w:r>
      <w:r w:rsidRPr="00590529">
        <w:rPr>
          <w:rFonts w:ascii="Arial" w:hAnsi="Arial" w:cs="Arial"/>
          <w:bCs/>
          <w:sz w:val="20"/>
          <w:szCs w:val="20"/>
        </w:rPr>
        <w:t>pre OP ŽP 2015 prebiehala vo forme 30 sek. spotov od septembra do decembra 2015 na rozhlasových staniciach  štyroch spoločností:</w:t>
      </w:r>
      <w:r w:rsidRPr="00590529">
        <w:rPr>
          <w:rFonts w:ascii="Arial" w:hAnsi="Arial" w:cs="Arial"/>
          <w:b/>
          <w:sz w:val="20"/>
          <w:szCs w:val="20"/>
        </w:rPr>
        <w:t xml:space="preserve"> </w:t>
      </w:r>
      <w:r w:rsidRPr="00590529">
        <w:rPr>
          <w:rFonts w:ascii="Arial" w:hAnsi="Arial" w:cs="Arial"/>
          <w:bCs/>
          <w:sz w:val="20"/>
          <w:szCs w:val="20"/>
        </w:rPr>
        <w:t>EXPRES MEDIA k.s. (Rádio Expres)</w:t>
      </w:r>
      <w:r w:rsidRPr="00590529">
        <w:rPr>
          <w:rFonts w:ascii="Arial" w:hAnsi="Arial" w:cs="Arial"/>
          <w:b/>
          <w:sz w:val="20"/>
          <w:szCs w:val="20"/>
        </w:rPr>
        <w:t xml:space="preserve">, </w:t>
      </w:r>
      <w:r w:rsidRPr="00590529">
        <w:rPr>
          <w:rFonts w:ascii="Arial" w:hAnsi="Arial" w:cs="Arial"/>
          <w:bCs/>
          <w:sz w:val="20"/>
          <w:szCs w:val="20"/>
        </w:rPr>
        <w:t>FUN MEDIA GROUP a.s. (Fun rádio, Rádio Europa 2)</w:t>
      </w:r>
      <w:r w:rsidRPr="00590529">
        <w:rPr>
          <w:rFonts w:ascii="Arial" w:hAnsi="Arial" w:cs="Arial"/>
          <w:b/>
          <w:sz w:val="20"/>
          <w:szCs w:val="20"/>
        </w:rPr>
        <w:t xml:space="preserve">, </w:t>
      </w:r>
      <w:r w:rsidRPr="00590529">
        <w:rPr>
          <w:rFonts w:ascii="Arial" w:hAnsi="Arial" w:cs="Arial"/>
          <w:bCs/>
          <w:sz w:val="20"/>
          <w:szCs w:val="20"/>
        </w:rPr>
        <w:t>Media RTVS, s.r.o. (Rádio Regina, Rádio Slovensko)</w:t>
      </w:r>
      <w:r w:rsidRPr="00590529">
        <w:rPr>
          <w:rFonts w:ascii="Arial" w:hAnsi="Arial" w:cs="Arial"/>
          <w:sz w:val="20"/>
          <w:szCs w:val="20"/>
        </w:rPr>
        <w:t>,</w:t>
      </w:r>
      <w:r w:rsidRPr="00590529">
        <w:rPr>
          <w:rFonts w:ascii="Arial" w:hAnsi="Arial" w:cs="Arial"/>
          <w:b/>
          <w:sz w:val="20"/>
          <w:szCs w:val="20"/>
        </w:rPr>
        <w:t xml:space="preserve"> </w:t>
      </w:r>
      <w:r w:rsidRPr="00590529">
        <w:rPr>
          <w:rFonts w:ascii="Arial" w:hAnsi="Arial" w:cs="Arial"/>
          <w:bCs/>
          <w:sz w:val="20"/>
          <w:szCs w:val="20"/>
        </w:rPr>
        <w:t>Radio Services s.r.o. (Jemné, Vlna, Anténa Rock).</w:t>
      </w:r>
    </w:p>
    <w:p w14:paraId="6150CD6A" w14:textId="77777777" w:rsidR="000877B4" w:rsidRDefault="000877B4" w:rsidP="00590529">
      <w:pPr>
        <w:jc w:val="both"/>
        <w:rPr>
          <w:rFonts w:ascii="Arial" w:hAnsi="Arial" w:cs="Arial"/>
          <w:b/>
          <w:sz w:val="20"/>
          <w:szCs w:val="20"/>
        </w:rPr>
      </w:pPr>
    </w:p>
    <w:p w14:paraId="5D0ABAF6" w14:textId="7D34639E" w:rsidR="0014175B" w:rsidRPr="00590529" w:rsidRDefault="0014175B" w:rsidP="00590529">
      <w:pPr>
        <w:jc w:val="both"/>
        <w:rPr>
          <w:rFonts w:ascii="Arial" w:hAnsi="Arial" w:cs="Arial"/>
          <w:bCs/>
          <w:sz w:val="20"/>
          <w:szCs w:val="20"/>
        </w:rPr>
      </w:pPr>
      <w:r w:rsidRPr="00590529">
        <w:rPr>
          <w:rFonts w:ascii="Arial" w:hAnsi="Arial" w:cs="Arial"/>
          <w:b/>
          <w:sz w:val="20"/>
          <w:szCs w:val="20"/>
        </w:rPr>
        <w:t xml:space="preserve">3. </w:t>
      </w:r>
      <w:r w:rsidRPr="00590529">
        <w:rPr>
          <w:rFonts w:ascii="Arial" w:hAnsi="Arial" w:cs="Arial"/>
          <w:sz w:val="20"/>
          <w:szCs w:val="20"/>
        </w:rPr>
        <w:t xml:space="preserve">Printová kampaň </w:t>
      </w:r>
      <w:r w:rsidRPr="00590529">
        <w:rPr>
          <w:rFonts w:ascii="Arial" w:hAnsi="Arial" w:cs="Arial"/>
          <w:bCs/>
          <w:sz w:val="20"/>
          <w:szCs w:val="20"/>
        </w:rPr>
        <w:t>pre OP ŽP 2015 sa realizovala od konca novembra do decembra 2015 formou inzercie a PR článkov (najčastejšie využívaný formát 1/1) v </w:t>
      </w:r>
      <w:r w:rsidRPr="00590529">
        <w:rPr>
          <w:rFonts w:ascii="Arial" w:hAnsi="Arial" w:cs="Arial"/>
          <w:b/>
          <w:bCs/>
          <w:sz w:val="20"/>
          <w:szCs w:val="20"/>
        </w:rPr>
        <w:t>denníkoch</w:t>
      </w:r>
      <w:r w:rsidRPr="00590529">
        <w:rPr>
          <w:rFonts w:ascii="Arial" w:hAnsi="Arial" w:cs="Arial"/>
          <w:bCs/>
          <w:sz w:val="20"/>
          <w:szCs w:val="20"/>
        </w:rPr>
        <w:t xml:space="preserve"> (Hospodárske noviny, Nový čas, Plus jeden deň, Pravda, Sme), </w:t>
      </w:r>
      <w:r w:rsidRPr="00590529">
        <w:rPr>
          <w:rFonts w:ascii="Arial" w:hAnsi="Arial" w:cs="Arial"/>
          <w:b/>
          <w:bCs/>
          <w:sz w:val="20"/>
          <w:szCs w:val="20"/>
        </w:rPr>
        <w:t>týždenníkoch</w:t>
      </w:r>
      <w:r w:rsidRPr="00590529">
        <w:rPr>
          <w:rFonts w:ascii="Arial" w:hAnsi="Arial" w:cs="Arial"/>
          <w:bCs/>
          <w:sz w:val="20"/>
          <w:szCs w:val="20"/>
        </w:rPr>
        <w:t xml:space="preserve"> (Báječná žena, Eurotelevízia, Nový Čas Nedeľa, Nový Čas pre ženy, Plus 7 dní, Rytmus života, Slovenka, Šarm, Trend, Život), </w:t>
      </w:r>
      <w:r w:rsidRPr="00590529">
        <w:rPr>
          <w:rFonts w:ascii="Arial" w:hAnsi="Arial" w:cs="Arial"/>
          <w:b/>
          <w:bCs/>
          <w:sz w:val="20"/>
          <w:szCs w:val="20"/>
        </w:rPr>
        <w:t>dvojtýždenníkoch</w:t>
      </w:r>
      <w:r w:rsidRPr="00590529">
        <w:rPr>
          <w:rFonts w:ascii="Arial" w:hAnsi="Arial" w:cs="Arial"/>
          <w:bCs/>
          <w:sz w:val="20"/>
          <w:szCs w:val="20"/>
        </w:rPr>
        <w:t xml:space="preserve"> (Obecné noviny, Profit, TV Max) a </w:t>
      </w:r>
      <w:r w:rsidRPr="00590529">
        <w:rPr>
          <w:rFonts w:ascii="Arial" w:hAnsi="Arial" w:cs="Arial"/>
          <w:b/>
          <w:bCs/>
          <w:sz w:val="20"/>
          <w:szCs w:val="20"/>
        </w:rPr>
        <w:t>mesačníkoch</w:t>
      </w:r>
      <w:r w:rsidRPr="00590529">
        <w:rPr>
          <w:rFonts w:ascii="Arial" w:hAnsi="Arial" w:cs="Arial"/>
          <w:bCs/>
          <w:sz w:val="20"/>
          <w:szCs w:val="20"/>
        </w:rPr>
        <w:t xml:space="preserve"> (Break, Evita magazín, GEO, Madam Eva, Nový Čas Bývanie, Pekné bývanie, Poľovníctvo a rybárstvo, Záhradkár, Zdravie) a </w:t>
      </w:r>
      <w:r w:rsidRPr="00590529">
        <w:rPr>
          <w:rFonts w:ascii="Arial" w:hAnsi="Arial" w:cs="Arial"/>
          <w:b/>
          <w:bCs/>
          <w:sz w:val="20"/>
          <w:szCs w:val="20"/>
        </w:rPr>
        <w:t>prílohách</w:t>
      </w:r>
      <w:r w:rsidRPr="00590529">
        <w:rPr>
          <w:rFonts w:ascii="Arial" w:hAnsi="Arial" w:cs="Arial"/>
          <w:bCs/>
          <w:sz w:val="20"/>
          <w:szCs w:val="20"/>
        </w:rPr>
        <w:t xml:space="preserve"> (HN magazín, Magazín Plus jeden deň, Nový Čas Víkend a Svet 2016). Podobne ako pri rozhlase a televízii sa obsahovo rozlišoval inzertný priestor podľa tematických oblastí/prioritných oblastí OP ŽP. </w:t>
      </w:r>
    </w:p>
    <w:p w14:paraId="7FB361DB" w14:textId="77777777" w:rsidR="0014175B" w:rsidRPr="00590529" w:rsidRDefault="0014175B" w:rsidP="00590529">
      <w:pPr>
        <w:jc w:val="both"/>
        <w:rPr>
          <w:rFonts w:ascii="Arial" w:hAnsi="Arial" w:cs="Arial"/>
          <w:sz w:val="20"/>
          <w:szCs w:val="20"/>
        </w:rPr>
      </w:pPr>
      <w:r w:rsidRPr="00590529">
        <w:rPr>
          <w:rFonts w:ascii="Arial" w:hAnsi="Arial" w:cs="Arial"/>
          <w:sz w:val="20"/>
          <w:szCs w:val="20"/>
        </w:rPr>
        <w:t>Priebežne počas roka 2015 boli zverejňované príspevky k vyhláseným výzvam v denníku Plus 1 deň a PR články k úspešným projektom v Enviromagazíne.</w:t>
      </w:r>
    </w:p>
    <w:p w14:paraId="69A0BBDE" w14:textId="77777777" w:rsidR="005B02BA" w:rsidRDefault="005B02BA" w:rsidP="00590529">
      <w:pPr>
        <w:jc w:val="both"/>
        <w:rPr>
          <w:rFonts w:ascii="Arial" w:hAnsi="Arial" w:cs="Arial"/>
          <w:b/>
          <w:bCs/>
          <w:sz w:val="20"/>
          <w:szCs w:val="20"/>
        </w:rPr>
      </w:pPr>
    </w:p>
    <w:p w14:paraId="1FBDFD61" w14:textId="072AFEFF" w:rsidR="0014175B" w:rsidRPr="00590529" w:rsidRDefault="0014175B" w:rsidP="00590529">
      <w:pPr>
        <w:jc w:val="both"/>
        <w:rPr>
          <w:rFonts w:ascii="Arial" w:hAnsi="Arial" w:cs="Arial"/>
          <w:sz w:val="20"/>
          <w:szCs w:val="20"/>
        </w:rPr>
      </w:pPr>
      <w:r w:rsidRPr="00590529">
        <w:rPr>
          <w:rFonts w:ascii="Arial" w:hAnsi="Arial" w:cs="Arial"/>
          <w:b/>
          <w:bCs/>
          <w:sz w:val="20"/>
          <w:szCs w:val="20"/>
        </w:rPr>
        <w:t>4.</w:t>
      </w:r>
      <w:r w:rsidRPr="00590529">
        <w:rPr>
          <w:rFonts w:ascii="Arial" w:hAnsi="Arial" w:cs="Arial"/>
          <w:bCs/>
          <w:sz w:val="20"/>
          <w:szCs w:val="20"/>
        </w:rPr>
        <w:t xml:space="preserve"> Kampaň v regionálnych televíziách. Podobne ako v celoslovenských televíziách prebiehala záverečná kampaň OP ŽP 2015 aj v týchto regionálnych televíziách: Slov Media Group, s.r.o. (TV Severka), </w:t>
      </w:r>
      <w:r w:rsidRPr="00590529">
        <w:rPr>
          <w:rFonts w:ascii="Arial" w:hAnsi="Arial" w:cs="Arial"/>
          <w:sz w:val="20"/>
          <w:szCs w:val="20"/>
        </w:rPr>
        <w:t xml:space="preserve">CE MEDIA, s.r.o. (TV Central), ELEKTRO CENTRUM TV, s.r.o. (TV Považie), </w:t>
      </w:r>
      <w:r w:rsidR="00C90CF5">
        <w:rPr>
          <w:rFonts w:ascii="Arial" w:hAnsi="Arial" w:cs="Arial"/>
          <w:sz w:val="20"/>
          <w:szCs w:val="20"/>
        </w:rPr>
        <w:t>S</w:t>
      </w:r>
      <w:r w:rsidRPr="00590529">
        <w:rPr>
          <w:rFonts w:ascii="Arial" w:hAnsi="Arial" w:cs="Arial"/>
          <w:sz w:val="20"/>
          <w:szCs w:val="20"/>
        </w:rPr>
        <w:t xml:space="preserve">even media, s.r.o. (TV7), Zemplínska produkčná spoločnosť (TV Zemplín), Hronka Production, s.r.o. (TV Hronka), Západoslovenská TV, s.r.o. (Západoslovenská televízia). </w:t>
      </w:r>
    </w:p>
    <w:p w14:paraId="75A40437" w14:textId="17852A0C" w:rsidR="0014175B" w:rsidRPr="0055051B" w:rsidRDefault="0014175B" w:rsidP="0008447E">
      <w:pPr>
        <w:pStyle w:val="Zkladntext"/>
        <w:spacing w:before="130" w:after="130" w:line="240" w:lineRule="auto"/>
      </w:pPr>
      <w:r w:rsidRPr="0055051B">
        <w:rPr>
          <w:rFonts w:ascii="Arial" w:hAnsi="Arial" w:cs="Arial"/>
          <w:bCs/>
          <w:sz w:val="20"/>
          <w:szCs w:val="20"/>
        </w:rPr>
        <w:t xml:space="preserve">Kampaň v regionálnych televíziách pokrývala každý z krajov SR, pričom nasadená bola od novembra 2015 a trvala do konca januára 2016. V rámci vysielania boli odvysielané </w:t>
      </w:r>
      <w:r w:rsidRPr="0055051B">
        <w:rPr>
          <w:rFonts w:ascii="Arial" w:hAnsi="Arial" w:cs="Arial"/>
          <w:b/>
          <w:bCs/>
          <w:sz w:val="20"/>
          <w:szCs w:val="20"/>
        </w:rPr>
        <w:t>relácie</w:t>
      </w:r>
      <w:r w:rsidRPr="0055051B">
        <w:rPr>
          <w:rFonts w:ascii="Arial" w:hAnsi="Arial" w:cs="Arial"/>
          <w:bCs/>
          <w:sz w:val="20"/>
          <w:szCs w:val="20"/>
        </w:rPr>
        <w:t xml:space="preserve"> Zelená pre Slovensko spôsobom viacnásobných opakovaní počas jedného dňa. Zároveň boli odvysielané 30 sek. reklamné spoty.</w:t>
      </w:r>
    </w:p>
    <w:p w14:paraId="30429842" w14:textId="77777777" w:rsidR="0014175B" w:rsidRPr="0055051B" w:rsidRDefault="0014175B" w:rsidP="0014175B">
      <w:pPr>
        <w:jc w:val="both"/>
        <w:rPr>
          <w:rFonts w:ascii="Arial" w:hAnsi="Arial" w:cs="Arial"/>
          <w:b/>
          <w:sz w:val="20"/>
          <w:szCs w:val="20"/>
        </w:rPr>
      </w:pPr>
      <w:r w:rsidRPr="0055051B">
        <w:rPr>
          <w:rFonts w:ascii="Arial" w:hAnsi="Arial" w:cs="Arial"/>
          <w:b/>
          <w:sz w:val="20"/>
          <w:szCs w:val="20"/>
        </w:rPr>
        <w:t>Informačné a odborné publikácie</w:t>
      </w:r>
    </w:p>
    <w:p w14:paraId="79C992AE" w14:textId="04E1465C" w:rsidR="0014175B" w:rsidRPr="0055051B" w:rsidRDefault="0014175B" w:rsidP="00590529">
      <w:pPr>
        <w:jc w:val="both"/>
        <w:rPr>
          <w:rFonts w:ascii="Arial" w:hAnsi="Arial" w:cs="Arial"/>
          <w:sz w:val="20"/>
          <w:szCs w:val="22"/>
        </w:rPr>
      </w:pPr>
      <w:r w:rsidRPr="0055051B">
        <w:rPr>
          <w:rFonts w:ascii="Arial" w:hAnsi="Arial" w:cs="Arial"/>
          <w:sz w:val="20"/>
          <w:szCs w:val="20"/>
        </w:rPr>
        <w:t>V rámci zabezpečovania komplexnej informovanosti širokej verejnosti o pomoci EÚ poskytovanej SR prostredníctvom implementácie projektov podporených z finančných prostriedkov OP ŽP boli vydané a distribuované informačné publikácie</w:t>
      </w:r>
      <w:r w:rsidR="00994762">
        <w:rPr>
          <w:rFonts w:ascii="Arial" w:hAnsi="Arial" w:cs="Arial"/>
          <w:sz w:val="20"/>
          <w:szCs w:val="20"/>
        </w:rPr>
        <w:t>.</w:t>
      </w:r>
    </w:p>
    <w:p w14:paraId="450D1FE3" w14:textId="77777777" w:rsidR="0014175B" w:rsidRPr="0055051B" w:rsidRDefault="0014175B" w:rsidP="0014175B">
      <w:pPr>
        <w:pStyle w:val="Default"/>
        <w:spacing w:after="13"/>
        <w:rPr>
          <w:rFonts w:ascii="Arial" w:hAnsi="Arial" w:cs="Arial"/>
          <w:sz w:val="20"/>
          <w:szCs w:val="22"/>
        </w:rPr>
      </w:pPr>
    </w:p>
    <w:p w14:paraId="238D18EA" w14:textId="198F63D8" w:rsidR="0014175B" w:rsidRPr="0055051B" w:rsidRDefault="00994762" w:rsidP="0014175B">
      <w:pPr>
        <w:pStyle w:val="Default"/>
        <w:spacing w:after="13"/>
        <w:jc w:val="both"/>
        <w:rPr>
          <w:rFonts w:ascii="Arial" w:hAnsi="Arial" w:cs="Arial"/>
          <w:sz w:val="20"/>
          <w:szCs w:val="22"/>
        </w:rPr>
      </w:pPr>
      <w:r>
        <w:rPr>
          <w:rFonts w:ascii="Arial" w:hAnsi="Arial" w:cs="Arial"/>
          <w:sz w:val="20"/>
          <w:szCs w:val="22"/>
        </w:rPr>
        <w:t>V</w:t>
      </w:r>
      <w:r w:rsidR="0014175B" w:rsidRPr="0055051B">
        <w:rPr>
          <w:rFonts w:ascii="Arial" w:hAnsi="Arial" w:cs="Arial"/>
          <w:sz w:val="20"/>
          <w:szCs w:val="22"/>
        </w:rPr>
        <w:t> roku 2015 bolo vydaných 25 druhov informačných a prezentačných materiálov</w:t>
      </w:r>
      <w:r w:rsidR="003A4354">
        <w:rPr>
          <w:rFonts w:ascii="Arial" w:hAnsi="Arial" w:cs="Arial"/>
          <w:sz w:val="20"/>
          <w:szCs w:val="22"/>
        </w:rPr>
        <w:t xml:space="preserve"> </w:t>
      </w:r>
      <w:r w:rsidR="0014175B" w:rsidRPr="0055051B">
        <w:rPr>
          <w:rFonts w:ascii="Arial" w:hAnsi="Arial" w:cs="Arial"/>
          <w:sz w:val="20"/>
          <w:szCs w:val="22"/>
        </w:rPr>
        <w:t>(Brožúra úspešných projektov za PO 2007</w:t>
      </w:r>
      <w:r w:rsidR="003A4354">
        <w:rPr>
          <w:rFonts w:ascii="Arial" w:hAnsi="Arial" w:cs="Arial"/>
          <w:sz w:val="20"/>
          <w:szCs w:val="22"/>
        </w:rPr>
        <w:t xml:space="preserve"> </w:t>
      </w:r>
      <w:r w:rsidR="0014175B" w:rsidRPr="0055051B">
        <w:rPr>
          <w:rFonts w:ascii="Arial" w:hAnsi="Arial" w:cs="Arial"/>
          <w:sz w:val="20"/>
          <w:szCs w:val="22"/>
        </w:rPr>
        <w:t>-</w:t>
      </w:r>
      <w:r w:rsidR="003A4354">
        <w:rPr>
          <w:rFonts w:ascii="Arial" w:hAnsi="Arial" w:cs="Arial"/>
          <w:sz w:val="20"/>
          <w:szCs w:val="22"/>
        </w:rPr>
        <w:t xml:space="preserve"> </w:t>
      </w:r>
      <w:r w:rsidR="0014175B" w:rsidRPr="0055051B">
        <w:rPr>
          <w:rFonts w:ascii="Arial" w:hAnsi="Arial" w:cs="Arial"/>
          <w:sz w:val="20"/>
          <w:szCs w:val="22"/>
        </w:rPr>
        <w:t>2013, Farebné skladačky o úspešných projektoch PO1 / PO2 / PO3 /PO4 / PO5, Kalendár na rok 2016 – Úspešné projekty, Trojdielny kalendár na rok 2016, Plagáty s úspešnými projektami PO1 / PO2 / PO3 / PO4 / PO5, Fototapety s motívom kampane PO1 / PO2 / PO3 / PO4 / PO5, Poznámkové bloky s motívom kampane PO1/ PO2 / PO3 / PO4 / PO5 / image.</w:t>
      </w:r>
    </w:p>
    <w:p w14:paraId="77018D7D" w14:textId="77777777" w:rsidR="0014175B" w:rsidRPr="0055051B" w:rsidRDefault="0014175B" w:rsidP="0014175B">
      <w:pPr>
        <w:pStyle w:val="Default"/>
        <w:spacing w:after="13"/>
        <w:jc w:val="both"/>
        <w:rPr>
          <w:rFonts w:ascii="Arial" w:hAnsi="Arial" w:cs="Arial"/>
          <w:sz w:val="22"/>
        </w:rPr>
      </w:pPr>
    </w:p>
    <w:p w14:paraId="119DF55D" w14:textId="77777777" w:rsidR="0014175B" w:rsidRPr="0055051B" w:rsidRDefault="0014175B" w:rsidP="0014175B">
      <w:pPr>
        <w:jc w:val="both"/>
        <w:rPr>
          <w:rFonts w:ascii="Arial" w:hAnsi="Arial" w:cs="Arial"/>
          <w:b/>
          <w:sz w:val="20"/>
        </w:rPr>
      </w:pPr>
      <w:r w:rsidRPr="0055051B">
        <w:rPr>
          <w:rFonts w:ascii="Arial" w:hAnsi="Arial" w:cs="Arial"/>
          <w:b/>
          <w:sz w:val="20"/>
        </w:rPr>
        <w:t>Propagačné predmety</w:t>
      </w:r>
    </w:p>
    <w:p w14:paraId="73DABB7C" w14:textId="41EC896B" w:rsidR="0014175B" w:rsidRPr="0055051B" w:rsidRDefault="0014175B" w:rsidP="0014175B">
      <w:pPr>
        <w:jc w:val="both"/>
        <w:rPr>
          <w:rFonts w:ascii="Arial" w:hAnsi="Arial" w:cs="Arial"/>
          <w:sz w:val="20"/>
        </w:rPr>
      </w:pPr>
      <w:r w:rsidRPr="0055051B">
        <w:rPr>
          <w:rFonts w:ascii="Arial" w:hAnsi="Arial" w:cs="Arial"/>
          <w:sz w:val="20"/>
        </w:rPr>
        <w:t>Propagačné predmety s logom EÚ a OP ŽP na vytvorenie a podporu povedomia o OP ŽP a EÚ boli zaobstarané a distribuované priamo cieľovej skupine počas informačných podujatí.</w:t>
      </w:r>
    </w:p>
    <w:p w14:paraId="295787EC" w14:textId="77777777" w:rsidR="0014175B" w:rsidRPr="0055051B" w:rsidRDefault="0014175B" w:rsidP="0014175B">
      <w:pPr>
        <w:jc w:val="both"/>
        <w:rPr>
          <w:rFonts w:ascii="Arial" w:hAnsi="Arial" w:cs="Arial"/>
          <w:sz w:val="20"/>
        </w:rPr>
      </w:pPr>
      <w:r w:rsidRPr="0055051B">
        <w:rPr>
          <w:rFonts w:ascii="Arial" w:hAnsi="Arial" w:cs="Arial"/>
          <w:sz w:val="20"/>
        </w:rPr>
        <w:t xml:space="preserve">Príklady obstaraných predmetov: </w:t>
      </w:r>
    </w:p>
    <w:p w14:paraId="1E063696" w14:textId="77777777" w:rsidR="0014175B" w:rsidRPr="0055051B" w:rsidRDefault="0014175B" w:rsidP="0014175B">
      <w:pPr>
        <w:ind w:left="705" w:hanging="345"/>
        <w:jc w:val="both"/>
        <w:rPr>
          <w:rFonts w:ascii="Arial" w:hAnsi="Arial" w:cs="Arial"/>
          <w:sz w:val="20"/>
        </w:rPr>
      </w:pPr>
      <w:r w:rsidRPr="0055051B">
        <w:rPr>
          <w:rFonts w:ascii="Arial" w:hAnsi="Arial" w:cs="Arial"/>
          <w:sz w:val="20"/>
        </w:rPr>
        <w:t>-</w:t>
      </w:r>
      <w:r w:rsidRPr="0055051B">
        <w:rPr>
          <w:rFonts w:ascii="Arial" w:hAnsi="Arial" w:cs="Arial"/>
          <w:sz w:val="20"/>
        </w:rPr>
        <w:tab/>
        <w:t xml:space="preserve">drobné predmety - kalendáre, diáre s informačnými stranami o OP ŽP, perá, tašky, PC. podložky, bloky, USB kľúč, kľúčenky, kalkulačky, tričká, zakladače, </w:t>
      </w:r>
    </w:p>
    <w:p w14:paraId="6F68E7C4" w14:textId="77777777" w:rsidR="0014175B" w:rsidRPr="0055051B" w:rsidRDefault="0014175B" w:rsidP="00185698">
      <w:pPr>
        <w:numPr>
          <w:ilvl w:val="0"/>
          <w:numId w:val="68"/>
        </w:numPr>
        <w:jc w:val="both"/>
        <w:rPr>
          <w:rFonts w:ascii="Arial" w:hAnsi="Arial" w:cs="Arial"/>
          <w:sz w:val="20"/>
        </w:rPr>
      </w:pPr>
      <w:r w:rsidRPr="0055051B">
        <w:rPr>
          <w:rFonts w:ascii="Arial" w:hAnsi="Arial" w:cs="Arial"/>
          <w:sz w:val="20"/>
        </w:rPr>
        <w:t>prezentačná stena vo vstupnej hale budovy MŽP SR propagujúca OP ŽP,</w:t>
      </w:r>
    </w:p>
    <w:p w14:paraId="26902ACA" w14:textId="77777777" w:rsidR="0014175B" w:rsidRPr="0055051B" w:rsidRDefault="0014175B" w:rsidP="00185698">
      <w:pPr>
        <w:numPr>
          <w:ilvl w:val="0"/>
          <w:numId w:val="68"/>
        </w:numPr>
        <w:jc w:val="both"/>
        <w:rPr>
          <w:rFonts w:ascii="Arial" w:hAnsi="Arial" w:cs="Arial"/>
          <w:sz w:val="20"/>
        </w:rPr>
      </w:pPr>
      <w:r w:rsidRPr="0055051B">
        <w:rPr>
          <w:rFonts w:ascii="Arial" w:hAnsi="Arial" w:cs="Arial"/>
          <w:sz w:val="20"/>
        </w:rPr>
        <w:t>propagačné panely pre jednotlivé prioritné osi.</w:t>
      </w:r>
    </w:p>
    <w:p w14:paraId="03C6401C" w14:textId="77777777" w:rsidR="0014175B" w:rsidRPr="0055051B" w:rsidRDefault="0014175B" w:rsidP="0014175B">
      <w:pPr>
        <w:jc w:val="both"/>
        <w:rPr>
          <w:rFonts w:ascii="Arial" w:hAnsi="Arial" w:cs="Arial"/>
          <w:b/>
          <w:sz w:val="20"/>
          <w:u w:val="single"/>
        </w:rPr>
      </w:pPr>
    </w:p>
    <w:p w14:paraId="6796128A" w14:textId="77777777" w:rsidR="0014175B" w:rsidRPr="0055051B" w:rsidRDefault="0014175B" w:rsidP="0014175B">
      <w:pPr>
        <w:jc w:val="both"/>
        <w:rPr>
          <w:rFonts w:ascii="Arial" w:hAnsi="Arial" w:cs="Arial"/>
          <w:b/>
          <w:sz w:val="20"/>
        </w:rPr>
      </w:pPr>
      <w:r w:rsidRPr="0055051B">
        <w:rPr>
          <w:rFonts w:ascii="Arial" w:hAnsi="Arial" w:cs="Arial"/>
          <w:b/>
          <w:sz w:val="20"/>
        </w:rPr>
        <w:t>Plnenie fyzických ukazovateľov informovania a publicity k 31.12.2015</w:t>
      </w:r>
    </w:p>
    <w:p w14:paraId="013A3018" w14:textId="2B7325E6" w:rsidR="0014175B" w:rsidRPr="0055051B" w:rsidRDefault="0014175B" w:rsidP="0014175B">
      <w:pPr>
        <w:jc w:val="both"/>
        <w:rPr>
          <w:rFonts w:ascii="Arial" w:hAnsi="Arial" w:cs="Arial"/>
          <w:sz w:val="20"/>
        </w:rPr>
      </w:pPr>
      <w:r w:rsidRPr="0055051B">
        <w:rPr>
          <w:rFonts w:ascii="Arial" w:hAnsi="Arial" w:cs="Arial"/>
          <w:sz w:val="20"/>
        </w:rPr>
        <w:t xml:space="preserve">Nasledujúci prehľad plnenia fyzických ukazovateľov </w:t>
      </w:r>
      <w:r w:rsidR="00715BAC">
        <w:rPr>
          <w:rFonts w:ascii="Arial" w:hAnsi="Arial" w:cs="Arial"/>
          <w:sz w:val="20"/>
        </w:rPr>
        <w:t>sumarizuje</w:t>
      </w:r>
      <w:r w:rsidRPr="0055051B">
        <w:rPr>
          <w:rFonts w:ascii="Arial" w:hAnsi="Arial" w:cs="Arial"/>
          <w:sz w:val="20"/>
        </w:rPr>
        <w:t> údaj</w:t>
      </w:r>
      <w:r w:rsidR="00715BAC">
        <w:rPr>
          <w:rFonts w:ascii="Arial" w:hAnsi="Arial" w:cs="Arial"/>
          <w:sz w:val="20"/>
        </w:rPr>
        <w:t>e</w:t>
      </w:r>
      <w:r w:rsidRPr="0055051B">
        <w:rPr>
          <w:rFonts w:ascii="Arial" w:hAnsi="Arial" w:cs="Arial"/>
          <w:sz w:val="20"/>
        </w:rPr>
        <w:t xml:space="preserve"> </w:t>
      </w:r>
      <w:r w:rsidR="00715BAC">
        <w:rPr>
          <w:rFonts w:ascii="Arial" w:hAnsi="Arial" w:cs="Arial"/>
          <w:sz w:val="20"/>
        </w:rPr>
        <w:t xml:space="preserve">zo </w:t>
      </w:r>
      <w:r w:rsidRPr="0055051B">
        <w:rPr>
          <w:rFonts w:ascii="Arial" w:hAnsi="Arial" w:cs="Arial"/>
          <w:sz w:val="20"/>
        </w:rPr>
        <w:t xml:space="preserve">zverejnených Výročných správ o vykonávaní Operačného programu Životné prostredie za jednotlivé roky. Okrem  ukazovateľa </w:t>
      </w:r>
      <w:r w:rsidRPr="0055051B">
        <w:rPr>
          <w:rFonts w:ascii="Arial" w:hAnsi="Arial" w:cs="Arial"/>
          <w:i/>
          <w:sz w:val="20"/>
        </w:rPr>
        <w:t>Počet vydaných odborných a informačných publikácií</w:t>
      </w:r>
      <w:r w:rsidRPr="0055051B">
        <w:rPr>
          <w:rFonts w:ascii="Arial" w:hAnsi="Arial" w:cs="Arial"/>
          <w:sz w:val="20"/>
        </w:rPr>
        <w:t xml:space="preserve"> dosiahli ostatné ukazovatele, prípadne niekoľkonásobne prevýšili, stanovenú cieľovú hodnou. Pri evidovaní ukazovateľa Počet vydaných odborných a informačných publikácií sa vychádzalo z druhov vydaných publikácií a nie zaobstaraného celkového počtu, čo mohlo ovplyvniť aj nenaplnenie stanoveného cieľa.</w:t>
      </w:r>
    </w:p>
    <w:p w14:paraId="30ADABE0" w14:textId="77777777" w:rsidR="00590529" w:rsidRDefault="00590529" w:rsidP="0014175B">
      <w:pPr>
        <w:jc w:val="both"/>
        <w:rPr>
          <w:rFonts w:ascii="Arial" w:hAnsi="Arial" w:cs="Arial"/>
          <w:sz w:val="22"/>
        </w:rPr>
      </w:pPr>
    </w:p>
    <w:p w14:paraId="62D2F8A2" w14:textId="77777777" w:rsidR="00590529" w:rsidRDefault="00590529" w:rsidP="0014175B">
      <w:pPr>
        <w:jc w:val="both"/>
        <w:rPr>
          <w:rFonts w:ascii="Arial" w:hAnsi="Arial" w:cs="Arial"/>
          <w:sz w:val="22"/>
        </w:rPr>
      </w:pPr>
    </w:p>
    <w:p w14:paraId="296C5155" w14:textId="358A0C80" w:rsidR="0014175B" w:rsidRPr="00DE018D" w:rsidRDefault="00590529" w:rsidP="0014175B">
      <w:pPr>
        <w:jc w:val="both"/>
        <w:rPr>
          <w:rFonts w:ascii="Arial" w:hAnsi="Arial" w:cs="Arial"/>
          <w:sz w:val="20"/>
          <w:szCs w:val="20"/>
          <w:lang w:eastAsia="cs-CZ"/>
        </w:rPr>
      </w:pPr>
      <w:r w:rsidRPr="00590529">
        <w:rPr>
          <w:rFonts w:ascii="Arial" w:hAnsi="Arial" w:cs="Arial"/>
          <w:sz w:val="20"/>
        </w:rPr>
        <w:lastRenderedPageBreak/>
        <w:t>Tabuľka č. 9</w:t>
      </w:r>
      <w:r w:rsidR="007B1CB9">
        <w:rPr>
          <w:rFonts w:ascii="Arial" w:hAnsi="Arial" w:cs="Arial"/>
          <w:sz w:val="20"/>
        </w:rPr>
        <w:t>2</w:t>
      </w:r>
      <w:r w:rsidRPr="00590529">
        <w:rPr>
          <w:rFonts w:ascii="Arial" w:hAnsi="Arial" w:cs="Arial"/>
          <w:sz w:val="20"/>
        </w:rPr>
        <w:t xml:space="preserve">: </w:t>
      </w:r>
      <w:r w:rsidR="00DE018D" w:rsidRPr="00E21C60">
        <w:rPr>
          <w:rFonts w:ascii="Arial" w:hAnsi="Arial" w:cs="Arial"/>
          <w:sz w:val="20"/>
          <w:szCs w:val="20"/>
          <w:lang w:eastAsia="cs-CZ"/>
        </w:rPr>
        <w:t xml:space="preserve">Plnenie fyzických </w:t>
      </w:r>
      <w:r w:rsidR="00DE018D">
        <w:rPr>
          <w:rFonts w:ascii="Arial" w:hAnsi="Arial" w:cs="Arial"/>
          <w:sz w:val="20"/>
          <w:szCs w:val="20"/>
          <w:lang w:eastAsia="cs-CZ"/>
        </w:rPr>
        <w:t>ukazovateľov</w:t>
      </w:r>
      <w:r w:rsidR="00DE018D" w:rsidRPr="00E21C60">
        <w:rPr>
          <w:rFonts w:ascii="Arial" w:hAnsi="Arial" w:cs="Arial"/>
          <w:sz w:val="20"/>
          <w:szCs w:val="20"/>
          <w:lang w:eastAsia="cs-CZ"/>
        </w:rPr>
        <w:t xml:space="preserve"> </w:t>
      </w:r>
      <w:r w:rsidR="00DE018D" w:rsidRPr="00DE018D">
        <w:rPr>
          <w:rFonts w:ascii="Arial" w:hAnsi="Arial" w:cs="Arial"/>
          <w:sz w:val="20"/>
          <w:szCs w:val="20"/>
          <w:lang w:eastAsia="cs-CZ"/>
        </w:rPr>
        <w:t>informovania a publicity k 31.12.2015</w:t>
      </w:r>
    </w:p>
    <w:tbl>
      <w:tblPr>
        <w:tblW w:w="9854" w:type="dxa"/>
        <w:tblLayout w:type="fixed"/>
        <w:tblLook w:val="0000" w:firstRow="0" w:lastRow="0" w:firstColumn="0" w:lastColumn="0" w:noHBand="0" w:noVBand="0"/>
      </w:tblPr>
      <w:tblGrid>
        <w:gridCol w:w="1316"/>
        <w:gridCol w:w="999"/>
        <w:gridCol w:w="730"/>
        <w:gridCol w:w="729"/>
        <w:gridCol w:w="729"/>
        <w:gridCol w:w="728"/>
        <w:gridCol w:w="729"/>
        <w:gridCol w:w="728"/>
        <w:gridCol w:w="729"/>
        <w:gridCol w:w="728"/>
        <w:gridCol w:w="729"/>
        <w:gridCol w:w="980"/>
      </w:tblGrid>
      <w:tr w:rsidR="001A0BB8" w14:paraId="6E54889A" w14:textId="77777777" w:rsidTr="0055051B">
        <w:trPr>
          <w:trHeight w:val="638"/>
        </w:trPr>
        <w:tc>
          <w:tcPr>
            <w:tcW w:w="2315" w:type="dxa"/>
            <w:gridSpan w:val="2"/>
            <w:shd w:val="clear" w:color="auto" w:fill="EAF1DD" w:themeFill="accent3" w:themeFillTint="33"/>
            <w:vAlign w:val="center"/>
          </w:tcPr>
          <w:p w14:paraId="3B78FDC3"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Ukazovatele dopadu</w:t>
            </w:r>
          </w:p>
        </w:tc>
        <w:tc>
          <w:tcPr>
            <w:tcW w:w="730" w:type="dxa"/>
            <w:shd w:val="clear" w:color="auto" w:fill="EAF1DD" w:themeFill="accent3" w:themeFillTint="33"/>
            <w:vAlign w:val="center"/>
          </w:tcPr>
          <w:p w14:paraId="2BABF5CC"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2007</w:t>
            </w:r>
          </w:p>
        </w:tc>
        <w:tc>
          <w:tcPr>
            <w:tcW w:w="729" w:type="dxa"/>
            <w:shd w:val="clear" w:color="auto" w:fill="EAF1DD" w:themeFill="accent3" w:themeFillTint="33"/>
            <w:vAlign w:val="center"/>
          </w:tcPr>
          <w:p w14:paraId="7F016E12"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2008</w:t>
            </w:r>
          </w:p>
        </w:tc>
        <w:tc>
          <w:tcPr>
            <w:tcW w:w="729" w:type="dxa"/>
            <w:shd w:val="clear" w:color="auto" w:fill="EAF1DD" w:themeFill="accent3" w:themeFillTint="33"/>
            <w:vAlign w:val="center"/>
          </w:tcPr>
          <w:p w14:paraId="74E89602"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2009</w:t>
            </w:r>
          </w:p>
        </w:tc>
        <w:tc>
          <w:tcPr>
            <w:tcW w:w="728" w:type="dxa"/>
            <w:shd w:val="clear" w:color="auto" w:fill="EAF1DD" w:themeFill="accent3" w:themeFillTint="33"/>
            <w:vAlign w:val="center"/>
          </w:tcPr>
          <w:p w14:paraId="19CFB31B"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2010</w:t>
            </w:r>
          </w:p>
        </w:tc>
        <w:tc>
          <w:tcPr>
            <w:tcW w:w="729" w:type="dxa"/>
            <w:shd w:val="clear" w:color="auto" w:fill="EAF1DD" w:themeFill="accent3" w:themeFillTint="33"/>
            <w:vAlign w:val="center"/>
          </w:tcPr>
          <w:p w14:paraId="5016C755"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2011</w:t>
            </w:r>
          </w:p>
        </w:tc>
        <w:tc>
          <w:tcPr>
            <w:tcW w:w="728" w:type="dxa"/>
            <w:shd w:val="clear" w:color="auto" w:fill="EAF1DD" w:themeFill="accent3" w:themeFillTint="33"/>
            <w:vAlign w:val="center"/>
          </w:tcPr>
          <w:p w14:paraId="14E9EE62"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2012</w:t>
            </w:r>
          </w:p>
        </w:tc>
        <w:tc>
          <w:tcPr>
            <w:tcW w:w="729" w:type="dxa"/>
            <w:shd w:val="clear" w:color="auto" w:fill="EAF1DD" w:themeFill="accent3" w:themeFillTint="33"/>
            <w:vAlign w:val="center"/>
          </w:tcPr>
          <w:p w14:paraId="6D6AEBA8"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2013</w:t>
            </w:r>
          </w:p>
        </w:tc>
        <w:tc>
          <w:tcPr>
            <w:tcW w:w="728" w:type="dxa"/>
            <w:shd w:val="clear" w:color="auto" w:fill="EAF1DD" w:themeFill="accent3" w:themeFillTint="33"/>
            <w:vAlign w:val="center"/>
          </w:tcPr>
          <w:p w14:paraId="39DF85DE"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2014</w:t>
            </w:r>
          </w:p>
        </w:tc>
        <w:tc>
          <w:tcPr>
            <w:tcW w:w="729" w:type="dxa"/>
            <w:shd w:val="clear" w:color="auto" w:fill="EAF1DD" w:themeFill="accent3" w:themeFillTint="33"/>
            <w:vAlign w:val="center"/>
          </w:tcPr>
          <w:p w14:paraId="4F1F569C"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2015</w:t>
            </w:r>
          </w:p>
        </w:tc>
        <w:tc>
          <w:tcPr>
            <w:tcW w:w="978" w:type="dxa"/>
            <w:shd w:val="clear" w:color="auto" w:fill="EAF1DD" w:themeFill="accent3" w:themeFillTint="33"/>
            <w:vAlign w:val="center"/>
          </w:tcPr>
          <w:p w14:paraId="004A8B06" w14:textId="77777777" w:rsidR="0014175B" w:rsidRPr="0055051B" w:rsidRDefault="0014175B" w:rsidP="00A1235B">
            <w:pPr>
              <w:spacing w:line="100" w:lineRule="atLeast"/>
              <w:jc w:val="center"/>
            </w:pPr>
            <w:r w:rsidRPr="0055051B">
              <w:rPr>
                <w:rFonts w:ascii="Arial Narrow" w:hAnsi="Arial Narrow" w:cs="Arial"/>
                <w:b/>
                <w:sz w:val="16"/>
                <w:szCs w:val="16"/>
              </w:rPr>
              <w:t>Spolu</w:t>
            </w:r>
          </w:p>
        </w:tc>
      </w:tr>
      <w:tr w:rsidR="001A0BB8" w14:paraId="5317ADB0" w14:textId="77777777" w:rsidTr="00A1235B">
        <w:trPr>
          <w:trHeight w:val="376"/>
        </w:trPr>
        <w:tc>
          <w:tcPr>
            <w:tcW w:w="1316" w:type="dxa"/>
            <w:vMerge w:val="restart"/>
            <w:shd w:val="clear" w:color="auto" w:fill="auto"/>
            <w:vAlign w:val="center"/>
          </w:tcPr>
          <w:p w14:paraId="69F30DB9"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 poznania úlohy EÚ a OPŽP</w:t>
            </w:r>
          </w:p>
          <w:p w14:paraId="2C625EA1" w14:textId="77777777" w:rsidR="0014175B" w:rsidRPr="0071653E" w:rsidRDefault="0014175B" w:rsidP="00A1235B">
            <w:pPr>
              <w:spacing w:line="100" w:lineRule="atLeast"/>
              <w:jc w:val="center"/>
              <w:rPr>
                <w:rFonts w:ascii="Arial Narrow" w:hAnsi="Arial Narrow" w:cs="Arial"/>
                <w:b/>
                <w:sz w:val="16"/>
                <w:szCs w:val="16"/>
              </w:rPr>
            </w:pPr>
            <w:r w:rsidRPr="0071653E">
              <w:rPr>
                <w:rFonts w:ascii="Arial Narrow" w:hAnsi="Arial Narrow" w:cs="Arial"/>
                <w:sz w:val="16"/>
                <w:szCs w:val="16"/>
              </w:rPr>
              <w:t>(% obyvateľstva)</w:t>
            </w:r>
          </w:p>
        </w:tc>
        <w:tc>
          <w:tcPr>
            <w:tcW w:w="998" w:type="dxa"/>
            <w:shd w:val="clear" w:color="auto" w:fill="auto"/>
            <w:vAlign w:val="center"/>
          </w:tcPr>
          <w:p w14:paraId="54D519F5"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Dosiahnutý výsledok</w:t>
            </w:r>
          </w:p>
        </w:tc>
        <w:tc>
          <w:tcPr>
            <w:tcW w:w="730" w:type="dxa"/>
            <w:shd w:val="clear" w:color="auto" w:fill="auto"/>
            <w:vAlign w:val="center"/>
          </w:tcPr>
          <w:p w14:paraId="0E51B32F"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5</w:t>
            </w:r>
          </w:p>
        </w:tc>
        <w:tc>
          <w:tcPr>
            <w:tcW w:w="729" w:type="dxa"/>
            <w:shd w:val="clear" w:color="auto" w:fill="auto"/>
            <w:vAlign w:val="center"/>
          </w:tcPr>
          <w:p w14:paraId="6F53CA1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44,33</w:t>
            </w:r>
          </w:p>
        </w:tc>
        <w:tc>
          <w:tcPr>
            <w:tcW w:w="729" w:type="dxa"/>
            <w:shd w:val="clear" w:color="auto" w:fill="auto"/>
            <w:vAlign w:val="center"/>
          </w:tcPr>
          <w:p w14:paraId="7C7DDC01"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63,4</w:t>
            </w:r>
          </w:p>
        </w:tc>
        <w:tc>
          <w:tcPr>
            <w:tcW w:w="728" w:type="dxa"/>
            <w:shd w:val="clear" w:color="auto" w:fill="auto"/>
            <w:vAlign w:val="center"/>
          </w:tcPr>
          <w:p w14:paraId="036DFCF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72,5</w:t>
            </w:r>
          </w:p>
        </w:tc>
        <w:tc>
          <w:tcPr>
            <w:tcW w:w="729" w:type="dxa"/>
            <w:shd w:val="clear" w:color="auto" w:fill="auto"/>
            <w:vAlign w:val="center"/>
          </w:tcPr>
          <w:p w14:paraId="2D8F3BAB" w14:textId="77777777" w:rsidR="0014175B" w:rsidRPr="00525666" w:rsidRDefault="0014175B" w:rsidP="00A1235B">
            <w:pPr>
              <w:spacing w:line="100" w:lineRule="atLeast"/>
              <w:jc w:val="center"/>
              <w:rPr>
                <w:rFonts w:ascii="Arial Narrow" w:hAnsi="Arial Narrow" w:cs="Arial"/>
                <w:color w:val="FF0000"/>
                <w:sz w:val="16"/>
                <w:szCs w:val="16"/>
              </w:rPr>
            </w:pPr>
            <w:r w:rsidRPr="0071653E">
              <w:rPr>
                <w:rFonts w:ascii="Arial Narrow" w:hAnsi="Arial Narrow" w:cs="Arial"/>
                <w:sz w:val="16"/>
                <w:szCs w:val="16"/>
              </w:rPr>
              <w:t>NA</w:t>
            </w:r>
          </w:p>
        </w:tc>
        <w:tc>
          <w:tcPr>
            <w:tcW w:w="728" w:type="dxa"/>
            <w:shd w:val="clear" w:color="auto" w:fill="auto"/>
            <w:vAlign w:val="center"/>
          </w:tcPr>
          <w:p w14:paraId="6AF0ED14" w14:textId="77777777" w:rsidR="0014175B" w:rsidRPr="00525666" w:rsidRDefault="0014175B" w:rsidP="00A1235B">
            <w:pPr>
              <w:spacing w:line="100" w:lineRule="atLeast"/>
              <w:jc w:val="center"/>
              <w:rPr>
                <w:rFonts w:ascii="Arial Narrow" w:hAnsi="Arial Narrow" w:cs="Arial"/>
                <w:color w:val="FF0000"/>
                <w:sz w:val="16"/>
                <w:szCs w:val="16"/>
              </w:rPr>
            </w:pPr>
            <w:r w:rsidRPr="0071653E">
              <w:rPr>
                <w:rFonts w:ascii="Arial Narrow" w:hAnsi="Arial Narrow" w:cs="Arial"/>
                <w:sz w:val="16"/>
                <w:szCs w:val="16"/>
              </w:rPr>
              <w:t>NA</w:t>
            </w:r>
          </w:p>
        </w:tc>
        <w:tc>
          <w:tcPr>
            <w:tcW w:w="729" w:type="dxa"/>
            <w:shd w:val="clear" w:color="auto" w:fill="auto"/>
            <w:vAlign w:val="center"/>
          </w:tcPr>
          <w:p w14:paraId="37C40FED"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97,6</w:t>
            </w:r>
          </w:p>
        </w:tc>
        <w:tc>
          <w:tcPr>
            <w:tcW w:w="728" w:type="dxa"/>
            <w:shd w:val="clear" w:color="auto" w:fill="auto"/>
            <w:vAlign w:val="center"/>
          </w:tcPr>
          <w:p w14:paraId="77A3D415" w14:textId="77777777" w:rsidR="0014175B" w:rsidRPr="003D37F4" w:rsidRDefault="0014175B" w:rsidP="00A1235B">
            <w:pPr>
              <w:spacing w:line="100" w:lineRule="atLeast"/>
              <w:jc w:val="center"/>
              <w:rPr>
                <w:rFonts w:ascii="Arial Narrow" w:hAnsi="Arial Narrow" w:cs="Arial"/>
                <w:b/>
                <w:sz w:val="16"/>
                <w:szCs w:val="16"/>
              </w:rPr>
            </w:pPr>
            <w:r w:rsidRPr="003D37F4">
              <w:rPr>
                <w:rFonts w:ascii="Arial Narrow" w:hAnsi="Arial Narrow" w:cs="Arial"/>
                <w:sz w:val="16"/>
                <w:szCs w:val="16"/>
              </w:rPr>
              <w:t>-</w:t>
            </w:r>
          </w:p>
        </w:tc>
        <w:tc>
          <w:tcPr>
            <w:tcW w:w="729" w:type="dxa"/>
            <w:shd w:val="clear" w:color="auto" w:fill="auto"/>
            <w:vAlign w:val="center"/>
          </w:tcPr>
          <w:p w14:paraId="630C136D" w14:textId="77777777" w:rsidR="0014175B" w:rsidRPr="00F7076C" w:rsidRDefault="0014175B" w:rsidP="00A1235B">
            <w:pPr>
              <w:spacing w:line="100" w:lineRule="atLeast"/>
              <w:jc w:val="center"/>
              <w:rPr>
                <w:rFonts w:ascii="Arial Narrow" w:hAnsi="Arial Narrow" w:cs="Arial"/>
                <w:sz w:val="16"/>
                <w:szCs w:val="16"/>
              </w:rPr>
            </w:pPr>
            <w:r w:rsidRPr="00F7076C">
              <w:rPr>
                <w:rFonts w:ascii="Arial Narrow" w:hAnsi="Arial Narrow" w:cs="Arial"/>
                <w:sz w:val="16"/>
                <w:szCs w:val="16"/>
              </w:rPr>
              <w:t>58,0*</w:t>
            </w:r>
          </w:p>
        </w:tc>
        <w:tc>
          <w:tcPr>
            <w:tcW w:w="978" w:type="dxa"/>
            <w:shd w:val="clear" w:color="auto" w:fill="auto"/>
            <w:vAlign w:val="center"/>
          </w:tcPr>
          <w:p w14:paraId="615228B8" w14:textId="77777777" w:rsidR="0014175B" w:rsidRPr="0082008A" w:rsidRDefault="0014175B" w:rsidP="00A1235B">
            <w:pPr>
              <w:spacing w:line="100" w:lineRule="atLeast"/>
              <w:jc w:val="center"/>
            </w:pPr>
            <w:r>
              <w:rPr>
                <w:rFonts w:ascii="Arial Narrow" w:hAnsi="Arial Narrow" w:cs="Arial"/>
                <w:b/>
                <w:sz w:val="16"/>
                <w:szCs w:val="16"/>
              </w:rPr>
              <w:t>58,0</w:t>
            </w:r>
          </w:p>
        </w:tc>
      </w:tr>
      <w:tr w:rsidR="0014175B" w:rsidRPr="00525666" w14:paraId="1F50E642" w14:textId="77777777" w:rsidTr="00A1235B">
        <w:trPr>
          <w:trHeight w:val="376"/>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6285C822" w14:textId="77777777" w:rsidR="0014175B" w:rsidRPr="0071653E"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15B9D4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Cieľ</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72ACF62B"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CBFD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095F06"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8F25A5"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A41B2F"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B3B7A9"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99A338"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174022" w14:textId="77777777" w:rsidR="0014175B" w:rsidRPr="003D37F4" w:rsidRDefault="0014175B" w:rsidP="00A1235B">
            <w:pPr>
              <w:spacing w:line="100" w:lineRule="atLeast"/>
              <w:jc w:val="center"/>
              <w:rPr>
                <w:rFonts w:ascii="Arial Narrow" w:hAnsi="Arial Narrow" w:cs="Arial"/>
                <w:b/>
                <w:sz w:val="16"/>
                <w:szCs w:val="16"/>
              </w:rPr>
            </w:pPr>
            <w:r w:rsidRPr="003D37F4">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26043950" w14:textId="77777777" w:rsidR="0014175B" w:rsidRPr="00F7076C" w:rsidRDefault="0014175B" w:rsidP="00A1235B">
            <w:pPr>
              <w:spacing w:line="100" w:lineRule="atLeast"/>
              <w:jc w:val="center"/>
              <w:rPr>
                <w:rFonts w:ascii="Arial Narrow" w:hAnsi="Arial Narrow" w:cs="Arial"/>
                <w:sz w:val="16"/>
                <w:szCs w:val="16"/>
              </w:rPr>
            </w:pPr>
            <w:r w:rsidRPr="00F7076C">
              <w:rPr>
                <w:rFonts w:ascii="Arial Narrow" w:hAnsi="Arial Narrow" w:cs="Arial"/>
                <w:sz w:val="16"/>
                <w:szCs w:val="16"/>
              </w:rPr>
              <w:t>25</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0B177E31" w14:textId="77777777" w:rsidR="0014175B" w:rsidRPr="0082008A" w:rsidRDefault="0014175B" w:rsidP="00A1235B">
            <w:pPr>
              <w:spacing w:line="100" w:lineRule="atLeast"/>
              <w:jc w:val="center"/>
            </w:pPr>
            <w:r>
              <w:rPr>
                <w:rFonts w:ascii="Arial Narrow" w:hAnsi="Arial Narrow" w:cs="Arial"/>
                <w:b/>
                <w:sz w:val="16"/>
                <w:szCs w:val="16"/>
              </w:rPr>
              <w:t>25</w:t>
            </w:r>
          </w:p>
        </w:tc>
      </w:tr>
      <w:tr w:rsidR="0014175B" w:rsidRPr="00525666" w14:paraId="75F63B2B" w14:textId="77777777" w:rsidTr="00A1235B">
        <w:trPr>
          <w:trHeight w:val="376"/>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7D9E3E40" w14:textId="77777777" w:rsidR="0014175B" w:rsidRPr="0071653E"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3AC71A02"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Východisko</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033D82D7"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0,5</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D129DA"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3F6F6F"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A2BAA2"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DEB35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3E0CF"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43FDD"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B2E9E3" w14:textId="77777777" w:rsidR="0014175B" w:rsidRPr="003D37F4" w:rsidRDefault="0014175B" w:rsidP="00A1235B">
            <w:pPr>
              <w:spacing w:line="100" w:lineRule="atLeast"/>
              <w:jc w:val="center"/>
              <w:rPr>
                <w:rFonts w:ascii="Arial Narrow" w:hAnsi="Arial Narrow" w:cs="Arial"/>
                <w:b/>
                <w:sz w:val="16"/>
                <w:szCs w:val="16"/>
              </w:rPr>
            </w:pPr>
            <w:r w:rsidRPr="003D37F4">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6C372D2" w14:textId="77777777" w:rsidR="0014175B" w:rsidRPr="00F7076C" w:rsidRDefault="0014175B" w:rsidP="00A1235B">
            <w:pPr>
              <w:spacing w:line="100" w:lineRule="atLeast"/>
              <w:jc w:val="center"/>
              <w:rPr>
                <w:rFonts w:ascii="Arial Narrow" w:hAnsi="Arial Narrow" w:cs="Arial"/>
                <w:sz w:val="16"/>
                <w:szCs w:val="16"/>
              </w:rPr>
            </w:pPr>
            <w:r w:rsidRPr="00F7076C">
              <w:rPr>
                <w:rFonts w:ascii="Arial Narrow" w:hAnsi="Arial Narrow" w:cs="Arial"/>
                <w:sz w:val="16"/>
                <w:szCs w:val="16"/>
              </w:rPr>
              <w:t>NA</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5318B575" w14:textId="77777777" w:rsidR="0014175B" w:rsidRPr="0082008A" w:rsidRDefault="0014175B" w:rsidP="00A1235B">
            <w:pPr>
              <w:spacing w:line="100" w:lineRule="atLeast"/>
              <w:jc w:val="center"/>
            </w:pPr>
            <w:r w:rsidRPr="0082008A">
              <w:rPr>
                <w:rFonts w:ascii="Arial Narrow" w:hAnsi="Arial Narrow" w:cs="Arial"/>
                <w:b/>
                <w:sz w:val="16"/>
                <w:szCs w:val="16"/>
              </w:rPr>
              <w:t>NA</w:t>
            </w:r>
          </w:p>
        </w:tc>
      </w:tr>
      <w:tr w:rsidR="0014175B" w:rsidRPr="00525666" w14:paraId="3E4DCE33" w14:textId="77777777" w:rsidTr="00A1235B">
        <w:trPr>
          <w:trHeight w:val="205"/>
        </w:trPr>
        <w:tc>
          <w:tcPr>
            <w:tcW w:w="9854" w:type="dxa"/>
            <w:gridSpan w:val="12"/>
            <w:tcBorders>
              <w:top w:val="single" w:sz="4" w:space="0" w:color="000000"/>
              <w:left w:val="single" w:sz="12" w:space="0" w:color="000000"/>
              <w:bottom w:val="single" w:sz="4" w:space="0" w:color="000000"/>
              <w:right w:val="single" w:sz="12" w:space="0" w:color="000000"/>
            </w:tcBorders>
            <w:shd w:val="clear" w:color="auto" w:fill="EAF1DD"/>
            <w:vAlign w:val="center"/>
          </w:tcPr>
          <w:p w14:paraId="0248CF85" w14:textId="77777777" w:rsidR="0014175B" w:rsidRPr="00525666" w:rsidRDefault="0014175B" w:rsidP="00A1235B">
            <w:pPr>
              <w:spacing w:line="100" w:lineRule="atLeast"/>
              <w:jc w:val="center"/>
              <w:rPr>
                <w:rFonts w:ascii="Arial Narrow" w:hAnsi="Arial Narrow" w:cs="Arial"/>
                <w:b/>
                <w:color w:val="FF0000"/>
                <w:sz w:val="16"/>
                <w:szCs w:val="16"/>
              </w:rPr>
            </w:pPr>
          </w:p>
        </w:tc>
      </w:tr>
      <w:tr w:rsidR="0014175B" w:rsidRPr="00525666" w14:paraId="215FED3F" w14:textId="77777777" w:rsidTr="00A1235B">
        <w:trPr>
          <w:trHeight w:val="410"/>
        </w:trPr>
        <w:tc>
          <w:tcPr>
            <w:tcW w:w="1316" w:type="dxa"/>
            <w:vMerge w:val="restart"/>
            <w:tcBorders>
              <w:top w:val="single" w:sz="4" w:space="0" w:color="000000"/>
              <w:left w:val="single" w:sz="12" w:space="0" w:color="000000"/>
              <w:bottom w:val="single" w:sz="4" w:space="0" w:color="000000"/>
              <w:right w:val="single" w:sz="4" w:space="0" w:color="000000"/>
            </w:tcBorders>
            <w:shd w:val="clear" w:color="auto" w:fill="auto"/>
            <w:vAlign w:val="center"/>
          </w:tcPr>
          <w:p w14:paraId="49EC4CCD" w14:textId="77777777" w:rsidR="0014175B" w:rsidRPr="0071653E" w:rsidRDefault="0014175B" w:rsidP="00A1235B">
            <w:pPr>
              <w:spacing w:line="100" w:lineRule="atLeast"/>
              <w:jc w:val="center"/>
              <w:rPr>
                <w:rFonts w:ascii="Arial Narrow" w:hAnsi="Arial Narrow" w:cs="Arial"/>
                <w:b/>
                <w:sz w:val="16"/>
                <w:szCs w:val="16"/>
              </w:rPr>
            </w:pPr>
            <w:r w:rsidRPr="0071653E">
              <w:rPr>
                <w:rFonts w:ascii="Arial Narrow" w:hAnsi="Arial Narrow" w:cs="Arial"/>
                <w:b/>
                <w:sz w:val="16"/>
                <w:szCs w:val="16"/>
              </w:rPr>
              <w:t>počet žiadateľov o NFP</w:t>
            </w: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094B2FE4"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Dosiahnutý výsledok</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2478E205"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83A964"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452</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06376B"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1262</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88F8C2"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1830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C121A"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2421</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F5161"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2674</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B1B939"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2787</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BA861" w14:textId="77777777" w:rsidR="0014175B" w:rsidRPr="003D37F4" w:rsidRDefault="0014175B" w:rsidP="00A1235B">
            <w:pPr>
              <w:spacing w:line="100" w:lineRule="atLeast"/>
              <w:jc w:val="center"/>
              <w:rPr>
                <w:rFonts w:ascii="Arial Narrow" w:hAnsi="Arial Narrow" w:cs="Arial"/>
                <w:b/>
                <w:sz w:val="16"/>
                <w:szCs w:val="16"/>
              </w:rPr>
            </w:pPr>
            <w:r w:rsidRPr="003D37F4">
              <w:rPr>
                <w:rFonts w:ascii="Arial Narrow" w:hAnsi="Arial Narrow" w:cs="Arial"/>
                <w:sz w:val="16"/>
                <w:szCs w:val="16"/>
              </w:rPr>
              <w:t>2995</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59178800" w14:textId="77777777" w:rsidR="0014175B" w:rsidRPr="00EC7305" w:rsidRDefault="0014175B" w:rsidP="00A1235B">
            <w:pPr>
              <w:spacing w:line="100" w:lineRule="atLeast"/>
              <w:jc w:val="center"/>
              <w:rPr>
                <w:rFonts w:ascii="Arial Narrow" w:hAnsi="Arial Narrow" w:cs="Arial"/>
                <w:sz w:val="16"/>
                <w:szCs w:val="16"/>
              </w:rPr>
            </w:pPr>
            <w:r w:rsidRPr="00EC7305">
              <w:rPr>
                <w:rFonts w:ascii="Arial Narrow" w:hAnsi="Arial Narrow" w:cs="Arial"/>
                <w:sz w:val="16"/>
                <w:szCs w:val="16"/>
              </w:rPr>
              <w:t>3023</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76C93E17" w14:textId="77777777" w:rsidR="0014175B" w:rsidRPr="00EC7305" w:rsidRDefault="0014175B" w:rsidP="00A1235B">
            <w:pPr>
              <w:spacing w:line="100" w:lineRule="atLeast"/>
              <w:jc w:val="center"/>
            </w:pPr>
            <w:r w:rsidRPr="00EC7305">
              <w:rPr>
                <w:rFonts w:ascii="Arial Narrow" w:hAnsi="Arial Narrow" w:cs="Arial"/>
                <w:b/>
                <w:sz w:val="16"/>
                <w:szCs w:val="16"/>
              </w:rPr>
              <w:t>3023</w:t>
            </w:r>
          </w:p>
        </w:tc>
      </w:tr>
      <w:tr w:rsidR="0014175B" w:rsidRPr="00525666" w14:paraId="6352BE10" w14:textId="77777777" w:rsidTr="00A1235B">
        <w:trPr>
          <w:trHeight w:val="410"/>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781D4B25" w14:textId="77777777" w:rsidR="0014175B" w:rsidRPr="00525666" w:rsidRDefault="0014175B" w:rsidP="00A1235B">
            <w:pPr>
              <w:spacing w:line="100" w:lineRule="atLeast"/>
              <w:jc w:val="center"/>
              <w:rPr>
                <w:rFonts w:ascii="Arial Narrow" w:hAnsi="Arial Narrow" w:cs="Arial"/>
                <w:b/>
                <w:color w:val="FF0000"/>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16D8D2AA"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Cieľ</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17167FE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67B77"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2B724D"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CC74A"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06617D"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D6B8C6"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7B5EE5"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F43E4C" w14:textId="77777777" w:rsidR="0014175B" w:rsidRPr="003D37F4" w:rsidRDefault="0014175B" w:rsidP="00A1235B">
            <w:pPr>
              <w:spacing w:line="100" w:lineRule="atLeast"/>
              <w:jc w:val="center"/>
              <w:rPr>
                <w:rFonts w:ascii="Arial Narrow" w:hAnsi="Arial Narrow" w:cs="Arial"/>
                <w:b/>
                <w:sz w:val="16"/>
                <w:szCs w:val="16"/>
              </w:rPr>
            </w:pPr>
            <w:r w:rsidRPr="003D37F4">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2D06D1E9" w14:textId="77777777" w:rsidR="0014175B" w:rsidRPr="00EC7305" w:rsidRDefault="0014175B" w:rsidP="00A1235B">
            <w:pPr>
              <w:spacing w:line="100" w:lineRule="atLeast"/>
              <w:jc w:val="center"/>
              <w:rPr>
                <w:rFonts w:ascii="Arial Narrow" w:hAnsi="Arial Narrow" w:cs="Arial"/>
                <w:sz w:val="16"/>
                <w:szCs w:val="16"/>
              </w:rPr>
            </w:pPr>
            <w:r w:rsidRPr="00EC7305">
              <w:rPr>
                <w:rFonts w:ascii="Arial Narrow" w:hAnsi="Arial Narrow" w:cs="Arial"/>
                <w:sz w:val="16"/>
                <w:szCs w:val="16"/>
              </w:rPr>
              <w:t>850</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79AFAB7C" w14:textId="77777777" w:rsidR="0014175B" w:rsidRPr="00EC7305" w:rsidRDefault="0014175B" w:rsidP="00A1235B">
            <w:pPr>
              <w:spacing w:line="100" w:lineRule="atLeast"/>
              <w:jc w:val="center"/>
            </w:pPr>
            <w:r w:rsidRPr="00EC7305">
              <w:rPr>
                <w:rFonts w:ascii="Arial Narrow" w:hAnsi="Arial Narrow" w:cs="Arial"/>
                <w:b/>
                <w:sz w:val="16"/>
                <w:szCs w:val="16"/>
              </w:rPr>
              <w:t>NA</w:t>
            </w:r>
          </w:p>
        </w:tc>
      </w:tr>
      <w:tr w:rsidR="0014175B" w:rsidRPr="00525666" w14:paraId="633878E2" w14:textId="77777777" w:rsidTr="00A1235B">
        <w:trPr>
          <w:trHeight w:val="410"/>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78525C20" w14:textId="77777777" w:rsidR="0014175B" w:rsidRPr="00525666" w:rsidRDefault="0014175B" w:rsidP="00A1235B">
            <w:pPr>
              <w:spacing w:line="100" w:lineRule="atLeast"/>
              <w:jc w:val="center"/>
              <w:rPr>
                <w:rFonts w:ascii="Arial Narrow" w:hAnsi="Arial Narrow" w:cs="Arial"/>
                <w:b/>
                <w:color w:val="FF0000"/>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0AA5428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Východisko</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00F69F59"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BCC70"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EE9385"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9E287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829EBD"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10A621"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22849"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9072BB" w14:textId="77777777" w:rsidR="0014175B" w:rsidRPr="003D37F4" w:rsidRDefault="0014175B" w:rsidP="00A1235B">
            <w:pPr>
              <w:spacing w:line="100" w:lineRule="atLeast"/>
              <w:jc w:val="center"/>
              <w:rPr>
                <w:rFonts w:ascii="Arial Narrow" w:hAnsi="Arial Narrow" w:cs="Arial"/>
                <w:b/>
                <w:sz w:val="16"/>
                <w:szCs w:val="16"/>
              </w:rPr>
            </w:pPr>
            <w:r w:rsidRPr="003D37F4">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118E2D4E" w14:textId="77777777" w:rsidR="0014175B" w:rsidRPr="00EC7305" w:rsidRDefault="0014175B" w:rsidP="00A1235B">
            <w:pPr>
              <w:spacing w:line="100" w:lineRule="atLeast"/>
              <w:jc w:val="center"/>
              <w:rPr>
                <w:rFonts w:ascii="Arial Narrow" w:hAnsi="Arial Narrow" w:cs="Arial"/>
                <w:sz w:val="16"/>
                <w:szCs w:val="16"/>
              </w:rPr>
            </w:pPr>
            <w:r w:rsidRPr="00EC7305">
              <w:rPr>
                <w:rFonts w:ascii="Arial Narrow" w:hAnsi="Arial Narrow" w:cs="Arial"/>
                <w:sz w:val="16"/>
                <w:szCs w:val="16"/>
              </w:rPr>
              <w:t>NA</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166CB3C0" w14:textId="77777777" w:rsidR="0014175B" w:rsidRPr="00EC7305" w:rsidRDefault="0014175B" w:rsidP="00A1235B">
            <w:pPr>
              <w:spacing w:line="100" w:lineRule="atLeast"/>
              <w:jc w:val="center"/>
            </w:pPr>
            <w:r w:rsidRPr="00EC7305">
              <w:rPr>
                <w:rFonts w:ascii="Arial Narrow" w:hAnsi="Arial Narrow" w:cs="Arial"/>
                <w:b/>
                <w:sz w:val="16"/>
                <w:szCs w:val="16"/>
              </w:rPr>
              <w:t>NA</w:t>
            </w:r>
          </w:p>
        </w:tc>
      </w:tr>
      <w:tr w:rsidR="0014175B" w:rsidRPr="00525666" w14:paraId="0A2D8322" w14:textId="77777777" w:rsidTr="00A1235B">
        <w:trPr>
          <w:trHeight w:val="205"/>
        </w:trPr>
        <w:tc>
          <w:tcPr>
            <w:tcW w:w="9854" w:type="dxa"/>
            <w:gridSpan w:val="12"/>
            <w:tcBorders>
              <w:top w:val="single" w:sz="4" w:space="0" w:color="000000"/>
              <w:left w:val="single" w:sz="12" w:space="0" w:color="000000"/>
              <w:bottom w:val="single" w:sz="4" w:space="0" w:color="000000"/>
              <w:right w:val="single" w:sz="12" w:space="0" w:color="000000"/>
            </w:tcBorders>
            <w:shd w:val="clear" w:color="auto" w:fill="EAF1DD"/>
            <w:vAlign w:val="center"/>
          </w:tcPr>
          <w:p w14:paraId="08824F6B" w14:textId="77777777" w:rsidR="0014175B" w:rsidRPr="00525666" w:rsidRDefault="0014175B" w:rsidP="00A1235B">
            <w:pPr>
              <w:spacing w:line="100" w:lineRule="atLeast"/>
              <w:jc w:val="center"/>
              <w:rPr>
                <w:rFonts w:ascii="Arial Narrow" w:hAnsi="Arial Narrow" w:cs="Arial"/>
                <w:b/>
                <w:color w:val="FF0000"/>
                <w:sz w:val="16"/>
                <w:szCs w:val="16"/>
              </w:rPr>
            </w:pPr>
          </w:p>
        </w:tc>
      </w:tr>
      <w:tr w:rsidR="0014175B" w:rsidRPr="00525666" w14:paraId="0B18678B" w14:textId="77777777" w:rsidTr="00A1235B">
        <w:trPr>
          <w:trHeight w:val="410"/>
        </w:trPr>
        <w:tc>
          <w:tcPr>
            <w:tcW w:w="1316" w:type="dxa"/>
            <w:vMerge w:val="restart"/>
            <w:tcBorders>
              <w:top w:val="single" w:sz="4" w:space="0" w:color="000000"/>
              <w:left w:val="single" w:sz="12" w:space="0" w:color="000000"/>
              <w:bottom w:val="single" w:sz="4" w:space="0" w:color="000000"/>
              <w:right w:val="single" w:sz="4" w:space="0" w:color="000000"/>
            </w:tcBorders>
            <w:shd w:val="clear" w:color="auto" w:fill="auto"/>
            <w:vAlign w:val="center"/>
          </w:tcPr>
          <w:p w14:paraId="0F0C58DD" w14:textId="77777777" w:rsidR="0014175B" w:rsidRPr="0071653E" w:rsidRDefault="0014175B" w:rsidP="00A1235B">
            <w:pPr>
              <w:spacing w:line="100" w:lineRule="atLeast"/>
              <w:jc w:val="center"/>
              <w:rPr>
                <w:rFonts w:ascii="Arial Narrow" w:hAnsi="Arial Narrow" w:cs="Arial"/>
                <w:b/>
                <w:sz w:val="16"/>
                <w:szCs w:val="16"/>
              </w:rPr>
            </w:pPr>
            <w:r w:rsidRPr="0071653E">
              <w:rPr>
                <w:rFonts w:ascii="Arial Narrow" w:hAnsi="Arial Narrow" w:cs="Arial"/>
                <w:b/>
                <w:sz w:val="16"/>
                <w:szCs w:val="16"/>
              </w:rPr>
              <w:t>počet úspešne realizovaných projektov</w:t>
            </w: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67B9E1E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Dosiahnutý výsledok</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611BA5D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B71EC5"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49</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465B4"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211</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5E60DD"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424</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6DA27"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461</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DBB1CF"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581</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41090C"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679</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04E9B3" w14:textId="77777777" w:rsidR="0014175B" w:rsidRPr="00A72CAA" w:rsidRDefault="0014175B" w:rsidP="00A1235B">
            <w:pPr>
              <w:spacing w:line="100" w:lineRule="atLeast"/>
              <w:jc w:val="center"/>
              <w:rPr>
                <w:rFonts w:ascii="Arial Narrow" w:hAnsi="Arial Narrow" w:cs="Arial"/>
                <w:b/>
                <w:sz w:val="16"/>
                <w:szCs w:val="16"/>
              </w:rPr>
            </w:pPr>
            <w:r w:rsidRPr="00A72CAA">
              <w:rPr>
                <w:rFonts w:ascii="Arial Narrow" w:hAnsi="Arial Narrow" w:cs="Arial"/>
                <w:sz w:val="16"/>
                <w:szCs w:val="16"/>
              </w:rPr>
              <w:t>740</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378657C9" w14:textId="77777777" w:rsidR="0014175B" w:rsidRPr="00024D3B" w:rsidRDefault="0014175B" w:rsidP="00A1235B">
            <w:pPr>
              <w:spacing w:line="100" w:lineRule="atLeast"/>
              <w:jc w:val="center"/>
              <w:rPr>
                <w:rFonts w:ascii="Arial Narrow" w:hAnsi="Arial Narrow" w:cs="Arial"/>
                <w:sz w:val="16"/>
                <w:szCs w:val="16"/>
              </w:rPr>
            </w:pPr>
            <w:r w:rsidRPr="00024D3B">
              <w:rPr>
                <w:rFonts w:ascii="Arial Narrow" w:hAnsi="Arial Narrow" w:cs="Arial"/>
                <w:sz w:val="16"/>
                <w:szCs w:val="16"/>
              </w:rPr>
              <w:t>760</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37E2991B" w14:textId="77777777" w:rsidR="0014175B" w:rsidRPr="00024D3B" w:rsidRDefault="0014175B" w:rsidP="00A1235B">
            <w:pPr>
              <w:spacing w:line="100" w:lineRule="atLeast"/>
              <w:jc w:val="center"/>
            </w:pPr>
            <w:r w:rsidRPr="00024D3B">
              <w:rPr>
                <w:rFonts w:ascii="Arial Narrow" w:hAnsi="Arial Narrow" w:cs="Arial"/>
                <w:b/>
                <w:sz w:val="16"/>
                <w:szCs w:val="16"/>
              </w:rPr>
              <w:t>760</w:t>
            </w:r>
          </w:p>
        </w:tc>
      </w:tr>
      <w:tr w:rsidR="0014175B" w:rsidRPr="00525666" w14:paraId="56A71784" w14:textId="77777777" w:rsidTr="00A1235B">
        <w:trPr>
          <w:trHeight w:val="410"/>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424904F4" w14:textId="77777777" w:rsidR="0014175B" w:rsidRPr="0071653E"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064FED18"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Cieľ</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43476D2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32B321"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0EC38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707B1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2E37A2"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192760"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0836DD"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2D7D79" w14:textId="77777777" w:rsidR="0014175B" w:rsidRPr="00A72CAA" w:rsidRDefault="0014175B" w:rsidP="00A1235B">
            <w:pPr>
              <w:spacing w:line="100" w:lineRule="atLeast"/>
              <w:jc w:val="center"/>
              <w:rPr>
                <w:rFonts w:ascii="Arial Narrow" w:hAnsi="Arial Narrow" w:cs="Arial"/>
                <w:b/>
                <w:sz w:val="16"/>
                <w:szCs w:val="16"/>
              </w:rPr>
            </w:pPr>
            <w:r w:rsidRPr="00A72CAA">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373365D9" w14:textId="77777777" w:rsidR="0014175B" w:rsidRPr="00024D3B" w:rsidRDefault="0014175B" w:rsidP="00A1235B">
            <w:pPr>
              <w:spacing w:line="100" w:lineRule="atLeast"/>
              <w:jc w:val="center"/>
              <w:rPr>
                <w:rFonts w:ascii="Arial Narrow" w:hAnsi="Arial Narrow" w:cs="Arial"/>
                <w:sz w:val="16"/>
                <w:szCs w:val="16"/>
              </w:rPr>
            </w:pPr>
            <w:r w:rsidRPr="00024D3B">
              <w:rPr>
                <w:rFonts w:ascii="Arial Narrow" w:hAnsi="Arial Narrow" w:cs="Arial"/>
                <w:sz w:val="16"/>
                <w:szCs w:val="16"/>
              </w:rPr>
              <w:t>380</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49D6F5F8" w14:textId="77777777" w:rsidR="0014175B" w:rsidRPr="00024D3B" w:rsidRDefault="0014175B" w:rsidP="00A1235B">
            <w:pPr>
              <w:spacing w:line="100" w:lineRule="atLeast"/>
              <w:jc w:val="center"/>
            </w:pPr>
            <w:r w:rsidRPr="00024D3B">
              <w:rPr>
                <w:rFonts w:ascii="Arial Narrow" w:hAnsi="Arial Narrow" w:cs="Arial"/>
                <w:b/>
                <w:sz w:val="16"/>
                <w:szCs w:val="16"/>
              </w:rPr>
              <w:t>380</w:t>
            </w:r>
          </w:p>
        </w:tc>
      </w:tr>
      <w:tr w:rsidR="0014175B" w:rsidRPr="00525666" w14:paraId="487F9AC1" w14:textId="77777777" w:rsidTr="00A1235B">
        <w:trPr>
          <w:trHeight w:val="410"/>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633DF66C" w14:textId="77777777" w:rsidR="0014175B" w:rsidRPr="0071653E"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5B237469"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Východisko</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7A35BE8D"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DC2254"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1DDB2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6CB9D7"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224B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E6DEB1"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F9E2DA"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081AB" w14:textId="77777777" w:rsidR="0014175B" w:rsidRPr="00A72CAA" w:rsidRDefault="0014175B" w:rsidP="00A1235B">
            <w:pPr>
              <w:spacing w:line="100" w:lineRule="atLeast"/>
              <w:jc w:val="center"/>
              <w:rPr>
                <w:rFonts w:ascii="Arial Narrow" w:hAnsi="Arial Narrow" w:cs="Arial"/>
                <w:b/>
                <w:sz w:val="16"/>
                <w:szCs w:val="16"/>
              </w:rPr>
            </w:pPr>
            <w:r w:rsidRPr="00A72CAA">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5CFB20A3" w14:textId="77777777" w:rsidR="0014175B" w:rsidRPr="00024D3B" w:rsidRDefault="0014175B" w:rsidP="00A1235B">
            <w:pPr>
              <w:spacing w:line="100" w:lineRule="atLeast"/>
              <w:jc w:val="center"/>
              <w:rPr>
                <w:rFonts w:ascii="Arial Narrow" w:hAnsi="Arial Narrow" w:cs="Arial"/>
                <w:sz w:val="16"/>
                <w:szCs w:val="16"/>
              </w:rPr>
            </w:pPr>
            <w:r w:rsidRPr="00024D3B">
              <w:rPr>
                <w:rFonts w:ascii="Arial Narrow" w:hAnsi="Arial Narrow" w:cs="Arial"/>
                <w:sz w:val="16"/>
                <w:szCs w:val="16"/>
              </w:rPr>
              <w:t>NA</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291FEACE" w14:textId="77777777" w:rsidR="0014175B" w:rsidRPr="00024D3B" w:rsidRDefault="0014175B" w:rsidP="00A1235B">
            <w:pPr>
              <w:spacing w:line="100" w:lineRule="atLeast"/>
              <w:jc w:val="center"/>
            </w:pPr>
            <w:r w:rsidRPr="00024D3B">
              <w:rPr>
                <w:rFonts w:ascii="Arial Narrow" w:hAnsi="Arial Narrow" w:cs="Arial"/>
                <w:b/>
                <w:sz w:val="16"/>
                <w:szCs w:val="16"/>
              </w:rPr>
              <w:t>NA</w:t>
            </w:r>
          </w:p>
        </w:tc>
      </w:tr>
      <w:tr w:rsidR="0014175B" w:rsidRPr="00525666" w14:paraId="35D6A249" w14:textId="77777777" w:rsidTr="00A1235B">
        <w:trPr>
          <w:trHeight w:val="205"/>
        </w:trPr>
        <w:tc>
          <w:tcPr>
            <w:tcW w:w="9854" w:type="dxa"/>
            <w:gridSpan w:val="12"/>
            <w:tcBorders>
              <w:top w:val="single" w:sz="4" w:space="0" w:color="000000"/>
              <w:left w:val="single" w:sz="12" w:space="0" w:color="000000"/>
              <w:bottom w:val="single" w:sz="4" w:space="0" w:color="000000"/>
              <w:right w:val="single" w:sz="12" w:space="0" w:color="000000"/>
            </w:tcBorders>
            <w:shd w:val="clear" w:color="auto" w:fill="EAF1DD"/>
            <w:vAlign w:val="center"/>
          </w:tcPr>
          <w:p w14:paraId="6260C79C" w14:textId="77777777" w:rsidR="0014175B" w:rsidRPr="00525666" w:rsidRDefault="0014175B" w:rsidP="00A1235B">
            <w:pPr>
              <w:spacing w:line="100" w:lineRule="atLeast"/>
              <w:jc w:val="center"/>
              <w:rPr>
                <w:rFonts w:ascii="Arial Narrow" w:hAnsi="Arial Narrow" w:cs="Arial"/>
                <w:b/>
                <w:color w:val="FF0000"/>
                <w:sz w:val="16"/>
                <w:szCs w:val="16"/>
              </w:rPr>
            </w:pPr>
          </w:p>
        </w:tc>
      </w:tr>
      <w:tr w:rsidR="0014175B" w:rsidRPr="00525666" w14:paraId="0ED06FD2" w14:textId="77777777" w:rsidTr="00A1235B">
        <w:trPr>
          <w:trHeight w:val="410"/>
        </w:trPr>
        <w:tc>
          <w:tcPr>
            <w:tcW w:w="1316" w:type="dxa"/>
            <w:vMerge w:val="restart"/>
            <w:tcBorders>
              <w:top w:val="single" w:sz="4" w:space="0" w:color="000000"/>
              <w:left w:val="single" w:sz="12" w:space="0" w:color="000000"/>
              <w:bottom w:val="single" w:sz="4" w:space="0" w:color="000000"/>
              <w:right w:val="single" w:sz="4" w:space="0" w:color="000000"/>
            </w:tcBorders>
            <w:shd w:val="clear" w:color="auto" w:fill="auto"/>
            <w:vAlign w:val="center"/>
          </w:tcPr>
          <w:p w14:paraId="061C929B" w14:textId="77777777" w:rsidR="0014175B" w:rsidRPr="0071653E" w:rsidRDefault="0014175B" w:rsidP="00A1235B">
            <w:pPr>
              <w:spacing w:line="100" w:lineRule="atLeast"/>
              <w:jc w:val="center"/>
              <w:rPr>
                <w:rFonts w:ascii="Arial Narrow" w:hAnsi="Arial Narrow" w:cs="Arial"/>
                <w:b/>
                <w:sz w:val="16"/>
                <w:szCs w:val="16"/>
              </w:rPr>
            </w:pPr>
            <w:r w:rsidRPr="0071653E">
              <w:rPr>
                <w:rFonts w:ascii="Arial Narrow" w:hAnsi="Arial Narrow" w:cs="Arial"/>
                <w:b/>
                <w:sz w:val="16"/>
                <w:szCs w:val="16"/>
              </w:rPr>
              <w:t>počet účastníkov/</w:t>
            </w:r>
          </w:p>
          <w:p w14:paraId="1130EDBF" w14:textId="77777777" w:rsidR="0014175B" w:rsidRPr="0071653E" w:rsidRDefault="0014175B" w:rsidP="00A1235B">
            <w:pPr>
              <w:spacing w:line="100" w:lineRule="atLeast"/>
              <w:jc w:val="center"/>
              <w:rPr>
                <w:rFonts w:ascii="Arial Narrow" w:hAnsi="Arial Narrow" w:cs="Arial"/>
                <w:b/>
                <w:sz w:val="16"/>
                <w:szCs w:val="16"/>
              </w:rPr>
            </w:pPr>
            <w:r w:rsidRPr="0071653E">
              <w:rPr>
                <w:rFonts w:ascii="Arial Narrow" w:hAnsi="Arial Narrow" w:cs="Arial"/>
                <w:b/>
                <w:sz w:val="16"/>
                <w:szCs w:val="16"/>
              </w:rPr>
              <w:t>návštevníkov</w:t>
            </w:r>
          </w:p>
          <w:p w14:paraId="1D1D7D06" w14:textId="77777777" w:rsidR="0014175B" w:rsidRPr="0071653E" w:rsidRDefault="0014175B" w:rsidP="00A1235B">
            <w:pPr>
              <w:spacing w:line="100" w:lineRule="atLeast"/>
              <w:jc w:val="center"/>
              <w:rPr>
                <w:rFonts w:ascii="Arial Narrow" w:hAnsi="Arial Narrow" w:cs="Arial"/>
                <w:b/>
                <w:sz w:val="16"/>
                <w:szCs w:val="16"/>
              </w:rPr>
            </w:pPr>
            <w:r w:rsidRPr="0071653E">
              <w:rPr>
                <w:rFonts w:ascii="Arial Narrow" w:hAnsi="Arial Narrow" w:cs="Arial"/>
                <w:b/>
                <w:sz w:val="16"/>
                <w:szCs w:val="16"/>
              </w:rPr>
              <w:t>seminárov, konferencií</w:t>
            </w: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0F521158"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Dosiahnutý výsledok</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5A701F5B"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2570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6FBD5A"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3025</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BFF0A0"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3565</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7EF62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9909</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7043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15794</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8E8ED"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18702</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7CA21E" w14:textId="77777777" w:rsidR="0014175B" w:rsidRPr="00A72CAA" w:rsidRDefault="0014175B" w:rsidP="00A1235B">
            <w:pPr>
              <w:spacing w:line="100" w:lineRule="atLeast"/>
              <w:jc w:val="center"/>
              <w:rPr>
                <w:rFonts w:ascii="Arial Narrow" w:hAnsi="Arial Narrow" w:cs="Arial"/>
                <w:sz w:val="16"/>
                <w:szCs w:val="16"/>
              </w:rPr>
            </w:pPr>
            <w:r w:rsidRPr="00A72CAA">
              <w:rPr>
                <w:rFonts w:ascii="Arial Narrow" w:hAnsi="Arial Narrow" w:cs="Arial"/>
                <w:sz w:val="16"/>
                <w:szCs w:val="16"/>
              </w:rPr>
              <w:t>23624</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642075" w14:textId="77777777" w:rsidR="0014175B" w:rsidRPr="00A72CAA" w:rsidRDefault="0014175B" w:rsidP="00A1235B">
            <w:pPr>
              <w:spacing w:line="100" w:lineRule="atLeast"/>
              <w:rPr>
                <w:rFonts w:ascii="Arial Narrow" w:hAnsi="Arial Narrow" w:cs="Arial"/>
                <w:b/>
                <w:sz w:val="16"/>
                <w:szCs w:val="16"/>
              </w:rPr>
            </w:pPr>
            <w:r w:rsidRPr="00A72CAA">
              <w:rPr>
                <w:rFonts w:ascii="Arial Narrow" w:hAnsi="Arial Narrow" w:cs="Arial"/>
                <w:sz w:val="16"/>
                <w:szCs w:val="16"/>
              </w:rPr>
              <w:t>23 840</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523DEDE3" w14:textId="77777777" w:rsidR="0014175B" w:rsidRPr="00F7076C" w:rsidRDefault="0014175B" w:rsidP="00A1235B">
            <w:pPr>
              <w:spacing w:line="100" w:lineRule="atLeast"/>
              <w:jc w:val="center"/>
              <w:rPr>
                <w:rFonts w:ascii="Arial Narrow" w:hAnsi="Arial Narrow" w:cs="Arial"/>
                <w:sz w:val="16"/>
                <w:szCs w:val="16"/>
              </w:rPr>
            </w:pPr>
            <w:r w:rsidRPr="00F7076C">
              <w:rPr>
                <w:rFonts w:ascii="Arial Narrow" w:hAnsi="Arial Narrow" w:cs="Arial"/>
                <w:sz w:val="16"/>
                <w:szCs w:val="16"/>
              </w:rPr>
              <w:t>23 940</w:t>
            </w:r>
          </w:p>
        </w:tc>
        <w:tc>
          <w:tcPr>
            <w:tcW w:w="978" w:type="dxa"/>
            <w:tcBorders>
              <w:top w:val="single" w:sz="4" w:space="0" w:color="000000"/>
              <w:left w:val="single" w:sz="12" w:space="0" w:color="000000"/>
              <w:bottom w:val="single" w:sz="4" w:space="0" w:color="000000"/>
              <w:right w:val="single" w:sz="12" w:space="0" w:color="000000"/>
            </w:tcBorders>
            <w:shd w:val="clear" w:color="auto" w:fill="F2F2F2" w:themeFill="background1" w:themeFillShade="F2"/>
            <w:vAlign w:val="center"/>
          </w:tcPr>
          <w:p w14:paraId="2CDBFEF3" w14:textId="77777777" w:rsidR="0014175B" w:rsidRPr="00002FA1" w:rsidRDefault="0014175B" w:rsidP="00A1235B">
            <w:pPr>
              <w:spacing w:line="100" w:lineRule="atLeast"/>
              <w:jc w:val="center"/>
              <w:rPr>
                <w:rFonts w:ascii="Arial Narrow" w:hAnsi="Arial Narrow" w:cs="Arial"/>
                <w:b/>
                <w:sz w:val="16"/>
                <w:szCs w:val="16"/>
              </w:rPr>
            </w:pPr>
            <w:r w:rsidRPr="00002FA1">
              <w:rPr>
                <w:rFonts w:ascii="Arial Narrow" w:hAnsi="Arial Narrow" w:cs="Arial"/>
                <w:b/>
                <w:sz w:val="16"/>
                <w:szCs w:val="16"/>
              </w:rPr>
              <w:t>23 940</w:t>
            </w:r>
          </w:p>
        </w:tc>
      </w:tr>
      <w:tr w:rsidR="0014175B" w:rsidRPr="00525666" w14:paraId="596C4BED" w14:textId="77777777" w:rsidTr="00A1235B">
        <w:trPr>
          <w:trHeight w:val="222"/>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6D5E7FF6" w14:textId="77777777" w:rsidR="0014175B" w:rsidRPr="0071653E"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5D5FF4C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Cieľ</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453F672A"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65986A"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94F266"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40F5D"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6E5A98"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966425"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8C9AB6" w14:textId="77777777" w:rsidR="0014175B" w:rsidRPr="00A72CAA" w:rsidRDefault="0014175B" w:rsidP="00A1235B">
            <w:pPr>
              <w:spacing w:line="100" w:lineRule="atLeast"/>
              <w:jc w:val="center"/>
              <w:rPr>
                <w:rFonts w:ascii="Arial Narrow" w:hAnsi="Arial Narrow" w:cs="Arial"/>
                <w:sz w:val="16"/>
                <w:szCs w:val="16"/>
              </w:rPr>
            </w:pPr>
            <w:r w:rsidRPr="00A72CAA">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80598" w14:textId="77777777" w:rsidR="0014175B" w:rsidRPr="00A72CAA" w:rsidRDefault="0014175B" w:rsidP="00A1235B">
            <w:pPr>
              <w:spacing w:line="100" w:lineRule="atLeast"/>
              <w:jc w:val="center"/>
              <w:rPr>
                <w:rFonts w:ascii="Arial Narrow" w:hAnsi="Arial Narrow" w:cs="Arial"/>
                <w:b/>
                <w:sz w:val="16"/>
                <w:szCs w:val="16"/>
              </w:rPr>
            </w:pPr>
            <w:r w:rsidRPr="00A72CAA">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609B6B03" w14:textId="77777777" w:rsidR="0014175B" w:rsidRPr="00F7076C" w:rsidRDefault="0014175B" w:rsidP="00A1235B">
            <w:pPr>
              <w:spacing w:line="100" w:lineRule="atLeast"/>
              <w:jc w:val="center"/>
              <w:rPr>
                <w:rFonts w:ascii="Arial Narrow" w:hAnsi="Arial Narrow" w:cs="Arial"/>
                <w:sz w:val="16"/>
                <w:szCs w:val="16"/>
              </w:rPr>
            </w:pPr>
            <w:r w:rsidRPr="00F7076C">
              <w:rPr>
                <w:rFonts w:ascii="Arial Narrow" w:hAnsi="Arial Narrow" w:cs="Arial"/>
                <w:sz w:val="16"/>
                <w:szCs w:val="16"/>
              </w:rPr>
              <w:t xml:space="preserve">5 000 </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45654747" w14:textId="77777777" w:rsidR="0014175B" w:rsidRPr="00002FA1" w:rsidRDefault="0014175B" w:rsidP="00A1235B">
            <w:pPr>
              <w:spacing w:line="100" w:lineRule="atLeast"/>
              <w:jc w:val="center"/>
            </w:pPr>
            <w:r>
              <w:rPr>
                <w:rFonts w:ascii="Arial Narrow" w:hAnsi="Arial Narrow" w:cs="Arial"/>
                <w:b/>
                <w:sz w:val="16"/>
                <w:szCs w:val="16"/>
              </w:rPr>
              <w:t>5 000</w:t>
            </w:r>
          </w:p>
        </w:tc>
      </w:tr>
      <w:tr w:rsidR="0014175B" w:rsidRPr="00525666" w14:paraId="7531EAB1" w14:textId="77777777" w:rsidTr="00A1235B">
        <w:trPr>
          <w:trHeight w:val="222"/>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2AA9BAD6" w14:textId="77777777" w:rsidR="0014175B" w:rsidRPr="0071653E"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C716142"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Východisko</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34ACFFB0"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9CD30"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1AAD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24C70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F3990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437531"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3C119" w14:textId="77777777" w:rsidR="0014175B" w:rsidRPr="00A72CAA" w:rsidRDefault="0014175B" w:rsidP="00A1235B">
            <w:pPr>
              <w:spacing w:line="100" w:lineRule="atLeast"/>
              <w:jc w:val="center"/>
              <w:rPr>
                <w:rFonts w:ascii="Arial Narrow" w:hAnsi="Arial Narrow" w:cs="Arial"/>
                <w:sz w:val="16"/>
                <w:szCs w:val="16"/>
              </w:rPr>
            </w:pPr>
            <w:r w:rsidRPr="00A72CAA">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43D64B" w14:textId="77777777" w:rsidR="0014175B" w:rsidRPr="00A72CAA" w:rsidRDefault="0014175B" w:rsidP="00A1235B">
            <w:pPr>
              <w:spacing w:line="100" w:lineRule="atLeast"/>
              <w:jc w:val="center"/>
              <w:rPr>
                <w:rFonts w:ascii="Arial Narrow" w:hAnsi="Arial Narrow" w:cs="Arial"/>
                <w:b/>
                <w:sz w:val="16"/>
                <w:szCs w:val="16"/>
              </w:rPr>
            </w:pPr>
            <w:r w:rsidRPr="00A72CAA">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480B89D" w14:textId="77777777" w:rsidR="0014175B" w:rsidRPr="00F7076C" w:rsidRDefault="0014175B" w:rsidP="00A1235B">
            <w:pPr>
              <w:spacing w:line="100" w:lineRule="atLeast"/>
              <w:jc w:val="center"/>
              <w:rPr>
                <w:rFonts w:ascii="Arial Narrow" w:hAnsi="Arial Narrow" w:cs="Arial"/>
                <w:sz w:val="16"/>
                <w:szCs w:val="16"/>
              </w:rPr>
            </w:pPr>
            <w:r w:rsidRPr="00F7076C">
              <w:rPr>
                <w:rFonts w:ascii="Arial Narrow" w:hAnsi="Arial Narrow" w:cs="Arial"/>
                <w:sz w:val="16"/>
                <w:szCs w:val="16"/>
              </w:rPr>
              <w:t>NA</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19372FD0" w14:textId="77777777" w:rsidR="0014175B" w:rsidRPr="00002FA1" w:rsidRDefault="0014175B" w:rsidP="00A1235B">
            <w:pPr>
              <w:spacing w:line="100" w:lineRule="atLeast"/>
              <w:jc w:val="center"/>
            </w:pPr>
            <w:r w:rsidRPr="00002FA1">
              <w:rPr>
                <w:rFonts w:ascii="Arial Narrow" w:hAnsi="Arial Narrow" w:cs="Arial"/>
                <w:b/>
                <w:sz w:val="16"/>
                <w:szCs w:val="16"/>
              </w:rPr>
              <w:t>NA</w:t>
            </w:r>
          </w:p>
        </w:tc>
      </w:tr>
      <w:tr w:rsidR="0014175B" w:rsidRPr="00525666" w14:paraId="4A3E6F71" w14:textId="77777777" w:rsidTr="00A1235B">
        <w:trPr>
          <w:trHeight w:val="205"/>
        </w:trPr>
        <w:tc>
          <w:tcPr>
            <w:tcW w:w="9854" w:type="dxa"/>
            <w:gridSpan w:val="12"/>
            <w:tcBorders>
              <w:top w:val="single" w:sz="4" w:space="0" w:color="000000"/>
              <w:left w:val="single" w:sz="12" w:space="0" w:color="000000"/>
              <w:bottom w:val="single" w:sz="4" w:space="0" w:color="000000"/>
              <w:right w:val="single" w:sz="12" w:space="0" w:color="000000"/>
            </w:tcBorders>
            <w:shd w:val="clear" w:color="auto" w:fill="EAF1DD"/>
            <w:vAlign w:val="center"/>
          </w:tcPr>
          <w:p w14:paraId="170587FB" w14:textId="77777777" w:rsidR="0014175B" w:rsidRPr="00525666" w:rsidRDefault="0014175B" w:rsidP="00A1235B">
            <w:pPr>
              <w:spacing w:line="100" w:lineRule="atLeast"/>
              <w:jc w:val="center"/>
              <w:rPr>
                <w:rFonts w:ascii="Arial Narrow" w:hAnsi="Arial Narrow" w:cs="Arial"/>
                <w:b/>
                <w:color w:val="FF0000"/>
                <w:sz w:val="16"/>
                <w:szCs w:val="16"/>
              </w:rPr>
            </w:pPr>
          </w:p>
        </w:tc>
      </w:tr>
      <w:tr w:rsidR="0014175B" w:rsidRPr="00525666" w14:paraId="1950B521" w14:textId="77777777" w:rsidTr="00A1235B">
        <w:trPr>
          <w:trHeight w:val="410"/>
        </w:trPr>
        <w:tc>
          <w:tcPr>
            <w:tcW w:w="1316" w:type="dxa"/>
            <w:vMerge w:val="restart"/>
            <w:tcBorders>
              <w:top w:val="single" w:sz="4" w:space="0" w:color="000000"/>
              <w:left w:val="single" w:sz="12" w:space="0" w:color="000000"/>
              <w:bottom w:val="single" w:sz="4" w:space="0" w:color="000000"/>
              <w:right w:val="single" w:sz="4" w:space="0" w:color="000000"/>
            </w:tcBorders>
            <w:shd w:val="clear" w:color="auto" w:fill="auto"/>
            <w:vAlign w:val="center"/>
          </w:tcPr>
          <w:p w14:paraId="584611EC" w14:textId="77777777" w:rsidR="0014175B" w:rsidRPr="0071653E" w:rsidRDefault="0014175B" w:rsidP="00A1235B">
            <w:pPr>
              <w:spacing w:line="100" w:lineRule="atLeast"/>
              <w:jc w:val="center"/>
              <w:rPr>
                <w:rFonts w:ascii="Arial Narrow" w:hAnsi="Arial Narrow" w:cs="Arial"/>
                <w:b/>
                <w:sz w:val="16"/>
                <w:szCs w:val="16"/>
              </w:rPr>
            </w:pPr>
            <w:r w:rsidRPr="0071653E">
              <w:rPr>
                <w:rFonts w:ascii="Arial Narrow" w:hAnsi="Arial Narrow" w:cs="Arial"/>
                <w:b/>
                <w:sz w:val="16"/>
                <w:szCs w:val="16"/>
              </w:rPr>
              <w:t>počet distribuovaných publikácií</w:t>
            </w: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132A7CB4"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Dosiahnutý výsledok</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5FFEC36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9C3C16"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9608</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B9EBC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53608</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967487"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71608</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012CF7"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96818</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26FC56"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97142</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AB4BC7" w14:textId="77777777" w:rsidR="0014175B" w:rsidRPr="00A72CAA" w:rsidRDefault="0014175B" w:rsidP="00A1235B">
            <w:pPr>
              <w:spacing w:line="100" w:lineRule="atLeast"/>
              <w:jc w:val="center"/>
              <w:rPr>
                <w:rFonts w:ascii="Arial Narrow" w:hAnsi="Arial Narrow" w:cs="Arial"/>
                <w:sz w:val="16"/>
                <w:szCs w:val="16"/>
              </w:rPr>
            </w:pPr>
            <w:r w:rsidRPr="00A72CAA">
              <w:rPr>
                <w:rFonts w:ascii="Arial Narrow" w:hAnsi="Arial Narrow" w:cs="Arial"/>
                <w:sz w:val="16"/>
                <w:szCs w:val="16"/>
              </w:rPr>
              <w:t>137 295</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86F7A6" w14:textId="77777777" w:rsidR="0014175B" w:rsidRPr="00A72CAA" w:rsidRDefault="0014175B" w:rsidP="00A1235B">
            <w:pPr>
              <w:spacing w:line="100" w:lineRule="atLeast"/>
              <w:jc w:val="center"/>
              <w:rPr>
                <w:rFonts w:ascii="Arial Narrow" w:hAnsi="Arial Narrow" w:cs="Arial"/>
                <w:sz w:val="16"/>
                <w:szCs w:val="16"/>
              </w:rPr>
            </w:pPr>
            <w:r w:rsidRPr="00A72CAA">
              <w:rPr>
                <w:rFonts w:ascii="Arial Narrow" w:hAnsi="Arial Narrow" w:cs="Arial"/>
                <w:sz w:val="16"/>
                <w:szCs w:val="16"/>
              </w:rPr>
              <w:t>137460</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39D7536D" w14:textId="77777777" w:rsidR="0014175B" w:rsidRPr="00F7076C" w:rsidRDefault="0014175B" w:rsidP="00A1235B">
            <w:pPr>
              <w:spacing w:line="100" w:lineRule="atLeast"/>
              <w:jc w:val="center"/>
              <w:rPr>
                <w:rFonts w:ascii="Arial Narrow" w:hAnsi="Arial Narrow" w:cs="Arial"/>
                <w:sz w:val="16"/>
                <w:szCs w:val="16"/>
              </w:rPr>
            </w:pPr>
            <w:r w:rsidRPr="00F7076C">
              <w:rPr>
                <w:rFonts w:ascii="Arial Narrow" w:hAnsi="Arial Narrow" w:cs="Arial"/>
                <w:sz w:val="16"/>
                <w:szCs w:val="16"/>
              </w:rPr>
              <w:t>138 010</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14A85850" w14:textId="77777777" w:rsidR="0014175B" w:rsidRPr="00525666" w:rsidRDefault="0014175B" w:rsidP="00A1235B">
            <w:pPr>
              <w:spacing w:line="100" w:lineRule="atLeast"/>
              <w:jc w:val="center"/>
              <w:rPr>
                <w:color w:val="FF0000"/>
              </w:rPr>
            </w:pPr>
            <w:r>
              <w:rPr>
                <w:rFonts w:ascii="Arial Narrow" w:hAnsi="Arial Narrow" w:cs="Arial"/>
                <w:b/>
                <w:sz w:val="16"/>
                <w:szCs w:val="16"/>
              </w:rPr>
              <w:t>138 010</w:t>
            </w:r>
          </w:p>
        </w:tc>
      </w:tr>
      <w:tr w:rsidR="0014175B" w:rsidRPr="00525666" w14:paraId="66C7A71A" w14:textId="77777777" w:rsidTr="00A1235B">
        <w:trPr>
          <w:trHeight w:val="222"/>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48417214" w14:textId="77777777" w:rsidR="0014175B" w:rsidRPr="0071653E"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11C240D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Cieľ</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643EF85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CAC35A"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53D0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3B7AB"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A11C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EA0140"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3EC000" w14:textId="77777777" w:rsidR="0014175B" w:rsidRPr="00A72CAA" w:rsidRDefault="0014175B" w:rsidP="00A1235B">
            <w:pPr>
              <w:spacing w:line="100" w:lineRule="atLeast"/>
              <w:jc w:val="center"/>
              <w:rPr>
                <w:rFonts w:ascii="Arial Narrow" w:hAnsi="Arial Narrow" w:cs="Arial"/>
                <w:sz w:val="16"/>
                <w:szCs w:val="16"/>
              </w:rPr>
            </w:pPr>
            <w:r w:rsidRPr="00A72CAA">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58B257" w14:textId="77777777" w:rsidR="0014175B" w:rsidRPr="00A72CAA" w:rsidRDefault="0014175B" w:rsidP="00A1235B">
            <w:pPr>
              <w:spacing w:line="100" w:lineRule="atLeast"/>
              <w:jc w:val="center"/>
              <w:rPr>
                <w:rFonts w:ascii="Arial Narrow" w:hAnsi="Arial Narrow" w:cs="Arial"/>
                <w:b/>
                <w:sz w:val="16"/>
                <w:szCs w:val="16"/>
              </w:rPr>
            </w:pPr>
            <w:r w:rsidRPr="00A72CAA">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25BE947D" w14:textId="77777777" w:rsidR="0014175B" w:rsidRPr="00F7076C" w:rsidRDefault="0014175B" w:rsidP="00A1235B">
            <w:pPr>
              <w:spacing w:line="100" w:lineRule="atLeast"/>
              <w:jc w:val="center"/>
              <w:rPr>
                <w:rFonts w:ascii="Arial Narrow" w:hAnsi="Arial Narrow" w:cs="Arial"/>
                <w:sz w:val="16"/>
                <w:szCs w:val="16"/>
              </w:rPr>
            </w:pPr>
            <w:r w:rsidRPr="00F7076C">
              <w:rPr>
                <w:rFonts w:ascii="Arial Narrow" w:hAnsi="Arial Narrow" w:cs="Arial"/>
                <w:sz w:val="16"/>
                <w:szCs w:val="16"/>
              </w:rPr>
              <w:t>3 000</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1B5353EF" w14:textId="77777777" w:rsidR="0014175B" w:rsidRPr="003576EE" w:rsidRDefault="0014175B" w:rsidP="00A1235B">
            <w:pPr>
              <w:spacing w:line="100" w:lineRule="atLeast"/>
              <w:jc w:val="center"/>
            </w:pPr>
            <w:r>
              <w:rPr>
                <w:rFonts w:ascii="Arial Narrow" w:hAnsi="Arial Narrow" w:cs="Arial"/>
                <w:b/>
                <w:sz w:val="16"/>
                <w:szCs w:val="16"/>
              </w:rPr>
              <w:t>3 000</w:t>
            </w:r>
          </w:p>
        </w:tc>
      </w:tr>
      <w:tr w:rsidR="0014175B" w:rsidRPr="00525666" w14:paraId="5790C9A0" w14:textId="77777777" w:rsidTr="00A1235B">
        <w:trPr>
          <w:trHeight w:val="222"/>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146281E4" w14:textId="77777777" w:rsidR="0014175B" w:rsidRPr="0071653E"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221DBB75"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Východisko</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69AD30BF"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3406E6"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F97487"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F84A1D"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402A07"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99332D"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CF6BB" w14:textId="77777777" w:rsidR="0014175B" w:rsidRPr="00A72CAA" w:rsidRDefault="0014175B" w:rsidP="00A1235B">
            <w:pPr>
              <w:spacing w:line="100" w:lineRule="atLeast"/>
              <w:jc w:val="center"/>
              <w:rPr>
                <w:rFonts w:ascii="Arial Narrow" w:hAnsi="Arial Narrow" w:cs="Arial"/>
                <w:sz w:val="16"/>
                <w:szCs w:val="16"/>
              </w:rPr>
            </w:pPr>
            <w:r w:rsidRPr="00A72CAA">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20BF2" w14:textId="77777777" w:rsidR="0014175B" w:rsidRPr="00A72CAA" w:rsidRDefault="0014175B" w:rsidP="00A1235B">
            <w:pPr>
              <w:spacing w:line="100" w:lineRule="atLeast"/>
              <w:jc w:val="center"/>
              <w:rPr>
                <w:rFonts w:ascii="Arial Narrow" w:hAnsi="Arial Narrow" w:cs="Arial"/>
                <w:b/>
                <w:sz w:val="16"/>
                <w:szCs w:val="16"/>
              </w:rPr>
            </w:pPr>
            <w:r w:rsidRPr="00A72CAA">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18B11C9B" w14:textId="77777777" w:rsidR="0014175B" w:rsidRPr="00F7076C" w:rsidRDefault="0014175B" w:rsidP="00A1235B">
            <w:pPr>
              <w:spacing w:line="100" w:lineRule="atLeast"/>
              <w:jc w:val="center"/>
              <w:rPr>
                <w:rFonts w:ascii="Arial Narrow" w:hAnsi="Arial Narrow" w:cs="Arial"/>
                <w:sz w:val="16"/>
                <w:szCs w:val="16"/>
              </w:rPr>
            </w:pPr>
            <w:r w:rsidRPr="00F7076C">
              <w:rPr>
                <w:rFonts w:ascii="Arial Narrow" w:hAnsi="Arial Narrow" w:cs="Arial"/>
                <w:sz w:val="16"/>
                <w:szCs w:val="16"/>
              </w:rPr>
              <w:t>NA</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5DA32A0B" w14:textId="77777777" w:rsidR="0014175B" w:rsidRPr="003576EE" w:rsidRDefault="0014175B" w:rsidP="00A1235B">
            <w:pPr>
              <w:spacing w:line="100" w:lineRule="atLeast"/>
              <w:jc w:val="center"/>
            </w:pPr>
            <w:r w:rsidRPr="003576EE">
              <w:rPr>
                <w:rFonts w:ascii="Arial Narrow" w:hAnsi="Arial Narrow" w:cs="Arial"/>
                <w:b/>
                <w:sz w:val="16"/>
                <w:szCs w:val="16"/>
              </w:rPr>
              <w:t>NA</w:t>
            </w:r>
          </w:p>
        </w:tc>
      </w:tr>
      <w:tr w:rsidR="0014175B" w:rsidRPr="00525666" w14:paraId="4D5BCC87" w14:textId="77777777" w:rsidTr="00A1235B">
        <w:trPr>
          <w:trHeight w:val="410"/>
        </w:trPr>
        <w:tc>
          <w:tcPr>
            <w:tcW w:w="1316" w:type="dxa"/>
            <w:vMerge w:val="restart"/>
            <w:tcBorders>
              <w:top w:val="single" w:sz="4" w:space="0" w:color="000000"/>
              <w:left w:val="single" w:sz="12" w:space="0" w:color="000000"/>
              <w:bottom w:val="single" w:sz="4" w:space="0" w:color="000000"/>
              <w:right w:val="single" w:sz="4" w:space="0" w:color="000000"/>
            </w:tcBorders>
            <w:shd w:val="clear" w:color="auto" w:fill="auto"/>
            <w:vAlign w:val="center"/>
          </w:tcPr>
          <w:p w14:paraId="6893F2F6" w14:textId="77777777" w:rsidR="0014175B" w:rsidRPr="0071653E" w:rsidRDefault="0014175B" w:rsidP="00A1235B">
            <w:pPr>
              <w:spacing w:line="100" w:lineRule="atLeast"/>
              <w:jc w:val="center"/>
              <w:rPr>
                <w:rFonts w:ascii="Arial Narrow" w:hAnsi="Arial Narrow" w:cs="Arial"/>
                <w:b/>
                <w:sz w:val="16"/>
                <w:szCs w:val="16"/>
              </w:rPr>
            </w:pPr>
            <w:r w:rsidRPr="0071653E">
              <w:rPr>
                <w:rFonts w:ascii="Arial Narrow" w:hAnsi="Arial Narrow" w:cs="Arial"/>
                <w:b/>
                <w:sz w:val="16"/>
                <w:szCs w:val="16"/>
              </w:rPr>
              <w:t>počet prístupov</w:t>
            </w:r>
          </w:p>
          <w:p w14:paraId="0EDCC088" w14:textId="77777777" w:rsidR="0014175B" w:rsidRPr="0071653E" w:rsidRDefault="0014175B" w:rsidP="00A1235B">
            <w:pPr>
              <w:spacing w:line="100" w:lineRule="atLeast"/>
              <w:jc w:val="center"/>
              <w:rPr>
                <w:rFonts w:ascii="Arial Narrow" w:hAnsi="Arial Narrow" w:cs="Arial"/>
                <w:b/>
                <w:sz w:val="16"/>
                <w:szCs w:val="16"/>
              </w:rPr>
            </w:pPr>
            <w:r w:rsidRPr="0071653E">
              <w:rPr>
                <w:rFonts w:ascii="Arial Narrow" w:hAnsi="Arial Narrow" w:cs="Arial"/>
                <w:b/>
                <w:sz w:val="16"/>
                <w:szCs w:val="16"/>
              </w:rPr>
              <w:t>na stránku za rok</w:t>
            </w: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5D2C9DE"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Dosiahnutý výsledok</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429726C9"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1 606</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B7BE64"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90707</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0FE636"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194183</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FF5DF6"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361918</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C496F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479566</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E11B9C"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545947</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ED1640"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601376</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7B6247" w14:textId="77777777" w:rsidR="0014175B" w:rsidRPr="00A72CAA" w:rsidRDefault="0014175B" w:rsidP="00A1235B">
            <w:pPr>
              <w:spacing w:line="100" w:lineRule="atLeast"/>
              <w:jc w:val="center"/>
              <w:rPr>
                <w:rFonts w:ascii="Arial Narrow" w:hAnsi="Arial Narrow" w:cs="Arial"/>
                <w:b/>
                <w:sz w:val="16"/>
                <w:szCs w:val="16"/>
              </w:rPr>
            </w:pPr>
            <w:r w:rsidRPr="00A72CAA">
              <w:rPr>
                <w:rFonts w:ascii="Arial Narrow" w:hAnsi="Arial Narrow" w:cs="Arial"/>
                <w:sz w:val="16"/>
                <w:szCs w:val="16"/>
              </w:rPr>
              <w:t>666381</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7E760D23" w14:textId="77777777" w:rsidR="0014175B" w:rsidRPr="00173988" w:rsidRDefault="0014175B" w:rsidP="00A1235B">
            <w:pPr>
              <w:spacing w:line="100" w:lineRule="atLeast"/>
              <w:jc w:val="center"/>
              <w:rPr>
                <w:rFonts w:ascii="Arial Narrow" w:hAnsi="Arial Narrow" w:cs="Arial"/>
                <w:sz w:val="16"/>
                <w:szCs w:val="16"/>
              </w:rPr>
            </w:pPr>
            <w:r w:rsidRPr="00173988">
              <w:rPr>
                <w:rFonts w:ascii="Arial Narrow" w:hAnsi="Arial Narrow" w:cs="Arial"/>
                <w:sz w:val="16"/>
                <w:szCs w:val="16"/>
              </w:rPr>
              <w:t>745 160</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11E305A2" w14:textId="77777777" w:rsidR="0014175B" w:rsidRPr="007772A7" w:rsidRDefault="0014175B" w:rsidP="00A1235B">
            <w:pPr>
              <w:spacing w:line="100" w:lineRule="atLeast"/>
              <w:jc w:val="center"/>
            </w:pPr>
            <w:r w:rsidRPr="007772A7">
              <w:rPr>
                <w:rFonts w:ascii="Arial Narrow" w:hAnsi="Arial Narrow" w:cs="Arial"/>
                <w:b/>
                <w:sz w:val="16"/>
                <w:szCs w:val="16"/>
              </w:rPr>
              <w:t>745</w:t>
            </w:r>
            <w:r>
              <w:rPr>
                <w:rFonts w:ascii="Arial Narrow" w:hAnsi="Arial Narrow" w:cs="Arial"/>
                <w:b/>
                <w:sz w:val="16"/>
                <w:szCs w:val="16"/>
              </w:rPr>
              <w:t xml:space="preserve"> </w:t>
            </w:r>
            <w:r w:rsidRPr="007772A7">
              <w:rPr>
                <w:rFonts w:ascii="Arial Narrow" w:hAnsi="Arial Narrow" w:cs="Arial"/>
                <w:b/>
                <w:sz w:val="16"/>
                <w:szCs w:val="16"/>
              </w:rPr>
              <w:t>160</w:t>
            </w:r>
          </w:p>
        </w:tc>
      </w:tr>
      <w:tr w:rsidR="0014175B" w:rsidRPr="00525666" w14:paraId="4915288D" w14:textId="77777777" w:rsidTr="00A1235B">
        <w:trPr>
          <w:trHeight w:val="222"/>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55C2251E" w14:textId="77777777" w:rsidR="0014175B" w:rsidRPr="0071653E"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1416D415"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Cieľ</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4AD2D77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A1902F"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51045"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EE25E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19624"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59C0E3"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9AE31"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AC4C96" w14:textId="77777777" w:rsidR="0014175B" w:rsidRPr="00A72CAA" w:rsidRDefault="0014175B" w:rsidP="00A1235B">
            <w:pPr>
              <w:spacing w:line="100" w:lineRule="atLeast"/>
              <w:jc w:val="center"/>
              <w:rPr>
                <w:rFonts w:ascii="Arial Narrow" w:hAnsi="Arial Narrow" w:cs="Arial"/>
                <w:b/>
                <w:sz w:val="16"/>
                <w:szCs w:val="16"/>
              </w:rPr>
            </w:pPr>
            <w:r w:rsidRPr="00A72CAA">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6E031EEF" w14:textId="77777777" w:rsidR="0014175B" w:rsidRPr="00173988" w:rsidRDefault="0014175B" w:rsidP="00A1235B">
            <w:pPr>
              <w:spacing w:line="100" w:lineRule="atLeast"/>
              <w:jc w:val="center"/>
              <w:rPr>
                <w:rFonts w:ascii="Arial Narrow" w:hAnsi="Arial Narrow" w:cs="Arial"/>
                <w:sz w:val="16"/>
                <w:szCs w:val="16"/>
              </w:rPr>
            </w:pPr>
            <w:r w:rsidRPr="00173988">
              <w:rPr>
                <w:rFonts w:ascii="Arial Narrow" w:hAnsi="Arial Narrow" w:cs="Arial"/>
                <w:sz w:val="16"/>
                <w:szCs w:val="16"/>
              </w:rPr>
              <w:t>700 000</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08C6AE30" w14:textId="77777777" w:rsidR="0014175B" w:rsidRPr="007772A7" w:rsidRDefault="0014175B" w:rsidP="00A1235B">
            <w:pPr>
              <w:spacing w:line="100" w:lineRule="atLeast"/>
              <w:jc w:val="center"/>
            </w:pPr>
            <w:r>
              <w:rPr>
                <w:rFonts w:ascii="Arial Narrow" w:hAnsi="Arial Narrow" w:cs="Arial"/>
                <w:b/>
                <w:sz w:val="16"/>
                <w:szCs w:val="16"/>
              </w:rPr>
              <w:t>700 000</w:t>
            </w:r>
          </w:p>
        </w:tc>
      </w:tr>
      <w:tr w:rsidR="0014175B" w:rsidRPr="00525666" w14:paraId="3EA7C020" w14:textId="77777777" w:rsidTr="00A1235B">
        <w:trPr>
          <w:trHeight w:val="222"/>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4BC17D24" w14:textId="77777777" w:rsidR="0014175B" w:rsidRPr="0071653E"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58EAB8B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b/>
                <w:sz w:val="16"/>
                <w:szCs w:val="16"/>
              </w:rPr>
              <w:t>Východisko</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3FBC9713"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FC8AE5"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69489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136535"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1E889C" w14:textId="77777777" w:rsidR="0014175B" w:rsidRPr="0071653E" w:rsidRDefault="0014175B" w:rsidP="00A1235B">
            <w:pPr>
              <w:spacing w:line="100" w:lineRule="atLeast"/>
              <w:jc w:val="center"/>
              <w:rPr>
                <w:rFonts w:ascii="Arial Narrow" w:hAnsi="Arial Narrow" w:cs="Arial"/>
                <w:sz w:val="16"/>
                <w:szCs w:val="16"/>
              </w:rPr>
            </w:pPr>
            <w:r w:rsidRPr="0071653E">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B80CB"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8C775"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8B9ED" w14:textId="77777777" w:rsidR="0014175B" w:rsidRPr="00A72CAA" w:rsidRDefault="0014175B" w:rsidP="00A1235B">
            <w:pPr>
              <w:spacing w:line="100" w:lineRule="atLeast"/>
              <w:jc w:val="center"/>
              <w:rPr>
                <w:rFonts w:ascii="Arial Narrow" w:hAnsi="Arial Narrow" w:cs="Arial"/>
                <w:b/>
                <w:sz w:val="16"/>
                <w:szCs w:val="16"/>
              </w:rPr>
            </w:pPr>
            <w:r w:rsidRPr="00A72CAA">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711C4EA" w14:textId="77777777" w:rsidR="0014175B" w:rsidRPr="00173988" w:rsidRDefault="0014175B" w:rsidP="00A1235B">
            <w:pPr>
              <w:spacing w:line="100" w:lineRule="atLeast"/>
              <w:jc w:val="center"/>
              <w:rPr>
                <w:rFonts w:ascii="Arial Narrow" w:hAnsi="Arial Narrow" w:cs="Arial"/>
                <w:sz w:val="16"/>
                <w:szCs w:val="16"/>
              </w:rPr>
            </w:pPr>
            <w:r w:rsidRPr="00173988">
              <w:rPr>
                <w:rFonts w:ascii="Arial Narrow" w:hAnsi="Arial Narrow" w:cs="Arial"/>
                <w:sz w:val="16"/>
                <w:szCs w:val="16"/>
              </w:rPr>
              <w:t>NA</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0FBC1CC1" w14:textId="77777777" w:rsidR="0014175B" w:rsidRPr="007772A7" w:rsidRDefault="0014175B" w:rsidP="00A1235B">
            <w:pPr>
              <w:spacing w:line="100" w:lineRule="atLeast"/>
              <w:jc w:val="center"/>
            </w:pPr>
            <w:r w:rsidRPr="007772A7">
              <w:rPr>
                <w:rFonts w:ascii="Arial Narrow" w:hAnsi="Arial Narrow" w:cs="Arial"/>
                <w:b/>
                <w:sz w:val="16"/>
                <w:szCs w:val="16"/>
              </w:rPr>
              <w:t>NA</w:t>
            </w:r>
          </w:p>
        </w:tc>
      </w:tr>
      <w:tr w:rsidR="0014175B" w:rsidRPr="00525666" w14:paraId="59759829" w14:textId="77777777" w:rsidTr="00A1235B">
        <w:trPr>
          <w:trHeight w:val="205"/>
        </w:trPr>
        <w:tc>
          <w:tcPr>
            <w:tcW w:w="9854" w:type="dxa"/>
            <w:gridSpan w:val="12"/>
            <w:tcBorders>
              <w:top w:val="single" w:sz="4" w:space="0" w:color="000000"/>
              <w:left w:val="single" w:sz="12" w:space="0" w:color="000000"/>
              <w:bottom w:val="single" w:sz="4" w:space="0" w:color="000000"/>
              <w:right w:val="single" w:sz="12" w:space="0" w:color="000000"/>
            </w:tcBorders>
            <w:shd w:val="clear" w:color="auto" w:fill="EAF1DD"/>
            <w:vAlign w:val="center"/>
          </w:tcPr>
          <w:p w14:paraId="44826550" w14:textId="77777777" w:rsidR="0014175B" w:rsidRPr="00525666" w:rsidRDefault="0014175B" w:rsidP="00A1235B">
            <w:pPr>
              <w:spacing w:line="100" w:lineRule="atLeast"/>
              <w:jc w:val="center"/>
              <w:rPr>
                <w:rFonts w:ascii="Arial Narrow" w:hAnsi="Arial Narrow" w:cs="Arial"/>
                <w:b/>
                <w:color w:val="FF0000"/>
                <w:sz w:val="16"/>
                <w:szCs w:val="16"/>
              </w:rPr>
            </w:pPr>
          </w:p>
        </w:tc>
      </w:tr>
      <w:tr w:rsidR="001A0BB8" w14:paraId="14B1DF2B" w14:textId="77777777" w:rsidTr="0055051B">
        <w:trPr>
          <w:trHeight w:val="638"/>
        </w:trPr>
        <w:tc>
          <w:tcPr>
            <w:tcW w:w="2315" w:type="dxa"/>
            <w:gridSpan w:val="2"/>
            <w:shd w:val="clear" w:color="auto" w:fill="EAF1DD" w:themeFill="accent3" w:themeFillTint="33"/>
            <w:vAlign w:val="center"/>
          </w:tcPr>
          <w:p w14:paraId="0F5B3E88"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Ukazovatele dopadu</w:t>
            </w:r>
          </w:p>
        </w:tc>
        <w:tc>
          <w:tcPr>
            <w:tcW w:w="730" w:type="dxa"/>
            <w:shd w:val="clear" w:color="auto" w:fill="EAF1DD" w:themeFill="accent3" w:themeFillTint="33"/>
            <w:vAlign w:val="center"/>
          </w:tcPr>
          <w:p w14:paraId="3A7A8E85"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2007</w:t>
            </w:r>
          </w:p>
        </w:tc>
        <w:tc>
          <w:tcPr>
            <w:tcW w:w="729" w:type="dxa"/>
            <w:shd w:val="clear" w:color="auto" w:fill="EAF1DD" w:themeFill="accent3" w:themeFillTint="33"/>
            <w:vAlign w:val="center"/>
          </w:tcPr>
          <w:p w14:paraId="0ABA571E"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2008</w:t>
            </w:r>
          </w:p>
        </w:tc>
        <w:tc>
          <w:tcPr>
            <w:tcW w:w="729" w:type="dxa"/>
            <w:shd w:val="clear" w:color="auto" w:fill="EAF1DD" w:themeFill="accent3" w:themeFillTint="33"/>
            <w:vAlign w:val="center"/>
          </w:tcPr>
          <w:p w14:paraId="29ACC25D"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2009</w:t>
            </w:r>
          </w:p>
        </w:tc>
        <w:tc>
          <w:tcPr>
            <w:tcW w:w="728" w:type="dxa"/>
            <w:shd w:val="clear" w:color="auto" w:fill="EAF1DD" w:themeFill="accent3" w:themeFillTint="33"/>
            <w:vAlign w:val="center"/>
          </w:tcPr>
          <w:p w14:paraId="63A9208E"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2010</w:t>
            </w:r>
          </w:p>
        </w:tc>
        <w:tc>
          <w:tcPr>
            <w:tcW w:w="729" w:type="dxa"/>
            <w:shd w:val="clear" w:color="auto" w:fill="EAF1DD" w:themeFill="accent3" w:themeFillTint="33"/>
            <w:vAlign w:val="center"/>
          </w:tcPr>
          <w:p w14:paraId="6A52DF52"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2011</w:t>
            </w:r>
          </w:p>
        </w:tc>
        <w:tc>
          <w:tcPr>
            <w:tcW w:w="728" w:type="dxa"/>
            <w:shd w:val="clear" w:color="auto" w:fill="EAF1DD" w:themeFill="accent3" w:themeFillTint="33"/>
            <w:vAlign w:val="center"/>
          </w:tcPr>
          <w:p w14:paraId="084E30AC"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2012</w:t>
            </w:r>
          </w:p>
        </w:tc>
        <w:tc>
          <w:tcPr>
            <w:tcW w:w="729" w:type="dxa"/>
            <w:shd w:val="clear" w:color="auto" w:fill="EAF1DD" w:themeFill="accent3" w:themeFillTint="33"/>
            <w:vAlign w:val="center"/>
          </w:tcPr>
          <w:p w14:paraId="3AADEED5"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2013</w:t>
            </w:r>
          </w:p>
        </w:tc>
        <w:tc>
          <w:tcPr>
            <w:tcW w:w="728" w:type="dxa"/>
            <w:shd w:val="clear" w:color="auto" w:fill="EAF1DD" w:themeFill="accent3" w:themeFillTint="33"/>
            <w:vAlign w:val="center"/>
          </w:tcPr>
          <w:p w14:paraId="3DB02BA2"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2014</w:t>
            </w:r>
          </w:p>
        </w:tc>
        <w:tc>
          <w:tcPr>
            <w:tcW w:w="729" w:type="dxa"/>
            <w:shd w:val="clear" w:color="auto" w:fill="EAF1DD" w:themeFill="accent3" w:themeFillTint="33"/>
            <w:vAlign w:val="center"/>
          </w:tcPr>
          <w:p w14:paraId="2A86BFEB" w14:textId="77777777" w:rsidR="0014175B" w:rsidRPr="0055051B" w:rsidRDefault="0014175B" w:rsidP="00A1235B">
            <w:pPr>
              <w:spacing w:line="100" w:lineRule="atLeast"/>
              <w:jc w:val="center"/>
              <w:rPr>
                <w:rFonts w:ascii="Arial Narrow" w:hAnsi="Arial Narrow" w:cs="Arial"/>
                <w:b/>
                <w:sz w:val="16"/>
                <w:szCs w:val="16"/>
              </w:rPr>
            </w:pPr>
            <w:r w:rsidRPr="0055051B">
              <w:rPr>
                <w:rFonts w:ascii="Arial Narrow" w:hAnsi="Arial Narrow" w:cs="Arial"/>
                <w:b/>
                <w:sz w:val="16"/>
                <w:szCs w:val="16"/>
              </w:rPr>
              <w:t>2015</w:t>
            </w:r>
          </w:p>
        </w:tc>
        <w:tc>
          <w:tcPr>
            <w:tcW w:w="978" w:type="dxa"/>
            <w:shd w:val="clear" w:color="auto" w:fill="EAF1DD" w:themeFill="accent3" w:themeFillTint="33"/>
            <w:vAlign w:val="center"/>
          </w:tcPr>
          <w:p w14:paraId="0E7D5A97" w14:textId="77777777" w:rsidR="0014175B" w:rsidRPr="0055051B" w:rsidRDefault="0014175B" w:rsidP="00A1235B">
            <w:pPr>
              <w:spacing w:line="100" w:lineRule="atLeast"/>
              <w:jc w:val="center"/>
            </w:pPr>
            <w:r w:rsidRPr="0055051B">
              <w:rPr>
                <w:rFonts w:ascii="Arial Narrow" w:hAnsi="Arial Narrow" w:cs="Arial"/>
                <w:b/>
                <w:sz w:val="16"/>
                <w:szCs w:val="16"/>
              </w:rPr>
              <w:t>Spolu</w:t>
            </w:r>
          </w:p>
        </w:tc>
      </w:tr>
      <w:tr w:rsidR="0014175B" w:rsidRPr="00525666" w14:paraId="0F2BB2A0" w14:textId="77777777" w:rsidTr="00A1235B">
        <w:trPr>
          <w:trHeight w:val="376"/>
        </w:trPr>
        <w:tc>
          <w:tcPr>
            <w:tcW w:w="1316" w:type="dxa"/>
            <w:vMerge w:val="restart"/>
            <w:tcBorders>
              <w:top w:val="single" w:sz="4" w:space="0" w:color="000000"/>
              <w:left w:val="single" w:sz="12" w:space="0" w:color="000000"/>
              <w:bottom w:val="single" w:sz="4" w:space="0" w:color="000000"/>
              <w:right w:val="single" w:sz="4" w:space="0" w:color="000000"/>
            </w:tcBorders>
            <w:shd w:val="clear" w:color="auto" w:fill="auto"/>
            <w:vAlign w:val="center"/>
          </w:tcPr>
          <w:p w14:paraId="455932AA" w14:textId="77777777" w:rsidR="0014175B" w:rsidRPr="005D5938" w:rsidRDefault="0014175B" w:rsidP="00A1235B">
            <w:pPr>
              <w:spacing w:line="100" w:lineRule="atLeast"/>
              <w:jc w:val="center"/>
              <w:rPr>
                <w:rFonts w:ascii="Arial Narrow" w:hAnsi="Arial Narrow" w:cs="Arial"/>
                <w:b/>
                <w:sz w:val="16"/>
                <w:szCs w:val="16"/>
              </w:rPr>
            </w:pPr>
            <w:r w:rsidRPr="005D5938">
              <w:rPr>
                <w:rFonts w:ascii="Arial Narrow" w:hAnsi="Arial Narrow" w:cs="Arial"/>
                <w:b/>
                <w:sz w:val="16"/>
                <w:szCs w:val="16"/>
              </w:rPr>
              <w:t>počet uskutočnených</w:t>
            </w:r>
          </w:p>
          <w:p w14:paraId="09F98B63" w14:textId="77777777" w:rsidR="0014175B" w:rsidRPr="005D5938" w:rsidRDefault="0014175B" w:rsidP="00A1235B">
            <w:pPr>
              <w:spacing w:line="100" w:lineRule="atLeast"/>
              <w:jc w:val="center"/>
              <w:rPr>
                <w:rFonts w:ascii="Arial Narrow" w:hAnsi="Arial Narrow" w:cs="Arial"/>
                <w:b/>
                <w:sz w:val="16"/>
                <w:szCs w:val="16"/>
              </w:rPr>
            </w:pPr>
            <w:r w:rsidRPr="005D5938">
              <w:rPr>
                <w:rFonts w:ascii="Arial Narrow" w:hAnsi="Arial Narrow" w:cs="Arial"/>
                <w:b/>
                <w:sz w:val="16"/>
                <w:szCs w:val="16"/>
              </w:rPr>
              <w:t>seminárov, konferencií a iných podujatí</w:t>
            </w: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5651075"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b/>
                <w:sz w:val="16"/>
                <w:szCs w:val="16"/>
              </w:rPr>
              <w:t>Dosiahnutý výsledok</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51353AE2"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10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0DCE7"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17</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C73381"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49</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FAE71"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269</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A3CF9B"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615</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0741A"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846</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5300F5" w14:textId="77777777" w:rsidR="0014175B" w:rsidRPr="006D6011" w:rsidRDefault="0014175B" w:rsidP="00A1235B">
            <w:pPr>
              <w:spacing w:line="100" w:lineRule="atLeast"/>
              <w:jc w:val="center"/>
              <w:rPr>
                <w:rFonts w:ascii="Arial Narrow" w:hAnsi="Arial Narrow" w:cs="Arial"/>
                <w:sz w:val="16"/>
                <w:szCs w:val="16"/>
              </w:rPr>
            </w:pPr>
            <w:r w:rsidRPr="006D6011">
              <w:rPr>
                <w:rFonts w:ascii="Arial Narrow" w:hAnsi="Arial Narrow" w:cs="Arial"/>
                <w:sz w:val="16"/>
                <w:szCs w:val="16"/>
              </w:rPr>
              <w:t>987</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58860E" w14:textId="77777777" w:rsidR="0014175B" w:rsidRPr="006D6011" w:rsidRDefault="0014175B" w:rsidP="00A1235B">
            <w:pPr>
              <w:spacing w:line="100" w:lineRule="atLeast"/>
              <w:jc w:val="center"/>
              <w:rPr>
                <w:rFonts w:ascii="Arial Narrow" w:hAnsi="Arial Narrow" w:cs="Arial"/>
                <w:b/>
                <w:sz w:val="16"/>
                <w:szCs w:val="16"/>
              </w:rPr>
            </w:pPr>
            <w:r w:rsidRPr="006D6011">
              <w:rPr>
                <w:rFonts w:ascii="Arial Narrow" w:hAnsi="Arial Narrow" w:cs="Arial"/>
                <w:sz w:val="16"/>
                <w:szCs w:val="16"/>
              </w:rPr>
              <w:t>996</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61B92C3" w14:textId="77777777" w:rsidR="0014175B" w:rsidRPr="0027726A" w:rsidRDefault="0014175B" w:rsidP="00A1235B">
            <w:pPr>
              <w:spacing w:line="100" w:lineRule="atLeast"/>
              <w:jc w:val="center"/>
              <w:rPr>
                <w:rFonts w:ascii="Arial Narrow" w:hAnsi="Arial Narrow" w:cs="Arial"/>
                <w:sz w:val="16"/>
                <w:szCs w:val="16"/>
              </w:rPr>
            </w:pPr>
            <w:r w:rsidRPr="0027726A">
              <w:rPr>
                <w:rFonts w:ascii="Arial Narrow" w:hAnsi="Arial Narrow" w:cs="Arial"/>
                <w:sz w:val="16"/>
                <w:szCs w:val="16"/>
              </w:rPr>
              <w:t>1001</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2ADA2E37" w14:textId="77777777" w:rsidR="0014175B" w:rsidRPr="005B44EA" w:rsidRDefault="0014175B" w:rsidP="00A1235B">
            <w:pPr>
              <w:spacing w:line="100" w:lineRule="atLeast"/>
              <w:jc w:val="center"/>
            </w:pPr>
            <w:r w:rsidRPr="005B44EA">
              <w:rPr>
                <w:rFonts w:ascii="Arial Narrow" w:hAnsi="Arial Narrow" w:cs="Arial"/>
                <w:b/>
                <w:sz w:val="16"/>
                <w:szCs w:val="16"/>
              </w:rPr>
              <w:t>1001</w:t>
            </w:r>
          </w:p>
        </w:tc>
      </w:tr>
      <w:tr w:rsidR="0014175B" w:rsidRPr="00525666" w14:paraId="4D36F2E2" w14:textId="77777777" w:rsidTr="00A1235B">
        <w:trPr>
          <w:trHeight w:val="222"/>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1A7051E9" w14:textId="77777777" w:rsidR="0014175B" w:rsidRPr="005D5938"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62030A72"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b/>
                <w:sz w:val="16"/>
                <w:szCs w:val="16"/>
              </w:rPr>
              <w:t>Cieľ</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29B49719"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157233"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D962"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0249AF"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D1AA8C"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88CF5"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947383" w14:textId="77777777" w:rsidR="0014175B" w:rsidRPr="006D6011" w:rsidRDefault="0014175B" w:rsidP="00A1235B">
            <w:pPr>
              <w:spacing w:line="100" w:lineRule="atLeast"/>
              <w:jc w:val="center"/>
              <w:rPr>
                <w:rFonts w:ascii="Arial Narrow" w:hAnsi="Arial Narrow" w:cs="Arial"/>
                <w:sz w:val="16"/>
                <w:szCs w:val="16"/>
              </w:rPr>
            </w:pPr>
            <w:r w:rsidRPr="006D6011">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040A1" w14:textId="77777777" w:rsidR="0014175B" w:rsidRPr="006D6011" w:rsidRDefault="0014175B" w:rsidP="00A1235B">
            <w:pPr>
              <w:spacing w:line="100" w:lineRule="atLeast"/>
              <w:jc w:val="center"/>
              <w:rPr>
                <w:rFonts w:ascii="Arial Narrow" w:hAnsi="Arial Narrow" w:cs="Arial"/>
                <w:b/>
                <w:sz w:val="16"/>
                <w:szCs w:val="16"/>
              </w:rPr>
            </w:pPr>
            <w:r w:rsidRPr="006D6011">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515C4ABC" w14:textId="77777777" w:rsidR="0014175B" w:rsidRPr="0027726A" w:rsidRDefault="0014175B" w:rsidP="00A1235B">
            <w:pPr>
              <w:spacing w:line="100" w:lineRule="atLeast"/>
              <w:jc w:val="center"/>
              <w:rPr>
                <w:rFonts w:ascii="Arial Narrow" w:hAnsi="Arial Narrow" w:cs="Arial"/>
                <w:sz w:val="16"/>
                <w:szCs w:val="16"/>
              </w:rPr>
            </w:pPr>
            <w:r w:rsidRPr="0027726A">
              <w:rPr>
                <w:rFonts w:ascii="Arial Narrow" w:hAnsi="Arial Narrow" w:cs="Arial"/>
                <w:sz w:val="16"/>
                <w:szCs w:val="16"/>
              </w:rPr>
              <w:t>21</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5CABFDDD" w14:textId="77777777" w:rsidR="0014175B" w:rsidRPr="005B44EA" w:rsidRDefault="0014175B" w:rsidP="00A1235B">
            <w:pPr>
              <w:spacing w:line="100" w:lineRule="atLeast"/>
              <w:jc w:val="center"/>
            </w:pPr>
            <w:r>
              <w:rPr>
                <w:rFonts w:ascii="Arial Narrow" w:hAnsi="Arial Narrow" w:cs="Arial"/>
                <w:b/>
                <w:sz w:val="16"/>
                <w:szCs w:val="16"/>
              </w:rPr>
              <w:t>21</w:t>
            </w:r>
          </w:p>
        </w:tc>
      </w:tr>
      <w:tr w:rsidR="0014175B" w:rsidRPr="00525666" w14:paraId="0EFDD72F" w14:textId="77777777" w:rsidTr="00A1235B">
        <w:trPr>
          <w:trHeight w:val="410"/>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50109BA5" w14:textId="77777777" w:rsidR="0014175B" w:rsidRPr="005D5938"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282FF716"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b/>
                <w:sz w:val="16"/>
                <w:szCs w:val="16"/>
              </w:rPr>
              <w:t>Východisko</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5326E148"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9D5C47"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E9D075"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EEE8FA"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6C9BCE"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217A2"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718DF9" w14:textId="77777777" w:rsidR="0014175B" w:rsidRPr="006D6011" w:rsidRDefault="0014175B" w:rsidP="00A1235B">
            <w:pPr>
              <w:spacing w:line="100" w:lineRule="atLeast"/>
              <w:jc w:val="center"/>
              <w:rPr>
                <w:rFonts w:ascii="Arial Narrow" w:hAnsi="Arial Narrow" w:cs="Arial"/>
                <w:sz w:val="16"/>
                <w:szCs w:val="16"/>
              </w:rPr>
            </w:pPr>
            <w:r w:rsidRPr="006D6011">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60677D" w14:textId="77777777" w:rsidR="0014175B" w:rsidRPr="006D6011" w:rsidRDefault="0014175B" w:rsidP="00A1235B">
            <w:pPr>
              <w:spacing w:line="100" w:lineRule="atLeast"/>
              <w:jc w:val="center"/>
              <w:rPr>
                <w:rFonts w:ascii="Arial Narrow" w:hAnsi="Arial Narrow" w:cs="Arial"/>
                <w:b/>
                <w:sz w:val="16"/>
                <w:szCs w:val="16"/>
              </w:rPr>
            </w:pPr>
            <w:r w:rsidRPr="006D6011">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0E6F250B" w14:textId="77777777" w:rsidR="0014175B" w:rsidRPr="0027726A" w:rsidRDefault="0014175B" w:rsidP="00A1235B">
            <w:pPr>
              <w:spacing w:line="100" w:lineRule="atLeast"/>
              <w:jc w:val="center"/>
              <w:rPr>
                <w:rFonts w:ascii="Arial Narrow" w:hAnsi="Arial Narrow" w:cs="Arial"/>
                <w:sz w:val="16"/>
                <w:szCs w:val="16"/>
              </w:rPr>
            </w:pPr>
            <w:r w:rsidRPr="0027726A">
              <w:rPr>
                <w:rFonts w:ascii="Arial Narrow" w:hAnsi="Arial Narrow" w:cs="Arial"/>
                <w:sz w:val="16"/>
                <w:szCs w:val="16"/>
              </w:rPr>
              <w:t>NA</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58ECC992" w14:textId="77777777" w:rsidR="0014175B" w:rsidRPr="005B44EA" w:rsidRDefault="0014175B" w:rsidP="00A1235B">
            <w:pPr>
              <w:spacing w:line="100" w:lineRule="atLeast"/>
              <w:jc w:val="center"/>
            </w:pPr>
            <w:r w:rsidRPr="005B44EA">
              <w:rPr>
                <w:rFonts w:ascii="Arial Narrow" w:hAnsi="Arial Narrow" w:cs="Arial"/>
                <w:b/>
                <w:sz w:val="16"/>
                <w:szCs w:val="16"/>
              </w:rPr>
              <w:t>NA</w:t>
            </w:r>
          </w:p>
        </w:tc>
      </w:tr>
      <w:tr w:rsidR="0014175B" w:rsidRPr="00525666" w14:paraId="7722F587" w14:textId="77777777" w:rsidTr="00A1235B">
        <w:trPr>
          <w:trHeight w:val="205"/>
        </w:trPr>
        <w:tc>
          <w:tcPr>
            <w:tcW w:w="9854" w:type="dxa"/>
            <w:gridSpan w:val="12"/>
            <w:tcBorders>
              <w:top w:val="single" w:sz="4" w:space="0" w:color="000000"/>
              <w:left w:val="single" w:sz="12" w:space="0" w:color="000000"/>
              <w:bottom w:val="single" w:sz="4" w:space="0" w:color="000000"/>
              <w:right w:val="single" w:sz="12" w:space="0" w:color="000000"/>
            </w:tcBorders>
            <w:shd w:val="clear" w:color="auto" w:fill="EAF1DD"/>
            <w:vAlign w:val="center"/>
          </w:tcPr>
          <w:p w14:paraId="3B34E431" w14:textId="77777777" w:rsidR="0014175B" w:rsidRPr="005D5938" w:rsidRDefault="0014175B" w:rsidP="00A1235B">
            <w:pPr>
              <w:spacing w:line="100" w:lineRule="atLeast"/>
              <w:jc w:val="center"/>
              <w:rPr>
                <w:rFonts w:ascii="Arial Narrow" w:hAnsi="Arial Narrow" w:cs="Arial"/>
                <w:b/>
                <w:sz w:val="16"/>
                <w:szCs w:val="16"/>
              </w:rPr>
            </w:pPr>
          </w:p>
        </w:tc>
      </w:tr>
      <w:tr w:rsidR="0014175B" w:rsidRPr="00525666" w14:paraId="675FFABB" w14:textId="77777777" w:rsidTr="00A1235B">
        <w:trPr>
          <w:trHeight w:val="410"/>
        </w:trPr>
        <w:tc>
          <w:tcPr>
            <w:tcW w:w="1316" w:type="dxa"/>
            <w:vMerge w:val="restart"/>
            <w:tcBorders>
              <w:top w:val="single" w:sz="4" w:space="0" w:color="000000"/>
              <w:left w:val="single" w:sz="12" w:space="0" w:color="000000"/>
              <w:bottom w:val="single" w:sz="4" w:space="0" w:color="000000"/>
              <w:right w:val="single" w:sz="4" w:space="0" w:color="000000"/>
            </w:tcBorders>
            <w:shd w:val="clear" w:color="auto" w:fill="auto"/>
            <w:vAlign w:val="center"/>
          </w:tcPr>
          <w:p w14:paraId="1332320F" w14:textId="77777777" w:rsidR="0014175B" w:rsidRPr="005D5938" w:rsidRDefault="0014175B" w:rsidP="00A1235B">
            <w:pPr>
              <w:spacing w:line="100" w:lineRule="atLeast"/>
              <w:jc w:val="center"/>
              <w:rPr>
                <w:rFonts w:ascii="Arial Narrow" w:hAnsi="Arial Narrow" w:cs="Arial"/>
                <w:b/>
                <w:sz w:val="16"/>
                <w:szCs w:val="16"/>
              </w:rPr>
            </w:pPr>
            <w:r w:rsidRPr="005D5938">
              <w:rPr>
                <w:rFonts w:ascii="Arial Narrow" w:hAnsi="Arial Narrow" w:cs="Arial"/>
                <w:b/>
                <w:sz w:val="16"/>
                <w:szCs w:val="16"/>
              </w:rPr>
              <w:t>počet vydaných odborných a</w:t>
            </w:r>
          </w:p>
          <w:p w14:paraId="07B7203A" w14:textId="77777777" w:rsidR="0014175B" w:rsidRPr="005D5938" w:rsidRDefault="0014175B" w:rsidP="00A1235B">
            <w:pPr>
              <w:spacing w:line="100" w:lineRule="atLeast"/>
              <w:jc w:val="center"/>
              <w:rPr>
                <w:rFonts w:ascii="Arial Narrow" w:hAnsi="Arial Narrow" w:cs="Arial"/>
                <w:b/>
                <w:sz w:val="16"/>
                <w:szCs w:val="16"/>
              </w:rPr>
            </w:pPr>
            <w:r w:rsidRPr="005D5938">
              <w:rPr>
                <w:rFonts w:ascii="Arial Narrow" w:hAnsi="Arial Narrow" w:cs="Arial"/>
                <w:b/>
                <w:sz w:val="16"/>
                <w:szCs w:val="16"/>
              </w:rPr>
              <w:t>informačných publikácií</w:t>
            </w: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175BFC15"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b/>
                <w:sz w:val="16"/>
                <w:szCs w:val="16"/>
              </w:rPr>
              <w:t>Dosiahnutý výsledok</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3EE26F25"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CEBD27"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6</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3B4B6D"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41</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9484C"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47</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E77230"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129</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146877"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213</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F86C95" w14:textId="77777777" w:rsidR="0014175B" w:rsidRPr="006D6011" w:rsidRDefault="0014175B" w:rsidP="00A1235B">
            <w:pPr>
              <w:spacing w:line="100" w:lineRule="atLeast"/>
              <w:jc w:val="center"/>
              <w:rPr>
                <w:rFonts w:ascii="Arial Narrow" w:hAnsi="Arial Narrow" w:cs="Arial"/>
                <w:sz w:val="16"/>
                <w:szCs w:val="16"/>
                <w:shd w:val="clear" w:color="auto" w:fill="FFFF00"/>
              </w:rPr>
            </w:pPr>
            <w:r w:rsidRPr="006D6011">
              <w:rPr>
                <w:rFonts w:ascii="Arial Narrow" w:hAnsi="Arial Narrow" w:cs="Arial"/>
                <w:sz w:val="16"/>
                <w:szCs w:val="16"/>
              </w:rPr>
              <w:t>353</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6A5152" w14:textId="77777777" w:rsidR="0014175B" w:rsidRPr="006D6011" w:rsidRDefault="0014175B" w:rsidP="00A1235B">
            <w:pPr>
              <w:spacing w:line="100" w:lineRule="atLeast"/>
              <w:jc w:val="center"/>
              <w:rPr>
                <w:rFonts w:ascii="Arial Narrow" w:hAnsi="Arial Narrow" w:cs="Arial"/>
                <w:b/>
                <w:sz w:val="16"/>
                <w:szCs w:val="16"/>
              </w:rPr>
            </w:pPr>
            <w:r w:rsidRPr="006D6011">
              <w:rPr>
                <w:rFonts w:ascii="Arial Narrow" w:hAnsi="Arial Narrow" w:cs="Arial"/>
                <w:sz w:val="16"/>
                <w:szCs w:val="16"/>
              </w:rPr>
              <w:t>358</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2BBE6B51" w14:textId="77777777" w:rsidR="0014175B" w:rsidRPr="0027726A" w:rsidRDefault="0014175B" w:rsidP="00A1235B">
            <w:pPr>
              <w:spacing w:line="100" w:lineRule="atLeast"/>
              <w:jc w:val="center"/>
              <w:rPr>
                <w:rFonts w:ascii="Arial Narrow" w:hAnsi="Arial Narrow" w:cs="Arial"/>
                <w:sz w:val="16"/>
                <w:szCs w:val="16"/>
              </w:rPr>
            </w:pPr>
            <w:r w:rsidRPr="0027726A">
              <w:rPr>
                <w:rFonts w:ascii="Arial Narrow" w:hAnsi="Arial Narrow" w:cs="Arial"/>
                <w:sz w:val="16"/>
                <w:szCs w:val="16"/>
              </w:rPr>
              <w:t>383</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4327C291" w14:textId="77777777" w:rsidR="0014175B" w:rsidRPr="00525666" w:rsidRDefault="0014175B" w:rsidP="00A1235B">
            <w:pPr>
              <w:spacing w:line="100" w:lineRule="atLeast"/>
              <w:jc w:val="center"/>
              <w:rPr>
                <w:color w:val="FF0000"/>
              </w:rPr>
            </w:pPr>
            <w:r w:rsidRPr="00244799">
              <w:rPr>
                <w:rFonts w:ascii="Arial Narrow" w:hAnsi="Arial Narrow" w:cs="Arial"/>
                <w:b/>
                <w:sz w:val="16"/>
                <w:szCs w:val="16"/>
              </w:rPr>
              <w:t>383</w:t>
            </w:r>
          </w:p>
        </w:tc>
      </w:tr>
      <w:tr w:rsidR="0014175B" w:rsidRPr="00525666" w14:paraId="513935A7" w14:textId="77777777" w:rsidTr="00A1235B">
        <w:trPr>
          <w:trHeight w:val="222"/>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6822D1C4" w14:textId="77777777" w:rsidR="0014175B" w:rsidRPr="005D5938"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1AD63362"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b/>
                <w:sz w:val="16"/>
                <w:szCs w:val="16"/>
              </w:rPr>
              <w:t>Cieľ</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267DEEA6"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392B0C"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3555E8"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D8A5D"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21C688"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CA4AD0"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A4EDB3" w14:textId="77777777" w:rsidR="0014175B" w:rsidRPr="006D6011" w:rsidRDefault="0014175B" w:rsidP="00A1235B">
            <w:pPr>
              <w:spacing w:line="100" w:lineRule="atLeast"/>
              <w:jc w:val="center"/>
              <w:rPr>
                <w:rFonts w:ascii="Arial Narrow" w:hAnsi="Arial Narrow" w:cs="Arial"/>
                <w:sz w:val="16"/>
                <w:szCs w:val="16"/>
              </w:rPr>
            </w:pPr>
            <w:r w:rsidRPr="006D6011">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3FA139" w14:textId="77777777" w:rsidR="0014175B" w:rsidRPr="006D6011" w:rsidRDefault="0014175B" w:rsidP="00A1235B">
            <w:pPr>
              <w:spacing w:line="100" w:lineRule="atLeast"/>
              <w:jc w:val="center"/>
              <w:rPr>
                <w:rFonts w:ascii="Arial Narrow" w:hAnsi="Arial Narrow" w:cs="Arial"/>
                <w:b/>
                <w:sz w:val="16"/>
                <w:szCs w:val="16"/>
              </w:rPr>
            </w:pPr>
            <w:r w:rsidRPr="006D6011">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6A19068F" w14:textId="77777777" w:rsidR="0014175B" w:rsidRPr="0027726A" w:rsidRDefault="0014175B" w:rsidP="00A1235B">
            <w:pPr>
              <w:spacing w:line="100" w:lineRule="atLeast"/>
              <w:jc w:val="center"/>
              <w:rPr>
                <w:rFonts w:ascii="Arial Narrow" w:hAnsi="Arial Narrow" w:cs="Arial"/>
                <w:sz w:val="16"/>
                <w:szCs w:val="16"/>
              </w:rPr>
            </w:pPr>
            <w:r w:rsidRPr="0027726A">
              <w:rPr>
                <w:rFonts w:ascii="Arial Narrow" w:hAnsi="Arial Narrow" w:cs="Arial"/>
                <w:sz w:val="16"/>
                <w:szCs w:val="16"/>
              </w:rPr>
              <w:t>3000</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5D1D89B8" w14:textId="77777777" w:rsidR="0014175B" w:rsidRPr="00244799" w:rsidRDefault="0014175B" w:rsidP="00A1235B">
            <w:pPr>
              <w:spacing w:line="100" w:lineRule="atLeast"/>
              <w:jc w:val="center"/>
            </w:pPr>
            <w:r>
              <w:rPr>
                <w:rFonts w:ascii="Arial Narrow" w:hAnsi="Arial Narrow" w:cs="Arial"/>
                <w:b/>
                <w:sz w:val="16"/>
                <w:szCs w:val="16"/>
              </w:rPr>
              <w:t>3 000</w:t>
            </w:r>
          </w:p>
        </w:tc>
      </w:tr>
      <w:tr w:rsidR="0014175B" w:rsidRPr="00525666" w14:paraId="1DBDA07A" w14:textId="77777777" w:rsidTr="00A1235B">
        <w:trPr>
          <w:trHeight w:val="222"/>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1ACC3165" w14:textId="77777777" w:rsidR="0014175B" w:rsidRPr="005D5938"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268FAE7C"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b/>
                <w:sz w:val="16"/>
                <w:szCs w:val="16"/>
              </w:rPr>
              <w:t>Východisko</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712586C3"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0</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AFDE20"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E9520F"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DDA85"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B50EB0"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013EC5"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D1D453" w14:textId="77777777" w:rsidR="0014175B" w:rsidRPr="006D6011" w:rsidRDefault="0014175B" w:rsidP="00A1235B">
            <w:pPr>
              <w:spacing w:line="100" w:lineRule="atLeast"/>
              <w:jc w:val="center"/>
              <w:rPr>
                <w:rFonts w:ascii="Arial Narrow" w:hAnsi="Arial Narrow" w:cs="Arial"/>
                <w:sz w:val="16"/>
                <w:szCs w:val="16"/>
              </w:rPr>
            </w:pPr>
            <w:r w:rsidRPr="006D6011">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B35F1" w14:textId="77777777" w:rsidR="0014175B" w:rsidRPr="006D6011" w:rsidRDefault="0014175B" w:rsidP="00A1235B">
            <w:pPr>
              <w:spacing w:line="100" w:lineRule="atLeast"/>
              <w:jc w:val="center"/>
              <w:rPr>
                <w:rFonts w:ascii="Arial Narrow" w:hAnsi="Arial Narrow" w:cs="Arial"/>
                <w:b/>
                <w:sz w:val="16"/>
                <w:szCs w:val="16"/>
              </w:rPr>
            </w:pPr>
            <w:r w:rsidRPr="006D6011">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67E12475" w14:textId="77777777" w:rsidR="0014175B" w:rsidRPr="0027726A" w:rsidRDefault="0014175B" w:rsidP="00A1235B">
            <w:pPr>
              <w:spacing w:line="100" w:lineRule="atLeast"/>
              <w:jc w:val="center"/>
              <w:rPr>
                <w:rFonts w:ascii="Arial Narrow" w:hAnsi="Arial Narrow" w:cs="Arial"/>
                <w:sz w:val="16"/>
                <w:szCs w:val="16"/>
              </w:rPr>
            </w:pPr>
            <w:r w:rsidRPr="0027726A">
              <w:rPr>
                <w:rFonts w:ascii="Arial Narrow" w:hAnsi="Arial Narrow" w:cs="Arial"/>
                <w:sz w:val="16"/>
                <w:szCs w:val="16"/>
              </w:rPr>
              <w:t>NA</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43408867" w14:textId="77777777" w:rsidR="0014175B" w:rsidRPr="00244799" w:rsidRDefault="0014175B" w:rsidP="00A1235B">
            <w:pPr>
              <w:spacing w:line="100" w:lineRule="atLeast"/>
              <w:jc w:val="center"/>
            </w:pPr>
            <w:r w:rsidRPr="00244799">
              <w:rPr>
                <w:rFonts w:ascii="Arial Narrow" w:hAnsi="Arial Narrow" w:cs="Arial"/>
                <w:b/>
                <w:sz w:val="16"/>
                <w:szCs w:val="16"/>
              </w:rPr>
              <w:t>NA</w:t>
            </w:r>
          </w:p>
        </w:tc>
      </w:tr>
      <w:tr w:rsidR="0014175B" w:rsidRPr="00525666" w14:paraId="4843CC2F" w14:textId="77777777" w:rsidTr="00A1235B">
        <w:trPr>
          <w:trHeight w:val="205"/>
        </w:trPr>
        <w:tc>
          <w:tcPr>
            <w:tcW w:w="9854" w:type="dxa"/>
            <w:gridSpan w:val="12"/>
            <w:tcBorders>
              <w:top w:val="single" w:sz="4" w:space="0" w:color="000000"/>
              <w:left w:val="single" w:sz="12" w:space="0" w:color="000000"/>
              <w:bottom w:val="single" w:sz="4" w:space="0" w:color="000000"/>
              <w:right w:val="single" w:sz="12" w:space="0" w:color="000000"/>
            </w:tcBorders>
            <w:shd w:val="clear" w:color="auto" w:fill="EAF1DD"/>
            <w:vAlign w:val="center"/>
          </w:tcPr>
          <w:p w14:paraId="0EC21F9F" w14:textId="77777777" w:rsidR="0014175B" w:rsidRPr="00525666" w:rsidRDefault="0014175B" w:rsidP="00A1235B">
            <w:pPr>
              <w:spacing w:line="100" w:lineRule="atLeast"/>
              <w:jc w:val="center"/>
              <w:rPr>
                <w:rFonts w:ascii="Arial Narrow" w:hAnsi="Arial Narrow" w:cs="Arial"/>
                <w:b/>
                <w:color w:val="FF0000"/>
                <w:sz w:val="16"/>
                <w:szCs w:val="16"/>
              </w:rPr>
            </w:pPr>
          </w:p>
        </w:tc>
      </w:tr>
      <w:tr w:rsidR="0014175B" w:rsidRPr="00525666" w14:paraId="18222D09" w14:textId="77777777" w:rsidTr="00A1235B">
        <w:trPr>
          <w:trHeight w:val="410"/>
        </w:trPr>
        <w:tc>
          <w:tcPr>
            <w:tcW w:w="1316" w:type="dxa"/>
            <w:vMerge w:val="restart"/>
            <w:tcBorders>
              <w:top w:val="single" w:sz="4" w:space="0" w:color="000000"/>
              <w:left w:val="single" w:sz="12" w:space="0" w:color="000000"/>
              <w:bottom w:val="single" w:sz="4" w:space="0" w:color="000000"/>
              <w:right w:val="single" w:sz="4" w:space="0" w:color="000000"/>
            </w:tcBorders>
            <w:shd w:val="clear" w:color="auto" w:fill="auto"/>
            <w:vAlign w:val="center"/>
          </w:tcPr>
          <w:p w14:paraId="6BFD1478" w14:textId="77777777" w:rsidR="0014175B" w:rsidRPr="005D5938" w:rsidRDefault="0014175B" w:rsidP="00A1235B">
            <w:pPr>
              <w:spacing w:line="100" w:lineRule="atLeast"/>
              <w:jc w:val="center"/>
              <w:rPr>
                <w:rFonts w:ascii="Arial Narrow" w:hAnsi="Arial Narrow" w:cs="Arial"/>
                <w:b/>
                <w:sz w:val="16"/>
                <w:szCs w:val="16"/>
              </w:rPr>
            </w:pPr>
            <w:r w:rsidRPr="005D5938">
              <w:rPr>
                <w:rFonts w:ascii="Arial Narrow" w:hAnsi="Arial Narrow" w:cs="Arial"/>
                <w:b/>
                <w:sz w:val="16"/>
                <w:szCs w:val="16"/>
              </w:rPr>
              <w:t>počet zverejnených správ, rozhovorov, príspevkov, inzerátov vo všetkých druhoch médií</w:t>
            </w: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670720EC"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b/>
                <w:sz w:val="16"/>
                <w:szCs w:val="16"/>
              </w:rPr>
              <w:t>Dosiahnutý výsledok</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1786FC24"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56</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83B4F7"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957</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230EF"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7054</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DC2C6B"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8269</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A0FEC8"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8354</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B0684"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8508</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5B0D9"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8663</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2E45D4" w14:textId="77777777" w:rsidR="0014175B" w:rsidRPr="006D6011" w:rsidRDefault="0014175B" w:rsidP="00A1235B">
            <w:pPr>
              <w:spacing w:line="100" w:lineRule="atLeast"/>
              <w:jc w:val="center"/>
              <w:rPr>
                <w:rFonts w:ascii="Arial Narrow" w:hAnsi="Arial Narrow" w:cs="Arial"/>
                <w:b/>
                <w:sz w:val="16"/>
                <w:szCs w:val="16"/>
              </w:rPr>
            </w:pPr>
            <w:r w:rsidRPr="006D6011">
              <w:rPr>
                <w:rFonts w:ascii="Arial Narrow" w:hAnsi="Arial Narrow" w:cs="Arial"/>
                <w:sz w:val="16"/>
                <w:szCs w:val="16"/>
              </w:rPr>
              <w:t>8800</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3339BD6B" w14:textId="77777777" w:rsidR="0014175B" w:rsidRPr="0027726A" w:rsidRDefault="0014175B" w:rsidP="00A1235B">
            <w:pPr>
              <w:spacing w:line="100" w:lineRule="atLeast"/>
              <w:jc w:val="center"/>
              <w:rPr>
                <w:rFonts w:ascii="Arial Narrow" w:hAnsi="Arial Narrow" w:cs="Arial"/>
                <w:sz w:val="16"/>
                <w:szCs w:val="16"/>
              </w:rPr>
            </w:pPr>
            <w:r w:rsidRPr="0027726A">
              <w:rPr>
                <w:rFonts w:ascii="Arial Narrow" w:hAnsi="Arial Narrow" w:cs="Arial"/>
                <w:sz w:val="16"/>
                <w:szCs w:val="16"/>
              </w:rPr>
              <w:t>9075</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49247ED2" w14:textId="77777777" w:rsidR="0014175B" w:rsidRPr="00525666" w:rsidRDefault="0014175B" w:rsidP="00A1235B">
            <w:pPr>
              <w:spacing w:line="100" w:lineRule="atLeast"/>
              <w:jc w:val="center"/>
              <w:rPr>
                <w:color w:val="FF0000"/>
              </w:rPr>
            </w:pPr>
            <w:r w:rsidRPr="0027726A">
              <w:rPr>
                <w:rFonts w:ascii="Arial Narrow" w:hAnsi="Arial Narrow" w:cs="Arial"/>
                <w:b/>
                <w:sz w:val="16"/>
                <w:szCs w:val="16"/>
              </w:rPr>
              <w:t>9075</w:t>
            </w:r>
          </w:p>
        </w:tc>
      </w:tr>
      <w:tr w:rsidR="0014175B" w:rsidRPr="00525666" w14:paraId="23589949" w14:textId="77777777" w:rsidTr="00A1235B">
        <w:trPr>
          <w:trHeight w:val="222"/>
        </w:trPr>
        <w:tc>
          <w:tcPr>
            <w:tcW w:w="1316" w:type="dxa"/>
            <w:vMerge/>
            <w:tcBorders>
              <w:top w:val="single" w:sz="4" w:space="0" w:color="000000"/>
              <w:left w:val="single" w:sz="12" w:space="0" w:color="000000"/>
              <w:bottom w:val="single" w:sz="4" w:space="0" w:color="000000"/>
              <w:right w:val="single" w:sz="4" w:space="0" w:color="000000"/>
            </w:tcBorders>
            <w:shd w:val="clear" w:color="auto" w:fill="auto"/>
            <w:vAlign w:val="center"/>
          </w:tcPr>
          <w:p w14:paraId="72267793" w14:textId="77777777" w:rsidR="0014175B" w:rsidRPr="005D5938"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8C64347"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b/>
                <w:sz w:val="16"/>
                <w:szCs w:val="16"/>
              </w:rPr>
              <w:t>Cieľ</w:t>
            </w:r>
          </w:p>
        </w:tc>
        <w:tc>
          <w:tcPr>
            <w:tcW w:w="730" w:type="dxa"/>
            <w:tcBorders>
              <w:top w:val="single" w:sz="4" w:space="0" w:color="000000"/>
              <w:left w:val="single" w:sz="12" w:space="0" w:color="000000"/>
              <w:bottom w:val="single" w:sz="4" w:space="0" w:color="000000"/>
              <w:right w:val="single" w:sz="4" w:space="0" w:color="000000"/>
            </w:tcBorders>
            <w:shd w:val="clear" w:color="auto" w:fill="auto"/>
            <w:vAlign w:val="center"/>
          </w:tcPr>
          <w:p w14:paraId="790FE4D0"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CA0096"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5729A"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A5E61"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38062"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124F0"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A2F643"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NA</w:t>
            </w:r>
          </w:p>
        </w:tc>
        <w:tc>
          <w:tcPr>
            <w:tcW w:w="7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CE3178" w14:textId="77777777" w:rsidR="0014175B" w:rsidRPr="006D6011" w:rsidRDefault="0014175B" w:rsidP="00A1235B">
            <w:pPr>
              <w:spacing w:line="100" w:lineRule="atLeast"/>
              <w:jc w:val="center"/>
              <w:rPr>
                <w:rFonts w:ascii="Arial Narrow" w:hAnsi="Arial Narrow" w:cs="Arial"/>
                <w:b/>
                <w:sz w:val="16"/>
                <w:szCs w:val="16"/>
              </w:rPr>
            </w:pPr>
            <w:r w:rsidRPr="006D6011">
              <w:rPr>
                <w:rFonts w:ascii="Arial Narrow" w:hAnsi="Arial Narrow" w:cs="Arial"/>
                <w:sz w:val="16"/>
                <w:szCs w:val="16"/>
              </w:rPr>
              <w:t>NA</w:t>
            </w:r>
          </w:p>
        </w:tc>
        <w:tc>
          <w:tcPr>
            <w:tcW w:w="729"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A4CAD39" w14:textId="77777777" w:rsidR="0014175B" w:rsidRPr="0027726A" w:rsidRDefault="0014175B" w:rsidP="00A1235B">
            <w:pPr>
              <w:spacing w:line="100" w:lineRule="atLeast"/>
              <w:jc w:val="center"/>
              <w:rPr>
                <w:rFonts w:ascii="Arial Narrow" w:hAnsi="Arial Narrow" w:cs="Arial"/>
                <w:sz w:val="16"/>
                <w:szCs w:val="16"/>
              </w:rPr>
            </w:pPr>
            <w:r w:rsidRPr="0027726A">
              <w:rPr>
                <w:rFonts w:ascii="Arial Narrow" w:hAnsi="Arial Narrow" w:cs="Arial"/>
                <w:sz w:val="16"/>
                <w:szCs w:val="16"/>
              </w:rPr>
              <w:t>200</w:t>
            </w:r>
          </w:p>
        </w:tc>
        <w:tc>
          <w:tcPr>
            <w:tcW w:w="978" w:type="dxa"/>
            <w:tcBorders>
              <w:top w:val="single" w:sz="4" w:space="0" w:color="000000"/>
              <w:left w:val="single" w:sz="12" w:space="0" w:color="000000"/>
              <w:bottom w:val="single" w:sz="4" w:space="0" w:color="000000"/>
              <w:right w:val="single" w:sz="12" w:space="0" w:color="000000"/>
            </w:tcBorders>
            <w:shd w:val="clear" w:color="auto" w:fill="auto"/>
            <w:vAlign w:val="center"/>
          </w:tcPr>
          <w:p w14:paraId="7A9E3B5F" w14:textId="77777777" w:rsidR="0014175B" w:rsidRPr="00922453" w:rsidRDefault="0014175B" w:rsidP="00A1235B">
            <w:pPr>
              <w:spacing w:line="100" w:lineRule="atLeast"/>
              <w:jc w:val="center"/>
            </w:pPr>
            <w:r w:rsidRPr="00922453">
              <w:rPr>
                <w:rFonts w:ascii="Arial Narrow" w:hAnsi="Arial Narrow" w:cs="Arial"/>
                <w:b/>
                <w:sz w:val="16"/>
                <w:szCs w:val="16"/>
              </w:rPr>
              <w:t>200</w:t>
            </w:r>
          </w:p>
        </w:tc>
      </w:tr>
      <w:tr w:rsidR="0014175B" w:rsidRPr="00525666" w14:paraId="06183B9C" w14:textId="77777777" w:rsidTr="00A1235B">
        <w:trPr>
          <w:trHeight w:val="973"/>
        </w:trPr>
        <w:tc>
          <w:tcPr>
            <w:tcW w:w="1316" w:type="dxa"/>
            <w:vMerge/>
            <w:tcBorders>
              <w:top w:val="single" w:sz="4" w:space="0" w:color="000000"/>
              <w:left w:val="single" w:sz="12" w:space="0" w:color="000000"/>
              <w:bottom w:val="single" w:sz="12" w:space="0" w:color="000000"/>
              <w:right w:val="single" w:sz="4" w:space="0" w:color="000000"/>
            </w:tcBorders>
            <w:shd w:val="clear" w:color="auto" w:fill="auto"/>
            <w:vAlign w:val="center"/>
          </w:tcPr>
          <w:p w14:paraId="18FD3D0B" w14:textId="77777777" w:rsidR="0014175B" w:rsidRPr="005D5938" w:rsidRDefault="0014175B" w:rsidP="00A1235B">
            <w:pPr>
              <w:spacing w:line="100" w:lineRule="atLeast"/>
              <w:jc w:val="center"/>
              <w:rPr>
                <w:rFonts w:ascii="Arial Narrow" w:hAnsi="Arial Narrow" w:cs="Arial"/>
                <w:b/>
                <w:sz w:val="16"/>
                <w:szCs w:val="16"/>
              </w:rPr>
            </w:pPr>
          </w:p>
        </w:tc>
        <w:tc>
          <w:tcPr>
            <w:tcW w:w="998" w:type="dxa"/>
            <w:tcBorders>
              <w:top w:val="single" w:sz="4" w:space="0" w:color="000000"/>
              <w:left w:val="single" w:sz="4" w:space="0" w:color="000000"/>
              <w:bottom w:val="single" w:sz="12" w:space="0" w:color="000000"/>
              <w:right w:val="single" w:sz="12" w:space="0" w:color="000000"/>
            </w:tcBorders>
            <w:shd w:val="clear" w:color="auto" w:fill="auto"/>
            <w:vAlign w:val="center"/>
          </w:tcPr>
          <w:p w14:paraId="461B9953"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b/>
                <w:sz w:val="16"/>
                <w:szCs w:val="16"/>
              </w:rPr>
              <w:t>Východisko</w:t>
            </w:r>
          </w:p>
        </w:tc>
        <w:tc>
          <w:tcPr>
            <w:tcW w:w="730" w:type="dxa"/>
            <w:tcBorders>
              <w:top w:val="single" w:sz="4" w:space="0" w:color="000000"/>
              <w:left w:val="single" w:sz="12" w:space="0" w:color="000000"/>
              <w:bottom w:val="single" w:sz="12" w:space="0" w:color="000000"/>
              <w:right w:val="single" w:sz="4" w:space="0" w:color="000000"/>
            </w:tcBorders>
            <w:shd w:val="clear" w:color="auto" w:fill="auto"/>
            <w:vAlign w:val="center"/>
          </w:tcPr>
          <w:p w14:paraId="2BD5E630"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0</w:t>
            </w:r>
          </w:p>
        </w:tc>
        <w:tc>
          <w:tcPr>
            <w:tcW w:w="729" w:type="dxa"/>
            <w:tcBorders>
              <w:top w:val="single" w:sz="4" w:space="0" w:color="000000"/>
              <w:left w:val="single" w:sz="4" w:space="0" w:color="000000"/>
              <w:bottom w:val="single" w:sz="12" w:space="0" w:color="000000"/>
              <w:right w:val="single" w:sz="4" w:space="0" w:color="000000"/>
            </w:tcBorders>
            <w:shd w:val="clear" w:color="auto" w:fill="auto"/>
            <w:vAlign w:val="center"/>
          </w:tcPr>
          <w:p w14:paraId="47EC7B88"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12" w:space="0" w:color="000000"/>
              <w:right w:val="single" w:sz="4" w:space="0" w:color="000000"/>
            </w:tcBorders>
            <w:shd w:val="clear" w:color="auto" w:fill="auto"/>
            <w:vAlign w:val="center"/>
          </w:tcPr>
          <w:p w14:paraId="564BDDCE"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12" w:space="0" w:color="000000"/>
              <w:right w:val="single" w:sz="4" w:space="0" w:color="000000"/>
            </w:tcBorders>
            <w:shd w:val="clear" w:color="auto" w:fill="auto"/>
            <w:vAlign w:val="center"/>
          </w:tcPr>
          <w:p w14:paraId="37891A07"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12" w:space="0" w:color="000000"/>
              <w:right w:val="single" w:sz="4" w:space="0" w:color="000000"/>
            </w:tcBorders>
            <w:shd w:val="clear" w:color="auto" w:fill="auto"/>
            <w:vAlign w:val="center"/>
          </w:tcPr>
          <w:p w14:paraId="21B8517E"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8" w:type="dxa"/>
            <w:tcBorders>
              <w:top w:val="single" w:sz="4" w:space="0" w:color="000000"/>
              <w:left w:val="single" w:sz="4" w:space="0" w:color="000000"/>
              <w:bottom w:val="single" w:sz="12" w:space="0" w:color="000000"/>
              <w:right w:val="single" w:sz="4" w:space="0" w:color="000000"/>
            </w:tcBorders>
            <w:shd w:val="clear" w:color="auto" w:fill="auto"/>
            <w:vAlign w:val="center"/>
          </w:tcPr>
          <w:p w14:paraId="371B052C" w14:textId="77777777" w:rsidR="0014175B" w:rsidRPr="005D5938" w:rsidRDefault="0014175B" w:rsidP="00A1235B">
            <w:pPr>
              <w:spacing w:line="100" w:lineRule="atLeast"/>
              <w:jc w:val="center"/>
              <w:rPr>
                <w:rFonts w:ascii="Arial Narrow" w:hAnsi="Arial Narrow" w:cs="Arial"/>
                <w:sz w:val="16"/>
                <w:szCs w:val="16"/>
              </w:rPr>
            </w:pPr>
            <w:r w:rsidRPr="005D5938">
              <w:rPr>
                <w:rFonts w:ascii="Arial Narrow" w:hAnsi="Arial Narrow" w:cs="Arial"/>
                <w:sz w:val="16"/>
                <w:szCs w:val="16"/>
              </w:rPr>
              <w:t>NA</w:t>
            </w:r>
          </w:p>
        </w:tc>
        <w:tc>
          <w:tcPr>
            <w:tcW w:w="729" w:type="dxa"/>
            <w:tcBorders>
              <w:top w:val="single" w:sz="4" w:space="0" w:color="000000"/>
              <w:left w:val="single" w:sz="4" w:space="0" w:color="000000"/>
              <w:bottom w:val="single" w:sz="12" w:space="0" w:color="000000"/>
              <w:right w:val="single" w:sz="4" w:space="0" w:color="000000"/>
            </w:tcBorders>
            <w:shd w:val="clear" w:color="auto" w:fill="auto"/>
            <w:vAlign w:val="center"/>
          </w:tcPr>
          <w:p w14:paraId="22A23DE1" w14:textId="77777777" w:rsidR="0014175B" w:rsidRPr="00D66EE6" w:rsidRDefault="0014175B" w:rsidP="00A1235B">
            <w:pPr>
              <w:spacing w:line="100" w:lineRule="atLeast"/>
              <w:jc w:val="center"/>
              <w:rPr>
                <w:rFonts w:ascii="Arial Narrow" w:hAnsi="Arial Narrow" w:cs="Arial"/>
                <w:sz w:val="16"/>
                <w:szCs w:val="16"/>
              </w:rPr>
            </w:pPr>
            <w:r w:rsidRPr="00D66EE6">
              <w:rPr>
                <w:rFonts w:ascii="Arial Narrow" w:hAnsi="Arial Narrow" w:cs="Arial"/>
                <w:sz w:val="16"/>
                <w:szCs w:val="16"/>
              </w:rPr>
              <w:t>NA</w:t>
            </w:r>
          </w:p>
        </w:tc>
        <w:tc>
          <w:tcPr>
            <w:tcW w:w="728" w:type="dxa"/>
            <w:tcBorders>
              <w:top w:val="single" w:sz="4" w:space="0" w:color="000000"/>
              <w:left w:val="single" w:sz="4" w:space="0" w:color="000000"/>
              <w:bottom w:val="single" w:sz="12" w:space="0" w:color="000000"/>
              <w:right w:val="single" w:sz="4" w:space="0" w:color="000000"/>
            </w:tcBorders>
            <w:shd w:val="clear" w:color="auto" w:fill="auto"/>
            <w:vAlign w:val="center"/>
          </w:tcPr>
          <w:p w14:paraId="452CB2DC" w14:textId="77777777" w:rsidR="0014175B" w:rsidRPr="006D6011" w:rsidRDefault="0014175B" w:rsidP="00A1235B">
            <w:pPr>
              <w:spacing w:line="100" w:lineRule="atLeast"/>
              <w:jc w:val="center"/>
              <w:rPr>
                <w:rFonts w:ascii="Arial Narrow" w:hAnsi="Arial Narrow" w:cs="Arial"/>
                <w:b/>
                <w:sz w:val="16"/>
                <w:szCs w:val="16"/>
              </w:rPr>
            </w:pPr>
            <w:r w:rsidRPr="006D6011">
              <w:rPr>
                <w:rFonts w:ascii="Arial Narrow" w:hAnsi="Arial Narrow" w:cs="Arial"/>
                <w:sz w:val="16"/>
                <w:szCs w:val="16"/>
              </w:rPr>
              <w:t>NA</w:t>
            </w:r>
          </w:p>
        </w:tc>
        <w:tc>
          <w:tcPr>
            <w:tcW w:w="729" w:type="dxa"/>
            <w:tcBorders>
              <w:top w:val="single" w:sz="4" w:space="0" w:color="000000"/>
              <w:left w:val="single" w:sz="4" w:space="0" w:color="000000"/>
              <w:bottom w:val="single" w:sz="12" w:space="0" w:color="000000"/>
              <w:right w:val="single" w:sz="12" w:space="0" w:color="000000"/>
            </w:tcBorders>
            <w:shd w:val="clear" w:color="auto" w:fill="auto"/>
            <w:vAlign w:val="center"/>
          </w:tcPr>
          <w:p w14:paraId="5ED67EC2" w14:textId="77777777" w:rsidR="0014175B" w:rsidRPr="0027726A" w:rsidRDefault="0014175B" w:rsidP="00A1235B">
            <w:pPr>
              <w:spacing w:line="100" w:lineRule="atLeast"/>
              <w:jc w:val="center"/>
              <w:rPr>
                <w:rFonts w:ascii="Arial Narrow" w:hAnsi="Arial Narrow" w:cs="Arial"/>
                <w:sz w:val="16"/>
                <w:szCs w:val="16"/>
              </w:rPr>
            </w:pPr>
            <w:r w:rsidRPr="0027726A">
              <w:rPr>
                <w:rFonts w:ascii="Arial Narrow" w:hAnsi="Arial Narrow" w:cs="Arial"/>
                <w:sz w:val="16"/>
                <w:szCs w:val="16"/>
              </w:rPr>
              <w:t>NA</w:t>
            </w:r>
          </w:p>
        </w:tc>
        <w:tc>
          <w:tcPr>
            <w:tcW w:w="978" w:type="dxa"/>
            <w:tcBorders>
              <w:top w:val="single" w:sz="4" w:space="0" w:color="000000"/>
              <w:left w:val="single" w:sz="12" w:space="0" w:color="000000"/>
              <w:bottom w:val="single" w:sz="12" w:space="0" w:color="000000"/>
              <w:right w:val="single" w:sz="12" w:space="0" w:color="000000"/>
            </w:tcBorders>
            <w:shd w:val="clear" w:color="auto" w:fill="auto"/>
            <w:vAlign w:val="center"/>
          </w:tcPr>
          <w:p w14:paraId="65C9B456" w14:textId="77777777" w:rsidR="0014175B" w:rsidRPr="00922453" w:rsidRDefault="0014175B" w:rsidP="00A1235B">
            <w:pPr>
              <w:spacing w:line="100" w:lineRule="atLeast"/>
              <w:jc w:val="center"/>
            </w:pPr>
            <w:r w:rsidRPr="00922453">
              <w:rPr>
                <w:rFonts w:ascii="Arial Narrow" w:hAnsi="Arial Narrow" w:cs="Arial"/>
                <w:b/>
                <w:sz w:val="16"/>
                <w:szCs w:val="16"/>
              </w:rPr>
              <w:t>NA</w:t>
            </w:r>
          </w:p>
        </w:tc>
      </w:tr>
    </w:tbl>
    <w:p w14:paraId="6AB38684" w14:textId="77777777" w:rsidR="0014175B" w:rsidRPr="009363F5" w:rsidRDefault="0014175B" w:rsidP="0014175B">
      <w:pPr>
        <w:spacing w:before="120"/>
        <w:ind w:left="90"/>
        <w:jc w:val="both"/>
        <w:rPr>
          <w:b/>
        </w:rPr>
      </w:pPr>
    </w:p>
    <w:p w14:paraId="1EE09478" w14:textId="28A0AC80" w:rsidR="0014175B" w:rsidRPr="0055051B" w:rsidRDefault="0014175B" w:rsidP="00185698">
      <w:pPr>
        <w:pStyle w:val="Default"/>
        <w:jc w:val="both"/>
        <w:rPr>
          <w:rFonts w:ascii="Arial" w:hAnsi="Arial" w:cs="Arial"/>
          <w:sz w:val="20"/>
          <w:szCs w:val="22"/>
        </w:rPr>
      </w:pPr>
      <w:r w:rsidRPr="0055051B">
        <w:rPr>
          <w:rFonts w:ascii="Arial" w:hAnsi="Arial" w:cs="Arial"/>
          <w:sz w:val="20"/>
          <w:szCs w:val="22"/>
        </w:rPr>
        <w:t>*RO realizoval prieskum verejnej mienky zameraný na zisťovanie úrovne informovanosti širokej verejnosti o podpore z OP ŽP v novembri 2015 a bol zameraný na zistenie úrovne celkovej informovanosti (povedomia) verejnosti o podpore poskytovanej prostredníctvom OP ŽP a úrovne znalosti mediálnej kampane MŽP SR zameranej na výsledky a úspešné projekty OP ŽP pre Slovensko. „</w:t>
      </w:r>
      <w:r w:rsidRPr="0055051B">
        <w:rPr>
          <w:rFonts w:ascii="Arial" w:hAnsi="Arial" w:cs="Arial"/>
          <w:i/>
          <w:sz w:val="20"/>
          <w:szCs w:val="22"/>
        </w:rPr>
        <w:t>Vykazovanie indikátora % poznania úlohy EÚ, OP ŽP, funkcie RO nemožno považovať za konzistentné. Úroveň informovanosti bola opakovane (2010, 2013) skúmaná na vzorke „odbornej verejnosti“, nie na vzorke „širokej verejnosti“, aj keď pojem „odborná verejnosť“ bol  ponímaný v širších súvislostiach, nakoľko zahŕňal verejný sektor, štátnu správu, mimovládne organizácie, fyzické osoby,  živnostníkov, firmy, mestá, obce, družstvá a samosprávne kraje, čo možno hodnotiť ako skreslenie vykazovania tohto indikátora a zároveň aj ako dôvod odlišnej miery poznania OP ŽP v rámci prieskumu realizovaného RO pre OP ŽP v roku 2013 (97,6 %) a zhotoviteľom v máji 2015 (27,9 %) a novembri 2015 (58,0 %).“</w:t>
      </w:r>
      <w:r w:rsidRPr="0055051B">
        <w:rPr>
          <w:rFonts w:ascii="Arial" w:hAnsi="Arial" w:cs="Arial"/>
          <w:sz w:val="20"/>
          <w:szCs w:val="22"/>
        </w:rPr>
        <w:t xml:space="preserve"> (zdroj: Vyhodnotenie úrovne informovanosti o OP Životné prostredie v nadväznosti na záverečnú mediálnu kampaň OP Životné prostredie, Záverečná správa). </w:t>
      </w:r>
      <w:bookmarkStart w:id="115" w:name="_Toc441669468"/>
    </w:p>
    <w:p w14:paraId="28AC8654" w14:textId="77777777" w:rsidR="0014175B" w:rsidRPr="0055051B" w:rsidRDefault="0014175B" w:rsidP="0014175B">
      <w:pPr>
        <w:pStyle w:val="Popis"/>
        <w:rPr>
          <w:rFonts w:ascii="Arial" w:hAnsi="Arial" w:cs="Arial"/>
          <w:b/>
          <w:sz w:val="22"/>
          <w:szCs w:val="24"/>
          <w:lang w:val="sk-SK"/>
        </w:rPr>
      </w:pPr>
    </w:p>
    <w:p w14:paraId="7DAA09F9" w14:textId="204022DD" w:rsidR="0014175B" w:rsidRPr="00BB5CD0" w:rsidRDefault="0014175B" w:rsidP="0014175B">
      <w:pPr>
        <w:pStyle w:val="Popis"/>
        <w:rPr>
          <w:rFonts w:ascii="Arial" w:hAnsi="Arial" w:cs="Arial"/>
          <w:i w:val="0"/>
          <w:sz w:val="20"/>
          <w:szCs w:val="22"/>
          <w:lang w:val="sk-SK"/>
        </w:rPr>
      </w:pPr>
      <w:r w:rsidRPr="007B1CB9">
        <w:rPr>
          <w:rFonts w:ascii="Arial" w:hAnsi="Arial" w:cs="Arial"/>
          <w:i w:val="0"/>
          <w:sz w:val="20"/>
          <w:szCs w:val="22"/>
          <w:lang w:val="sk-SK"/>
        </w:rPr>
        <w:t xml:space="preserve">Tabuľka </w:t>
      </w:r>
      <w:r w:rsidR="00BB5CD0" w:rsidRPr="007B1CB9">
        <w:rPr>
          <w:rFonts w:ascii="Arial" w:hAnsi="Arial" w:cs="Arial"/>
          <w:i w:val="0"/>
          <w:sz w:val="20"/>
          <w:szCs w:val="22"/>
          <w:lang w:val="sk-SK"/>
        </w:rPr>
        <w:t xml:space="preserve">č. </w:t>
      </w:r>
      <w:r w:rsidR="00590529" w:rsidRPr="007B1CB9">
        <w:rPr>
          <w:rFonts w:ascii="Arial" w:hAnsi="Arial" w:cs="Arial"/>
          <w:i w:val="0"/>
          <w:sz w:val="20"/>
          <w:szCs w:val="22"/>
          <w:lang w:val="sk-SK"/>
        </w:rPr>
        <w:t>9</w:t>
      </w:r>
      <w:r w:rsidR="007B1CB9" w:rsidRPr="007B1CB9">
        <w:rPr>
          <w:rFonts w:ascii="Arial" w:hAnsi="Arial" w:cs="Arial"/>
          <w:i w:val="0"/>
          <w:sz w:val="20"/>
          <w:szCs w:val="22"/>
          <w:lang w:val="sk-SK"/>
        </w:rPr>
        <w:t>3</w:t>
      </w:r>
      <w:r w:rsidR="00BB5CD0" w:rsidRPr="007B1CB9">
        <w:rPr>
          <w:rFonts w:ascii="Arial" w:hAnsi="Arial" w:cs="Arial"/>
          <w:i w:val="0"/>
          <w:sz w:val="20"/>
          <w:szCs w:val="22"/>
          <w:lang w:val="sk-SK"/>
        </w:rPr>
        <w:t>:</w:t>
      </w:r>
      <w:r w:rsidRPr="00BB5CD0">
        <w:rPr>
          <w:rFonts w:ascii="Arial" w:hAnsi="Arial" w:cs="Arial"/>
          <w:i w:val="0"/>
          <w:sz w:val="20"/>
          <w:szCs w:val="22"/>
          <w:lang w:val="sk-SK"/>
        </w:rPr>
        <w:t xml:space="preserve"> Miera informovanosti o možnostiach podpory z OP ŽP (porovnanie)</w:t>
      </w:r>
      <w:bookmarkEnd w:id="115"/>
    </w:p>
    <w:tbl>
      <w:tblPr>
        <w:tblStyle w:val="Mriekatabuky"/>
        <w:tblW w:w="0" w:type="auto"/>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ook w:val="04A0" w:firstRow="1" w:lastRow="0" w:firstColumn="1" w:lastColumn="0" w:noHBand="0" w:noVBand="1"/>
      </w:tblPr>
      <w:tblGrid>
        <w:gridCol w:w="1497"/>
        <w:gridCol w:w="2176"/>
        <w:gridCol w:w="1766"/>
        <w:gridCol w:w="1780"/>
        <w:gridCol w:w="1782"/>
      </w:tblGrid>
      <w:tr w:rsidR="0014175B" w:rsidRPr="00E10D81" w14:paraId="3DE883E1" w14:textId="77777777" w:rsidTr="00DE018D">
        <w:trPr>
          <w:trHeight w:val="282"/>
          <w:tblHeader/>
        </w:trPr>
        <w:tc>
          <w:tcPr>
            <w:tcW w:w="1497" w:type="dxa"/>
            <w:vMerge w:val="restart"/>
            <w:tcBorders>
              <w:top w:val="single" w:sz="4" w:space="0" w:color="auto"/>
              <w:left w:val="single" w:sz="4" w:space="0" w:color="000000"/>
              <w:right w:val="single" w:sz="4" w:space="0" w:color="000000"/>
            </w:tcBorders>
            <w:shd w:val="clear" w:color="auto" w:fill="EAF1DD" w:themeFill="accent3" w:themeFillTint="33"/>
            <w:vAlign w:val="center"/>
          </w:tcPr>
          <w:p w14:paraId="7F4D7DE7" w14:textId="77777777" w:rsidR="0014175B" w:rsidRPr="00590529" w:rsidRDefault="0014175B" w:rsidP="00F455D5">
            <w:pPr>
              <w:pStyle w:val="Zkladntext"/>
              <w:jc w:val="center"/>
              <w:rPr>
                <w:sz w:val="20"/>
                <w:szCs w:val="18"/>
              </w:rPr>
            </w:pPr>
            <w:r w:rsidRPr="00590529">
              <w:rPr>
                <w:sz w:val="20"/>
                <w:szCs w:val="18"/>
              </w:rPr>
              <w:t>Obdobie</w:t>
            </w:r>
          </w:p>
        </w:tc>
        <w:tc>
          <w:tcPr>
            <w:tcW w:w="2176" w:type="dxa"/>
            <w:tcBorders>
              <w:top w:val="single" w:sz="4" w:space="0" w:color="auto"/>
              <w:left w:val="single" w:sz="4" w:space="0" w:color="000000"/>
              <w:bottom w:val="single" w:sz="4" w:space="0" w:color="000000"/>
              <w:right w:val="single" w:sz="4" w:space="0" w:color="000000"/>
            </w:tcBorders>
            <w:shd w:val="clear" w:color="auto" w:fill="EAF1DD" w:themeFill="accent3" w:themeFillTint="33"/>
            <w:vAlign w:val="center"/>
          </w:tcPr>
          <w:p w14:paraId="5AE40F36" w14:textId="77777777" w:rsidR="0014175B" w:rsidRPr="00D33F02" w:rsidRDefault="0014175B" w:rsidP="00BB5CD0">
            <w:pPr>
              <w:pStyle w:val="Zkladntext"/>
              <w:jc w:val="center"/>
              <w:rPr>
                <w:sz w:val="20"/>
                <w:szCs w:val="18"/>
              </w:rPr>
            </w:pPr>
            <w:r w:rsidRPr="00D33F02">
              <w:rPr>
                <w:sz w:val="20"/>
                <w:szCs w:val="18"/>
              </w:rPr>
              <w:t>Otázka 1</w:t>
            </w:r>
          </w:p>
        </w:tc>
        <w:tc>
          <w:tcPr>
            <w:tcW w:w="1766" w:type="dxa"/>
            <w:tcBorders>
              <w:top w:val="single" w:sz="4" w:space="0" w:color="auto"/>
              <w:left w:val="single" w:sz="4" w:space="0" w:color="000000"/>
              <w:bottom w:val="single" w:sz="4" w:space="0" w:color="000000"/>
              <w:right w:val="single" w:sz="4" w:space="0" w:color="000000"/>
            </w:tcBorders>
            <w:shd w:val="clear" w:color="auto" w:fill="EAF1DD" w:themeFill="accent3" w:themeFillTint="33"/>
            <w:vAlign w:val="center"/>
          </w:tcPr>
          <w:p w14:paraId="7A28740A" w14:textId="77777777" w:rsidR="0014175B" w:rsidRPr="00590529" w:rsidRDefault="0014175B" w:rsidP="00BB5CD0">
            <w:pPr>
              <w:pStyle w:val="Zkladntext"/>
              <w:jc w:val="center"/>
              <w:rPr>
                <w:sz w:val="20"/>
                <w:szCs w:val="18"/>
              </w:rPr>
            </w:pPr>
            <w:r w:rsidRPr="00590529">
              <w:rPr>
                <w:sz w:val="20"/>
                <w:szCs w:val="18"/>
              </w:rPr>
              <w:t>Otázka 2</w:t>
            </w:r>
          </w:p>
        </w:tc>
        <w:tc>
          <w:tcPr>
            <w:tcW w:w="1780" w:type="dxa"/>
            <w:tcBorders>
              <w:top w:val="single" w:sz="4" w:space="0" w:color="auto"/>
              <w:left w:val="single" w:sz="4" w:space="0" w:color="000000"/>
              <w:bottom w:val="single" w:sz="4" w:space="0" w:color="000000"/>
              <w:right w:val="single" w:sz="4" w:space="0" w:color="000000"/>
            </w:tcBorders>
            <w:shd w:val="clear" w:color="auto" w:fill="EAF1DD" w:themeFill="accent3" w:themeFillTint="33"/>
            <w:vAlign w:val="center"/>
          </w:tcPr>
          <w:p w14:paraId="7CF89346" w14:textId="77777777" w:rsidR="0014175B" w:rsidRPr="00590529" w:rsidRDefault="0014175B" w:rsidP="00BB5CD0">
            <w:pPr>
              <w:pStyle w:val="Zkladntext"/>
              <w:jc w:val="center"/>
              <w:rPr>
                <w:sz w:val="20"/>
                <w:szCs w:val="18"/>
              </w:rPr>
            </w:pPr>
            <w:r w:rsidRPr="00590529">
              <w:rPr>
                <w:sz w:val="20"/>
                <w:szCs w:val="18"/>
              </w:rPr>
              <w:t>Otázka 3</w:t>
            </w:r>
          </w:p>
        </w:tc>
        <w:tc>
          <w:tcPr>
            <w:tcW w:w="1782" w:type="dxa"/>
            <w:tcBorders>
              <w:top w:val="single" w:sz="4" w:space="0" w:color="auto"/>
              <w:left w:val="single" w:sz="4" w:space="0" w:color="000000"/>
              <w:bottom w:val="single" w:sz="4" w:space="0" w:color="000000"/>
              <w:right w:val="single" w:sz="4" w:space="0" w:color="000000"/>
            </w:tcBorders>
            <w:shd w:val="clear" w:color="auto" w:fill="EAF1DD" w:themeFill="accent3" w:themeFillTint="33"/>
            <w:vAlign w:val="center"/>
          </w:tcPr>
          <w:p w14:paraId="6736D725" w14:textId="77777777" w:rsidR="0014175B" w:rsidRPr="00590529" w:rsidRDefault="0014175B" w:rsidP="00BB5CD0">
            <w:pPr>
              <w:pStyle w:val="Zkladntext"/>
              <w:jc w:val="center"/>
              <w:rPr>
                <w:sz w:val="20"/>
                <w:szCs w:val="18"/>
              </w:rPr>
            </w:pPr>
            <w:r w:rsidRPr="00590529">
              <w:rPr>
                <w:sz w:val="20"/>
                <w:szCs w:val="18"/>
              </w:rPr>
              <w:t>MU</w:t>
            </w:r>
          </w:p>
        </w:tc>
      </w:tr>
      <w:tr w:rsidR="0014175B" w:rsidRPr="00E10D81" w14:paraId="6C8957B2" w14:textId="77777777" w:rsidTr="00BB5CD0">
        <w:trPr>
          <w:trHeight w:val="1910"/>
          <w:tblHeader/>
        </w:trPr>
        <w:tc>
          <w:tcPr>
            <w:tcW w:w="1497" w:type="dxa"/>
            <w:vMerge/>
            <w:tcBorders>
              <w:left w:val="single" w:sz="4" w:space="0" w:color="000000"/>
              <w:bottom w:val="single" w:sz="4" w:space="0" w:color="000000"/>
              <w:right w:val="single" w:sz="4" w:space="0" w:color="000000"/>
            </w:tcBorders>
            <w:shd w:val="clear" w:color="auto" w:fill="EAF1DD" w:themeFill="accent3" w:themeFillTint="33"/>
            <w:vAlign w:val="center"/>
          </w:tcPr>
          <w:p w14:paraId="1C18159F" w14:textId="77777777" w:rsidR="0014175B" w:rsidRPr="00590529" w:rsidRDefault="0014175B" w:rsidP="00590529">
            <w:pPr>
              <w:pStyle w:val="Zkladntext"/>
              <w:jc w:val="center"/>
              <w:rPr>
                <w:sz w:val="20"/>
                <w:szCs w:val="18"/>
              </w:rPr>
            </w:pPr>
          </w:p>
        </w:tc>
        <w:tc>
          <w:tcPr>
            <w:tcW w:w="2176"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14:paraId="63024828" w14:textId="77777777" w:rsidR="0014175B" w:rsidRPr="00D33F02" w:rsidRDefault="0014175B" w:rsidP="00F455D5">
            <w:pPr>
              <w:pStyle w:val="Zkladntext"/>
              <w:jc w:val="center"/>
              <w:rPr>
                <w:sz w:val="20"/>
                <w:szCs w:val="18"/>
              </w:rPr>
            </w:pPr>
            <w:r w:rsidRPr="00D33F02">
              <w:rPr>
                <w:sz w:val="20"/>
                <w:szCs w:val="18"/>
              </w:rPr>
              <w:t>Ak ste doposiaľ zaznamenali nejaké informácie v rámci problematiky eurofondov, týkali sa tieto informácie OP ŽP? resp.</w:t>
            </w:r>
          </w:p>
          <w:p w14:paraId="699706BD" w14:textId="77777777" w:rsidR="0014175B" w:rsidRPr="00D33F02" w:rsidRDefault="0014175B" w:rsidP="0049129E">
            <w:pPr>
              <w:pStyle w:val="Zkladntext"/>
              <w:jc w:val="center"/>
              <w:rPr>
                <w:sz w:val="20"/>
                <w:szCs w:val="18"/>
              </w:rPr>
            </w:pPr>
            <w:r w:rsidRPr="00D33F02">
              <w:rPr>
                <w:sz w:val="20"/>
                <w:szCs w:val="18"/>
              </w:rPr>
              <w:t>Počuli ste niekedy o OP ŽP?</w:t>
            </w:r>
          </w:p>
        </w:tc>
        <w:tc>
          <w:tcPr>
            <w:tcW w:w="1766"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14:paraId="61EA6330" w14:textId="77777777" w:rsidR="0014175B" w:rsidRPr="00590529" w:rsidRDefault="0014175B" w:rsidP="00DA646F">
            <w:pPr>
              <w:pStyle w:val="Zkladntext"/>
              <w:jc w:val="center"/>
              <w:rPr>
                <w:sz w:val="20"/>
                <w:szCs w:val="18"/>
              </w:rPr>
            </w:pPr>
            <w:r w:rsidRPr="00590529">
              <w:rPr>
                <w:sz w:val="20"/>
                <w:szCs w:val="18"/>
              </w:rPr>
              <w:t>Poznáte nejaký projekt alebo projekty podporené z OP ŽP?</w:t>
            </w:r>
          </w:p>
        </w:tc>
        <w:tc>
          <w:tcPr>
            <w:tcW w:w="1780"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14:paraId="77EC232B" w14:textId="77777777" w:rsidR="0014175B" w:rsidRPr="00590529" w:rsidRDefault="0014175B">
            <w:pPr>
              <w:pStyle w:val="Zkladntext"/>
              <w:jc w:val="center"/>
              <w:rPr>
                <w:sz w:val="20"/>
                <w:szCs w:val="18"/>
              </w:rPr>
            </w:pPr>
            <w:r w:rsidRPr="00590529">
              <w:rPr>
                <w:sz w:val="20"/>
                <w:szCs w:val="18"/>
              </w:rPr>
              <w:t>Myslíte si, že ste informovaný/á o možnostiach podpory z OP ŽP?</w:t>
            </w:r>
          </w:p>
        </w:tc>
        <w:tc>
          <w:tcPr>
            <w:tcW w:w="1782"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14:paraId="390E16B1" w14:textId="77777777" w:rsidR="0014175B" w:rsidRPr="00590529" w:rsidRDefault="0014175B">
            <w:pPr>
              <w:pStyle w:val="Zkladntext"/>
              <w:jc w:val="center"/>
              <w:rPr>
                <w:sz w:val="20"/>
                <w:szCs w:val="18"/>
              </w:rPr>
            </w:pPr>
            <w:r w:rsidRPr="00590529">
              <w:rPr>
                <w:sz w:val="20"/>
                <w:szCs w:val="18"/>
              </w:rPr>
              <w:t>Miera informovanosti o možnostiach podpory z OP ŽP (%)</w:t>
            </w:r>
          </w:p>
        </w:tc>
      </w:tr>
      <w:tr w:rsidR="0014175B" w:rsidRPr="00E10D81" w14:paraId="24C7FC80" w14:textId="77777777" w:rsidTr="00BB5CD0">
        <w:trPr>
          <w:trHeight w:val="282"/>
        </w:trPr>
        <w:tc>
          <w:tcPr>
            <w:tcW w:w="1497"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14:paraId="6BF627DF" w14:textId="77777777" w:rsidR="0014175B" w:rsidRPr="00590529" w:rsidRDefault="0014175B" w:rsidP="00590529">
            <w:pPr>
              <w:pStyle w:val="Zkladntext"/>
              <w:jc w:val="center"/>
              <w:rPr>
                <w:sz w:val="20"/>
                <w:szCs w:val="18"/>
              </w:rPr>
            </w:pPr>
            <w:r w:rsidRPr="00590529">
              <w:rPr>
                <w:sz w:val="20"/>
                <w:szCs w:val="18"/>
              </w:rPr>
              <w:t>Máj 2015 *</w:t>
            </w:r>
          </w:p>
        </w:tc>
        <w:tc>
          <w:tcPr>
            <w:tcW w:w="2176" w:type="dxa"/>
            <w:tcBorders>
              <w:top w:val="single" w:sz="4" w:space="0" w:color="000000"/>
              <w:left w:val="single" w:sz="4" w:space="0" w:color="000000"/>
              <w:bottom w:val="single" w:sz="4" w:space="0" w:color="000000"/>
              <w:right w:val="single" w:sz="4" w:space="0" w:color="000000"/>
            </w:tcBorders>
            <w:vAlign w:val="center"/>
          </w:tcPr>
          <w:p w14:paraId="5D64788A" w14:textId="77777777" w:rsidR="0014175B" w:rsidRPr="00590529" w:rsidRDefault="0014175B" w:rsidP="00F455D5">
            <w:pPr>
              <w:pStyle w:val="Zkladntext"/>
              <w:jc w:val="center"/>
              <w:rPr>
                <w:sz w:val="20"/>
                <w:szCs w:val="18"/>
              </w:rPr>
            </w:pPr>
            <w:r w:rsidRPr="00590529">
              <w:rPr>
                <w:sz w:val="20"/>
                <w:szCs w:val="18"/>
              </w:rPr>
              <w:t>27,9 %</w:t>
            </w:r>
          </w:p>
        </w:tc>
        <w:tc>
          <w:tcPr>
            <w:tcW w:w="1766" w:type="dxa"/>
            <w:tcBorders>
              <w:top w:val="single" w:sz="4" w:space="0" w:color="000000"/>
              <w:left w:val="single" w:sz="4" w:space="0" w:color="000000"/>
              <w:bottom w:val="single" w:sz="4" w:space="0" w:color="000000"/>
              <w:right w:val="single" w:sz="4" w:space="0" w:color="000000"/>
            </w:tcBorders>
            <w:vAlign w:val="center"/>
          </w:tcPr>
          <w:p w14:paraId="727140F0" w14:textId="77777777" w:rsidR="0014175B" w:rsidRPr="00590529" w:rsidRDefault="0014175B" w:rsidP="0049129E">
            <w:pPr>
              <w:pStyle w:val="Zkladntext"/>
              <w:jc w:val="center"/>
              <w:rPr>
                <w:sz w:val="20"/>
                <w:szCs w:val="18"/>
              </w:rPr>
            </w:pPr>
            <w:r w:rsidRPr="00590529">
              <w:rPr>
                <w:sz w:val="20"/>
                <w:szCs w:val="18"/>
              </w:rPr>
              <w:t>16,9 %</w:t>
            </w:r>
          </w:p>
        </w:tc>
        <w:tc>
          <w:tcPr>
            <w:tcW w:w="1780" w:type="dxa"/>
            <w:tcBorders>
              <w:top w:val="single" w:sz="4" w:space="0" w:color="000000"/>
              <w:left w:val="single" w:sz="4" w:space="0" w:color="000000"/>
              <w:bottom w:val="single" w:sz="4" w:space="0" w:color="000000"/>
              <w:right w:val="single" w:sz="4" w:space="0" w:color="000000"/>
            </w:tcBorders>
            <w:vAlign w:val="center"/>
          </w:tcPr>
          <w:p w14:paraId="7DD52C39" w14:textId="77777777" w:rsidR="0014175B" w:rsidRPr="00590529" w:rsidRDefault="0014175B" w:rsidP="00DA646F">
            <w:pPr>
              <w:pStyle w:val="Zkladntext"/>
              <w:jc w:val="center"/>
              <w:rPr>
                <w:sz w:val="20"/>
                <w:szCs w:val="18"/>
              </w:rPr>
            </w:pPr>
            <w:r w:rsidRPr="00590529">
              <w:rPr>
                <w:sz w:val="20"/>
                <w:szCs w:val="18"/>
              </w:rPr>
              <w:t>11,1 %</w:t>
            </w:r>
          </w:p>
        </w:tc>
        <w:tc>
          <w:tcPr>
            <w:tcW w:w="1782" w:type="dxa"/>
            <w:tcBorders>
              <w:top w:val="single" w:sz="4" w:space="0" w:color="000000"/>
              <w:left w:val="single" w:sz="4" w:space="0" w:color="000000"/>
              <w:bottom w:val="single" w:sz="4" w:space="0" w:color="000000"/>
              <w:right w:val="single" w:sz="4" w:space="0" w:color="000000"/>
            </w:tcBorders>
            <w:vAlign w:val="center"/>
          </w:tcPr>
          <w:p w14:paraId="760E7C6B" w14:textId="77777777" w:rsidR="0014175B" w:rsidRPr="00590529" w:rsidRDefault="0014175B">
            <w:pPr>
              <w:pStyle w:val="Zkladntext"/>
              <w:jc w:val="center"/>
              <w:rPr>
                <w:sz w:val="20"/>
                <w:szCs w:val="18"/>
              </w:rPr>
            </w:pPr>
            <w:r w:rsidRPr="00590529">
              <w:rPr>
                <w:sz w:val="20"/>
                <w:szCs w:val="18"/>
              </w:rPr>
              <w:t>18,6 %</w:t>
            </w:r>
          </w:p>
        </w:tc>
      </w:tr>
      <w:tr w:rsidR="0014175B" w:rsidRPr="00E10D81" w14:paraId="012B975A" w14:textId="77777777" w:rsidTr="00BB5CD0">
        <w:trPr>
          <w:trHeight w:val="282"/>
        </w:trPr>
        <w:tc>
          <w:tcPr>
            <w:tcW w:w="1497"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14:paraId="272E7612" w14:textId="15849DA3" w:rsidR="0014175B" w:rsidRPr="00590529" w:rsidRDefault="0014175B" w:rsidP="00590529">
            <w:pPr>
              <w:pStyle w:val="Zkladntext"/>
              <w:jc w:val="center"/>
              <w:rPr>
                <w:sz w:val="20"/>
                <w:szCs w:val="18"/>
              </w:rPr>
            </w:pPr>
            <w:r w:rsidRPr="00590529">
              <w:rPr>
                <w:sz w:val="20"/>
                <w:szCs w:val="18"/>
              </w:rPr>
              <w:t>November 2015</w:t>
            </w:r>
          </w:p>
        </w:tc>
        <w:tc>
          <w:tcPr>
            <w:tcW w:w="2176" w:type="dxa"/>
            <w:tcBorders>
              <w:top w:val="single" w:sz="4" w:space="0" w:color="000000"/>
              <w:left w:val="single" w:sz="4" w:space="0" w:color="000000"/>
              <w:bottom w:val="single" w:sz="4" w:space="0" w:color="000000"/>
              <w:right w:val="single" w:sz="4" w:space="0" w:color="000000"/>
            </w:tcBorders>
            <w:vAlign w:val="center"/>
          </w:tcPr>
          <w:p w14:paraId="3C745387" w14:textId="77777777" w:rsidR="0014175B" w:rsidRPr="00715BAC" w:rsidRDefault="0014175B" w:rsidP="00F455D5">
            <w:pPr>
              <w:pStyle w:val="Zkladntext"/>
              <w:jc w:val="center"/>
              <w:rPr>
                <w:sz w:val="20"/>
                <w:szCs w:val="18"/>
              </w:rPr>
            </w:pPr>
            <w:r w:rsidRPr="00715BAC">
              <w:rPr>
                <w:sz w:val="20"/>
                <w:szCs w:val="18"/>
              </w:rPr>
              <w:t>58,0 %</w:t>
            </w:r>
          </w:p>
        </w:tc>
        <w:tc>
          <w:tcPr>
            <w:tcW w:w="1766" w:type="dxa"/>
            <w:tcBorders>
              <w:top w:val="single" w:sz="4" w:space="0" w:color="000000"/>
              <w:left w:val="single" w:sz="4" w:space="0" w:color="000000"/>
              <w:bottom w:val="single" w:sz="4" w:space="0" w:color="000000"/>
              <w:right w:val="single" w:sz="4" w:space="0" w:color="000000"/>
            </w:tcBorders>
            <w:vAlign w:val="center"/>
          </w:tcPr>
          <w:p w14:paraId="55B5245A" w14:textId="77777777" w:rsidR="0014175B" w:rsidRPr="00590529" w:rsidRDefault="0014175B" w:rsidP="0049129E">
            <w:pPr>
              <w:pStyle w:val="Zkladntext"/>
              <w:jc w:val="center"/>
              <w:rPr>
                <w:sz w:val="20"/>
                <w:szCs w:val="18"/>
              </w:rPr>
            </w:pPr>
            <w:r w:rsidRPr="00590529">
              <w:rPr>
                <w:sz w:val="20"/>
                <w:szCs w:val="18"/>
              </w:rPr>
              <w:t>22,9 %</w:t>
            </w:r>
          </w:p>
        </w:tc>
        <w:tc>
          <w:tcPr>
            <w:tcW w:w="1780" w:type="dxa"/>
            <w:tcBorders>
              <w:top w:val="single" w:sz="4" w:space="0" w:color="000000"/>
              <w:left w:val="single" w:sz="4" w:space="0" w:color="000000"/>
              <w:bottom w:val="single" w:sz="4" w:space="0" w:color="000000"/>
              <w:right w:val="single" w:sz="4" w:space="0" w:color="000000"/>
            </w:tcBorders>
            <w:vAlign w:val="center"/>
          </w:tcPr>
          <w:p w14:paraId="21408762" w14:textId="77777777" w:rsidR="0014175B" w:rsidRPr="00590529" w:rsidRDefault="0014175B" w:rsidP="00DA646F">
            <w:pPr>
              <w:pStyle w:val="Zkladntext"/>
              <w:jc w:val="center"/>
              <w:rPr>
                <w:sz w:val="20"/>
                <w:szCs w:val="18"/>
              </w:rPr>
            </w:pPr>
            <w:r w:rsidRPr="00590529">
              <w:rPr>
                <w:sz w:val="20"/>
                <w:szCs w:val="18"/>
              </w:rPr>
              <w:t>18,7 %</w:t>
            </w:r>
          </w:p>
        </w:tc>
        <w:tc>
          <w:tcPr>
            <w:tcW w:w="1782" w:type="dxa"/>
            <w:tcBorders>
              <w:top w:val="single" w:sz="4" w:space="0" w:color="000000"/>
              <w:left w:val="single" w:sz="4" w:space="0" w:color="000000"/>
              <w:bottom w:val="single" w:sz="4" w:space="0" w:color="000000"/>
              <w:right w:val="single" w:sz="4" w:space="0" w:color="000000"/>
            </w:tcBorders>
            <w:vAlign w:val="center"/>
          </w:tcPr>
          <w:p w14:paraId="439689A7" w14:textId="77777777" w:rsidR="0014175B" w:rsidRPr="00590529" w:rsidRDefault="0014175B">
            <w:pPr>
              <w:pStyle w:val="Zkladntext"/>
              <w:jc w:val="center"/>
              <w:rPr>
                <w:sz w:val="20"/>
                <w:szCs w:val="18"/>
              </w:rPr>
            </w:pPr>
            <w:r w:rsidRPr="00590529">
              <w:rPr>
                <w:sz w:val="20"/>
                <w:szCs w:val="18"/>
              </w:rPr>
              <w:t>33,2 %</w:t>
            </w:r>
          </w:p>
        </w:tc>
      </w:tr>
      <w:tr w:rsidR="0014175B" w:rsidRPr="00E10D81" w14:paraId="072FFC3C" w14:textId="77777777" w:rsidTr="00BB5CD0">
        <w:trPr>
          <w:trHeight w:val="282"/>
        </w:trPr>
        <w:tc>
          <w:tcPr>
            <w:tcW w:w="1497"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14:paraId="0059F658" w14:textId="77777777" w:rsidR="0014175B" w:rsidRPr="00590529" w:rsidRDefault="0014175B" w:rsidP="00590529">
            <w:pPr>
              <w:pStyle w:val="Zkladntext"/>
              <w:jc w:val="center"/>
              <w:rPr>
                <w:sz w:val="20"/>
                <w:szCs w:val="18"/>
              </w:rPr>
            </w:pPr>
            <w:r w:rsidRPr="00590529">
              <w:rPr>
                <w:sz w:val="20"/>
                <w:szCs w:val="18"/>
              </w:rPr>
              <w:t>ROZDIEL</w:t>
            </w:r>
          </w:p>
        </w:tc>
        <w:tc>
          <w:tcPr>
            <w:tcW w:w="2176" w:type="dxa"/>
            <w:tcBorders>
              <w:top w:val="single" w:sz="4" w:space="0" w:color="000000"/>
              <w:left w:val="single" w:sz="4" w:space="0" w:color="000000"/>
              <w:bottom w:val="single" w:sz="4" w:space="0" w:color="000000"/>
              <w:right w:val="single" w:sz="4" w:space="0" w:color="000000"/>
            </w:tcBorders>
            <w:vAlign w:val="center"/>
          </w:tcPr>
          <w:p w14:paraId="164C4C9D" w14:textId="77777777" w:rsidR="0014175B" w:rsidRPr="00590529" w:rsidRDefault="0014175B" w:rsidP="00F455D5">
            <w:pPr>
              <w:pStyle w:val="Zkladntext"/>
              <w:jc w:val="center"/>
              <w:rPr>
                <w:b/>
                <w:sz w:val="20"/>
                <w:szCs w:val="18"/>
              </w:rPr>
            </w:pPr>
            <w:r w:rsidRPr="00590529">
              <w:rPr>
                <w:b/>
                <w:sz w:val="20"/>
                <w:szCs w:val="18"/>
              </w:rPr>
              <w:t>30,1 p. b.</w:t>
            </w:r>
          </w:p>
        </w:tc>
        <w:tc>
          <w:tcPr>
            <w:tcW w:w="1766" w:type="dxa"/>
            <w:tcBorders>
              <w:top w:val="single" w:sz="4" w:space="0" w:color="000000"/>
              <w:left w:val="single" w:sz="4" w:space="0" w:color="000000"/>
              <w:bottom w:val="single" w:sz="4" w:space="0" w:color="000000"/>
              <w:right w:val="single" w:sz="4" w:space="0" w:color="000000"/>
            </w:tcBorders>
            <w:vAlign w:val="center"/>
          </w:tcPr>
          <w:p w14:paraId="0823DC52" w14:textId="77777777" w:rsidR="0014175B" w:rsidRPr="00590529" w:rsidRDefault="0014175B" w:rsidP="0049129E">
            <w:pPr>
              <w:pStyle w:val="Zkladntext"/>
              <w:jc w:val="center"/>
              <w:rPr>
                <w:b/>
                <w:sz w:val="20"/>
                <w:szCs w:val="18"/>
              </w:rPr>
            </w:pPr>
            <w:r w:rsidRPr="00590529">
              <w:rPr>
                <w:b/>
                <w:sz w:val="20"/>
                <w:szCs w:val="18"/>
              </w:rPr>
              <w:t>6,0 p. b.</w:t>
            </w:r>
          </w:p>
        </w:tc>
        <w:tc>
          <w:tcPr>
            <w:tcW w:w="1780" w:type="dxa"/>
            <w:tcBorders>
              <w:top w:val="single" w:sz="4" w:space="0" w:color="000000"/>
              <w:left w:val="single" w:sz="4" w:space="0" w:color="000000"/>
              <w:bottom w:val="single" w:sz="4" w:space="0" w:color="000000"/>
              <w:right w:val="single" w:sz="4" w:space="0" w:color="000000"/>
            </w:tcBorders>
            <w:vAlign w:val="center"/>
          </w:tcPr>
          <w:p w14:paraId="62C7E31E" w14:textId="77777777" w:rsidR="0014175B" w:rsidRPr="00590529" w:rsidRDefault="0014175B" w:rsidP="00DA646F">
            <w:pPr>
              <w:pStyle w:val="Zkladntext"/>
              <w:jc w:val="center"/>
              <w:rPr>
                <w:b/>
                <w:sz w:val="20"/>
                <w:szCs w:val="18"/>
              </w:rPr>
            </w:pPr>
            <w:r w:rsidRPr="00590529">
              <w:rPr>
                <w:b/>
                <w:sz w:val="20"/>
                <w:szCs w:val="18"/>
              </w:rPr>
              <w:t>7,6 p. b.</w:t>
            </w:r>
          </w:p>
        </w:tc>
        <w:tc>
          <w:tcPr>
            <w:tcW w:w="1782" w:type="dxa"/>
            <w:tcBorders>
              <w:top w:val="single" w:sz="4" w:space="0" w:color="000000"/>
              <w:left w:val="single" w:sz="4" w:space="0" w:color="000000"/>
              <w:bottom w:val="single" w:sz="4" w:space="0" w:color="000000"/>
              <w:right w:val="single" w:sz="4" w:space="0" w:color="000000"/>
            </w:tcBorders>
            <w:vAlign w:val="center"/>
          </w:tcPr>
          <w:p w14:paraId="2960F1FB" w14:textId="77777777" w:rsidR="0014175B" w:rsidRPr="00590529" w:rsidRDefault="0014175B">
            <w:pPr>
              <w:pStyle w:val="Zkladntext"/>
              <w:jc w:val="center"/>
              <w:rPr>
                <w:b/>
                <w:sz w:val="20"/>
                <w:szCs w:val="18"/>
              </w:rPr>
            </w:pPr>
            <w:r w:rsidRPr="00590529">
              <w:rPr>
                <w:b/>
                <w:sz w:val="20"/>
                <w:szCs w:val="18"/>
              </w:rPr>
              <w:t>14,6 p. b.</w:t>
            </w:r>
          </w:p>
        </w:tc>
      </w:tr>
    </w:tbl>
    <w:p w14:paraId="56EC394D" w14:textId="77777777" w:rsidR="0014175B" w:rsidRPr="0055051B" w:rsidRDefault="0014175B" w:rsidP="0014175B">
      <w:pPr>
        <w:pStyle w:val="Default"/>
        <w:jc w:val="both"/>
        <w:rPr>
          <w:rFonts w:ascii="Arial" w:hAnsi="Arial" w:cs="Arial"/>
          <w:sz w:val="20"/>
          <w:szCs w:val="20"/>
        </w:rPr>
      </w:pPr>
      <w:r w:rsidRPr="009363F5">
        <w:rPr>
          <w:sz w:val="22"/>
          <w:szCs w:val="22"/>
        </w:rPr>
        <w:t xml:space="preserve"> </w:t>
      </w:r>
      <w:r w:rsidRPr="0055051B">
        <w:rPr>
          <w:rFonts w:ascii="Arial" w:hAnsi="Arial" w:cs="Arial"/>
          <w:sz w:val="20"/>
          <w:szCs w:val="20"/>
        </w:rPr>
        <w:t>* Hodnotenie informovanosti a publicity v programovom období 2007 – 2013, Záverečná správa, 31. august 2015, KPMG Slovensko, s.r.o.</w:t>
      </w:r>
    </w:p>
    <w:p w14:paraId="3F5F1EF5" w14:textId="77777777" w:rsidR="0014175B" w:rsidRPr="0055051B" w:rsidRDefault="0014175B" w:rsidP="0014175B">
      <w:pPr>
        <w:pStyle w:val="Default"/>
        <w:jc w:val="both"/>
        <w:rPr>
          <w:rFonts w:ascii="Arial" w:hAnsi="Arial" w:cs="Arial"/>
          <w:sz w:val="20"/>
          <w:szCs w:val="20"/>
        </w:rPr>
      </w:pPr>
    </w:p>
    <w:p w14:paraId="3F336AA1" w14:textId="77777777" w:rsidR="0014175B" w:rsidRPr="0055051B" w:rsidRDefault="0014175B" w:rsidP="0014175B">
      <w:pPr>
        <w:pStyle w:val="Default"/>
        <w:jc w:val="both"/>
        <w:rPr>
          <w:rFonts w:ascii="Arial" w:hAnsi="Arial" w:cs="Arial"/>
          <w:sz w:val="20"/>
          <w:szCs w:val="20"/>
        </w:rPr>
      </w:pPr>
      <w:r w:rsidRPr="0055051B">
        <w:rPr>
          <w:rFonts w:ascii="Arial" w:hAnsi="Arial" w:cs="Arial"/>
          <w:sz w:val="20"/>
          <w:szCs w:val="20"/>
        </w:rPr>
        <w:t>Z údajov zo správy CKO Hodnotenie informovanosti a publicity v programovom období 2007 – 2013 vyplýva že „</w:t>
      </w:r>
      <w:r w:rsidRPr="0055051B">
        <w:rPr>
          <w:rFonts w:ascii="Arial" w:hAnsi="Arial" w:cs="Arial"/>
          <w:i/>
          <w:sz w:val="20"/>
          <w:szCs w:val="20"/>
        </w:rPr>
        <w:t>z vyplnených hodnôt indikátorov sa javí byť pokrok v ich plnení za primeraný a zodpovedajúci aktivitám v oblasti informovania a publicity, pričom nasvedčuje vysokej intenzite aktivít informovania a publicity“</w:t>
      </w:r>
      <w:r w:rsidRPr="0055051B">
        <w:rPr>
          <w:rFonts w:ascii="Arial" w:hAnsi="Arial" w:cs="Arial"/>
          <w:sz w:val="20"/>
          <w:szCs w:val="20"/>
        </w:rPr>
        <w:t>.</w:t>
      </w:r>
    </w:p>
    <w:p w14:paraId="328E8339" w14:textId="77777777" w:rsidR="0014175B" w:rsidRPr="0055051B" w:rsidRDefault="0014175B" w:rsidP="0014175B">
      <w:pPr>
        <w:pStyle w:val="Default"/>
        <w:jc w:val="both"/>
        <w:rPr>
          <w:rFonts w:ascii="Arial" w:hAnsi="Arial" w:cs="Arial"/>
          <w:sz w:val="20"/>
          <w:szCs w:val="20"/>
        </w:rPr>
      </w:pPr>
    </w:p>
    <w:p w14:paraId="204CE84B" w14:textId="6AAAC4AE" w:rsidR="0014175B" w:rsidRPr="0055051B" w:rsidRDefault="0014175B" w:rsidP="0014175B">
      <w:pPr>
        <w:pStyle w:val="Default"/>
        <w:jc w:val="both"/>
        <w:rPr>
          <w:rFonts w:ascii="Arial" w:hAnsi="Arial" w:cs="Arial"/>
          <w:sz w:val="20"/>
          <w:szCs w:val="20"/>
        </w:rPr>
      </w:pPr>
      <w:r w:rsidRPr="0055051B">
        <w:rPr>
          <w:rFonts w:ascii="Arial" w:hAnsi="Arial" w:cs="Arial"/>
          <w:sz w:val="20"/>
          <w:szCs w:val="20"/>
        </w:rPr>
        <w:t>Aktivity informovania a komunikácie prebiehali v súlade s Ročnými operatívnymi plánmi pre KoP OP ŽP pre programové obdobie 2007</w:t>
      </w:r>
      <w:r w:rsidR="00715BAC">
        <w:rPr>
          <w:rFonts w:ascii="Arial" w:hAnsi="Arial" w:cs="Arial"/>
          <w:sz w:val="20"/>
          <w:szCs w:val="20"/>
        </w:rPr>
        <w:t xml:space="preserve"> </w:t>
      </w:r>
      <w:r w:rsidR="00C90CF5">
        <w:rPr>
          <w:rFonts w:ascii="Arial" w:hAnsi="Arial" w:cs="Arial"/>
          <w:sz w:val="20"/>
          <w:szCs w:val="20"/>
        </w:rPr>
        <w:t>–</w:t>
      </w:r>
      <w:r w:rsidR="00715BAC">
        <w:rPr>
          <w:rFonts w:ascii="Arial" w:hAnsi="Arial" w:cs="Arial"/>
          <w:sz w:val="20"/>
          <w:szCs w:val="20"/>
        </w:rPr>
        <w:t xml:space="preserve"> </w:t>
      </w:r>
      <w:r w:rsidRPr="0055051B">
        <w:rPr>
          <w:rFonts w:ascii="Arial" w:hAnsi="Arial" w:cs="Arial"/>
          <w:sz w:val="20"/>
          <w:szCs w:val="20"/>
        </w:rPr>
        <w:t>2013</w:t>
      </w:r>
      <w:r w:rsidR="00C90CF5">
        <w:rPr>
          <w:rFonts w:ascii="Arial" w:hAnsi="Arial" w:cs="Arial"/>
          <w:sz w:val="20"/>
          <w:szCs w:val="20"/>
        </w:rPr>
        <w:t>.</w:t>
      </w:r>
      <w:r w:rsidRPr="0055051B">
        <w:rPr>
          <w:rFonts w:ascii="Arial" w:hAnsi="Arial" w:cs="Arial"/>
          <w:sz w:val="20"/>
          <w:szCs w:val="20"/>
        </w:rPr>
        <w:t xml:space="preserve"> V rámci programového obdobia 2007 – 2013 RO pre OP ŽP využíval široké spektrum informačných a komunikačných nástrojov. Získané skúsenosti so zabezpečením publicity operačného programu možno považovať za jeden zo základných predpokladov úspešnej implementácie komunikačnej stratégie v programovom období 2014 - 2020.</w:t>
      </w:r>
    </w:p>
    <w:p w14:paraId="7F5F2751" w14:textId="77777777" w:rsidR="00C44684" w:rsidRPr="0055051B" w:rsidRDefault="00C44684" w:rsidP="00123376">
      <w:pPr>
        <w:spacing w:after="120"/>
        <w:jc w:val="both"/>
        <w:rPr>
          <w:rFonts w:ascii="Arial" w:hAnsi="Arial" w:cs="Arial"/>
          <w:sz w:val="20"/>
          <w:szCs w:val="20"/>
        </w:rPr>
      </w:pPr>
      <w:bookmarkStart w:id="116" w:name="_Toc408919805"/>
      <w:bookmarkStart w:id="117" w:name="_Toc410069224"/>
      <w:bookmarkStart w:id="118" w:name="_Toc380046781"/>
      <w:bookmarkStart w:id="119" w:name="_Toc380046780"/>
      <w:bookmarkStart w:id="120" w:name="_Toc380046779"/>
      <w:bookmarkStart w:id="121" w:name="_Toc380046778"/>
      <w:bookmarkStart w:id="122" w:name="_Toc380046777"/>
      <w:bookmarkStart w:id="123" w:name="_Toc380046776"/>
      <w:bookmarkStart w:id="124" w:name="_Toc380046775"/>
      <w:bookmarkStart w:id="125" w:name="_Toc380046774"/>
      <w:bookmarkStart w:id="126" w:name="_Toc380046773"/>
      <w:bookmarkStart w:id="127" w:name="_Toc380046772"/>
      <w:bookmarkStart w:id="128" w:name="_Toc380046771"/>
      <w:bookmarkStart w:id="129" w:name="_Toc380046770"/>
      <w:bookmarkStart w:id="130" w:name="_Toc380046769"/>
      <w:bookmarkStart w:id="131" w:name="_Toc380046768"/>
      <w:bookmarkStart w:id="132" w:name="_Toc380046767"/>
      <w:bookmarkStart w:id="133" w:name="_Toc380046766"/>
      <w:bookmarkStart w:id="134" w:name="_Toc380046765"/>
      <w:bookmarkStart w:id="135" w:name="_Toc380046764"/>
      <w:bookmarkStart w:id="136" w:name="_Toc380046763"/>
      <w:bookmarkStart w:id="137" w:name="_Toc380046762"/>
      <w:bookmarkStart w:id="138" w:name="_Toc380046761"/>
      <w:bookmarkStart w:id="139" w:name="_Toc380046760"/>
      <w:bookmarkStart w:id="140" w:name="_Toc380046759"/>
      <w:bookmarkStart w:id="141" w:name="_Toc380046758"/>
      <w:bookmarkStart w:id="142" w:name="_Toc380046783"/>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14:paraId="00744EB5" w14:textId="6DB665A2" w:rsidR="006F27FC" w:rsidRDefault="006F27FC">
      <w:pPr>
        <w:rPr>
          <w:rFonts w:ascii="Arial" w:hAnsi="Arial" w:cs="Arial"/>
          <w:sz w:val="20"/>
          <w:szCs w:val="20"/>
        </w:rPr>
      </w:pPr>
    </w:p>
    <w:p w14:paraId="2A79F237" w14:textId="77777777" w:rsidR="0008447E" w:rsidRDefault="0008447E">
      <w:pPr>
        <w:rPr>
          <w:rFonts w:ascii="Arial" w:hAnsi="Arial" w:cs="Arial"/>
          <w:b/>
          <w:caps/>
          <w:kern w:val="32"/>
          <w:sz w:val="32"/>
          <w:szCs w:val="20"/>
          <w:lang w:val="x-none" w:eastAsia="x-none"/>
        </w:rPr>
      </w:pPr>
      <w:bookmarkStart w:id="143" w:name="_6._Zoznam_použitých"/>
      <w:bookmarkStart w:id="144" w:name="_Toc135540071"/>
      <w:bookmarkEnd w:id="143"/>
      <w:r>
        <w:rPr>
          <w:rFonts w:cs="Arial"/>
        </w:rPr>
        <w:br w:type="page"/>
      </w:r>
    </w:p>
    <w:p w14:paraId="08FC2809" w14:textId="54F7335A" w:rsidR="00FE23C6" w:rsidRDefault="002416B1" w:rsidP="008A1902">
      <w:pPr>
        <w:pStyle w:val="Nadpis1"/>
        <w:spacing w:before="0" w:after="0"/>
        <w:rPr>
          <w:rFonts w:cs="Arial"/>
          <w:lang w:val="sk-SK"/>
        </w:rPr>
      </w:pPr>
      <w:bookmarkStart w:id="145" w:name="_Toc466914556"/>
      <w:r w:rsidRPr="008E1ACB">
        <w:rPr>
          <w:rFonts w:cs="Arial"/>
        </w:rPr>
        <w:lastRenderedPageBreak/>
        <w:t>8. Zoznam použitých skratiek</w:t>
      </w:r>
      <w:bookmarkEnd w:id="144"/>
      <w:bookmarkEnd w:id="145"/>
    </w:p>
    <w:tbl>
      <w:tblPr>
        <w:tblW w:w="5000" w:type="pct"/>
        <w:shd w:val="clear" w:color="auto" w:fill="FFFFFF" w:themeFill="background1"/>
        <w:tblLook w:val="04A0" w:firstRow="1" w:lastRow="0" w:firstColumn="1" w:lastColumn="0" w:noHBand="0" w:noVBand="1"/>
      </w:tblPr>
      <w:tblGrid>
        <w:gridCol w:w="1809"/>
        <w:gridCol w:w="7477"/>
      </w:tblGrid>
      <w:tr w:rsidR="00C2711E" w:rsidRPr="00E21C60" w14:paraId="0FE55AB3" w14:textId="77777777" w:rsidTr="008A1902">
        <w:trPr>
          <w:trHeight w:val="229"/>
        </w:trPr>
        <w:tc>
          <w:tcPr>
            <w:tcW w:w="974" w:type="pct"/>
            <w:shd w:val="clear" w:color="auto" w:fill="auto"/>
            <w:vAlign w:val="center"/>
          </w:tcPr>
          <w:p w14:paraId="4C98902D" w14:textId="77777777" w:rsidR="00C2711E" w:rsidRPr="00123376" w:rsidRDefault="00C2711E" w:rsidP="008A1902">
            <w:pPr>
              <w:spacing w:before="120"/>
              <w:rPr>
                <w:rFonts w:ascii="Arial" w:hAnsi="Arial" w:cs="Arial"/>
                <w:lang w:eastAsia="x-none"/>
              </w:rPr>
            </w:pPr>
            <w:r w:rsidRPr="00123376">
              <w:rPr>
                <w:rFonts w:ascii="Arial" w:hAnsi="Arial" w:cs="Arial"/>
                <w:lang w:eastAsia="x-none"/>
              </w:rPr>
              <w:tab/>
            </w:r>
            <w:r w:rsidR="00DB54AC">
              <w:rPr>
                <w:rFonts w:ascii="Arial" w:hAnsi="Arial" w:cs="Arial"/>
                <w:sz w:val="20"/>
                <w:szCs w:val="20"/>
              </w:rPr>
              <w:t>BAT</w:t>
            </w:r>
          </w:p>
        </w:tc>
        <w:tc>
          <w:tcPr>
            <w:tcW w:w="4026" w:type="pct"/>
            <w:shd w:val="clear" w:color="auto" w:fill="auto"/>
            <w:vAlign w:val="center"/>
          </w:tcPr>
          <w:p w14:paraId="13DFE874" w14:textId="77777777" w:rsidR="00C2711E" w:rsidRPr="00E21C60" w:rsidRDefault="00DB54AC" w:rsidP="00123376">
            <w:pPr>
              <w:rPr>
                <w:rFonts w:ascii="Arial" w:hAnsi="Arial" w:cs="Arial"/>
                <w:sz w:val="20"/>
                <w:szCs w:val="20"/>
              </w:rPr>
            </w:pPr>
            <w:r>
              <w:rPr>
                <w:rFonts w:ascii="Arial" w:hAnsi="Arial" w:cs="Arial"/>
                <w:sz w:val="20"/>
                <w:szCs w:val="20"/>
              </w:rPr>
              <w:t>Najlepšie dostupná technika</w:t>
            </w:r>
          </w:p>
        </w:tc>
      </w:tr>
      <w:tr w:rsidR="00DB54AC" w:rsidRPr="00E21C60" w14:paraId="676547ED" w14:textId="77777777" w:rsidTr="00510690">
        <w:trPr>
          <w:trHeight w:val="229"/>
        </w:trPr>
        <w:tc>
          <w:tcPr>
            <w:tcW w:w="974" w:type="pct"/>
            <w:shd w:val="clear" w:color="auto" w:fill="EAF1DD" w:themeFill="accent3" w:themeFillTint="33"/>
            <w:vAlign w:val="center"/>
          </w:tcPr>
          <w:p w14:paraId="6CD52D1D" w14:textId="77777777" w:rsidR="00DB54AC" w:rsidRPr="00123376" w:rsidRDefault="00DB54AC" w:rsidP="00123376">
            <w:pPr>
              <w:rPr>
                <w:rFonts w:ascii="Arial" w:hAnsi="Arial" w:cs="Arial"/>
                <w:lang w:eastAsia="x-none"/>
              </w:rPr>
            </w:pPr>
            <w:r w:rsidRPr="00E21C60">
              <w:rPr>
                <w:rFonts w:ascii="Arial" w:hAnsi="Arial" w:cs="Arial"/>
                <w:sz w:val="20"/>
                <w:szCs w:val="20"/>
              </w:rPr>
              <w:t>CKO</w:t>
            </w:r>
          </w:p>
        </w:tc>
        <w:tc>
          <w:tcPr>
            <w:tcW w:w="4026" w:type="pct"/>
            <w:shd w:val="clear" w:color="auto" w:fill="EAF1DD" w:themeFill="accent3" w:themeFillTint="33"/>
            <w:vAlign w:val="center"/>
          </w:tcPr>
          <w:p w14:paraId="49309231" w14:textId="77777777" w:rsidR="00DB54AC" w:rsidRPr="00E21C60" w:rsidRDefault="00DB54AC" w:rsidP="00123376">
            <w:pPr>
              <w:rPr>
                <w:rFonts w:ascii="Arial" w:hAnsi="Arial" w:cs="Arial"/>
                <w:sz w:val="20"/>
                <w:szCs w:val="20"/>
              </w:rPr>
            </w:pPr>
            <w:r w:rsidRPr="00E21C60">
              <w:rPr>
                <w:rFonts w:ascii="Arial" w:hAnsi="Arial" w:cs="Arial"/>
                <w:sz w:val="20"/>
                <w:szCs w:val="20"/>
              </w:rPr>
              <w:t>Centrálny koordinačný orgán</w:t>
            </w:r>
          </w:p>
        </w:tc>
      </w:tr>
      <w:tr w:rsidR="00DB54AC" w:rsidRPr="00E21C60" w14:paraId="66CEE70E" w14:textId="77777777" w:rsidTr="008A1902">
        <w:trPr>
          <w:trHeight w:val="284"/>
        </w:trPr>
        <w:tc>
          <w:tcPr>
            <w:tcW w:w="974" w:type="pct"/>
            <w:shd w:val="clear" w:color="auto" w:fill="auto"/>
            <w:vAlign w:val="center"/>
          </w:tcPr>
          <w:p w14:paraId="33853F0B" w14:textId="77777777" w:rsidR="00DB54AC" w:rsidRPr="00E21C60" w:rsidRDefault="00DB54AC" w:rsidP="00123376">
            <w:pPr>
              <w:rPr>
                <w:rFonts w:ascii="Arial" w:hAnsi="Arial" w:cs="Arial"/>
                <w:sz w:val="20"/>
                <w:szCs w:val="20"/>
              </w:rPr>
            </w:pPr>
            <w:r w:rsidRPr="00E21C60">
              <w:rPr>
                <w:rFonts w:ascii="Arial" w:hAnsi="Arial" w:cs="Arial"/>
                <w:sz w:val="20"/>
                <w:szCs w:val="20"/>
              </w:rPr>
              <w:t>CO</w:t>
            </w:r>
          </w:p>
        </w:tc>
        <w:tc>
          <w:tcPr>
            <w:tcW w:w="4026" w:type="pct"/>
            <w:shd w:val="clear" w:color="auto" w:fill="auto"/>
            <w:vAlign w:val="center"/>
          </w:tcPr>
          <w:p w14:paraId="19D04AB6" w14:textId="77777777" w:rsidR="00DB54AC" w:rsidRPr="00E21C60" w:rsidRDefault="00DB54AC" w:rsidP="00123376">
            <w:pPr>
              <w:rPr>
                <w:rFonts w:ascii="Arial" w:hAnsi="Arial" w:cs="Arial"/>
                <w:sz w:val="20"/>
                <w:szCs w:val="20"/>
              </w:rPr>
            </w:pPr>
            <w:r w:rsidRPr="00E21C60">
              <w:rPr>
                <w:rFonts w:ascii="Arial" w:hAnsi="Arial" w:cs="Arial"/>
                <w:sz w:val="20"/>
                <w:szCs w:val="20"/>
              </w:rPr>
              <w:t>Certifikačný orgán</w:t>
            </w:r>
          </w:p>
        </w:tc>
      </w:tr>
      <w:tr w:rsidR="00DB54AC" w:rsidRPr="00E21C60" w14:paraId="0AAA3499" w14:textId="77777777" w:rsidTr="00510690">
        <w:trPr>
          <w:trHeight w:val="284"/>
        </w:trPr>
        <w:tc>
          <w:tcPr>
            <w:tcW w:w="974" w:type="pct"/>
            <w:shd w:val="clear" w:color="auto" w:fill="EAF1DD" w:themeFill="accent3" w:themeFillTint="33"/>
            <w:vAlign w:val="center"/>
          </w:tcPr>
          <w:p w14:paraId="2A82F41B" w14:textId="77777777" w:rsidR="00DB54AC" w:rsidRPr="00E21C60" w:rsidRDefault="00DB54AC" w:rsidP="00123376">
            <w:pPr>
              <w:rPr>
                <w:rFonts w:ascii="Arial" w:hAnsi="Arial" w:cs="Arial"/>
                <w:sz w:val="20"/>
                <w:szCs w:val="20"/>
              </w:rPr>
            </w:pPr>
            <w:r w:rsidRPr="00E21C60">
              <w:rPr>
                <w:rFonts w:ascii="Arial" w:hAnsi="Arial" w:cs="Arial"/>
                <w:sz w:val="20"/>
                <w:szCs w:val="20"/>
              </w:rPr>
              <w:t>ČOV</w:t>
            </w:r>
          </w:p>
        </w:tc>
        <w:tc>
          <w:tcPr>
            <w:tcW w:w="4026" w:type="pct"/>
            <w:shd w:val="clear" w:color="auto" w:fill="EAF1DD" w:themeFill="accent3" w:themeFillTint="33"/>
            <w:vAlign w:val="center"/>
          </w:tcPr>
          <w:p w14:paraId="7CDB787C" w14:textId="77777777" w:rsidR="00DB54AC" w:rsidRPr="00E21C60" w:rsidRDefault="00DB54AC" w:rsidP="00123376">
            <w:pPr>
              <w:rPr>
                <w:rFonts w:ascii="Arial" w:hAnsi="Arial" w:cs="Arial"/>
                <w:sz w:val="20"/>
                <w:szCs w:val="20"/>
              </w:rPr>
            </w:pPr>
            <w:r w:rsidRPr="00E21C60">
              <w:rPr>
                <w:rFonts w:ascii="Arial" w:hAnsi="Arial" w:cs="Arial"/>
                <w:sz w:val="20"/>
                <w:szCs w:val="20"/>
              </w:rPr>
              <w:t>Čistiareň odpadových vôd</w:t>
            </w:r>
          </w:p>
        </w:tc>
      </w:tr>
      <w:tr w:rsidR="00DB54AC" w:rsidRPr="00E21C60" w14:paraId="7C173B9C" w14:textId="77777777" w:rsidTr="008A1902">
        <w:trPr>
          <w:trHeight w:val="284"/>
        </w:trPr>
        <w:tc>
          <w:tcPr>
            <w:tcW w:w="974" w:type="pct"/>
            <w:shd w:val="clear" w:color="auto" w:fill="auto"/>
            <w:vAlign w:val="center"/>
          </w:tcPr>
          <w:p w14:paraId="3EB07553" w14:textId="77777777" w:rsidR="00DB54AC" w:rsidRPr="00E21C60" w:rsidRDefault="00DB54AC" w:rsidP="00123376">
            <w:pPr>
              <w:rPr>
                <w:rFonts w:ascii="Arial" w:hAnsi="Arial" w:cs="Arial"/>
                <w:sz w:val="20"/>
                <w:szCs w:val="20"/>
              </w:rPr>
            </w:pPr>
            <w:r w:rsidRPr="00E21C60">
              <w:rPr>
                <w:rFonts w:ascii="Arial" w:hAnsi="Arial" w:cs="Arial"/>
                <w:sz w:val="20"/>
                <w:szCs w:val="20"/>
              </w:rPr>
              <w:t>DPH</w:t>
            </w:r>
          </w:p>
        </w:tc>
        <w:tc>
          <w:tcPr>
            <w:tcW w:w="4026" w:type="pct"/>
            <w:shd w:val="clear" w:color="auto" w:fill="auto"/>
            <w:vAlign w:val="center"/>
          </w:tcPr>
          <w:p w14:paraId="1291BD48" w14:textId="77777777" w:rsidR="00DB54AC" w:rsidRPr="00E21C60" w:rsidRDefault="00DB54AC" w:rsidP="00123376">
            <w:pPr>
              <w:rPr>
                <w:rFonts w:ascii="Arial" w:hAnsi="Arial" w:cs="Arial"/>
                <w:sz w:val="20"/>
                <w:szCs w:val="20"/>
              </w:rPr>
            </w:pPr>
            <w:r w:rsidRPr="00E21C60">
              <w:rPr>
                <w:rFonts w:ascii="Arial" w:hAnsi="Arial" w:cs="Arial"/>
                <w:sz w:val="20"/>
                <w:szCs w:val="20"/>
              </w:rPr>
              <w:t>Daň z pridanej hodnoty</w:t>
            </w:r>
          </w:p>
        </w:tc>
      </w:tr>
      <w:tr w:rsidR="00DB54AC" w:rsidRPr="00E21C60" w14:paraId="63D30547" w14:textId="77777777" w:rsidTr="00510690">
        <w:trPr>
          <w:trHeight w:val="284"/>
        </w:trPr>
        <w:tc>
          <w:tcPr>
            <w:tcW w:w="974" w:type="pct"/>
            <w:shd w:val="clear" w:color="auto" w:fill="EAF1DD" w:themeFill="accent3" w:themeFillTint="33"/>
            <w:vAlign w:val="center"/>
          </w:tcPr>
          <w:p w14:paraId="2256C250" w14:textId="77777777" w:rsidR="00DB54AC" w:rsidRPr="00E21C60" w:rsidRDefault="00DB54AC" w:rsidP="00123376">
            <w:pPr>
              <w:rPr>
                <w:rFonts w:ascii="Arial" w:hAnsi="Arial" w:cs="Arial"/>
                <w:sz w:val="20"/>
                <w:szCs w:val="20"/>
              </w:rPr>
            </w:pPr>
            <w:r w:rsidRPr="00E21C60">
              <w:rPr>
                <w:rFonts w:ascii="Arial" w:hAnsi="Arial" w:cs="Arial"/>
                <w:sz w:val="20"/>
                <w:szCs w:val="20"/>
              </w:rPr>
              <w:t>EAFRD</w:t>
            </w:r>
          </w:p>
        </w:tc>
        <w:tc>
          <w:tcPr>
            <w:tcW w:w="4026" w:type="pct"/>
            <w:shd w:val="clear" w:color="auto" w:fill="EAF1DD" w:themeFill="accent3" w:themeFillTint="33"/>
            <w:vAlign w:val="center"/>
          </w:tcPr>
          <w:p w14:paraId="75694D9A" w14:textId="77777777" w:rsidR="00DB54AC" w:rsidRPr="00E21C60" w:rsidRDefault="00DB54AC" w:rsidP="00123376">
            <w:pPr>
              <w:rPr>
                <w:rFonts w:ascii="Arial" w:hAnsi="Arial" w:cs="Arial"/>
                <w:sz w:val="20"/>
                <w:szCs w:val="20"/>
              </w:rPr>
            </w:pPr>
            <w:r w:rsidRPr="00E21C60">
              <w:rPr>
                <w:rFonts w:ascii="Arial" w:hAnsi="Arial" w:cs="Arial"/>
                <w:sz w:val="20"/>
                <w:szCs w:val="20"/>
              </w:rPr>
              <w:t>Európsky poľnohospodársky fond pre rozvoj vidieka</w:t>
            </w:r>
          </w:p>
        </w:tc>
      </w:tr>
      <w:tr w:rsidR="00DB54AC" w:rsidRPr="00E21C60" w14:paraId="4C241BD5" w14:textId="77777777" w:rsidTr="008A1902">
        <w:trPr>
          <w:trHeight w:val="284"/>
        </w:trPr>
        <w:tc>
          <w:tcPr>
            <w:tcW w:w="974" w:type="pct"/>
            <w:shd w:val="clear" w:color="auto" w:fill="auto"/>
            <w:vAlign w:val="center"/>
          </w:tcPr>
          <w:p w14:paraId="317E6A35" w14:textId="77777777" w:rsidR="00DB54AC" w:rsidRPr="00E21C60" w:rsidRDefault="00DB54AC" w:rsidP="00123376">
            <w:pPr>
              <w:rPr>
                <w:rFonts w:ascii="Arial" w:hAnsi="Arial" w:cs="Arial"/>
                <w:sz w:val="20"/>
                <w:szCs w:val="20"/>
              </w:rPr>
            </w:pPr>
            <w:r w:rsidRPr="00E21C60">
              <w:rPr>
                <w:rFonts w:ascii="Arial" w:hAnsi="Arial" w:cs="Arial"/>
                <w:sz w:val="20"/>
                <w:szCs w:val="20"/>
              </w:rPr>
              <w:t>EBRD</w:t>
            </w:r>
          </w:p>
        </w:tc>
        <w:tc>
          <w:tcPr>
            <w:tcW w:w="4026" w:type="pct"/>
            <w:shd w:val="clear" w:color="auto" w:fill="auto"/>
            <w:vAlign w:val="center"/>
          </w:tcPr>
          <w:p w14:paraId="59BD3EEE" w14:textId="77777777" w:rsidR="00DB54AC" w:rsidRPr="00E21C60" w:rsidRDefault="00DB54AC" w:rsidP="00123376">
            <w:pPr>
              <w:rPr>
                <w:rFonts w:ascii="Arial" w:hAnsi="Arial" w:cs="Arial"/>
                <w:sz w:val="20"/>
                <w:szCs w:val="20"/>
              </w:rPr>
            </w:pPr>
            <w:r w:rsidRPr="00E21C60">
              <w:rPr>
                <w:rFonts w:ascii="Arial" w:hAnsi="Arial" w:cs="Arial"/>
                <w:sz w:val="20"/>
                <w:szCs w:val="20"/>
              </w:rPr>
              <w:t>Európska banka pre obnovu a rozvoj</w:t>
            </w:r>
          </w:p>
        </w:tc>
      </w:tr>
      <w:tr w:rsidR="00DB54AC" w:rsidRPr="00E21C60" w14:paraId="1825E68E" w14:textId="77777777" w:rsidTr="00510690">
        <w:trPr>
          <w:trHeight w:val="284"/>
        </w:trPr>
        <w:tc>
          <w:tcPr>
            <w:tcW w:w="974" w:type="pct"/>
            <w:shd w:val="clear" w:color="auto" w:fill="EAF1DD" w:themeFill="accent3" w:themeFillTint="33"/>
            <w:vAlign w:val="center"/>
          </w:tcPr>
          <w:p w14:paraId="204C9F62" w14:textId="77777777" w:rsidR="00DB54AC" w:rsidRPr="00E21C60" w:rsidRDefault="00DB54AC" w:rsidP="00123376">
            <w:pPr>
              <w:rPr>
                <w:rFonts w:ascii="Arial" w:hAnsi="Arial" w:cs="Arial"/>
                <w:sz w:val="20"/>
                <w:szCs w:val="20"/>
              </w:rPr>
            </w:pPr>
            <w:r w:rsidRPr="00E21C60">
              <w:rPr>
                <w:rFonts w:ascii="Arial" w:hAnsi="Arial" w:cs="Arial"/>
                <w:sz w:val="20"/>
                <w:szCs w:val="20"/>
              </w:rPr>
              <w:t>EIB</w:t>
            </w:r>
          </w:p>
        </w:tc>
        <w:tc>
          <w:tcPr>
            <w:tcW w:w="4026" w:type="pct"/>
            <w:shd w:val="clear" w:color="auto" w:fill="EAF1DD" w:themeFill="accent3" w:themeFillTint="33"/>
            <w:vAlign w:val="center"/>
          </w:tcPr>
          <w:p w14:paraId="368B46BF" w14:textId="77777777" w:rsidR="00DB54AC" w:rsidRPr="00E21C60" w:rsidRDefault="00DB54AC" w:rsidP="00123376">
            <w:pPr>
              <w:rPr>
                <w:rFonts w:ascii="Arial" w:hAnsi="Arial" w:cs="Arial"/>
                <w:sz w:val="20"/>
                <w:szCs w:val="20"/>
              </w:rPr>
            </w:pPr>
            <w:r w:rsidRPr="00E21C60">
              <w:rPr>
                <w:rFonts w:ascii="Arial" w:hAnsi="Arial" w:cs="Arial"/>
                <w:sz w:val="20"/>
                <w:szCs w:val="20"/>
              </w:rPr>
              <w:t>Európska investičná banka</w:t>
            </w:r>
          </w:p>
        </w:tc>
      </w:tr>
      <w:tr w:rsidR="00DB54AC" w:rsidRPr="00E21C60" w14:paraId="1AAF3DE9" w14:textId="77777777" w:rsidTr="008A1902">
        <w:trPr>
          <w:trHeight w:val="284"/>
        </w:trPr>
        <w:tc>
          <w:tcPr>
            <w:tcW w:w="974" w:type="pct"/>
            <w:shd w:val="clear" w:color="auto" w:fill="auto"/>
            <w:vAlign w:val="center"/>
          </w:tcPr>
          <w:p w14:paraId="010A8EE9" w14:textId="77777777" w:rsidR="00DB54AC" w:rsidRPr="00E21C60" w:rsidRDefault="00DB54AC" w:rsidP="00123376">
            <w:pPr>
              <w:rPr>
                <w:rFonts w:ascii="Arial" w:hAnsi="Arial" w:cs="Arial"/>
                <w:sz w:val="20"/>
                <w:szCs w:val="20"/>
              </w:rPr>
            </w:pPr>
            <w:r w:rsidRPr="00E21C60">
              <w:rPr>
                <w:rFonts w:ascii="Arial" w:hAnsi="Arial" w:cs="Arial"/>
                <w:sz w:val="20"/>
                <w:szCs w:val="20"/>
              </w:rPr>
              <w:t>EIF</w:t>
            </w:r>
          </w:p>
        </w:tc>
        <w:tc>
          <w:tcPr>
            <w:tcW w:w="4026" w:type="pct"/>
            <w:shd w:val="clear" w:color="auto" w:fill="auto"/>
            <w:vAlign w:val="center"/>
          </w:tcPr>
          <w:p w14:paraId="0D193266" w14:textId="77777777" w:rsidR="00DB54AC" w:rsidRPr="00E21C60" w:rsidRDefault="00DB54AC" w:rsidP="00123376">
            <w:pPr>
              <w:rPr>
                <w:rFonts w:ascii="Arial" w:hAnsi="Arial" w:cs="Arial"/>
                <w:sz w:val="20"/>
                <w:szCs w:val="20"/>
              </w:rPr>
            </w:pPr>
            <w:r w:rsidRPr="00E21C60">
              <w:rPr>
                <w:rFonts w:ascii="Arial" w:hAnsi="Arial" w:cs="Arial"/>
                <w:sz w:val="20"/>
                <w:szCs w:val="20"/>
              </w:rPr>
              <w:t>Európsky investičný fond</w:t>
            </w:r>
          </w:p>
        </w:tc>
      </w:tr>
      <w:tr w:rsidR="00DB54AC" w:rsidRPr="00E21C60" w14:paraId="780579C5" w14:textId="77777777" w:rsidTr="00510690">
        <w:trPr>
          <w:trHeight w:val="284"/>
        </w:trPr>
        <w:tc>
          <w:tcPr>
            <w:tcW w:w="974" w:type="pct"/>
            <w:shd w:val="clear" w:color="auto" w:fill="EAF1DD" w:themeFill="accent3" w:themeFillTint="33"/>
            <w:vAlign w:val="center"/>
          </w:tcPr>
          <w:p w14:paraId="4FE6E43B" w14:textId="77777777" w:rsidR="00DB54AC" w:rsidRPr="00E21C60" w:rsidRDefault="00DB54AC" w:rsidP="00123376">
            <w:pPr>
              <w:rPr>
                <w:rFonts w:ascii="Arial" w:hAnsi="Arial" w:cs="Arial"/>
                <w:sz w:val="20"/>
                <w:szCs w:val="20"/>
              </w:rPr>
            </w:pPr>
            <w:r w:rsidRPr="00E21C60">
              <w:rPr>
                <w:rFonts w:ascii="Arial" w:hAnsi="Arial" w:cs="Arial"/>
                <w:sz w:val="20"/>
                <w:szCs w:val="20"/>
              </w:rPr>
              <w:t>EK</w:t>
            </w:r>
          </w:p>
        </w:tc>
        <w:tc>
          <w:tcPr>
            <w:tcW w:w="4026" w:type="pct"/>
            <w:shd w:val="clear" w:color="auto" w:fill="EAF1DD" w:themeFill="accent3" w:themeFillTint="33"/>
            <w:vAlign w:val="center"/>
          </w:tcPr>
          <w:p w14:paraId="67CE7FB0" w14:textId="77777777" w:rsidR="00DB54AC" w:rsidRPr="00E21C60" w:rsidRDefault="00DB54AC" w:rsidP="00123376">
            <w:pPr>
              <w:rPr>
                <w:rFonts w:ascii="Arial" w:hAnsi="Arial" w:cs="Arial"/>
                <w:sz w:val="20"/>
                <w:szCs w:val="20"/>
              </w:rPr>
            </w:pPr>
            <w:r w:rsidRPr="00E21C60">
              <w:rPr>
                <w:rFonts w:ascii="Arial" w:hAnsi="Arial" w:cs="Arial"/>
                <w:sz w:val="20"/>
                <w:szCs w:val="20"/>
              </w:rPr>
              <w:t>Európska komisia</w:t>
            </w:r>
          </w:p>
        </w:tc>
      </w:tr>
      <w:tr w:rsidR="00DB54AC" w:rsidRPr="00E21C60" w14:paraId="2728A1D4" w14:textId="77777777" w:rsidTr="008A1902">
        <w:trPr>
          <w:trHeight w:val="284"/>
        </w:trPr>
        <w:tc>
          <w:tcPr>
            <w:tcW w:w="974" w:type="pct"/>
            <w:shd w:val="clear" w:color="auto" w:fill="auto"/>
            <w:vAlign w:val="center"/>
          </w:tcPr>
          <w:p w14:paraId="051D7DEB" w14:textId="77777777" w:rsidR="00DB54AC" w:rsidRPr="00E21C60" w:rsidRDefault="00DB54AC" w:rsidP="00123376">
            <w:pPr>
              <w:rPr>
                <w:rFonts w:ascii="Arial" w:hAnsi="Arial" w:cs="Arial"/>
                <w:sz w:val="20"/>
                <w:szCs w:val="20"/>
              </w:rPr>
            </w:pPr>
            <w:r w:rsidRPr="00E21C60">
              <w:rPr>
                <w:rFonts w:ascii="Arial" w:hAnsi="Arial" w:cs="Arial"/>
                <w:sz w:val="20"/>
                <w:szCs w:val="20"/>
              </w:rPr>
              <w:t>EO</w:t>
            </w:r>
          </w:p>
        </w:tc>
        <w:tc>
          <w:tcPr>
            <w:tcW w:w="4026" w:type="pct"/>
            <w:shd w:val="clear" w:color="auto" w:fill="auto"/>
            <w:vAlign w:val="center"/>
          </w:tcPr>
          <w:p w14:paraId="577463E1" w14:textId="77777777" w:rsidR="00DB54AC" w:rsidRPr="00E21C60" w:rsidRDefault="00DB54AC" w:rsidP="00123376">
            <w:pPr>
              <w:rPr>
                <w:rFonts w:ascii="Arial" w:hAnsi="Arial" w:cs="Arial"/>
                <w:sz w:val="20"/>
                <w:szCs w:val="20"/>
              </w:rPr>
            </w:pPr>
            <w:r w:rsidRPr="00E21C60">
              <w:rPr>
                <w:rFonts w:ascii="Arial" w:hAnsi="Arial" w:cs="Arial"/>
                <w:sz w:val="20"/>
                <w:szCs w:val="20"/>
              </w:rPr>
              <w:t>Ekvivalentný obyvateľ</w:t>
            </w:r>
          </w:p>
        </w:tc>
      </w:tr>
      <w:tr w:rsidR="00DB54AC" w:rsidRPr="00E21C60" w14:paraId="1E1D1AD3" w14:textId="77777777" w:rsidTr="00510690">
        <w:trPr>
          <w:trHeight w:val="284"/>
        </w:trPr>
        <w:tc>
          <w:tcPr>
            <w:tcW w:w="974" w:type="pct"/>
            <w:shd w:val="clear" w:color="auto" w:fill="EAF1DD" w:themeFill="accent3" w:themeFillTint="33"/>
            <w:vAlign w:val="center"/>
          </w:tcPr>
          <w:p w14:paraId="5CD51BDA" w14:textId="77777777" w:rsidR="00DB54AC" w:rsidRPr="00E21C60" w:rsidRDefault="00DB54AC" w:rsidP="00123376">
            <w:pPr>
              <w:rPr>
                <w:rFonts w:ascii="Arial" w:hAnsi="Arial" w:cs="Arial"/>
                <w:sz w:val="20"/>
                <w:szCs w:val="20"/>
              </w:rPr>
            </w:pPr>
            <w:r>
              <w:rPr>
                <w:rFonts w:ascii="Arial" w:hAnsi="Arial" w:cs="Arial"/>
                <w:sz w:val="20"/>
                <w:szCs w:val="20"/>
              </w:rPr>
              <w:t>EP</w:t>
            </w:r>
          </w:p>
        </w:tc>
        <w:tc>
          <w:tcPr>
            <w:tcW w:w="4026" w:type="pct"/>
            <w:shd w:val="clear" w:color="auto" w:fill="EAF1DD" w:themeFill="accent3" w:themeFillTint="33"/>
            <w:vAlign w:val="center"/>
          </w:tcPr>
          <w:p w14:paraId="769A723A" w14:textId="77777777" w:rsidR="00DB54AC" w:rsidRPr="00E21C60" w:rsidRDefault="00DB54AC" w:rsidP="00123376">
            <w:pPr>
              <w:rPr>
                <w:rFonts w:ascii="Arial" w:hAnsi="Arial" w:cs="Arial"/>
                <w:sz w:val="20"/>
                <w:szCs w:val="20"/>
              </w:rPr>
            </w:pPr>
            <w:r>
              <w:rPr>
                <w:rFonts w:ascii="Arial" w:hAnsi="Arial" w:cs="Arial"/>
                <w:sz w:val="20"/>
                <w:szCs w:val="20"/>
              </w:rPr>
              <w:t>Európsky parlament</w:t>
            </w:r>
          </w:p>
        </w:tc>
      </w:tr>
      <w:tr w:rsidR="00DB54AC" w:rsidRPr="00E21C60" w14:paraId="473BFCA4" w14:textId="77777777" w:rsidTr="008A1902">
        <w:trPr>
          <w:trHeight w:val="284"/>
        </w:trPr>
        <w:tc>
          <w:tcPr>
            <w:tcW w:w="974" w:type="pct"/>
            <w:shd w:val="clear" w:color="auto" w:fill="auto"/>
            <w:vAlign w:val="center"/>
          </w:tcPr>
          <w:p w14:paraId="5D9ADEF3" w14:textId="77777777" w:rsidR="00DB54AC" w:rsidRPr="00E21C60" w:rsidRDefault="00DB54AC" w:rsidP="00123376">
            <w:pPr>
              <w:rPr>
                <w:rFonts w:ascii="Arial" w:hAnsi="Arial" w:cs="Arial"/>
                <w:sz w:val="20"/>
                <w:szCs w:val="20"/>
              </w:rPr>
            </w:pPr>
            <w:r w:rsidRPr="00E21C60">
              <w:rPr>
                <w:rFonts w:ascii="Arial" w:hAnsi="Arial" w:cs="Arial"/>
                <w:sz w:val="20"/>
                <w:szCs w:val="20"/>
              </w:rPr>
              <w:t>ERDF</w:t>
            </w:r>
          </w:p>
        </w:tc>
        <w:tc>
          <w:tcPr>
            <w:tcW w:w="4026" w:type="pct"/>
            <w:shd w:val="clear" w:color="auto" w:fill="auto"/>
            <w:vAlign w:val="center"/>
          </w:tcPr>
          <w:p w14:paraId="1968095D" w14:textId="77777777" w:rsidR="00DB54AC" w:rsidRPr="00E21C60" w:rsidRDefault="00DB54AC" w:rsidP="00123376">
            <w:pPr>
              <w:rPr>
                <w:rFonts w:ascii="Arial" w:hAnsi="Arial" w:cs="Arial"/>
                <w:sz w:val="20"/>
                <w:szCs w:val="20"/>
              </w:rPr>
            </w:pPr>
            <w:r w:rsidRPr="00E21C60">
              <w:rPr>
                <w:rFonts w:ascii="Arial" w:hAnsi="Arial" w:cs="Arial"/>
                <w:sz w:val="20"/>
                <w:szCs w:val="20"/>
              </w:rPr>
              <w:tab/>
            </w:r>
            <w:r w:rsidRPr="00E21C60">
              <w:rPr>
                <w:rFonts w:ascii="Arial" w:hAnsi="Arial" w:cs="Arial"/>
                <w:sz w:val="20"/>
                <w:szCs w:val="20"/>
              </w:rPr>
              <w:tab/>
              <w:t>Európsky fond regionálneho rozvoja</w:t>
            </w:r>
          </w:p>
        </w:tc>
      </w:tr>
      <w:tr w:rsidR="00DB54AC" w:rsidRPr="00E21C60" w14:paraId="1C1B5410" w14:textId="77777777" w:rsidTr="00510690">
        <w:trPr>
          <w:trHeight w:val="284"/>
        </w:trPr>
        <w:tc>
          <w:tcPr>
            <w:tcW w:w="974" w:type="pct"/>
            <w:shd w:val="clear" w:color="auto" w:fill="EAF1DD" w:themeFill="accent3" w:themeFillTint="33"/>
            <w:vAlign w:val="center"/>
          </w:tcPr>
          <w:p w14:paraId="635800D5" w14:textId="77777777" w:rsidR="00DB54AC" w:rsidRPr="00E21C60" w:rsidRDefault="00DB54AC" w:rsidP="00123376">
            <w:pPr>
              <w:rPr>
                <w:rFonts w:ascii="Arial" w:hAnsi="Arial" w:cs="Arial"/>
                <w:sz w:val="20"/>
                <w:szCs w:val="20"/>
              </w:rPr>
            </w:pPr>
            <w:r w:rsidRPr="00E21C60">
              <w:rPr>
                <w:rFonts w:ascii="Arial" w:hAnsi="Arial" w:cs="Arial"/>
                <w:sz w:val="20"/>
                <w:szCs w:val="20"/>
              </w:rPr>
              <w:t>ES</w:t>
            </w:r>
          </w:p>
        </w:tc>
        <w:tc>
          <w:tcPr>
            <w:tcW w:w="4026" w:type="pct"/>
            <w:shd w:val="clear" w:color="auto" w:fill="EAF1DD" w:themeFill="accent3" w:themeFillTint="33"/>
            <w:vAlign w:val="center"/>
          </w:tcPr>
          <w:p w14:paraId="4224E2BD" w14:textId="77777777" w:rsidR="00DB54AC" w:rsidRPr="00E21C60" w:rsidRDefault="00DB54AC" w:rsidP="00123376">
            <w:pPr>
              <w:rPr>
                <w:rFonts w:ascii="Arial" w:hAnsi="Arial" w:cs="Arial"/>
                <w:sz w:val="20"/>
                <w:szCs w:val="20"/>
              </w:rPr>
            </w:pPr>
            <w:r w:rsidRPr="00E21C60">
              <w:rPr>
                <w:rFonts w:ascii="Arial" w:hAnsi="Arial" w:cs="Arial"/>
                <w:sz w:val="20"/>
                <w:szCs w:val="20"/>
              </w:rPr>
              <w:t>Európske spoločenstvo</w:t>
            </w:r>
          </w:p>
        </w:tc>
      </w:tr>
      <w:tr w:rsidR="00DB54AC" w:rsidRPr="00E21C60" w14:paraId="223E50CE" w14:textId="77777777" w:rsidTr="008A1902">
        <w:trPr>
          <w:trHeight w:val="284"/>
        </w:trPr>
        <w:tc>
          <w:tcPr>
            <w:tcW w:w="974" w:type="pct"/>
            <w:shd w:val="clear" w:color="auto" w:fill="auto"/>
            <w:vAlign w:val="center"/>
          </w:tcPr>
          <w:p w14:paraId="5F74B6C3" w14:textId="77777777" w:rsidR="00DB54AC" w:rsidRPr="00E21C60" w:rsidRDefault="00DB54AC" w:rsidP="00123376">
            <w:pPr>
              <w:rPr>
                <w:rFonts w:ascii="Arial" w:hAnsi="Arial" w:cs="Arial"/>
                <w:sz w:val="20"/>
                <w:szCs w:val="20"/>
              </w:rPr>
            </w:pPr>
            <w:r w:rsidRPr="00E21C60">
              <w:rPr>
                <w:rFonts w:ascii="Arial" w:hAnsi="Arial" w:cs="Arial"/>
                <w:sz w:val="20"/>
                <w:szCs w:val="20"/>
              </w:rPr>
              <w:t>EÚ</w:t>
            </w:r>
          </w:p>
        </w:tc>
        <w:tc>
          <w:tcPr>
            <w:tcW w:w="4026" w:type="pct"/>
            <w:shd w:val="clear" w:color="auto" w:fill="auto"/>
            <w:vAlign w:val="center"/>
          </w:tcPr>
          <w:p w14:paraId="1B944596" w14:textId="77777777" w:rsidR="00DB54AC" w:rsidRPr="00E21C60" w:rsidRDefault="00DB54AC" w:rsidP="00123376">
            <w:pPr>
              <w:rPr>
                <w:rFonts w:ascii="Arial" w:hAnsi="Arial" w:cs="Arial"/>
                <w:sz w:val="20"/>
                <w:szCs w:val="20"/>
              </w:rPr>
            </w:pPr>
            <w:r w:rsidRPr="00E21C60">
              <w:rPr>
                <w:rFonts w:ascii="Arial" w:hAnsi="Arial" w:cs="Arial"/>
                <w:sz w:val="20"/>
                <w:szCs w:val="20"/>
              </w:rPr>
              <w:t>Európska únia</w:t>
            </w:r>
          </w:p>
        </w:tc>
      </w:tr>
      <w:tr w:rsidR="00DB54AC" w:rsidRPr="00E21C60" w14:paraId="39F0C6B4" w14:textId="77777777" w:rsidTr="00510690">
        <w:trPr>
          <w:trHeight w:val="284"/>
        </w:trPr>
        <w:tc>
          <w:tcPr>
            <w:tcW w:w="974" w:type="pct"/>
            <w:shd w:val="clear" w:color="auto" w:fill="EAF1DD" w:themeFill="accent3" w:themeFillTint="33"/>
            <w:vAlign w:val="center"/>
          </w:tcPr>
          <w:p w14:paraId="4BAEA2FC" w14:textId="77777777" w:rsidR="00DB54AC" w:rsidRPr="00E21C60" w:rsidRDefault="00DB54AC" w:rsidP="00123376">
            <w:pPr>
              <w:rPr>
                <w:rFonts w:ascii="Arial" w:hAnsi="Arial" w:cs="Arial"/>
                <w:sz w:val="20"/>
                <w:szCs w:val="20"/>
              </w:rPr>
            </w:pPr>
            <w:r w:rsidRPr="00E21C60">
              <w:rPr>
                <w:rFonts w:ascii="Arial" w:hAnsi="Arial" w:cs="Arial"/>
                <w:sz w:val="20"/>
                <w:szCs w:val="20"/>
              </w:rPr>
              <w:t>FM EHP</w:t>
            </w:r>
          </w:p>
        </w:tc>
        <w:tc>
          <w:tcPr>
            <w:tcW w:w="4026" w:type="pct"/>
            <w:shd w:val="clear" w:color="auto" w:fill="EAF1DD" w:themeFill="accent3" w:themeFillTint="33"/>
            <w:vAlign w:val="center"/>
          </w:tcPr>
          <w:p w14:paraId="05AF8793" w14:textId="77777777" w:rsidR="00DB54AC" w:rsidRPr="00E21C60" w:rsidRDefault="00DB54AC" w:rsidP="00123376">
            <w:pPr>
              <w:rPr>
                <w:rFonts w:ascii="Arial" w:hAnsi="Arial" w:cs="Arial"/>
                <w:sz w:val="20"/>
                <w:szCs w:val="20"/>
              </w:rPr>
            </w:pPr>
            <w:r w:rsidRPr="00E21C60">
              <w:rPr>
                <w:rFonts w:ascii="Arial" w:hAnsi="Arial" w:cs="Arial"/>
                <w:sz w:val="20"/>
                <w:szCs w:val="20"/>
              </w:rPr>
              <w:t xml:space="preserve">Finančný mechanizmus Európsky hospodársky priestor </w:t>
            </w:r>
          </w:p>
        </w:tc>
      </w:tr>
      <w:tr w:rsidR="00DB54AC" w:rsidRPr="00E21C60" w14:paraId="5B335339" w14:textId="77777777" w:rsidTr="008A1902">
        <w:trPr>
          <w:trHeight w:val="284"/>
        </w:trPr>
        <w:tc>
          <w:tcPr>
            <w:tcW w:w="974" w:type="pct"/>
            <w:shd w:val="clear" w:color="auto" w:fill="auto"/>
            <w:vAlign w:val="center"/>
          </w:tcPr>
          <w:p w14:paraId="6503B8FC" w14:textId="77777777" w:rsidR="00DB54AC" w:rsidRPr="00E21C60" w:rsidRDefault="00DB54AC" w:rsidP="00123376">
            <w:pPr>
              <w:rPr>
                <w:rFonts w:ascii="Arial" w:hAnsi="Arial" w:cs="Arial"/>
                <w:sz w:val="20"/>
                <w:szCs w:val="20"/>
              </w:rPr>
            </w:pPr>
            <w:r w:rsidRPr="00E21C60">
              <w:rPr>
                <w:rFonts w:ascii="Arial" w:hAnsi="Arial" w:cs="Arial"/>
                <w:sz w:val="20"/>
                <w:szCs w:val="20"/>
              </w:rPr>
              <w:t>FO</w:t>
            </w:r>
          </w:p>
        </w:tc>
        <w:tc>
          <w:tcPr>
            <w:tcW w:w="4026" w:type="pct"/>
            <w:shd w:val="clear" w:color="auto" w:fill="auto"/>
            <w:vAlign w:val="center"/>
          </w:tcPr>
          <w:p w14:paraId="5ADC9454" w14:textId="77777777" w:rsidR="00DB54AC" w:rsidRPr="00E21C60" w:rsidRDefault="00DB54AC" w:rsidP="00123376">
            <w:pPr>
              <w:rPr>
                <w:rFonts w:ascii="Arial" w:hAnsi="Arial" w:cs="Arial"/>
                <w:sz w:val="20"/>
                <w:szCs w:val="20"/>
              </w:rPr>
            </w:pPr>
            <w:r w:rsidRPr="00E21C60">
              <w:rPr>
                <w:rFonts w:ascii="Arial" w:hAnsi="Arial" w:cs="Arial"/>
                <w:sz w:val="20"/>
                <w:szCs w:val="20"/>
              </w:rPr>
              <w:t>Formálne oznámenie</w:t>
            </w:r>
          </w:p>
        </w:tc>
      </w:tr>
      <w:tr w:rsidR="00DB54AC" w:rsidRPr="00E21C60" w14:paraId="58E66CEB" w14:textId="77777777" w:rsidTr="00510690">
        <w:trPr>
          <w:trHeight w:val="284"/>
        </w:trPr>
        <w:tc>
          <w:tcPr>
            <w:tcW w:w="974" w:type="pct"/>
            <w:shd w:val="clear" w:color="auto" w:fill="EAF1DD" w:themeFill="accent3" w:themeFillTint="33"/>
            <w:vAlign w:val="center"/>
          </w:tcPr>
          <w:p w14:paraId="5B0CA372" w14:textId="77777777" w:rsidR="00DB54AC" w:rsidRPr="00E21C60" w:rsidRDefault="00DB54AC" w:rsidP="00123376">
            <w:pPr>
              <w:rPr>
                <w:rFonts w:ascii="Arial" w:hAnsi="Arial" w:cs="Arial"/>
                <w:sz w:val="20"/>
                <w:szCs w:val="20"/>
              </w:rPr>
            </w:pPr>
            <w:r w:rsidRPr="00E21C60">
              <w:rPr>
                <w:rFonts w:ascii="Arial" w:hAnsi="Arial" w:cs="Arial"/>
                <w:sz w:val="20"/>
                <w:szCs w:val="20"/>
              </w:rPr>
              <w:t>FRSP</w:t>
            </w:r>
          </w:p>
        </w:tc>
        <w:tc>
          <w:tcPr>
            <w:tcW w:w="4026" w:type="pct"/>
            <w:shd w:val="clear" w:color="auto" w:fill="EAF1DD" w:themeFill="accent3" w:themeFillTint="33"/>
            <w:vAlign w:val="center"/>
          </w:tcPr>
          <w:p w14:paraId="0EE74248" w14:textId="77777777" w:rsidR="00DB54AC" w:rsidRPr="00E21C60" w:rsidRDefault="00DB54AC" w:rsidP="00123376">
            <w:pPr>
              <w:rPr>
                <w:rFonts w:ascii="Arial" w:hAnsi="Arial" w:cs="Arial"/>
                <w:sz w:val="20"/>
                <w:szCs w:val="20"/>
              </w:rPr>
            </w:pPr>
            <w:r w:rsidRPr="00E21C60">
              <w:rPr>
                <w:rFonts w:ascii="Arial" w:hAnsi="Arial" w:cs="Arial"/>
                <w:sz w:val="20"/>
                <w:szCs w:val="20"/>
              </w:rPr>
              <w:t>Finančný nástroj „funded risk sharing product“</w:t>
            </w:r>
          </w:p>
        </w:tc>
      </w:tr>
      <w:tr w:rsidR="00DB54AC" w:rsidRPr="00E21C60" w14:paraId="7B0954C4" w14:textId="77777777" w:rsidTr="008A1902">
        <w:trPr>
          <w:trHeight w:val="284"/>
        </w:trPr>
        <w:tc>
          <w:tcPr>
            <w:tcW w:w="974" w:type="pct"/>
            <w:shd w:val="clear" w:color="auto" w:fill="auto"/>
            <w:vAlign w:val="center"/>
          </w:tcPr>
          <w:p w14:paraId="1AED4605" w14:textId="77777777" w:rsidR="00DB54AC" w:rsidRPr="00E21C60" w:rsidRDefault="00DB54AC" w:rsidP="00123376">
            <w:pPr>
              <w:rPr>
                <w:rFonts w:ascii="Arial" w:hAnsi="Arial" w:cs="Arial"/>
                <w:sz w:val="20"/>
                <w:szCs w:val="20"/>
              </w:rPr>
            </w:pPr>
            <w:r w:rsidRPr="00E21C60">
              <w:rPr>
                <w:rFonts w:ascii="Arial" w:hAnsi="Arial" w:cs="Arial"/>
                <w:sz w:val="20"/>
                <w:szCs w:val="20"/>
              </w:rPr>
              <w:t>HDP</w:t>
            </w:r>
          </w:p>
        </w:tc>
        <w:tc>
          <w:tcPr>
            <w:tcW w:w="4026" w:type="pct"/>
            <w:shd w:val="clear" w:color="auto" w:fill="auto"/>
            <w:vAlign w:val="center"/>
          </w:tcPr>
          <w:p w14:paraId="1BA3EEB5" w14:textId="77777777" w:rsidR="00DB54AC" w:rsidRPr="00E21C60" w:rsidRDefault="00DB54AC" w:rsidP="00123376">
            <w:pPr>
              <w:rPr>
                <w:rFonts w:ascii="Arial" w:hAnsi="Arial" w:cs="Arial"/>
                <w:sz w:val="20"/>
                <w:szCs w:val="20"/>
              </w:rPr>
            </w:pPr>
            <w:r w:rsidRPr="00E21C60">
              <w:rPr>
                <w:rFonts w:ascii="Arial" w:hAnsi="Arial" w:cs="Arial"/>
                <w:sz w:val="20"/>
                <w:szCs w:val="20"/>
              </w:rPr>
              <w:t>Hrubý domáci produkt</w:t>
            </w:r>
          </w:p>
        </w:tc>
      </w:tr>
      <w:tr w:rsidR="00DB54AC" w:rsidRPr="00E21C60" w14:paraId="1A1B00FB" w14:textId="77777777" w:rsidTr="00510690">
        <w:trPr>
          <w:trHeight w:val="284"/>
        </w:trPr>
        <w:tc>
          <w:tcPr>
            <w:tcW w:w="974" w:type="pct"/>
            <w:shd w:val="clear" w:color="auto" w:fill="EAF1DD" w:themeFill="accent3" w:themeFillTint="33"/>
            <w:vAlign w:val="center"/>
          </w:tcPr>
          <w:p w14:paraId="3005DA31" w14:textId="77777777" w:rsidR="00DB54AC" w:rsidRPr="00E21C60" w:rsidRDefault="00DB54AC" w:rsidP="00123376">
            <w:pPr>
              <w:rPr>
                <w:rFonts w:ascii="Arial" w:hAnsi="Arial" w:cs="Arial"/>
                <w:sz w:val="20"/>
                <w:szCs w:val="20"/>
              </w:rPr>
            </w:pPr>
            <w:r w:rsidRPr="00E21C60">
              <w:rPr>
                <w:rFonts w:ascii="Arial" w:hAnsi="Arial" w:cs="Arial"/>
                <w:sz w:val="20"/>
                <w:szCs w:val="20"/>
              </w:rPr>
              <w:t>HP MRK</w:t>
            </w:r>
          </w:p>
        </w:tc>
        <w:tc>
          <w:tcPr>
            <w:tcW w:w="4026" w:type="pct"/>
            <w:shd w:val="clear" w:color="auto" w:fill="EAF1DD" w:themeFill="accent3" w:themeFillTint="33"/>
            <w:vAlign w:val="center"/>
          </w:tcPr>
          <w:p w14:paraId="6B904E5C" w14:textId="77777777" w:rsidR="00DB54AC" w:rsidRPr="00E21C60" w:rsidRDefault="00DB54AC" w:rsidP="00123376">
            <w:pPr>
              <w:rPr>
                <w:rFonts w:ascii="Arial" w:hAnsi="Arial" w:cs="Arial"/>
                <w:sz w:val="20"/>
                <w:szCs w:val="20"/>
              </w:rPr>
            </w:pPr>
            <w:r w:rsidRPr="00E21C60">
              <w:rPr>
                <w:rFonts w:ascii="Arial" w:hAnsi="Arial" w:cs="Arial"/>
                <w:sz w:val="20"/>
                <w:szCs w:val="20"/>
              </w:rPr>
              <w:t>Horizontálna priorita marginalizované rómske komunity</w:t>
            </w:r>
          </w:p>
        </w:tc>
      </w:tr>
      <w:tr w:rsidR="00DB54AC" w:rsidRPr="00E21C60" w14:paraId="31EA8A94" w14:textId="77777777" w:rsidTr="008A1902">
        <w:trPr>
          <w:trHeight w:val="284"/>
        </w:trPr>
        <w:tc>
          <w:tcPr>
            <w:tcW w:w="974" w:type="pct"/>
            <w:shd w:val="clear" w:color="auto" w:fill="auto"/>
            <w:vAlign w:val="center"/>
          </w:tcPr>
          <w:p w14:paraId="190163D8" w14:textId="77777777" w:rsidR="00DB54AC" w:rsidRPr="00E21C60" w:rsidRDefault="00DB54AC" w:rsidP="00123376">
            <w:pPr>
              <w:rPr>
                <w:rFonts w:ascii="Arial" w:hAnsi="Arial" w:cs="Arial"/>
                <w:sz w:val="20"/>
                <w:szCs w:val="20"/>
              </w:rPr>
            </w:pPr>
            <w:r w:rsidRPr="00E21C60">
              <w:rPr>
                <w:rFonts w:ascii="Arial" w:hAnsi="Arial" w:cs="Arial"/>
                <w:sz w:val="20"/>
                <w:szCs w:val="20"/>
              </w:rPr>
              <w:t>HP IS</w:t>
            </w:r>
          </w:p>
        </w:tc>
        <w:tc>
          <w:tcPr>
            <w:tcW w:w="4026" w:type="pct"/>
            <w:shd w:val="clear" w:color="auto" w:fill="auto"/>
            <w:vAlign w:val="center"/>
          </w:tcPr>
          <w:p w14:paraId="656013F5" w14:textId="77777777" w:rsidR="00DB54AC" w:rsidRPr="00E21C60" w:rsidRDefault="00DB54AC" w:rsidP="00123376">
            <w:pPr>
              <w:rPr>
                <w:rFonts w:ascii="Arial" w:hAnsi="Arial" w:cs="Arial"/>
                <w:sz w:val="20"/>
                <w:szCs w:val="20"/>
              </w:rPr>
            </w:pPr>
            <w:r w:rsidRPr="00E21C60">
              <w:rPr>
                <w:rFonts w:ascii="Arial" w:hAnsi="Arial" w:cs="Arial"/>
                <w:sz w:val="20"/>
                <w:szCs w:val="20"/>
              </w:rPr>
              <w:t>Horizontálna priorita informačná spoločnosť</w:t>
            </w:r>
          </w:p>
        </w:tc>
      </w:tr>
      <w:tr w:rsidR="00DB54AC" w:rsidRPr="00E21C60" w14:paraId="1CF0A583" w14:textId="77777777" w:rsidTr="00510690">
        <w:trPr>
          <w:trHeight w:val="284"/>
        </w:trPr>
        <w:tc>
          <w:tcPr>
            <w:tcW w:w="974" w:type="pct"/>
            <w:shd w:val="clear" w:color="auto" w:fill="EAF1DD" w:themeFill="accent3" w:themeFillTint="33"/>
            <w:vAlign w:val="center"/>
          </w:tcPr>
          <w:p w14:paraId="0DD30AD0" w14:textId="77777777" w:rsidR="00DB54AC" w:rsidRPr="00E21C60" w:rsidRDefault="00DB54AC" w:rsidP="00123376">
            <w:pPr>
              <w:rPr>
                <w:rFonts w:ascii="Arial" w:hAnsi="Arial" w:cs="Arial"/>
                <w:sz w:val="20"/>
                <w:szCs w:val="20"/>
              </w:rPr>
            </w:pPr>
            <w:r w:rsidRPr="00E21C60">
              <w:rPr>
                <w:rFonts w:ascii="Arial" w:hAnsi="Arial" w:cs="Arial"/>
                <w:sz w:val="20"/>
                <w:szCs w:val="20"/>
              </w:rPr>
              <w:t>HP RP</w:t>
            </w:r>
          </w:p>
        </w:tc>
        <w:tc>
          <w:tcPr>
            <w:tcW w:w="4026" w:type="pct"/>
            <w:shd w:val="clear" w:color="auto" w:fill="EAF1DD" w:themeFill="accent3" w:themeFillTint="33"/>
            <w:vAlign w:val="center"/>
          </w:tcPr>
          <w:p w14:paraId="74528621" w14:textId="77777777" w:rsidR="00DB54AC" w:rsidRPr="00E21C60" w:rsidRDefault="00DB54AC" w:rsidP="00123376">
            <w:pPr>
              <w:rPr>
                <w:rFonts w:ascii="Arial" w:hAnsi="Arial" w:cs="Arial"/>
                <w:sz w:val="20"/>
                <w:szCs w:val="20"/>
              </w:rPr>
            </w:pPr>
            <w:r w:rsidRPr="00E21C60">
              <w:rPr>
                <w:rFonts w:ascii="Arial" w:hAnsi="Arial" w:cs="Arial"/>
                <w:sz w:val="20"/>
                <w:szCs w:val="20"/>
              </w:rPr>
              <w:t>Horizontálna priorita rovnosť príležitostí</w:t>
            </w:r>
          </w:p>
        </w:tc>
      </w:tr>
      <w:tr w:rsidR="00DB54AC" w:rsidRPr="00E21C60" w14:paraId="7F20B6BB" w14:textId="77777777" w:rsidTr="008A1902">
        <w:trPr>
          <w:trHeight w:val="284"/>
        </w:trPr>
        <w:tc>
          <w:tcPr>
            <w:tcW w:w="974" w:type="pct"/>
            <w:shd w:val="clear" w:color="auto" w:fill="auto"/>
            <w:vAlign w:val="center"/>
          </w:tcPr>
          <w:p w14:paraId="570A6070" w14:textId="77777777" w:rsidR="00DB54AC" w:rsidRPr="00E21C60" w:rsidRDefault="00DB54AC" w:rsidP="00123376">
            <w:pPr>
              <w:rPr>
                <w:rFonts w:ascii="Arial" w:hAnsi="Arial" w:cs="Arial"/>
                <w:sz w:val="20"/>
                <w:szCs w:val="20"/>
              </w:rPr>
            </w:pPr>
            <w:r w:rsidRPr="00E21C60">
              <w:rPr>
                <w:rFonts w:ascii="Arial" w:hAnsi="Arial" w:cs="Arial"/>
                <w:sz w:val="20"/>
                <w:szCs w:val="20"/>
              </w:rPr>
              <w:t>HP TUR</w:t>
            </w:r>
          </w:p>
        </w:tc>
        <w:tc>
          <w:tcPr>
            <w:tcW w:w="4026" w:type="pct"/>
            <w:shd w:val="clear" w:color="auto" w:fill="auto"/>
            <w:vAlign w:val="center"/>
          </w:tcPr>
          <w:p w14:paraId="44229E53" w14:textId="77777777" w:rsidR="00DB54AC" w:rsidRPr="00E21C60" w:rsidRDefault="00DB54AC" w:rsidP="00123376">
            <w:pPr>
              <w:rPr>
                <w:rFonts w:ascii="Arial" w:hAnsi="Arial" w:cs="Arial"/>
                <w:sz w:val="20"/>
                <w:szCs w:val="20"/>
              </w:rPr>
            </w:pPr>
            <w:r w:rsidRPr="00E21C60">
              <w:rPr>
                <w:rFonts w:ascii="Arial" w:hAnsi="Arial" w:cs="Arial"/>
                <w:sz w:val="20"/>
                <w:szCs w:val="20"/>
              </w:rPr>
              <w:t>Horizontálna priorita trvalo udržateľný rozvoj</w:t>
            </w:r>
          </w:p>
        </w:tc>
      </w:tr>
      <w:tr w:rsidR="00DB54AC" w:rsidRPr="00E21C60" w14:paraId="7A7D4DCF" w14:textId="77777777" w:rsidTr="00510690">
        <w:trPr>
          <w:trHeight w:val="284"/>
        </w:trPr>
        <w:tc>
          <w:tcPr>
            <w:tcW w:w="974" w:type="pct"/>
            <w:shd w:val="clear" w:color="auto" w:fill="EAF1DD" w:themeFill="accent3" w:themeFillTint="33"/>
            <w:vAlign w:val="center"/>
          </w:tcPr>
          <w:p w14:paraId="250F294F" w14:textId="77777777" w:rsidR="00DB54AC" w:rsidRPr="00E21C60" w:rsidRDefault="00DB54AC" w:rsidP="00123376">
            <w:pPr>
              <w:rPr>
                <w:rFonts w:ascii="Arial" w:hAnsi="Arial" w:cs="Arial"/>
                <w:sz w:val="20"/>
                <w:szCs w:val="20"/>
              </w:rPr>
            </w:pPr>
            <w:r>
              <w:rPr>
                <w:rFonts w:ascii="Arial" w:hAnsi="Arial" w:cs="Arial"/>
                <w:sz w:val="20"/>
                <w:szCs w:val="20"/>
              </w:rPr>
              <w:t>HT</w:t>
            </w:r>
          </w:p>
        </w:tc>
        <w:tc>
          <w:tcPr>
            <w:tcW w:w="4026" w:type="pct"/>
            <w:shd w:val="clear" w:color="auto" w:fill="EAF1DD" w:themeFill="accent3" w:themeFillTint="33"/>
            <w:vAlign w:val="center"/>
          </w:tcPr>
          <w:p w14:paraId="51B07B76" w14:textId="77777777" w:rsidR="00DB54AC" w:rsidRPr="00E21C60" w:rsidRDefault="0079794E" w:rsidP="00123376">
            <w:pPr>
              <w:rPr>
                <w:rFonts w:ascii="Arial" w:hAnsi="Arial" w:cs="Arial"/>
                <w:sz w:val="20"/>
                <w:szCs w:val="20"/>
              </w:rPr>
            </w:pPr>
            <w:r>
              <w:rPr>
                <w:rFonts w:ascii="Arial" w:hAnsi="Arial" w:cs="Arial"/>
                <w:sz w:val="20"/>
                <w:szCs w:val="20"/>
              </w:rPr>
              <w:t>Prioritná</w:t>
            </w:r>
            <w:r w:rsidR="00DB54AC">
              <w:rPr>
                <w:rFonts w:ascii="Arial" w:hAnsi="Arial" w:cs="Arial"/>
                <w:sz w:val="20"/>
                <w:szCs w:val="20"/>
              </w:rPr>
              <w:t xml:space="preserve"> téma</w:t>
            </w:r>
          </w:p>
        </w:tc>
      </w:tr>
      <w:tr w:rsidR="00DB54AC" w:rsidRPr="00E21C60" w14:paraId="414705D3" w14:textId="77777777" w:rsidTr="008A1902">
        <w:trPr>
          <w:trHeight w:val="284"/>
        </w:trPr>
        <w:tc>
          <w:tcPr>
            <w:tcW w:w="974" w:type="pct"/>
            <w:shd w:val="clear" w:color="auto" w:fill="auto"/>
            <w:vAlign w:val="center"/>
          </w:tcPr>
          <w:p w14:paraId="341EE647" w14:textId="77777777" w:rsidR="00DB54AC" w:rsidRPr="00E21C60" w:rsidRDefault="00DB54AC" w:rsidP="00123376">
            <w:pPr>
              <w:rPr>
                <w:rFonts w:ascii="Arial" w:hAnsi="Arial" w:cs="Arial"/>
                <w:sz w:val="20"/>
                <w:szCs w:val="20"/>
              </w:rPr>
            </w:pPr>
            <w:r w:rsidRPr="00E21C60">
              <w:rPr>
                <w:rFonts w:ascii="Arial" w:hAnsi="Arial" w:cs="Arial"/>
                <w:sz w:val="20"/>
                <w:szCs w:val="20"/>
              </w:rPr>
              <w:t>ITMS</w:t>
            </w:r>
          </w:p>
        </w:tc>
        <w:tc>
          <w:tcPr>
            <w:tcW w:w="4026" w:type="pct"/>
            <w:shd w:val="clear" w:color="auto" w:fill="auto"/>
            <w:vAlign w:val="center"/>
          </w:tcPr>
          <w:p w14:paraId="2074F0CF" w14:textId="77777777" w:rsidR="00DB54AC" w:rsidRPr="00E21C60" w:rsidRDefault="00DB54AC" w:rsidP="00123376">
            <w:pPr>
              <w:rPr>
                <w:rFonts w:ascii="Arial" w:hAnsi="Arial" w:cs="Arial"/>
                <w:sz w:val="20"/>
                <w:szCs w:val="20"/>
              </w:rPr>
            </w:pPr>
            <w:r w:rsidRPr="00E21C60">
              <w:rPr>
                <w:rFonts w:ascii="Arial" w:hAnsi="Arial" w:cs="Arial"/>
                <w:sz w:val="20"/>
                <w:szCs w:val="20"/>
              </w:rPr>
              <w:t>Informačno-technologický monitorovací systém</w:t>
            </w:r>
          </w:p>
        </w:tc>
      </w:tr>
      <w:tr w:rsidR="00DB54AC" w:rsidRPr="00E21C60" w14:paraId="67E3CDDA" w14:textId="77777777" w:rsidTr="00510690">
        <w:trPr>
          <w:trHeight w:val="284"/>
        </w:trPr>
        <w:tc>
          <w:tcPr>
            <w:tcW w:w="974" w:type="pct"/>
            <w:shd w:val="clear" w:color="auto" w:fill="EAF1DD" w:themeFill="accent3" w:themeFillTint="33"/>
            <w:vAlign w:val="center"/>
          </w:tcPr>
          <w:p w14:paraId="5CB73436" w14:textId="77777777" w:rsidR="00DB54AC" w:rsidRPr="00E21C60" w:rsidRDefault="00DB54AC" w:rsidP="00123376">
            <w:pPr>
              <w:rPr>
                <w:rFonts w:ascii="Arial" w:hAnsi="Arial" w:cs="Arial"/>
                <w:sz w:val="20"/>
                <w:szCs w:val="20"/>
              </w:rPr>
            </w:pPr>
            <w:r w:rsidRPr="00E21C60">
              <w:rPr>
                <w:rFonts w:ascii="Arial" w:hAnsi="Arial" w:cs="Arial"/>
                <w:sz w:val="20"/>
                <w:szCs w:val="20"/>
              </w:rPr>
              <w:t>IUSF</w:t>
            </w:r>
          </w:p>
        </w:tc>
        <w:tc>
          <w:tcPr>
            <w:tcW w:w="4026" w:type="pct"/>
            <w:shd w:val="clear" w:color="auto" w:fill="EAF1DD" w:themeFill="accent3" w:themeFillTint="33"/>
            <w:vAlign w:val="center"/>
          </w:tcPr>
          <w:p w14:paraId="7B5ADD2C" w14:textId="77777777" w:rsidR="00DB54AC" w:rsidRPr="00E21C60" w:rsidRDefault="00DB54AC" w:rsidP="00123376">
            <w:pPr>
              <w:rPr>
                <w:rFonts w:ascii="Arial" w:hAnsi="Arial" w:cs="Arial"/>
                <w:sz w:val="20"/>
                <w:szCs w:val="20"/>
              </w:rPr>
            </w:pPr>
            <w:r w:rsidRPr="00E21C60">
              <w:rPr>
                <w:rFonts w:ascii="Arial" w:hAnsi="Arial" w:cs="Arial"/>
                <w:sz w:val="20"/>
                <w:szCs w:val="20"/>
              </w:rPr>
              <w:t>Informačný systém pre účtovanie fondov</w:t>
            </w:r>
          </w:p>
        </w:tc>
      </w:tr>
      <w:tr w:rsidR="00DB54AC" w:rsidRPr="00E21C60" w14:paraId="5B7BB71D" w14:textId="77777777" w:rsidTr="008A1902">
        <w:trPr>
          <w:trHeight w:val="284"/>
        </w:trPr>
        <w:tc>
          <w:tcPr>
            <w:tcW w:w="974" w:type="pct"/>
            <w:shd w:val="clear" w:color="auto" w:fill="auto"/>
            <w:vAlign w:val="center"/>
          </w:tcPr>
          <w:p w14:paraId="295D218D" w14:textId="77777777" w:rsidR="00DB54AC" w:rsidRPr="00E21C60" w:rsidRDefault="00DB54AC" w:rsidP="00123376">
            <w:pPr>
              <w:rPr>
                <w:rFonts w:ascii="Arial" w:hAnsi="Arial" w:cs="Arial"/>
                <w:sz w:val="20"/>
                <w:szCs w:val="20"/>
              </w:rPr>
            </w:pPr>
            <w:r w:rsidRPr="00E21C60">
              <w:rPr>
                <w:rFonts w:ascii="Arial" w:hAnsi="Arial" w:cs="Arial"/>
                <w:sz w:val="20"/>
                <w:szCs w:val="20"/>
              </w:rPr>
              <w:t>IKT</w:t>
            </w:r>
          </w:p>
        </w:tc>
        <w:tc>
          <w:tcPr>
            <w:tcW w:w="4026" w:type="pct"/>
            <w:shd w:val="clear" w:color="auto" w:fill="auto"/>
            <w:vAlign w:val="center"/>
          </w:tcPr>
          <w:p w14:paraId="74DCF3A3" w14:textId="77777777" w:rsidR="00DB54AC" w:rsidRPr="00E21C60" w:rsidRDefault="00DB54AC" w:rsidP="00123376">
            <w:pPr>
              <w:rPr>
                <w:rFonts w:ascii="Arial" w:hAnsi="Arial" w:cs="Arial"/>
                <w:sz w:val="20"/>
                <w:szCs w:val="20"/>
              </w:rPr>
            </w:pPr>
            <w:r w:rsidRPr="00E21C60">
              <w:rPr>
                <w:rFonts w:ascii="Arial" w:hAnsi="Arial" w:cs="Arial"/>
                <w:sz w:val="20"/>
                <w:szCs w:val="20"/>
              </w:rPr>
              <w:t>Informačno-komunikačné technológie</w:t>
            </w:r>
          </w:p>
        </w:tc>
      </w:tr>
      <w:tr w:rsidR="00DB54AC" w:rsidRPr="00E21C60" w14:paraId="61BE0AE1" w14:textId="77777777" w:rsidTr="00510690">
        <w:trPr>
          <w:trHeight w:val="284"/>
        </w:trPr>
        <w:tc>
          <w:tcPr>
            <w:tcW w:w="974" w:type="pct"/>
            <w:shd w:val="clear" w:color="auto" w:fill="EAF1DD" w:themeFill="accent3" w:themeFillTint="33"/>
            <w:vAlign w:val="center"/>
          </w:tcPr>
          <w:p w14:paraId="342CB9F7" w14:textId="77777777" w:rsidR="00DB54AC" w:rsidRPr="00E21C60" w:rsidRDefault="00DB54AC" w:rsidP="00123376">
            <w:pPr>
              <w:rPr>
                <w:rFonts w:ascii="Arial" w:hAnsi="Arial" w:cs="Arial"/>
                <w:sz w:val="20"/>
                <w:szCs w:val="20"/>
              </w:rPr>
            </w:pPr>
            <w:r w:rsidRPr="00E21C60">
              <w:rPr>
                <w:rFonts w:ascii="Arial" w:hAnsi="Arial" w:cs="Arial"/>
                <w:sz w:val="20"/>
                <w:szCs w:val="20"/>
              </w:rPr>
              <w:t>JRM</w:t>
            </w:r>
          </w:p>
        </w:tc>
        <w:tc>
          <w:tcPr>
            <w:tcW w:w="4026" w:type="pct"/>
            <w:shd w:val="clear" w:color="auto" w:fill="EAF1DD" w:themeFill="accent3" w:themeFillTint="33"/>
            <w:vAlign w:val="center"/>
          </w:tcPr>
          <w:p w14:paraId="32E6F7D2" w14:textId="77777777" w:rsidR="00DB54AC" w:rsidRPr="00E21C60" w:rsidRDefault="00DB54AC" w:rsidP="00123376">
            <w:pPr>
              <w:rPr>
                <w:rFonts w:ascii="Arial" w:hAnsi="Arial" w:cs="Arial"/>
                <w:sz w:val="20"/>
                <w:szCs w:val="20"/>
              </w:rPr>
            </w:pPr>
            <w:r w:rsidRPr="00E21C60">
              <w:rPr>
                <w:rFonts w:ascii="Arial" w:hAnsi="Arial" w:cs="Arial"/>
                <w:sz w:val="20"/>
                <w:szCs w:val="20"/>
              </w:rPr>
              <w:t>Joint Road Map (Spoločná cestovná mapa)</w:t>
            </w:r>
          </w:p>
        </w:tc>
      </w:tr>
      <w:tr w:rsidR="00DB54AC" w:rsidRPr="00E21C60" w14:paraId="3466DF2A" w14:textId="77777777" w:rsidTr="008A1902">
        <w:trPr>
          <w:trHeight w:val="284"/>
        </w:trPr>
        <w:tc>
          <w:tcPr>
            <w:tcW w:w="974" w:type="pct"/>
            <w:shd w:val="clear" w:color="auto" w:fill="auto"/>
            <w:vAlign w:val="center"/>
          </w:tcPr>
          <w:p w14:paraId="52B4408A" w14:textId="77777777" w:rsidR="00DB54AC" w:rsidRPr="00E21C60" w:rsidRDefault="00DB54AC" w:rsidP="00123376">
            <w:pPr>
              <w:rPr>
                <w:rFonts w:ascii="Arial" w:hAnsi="Arial" w:cs="Arial"/>
                <w:sz w:val="20"/>
                <w:szCs w:val="20"/>
              </w:rPr>
            </w:pPr>
            <w:r w:rsidRPr="00E21C60">
              <w:rPr>
                <w:rFonts w:ascii="Arial" w:hAnsi="Arial" w:cs="Arial"/>
                <w:sz w:val="20"/>
                <w:szCs w:val="20"/>
              </w:rPr>
              <w:t>KF</w:t>
            </w:r>
          </w:p>
        </w:tc>
        <w:tc>
          <w:tcPr>
            <w:tcW w:w="4026" w:type="pct"/>
            <w:shd w:val="clear" w:color="auto" w:fill="auto"/>
            <w:vAlign w:val="center"/>
          </w:tcPr>
          <w:p w14:paraId="681CD010" w14:textId="77777777" w:rsidR="00DB54AC" w:rsidRPr="00E21C60" w:rsidRDefault="00DB54AC" w:rsidP="00123376">
            <w:pPr>
              <w:rPr>
                <w:rFonts w:ascii="Arial" w:hAnsi="Arial" w:cs="Arial"/>
                <w:sz w:val="20"/>
                <w:szCs w:val="20"/>
              </w:rPr>
            </w:pPr>
            <w:r w:rsidRPr="00E21C60">
              <w:rPr>
                <w:rFonts w:ascii="Arial" w:hAnsi="Arial" w:cs="Arial"/>
                <w:sz w:val="20"/>
                <w:szCs w:val="20"/>
              </w:rPr>
              <w:t>Kohézny fond</w:t>
            </w:r>
          </w:p>
        </w:tc>
      </w:tr>
      <w:tr w:rsidR="00DB54AC" w:rsidRPr="00E21C60" w14:paraId="53C39BD5" w14:textId="77777777" w:rsidTr="00510690">
        <w:trPr>
          <w:trHeight w:val="284"/>
        </w:trPr>
        <w:tc>
          <w:tcPr>
            <w:tcW w:w="974" w:type="pct"/>
            <w:shd w:val="clear" w:color="auto" w:fill="EAF1DD" w:themeFill="accent3" w:themeFillTint="33"/>
            <w:vAlign w:val="center"/>
          </w:tcPr>
          <w:p w14:paraId="698C1091" w14:textId="77777777" w:rsidR="00DB54AC" w:rsidRPr="00E21C60" w:rsidRDefault="00DB54AC" w:rsidP="00123376">
            <w:pPr>
              <w:rPr>
                <w:rFonts w:ascii="Arial" w:hAnsi="Arial" w:cs="Arial"/>
                <w:sz w:val="20"/>
                <w:szCs w:val="20"/>
              </w:rPr>
            </w:pPr>
            <w:r w:rsidRPr="00E21C60">
              <w:rPr>
                <w:rFonts w:ascii="Arial" w:hAnsi="Arial" w:cs="Arial"/>
                <w:sz w:val="20"/>
                <w:szCs w:val="20"/>
              </w:rPr>
              <w:t>KoP</w:t>
            </w:r>
          </w:p>
        </w:tc>
        <w:tc>
          <w:tcPr>
            <w:tcW w:w="4026" w:type="pct"/>
            <w:shd w:val="clear" w:color="auto" w:fill="EAF1DD" w:themeFill="accent3" w:themeFillTint="33"/>
            <w:vAlign w:val="center"/>
          </w:tcPr>
          <w:p w14:paraId="3D64815D" w14:textId="77777777" w:rsidR="00DB54AC" w:rsidRPr="00E21C60" w:rsidRDefault="00DB54AC" w:rsidP="00123376">
            <w:pPr>
              <w:rPr>
                <w:rFonts w:ascii="Arial" w:hAnsi="Arial" w:cs="Arial"/>
                <w:sz w:val="20"/>
                <w:szCs w:val="20"/>
              </w:rPr>
            </w:pPr>
            <w:r w:rsidRPr="00E21C60">
              <w:rPr>
                <w:rFonts w:ascii="Arial" w:hAnsi="Arial" w:cs="Arial"/>
                <w:sz w:val="20"/>
                <w:szCs w:val="20"/>
              </w:rPr>
              <w:t>Komunikačný plán</w:t>
            </w:r>
          </w:p>
        </w:tc>
      </w:tr>
      <w:tr w:rsidR="003E0C54" w:rsidRPr="00E21C60" w14:paraId="4E1F5F87" w14:textId="77777777" w:rsidTr="00410365">
        <w:trPr>
          <w:trHeight w:val="284"/>
        </w:trPr>
        <w:tc>
          <w:tcPr>
            <w:tcW w:w="974" w:type="pct"/>
            <w:shd w:val="clear" w:color="auto" w:fill="auto"/>
            <w:vAlign w:val="center"/>
          </w:tcPr>
          <w:p w14:paraId="123E2C6C" w14:textId="77777777" w:rsidR="003E0C54" w:rsidRPr="00E21C60" w:rsidRDefault="003E0C54" w:rsidP="00123376">
            <w:pPr>
              <w:rPr>
                <w:rFonts w:ascii="Arial" w:hAnsi="Arial" w:cs="Arial"/>
                <w:sz w:val="20"/>
                <w:szCs w:val="20"/>
              </w:rPr>
            </w:pPr>
            <w:r w:rsidRPr="007F2081">
              <w:rPr>
                <w:rFonts w:ascii="Arial" w:hAnsi="Arial" w:cs="Arial"/>
                <w:sz w:val="20"/>
                <w:szCs w:val="20"/>
              </w:rPr>
              <w:t>LSKxP</w:t>
            </w:r>
          </w:p>
        </w:tc>
        <w:tc>
          <w:tcPr>
            <w:tcW w:w="4026" w:type="pct"/>
            <w:shd w:val="clear" w:color="auto" w:fill="auto"/>
            <w:vAlign w:val="center"/>
          </w:tcPr>
          <w:p w14:paraId="763AF03E" w14:textId="77777777" w:rsidR="003E0C54" w:rsidRPr="00E21C60" w:rsidRDefault="003E0C54" w:rsidP="00123376">
            <w:pPr>
              <w:rPr>
                <w:rFonts w:ascii="Arial" w:hAnsi="Arial" w:cs="Arial"/>
                <w:sz w:val="20"/>
                <w:szCs w:val="20"/>
              </w:rPr>
            </w:pPr>
            <w:r>
              <w:rPr>
                <w:rFonts w:ascii="Arial" w:hAnsi="Arial" w:cs="Arial"/>
                <w:sz w:val="20"/>
                <w:szCs w:val="20"/>
              </w:rPr>
              <w:t>L</w:t>
            </w:r>
            <w:r w:rsidRPr="007F2081">
              <w:rPr>
                <w:rFonts w:ascii="Arial" w:hAnsi="Arial" w:cs="Arial"/>
                <w:sz w:val="20"/>
                <w:szCs w:val="20"/>
              </w:rPr>
              <w:t>okáln</w:t>
            </w:r>
            <w:r>
              <w:rPr>
                <w:rFonts w:ascii="Arial" w:hAnsi="Arial" w:cs="Arial"/>
                <w:sz w:val="20"/>
                <w:szCs w:val="20"/>
              </w:rPr>
              <w:t>a</w:t>
            </w:r>
            <w:r w:rsidRPr="007F2081">
              <w:rPr>
                <w:rFonts w:ascii="Arial" w:hAnsi="Arial" w:cs="Arial"/>
                <w:sz w:val="20"/>
                <w:szCs w:val="20"/>
              </w:rPr>
              <w:t xml:space="preserve"> stratégi</w:t>
            </w:r>
            <w:r>
              <w:rPr>
                <w:rFonts w:ascii="Arial" w:hAnsi="Arial" w:cs="Arial"/>
                <w:sz w:val="20"/>
                <w:szCs w:val="20"/>
              </w:rPr>
              <w:t>a</w:t>
            </w:r>
            <w:r w:rsidRPr="007F2081">
              <w:rPr>
                <w:rFonts w:ascii="Arial" w:hAnsi="Arial" w:cs="Arial"/>
                <w:sz w:val="20"/>
                <w:szCs w:val="20"/>
              </w:rPr>
              <w:t xml:space="preserve"> komplexného prístupu</w:t>
            </w:r>
          </w:p>
        </w:tc>
      </w:tr>
      <w:tr w:rsidR="00DB54AC" w:rsidRPr="00E21C60" w14:paraId="26C437A1" w14:textId="77777777" w:rsidTr="00510690">
        <w:trPr>
          <w:trHeight w:val="284"/>
        </w:trPr>
        <w:tc>
          <w:tcPr>
            <w:tcW w:w="974" w:type="pct"/>
            <w:shd w:val="clear" w:color="auto" w:fill="EAF1DD" w:themeFill="accent3" w:themeFillTint="33"/>
            <w:vAlign w:val="center"/>
          </w:tcPr>
          <w:p w14:paraId="24A09230" w14:textId="77777777" w:rsidR="00DB54AC" w:rsidRPr="00E21C60" w:rsidRDefault="00DB54AC" w:rsidP="00123376">
            <w:pPr>
              <w:rPr>
                <w:rFonts w:ascii="Arial" w:hAnsi="Arial" w:cs="Arial"/>
                <w:sz w:val="20"/>
                <w:szCs w:val="20"/>
              </w:rPr>
            </w:pPr>
            <w:r w:rsidRPr="00E21C60">
              <w:rPr>
                <w:rFonts w:ascii="Arial" w:hAnsi="Arial" w:cs="Arial"/>
                <w:sz w:val="20"/>
                <w:szCs w:val="20"/>
              </w:rPr>
              <w:t>MF SR</w:t>
            </w:r>
          </w:p>
        </w:tc>
        <w:tc>
          <w:tcPr>
            <w:tcW w:w="4026" w:type="pct"/>
            <w:shd w:val="clear" w:color="auto" w:fill="EAF1DD" w:themeFill="accent3" w:themeFillTint="33"/>
            <w:vAlign w:val="center"/>
          </w:tcPr>
          <w:p w14:paraId="3F15149A" w14:textId="77777777" w:rsidR="00DB54AC" w:rsidRPr="00E21C60" w:rsidRDefault="00DB54AC" w:rsidP="00123376">
            <w:pPr>
              <w:rPr>
                <w:rFonts w:ascii="Arial" w:hAnsi="Arial" w:cs="Arial"/>
                <w:sz w:val="20"/>
                <w:szCs w:val="20"/>
              </w:rPr>
            </w:pPr>
            <w:r w:rsidRPr="00E21C60">
              <w:rPr>
                <w:rFonts w:ascii="Arial" w:hAnsi="Arial" w:cs="Arial"/>
                <w:sz w:val="20"/>
                <w:szCs w:val="20"/>
              </w:rPr>
              <w:t>Ministerstvo financií Slovenskej republiky</w:t>
            </w:r>
          </w:p>
        </w:tc>
      </w:tr>
      <w:tr w:rsidR="003E0C54" w:rsidRPr="00E21C60" w14:paraId="54D2AC57" w14:textId="77777777" w:rsidTr="00410365">
        <w:trPr>
          <w:trHeight w:val="284"/>
        </w:trPr>
        <w:tc>
          <w:tcPr>
            <w:tcW w:w="974" w:type="pct"/>
            <w:shd w:val="clear" w:color="auto" w:fill="auto"/>
            <w:vAlign w:val="center"/>
          </w:tcPr>
          <w:p w14:paraId="5096F39A" w14:textId="77777777" w:rsidR="003E0C54" w:rsidRPr="00E21C60" w:rsidRDefault="003E0C54" w:rsidP="00123376">
            <w:pPr>
              <w:rPr>
                <w:rFonts w:ascii="Arial" w:hAnsi="Arial" w:cs="Arial"/>
                <w:sz w:val="20"/>
                <w:szCs w:val="20"/>
              </w:rPr>
            </w:pPr>
            <w:r w:rsidRPr="00C3514D">
              <w:rPr>
                <w:rFonts w:ascii="Arial" w:hAnsi="Arial" w:cs="Arial"/>
                <w:sz w:val="20"/>
                <w:szCs w:val="20"/>
              </w:rPr>
              <w:t>MHaVK</w:t>
            </w:r>
          </w:p>
        </w:tc>
        <w:tc>
          <w:tcPr>
            <w:tcW w:w="4026" w:type="pct"/>
            <w:shd w:val="clear" w:color="auto" w:fill="auto"/>
            <w:vAlign w:val="center"/>
          </w:tcPr>
          <w:p w14:paraId="4A0C4C29" w14:textId="77777777" w:rsidR="003E0C54" w:rsidRPr="00E21C60" w:rsidRDefault="003E0C54" w:rsidP="00123376">
            <w:pPr>
              <w:rPr>
                <w:rFonts w:ascii="Arial" w:hAnsi="Arial" w:cs="Arial"/>
                <w:sz w:val="20"/>
                <w:szCs w:val="20"/>
              </w:rPr>
            </w:pPr>
            <w:r w:rsidRPr="00C3514D">
              <w:rPr>
                <w:rFonts w:ascii="Arial" w:hAnsi="Arial" w:cs="Arial"/>
                <w:sz w:val="20"/>
                <w:szCs w:val="20"/>
              </w:rPr>
              <w:t>Medzirezortná hodnotiaca a výberová komisia</w:t>
            </w:r>
          </w:p>
        </w:tc>
      </w:tr>
      <w:tr w:rsidR="00DB54AC" w:rsidRPr="00E21C60" w14:paraId="672EC0EC" w14:textId="77777777" w:rsidTr="00510690">
        <w:trPr>
          <w:trHeight w:val="284"/>
        </w:trPr>
        <w:tc>
          <w:tcPr>
            <w:tcW w:w="974" w:type="pct"/>
            <w:shd w:val="clear" w:color="auto" w:fill="EAF1DD" w:themeFill="accent3" w:themeFillTint="33"/>
            <w:vAlign w:val="center"/>
          </w:tcPr>
          <w:p w14:paraId="312A7194" w14:textId="77777777" w:rsidR="00DB54AC" w:rsidRPr="00E21C60" w:rsidRDefault="00DB54AC" w:rsidP="00123376">
            <w:pPr>
              <w:rPr>
                <w:rFonts w:ascii="Arial" w:hAnsi="Arial" w:cs="Arial"/>
                <w:sz w:val="20"/>
                <w:szCs w:val="20"/>
              </w:rPr>
            </w:pPr>
            <w:r w:rsidRPr="00E21C60">
              <w:rPr>
                <w:rFonts w:ascii="Arial" w:hAnsi="Arial" w:cs="Arial"/>
                <w:sz w:val="20"/>
                <w:szCs w:val="20"/>
              </w:rPr>
              <w:t>MH SR</w:t>
            </w:r>
          </w:p>
        </w:tc>
        <w:tc>
          <w:tcPr>
            <w:tcW w:w="4026" w:type="pct"/>
            <w:shd w:val="clear" w:color="auto" w:fill="EAF1DD" w:themeFill="accent3" w:themeFillTint="33"/>
            <w:vAlign w:val="center"/>
          </w:tcPr>
          <w:p w14:paraId="44540ACA" w14:textId="77777777" w:rsidR="00DB54AC" w:rsidRPr="00E21C60" w:rsidRDefault="00DB54AC" w:rsidP="00123376">
            <w:pPr>
              <w:rPr>
                <w:rFonts w:ascii="Arial" w:hAnsi="Arial" w:cs="Arial"/>
                <w:sz w:val="20"/>
                <w:szCs w:val="20"/>
              </w:rPr>
            </w:pPr>
            <w:r w:rsidRPr="00E21C60">
              <w:rPr>
                <w:rFonts w:ascii="Arial" w:hAnsi="Arial" w:cs="Arial"/>
                <w:sz w:val="20"/>
                <w:szCs w:val="20"/>
              </w:rPr>
              <w:t>Ministerstvo hospodárstva Slovenskej republiky</w:t>
            </w:r>
          </w:p>
        </w:tc>
      </w:tr>
      <w:tr w:rsidR="00DB54AC" w:rsidRPr="00E21C60" w14:paraId="1EAC3632" w14:textId="77777777" w:rsidTr="00510690">
        <w:trPr>
          <w:trHeight w:val="284"/>
        </w:trPr>
        <w:tc>
          <w:tcPr>
            <w:tcW w:w="974" w:type="pct"/>
            <w:shd w:val="clear" w:color="auto" w:fill="EAF1DD" w:themeFill="accent3" w:themeFillTint="33"/>
            <w:vAlign w:val="center"/>
          </w:tcPr>
          <w:p w14:paraId="2E5A9FC2" w14:textId="77777777" w:rsidR="00DB54AC" w:rsidRPr="00E21C60" w:rsidRDefault="00DB54AC" w:rsidP="00123376">
            <w:pPr>
              <w:rPr>
                <w:rFonts w:ascii="Arial" w:hAnsi="Arial" w:cs="Arial"/>
                <w:sz w:val="20"/>
                <w:szCs w:val="20"/>
              </w:rPr>
            </w:pPr>
            <w:r w:rsidRPr="00E21C60">
              <w:rPr>
                <w:rFonts w:ascii="Arial" w:hAnsi="Arial" w:cs="Arial"/>
                <w:sz w:val="20"/>
                <w:szCs w:val="20"/>
              </w:rPr>
              <w:t>MPSVR SR</w:t>
            </w:r>
          </w:p>
        </w:tc>
        <w:tc>
          <w:tcPr>
            <w:tcW w:w="4026" w:type="pct"/>
            <w:shd w:val="clear" w:color="auto" w:fill="EAF1DD" w:themeFill="accent3" w:themeFillTint="33"/>
            <w:vAlign w:val="center"/>
          </w:tcPr>
          <w:p w14:paraId="65AFA725" w14:textId="77777777" w:rsidR="00DB54AC" w:rsidRPr="00E21C60" w:rsidRDefault="00DB54AC" w:rsidP="00123376">
            <w:pPr>
              <w:rPr>
                <w:rFonts w:ascii="Arial" w:hAnsi="Arial" w:cs="Arial"/>
                <w:sz w:val="20"/>
                <w:szCs w:val="20"/>
              </w:rPr>
            </w:pPr>
            <w:r w:rsidRPr="00E21C60">
              <w:rPr>
                <w:rFonts w:ascii="Arial" w:hAnsi="Arial" w:cs="Arial"/>
                <w:sz w:val="20"/>
                <w:szCs w:val="20"/>
              </w:rPr>
              <w:t>Ministerstvo práce, sociálnych vecí a rodiny Slovenskej republiky</w:t>
            </w:r>
          </w:p>
        </w:tc>
      </w:tr>
      <w:tr w:rsidR="00DB54AC" w:rsidRPr="00E21C60" w14:paraId="2C70539C" w14:textId="77777777" w:rsidTr="008A1902">
        <w:trPr>
          <w:trHeight w:val="284"/>
        </w:trPr>
        <w:tc>
          <w:tcPr>
            <w:tcW w:w="974" w:type="pct"/>
            <w:shd w:val="clear" w:color="auto" w:fill="auto"/>
            <w:vAlign w:val="center"/>
          </w:tcPr>
          <w:p w14:paraId="4FA7EA63" w14:textId="77777777" w:rsidR="00DB54AC" w:rsidRPr="00E21C60" w:rsidRDefault="00DB54AC" w:rsidP="00123376">
            <w:pPr>
              <w:rPr>
                <w:rFonts w:ascii="Arial" w:hAnsi="Arial" w:cs="Arial"/>
                <w:sz w:val="20"/>
                <w:szCs w:val="20"/>
              </w:rPr>
            </w:pPr>
            <w:r w:rsidRPr="00E21C60">
              <w:rPr>
                <w:rFonts w:ascii="Arial" w:hAnsi="Arial" w:cs="Arial"/>
                <w:sz w:val="20"/>
                <w:szCs w:val="20"/>
              </w:rPr>
              <w:t>MPŽPRR SR</w:t>
            </w:r>
          </w:p>
        </w:tc>
        <w:tc>
          <w:tcPr>
            <w:tcW w:w="4026" w:type="pct"/>
            <w:shd w:val="clear" w:color="auto" w:fill="auto"/>
            <w:vAlign w:val="center"/>
          </w:tcPr>
          <w:p w14:paraId="77D7CA14" w14:textId="77777777" w:rsidR="00DB54AC" w:rsidRPr="00E21C60" w:rsidRDefault="00DB54AC">
            <w:pPr>
              <w:rPr>
                <w:rFonts w:ascii="Arial" w:hAnsi="Arial" w:cs="Arial"/>
                <w:sz w:val="20"/>
                <w:szCs w:val="20"/>
              </w:rPr>
            </w:pPr>
            <w:r w:rsidRPr="00E21C60">
              <w:rPr>
                <w:rFonts w:ascii="Arial" w:hAnsi="Arial" w:cs="Arial"/>
                <w:sz w:val="20"/>
                <w:szCs w:val="20"/>
              </w:rPr>
              <w:t xml:space="preserve">Ministerstvo pôdohospodárstva, životného prostredia a regionálneho rozvoja </w:t>
            </w:r>
            <w:r w:rsidR="00040DFC">
              <w:rPr>
                <w:rFonts w:ascii="Arial" w:hAnsi="Arial" w:cs="Arial"/>
                <w:sz w:val="20"/>
                <w:szCs w:val="20"/>
              </w:rPr>
              <w:t>SR</w:t>
            </w:r>
          </w:p>
        </w:tc>
      </w:tr>
      <w:tr w:rsidR="00DB54AC" w:rsidRPr="00E21C60" w14:paraId="70D3C15C" w14:textId="77777777" w:rsidTr="00510690">
        <w:trPr>
          <w:trHeight w:val="284"/>
        </w:trPr>
        <w:tc>
          <w:tcPr>
            <w:tcW w:w="974" w:type="pct"/>
            <w:shd w:val="clear" w:color="auto" w:fill="EAF1DD" w:themeFill="accent3" w:themeFillTint="33"/>
            <w:vAlign w:val="center"/>
          </w:tcPr>
          <w:p w14:paraId="6C444257" w14:textId="77777777" w:rsidR="00DB54AC" w:rsidRPr="00E21C60" w:rsidRDefault="00DB54AC" w:rsidP="00123376">
            <w:pPr>
              <w:rPr>
                <w:rFonts w:ascii="Arial" w:hAnsi="Arial" w:cs="Arial"/>
                <w:sz w:val="20"/>
                <w:szCs w:val="20"/>
              </w:rPr>
            </w:pPr>
            <w:r w:rsidRPr="00E21C60">
              <w:rPr>
                <w:rFonts w:ascii="Arial" w:hAnsi="Arial" w:cs="Arial"/>
                <w:sz w:val="20"/>
                <w:szCs w:val="20"/>
              </w:rPr>
              <w:t>MRK</w:t>
            </w:r>
          </w:p>
        </w:tc>
        <w:tc>
          <w:tcPr>
            <w:tcW w:w="4026" w:type="pct"/>
            <w:shd w:val="clear" w:color="auto" w:fill="EAF1DD" w:themeFill="accent3" w:themeFillTint="33"/>
            <w:vAlign w:val="center"/>
          </w:tcPr>
          <w:p w14:paraId="11B1E610" w14:textId="77777777" w:rsidR="00DB54AC" w:rsidRPr="00E21C60" w:rsidRDefault="00DB54AC" w:rsidP="00123376">
            <w:pPr>
              <w:rPr>
                <w:rFonts w:ascii="Arial" w:hAnsi="Arial" w:cs="Arial"/>
                <w:sz w:val="20"/>
                <w:szCs w:val="20"/>
              </w:rPr>
            </w:pPr>
            <w:r w:rsidRPr="00E21C60">
              <w:rPr>
                <w:rFonts w:ascii="Arial" w:hAnsi="Arial" w:cs="Arial"/>
                <w:sz w:val="20"/>
                <w:szCs w:val="20"/>
              </w:rPr>
              <w:t>Marginalizované rómske komunity</w:t>
            </w:r>
          </w:p>
        </w:tc>
      </w:tr>
      <w:tr w:rsidR="00040DFC" w:rsidRPr="00E21C60" w14:paraId="3AC2165A" w14:textId="77777777" w:rsidTr="00410365">
        <w:trPr>
          <w:trHeight w:val="284"/>
        </w:trPr>
        <w:tc>
          <w:tcPr>
            <w:tcW w:w="974" w:type="pct"/>
            <w:shd w:val="clear" w:color="auto" w:fill="auto"/>
            <w:vAlign w:val="center"/>
          </w:tcPr>
          <w:p w14:paraId="06ADE68E" w14:textId="77777777" w:rsidR="00040DFC" w:rsidRPr="00E21C60" w:rsidRDefault="00040DFC" w:rsidP="00123376">
            <w:pPr>
              <w:rPr>
                <w:rFonts w:ascii="Arial" w:hAnsi="Arial" w:cs="Arial"/>
                <w:sz w:val="20"/>
                <w:szCs w:val="20"/>
              </w:rPr>
            </w:pPr>
            <w:r w:rsidRPr="00C3514D">
              <w:rPr>
                <w:rFonts w:ascii="Arial" w:hAnsi="Arial" w:cs="Arial"/>
                <w:sz w:val="20"/>
                <w:szCs w:val="20"/>
              </w:rPr>
              <w:t>MS KxP</w:t>
            </w:r>
          </w:p>
        </w:tc>
        <w:tc>
          <w:tcPr>
            <w:tcW w:w="4026" w:type="pct"/>
            <w:shd w:val="clear" w:color="auto" w:fill="auto"/>
            <w:vAlign w:val="center"/>
          </w:tcPr>
          <w:p w14:paraId="58727A13" w14:textId="77777777" w:rsidR="00040DFC" w:rsidRPr="00E21C60" w:rsidRDefault="00040DFC" w:rsidP="00123376">
            <w:pPr>
              <w:rPr>
                <w:rFonts w:ascii="Arial" w:hAnsi="Arial" w:cs="Arial"/>
                <w:sz w:val="20"/>
                <w:szCs w:val="20"/>
              </w:rPr>
            </w:pPr>
            <w:r w:rsidRPr="00C3514D">
              <w:rPr>
                <w:rFonts w:ascii="Arial" w:hAnsi="Arial" w:cs="Arial"/>
                <w:sz w:val="20"/>
                <w:szCs w:val="20"/>
              </w:rPr>
              <w:t>Monitorovacia skupina komplexného prístupu</w:t>
            </w:r>
          </w:p>
        </w:tc>
      </w:tr>
      <w:tr w:rsidR="00DB54AC" w:rsidRPr="00E21C60" w14:paraId="675362F6" w14:textId="77777777" w:rsidTr="00510690">
        <w:trPr>
          <w:trHeight w:val="284"/>
        </w:trPr>
        <w:tc>
          <w:tcPr>
            <w:tcW w:w="974" w:type="pct"/>
            <w:shd w:val="clear" w:color="auto" w:fill="EAF1DD" w:themeFill="accent3" w:themeFillTint="33"/>
            <w:vAlign w:val="center"/>
          </w:tcPr>
          <w:p w14:paraId="42E0404E" w14:textId="77777777" w:rsidR="00DB54AC" w:rsidRPr="00E21C60" w:rsidRDefault="00DB54AC" w:rsidP="00123376">
            <w:pPr>
              <w:rPr>
                <w:rFonts w:ascii="Arial" w:hAnsi="Arial" w:cs="Arial"/>
                <w:sz w:val="20"/>
                <w:szCs w:val="20"/>
              </w:rPr>
            </w:pPr>
            <w:r w:rsidRPr="00E21C60">
              <w:rPr>
                <w:rFonts w:ascii="Arial" w:hAnsi="Arial" w:cs="Arial"/>
                <w:sz w:val="20"/>
                <w:szCs w:val="20"/>
              </w:rPr>
              <w:t>MSP</w:t>
            </w:r>
          </w:p>
        </w:tc>
        <w:tc>
          <w:tcPr>
            <w:tcW w:w="4026" w:type="pct"/>
            <w:shd w:val="clear" w:color="auto" w:fill="EAF1DD" w:themeFill="accent3" w:themeFillTint="33"/>
            <w:vAlign w:val="center"/>
          </w:tcPr>
          <w:p w14:paraId="300FC05C" w14:textId="77777777" w:rsidR="00DB54AC" w:rsidRPr="00E21C60" w:rsidRDefault="00DB54AC" w:rsidP="00123376">
            <w:pPr>
              <w:rPr>
                <w:rFonts w:ascii="Arial" w:hAnsi="Arial" w:cs="Arial"/>
                <w:sz w:val="20"/>
                <w:szCs w:val="20"/>
              </w:rPr>
            </w:pPr>
            <w:r w:rsidRPr="00E21C60">
              <w:rPr>
                <w:rFonts w:ascii="Arial" w:hAnsi="Arial" w:cs="Arial"/>
                <w:sz w:val="20"/>
                <w:szCs w:val="20"/>
              </w:rPr>
              <w:t>Malé a stredné podniky</w:t>
            </w:r>
          </w:p>
        </w:tc>
      </w:tr>
      <w:tr w:rsidR="00DB54AC" w:rsidRPr="00E21C60" w14:paraId="67624318" w14:textId="77777777" w:rsidTr="008A1902">
        <w:trPr>
          <w:trHeight w:val="284"/>
        </w:trPr>
        <w:tc>
          <w:tcPr>
            <w:tcW w:w="974" w:type="pct"/>
            <w:shd w:val="clear" w:color="auto" w:fill="auto"/>
            <w:vAlign w:val="center"/>
          </w:tcPr>
          <w:p w14:paraId="05085388" w14:textId="77777777" w:rsidR="00DB54AC" w:rsidRPr="00E21C60" w:rsidRDefault="00DB54AC" w:rsidP="00123376">
            <w:pPr>
              <w:rPr>
                <w:rFonts w:ascii="Arial" w:hAnsi="Arial" w:cs="Arial"/>
                <w:sz w:val="20"/>
                <w:szCs w:val="20"/>
              </w:rPr>
            </w:pPr>
            <w:r w:rsidRPr="00E21C60">
              <w:rPr>
                <w:rFonts w:ascii="Arial" w:hAnsi="Arial" w:cs="Arial"/>
                <w:sz w:val="20"/>
                <w:szCs w:val="20"/>
              </w:rPr>
              <w:t>MV</w:t>
            </w:r>
          </w:p>
        </w:tc>
        <w:tc>
          <w:tcPr>
            <w:tcW w:w="4026" w:type="pct"/>
            <w:shd w:val="clear" w:color="auto" w:fill="auto"/>
            <w:vAlign w:val="center"/>
          </w:tcPr>
          <w:p w14:paraId="2B794BEB" w14:textId="77777777" w:rsidR="00DB54AC" w:rsidRPr="00E21C60" w:rsidRDefault="00DB54AC" w:rsidP="00123376">
            <w:pPr>
              <w:rPr>
                <w:rFonts w:ascii="Arial" w:hAnsi="Arial" w:cs="Arial"/>
                <w:sz w:val="20"/>
                <w:szCs w:val="20"/>
              </w:rPr>
            </w:pPr>
            <w:r w:rsidRPr="00E21C60">
              <w:rPr>
                <w:rFonts w:ascii="Arial" w:hAnsi="Arial" w:cs="Arial"/>
                <w:sz w:val="20"/>
                <w:szCs w:val="20"/>
              </w:rPr>
              <w:t>Monitorovací výbor</w:t>
            </w:r>
          </w:p>
        </w:tc>
      </w:tr>
      <w:tr w:rsidR="00DB54AC" w:rsidRPr="00E21C60" w14:paraId="0D1A292D" w14:textId="77777777" w:rsidTr="00510690">
        <w:trPr>
          <w:trHeight w:val="284"/>
        </w:trPr>
        <w:tc>
          <w:tcPr>
            <w:tcW w:w="974" w:type="pct"/>
            <w:shd w:val="clear" w:color="auto" w:fill="EAF1DD" w:themeFill="accent3" w:themeFillTint="33"/>
            <w:vAlign w:val="center"/>
          </w:tcPr>
          <w:p w14:paraId="3FB4EFEC" w14:textId="77777777" w:rsidR="00DB54AC" w:rsidRPr="00E21C60" w:rsidRDefault="00DB54AC" w:rsidP="00123376">
            <w:pPr>
              <w:rPr>
                <w:rFonts w:ascii="Arial" w:hAnsi="Arial" w:cs="Arial"/>
                <w:sz w:val="20"/>
                <w:szCs w:val="20"/>
              </w:rPr>
            </w:pPr>
            <w:r w:rsidRPr="00E21C60">
              <w:rPr>
                <w:rFonts w:ascii="Arial" w:hAnsi="Arial" w:cs="Arial"/>
                <w:sz w:val="20"/>
                <w:szCs w:val="20"/>
              </w:rPr>
              <w:t>MVRR SR</w:t>
            </w:r>
          </w:p>
        </w:tc>
        <w:tc>
          <w:tcPr>
            <w:tcW w:w="4026" w:type="pct"/>
            <w:shd w:val="clear" w:color="auto" w:fill="EAF1DD" w:themeFill="accent3" w:themeFillTint="33"/>
            <w:vAlign w:val="center"/>
          </w:tcPr>
          <w:p w14:paraId="1B650269" w14:textId="77777777" w:rsidR="00DB54AC" w:rsidRPr="00E21C60" w:rsidRDefault="00DB54AC" w:rsidP="00123376">
            <w:pPr>
              <w:rPr>
                <w:rFonts w:ascii="Arial" w:hAnsi="Arial" w:cs="Arial"/>
                <w:sz w:val="20"/>
                <w:szCs w:val="20"/>
              </w:rPr>
            </w:pPr>
            <w:r w:rsidRPr="00E21C60">
              <w:rPr>
                <w:rFonts w:ascii="Arial" w:hAnsi="Arial" w:cs="Arial"/>
                <w:sz w:val="20"/>
                <w:szCs w:val="20"/>
              </w:rPr>
              <w:t>Ministerstvo výstavby a regionálneho rozvoja Slovenskej republiky</w:t>
            </w:r>
          </w:p>
        </w:tc>
      </w:tr>
      <w:tr w:rsidR="00DB54AC" w:rsidRPr="00E21C60" w14:paraId="3677627D" w14:textId="77777777" w:rsidTr="008A1902">
        <w:trPr>
          <w:trHeight w:val="284"/>
        </w:trPr>
        <w:tc>
          <w:tcPr>
            <w:tcW w:w="974" w:type="pct"/>
            <w:shd w:val="clear" w:color="auto" w:fill="auto"/>
            <w:vAlign w:val="center"/>
          </w:tcPr>
          <w:p w14:paraId="3FAA4B36" w14:textId="77777777" w:rsidR="00DB54AC" w:rsidRPr="00E21C60" w:rsidRDefault="00DB54AC" w:rsidP="00123376">
            <w:pPr>
              <w:rPr>
                <w:rFonts w:ascii="Arial" w:hAnsi="Arial" w:cs="Arial"/>
                <w:sz w:val="20"/>
                <w:szCs w:val="20"/>
              </w:rPr>
            </w:pPr>
            <w:r w:rsidRPr="00E21C60">
              <w:rPr>
                <w:rFonts w:ascii="Arial" w:hAnsi="Arial" w:cs="Arial"/>
                <w:sz w:val="20"/>
                <w:szCs w:val="20"/>
              </w:rPr>
              <w:t>MŽP SR</w:t>
            </w:r>
          </w:p>
        </w:tc>
        <w:tc>
          <w:tcPr>
            <w:tcW w:w="4026" w:type="pct"/>
            <w:shd w:val="clear" w:color="auto" w:fill="auto"/>
            <w:vAlign w:val="center"/>
          </w:tcPr>
          <w:p w14:paraId="03142260" w14:textId="77777777" w:rsidR="00DB54AC" w:rsidRPr="00E21C60" w:rsidRDefault="00DB54AC" w:rsidP="00123376">
            <w:pPr>
              <w:rPr>
                <w:rFonts w:ascii="Arial" w:hAnsi="Arial" w:cs="Arial"/>
                <w:sz w:val="20"/>
                <w:szCs w:val="20"/>
              </w:rPr>
            </w:pPr>
            <w:r w:rsidRPr="00E21C60">
              <w:rPr>
                <w:rFonts w:ascii="Arial" w:hAnsi="Arial" w:cs="Arial"/>
                <w:sz w:val="20"/>
                <w:szCs w:val="20"/>
              </w:rPr>
              <w:t>Ministerstvo životného prostredia Slovenskej republiky</w:t>
            </w:r>
          </w:p>
        </w:tc>
      </w:tr>
      <w:tr w:rsidR="0002711C" w:rsidRPr="00E21C60" w14:paraId="29C34025" w14:textId="77777777" w:rsidTr="00510690">
        <w:trPr>
          <w:trHeight w:val="284"/>
        </w:trPr>
        <w:tc>
          <w:tcPr>
            <w:tcW w:w="974" w:type="pct"/>
            <w:shd w:val="clear" w:color="auto" w:fill="EAF1DD" w:themeFill="accent3" w:themeFillTint="33"/>
            <w:vAlign w:val="center"/>
          </w:tcPr>
          <w:p w14:paraId="1D0A364C" w14:textId="77777777" w:rsidR="0002711C" w:rsidRPr="00E21C60" w:rsidRDefault="0002711C" w:rsidP="00123376">
            <w:pPr>
              <w:rPr>
                <w:rFonts w:ascii="Arial" w:hAnsi="Arial" w:cs="Arial"/>
                <w:sz w:val="20"/>
                <w:szCs w:val="20"/>
              </w:rPr>
            </w:pPr>
            <w:r>
              <w:rPr>
                <w:rFonts w:ascii="Arial" w:hAnsi="Arial" w:cs="Arial"/>
                <w:sz w:val="20"/>
                <w:szCs w:val="20"/>
              </w:rPr>
              <w:t>Natura 2000</w:t>
            </w:r>
          </w:p>
        </w:tc>
        <w:tc>
          <w:tcPr>
            <w:tcW w:w="4026" w:type="pct"/>
            <w:shd w:val="clear" w:color="auto" w:fill="EAF1DD" w:themeFill="accent3" w:themeFillTint="33"/>
            <w:vAlign w:val="center"/>
          </w:tcPr>
          <w:p w14:paraId="2BD1C6C5" w14:textId="77777777" w:rsidR="0002711C" w:rsidRPr="00E21C60" w:rsidRDefault="00627D71" w:rsidP="00123376">
            <w:pPr>
              <w:rPr>
                <w:rFonts w:ascii="Arial" w:hAnsi="Arial" w:cs="Arial"/>
                <w:sz w:val="20"/>
                <w:szCs w:val="20"/>
              </w:rPr>
            </w:pPr>
            <w:r w:rsidRPr="00627D71">
              <w:rPr>
                <w:rFonts w:ascii="Arial" w:hAnsi="Arial" w:cs="Arial"/>
                <w:sz w:val="20"/>
                <w:szCs w:val="20"/>
              </w:rPr>
              <w:t>Sústava chránených území členských krajín EÚ</w:t>
            </w:r>
          </w:p>
        </w:tc>
      </w:tr>
      <w:tr w:rsidR="00DB54AC" w:rsidRPr="00E21C60" w14:paraId="206B8ABE" w14:textId="77777777" w:rsidTr="008A1902">
        <w:trPr>
          <w:trHeight w:val="284"/>
        </w:trPr>
        <w:tc>
          <w:tcPr>
            <w:tcW w:w="974" w:type="pct"/>
            <w:shd w:val="clear" w:color="auto" w:fill="auto"/>
            <w:vAlign w:val="center"/>
          </w:tcPr>
          <w:p w14:paraId="42809758" w14:textId="77777777" w:rsidR="00DB54AC" w:rsidRPr="00E21C60" w:rsidRDefault="00DB54AC" w:rsidP="00123376">
            <w:pPr>
              <w:rPr>
                <w:rFonts w:ascii="Arial" w:hAnsi="Arial" w:cs="Arial"/>
                <w:sz w:val="20"/>
                <w:szCs w:val="20"/>
              </w:rPr>
            </w:pPr>
            <w:r w:rsidRPr="00E21C60">
              <w:rPr>
                <w:rFonts w:ascii="Arial" w:hAnsi="Arial" w:cs="Arial"/>
                <w:sz w:val="20"/>
                <w:szCs w:val="20"/>
              </w:rPr>
              <w:t>NFI</w:t>
            </w:r>
          </w:p>
        </w:tc>
        <w:tc>
          <w:tcPr>
            <w:tcW w:w="4026" w:type="pct"/>
            <w:shd w:val="clear" w:color="auto" w:fill="auto"/>
            <w:vAlign w:val="center"/>
          </w:tcPr>
          <w:p w14:paraId="5A3AE4E2" w14:textId="77777777" w:rsidR="00DB54AC" w:rsidRPr="00E21C60" w:rsidRDefault="00DB54AC" w:rsidP="00123376">
            <w:pPr>
              <w:rPr>
                <w:rFonts w:ascii="Arial" w:hAnsi="Arial" w:cs="Arial"/>
                <w:sz w:val="20"/>
                <w:szCs w:val="20"/>
              </w:rPr>
            </w:pPr>
            <w:r w:rsidRPr="000C427E">
              <w:rPr>
                <w:rFonts w:ascii="Arial" w:hAnsi="Arial" w:cs="Arial"/>
                <w:sz w:val="20"/>
                <w:szCs w:val="20"/>
              </w:rPr>
              <w:t>Nástroje finančného inžinierstva</w:t>
            </w:r>
          </w:p>
        </w:tc>
      </w:tr>
      <w:tr w:rsidR="00DB54AC" w:rsidRPr="00E21C60" w14:paraId="6C793C0F" w14:textId="77777777" w:rsidTr="00510690">
        <w:trPr>
          <w:trHeight w:val="284"/>
        </w:trPr>
        <w:tc>
          <w:tcPr>
            <w:tcW w:w="974" w:type="pct"/>
            <w:shd w:val="clear" w:color="auto" w:fill="EAF1DD" w:themeFill="accent3" w:themeFillTint="33"/>
            <w:vAlign w:val="center"/>
          </w:tcPr>
          <w:p w14:paraId="58B6704A" w14:textId="77777777" w:rsidR="00DB54AC" w:rsidRPr="00E21C60" w:rsidRDefault="00DB54AC" w:rsidP="00123376">
            <w:pPr>
              <w:rPr>
                <w:rFonts w:ascii="Arial" w:hAnsi="Arial" w:cs="Arial"/>
                <w:sz w:val="20"/>
                <w:szCs w:val="20"/>
              </w:rPr>
            </w:pPr>
            <w:r w:rsidRPr="00E21C60">
              <w:rPr>
                <w:rFonts w:ascii="Arial" w:hAnsi="Arial" w:cs="Arial"/>
                <w:sz w:val="20"/>
                <w:szCs w:val="20"/>
              </w:rPr>
              <w:t>NFM</w:t>
            </w:r>
          </w:p>
        </w:tc>
        <w:tc>
          <w:tcPr>
            <w:tcW w:w="4026" w:type="pct"/>
            <w:shd w:val="clear" w:color="auto" w:fill="EAF1DD" w:themeFill="accent3" w:themeFillTint="33"/>
            <w:vAlign w:val="center"/>
          </w:tcPr>
          <w:p w14:paraId="69FEBBD8" w14:textId="77777777" w:rsidR="00DB54AC" w:rsidRPr="00E21C60" w:rsidRDefault="00DB54AC" w:rsidP="00123376">
            <w:pPr>
              <w:rPr>
                <w:rFonts w:ascii="Arial" w:hAnsi="Arial" w:cs="Arial"/>
                <w:sz w:val="20"/>
                <w:szCs w:val="20"/>
              </w:rPr>
            </w:pPr>
            <w:r w:rsidRPr="00E21C60">
              <w:rPr>
                <w:rFonts w:ascii="Arial" w:hAnsi="Arial" w:cs="Arial"/>
                <w:sz w:val="20"/>
                <w:szCs w:val="20"/>
              </w:rPr>
              <w:t>Nórsky finančný mechanizmus</w:t>
            </w:r>
          </w:p>
        </w:tc>
      </w:tr>
      <w:tr w:rsidR="00DB54AC" w:rsidRPr="00E21C60" w14:paraId="46F3602F" w14:textId="77777777" w:rsidTr="008A1902">
        <w:trPr>
          <w:trHeight w:val="284"/>
        </w:trPr>
        <w:tc>
          <w:tcPr>
            <w:tcW w:w="974" w:type="pct"/>
            <w:shd w:val="clear" w:color="auto" w:fill="auto"/>
            <w:vAlign w:val="center"/>
          </w:tcPr>
          <w:p w14:paraId="02020F8D" w14:textId="77777777" w:rsidR="00DB54AC" w:rsidRPr="00E21C60" w:rsidRDefault="00DB54AC" w:rsidP="00123376">
            <w:pPr>
              <w:rPr>
                <w:rFonts w:ascii="Arial" w:hAnsi="Arial" w:cs="Arial"/>
                <w:sz w:val="20"/>
                <w:szCs w:val="20"/>
              </w:rPr>
            </w:pPr>
            <w:r w:rsidRPr="00E21C60">
              <w:rPr>
                <w:rFonts w:ascii="Arial" w:hAnsi="Arial" w:cs="Arial"/>
                <w:sz w:val="20"/>
                <w:szCs w:val="20"/>
              </w:rPr>
              <w:lastRenderedPageBreak/>
              <w:t>NFP</w:t>
            </w:r>
          </w:p>
        </w:tc>
        <w:tc>
          <w:tcPr>
            <w:tcW w:w="4026" w:type="pct"/>
            <w:shd w:val="clear" w:color="auto" w:fill="auto"/>
            <w:vAlign w:val="center"/>
          </w:tcPr>
          <w:p w14:paraId="241B50B1" w14:textId="77777777" w:rsidR="00DB54AC" w:rsidRPr="00E21C60" w:rsidRDefault="00DB54AC" w:rsidP="00123376">
            <w:pPr>
              <w:rPr>
                <w:rFonts w:ascii="Arial" w:hAnsi="Arial" w:cs="Arial"/>
                <w:sz w:val="20"/>
                <w:szCs w:val="20"/>
              </w:rPr>
            </w:pPr>
            <w:r w:rsidRPr="00E21C60">
              <w:rPr>
                <w:rFonts w:ascii="Arial" w:hAnsi="Arial" w:cs="Arial"/>
                <w:sz w:val="20"/>
                <w:szCs w:val="20"/>
              </w:rPr>
              <w:t>Nenávratný finančný príspevok</w:t>
            </w:r>
          </w:p>
        </w:tc>
      </w:tr>
      <w:tr w:rsidR="00DB54AC" w:rsidRPr="00E21C60" w14:paraId="0628CD8E" w14:textId="77777777" w:rsidTr="00510690">
        <w:trPr>
          <w:trHeight w:val="284"/>
        </w:trPr>
        <w:tc>
          <w:tcPr>
            <w:tcW w:w="974" w:type="pct"/>
            <w:shd w:val="clear" w:color="auto" w:fill="EAF1DD" w:themeFill="accent3" w:themeFillTint="33"/>
            <w:vAlign w:val="center"/>
          </w:tcPr>
          <w:p w14:paraId="01BDB94E" w14:textId="77777777" w:rsidR="00DB54AC" w:rsidRPr="00E21C60" w:rsidRDefault="00DB54AC" w:rsidP="00123376">
            <w:pPr>
              <w:rPr>
                <w:rFonts w:ascii="Arial" w:hAnsi="Arial" w:cs="Arial"/>
                <w:sz w:val="20"/>
                <w:szCs w:val="20"/>
              </w:rPr>
            </w:pPr>
            <w:r w:rsidRPr="00E21C60">
              <w:rPr>
                <w:rFonts w:ascii="Arial" w:hAnsi="Arial" w:cs="Arial"/>
                <w:sz w:val="20"/>
                <w:szCs w:val="20"/>
              </w:rPr>
              <w:t>NMV</w:t>
            </w:r>
          </w:p>
        </w:tc>
        <w:tc>
          <w:tcPr>
            <w:tcW w:w="4026" w:type="pct"/>
            <w:shd w:val="clear" w:color="auto" w:fill="EAF1DD" w:themeFill="accent3" w:themeFillTint="33"/>
            <w:vAlign w:val="center"/>
          </w:tcPr>
          <w:p w14:paraId="667A8AB9" w14:textId="77777777" w:rsidR="00DB54AC" w:rsidRPr="00E21C60" w:rsidRDefault="00DB54AC" w:rsidP="00123376">
            <w:pPr>
              <w:rPr>
                <w:rFonts w:ascii="Arial" w:hAnsi="Arial" w:cs="Arial"/>
                <w:sz w:val="20"/>
                <w:szCs w:val="20"/>
              </w:rPr>
            </w:pPr>
            <w:r w:rsidRPr="00E21C60">
              <w:rPr>
                <w:rFonts w:ascii="Arial" w:hAnsi="Arial" w:cs="Arial"/>
                <w:sz w:val="20"/>
                <w:szCs w:val="20"/>
              </w:rPr>
              <w:t>Národný monitorovací výbor</w:t>
            </w:r>
          </w:p>
        </w:tc>
      </w:tr>
      <w:tr w:rsidR="00DB54AC" w:rsidRPr="00E21C60" w14:paraId="00399394" w14:textId="77777777" w:rsidTr="008A1902">
        <w:trPr>
          <w:trHeight w:val="284"/>
        </w:trPr>
        <w:tc>
          <w:tcPr>
            <w:tcW w:w="974" w:type="pct"/>
            <w:shd w:val="clear" w:color="auto" w:fill="auto"/>
            <w:vAlign w:val="center"/>
          </w:tcPr>
          <w:p w14:paraId="66626BBE" w14:textId="77777777" w:rsidR="00DB54AC" w:rsidRPr="00E21C60" w:rsidRDefault="00DB54AC" w:rsidP="00123376">
            <w:pPr>
              <w:rPr>
                <w:rFonts w:ascii="Arial" w:hAnsi="Arial" w:cs="Arial"/>
                <w:sz w:val="20"/>
                <w:szCs w:val="20"/>
              </w:rPr>
            </w:pPr>
            <w:r w:rsidRPr="00E21C60">
              <w:rPr>
                <w:rFonts w:ascii="Arial" w:hAnsi="Arial" w:cs="Arial"/>
                <w:sz w:val="20"/>
                <w:szCs w:val="20"/>
              </w:rPr>
              <w:t>NSRR</w:t>
            </w:r>
          </w:p>
        </w:tc>
        <w:tc>
          <w:tcPr>
            <w:tcW w:w="4026" w:type="pct"/>
            <w:shd w:val="clear" w:color="auto" w:fill="auto"/>
            <w:vAlign w:val="center"/>
          </w:tcPr>
          <w:p w14:paraId="68CC49D6" w14:textId="77777777" w:rsidR="00DB54AC" w:rsidRPr="00E21C60" w:rsidRDefault="00DB54AC" w:rsidP="00123376">
            <w:pPr>
              <w:rPr>
                <w:rFonts w:ascii="Arial" w:hAnsi="Arial" w:cs="Arial"/>
                <w:sz w:val="20"/>
                <w:szCs w:val="20"/>
              </w:rPr>
            </w:pPr>
            <w:r w:rsidRPr="00E21C60">
              <w:rPr>
                <w:rFonts w:ascii="Arial" w:hAnsi="Arial" w:cs="Arial"/>
                <w:sz w:val="20"/>
                <w:szCs w:val="20"/>
              </w:rPr>
              <w:t>Národný strategický referenčný rámec</w:t>
            </w:r>
          </w:p>
        </w:tc>
      </w:tr>
      <w:tr w:rsidR="00DB54AC" w:rsidRPr="00E21C60" w14:paraId="02463398" w14:textId="77777777" w:rsidTr="00510690">
        <w:trPr>
          <w:trHeight w:val="284"/>
        </w:trPr>
        <w:tc>
          <w:tcPr>
            <w:tcW w:w="974" w:type="pct"/>
            <w:shd w:val="clear" w:color="auto" w:fill="EAF1DD" w:themeFill="accent3" w:themeFillTint="33"/>
            <w:vAlign w:val="center"/>
          </w:tcPr>
          <w:p w14:paraId="3BDF3968" w14:textId="77777777" w:rsidR="00DB54AC" w:rsidRPr="00E21C60" w:rsidRDefault="00DB54AC" w:rsidP="00123376">
            <w:pPr>
              <w:rPr>
                <w:rFonts w:ascii="Arial" w:hAnsi="Arial" w:cs="Arial"/>
                <w:sz w:val="20"/>
                <w:szCs w:val="20"/>
              </w:rPr>
            </w:pPr>
            <w:r w:rsidRPr="00E21C60">
              <w:rPr>
                <w:rFonts w:ascii="Arial" w:hAnsi="Arial" w:cs="Arial"/>
                <w:sz w:val="20"/>
                <w:szCs w:val="20"/>
              </w:rPr>
              <w:t>NUTS</w:t>
            </w:r>
          </w:p>
        </w:tc>
        <w:tc>
          <w:tcPr>
            <w:tcW w:w="4026" w:type="pct"/>
            <w:shd w:val="clear" w:color="auto" w:fill="EAF1DD" w:themeFill="accent3" w:themeFillTint="33"/>
            <w:vAlign w:val="center"/>
          </w:tcPr>
          <w:p w14:paraId="7DAA1DCD" w14:textId="77777777" w:rsidR="00DB54AC" w:rsidRPr="00E21C60" w:rsidRDefault="00DB54AC" w:rsidP="00123376">
            <w:pPr>
              <w:rPr>
                <w:rFonts w:ascii="Arial" w:hAnsi="Arial" w:cs="Arial"/>
                <w:sz w:val="20"/>
                <w:szCs w:val="20"/>
              </w:rPr>
            </w:pPr>
            <w:r w:rsidRPr="00E21C60">
              <w:rPr>
                <w:rFonts w:ascii="Arial" w:hAnsi="Arial" w:cs="Arial"/>
                <w:sz w:val="20"/>
                <w:szCs w:val="20"/>
              </w:rPr>
              <w:t>Nomenklatúra územných štatistických jednotiek</w:t>
            </w:r>
          </w:p>
        </w:tc>
      </w:tr>
      <w:tr w:rsidR="00DB54AC" w:rsidRPr="00E21C60" w14:paraId="04AE46C2" w14:textId="77777777" w:rsidTr="008A1902">
        <w:trPr>
          <w:trHeight w:val="284"/>
        </w:trPr>
        <w:tc>
          <w:tcPr>
            <w:tcW w:w="974" w:type="pct"/>
            <w:shd w:val="clear" w:color="auto" w:fill="auto"/>
            <w:vAlign w:val="center"/>
          </w:tcPr>
          <w:p w14:paraId="5A35F3E8" w14:textId="77777777" w:rsidR="00DB54AC" w:rsidRPr="00E21C60" w:rsidRDefault="00DB54AC" w:rsidP="00123376">
            <w:pPr>
              <w:rPr>
                <w:rFonts w:ascii="Arial" w:hAnsi="Arial" w:cs="Arial"/>
                <w:sz w:val="20"/>
                <w:szCs w:val="20"/>
              </w:rPr>
            </w:pPr>
            <w:r w:rsidRPr="00E21C60">
              <w:rPr>
                <w:rFonts w:ascii="Arial" w:hAnsi="Arial" w:cs="Arial"/>
                <w:sz w:val="20"/>
                <w:szCs w:val="20"/>
              </w:rPr>
              <w:t>OP</w:t>
            </w:r>
          </w:p>
        </w:tc>
        <w:tc>
          <w:tcPr>
            <w:tcW w:w="4026" w:type="pct"/>
            <w:shd w:val="clear" w:color="auto" w:fill="auto"/>
            <w:vAlign w:val="center"/>
          </w:tcPr>
          <w:p w14:paraId="62DAF322" w14:textId="77777777" w:rsidR="00DB54AC" w:rsidRPr="00E21C60" w:rsidRDefault="00DB54AC" w:rsidP="00123376">
            <w:pPr>
              <w:rPr>
                <w:rFonts w:ascii="Arial" w:hAnsi="Arial" w:cs="Arial"/>
                <w:sz w:val="20"/>
                <w:szCs w:val="20"/>
              </w:rPr>
            </w:pPr>
            <w:r w:rsidRPr="00E21C60">
              <w:rPr>
                <w:rFonts w:ascii="Arial" w:hAnsi="Arial" w:cs="Arial"/>
                <w:sz w:val="20"/>
                <w:szCs w:val="20"/>
              </w:rPr>
              <w:t>Operačný program</w:t>
            </w:r>
          </w:p>
        </w:tc>
      </w:tr>
      <w:tr w:rsidR="00DB54AC" w:rsidRPr="00E21C60" w14:paraId="4E9A5642" w14:textId="77777777" w:rsidTr="00510690">
        <w:trPr>
          <w:trHeight w:val="284"/>
        </w:trPr>
        <w:tc>
          <w:tcPr>
            <w:tcW w:w="974" w:type="pct"/>
            <w:shd w:val="clear" w:color="auto" w:fill="EAF1DD" w:themeFill="accent3" w:themeFillTint="33"/>
            <w:vAlign w:val="center"/>
          </w:tcPr>
          <w:p w14:paraId="2CDD2711" w14:textId="77777777" w:rsidR="00DB54AC" w:rsidRPr="00E21C60" w:rsidRDefault="00DB54AC" w:rsidP="00123376">
            <w:pPr>
              <w:rPr>
                <w:rFonts w:ascii="Arial" w:hAnsi="Arial" w:cs="Arial"/>
                <w:sz w:val="20"/>
                <w:szCs w:val="20"/>
              </w:rPr>
            </w:pPr>
            <w:r w:rsidRPr="00E21C60">
              <w:rPr>
                <w:rFonts w:ascii="Arial" w:hAnsi="Arial" w:cs="Arial"/>
                <w:sz w:val="20"/>
                <w:szCs w:val="20"/>
              </w:rPr>
              <w:t>OPBK</w:t>
            </w:r>
          </w:p>
        </w:tc>
        <w:tc>
          <w:tcPr>
            <w:tcW w:w="4026" w:type="pct"/>
            <w:shd w:val="clear" w:color="auto" w:fill="EAF1DD" w:themeFill="accent3" w:themeFillTint="33"/>
            <w:vAlign w:val="center"/>
          </w:tcPr>
          <w:p w14:paraId="3B307F8F" w14:textId="77777777" w:rsidR="00DB54AC" w:rsidRPr="00E21C60" w:rsidRDefault="00DB54AC" w:rsidP="00123376">
            <w:pPr>
              <w:rPr>
                <w:rFonts w:ascii="Arial" w:hAnsi="Arial" w:cs="Arial"/>
                <w:sz w:val="20"/>
                <w:szCs w:val="20"/>
              </w:rPr>
            </w:pPr>
            <w:r w:rsidRPr="00E21C60">
              <w:rPr>
                <w:rFonts w:ascii="Arial" w:hAnsi="Arial" w:cs="Arial"/>
                <w:sz w:val="20"/>
                <w:szCs w:val="20"/>
              </w:rPr>
              <w:t>Operačný program Bratislavský kraj</w:t>
            </w:r>
          </w:p>
        </w:tc>
      </w:tr>
      <w:tr w:rsidR="00DB54AC" w:rsidRPr="00E21C60" w14:paraId="776F49FC" w14:textId="77777777" w:rsidTr="008A1902">
        <w:trPr>
          <w:trHeight w:val="284"/>
        </w:trPr>
        <w:tc>
          <w:tcPr>
            <w:tcW w:w="974" w:type="pct"/>
            <w:shd w:val="clear" w:color="auto" w:fill="auto"/>
            <w:vAlign w:val="center"/>
          </w:tcPr>
          <w:p w14:paraId="11EBFC7E" w14:textId="77777777" w:rsidR="00DB54AC" w:rsidRPr="00E21C60" w:rsidRDefault="00DB54AC" w:rsidP="00123376">
            <w:pPr>
              <w:rPr>
                <w:rFonts w:ascii="Arial" w:hAnsi="Arial" w:cs="Arial"/>
                <w:sz w:val="20"/>
                <w:szCs w:val="20"/>
              </w:rPr>
            </w:pPr>
            <w:r w:rsidRPr="00E21C60">
              <w:rPr>
                <w:rFonts w:ascii="Arial" w:hAnsi="Arial" w:cs="Arial"/>
                <w:sz w:val="20"/>
                <w:szCs w:val="20"/>
              </w:rPr>
              <w:t>OP KaHR</w:t>
            </w:r>
          </w:p>
        </w:tc>
        <w:tc>
          <w:tcPr>
            <w:tcW w:w="4026" w:type="pct"/>
            <w:shd w:val="clear" w:color="auto" w:fill="auto"/>
            <w:vAlign w:val="center"/>
          </w:tcPr>
          <w:p w14:paraId="25423170" w14:textId="77777777" w:rsidR="00DB54AC" w:rsidRPr="00E21C60" w:rsidRDefault="00DB54AC" w:rsidP="00123376">
            <w:pPr>
              <w:rPr>
                <w:rFonts w:ascii="Arial" w:hAnsi="Arial" w:cs="Arial"/>
                <w:sz w:val="20"/>
                <w:szCs w:val="20"/>
              </w:rPr>
            </w:pPr>
            <w:r w:rsidRPr="00E21C60">
              <w:rPr>
                <w:rFonts w:ascii="Arial" w:hAnsi="Arial" w:cs="Arial"/>
                <w:sz w:val="20"/>
                <w:szCs w:val="20"/>
              </w:rPr>
              <w:t>Operačný program Konkurencieschopnosť a hospodársky rast</w:t>
            </w:r>
          </w:p>
        </w:tc>
      </w:tr>
      <w:tr w:rsidR="0002711C" w:rsidRPr="00E21C60" w14:paraId="066ACB87" w14:textId="77777777" w:rsidTr="00510690">
        <w:trPr>
          <w:trHeight w:val="284"/>
        </w:trPr>
        <w:tc>
          <w:tcPr>
            <w:tcW w:w="974" w:type="pct"/>
            <w:shd w:val="clear" w:color="auto" w:fill="EAF1DD" w:themeFill="accent3" w:themeFillTint="33"/>
            <w:vAlign w:val="center"/>
          </w:tcPr>
          <w:p w14:paraId="03764083" w14:textId="77777777" w:rsidR="0002711C" w:rsidRPr="00E21C60" w:rsidRDefault="0002711C" w:rsidP="00123376">
            <w:pPr>
              <w:rPr>
                <w:rFonts w:ascii="Arial" w:hAnsi="Arial" w:cs="Arial"/>
                <w:sz w:val="20"/>
                <w:szCs w:val="20"/>
              </w:rPr>
            </w:pPr>
            <w:r>
              <w:rPr>
                <w:rFonts w:ascii="Arial" w:hAnsi="Arial" w:cs="Arial"/>
                <w:sz w:val="20"/>
                <w:szCs w:val="20"/>
              </w:rPr>
              <w:t>OP KŽP</w:t>
            </w:r>
          </w:p>
        </w:tc>
        <w:tc>
          <w:tcPr>
            <w:tcW w:w="4026" w:type="pct"/>
            <w:shd w:val="clear" w:color="auto" w:fill="EAF1DD" w:themeFill="accent3" w:themeFillTint="33"/>
            <w:vAlign w:val="center"/>
          </w:tcPr>
          <w:p w14:paraId="6A958DB8" w14:textId="77777777" w:rsidR="0002711C" w:rsidRPr="00E21C60" w:rsidRDefault="00627D71" w:rsidP="00123376">
            <w:pPr>
              <w:rPr>
                <w:rFonts w:ascii="Arial" w:hAnsi="Arial" w:cs="Arial"/>
                <w:sz w:val="20"/>
                <w:szCs w:val="20"/>
              </w:rPr>
            </w:pPr>
            <w:r w:rsidRPr="00E21C60">
              <w:rPr>
                <w:rFonts w:ascii="Arial" w:hAnsi="Arial" w:cs="Arial"/>
                <w:sz w:val="20"/>
                <w:szCs w:val="20"/>
              </w:rPr>
              <w:t>Operačný program</w:t>
            </w:r>
            <w:r>
              <w:rPr>
                <w:rFonts w:ascii="Arial" w:hAnsi="Arial" w:cs="Arial"/>
                <w:sz w:val="20"/>
                <w:szCs w:val="20"/>
              </w:rPr>
              <w:t xml:space="preserve"> Kvalita životného prostredia</w:t>
            </w:r>
          </w:p>
        </w:tc>
      </w:tr>
      <w:tr w:rsidR="00040DFC" w:rsidRPr="00E21C60" w14:paraId="0C7A666B" w14:textId="77777777" w:rsidTr="00410365">
        <w:trPr>
          <w:trHeight w:val="284"/>
        </w:trPr>
        <w:tc>
          <w:tcPr>
            <w:tcW w:w="974" w:type="pct"/>
            <w:shd w:val="clear" w:color="auto" w:fill="auto"/>
            <w:vAlign w:val="center"/>
          </w:tcPr>
          <w:p w14:paraId="4A0E9AF0" w14:textId="77777777" w:rsidR="00040DFC" w:rsidRDefault="00040DFC" w:rsidP="00123376">
            <w:pPr>
              <w:rPr>
                <w:rFonts w:ascii="Arial" w:hAnsi="Arial" w:cs="Arial"/>
                <w:sz w:val="20"/>
                <w:szCs w:val="20"/>
              </w:rPr>
            </w:pPr>
            <w:r w:rsidRPr="00357F9B">
              <w:rPr>
                <w:rFonts w:ascii="Arial" w:hAnsi="Arial" w:cs="Arial"/>
                <w:sz w:val="20"/>
                <w:szCs w:val="20"/>
              </w:rPr>
              <w:t>OP ZaSI</w:t>
            </w:r>
          </w:p>
        </w:tc>
        <w:tc>
          <w:tcPr>
            <w:tcW w:w="4026" w:type="pct"/>
            <w:shd w:val="clear" w:color="auto" w:fill="auto"/>
            <w:vAlign w:val="center"/>
          </w:tcPr>
          <w:p w14:paraId="2D5AB910" w14:textId="77777777" w:rsidR="00040DFC" w:rsidRPr="00E21C60" w:rsidRDefault="00040DFC" w:rsidP="00040DFC">
            <w:pPr>
              <w:rPr>
                <w:rFonts w:ascii="Arial" w:hAnsi="Arial" w:cs="Arial"/>
                <w:sz w:val="20"/>
                <w:szCs w:val="20"/>
              </w:rPr>
            </w:pPr>
            <w:r>
              <w:rPr>
                <w:rFonts w:ascii="Arial" w:hAnsi="Arial" w:cs="Arial"/>
                <w:sz w:val="20"/>
                <w:szCs w:val="20"/>
              </w:rPr>
              <w:t>Operačný program Zamestnanosť a sociálna inklúzia</w:t>
            </w:r>
          </w:p>
        </w:tc>
      </w:tr>
      <w:tr w:rsidR="00DB54AC" w:rsidRPr="00E21C60" w14:paraId="46B57456" w14:textId="77777777" w:rsidTr="00510690">
        <w:trPr>
          <w:trHeight w:val="284"/>
        </w:trPr>
        <w:tc>
          <w:tcPr>
            <w:tcW w:w="974" w:type="pct"/>
            <w:shd w:val="clear" w:color="auto" w:fill="EAF1DD" w:themeFill="accent3" w:themeFillTint="33"/>
            <w:vAlign w:val="center"/>
          </w:tcPr>
          <w:p w14:paraId="4EB7D4E9" w14:textId="77777777" w:rsidR="00DB54AC" w:rsidRPr="00E21C60" w:rsidRDefault="00DB54AC" w:rsidP="00123376">
            <w:pPr>
              <w:rPr>
                <w:rFonts w:ascii="Arial" w:hAnsi="Arial" w:cs="Arial"/>
                <w:sz w:val="20"/>
                <w:szCs w:val="20"/>
              </w:rPr>
            </w:pPr>
            <w:r w:rsidRPr="00E21C60">
              <w:rPr>
                <w:rFonts w:ascii="Arial" w:hAnsi="Arial" w:cs="Arial"/>
                <w:sz w:val="20"/>
                <w:szCs w:val="20"/>
              </w:rPr>
              <w:t>OP ŽP</w:t>
            </w:r>
          </w:p>
        </w:tc>
        <w:tc>
          <w:tcPr>
            <w:tcW w:w="4026" w:type="pct"/>
            <w:shd w:val="clear" w:color="auto" w:fill="EAF1DD" w:themeFill="accent3" w:themeFillTint="33"/>
            <w:vAlign w:val="center"/>
          </w:tcPr>
          <w:p w14:paraId="7D6FD7C4" w14:textId="77777777" w:rsidR="00DB54AC" w:rsidRPr="00E21C60" w:rsidRDefault="00DB54AC" w:rsidP="00123376">
            <w:pPr>
              <w:rPr>
                <w:rFonts w:ascii="Arial" w:hAnsi="Arial" w:cs="Arial"/>
                <w:sz w:val="20"/>
                <w:szCs w:val="20"/>
              </w:rPr>
            </w:pPr>
            <w:r w:rsidRPr="00E21C60">
              <w:rPr>
                <w:rFonts w:ascii="Arial" w:hAnsi="Arial" w:cs="Arial"/>
                <w:sz w:val="20"/>
                <w:szCs w:val="20"/>
              </w:rPr>
              <w:t>Operačný program Životné prostredie</w:t>
            </w:r>
          </w:p>
        </w:tc>
      </w:tr>
      <w:tr w:rsidR="00DB54AC" w:rsidRPr="00E21C60" w14:paraId="147952FE" w14:textId="77777777" w:rsidTr="008A1902">
        <w:trPr>
          <w:trHeight w:val="284"/>
        </w:trPr>
        <w:tc>
          <w:tcPr>
            <w:tcW w:w="974" w:type="pct"/>
            <w:shd w:val="clear" w:color="auto" w:fill="auto"/>
            <w:vAlign w:val="center"/>
          </w:tcPr>
          <w:p w14:paraId="3A3CE414" w14:textId="77777777" w:rsidR="00DB54AC" w:rsidRPr="00E21C60" w:rsidRDefault="00DB54AC" w:rsidP="00123376">
            <w:pPr>
              <w:rPr>
                <w:rFonts w:ascii="Arial" w:hAnsi="Arial" w:cs="Arial"/>
                <w:sz w:val="20"/>
                <w:szCs w:val="20"/>
              </w:rPr>
            </w:pPr>
            <w:r w:rsidRPr="00E21C60">
              <w:rPr>
                <w:rFonts w:ascii="Arial" w:hAnsi="Arial" w:cs="Arial"/>
                <w:sz w:val="20"/>
                <w:szCs w:val="20"/>
              </w:rPr>
              <w:t>OOV</w:t>
            </w:r>
          </w:p>
        </w:tc>
        <w:tc>
          <w:tcPr>
            <w:tcW w:w="4026" w:type="pct"/>
            <w:shd w:val="clear" w:color="auto" w:fill="auto"/>
            <w:vAlign w:val="center"/>
          </w:tcPr>
          <w:p w14:paraId="4D06AF21" w14:textId="77777777" w:rsidR="00DB54AC" w:rsidRPr="00E21C60" w:rsidRDefault="00DB54AC" w:rsidP="00123376">
            <w:pPr>
              <w:rPr>
                <w:rFonts w:ascii="Arial" w:hAnsi="Arial" w:cs="Arial"/>
                <w:sz w:val="20"/>
                <w:szCs w:val="20"/>
              </w:rPr>
            </w:pPr>
            <w:r w:rsidRPr="00E21C60">
              <w:rPr>
                <w:rFonts w:ascii="Arial" w:hAnsi="Arial" w:cs="Arial"/>
                <w:sz w:val="20"/>
                <w:szCs w:val="20"/>
              </w:rPr>
              <w:t>Odhad očakávaných výdavkov</w:t>
            </w:r>
          </w:p>
        </w:tc>
      </w:tr>
      <w:tr w:rsidR="00627D71" w:rsidRPr="00E21C60" w14:paraId="1E4435B5" w14:textId="77777777" w:rsidTr="00510690">
        <w:trPr>
          <w:trHeight w:val="284"/>
        </w:trPr>
        <w:tc>
          <w:tcPr>
            <w:tcW w:w="974" w:type="pct"/>
            <w:shd w:val="clear" w:color="auto" w:fill="EAF1DD" w:themeFill="accent3" w:themeFillTint="33"/>
            <w:vAlign w:val="center"/>
          </w:tcPr>
          <w:p w14:paraId="0D719120" w14:textId="77777777" w:rsidR="00627D71" w:rsidRPr="00E21C60" w:rsidRDefault="00627D71" w:rsidP="00123376">
            <w:pPr>
              <w:rPr>
                <w:rFonts w:ascii="Arial" w:hAnsi="Arial" w:cs="Arial"/>
                <w:sz w:val="20"/>
                <w:szCs w:val="20"/>
              </w:rPr>
            </w:pPr>
            <w:r>
              <w:rPr>
                <w:rFonts w:ascii="Arial" w:hAnsi="Arial" w:cs="Arial"/>
                <w:sz w:val="20"/>
                <w:szCs w:val="20"/>
              </w:rPr>
              <w:t>OP TP</w:t>
            </w:r>
          </w:p>
        </w:tc>
        <w:tc>
          <w:tcPr>
            <w:tcW w:w="4026" w:type="pct"/>
            <w:shd w:val="clear" w:color="auto" w:fill="EAF1DD" w:themeFill="accent3" w:themeFillTint="33"/>
            <w:vAlign w:val="center"/>
          </w:tcPr>
          <w:p w14:paraId="58D92A9A" w14:textId="77777777" w:rsidR="00627D71" w:rsidRPr="00E21C60" w:rsidRDefault="00627D71" w:rsidP="00123376">
            <w:pPr>
              <w:rPr>
                <w:rFonts w:ascii="Arial" w:hAnsi="Arial" w:cs="Arial"/>
                <w:sz w:val="20"/>
                <w:szCs w:val="20"/>
              </w:rPr>
            </w:pPr>
            <w:r w:rsidRPr="00E21C60">
              <w:rPr>
                <w:rFonts w:ascii="Arial" w:hAnsi="Arial" w:cs="Arial"/>
                <w:sz w:val="20"/>
                <w:szCs w:val="20"/>
              </w:rPr>
              <w:t>Operačný program</w:t>
            </w:r>
            <w:r>
              <w:rPr>
                <w:rFonts w:ascii="Arial" w:hAnsi="Arial" w:cs="Arial"/>
                <w:sz w:val="20"/>
                <w:szCs w:val="20"/>
              </w:rPr>
              <w:t xml:space="preserve"> Technická pomoc</w:t>
            </w:r>
          </w:p>
        </w:tc>
      </w:tr>
      <w:tr w:rsidR="00627D71" w:rsidRPr="00E21C60" w14:paraId="060EF28C" w14:textId="77777777" w:rsidTr="008A1902">
        <w:trPr>
          <w:trHeight w:val="284"/>
        </w:trPr>
        <w:tc>
          <w:tcPr>
            <w:tcW w:w="974" w:type="pct"/>
            <w:shd w:val="clear" w:color="auto" w:fill="auto"/>
            <w:vAlign w:val="center"/>
          </w:tcPr>
          <w:p w14:paraId="39CD197A" w14:textId="77777777" w:rsidR="00627D71" w:rsidRDefault="00627D71" w:rsidP="00123376">
            <w:pPr>
              <w:rPr>
                <w:rFonts w:ascii="Arial" w:hAnsi="Arial" w:cs="Arial"/>
                <w:sz w:val="20"/>
                <w:szCs w:val="20"/>
              </w:rPr>
            </w:pPr>
            <w:r>
              <w:rPr>
                <w:rFonts w:ascii="Arial" w:hAnsi="Arial" w:cs="Arial"/>
                <w:sz w:val="20"/>
                <w:szCs w:val="20"/>
              </w:rPr>
              <w:t>OTP</w:t>
            </w:r>
          </w:p>
        </w:tc>
        <w:tc>
          <w:tcPr>
            <w:tcW w:w="4026" w:type="pct"/>
            <w:shd w:val="clear" w:color="auto" w:fill="auto"/>
            <w:vAlign w:val="center"/>
          </w:tcPr>
          <w:p w14:paraId="0C57240E" w14:textId="77777777" w:rsidR="00627D71" w:rsidRPr="00E21C60" w:rsidRDefault="00627D71" w:rsidP="00123376">
            <w:pPr>
              <w:rPr>
                <w:rFonts w:ascii="Arial" w:hAnsi="Arial" w:cs="Arial"/>
                <w:sz w:val="20"/>
                <w:szCs w:val="20"/>
              </w:rPr>
            </w:pPr>
            <w:r>
              <w:rPr>
                <w:rFonts w:ascii="Arial" w:hAnsi="Arial" w:cs="Arial"/>
                <w:sz w:val="20"/>
                <w:szCs w:val="20"/>
              </w:rPr>
              <w:t>Odbor technickej pomoci</w:t>
            </w:r>
          </w:p>
        </w:tc>
      </w:tr>
      <w:tr w:rsidR="00DB54AC" w:rsidRPr="00E21C60" w14:paraId="02234F15" w14:textId="77777777" w:rsidTr="00510690">
        <w:trPr>
          <w:trHeight w:val="284"/>
        </w:trPr>
        <w:tc>
          <w:tcPr>
            <w:tcW w:w="974" w:type="pct"/>
            <w:shd w:val="clear" w:color="auto" w:fill="EAF1DD" w:themeFill="accent3" w:themeFillTint="33"/>
            <w:vAlign w:val="center"/>
          </w:tcPr>
          <w:p w14:paraId="067BA6F3" w14:textId="77777777" w:rsidR="00DB54AC" w:rsidRPr="00E21C60" w:rsidRDefault="00DB54AC" w:rsidP="00123376">
            <w:pPr>
              <w:rPr>
                <w:rFonts w:ascii="Arial" w:hAnsi="Arial" w:cs="Arial"/>
                <w:sz w:val="20"/>
                <w:szCs w:val="20"/>
              </w:rPr>
            </w:pPr>
            <w:r w:rsidRPr="00E21C60">
              <w:rPr>
                <w:rFonts w:ascii="Arial" w:hAnsi="Arial" w:cs="Arial"/>
                <w:sz w:val="20"/>
                <w:szCs w:val="20"/>
              </w:rPr>
              <w:t>PJ</w:t>
            </w:r>
          </w:p>
        </w:tc>
        <w:tc>
          <w:tcPr>
            <w:tcW w:w="4026" w:type="pct"/>
            <w:shd w:val="clear" w:color="auto" w:fill="EAF1DD" w:themeFill="accent3" w:themeFillTint="33"/>
            <w:vAlign w:val="center"/>
          </w:tcPr>
          <w:p w14:paraId="50C073B2" w14:textId="77777777" w:rsidR="00DB54AC" w:rsidRPr="00E21C60" w:rsidRDefault="00DB54AC" w:rsidP="00123376">
            <w:pPr>
              <w:rPr>
                <w:rFonts w:ascii="Arial" w:hAnsi="Arial" w:cs="Arial"/>
                <w:sz w:val="20"/>
                <w:szCs w:val="20"/>
              </w:rPr>
            </w:pPr>
            <w:r w:rsidRPr="00E21C60">
              <w:rPr>
                <w:rFonts w:ascii="Arial" w:hAnsi="Arial" w:cs="Arial"/>
                <w:sz w:val="20"/>
                <w:szCs w:val="20"/>
              </w:rPr>
              <w:t>Platobná jednotka</w:t>
            </w:r>
          </w:p>
        </w:tc>
      </w:tr>
      <w:tr w:rsidR="00DB54AC" w:rsidRPr="00E21C60" w14:paraId="28003262" w14:textId="77777777" w:rsidTr="008A1902">
        <w:trPr>
          <w:trHeight w:val="284"/>
        </w:trPr>
        <w:tc>
          <w:tcPr>
            <w:tcW w:w="974" w:type="pct"/>
            <w:shd w:val="clear" w:color="auto" w:fill="auto"/>
            <w:vAlign w:val="center"/>
          </w:tcPr>
          <w:p w14:paraId="1F9D7CD2" w14:textId="77777777" w:rsidR="00DB54AC" w:rsidRPr="00E21C60" w:rsidRDefault="00DB54AC" w:rsidP="00123376">
            <w:pPr>
              <w:rPr>
                <w:rFonts w:ascii="Arial" w:hAnsi="Arial" w:cs="Arial"/>
                <w:sz w:val="20"/>
                <w:szCs w:val="20"/>
              </w:rPr>
            </w:pPr>
            <w:r w:rsidRPr="00E21C60">
              <w:rPr>
                <w:rFonts w:ascii="Arial" w:hAnsi="Arial" w:cs="Arial"/>
                <w:sz w:val="20"/>
                <w:szCs w:val="20"/>
              </w:rPr>
              <w:t>PO</w:t>
            </w:r>
          </w:p>
        </w:tc>
        <w:tc>
          <w:tcPr>
            <w:tcW w:w="4026" w:type="pct"/>
            <w:shd w:val="clear" w:color="auto" w:fill="auto"/>
            <w:vAlign w:val="center"/>
          </w:tcPr>
          <w:p w14:paraId="77CA53DD" w14:textId="77777777" w:rsidR="00DB54AC" w:rsidRPr="00E21C60" w:rsidRDefault="00040DFC" w:rsidP="00123376">
            <w:pPr>
              <w:rPr>
                <w:rFonts w:ascii="Arial" w:hAnsi="Arial" w:cs="Arial"/>
                <w:sz w:val="20"/>
                <w:szCs w:val="20"/>
              </w:rPr>
            </w:pPr>
            <w:r>
              <w:rPr>
                <w:rFonts w:ascii="Arial" w:hAnsi="Arial" w:cs="Arial"/>
                <w:sz w:val="20"/>
                <w:szCs w:val="20"/>
              </w:rPr>
              <w:t>Prioritná os</w:t>
            </w:r>
          </w:p>
        </w:tc>
      </w:tr>
      <w:tr w:rsidR="00DB54AC" w:rsidRPr="00E21C60" w14:paraId="2D7B5B56" w14:textId="77777777" w:rsidTr="00510690">
        <w:trPr>
          <w:trHeight w:val="284"/>
        </w:trPr>
        <w:tc>
          <w:tcPr>
            <w:tcW w:w="974" w:type="pct"/>
            <w:shd w:val="clear" w:color="auto" w:fill="EAF1DD" w:themeFill="accent3" w:themeFillTint="33"/>
            <w:vAlign w:val="center"/>
          </w:tcPr>
          <w:p w14:paraId="2A999F10" w14:textId="77777777" w:rsidR="00DB54AC" w:rsidRPr="00E21C60" w:rsidRDefault="00DB54AC" w:rsidP="00123376">
            <w:pPr>
              <w:rPr>
                <w:rFonts w:ascii="Arial" w:hAnsi="Arial" w:cs="Arial"/>
                <w:sz w:val="20"/>
                <w:szCs w:val="20"/>
              </w:rPr>
            </w:pPr>
            <w:r w:rsidRPr="00E21C60">
              <w:rPr>
                <w:rFonts w:ascii="Arial" w:hAnsi="Arial" w:cs="Arial"/>
                <w:sz w:val="20"/>
                <w:szCs w:val="20"/>
              </w:rPr>
              <w:t>POVAPSYS</w:t>
            </w:r>
          </w:p>
        </w:tc>
        <w:tc>
          <w:tcPr>
            <w:tcW w:w="4026" w:type="pct"/>
            <w:shd w:val="clear" w:color="auto" w:fill="EAF1DD" w:themeFill="accent3" w:themeFillTint="33"/>
            <w:vAlign w:val="center"/>
          </w:tcPr>
          <w:p w14:paraId="6277EAE6" w14:textId="77777777" w:rsidR="00DB54AC" w:rsidRPr="00E21C60" w:rsidRDefault="00DB54AC" w:rsidP="00123376">
            <w:pPr>
              <w:rPr>
                <w:rFonts w:ascii="Arial" w:hAnsi="Arial" w:cs="Arial"/>
                <w:sz w:val="20"/>
                <w:szCs w:val="20"/>
              </w:rPr>
            </w:pPr>
            <w:r w:rsidRPr="00E21C60">
              <w:rPr>
                <w:rFonts w:ascii="Arial" w:hAnsi="Arial" w:cs="Arial"/>
                <w:sz w:val="20"/>
                <w:szCs w:val="20"/>
              </w:rPr>
              <w:t>Povodňový varovný a predpovedný systém</w:t>
            </w:r>
          </w:p>
        </w:tc>
      </w:tr>
      <w:tr w:rsidR="00DB54AC" w:rsidRPr="00E21C60" w14:paraId="6894FA24" w14:textId="77777777" w:rsidTr="008A1902">
        <w:trPr>
          <w:trHeight w:val="284"/>
        </w:trPr>
        <w:tc>
          <w:tcPr>
            <w:tcW w:w="974" w:type="pct"/>
            <w:shd w:val="clear" w:color="auto" w:fill="auto"/>
            <w:vAlign w:val="center"/>
          </w:tcPr>
          <w:p w14:paraId="706BCDA7" w14:textId="77777777" w:rsidR="00DB54AC" w:rsidRPr="00E21C60" w:rsidRDefault="00DB54AC" w:rsidP="00123376">
            <w:pPr>
              <w:rPr>
                <w:rFonts w:ascii="Arial" w:hAnsi="Arial" w:cs="Arial"/>
                <w:sz w:val="20"/>
                <w:szCs w:val="20"/>
              </w:rPr>
            </w:pPr>
            <w:r w:rsidRPr="00E21C60">
              <w:rPr>
                <w:rFonts w:ascii="Arial" w:hAnsi="Arial" w:cs="Arial"/>
                <w:sz w:val="20"/>
                <w:szCs w:val="20"/>
              </w:rPr>
              <w:t>PRV</w:t>
            </w:r>
          </w:p>
        </w:tc>
        <w:tc>
          <w:tcPr>
            <w:tcW w:w="4026" w:type="pct"/>
            <w:shd w:val="clear" w:color="auto" w:fill="auto"/>
            <w:vAlign w:val="center"/>
          </w:tcPr>
          <w:p w14:paraId="72BD7095" w14:textId="0936E2BC" w:rsidR="00471F30" w:rsidRPr="00E21C60" w:rsidRDefault="00DB54AC" w:rsidP="00123376">
            <w:pPr>
              <w:rPr>
                <w:rFonts w:ascii="Arial" w:hAnsi="Arial" w:cs="Arial"/>
                <w:sz w:val="20"/>
                <w:szCs w:val="20"/>
              </w:rPr>
            </w:pPr>
            <w:r w:rsidRPr="00E21C60">
              <w:rPr>
                <w:rFonts w:ascii="Arial" w:hAnsi="Arial" w:cs="Arial"/>
                <w:sz w:val="20"/>
                <w:szCs w:val="20"/>
              </w:rPr>
              <w:t>Program rozvoja vidieka</w:t>
            </w:r>
          </w:p>
        </w:tc>
      </w:tr>
      <w:tr w:rsidR="00DB54AC" w:rsidRPr="00E21C60" w14:paraId="08438794" w14:textId="77777777" w:rsidTr="00510690">
        <w:trPr>
          <w:trHeight w:val="284"/>
        </w:trPr>
        <w:tc>
          <w:tcPr>
            <w:tcW w:w="974" w:type="pct"/>
            <w:shd w:val="clear" w:color="auto" w:fill="EAF1DD" w:themeFill="accent3" w:themeFillTint="33"/>
            <w:vAlign w:val="center"/>
          </w:tcPr>
          <w:p w14:paraId="364D1437" w14:textId="77777777" w:rsidR="00DB54AC" w:rsidRPr="00E21C60" w:rsidRDefault="00DB54AC" w:rsidP="00123376">
            <w:pPr>
              <w:rPr>
                <w:rFonts w:ascii="Arial" w:hAnsi="Arial" w:cs="Arial"/>
                <w:sz w:val="20"/>
                <w:szCs w:val="20"/>
              </w:rPr>
            </w:pPr>
            <w:r w:rsidRPr="00E21C60">
              <w:rPr>
                <w:rFonts w:ascii="Arial" w:hAnsi="Arial" w:cs="Arial"/>
                <w:sz w:val="20"/>
                <w:szCs w:val="20"/>
              </w:rPr>
              <w:t>PSH</w:t>
            </w:r>
          </w:p>
        </w:tc>
        <w:tc>
          <w:tcPr>
            <w:tcW w:w="4026" w:type="pct"/>
            <w:shd w:val="clear" w:color="auto" w:fill="EAF1DD" w:themeFill="accent3" w:themeFillTint="33"/>
            <w:vAlign w:val="center"/>
          </w:tcPr>
          <w:p w14:paraId="460D535A" w14:textId="77777777" w:rsidR="00DB54AC" w:rsidRPr="00E21C60" w:rsidRDefault="00DB54AC" w:rsidP="00123376">
            <w:pPr>
              <w:rPr>
                <w:rFonts w:ascii="Arial" w:hAnsi="Arial" w:cs="Arial"/>
                <w:sz w:val="20"/>
                <w:szCs w:val="20"/>
              </w:rPr>
            </w:pPr>
            <w:r w:rsidRPr="00E21C60">
              <w:rPr>
                <w:rFonts w:ascii="Arial" w:hAnsi="Arial" w:cs="Arial"/>
                <w:sz w:val="20"/>
                <w:szCs w:val="20"/>
              </w:rPr>
              <w:t>Plán strategických hodnotení</w:t>
            </w:r>
          </w:p>
        </w:tc>
      </w:tr>
      <w:tr w:rsidR="00DB54AC" w:rsidRPr="00E21C60" w14:paraId="576EB272" w14:textId="77777777" w:rsidTr="008A1902">
        <w:trPr>
          <w:trHeight w:val="284"/>
        </w:trPr>
        <w:tc>
          <w:tcPr>
            <w:tcW w:w="974" w:type="pct"/>
            <w:shd w:val="clear" w:color="auto" w:fill="auto"/>
            <w:vAlign w:val="center"/>
          </w:tcPr>
          <w:p w14:paraId="21B4F11D" w14:textId="77777777" w:rsidR="00DB54AC" w:rsidRPr="00E21C60" w:rsidRDefault="00DB54AC" w:rsidP="00123376">
            <w:pPr>
              <w:rPr>
                <w:rFonts w:ascii="Arial" w:hAnsi="Arial" w:cs="Arial"/>
                <w:sz w:val="20"/>
                <w:szCs w:val="20"/>
              </w:rPr>
            </w:pPr>
            <w:r w:rsidRPr="00E21C60">
              <w:rPr>
                <w:rFonts w:ascii="Arial" w:hAnsi="Arial" w:cs="Arial"/>
                <w:sz w:val="20"/>
                <w:szCs w:val="20"/>
              </w:rPr>
              <w:t>REPIS</w:t>
            </w:r>
          </w:p>
        </w:tc>
        <w:tc>
          <w:tcPr>
            <w:tcW w:w="4026" w:type="pct"/>
            <w:shd w:val="clear" w:color="auto" w:fill="auto"/>
            <w:vAlign w:val="center"/>
          </w:tcPr>
          <w:p w14:paraId="3592AFCA" w14:textId="77777777" w:rsidR="00DB54AC" w:rsidRPr="00E21C60" w:rsidRDefault="00DB54AC" w:rsidP="00123376">
            <w:pPr>
              <w:rPr>
                <w:rFonts w:ascii="Arial" w:hAnsi="Arial" w:cs="Arial"/>
                <w:sz w:val="20"/>
                <w:szCs w:val="20"/>
              </w:rPr>
            </w:pPr>
            <w:r w:rsidRPr="00E21C60">
              <w:rPr>
                <w:rFonts w:ascii="Arial" w:hAnsi="Arial" w:cs="Arial"/>
                <w:sz w:val="20"/>
                <w:szCs w:val="20"/>
              </w:rPr>
              <w:t>Regionálne environmentálne poradenské a informačné strediská</w:t>
            </w:r>
          </w:p>
        </w:tc>
      </w:tr>
      <w:tr w:rsidR="00DB54AC" w:rsidRPr="00E21C60" w14:paraId="21732F53" w14:textId="77777777" w:rsidTr="00510690">
        <w:trPr>
          <w:trHeight w:val="284"/>
        </w:trPr>
        <w:tc>
          <w:tcPr>
            <w:tcW w:w="974" w:type="pct"/>
            <w:shd w:val="clear" w:color="auto" w:fill="EAF1DD" w:themeFill="accent3" w:themeFillTint="33"/>
            <w:vAlign w:val="center"/>
          </w:tcPr>
          <w:p w14:paraId="4CC0A5FE" w14:textId="77777777" w:rsidR="00DB54AC" w:rsidRPr="00E21C60" w:rsidRDefault="00DB54AC" w:rsidP="00123376">
            <w:pPr>
              <w:rPr>
                <w:rFonts w:ascii="Arial" w:hAnsi="Arial" w:cs="Arial"/>
                <w:sz w:val="20"/>
                <w:szCs w:val="20"/>
              </w:rPr>
            </w:pPr>
            <w:r w:rsidRPr="00E21C60">
              <w:rPr>
                <w:rFonts w:ascii="Arial" w:hAnsi="Arial" w:cs="Arial"/>
                <w:sz w:val="20"/>
                <w:szCs w:val="20"/>
              </w:rPr>
              <w:t>RKS</w:t>
            </w:r>
          </w:p>
        </w:tc>
        <w:tc>
          <w:tcPr>
            <w:tcW w:w="4026" w:type="pct"/>
            <w:shd w:val="clear" w:color="auto" w:fill="EAF1DD" w:themeFill="accent3" w:themeFillTint="33"/>
            <w:vAlign w:val="center"/>
          </w:tcPr>
          <w:p w14:paraId="15ACCE4D" w14:textId="77777777" w:rsidR="00DB54AC" w:rsidRPr="00E21C60" w:rsidRDefault="00DB54AC" w:rsidP="00123376">
            <w:pPr>
              <w:rPr>
                <w:rFonts w:ascii="Arial" w:hAnsi="Arial" w:cs="Arial"/>
                <w:sz w:val="20"/>
                <w:szCs w:val="20"/>
              </w:rPr>
            </w:pPr>
            <w:r w:rsidRPr="00E21C60">
              <w:rPr>
                <w:rFonts w:ascii="Arial" w:hAnsi="Arial" w:cs="Arial"/>
                <w:sz w:val="20"/>
                <w:szCs w:val="20"/>
              </w:rPr>
              <w:t>Riadiaci a kontrolný systém</w:t>
            </w:r>
          </w:p>
        </w:tc>
      </w:tr>
      <w:tr w:rsidR="00471F30" w:rsidRPr="00E21C60" w14:paraId="1B4C0047" w14:textId="77777777" w:rsidTr="008A1902">
        <w:trPr>
          <w:trHeight w:val="284"/>
        </w:trPr>
        <w:tc>
          <w:tcPr>
            <w:tcW w:w="974" w:type="pct"/>
            <w:shd w:val="clear" w:color="auto" w:fill="auto"/>
            <w:vAlign w:val="center"/>
          </w:tcPr>
          <w:p w14:paraId="5AEB4457" w14:textId="34483B80" w:rsidR="00471F30" w:rsidRPr="00E21C60" w:rsidRDefault="00471F30" w:rsidP="00471F30">
            <w:pPr>
              <w:rPr>
                <w:rFonts w:ascii="Arial" w:hAnsi="Arial" w:cs="Arial"/>
                <w:sz w:val="20"/>
                <w:szCs w:val="20"/>
              </w:rPr>
            </w:pPr>
            <w:r>
              <w:rPr>
                <w:rFonts w:ascii="Arial" w:hAnsi="Arial" w:cs="Arial"/>
                <w:sz w:val="20"/>
                <w:szCs w:val="20"/>
              </w:rPr>
              <w:t>PSHP pre RP</w:t>
            </w:r>
          </w:p>
        </w:tc>
        <w:tc>
          <w:tcPr>
            <w:tcW w:w="4026" w:type="pct"/>
            <w:shd w:val="clear" w:color="auto" w:fill="auto"/>
            <w:vAlign w:val="center"/>
          </w:tcPr>
          <w:p w14:paraId="0EA9987F" w14:textId="521F73BE" w:rsidR="00471F30" w:rsidRPr="00E21C60" w:rsidRDefault="00471F30" w:rsidP="00471F30">
            <w:pPr>
              <w:rPr>
                <w:rFonts w:ascii="Arial" w:hAnsi="Arial" w:cs="Arial"/>
                <w:sz w:val="20"/>
                <w:szCs w:val="20"/>
              </w:rPr>
            </w:pPr>
            <w:r w:rsidRPr="00873F23">
              <w:rPr>
                <w:rFonts w:ascii="Arial" w:hAnsi="Arial" w:cs="Arial"/>
                <w:sz w:val="20"/>
                <w:szCs w:val="20"/>
              </w:rPr>
              <w:t>Pracovn</w:t>
            </w:r>
            <w:r>
              <w:rPr>
                <w:rFonts w:ascii="Arial" w:hAnsi="Arial" w:cs="Arial"/>
                <w:sz w:val="20"/>
                <w:szCs w:val="20"/>
              </w:rPr>
              <w:t>á</w:t>
            </w:r>
            <w:r w:rsidRPr="00873F23">
              <w:rPr>
                <w:rFonts w:ascii="Arial" w:hAnsi="Arial" w:cs="Arial"/>
                <w:sz w:val="20"/>
                <w:szCs w:val="20"/>
              </w:rPr>
              <w:t xml:space="preserve"> skup</w:t>
            </w:r>
            <w:r>
              <w:rPr>
                <w:rFonts w:ascii="Arial" w:hAnsi="Arial" w:cs="Arial"/>
                <w:sz w:val="20"/>
                <w:szCs w:val="20"/>
              </w:rPr>
              <w:t>ina</w:t>
            </w:r>
            <w:r w:rsidRPr="00873F23">
              <w:rPr>
                <w:rFonts w:ascii="Arial" w:hAnsi="Arial" w:cs="Arial"/>
                <w:sz w:val="20"/>
                <w:szCs w:val="20"/>
              </w:rPr>
              <w:t xml:space="preserve"> pre Horizontálny princíp rovnosť príležitostí </w:t>
            </w:r>
          </w:p>
        </w:tc>
      </w:tr>
      <w:tr w:rsidR="00471F30" w:rsidRPr="00E21C60" w14:paraId="08C397F0" w14:textId="77777777" w:rsidTr="00510690">
        <w:trPr>
          <w:trHeight w:val="284"/>
        </w:trPr>
        <w:tc>
          <w:tcPr>
            <w:tcW w:w="974" w:type="pct"/>
            <w:shd w:val="clear" w:color="auto" w:fill="EAF1DD" w:themeFill="accent3" w:themeFillTint="33"/>
            <w:vAlign w:val="center"/>
          </w:tcPr>
          <w:p w14:paraId="4DB369DA" w14:textId="1BA81C7D" w:rsidR="00471F30" w:rsidRPr="00E21C60" w:rsidRDefault="00471F30" w:rsidP="00471F30">
            <w:pPr>
              <w:rPr>
                <w:rFonts w:ascii="Arial" w:hAnsi="Arial" w:cs="Arial"/>
                <w:sz w:val="20"/>
                <w:szCs w:val="20"/>
              </w:rPr>
            </w:pPr>
            <w:r w:rsidRPr="00E21C60">
              <w:rPr>
                <w:rFonts w:ascii="Arial" w:hAnsi="Arial" w:cs="Arial"/>
                <w:sz w:val="20"/>
                <w:szCs w:val="20"/>
              </w:rPr>
              <w:t>RO</w:t>
            </w:r>
          </w:p>
        </w:tc>
        <w:tc>
          <w:tcPr>
            <w:tcW w:w="4026" w:type="pct"/>
            <w:shd w:val="clear" w:color="auto" w:fill="EAF1DD" w:themeFill="accent3" w:themeFillTint="33"/>
            <w:vAlign w:val="center"/>
          </w:tcPr>
          <w:p w14:paraId="76F0A3AA" w14:textId="1B59A06F" w:rsidR="00471F30" w:rsidRPr="00E21C60" w:rsidRDefault="00471F30" w:rsidP="00471F30">
            <w:pPr>
              <w:rPr>
                <w:rFonts w:ascii="Arial" w:hAnsi="Arial" w:cs="Arial"/>
                <w:sz w:val="20"/>
                <w:szCs w:val="20"/>
              </w:rPr>
            </w:pPr>
            <w:r w:rsidRPr="00E21C60">
              <w:rPr>
                <w:rFonts w:ascii="Arial" w:hAnsi="Arial" w:cs="Arial"/>
                <w:sz w:val="20"/>
                <w:szCs w:val="20"/>
              </w:rPr>
              <w:t>Riadiaci orgán</w:t>
            </w:r>
          </w:p>
        </w:tc>
      </w:tr>
      <w:tr w:rsidR="00471F30" w:rsidRPr="00E21C60" w14:paraId="67B7A692" w14:textId="77777777" w:rsidTr="008A1902">
        <w:trPr>
          <w:trHeight w:val="284"/>
        </w:trPr>
        <w:tc>
          <w:tcPr>
            <w:tcW w:w="974" w:type="pct"/>
            <w:shd w:val="clear" w:color="auto" w:fill="auto"/>
            <w:vAlign w:val="center"/>
          </w:tcPr>
          <w:p w14:paraId="52A88A4F" w14:textId="586C7E91" w:rsidR="00471F30" w:rsidRPr="00E21C60" w:rsidRDefault="00471F30" w:rsidP="00471F30">
            <w:pPr>
              <w:rPr>
                <w:rFonts w:ascii="Arial" w:hAnsi="Arial" w:cs="Arial"/>
                <w:sz w:val="20"/>
                <w:szCs w:val="20"/>
              </w:rPr>
            </w:pPr>
            <w:r>
              <w:rPr>
                <w:rFonts w:ascii="Arial" w:hAnsi="Arial" w:cs="Arial"/>
                <w:sz w:val="20"/>
                <w:szCs w:val="20"/>
              </w:rPr>
              <w:t>ROP</w:t>
            </w:r>
          </w:p>
        </w:tc>
        <w:tc>
          <w:tcPr>
            <w:tcW w:w="4026" w:type="pct"/>
            <w:shd w:val="clear" w:color="auto" w:fill="auto"/>
            <w:vAlign w:val="center"/>
          </w:tcPr>
          <w:p w14:paraId="26CED46A" w14:textId="55405C03" w:rsidR="00471F30" w:rsidRPr="00E21C60" w:rsidRDefault="00471F30" w:rsidP="00471F30">
            <w:pPr>
              <w:rPr>
                <w:rFonts w:ascii="Arial" w:hAnsi="Arial" w:cs="Arial"/>
                <w:sz w:val="20"/>
                <w:szCs w:val="20"/>
              </w:rPr>
            </w:pPr>
            <w:r>
              <w:rPr>
                <w:rFonts w:ascii="Arial" w:hAnsi="Arial" w:cs="Arial"/>
                <w:sz w:val="20"/>
                <w:szCs w:val="20"/>
              </w:rPr>
              <w:t>Regionálny operačný program</w:t>
            </w:r>
          </w:p>
        </w:tc>
      </w:tr>
      <w:tr w:rsidR="00471F30" w:rsidRPr="00E21C60" w14:paraId="31D8BF97" w14:textId="77777777" w:rsidTr="00510690">
        <w:trPr>
          <w:trHeight w:val="284"/>
        </w:trPr>
        <w:tc>
          <w:tcPr>
            <w:tcW w:w="974" w:type="pct"/>
            <w:shd w:val="clear" w:color="auto" w:fill="EAF1DD" w:themeFill="accent3" w:themeFillTint="33"/>
            <w:vAlign w:val="center"/>
          </w:tcPr>
          <w:p w14:paraId="0B7E147F" w14:textId="2116C90A" w:rsidR="00471F30" w:rsidRPr="00E21C60" w:rsidRDefault="00471F30" w:rsidP="00471F30">
            <w:pPr>
              <w:rPr>
                <w:rFonts w:ascii="Arial" w:hAnsi="Arial" w:cs="Arial"/>
                <w:sz w:val="20"/>
                <w:szCs w:val="20"/>
              </w:rPr>
            </w:pPr>
            <w:r w:rsidRPr="00E21C60">
              <w:rPr>
                <w:rFonts w:ascii="Arial" w:hAnsi="Arial" w:cs="Arial"/>
                <w:sz w:val="20"/>
                <w:szCs w:val="20"/>
              </w:rPr>
              <w:t>RSV</w:t>
            </w:r>
          </w:p>
        </w:tc>
        <w:tc>
          <w:tcPr>
            <w:tcW w:w="4026" w:type="pct"/>
            <w:shd w:val="clear" w:color="auto" w:fill="EAF1DD" w:themeFill="accent3" w:themeFillTint="33"/>
            <w:vAlign w:val="center"/>
          </w:tcPr>
          <w:p w14:paraId="7EE4FD5C" w14:textId="022B5855" w:rsidR="00471F30" w:rsidRPr="00E21C60" w:rsidRDefault="00471F30" w:rsidP="00471F30">
            <w:pPr>
              <w:rPr>
                <w:rFonts w:ascii="Arial" w:hAnsi="Arial" w:cs="Arial"/>
                <w:sz w:val="20"/>
                <w:szCs w:val="20"/>
              </w:rPr>
            </w:pPr>
            <w:r w:rsidRPr="00E21C60">
              <w:rPr>
                <w:rFonts w:ascii="Arial" w:hAnsi="Arial" w:cs="Arial"/>
                <w:sz w:val="20"/>
                <w:szCs w:val="20"/>
              </w:rPr>
              <w:t>Rámcová smernica o vodách</w:t>
            </w:r>
          </w:p>
        </w:tc>
      </w:tr>
      <w:tr w:rsidR="00471F30" w:rsidRPr="00E21C60" w14:paraId="0F67EBCF" w14:textId="77777777" w:rsidTr="008A1902">
        <w:trPr>
          <w:trHeight w:val="284"/>
        </w:trPr>
        <w:tc>
          <w:tcPr>
            <w:tcW w:w="974" w:type="pct"/>
            <w:shd w:val="clear" w:color="auto" w:fill="auto"/>
            <w:vAlign w:val="center"/>
          </w:tcPr>
          <w:p w14:paraId="633ABF6C" w14:textId="53E8643C" w:rsidR="00471F30" w:rsidRPr="00E21C60" w:rsidRDefault="00471F30" w:rsidP="00471F30">
            <w:pPr>
              <w:rPr>
                <w:rFonts w:ascii="Arial" w:hAnsi="Arial" w:cs="Arial"/>
                <w:sz w:val="20"/>
                <w:szCs w:val="20"/>
              </w:rPr>
            </w:pPr>
            <w:r w:rsidRPr="00E21C60">
              <w:rPr>
                <w:rFonts w:ascii="Arial" w:hAnsi="Arial" w:cs="Arial"/>
                <w:sz w:val="20"/>
                <w:szCs w:val="20"/>
              </w:rPr>
              <w:t>SAŽP</w:t>
            </w:r>
          </w:p>
        </w:tc>
        <w:tc>
          <w:tcPr>
            <w:tcW w:w="4026" w:type="pct"/>
            <w:shd w:val="clear" w:color="auto" w:fill="auto"/>
            <w:vAlign w:val="center"/>
          </w:tcPr>
          <w:p w14:paraId="5FCE7B95" w14:textId="155A23D9" w:rsidR="00471F30" w:rsidRPr="00E21C60" w:rsidRDefault="00471F30" w:rsidP="00471F30">
            <w:pPr>
              <w:rPr>
                <w:rFonts w:ascii="Arial" w:hAnsi="Arial" w:cs="Arial"/>
                <w:sz w:val="20"/>
                <w:szCs w:val="20"/>
              </w:rPr>
            </w:pPr>
            <w:r w:rsidRPr="00E21C60">
              <w:rPr>
                <w:rFonts w:ascii="Arial" w:hAnsi="Arial" w:cs="Arial"/>
                <w:sz w:val="20"/>
                <w:szCs w:val="20"/>
              </w:rPr>
              <w:t>Slovenská agentúra životného prostredia</w:t>
            </w:r>
          </w:p>
        </w:tc>
      </w:tr>
      <w:tr w:rsidR="00471F30" w:rsidRPr="00E21C60" w14:paraId="15445498" w14:textId="77777777" w:rsidTr="00510690">
        <w:trPr>
          <w:trHeight w:val="284"/>
        </w:trPr>
        <w:tc>
          <w:tcPr>
            <w:tcW w:w="974" w:type="pct"/>
            <w:shd w:val="clear" w:color="auto" w:fill="EAF1DD" w:themeFill="accent3" w:themeFillTint="33"/>
            <w:vAlign w:val="center"/>
          </w:tcPr>
          <w:p w14:paraId="20CE0E29" w14:textId="3E1E0257" w:rsidR="00471F30" w:rsidRPr="00E21C60" w:rsidRDefault="00471F30" w:rsidP="00471F30">
            <w:pPr>
              <w:rPr>
                <w:rFonts w:ascii="Arial" w:hAnsi="Arial" w:cs="Arial"/>
                <w:sz w:val="20"/>
                <w:szCs w:val="20"/>
              </w:rPr>
            </w:pPr>
            <w:r w:rsidRPr="00E21C60">
              <w:rPr>
                <w:rFonts w:ascii="Arial" w:hAnsi="Arial" w:cs="Arial"/>
                <w:sz w:val="20"/>
                <w:szCs w:val="20"/>
              </w:rPr>
              <w:t>SEA</w:t>
            </w:r>
          </w:p>
        </w:tc>
        <w:tc>
          <w:tcPr>
            <w:tcW w:w="4026" w:type="pct"/>
            <w:shd w:val="clear" w:color="auto" w:fill="EAF1DD" w:themeFill="accent3" w:themeFillTint="33"/>
            <w:vAlign w:val="center"/>
          </w:tcPr>
          <w:p w14:paraId="1C0209F2" w14:textId="204C9A86" w:rsidR="00471F30" w:rsidRPr="00E21C60" w:rsidRDefault="00471F30" w:rsidP="00471F30">
            <w:pPr>
              <w:rPr>
                <w:rFonts w:ascii="Arial" w:hAnsi="Arial" w:cs="Arial"/>
                <w:sz w:val="20"/>
                <w:szCs w:val="20"/>
              </w:rPr>
            </w:pPr>
            <w:r w:rsidRPr="00E21C60">
              <w:rPr>
                <w:rFonts w:ascii="Arial" w:hAnsi="Arial" w:cs="Arial"/>
                <w:sz w:val="20"/>
                <w:szCs w:val="20"/>
              </w:rPr>
              <w:t>Strategické hodnotenie životného prostredia</w:t>
            </w:r>
          </w:p>
        </w:tc>
      </w:tr>
      <w:tr w:rsidR="00471F30" w:rsidRPr="00E21C60" w14:paraId="2F65BB0C" w14:textId="77777777" w:rsidTr="008A1902">
        <w:trPr>
          <w:trHeight w:val="284"/>
        </w:trPr>
        <w:tc>
          <w:tcPr>
            <w:tcW w:w="974" w:type="pct"/>
            <w:shd w:val="clear" w:color="auto" w:fill="auto"/>
            <w:vAlign w:val="center"/>
          </w:tcPr>
          <w:p w14:paraId="796E1039" w14:textId="35D0D521" w:rsidR="00471F30" w:rsidRPr="00E21C60" w:rsidRDefault="00471F30" w:rsidP="00471F30">
            <w:pPr>
              <w:rPr>
                <w:rFonts w:ascii="Arial" w:hAnsi="Arial" w:cs="Arial"/>
                <w:sz w:val="20"/>
                <w:szCs w:val="20"/>
              </w:rPr>
            </w:pPr>
            <w:r>
              <w:rPr>
                <w:rFonts w:ascii="Arial" w:hAnsi="Arial" w:cs="Arial"/>
                <w:sz w:val="20"/>
                <w:szCs w:val="20"/>
              </w:rPr>
              <w:t>SEPP</w:t>
            </w:r>
          </w:p>
        </w:tc>
        <w:tc>
          <w:tcPr>
            <w:tcW w:w="4026" w:type="pct"/>
            <w:shd w:val="clear" w:color="auto" w:fill="auto"/>
            <w:vAlign w:val="center"/>
          </w:tcPr>
          <w:p w14:paraId="0E716614" w14:textId="278D33A6" w:rsidR="00471F30" w:rsidRPr="00E21C60" w:rsidRDefault="00471F30" w:rsidP="00471F30">
            <w:pPr>
              <w:rPr>
                <w:rFonts w:ascii="Arial" w:hAnsi="Arial" w:cs="Arial"/>
                <w:sz w:val="20"/>
                <w:szCs w:val="20"/>
              </w:rPr>
            </w:pPr>
            <w:r>
              <w:rPr>
                <w:rFonts w:ascii="Arial" w:hAnsi="Arial" w:cs="Arial"/>
                <w:sz w:val="20"/>
                <w:szCs w:val="20"/>
              </w:rPr>
              <w:t>Sekcia environmentálnych programov a projektov</w:t>
            </w:r>
          </w:p>
        </w:tc>
      </w:tr>
      <w:tr w:rsidR="00471F30" w:rsidRPr="00E21C60" w14:paraId="0BB09FFB" w14:textId="77777777" w:rsidTr="00510690">
        <w:trPr>
          <w:trHeight w:val="284"/>
        </w:trPr>
        <w:tc>
          <w:tcPr>
            <w:tcW w:w="974" w:type="pct"/>
            <w:shd w:val="clear" w:color="auto" w:fill="EAF1DD" w:themeFill="accent3" w:themeFillTint="33"/>
            <w:vAlign w:val="center"/>
          </w:tcPr>
          <w:p w14:paraId="6CC59486" w14:textId="6F0326EB" w:rsidR="00471F30" w:rsidRPr="00E21C60" w:rsidRDefault="00471F30" w:rsidP="00471F30">
            <w:pPr>
              <w:rPr>
                <w:rFonts w:ascii="Arial" w:hAnsi="Arial" w:cs="Arial"/>
                <w:sz w:val="20"/>
                <w:szCs w:val="20"/>
              </w:rPr>
            </w:pPr>
            <w:r w:rsidRPr="00E21C60">
              <w:rPr>
                <w:rFonts w:ascii="Arial" w:hAnsi="Arial" w:cs="Arial"/>
                <w:sz w:val="20"/>
                <w:szCs w:val="20"/>
              </w:rPr>
              <w:t>SHMÚ</w:t>
            </w:r>
          </w:p>
        </w:tc>
        <w:tc>
          <w:tcPr>
            <w:tcW w:w="4026" w:type="pct"/>
            <w:shd w:val="clear" w:color="auto" w:fill="EAF1DD" w:themeFill="accent3" w:themeFillTint="33"/>
            <w:vAlign w:val="center"/>
          </w:tcPr>
          <w:p w14:paraId="72DFB85C" w14:textId="75D13E31" w:rsidR="00471F30" w:rsidRPr="00E21C60" w:rsidRDefault="00471F30" w:rsidP="00471F30">
            <w:pPr>
              <w:rPr>
                <w:rFonts w:ascii="Arial" w:hAnsi="Arial" w:cs="Arial"/>
                <w:sz w:val="20"/>
                <w:szCs w:val="20"/>
              </w:rPr>
            </w:pPr>
            <w:r w:rsidRPr="00E21C60">
              <w:rPr>
                <w:rFonts w:ascii="Arial" w:hAnsi="Arial" w:cs="Arial"/>
                <w:sz w:val="20"/>
                <w:szCs w:val="20"/>
              </w:rPr>
              <w:t>Slovenský hydrometeorologický ústav</w:t>
            </w:r>
          </w:p>
        </w:tc>
      </w:tr>
      <w:tr w:rsidR="00471F30" w:rsidRPr="00E21C60" w14:paraId="6B7CE927" w14:textId="77777777" w:rsidTr="008A1902">
        <w:trPr>
          <w:trHeight w:val="284"/>
        </w:trPr>
        <w:tc>
          <w:tcPr>
            <w:tcW w:w="974" w:type="pct"/>
            <w:shd w:val="clear" w:color="auto" w:fill="auto"/>
            <w:vAlign w:val="center"/>
          </w:tcPr>
          <w:p w14:paraId="11F60BB8" w14:textId="774BC25A" w:rsidR="00471F30" w:rsidRPr="00E21C60" w:rsidRDefault="00471F30" w:rsidP="00471F30">
            <w:pPr>
              <w:rPr>
                <w:rFonts w:ascii="Arial" w:hAnsi="Arial" w:cs="Arial"/>
                <w:sz w:val="20"/>
                <w:szCs w:val="20"/>
              </w:rPr>
            </w:pPr>
            <w:r w:rsidRPr="00E21C60">
              <w:rPr>
                <w:rFonts w:ascii="Arial" w:hAnsi="Arial" w:cs="Arial"/>
                <w:sz w:val="20"/>
                <w:szCs w:val="20"/>
              </w:rPr>
              <w:t>SKI HP</w:t>
            </w:r>
          </w:p>
        </w:tc>
        <w:tc>
          <w:tcPr>
            <w:tcW w:w="4026" w:type="pct"/>
            <w:shd w:val="clear" w:color="auto" w:fill="auto"/>
            <w:vAlign w:val="center"/>
          </w:tcPr>
          <w:p w14:paraId="272C59C7" w14:textId="306BEDE8" w:rsidR="00471F30" w:rsidRPr="00E21C60" w:rsidRDefault="00471F30" w:rsidP="00471F30">
            <w:pPr>
              <w:rPr>
                <w:rFonts w:ascii="Arial" w:hAnsi="Arial" w:cs="Arial"/>
                <w:sz w:val="20"/>
                <w:szCs w:val="20"/>
              </w:rPr>
            </w:pPr>
            <w:r w:rsidRPr="00E21C60">
              <w:rPr>
                <w:rFonts w:ascii="Arial" w:hAnsi="Arial" w:cs="Arial"/>
                <w:sz w:val="20"/>
                <w:szCs w:val="20"/>
              </w:rPr>
              <w:t>Systém koordinácie a implementácie horizontálnej priority</w:t>
            </w:r>
          </w:p>
        </w:tc>
      </w:tr>
      <w:tr w:rsidR="00471F30" w:rsidRPr="00E21C60" w14:paraId="00285020" w14:textId="77777777" w:rsidTr="00510690">
        <w:trPr>
          <w:trHeight w:val="284"/>
        </w:trPr>
        <w:tc>
          <w:tcPr>
            <w:tcW w:w="974" w:type="pct"/>
            <w:shd w:val="clear" w:color="auto" w:fill="EAF1DD" w:themeFill="accent3" w:themeFillTint="33"/>
            <w:vAlign w:val="center"/>
          </w:tcPr>
          <w:p w14:paraId="32097069" w14:textId="3792B6D2" w:rsidR="00471F30" w:rsidRPr="00E21C60" w:rsidRDefault="00471F30" w:rsidP="00471F30">
            <w:pPr>
              <w:rPr>
                <w:rFonts w:ascii="Arial" w:hAnsi="Arial" w:cs="Arial"/>
                <w:sz w:val="20"/>
                <w:szCs w:val="20"/>
              </w:rPr>
            </w:pPr>
            <w:r w:rsidRPr="00E21C60">
              <w:rPr>
                <w:rFonts w:ascii="Arial" w:hAnsi="Arial" w:cs="Arial"/>
                <w:sz w:val="20"/>
                <w:szCs w:val="20"/>
              </w:rPr>
              <w:t>SORO</w:t>
            </w:r>
          </w:p>
        </w:tc>
        <w:tc>
          <w:tcPr>
            <w:tcW w:w="4026" w:type="pct"/>
            <w:shd w:val="clear" w:color="auto" w:fill="EAF1DD" w:themeFill="accent3" w:themeFillTint="33"/>
            <w:vAlign w:val="center"/>
          </w:tcPr>
          <w:p w14:paraId="2F2A2DB5" w14:textId="127C7274" w:rsidR="00471F30" w:rsidRPr="00E21C60" w:rsidRDefault="00471F30" w:rsidP="00471F30">
            <w:pPr>
              <w:rPr>
                <w:rFonts w:ascii="Arial" w:hAnsi="Arial" w:cs="Arial"/>
                <w:sz w:val="20"/>
                <w:szCs w:val="20"/>
              </w:rPr>
            </w:pPr>
            <w:r w:rsidRPr="00E21C60">
              <w:rPr>
                <w:rFonts w:ascii="Arial" w:hAnsi="Arial" w:cs="Arial"/>
                <w:sz w:val="20"/>
                <w:szCs w:val="20"/>
              </w:rPr>
              <w:t>Sprostredkovateľský orgán pod riadiacim orgánom</w:t>
            </w:r>
          </w:p>
        </w:tc>
      </w:tr>
      <w:tr w:rsidR="00471F30" w:rsidRPr="00E21C60" w14:paraId="1DEF5044" w14:textId="77777777" w:rsidTr="008A1902">
        <w:trPr>
          <w:trHeight w:val="284"/>
        </w:trPr>
        <w:tc>
          <w:tcPr>
            <w:tcW w:w="974" w:type="pct"/>
            <w:shd w:val="clear" w:color="auto" w:fill="auto"/>
            <w:vAlign w:val="center"/>
          </w:tcPr>
          <w:p w14:paraId="25968729" w14:textId="4B3F8FA7" w:rsidR="00471F30" w:rsidRPr="00E21C60" w:rsidRDefault="00471F30" w:rsidP="00471F30">
            <w:pPr>
              <w:rPr>
                <w:rFonts w:ascii="Arial" w:hAnsi="Arial" w:cs="Arial"/>
                <w:sz w:val="20"/>
                <w:szCs w:val="20"/>
              </w:rPr>
            </w:pPr>
            <w:r w:rsidRPr="00E21C60">
              <w:rPr>
                <w:rFonts w:ascii="Arial" w:hAnsi="Arial" w:cs="Arial"/>
                <w:sz w:val="20"/>
                <w:szCs w:val="20"/>
              </w:rPr>
              <w:t>SŽP</w:t>
            </w:r>
          </w:p>
        </w:tc>
        <w:tc>
          <w:tcPr>
            <w:tcW w:w="4026" w:type="pct"/>
            <w:shd w:val="clear" w:color="auto" w:fill="auto"/>
            <w:vAlign w:val="center"/>
          </w:tcPr>
          <w:p w14:paraId="1ACBF7D4" w14:textId="47A5EA88" w:rsidR="00471F30" w:rsidRPr="00E21C60" w:rsidRDefault="00471F30" w:rsidP="00471F30">
            <w:pPr>
              <w:rPr>
                <w:rFonts w:ascii="Arial" w:hAnsi="Arial" w:cs="Arial"/>
                <w:sz w:val="20"/>
                <w:szCs w:val="20"/>
              </w:rPr>
            </w:pPr>
            <w:r w:rsidRPr="00E21C60">
              <w:rPr>
                <w:rFonts w:ascii="Arial" w:hAnsi="Arial" w:cs="Arial"/>
                <w:sz w:val="20"/>
                <w:szCs w:val="20"/>
              </w:rPr>
              <w:t>Súhrnná žiadosť o platbu</w:t>
            </w:r>
          </w:p>
        </w:tc>
      </w:tr>
      <w:tr w:rsidR="00471F30" w:rsidRPr="00E21C60" w14:paraId="1765FAED" w14:textId="77777777" w:rsidTr="00510690">
        <w:trPr>
          <w:trHeight w:val="284"/>
        </w:trPr>
        <w:tc>
          <w:tcPr>
            <w:tcW w:w="974" w:type="pct"/>
            <w:shd w:val="clear" w:color="auto" w:fill="EAF1DD" w:themeFill="accent3" w:themeFillTint="33"/>
            <w:vAlign w:val="center"/>
          </w:tcPr>
          <w:p w14:paraId="00E708CA" w14:textId="43233514" w:rsidR="00471F30" w:rsidRPr="00E21C60" w:rsidRDefault="00471F30" w:rsidP="00471F30">
            <w:pPr>
              <w:rPr>
                <w:rFonts w:ascii="Arial" w:hAnsi="Arial" w:cs="Arial"/>
                <w:sz w:val="20"/>
                <w:szCs w:val="20"/>
              </w:rPr>
            </w:pPr>
            <w:r w:rsidRPr="00E21C60">
              <w:rPr>
                <w:rFonts w:ascii="Arial" w:hAnsi="Arial" w:cs="Arial"/>
                <w:sz w:val="20"/>
                <w:szCs w:val="20"/>
              </w:rPr>
              <w:t>ŠF</w:t>
            </w:r>
          </w:p>
        </w:tc>
        <w:tc>
          <w:tcPr>
            <w:tcW w:w="4026" w:type="pct"/>
            <w:shd w:val="clear" w:color="auto" w:fill="EAF1DD" w:themeFill="accent3" w:themeFillTint="33"/>
            <w:vAlign w:val="center"/>
          </w:tcPr>
          <w:p w14:paraId="3A48D6D2" w14:textId="38B819A8" w:rsidR="00471F30" w:rsidRPr="00E21C60" w:rsidRDefault="00471F30" w:rsidP="00471F30">
            <w:pPr>
              <w:rPr>
                <w:rFonts w:ascii="Arial" w:hAnsi="Arial" w:cs="Arial"/>
                <w:sz w:val="20"/>
                <w:szCs w:val="20"/>
              </w:rPr>
            </w:pPr>
            <w:r w:rsidRPr="00E21C60">
              <w:rPr>
                <w:rFonts w:ascii="Arial" w:hAnsi="Arial" w:cs="Arial"/>
                <w:sz w:val="20"/>
                <w:szCs w:val="20"/>
              </w:rPr>
              <w:t>Štrukturálne fondy</w:t>
            </w:r>
          </w:p>
        </w:tc>
      </w:tr>
      <w:tr w:rsidR="00471F30" w:rsidRPr="00E21C60" w14:paraId="21B0F423" w14:textId="77777777" w:rsidTr="008A1902">
        <w:trPr>
          <w:trHeight w:val="284"/>
        </w:trPr>
        <w:tc>
          <w:tcPr>
            <w:tcW w:w="974" w:type="pct"/>
            <w:shd w:val="clear" w:color="auto" w:fill="auto"/>
            <w:vAlign w:val="center"/>
          </w:tcPr>
          <w:p w14:paraId="3E5823B9" w14:textId="09BD1043" w:rsidR="00471F30" w:rsidRPr="00E21C60" w:rsidRDefault="00471F30" w:rsidP="00471F30">
            <w:pPr>
              <w:rPr>
                <w:rFonts w:ascii="Arial" w:hAnsi="Arial" w:cs="Arial"/>
                <w:sz w:val="20"/>
                <w:szCs w:val="20"/>
              </w:rPr>
            </w:pPr>
            <w:r w:rsidRPr="00E21C60">
              <w:rPr>
                <w:rFonts w:ascii="Arial" w:hAnsi="Arial" w:cs="Arial"/>
                <w:sz w:val="20"/>
                <w:szCs w:val="20"/>
              </w:rPr>
              <w:t>ŠFM</w:t>
            </w:r>
          </w:p>
        </w:tc>
        <w:tc>
          <w:tcPr>
            <w:tcW w:w="4026" w:type="pct"/>
            <w:shd w:val="clear" w:color="auto" w:fill="auto"/>
            <w:vAlign w:val="center"/>
          </w:tcPr>
          <w:p w14:paraId="565F50F0" w14:textId="35257FBB" w:rsidR="00471F30" w:rsidRPr="00E21C60" w:rsidRDefault="00471F30" w:rsidP="00471F30">
            <w:pPr>
              <w:rPr>
                <w:rFonts w:ascii="Arial" w:hAnsi="Arial" w:cs="Arial"/>
                <w:sz w:val="20"/>
                <w:szCs w:val="20"/>
              </w:rPr>
            </w:pPr>
            <w:r w:rsidRPr="00E21C60">
              <w:rPr>
                <w:rFonts w:ascii="Arial" w:hAnsi="Arial" w:cs="Arial"/>
                <w:sz w:val="20"/>
                <w:szCs w:val="20"/>
              </w:rPr>
              <w:t>Švajčiarsky finančný mechanizmus</w:t>
            </w:r>
          </w:p>
        </w:tc>
      </w:tr>
      <w:tr w:rsidR="00471F30" w:rsidRPr="00E21C60" w14:paraId="4437FC71" w14:textId="77777777" w:rsidTr="00510690">
        <w:trPr>
          <w:trHeight w:val="284"/>
        </w:trPr>
        <w:tc>
          <w:tcPr>
            <w:tcW w:w="974" w:type="pct"/>
            <w:shd w:val="clear" w:color="auto" w:fill="EAF1DD" w:themeFill="accent3" w:themeFillTint="33"/>
            <w:vAlign w:val="center"/>
          </w:tcPr>
          <w:p w14:paraId="1C929A3D" w14:textId="7AA1F4E8" w:rsidR="00471F30" w:rsidRPr="00E21C60" w:rsidRDefault="00471F30" w:rsidP="00471F30">
            <w:pPr>
              <w:rPr>
                <w:rFonts w:ascii="Arial" w:hAnsi="Arial" w:cs="Arial"/>
                <w:sz w:val="20"/>
                <w:szCs w:val="20"/>
              </w:rPr>
            </w:pPr>
            <w:r w:rsidRPr="00E21C60">
              <w:rPr>
                <w:rFonts w:ascii="Arial" w:hAnsi="Arial" w:cs="Arial"/>
                <w:sz w:val="20"/>
                <w:szCs w:val="20"/>
              </w:rPr>
              <w:t>ŠP</w:t>
            </w:r>
          </w:p>
        </w:tc>
        <w:tc>
          <w:tcPr>
            <w:tcW w:w="4026" w:type="pct"/>
            <w:shd w:val="clear" w:color="auto" w:fill="EAF1DD" w:themeFill="accent3" w:themeFillTint="33"/>
            <w:vAlign w:val="center"/>
          </w:tcPr>
          <w:p w14:paraId="3F33E07D" w14:textId="323D6F87" w:rsidR="00471F30" w:rsidRPr="00E21C60" w:rsidRDefault="00471F30" w:rsidP="00471F30">
            <w:pPr>
              <w:rPr>
                <w:rFonts w:ascii="Arial" w:hAnsi="Arial" w:cs="Arial"/>
                <w:sz w:val="20"/>
                <w:szCs w:val="20"/>
              </w:rPr>
            </w:pPr>
            <w:r w:rsidRPr="00E21C60">
              <w:rPr>
                <w:rFonts w:ascii="Arial" w:hAnsi="Arial" w:cs="Arial"/>
                <w:sz w:val="20"/>
                <w:szCs w:val="20"/>
              </w:rPr>
              <w:t>Štátna pomoc</w:t>
            </w:r>
          </w:p>
        </w:tc>
      </w:tr>
      <w:tr w:rsidR="00471F30" w:rsidRPr="00E21C60" w14:paraId="433D1951" w14:textId="77777777" w:rsidTr="008A1902">
        <w:trPr>
          <w:trHeight w:val="284"/>
        </w:trPr>
        <w:tc>
          <w:tcPr>
            <w:tcW w:w="974" w:type="pct"/>
            <w:shd w:val="clear" w:color="auto" w:fill="auto"/>
            <w:vAlign w:val="center"/>
          </w:tcPr>
          <w:p w14:paraId="32DC5D82" w14:textId="79EC62A2" w:rsidR="00471F30" w:rsidRPr="00E21C60" w:rsidRDefault="00471F30" w:rsidP="00471F30">
            <w:pPr>
              <w:rPr>
                <w:rFonts w:ascii="Arial" w:hAnsi="Arial" w:cs="Arial"/>
                <w:sz w:val="20"/>
                <w:szCs w:val="20"/>
              </w:rPr>
            </w:pPr>
            <w:r w:rsidRPr="00E21C60">
              <w:rPr>
                <w:rFonts w:ascii="Arial" w:hAnsi="Arial" w:cs="Arial"/>
                <w:sz w:val="20"/>
                <w:szCs w:val="20"/>
              </w:rPr>
              <w:t>ŠR</w:t>
            </w:r>
          </w:p>
        </w:tc>
        <w:tc>
          <w:tcPr>
            <w:tcW w:w="4026" w:type="pct"/>
            <w:shd w:val="clear" w:color="auto" w:fill="auto"/>
            <w:vAlign w:val="center"/>
          </w:tcPr>
          <w:p w14:paraId="4AFC11A1" w14:textId="7C90E3D3" w:rsidR="00471F30" w:rsidRPr="00E21C60" w:rsidRDefault="00471F30" w:rsidP="00471F30">
            <w:pPr>
              <w:rPr>
                <w:rFonts w:ascii="Arial" w:hAnsi="Arial" w:cs="Arial"/>
                <w:sz w:val="20"/>
                <w:szCs w:val="20"/>
              </w:rPr>
            </w:pPr>
            <w:r w:rsidRPr="00E21C60">
              <w:rPr>
                <w:rFonts w:ascii="Arial" w:hAnsi="Arial" w:cs="Arial"/>
                <w:sz w:val="20"/>
                <w:szCs w:val="20"/>
              </w:rPr>
              <w:t>Štátny rozpočet</w:t>
            </w:r>
          </w:p>
        </w:tc>
      </w:tr>
      <w:tr w:rsidR="00471F30" w:rsidRPr="00E21C60" w14:paraId="5E960A52" w14:textId="77777777" w:rsidTr="00510690">
        <w:trPr>
          <w:trHeight w:val="284"/>
        </w:trPr>
        <w:tc>
          <w:tcPr>
            <w:tcW w:w="974" w:type="pct"/>
            <w:shd w:val="clear" w:color="auto" w:fill="EAF1DD" w:themeFill="accent3" w:themeFillTint="33"/>
            <w:vAlign w:val="center"/>
          </w:tcPr>
          <w:p w14:paraId="1A010B60" w14:textId="5D8102F9" w:rsidR="00471F30" w:rsidRPr="00E21C60" w:rsidRDefault="00471F30" w:rsidP="00471F30">
            <w:pPr>
              <w:rPr>
                <w:rFonts w:ascii="Arial" w:hAnsi="Arial" w:cs="Arial"/>
                <w:sz w:val="20"/>
                <w:szCs w:val="20"/>
              </w:rPr>
            </w:pPr>
            <w:r w:rsidRPr="00E21C60">
              <w:rPr>
                <w:rFonts w:ascii="Arial" w:hAnsi="Arial" w:cs="Arial"/>
                <w:sz w:val="20"/>
                <w:szCs w:val="20"/>
              </w:rPr>
              <w:t>TP</w:t>
            </w:r>
          </w:p>
        </w:tc>
        <w:tc>
          <w:tcPr>
            <w:tcW w:w="4026" w:type="pct"/>
            <w:shd w:val="clear" w:color="auto" w:fill="EAF1DD" w:themeFill="accent3" w:themeFillTint="33"/>
            <w:vAlign w:val="center"/>
          </w:tcPr>
          <w:p w14:paraId="351E1846" w14:textId="15690840" w:rsidR="00471F30" w:rsidRPr="00E21C60" w:rsidRDefault="00471F30" w:rsidP="00471F30">
            <w:pPr>
              <w:rPr>
                <w:rFonts w:ascii="Arial" w:hAnsi="Arial" w:cs="Arial"/>
                <w:sz w:val="20"/>
                <w:szCs w:val="20"/>
              </w:rPr>
            </w:pPr>
            <w:r w:rsidRPr="00E21C60">
              <w:rPr>
                <w:rFonts w:ascii="Arial" w:hAnsi="Arial" w:cs="Arial"/>
                <w:sz w:val="20"/>
                <w:szCs w:val="20"/>
              </w:rPr>
              <w:t>Technická pomoc</w:t>
            </w:r>
          </w:p>
        </w:tc>
      </w:tr>
      <w:tr w:rsidR="00471F30" w:rsidRPr="00E21C60" w14:paraId="633BC290" w14:textId="77777777" w:rsidTr="008A1902">
        <w:trPr>
          <w:trHeight w:val="284"/>
        </w:trPr>
        <w:tc>
          <w:tcPr>
            <w:tcW w:w="974" w:type="pct"/>
            <w:shd w:val="clear" w:color="auto" w:fill="auto"/>
            <w:vAlign w:val="center"/>
          </w:tcPr>
          <w:p w14:paraId="3D16E446" w14:textId="796E37AB" w:rsidR="00471F30" w:rsidRPr="00E21C60" w:rsidRDefault="00471F30" w:rsidP="00471F30">
            <w:pPr>
              <w:rPr>
                <w:rFonts w:ascii="Arial" w:hAnsi="Arial" w:cs="Arial"/>
                <w:sz w:val="20"/>
                <w:szCs w:val="20"/>
              </w:rPr>
            </w:pPr>
            <w:r w:rsidRPr="00E21C60">
              <w:rPr>
                <w:rFonts w:ascii="Arial" w:hAnsi="Arial" w:cs="Arial"/>
                <w:sz w:val="20"/>
                <w:szCs w:val="20"/>
              </w:rPr>
              <w:t>ÚSVRK</w:t>
            </w:r>
          </w:p>
        </w:tc>
        <w:tc>
          <w:tcPr>
            <w:tcW w:w="4026" w:type="pct"/>
            <w:shd w:val="clear" w:color="auto" w:fill="auto"/>
            <w:vAlign w:val="center"/>
          </w:tcPr>
          <w:p w14:paraId="32402E44" w14:textId="145A92B6" w:rsidR="00471F30" w:rsidRPr="00E21C60" w:rsidRDefault="00471F30" w:rsidP="00471F30">
            <w:pPr>
              <w:rPr>
                <w:rFonts w:ascii="Arial" w:hAnsi="Arial" w:cs="Arial"/>
                <w:sz w:val="20"/>
                <w:szCs w:val="20"/>
              </w:rPr>
            </w:pPr>
            <w:r w:rsidRPr="00E21C60">
              <w:rPr>
                <w:rFonts w:ascii="Arial" w:hAnsi="Arial" w:cs="Arial"/>
                <w:sz w:val="20"/>
                <w:szCs w:val="20"/>
              </w:rPr>
              <w:t>Úrad splnomocnenca vlády pre rómske komunity</w:t>
            </w:r>
          </w:p>
        </w:tc>
      </w:tr>
      <w:tr w:rsidR="00471F30" w:rsidRPr="00E21C60" w14:paraId="04620BCB" w14:textId="77777777" w:rsidTr="00510690">
        <w:trPr>
          <w:trHeight w:val="284"/>
        </w:trPr>
        <w:tc>
          <w:tcPr>
            <w:tcW w:w="974" w:type="pct"/>
            <w:shd w:val="clear" w:color="auto" w:fill="EAF1DD" w:themeFill="accent3" w:themeFillTint="33"/>
            <w:vAlign w:val="center"/>
          </w:tcPr>
          <w:p w14:paraId="06A402AE" w14:textId="71BAFFB2" w:rsidR="00471F30" w:rsidRPr="00E21C60" w:rsidRDefault="00471F30" w:rsidP="00471F30">
            <w:pPr>
              <w:rPr>
                <w:rFonts w:ascii="Arial" w:hAnsi="Arial" w:cs="Arial"/>
                <w:sz w:val="20"/>
                <w:szCs w:val="20"/>
              </w:rPr>
            </w:pPr>
            <w:r w:rsidRPr="00E21C60">
              <w:rPr>
                <w:rFonts w:ascii="Arial" w:hAnsi="Arial" w:cs="Arial"/>
                <w:sz w:val="20"/>
                <w:szCs w:val="20"/>
              </w:rPr>
              <w:t>ÚRSO</w:t>
            </w:r>
          </w:p>
        </w:tc>
        <w:tc>
          <w:tcPr>
            <w:tcW w:w="4026" w:type="pct"/>
            <w:shd w:val="clear" w:color="auto" w:fill="EAF1DD" w:themeFill="accent3" w:themeFillTint="33"/>
            <w:vAlign w:val="center"/>
          </w:tcPr>
          <w:p w14:paraId="5D07840F" w14:textId="2DF0369E" w:rsidR="00471F30" w:rsidRPr="00E21C60" w:rsidRDefault="00471F30" w:rsidP="00471F30">
            <w:pPr>
              <w:rPr>
                <w:rFonts w:ascii="Arial" w:hAnsi="Arial" w:cs="Arial"/>
                <w:sz w:val="20"/>
                <w:szCs w:val="20"/>
              </w:rPr>
            </w:pPr>
            <w:r w:rsidRPr="00E21C60">
              <w:rPr>
                <w:rFonts w:ascii="Arial" w:hAnsi="Arial" w:cs="Arial"/>
                <w:sz w:val="20"/>
                <w:szCs w:val="20"/>
              </w:rPr>
              <w:t>Úrad pre reguláciu sieťových odvetví</w:t>
            </w:r>
          </w:p>
        </w:tc>
      </w:tr>
      <w:tr w:rsidR="00471F30" w:rsidRPr="00E21C60" w14:paraId="308109FE" w14:textId="77777777" w:rsidTr="008A1902">
        <w:trPr>
          <w:trHeight w:val="284"/>
        </w:trPr>
        <w:tc>
          <w:tcPr>
            <w:tcW w:w="974" w:type="pct"/>
            <w:shd w:val="clear" w:color="auto" w:fill="auto"/>
            <w:vAlign w:val="center"/>
          </w:tcPr>
          <w:p w14:paraId="406B2424" w14:textId="736C150D" w:rsidR="00471F30" w:rsidRPr="00E21C60" w:rsidRDefault="00471F30" w:rsidP="00471F30">
            <w:pPr>
              <w:rPr>
                <w:rFonts w:ascii="Arial" w:hAnsi="Arial" w:cs="Arial"/>
                <w:sz w:val="20"/>
                <w:szCs w:val="20"/>
              </w:rPr>
            </w:pPr>
            <w:r w:rsidRPr="00E21C60">
              <w:rPr>
                <w:rFonts w:ascii="Arial" w:hAnsi="Arial" w:cs="Arial"/>
                <w:sz w:val="20"/>
                <w:szCs w:val="20"/>
              </w:rPr>
              <w:t>ÚV SR</w:t>
            </w:r>
          </w:p>
        </w:tc>
        <w:tc>
          <w:tcPr>
            <w:tcW w:w="4026" w:type="pct"/>
            <w:shd w:val="clear" w:color="auto" w:fill="auto"/>
            <w:vAlign w:val="center"/>
          </w:tcPr>
          <w:p w14:paraId="69565829" w14:textId="147082C5" w:rsidR="00471F30" w:rsidRPr="00E21C60" w:rsidRDefault="00471F30" w:rsidP="00471F30">
            <w:pPr>
              <w:rPr>
                <w:rFonts w:ascii="Arial" w:hAnsi="Arial" w:cs="Arial"/>
                <w:sz w:val="20"/>
                <w:szCs w:val="20"/>
              </w:rPr>
            </w:pPr>
            <w:r w:rsidRPr="00E21C60">
              <w:rPr>
                <w:rFonts w:ascii="Arial" w:hAnsi="Arial" w:cs="Arial"/>
                <w:sz w:val="20"/>
                <w:szCs w:val="20"/>
              </w:rPr>
              <w:t>Úrad vlády Slovenskej republiky</w:t>
            </w:r>
          </w:p>
        </w:tc>
      </w:tr>
      <w:tr w:rsidR="00471F30" w:rsidRPr="00E21C60" w14:paraId="06057163" w14:textId="77777777" w:rsidTr="00510690">
        <w:trPr>
          <w:trHeight w:val="284"/>
        </w:trPr>
        <w:tc>
          <w:tcPr>
            <w:tcW w:w="974" w:type="pct"/>
            <w:shd w:val="clear" w:color="auto" w:fill="EAF1DD" w:themeFill="accent3" w:themeFillTint="33"/>
            <w:vAlign w:val="center"/>
          </w:tcPr>
          <w:p w14:paraId="61691ABB" w14:textId="3B557A89" w:rsidR="00471F30" w:rsidRPr="00E21C60" w:rsidRDefault="00471F30" w:rsidP="00471F30">
            <w:pPr>
              <w:rPr>
                <w:rFonts w:ascii="Arial" w:hAnsi="Arial" w:cs="Arial"/>
                <w:sz w:val="20"/>
                <w:szCs w:val="20"/>
              </w:rPr>
            </w:pPr>
            <w:r w:rsidRPr="00E21C60">
              <w:rPr>
                <w:rFonts w:ascii="Arial" w:hAnsi="Arial" w:cs="Arial"/>
                <w:sz w:val="20"/>
                <w:szCs w:val="20"/>
              </w:rPr>
              <w:t>VOC</w:t>
            </w:r>
          </w:p>
        </w:tc>
        <w:tc>
          <w:tcPr>
            <w:tcW w:w="4026" w:type="pct"/>
            <w:shd w:val="clear" w:color="auto" w:fill="EAF1DD" w:themeFill="accent3" w:themeFillTint="33"/>
            <w:vAlign w:val="center"/>
          </w:tcPr>
          <w:p w14:paraId="18336063" w14:textId="594AB1BC" w:rsidR="00471F30" w:rsidRPr="00E21C60" w:rsidRDefault="00471F30" w:rsidP="00471F30">
            <w:pPr>
              <w:rPr>
                <w:rFonts w:ascii="Arial" w:hAnsi="Arial" w:cs="Arial"/>
                <w:sz w:val="20"/>
                <w:szCs w:val="20"/>
              </w:rPr>
            </w:pPr>
            <w:r w:rsidRPr="00E21C60">
              <w:rPr>
                <w:rFonts w:ascii="Arial" w:hAnsi="Arial" w:cs="Arial"/>
                <w:sz w:val="20"/>
                <w:szCs w:val="20"/>
              </w:rPr>
              <w:t>Prchavá organická zlúčenina</w:t>
            </w:r>
          </w:p>
        </w:tc>
      </w:tr>
      <w:tr w:rsidR="00471F30" w:rsidRPr="00E21C60" w14:paraId="4064C84D" w14:textId="77777777" w:rsidTr="008A1902">
        <w:trPr>
          <w:trHeight w:val="284"/>
        </w:trPr>
        <w:tc>
          <w:tcPr>
            <w:tcW w:w="974" w:type="pct"/>
            <w:shd w:val="clear" w:color="auto" w:fill="auto"/>
            <w:vAlign w:val="center"/>
          </w:tcPr>
          <w:p w14:paraId="19DB9804" w14:textId="21915C94" w:rsidR="00471F30" w:rsidRPr="00E21C60" w:rsidRDefault="00471F30" w:rsidP="00471F30">
            <w:pPr>
              <w:rPr>
                <w:rFonts w:ascii="Arial" w:hAnsi="Arial" w:cs="Arial"/>
                <w:sz w:val="20"/>
                <w:szCs w:val="20"/>
              </w:rPr>
            </w:pPr>
            <w:r w:rsidRPr="00E21C60">
              <w:rPr>
                <w:rFonts w:ascii="Arial" w:hAnsi="Arial" w:cs="Arial"/>
                <w:sz w:val="20"/>
                <w:szCs w:val="20"/>
              </w:rPr>
              <w:t>VÚC</w:t>
            </w:r>
          </w:p>
        </w:tc>
        <w:tc>
          <w:tcPr>
            <w:tcW w:w="4026" w:type="pct"/>
            <w:shd w:val="clear" w:color="auto" w:fill="auto"/>
            <w:vAlign w:val="center"/>
          </w:tcPr>
          <w:p w14:paraId="18639C02" w14:textId="60996717" w:rsidR="00471F30" w:rsidRPr="00E21C60" w:rsidRDefault="00471F30" w:rsidP="00471F30">
            <w:pPr>
              <w:rPr>
                <w:rFonts w:ascii="Arial" w:hAnsi="Arial" w:cs="Arial"/>
                <w:sz w:val="20"/>
                <w:szCs w:val="20"/>
              </w:rPr>
            </w:pPr>
            <w:r w:rsidRPr="00E21C60">
              <w:rPr>
                <w:rFonts w:ascii="Arial" w:hAnsi="Arial" w:cs="Arial"/>
                <w:sz w:val="20"/>
                <w:szCs w:val="20"/>
              </w:rPr>
              <w:t>Vyšší územný celok</w:t>
            </w:r>
          </w:p>
        </w:tc>
      </w:tr>
      <w:tr w:rsidR="00471F30" w:rsidRPr="00E21C60" w14:paraId="7252B4A7" w14:textId="77777777" w:rsidTr="00510690">
        <w:trPr>
          <w:trHeight w:val="284"/>
        </w:trPr>
        <w:tc>
          <w:tcPr>
            <w:tcW w:w="974" w:type="pct"/>
            <w:shd w:val="clear" w:color="auto" w:fill="EAF1DD" w:themeFill="accent3" w:themeFillTint="33"/>
            <w:vAlign w:val="center"/>
          </w:tcPr>
          <w:p w14:paraId="75650810" w14:textId="7814C893" w:rsidR="00471F30" w:rsidRPr="00E21C60" w:rsidRDefault="00471F30" w:rsidP="00471F30">
            <w:pPr>
              <w:rPr>
                <w:rFonts w:ascii="Arial" w:hAnsi="Arial" w:cs="Arial"/>
                <w:sz w:val="20"/>
                <w:szCs w:val="20"/>
              </w:rPr>
            </w:pPr>
            <w:r>
              <w:rPr>
                <w:rFonts w:ascii="Arial" w:hAnsi="Arial" w:cs="Arial"/>
                <w:sz w:val="20"/>
                <w:szCs w:val="20"/>
              </w:rPr>
              <w:t>VÚVH</w:t>
            </w:r>
          </w:p>
        </w:tc>
        <w:tc>
          <w:tcPr>
            <w:tcW w:w="4026" w:type="pct"/>
            <w:shd w:val="clear" w:color="auto" w:fill="EAF1DD" w:themeFill="accent3" w:themeFillTint="33"/>
            <w:vAlign w:val="center"/>
          </w:tcPr>
          <w:p w14:paraId="3FF342B3" w14:textId="505FACD5" w:rsidR="00471F30" w:rsidRPr="00E21C60" w:rsidRDefault="00471F30" w:rsidP="00471F30">
            <w:pPr>
              <w:rPr>
                <w:rFonts w:ascii="Arial" w:hAnsi="Arial" w:cs="Arial"/>
                <w:sz w:val="20"/>
                <w:szCs w:val="20"/>
              </w:rPr>
            </w:pPr>
            <w:r w:rsidRPr="00627D71">
              <w:rPr>
                <w:rFonts w:ascii="Arial" w:hAnsi="Arial" w:cs="Arial"/>
                <w:sz w:val="20"/>
                <w:szCs w:val="20"/>
              </w:rPr>
              <w:t>Výskumný ústav vodného hospodárstva</w:t>
            </w:r>
          </w:p>
        </w:tc>
      </w:tr>
      <w:tr w:rsidR="00471F30" w:rsidRPr="00E21C60" w14:paraId="545C19E6" w14:textId="77777777" w:rsidTr="008A1902">
        <w:trPr>
          <w:trHeight w:val="284"/>
        </w:trPr>
        <w:tc>
          <w:tcPr>
            <w:tcW w:w="974" w:type="pct"/>
            <w:shd w:val="clear" w:color="auto" w:fill="auto"/>
            <w:vAlign w:val="center"/>
          </w:tcPr>
          <w:p w14:paraId="07CA1C50" w14:textId="017643EB" w:rsidR="00471F30" w:rsidRPr="00E21C60" w:rsidRDefault="00471F30" w:rsidP="00471F30">
            <w:pPr>
              <w:rPr>
                <w:rFonts w:ascii="Arial" w:hAnsi="Arial" w:cs="Arial"/>
                <w:sz w:val="20"/>
                <w:szCs w:val="20"/>
              </w:rPr>
            </w:pPr>
            <w:r w:rsidRPr="00E21C60">
              <w:rPr>
                <w:rFonts w:ascii="Arial" w:hAnsi="Arial" w:cs="Arial"/>
                <w:sz w:val="20"/>
                <w:szCs w:val="20"/>
              </w:rPr>
              <w:t>VVZ</w:t>
            </w:r>
          </w:p>
        </w:tc>
        <w:tc>
          <w:tcPr>
            <w:tcW w:w="4026" w:type="pct"/>
            <w:shd w:val="clear" w:color="auto" w:fill="auto"/>
            <w:vAlign w:val="center"/>
          </w:tcPr>
          <w:p w14:paraId="6FACD45E" w14:textId="31184E5C" w:rsidR="00471F30" w:rsidRPr="00E21C60" w:rsidRDefault="00471F30" w:rsidP="00471F30">
            <w:pPr>
              <w:rPr>
                <w:rFonts w:ascii="Arial" w:hAnsi="Arial" w:cs="Arial"/>
                <w:sz w:val="20"/>
                <w:szCs w:val="20"/>
              </w:rPr>
            </w:pPr>
            <w:r w:rsidRPr="00E21C60">
              <w:rPr>
                <w:rFonts w:ascii="Arial" w:hAnsi="Arial" w:cs="Arial"/>
                <w:sz w:val="20"/>
                <w:szCs w:val="20"/>
              </w:rPr>
              <w:t>Vlastné verejné zdroje</w:t>
            </w:r>
          </w:p>
        </w:tc>
      </w:tr>
      <w:tr w:rsidR="00471F30" w:rsidRPr="00E21C60" w14:paraId="740152FC" w14:textId="77777777" w:rsidTr="00DA54A0">
        <w:trPr>
          <w:trHeight w:val="284"/>
        </w:trPr>
        <w:tc>
          <w:tcPr>
            <w:tcW w:w="974" w:type="pct"/>
            <w:shd w:val="clear" w:color="auto" w:fill="EAF1DD" w:themeFill="accent3" w:themeFillTint="33"/>
            <w:vAlign w:val="center"/>
          </w:tcPr>
          <w:p w14:paraId="69E94C86" w14:textId="0C82FDE9" w:rsidR="00471F30" w:rsidRPr="00E21C60" w:rsidRDefault="00471F30" w:rsidP="00471F30">
            <w:pPr>
              <w:rPr>
                <w:rFonts w:ascii="Arial" w:hAnsi="Arial" w:cs="Arial"/>
                <w:sz w:val="20"/>
                <w:szCs w:val="20"/>
              </w:rPr>
            </w:pPr>
            <w:r>
              <w:rPr>
                <w:rFonts w:ascii="Arial" w:hAnsi="Arial" w:cs="Arial"/>
                <w:sz w:val="20"/>
                <w:szCs w:val="20"/>
              </w:rPr>
              <w:t>VZP</w:t>
            </w:r>
          </w:p>
        </w:tc>
        <w:tc>
          <w:tcPr>
            <w:tcW w:w="4026" w:type="pct"/>
            <w:shd w:val="clear" w:color="auto" w:fill="EAF1DD" w:themeFill="accent3" w:themeFillTint="33"/>
            <w:vAlign w:val="center"/>
          </w:tcPr>
          <w:p w14:paraId="36299336" w14:textId="1853947F" w:rsidR="00471F30" w:rsidRPr="00E21C60" w:rsidRDefault="00471F30" w:rsidP="00471F30">
            <w:pPr>
              <w:rPr>
                <w:rFonts w:ascii="Arial" w:hAnsi="Arial" w:cs="Arial"/>
                <w:sz w:val="20"/>
                <w:szCs w:val="20"/>
              </w:rPr>
            </w:pPr>
            <w:r>
              <w:rPr>
                <w:rFonts w:ascii="Arial" w:hAnsi="Arial" w:cs="Arial"/>
                <w:sz w:val="20"/>
                <w:szCs w:val="20"/>
              </w:rPr>
              <w:t>Všeobecné zmluvné podmienky</w:t>
            </w:r>
          </w:p>
        </w:tc>
      </w:tr>
      <w:tr w:rsidR="00471F30" w:rsidRPr="00E21C60" w14:paraId="1AFE5F08" w14:textId="77777777" w:rsidTr="00DA54A0">
        <w:trPr>
          <w:trHeight w:val="284"/>
        </w:trPr>
        <w:tc>
          <w:tcPr>
            <w:tcW w:w="974" w:type="pct"/>
            <w:shd w:val="clear" w:color="auto" w:fill="FFFFFF" w:themeFill="background1"/>
            <w:vAlign w:val="center"/>
          </w:tcPr>
          <w:p w14:paraId="71D97B9D" w14:textId="59749AD9" w:rsidR="00471F30" w:rsidRPr="00E21C60" w:rsidRDefault="00471F30" w:rsidP="00471F30">
            <w:pPr>
              <w:rPr>
                <w:rFonts w:ascii="Arial" w:hAnsi="Arial" w:cs="Arial"/>
                <w:sz w:val="20"/>
                <w:szCs w:val="20"/>
              </w:rPr>
            </w:pPr>
            <w:r w:rsidRPr="00E21C60">
              <w:rPr>
                <w:rFonts w:ascii="Arial" w:hAnsi="Arial" w:cs="Arial"/>
                <w:sz w:val="20"/>
                <w:szCs w:val="20"/>
              </w:rPr>
              <w:t>ZMOS</w:t>
            </w:r>
          </w:p>
        </w:tc>
        <w:tc>
          <w:tcPr>
            <w:tcW w:w="4026" w:type="pct"/>
            <w:shd w:val="clear" w:color="auto" w:fill="FFFFFF" w:themeFill="background1"/>
            <w:vAlign w:val="center"/>
          </w:tcPr>
          <w:p w14:paraId="3F682FCB" w14:textId="69655CB2" w:rsidR="00471F30" w:rsidRPr="00E21C60" w:rsidRDefault="00471F30" w:rsidP="00471F30">
            <w:pPr>
              <w:rPr>
                <w:rFonts w:ascii="Arial" w:hAnsi="Arial" w:cs="Arial"/>
                <w:sz w:val="20"/>
                <w:szCs w:val="20"/>
              </w:rPr>
            </w:pPr>
            <w:r w:rsidRPr="00E21C60">
              <w:rPr>
                <w:rFonts w:ascii="Arial" w:hAnsi="Arial" w:cs="Arial"/>
                <w:sz w:val="20"/>
                <w:szCs w:val="20"/>
              </w:rPr>
              <w:t>Združenie miest a obcí Slovenska</w:t>
            </w:r>
          </w:p>
        </w:tc>
      </w:tr>
      <w:tr w:rsidR="00471F30" w:rsidRPr="00E21C60" w14:paraId="399F17F8" w14:textId="77777777" w:rsidTr="00DA54A0">
        <w:trPr>
          <w:trHeight w:val="284"/>
        </w:trPr>
        <w:tc>
          <w:tcPr>
            <w:tcW w:w="974" w:type="pct"/>
            <w:shd w:val="clear" w:color="auto" w:fill="EAF1DD" w:themeFill="accent3" w:themeFillTint="33"/>
            <w:vAlign w:val="center"/>
          </w:tcPr>
          <w:p w14:paraId="2B90790B" w14:textId="70A2035C" w:rsidR="00471F30" w:rsidRPr="00E21C60" w:rsidRDefault="00471F30" w:rsidP="00471F30">
            <w:pPr>
              <w:rPr>
                <w:rFonts w:ascii="Arial" w:hAnsi="Arial" w:cs="Arial"/>
                <w:sz w:val="20"/>
                <w:szCs w:val="20"/>
              </w:rPr>
            </w:pPr>
            <w:r w:rsidRPr="00E21C60">
              <w:rPr>
                <w:rFonts w:ascii="Arial" w:hAnsi="Arial" w:cs="Arial"/>
                <w:sz w:val="20"/>
                <w:szCs w:val="20"/>
              </w:rPr>
              <w:t>ŽoNFP</w:t>
            </w:r>
          </w:p>
        </w:tc>
        <w:tc>
          <w:tcPr>
            <w:tcW w:w="4026" w:type="pct"/>
            <w:shd w:val="clear" w:color="auto" w:fill="EAF1DD" w:themeFill="accent3" w:themeFillTint="33"/>
            <w:vAlign w:val="center"/>
          </w:tcPr>
          <w:p w14:paraId="60806B3E" w14:textId="61341D9C" w:rsidR="00471F30" w:rsidRPr="00E21C60" w:rsidRDefault="00471F30" w:rsidP="00471F30">
            <w:pPr>
              <w:rPr>
                <w:rFonts w:ascii="Arial" w:hAnsi="Arial" w:cs="Arial"/>
                <w:sz w:val="20"/>
                <w:szCs w:val="20"/>
              </w:rPr>
            </w:pPr>
            <w:r w:rsidRPr="00E21C60">
              <w:rPr>
                <w:rFonts w:ascii="Arial" w:hAnsi="Arial" w:cs="Arial"/>
                <w:sz w:val="20"/>
                <w:szCs w:val="20"/>
              </w:rPr>
              <w:t>Žiadosť o nenávratný finančný príspevok</w:t>
            </w:r>
          </w:p>
        </w:tc>
      </w:tr>
      <w:tr w:rsidR="00471F30" w:rsidRPr="00E21C60" w14:paraId="0EFC3345" w14:textId="77777777" w:rsidTr="00DA54A0">
        <w:trPr>
          <w:trHeight w:val="284"/>
        </w:trPr>
        <w:tc>
          <w:tcPr>
            <w:tcW w:w="974" w:type="pct"/>
            <w:shd w:val="clear" w:color="auto" w:fill="EAF1DD" w:themeFill="accent3" w:themeFillTint="33"/>
            <w:vAlign w:val="center"/>
          </w:tcPr>
          <w:p w14:paraId="1DBA8DB1" w14:textId="5C7F8D74" w:rsidR="00471F30" w:rsidRPr="00E21C60" w:rsidRDefault="00471F30" w:rsidP="00471F30">
            <w:pPr>
              <w:rPr>
                <w:rFonts w:ascii="Arial" w:hAnsi="Arial" w:cs="Arial"/>
                <w:sz w:val="20"/>
                <w:szCs w:val="20"/>
              </w:rPr>
            </w:pPr>
            <w:r w:rsidRPr="00E21C60">
              <w:rPr>
                <w:rFonts w:ascii="Arial" w:hAnsi="Arial" w:cs="Arial"/>
                <w:sz w:val="20"/>
                <w:szCs w:val="20"/>
              </w:rPr>
              <w:lastRenderedPageBreak/>
              <w:t>ŽoP</w:t>
            </w:r>
          </w:p>
        </w:tc>
        <w:tc>
          <w:tcPr>
            <w:tcW w:w="4026" w:type="pct"/>
            <w:shd w:val="clear" w:color="auto" w:fill="EAF1DD" w:themeFill="accent3" w:themeFillTint="33"/>
            <w:vAlign w:val="center"/>
          </w:tcPr>
          <w:p w14:paraId="18DA6FB5" w14:textId="2462925B" w:rsidR="00471F30" w:rsidRPr="00E21C60" w:rsidRDefault="00471F30" w:rsidP="00471F30">
            <w:pPr>
              <w:rPr>
                <w:rFonts w:ascii="Arial" w:hAnsi="Arial" w:cs="Arial"/>
                <w:sz w:val="20"/>
                <w:szCs w:val="20"/>
              </w:rPr>
            </w:pPr>
            <w:r w:rsidRPr="00E21C60">
              <w:rPr>
                <w:rFonts w:ascii="Arial" w:hAnsi="Arial" w:cs="Arial"/>
                <w:sz w:val="20"/>
                <w:szCs w:val="20"/>
              </w:rPr>
              <w:t>Žiadosť o</w:t>
            </w:r>
            <w:r>
              <w:rPr>
                <w:rFonts w:ascii="Arial" w:hAnsi="Arial" w:cs="Arial"/>
                <w:sz w:val="20"/>
                <w:szCs w:val="20"/>
              </w:rPr>
              <w:t> </w:t>
            </w:r>
            <w:r w:rsidRPr="00E21C60">
              <w:rPr>
                <w:rFonts w:ascii="Arial" w:hAnsi="Arial" w:cs="Arial"/>
                <w:sz w:val="20"/>
                <w:szCs w:val="20"/>
              </w:rPr>
              <w:t>platbu</w:t>
            </w:r>
          </w:p>
        </w:tc>
      </w:tr>
    </w:tbl>
    <w:p w14:paraId="60982745" w14:textId="77777777" w:rsidR="004B4558" w:rsidRDefault="004B4558" w:rsidP="00123376">
      <w:pPr>
        <w:pStyle w:val="Nadpis1"/>
        <w:spacing w:after="120" w:line="360" w:lineRule="auto"/>
        <w:rPr>
          <w:rFonts w:cs="Arial"/>
        </w:rPr>
      </w:pPr>
    </w:p>
    <w:p w14:paraId="2CB7FA05" w14:textId="77777777" w:rsidR="004B4558" w:rsidRDefault="004B4558">
      <w:pPr>
        <w:rPr>
          <w:rFonts w:ascii="Arial" w:hAnsi="Arial" w:cs="Arial"/>
          <w:b/>
          <w:caps/>
          <w:kern w:val="32"/>
          <w:sz w:val="32"/>
          <w:szCs w:val="20"/>
          <w:lang w:val="x-none" w:eastAsia="x-none"/>
        </w:rPr>
      </w:pPr>
      <w:r>
        <w:rPr>
          <w:rFonts w:cs="Arial"/>
        </w:rPr>
        <w:br w:type="page"/>
      </w:r>
    </w:p>
    <w:p w14:paraId="276754E5" w14:textId="482774C8" w:rsidR="002416B1" w:rsidRPr="0020746A" w:rsidRDefault="002416B1" w:rsidP="00123376">
      <w:pPr>
        <w:pStyle w:val="Nadpis1"/>
        <w:spacing w:after="120" w:line="360" w:lineRule="auto"/>
        <w:rPr>
          <w:rFonts w:cs="Arial"/>
          <w:highlight w:val="yellow"/>
        </w:rPr>
      </w:pPr>
      <w:bookmarkStart w:id="146" w:name="_Toc466914557"/>
      <w:r w:rsidRPr="008E1ACB">
        <w:rPr>
          <w:rFonts w:cs="Arial"/>
        </w:rPr>
        <w:lastRenderedPageBreak/>
        <w:t>9. Prílohy</w:t>
      </w:r>
      <w:bookmarkEnd w:id="146"/>
    </w:p>
    <w:p w14:paraId="423099D3" w14:textId="1D610CAE" w:rsidR="002416B1" w:rsidRPr="00123376" w:rsidRDefault="002416B1" w:rsidP="00123376">
      <w:pPr>
        <w:tabs>
          <w:tab w:val="left" w:pos="1276"/>
        </w:tabs>
        <w:spacing w:before="120" w:after="120"/>
        <w:ind w:left="1276" w:hanging="1276"/>
        <w:rPr>
          <w:rFonts w:ascii="Arial" w:hAnsi="Arial" w:cs="Arial"/>
          <w:sz w:val="20"/>
          <w:szCs w:val="20"/>
          <w:highlight w:val="yellow"/>
        </w:rPr>
      </w:pPr>
      <w:r w:rsidRPr="00123376">
        <w:rPr>
          <w:rFonts w:ascii="Arial" w:hAnsi="Arial" w:cs="Arial"/>
          <w:sz w:val="20"/>
          <w:szCs w:val="20"/>
        </w:rPr>
        <w:t>Príloha č. 1</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Pr="00123376">
        <w:rPr>
          <w:rFonts w:ascii="Arial" w:hAnsi="Arial" w:cs="Arial"/>
          <w:sz w:val="20"/>
          <w:szCs w:val="20"/>
        </w:rPr>
        <w:t>Prehľad vyhlásených výziev spolu s prehľadom o projektoch</w:t>
      </w:r>
    </w:p>
    <w:p w14:paraId="5D8A1C2D" w14:textId="1FD7F6CA" w:rsidR="002416B1" w:rsidRPr="00123376" w:rsidRDefault="002416B1" w:rsidP="00123376">
      <w:pPr>
        <w:tabs>
          <w:tab w:val="left" w:pos="1276"/>
        </w:tabs>
        <w:spacing w:before="120" w:after="120"/>
        <w:rPr>
          <w:rFonts w:ascii="Arial" w:hAnsi="Arial" w:cs="Arial"/>
          <w:sz w:val="20"/>
          <w:szCs w:val="20"/>
        </w:rPr>
      </w:pPr>
      <w:r w:rsidRPr="00123376">
        <w:rPr>
          <w:rFonts w:ascii="Arial" w:hAnsi="Arial" w:cs="Arial"/>
          <w:sz w:val="20"/>
          <w:szCs w:val="20"/>
        </w:rPr>
        <w:t>Príloha č. 2</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Pr="00123376">
        <w:rPr>
          <w:rFonts w:ascii="Arial" w:hAnsi="Arial" w:cs="Arial"/>
          <w:sz w:val="20"/>
          <w:szCs w:val="20"/>
        </w:rPr>
        <w:t>Plnen</w:t>
      </w:r>
      <w:r w:rsidR="0097675D">
        <w:rPr>
          <w:rFonts w:ascii="Arial" w:hAnsi="Arial" w:cs="Arial"/>
          <w:sz w:val="20"/>
          <w:szCs w:val="20"/>
        </w:rPr>
        <w:t>ie ukazovateľov na úrovni OP ŽP</w:t>
      </w:r>
    </w:p>
    <w:p w14:paraId="1667D31A" w14:textId="351666E1" w:rsidR="002416B1" w:rsidRPr="00123376" w:rsidRDefault="002416B1" w:rsidP="00123376">
      <w:pPr>
        <w:tabs>
          <w:tab w:val="left" w:pos="1276"/>
        </w:tabs>
        <w:spacing w:before="120" w:after="120"/>
        <w:rPr>
          <w:rFonts w:ascii="Arial" w:hAnsi="Arial" w:cs="Arial"/>
          <w:sz w:val="20"/>
          <w:szCs w:val="20"/>
        </w:rPr>
      </w:pPr>
      <w:r w:rsidRPr="00123376">
        <w:rPr>
          <w:rFonts w:ascii="Arial" w:hAnsi="Arial" w:cs="Arial"/>
          <w:sz w:val="20"/>
          <w:szCs w:val="20"/>
        </w:rPr>
        <w:t>Príloha č. 3</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Pr="00123376">
        <w:rPr>
          <w:rFonts w:ascii="Arial" w:hAnsi="Arial" w:cs="Arial"/>
          <w:sz w:val="20"/>
          <w:szCs w:val="20"/>
        </w:rPr>
        <w:t>Žiadosti o platbu predložené EK</w:t>
      </w:r>
      <w:r w:rsidR="00F754F0" w:rsidRPr="00E21C60">
        <w:rPr>
          <w:rFonts w:ascii="Arial" w:hAnsi="Arial" w:cs="Arial"/>
          <w:sz w:val="20"/>
          <w:szCs w:val="20"/>
        </w:rPr>
        <w:t xml:space="preserve"> k 31.1</w:t>
      </w:r>
      <w:r w:rsidR="0097675D">
        <w:rPr>
          <w:rFonts w:ascii="Arial" w:hAnsi="Arial" w:cs="Arial"/>
          <w:sz w:val="20"/>
          <w:szCs w:val="20"/>
        </w:rPr>
        <w:t>0</w:t>
      </w:r>
      <w:r w:rsidR="00F754F0" w:rsidRPr="00E21C60">
        <w:rPr>
          <w:rFonts w:ascii="Arial" w:hAnsi="Arial" w:cs="Arial"/>
          <w:sz w:val="20"/>
          <w:szCs w:val="20"/>
        </w:rPr>
        <w:t>.201</w:t>
      </w:r>
      <w:r w:rsidR="0097675D">
        <w:rPr>
          <w:rFonts w:ascii="Arial" w:hAnsi="Arial" w:cs="Arial"/>
          <w:sz w:val="20"/>
          <w:szCs w:val="20"/>
        </w:rPr>
        <w:t>5</w:t>
      </w:r>
    </w:p>
    <w:p w14:paraId="281A3D60" w14:textId="25CEDF25" w:rsidR="002416B1" w:rsidRPr="00123376" w:rsidRDefault="002416B1" w:rsidP="00123376">
      <w:pPr>
        <w:tabs>
          <w:tab w:val="left" w:pos="1276"/>
        </w:tabs>
        <w:spacing w:before="120" w:after="120"/>
        <w:ind w:left="1276" w:hanging="1276"/>
        <w:rPr>
          <w:rFonts w:ascii="Arial" w:hAnsi="Arial" w:cs="Arial"/>
          <w:sz w:val="20"/>
          <w:szCs w:val="20"/>
        </w:rPr>
      </w:pPr>
      <w:r w:rsidRPr="00123376">
        <w:rPr>
          <w:rFonts w:ascii="Arial" w:hAnsi="Arial" w:cs="Arial"/>
          <w:sz w:val="20"/>
          <w:szCs w:val="20"/>
        </w:rPr>
        <w:t>Príloha č. 4</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Pr="00123376">
        <w:rPr>
          <w:rFonts w:ascii="Arial" w:hAnsi="Arial" w:cs="Arial"/>
          <w:sz w:val="20"/>
          <w:szCs w:val="20"/>
        </w:rPr>
        <w:t>Platby prijaté z EK k 31.1</w:t>
      </w:r>
      <w:r w:rsidR="0097675D">
        <w:rPr>
          <w:rFonts w:ascii="Arial" w:hAnsi="Arial" w:cs="Arial"/>
          <w:sz w:val="20"/>
          <w:szCs w:val="20"/>
        </w:rPr>
        <w:t>0</w:t>
      </w:r>
      <w:r w:rsidRPr="00123376">
        <w:rPr>
          <w:rFonts w:ascii="Arial" w:hAnsi="Arial" w:cs="Arial"/>
          <w:sz w:val="20"/>
          <w:szCs w:val="20"/>
        </w:rPr>
        <w:t>.</w:t>
      </w:r>
      <w:r w:rsidR="000204D6" w:rsidRPr="00123376">
        <w:rPr>
          <w:rFonts w:ascii="Arial" w:hAnsi="Arial" w:cs="Arial"/>
          <w:sz w:val="20"/>
          <w:szCs w:val="20"/>
        </w:rPr>
        <w:t>201</w:t>
      </w:r>
      <w:r w:rsidR="0097675D">
        <w:rPr>
          <w:rFonts w:ascii="Arial" w:hAnsi="Arial" w:cs="Arial"/>
          <w:sz w:val="20"/>
          <w:szCs w:val="20"/>
        </w:rPr>
        <w:t>5</w:t>
      </w:r>
    </w:p>
    <w:p w14:paraId="11B156CE" w14:textId="4F364EF8" w:rsidR="002416B1" w:rsidRPr="00123376" w:rsidRDefault="002416B1" w:rsidP="00123376">
      <w:pPr>
        <w:tabs>
          <w:tab w:val="left" w:pos="1276"/>
        </w:tabs>
        <w:spacing w:before="120" w:after="120"/>
        <w:rPr>
          <w:rFonts w:ascii="Arial" w:hAnsi="Arial" w:cs="Arial"/>
          <w:sz w:val="20"/>
          <w:szCs w:val="20"/>
        </w:rPr>
      </w:pPr>
      <w:r w:rsidRPr="00123376">
        <w:rPr>
          <w:rFonts w:ascii="Arial" w:hAnsi="Arial" w:cs="Arial"/>
          <w:sz w:val="20"/>
          <w:szCs w:val="20"/>
        </w:rPr>
        <w:t>Príloha č. 5</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Pr="00123376">
        <w:rPr>
          <w:rFonts w:ascii="Arial" w:hAnsi="Arial" w:cs="Arial"/>
          <w:sz w:val="20"/>
          <w:szCs w:val="20"/>
        </w:rPr>
        <w:t xml:space="preserve">Zoznam kontrol na mieste vykonaných RO v roku </w:t>
      </w:r>
      <w:r w:rsidR="000204D6" w:rsidRPr="00123376">
        <w:rPr>
          <w:rFonts w:ascii="Arial" w:hAnsi="Arial" w:cs="Arial"/>
          <w:sz w:val="20"/>
          <w:szCs w:val="20"/>
        </w:rPr>
        <w:t>201</w:t>
      </w:r>
      <w:r w:rsidR="0097675D">
        <w:rPr>
          <w:rFonts w:ascii="Arial" w:hAnsi="Arial" w:cs="Arial"/>
          <w:sz w:val="20"/>
          <w:szCs w:val="20"/>
        </w:rPr>
        <w:t>5 a 2016</w:t>
      </w:r>
    </w:p>
    <w:p w14:paraId="5B5BE8E3" w14:textId="0948315F" w:rsidR="002416B1" w:rsidRPr="00123376" w:rsidRDefault="002416B1" w:rsidP="00123376">
      <w:pPr>
        <w:tabs>
          <w:tab w:val="left" w:pos="1276"/>
        </w:tabs>
        <w:spacing w:before="120" w:after="120"/>
        <w:rPr>
          <w:rFonts w:ascii="Arial" w:hAnsi="Arial" w:cs="Arial"/>
          <w:sz w:val="20"/>
          <w:szCs w:val="20"/>
        </w:rPr>
      </w:pPr>
      <w:r w:rsidRPr="00123376">
        <w:rPr>
          <w:rFonts w:ascii="Arial" w:hAnsi="Arial" w:cs="Arial"/>
          <w:sz w:val="20"/>
          <w:szCs w:val="20"/>
        </w:rPr>
        <w:t>Príloha č. 6</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Pr="00123376">
        <w:rPr>
          <w:rFonts w:ascii="Arial" w:hAnsi="Arial" w:cs="Arial"/>
          <w:sz w:val="20"/>
          <w:szCs w:val="20"/>
        </w:rPr>
        <w:t>Finančná implementácia podľa NUTS III a mimo NUTS III</w:t>
      </w:r>
      <w:r w:rsidR="00F754F0" w:rsidRPr="00E21C60">
        <w:rPr>
          <w:rFonts w:ascii="Arial" w:hAnsi="Arial" w:cs="Arial"/>
          <w:sz w:val="20"/>
          <w:szCs w:val="20"/>
        </w:rPr>
        <w:t xml:space="preserve"> </w:t>
      </w:r>
    </w:p>
    <w:p w14:paraId="70023450" w14:textId="77777777" w:rsidR="002416B1" w:rsidRPr="00123376" w:rsidRDefault="002416B1" w:rsidP="00123376">
      <w:pPr>
        <w:tabs>
          <w:tab w:val="left" w:pos="1276"/>
        </w:tabs>
        <w:spacing w:before="120" w:after="120"/>
        <w:rPr>
          <w:rFonts w:ascii="Arial" w:hAnsi="Arial" w:cs="Arial"/>
          <w:sz w:val="20"/>
          <w:szCs w:val="20"/>
        </w:rPr>
      </w:pPr>
      <w:r w:rsidRPr="00123376">
        <w:rPr>
          <w:rFonts w:ascii="Arial" w:hAnsi="Arial" w:cs="Arial"/>
          <w:sz w:val="20"/>
          <w:szCs w:val="20"/>
        </w:rPr>
        <w:t>Príloha č. 7</w:t>
      </w:r>
      <w:r w:rsidR="00471EE5" w:rsidRPr="00123376">
        <w:rPr>
          <w:rFonts w:ascii="Arial" w:hAnsi="Arial" w:cs="Arial"/>
          <w:sz w:val="20"/>
          <w:szCs w:val="20"/>
        </w:rPr>
        <w:t>a</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0073287A" w:rsidRPr="00123376">
        <w:rPr>
          <w:rFonts w:ascii="Arial" w:hAnsi="Arial" w:cs="Arial"/>
          <w:sz w:val="20"/>
          <w:szCs w:val="20"/>
        </w:rPr>
        <w:t xml:space="preserve">Orientačné </w:t>
      </w:r>
      <w:r w:rsidRPr="00123376">
        <w:rPr>
          <w:rFonts w:ascii="Arial" w:hAnsi="Arial" w:cs="Arial"/>
          <w:sz w:val="20"/>
          <w:szCs w:val="20"/>
        </w:rPr>
        <w:t xml:space="preserve">členenie </w:t>
      </w:r>
      <w:r w:rsidR="00F754F0" w:rsidRPr="00E21C60">
        <w:rPr>
          <w:rFonts w:ascii="Arial" w:hAnsi="Arial" w:cs="Arial"/>
          <w:sz w:val="20"/>
          <w:szCs w:val="20"/>
        </w:rPr>
        <w:t xml:space="preserve">prideleného </w:t>
      </w:r>
      <w:r w:rsidRPr="00123376">
        <w:rPr>
          <w:rFonts w:ascii="Arial" w:hAnsi="Arial" w:cs="Arial"/>
          <w:sz w:val="20"/>
          <w:szCs w:val="20"/>
        </w:rPr>
        <w:t>príspevku Spoločenstva podľa kategórie</w:t>
      </w:r>
    </w:p>
    <w:p w14:paraId="1F9DD7D3" w14:textId="77777777" w:rsidR="00471EE5" w:rsidRPr="00123376" w:rsidRDefault="00471EE5" w:rsidP="00123376">
      <w:pPr>
        <w:tabs>
          <w:tab w:val="left" w:pos="1276"/>
        </w:tabs>
        <w:spacing w:before="120" w:after="120"/>
        <w:rPr>
          <w:rFonts w:ascii="Arial" w:hAnsi="Arial" w:cs="Arial"/>
          <w:sz w:val="20"/>
          <w:szCs w:val="20"/>
        </w:rPr>
      </w:pPr>
      <w:r w:rsidRPr="00123376">
        <w:rPr>
          <w:rFonts w:ascii="Arial" w:hAnsi="Arial" w:cs="Arial"/>
          <w:sz w:val="20"/>
          <w:szCs w:val="20"/>
        </w:rPr>
        <w:t>Príloha č. 7b</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Pr="00123376">
        <w:rPr>
          <w:rFonts w:ascii="Arial" w:hAnsi="Arial" w:cs="Arial"/>
          <w:sz w:val="20"/>
          <w:szCs w:val="20"/>
        </w:rPr>
        <w:t>Súhrnné členenie</w:t>
      </w:r>
      <w:r w:rsidR="00F754F0" w:rsidRPr="00E21C60">
        <w:rPr>
          <w:rFonts w:ascii="Arial" w:hAnsi="Arial" w:cs="Arial"/>
          <w:sz w:val="20"/>
          <w:szCs w:val="20"/>
        </w:rPr>
        <w:t xml:space="preserve"> prideleného </w:t>
      </w:r>
      <w:r w:rsidRPr="00123376">
        <w:rPr>
          <w:rFonts w:ascii="Arial" w:hAnsi="Arial" w:cs="Arial"/>
          <w:sz w:val="20"/>
          <w:szCs w:val="20"/>
        </w:rPr>
        <w:t>príspevku Spoločenstva podľa kategórie</w:t>
      </w:r>
    </w:p>
    <w:p w14:paraId="056D8FC0" w14:textId="27859FDC" w:rsidR="006E5942" w:rsidRDefault="002416B1" w:rsidP="00123376">
      <w:pPr>
        <w:tabs>
          <w:tab w:val="left" w:pos="1276"/>
        </w:tabs>
        <w:spacing w:before="120" w:after="120"/>
        <w:ind w:left="1276" w:hanging="1276"/>
        <w:rPr>
          <w:rFonts w:ascii="Arial" w:hAnsi="Arial" w:cs="Arial"/>
          <w:sz w:val="20"/>
          <w:szCs w:val="20"/>
        </w:rPr>
      </w:pPr>
      <w:r w:rsidRPr="00123376">
        <w:rPr>
          <w:rFonts w:ascii="Arial" w:hAnsi="Arial" w:cs="Arial"/>
          <w:sz w:val="20"/>
          <w:szCs w:val="20"/>
        </w:rPr>
        <w:t>Príloha č. 8</w:t>
      </w:r>
      <w:r w:rsidR="0097675D">
        <w:rPr>
          <w:rFonts w:ascii="Arial" w:hAnsi="Arial" w:cs="Arial"/>
          <w:sz w:val="20"/>
          <w:szCs w:val="20"/>
        </w:rPr>
        <w:t>a</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008002B1">
        <w:rPr>
          <w:rFonts w:ascii="Arial" w:hAnsi="Arial" w:cs="Arial"/>
          <w:sz w:val="20"/>
          <w:szCs w:val="20"/>
        </w:rPr>
        <w:t>Súhrnný prehľad u</w:t>
      </w:r>
      <w:r w:rsidR="003112FF">
        <w:rPr>
          <w:rFonts w:ascii="Arial" w:hAnsi="Arial" w:cs="Arial"/>
          <w:sz w:val="20"/>
          <w:szCs w:val="20"/>
        </w:rPr>
        <w:t>končen</w:t>
      </w:r>
      <w:r w:rsidR="008002B1">
        <w:rPr>
          <w:rFonts w:ascii="Arial" w:hAnsi="Arial" w:cs="Arial"/>
          <w:sz w:val="20"/>
          <w:szCs w:val="20"/>
        </w:rPr>
        <w:t>ých</w:t>
      </w:r>
      <w:r w:rsidR="003112FF">
        <w:rPr>
          <w:rFonts w:ascii="Arial" w:hAnsi="Arial" w:cs="Arial"/>
          <w:sz w:val="20"/>
          <w:szCs w:val="20"/>
        </w:rPr>
        <w:t xml:space="preserve"> veľk</w:t>
      </w:r>
      <w:r w:rsidR="008002B1">
        <w:rPr>
          <w:rFonts w:ascii="Arial" w:hAnsi="Arial" w:cs="Arial"/>
          <w:sz w:val="20"/>
          <w:szCs w:val="20"/>
        </w:rPr>
        <w:t>ých</w:t>
      </w:r>
      <w:r w:rsidR="003112FF">
        <w:rPr>
          <w:rFonts w:ascii="Arial" w:hAnsi="Arial" w:cs="Arial"/>
          <w:sz w:val="20"/>
          <w:szCs w:val="20"/>
        </w:rPr>
        <w:t xml:space="preserve"> projekt</w:t>
      </w:r>
      <w:r w:rsidR="008002B1">
        <w:rPr>
          <w:rFonts w:ascii="Arial" w:hAnsi="Arial" w:cs="Arial"/>
          <w:sz w:val="20"/>
          <w:szCs w:val="20"/>
        </w:rPr>
        <w:t>ov</w:t>
      </w:r>
    </w:p>
    <w:p w14:paraId="5CE75D00" w14:textId="4C527883" w:rsidR="0097675D" w:rsidRPr="00123376" w:rsidRDefault="0097675D" w:rsidP="0097675D">
      <w:pPr>
        <w:tabs>
          <w:tab w:val="left" w:pos="1276"/>
        </w:tabs>
        <w:spacing w:before="120" w:after="120"/>
        <w:ind w:left="1276" w:hanging="1276"/>
        <w:rPr>
          <w:rFonts w:ascii="Arial" w:hAnsi="Arial" w:cs="Arial"/>
          <w:sz w:val="20"/>
          <w:szCs w:val="20"/>
        </w:rPr>
      </w:pPr>
      <w:r w:rsidRPr="00123376">
        <w:rPr>
          <w:rFonts w:ascii="Arial" w:hAnsi="Arial" w:cs="Arial"/>
          <w:sz w:val="20"/>
          <w:szCs w:val="20"/>
        </w:rPr>
        <w:t>Príloha č. 8</w:t>
      </w:r>
      <w:r>
        <w:rPr>
          <w:rFonts w:ascii="Arial" w:hAnsi="Arial" w:cs="Arial"/>
          <w:sz w:val="20"/>
          <w:szCs w:val="20"/>
        </w:rPr>
        <w:t>b</w:t>
      </w:r>
      <w:r w:rsidRPr="00E21C60">
        <w:rPr>
          <w:rFonts w:ascii="Arial" w:hAnsi="Arial" w:cs="Arial"/>
          <w:sz w:val="20"/>
          <w:szCs w:val="20"/>
        </w:rPr>
        <w:t>:</w:t>
      </w:r>
      <w:r w:rsidRPr="00123376">
        <w:rPr>
          <w:rFonts w:ascii="Arial" w:hAnsi="Arial" w:cs="Arial"/>
          <w:sz w:val="20"/>
          <w:szCs w:val="20"/>
        </w:rPr>
        <w:t xml:space="preserve"> </w:t>
      </w:r>
      <w:r w:rsidRPr="00E21C60">
        <w:rPr>
          <w:rFonts w:ascii="Arial" w:hAnsi="Arial" w:cs="Arial"/>
          <w:sz w:val="20"/>
          <w:szCs w:val="20"/>
        </w:rPr>
        <w:tab/>
      </w:r>
      <w:r w:rsidR="008002B1">
        <w:rPr>
          <w:rFonts w:ascii="Arial" w:hAnsi="Arial" w:cs="Arial"/>
          <w:sz w:val="20"/>
          <w:szCs w:val="20"/>
        </w:rPr>
        <w:t>Súhrnný prehľad f</w:t>
      </w:r>
      <w:r w:rsidR="003112FF">
        <w:rPr>
          <w:rFonts w:ascii="Arial" w:hAnsi="Arial" w:cs="Arial"/>
          <w:sz w:val="20"/>
          <w:szCs w:val="20"/>
        </w:rPr>
        <w:t>ázovan</w:t>
      </w:r>
      <w:r w:rsidR="008002B1">
        <w:rPr>
          <w:rFonts w:ascii="Arial" w:hAnsi="Arial" w:cs="Arial"/>
          <w:sz w:val="20"/>
          <w:szCs w:val="20"/>
        </w:rPr>
        <w:t>ých</w:t>
      </w:r>
      <w:r w:rsidR="003112FF">
        <w:rPr>
          <w:rFonts w:ascii="Arial" w:hAnsi="Arial" w:cs="Arial"/>
          <w:sz w:val="20"/>
          <w:szCs w:val="20"/>
        </w:rPr>
        <w:t xml:space="preserve"> veľk</w:t>
      </w:r>
      <w:r w:rsidR="008002B1">
        <w:rPr>
          <w:rFonts w:ascii="Arial" w:hAnsi="Arial" w:cs="Arial"/>
          <w:sz w:val="20"/>
          <w:szCs w:val="20"/>
        </w:rPr>
        <w:t>ých</w:t>
      </w:r>
      <w:r w:rsidR="003112FF">
        <w:rPr>
          <w:rFonts w:ascii="Arial" w:hAnsi="Arial" w:cs="Arial"/>
          <w:sz w:val="20"/>
          <w:szCs w:val="20"/>
        </w:rPr>
        <w:t xml:space="preserve"> projekt</w:t>
      </w:r>
      <w:r w:rsidR="008002B1">
        <w:rPr>
          <w:rFonts w:ascii="Arial" w:hAnsi="Arial" w:cs="Arial"/>
          <w:sz w:val="20"/>
          <w:szCs w:val="20"/>
        </w:rPr>
        <w:t>ov</w:t>
      </w:r>
    </w:p>
    <w:p w14:paraId="3835B537" w14:textId="14319C61" w:rsidR="0097675D" w:rsidRPr="00123376" w:rsidRDefault="0097675D" w:rsidP="0097675D">
      <w:pPr>
        <w:tabs>
          <w:tab w:val="left" w:pos="1276"/>
        </w:tabs>
        <w:spacing w:before="120" w:after="120"/>
        <w:ind w:left="1276" w:hanging="1276"/>
        <w:rPr>
          <w:rFonts w:ascii="Arial" w:hAnsi="Arial" w:cs="Arial"/>
          <w:sz w:val="20"/>
          <w:szCs w:val="20"/>
        </w:rPr>
      </w:pPr>
      <w:r w:rsidRPr="00123376">
        <w:rPr>
          <w:rFonts w:ascii="Arial" w:hAnsi="Arial" w:cs="Arial"/>
          <w:sz w:val="20"/>
          <w:szCs w:val="20"/>
        </w:rPr>
        <w:t>Príloha č. 8</w:t>
      </w:r>
      <w:r>
        <w:rPr>
          <w:rFonts w:ascii="Arial" w:hAnsi="Arial" w:cs="Arial"/>
          <w:sz w:val="20"/>
          <w:szCs w:val="20"/>
        </w:rPr>
        <w:t>c</w:t>
      </w:r>
      <w:r w:rsidRPr="00E21C60">
        <w:rPr>
          <w:rFonts w:ascii="Arial" w:hAnsi="Arial" w:cs="Arial"/>
          <w:sz w:val="20"/>
          <w:szCs w:val="20"/>
        </w:rPr>
        <w:t>:</w:t>
      </w:r>
      <w:r w:rsidRPr="00123376">
        <w:rPr>
          <w:rFonts w:ascii="Arial" w:hAnsi="Arial" w:cs="Arial"/>
          <w:sz w:val="20"/>
          <w:szCs w:val="20"/>
        </w:rPr>
        <w:t xml:space="preserve"> </w:t>
      </w:r>
      <w:r w:rsidRPr="00E21C60">
        <w:rPr>
          <w:rFonts w:ascii="Arial" w:hAnsi="Arial" w:cs="Arial"/>
          <w:sz w:val="20"/>
          <w:szCs w:val="20"/>
        </w:rPr>
        <w:tab/>
      </w:r>
      <w:r w:rsidR="008002B1">
        <w:rPr>
          <w:rFonts w:ascii="Arial" w:hAnsi="Arial" w:cs="Arial"/>
          <w:sz w:val="20"/>
          <w:szCs w:val="20"/>
        </w:rPr>
        <w:t>Súhrnný prehľad u</w:t>
      </w:r>
      <w:r w:rsidR="003112FF">
        <w:rPr>
          <w:rFonts w:ascii="Arial" w:hAnsi="Arial" w:cs="Arial"/>
          <w:sz w:val="20"/>
          <w:szCs w:val="20"/>
        </w:rPr>
        <w:t>končen</w:t>
      </w:r>
      <w:r w:rsidR="008002B1">
        <w:rPr>
          <w:rFonts w:ascii="Arial" w:hAnsi="Arial" w:cs="Arial"/>
          <w:sz w:val="20"/>
          <w:szCs w:val="20"/>
        </w:rPr>
        <w:t>ých</w:t>
      </w:r>
      <w:r w:rsidR="003112FF">
        <w:rPr>
          <w:rFonts w:ascii="Arial" w:hAnsi="Arial" w:cs="Arial"/>
          <w:sz w:val="20"/>
          <w:szCs w:val="20"/>
        </w:rPr>
        <w:t xml:space="preserve"> projekt</w:t>
      </w:r>
      <w:r w:rsidR="008002B1">
        <w:rPr>
          <w:rFonts w:ascii="Arial" w:hAnsi="Arial" w:cs="Arial"/>
          <w:sz w:val="20"/>
          <w:szCs w:val="20"/>
        </w:rPr>
        <w:t>ov</w:t>
      </w:r>
      <w:r w:rsidR="003112FF">
        <w:rPr>
          <w:rFonts w:ascii="Arial" w:hAnsi="Arial" w:cs="Arial"/>
          <w:sz w:val="20"/>
          <w:szCs w:val="20"/>
        </w:rPr>
        <w:t xml:space="preserve"> od 25 do 50 mil. €</w:t>
      </w:r>
    </w:p>
    <w:p w14:paraId="573060E9" w14:textId="0ABBCF75" w:rsidR="006E5942" w:rsidRPr="00123376" w:rsidRDefault="006E5942" w:rsidP="00123376">
      <w:pPr>
        <w:tabs>
          <w:tab w:val="left" w:pos="1276"/>
        </w:tabs>
        <w:spacing w:before="120" w:after="120"/>
        <w:ind w:left="1276" w:hanging="1276"/>
        <w:rPr>
          <w:rFonts w:ascii="Arial" w:hAnsi="Arial" w:cs="Arial"/>
          <w:sz w:val="20"/>
          <w:szCs w:val="20"/>
        </w:rPr>
      </w:pPr>
      <w:r w:rsidRPr="00123376">
        <w:rPr>
          <w:rFonts w:ascii="Arial" w:hAnsi="Arial" w:cs="Arial"/>
          <w:sz w:val="20"/>
          <w:szCs w:val="20"/>
        </w:rPr>
        <w:t>Príloha č. 9</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Pr="00123376">
        <w:rPr>
          <w:rFonts w:ascii="Arial" w:hAnsi="Arial" w:cs="Arial"/>
          <w:sz w:val="20"/>
          <w:szCs w:val="20"/>
        </w:rPr>
        <w:t>Zoznam schvále</w:t>
      </w:r>
      <w:r w:rsidR="0097675D">
        <w:rPr>
          <w:rFonts w:ascii="Arial" w:hAnsi="Arial" w:cs="Arial"/>
          <w:sz w:val="20"/>
          <w:szCs w:val="20"/>
        </w:rPr>
        <w:t>ných projektov s uvedením stavu</w:t>
      </w:r>
      <w:r w:rsidR="00473D0F">
        <w:rPr>
          <w:rFonts w:ascii="Arial" w:hAnsi="Arial" w:cs="Arial"/>
          <w:sz w:val="20"/>
          <w:szCs w:val="20"/>
        </w:rPr>
        <w:t xml:space="preserve"> k 31.10.2016</w:t>
      </w:r>
    </w:p>
    <w:p w14:paraId="7602B244" w14:textId="77777777" w:rsidR="002416B1" w:rsidRPr="00123376" w:rsidRDefault="006E5942" w:rsidP="00123376">
      <w:pPr>
        <w:tabs>
          <w:tab w:val="left" w:pos="1276"/>
        </w:tabs>
        <w:spacing w:before="120" w:after="120"/>
        <w:ind w:left="1276" w:hanging="1276"/>
        <w:rPr>
          <w:rFonts w:ascii="Arial" w:hAnsi="Arial" w:cs="Arial"/>
          <w:sz w:val="20"/>
          <w:szCs w:val="20"/>
        </w:rPr>
      </w:pPr>
      <w:r w:rsidRPr="00123376">
        <w:rPr>
          <w:rFonts w:ascii="Arial" w:hAnsi="Arial" w:cs="Arial"/>
          <w:sz w:val="20"/>
          <w:szCs w:val="20"/>
        </w:rPr>
        <w:t>Príloha č. 10</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001B5DC0" w:rsidRPr="00123376">
        <w:rPr>
          <w:rFonts w:ascii="Arial" w:hAnsi="Arial" w:cs="Arial"/>
          <w:sz w:val="20"/>
          <w:szCs w:val="20"/>
        </w:rPr>
        <w:t>Príklady dobrej praxe (Informačné listy úspešne zrealizovaných projektov)</w:t>
      </w:r>
    </w:p>
    <w:p w14:paraId="607DE2EC" w14:textId="4785C717" w:rsidR="006F27FC" w:rsidRDefault="00056597" w:rsidP="008A1902">
      <w:pPr>
        <w:tabs>
          <w:tab w:val="left" w:pos="1276"/>
        </w:tabs>
        <w:spacing w:before="120" w:after="120"/>
        <w:ind w:left="1276" w:hanging="1276"/>
        <w:rPr>
          <w:rFonts w:ascii="Arial" w:hAnsi="Arial" w:cs="Arial"/>
          <w:sz w:val="20"/>
          <w:szCs w:val="20"/>
        </w:rPr>
      </w:pPr>
      <w:r w:rsidRPr="00123376">
        <w:rPr>
          <w:rFonts w:ascii="Arial" w:hAnsi="Arial" w:cs="Arial"/>
          <w:sz w:val="20"/>
          <w:szCs w:val="20"/>
        </w:rPr>
        <w:t>Príloha č. 11</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006F27FC">
        <w:rPr>
          <w:rFonts w:ascii="Arial" w:hAnsi="Arial" w:cs="Arial"/>
          <w:sz w:val="20"/>
          <w:szCs w:val="20"/>
        </w:rPr>
        <w:t>Vykazovanie hodnôt kľúčových (</w:t>
      </w:r>
      <w:r w:rsidR="006F27FC" w:rsidRPr="00123376">
        <w:rPr>
          <w:rFonts w:ascii="Arial" w:hAnsi="Arial" w:cs="Arial"/>
          <w:sz w:val="20"/>
          <w:szCs w:val="20"/>
        </w:rPr>
        <w:t>CORE</w:t>
      </w:r>
      <w:r w:rsidR="006F27FC">
        <w:rPr>
          <w:rFonts w:ascii="Arial" w:hAnsi="Arial" w:cs="Arial"/>
          <w:sz w:val="20"/>
          <w:szCs w:val="20"/>
        </w:rPr>
        <w:t>)</w:t>
      </w:r>
      <w:r w:rsidR="006F27FC" w:rsidRPr="00123376">
        <w:rPr>
          <w:rFonts w:ascii="Arial" w:hAnsi="Arial" w:cs="Arial"/>
          <w:sz w:val="20"/>
          <w:szCs w:val="20"/>
        </w:rPr>
        <w:t xml:space="preserve"> </w:t>
      </w:r>
      <w:r w:rsidR="006F27FC">
        <w:rPr>
          <w:rFonts w:ascii="Arial" w:hAnsi="Arial" w:cs="Arial"/>
          <w:sz w:val="20"/>
          <w:szCs w:val="20"/>
        </w:rPr>
        <w:t xml:space="preserve">merateľných </w:t>
      </w:r>
      <w:r w:rsidR="0097675D">
        <w:rPr>
          <w:rFonts w:ascii="Arial" w:hAnsi="Arial" w:cs="Arial"/>
          <w:sz w:val="20"/>
          <w:szCs w:val="20"/>
        </w:rPr>
        <w:t>ukazovateľov</w:t>
      </w:r>
    </w:p>
    <w:p w14:paraId="58775A44" w14:textId="3E22A2CA" w:rsidR="002416B1" w:rsidRDefault="000A51DC" w:rsidP="006F27FC">
      <w:pPr>
        <w:tabs>
          <w:tab w:val="left" w:pos="1276"/>
        </w:tabs>
        <w:spacing w:before="120" w:after="120"/>
        <w:ind w:left="1276" w:hanging="1276"/>
        <w:rPr>
          <w:rFonts w:ascii="Arial" w:hAnsi="Arial" w:cs="Arial"/>
          <w:sz w:val="20"/>
          <w:szCs w:val="20"/>
        </w:rPr>
      </w:pPr>
      <w:r w:rsidRPr="00123376">
        <w:rPr>
          <w:rFonts w:ascii="Arial" w:hAnsi="Arial" w:cs="Arial"/>
          <w:sz w:val="20"/>
          <w:szCs w:val="20"/>
        </w:rPr>
        <w:t>Príloha č. 12</w:t>
      </w:r>
      <w:r w:rsidR="00A93E03" w:rsidRPr="00E21C60">
        <w:rPr>
          <w:rFonts w:ascii="Arial" w:hAnsi="Arial" w:cs="Arial"/>
          <w:sz w:val="20"/>
          <w:szCs w:val="20"/>
        </w:rPr>
        <w:t>:</w:t>
      </w:r>
      <w:r w:rsidRPr="00123376">
        <w:rPr>
          <w:rFonts w:ascii="Arial" w:hAnsi="Arial" w:cs="Arial"/>
          <w:sz w:val="20"/>
          <w:szCs w:val="20"/>
        </w:rPr>
        <w:t xml:space="preserve"> </w:t>
      </w:r>
      <w:r w:rsidR="00A93E03" w:rsidRPr="00E21C60">
        <w:rPr>
          <w:rFonts w:ascii="Arial" w:hAnsi="Arial" w:cs="Arial"/>
          <w:sz w:val="20"/>
          <w:szCs w:val="20"/>
        </w:rPr>
        <w:tab/>
      </w:r>
      <w:r w:rsidRPr="00123376">
        <w:rPr>
          <w:rFonts w:ascii="Arial" w:hAnsi="Arial" w:cs="Arial"/>
          <w:sz w:val="20"/>
          <w:szCs w:val="20"/>
        </w:rPr>
        <w:t>Zoznam mimoriadne ukončených projektov k 31.1</w:t>
      </w:r>
      <w:r w:rsidR="0097675D">
        <w:rPr>
          <w:rFonts w:ascii="Arial" w:hAnsi="Arial" w:cs="Arial"/>
          <w:sz w:val="20"/>
          <w:szCs w:val="20"/>
        </w:rPr>
        <w:t>0</w:t>
      </w:r>
      <w:r w:rsidRPr="00123376">
        <w:rPr>
          <w:rFonts w:ascii="Arial" w:hAnsi="Arial" w:cs="Arial"/>
          <w:sz w:val="20"/>
          <w:szCs w:val="20"/>
        </w:rPr>
        <w:t>.</w:t>
      </w:r>
      <w:r w:rsidR="000204D6" w:rsidRPr="00123376">
        <w:rPr>
          <w:rFonts w:ascii="Arial" w:hAnsi="Arial" w:cs="Arial"/>
          <w:sz w:val="20"/>
          <w:szCs w:val="20"/>
        </w:rPr>
        <w:t>201</w:t>
      </w:r>
      <w:r w:rsidR="0097675D">
        <w:rPr>
          <w:rFonts w:ascii="Arial" w:hAnsi="Arial" w:cs="Arial"/>
          <w:sz w:val="20"/>
          <w:szCs w:val="20"/>
        </w:rPr>
        <w:t>5</w:t>
      </w:r>
    </w:p>
    <w:p w14:paraId="54231B4F" w14:textId="207CFBC6" w:rsidR="008002B1" w:rsidRPr="00E21C60" w:rsidRDefault="008002B1" w:rsidP="006F27FC">
      <w:pPr>
        <w:tabs>
          <w:tab w:val="left" w:pos="1276"/>
        </w:tabs>
        <w:spacing w:before="120" w:after="120"/>
        <w:ind w:left="1276" w:hanging="1276"/>
        <w:rPr>
          <w:rFonts w:ascii="Arial" w:hAnsi="Arial" w:cs="Arial"/>
          <w:smallCaps/>
          <w:sz w:val="22"/>
          <w:szCs w:val="22"/>
        </w:rPr>
      </w:pPr>
      <w:r w:rsidRPr="00B02B87">
        <w:rPr>
          <w:rFonts w:ascii="Arial" w:hAnsi="Arial" w:cs="Arial"/>
          <w:sz w:val="20"/>
          <w:szCs w:val="20"/>
        </w:rPr>
        <w:t xml:space="preserve">Príloha č. 13: </w:t>
      </w:r>
      <w:r w:rsidRPr="00B02B87">
        <w:rPr>
          <w:rFonts w:ascii="Arial" w:hAnsi="Arial" w:cs="Arial"/>
          <w:sz w:val="20"/>
          <w:szCs w:val="20"/>
        </w:rPr>
        <w:tab/>
        <w:t>Súhrnný prehľad nefungujúcich projektov</w:t>
      </w:r>
    </w:p>
    <w:sectPr w:rsidR="008002B1" w:rsidRPr="00E21C60" w:rsidSect="00D230BB">
      <w:headerReference w:type="default" r:id="rId43"/>
      <w:footerReference w:type="even" r:id="rId44"/>
      <w:footerReference w:type="default" r:id="rId45"/>
      <w:footerReference w:type="first" r:id="rId46"/>
      <w:type w:val="continuous"/>
      <w:pgSz w:w="11906" w:h="16838" w:code="9"/>
      <w:pgMar w:top="1043" w:right="1418" w:bottom="1276" w:left="1418"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2F84F7" w14:textId="77777777" w:rsidR="0008447E" w:rsidRDefault="0008447E">
      <w:r>
        <w:separator/>
      </w:r>
    </w:p>
  </w:endnote>
  <w:endnote w:type="continuationSeparator" w:id="0">
    <w:p w14:paraId="334B60AD" w14:textId="77777777" w:rsidR="0008447E" w:rsidRDefault="000844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New York">
    <w:panose1 w:val="02040503060506020304"/>
    <w:charset w:val="00"/>
    <w:family w:val="roman"/>
    <w:notTrueType/>
    <w:pitch w:val="variable"/>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Tw Cen MT">
    <w:panose1 w:val="020B0602020104020603"/>
    <w:charset w:val="EE"/>
    <w:family w:val="swiss"/>
    <w:pitch w:val="variable"/>
    <w:sig w:usb0="00000007" w:usb1="00000000" w:usb2="00000000" w:usb3="00000000" w:csb0="00000003" w:csb1="00000000"/>
  </w:font>
  <w:font w:name="Arial Black">
    <w:panose1 w:val="020B0A040201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EUAlbertina-Regular-Identity-H">
    <w:altName w:val="Arial Unicode MS"/>
    <w:panose1 w:val="00000000000000000000"/>
    <w:charset w:val="80"/>
    <w:family w:val="auto"/>
    <w:notTrueType/>
    <w:pitch w:val="default"/>
    <w:sig w:usb0="00000007" w:usb1="08070000" w:usb2="00000010" w:usb3="00000000" w:csb0="00020003" w:csb1="00000000"/>
  </w:font>
  <w:font w:name="Helvetica">
    <w:panose1 w:val="020B0604020202020204"/>
    <w:charset w:val="00"/>
    <w:family w:val="swiss"/>
    <w:notTrueType/>
    <w:pitch w:val="variable"/>
    <w:sig w:usb0="00000003" w:usb1="00000000" w:usb2="00000000" w:usb3="00000000" w:csb0="00000001"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SimSun">
    <w:altName w:val="宋体"/>
    <w:panose1 w:val="02010600030101010101"/>
    <w:charset w:val="86"/>
    <w:family w:val="auto"/>
    <w:notTrueType/>
    <w:pitch w:val="variable"/>
    <w:sig w:usb0="00000001" w:usb1="080E0000" w:usb2="00000010" w:usb3="00000000" w:csb0="00040000" w:csb1="00000000"/>
  </w:font>
  <w:font w:name="font293">
    <w:altName w:val="Times New Roman"/>
    <w:charset w:val="EE"/>
    <w:family w:val="auto"/>
    <w:pitch w:val="variable"/>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EC58AD" w14:textId="77777777" w:rsidR="0008447E" w:rsidRDefault="0008447E" w:rsidP="00FF403E">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111297BA" w14:textId="77777777" w:rsidR="0008447E" w:rsidRDefault="0008447E" w:rsidP="005019D4">
    <w:pPr>
      <w:pStyle w:val="Pt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9D1DEB" w14:textId="77777777" w:rsidR="0008447E" w:rsidRPr="00A47A8A" w:rsidRDefault="0008447E" w:rsidP="00BD72B7">
    <w:pPr>
      <w:pStyle w:val="Pta"/>
      <w:framePr w:wrap="around" w:vAnchor="text" w:hAnchor="margin" w:xAlign="right" w:y="1"/>
      <w:rPr>
        <w:rStyle w:val="slostrany"/>
        <w:rFonts w:ascii="Arial" w:hAnsi="Arial" w:cs="Arial"/>
        <w:sz w:val="18"/>
        <w:szCs w:val="18"/>
      </w:rPr>
    </w:pPr>
    <w:r w:rsidRPr="00A47A8A">
      <w:rPr>
        <w:rStyle w:val="slostrany"/>
        <w:rFonts w:ascii="Arial" w:hAnsi="Arial" w:cs="Arial"/>
        <w:sz w:val="18"/>
        <w:szCs w:val="18"/>
      </w:rPr>
      <w:fldChar w:fldCharType="begin"/>
    </w:r>
    <w:r w:rsidRPr="00A47A8A">
      <w:rPr>
        <w:rStyle w:val="slostrany"/>
        <w:rFonts w:ascii="Arial" w:hAnsi="Arial" w:cs="Arial"/>
        <w:sz w:val="18"/>
        <w:szCs w:val="18"/>
      </w:rPr>
      <w:instrText xml:space="preserve">PAGE  </w:instrText>
    </w:r>
    <w:r w:rsidRPr="00A47A8A">
      <w:rPr>
        <w:rStyle w:val="slostrany"/>
        <w:rFonts w:ascii="Arial" w:hAnsi="Arial" w:cs="Arial"/>
        <w:sz w:val="18"/>
        <w:szCs w:val="18"/>
      </w:rPr>
      <w:fldChar w:fldCharType="separate"/>
    </w:r>
    <w:r w:rsidR="00D92FB1">
      <w:rPr>
        <w:rStyle w:val="slostrany"/>
        <w:rFonts w:ascii="Arial" w:hAnsi="Arial" w:cs="Arial"/>
        <w:noProof/>
        <w:sz w:val="18"/>
        <w:szCs w:val="18"/>
      </w:rPr>
      <w:t>21</w:t>
    </w:r>
    <w:r w:rsidRPr="00A47A8A">
      <w:rPr>
        <w:rStyle w:val="slostrany"/>
        <w:rFonts w:ascii="Arial" w:hAnsi="Arial" w:cs="Arial"/>
        <w:sz w:val="18"/>
        <w:szCs w:val="18"/>
      </w:rPr>
      <w:fldChar w:fldCharType="end"/>
    </w:r>
  </w:p>
  <w:p w14:paraId="08918B9A" w14:textId="13504494" w:rsidR="0008447E" w:rsidRPr="00A322EA" w:rsidRDefault="0008447E" w:rsidP="00FF403E">
    <w:pPr>
      <w:pStyle w:val="Pta"/>
      <w:ind w:right="360"/>
      <w:jc w:val="center"/>
      <w:rPr>
        <w:rFonts w:ascii="Arial" w:hAnsi="Arial" w:cs="Arial"/>
        <w:b/>
        <w:color w:val="808080"/>
        <w:sz w:val="22"/>
        <w:szCs w:val="22"/>
      </w:rPr>
    </w:pPr>
    <w:r>
      <w:rPr>
        <w:rFonts w:ascii="Arial" w:hAnsi="Arial" w:cs="Arial"/>
        <w:b/>
        <w:color w:val="808080"/>
        <w:sz w:val="22"/>
        <w:szCs w:val="22"/>
      </w:rPr>
      <w:t>Závere</w:t>
    </w:r>
    <w:r w:rsidRPr="00A322EA">
      <w:rPr>
        <w:rFonts w:ascii="Arial" w:hAnsi="Arial" w:cs="Arial"/>
        <w:b/>
        <w:color w:val="808080"/>
        <w:sz w:val="22"/>
        <w:szCs w:val="22"/>
      </w:rPr>
      <w:t>čná správa o vykonávaní OP ŽP</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A7D698" w14:textId="77777777" w:rsidR="0008447E" w:rsidRDefault="0008447E" w:rsidP="00FF403E">
    <w:pPr>
      <w:pStyle w:val="Pta"/>
      <w:jc w:val="center"/>
      <w:rPr>
        <w:rFonts w:ascii="Arial" w:hAnsi="Arial" w:cs="Arial"/>
        <w:b/>
        <w:sz w:val="22"/>
        <w:szCs w:val="22"/>
      </w:rPr>
    </w:pPr>
  </w:p>
  <w:p w14:paraId="60E0571D" w14:textId="56EEC4F3" w:rsidR="0008447E" w:rsidRPr="00A322EA" w:rsidRDefault="0008447E" w:rsidP="00FF403E">
    <w:pPr>
      <w:pStyle w:val="Pta"/>
      <w:jc w:val="center"/>
      <w:rPr>
        <w:rFonts w:ascii="Arial" w:hAnsi="Arial" w:cs="Arial"/>
        <w:b/>
        <w:sz w:val="22"/>
        <w:szCs w:val="22"/>
      </w:rPr>
    </w:pPr>
    <w:r>
      <w:rPr>
        <w:rFonts w:ascii="Arial" w:hAnsi="Arial" w:cs="Arial"/>
        <w:b/>
        <w:sz w:val="22"/>
        <w:szCs w:val="22"/>
      </w:rPr>
      <w:t>Záverečná</w:t>
    </w:r>
    <w:r w:rsidRPr="00A322EA">
      <w:rPr>
        <w:rFonts w:ascii="Arial" w:hAnsi="Arial" w:cs="Arial"/>
        <w:b/>
        <w:sz w:val="22"/>
        <w:szCs w:val="22"/>
      </w:rPr>
      <w:t xml:space="preserve"> správa o vykonávaní OP ŽP </w:t>
    </w:r>
  </w:p>
  <w:p w14:paraId="197AE1D5" w14:textId="77777777" w:rsidR="0008447E" w:rsidRDefault="0008447E">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3053BC" w14:textId="77777777" w:rsidR="0008447E" w:rsidRDefault="0008447E">
      <w:r>
        <w:separator/>
      </w:r>
    </w:p>
  </w:footnote>
  <w:footnote w:type="continuationSeparator" w:id="0">
    <w:p w14:paraId="10CAD843" w14:textId="77777777" w:rsidR="0008447E" w:rsidRDefault="0008447E">
      <w:r>
        <w:continuationSeparator/>
      </w:r>
    </w:p>
  </w:footnote>
  <w:footnote w:id="1">
    <w:p w14:paraId="1087C5D5" w14:textId="2745489E" w:rsidR="0008447E" w:rsidRPr="008A1902" w:rsidRDefault="0008447E" w:rsidP="00F87D11">
      <w:pPr>
        <w:pStyle w:val="Textpoznmkypodiarou"/>
        <w:jc w:val="both"/>
        <w:rPr>
          <w:rFonts w:ascii="Arial" w:hAnsi="Arial" w:cs="Arial"/>
          <w:sz w:val="16"/>
          <w:szCs w:val="16"/>
        </w:rPr>
      </w:pPr>
      <w:r w:rsidRPr="008A1902">
        <w:rPr>
          <w:rStyle w:val="Odkaznapoznmkupodiarou"/>
          <w:rFonts w:ascii="Arial" w:hAnsi="Arial" w:cs="Arial"/>
          <w:sz w:val="16"/>
          <w:szCs w:val="16"/>
        </w:rPr>
        <w:footnoteRef/>
      </w:r>
      <w:r w:rsidRPr="008A1902">
        <w:rPr>
          <w:rFonts w:ascii="Arial" w:hAnsi="Arial" w:cs="Arial"/>
          <w:sz w:val="16"/>
          <w:szCs w:val="16"/>
        </w:rPr>
        <w:t xml:space="preserve"> Pri príprave </w:t>
      </w:r>
      <w:r>
        <w:rPr>
          <w:rFonts w:ascii="Arial" w:hAnsi="Arial" w:cs="Arial"/>
          <w:sz w:val="16"/>
          <w:szCs w:val="16"/>
        </w:rPr>
        <w:t>závere</w:t>
      </w:r>
      <w:r w:rsidRPr="008A1902">
        <w:rPr>
          <w:rFonts w:ascii="Arial" w:hAnsi="Arial" w:cs="Arial"/>
          <w:sz w:val="16"/>
          <w:szCs w:val="16"/>
        </w:rPr>
        <w:t xml:space="preserve">čnej správy postupoval RO pre OP ŽP v súlade s Metodickým pokynom CKO č. 9 k obsahu výročnej a záverečnej správy o </w:t>
      </w:r>
      <w:r>
        <w:rPr>
          <w:rFonts w:ascii="Arial" w:hAnsi="Arial" w:cs="Arial"/>
          <w:sz w:val="16"/>
          <w:szCs w:val="16"/>
        </w:rPr>
        <w:t xml:space="preserve">vykonávaní operačného programu, </w:t>
      </w:r>
      <w:r w:rsidRPr="008A1902">
        <w:rPr>
          <w:rFonts w:ascii="Arial" w:hAnsi="Arial" w:cs="Arial"/>
          <w:sz w:val="16"/>
          <w:szCs w:val="16"/>
        </w:rPr>
        <w:t xml:space="preserve">aktualizácia č. </w:t>
      </w:r>
      <w:r>
        <w:rPr>
          <w:rFonts w:ascii="Arial" w:hAnsi="Arial" w:cs="Arial"/>
          <w:sz w:val="16"/>
          <w:szCs w:val="16"/>
        </w:rPr>
        <w:t>6 (ďalej len „metodický pokyn CKO č. 9“)</w:t>
      </w:r>
      <w:r w:rsidRPr="008A1902">
        <w:rPr>
          <w:rFonts w:ascii="Arial" w:hAnsi="Arial" w:cs="Arial"/>
          <w:sz w:val="16"/>
          <w:szCs w:val="16"/>
        </w:rPr>
        <w:t>.</w:t>
      </w:r>
    </w:p>
  </w:footnote>
  <w:footnote w:id="2">
    <w:p w14:paraId="63B000C9" w14:textId="77777777" w:rsidR="0008447E" w:rsidRPr="00397B34" w:rsidRDefault="0008447E" w:rsidP="00D40F69">
      <w:pPr>
        <w:pStyle w:val="Textpoznmkypodiarou"/>
        <w:rPr>
          <w:rFonts w:ascii="Arial" w:hAnsi="Arial" w:cs="Arial"/>
          <w:sz w:val="16"/>
          <w:szCs w:val="16"/>
        </w:rPr>
      </w:pPr>
      <w:r w:rsidRPr="00397B34">
        <w:rPr>
          <w:rStyle w:val="Odkaznapoznmkupodiarou"/>
          <w:rFonts w:ascii="Arial" w:hAnsi="Arial" w:cs="Arial"/>
          <w:sz w:val="16"/>
          <w:szCs w:val="16"/>
        </w:rPr>
        <w:footnoteRef/>
      </w:r>
      <w:r w:rsidRPr="00397B34">
        <w:rPr>
          <w:rFonts w:ascii="Arial" w:hAnsi="Arial" w:cs="Arial"/>
          <w:sz w:val="16"/>
          <w:szCs w:val="16"/>
        </w:rPr>
        <w:t xml:space="preserve"> Agregované emisie skleníkových plynov vyjadrených ako ekvivalent CO</w:t>
      </w:r>
      <w:r w:rsidRPr="00397B34">
        <w:rPr>
          <w:rFonts w:ascii="Arial" w:hAnsi="Arial" w:cs="Arial"/>
          <w:sz w:val="16"/>
          <w:szCs w:val="16"/>
          <w:vertAlign w:val="subscript"/>
        </w:rPr>
        <w:t>2</w:t>
      </w:r>
      <w:r w:rsidRPr="00397B34">
        <w:rPr>
          <w:rFonts w:ascii="Arial" w:hAnsi="Arial" w:cs="Arial"/>
          <w:sz w:val="16"/>
          <w:szCs w:val="16"/>
        </w:rPr>
        <w:t xml:space="preserve"> prepočítané cez GWP </w:t>
      </w:r>
    </w:p>
  </w:footnote>
  <w:footnote w:id="3">
    <w:p w14:paraId="721B0E49" w14:textId="2469360D" w:rsidR="0008447E" w:rsidRPr="00397B34" w:rsidRDefault="0008447E" w:rsidP="00D40F69">
      <w:pPr>
        <w:pStyle w:val="Textpoznmkypodiarou"/>
        <w:jc w:val="both"/>
        <w:rPr>
          <w:rFonts w:ascii="Arial" w:hAnsi="Arial" w:cs="Arial"/>
          <w:sz w:val="16"/>
          <w:szCs w:val="16"/>
        </w:rPr>
      </w:pPr>
      <w:r w:rsidRPr="00397B34">
        <w:rPr>
          <w:rStyle w:val="Odkaznapoznmkupodiarou"/>
          <w:rFonts w:ascii="Arial" w:hAnsi="Arial" w:cs="Arial"/>
          <w:sz w:val="16"/>
          <w:szCs w:val="16"/>
        </w:rPr>
        <w:footnoteRef/>
      </w:r>
      <w:r w:rsidRPr="00397B34">
        <w:rPr>
          <w:rFonts w:ascii="Arial" w:hAnsi="Arial" w:cs="Arial"/>
          <w:sz w:val="16"/>
          <w:szCs w:val="16"/>
        </w:rPr>
        <w:t xml:space="preserve"> Údaj podľa projekcií emisií skleníkových plynov SR –</w:t>
      </w:r>
      <w:r>
        <w:rPr>
          <w:rFonts w:ascii="Arial" w:hAnsi="Arial" w:cs="Arial"/>
          <w:sz w:val="16"/>
          <w:szCs w:val="16"/>
        </w:rPr>
        <w:t xml:space="preserve"> scenár s opatreniami, r. 2005. </w:t>
      </w:r>
      <w:r w:rsidRPr="00397B34">
        <w:rPr>
          <w:rFonts w:ascii="Arial" w:hAnsi="Arial" w:cs="Arial"/>
          <w:sz w:val="16"/>
          <w:szCs w:val="16"/>
        </w:rPr>
        <w:t xml:space="preserve">Podľa projekcií  sa emisie skleníkových plynov s rastom HDP zvyšujú. Cieľom podpory projektov v rámci prioritnej osi </w:t>
      </w:r>
      <w:r>
        <w:rPr>
          <w:rFonts w:ascii="Arial" w:hAnsi="Arial" w:cs="Arial"/>
          <w:sz w:val="16"/>
          <w:szCs w:val="16"/>
        </w:rPr>
        <w:t>3</w:t>
      </w:r>
      <w:r w:rsidRPr="00397B34">
        <w:rPr>
          <w:rFonts w:ascii="Arial" w:hAnsi="Arial" w:cs="Arial"/>
          <w:sz w:val="16"/>
          <w:szCs w:val="16"/>
        </w:rPr>
        <w:t xml:space="preserve"> je spomalenie rastu emisií skleníkových plynov vo vzťahu k rastu HDP (decoupling). </w:t>
      </w:r>
      <w:r>
        <w:rPr>
          <w:rFonts w:ascii="Arial" w:hAnsi="Arial" w:cs="Arial"/>
          <w:sz w:val="16"/>
          <w:szCs w:val="16"/>
        </w:rPr>
        <w:t>P</w:t>
      </w:r>
      <w:r w:rsidRPr="00244495">
        <w:rPr>
          <w:rFonts w:ascii="Arial" w:hAnsi="Arial" w:cs="Arial"/>
          <w:sz w:val="16"/>
          <w:szCs w:val="16"/>
        </w:rPr>
        <w:t xml:space="preserve">odľa </w:t>
      </w:r>
      <w:r>
        <w:rPr>
          <w:rFonts w:ascii="Arial" w:hAnsi="Arial" w:cs="Arial"/>
          <w:sz w:val="16"/>
          <w:szCs w:val="16"/>
        </w:rPr>
        <w:t xml:space="preserve">aktualizovaných </w:t>
      </w:r>
      <w:r w:rsidRPr="00244495">
        <w:rPr>
          <w:rFonts w:ascii="Arial" w:hAnsi="Arial" w:cs="Arial"/>
          <w:sz w:val="16"/>
          <w:szCs w:val="16"/>
        </w:rPr>
        <w:t>projekcií emisií skleníkových plynov SR – scenár s</w:t>
      </w:r>
      <w:r>
        <w:rPr>
          <w:rFonts w:ascii="Arial" w:hAnsi="Arial" w:cs="Arial"/>
          <w:sz w:val="16"/>
          <w:szCs w:val="16"/>
        </w:rPr>
        <w:t> </w:t>
      </w:r>
      <w:r w:rsidRPr="00244495">
        <w:rPr>
          <w:rFonts w:ascii="Arial" w:hAnsi="Arial" w:cs="Arial"/>
          <w:sz w:val="16"/>
          <w:szCs w:val="16"/>
        </w:rPr>
        <w:t>opatreniami</w:t>
      </w:r>
      <w:r>
        <w:rPr>
          <w:rFonts w:ascii="Arial" w:hAnsi="Arial" w:cs="Arial"/>
          <w:sz w:val="16"/>
          <w:szCs w:val="16"/>
        </w:rPr>
        <w:t xml:space="preserve"> z</w:t>
      </w:r>
      <w:r w:rsidRPr="00244495">
        <w:rPr>
          <w:rFonts w:ascii="Arial" w:hAnsi="Arial" w:cs="Arial"/>
          <w:sz w:val="16"/>
          <w:szCs w:val="16"/>
        </w:rPr>
        <w:t xml:space="preserve"> </w:t>
      </w:r>
      <w:r w:rsidRPr="00AB78F4">
        <w:rPr>
          <w:rFonts w:ascii="Arial" w:hAnsi="Arial" w:cs="Arial"/>
          <w:sz w:val="16"/>
          <w:szCs w:val="16"/>
        </w:rPr>
        <w:t xml:space="preserve">roku </w:t>
      </w:r>
      <w:r w:rsidRPr="00781EDD">
        <w:rPr>
          <w:rFonts w:ascii="Arial" w:hAnsi="Arial" w:cs="Arial"/>
          <w:sz w:val="16"/>
          <w:szCs w:val="16"/>
        </w:rPr>
        <w:t>2015</w:t>
      </w:r>
      <w:r w:rsidRPr="00265C94">
        <w:rPr>
          <w:rFonts w:ascii="Arial" w:hAnsi="Arial" w:cs="Arial"/>
          <w:sz w:val="16"/>
          <w:szCs w:val="16"/>
        </w:rPr>
        <w:t xml:space="preserve"> bola</w:t>
      </w:r>
      <w:r>
        <w:rPr>
          <w:rFonts w:ascii="Arial" w:hAnsi="Arial" w:cs="Arial"/>
          <w:sz w:val="16"/>
          <w:szCs w:val="16"/>
        </w:rPr>
        <w:t xml:space="preserve"> stanovená aktuálna cieľová hodnota pre rok 2015, a to 43 966 tis. ton CO</w:t>
      </w:r>
      <w:r w:rsidRPr="00C640DE">
        <w:rPr>
          <w:rFonts w:ascii="Arial" w:hAnsi="Arial" w:cs="Arial"/>
          <w:sz w:val="16"/>
          <w:szCs w:val="16"/>
          <w:vertAlign w:val="subscript"/>
        </w:rPr>
        <w:t>2</w:t>
      </w:r>
      <w:r>
        <w:rPr>
          <w:rFonts w:ascii="Arial" w:hAnsi="Arial" w:cs="Arial"/>
          <w:sz w:val="16"/>
          <w:szCs w:val="16"/>
        </w:rPr>
        <w:t xml:space="preserve"> </w:t>
      </w:r>
      <w:r w:rsidRPr="00C640DE">
        <w:rPr>
          <w:rFonts w:ascii="Arial" w:hAnsi="Arial" w:cs="Arial"/>
          <w:sz w:val="16"/>
          <w:szCs w:val="16"/>
        </w:rPr>
        <w:t>ekv.</w:t>
      </w:r>
      <w:r>
        <w:rPr>
          <w:rFonts w:ascii="Arial" w:hAnsi="Arial" w:cs="Arial"/>
          <w:sz w:val="16"/>
          <w:szCs w:val="16"/>
        </w:rPr>
        <w:t xml:space="preserve"> (</w:t>
      </w:r>
      <w:r w:rsidRPr="001D1B51">
        <w:rPr>
          <w:rFonts w:ascii="Arial" w:hAnsi="Arial" w:cs="Arial"/>
          <w:i/>
          <w:iCs/>
          <w:sz w:val="16"/>
          <w:szCs w:val="16"/>
        </w:rPr>
        <w:t>Druhá dvojročná správa SR o zmene klímy http://unfccc.int/national_reports/biennial_reports_and_iar/submitted_biennial_reports/items/7550.phpŠiesta</w:t>
      </w:r>
      <w:r>
        <w:rPr>
          <w:rFonts w:ascii="Arial" w:hAnsi="Arial" w:cs="Arial"/>
          <w:i/>
          <w:iCs/>
          <w:sz w:val="16"/>
          <w:szCs w:val="16"/>
        </w:rPr>
        <w:t>)</w:t>
      </w:r>
      <w:r w:rsidRPr="00EF0531">
        <w:rPr>
          <w:rFonts w:ascii="Arial" w:hAnsi="Arial" w:cs="Arial"/>
          <w:i/>
          <w:iCs/>
          <w:sz w:val="16"/>
          <w:szCs w:val="16"/>
        </w:rPr>
        <w:t>.</w:t>
      </w:r>
    </w:p>
    <w:p w14:paraId="12FFFC9C" w14:textId="0B2D67D6" w:rsidR="0008447E" w:rsidRPr="00397B34" w:rsidRDefault="0008447E" w:rsidP="00912C87">
      <w:pPr>
        <w:autoSpaceDE w:val="0"/>
        <w:autoSpaceDN w:val="0"/>
        <w:adjustRightInd w:val="0"/>
        <w:spacing w:after="120"/>
        <w:jc w:val="both"/>
        <w:rPr>
          <w:rFonts w:ascii="Arial" w:hAnsi="Arial" w:cs="Arial"/>
          <w:i/>
          <w:sz w:val="16"/>
          <w:szCs w:val="16"/>
          <w:lang w:eastAsia="en-US"/>
        </w:rPr>
      </w:pPr>
      <w:r w:rsidRPr="00397B34">
        <w:rPr>
          <w:rFonts w:ascii="Arial" w:hAnsi="Arial" w:cs="Arial"/>
          <w:i/>
          <w:sz w:val="16"/>
          <w:szCs w:val="16"/>
          <w:lang w:eastAsia="en-US"/>
        </w:rPr>
        <w:t>*</w:t>
      </w:r>
      <w:r>
        <w:rPr>
          <w:rFonts w:ascii="Arial" w:hAnsi="Arial" w:cs="Arial"/>
          <w:i/>
          <w:sz w:val="16"/>
          <w:szCs w:val="16"/>
          <w:lang w:eastAsia="en-US"/>
        </w:rPr>
        <w:t>dostupný</w:t>
      </w:r>
      <w:r w:rsidRPr="00397B34">
        <w:rPr>
          <w:rFonts w:ascii="Arial" w:hAnsi="Arial" w:cs="Arial"/>
          <w:i/>
          <w:sz w:val="16"/>
          <w:szCs w:val="16"/>
          <w:lang w:eastAsia="en-US"/>
        </w:rPr>
        <w:t xml:space="preserve"> údaj je za rok 201</w:t>
      </w:r>
      <w:r>
        <w:rPr>
          <w:rFonts w:ascii="Arial" w:hAnsi="Arial" w:cs="Arial"/>
          <w:i/>
          <w:sz w:val="16"/>
          <w:szCs w:val="16"/>
          <w:lang w:eastAsia="en-US"/>
        </w:rPr>
        <w:t>3</w:t>
      </w:r>
    </w:p>
  </w:footnote>
  <w:footnote w:id="4">
    <w:p w14:paraId="018AAA58" w14:textId="77777777" w:rsidR="0008447E" w:rsidRDefault="0008447E" w:rsidP="00B14F9A">
      <w:pPr>
        <w:pStyle w:val="Textpoznmkypodiarou"/>
        <w:jc w:val="both"/>
      </w:pPr>
      <w:r>
        <w:rPr>
          <w:rStyle w:val="Odkaznapoznmkupodiarou"/>
          <w:rFonts w:ascii="Arial" w:hAnsi="Arial" w:cs="Arial"/>
          <w:sz w:val="16"/>
          <w:szCs w:val="16"/>
        </w:rPr>
        <w:footnoteRef/>
      </w:r>
      <w:r>
        <w:rPr>
          <w:rFonts w:ascii="Arial" w:hAnsi="Arial" w:cs="Arial"/>
          <w:sz w:val="16"/>
          <w:szCs w:val="16"/>
        </w:rPr>
        <w:t xml:space="preserve"> Ide o územia vyhlásené SR v procese vyhlasovania navrhovaných chránených vtáčích území za chránené vtáčie územia a o vyhlasovania území európskeho významu (schválených EK) podľa článku 4 ods. 4 smernice o biotopoch</w:t>
      </w:r>
      <w:r>
        <w:t xml:space="preserve"> </w:t>
      </w:r>
    </w:p>
  </w:footnote>
  <w:footnote w:id="5">
    <w:p w14:paraId="5477789D" w14:textId="720F7FBD" w:rsidR="0008447E" w:rsidRDefault="0008447E">
      <w:pPr>
        <w:pStyle w:val="Textpoznmkypodiarou"/>
      </w:pPr>
      <w:r>
        <w:rPr>
          <w:rStyle w:val="Odkaznapoznmkupodiarou"/>
        </w:rPr>
        <w:footnoteRef/>
      </w:r>
      <w:r>
        <w:t xml:space="preserve"> </w:t>
      </w:r>
      <w:r w:rsidRPr="00202344">
        <w:rPr>
          <w:rFonts w:ascii="Arial" w:hAnsi="Arial" w:cs="Arial"/>
          <w:sz w:val="16"/>
          <w:szCs w:val="16"/>
        </w:rPr>
        <w:t xml:space="preserve">Z uvedeného počtu bola jedna výzva v oblasti odpadového hospodárstva (OPZP-PO1-11-1) s alokáciou o výške 45 mil. </w:t>
      </w:r>
      <w:r>
        <w:rPr>
          <w:rFonts w:ascii="Arial" w:hAnsi="Arial" w:cs="Arial"/>
          <w:sz w:val="16"/>
          <w:szCs w:val="16"/>
        </w:rPr>
        <w:t>€</w:t>
      </w:r>
      <w:r w:rsidRPr="00202344">
        <w:rPr>
          <w:rFonts w:ascii="Arial" w:hAnsi="Arial" w:cs="Arial"/>
          <w:sz w:val="16"/>
          <w:szCs w:val="16"/>
        </w:rPr>
        <w:t xml:space="preserve"> zrušená, preto nie je zahrnutá </w:t>
      </w:r>
      <w:r>
        <w:rPr>
          <w:rFonts w:ascii="Arial" w:hAnsi="Arial" w:cs="Arial"/>
          <w:sz w:val="16"/>
          <w:szCs w:val="16"/>
        </w:rPr>
        <w:t xml:space="preserve">ani </w:t>
      </w:r>
      <w:r w:rsidRPr="00202344">
        <w:rPr>
          <w:rFonts w:ascii="Arial" w:hAnsi="Arial" w:cs="Arial"/>
          <w:sz w:val="16"/>
          <w:szCs w:val="16"/>
        </w:rPr>
        <w:t>do tab</w:t>
      </w:r>
      <w:r>
        <w:rPr>
          <w:rFonts w:ascii="Arial" w:hAnsi="Arial" w:cs="Arial"/>
          <w:sz w:val="16"/>
          <w:szCs w:val="16"/>
        </w:rPr>
        <w:t>u</w:t>
      </w:r>
      <w:r w:rsidRPr="00202344">
        <w:rPr>
          <w:rFonts w:ascii="Arial" w:hAnsi="Arial" w:cs="Arial"/>
          <w:sz w:val="16"/>
          <w:szCs w:val="16"/>
        </w:rPr>
        <w:t>ľkového prehľadu.</w:t>
      </w:r>
    </w:p>
  </w:footnote>
  <w:footnote w:id="6">
    <w:p w14:paraId="7500C099" w14:textId="00F75A90" w:rsidR="0008447E" w:rsidRDefault="0008447E">
      <w:pPr>
        <w:pStyle w:val="Textpoznmkypodiarou"/>
      </w:pPr>
      <w:r>
        <w:rPr>
          <w:rStyle w:val="Odkaznapoznmkupodiarou"/>
        </w:rPr>
        <w:footnoteRef/>
      </w:r>
      <w:r>
        <w:t xml:space="preserve"> </w:t>
      </w:r>
      <w:r w:rsidRPr="00917609">
        <w:t>Spolupracujúcimi orgánmi boli do 31. 12. 2015 Správy finančnej kontroly Bratislava, Zvolen a Košice, ktoré s účinnosťou zákona č. 357/2015 Z. z. o finančnej kontrole a audite a o zmene a doplnení niektorých zákonov (ďalej len „zákon o finančnej kontrole a audite“) boli zrušené, pričom všetky práva a povinnosti prešli k 01. 01. 2016 na Úrad vládneho auditu so sídlom vo Zvolene.</w:t>
      </w:r>
    </w:p>
  </w:footnote>
  <w:footnote w:id="7">
    <w:p w14:paraId="407E03E9" w14:textId="4AB42440" w:rsidR="0008447E" w:rsidRDefault="0008447E">
      <w:pPr>
        <w:pStyle w:val="Textpoznmkypodiarou"/>
      </w:pPr>
      <w:r>
        <w:rPr>
          <w:rStyle w:val="Odkaznapoznmkupodiarou"/>
        </w:rPr>
        <w:footnoteRef/>
      </w:r>
      <w:r>
        <w:t xml:space="preserve"> </w:t>
      </w:r>
      <w:r w:rsidRPr="00917609">
        <w:t>Dňa 01. 01. 2016 sa stal účinným zákon o finančnej kontrole a audite, ktorým sa zákon o finančnej kontrole a vnútornom audite zrušil.</w:t>
      </w:r>
    </w:p>
  </w:footnote>
  <w:footnote w:id="8">
    <w:p w14:paraId="157B5741" w14:textId="538034A5" w:rsidR="0008447E" w:rsidRDefault="0008447E">
      <w:pPr>
        <w:pStyle w:val="Textpoznmkypodiarou"/>
      </w:pPr>
      <w:r>
        <w:rPr>
          <w:rStyle w:val="Odkaznapoznmkupodiarou"/>
        </w:rPr>
        <w:footnoteRef/>
      </w:r>
      <w:r>
        <w:t xml:space="preserve"> </w:t>
      </w:r>
      <w:r w:rsidRPr="00917609">
        <w:t>Slovenská agentúra životného prostredia.</w:t>
      </w:r>
    </w:p>
  </w:footnote>
  <w:footnote w:id="9">
    <w:p w14:paraId="184C1B1A" w14:textId="737B6137" w:rsidR="0008447E" w:rsidRDefault="0008447E" w:rsidP="00B24D7C">
      <w:pPr>
        <w:pStyle w:val="Textpoznmkypodiarou"/>
        <w:jc w:val="both"/>
      </w:pPr>
      <w:r>
        <w:rPr>
          <w:rStyle w:val="Odkaznapoznmkupodiarou"/>
        </w:rPr>
        <w:footnoteRef/>
      </w:r>
      <w:r>
        <w:t xml:space="preserve"> </w:t>
      </w:r>
      <w:r w:rsidRPr="00B24D7C">
        <w:t>Smernica Európskeho parlamentu a Rady 2009/28/ES o podpore využívania energie z obnoviteľných zdrojov energie a o zmene a doplnení a následnom zrušení smerníc 2001/77/ES a 2003/30/ES; Smernica Európskeho parlamentu a Rady 2009/29/ES, ktorou sa mení a dopĺňa smernica 2003/87/ES s cieľom zlepšiť a rozšíriť schému Spoločenstva na obchodovanie s emisnými kvótami skleníkových plynov; Smernica Európskeho parlamentu a Rady 2009/30/ES, ktorou sa mení a dopĺňa smernica 98/70/ES, pokiaľ ide o kvalitu automobilového benzínu, motorovej nafty a plynového oleja a zavedenie mechanizmu na monitorovanie a zníženie emisií skleníkových plynov; Smernica Európskeho parlamentu a Rady 2009/31/ES o geologickom ukladaní oxidu uhličitého a o zmene a doplnení smernice Rady 85/337/EHS, smerníc Európskeho parlamentu a Rady 2000/60/ES, 2001/80/ES, 2004/35/ES, 2006/12/ES, 2008/1/ES a nariadenia (ES) č. 1013/2006; Rozhodnutie Európskeho parlamentu a Rady č. 406/2009/ES o úsilí členských štátov znížiť emisie skleníkových plynov s cieľom splniť záväzky Spoločenstva týkajúce sa zníženia emisií skleníkových plynov do roku 2020.</w:t>
      </w:r>
    </w:p>
  </w:footnote>
  <w:footnote w:id="10">
    <w:p w14:paraId="7113E9B3" w14:textId="0965FCA1" w:rsidR="0008447E" w:rsidRPr="002D195C" w:rsidRDefault="0008447E" w:rsidP="00052D45">
      <w:pPr>
        <w:pStyle w:val="Textpoznmkypodiarou"/>
        <w:rPr>
          <w:sz w:val="16"/>
          <w:szCs w:val="16"/>
        </w:rPr>
      </w:pPr>
      <w:r w:rsidRPr="002D195C">
        <w:rPr>
          <w:rStyle w:val="Odkaznapoznmkupodiarou"/>
          <w:szCs w:val="16"/>
        </w:rPr>
        <w:footnoteRef/>
      </w:r>
      <w:r w:rsidRPr="002D195C">
        <w:rPr>
          <w:sz w:val="16"/>
          <w:szCs w:val="16"/>
        </w:rPr>
        <w:t xml:space="preserve"> len platy zamestnancov</w:t>
      </w:r>
    </w:p>
  </w:footnote>
  <w:footnote w:id="11">
    <w:p w14:paraId="23F95936" w14:textId="28995ADF" w:rsidR="0008447E" w:rsidRPr="002D195C" w:rsidRDefault="0008447E" w:rsidP="00052D45">
      <w:pPr>
        <w:pStyle w:val="Textpoznmkypodiarou"/>
        <w:rPr>
          <w:sz w:val="16"/>
          <w:szCs w:val="16"/>
        </w:rPr>
      </w:pPr>
      <w:r w:rsidRPr="002D195C">
        <w:rPr>
          <w:rStyle w:val="Odkaznapoznmkupodiarou"/>
          <w:szCs w:val="16"/>
        </w:rPr>
        <w:footnoteRef/>
      </w:r>
      <w:r w:rsidRPr="002D195C">
        <w:rPr>
          <w:sz w:val="16"/>
          <w:szCs w:val="16"/>
        </w:rPr>
        <w:t xml:space="preserve"> aj mzdy externých pracovníkov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D341C8" w14:textId="77777777" w:rsidR="0008447E" w:rsidRPr="00587FAE" w:rsidRDefault="0008447E" w:rsidP="00D131D7">
    <w:pPr>
      <w:pStyle w:val="Hlavika"/>
      <w:jc w:val="center"/>
      <w:rPr>
        <w:rFonts w:ascii="Arial" w:hAnsi="Arial"/>
        <w:b/>
        <w:smallCaps/>
        <w:color w:val="808080"/>
        <w14:shadow w14:blurRad="50800" w14:dist="38100" w14:dir="2700000" w14:sx="100000" w14:sy="100000" w14:kx="0" w14:ky="0" w14:algn="tl">
          <w14:srgbClr w14:val="000000">
            <w14:alpha w14:val="60000"/>
          </w14:srgbClr>
        </w14:shadow>
      </w:rPr>
    </w:pPr>
    <w:r w:rsidRPr="00587FAE">
      <w:rPr>
        <w:rFonts w:ascii="Arial" w:hAnsi="Arial"/>
        <w:b/>
        <w:smallCaps/>
        <w:color w:val="808080"/>
        <w14:shadow w14:blurRad="50800" w14:dist="38100" w14:dir="2700000" w14:sx="100000" w14:sy="100000" w14:kx="0" w14:ky="0" w14:algn="tl">
          <w14:srgbClr w14:val="000000">
            <w14:alpha w14:val="60000"/>
          </w14:srgbClr>
        </w14:shadow>
      </w:rPr>
      <w:t>MINISTERSTVO ŽIVOTNÉHO PROSTREDIA SLOVENSKEJ REPUBLIKY</w:t>
    </w:r>
  </w:p>
  <w:p w14:paraId="798F56EA" w14:textId="77777777" w:rsidR="0008447E" w:rsidRPr="00587FAE" w:rsidRDefault="0008447E" w:rsidP="00FF403E">
    <w:pPr>
      <w:pStyle w:val="Hlavika"/>
      <w:jc w:val="center"/>
      <w:rPr>
        <w:rFonts w:ascii="Arial" w:hAnsi="Arial"/>
        <w:b/>
        <w:color w:val="808080"/>
        <w:sz w:val="22"/>
        <w:szCs w:val="22"/>
        <w14:shadow w14:blurRad="50800" w14:dist="38100" w14:dir="2700000" w14:sx="100000" w14:sy="100000" w14:kx="0" w14:ky="0" w14:algn="tl">
          <w14:srgbClr w14:val="000000">
            <w14:alpha w14:val="60000"/>
          </w14:srgbClr>
        </w14:shadow>
      </w:rPr>
    </w:pPr>
    <w:r w:rsidRPr="00587FAE">
      <w:rPr>
        <w:rFonts w:ascii="Arial" w:hAnsi="Arial"/>
        <w:b/>
        <w:color w:val="808080"/>
        <w:sz w:val="22"/>
        <w:szCs w:val="22"/>
        <w14:shadow w14:blurRad="50800" w14:dist="38100" w14:dir="2700000" w14:sx="100000" w14:sy="100000" w14:kx="0" w14:ky="0" w14:algn="tl">
          <w14:srgbClr w14:val="000000">
            <w14:alpha w14:val="60000"/>
          </w14:srgbClr>
        </w14:shadow>
      </w:rPr>
      <w:t xml:space="preserve">riadiaci orgán </w:t>
    </w:r>
  </w:p>
  <w:p w14:paraId="0B06573B" w14:textId="77777777" w:rsidR="0008447E" w:rsidRPr="00587FAE" w:rsidRDefault="0008447E" w:rsidP="00FF403E">
    <w:pPr>
      <w:pStyle w:val="Hlavika"/>
      <w:jc w:val="center"/>
      <w:rPr>
        <w:rFonts w:ascii="Arial" w:hAnsi="Arial"/>
        <w:b/>
        <w:color w:val="808080"/>
        <w:sz w:val="22"/>
        <w:szCs w:val="22"/>
        <w14:shadow w14:blurRad="50800" w14:dist="38100" w14:dir="2700000" w14:sx="100000" w14:sy="100000" w14:kx="0" w14:ky="0" w14:algn="tl">
          <w14:srgbClr w14:val="000000">
            <w14:alpha w14:val="60000"/>
          </w14:srgbClr>
        </w14:shadow>
      </w:rPr>
    </w:pPr>
    <w:r w:rsidRPr="00587FAE">
      <w:rPr>
        <w:rFonts w:ascii="Arial" w:hAnsi="Arial"/>
        <w:b/>
        <w:color w:val="808080"/>
        <w:sz w:val="22"/>
        <w:szCs w:val="22"/>
        <w14:shadow w14:blurRad="50800" w14:dist="38100" w14:dir="2700000" w14:sx="100000" w14:sy="100000" w14:kx="0" w14:ky="0" w14:algn="tl">
          <w14:srgbClr w14:val="000000">
            <w14:alpha w14:val="60000"/>
          </w14:srgbClr>
        </w14:shadow>
      </w:rPr>
      <w:t>pre Operačný program Životné prostredie</w:t>
    </w:r>
  </w:p>
  <w:p w14:paraId="0D4D2E9B" w14:textId="77777777" w:rsidR="0008447E" w:rsidRDefault="0008447E">
    <w:pPr>
      <w:pStyle w:val="Hlavika"/>
    </w:pPr>
  </w:p>
  <w:p w14:paraId="65019E50" w14:textId="77777777" w:rsidR="0008447E" w:rsidRDefault="0008447E">
    <w:pPr>
      <w:pStyle w:val="Hlavik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F65CDA74"/>
    <w:lvl w:ilvl="0">
      <w:start w:val="1"/>
      <w:numFmt w:val="bullet"/>
      <w:pStyle w:val="Zoznamsodrkami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81F04190"/>
    <w:lvl w:ilvl="0">
      <w:start w:val="1"/>
      <w:numFmt w:val="bullet"/>
      <w:pStyle w:val="Zoznamsodrkami"/>
      <w:lvlText w:val=""/>
      <w:lvlJc w:val="left"/>
      <w:pPr>
        <w:tabs>
          <w:tab w:val="num" w:pos="360"/>
        </w:tabs>
        <w:ind w:left="360" w:hanging="360"/>
      </w:pPr>
      <w:rPr>
        <w:rFonts w:ascii="Symbol" w:hAnsi="Symbol" w:hint="default"/>
      </w:rPr>
    </w:lvl>
  </w:abstractNum>
  <w:abstractNum w:abstractNumId="2" w15:restartNumberingAfterBreak="0">
    <w:nsid w:val="00000005"/>
    <w:multiLevelType w:val="singleLevel"/>
    <w:tmpl w:val="00000005"/>
    <w:name w:val="WW8Num8"/>
    <w:lvl w:ilvl="0">
      <w:start w:val="1"/>
      <w:numFmt w:val="lowerLetter"/>
      <w:lvlText w:val="%1)"/>
      <w:lvlJc w:val="left"/>
      <w:pPr>
        <w:tabs>
          <w:tab w:val="num" w:pos="720"/>
        </w:tabs>
        <w:ind w:left="720" w:hanging="360"/>
      </w:pPr>
      <w:rPr>
        <w:rFonts w:cs="Times New Roman"/>
      </w:rPr>
    </w:lvl>
  </w:abstractNum>
  <w:abstractNum w:abstractNumId="3" w15:restartNumberingAfterBreak="0">
    <w:nsid w:val="0000000E"/>
    <w:multiLevelType w:val="multilevel"/>
    <w:tmpl w:val="0000000E"/>
    <w:name w:val="WWNum17"/>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4" w15:restartNumberingAfterBreak="0">
    <w:nsid w:val="03B86B7F"/>
    <w:multiLevelType w:val="hybridMultilevel"/>
    <w:tmpl w:val="081C868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03F622D1"/>
    <w:multiLevelType w:val="hybridMultilevel"/>
    <w:tmpl w:val="C914A8C4"/>
    <w:lvl w:ilvl="0" w:tplc="B64ADE5A">
      <w:start w:val="1"/>
      <w:numFmt w:val="decimal"/>
      <w:lvlText w:val="%1."/>
      <w:lvlJc w:val="left"/>
      <w:pPr>
        <w:ind w:left="720" w:hanging="360"/>
      </w:pPr>
      <w:rPr>
        <w:rFonts w:hint="default"/>
        <w: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07980FDB"/>
    <w:multiLevelType w:val="hybridMultilevel"/>
    <w:tmpl w:val="98C43D7E"/>
    <w:lvl w:ilvl="0" w:tplc="041B0001">
      <w:start w:val="1"/>
      <w:numFmt w:val="bullet"/>
      <w:lvlText w:val=""/>
      <w:lvlJc w:val="left"/>
      <w:pPr>
        <w:ind w:left="720" w:hanging="360"/>
      </w:pPr>
      <w:rPr>
        <w:rFonts w:ascii="Symbol" w:hAnsi="Symbol" w:hint="default"/>
      </w:rPr>
    </w:lvl>
    <w:lvl w:ilvl="1" w:tplc="7C82F538">
      <w:numFmt w:val="bullet"/>
      <w:lvlText w:val="•"/>
      <w:lvlJc w:val="left"/>
      <w:pPr>
        <w:ind w:left="1440" w:hanging="360"/>
      </w:pPr>
      <w:rPr>
        <w:rFonts w:ascii="Arial" w:eastAsia="Times New Roman" w:hAnsi="Arial" w:cs="Aria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08B002EF"/>
    <w:multiLevelType w:val="hybridMultilevel"/>
    <w:tmpl w:val="82649470"/>
    <w:lvl w:ilvl="0" w:tplc="F74E2F0E">
      <w:numFmt w:val="bullet"/>
      <w:lvlText w:val="-"/>
      <w:lvlJc w:val="left"/>
      <w:pPr>
        <w:tabs>
          <w:tab w:val="num" w:pos="720"/>
        </w:tabs>
        <w:ind w:left="720" w:hanging="360"/>
      </w:pPr>
      <w:rPr>
        <w:rFonts w:ascii="Arial Narrow" w:eastAsia="Times New Roman" w:hAnsi="Arial Narrow"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943063E"/>
    <w:multiLevelType w:val="hybridMultilevel"/>
    <w:tmpl w:val="CBAE74A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9BA42D9"/>
    <w:multiLevelType w:val="hybridMultilevel"/>
    <w:tmpl w:val="EF00660C"/>
    <w:lvl w:ilvl="0" w:tplc="041B000F">
      <w:start w:val="1"/>
      <w:numFmt w:val="decimal"/>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0A602AF5"/>
    <w:multiLevelType w:val="hybridMultilevel"/>
    <w:tmpl w:val="B058C6F0"/>
    <w:lvl w:ilvl="0" w:tplc="041B0017">
      <w:start w:val="9"/>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B001E8A"/>
    <w:multiLevelType w:val="hybridMultilevel"/>
    <w:tmpl w:val="8DCEB792"/>
    <w:lvl w:ilvl="0" w:tplc="F74E2F0E">
      <w:numFmt w:val="bullet"/>
      <w:lvlText w:val="-"/>
      <w:lvlJc w:val="left"/>
      <w:pPr>
        <w:ind w:left="720" w:hanging="360"/>
      </w:pPr>
      <w:rPr>
        <w:rFonts w:ascii="Arial Narrow" w:eastAsia="Times New Roman"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B7F3D0C"/>
    <w:multiLevelType w:val="hybridMultilevel"/>
    <w:tmpl w:val="1B30539E"/>
    <w:lvl w:ilvl="0" w:tplc="5C6617D8">
      <w:start w:val="1"/>
      <w:numFmt w:val="bullet"/>
      <w:lvlText w:val="-"/>
      <w:lvlJc w:val="left"/>
      <w:pPr>
        <w:ind w:left="719" w:hanging="360"/>
      </w:pPr>
      <w:rPr>
        <w:rFonts w:ascii="Times New Roman" w:eastAsia="Times New Roman" w:hAnsi="Times New Roman" w:hint="default"/>
      </w:rPr>
    </w:lvl>
    <w:lvl w:ilvl="1" w:tplc="041B0003" w:tentative="1">
      <w:start w:val="1"/>
      <w:numFmt w:val="bullet"/>
      <w:lvlText w:val="o"/>
      <w:lvlJc w:val="left"/>
      <w:pPr>
        <w:ind w:left="1439" w:hanging="360"/>
      </w:pPr>
      <w:rPr>
        <w:rFonts w:ascii="Courier New" w:hAnsi="Courier New" w:cs="Courier New" w:hint="default"/>
      </w:rPr>
    </w:lvl>
    <w:lvl w:ilvl="2" w:tplc="041B0005" w:tentative="1">
      <w:start w:val="1"/>
      <w:numFmt w:val="bullet"/>
      <w:lvlText w:val=""/>
      <w:lvlJc w:val="left"/>
      <w:pPr>
        <w:ind w:left="2159" w:hanging="360"/>
      </w:pPr>
      <w:rPr>
        <w:rFonts w:ascii="Wingdings" w:hAnsi="Wingdings" w:hint="default"/>
      </w:rPr>
    </w:lvl>
    <w:lvl w:ilvl="3" w:tplc="041B0001" w:tentative="1">
      <w:start w:val="1"/>
      <w:numFmt w:val="bullet"/>
      <w:lvlText w:val=""/>
      <w:lvlJc w:val="left"/>
      <w:pPr>
        <w:ind w:left="2879" w:hanging="360"/>
      </w:pPr>
      <w:rPr>
        <w:rFonts w:ascii="Symbol" w:hAnsi="Symbol" w:hint="default"/>
      </w:rPr>
    </w:lvl>
    <w:lvl w:ilvl="4" w:tplc="041B0003" w:tentative="1">
      <w:start w:val="1"/>
      <w:numFmt w:val="bullet"/>
      <w:lvlText w:val="o"/>
      <w:lvlJc w:val="left"/>
      <w:pPr>
        <w:ind w:left="3599" w:hanging="360"/>
      </w:pPr>
      <w:rPr>
        <w:rFonts w:ascii="Courier New" w:hAnsi="Courier New" w:cs="Courier New" w:hint="default"/>
      </w:rPr>
    </w:lvl>
    <w:lvl w:ilvl="5" w:tplc="041B0005" w:tentative="1">
      <w:start w:val="1"/>
      <w:numFmt w:val="bullet"/>
      <w:lvlText w:val=""/>
      <w:lvlJc w:val="left"/>
      <w:pPr>
        <w:ind w:left="4319" w:hanging="360"/>
      </w:pPr>
      <w:rPr>
        <w:rFonts w:ascii="Wingdings" w:hAnsi="Wingdings" w:hint="default"/>
      </w:rPr>
    </w:lvl>
    <w:lvl w:ilvl="6" w:tplc="041B0001" w:tentative="1">
      <w:start w:val="1"/>
      <w:numFmt w:val="bullet"/>
      <w:lvlText w:val=""/>
      <w:lvlJc w:val="left"/>
      <w:pPr>
        <w:ind w:left="5039" w:hanging="360"/>
      </w:pPr>
      <w:rPr>
        <w:rFonts w:ascii="Symbol" w:hAnsi="Symbol" w:hint="default"/>
      </w:rPr>
    </w:lvl>
    <w:lvl w:ilvl="7" w:tplc="041B0003" w:tentative="1">
      <w:start w:val="1"/>
      <w:numFmt w:val="bullet"/>
      <w:lvlText w:val="o"/>
      <w:lvlJc w:val="left"/>
      <w:pPr>
        <w:ind w:left="5759" w:hanging="360"/>
      </w:pPr>
      <w:rPr>
        <w:rFonts w:ascii="Courier New" w:hAnsi="Courier New" w:cs="Courier New" w:hint="default"/>
      </w:rPr>
    </w:lvl>
    <w:lvl w:ilvl="8" w:tplc="041B0005" w:tentative="1">
      <w:start w:val="1"/>
      <w:numFmt w:val="bullet"/>
      <w:lvlText w:val=""/>
      <w:lvlJc w:val="left"/>
      <w:pPr>
        <w:ind w:left="6479" w:hanging="360"/>
      </w:pPr>
      <w:rPr>
        <w:rFonts w:ascii="Wingdings" w:hAnsi="Wingdings" w:hint="default"/>
      </w:rPr>
    </w:lvl>
  </w:abstractNum>
  <w:abstractNum w:abstractNumId="13" w15:restartNumberingAfterBreak="0">
    <w:nsid w:val="0BFE315A"/>
    <w:multiLevelType w:val="hybridMultilevel"/>
    <w:tmpl w:val="0A722DA8"/>
    <w:lvl w:ilvl="0" w:tplc="5646332E">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0C41533F"/>
    <w:multiLevelType w:val="hybridMultilevel"/>
    <w:tmpl w:val="B568DF6E"/>
    <w:lvl w:ilvl="0" w:tplc="280CA3EA">
      <w:start w:val="2"/>
      <w:numFmt w:val="bullet"/>
      <w:lvlText w:val="-"/>
      <w:lvlJc w:val="left"/>
      <w:pPr>
        <w:tabs>
          <w:tab w:val="num" w:pos="1602"/>
        </w:tabs>
        <w:ind w:left="1602" w:hanging="1035"/>
      </w:pPr>
      <w:rPr>
        <w:rFonts w:ascii="Times New Roman" w:eastAsia="Times New Roman" w:hAnsi="Times New Roman" w:hint="default"/>
        <w:b w:val="0"/>
        <w:i w:val="0"/>
      </w:rPr>
    </w:lvl>
    <w:lvl w:ilvl="1" w:tplc="041B0003" w:tentative="1">
      <w:start w:val="1"/>
      <w:numFmt w:val="bullet"/>
      <w:lvlText w:val="o"/>
      <w:lvlJc w:val="left"/>
      <w:pPr>
        <w:tabs>
          <w:tab w:val="num" w:pos="1647"/>
        </w:tabs>
        <w:ind w:left="1647" w:hanging="360"/>
      </w:pPr>
      <w:rPr>
        <w:rFonts w:ascii="Courier New" w:hAnsi="Courier New" w:hint="default"/>
      </w:rPr>
    </w:lvl>
    <w:lvl w:ilvl="2" w:tplc="041B0005" w:tentative="1">
      <w:start w:val="1"/>
      <w:numFmt w:val="bullet"/>
      <w:lvlText w:val=""/>
      <w:lvlJc w:val="left"/>
      <w:pPr>
        <w:tabs>
          <w:tab w:val="num" w:pos="2367"/>
        </w:tabs>
        <w:ind w:left="2367" w:hanging="360"/>
      </w:pPr>
      <w:rPr>
        <w:rFonts w:ascii="Wingdings" w:hAnsi="Wingdings" w:hint="default"/>
      </w:rPr>
    </w:lvl>
    <w:lvl w:ilvl="3" w:tplc="041B0001" w:tentative="1">
      <w:start w:val="1"/>
      <w:numFmt w:val="bullet"/>
      <w:lvlText w:val=""/>
      <w:lvlJc w:val="left"/>
      <w:pPr>
        <w:tabs>
          <w:tab w:val="num" w:pos="3087"/>
        </w:tabs>
        <w:ind w:left="3087" w:hanging="360"/>
      </w:pPr>
      <w:rPr>
        <w:rFonts w:ascii="Symbol" w:hAnsi="Symbol" w:hint="default"/>
      </w:rPr>
    </w:lvl>
    <w:lvl w:ilvl="4" w:tplc="041B0003" w:tentative="1">
      <w:start w:val="1"/>
      <w:numFmt w:val="bullet"/>
      <w:lvlText w:val="o"/>
      <w:lvlJc w:val="left"/>
      <w:pPr>
        <w:tabs>
          <w:tab w:val="num" w:pos="3807"/>
        </w:tabs>
        <w:ind w:left="3807" w:hanging="360"/>
      </w:pPr>
      <w:rPr>
        <w:rFonts w:ascii="Courier New" w:hAnsi="Courier New" w:hint="default"/>
      </w:rPr>
    </w:lvl>
    <w:lvl w:ilvl="5" w:tplc="041B0005" w:tentative="1">
      <w:start w:val="1"/>
      <w:numFmt w:val="bullet"/>
      <w:lvlText w:val=""/>
      <w:lvlJc w:val="left"/>
      <w:pPr>
        <w:tabs>
          <w:tab w:val="num" w:pos="4527"/>
        </w:tabs>
        <w:ind w:left="4527" w:hanging="360"/>
      </w:pPr>
      <w:rPr>
        <w:rFonts w:ascii="Wingdings" w:hAnsi="Wingdings" w:hint="default"/>
      </w:rPr>
    </w:lvl>
    <w:lvl w:ilvl="6" w:tplc="041B0001" w:tentative="1">
      <w:start w:val="1"/>
      <w:numFmt w:val="bullet"/>
      <w:lvlText w:val=""/>
      <w:lvlJc w:val="left"/>
      <w:pPr>
        <w:tabs>
          <w:tab w:val="num" w:pos="5247"/>
        </w:tabs>
        <w:ind w:left="5247" w:hanging="360"/>
      </w:pPr>
      <w:rPr>
        <w:rFonts w:ascii="Symbol" w:hAnsi="Symbol" w:hint="default"/>
      </w:rPr>
    </w:lvl>
    <w:lvl w:ilvl="7" w:tplc="041B0003" w:tentative="1">
      <w:start w:val="1"/>
      <w:numFmt w:val="bullet"/>
      <w:lvlText w:val="o"/>
      <w:lvlJc w:val="left"/>
      <w:pPr>
        <w:tabs>
          <w:tab w:val="num" w:pos="5967"/>
        </w:tabs>
        <w:ind w:left="5967" w:hanging="360"/>
      </w:pPr>
      <w:rPr>
        <w:rFonts w:ascii="Courier New" w:hAnsi="Courier New" w:hint="default"/>
      </w:rPr>
    </w:lvl>
    <w:lvl w:ilvl="8" w:tplc="041B0005" w:tentative="1">
      <w:start w:val="1"/>
      <w:numFmt w:val="bullet"/>
      <w:lvlText w:val=""/>
      <w:lvlJc w:val="left"/>
      <w:pPr>
        <w:tabs>
          <w:tab w:val="num" w:pos="6687"/>
        </w:tabs>
        <w:ind w:left="6687" w:hanging="360"/>
      </w:pPr>
      <w:rPr>
        <w:rFonts w:ascii="Wingdings" w:hAnsi="Wingdings" w:hint="default"/>
      </w:rPr>
    </w:lvl>
  </w:abstractNum>
  <w:abstractNum w:abstractNumId="15" w15:restartNumberingAfterBreak="0">
    <w:nsid w:val="0E476D72"/>
    <w:multiLevelType w:val="hybridMultilevel"/>
    <w:tmpl w:val="98381E46"/>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6" w15:restartNumberingAfterBreak="0">
    <w:nsid w:val="10CF05AE"/>
    <w:multiLevelType w:val="hybridMultilevel"/>
    <w:tmpl w:val="54B2C9D4"/>
    <w:lvl w:ilvl="0" w:tplc="7646E5F8">
      <w:start w:val="1"/>
      <w:numFmt w:val="bullet"/>
      <w:pStyle w:val="AUCIEODRKA"/>
      <w:lvlText w:val="-"/>
      <w:lvlJc w:val="left"/>
      <w:pPr>
        <w:tabs>
          <w:tab w:val="num" w:pos="1667"/>
        </w:tabs>
        <w:ind w:left="1667" w:hanging="227"/>
      </w:pPr>
      <w:rPr>
        <w:rFonts w:ascii="Times New Roman" w:hAnsi="Times New Roman" w:cs="Times New Roman"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cs="Wingdings" w:hint="default"/>
      </w:rPr>
    </w:lvl>
    <w:lvl w:ilvl="3" w:tplc="041B0001">
      <w:start w:val="1"/>
      <w:numFmt w:val="bullet"/>
      <w:lvlText w:val=""/>
      <w:lvlJc w:val="left"/>
      <w:pPr>
        <w:tabs>
          <w:tab w:val="num" w:pos="2880"/>
        </w:tabs>
        <w:ind w:left="2880" w:hanging="360"/>
      </w:pPr>
      <w:rPr>
        <w:rFonts w:ascii="Symbol" w:hAnsi="Symbol" w:cs="Symbol" w:hint="default"/>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start w:val="1"/>
      <w:numFmt w:val="bullet"/>
      <w:lvlText w:val=""/>
      <w:lvlJc w:val="left"/>
      <w:pPr>
        <w:tabs>
          <w:tab w:val="num" w:pos="4320"/>
        </w:tabs>
        <w:ind w:left="4320" w:hanging="360"/>
      </w:pPr>
      <w:rPr>
        <w:rFonts w:ascii="Wingdings" w:hAnsi="Wingdings" w:cs="Wingdings" w:hint="default"/>
      </w:rPr>
    </w:lvl>
    <w:lvl w:ilvl="6" w:tplc="041B0001">
      <w:start w:val="1"/>
      <w:numFmt w:val="bullet"/>
      <w:lvlText w:val=""/>
      <w:lvlJc w:val="left"/>
      <w:pPr>
        <w:tabs>
          <w:tab w:val="num" w:pos="5040"/>
        </w:tabs>
        <w:ind w:left="5040" w:hanging="360"/>
      </w:pPr>
      <w:rPr>
        <w:rFonts w:ascii="Symbol" w:hAnsi="Symbol" w:cs="Symbol" w:hint="default"/>
      </w:rPr>
    </w:lvl>
    <w:lvl w:ilvl="7" w:tplc="041B0003">
      <w:start w:val="1"/>
      <w:numFmt w:val="bullet"/>
      <w:lvlText w:val="o"/>
      <w:lvlJc w:val="left"/>
      <w:pPr>
        <w:tabs>
          <w:tab w:val="num" w:pos="5760"/>
        </w:tabs>
        <w:ind w:left="5760" w:hanging="360"/>
      </w:pPr>
      <w:rPr>
        <w:rFonts w:ascii="Courier New" w:hAnsi="Courier New" w:cs="Courier New" w:hint="default"/>
      </w:rPr>
    </w:lvl>
    <w:lvl w:ilvl="8" w:tplc="041B0005">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11AB0C22"/>
    <w:multiLevelType w:val="hybridMultilevel"/>
    <w:tmpl w:val="44CA8F0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1BB6352"/>
    <w:multiLevelType w:val="hybridMultilevel"/>
    <w:tmpl w:val="2A36A0E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2FF64F3"/>
    <w:multiLevelType w:val="hybridMultilevel"/>
    <w:tmpl w:val="CEDEB0C4"/>
    <w:lvl w:ilvl="0" w:tplc="041B0001">
      <w:start w:val="1"/>
      <w:numFmt w:val="bullet"/>
      <w:lvlText w:val=""/>
      <w:lvlJc w:val="left"/>
      <w:pPr>
        <w:tabs>
          <w:tab w:val="num" w:pos="1440"/>
        </w:tabs>
        <w:ind w:left="1440" w:hanging="360"/>
      </w:pPr>
      <w:rPr>
        <w:rFonts w:ascii="Symbol" w:hAnsi="Symbol" w:hint="default"/>
      </w:rPr>
    </w:lvl>
    <w:lvl w:ilvl="1" w:tplc="041B0003" w:tentative="1">
      <w:start w:val="1"/>
      <w:numFmt w:val="bullet"/>
      <w:lvlText w:val="o"/>
      <w:lvlJc w:val="left"/>
      <w:pPr>
        <w:tabs>
          <w:tab w:val="num" w:pos="2160"/>
        </w:tabs>
        <w:ind w:left="2160" w:hanging="360"/>
      </w:pPr>
      <w:rPr>
        <w:rFonts w:ascii="Courier New" w:hAnsi="Courier New" w:hint="default"/>
      </w:rPr>
    </w:lvl>
    <w:lvl w:ilvl="2" w:tplc="041B0005" w:tentative="1">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150B7BB1"/>
    <w:multiLevelType w:val="hybridMultilevel"/>
    <w:tmpl w:val="74B6DEBC"/>
    <w:lvl w:ilvl="0" w:tplc="041B0001">
      <w:start w:val="1"/>
      <w:numFmt w:val="bullet"/>
      <w:lvlText w:val=""/>
      <w:lvlJc w:val="left"/>
      <w:pPr>
        <w:tabs>
          <w:tab w:val="num" w:pos="1078"/>
        </w:tabs>
        <w:ind w:left="1078" w:hanging="360"/>
      </w:pPr>
      <w:rPr>
        <w:rFonts w:ascii="Symbol" w:hAnsi="Symbol" w:hint="default"/>
      </w:rPr>
    </w:lvl>
    <w:lvl w:ilvl="1" w:tplc="1E3C41FA">
      <w:numFmt w:val="bullet"/>
      <w:lvlText w:val="-"/>
      <w:lvlJc w:val="left"/>
      <w:pPr>
        <w:tabs>
          <w:tab w:val="num" w:pos="1438"/>
        </w:tabs>
        <w:ind w:left="1438" w:hanging="360"/>
      </w:pPr>
      <w:rPr>
        <w:rFonts w:ascii="Arial Narrow" w:eastAsia="New York" w:hAnsi="Arial Narrow" w:cs="New York" w:hint="default"/>
      </w:rPr>
    </w:lvl>
    <w:lvl w:ilvl="2" w:tplc="041B0005" w:tentative="1">
      <w:start w:val="1"/>
      <w:numFmt w:val="bullet"/>
      <w:lvlText w:val=""/>
      <w:lvlJc w:val="left"/>
      <w:pPr>
        <w:tabs>
          <w:tab w:val="num" w:pos="2158"/>
        </w:tabs>
        <w:ind w:left="2158" w:hanging="360"/>
      </w:pPr>
      <w:rPr>
        <w:rFonts w:ascii="Wingdings" w:hAnsi="Wingdings" w:hint="default"/>
      </w:rPr>
    </w:lvl>
    <w:lvl w:ilvl="3" w:tplc="041B0001" w:tentative="1">
      <w:start w:val="1"/>
      <w:numFmt w:val="bullet"/>
      <w:lvlText w:val=""/>
      <w:lvlJc w:val="left"/>
      <w:pPr>
        <w:tabs>
          <w:tab w:val="num" w:pos="2878"/>
        </w:tabs>
        <w:ind w:left="2878" w:hanging="360"/>
      </w:pPr>
      <w:rPr>
        <w:rFonts w:ascii="Symbol" w:hAnsi="Symbol" w:hint="default"/>
      </w:rPr>
    </w:lvl>
    <w:lvl w:ilvl="4" w:tplc="041B0003" w:tentative="1">
      <w:start w:val="1"/>
      <w:numFmt w:val="bullet"/>
      <w:lvlText w:val="o"/>
      <w:lvlJc w:val="left"/>
      <w:pPr>
        <w:tabs>
          <w:tab w:val="num" w:pos="3598"/>
        </w:tabs>
        <w:ind w:left="3598" w:hanging="360"/>
      </w:pPr>
      <w:rPr>
        <w:rFonts w:ascii="Courier New" w:hAnsi="Courier New" w:cs="Courier New" w:hint="default"/>
      </w:rPr>
    </w:lvl>
    <w:lvl w:ilvl="5" w:tplc="041B0005" w:tentative="1">
      <w:start w:val="1"/>
      <w:numFmt w:val="bullet"/>
      <w:lvlText w:val=""/>
      <w:lvlJc w:val="left"/>
      <w:pPr>
        <w:tabs>
          <w:tab w:val="num" w:pos="4318"/>
        </w:tabs>
        <w:ind w:left="4318" w:hanging="360"/>
      </w:pPr>
      <w:rPr>
        <w:rFonts w:ascii="Wingdings" w:hAnsi="Wingdings" w:hint="default"/>
      </w:rPr>
    </w:lvl>
    <w:lvl w:ilvl="6" w:tplc="041B0001" w:tentative="1">
      <w:start w:val="1"/>
      <w:numFmt w:val="bullet"/>
      <w:lvlText w:val=""/>
      <w:lvlJc w:val="left"/>
      <w:pPr>
        <w:tabs>
          <w:tab w:val="num" w:pos="5038"/>
        </w:tabs>
        <w:ind w:left="5038" w:hanging="360"/>
      </w:pPr>
      <w:rPr>
        <w:rFonts w:ascii="Symbol" w:hAnsi="Symbol" w:hint="default"/>
      </w:rPr>
    </w:lvl>
    <w:lvl w:ilvl="7" w:tplc="041B0003" w:tentative="1">
      <w:start w:val="1"/>
      <w:numFmt w:val="bullet"/>
      <w:lvlText w:val="o"/>
      <w:lvlJc w:val="left"/>
      <w:pPr>
        <w:tabs>
          <w:tab w:val="num" w:pos="5758"/>
        </w:tabs>
        <w:ind w:left="5758" w:hanging="360"/>
      </w:pPr>
      <w:rPr>
        <w:rFonts w:ascii="Courier New" w:hAnsi="Courier New" w:cs="Courier New" w:hint="default"/>
      </w:rPr>
    </w:lvl>
    <w:lvl w:ilvl="8" w:tplc="041B0005" w:tentative="1">
      <w:start w:val="1"/>
      <w:numFmt w:val="bullet"/>
      <w:lvlText w:val=""/>
      <w:lvlJc w:val="left"/>
      <w:pPr>
        <w:tabs>
          <w:tab w:val="num" w:pos="6478"/>
        </w:tabs>
        <w:ind w:left="6478" w:hanging="360"/>
      </w:pPr>
      <w:rPr>
        <w:rFonts w:ascii="Wingdings" w:hAnsi="Wingdings" w:hint="default"/>
      </w:rPr>
    </w:lvl>
  </w:abstractNum>
  <w:abstractNum w:abstractNumId="21" w15:restartNumberingAfterBreak="0">
    <w:nsid w:val="15A05051"/>
    <w:multiLevelType w:val="multilevel"/>
    <w:tmpl w:val="090A135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1A6969AE"/>
    <w:multiLevelType w:val="hybridMultilevel"/>
    <w:tmpl w:val="C1CE99EC"/>
    <w:lvl w:ilvl="0" w:tplc="5646332E">
      <w:start w:val="1"/>
      <w:numFmt w:val="lowerLetter"/>
      <w:lvlText w:val="%1)"/>
      <w:lvlJc w:val="left"/>
      <w:pPr>
        <w:tabs>
          <w:tab w:val="num" w:pos="720"/>
        </w:tabs>
        <w:ind w:left="720" w:hanging="360"/>
      </w:pPr>
      <w:rPr>
        <w:rFonts w:cs="Times New Roman" w:hint="default"/>
      </w:rPr>
    </w:lvl>
    <w:lvl w:ilvl="1" w:tplc="041B0001">
      <w:start w:val="1"/>
      <w:numFmt w:val="bullet"/>
      <w:lvlText w:val=""/>
      <w:lvlJc w:val="left"/>
      <w:pPr>
        <w:tabs>
          <w:tab w:val="num" w:pos="1440"/>
        </w:tabs>
        <w:ind w:left="1440" w:hanging="360"/>
      </w:pPr>
      <w:rPr>
        <w:rFonts w:ascii="Symbol" w:hAnsi="Symbol" w:hint="default"/>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1B2D4B89"/>
    <w:multiLevelType w:val="hybridMultilevel"/>
    <w:tmpl w:val="A8683D92"/>
    <w:lvl w:ilvl="0" w:tplc="041B0001">
      <w:start w:val="1"/>
      <w:numFmt w:val="bullet"/>
      <w:lvlText w:val=""/>
      <w:lvlJc w:val="left"/>
      <w:pPr>
        <w:ind w:left="851" w:hanging="360"/>
      </w:pPr>
      <w:rPr>
        <w:rFonts w:ascii="Symbol" w:hAnsi="Symbol" w:hint="default"/>
      </w:rPr>
    </w:lvl>
    <w:lvl w:ilvl="1" w:tplc="041B0003" w:tentative="1">
      <w:start w:val="1"/>
      <w:numFmt w:val="bullet"/>
      <w:lvlText w:val="o"/>
      <w:lvlJc w:val="left"/>
      <w:pPr>
        <w:ind w:left="1571" w:hanging="360"/>
      </w:pPr>
      <w:rPr>
        <w:rFonts w:ascii="Courier New" w:hAnsi="Courier New" w:cs="Courier New" w:hint="default"/>
      </w:rPr>
    </w:lvl>
    <w:lvl w:ilvl="2" w:tplc="041B0005" w:tentative="1">
      <w:start w:val="1"/>
      <w:numFmt w:val="bullet"/>
      <w:lvlText w:val=""/>
      <w:lvlJc w:val="left"/>
      <w:pPr>
        <w:ind w:left="2291" w:hanging="360"/>
      </w:pPr>
      <w:rPr>
        <w:rFonts w:ascii="Wingdings" w:hAnsi="Wingdings" w:hint="default"/>
      </w:rPr>
    </w:lvl>
    <w:lvl w:ilvl="3" w:tplc="041B0001" w:tentative="1">
      <w:start w:val="1"/>
      <w:numFmt w:val="bullet"/>
      <w:lvlText w:val=""/>
      <w:lvlJc w:val="left"/>
      <w:pPr>
        <w:ind w:left="3011" w:hanging="360"/>
      </w:pPr>
      <w:rPr>
        <w:rFonts w:ascii="Symbol" w:hAnsi="Symbol" w:hint="default"/>
      </w:rPr>
    </w:lvl>
    <w:lvl w:ilvl="4" w:tplc="041B0003" w:tentative="1">
      <w:start w:val="1"/>
      <w:numFmt w:val="bullet"/>
      <w:lvlText w:val="o"/>
      <w:lvlJc w:val="left"/>
      <w:pPr>
        <w:ind w:left="3731" w:hanging="360"/>
      </w:pPr>
      <w:rPr>
        <w:rFonts w:ascii="Courier New" w:hAnsi="Courier New" w:cs="Courier New" w:hint="default"/>
      </w:rPr>
    </w:lvl>
    <w:lvl w:ilvl="5" w:tplc="041B0005" w:tentative="1">
      <w:start w:val="1"/>
      <w:numFmt w:val="bullet"/>
      <w:lvlText w:val=""/>
      <w:lvlJc w:val="left"/>
      <w:pPr>
        <w:ind w:left="4451" w:hanging="360"/>
      </w:pPr>
      <w:rPr>
        <w:rFonts w:ascii="Wingdings" w:hAnsi="Wingdings" w:hint="default"/>
      </w:rPr>
    </w:lvl>
    <w:lvl w:ilvl="6" w:tplc="041B0001" w:tentative="1">
      <w:start w:val="1"/>
      <w:numFmt w:val="bullet"/>
      <w:lvlText w:val=""/>
      <w:lvlJc w:val="left"/>
      <w:pPr>
        <w:ind w:left="5171" w:hanging="360"/>
      </w:pPr>
      <w:rPr>
        <w:rFonts w:ascii="Symbol" w:hAnsi="Symbol" w:hint="default"/>
      </w:rPr>
    </w:lvl>
    <w:lvl w:ilvl="7" w:tplc="041B0003" w:tentative="1">
      <w:start w:val="1"/>
      <w:numFmt w:val="bullet"/>
      <w:lvlText w:val="o"/>
      <w:lvlJc w:val="left"/>
      <w:pPr>
        <w:ind w:left="5891" w:hanging="360"/>
      </w:pPr>
      <w:rPr>
        <w:rFonts w:ascii="Courier New" w:hAnsi="Courier New" w:cs="Courier New" w:hint="default"/>
      </w:rPr>
    </w:lvl>
    <w:lvl w:ilvl="8" w:tplc="041B0005" w:tentative="1">
      <w:start w:val="1"/>
      <w:numFmt w:val="bullet"/>
      <w:lvlText w:val=""/>
      <w:lvlJc w:val="left"/>
      <w:pPr>
        <w:ind w:left="6611" w:hanging="360"/>
      </w:pPr>
      <w:rPr>
        <w:rFonts w:ascii="Wingdings" w:hAnsi="Wingdings" w:hint="default"/>
      </w:rPr>
    </w:lvl>
  </w:abstractNum>
  <w:abstractNum w:abstractNumId="24" w15:restartNumberingAfterBreak="0">
    <w:nsid w:val="1B6A6A72"/>
    <w:multiLevelType w:val="hybridMultilevel"/>
    <w:tmpl w:val="AB045D7C"/>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C61632A"/>
    <w:multiLevelType w:val="hybridMultilevel"/>
    <w:tmpl w:val="BCEA03C6"/>
    <w:lvl w:ilvl="0" w:tplc="041B0017">
      <w:start w:val="1"/>
      <w:numFmt w:val="lowerLetter"/>
      <w:lvlText w:val="%1)"/>
      <w:lvlJc w:val="left"/>
      <w:pPr>
        <w:ind w:left="1495" w:hanging="360"/>
      </w:pPr>
      <w:rPr>
        <w:rFonts w:hint="default"/>
      </w:rPr>
    </w:lvl>
    <w:lvl w:ilvl="1" w:tplc="041B0019" w:tentative="1">
      <w:start w:val="1"/>
      <w:numFmt w:val="lowerLetter"/>
      <w:lvlText w:val="%2."/>
      <w:lvlJc w:val="left"/>
      <w:pPr>
        <w:ind w:left="2215" w:hanging="360"/>
      </w:pPr>
    </w:lvl>
    <w:lvl w:ilvl="2" w:tplc="041B001B" w:tentative="1">
      <w:start w:val="1"/>
      <w:numFmt w:val="lowerRoman"/>
      <w:lvlText w:val="%3."/>
      <w:lvlJc w:val="right"/>
      <w:pPr>
        <w:ind w:left="2935" w:hanging="180"/>
      </w:pPr>
    </w:lvl>
    <w:lvl w:ilvl="3" w:tplc="041B000F" w:tentative="1">
      <w:start w:val="1"/>
      <w:numFmt w:val="decimal"/>
      <w:lvlText w:val="%4."/>
      <w:lvlJc w:val="left"/>
      <w:pPr>
        <w:ind w:left="3655" w:hanging="360"/>
      </w:pPr>
    </w:lvl>
    <w:lvl w:ilvl="4" w:tplc="041B0019" w:tentative="1">
      <w:start w:val="1"/>
      <w:numFmt w:val="lowerLetter"/>
      <w:lvlText w:val="%5."/>
      <w:lvlJc w:val="left"/>
      <w:pPr>
        <w:ind w:left="4375" w:hanging="360"/>
      </w:pPr>
    </w:lvl>
    <w:lvl w:ilvl="5" w:tplc="041B001B" w:tentative="1">
      <w:start w:val="1"/>
      <w:numFmt w:val="lowerRoman"/>
      <w:lvlText w:val="%6."/>
      <w:lvlJc w:val="right"/>
      <w:pPr>
        <w:ind w:left="5095" w:hanging="180"/>
      </w:pPr>
    </w:lvl>
    <w:lvl w:ilvl="6" w:tplc="041B000F" w:tentative="1">
      <w:start w:val="1"/>
      <w:numFmt w:val="decimal"/>
      <w:lvlText w:val="%7."/>
      <w:lvlJc w:val="left"/>
      <w:pPr>
        <w:ind w:left="5815" w:hanging="360"/>
      </w:pPr>
    </w:lvl>
    <w:lvl w:ilvl="7" w:tplc="041B0019" w:tentative="1">
      <w:start w:val="1"/>
      <w:numFmt w:val="lowerLetter"/>
      <w:lvlText w:val="%8."/>
      <w:lvlJc w:val="left"/>
      <w:pPr>
        <w:ind w:left="6535" w:hanging="360"/>
      </w:pPr>
    </w:lvl>
    <w:lvl w:ilvl="8" w:tplc="041B001B" w:tentative="1">
      <w:start w:val="1"/>
      <w:numFmt w:val="lowerRoman"/>
      <w:lvlText w:val="%9."/>
      <w:lvlJc w:val="right"/>
      <w:pPr>
        <w:ind w:left="7255" w:hanging="180"/>
      </w:pPr>
    </w:lvl>
  </w:abstractNum>
  <w:abstractNum w:abstractNumId="26" w15:restartNumberingAfterBreak="0">
    <w:nsid w:val="1C797807"/>
    <w:multiLevelType w:val="hybridMultilevel"/>
    <w:tmpl w:val="D264010E"/>
    <w:lvl w:ilvl="0" w:tplc="4D622222">
      <w:start w:val="2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211269EE"/>
    <w:multiLevelType w:val="hybridMultilevel"/>
    <w:tmpl w:val="3A5E9B70"/>
    <w:lvl w:ilvl="0" w:tplc="0BDC5070">
      <w:start w:val="15"/>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21421033"/>
    <w:multiLevelType w:val="hybridMultilevel"/>
    <w:tmpl w:val="455C50DA"/>
    <w:lvl w:ilvl="0" w:tplc="0E785596">
      <w:numFmt w:val="bullet"/>
      <w:lvlText w:val="-"/>
      <w:lvlJc w:val="left"/>
      <w:pPr>
        <w:ind w:left="1440" w:hanging="360"/>
      </w:pPr>
      <w:rPr>
        <w:rFonts w:ascii="Arial Narrow" w:eastAsia="Times New Roman" w:hAnsi="Arial Narrow"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9" w15:restartNumberingAfterBreak="0">
    <w:nsid w:val="21946ECA"/>
    <w:multiLevelType w:val="hybridMultilevel"/>
    <w:tmpl w:val="590EE446"/>
    <w:lvl w:ilvl="0" w:tplc="041B0003">
      <w:start w:val="1"/>
      <w:numFmt w:val="bullet"/>
      <w:lvlText w:val="o"/>
      <w:lvlJc w:val="left"/>
      <w:pPr>
        <w:ind w:left="720" w:hanging="360"/>
      </w:pPr>
      <w:rPr>
        <w:rFonts w:ascii="Courier New" w:hAnsi="Courier New" w:cs="Courier Ne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23C15F61"/>
    <w:multiLevelType w:val="hybridMultilevel"/>
    <w:tmpl w:val="C8B07FC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25D77553"/>
    <w:multiLevelType w:val="hybridMultilevel"/>
    <w:tmpl w:val="A78415A4"/>
    <w:lvl w:ilvl="0" w:tplc="5646332E">
      <w:start w:val="1"/>
      <w:numFmt w:val="lowerLetter"/>
      <w:lvlText w:val="%1)"/>
      <w:lvlJc w:val="left"/>
      <w:pPr>
        <w:tabs>
          <w:tab w:val="num" w:pos="921"/>
        </w:tabs>
        <w:ind w:left="921"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2" w15:restartNumberingAfterBreak="0">
    <w:nsid w:val="27994CF8"/>
    <w:multiLevelType w:val="hybridMultilevel"/>
    <w:tmpl w:val="F98AD13C"/>
    <w:lvl w:ilvl="0" w:tplc="5796AA5A">
      <w:start w:val="3"/>
      <w:numFmt w:val="bullet"/>
      <w:lvlText w:val="-"/>
      <w:lvlJc w:val="left"/>
      <w:pPr>
        <w:tabs>
          <w:tab w:val="num" w:pos="716"/>
        </w:tabs>
        <w:ind w:left="716" w:hanging="360"/>
      </w:pPr>
      <w:rPr>
        <w:rFonts w:ascii="Times New Roman" w:eastAsia="Times New Roman" w:hAnsi="Times New Roman" w:hint="default"/>
      </w:rPr>
    </w:lvl>
    <w:lvl w:ilvl="1" w:tplc="041B0003" w:tentative="1">
      <w:start w:val="1"/>
      <w:numFmt w:val="bullet"/>
      <w:lvlText w:val="o"/>
      <w:lvlJc w:val="left"/>
      <w:pPr>
        <w:ind w:left="1436" w:hanging="360"/>
      </w:pPr>
      <w:rPr>
        <w:rFonts w:ascii="Courier New" w:hAnsi="Courier New" w:cs="Courier New" w:hint="default"/>
      </w:rPr>
    </w:lvl>
    <w:lvl w:ilvl="2" w:tplc="041B0005" w:tentative="1">
      <w:start w:val="1"/>
      <w:numFmt w:val="bullet"/>
      <w:lvlText w:val=""/>
      <w:lvlJc w:val="left"/>
      <w:pPr>
        <w:ind w:left="2156" w:hanging="360"/>
      </w:pPr>
      <w:rPr>
        <w:rFonts w:ascii="Wingdings" w:hAnsi="Wingdings" w:hint="default"/>
      </w:rPr>
    </w:lvl>
    <w:lvl w:ilvl="3" w:tplc="041B0001" w:tentative="1">
      <w:start w:val="1"/>
      <w:numFmt w:val="bullet"/>
      <w:lvlText w:val=""/>
      <w:lvlJc w:val="left"/>
      <w:pPr>
        <w:ind w:left="2876" w:hanging="360"/>
      </w:pPr>
      <w:rPr>
        <w:rFonts w:ascii="Symbol" w:hAnsi="Symbol" w:hint="default"/>
      </w:rPr>
    </w:lvl>
    <w:lvl w:ilvl="4" w:tplc="041B0003" w:tentative="1">
      <w:start w:val="1"/>
      <w:numFmt w:val="bullet"/>
      <w:lvlText w:val="o"/>
      <w:lvlJc w:val="left"/>
      <w:pPr>
        <w:ind w:left="3596" w:hanging="360"/>
      </w:pPr>
      <w:rPr>
        <w:rFonts w:ascii="Courier New" w:hAnsi="Courier New" w:cs="Courier New" w:hint="default"/>
      </w:rPr>
    </w:lvl>
    <w:lvl w:ilvl="5" w:tplc="041B0005" w:tentative="1">
      <w:start w:val="1"/>
      <w:numFmt w:val="bullet"/>
      <w:lvlText w:val=""/>
      <w:lvlJc w:val="left"/>
      <w:pPr>
        <w:ind w:left="4316" w:hanging="360"/>
      </w:pPr>
      <w:rPr>
        <w:rFonts w:ascii="Wingdings" w:hAnsi="Wingdings" w:hint="default"/>
      </w:rPr>
    </w:lvl>
    <w:lvl w:ilvl="6" w:tplc="041B0001" w:tentative="1">
      <w:start w:val="1"/>
      <w:numFmt w:val="bullet"/>
      <w:lvlText w:val=""/>
      <w:lvlJc w:val="left"/>
      <w:pPr>
        <w:ind w:left="5036" w:hanging="360"/>
      </w:pPr>
      <w:rPr>
        <w:rFonts w:ascii="Symbol" w:hAnsi="Symbol" w:hint="default"/>
      </w:rPr>
    </w:lvl>
    <w:lvl w:ilvl="7" w:tplc="041B0003" w:tentative="1">
      <w:start w:val="1"/>
      <w:numFmt w:val="bullet"/>
      <w:lvlText w:val="o"/>
      <w:lvlJc w:val="left"/>
      <w:pPr>
        <w:ind w:left="5756" w:hanging="360"/>
      </w:pPr>
      <w:rPr>
        <w:rFonts w:ascii="Courier New" w:hAnsi="Courier New" w:cs="Courier New" w:hint="default"/>
      </w:rPr>
    </w:lvl>
    <w:lvl w:ilvl="8" w:tplc="041B0005" w:tentative="1">
      <w:start w:val="1"/>
      <w:numFmt w:val="bullet"/>
      <w:lvlText w:val=""/>
      <w:lvlJc w:val="left"/>
      <w:pPr>
        <w:ind w:left="6476" w:hanging="360"/>
      </w:pPr>
      <w:rPr>
        <w:rFonts w:ascii="Wingdings" w:hAnsi="Wingdings" w:hint="default"/>
      </w:rPr>
    </w:lvl>
  </w:abstractNum>
  <w:abstractNum w:abstractNumId="33" w15:restartNumberingAfterBreak="0">
    <w:nsid w:val="29AB3616"/>
    <w:multiLevelType w:val="hybridMultilevel"/>
    <w:tmpl w:val="2CDEC246"/>
    <w:lvl w:ilvl="0" w:tplc="1E8A1AB0">
      <w:numFmt w:val="bullet"/>
      <w:lvlText w:val="-"/>
      <w:lvlJc w:val="left"/>
      <w:pPr>
        <w:ind w:left="720" w:hanging="360"/>
      </w:pPr>
      <w:rPr>
        <w:rFonts w:ascii="Calibri" w:eastAsia="Calibri" w:hAnsi="Calibri" w:cs="Calibri" w:hint="default"/>
        <w:color w:val="auto"/>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4" w15:restartNumberingAfterBreak="0">
    <w:nsid w:val="2C3C2539"/>
    <w:multiLevelType w:val="hybridMultilevel"/>
    <w:tmpl w:val="6A4EA3E8"/>
    <w:lvl w:ilvl="0" w:tplc="041B0011">
      <w:start w:val="1"/>
      <w:numFmt w:val="decimal"/>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2F383C52"/>
    <w:multiLevelType w:val="hybridMultilevel"/>
    <w:tmpl w:val="D5E6768E"/>
    <w:lvl w:ilvl="0" w:tplc="A4062AFC">
      <w:start w:val="1"/>
      <w:numFmt w:val="lowerLetter"/>
      <w:lvlText w:val="%1)"/>
      <w:lvlJc w:val="left"/>
      <w:pPr>
        <w:ind w:left="720" w:hanging="360"/>
      </w:pPr>
      <w:rPr>
        <w:rFonts w:ascii="Times New Roman" w:hAnsi="Times New Roman" w:cs="Times New Roman" w:hint="default"/>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 w15:restartNumberingAfterBreak="0">
    <w:nsid w:val="304502A2"/>
    <w:multiLevelType w:val="hybridMultilevel"/>
    <w:tmpl w:val="757442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35EB2660"/>
    <w:multiLevelType w:val="hybridMultilevel"/>
    <w:tmpl w:val="106E9AE0"/>
    <w:lvl w:ilvl="0" w:tplc="065C7A3E">
      <w:start w:val="4"/>
      <w:numFmt w:val="bullet"/>
      <w:lvlText w:val="-"/>
      <w:lvlJc w:val="left"/>
      <w:pPr>
        <w:tabs>
          <w:tab w:val="num" w:pos="1633"/>
        </w:tabs>
        <w:ind w:left="1633" w:hanging="885"/>
      </w:pPr>
      <w:rPr>
        <w:rFonts w:ascii="Arial" w:eastAsia="Times New Roman" w:hAnsi="Arial" w:cs="Arial" w:hint="default"/>
      </w:rPr>
    </w:lvl>
    <w:lvl w:ilvl="1" w:tplc="041B0003" w:tentative="1">
      <w:start w:val="1"/>
      <w:numFmt w:val="bullet"/>
      <w:lvlText w:val="o"/>
      <w:lvlJc w:val="left"/>
      <w:pPr>
        <w:tabs>
          <w:tab w:val="num" w:pos="1828"/>
        </w:tabs>
        <w:ind w:left="1828" w:hanging="360"/>
      </w:pPr>
      <w:rPr>
        <w:rFonts w:ascii="Courier New" w:hAnsi="Courier New" w:cs="Courier New" w:hint="default"/>
      </w:rPr>
    </w:lvl>
    <w:lvl w:ilvl="2" w:tplc="041B0005" w:tentative="1">
      <w:start w:val="1"/>
      <w:numFmt w:val="bullet"/>
      <w:lvlText w:val=""/>
      <w:lvlJc w:val="left"/>
      <w:pPr>
        <w:tabs>
          <w:tab w:val="num" w:pos="2548"/>
        </w:tabs>
        <w:ind w:left="2548" w:hanging="360"/>
      </w:pPr>
      <w:rPr>
        <w:rFonts w:ascii="Wingdings" w:hAnsi="Wingdings" w:hint="default"/>
      </w:rPr>
    </w:lvl>
    <w:lvl w:ilvl="3" w:tplc="041B0001" w:tentative="1">
      <w:start w:val="1"/>
      <w:numFmt w:val="bullet"/>
      <w:lvlText w:val=""/>
      <w:lvlJc w:val="left"/>
      <w:pPr>
        <w:tabs>
          <w:tab w:val="num" w:pos="3268"/>
        </w:tabs>
        <w:ind w:left="3268" w:hanging="360"/>
      </w:pPr>
      <w:rPr>
        <w:rFonts w:ascii="Symbol" w:hAnsi="Symbol" w:hint="default"/>
      </w:rPr>
    </w:lvl>
    <w:lvl w:ilvl="4" w:tplc="041B0003" w:tentative="1">
      <w:start w:val="1"/>
      <w:numFmt w:val="bullet"/>
      <w:lvlText w:val="o"/>
      <w:lvlJc w:val="left"/>
      <w:pPr>
        <w:tabs>
          <w:tab w:val="num" w:pos="3988"/>
        </w:tabs>
        <w:ind w:left="3988" w:hanging="360"/>
      </w:pPr>
      <w:rPr>
        <w:rFonts w:ascii="Courier New" w:hAnsi="Courier New" w:cs="Courier New" w:hint="default"/>
      </w:rPr>
    </w:lvl>
    <w:lvl w:ilvl="5" w:tplc="041B0005" w:tentative="1">
      <w:start w:val="1"/>
      <w:numFmt w:val="bullet"/>
      <w:lvlText w:val=""/>
      <w:lvlJc w:val="left"/>
      <w:pPr>
        <w:tabs>
          <w:tab w:val="num" w:pos="4708"/>
        </w:tabs>
        <w:ind w:left="4708" w:hanging="360"/>
      </w:pPr>
      <w:rPr>
        <w:rFonts w:ascii="Wingdings" w:hAnsi="Wingdings" w:hint="default"/>
      </w:rPr>
    </w:lvl>
    <w:lvl w:ilvl="6" w:tplc="041B0001" w:tentative="1">
      <w:start w:val="1"/>
      <w:numFmt w:val="bullet"/>
      <w:lvlText w:val=""/>
      <w:lvlJc w:val="left"/>
      <w:pPr>
        <w:tabs>
          <w:tab w:val="num" w:pos="5428"/>
        </w:tabs>
        <w:ind w:left="5428" w:hanging="360"/>
      </w:pPr>
      <w:rPr>
        <w:rFonts w:ascii="Symbol" w:hAnsi="Symbol" w:hint="default"/>
      </w:rPr>
    </w:lvl>
    <w:lvl w:ilvl="7" w:tplc="041B0003" w:tentative="1">
      <w:start w:val="1"/>
      <w:numFmt w:val="bullet"/>
      <w:lvlText w:val="o"/>
      <w:lvlJc w:val="left"/>
      <w:pPr>
        <w:tabs>
          <w:tab w:val="num" w:pos="6148"/>
        </w:tabs>
        <w:ind w:left="6148" w:hanging="360"/>
      </w:pPr>
      <w:rPr>
        <w:rFonts w:ascii="Courier New" w:hAnsi="Courier New" w:cs="Courier New" w:hint="default"/>
      </w:rPr>
    </w:lvl>
    <w:lvl w:ilvl="8" w:tplc="041B0005" w:tentative="1">
      <w:start w:val="1"/>
      <w:numFmt w:val="bullet"/>
      <w:lvlText w:val=""/>
      <w:lvlJc w:val="left"/>
      <w:pPr>
        <w:tabs>
          <w:tab w:val="num" w:pos="6868"/>
        </w:tabs>
        <w:ind w:left="6868" w:hanging="360"/>
      </w:pPr>
      <w:rPr>
        <w:rFonts w:ascii="Wingdings" w:hAnsi="Wingdings" w:hint="default"/>
      </w:rPr>
    </w:lvl>
  </w:abstractNum>
  <w:abstractNum w:abstractNumId="38" w15:restartNumberingAfterBreak="0">
    <w:nsid w:val="391E649C"/>
    <w:multiLevelType w:val="hybridMultilevel"/>
    <w:tmpl w:val="BC64CF34"/>
    <w:lvl w:ilvl="0" w:tplc="1C86BDC4">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Times New Roman"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394A132E"/>
    <w:multiLevelType w:val="hybridMultilevel"/>
    <w:tmpl w:val="34DC4F8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3BA62183"/>
    <w:multiLevelType w:val="hybridMultilevel"/>
    <w:tmpl w:val="D43489EA"/>
    <w:lvl w:ilvl="0" w:tplc="786C3456">
      <w:start w:val="1"/>
      <w:numFmt w:val="bullet"/>
      <w:lvlText w:val=""/>
      <w:lvlJc w:val="left"/>
      <w:pPr>
        <w:ind w:left="720" w:hanging="360"/>
      </w:pPr>
      <w:rPr>
        <w:rFonts w:ascii="Symbol" w:hAnsi="Symbol" w:hint="default"/>
        <w:color w:val="auto"/>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3CE56975"/>
    <w:multiLevelType w:val="hybridMultilevel"/>
    <w:tmpl w:val="0A026DF2"/>
    <w:lvl w:ilvl="0" w:tplc="5646332E">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3D663BB3"/>
    <w:multiLevelType w:val="hybridMultilevel"/>
    <w:tmpl w:val="08585F74"/>
    <w:lvl w:ilvl="0" w:tplc="5C6617D8">
      <w:start w:val="1"/>
      <w:numFmt w:val="bullet"/>
      <w:lvlText w:val="-"/>
      <w:lvlJc w:val="left"/>
      <w:pPr>
        <w:ind w:left="720" w:hanging="360"/>
      </w:pPr>
      <w:rPr>
        <w:rFonts w:ascii="Times New Roman" w:eastAsia="Times New Roman" w:hAnsi="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3F765D9F"/>
    <w:multiLevelType w:val="hybridMultilevel"/>
    <w:tmpl w:val="35F0B766"/>
    <w:lvl w:ilvl="0" w:tplc="EC58AA84">
      <w:start w:val="1"/>
      <w:numFmt w:val="bullet"/>
      <w:lvlText w:val=""/>
      <w:lvlJc w:val="left"/>
      <w:pPr>
        <w:ind w:left="720" w:hanging="360"/>
      </w:pPr>
      <w:rPr>
        <w:rFonts w:ascii="Symbol" w:eastAsia="Times New Roman" w:hAnsi="Symbo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40151998"/>
    <w:multiLevelType w:val="hybridMultilevel"/>
    <w:tmpl w:val="0114A932"/>
    <w:lvl w:ilvl="0" w:tplc="63DEA606">
      <w:start w:val="1"/>
      <w:numFmt w:val="bullet"/>
      <w:lvlText w:val="-"/>
      <w:lvlJc w:val="left"/>
      <w:pPr>
        <w:tabs>
          <w:tab w:val="num" w:pos="1080"/>
        </w:tabs>
        <w:ind w:left="1080" w:hanging="360"/>
      </w:pPr>
      <w:rPr>
        <w:rFonts w:ascii="Times New Roman" w:eastAsia="Times New Roman" w:hAnsi="Times New Roman" w:hint="default"/>
        <w:color w:val="000000"/>
      </w:rPr>
    </w:lvl>
    <w:lvl w:ilvl="1" w:tplc="041B0003" w:tentative="1">
      <w:start w:val="1"/>
      <w:numFmt w:val="bullet"/>
      <w:lvlText w:val="o"/>
      <w:lvlJc w:val="left"/>
      <w:pPr>
        <w:tabs>
          <w:tab w:val="num" w:pos="1800"/>
        </w:tabs>
        <w:ind w:left="1800" w:hanging="360"/>
      </w:pPr>
      <w:rPr>
        <w:rFonts w:ascii="Courier New" w:hAnsi="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45" w15:restartNumberingAfterBreak="0">
    <w:nsid w:val="417028CE"/>
    <w:multiLevelType w:val="hybridMultilevel"/>
    <w:tmpl w:val="9C28520C"/>
    <w:lvl w:ilvl="0" w:tplc="0D083FA4">
      <w:start w:val="1"/>
      <w:numFmt w:val="lowerLetter"/>
      <w:lvlText w:val="%1)"/>
      <w:lvlJc w:val="left"/>
      <w:pPr>
        <w:ind w:left="720" w:hanging="360"/>
      </w:pPr>
      <w:rPr>
        <w:rFonts w:cs="Times New Roman"/>
        <w:i w:val="0"/>
        <w:color w:val="000000"/>
      </w:rPr>
    </w:lvl>
    <w:lvl w:ilvl="1" w:tplc="041B0003">
      <w:start w:val="1"/>
      <w:numFmt w:val="bullet"/>
      <w:lvlText w:val="o"/>
      <w:lvlJc w:val="left"/>
      <w:pPr>
        <w:ind w:left="1440" w:hanging="360"/>
      </w:pPr>
      <w:rPr>
        <w:rFonts w:ascii="Courier New" w:hAnsi="Courier New" w:cs="Times New Roman"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Times New Roman"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Times New Roman" w:hint="default"/>
      </w:rPr>
    </w:lvl>
    <w:lvl w:ilvl="8" w:tplc="041B0005">
      <w:start w:val="1"/>
      <w:numFmt w:val="bullet"/>
      <w:lvlText w:val=""/>
      <w:lvlJc w:val="left"/>
      <w:pPr>
        <w:ind w:left="6480" w:hanging="360"/>
      </w:pPr>
      <w:rPr>
        <w:rFonts w:ascii="Wingdings" w:hAnsi="Wingdings" w:hint="default"/>
      </w:rPr>
    </w:lvl>
  </w:abstractNum>
  <w:abstractNum w:abstractNumId="46" w15:restartNumberingAfterBreak="0">
    <w:nsid w:val="4334708F"/>
    <w:multiLevelType w:val="singleLevel"/>
    <w:tmpl w:val="E02489A2"/>
    <w:lvl w:ilvl="0">
      <w:numFmt w:val="bullet"/>
      <w:pStyle w:val="Tiret"/>
      <w:lvlText w:val="-"/>
      <w:lvlJc w:val="left"/>
      <w:pPr>
        <w:tabs>
          <w:tab w:val="num" w:pos="360"/>
        </w:tabs>
        <w:ind w:left="360" w:hanging="360"/>
      </w:pPr>
      <w:rPr>
        <w:rFonts w:hint="default"/>
      </w:rPr>
    </w:lvl>
  </w:abstractNum>
  <w:abstractNum w:abstractNumId="47" w15:restartNumberingAfterBreak="0">
    <w:nsid w:val="444849B9"/>
    <w:multiLevelType w:val="hybridMultilevel"/>
    <w:tmpl w:val="1F1E0CCE"/>
    <w:lvl w:ilvl="0" w:tplc="6B7A8D38">
      <w:numFmt w:val="bullet"/>
      <w:lvlText w:val="-"/>
      <w:lvlJc w:val="left"/>
      <w:pPr>
        <w:ind w:left="720" w:hanging="360"/>
      </w:pPr>
      <w:rPr>
        <w:rFonts w:ascii="Arial Narrow" w:eastAsia="Times New Roman" w:hAnsi="Arial Narrow"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15:restartNumberingAfterBreak="0">
    <w:nsid w:val="445B0930"/>
    <w:multiLevelType w:val="hybridMultilevel"/>
    <w:tmpl w:val="2E4434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44D27930"/>
    <w:multiLevelType w:val="hybridMultilevel"/>
    <w:tmpl w:val="F7623326"/>
    <w:lvl w:ilvl="0" w:tplc="9A821A86">
      <w:start w:val="1"/>
      <w:numFmt w:val="bullet"/>
      <w:lvlText w:val=""/>
      <w:lvlJc w:val="left"/>
      <w:pPr>
        <w:ind w:left="720" w:hanging="360"/>
      </w:pPr>
      <w:rPr>
        <w:rFonts w:ascii="Symbol" w:eastAsia="Times New Roman" w:hAnsi="Symbo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15:restartNumberingAfterBreak="0">
    <w:nsid w:val="46D5136B"/>
    <w:multiLevelType w:val="hybridMultilevel"/>
    <w:tmpl w:val="60EA5EFA"/>
    <w:lvl w:ilvl="0" w:tplc="F74E2F0E">
      <w:numFmt w:val="bullet"/>
      <w:lvlText w:val="-"/>
      <w:lvlJc w:val="left"/>
      <w:pPr>
        <w:ind w:left="720" w:hanging="360"/>
      </w:pPr>
      <w:rPr>
        <w:rFonts w:ascii="Arial Narrow" w:eastAsia="Times New Roman"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15:restartNumberingAfterBreak="0">
    <w:nsid w:val="47165C8F"/>
    <w:multiLevelType w:val="hybridMultilevel"/>
    <w:tmpl w:val="437AF192"/>
    <w:lvl w:ilvl="0" w:tplc="5C6617D8">
      <w:start w:val="1"/>
      <w:numFmt w:val="bullet"/>
      <w:lvlText w:val="-"/>
      <w:lvlJc w:val="left"/>
      <w:pPr>
        <w:ind w:left="720" w:hanging="360"/>
      </w:pPr>
      <w:rPr>
        <w:rFonts w:ascii="Times New Roman" w:eastAsia="Times New Roman" w:hAnsi="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486042F2"/>
    <w:multiLevelType w:val="hybridMultilevel"/>
    <w:tmpl w:val="D86A1856"/>
    <w:lvl w:ilvl="0" w:tplc="F0F81176">
      <w:start w:val="1"/>
      <w:numFmt w:val="decimal"/>
      <w:lvlText w:val="%1."/>
      <w:lvlJc w:val="left"/>
      <w:pPr>
        <w:tabs>
          <w:tab w:val="num" w:pos="697"/>
        </w:tabs>
        <w:ind w:left="697" w:hanging="340"/>
      </w:pPr>
      <w:rPr>
        <w:b w:val="0"/>
      </w:rPr>
    </w:lvl>
    <w:lvl w:ilvl="1" w:tplc="C99ABC10">
      <w:start w:val="1"/>
      <w:numFmt w:val="decimal"/>
      <w:lvlText w:val="%2."/>
      <w:lvlJc w:val="left"/>
      <w:pPr>
        <w:tabs>
          <w:tab w:val="num" w:pos="720"/>
        </w:tabs>
        <w:ind w:left="720" w:hanging="363"/>
      </w:pPr>
      <w:rPr>
        <w:rFonts w:cs="Arial Narrow"/>
        <w:b w:val="0"/>
      </w:rPr>
    </w:lvl>
    <w:lvl w:ilvl="2" w:tplc="041B001B">
      <w:start w:val="1"/>
      <w:numFmt w:val="lowerRoman"/>
      <w:lvlText w:val="%3."/>
      <w:lvlJc w:val="right"/>
      <w:pPr>
        <w:tabs>
          <w:tab w:val="num" w:pos="2160"/>
        </w:tabs>
        <w:ind w:left="2160" w:hanging="180"/>
      </w:pPr>
    </w:lvl>
    <w:lvl w:ilvl="3" w:tplc="041B000F">
      <w:start w:val="1"/>
      <w:numFmt w:val="decimal"/>
      <w:lvlText w:val="%4."/>
      <w:lvlJc w:val="left"/>
      <w:pPr>
        <w:tabs>
          <w:tab w:val="num" w:pos="2880"/>
        </w:tabs>
        <w:ind w:left="2880" w:hanging="360"/>
      </w:pPr>
    </w:lvl>
    <w:lvl w:ilvl="4" w:tplc="041B0019">
      <w:start w:val="1"/>
      <w:numFmt w:val="lowerLetter"/>
      <w:lvlText w:val="%5."/>
      <w:lvlJc w:val="left"/>
      <w:pPr>
        <w:tabs>
          <w:tab w:val="num" w:pos="3600"/>
        </w:tabs>
        <w:ind w:left="3600" w:hanging="360"/>
      </w:pPr>
    </w:lvl>
    <w:lvl w:ilvl="5" w:tplc="041B001B">
      <w:start w:val="1"/>
      <w:numFmt w:val="lowerRoman"/>
      <w:lvlText w:val="%6."/>
      <w:lvlJc w:val="right"/>
      <w:pPr>
        <w:tabs>
          <w:tab w:val="num" w:pos="4320"/>
        </w:tabs>
        <w:ind w:left="4320" w:hanging="180"/>
      </w:pPr>
    </w:lvl>
    <w:lvl w:ilvl="6" w:tplc="041B000F">
      <w:start w:val="1"/>
      <w:numFmt w:val="decimal"/>
      <w:lvlText w:val="%7."/>
      <w:lvlJc w:val="left"/>
      <w:pPr>
        <w:tabs>
          <w:tab w:val="num" w:pos="5040"/>
        </w:tabs>
        <w:ind w:left="5040" w:hanging="360"/>
      </w:pPr>
    </w:lvl>
    <w:lvl w:ilvl="7" w:tplc="041B0019">
      <w:start w:val="1"/>
      <w:numFmt w:val="lowerLetter"/>
      <w:lvlText w:val="%8."/>
      <w:lvlJc w:val="left"/>
      <w:pPr>
        <w:tabs>
          <w:tab w:val="num" w:pos="5760"/>
        </w:tabs>
        <w:ind w:left="5760" w:hanging="360"/>
      </w:pPr>
    </w:lvl>
    <w:lvl w:ilvl="8" w:tplc="041B001B">
      <w:start w:val="1"/>
      <w:numFmt w:val="lowerRoman"/>
      <w:lvlText w:val="%9."/>
      <w:lvlJc w:val="right"/>
      <w:pPr>
        <w:tabs>
          <w:tab w:val="num" w:pos="6480"/>
        </w:tabs>
        <w:ind w:left="6480" w:hanging="180"/>
      </w:pPr>
    </w:lvl>
  </w:abstractNum>
  <w:abstractNum w:abstractNumId="53" w15:restartNumberingAfterBreak="0">
    <w:nsid w:val="4B036D43"/>
    <w:multiLevelType w:val="hybridMultilevel"/>
    <w:tmpl w:val="D228BE84"/>
    <w:lvl w:ilvl="0" w:tplc="F74E2F0E">
      <w:numFmt w:val="bullet"/>
      <w:lvlText w:val="-"/>
      <w:lvlJc w:val="left"/>
      <w:pPr>
        <w:ind w:left="720" w:hanging="360"/>
      </w:pPr>
      <w:rPr>
        <w:rFonts w:ascii="Arial Narrow" w:eastAsia="Times New Roman"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15:restartNumberingAfterBreak="0">
    <w:nsid w:val="4D7965A6"/>
    <w:multiLevelType w:val="hybridMultilevel"/>
    <w:tmpl w:val="1734A992"/>
    <w:lvl w:ilvl="0" w:tplc="041B0017">
      <w:start w:val="1"/>
      <w:numFmt w:val="lowerLetter"/>
      <w:lvlText w:val="%1)"/>
      <w:lvlJc w:val="left"/>
      <w:pPr>
        <w:tabs>
          <w:tab w:val="num" w:pos="720"/>
        </w:tabs>
        <w:ind w:left="720" w:hanging="360"/>
      </w:pPr>
      <w:rPr>
        <w:rFonts w:cs="Times New Roman"/>
      </w:rPr>
    </w:lvl>
    <w:lvl w:ilvl="1" w:tplc="D7903814">
      <w:start w:val="2"/>
      <w:numFmt w:val="decimal"/>
      <w:lvlText w:val="%2."/>
      <w:lvlJc w:val="left"/>
      <w:pPr>
        <w:tabs>
          <w:tab w:val="num" w:pos="1440"/>
        </w:tabs>
        <w:ind w:left="1440" w:hanging="360"/>
      </w:pPr>
      <w:rPr>
        <w:rFonts w:cs="Times New Roman" w:hint="default"/>
        <w:b/>
      </w:rPr>
    </w:lvl>
    <w:lvl w:ilvl="2" w:tplc="5FE89BAA">
      <w:start w:val="3"/>
      <w:numFmt w:val="decimal"/>
      <w:lvlText w:val="%3."/>
      <w:lvlJc w:val="left"/>
      <w:pPr>
        <w:tabs>
          <w:tab w:val="num" w:pos="2340"/>
        </w:tabs>
        <w:ind w:left="2340" w:hanging="360"/>
      </w:pPr>
      <w:rPr>
        <w:rFonts w:cs="Times New Roman" w:hint="default"/>
        <w:b/>
      </w:rPr>
    </w:lvl>
    <w:lvl w:ilvl="3" w:tplc="5646332E">
      <w:start w:val="1"/>
      <w:numFmt w:val="lowerLetter"/>
      <w:lvlText w:val="%4)"/>
      <w:lvlJc w:val="left"/>
      <w:pPr>
        <w:tabs>
          <w:tab w:val="num" w:pos="2880"/>
        </w:tabs>
        <w:ind w:left="2880" w:hanging="360"/>
      </w:pPr>
      <w:rPr>
        <w:rFonts w:cs="Times New Roman" w:hint="default"/>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55" w15:restartNumberingAfterBreak="0">
    <w:nsid w:val="51B71157"/>
    <w:multiLevelType w:val="hybridMultilevel"/>
    <w:tmpl w:val="F482C43E"/>
    <w:lvl w:ilvl="0" w:tplc="041B0001">
      <w:start w:val="1"/>
      <w:numFmt w:val="bullet"/>
      <w:lvlText w:val=""/>
      <w:lvlJc w:val="left"/>
      <w:pPr>
        <w:ind w:left="720" w:hanging="360"/>
      </w:pPr>
      <w:rPr>
        <w:rFonts w:ascii="Symbol" w:hAnsi="Symbol" w:hint="default"/>
        <w:b w:val="0"/>
        <w:i w:val="0"/>
        <w:sz w:val="20"/>
      </w:rPr>
    </w:lvl>
    <w:lvl w:ilvl="1" w:tplc="041B0003">
      <w:start w:val="1"/>
      <w:numFmt w:val="bullet"/>
      <w:lvlText w:val="o"/>
      <w:lvlJc w:val="left"/>
      <w:pPr>
        <w:ind w:left="1440" w:hanging="360"/>
      </w:pPr>
      <w:rPr>
        <w:rFonts w:ascii="Courier New" w:hAnsi="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51C700CE"/>
    <w:multiLevelType w:val="hybridMultilevel"/>
    <w:tmpl w:val="A9DAC4C2"/>
    <w:lvl w:ilvl="0" w:tplc="F4701164">
      <w:numFmt w:val="bullet"/>
      <w:lvlText w:val="-"/>
      <w:lvlJc w:val="left"/>
      <w:pPr>
        <w:ind w:left="502" w:hanging="360"/>
      </w:pPr>
      <w:rPr>
        <w:rFonts w:ascii="Arial" w:eastAsia="Times New Roman" w:hAnsi="Arial" w:cs="Arial" w:hint="default"/>
      </w:rPr>
    </w:lvl>
    <w:lvl w:ilvl="1" w:tplc="041B0003" w:tentative="1">
      <w:start w:val="1"/>
      <w:numFmt w:val="bullet"/>
      <w:lvlText w:val="o"/>
      <w:lvlJc w:val="left"/>
      <w:pPr>
        <w:ind w:left="1222" w:hanging="360"/>
      </w:pPr>
      <w:rPr>
        <w:rFonts w:ascii="Courier New" w:hAnsi="Courier New" w:cs="Courier New" w:hint="default"/>
      </w:rPr>
    </w:lvl>
    <w:lvl w:ilvl="2" w:tplc="041B0005" w:tentative="1">
      <w:start w:val="1"/>
      <w:numFmt w:val="bullet"/>
      <w:lvlText w:val=""/>
      <w:lvlJc w:val="left"/>
      <w:pPr>
        <w:ind w:left="1942" w:hanging="360"/>
      </w:pPr>
      <w:rPr>
        <w:rFonts w:ascii="Wingdings" w:hAnsi="Wingdings" w:hint="default"/>
      </w:rPr>
    </w:lvl>
    <w:lvl w:ilvl="3" w:tplc="041B0001" w:tentative="1">
      <w:start w:val="1"/>
      <w:numFmt w:val="bullet"/>
      <w:lvlText w:val=""/>
      <w:lvlJc w:val="left"/>
      <w:pPr>
        <w:ind w:left="2662" w:hanging="360"/>
      </w:pPr>
      <w:rPr>
        <w:rFonts w:ascii="Symbol" w:hAnsi="Symbol" w:hint="default"/>
      </w:rPr>
    </w:lvl>
    <w:lvl w:ilvl="4" w:tplc="041B0003" w:tentative="1">
      <w:start w:val="1"/>
      <w:numFmt w:val="bullet"/>
      <w:lvlText w:val="o"/>
      <w:lvlJc w:val="left"/>
      <w:pPr>
        <w:ind w:left="3382" w:hanging="360"/>
      </w:pPr>
      <w:rPr>
        <w:rFonts w:ascii="Courier New" w:hAnsi="Courier New" w:cs="Courier New" w:hint="default"/>
      </w:rPr>
    </w:lvl>
    <w:lvl w:ilvl="5" w:tplc="041B0005" w:tentative="1">
      <w:start w:val="1"/>
      <w:numFmt w:val="bullet"/>
      <w:lvlText w:val=""/>
      <w:lvlJc w:val="left"/>
      <w:pPr>
        <w:ind w:left="4102" w:hanging="360"/>
      </w:pPr>
      <w:rPr>
        <w:rFonts w:ascii="Wingdings" w:hAnsi="Wingdings" w:hint="default"/>
      </w:rPr>
    </w:lvl>
    <w:lvl w:ilvl="6" w:tplc="041B0001" w:tentative="1">
      <w:start w:val="1"/>
      <w:numFmt w:val="bullet"/>
      <w:lvlText w:val=""/>
      <w:lvlJc w:val="left"/>
      <w:pPr>
        <w:ind w:left="4822" w:hanging="360"/>
      </w:pPr>
      <w:rPr>
        <w:rFonts w:ascii="Symbol" w:hAnsi="Symbol" w:hint="default"/>
      </w:rPr>
    </w:lvl>
    <w:lvl w:ilvl="7" w:tplc="041B0003" w:tentative="1">
      <w:start w:val="1"/>
      <w:numFmt w:val="bullet"/>
      <w:lvlText w:val="o"/>
      <w:lvlJc w:val="left"/>
      <w:pPr>
        <w:ind w:left="5542" w:hanging="360"/>
      </w:pPr>
      <w:rPr>
        <w:rFonts w:ascii="Courier New" w:hAnsi="Courier New" w:cs="Courier New" w:hint="default"/>
      </w:rPr>
    </w:lvl>
    <w:lvl w:ilvl="8" w:tplc="041B0005" w:tentative="1">
      <w:start w:val="1"/>
      <w:numFmt w:val="bullet"/>
      <w:lvlText w:val=""/>
      <w:lvlJc w:val="left"/>
      <w:pPr>
        <w:ind w:left="6262" w:hanging="360"/>
      </w:pPr>
      <w:rPr>
        <w:rFonts w:ascii="Wingdings" w:hAnsi="Wingdings" w:hint="default"/>
      </w:rPr>
    </w:lvl>
  </w:abstractNum>
  <w:abstractNum w:abstractNumId="57" w15:restartNumberingAfterBreak="0">
    <w:nsid w:val="53C62291"/>
    <w:multiLevelType w:val="hybridMultilevel"/>
    <w:tmpl w:val="945E88F6"/>
    <w:lvl w:ilvl="0" w:tplc="041B0001">
      <w:start w:val="1"/>
      <w:numFmt w:val="bullet"/>
      <w:lvlText w:val=""/>
      <w:lvlJc w:val="left"/>
      <w:pPr>
        <w:tabs>
          <w:tab w:val="num" w:pos="1438"/>
        </w:tabs>
        <w:ind w:left="1438" w:hanging="360"/>
      </w:pPr>
      <w:rPr>
        <w:rFonts w:ascii="Symbol" w:hAnsi="Symbol" w:hint="default"/>
      </w:rPr>
    </w:lvl>
    <w:lvl w:ilvl="1" w:tplc="041B0003" w:tentative="1">
      <w:start w:val="1"/>
      <w:numFmt w:val="bullet"/>
      <w:lvlText w:val="o"/>
      <w:lvlJc w:val="left"/>
      <w:pPr>
        <w:tabs>
          <w:tab w:val="num" w:pos="2158"/>
        </w:tabs>
        <w:ind w:left="2158" w:hanging="360"/>
      </w:pPr>
      <w:rPr>
        <w:rFonts w:ascii="Courier New" w:hAnsi="Courier New" w:hint="default"/>
      </w:rPr>
    </w:lvl>
    <w:lvl w:ilvl="2" w:tplc="041B0005" w:tentative="1">
      <w:start w:val="1"/>
      <w:numFmt w:val="bullet"/>
      <w:lvlText w:val=""/>
      <w:lvlJc w:val="left"/>
      <w:pPr>
        <w:tabs>
          <w:tab w:val="num" w:pos="2878"/>
        </w:tabs>
        <w:ind w:left="2878" w:hanging="360"/>
      </w:pPr>
      <w:rPr>
        <w:rFonts w:ascii="Wingdings" w:hAnsi="Wingdings" w:hint="default"/>
      </w:rPr>
    </w:lvl>
    <w:lvl w:ilvl="3" w:tplc="041B0001" w:tentative="1">
      <w:start w:val="1"/>
      <w:numFmt w:val="bullet"/>
      <w:lvlText w:val=""/>
      <w:lvlJc w:val="left"/>
      <w:pPr>
        <w:tabs>
          <w:tab w:val="num" w:pos="3598"/>
        </w:tabs>
        <w:ind w:left="3598" w:hanging="360"/>
      </w:pPr>
      <w:rPr>
        <w:rFonts w:ascii="Symbol" w:hAnsi="Symbol" w:hint="default"/>
      </w:rPr>
    </w:lvl>
    <w:lvl w:ilvl="4" w:tplc="041B0003" w:tentative="1">
      <w:start w:val="1"/>
      <w:numFmt w:val="bullet"/>
      <w:lvlText w:val="o"/>
      <w:lvlJc w:val="left"/>
      <w:pPr>
        <w:tabs>
          <w:tab w:val="num" w:pos="4318"/>
        </w:tabs>
        <w:ind w:left="4318" w:hanging="360"/>
      </w:pPr>
      <w:rPr>
        <w:rFonts w:ascii="Courier New" w:hAnsi="Courier New" w:hint="default"/>
      </w:rPr>
    </w:lvl>
    <w:lvl w:ilvl="5" w:tplc="041B0005" w:tentative="1">
      <w:start w:val="1"/>
      <w:numFmt w:val="bullet"/>
      <w:lvlText w:val=""/>
      <w:lvlJc w:val="left"/>
      <w:pPr>
        <w:tabs>
          <w:tab w:val="num" w:pos="5038"/>
        </w:tabs>
        <w:ind w:left="5038" w:hanging="360"/>
      </w:pPr>
      <w:rPr>
        <w:rFonts w:ascii="Wingdings" w:hAnsi="Wingdings" w:hint="default"/>
      </w:rPr>
    </w:lvl>
    <w:lvl w:ilvl="6" w:tplc="041B0001" w:tentative="1">
      <w:start w:val="1"/>
      <w:numFmt w:val="bullet"/>
      <w:lvlText w:val=""/>
      <w:lvlJc w:val="left"/>
      <w:pPr>
        <w:tabs>
          <w:tab w:val="num" w:pos="5758"/>
        </w:tabs>
        <w:ind w:left="5758" w:hanging="360"/>
      </w:pPr>
      <w:rPr>
        <w:rFonts w:ascii="Symbol" w:hAnsi="Symbol" w:hint="default"/>
      </w:rPr>
    </w:lvl>
    <w:lvl w:ilvl="7" w:tplc="041B0003" w:tentative="1">
      <w:start w:val="1"/>
      <w:numFmt w:val="bullet"/>
      <w:lvlText w:val="o"/>
      <w:lvlJc w:val="left"/>
      <w:pPr>
        <w:tabs>
          <w:tab w:val="num" w:pos="6478"/>
        </w:tabs>
        <w:ind w:left="6478" w:hanging="360"/>
      </w:pPr>
      <w:rPr>
        <w:rFonts w:ascii="Courier New" w:hAnsi="Courier New" w:hint="default"/>
      </w:rPr>
    </w:lvl>
    <w:lvl w:ilvl="8" w:tplc="041B0005" w:tentative="1">
      <w:start w:val="1"/>
      <w:numFmt w:val="bullet"/>
      <w:lvlText w:val=""/>
      <w:lvlJc w:val="left"/>
      <w:pPr>
        <w:tabs>
          <w:tab w:val="num" w:pos="7198"/>
        </w:tabs>
        <w:ind w:left="7198" w:hanging="360"/>
      </w:pPr>
      <w:rPr>
        <w:rFonts w:ascii="Wingdings" w:hAnsi="Wingdings" w:hint="default"/>
      </w:rPr>
    </w:lvl>
  </w:abstractNum>
  <w:abstractNum w:abstractNumId="58" w15:restartNumberingAfterBreak="0">
    <w:nsid w:val="54DE00D7"/>
    <w:multiLevelType w:val="hybridMultilevel"/>
    <w:tmpl w:val="972E3E06"/>
    <w:lvl w:ilvl="0" w:tplc="041B0005">
      <w:start w:val="1"/>
      <w:numFmt w:val="bullet"/>
      <w:lvlText w:val=""/>
      <w:lvlJc w:val="left"/>
      <w:pPr>
        <w:tabs>
          <w:tab w:val="num" w:pos="720"/>
        </w:tabs>
        <w:ind w:left="720" w:hanging="360"/>
      </w:pPr>
      <w:rPr>
        <w:rFonts w:ascii="Wingdings" w:hAnsi="Wingdings"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57911966"/>
    <w:multiLevelType w:val="hybridMultilevel"/>
    <w:tmpl w:val="30DCBBF6"/>
    <w:lvl w:ilvl="0" w:tplc="0E785596">
      <w:numFmt w:val="bullet"/>
      <w:lvlText w:val="-"/>
      <w:lvlJc w:val="left"/>
      <w:pPr>
        <w:ind w:left="1287" w:hanging="360"/>
      </w:pPr>
      <w:rPr>
        <w:rFonts w:ascii="Arial Narrow" w:eastAsia="Times New Roman" w:hAnsi="Arial Narrow"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60" w15:restartNumberingAfterBreak="0">
    <w:nsid w:val="59F42AAD"/>
    <w:multiLevelType w:val="hybridMultilevel"/>
    <w:tmpl w:val="08424516"/>
    <w:lvl w:ilvl="0" w:tplc="C328489A">
      <w:start w:val="1"/>
      <w:numFmt w:val="bullet"/>
      <w:lvlText w:val=""/>
      <w:lvlJc w:val="left"/>
      <w:pPr>
        <w:ind w:left="720" w:hanging="360"/>
      </w:pPr>
      <w:rPr>
        <w:rFonts w:ascii="Symbol" w:hAnsi="Symbol" w:hint="default"/>
        <w:sz w:val="24"/>
        <w:szCs w:val="24"/>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5B78479E"/>
    <w:multiLevelType w:val="hybridMultilevel"/>
    <w:tmpl w:val="C3FC14D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15:restartNumberingAfterBreak="0">
    <w:nsid w:val="5C532EEC"/>
    <w:multiLevelType w:val="hybridMultilevel"/>
    <w:tmpl w:val="C55261F4"/>
    <w:lvl w:ilvl="0" w:tplc="041B0001">
      <w:start w:val="1"/>
      <w:numFmt w:val="bullet"/>
      <w:lvlText w:val=""/>
      <w:lvlJc w:val="left"/>
      <w:pPr>
        <w:ind w:left="720" w:hanging="360"/>
      </w:pPr>
      <w:rPr>
        <w:rFonts w:ascii="Symbol" w:hAnsi="Symbol" w:hint="default"/>
      </w:rPr>
    </w:lvl>
    <w:lvl w:ilvl="1" w:tplc="9A621EEA">
      <w:start w:val="3"/>
      <w:numFmt w:val="bullet"/>
      <w:lvlText w:val="-"/>
      <w:lvlJc w:val="left"/>
      <w:pPr>
        <w:ind w:left="1440" w:hanging="360"/>
      </w:pPr>
      <w:rPr>
        <w:rFonts w:ascii="Arial" w:eastAsia="Times New Roman" w:hAnsi="Aria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5DE025DE"/>
    <w:multiLevelType w:val="hybridMultilevel"/>
    <w:tmpl w:val="9A0AF43E"/>
    <w:lvl w:ilvl="0" w:tplc="A5E2811A">
      <w:start w:val="5"/>
      <w:numFmt w:val="decimal"/>
      <w:lvlText w:val="%1."/>
      <w:lvlJc w:val="left"/>
      <w:pPr>
        <w:tabs>
          <w:tab w:val="num" w:pos="2340"/>
        </w:tabs>
        <w:ind w:left="2340" w:hanging="360"/>
      </w:pPr>
      <w:rPr>
        <w:rFonts w:cs="Times New Roman" w:hint="default"/>
        <w:b/>
      </w:rPr>
    </w:lvl>
    <w:lvl w:ilvl="1" w:tplc="E7FAED36">
      <w:start w:val="1"/>
      <w:numFmt w:val="lowerLetter"/>
      <w:lvlText w:val="%2)"/>
      <w:lvlJc w:val="left"/>
      <w:pPr>
        <w:tabs>
          <w:tab w:val="num" w:pos="1440"/>
        </w:tabs>
        <w:ind w:left="1440" w:hanging="360"/>
      </w:pPr>
      <w:rPr>
        <w:rFonts w:cs="Times New Roman" w:hint="default"/>
        <w:b w:val="0"/>
      </w:rPr>
    </w:lvl>
    <w:lvl w:ilvl="2" w:tplc="AB928EBE">
      <w:start w:val="1"/>
      <w:numFmt w:val="lowerLetter"/>
      <w:lvlText w:val="%3)"/>
      <w:lvlJc w:val="left"/>
      <w:pPr>
        <w:tabs>
          <w:tab w:val="num" w:pos="786"/>
        </w:tabs>
        <w:ind w:left="786" w:hanging="360"/>
      </w:pPr>
      <w:rPr>
        <w:rFonts w:cs="Times New Roman" w:hint="default"/>
        <w:b w:val="0"/>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608B7800"/>
    <w:multiLevelType w:val="hybridMultilevel"/>
    <w:tmpl w:val="F1FCFE36"/>
    <w:lvl w:ilvl="0" w:tplc="F74E2F0E">
      <w:numFmt w:val="bullet"/>
      <w:lvlText w:val="-"/>
      <w:lvlJc w:val="left"/>
      <w:pPr>
        <w:ind w:left="720" w:hanging="360"/>
      </w:pPr>
      <w:rPr>
        <w:rFonts w:ascii="Arial Narrow" w:eastAsia="Times New Roman"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60B00DB8"/>
    <w:multiLevelType w:val="hybridMultilevel"/>
    <w:tmpl w:val="A8BA7890"/>
    <w:lvl w:ilvl="0" w:tplc="B28EA8D6">
      <w:numFmt w:val="bullet"/>
      <w:lvlText w:val="-"/>
      <w:lvlJc w:val="left"/>
      <w:pPr>
        <w:tabs>
          <w:tab w:val="num" w:pos="360"/>
        </w:tabs>
        <w:ind w:left="360" w:hanging="360"/>
      </w:pPr>
      <w:rPr>
        <w:rFonts w:ascii="Arial Narrow" w:eastAsia="Times New Roman" w:hAnsi="Arial Narrow" w:cs="Times New Roman"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66" w15:restartNumberingAfterBreak="0">
    <w:nsid w:val="61C62DDA"/>
    <w:multiLevelType w:val="hybridMultilevel"/>
    <w:tmpl w:val="6958DDEC"/>
    <w:lvl w:ilvl="0" w:tplc="0E785596">
      <w:numFmt w:val="bullet"/>
      <w:lvlText w:val="-"/>
      <w:lvlJc w:val="left"/>
      <w:pPr>
        <w:ind w:left="1287" w:hanging="360"/>
      </w:pPr>
      <w:rPr>
        <w:rFonts w:ascii="Arial Narrow" w:eastAsia="Times New Roman" w:hAnsi="Arial Narrow"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67" w15:restartNumberingAfterBreak="0">
    <w:nsid w:val="61D335B3"/>
    <w:multiLevelType w:val="hybridMultilevel"/>
    <w:tmpl w:val="F7E23FEE"/>
    <w:lvl w:ilvl="0" w:tplc="731A487A">
      <w:start w:val="1"/>
      <w:numFmt w:val="decimal"/>
      <w:pStyle w:val="Palo3"/>
      <w:lvlText w:val="2.2.%1"/>
      <w:lvlJc w:val="left"/>
      <w:pPr>
        <w:ind w:left="36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644D350B"/>
    <w:multiLevelType w:val="hybridMultilevel"/>
    <w:tmpl w:val="88128BF0"/>
    <w:lvl w:ilvl="0" w:tplc="DE3640F0">
      <w:start w:val="1"/>
      <w:numFmt w:val="lowerRoman"/>
      <w:lvlText w:val="%1)"/>
      <w:lvlJc w:val="left"/>
      <w:pPr>
        <w:ind w:left="1080" w:hanging="72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9" w15:restartNumberingAfterBreak="0">
    <w:nsid w:val="67347E8B"/>
    <w:multiLevelType w:val="hybridMultilevel"/>
    <w:tmpl w:val="C762B848"/>
    <w:lvl w:ilvl="0" w:tplc="041B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675569B9"/>
    <w:multiLevelType w:val="hybridMultilevel"/>
    <w:tmpl w:val="F2B48EF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1" w15:restartNumberingAfterBreak="0">
    <w:nsid w:val="67FD1A8E"/>
    <w:multiLevelType w:val="hybridMultilevel"/>
    <w:tmpl w:val="C088C6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15:restartNumberingAfterBreak="0">
    <w:nsid w:val="68316651"/>
    <w:multiLevelType w:val="hybridMultilevel"/>
    <w:tmpl w:val="6F021F06"/>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73" w15:restartNumberingAfterBreak="0">
    <w:nsid w:val="68FF4E7B"/>
    <w:multiLevelType w:val="hybridMultilevel"/>
    <w:tmpl w:val="2AC4EA48"/>
    <w:lvl w:ilvl="0" w:tplc="5C6617D8">
      <w:start w:val="1"/>
      <w:numFmt w:val="bullet"/>
      <w:lvlText w:val="-"/>
      <w:lvlJc w:val="left"/>
      <w:pPr>
        <w:ind w:left="720" w:hanging="360"/>
      </w:pPr>
      <w:rPr>
        <w:rFonts w:ascii="Times New Roman" w:eastAsia="Times New Roman" w:hAnsi="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69117BA9"/>
    <w:multiLevelType w:val="hybridMultilevel"/>
    <w:tmpl w:val="DE24AD20"/>
    <w:lvl w:ilvl="0" w:tplc="041B000F">
      <w:start w:val="1"/>
      <w:numFmt w:val="decimal"/>
      <w:lvlText w:val="%1."/>
      <w:lvlJc w:val="left"/>
      <w:pPr>
        <w:ind w:left="700" w:hanging="360"/>
      </w:pPr>
    </w:lvl>
    <w:lvl w:ilvl="1" w:tplc="041B0019" w:tentative="1">
      <w:start w:val="1"/>
      <w:numFmt w:val="lowerLetter"/>
      <w:lvlText w:val="%2."/>
      <w:lvlJc w:val="left"/>
      <w:pPr>
        <w:ind w:left="1420" w:hanging="360"/>
      </w:pPr>
    </w:lvl>
    <w:lvl w:ilvl="2" w:tplc="041B001B" w:tentative="1">
      <w:start w:val="1"/>
      <w:numFmt w:val="lowerRoman"/>
      <w:lvlText w:val="%3."/>
      <w:lvlJc w:val="right"/>
      <w:pPr>
        <w:ind w:left="2140" w:hanging="180"/>
      </w:pPr>
    </w:lvl>
    <w:lvl w:ilvl="3" w:tplc="041B000F" w:tentative="1">
      <w:start w:val="1"/>
      <w:numFmt w:val="decimal"/>
      <w:lvlText w:val="%4."/>
      <w:lvlJc w:val="left"/>
      <w:pPr>
        <w:ind w:left="2860" w:hanging="360"/>
      </w:pPr>
    </w:lvl>
    <w:lvl w:ilvl="4" w:tplc="041B0019" w:tentative="1">
      <w:start w:val="1"/>
      <w:numFmt w:val="lowerLetter"/>
      <w:lvlText w:val="%5."/>
      <w:lvlJc w:val="left"/>
      <w:pPr>
        <w:ind w:left="3580" w:hanging="360"/>
      </w:pPr>
    </w:lvl>
    <w:lvl w:ilvl="5" w:tplc="041B001B" w:tentative="1">
      <w:start w:val="1"/>
      <w:numFmt w:val="lowerRoman"/>
      <w:lvlText w:val="%6."/>
      <w:lvlJc w:val="right"/>
      <w:pPr>
        <w:ind w:left="4300" w:hanging="180"/>
      </w:pPr>
    </w:lvl>
    <w:lvl w:ilvl="6" w:tplc="041B000F" w:tentative="1">
      <w:start w:val="1"/>
      <w:numFmt w:val="decimal"/>
      <w:lvlText w:val="%7."/>
      <w:lvlJc w:val="left"/>
      <w:pPr>
        <w:ind w:left="5020" w:hanging="360"/>
      </w:pPr>
    </w:lvl>
    <w:lvl w:ilvl="7" w:tplc="041B0019" w:tentative="1">
      <w:start w:val="1"/>
      <w:numFmt w:val="lowerLetter"/>
      <w:lvlText w:val="%8."/>
      <w:lvlJc w:val="left"/>
      <w:pPr>
        <w:ind w:left="5740" w:hanging="360"/>
      </w:pPr>
    </w:lvl>
    <w:lvl w:ilvl="8" w:tplc="041B001B" w:tentative="1">
      <w:start w:val="1"/>
      <w:numFmt w:val="lowerRoman"/>
      <w:lvlText w:val="%9."/>
      <w:lvlJc w:val="right"/>
      <w:pPr>
        <w:ind w:left="6460" w:hanging="180"/>
      </w:pPr>
    </w:lvl>
  </w:abstractNum>
  <w:abstractNum w:abstractNumId="75" w15:restartNumberingAfterBreak="0">
    <w:nsid w:val="69C57146"/>
    <w:multiLevelType w:val="hybridMultilevel"/>
    <w:tmpl w:val="CC881B08"/>
    <w:lvl w:ilvl="0" w:tplc="5646332E">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76" w15:restartNumberingAfterBreak="0">
    <w:nsid w:val="6AD709F7"/>
    <w:multiLevelType w:val="hybridMultilevel"/>
    <w:tmpl w:val="FEB879B4"/>
    <w:lvl w:ilvl="0" w:tplc="041B0001">
      <w:start w:val="1"/>
      <w:numFmt w:val="bullet"/>
      <w:lvlText w:val=""/>
      <w:lvlJc w:val="left"/>
      <w:pPr>
        <w:ind w:left="723" w:hanging="360"/>
      </w:pPr>
      <w:rPr>
        <w:rFonts w:ascii="Symbol" w:hAnsi="Symbol" w:hint="default"/>
      </w:rPr>
    </w:lvl>
    <w:lvl w:ilvl="1" w:tplc="041B0003" w:tentative="1">
      <w:start w:val="1"/>
      <w:numFmt w:val="bullet"/>
      <w:lvlText w:val="o"/>
      <w:lvlJc w:val="left"/>
      <w:pPr>
        <w:ind w:left="1443" w:hanging="360"/>
      </w:pPr>
      <w:rPr>
        <w:rFonts w:ascii="Courier New" w:hAnsi="Courier New" w:cs="Courier New" w:hint="default"/>
      </w:rPr>
    </w:lvl>
    <w:lvl w:ilvl="2" w:tplc="041B0005" w:tentative="1">
      <w:start w:val="1"/>
      <w:numFmt w:val="bullet"/>
      <w:lvlText w:val=""/>
      <w:lvlJc w:val="left"/>
      <w:pPr>
        <w:ind w:left="2163" w:hanging="360"/>
      </w:pPr>
      <w:rPr>
        <w:rFonts w:ascii="Wingdings" w:hAnsi="Wingdings" w:hint="default"/>
      </w:rPr>
    </w:lvl>
    <w:lvl w:ilvl="3" w:tplc="041B0001" w:tentative="1">
      <w:start w:val="1"/>
      <w:numFmt w:val="bullet"/>
      <w:lvlText w:val=""/>
      <w:lvlJc w:val="left"/>
      <w:pPr>
        <w:ind w:left="2883" w:hanging="360"/>
      </w:pPr>
      <w:rPr>
        <w:rFonts w:ascii="Symbol" w:hAnsi="Symbol" w:hint="default"/>
      </w:rPr>
    </w:lvl>
    <w:lvl w:ilvl="4" w:tplc="041B0003" w:tentative="1">
      <w:start w:val="1"/>
      <w:numFmt w:val="bullet"/>
      <w:lvlText w:val="o"/>
      <w:lvlJc w:val="left"/>
      <w:pPr>
        <w:ind w:left="3603" w:hanging="360"/>
      </w:pPr>
      <w:rPr>
        <w:rFonts w:ascii="Courier New" w:hAnsi="Courier New" w:cs="Courier New" w:hint="default"/>
      </w:rPr>
    </w:lvl>
    <w:lvl w:ilvl="5" w:tplc="041B0005" w:tentative="1">
      <w:start w:val="1"/>
      <w:numFmt w:val="bullet"/>
      <w:lvlText w:val=""/>
      <w:lvlJc w:val="left"/>
      <w:pPr>
        <w:ind w:left="4323" w:hanging="360"/>
      </w:pPr>
      <w:rPr>
        <w:rFonts w:ascii="Wingdings" w:hAnsi="Wingdings" w:hint="default"/>
      </w:rPr>
    </w:lvl>
    <w:lvl w:ilvl="6" w:tplc="041B0001" w:tentative="1">
      <w:start w:val="1"/>
      <w:numFmt w:val="bullet"/>
      <w:lvlText w:val=""/>
      <w:lvlJc w:val="left"/>
      <w:pPr>
        <w:ind w:left="5043" w:hanging="360"/>
      </w:pPr>
      <w:rPr>
        <w:rFonts w:ascii="Symbol" w:hAnsi="Symbol" w:hint="default"/>
      </w:rPr>
    </w:lvl>
    <w:lvl w:ilvl="7" w:tplc="041B0003" w:tentative="1">
      <w:start w:val="1"/>
      <w:numFmt w:val="bullet"/>
      <w:lvlText w:val="o"/>
      <w:lvlJc w:val="left"/>
      <w:pPr>
        <w:ind w:left="5763" w:hanging="360"/>
      </w:pPr>
      <w:rPr>
        <w:rFonts w:ascii="Courier New" w:hAnsi="Courier New" w:cs="Courier New" w:hint="default"/>
      </w:rPr>
    </w:lvl>
    <w:lvl w:ilvl="8" w:tplc="041B0005" w:tentative="1">
      <w:start w:val="1"/>
      <w:numFmt w:val="bullet"/>
      <w:lvlText w:val=""/>
      <w:lvlJc w:val="left"/>
      <w:pPr>
        <w:ind w:left="6483" w:hanging="360"/>
      </w:pPr>
      <w:rPr>
        <w:rFonts w:ascii="Wingdings" w:hAnsi="Wingdings" w:hint="default"/>
      </w:rPr>
    </w:lvl>
  </w:abstractNum>
  <w:abstractNum w:abstractNumId="77" w15:restartNumberingAfterBreak="0">
    <w:nsid w:val="6B416C1D"/>
    <w:multiLevelType w:val="hybridMultilevel"/>
    <w:tmpl w:val="AA76EEB4"/>
    <w:lvl w:ilvl="0" w:tplc="041B0005">
      <w:start w:val="1"/>
      <w:numFmt w:val="bullet"/>
      <w:lvlText w:val=""/>
      <w:lvlJc w:val="left"/>
      <w:pPr>
        <w:tabs>
          <w:tab w:val="num" w:pos="720"/>
        </w:tabs>
        <w:ind w:left="720" w:hanging="360"/>
      </w:pPr>
      <w:rPr>
        <w:rFonts w:ascii="Wingdings" w:hAnsi="Wingdings"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6D6452A2"/>
    <w:multiLevelType w:val="hybridMultilevel"/>
    <w:tmpl w:val="9FFAA134"/>
    <w:lvl w:ilvl="0" w:tplc="041B0001">
      <w:start w:val="1"/>
      <w:numFmt w:val="bullet"/>
      <w:lvlText w:val=""/>
      <w:lvlJc w:val="left"/>
      <w:pPr>
        <w:tabs>
          <w:tab w:val="num" w:pos="1080"/>
        </w:tabs>
        <w:ind w:left="1080" w:hanging="360"/>
      </w:pPr>
      <w:rPr>
        <w:rFonts w:ascii="Symbol" w:hAnsi="Symbol" w:hint="default"/>
      </w:rPr>
    </w:lvl>
    <w:lvl w:ilvl="1" w:tplc="041B0003">
      <w:start w:val="1"/>
      <w:numFmt w:val="bullet"/>
      <w:lvlText w:val="o"/>
      <w:lvlJc w:val="left"/>
      <w:pPr>
        <w:tabs>
          <w:tab w:val="num" w:pos="1800"/>
        </w:tabs>
        <w:ind w:left="1800" w:hanging="360"/>
      </w:pPr>
      <w:rPr>
        <w:rFonts w:ascii="Courier New" w:hAnsi="Courier New" w:hint="default"/>
      </w:rPr>
    </w:lvl>
    <w:lvl w:ilvl="2" w:tplc="041B0005">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79" w15:restartNumberingAfterBreak="0">
    <w:nsid w:val="73F72EBD"/>
    <w:multiLevelType w:val="hybridMultilevel"/>
    <w:tmpl w:val="85045550"/>
    <w:lvl w:ilvl="0" w:tplc="041B0001">
      <w:start w:val="1"/>
      <w:numFmt w:val="bullet"/>
      <w:lvlText w:val=""/>
      <w:lvlJc w:val="left"/>
      <w:pPr>
        <w:ind w:left="851" w:hanging="360"/>
      </w:pPr>
      <w:rPr>
        <w:rFonts w:ascii="Symbol" w:hAnsi="Symbol" w:hint="default"/>
      </w:rPr>
    </w:lvl>
    <w:lvl w:ilvl="1" w:tplc="041B0003" w:tentative="1">
      <w:start w:val="1"/>
      <w:numFmt w:val="bullet"/>
      <w:lvlText w:val="o"/>
      <w:lvlJc w:val="left"/>
      <w:pPr>
        <w:ind w:left="1571" w:hanging="360"/>
      </w:pPr>
      <w:rPr>
        <w:rFonts w:ascii="Courier New" w:hAnsi="Courier New" w:cs="Courier New" w:hint="default"/>
      </w:rPr>
    </w:lvl>
    <w:lvl w:ilvl="2" w:tplc="041B0005" w:tentative="1">
      <w:start w:val="1"/>
      <w:numFmt w:val="bullet"/>
      <w:lvlText w:val=""/>
      <w:lvlJc w:val="left"/>
      <w:pPr>
        <w:ind w:left="2291" w:hanging="360"/>
      </w:pPr>
      <w:rPr>
        <w:rFonts w:ascii="Wingdings" w:hAnsi="Wingdings" w:hint="default"/>
      </w:rPr>
    </w:lvl>
    <w:lvl w:ilvl="3" w:tplc="041B0001" w:tentative="1">
      <w:start w:val="1"/>
      <w:numFmt w:val="bullet"/>
      <w:lvlText w:val=""/>
      <w:lvlJc w:val="left"/>
      <w:pPr>
        <w:ind w:left="3011" w:hanging="360"/>
      </w:pPr>
      <w:rPr>
        <w:rFonts w:ascii="Symbol" w:hAnsi="Symbol" w:hint="default"/>
      </w:rPr>
    </w:lvl>
    <w:lvl w:ilvl="4" w:tplc="041B0003" w:tentative="1">
      <w:start w:val="1"/>
      <w:numFmt w:val="bullet"/>
      <w:lvlText w:val="o"/>
      <w:lvlJc w:val="left"/>
      <w:pPr>
        <w:ind w:left="3731" w:hanging="360"/>
      </w:pPr>
      <w:rPr>
        <w:rFonts w:ascii="Courier New" w:hAnsi="Courier New" w:cs="Courier New" w:hint="default"/>
      </w:rPr>
    </w:lvl>
    <w:lvl w:ilvl="5" w:tplc="041B0005" w:tentative="1">
      <w:start w:val="1"/>
      <w:numFmt w:val="bullet"/>
      <w:lvlText w:val=""/>
      <w:lvlJc w:val="left"/>
      <w:pPr>
        <w:ind w:left="4451" w:hanging="360"/>
      </w:pPr>
      <w:rPr>
        <w:rFonts w:ascii="Wingdings" w:hAnsi="Wingdings" w:hint="default"/>
      </w:rPr>
    </w:lvl>
    <w:lvl w:ilvl="6" w:tplc="041B0001" w:tentative="1">
      <w:start w:val="1"/>
      <w:numFmt w:val="bullet"/>
      <w:lvlText w:val=""/>
      <w:lvlJc w:val="left"/>
      <w:pPr>
        <w:ind w:left="5171" w:hanging="360"/>
      </w:pPr>
      <w:rPr>
        <w:rFonts w:ascii="Symbol" w:hAnsi="Symbol" w:hint="default"/>
      </w:rPr>
    </w:lvl>
    <w:lvl w:ilvl="7" w:tplc="041B0003" w:tentative="1">
      <w:start w:val="1"/>
      <w:numFmt w:val="bullet"/>
      <w:lvlText w:val="o"/>
      <w:lvlJc w:val="left"/>
      <w:pPr>
        <w:ind w:left="5891" w:hanging="360"/>
      </w:pPr>
      <w:rPr>
        <w:rFonts w:ascii="Courier New" w:hAnsi="Courier New" w:cs="Courier New" w:hint="default"/>
      </w:rPr>
    </w:lvl>
    <w:lvl w:ilvl="8" w:tplc="041B0005" w:tentative="1">
      <w:start w:val="1"/>
      <w:numFmt w:val="bullet"/>
      <w:lvlText w:val=""/>
      <w:lvlJc w:val="left"/>
      <w:pPr>
        <w:ind w:left="6611" w:hanging="360"/>
      </w:pPr>
      <w:rPr>
        <w:rFonts w:ascii="Wingdings" w:hAnsi="Wingdings" w:hint="default"/>
      </w:rPr>
    </w:lvl>
  </w:abstractNum>
  <w:abstractNum w:abstractNumId="80" w15:restartNumberingAfterBreak="0">
    <w:nsid w:val="748F63E9"/>
    <w:multiLevelType w:val="hybridMultilevel"/>
    <w:tmpl w:val="3E0CD55C"/>
    <w:lvl w:ilvl="0" w:tplc="F74E2F0E">
      <w:numFmt w:val="bullet"/>
      <w:lvlText w:val="-"/>
      <w:lvlJc w:val="left"/>
      <w:pPr>
        <w:ind w:left="1440" w:hanging="360"/>
      </w:pPr>
      <w:rPr>
        <w:rFonts w:ascii="Arial Narrow" w:eastAsia="Times New Roman" w:hAnsi="Arial Narrow"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81" w15:restartNumberingAfterBreak="0">
    <w:nsid w:val="74DA1B10"/>
    <w:multiLevelType w:val="hybridMultilevel"/>
    <w:tmpl w:val="3CAAAEB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2" w15:restartNumberingAfterBreak="0">
    <w:nsid w:val="75087E28"/>
    <w:multiLevelType w:val="hybridMultilevel"/>
    <w:tmpl w:val="8DC0A14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3" w15:restartNumberingAfterBreak="0">
    <w:nsid w:val="75B74371"/>
    <w:multiLevelType w:val="hybridMultilevel"/>
    <w:tmpl w:val="22B62C2A"/>
    <w:lvl w:ilvl="0" w:tplc="D0365A82">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84" w15:restartNumberingAfterBreak="0">
    <w:nsid w:val="75D7125C"/>
    <w:multiLevelType w:val="hybridMultilevel"/>
    <w:tmpl w:val="05BE8F28"/>
    <w:lvl w:ilvl="0" w:tplc="041B0017">
      <w:start w:val="1"/>
      <w:numFmt w:val="lowerLetter"/>
      <w:lvlText w:val="%1)"/>
      <w:lvlJc w:val="left"/>
      <w:pPr>
        <w:tabs>
          <w:tab w:val="num" w:pos="720"/>
        </w:tabs>
        <w:ind w:left="720" w:hanging="360"/>
      </w:pPr>
      <w:rPr>
        <w:rFonts w:cs="Times New Roman"/>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85" w15:restartNumberingAfterBreak="0">
    <w:nsid w:val="76B54884"/>
    <w:multiLevelType w:val="hybridMultilevel"/>
    <w:tmpl w:val="7080761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15:restartNumberingAfterBreak="0">
    <w:nsid w:val="78CA236D"/>
    <w:multiLevelType w:val="hybridMultilevel"/>
    <w:tmpl w:val="8B08286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7" w15:restartNumberingAfterBreak="0">
    <w:nsid w:val="790C03A2"/>
    <w:multiLevelType w:val="hybridMultilevel"/>
    <w:tmpl w:val="F65E03B8"/>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88" w15:restartNumberingAfterBreak="0">
    <w:nsid w:val="7ACE154D"/>
    <w:multiLevelType w:val="hybridMultilevel"/>
    <w:tmpl w:val="D714DBEC"/>
    <w:lvl w:ilvl="0" w:tplc="5BFEB254">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9" w15:restartNumberingAfterBreak="0">
    <w:nsid w:val="7CC32AF6"/>
    <w:multiLevelType w:val="hybridMultilevel"/>
    <w:tmpl w:val="B3BCB7A8"/>
    <w:lvl w:ilvl="0" w:tplc="F74E2F0E">
      <w:numFmt w:val="bullet"/>
      <w:lvlText w:val="-"/>
      <w:lvlJc w:val="left"/>
      <w:pPr>
        <w:ind w:left="862" w:hanging="360"/>
      </w:pPr>
      <w:rPr>
        <w:rFonts w:ascii="Arial Narrow" w:eastAsia="Times New Roman" w:hAnsi="Arial Narrow"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90" w15:restartNumberingAfterBreak="0">
    <w:nsid w:val="7E0A1237"/>
    <w:multiLevelType w:val="hybridMultilevel"/>
    <w:tmpl w:val="E0A0F1A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15:restartNumberingAfterBreak="0">
    <w:nsid w:val="7E0C53D6"/>
    <w:multiLevelType w:val="hybridMultilevel"/>
    <w:tmpl w:val="67CC64D0"/>
    <w:lvl w:ilvl="0" w:tplc="5646332E">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92" w15:restartNumberingAfterBreak="0">
    <w:nsid w:val="7E3E57B9"/>
    <w:multiLevelType w:val="hybridMultilevel"/>
    <w:tmpl w:val="1734A992"/>
    <w:lvl w:ilvl="0" w:tplc="041B0017">
      <w:start w:val="1"/>
      <w:numFmt w:val="lowerLetter"/>
      <w:lvlText w:val="%1)"/>
      <w:lvlJc w:val="left"/>
      <w:pPr>
        <w:tabs>
          <w:tab w:val="num" w:pos="720"/>
        </w:tabs>
        <w:ind w:left="720" w:hanging="360"/>
      </w:pPr>
      <w:rPr>
        <w:rFonts w:cs="Times New Roman"/>
      </w:rPr>
    </w:lvl>
    <w:lvl w:ilvl="1" w:tplc="D7903814">
      <w:start w:val="2"/>
      <w:numFmt w:val="decimal"/>
      <w:lvlText w:val="%2."/>
      <w:lvlJc w:val="left"/>
      <w:pPr>
        <w:tabs>
          <w:tab w:val="num" w:pos="1440"/>
        </w:tabs>
        <w:ind w:left="1440" w:hanging="360"/>
      </w:pPr>
      <w:rPr>
        <w:rFonts w:cs="Times New Roman" w:hint="default"/>
        <w:b/>
      </w:rPr>
    </w:lvl>
    <w:lvl w:ilvl="2" w:tplc="5FE89BAA">
      <w:start w:val="3"/>
      <w:numFmt w:val="decimal"/>
      <w:lvlText w:val="%3."/>
      <w:lvlJc w:val="left"/>
      <w:pPr>
        <w:tabs>
          <w:tab w:val="num" w:pos="2340"/>
        </w:tabs>
        <w:ind w:left="2340" w:hanging="360"/>
      </w:pPr>
      <w:rPr>
        <w:rFonts w:cs="Times New Roman" w:hint="default"/>
        <w:b/>
      </w:rPr>
    </w:lvl>
    <w:lvl w:ilvl="3" w:tplc="5646332E">
      <w:start w:val="1"/>
      <w:numFmt w:val="lowerLetter"/>
      <w:lvlText w:val="%4)"/>
      <w:lvlJc w:val="left"/>
      <w:pPr>
        <w:tabs>
          <w:tab w:val="num" w:pos="2880"/>
        </w:tabs>
        <w:ind w:left="2880" w:hanging="360"/>
      </w:pPr>
      <w:rPr>
        <w:rFonts w:cs="Times New Roman" w:hint="default"/>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num w:numId="1">
    <w:abstractNumId w:val="1"/>
  </w:num>
  <w:num w:numId="2">
    <w:abstractNumId w:val="0"/>
  </w:num>
  <w:num w:numId="3">
    <w:abstractNumId w:val="46"/>
  </w:num>
  <w:num w:numId="4">
    <w:abstractNumId w:val="34"/>
  </w:num>
  <w:num w:numId="5">
    <w:abstractNumId w:val="7"/>
  </w:num>
  <w:num w:numId="6">
    <w:abstractNumId w:val="9"/>
  </w:num>
  <w:num w:numId="7">
    <w:abstractNumId w:val="78"/>
  </w:num>
  <w:num w:numId="8">
    <w:abstractNumId w:val="83"/>
  </w:num>
  <w:num w:numId="9">
    <w:abstractNumId w:val="92"/>
  </w:num>
  <w:num w:numId="10">
    <w:abstractNumId w:val="91"/>
  </w:num>
  <w:num w:numId="11">
    <w:abstractNumId w:val="22"/>
  </w:num>
  <w:num w:numId="12">
    <w:abstractNumId w:val="63"/>
  </w:num>
  <w:num w:numId="13">
    <w:abstractNumId w:val="41"/>
  </w:num>
  <w:num w:numId="14">
    <w:abstractNumId w:val="31"/>
  </w:num>
  <w:num w:numId="15">
    <w:abstractNumId w:val="13"/>
  </w:num>
  <w:num w:numId="16">
    <w:abstractNumId w:val="84"/>
  </w:num>
  <w:num w:numId="17">
    <w:abstractNumId w:val="75"/>
  </w:num>
  <w:num w:numId="18">
    <w:abstractNumId w:val="54"/>
  </w:num>
  <w:num w:numId="19">
    <w:abstractNumId w:val="19"/>
  </w:num>
  <w:num w:numId="20">
    <w:abstractNumId w:val="14"/>
  </w:num>
  <w:num w:numId="21">
    <w:abstractNumId w:val="57"/>
  </w:num>
  <w:num w:numId="22">
    <w:abstractNumId w:val="44"/>
  </w:num>
  <w:num w:numId="23">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2"/>
  </w:num>
  <w:num w:numId="25">
    <w:abstractNumId w:val="35"/>
  </w:num>
  <w:num w:numId="26">
    <w:abstractNumId w:val="60"/>
  </w:num>
  <w:num w:numId="27">
    <w:abstractNumId w:val="16"/>
  </w:num>
  <w:num w:numId="28">
    <w:abstractNumId w:val="30"/>
  </w:num>
  <w:num w:numId="29">
    <w:abstractNumId w:val="32"/>
  </w:num>
  <w:num w:numId="30">
    <w:abstractNumId w:val="20"/>
  </w:num>
  <w:num w:numId="31">
    <w:abstractNumId w:val="48"/>
  </w:num>
  <w:num w:numId="32">
    <w:abstractNumId w:val="87"/>
  </w:num>
  <w:num w:numId="33">
    <w:abstractNumId w:val="85"/>
  </w:num>
  <w:num w:numId="34">
    <w:abstractNumId w:val="62"/>
  </w:num>
  <w:num w:numId="35">
    <w:abstractNumId w:val="45"/>
    <w:lvlOverride w:ilvl="0">
      <w:startOverride w:val="1"/>
    </w:lvlOverride>
    <w:lvlOverride w:ilvl="1"/>
    <w:lvlOverride w:ilvl="2"/>
    <w:lvlOverride w:ilvl="3"/>
    <w:lvlOverride w:ilvl="4"/>
    <w:lvlOverride w:ilvl="5"/>
    <w:lvlOverride w:ilvl="6"/>
    <w:lvlOverride w:ilvl="7"/>
    <w:lvlOverride w:ilvl="8"/>
  </w:num>
  <w:num w:numId="36">
    <w:abstractNumId w:val="74"/>
  </w:num>
  <w:num w:numId="37">
    <w:abstractNumId w:val="73"/>
  </w:num>
  <w:num w:numId="38">
    <w:abstractNumId w:val="39"/>
  </w:num>
  <w:num w:numId="39">
    <w:abstractNumId w:val="69"/>
  </w:num>
  <w:num w:numId="40">
    <w:abstractNumId w:val="6"/>
  </w:num>
  <w:num w:numId="41">
    <w:abstractNumId w:val="55"/>
  </w:num>
  <w:num w:numId="42">
    <w:abstractNumId w:val="24"/>
  </w:num>
  <w:num w:numId="43">
    <w:abstractNumId w:val="72"/>
  </w:num>
  <w:num w:numId="44">
    <w:abstractNumId w:val="17"/>
  </w:num>
  <w:num w:numId="45">
    <w:abstractNumId w:val="86"/>
  </w:num>
  <w:num w:numId="46">
    <w:abstractNumId w:val="27"/>
  </w:num>
  <w:num w:numId="47">
    <w:abstractNumId w:val="59"/>
  </w:num>
  <w:num w:numId="48">
    <w:abstractNumId w:val="66"/>
  </w:num>
  <w:num w:numId="49">
    <w:abstractNumId w:val="28"/>
  </w:num>
  <w:num w:numId="50">
    <w:abstractNumId w:val="18"/>
  </w:num>
  <w:num w:numId="51">
    <w:abstractNumId w:val="8"/>
  </w:num>
  <w:num w:numId="52">
    <w:abstractNumId w:val="52"/>
  </w:num>
  <w:num w:numId="53">
    <w:abstractNumId w:val="76"/>
  </w:num>
  <w:num w:numId="54">
    <w:abstractNumId w:val="26"/>
  </w:num>
  <w:num w:numId="55">
    <w:abstractNumId w:val="36"/>
  </w:num>
  <w:num w:numId="56">
    <w:abstractNumId w:val="79"/>
  </w:num>
  <w:num w:numId="57">
    <w:abstractNumId w:val="23"/>
  </w:num>
  <w:num w:numId="58">
    <w:abstractNumId w:val="12"/>
  </w:num>
  <w:num w:numId="59">
    <w:abstractNumId w:val="90"/>
  </w:num>
  <w:num w:numId="60">
    <w:abstractNumId w:val="42"/>
  </w:num>
  <w:num w:numId="61">
    <w:abstractNumId w:val="15"/>
  </w:num>
  <w:num w:numId="62">
    <w:abstractNumId w:val="51"/>
  </w:num>
  <w:num w:numId="63">
    <w:abstractNumId w:val="65"/>
  </w:num>
  <w:num w:numId="64">
    <w:abstractNumId w:val="37"/>
  </w:num>
  <w:num w:numId="65">
    <w:abstractNumId w:val="61"/>
  </w:num>
  <w:num w:numId="66">
    <w:abstractNumId w:val="4"/>
  </w:num>
  <w:num w:numId="67">
    <w:abstractNumId w:val="58"/>
  </w:num>
  <w:num w:numId="68">
    <w:abstractNumId w:val="38"/>
  </w:num>
  <w:num w:numId="69">
    <w:abstractNumId w:val="77"/>
  </w:num>
  <w:num w:numId="70">
    <w:abstractNumId w:val="81"/>
  </w:num>
  <w:num w:numId="71">
    <w:abstractNumId w:val="40"/>
  </w:num>
  <w:num w:numId="72">
    <w:abstractNumId w:val="67"/>
  </w:num>
  <w:num w:numId="73">
    <w:abstractNumId w:val="21"/>
  </w:num>
  <w:num w:numId="7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47"/>
  </w:num>
  <w:num w:numId="137">
    <w:abstractNumId w:val="68"/>
  </w:num>
  <w:num w:numId="138">
    <w:abstractNumId w:val="10"/>
  </w:num>
  <w:num w:numId="139">
    <w:abstractNumId w:val="49"/>
  </w:num>
  <w:num w:numId="140">
    <w:abstractNumId w:val="43"/>
  </w:num>
  <w:num w:numId="141">
    <w:abstractNumId w:val="5"/>
  </w:num>
  <w:num w:numId="142">
    <w:abstractNumId w:val="88"/>
  </w:num>
  <w:num w:numId="143">
    <w:abstractNumId w:val="71"/>
  </w:num>
  <w:num w:numId="144">
    <w:abstractNumId w:val="70"/>
  </w:num>
  <w:num w:numId="145">
    <w:abstractNumId w:val="25"/>
  </w:num>
  <w:num w:numId="146">
    <w:abstractNumId w:val="50"/>
  </w:num>
  <w:num w:numId="147">
    <w:abstractNumId w:val="11"/>
  </w:num>
  <w:num w:numId="148">
    <w:abstractNumId w:val="80"/>
  </w:num>
  <w:num w:numId="149">
    <w:abstractNumId w:val="64"/>
  </w:num>
  <w:num w:numId="150">
    <w:abstractNumId w:val="29"/>
  </w:num>
  <w:num w:numId="151">
    <w:abstractNumId w:val="89"/>
  </w:num>
  <w:num w:numId="152">
    <w:abstractNumId w:val="56"/>
  </w:num>
  <w:num w:numId="153">
    <w:abstractNumId w:val="53"/>
  </w:num>
  <w:numIdMacAtCleanup w:val="1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isplayBackgroundShape/>
  <w:hideGrammaticalError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0"/>
  <w:hyphenationZone w:val="425"/>
  <w:noPunctuationKerning/>
  <w:characterSpacingControl w:val="doNotCompress"/>
  <w:hdrShapeDefaults>
    <o:shapedefaults v:ext="edit" spidmax="706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7C1B"/>
    <w:rsid w:val="00000299"/>
    <w:rsid w:val="00000822"/>
    <w:rsid w:val="000009DA"/>
    <w:rsid w:val="00000CC9"/>
    <w:rsid w:val="00001084"/>
    <w:rsid w:val="00001458"/>
    <w:rsid w:val="00001481"/>
    <w:rsid w:val="000015F6"/>
    <w:rsid w:val="00001871"/>
    <w:rsid w:val="0000201E"/>
    <w:rsid w:val="000023C1"/>
    <w:rsid w:val="00002481"/>
    <w:rsid w:val="0000262A"/>
    <w:rsid w:val="00002668"/>
    <w:rsid w:val="00002839"/>
    <w:rsid w:val="0000294D"/>
    <w:rsid w:val="00002A39"/>
    <w:rsid w:val="00002DF3"/>
    <w:rsid w:val="00003531"/>
    <w:rsid w:val="0000370D"/>
    <w:rsid w:val="00003853"/>
    <w:rsid w:val="00003C20"/>
    <w:rsid w:val="000048BD"/>
    <w:rsid w:val="000049D5"/>
    <w:rsid w:val="00004C9B"/>
    <w:rsid w:val="00004D6F"/>
    <w:rsid w:val="00004E4C"/>
    <w:rsid w:val="00004F66"/>
    <w:rsid w:val="00005065"/>
    <w:rsid w:val="00005216"/>
    <w:rsid w:val="00005375"/>
    <w:rsid w:val="0000584A"/>
    <w:rsid w:val="0000622F"/>
    <w:rsid w:val="000063EA"/>
    <w:rsid w:val="00006E10"/>
    <w:rsid w:val="00006F0F"/>
    <w:rsid w:val="00006FA9"/>
    <w:rsid w:val="0000701A"/>
    <w:rsid w:val="000070D1"/>
    <w:rsid w:val="00007171"/>
    <w:rsid w:val="0000735D"/>
    <w:rsid w:val="00007624"/>
    <w:rsid w:val="0001000E"/>
    <w:rsid w:val="000103EF"/>
    <w:rsid w:val="00010517"/>
    <w:rsid w:val="0001056C"/>
    <w:rsid w:val="00010AA7"/>
    <w:rsid w:val="00010E4E"/>
    <w:rsid w:val="000114BD"/>
    <w:rsid w:val="000114ED"/>
    <w:rsid w:val="0001154E"/>
    <w:rsid w:val="000115A1"/>
    <w:rsid w:val="0001166E"/>
    <w:rsid w:val="00011687"/>
    <w:rsid w:val="00011ADA"/>
    <w:rsid w:val="00011B53"/>
    <w:rsid w:val="00011C3B"/>
    <w:rsid w:val="00012152"/>
    <w:rsid w:val="00012155"/>
    <w:rsid w:val="00012198"/>
    <w:rsid w:val="000124EC"/>
    <w:rsid w:val="00012642"/>
    <w:rsid w:val="000128DA"/>
    <w:rsid w:val="00012A50"/>
    <w:rsid w:val="00012DDE"/>
    <w:rsid w:val="00013259"/>
    <w:rsid w:val="00013406"/>
    <w:rsid w:val="00013491"/>
    <w:rsid w:val="00013D5F"/>
    <w:rsid w:val="00014279"/>
    <w:rsid w:val="00014435"/>
    <w:rsid w:val="000146A2"/>
    <w:rsid w:val="00014AE3"/>
    <w:rsid w:val="00014BE6"/>
    <w:rsid w:val="00014CF3"/>
    <w:rsid w:val="00014D02"/>
    <w:rsid w:val="00014EE3"/>
    <w:rsid w:val="000150C1"/>
    <w:rsid w:val="00015D1A"/>
    <w:rsid w:val="00016057"/>
    <w:rsid w:val="000161C5"/>
    <w:rsid w:val="000161E3"/>
    <w:rsid w:val="000162C9"/>
    <w:rsid w:val="00016313"/>
    <w:rsid w:val="000164B6"/>
    <w:rsid w:val="00016702"/>
    <w:rsid w:val="000167E0"/>
    <w:rsid w:val="000168D4"/>
    <w:rsid w:val="00016A5D"/>
    <w:rsid w:val="00016D7A"/>
    <w:rsid w:val="00016DBF"/>
    <w:rsid w:val="00017396"/>
    <w:rsid w:val="000201A3"/>
    <w:rsid w:val="000204D6"/>
    <w:rsid w:val="00020846"/>
    <w:rsid w:val="00020A95"/>
    <w:rsid w:val="00020B94"/>
    <w:rsid w:val="00020D83"/>
    <w:rsid w:val="00020DC5"/>
    <w:rsid w:val="00021547"/>
    <w:rsid w:val="0002169E"/>
    <w:rsid w:val="000216DF"/>
    <w:rsid w:val="00021D46"/>
    <w:rsid w:val="00021D5C"/>
    <w:rsid w:val="000222B3"/>
    <w:rsid w:val="000225B0"/>
    <w:rsid w:val="0002275A"/>
    <w:rsid w:val="0002293D"/>
    <w:rsid w:val="00022AFD"/>
    <w:rsid w:val="00023260"/>
    <w:rsid w:val="00023537"/>
    <w:rsid w:val="000236A4"/>
    <w:rsid w:val="0002376D"/>
    <w:rsid w:val="00023899"/>
    <w:rsid w:val="00023A03"/>
    <w:rsid w:val="00023CE2"/>
    <w:rsid w:val="000241F0"/>
    <w:rsid w:val="000243B3"/>
    <w:rsid w:val="00024577"/>
    <w:rsid w:val="000248B0"/>
    <w:rsid w:val="00024A04"/>
    <w:rsid w:val="00024B8C"/>
    <w:rsid w:val="00025E74"/>
    <w:rsid w:val="00025ED3"/>
    <w:rsid w:val="00026311"/>
    <w:rsid w:val="00026674"/>
    <w:rsid w:val="0002671F"/>
    <w:rsid w:val="000268C8"/>
    <w:rsid w:val="00026AC4"/>
    <w:rsid w:val="00026B72"/>
    <w:rsid w:val="0002711C"/>
    <w:rsid w:val="000271BD"/>
    <w:rsid w:val="000274B6"/>
    <w:rsid w:val="00027CEB"/>
    <w:rsid w:val="00027D2F"/>
    <w:rsid w:val="00027F5F"/>
    <w:rsid w:val="00027FD1"/>
    <w:rsid w:val="0003006E"/>
    <w:rsid w:val="00030272"/>
    <w:rsid w:val="00030394"/>
    <w:rsid w:val="0003065E"/>
    <w:rsid w:val="0003074A"/>
    <w:rsid w:val="000308DA"/>
    <w:rsid w:val="00030C9A"/>
    <w:rsid w:val="00030E3C"/>
    <w:rsid w:val="000312D2"/>
    <w:rsid w:val="00031481"/>
    <w:rsid w:val="000314F8"/>
    <w:rsid w:val="00031835"/>
    <w:rsid w:val="00032930"/>
    <w:rsid w:val="00032A40"/>
    <w:rsid w:val="00032AB7"/>
    <w:rsid w:val="00032B4D"/>
    <w:rsid w:val="00032D2D"/>
    <w:rsid w:val="00032E81"/>
    <w:rsid w:val="000330FC"/>
    <w:rsid w:val="000330FE"/>
    <w:rsid w:val="000337CC"/>
    <w:rsid w:val="00033CB7"/>
    <w:rsid w:val="00033F3F"/>
    <w:rsid w:val="00033FA3"/>
    <w:rsid w:val="00034057"/>
    <w:rsid w:val="0003410B"/>
    <w:rsid w:val="000342D3"/>
    <w:rsid w:val="000343CE"/>
    <w:rsid w:val="0003462D"/>
    <w:rsid w:val="00034AB5"/>
    <w:rsid w:val="00034B3E"/>
    <w:rsid w:val="00034E89"/>
    <w:rsid w:val="00034F90"/>
    <w:rsid w:val="00035107"/>
    <w:rsid w:val="000351F6"/>
    <w:rsid w:val="0003533A"/>
    <w:rsid w:val="00035663"/>
    <w:rsid w:val="0003577B"/>
    <w:rsid w:val="000357AE"/>
    <w:rsid w:val="00035A95"/>
    <w:rsid w:val="00036302"/>
    <w:rsid w:val="00036C22"/>
    <w:rsid w:val="000376EF"/>
    <w:rsid w:val="0003794C"/>
    <w:rsid w:val="00037A08"/>
    <w:rsid w:val="00037A3A"/>
    <w:rsid w:val="0004016B"/>
    <w:rsid w:val="00040783"/>
    <w:rsid w:val="00040999"/>
    <w:rsid w:val="00040DFC"/>
    <w:rsid w:val="00040E31"/>
    <w:rsid w:val="00040E34"/>
    <w:rsid w:val="000411D9"/>
    <w:rsid w:val="00041300"/>
    <w:rsid w:val="00041BAD"/>
    <w:rsid w:val="00041E72"/>
    <w:rsid w:val="000421FA"/>
    <w:rsid w:val="00042600"/>
    <w:rsid w:val="000426FA"/>
    <w:rsid w:val="0004294F"/>
    <w:rsid w:val="00042991"/>
    <w:rsid w:val="00042A5B"/>
    <w:rsid w:val="000431BB"/>
    <w:rsid w:val="00043569"/>
    <w:rsid w:val="0004382A"/>
    <w:rsid w:val="000447A4"/>
    <w:rsid w:val="000448A7"/>
    <w:rsid w:val="00044CE4"/>
    <w:rsid w:val="00044CE9"/>
    <w:rsid w:val="0004538D"/>
    <w:rsid w:val="000453AB"/>
    <w:rsid w:val="00045C03"/>
    <w:rsid w:val="0004602C"/>
    <w:rsid w:val="00046519"/>
    <w:rsid w:val="0004683E"/>
    <w:rsid w:val="00046BBA"/>
    <w:rsid w:val="00046DF4"/>
    <w:rsid w:val="00047732"/>
    <w:rsid w:val="0004776E"/>
    <w:rsid w:val="00047787"/>
    <w:rsid w:val="0004781D"/>
    <w:rsid w:val="00047ACE"/>
    <w:rsid w:val="00047E00"/>
    <w:rsid w:val="00047EEB"/>
    <w:rsid w:val="00050121"/>
    <w:rsid w:val="000505D5"/>
    <w:rsid w:val="0005079D"/>
    <w:rsid w:val="00050A3F"/>
    <w:rsid w:val="00050B16"/>
    <w:rsid w:val="00050D9D"/>
    <w:rsid w:val="00050FAC"/>
    <w:rsid w:val="000515AA"/>
    <w:rsid w:val="0005170F"/>
    <w:rsid w:val="00051A07"/>
    <w:rsid w:val="00051A30"/>
    <w:rsid w:val="00051B3A"/>
    <w:rsid w:val="00051F33"/>
    <w:rsid w:val="00052D45"/>
    <w:rsid w:val="00052F39"/>
    <w:rsid w:val="00052FF6"/>
    <w:rsid w:val="0005340B"/>
    <w:rsid w:val="00053A36"/>
    <w:rsid w:val="00053CCF"/>
    <w:rsid w:val="00053CE2"/>
    <w:rsid w:val="00053DCE"/>
    <w:rsid w:val="00053E1D"/>
    <w:rsid w:val="0005469D"/>
    <w:rsid w:val="00054B16"/>
    <w:rsid w:val="00054B56"/>
    <w:rsid w:val="000550F3"/>
    <w:rsid w:val="000550FB"/>
    <w:rsid w:val="00055361"/>
    <w:rsid w:val="00055825"/>
    <w:rsid w:val="00055935"/>
    <w:rsid w:val="000559C2"/>
    <w:rsid w:val="00055DB5"/>
    <w:rsid w:val="000560D9"/>
    <w:rsid w:val="0005628C"/>
    <w:rsid w:val="000562B9"/>
    <w:rsid w:val="0005652B"/>
    <w:rsid w:val="00056597"/>
    <w:rsid w:val="000573C8"/>
    <w:rsid w:val="0005748A"/>
    <w:rsid w:val="000576C5"/>
    <w:rsid w:val="00057A11"/>
    <w:rsid w:val="00057AD0"/>
    <w:rsid w:val="00057B42"/>
    <w:rsid w:val="00057B79"/>
    <w:rsid w:val="00057E97"/>
    <w:rsid w:val="00060038"/>
    <w:rsid w:val="000604FE"/>
    <w:rsid w:val="00060574"/>
    <w:rsid w:val="000606A2"/>
    <w:rsid w:val="000607FE"/>
    <w:rsid w:val="000609DA"/>
    <w:rsid w:val="000609E7"/>
    <w:rsid w:val="00060A99"/>
    <w:rsid w:val="00060BE6"/>
    <w:rsid w:val="000610F3"/>
    <w:rsid w:val="000616D7"/>
    <w:rsid w:val="00061E3D"/>
    <w:rsid w:val="00062420"/>
    <w:rsid w:val="00062560"/>
    <w:rsid w:val="0006266D"/>
    <w:rsid w:val="00062BCC"/>
    <w:rsid w:val="00062D03"/>
    <w:rsid w:val="00062E5B"/>
    <w:rsid w:val="00063AA4"/>
    <w:rsid w:val="00063C80"/>
    <w:rsid w:val="00063D52"/>
    <w:rsid w:val="00064042"/>
    <w:rsid w:val="000640C9"/>
    <w:rsid w:val="000640E6"/>
    <w:rsid w:val="00064184"/>
    <w:rsid w:val="0006424A"/>
    <w:rsid w:val="00064370"/>
    <w:rsid w:val="0006445A"/>
    <w:rsid w:val="000645DE"/>
    <w:rsid w:val="00064796"/>
    <w:rsid w:val="000648C5"/>
    <w:rsid w:val="00065114"/>
    <w:rsid w:val="00065546"/>
    <w:rsid w:val="000656BD"/>
    <w:rsid w:val="00065986"/>
    <w:rsid w:val="000659AA"/>
    <w:rsid w:val="00065A53"/>
    <w:rsid w:val="00065CA4"/>
    <w:rsid w:val="0006602E"/>
    <w:rsid w:val="000662AC"/>
    <w:rsid w:val="000663D4"/>
    <w:rsid w:val="0006649F"/>
    <w:rsid w:val="000666F1"/>
    <w:rsid w:val="00066A62"/>
    <w:rsid w:val="000679EA"/>
    <w:rsid w:val="00067B03"/>
    <w:rsid w:val="00067B58"/>
    <w:rsid w:val="00067C81"/>
    <w:rsid w:val="000706A0"/>
    <w:rsid w:val="00070AE3"/>
    <w:rsid w:val="00070B93"/>
    <w:rsid w:val="00071064"/>
    <w:rsid w:val="000710FB"/>
    <w:rsid w:val="00071450"/>
    <w:rsid w:val="000714DC"/>
    <w:rsid w:val="00071589"/>
    <w:rsid w:val="00071AAF"/>
    <w:rsid w:val="00071C53"/>
    <w:rsid w:val="00071D24"/>
    <w:rsid w:val="00071F1A"/>
    <w:rsid w:val="00071F45"/>
    <w:rsid w:val="00071F9B"/>
    <w:rsid w:val="00072226"/>
    <w:rsid w:val="0007258C"/>
    <w:rsid w:val="000725CB"/>
    <w:rsid w:val="00072816"/>
    <w:rsid w:val="00072869"/>
    <w:rsid w:val="00072F64"/>
    <w:rsid w:val="0007355B"/>
    <w:rsid w:val="00074203"/>
    <w:rsid w:val="00074532"/>
    <w:rsid w:val="00074A5C"/>
    <w:rsid w:val="00074BF7"/>
    <w:rsid w:val="00074E8B"/>
    <w:rsid w:val="00075164"/>
    <w:rsid w:val="0007528E"/>
    <w:rsid w:val="00075B8C"/>
    <w:rsid w:val="00075BA6"/>
    <w:rsid w:val="00075C0A"/>
    <w:rsid w:val="00075F0C"/>
    <w:rsid w:val="000766F3"/>
    <w:rsid w:val="0007695E"/>
    <w:rsid w:val="00076CB6"/>
    <w:rsid w:val="00076F86"/>
    <w:rsid w:val="000772ED"/>
    <w:rsid w:val="000777E4"/>
    <w:rsid w:val="00077BDE"/>
    <w:rsid w:val="00077EE5"/>
    <w:rsid w:val="000801F3"/>
    <w:rsid w:val="0008024D"/>
    <w:rsid w:val="00080458"/>
    <w:rsid w:val="00080AFF"/>
    <w:rsid w:val="00080CFA"/>
    <w:rsid w:val="00080D5E"/>
    <w:rsid w:val="0008139A"/>
    <w:rsid w:val="000814C4"/>
    <w:rsid w:val="00081550"/>
    <w:rsid w:val="0008192E"/>
    <w:rsid w:val="00081AAE"/>
    <w:rsid w:val="00081B9F"/>
    <w:rsid w:val="00081CDE"/>
    <w:rsid w:val="0008202D"/>
    <w:rsid w:val="00082092"/>
    <w:rsid w:val="000823BC"/>
    <w:rsid w:val="0008270F"/>
    <w:rsid w:val="00082743"/>
    <w:rsid w:val="00082785"/>
    <w:rsid w:val="000828EC"/>
    <w:rsid w:val="00082EEA"/>
    <w:rsid w:val="00082F37"/>
    <w:rsid w:val="000831A6"/>
    <w:rsid w:val="000833E4"/>
    <w:rsid w:val="00083447"/>
    <w:rsid w:val="000836B1"/>
    <w:rsid w:val="000837BB"/>
    <w:rsid w:val="00083E45"/>
    <w:rsid w:val="00083EA4"/>
    <w:rsid w:val="0008428C"/>
    <w:rsid w:val="0008447E"/>
    <w:rsid w:val="0008483A"/>
    <w:rsid w:val="00084885"/>
    <w:rsid w:val="00084C8E"/>
    <w:rsid w:val="00084C9D"/>
    <w:rsid w:val="00085071"/>
    <w:rsid w:val="00085875"/>
    <w:rsid w:val="00085A17"/>
    <w:rsid w:val="00085C6D"/>
    <w:rsid w:val="00086433"/>
    <w:rsid w:val="00086976"/>
    <w:rsid w:val="00086D27"/>
    <w:rsid w:val="00086F99"/>
    <w:rsid w:val="000875A5"/>
    <w:rsid w:val="000877A3"/>
    <w:rsid w:val="000877B4"/>
    <w:rsid w:val="00087C7C"/>
    <w:rsid w:val="00087F25"/>
    <w:rsid w:val="000900E4"/>
    <w:rsid w:val="000903EC"/>
    <w:rsid w:val="00090609"/>
    <w:rsid w:val="00090719"/>
    <w:rsid w:val="00091037"/>
    <w:rsid w:val="000910C1"/>
    <w:rsid w:val="00091213"/>
    <w:rsid w:val="00091343"/>
    <w:rsid w:val="00091353"/>
    <w:rsid w:val="0009163E"/>
    <w:rsid w:val="00091770"/>
    <w:rsid w:val="000917AD"/>
    <w:rsid w:val="00091BE5"/>
    <w:rsid w:val="00091E84"/>
    <w:rsid w:val="000921E5"/>
    <w:rsid w:val="00092608"/>
    <w:rsid w:val="00092B64"/>
    <w:rsid w:val="00093314"/>
    <w:rsid w:val="00093A4C"/>
    <w:rsid w:val="00093D1F"/>
    <w:rsid w:val="0009420D"/>
    <w:rsid w:val="000943A1"/>
    <w:rsid w:val="000943D0"/>
    <w:rsid w:val="000946EB"/>
    <w:rsid w:val="00094733"/>
    <w:rsid w:val="00094AAC"/>
    <w:rsid w:val="0009517F"/>
    <w:rsid w:val="000952DA"/>
    <w:rsid w:val="000954BB"/>
    <w:rsid w:val="00095784"/>
    <w:rsid w:val="000959A0"/>
    <w:rsid w:val="00095B5C"/>
    <w:rsid w:val="00095B89"/>
    <w:rsid w:val="00095C41"/>
    <w:rsid w:val="00095C5C"/>
    <w:rsid w:val="00095CE6"/>
    <w:rsid w:val="000961B2"/>
    <w:rsid w:val="00096B00"/>
    <w:rsid w:val="00096C48"/>
    <w:rsid w:val="00096FE2"/>
    <w:rsid w:val="000971EC"/>
    <w:rsid w:val="0009727A"/>
    <w:rsid w:val="000976D4"/>
    <w:rsid w:val="0009773B"/>
    <w:rsid w:val="000979E0"/>
    <w:rsid w:val="00097B91"/>
    <w:rsid w:val="000A016D"/>
    <w:rsid w:val="000A01E9"/>
    <w:rsid w:val="000A023A"/>
    <w:rsid w:val="000A02D3"/>
    <w:rsid w:val="000A06D0"/>
    <w:rsid w:val="000A0780"/>
    <w:rsid w:val="000A0785"/>
    <w:rsid w:val="000A0B7F"/>
    <w:rsid w:val="000A0E68"/>
    <w:rsid w:val="000A0F12"/>
    <w:rsid w:val="000A120A"/>
    <w:rsid w:val="000A12A1"/>
    <w:rsid w:val="000A1354"/>
    <w:rsid w:val="000A142C"/>
    <w:rsid w:val="000A1483"/>
    <w:rsid w:val="000A197C"/>
    <w:rsid w:val="000A19C9"/>
    <w:rsid w:val="000A202C"/>
    <w:rsid w:val="000A2637"/>
    <w:rsid w:val="000A2D98"/>
    <w:rsid w:val="000A2FDD"/>
    <w:rsid w:val="000A3549"/>
    <w:rsid w:val="000A368A"/>
    <w:rsid w:val="000A3D07"/>
    <w:rsid w:val="000A41E2"/>
    <w:rsid w:val="000A44FB"/>
    <w:rsid w:val="000A4504"/>
    <w:rsid w:val="000A47C9"/>
    <w:rsid w:val="000A4911"/>
    <w:rsid w:val="000A4DF7"/>
    <w:rsid w:val="000A51DC"/>
    <w:rsid w:val="000A5B4C"/>
    <w:rsid w:val="000A5C0F"/>
    <w:rsid w:val="000A6354"/>
    <w:rsid w:val="000A63E6"/>
    <w:rsid w:val="000A6563"/>
    <w:rsid w:val="000A6757"/>
    <w:rsid w:val="000A6AD3"/>
    <w:rsid w:val="000A7064"/>
    <w:rsid w:val="000A730C"/>
    <w:rsid w:val="000A755F"/>
    <w:rsid w:val="000A762E"/>
    <w:rsid w:val="000B0074"/>
    <w:rsid w:val="000B00C0"/>
    <w:rsid w:val="000B02E6"/>
    <w:rsid w:val="000B05D2"/>
    <w:rsid w:val="000B0A30"/>
    <w:rsid w:val="000B0A84"/>
    <w:rsid w:val="000B0F98"/>
    <w:rsid w:val="000B172C"/>
    <w:rsid w:val="000B1754"/>
    <w:rsid w:val="000B1AEE"/>
    <w:rsid w:val="000B1B16"/>
    <w:rsid w:val="000B1B4D"/>
    <w:rsid w:val="000B1BC3"/>
    <w:rsid w:val="000B1FD6"/>
    <w:rsid w:val="000B22FE"/>
    <w:rsid w:val="000B262B"/>
    <w:rsid w:val="000B2831"/>
    <w:rsid w:val="000B284A"/>
    <w:rsid w:val="000B360A"/>
    <w:rsid w:val="000B3DD0"/>
    <w:rsid w:val="000B3EF7"/>
    <w:rsid w:val="000B40AE"/>
    <w:rsid w:val="000B40E0"/>
    <w:rsid w:val="000B42DE"/>
    <w:rsid w:val="000B434C"/>
    <w:rsid w:val="000B440F"/>
    <w:rsid w:val="000B4554"/>
    <w:rsid w:val="000B4799"/>
    <w:rsid w:val="000B4942"/>
    <w:rsid w:val="000B5164"/>
    <w:rsid w:val="000B5475"/>
    <w:rsid w:val="000B5509"/>
    <w:rsid w:val="000B565A"/>
    <w:rsid w:val="000B58B9"/>
    <w:rsid w:val="000B59F8"/>
    <w:rsid w:val="000B5F81"/>
    <w:rsid w:val="000B62F9"/>
    <w:rsid w:val="000B65AA"/>
    <w:rsid w:val="000B66F3"/>
    <w:rsid w:val="000B6A1A"/>
    <w:rsid w:val="000B6C2E"/>
    <w:rsid w:val="000B6E30"/>
    <w:rsid w:val="000B6FA6"/>
    <w:rsid w:val="000B7657"/>
    <w:rsid w:val="000B76FD"/>
    <w:rsid w:val="000B78EA"/>
    <w:rsid w:val="000B7B22"/>
    <w:rsid w:val="000C00BA"/>
    <w:rsid w:val="000C0161"/>
    <w:rsid w:val="000C04D1"/>
    <w:rsid w:val="000C088A"/>
    <w:rsid w:val="000C08C2"/>
    <w:rsid w:val="000C0CD7"/>
    <w:rsid w:val="000C1041"/>
    <w:rsid w:val="000C10F3"/>
    <w:rsid w:val="000C1184"/>
    <w:rsid w:val="000C14E5"/>
    <w:rsid w:val="000C1733"/>
    <w:rsid w:val="000C17FA"/>
    <w:rsid w:val="000C18F2"/>
    <w:rsid w:val="000C198B"/>
    <w:rsid w:val="000C235D"/>
    <w:rsid w:val="000C25C7"/>
    <w:rsid w:val="000C30EE"/>
    <w:rsid w:val="000C324F"/>
    <w:rsid w:val="000C34CD"/>
    <w:rsid w:val="000C3568"/>
    <w:rsid w:val="000C38FE"/>
    <w:rsid w:val="000C3A98"/>
    <w:rsid w:val="000C427E"/>
    <w:rsid w:val="000C4651"/>
    <w:rsid w:val="000C481D"/>
    <w:rsid w:val="000C4B56"/>
    <w:rsid w:val="000C4BE3"/>
    <w:rsid w:val="000C4DC2"/>
    <w:rsid w:val="000C4DF0"/>
    <w:rsid w:val="000C507E"/>
    <w:rsid w:val="000C50B0"/>
    <w:rsid w:val="000C57BD"/>
    <w:rsid w:val="000C5B9D"/>
    <w:rsid w:val="000C6BFC"/>
    <w:rsid w:val="000C70D5"/>
    <w:rsid w:val="000C78B8"/>
    <w:rsid w:val="000C78EC"/>
    <w:rsid w:val="000C7AAF"/>
    <w:rsid w:val="000D0026"/>
    <w:rsid w:val="000D0076"/>
    <w:rsid w:val="000D01A6"/>
    <w:rsid w:val="000D09F5"/>
    <w:rsid w:val="000D0D07"/>
    <w:rsid w:val="000D0F38"/>
    <w:rsid w:val="000D1231"/>
    <w:rsid w:val="000D1A9C"/>
    <w:rsid w:val="000D1D3C"/>
    <w:rsid w:val="000D1FF4"/>
    <w:rsid w:val="000D2211"/>
    <w:rsid w:val="000D22CC"/>
    <w:rsid w:val="000D24CA"/>
    <w:rsid w:val="000D2559"/>
    <w:rsid w:val="000D25FE"/>
    <w:rsid w:val="000D264B"/>
    <w:rsid w:val="000D2A58"/>
    <w:rsid w:val="000D2C78"/>
    <w:rsid w:val="000D2FA3"/>
    <w:rsid w:val="000D3099"/>
    <w:rsid w:val="000D31FA"/>
    <w:rsid w:val="000D33A2"/>
    <w:rsid w:val="000D3586"/>
    <w:rsid w:val="000D360F"/>
    <w:rsid w:val="000D37A0"/>
    <w:rsid w:val="000D39EA"/>
    <w:rsid w:val="000D3AEB"/>
    <w:rsid w:val="000D3E70"/>
    <w:rsid w:val="000D4AA5"/>
    <w:rsid w:val="000D4F0C"/>
    <w:rsid w:val="000D5068"/>
    <w:rsid w:val="000D51F9"/>
    <w:rsid w:val="000D5540"/>
    <w:rsid w:val="000D5D5A"/>
    <w:rsid w:val="000D615C"/>
    <w:rsid w:val="000D6765"/>
    <w:rsid w:val="000D6994"/>
    <w:rsid w:val="000D69EC"/>
    <w:rsid w:val="000D6B77"/>
    <w:rsid w:val="000D6F9A"/>
    <w:rsid w:val="000D70C1"/>
    <w:rsid w:val="000D70D2"/>
    <w:rsid w:val="000D7520"/>
    <w:rsid w:val="000D757A"/>
    <w:rsid w:val="000D771B"/>
    <w:rsid w:val="000D7AD9"/>
    <w:rsid w:val="000D7BE9"/>
    <w:rsid w:val="000D7BFD"/>
    <w:rsid w:val="000E0A45"/>
    <w:rsid w:val="000E0E4C"/>
    <w:rsid w:val="000E17E9"/>
    <w:rsid w:val="000E1ADC"/>
    <w:rsid w:val="000E1B41"/>
    <w:rsid w:val="000E1C54"/>
    <w:rsid w:val="000E1F43"/>
    <w:rsid w:val="000E1F6E"/>
    <w:rsid w:val="000E218B"/>
    <w:rsid w:val="000E2264"/>
    <w:rsid w:val="000E22B9"/>
    <w:rsid w:val="000E26F2"/>
    <w:rsid w:val="000E2934"/>
    <w:rsid w:val="000E2CC1"/>
    <w:rsid w:val="000E300E"/>
    <w:rsid w:val="000E3127"/>
    <w:rsid w:val="000E35EE"/>
    <w:rsid w:val="000E35F2"/>
    <w:rsid w:val="000E362B"/>
    <w:rsid w:val="000E3715"/>
    <w:rsid w:val="000E384B"/>
    <w:rsid w:val="000E3FAF"/>
    <w:rsid w:val="000E46B3"/>
    <w:rsid w:val="000E4FCF"/>
    <w:rsid w:val="000E54C7"/>
    <w:rsid w:val="000E5F1F"/>
    <w:rsid w:val="000E60DE"/>
    <w:rsid w:val="000E64EF"/>
    <w:rsid w:val="000E67F2"/>
    <w:rsid w:val="000E691E"/>
    <w:rsid w:val="000E6A17"/>
    <w:rsid w:val="000E6A27"/>
    <w:rsid w:val="000E6CAA"/>
    <w:rsid w:val="000E73A2"/>
    <w:rsid w:val="000E74E1"/>
    <w:rsid w:val="000E7645"/>
    <w:rsid w:val="000E7BC7"/>
    <w:rsid w:val="000E7C0B"/>
    <w:rsid w:val="000F035F"/>
    <w:rsid w:val="000F0572"/>
    <w:rsid w:val="000F0824"/>
    <w:rsid w:val="000F0A18"/>
    <w:rsid w:val="000F0ACD"/>
    <w:rsid w:val="000F0D75"/>
    <w:rsid w:val="000F129E"/>
    <w:rsid w:val="000F16E1"/>
    <w:rsid w:val="000F1765"/>
    <w:rsid w:val="000F1AB5"/>
    <w:rsid w:val="000F1AC8"/>
    <w:rsid w:val="000F1F60"/>
    <w:rsid w:val="000F22EF"/>
    <w:rsid w:val="000F278B"/>
    <w:rsid w:val="000F28F0"/>
    <w:rsid w:val="000F2ED2"/>
    <w:rsid w:val="000F3976"/>
    <w:rsid w:val="000F3A45"/>
    <w:rsid w:val="000F3C08"/>
    <w:rsid w:val="000F3C2D"/>
    <w:rsid w:val="000F3DBC"/>
    <w:rsid w:val="000F48E2"/>
    <w:rsid w:val="000F4A28"/>
    <w:rsid w:val="000F4EAD"/>
    <w:rsid w:val="000F527A"/>
    <w:rsid w:val="000F547A"/>
    <w:rsid w:val="000F56CB"/>
    <w:rsid w:val="000F57E6"/>
    <w:rsid w:val="000F57EE"/>
    <w:rsid w:val="000F5D94"/>
    <w:rsid w:val="000F6332"/>
    <w:rsid w:val="000F66A3"/>
    <w:rsid w:val="000F71E7"/>
    <w:rsid w:val="000F7898"/>
    <w:rsid w:val="000F7F11"/>
    <w:rsid w:val="000F7F64"/>
    <w:rsid w:val="001000AD"/>
    <w:rsid w:val="001000D2"/>
    <w:rsid w:val="001004C9"/>
    <w:rsid w:val="001007EF"/>
    <w:rsid w:val="00100ACF"/>
    <w:rsid w:val="001010AD"/>
    <w:rsid w:val="001014DE"/>
    <w:rsid w:val="00101AA0"/>
    <w:rsid w:val="00101B44"/>
    <w:rsid w:val="00101C75"/>
    <w:rsid w:val="001022F1"/>
    <w:rsid w:val="001023F6"/>
    <w:rsid w:val="001025AD"/>
    <w:rsid w:val="00102919"/>
    <w:rsid w:val="0010295C"/>
    <w:rsid w:val="001029F6"/>
    <w:rsid w:val="00102ABC"/>
    <w:rsid w:val="00102F87"/>
    <w:rsid w:val="001031D2"/>
    <w:rsid w:val="001033A7"/>
    <w:rsid w:val="0010344C"/>
    <w:rsid w:val="001034BC"/>
    <w:rsid w:val="00103763"/>
    <w:rsid w:val="0010376C"/>
    <w:rsid w:val="001038D0"/>
    <w:rsid w:val="00103993"/>
    <w:rsid w:val="00103A06"/>
    <w:rsid w:val="00103C0C"/>
    <w:rsid w:val="00103C1C"/>
    <w:rsid w:val="00103D26"/>
    <w:rsid w:val="00103E30"/>
    <w:rsid w:val="0010410C"/>
    <w:rsid w:val="0010442F"/>
    <w:rsid w:val="001048A5"/>
    <w:rsid w:val="00104ED2"/>
    <w:rsid w:val="001052AB"/>
    <w:rsid w:val="001052E0"/>
    <w:rsid w:val="001058AA"/>
    <w:rsid w:val="00105A57"/>
    <w:rsid w:val="00105F21"/>
    <w:rsid w:val="00106294"/>
    <w:rsid w:val="001069D3"/>
    <w:rsid w:val="00106AA7"/>
    <w:rsid w:val="00106B79"/>
    <w:rsid w:val="001072C7"/>
    <w:rsid w:val="001076FB"/>
    <w:rsid w:val="0011085B"/>
    <w:rsid w:val="00110DFF"/>
    <w:rsid w:val="00110E60"/>
    <w:rsid w:val="00111133"/>
    <w:rsid w:val="00111B95"/>
    <w:rsid w:val="00112472"/>
    <w:rsid w:val="00112492"/>
    <w:rsid w:val="00112500"/>
    <w:rsid w:val="001129CB"/>
    <w:rsid w:val="00112B88"/>
    <w:rsid w:val="00113519"/>
    <w:rsid w:val="00113702"/>
    <w:rsid w:val="001138CB"/>
    <w:rsid w:val="00113C17"/>
    <w:rsid w:val="0011427F"/>
    <w:rsid w:val="001142EF"/>
    <w:rsid w:val="0011463A"/>
    <w:rsid w:val="001146E7"/>
    <w:rsid w:val="00115076"/>
    <w:rsid w:val="00115196"/>
    <w:rsid w:val="001151D1"/>
    <w:rsid w:val="0011550E"/>
    <w:rsid w:val="001156D8"/>
    <w:rsid w:val="00115834"/>
    <w:rsid w:val="001159B9"/>
    <w:rsid w:val="00115DE8"/>
    <w:rsid w:val="0011602E"/>
    <w:rsid w:val="0011623D"/>
    <w:rsid w:val="00116327"/>
    <w:rsid w:val="001165F9"/>
    <w:rsid w:val="001168CC"/>
    <w:rsid w:val="001173A8"/>
    <w:rsid w:val="0011748B"/>
    <w:rsid w:val="0011771C"/>
    <w:rsid w:val="00117DB1"/>
    <w:rsid w:val="00117FA8"/>
    <w:rsid w:val="00120A4F"/>
    <w:rsid w:val="00120B1F"/>
    <w:rsid w:val="00120CAA"/>
    <w:rsid w:val="0012107D"/>
    <w:rsid w:val="00121418"/>
    <w:rsid w:val="0012178D"/>
    <w:rsid w:val="00121AA9"/>
    <w:rsid w:val="00121B4E"/>
    <w:rsid w:val="00121D52"/>
    <w:rsid w:val="00121EA9"/>
    <w:rsid w:val="00122834"/>
    <w:rsid w:val="00122AEE"/>
    <w:rsid w:val="00122BF0"/>
    <w:rsid w:val="00123041"/>
    <w:rsid w:val="0012308D"/>
    <w:rsid w:val="00123254"/>
    <w:rsid w:val="00123376"/>
    <w:rsid w:val="001234AB"/>
    <w:rsid w:val="001235BD"/>
    <w:rsid w:val="001236A1"/>
    <w:rsid w:val="001239B0"/>
    <w:rsid w:val="00124326"/>
    <w:rsid w:val="0012434D"/>
    <w:rsid w:val="001246DF"/>
    <w:rsid w:val="00125750"/>
    <w:rsid w:val="00125DC0"/>
    <w:rsid w:val="00126537"/>
    <w:rsid w:val="00126D47"/>
    <w:rsid w:val="001279F1"/>
    <w:rsid w:val="001302BF"/>
    <w:rsid w:val="00130385"/>
    <w:rsid w:val="001303FA"/>
    <w:rsid w:val="0013042E"/>
    <w:rsid w:val="0013058A"/>
    <w:rsid w:val="00130623"/>
    <w:rsid w:val="0013094B"/>
    <w:rsid w:val="00130A12"/>
    <w:rsid w:val="00130F4E"/>
    <w:rsid w:val="00131233"/>
    <w:rsid w:val="00131407"/>
    <w:rsid w:val="00131986"/>
    <w:rsid w:val="00132549"/>
    <w:rsid w:val="00132562"/>
    <w:rsid w:val="001326E2"/>
    <w:rsid w:val="0013275A"/>
    <w:rsid w:val="001328D9"/>
    <w:rsid w:val="0013298A"/>
    <w:rsid w:val="0013298E"/>
    <w:rsid w:val="00132F0E"/>
    <w:rsid w:val="001332DA"/>
    <w:rsid w:val="00133B9E"/>
    <w:rsid w:val="00133D3F"/>
    <w:rsid w:val="00133FB3"/>
    <w:rsid w:val="001343A3"/>
    <w:rsid w:val="00134580"/>
    <w:rsid w:val="001346D2"/>
    <w:rsid w:val="0013498F"/>
    <w:rsid w:val="0013505E"/>
    <w:rsid w:val="00135506"/>
    <w:rsid w:val="0013554F"/>
    <w:rsid w:val="00135B91"/>
    <w:rsid w:val="00135C3A"/>
    <w:rsid w:val="001362DC"/>
    <w:rsid w:val="001367D4"/>
    <w:rsid w:val="00136B41"/>
    <w:rsid w:val="0013726B"/>
    <w:rsid w:val="0013772D"/>
    <w:rsid w:val="00137C54"/>
    <w:rsid w:val="00137C9C"/>
    <w:rsid w:val="00137D24"/>
    <w:rsid w:val="00137E0D"/>
    <w:rsid w:val="00137F69"/>
    <w:rsid w:val="00140683"/>
    <w:rsid w:val="00140BAD"/>
    <w:rsid w:val="0014160B"/>
    <w:rsid w:val="00141673"/>
    <w:rsid w:val="0014175B"/>
    <w:rsid w:val="00141890"/>
    <w:rsid w:val="00141BD8"/>
    <w:rsid w:val="001421B4"/>
    <w:rsid w:val="00142A66"/>
    <w:rsid w:val="00142B24"/>
    <w:rsid w:val="00142E68"/>
    <w:rsid w:val="0014391F"/>
    <w:rsid w:val="001439E1"/>
    <w:rsid w:val="00143CCF"/>
    <w:rsid w:val="00143DD8"/>
    <w:rsid w:val="00143E7C"/>
    <w:rsid w:val="00143ED0"/>
    <w:rsid w:val="00144334"/>
    <w:rsid w:val="00144477"/>
    <w:rsid w:val="00144AFE"/>
    <w:rsid w:val="00144E16"/>
    <w:rsid w:val="00145087"/>
    <w:rsid w:val="00146133"/>
    <w:rsid w:val="001461E3"/>
    <w:rsid w:val="001463D2"/>
    <w:rsid w:val="00146548"/>
    <w:rsid w:val="00146555"/>
    <w:rsid w:val="00146775"/>
    <w:rsid w:val="001469BD"/>
    <w:rsid w:val="00146A95"/>
    <w:rsid w:val="001478EA"/>
    <w:rsid w:val="00147BBB"/>
    <w:rsid w:val="00147C0D"/>
    <w:rsid w:val="0015034A"/>
    <w:rsid w:val="0015075A"/>
    <w:rsid w:val="00150CFF"/>
    <w:rsid w:val="00150FE5"/>
    <w:rsid w:val="0015136B"/>
    <w:rsid w:val="001518F1"/>
    <w:rsid w:val="001519A4"/>
    <w:rsid w:val="00151D82"/>
    <w:rsid w:val="00151E81"/>
    <w:rsid w:val="0015229A"/>
    <w:rsid w:val="001523D1"/>
    <w:rsid w:val="001528B1"/>
    <w:rsid w:val="001529FB"/>
    <w:rsid w:val="00152A49"/>
    <w:rsid w:val="0015307A"/>
    <w:rsid w:val="001535B6"/>
    <w:rsid w:val="001535E3"/>
    <w:rsid w:val="00153A8A"/>
    <w:rsid w:val="00153D0C"/>
    <w:rsid w:val="00153D10"/>
    <w:rsid w:val="00153EB2"/>
    <w:rsid w:val="00154001"/>
    <w:rsid w:val="001540E7"/>
    <w:rsid w:val="001540EB"/>
    <w:rsid w:val="00154153"/>
    <w:rsid w:val="001542F8"/>
    <w:rsid w:val="00154593"/>
    <w:rsid w:val="0015466E"/>
    <w:rsid w:val="0015473B"/>
    <w:rsid w:val="00154AA8"/>
    <w:rsid w:val="00154ECD"/>
    <w:rsid w:val="00154F59"/>
    <w:rsid w:val="00155C8B"/>
    <w:rsid w:val="00155D07"/>
    <w:rsid w:val="00155E4D"/>
    <w:rsid w:val="00155FF0"/>
    <w:rsid w:val="00156108"/>
    <w:rsid w:val="00156337"/>
    <w:rsid w:val="001563C6"/>
    <w:rsid w:val="00156693"/>
    <w:rsid w:val="00156811"/>
    <w:rsid w:val="00156921"/>
    <w:rsid w:val="001569A5"/>
    <w:rsid w:val="00156A00"/>
    <w:rsid w:val="00156A78"/>
    <w:rsid w:val="00156BE9"/>
    <w:rsid w:val="00157689"/>
    <w:rsid w:val="00157DA3"/>
    <w:rsid w:val="001600A4"/>
    <w:rsid w:val="0016016B"/>
    <w:rsid w:val="0016035E"/>
    <w:rsid w:val="001603F9"/>
    <w:rsid w:val="00160D08"/>
    <w:rsid w:val="00160E32"/>
    <w:rsid w:val="00161413"/>
    <w:rsid w:val="001614BE"/>
    <w:rsid w:val="001614CB"/>
    <w:rsid w:val="0016161A"/>
    <w:rsid w:val="0016168D"/>
    <w:rsid w:val="00161721"/>
    <w:rsid w:val="00161B35"/>
    <w:rsid w:val="00161B5E"/>
    <w:rsid w:val="00161F11"/>
    <w:rsid w:val="00161F6E"/>
    <w:rsid w:val="0016201B"/>
    <w:rsid w:val="0016258D"/>
    <w:rsid w:val="00162D23"/>
    <w:rsid w:val="00162DE9"/>
    <w:rsid w:val="00162F82"/>
    <w:rsid w:val="00163260"/>
    <w:rsid w:val="00163559"/>
    <w:rsid w:val="00163950"/>
    <w:rsid w:val="00163D59"/>
    <w:rsid w:val="001642F9"/>
    <w:rsid w:val="00164963"/>
    <w:rsid w:val="0016581D"/>
    <w:rsid w:val="001659D3"/>
    <w:rsid w:val="00165B7D"/>
    <w:rsid w:val="00165CA5"/>
    <w:rsid w:val="00165CDB"/>
    <w:rsid w:val="001664AE"/>
    <w:rsid w:val="00166541"/>
    <w:rsid w:val="00166710"/>
    <w:rsid w:val="00166BAC"/>
    <w:rsid w:val="00166C48"/>
    <w:rsid w:val="00167286"/>
    <w:rsid w:val="001672B0"/>
    <w:rsid w:val="00170094"/>
    <w:rsid w:val="00170220"/>
    <w:rsid w:val="0017024B"/>
    <w:rsid w:val="001713A6"/>
    <w:rsid w:val="001713EF"/>
    <w:rsid w:val="001716AF"/>
    <w:rsid w:val="001718A3"/>
    <w:rsid w:val="00171C80"/>
    <w:rsid w:val="00172068"/>
    <w:rsid w:val="00172154"/>
    <w:rsid w:val="0017218D"/>
    <w:rsid w:val="001722FB"/>
    <w:rsid w:val="0017299B"/>
    <w:rsid w:val="00172D71"/>
    <w:rsid w:val="00172EE5"/>
    <w:rsid w:val="00172F46"/>
    <w:rsid w:val="00173068"/>
    <w:rsid w:val="001730CF"/>
    <w:rsid w:val="00173270"/>
    <w:rsid w:val="00173533"/>
    <w:rsid w:val="00173536"/>
    <w:rsid w:val="00173768"/>
    <w:rsid w:val="0017388C"/>
    <w:rsid w:val="00173E86"/>
    <w:rsid w:val="00173EB2"/>
    <w:rsid w:val="0017427E"/>
    <w:rsid w:val="0017449E"/>
    <w:rsid w:val="00174C33"/>
    <w:rsid w:val="00175163"/>
    <w:rsid w:val="001754D1"/>
    <w:rsid w:val="00175909"/>
    <w:rsid w:val="00175AC8"/>
    <w:rsid w:val="001768B6"/>
    <w:rsid w:val="00176D40"/>
    <w:rsid w:val="00176DD8"/>
    <w:rsid w:val="001772B6"/>
    <w:rsid w:val="001773AE"/>
    <w:rsid w:val="0017741A"/>
    <w:rsid w:val="00177451"/>
    <w:rsid w:val="00177579"/>
    <w:rsid w:val="001776E9"/>
    <w:rsid w:val="00177985"/>
    <w:rsid w:val="001779DB"/>
    <w:rsid w:val="001805B9"/>
    <w:rsid w:val="00180A60"/>
    <w:rsid w:val="00180BE6"/>
    <w:rsid w:val="00180DB5"/>
    <w:rsid w:val="0018102C"/>
    <w:rsid w:val="001813E1"/>
    <w:rsid w:val="001814D2"/>
    <w:rsid w:val="00181991"/>
    <w:rsid w:val="00181A19"/>
    <w:rsid w:val="00181DF7"/>
    <w:rsid w:val="00181EB6"/>
    <w:rsid w:val="00182299"/>
    <w:rsid w:val="00182301"/>
    <w:rsid w:val="0018260A"/>
    <w:rsid w:val="001828A3"/>
    <w:rsid w:val="00182DB4"/>
    <w:rsid w:val="001836C3"/>
    <w:rsid w:val="00183BA1"/>
    <w:rsid w:val="00183BE8"/>
    <w:rsid w:val="00184A4D"/>
    <w:rsid w:val="00184C3B"/>
    <w:rsid w:val="00184DE8"/>
    <w:rsid w:val="001850E6"/>
    <w:rsid w:val="00185698"/>
    <w:rsid w:val="0018570B"/>
    <w:rsid w:val="00185E6A"/>
    <w:rsid w:val="00186105"/>
    <w:rsid w:val="00186373"/>
    <w:rsid w:val="0018637D"/>
    <w:rsid w:val="00186637"/>
    <w:rsid w:val="001869E7"/>
    <w:rsid w:val="00186E3B"/>
    <w:rsid w:val="0018714B"/>
    <w:rsid w:val="0018717E"/>
    <w:rsid w:val="00187376"/>
    <w:rsid w:val="001875A1"/>
    <w:rsid w:val="00187BD9"/>
    <w:rsid w:val="00187BEB"/>
    <w:rsid w:val="0019075A"/>
    <w:rsid w:val="001908E8"/>
    <w:rsid w:val="001909A5"/>
    <w:rsid w:val="00190B61"/>
    <w:rsid w:val="00190F35"/>
    <w:rsid w:val="001915DB"/>
    <w:rsid w:val="00191C9F"/>
    <w:rsid w:val="00191E6A"/>
    <w:rsid w:val="00191EC0"/>
    <w:rsid w:val="00192332"/>
    <w:rsid w:val="001925C4"/>
    <w:rsid w:val="00192673"/>
    <w:rsid w:val="00192F58"/>
    <w:rsid w:val="00193093"/>
    <w:rsid w:val="00193108"/>
    <w:rsid w:val="001934D4"/>
    <w:rsid w:val="001934FE"/>
    <w:rsid w:val="0019352B"/>
    <w:rsid w:val="001936E4"/>
    <w:rsid w:val="00193CA5"/>
    <w:rsid w:val="00193CE6"/>
    <w:rsid w:val="0019472E"/>
    <w:rsid w:val="00194C45"/>
    <w:rsid w:val="00194ED5"/>
    <w:rsid w:val="00195646"/>
    <w:rsid w:val="00195662"/>
    <w:rsid w:val="00196104"/>
    <w:rsid w:val="00196495"/>
    <w:rsid w:val="0019678F"/>
    <w:rsid w:val="00196833"/>
    <w:rsid w:val="0019684C"/>
    <w:rsid w:val="00196C67"/>
    <w:rsid w:val="00196CBD"/>
    <w:rsid w:val="00196E2B"/>
    <w:rsid w:val="00197E91"/>
    <w:rsid w:val="001A02B3"/>
    <w:rsid w:val="001A06C6"/>
    <w:rsid w:val="001A0789"/>
    <w:rsid w:val="001A0A8A"/>
    <w:rsid w:val="001A0AAD"/>
    <w:rsid w:val="001A0BB8"/>
    <w:rsid w:val="001A0C31"/>
    <w:rsid w:val="001A0C5C"/>
    <w:rsid w:val="001A0CF5"/>
    <w:rsid w:val="001A0D88"/>
    <w:rsid w:val="001A1353"/>
    <w:rsid w:val="001A1436"/>
    <w:rsid w:val="001A15CF"/>
    <w:rsid w:val="001A19D7"/>
    <w:rsid w:val="001A1BC1"/>
    <w:rsid w:val="001A1D2B"/>
    <w:rsid w:val="001A1EDE"/>
    <w:rsid w:val="001A1FE2"/>
    <w:rsid w:val="001A2005"/>
    <w:rsid w:val="001A24B1"/>
    <w:rsid w:val="001A24FF"/>
    <w:rsid w:val="001A28BC"/>
    <w:rsid w:val="001A32BC"/>
    <w:rsid w:val="001A38C7"/>
    <w:rsid w:val="001A3D1A"/>
    <w:rsid w:val="001A3FB8"/>
    <w:rsid w:val="001A4056"/>
    <w:rsid w:val="001A45F9"/>
    <w:rsid w:val="001A4798"/>
    <w:rsid w:val="001A4850"/>
    <w:rsid w:val="001A4EFE"/>
    <w:rsid w:val="001A5797"/>
    <w:rsid w:val="001A588B"/>
    <w:rsid w:val="001A5A34"/>
    <w:rsid w:val="001A5B00"/>
    <w:rsid w:val="001A5ED2"/>
    <w:rsid w:val="001A61D1"/>
    <w:rsid w:val="001A638B"/>
    <w:rsid w:val="001A67AA"/>
    <w:rsid w:val="001A699D"/>
    <w:rsid w:val="001A69C4"/>
    <w:rsid w:val="001A6AE9"/>
    <w:rsid w:val="001A6C01"/>
    <w:rsid w:val="001A6CAA"/>
    <w:rsid w:val="001A6E91"/>
    <w:rsid w:val="001A73B0"/>
    <w:rsid w:val="001A75BD"/>
    <w:rsid w:val="001A7E0A"/>
    <w:rsid w:val="001B0063"/>
    <w:rsid w:val="001B0127"/>
    <w:rsid w:val="001B0384"/>
    <w:rsid w:val="001B04FE"/>
    <w:rsid w:val="001B0794"/>
    <w:rsid w:val="001B0999"/>
    <w:rsid w:val="001B10BC"/>
    <w:rsid w:val="001B11D7"/>
    <w:rsid w:val="001B133C"/>
    <w:rsid w:val="001B16CB"/>
    <w:rsid w:val="001B17FA"/>
    <w:rsid w:val="001B189D"/>
    <w:rsid w:val="001B1BBB"/>
    <w:rsid w:val="001B1CAE"/>
    <w:rsid w:val="001B21CC"/>
    <w:rsid w:val="001B223C"/>
    <w:rsid w:val="001B2601"/>
    <w:rsid w:val="001B26C3"/>
    <w:rsid w:val="001B2708"/>
    <w:rsid w:val="001B29B0"/>
    <w:rsid w:val="001B2D8F"/>
    <w:rsid w:val="001B3539"/>
    <w:rsid w:val="001B3A00"/>
    <w:rsid w:val="001B40E4"/>
    <w:rsid w:val="001B41F2"/>
    <w:rsid w:val="001B42C1"/>
    <w:rsid w:val="001B42CE"/>
    <w:rsid w:val="001B43DB"/>
    <w:rsid w:val="001B4CC4"/>
    <w:rsid w:val="001B54E8"/>
    <w:rsid w:val="001B54F7"/>
    <w:rsid w:val="001B5848"/>
    <w:rsid w:val="001B59E6"/>
    <w:rsid w:val="001B59F8"/>
    <w:rsid w:val="001B5DC0"/>
    <w:rsid w:val="001B62A1"/>
    <w:rsid w:val="001B64E3"/>
    <w:rsid w:val="001B6538"/>
    <w:rsid w:val="001B6768"/>
    <w:rsid w:val="001B682C"/>
    <w:rsid w:val="001B6851"/>
    <w:rsid w:val="001B6B5A"/>
    <w:rsid w:val="001B7336"/>
    <w:rsid w:val="001B7554"/>
    <w:rsid w:val="001B7888"/>
    <w:rsid w:val="001C0025"/>
    <w:rsid w:val="001C047C"/>
    <w:rsid w:val="001C04A4"/>
    <w:rsid w:val="001C0947"/>
    <w:rsid w:val="001C0B0B"/>
    <w:rsid w:val="001C0CE6"/>
    <w:rsid w:val="001C12E4"/>
    <w:rsid w:val="001C12F5"/>
    <w:rsid w:val="001C13BA"/>
    <w:rsid w:val="001C1A90"/>
    <w:rsid w:val="001C24C2"/>
    <w:rsid w:val="001C2723"/>
    <w:rsid w:val="001C2831"/>
    <w:rsid w:val="001C2BA6"/>
    <w:rsid w:val="001C2BAD"/>
    <w:rsid w:val="001C30F3"/>
    <w:rsid w:val="001C313B"/>
    <w:rsid w:val="001C321D"/>
    <w:rsid w:val="001C32BC"/>
    <w:rsid w:val="001C33EB"/>
    <w:rsid w:val="001C341A"/>
    <w:rsid w:val="001C3454"/>
    <w:rsid w:val="001C379A"/>
    <w:rsid w:val="001C3A96"/>
    <w:rsid w:val="001C418D"/>
    <w:rsid w:val="001C4457"/>
    <w:rsid w:val="001C490F"/>
    <w:rsid w:val="001C4A9F"/>
    <w:rsid w:val="001C4DEB"/>
    <w:rsid w:val="001C4DF8"/>
    <w:rsid w:val="001C4EBE"/>
    <w:rsid w:val="001C514C"/>
    <w:rsid w:val="001C5183"/>
    <w:rsid w:val="001C518C"/>
    <w:rsid w:val="001C539A"/>
    <w:rsid w:val="001C543A"/>
    <w:rsid w:val="001C567D"/>
    <w:rsid w:val="001C5F7C"/>
    <w:rsid w:val="001C60FA"/>
    <w:rsid w:val="001C6216"/>
    <w:rsid w:val="001C62A2"/>
    <w:rsid w:val="001C62A7"/>
    <w:rsid w:val="001C657B"/>
    <w:rsid w:val="001C6B78"/>
    <w:rsid w:val="001C6BB6"/>
    <w:rsid w:val="001C70E6"/>
    <w:rsid w:val="001C72C6"/>
    <w:rsid w:val="001C7689"/>
    <w:rsid w:val="001C7BA4"/>
    <w:rsid w:val="001D04AE"/>
    <w:rsid w:val="001D0C8E"/>
    <w:rsid w:val="001D0E71"/>
    <w:rsid w:val="001D1917"/>
    <w:rsid w:val="001D1B51"/>
    <w:rsid w:val="001D1D4A"/>
    <w:rsid w:val="001D2056"/>
    <w:rsid w:val="001D2209"/>
    <w:rsid w:val="001D24BF"/>
    <w:rsid w:val="001D2551"/>
    <w:rsid w:val="001D2775"/>
    <w:rsid w:val="001D2F6C"/>
    <w:rsid w:val="001D3A6C"/>
    <w:rsid w:val="001D3E0A"/>
    <w:rsid w:val="001D4919"/>
    <w:rsid w:val="001D4C6C"/>
    <w:rsid w:val="001D4FC4"/>
    <w:rsid w:val="001D5028"/>
    <w:rsid w:val="001D56D1"/>
    <w:rsid w:val="001D5B76"/>
    <w:rsid w:val="001D6443"/>
    <w:rsid w:val="001D6467"/>
    <w:rsid w:val="001D650C"/>
    <w:rsid w:val="001D6D8C"/>
    <w:rsid w:val="001D7B44"/>
    <w:rsid w:val="001D7E2A"/>
    <w:rsid w:val="001E01C6"/>
    <w:rsid w:val="001E02AC"/>
    <w:rsid w:val="001E0710"/>
    <w:rsid w:val="001E07DD"/>
    <w:rsid w:val="001E0849"/>
    <w:rsid w:val="001E09AB"/>
    <w:rsid w:val="001E0D73"/>
    <w:rsid w:val="001E102B"/>
    <w:rsid w:val="001E124A"/>
    <w:rsid w:val="001E1628"/>
    <w:rsid w:val="001E1C86"/>
    <w:rsid w:val="001E1EDE"/>
    <w:rsid w:val="001E1FF0"/>
    <w:rsid w:val="001E2138"/>
    <w:rsid w:val="001E239A"/>
    <w:rsid w:val="001E23E4"/>
    <w:rsid w:val="001E24F6"/>
    <w:rsid w:val="001E271C"/>
    <w:rsid w:val="001E3384"/>
    <w:rsid w:val="001E3505"/>
    <w:rsid w:val="001E39A2"/>
    <w:rsid w:val="001E3C5A"/>
    <w:rsid w:val="001E40A4"/>
    <w:rsid w:val="001E4521"/>
    <w:rsid w:val="001E4685"/>
    <w:rsid w:val="001E49C4"/>
    <w:rsid w:val="001E4BA5"/>
    <w:rsid w:val="001E4C55"/>
    <w:rsid w:val="001E4DFC"/>
    <w:rsid w:val="001E5398"/>
    <w:rsid w:val="001E53F6"/>
    <w:rsid w:val="001E5477"/>
    <w:rsid w:val="001E5837"/>
    <w:rsid w:val="001E586C"/>
    <w:rsid w:val="001E5B89"/>
    <w:rsid w:val="001E5D2B"/>
    <w:rsid w:val="001E5F97"/>
    <w:rsid w:val="001E6662"/>
    <w:rsid w:val="001E6801"/>
    <w:rsid w:val="001E6A3D"/>
    <w:rsid w:val="001E6AA0"/>
    <w:rsid w:val="001E6C04"/>
    <w:rsid w:val="001E6C85"/>
    <w:rsid w:val="001E6EFC"/>
    <w:rsid w:val="001E7022"/>
    <w:rsid w:val="001E7148"/>
    <w:rsid w:val="001E719B"/>
    <w:rsid w:val="001E74DC"/>
    <w:rsid w:val="001E7990"/>
    <w:rsid w:val="001E7CA9"/>
    <w:rsid w:val="001E7E0C"/>
    <w:rsid w:val="001F02C7"/>
    <w:rsid w:val="001F031C"/>
    <w:rsid w:val="001F059E"/>
    <w:rsid w:val="001F0678"/>
    <w:rsid w:val="001F09AB"/>
    <w:rsid w:val="001F0BD4"/>
    <w:rsid w:val="001F0CE1"/>
    <w:rsid w:val="001F16D4"/>
    <w:rsid w:val="001F17CE"/>
    <w:rsid w:val="001F1921"/>
    <w:rsid w:val="001F20A8"/>
    <w:rsid w:val="001F2324"/>
    <w:rsid w:val="001F29DE"/>
    <w:rsid w:val="001F2F97"/>
    <w:rsid w:val="001F3020"/>
    <w:rsid w:val="001F31A3"/>
    <w:rsid w:val="001F34C7"/>
    <w:rsid w:val="001F3655"/>
    <w:rsid w:val="001F3B30"/>
    <w:rsid w:val="001F3FF9"/>
    <w:rsid w:val="001F410B"/>
    <w:rsid w:val="001F429F"/>
    <w:rsid w:val="001F4944"/>
    <w:rsid w:val="001F4F19"/>
    <w:rsid w:val="001F4F6D"/>
    <w:rsid w:val="001F5046"/>
    <w:rsid w:val="001F57CB"/>
    <w:rsid w:val="001F59DC"/>
    <w:rsid w:val="001F5AD2"/>
    <w:rsid w:val="001F5D39"/>
    <w:rsid w:val="001F5DED"/>
    <w:rsid w:val="001F6022"/>
    <w:rsid w:val="001F6473"/>
    <w:rsid w:val="001F653C"/>
    <w:rsid w:val="001F6674"/>
    <w:rsid w:val="001F6B4A"/>
    <w:rsid w:val="001F6D1D"/>
    <w:rsid w:val="001F6F08"/>
    <w:rsid w:val="001F70A5"/>
    <w:rsid w:val="001F730C"/>
    <w:rsid w:val="001F78AE"/>
    <w:rsid w:val="001F7A11"/>
    <w:rsid w:val="001F7F4D"/>
    <w:rsid w:val="001F7F87"/>
    <w:rsid w:val="00200059"/>
    <w:rsid w:val="002001B7"/>
    <w:rsid w:val="00200569"/>
    <w:rsid w:val="002005D7"/>
    <w:rsid w:val="00200741"/>
    <w:rsid w:val="002007B8"/>
    <w:rsid w:val="00200953"/>
    <w:rsid w:val="00200A51"/>
    <w:rsid w:val="00200B5A"/>
    <w:rsid w:val="00200C1F"/>
    <w:rsid w:val="00200E8B"/>
    <w:rsid w:val="002010B9"/>
    <w:rsid w:val="002015D4"/>
    <w:rsid w:val="00201770"/>
    <w:rsid w:val="00201D38"/>
    <w:rsid w:val="00201E86"/>
    <w:rsid w:val="00201F28"/>
    <w:rsid w:val="00201FAA"/>
    <w:rsid w:val="002023A2"/>
    <w:rsid w:val="0020248F"/>
    <w:rsid w:val="00202AA1"/>
    <w:rsid w:val="00202B72"/>
    <w:rsid w:val="0020326E"/>
    <w:rsid w:val="00203875"/>
    <w:rsid w:val="002038BF"/>
    <w:rsid w:val="00203D94"/>
    <w:rsid w:val="00204151"/>
    <w:rsid w:val="00204249"/>
    <w:rsid w:val="00204285"/>
    <w:rsid w:val="00204557"/>
    <w:rsid w:val="002045A2"/>
    <w:rsid w:val="00204A8D"/>
    <w:rsid w:val="002053A5"/>
    <w:rsid w:val="0020561C"/>
    <w:rsid w:val="00205636"/>
    <w:rsid w:val="002056DB"/>
    <w:rsid w:val="0020590B"/>
    <w:rsid w:val="00205AF5"/>
    <w:rsid w:val="00205B86"/>
    <w:rsid w:val="00205E9F"/>
    <w:rsid w:val="00205F45"/>
    <w:rsid w:val="00206CBD"/>
    <w:rsid w:val="0020715B"/>
    <w:rsid w:val="00207259"/>
    <w:rsid w:val="0020746A"/>
    <w:rsid w:val="00207B13"/>
    <w:rsid w:val="00207C81"/>
    <w:rsid w:val="00207D25"/>
    <w:rsid w:val="00207E98"/>
    <w:rsid w:val="00207F6B"/>
    <w:rsid w:val="00210545"/>
    <w:rsid w:val="002108CA"/>
    <w:rsid w:val="00210D31"/>
    <w:rsid w:val="002110D3"/>
    <w:rsid w:val="0021131E"/>
    <w:rsid w:val="002113A1"/>
    <w:rsid w:val="002114E6"/>
    <w:rsid w:val="00211933"/>
    <w:rsid w:val="00211C9E"/>
    <w:rsid w:val="00211CB7"/>
    <w:rsid w:val="00211E47"/>
    <w:rsid w:val="00211E5E"/>
    <w:rsid w:val="002122CD"/>
    <w:rsid w:val="00212455"/>
    <w:rsid w:val="002127BB"/>
    <w:rsid w:val="00212CA7"/>
    <w:rsid w:val="00212E2F"/>
    <w:rsid w:val="00213024"/>
    <w:rsid w:val="002131E9"/>
    <w:rsid w:val="00213B7D"/>
    <w:rsid w:val="00213E55"/>
    <w:rsid w:val="0021441D"/>
    <w:rsid w:val="00214A22"/>
    <w:rsid w:val="00214C0C"/>
    <w:rsid w:val="00214CB7"/>
    <w:rsid w:val="00214E02"/>
    <w:rsid w:val="00214ECF"/>
    <w:rsid w:val="002157B3"/>
    <w:rsid w:val="002159BA"/>
    <w:rsid w:val="002159E9"/>
    <w:rsid w:val="00215E8E"/>
    <w:rsid w:val="00215FAA"/>
    <w:rsid w:val="0021640D"/>
    <w:rsid w:val="00216C77"/>
    <w:rsid w:val="00216DA9"/>
    <w:rsid w:val="00216EDF"/>
    <w:rsid w:val="0021736D"/>
    <w:rsid w:val="002178B0"/>
    <w:rsid w:val="00217952"/>
    <w:rsid w:val="00217CA3"/>
    <w:rsid w:val="0022015E"/>
    <w:rsid w:val="002204AE"/>
    <w:rsid w:val="00220637"/>
    <w:rsid w:val="00220642"/>
    <w:rsid w:val="00220698"/>
    <w:rsid w:val="0022071D"/>
    <w:rsid w:val="00220A6C"/>
    <w:rsid w:val="00220BF3"/>
    <w:rsid w:val="00220DF3"/>
    <w:rsid w:val="00221155"/>
    <w:rsid w:val="00221A09"/>
    <w:rsid w:val="00221AAB"/>
    <w:rsid w:val="00221C6C"/>
    <w:rsid w:val="00221DBF"/>
    <w:rsid w:val="00221E92"/>
    <w:rsid w:val="002225C0"/>
    <w:rsid w:val="002226BD"/>
    <w:rsid w:val="002226C8"/>
    <w:rsid w:val="00222E4B"/>
    <w:rsid w:val="0022348A"/>
    <w:rsid w:val="00223743"/>
    <w:rsid w:val="00223950"/>
    <w:rsid w:val="00223A08"/>
    <w:rsid w:val="00223A23"/>
    <w:rsid w:val="00223B41"/>
    <w:rsid w:val="00223C5D"/>
    <w:rsid w:val="002240B0"/>
    <w:rsid w:val="002241C6"/>
    <w:rsid w:val="00224575"/>
    <w:rsid w:val="002251B3"/>
    <w:rsid w:val="00225B95"/>
    <w:rsid w:val="00225C5E"/>
    <w:rsid w:val="0022654E"/>
    <w:rsid w:val="0022706A"/>
    <w:rsid w:val="0022766F"/>
    <w:rsid w:val="00227BCA"/>
    <w:rsid w:val="00227E5F"/>
    <w:rsid w:val="00230106"/>
    <w:rsid w:val="00230481"/>
    <w:rsid w:val="002304F2"/>
    <w:rsid w:val="00230834"/>
    <w:rsid w:val="002310F6"/>
    <w:rsid w:val="00231187"/>
    <w:rsid w:val="002313BD"/>
    <w:rsid w:val="0023154F"/>
    <w:rsid w:val="00231EB8"/>
    <w:rsid w:val="002321B9"/>
    <w:rsid w:val="00232507"/>
    <w:rsid w:val="00232919"/>
    <w:rsid w:val="00232CE9"/>
    <w:rsid w:val="0023309D"/>
    <w:rsid w:val="00233100"/>
    <w:rsid w:val="002334E4"/>
    <w:rsid w:val="0023367E"/>
    <w:rsid w:val="00233A14"/>
    <w:rsid w:val="00233A6F"/>
    <w:rsid w:val="00234031"/>
    <w:rsid w:val="00234424"/>
    <w:rsid w:val="00234BB4"/>
    <w:rsid w:val="00234C0B"/>
    <w:rsid w:val="00234C32"/>
    <w:rsid w:val="00234E0E"/>
    <w:rsid w:val="002351C3"/>
    <w:rsid w:val="00235290"/>
    <w:rsid w:val="0023540E"/>
    <w:rsid w:val="00235541"/>
    <w:rsid w:val="0023597B"/>
    <w:rsid w:val="00235B0D"/>
    <w:rsid w:val="00235BCA"/>
    <w:rsid w:val="00235D29"/>
    <w:rsid w:val="00235E4B"/>
    <w:rsid w:val="002361D5"/>
    <w:rsid w:val="00236377"/>
    <w:rsid w:val="00236A9C"/>
    <w:rsid w:val="00236D4A"/>
    <w:rsid w:val="00236DC1"/>
    <w:rsid w:val="00236E3C"/>
    <w:rsid w:val="0023710D"/>
    <w:rsid w:val="002371B5"/>
    <w:rsid w:val="002379BF"/>
    <w:rsid w:val="00237C68"/>
    <w:rsid w:val="00237CF0"/>
    <w:rsid w:val="0024001B"/>
    <w:rsid w:val="00240538"/>
    <w:rsid w:val="00240800"/>
    <w:rsid w:val="00240866"/>
    <w:rsid w:val="00240B9F"/>
    <w:rsid w:val="00240D51"/>
    <w:rsid w:val="00240DB1"/>
    <w:rsid w:val="00240F4D"/>
    <w:rsid w:val="0024133A"/>
    <w:rsid w:val="0024166C"/>
    <w:rsid w:val="002416B0"/>
    <w:rsid w:val="002416B1"/>
    <w:rsid w:val="002417FF"/>
    <w:rsid w:val="00241D2A"/>
    <w:rsid w:val="00241D38"/>
    <w:rsid w:val="002429F1"/>
    <w:rsid w:val="00242ABA"/>
    <w:rsid w:val="00242D05"/>
    <w:rsid w:val="0024306A"/>
    <w:rsid w:val="0024347F"/>
    <w:rsid w:val="00243748"/>
    <w:rsid w:val="002438FF"/>
    <w:rsid w:val="00244495"/>
    <w:rsid w:val="00244845"/>
    <w:rsid w:val="00244B6E"/>
    <w:rsid w:val="00245166"/>
    <w:rsid w:val="002451B7"/>
    <w:rsid w:val="002452F9"/>
    <w:rsid w:val="00245559"/>
    <w:rsid w:val="002455D1"/>
    <w:rsid w:val="00245DDB"/>
    <w:rsid w:val="00245EF3"/>
    <w:rsid w:val="00246158"/>
    <w:rsid w:val="002461AD"/>
    <w:rsid w:val="002467BC"/>
    <w:rsid w:val="00246B3B"/>
    <w:rsid w:val="00246C2E"/>
    <w:rsid w:val="00246F90"/>
    <w:rsid w:val="002470A3"/>
    <w:rsid w:val="0024712C"/>
    <w:rsid w:val="00247236"/>
    <w:rsid w:val="002477AC"/>
    <w:rsid w:val="002479E3"/>
    <w:rsid w:val="00247EA8"/>
    <w:rsid w:val="00247EB2"/>
    <w:rsid w:val="00250131"/>
    <w:rsid w:val="0025058D"/>
    <w:rsid w:val="002506D1"/>
    <w:rsid w:val="00250752"/>
    <w:rsid w:val="00250784"/>
    <w:rsid w:val="00250834"/>
    <w:rsid w:val="00250946"/>
    <w:rsid w:val="00250B3B"/>
    <w:rsid w:val="00250BDB"/>
    <w:rsid w:val="00251372"/>
    <w:rsid w:val="0025148A"/>
    <w:rsid w:val="0025170E"/>
    <w:rsid w:val="00252088"/>
    <w:rsid w:val="00252350"/>
    <w:rsid w:val="0025242E"/>
    <w:rsid w:val="002526CC"/>
    <w:rsid w:val="00252D97"/>
    <w:rsid w:val="00252E15"/>
    <w:rsid w:val="00252E1D"/>
    <w:rsid w:val="002533BA"/>
    <w:rsid w:val="0025375F"/>
    <w:rsid w:val="002537F9"/>
    <w:rsid w:val="00253B42"/>
    <w:rsid w:val="00253D89"/>
    <w:rsid w:val="00254134"/>
    <w:rsid w:val="00254235"/>
    <w:rsid w:val="00254254"/>
    <w:rsid w:val="00254458"/>
    <w:rsid w:val="002546D5"/>
    <w:rsid w:val="00254716"/>
    <w:rsid w:val="00254768"/>
    <w:rsid w:val="00254D6C"/>
    <w:rsid w:val="00254DE5"/>
    <w:rsid w:val="002552B4"/>
    <w:rsid w:val="00255B40"/>
    <w:rsid w:val="00255F48"/>
    <w:rsid w:val="00256294"/>
    <w:rsid w:val="00256F85"/>
    <w:rsid w:val="00257067"/>
    <w:rsid w:val="002573DD"/>
    <w:rsid w:val="00257AD3"/>
    <w:rsid w:val="00257E65"/>
    <w:rsid w:val="002602B4"/>
    <w:rsid w:val="00260480"/>
    <w:rsid w:val="002611B9"/>
    <w:rsid w:val="002612B2"/>
    <w:rsid w:val="00261A88"/>
    <w:rsid w:val="00261CF4"/>
    <w:rsid w:val="00262AE8"/>
    <w:rsid w:val="002631E9"/>
    <w:rsid w:val="0026328B"/>
    <w:rsid w:val="002632C0"/>
    <w:rsid w:val="0026339A"/>
    <w:rsid w:val="00263897"/>
    <w:rsid w:val="00264EF7"/>
    <w:rsid w:val="00265459"/>
    <w:rsid w:val="00265524"/>
    <w:rsid w:val="00265587"/>
    <w:rsid w:val="002656B2"/>
    <w:rsid w:val="0026576A"/>
    <w:rsid w:val="00265838"/>
    <w:rsid w:val="002658B2"/>
    <w:rsid w:val="002658DC"/>
    <w:rsid w:val="00265B55"/>
    <w:rsid w:val="00265C94"/>
    <w:rsid w:val="0026644B"/>
    <w:rsid w:val="002665DD"/>
    <w:rsid w:val="00266732"/>
    <w:rsid w:val="00266FDA"/>
    <w:rsid w:val="0026728E"/>
    <w:rsid w:val="00267605"/>
    <w:rsid w:val="002677D4"/>
    <w:rsid w:val="00267E83"/>
    <w:rsid w:val="00267FB7"/>
    <w:rsid w:val="002705CD"/>
    <w:rsid w:val="002706FD"/>
    <w:rsid w:val="00270845"/>
    <w:rsid w:val="00270B6B"/>
    <w:rsid w:val="002712D6"/>
    <w:rsid w:val="00271739"/>
    <w:rsid w:val="002721A3"/>
    <w:rsid w:val="002727DE"/>
    <w:rsid w:val="002728FB"/>
    <w:rsid w:val="002729F5"/>
    <w:rsid w:val="00272D36"/>
    <w:rsid w:val="00272F23"/>
    <w:rsid w:val="00273115"/>
    <w:rsid w:val="002732A1"/>
    <w:rsid w:val="002732B3"/>
    <w:rsid w:val="002735E6"/>
    <w:rsid w:val="002737EF"/>
    <w:rsid w:val="00273A6C"/>
    <w:rsid w:val="00273C17"/>
    <w:rsid w:val="00273C2D"/>
    <w:rsid w:val="00273F6B"/>
    <w:rsid w:val="00274BCA"/>
    <w:rsid w:val="00274C2B"/>
    <w:rsid w:val="00274C6B"/>
    <w:rsid w:val="002758EB"/>
    <w:rsid w:val="00275939"/>
    <w:rsid w:val="002759D4"/>
    <w:rsid w:val="00275A5E"/>
    <w:rsid w:val="00275EFC"/>
    <w:rsid w:val="00275F40"/>
    <w:rsid w:val="00276027"/>
    <w:rsid w:val="0027619F"/>
    <w:rsid w:val="0027654C"/>
    <w:rsid w:val="002765D9"/>
    <w:rsid w:val="0027663D"/>
    <w:rsid w:val="002767D3"/>
    <w:rsid w:val="00276947"/>
    <w:rsid w:val="00276B0A"/>
    <w:rsid w:val="00276BA0"/>
    <w:rsid w:val="00276C31"/>
    <w:rsid w:val="00277B2A"/>
    <w:rsid w:val="00277CC9"/>
    <w:rsid w:val="002803B1"/>
    <w:rsid w:val="0028064A"/>
    <w:rsid w:val="00280D4A"/>
    <w:rsid w:val="00281173"/>
    <w:rsid w:val="00281250"/>
    <w:rsid w:val="00281657"/>
    <w:rsid w:val="00281A32"/>
    <w:rsid w:val="00281CDB"/>
    <w:rsid w:val="00282252"/>
    <w:rsid w:val="00282B52"/>
    <w:rsid w:val="00282F24"/>
    <w:rsid w:val="00283059"/>
    <w:rsid w:val="00283301"/>
    <w:rsid w:val="00283363"/>
    <w:rsid w:val="002838B1"/>
    <w:rsid w:val="00283980"/>
    <w:rsid w:val="00283C3E"/>
    <w:rsid w:val="00283C6B"/>
    <w:rsid w:val="00283D22"/>
    <w:rsid w:val="00283DB9"/>
    <w:rsid w:val="002841FB"/>
    <w:rsid w:val="002847E7"/>
    <w:rsid w:val="00284977"/>
    <w:rsid w:val="00284C80"/>
    <w:rsid w:val="00285089"/>
    <w:rsid w:val="00285763"/>
    <w:rsid w:val="0028578F"/>
    <w:rsid w:val="0028644E"/>
    <w:rsid w:val="00286655"/>
    <w:rsid w:val="002868ED"/>
    <w:rsid w:val="0028690D"/>
    <w:rsid w:val="00286A3D"/>
    <w:rsid w:val="00286FE6"/>
    <w:rsid w:val="002870FE"/>
    <w:rsid w:val="002873F8"/>
    <w:rsid w:val="0028742F"/>
    <w:rsid w:val="00287A2A"/>
    <w:rsid w:val="00287BD0"/>
    <w:rsid w:val="002906FD"/>
    <w:rsid w:val="002907DD"/>
    <w:rsid w:val="00290B8E"/>
    <w:rsid w:val="00290C25"/>
    <w:rsid w:val="0029115B"/>
    <w:rsid w:val="002911FD"/>
    <w:rsid w:val="00291824"/>
    <w:rsid w:val="002918D6"/>
    <w:rsid w:val="00291B6B"/>
    <w:rsid w:val="00291DCB"/>
    <w:rsid w:val="002924A3"/>
    <w:rsid w:val="002925C3"/>
    <w:rsid w:val="00292C9E"/>
    <w:rsid w:val="002939C8"/>
    <w:rsid w:val="002939DC"/>
    <w:rsid w:val="00294135"/>
    <w:rsid w:val="002941BF"/>
    <w:rsid w:val="00294219"/>
    <w:rsid w:val="00294430"/>
    <w:rsid w:val="002944F9"/>
    <w:rsid w:val="00294505"/>
    <w:rsid w:val="002948F8"/>
    <w:rsid w:val="002949D5"/>
    <w:rsid w:val="00294E19"/>
    <w:rsid w:val="00294F57"/>
    <w:rsid w:val="0029515D"/>
    <w:rsid w:val="002951D5"/>
    <w:rsid w:val="0029520C"/>
    <w:rsid w:val="002957E1"/>
    <w:rsid w:val="00295AD0"/>
    <w:rsid w:val="00295FE0"/>
    <w:rsid w:val="00296111"/>
    <w:rsid w:val="0029612B"/>
    <w:rsid w:val="002961D2"/>
    <w:rsid w:val="002963CB"/>
    <w:rsid w:val="00296895"/>
    <w:rsid w:val="0029714E"/>
    <w:rsid w:val="0029716C"/>
    <w:rsid w:val="0029725B"/>
    <w:rsid w:val="002976BD"/>
    <w:rsid w:val="00297F67"/>
    <w:rsid w:val="002A006B"/>
    <w:rsid w:val="002A01E5"/>
    <w:rsid w:val="002A083E"/>
    <w:rsid w:val="002A08FD"/>
    <w:rsid w:val="002A0B0E"/>
    <w:rsid w:val="002A0D28"/>
    <w:rsid w:val="002A0F0C"/>
    <w:rsid w:val="002A1052"/>
    <w:rsid w:val="002A10B5"/>
    <w:rsid w:val="002A1417"/>
    <w:rsid w:val="002A14EB"/>
    <w:rsid w:val="002A157D"/>
    <w:rsid w:val="002A1EAC"/>
    <w:rsid w:val="002A1FD7"/>
    <w:rsid w:val="002A2097"/>
    <w:rsid w:val="002A2553"/>
    <w:rsid w:val="002A27BF"/>
    <w:rsid w:val="002A2F91"/>
    <w:rsid w:val="002A305E"/>
    <w:rsid w:val="002A30F8"/>
    <w:rsid w:val="002A3360"/>
    <w:rsid w:val="002A35B4"/>
    <w:rsid w:val="002A361C"/>
    <w:rsid w:val="002A3825"/>
    <w:rsid w:val="002A382D"/>
    <w:rsid w:val="002A3BB6"/>
    <w:rsid w:val="002A3CE4"/>
    <w:rsid w:val="002A4363"/>
    <w:rsid w:val="002A453F"/>
    <w:rsid w:val="002A4DAC"/>
    <w:rsid w:val="002A4F6A"/>
    <w:rsid w:val="002A56CC"/>
    <w:rsid w:val="002A59EF"/>
    <w:rsid w:val="002A5B6A"/>
    <w:rsid w:val="002A627D"/>
    <w:rsid w:val="002A65D8"/>
    <w:rsid w:val="002A66D7"/>
    <w:rsid w:val="002A67B7"/>
    <w:rsid w:val="002A684B"/>
    <w:rsid w:val="002A6D58"/>
    <w:rsid w:val="002A7145"/>
    <w:rsid w:val="002A737F"/>
    <w:rsid w:val="002A7670"/>
    <w:rsid w:val="002A7AD0"/>
    <w:rsid w:val="002A7B57"/>
    <w:rsid w:val="002A7CAD"/>
    <w:rsid w:val="002B0414"/>
    <w:rsid w:val="002B0611"/>
    <w:rsid w:val="002B096C"/>
    <w:rsid w:val="002B0B5E"/>
    <w:rsid w:val="002B0B8F"/>
    <w:rsid w:val="002B0DFE"/>
    <w:rsid w:val="002B0E30"/>
    <w:rsid w:val="002B1193"/>
    <w:rsid w:val="002B1ACD"/>
    <w:rsid w:val="002B1D02"/>
    <w:rsid w:val="002B27B2"/>
    <w:rsid w:val="002B28D4"/>
    <w:rsid w:val="002B2954"/>
    <w:rsid w:val="002B2A74"/>
    <w:rsid w:val="002B2E25"/>
    <w:rsid w:val="002B3534"/>
    <w:rsid w:val="002B3B2D"/>
    <w:rsid w:val="002B3FCB"/>
    <w:rsid w:val="002B43F1"/>
    <w:rsid w:val="002B444B"/>
    <w:rsid w:val="002B4535"/>
    <w:rsid w:val="002B4901"/>
    <w:rsid w:val="002B4988"/>
    <w:rsid w:val="002B4A21"/>
    <w:rsid w:val="002B4B2F"/>
    <w:rsid w:val="002B4CE0"/>
    <w:rsid w:val="002B4D01"/>
    <w:rsid w:val="002B5211"/>
    <w:rsid w:val="002B5458"/>
    <w:rsid w:val="002B5690"/>
    <w:rsid w:val="002B56BD"/>
    <w:rsid w:val="002B59A0"/>
    <w:rsid w:val="002B5A24"/>
    <w:rsid w:val="002B5BF7"/>
    <w:rsid w:val="002B60C4"/>
    <w:rsid w:val="002B60F8"/>
    <w:rsid w:val="002B66B8"/>
    <w:rsid w:val="002B68AD"/>
    <w:rsid w:val="002B6D15"/>
    <w:rsid w:val="002B6D86"/>
    <w:rsid w:val="002B7153"/>
    <w:rsid w:val="002B77EC"/>
    <w:rsid w:val="002C0260"/>
    <w:rsid w:val="002C077A"/>
    <w:rsid w:val="002C0797"/>
    <w:rsid w:val="002C096D"/>
    <w:rsid w:val="002C0DC0"/>
    <w:rsid w:val="002C108B"/>
    <w:rsid w:val="002C13EB"/>
    <w:rsid w:val="002C1400"/>
    <w:rsid w:val="002C183D"/>
    <w:rsid w:val="002C1A74"/>
    <w:rsid w:val="002C1C39"/>
    <w:rsid w:val="002C1DB9"/>
    <w:rsid w:val="002C1E0D"/>
    <w:rsid w:val="002C2E66"/>
    <w:rsid w:val="002C35BA"/>
    <w:rsid w:val="002C35E2"/>
    <w:rsid w:val="002C3779"/>
    <w:rsid w:val="002C3801"/>
    <w:rsid w:val="002C3E62"/>
    <w:rsid w:val="002C3F54"/>
    <w:rsid w:val="002C454E"/>
    <w:rsid w:val="002C47DB"/>
    <w:rsid w:val="002C49B6"/>
    <w:rsid w:val="002C4F30"/>
    <w:rsid w:val="002C4FDB"/>
    <w:rsid w:val="002C5206"/>
    <w:rsid w:val="002C5618"/>
    <w:rsid w:val="002C57AE"/>
    <w:rsid w:val="002C5A2C"/>
    <w:rsid w:val="002C5AB6"/>
    <w:rsid w:val="002C5C9F"/>
    <w:rsid w:val="002C60C3"/>
    <w:rsid w:val="002C6102"/>
    <w:rsid w:val="002C66EE"/>
    <w:rsid w:val="002C6732"/>
    <w:rsid w:val="002C681E"/>
    <w:rsid w:val="002C6A86"/>
    <w:rsid w:val="002C6D3C"/>
    <w:rsid w:val="002C6E90"/>
    <w:rsid w:val="002C6FA6"/>
    <w:rsid w:val="002C7606"/>
    <w:rsid w:val="002C7CCE"/>
    <w:rsid w:val="002D0009"/>
    <w:rsid w:val="002D029F"/>
    <w:rsid w:val="002D0311"/>
    <w:rsid w:val="002D0493"/>
    <w:rsid w:val="002D0519"/>
    <w:rsid w:val="002D0794"/>
    <w:rsid w:val="002D0A0B"/>
    <w:rsid w:val="002D0D77"/>
    <w:rsid w:val="002D0E2C"/>
    <w:rsid w:val="002D10B9"/>
    <w:rsid w:val="002D1F0C"/>
    <w:rsid w:val="002D1FB6"/>
    <w:rsid w:val="002D201B"/>
    <w:rsid w:val="002D228F"/>
    <w:rsid w:val="002D2299"/>
    <w:rsid w:val="002D23D8"/>
    <w:rsid w:val="002D241C"/>
    <w:rsid w:val="002D2960"/>
    <w:rsid w:val="002D29C0"/>
    <w:rsid w:val="002D2B67"/>
    <w:rsid w:val="002D3145"/>
    <w:rsid w:val="002D3162"/>
    <w:rsid w:val="002D3BE2"/>
    <w:rsid w:val="002D3F6E"/>
    <w:rsid w:val="002D400C"/>
    <w:rsid w:val="002D428A"/>
    <w:rsid w:val="002D4456"/>
    <w:rsid w:val="002D47DB"/>
    <w:rsid w:val="002D49CC"/>
    <w:rsid w:val="002D4A21"/>
    <w:rsid w:val="002D4CF5"/>
    <w:rsid w:val="002D4D92"/>
    <w:rsid w:val="002D5037"/>
    <w:rsid w:val="002D55B3"/>
    <w:rsid w:val="002D576E"/>
    <w:rsid w:val="002D57B5"/>
    <w:rsid w:val="002D5A23"/>
    <w:rsid w:val="002D62B7"/>
    <w:rsid w:val="002D6308"/>
    <w:rsid w:val="002D67F0"/>
    <w:rsid w:val="002D69C2"/>
    <w:rsid w:val="002D6B4B"/>
    <w:rsid w:val="002D6D78"/>
    <w:rsid w:val="002D6F30"/>
    <w:rsid w:val="002D7038"/>
    <w:rsid w:val="002D745A"/>
    <w:rsid w:val="002D7675"/>
    <w:rsid w:val="002D7AD8"/>
    <w:rsid w:val="002D7B9D"/>
    <w:rsid w:val="002E06CC"/>
    <w:rsid w:val="002E0798"/>
    <w:rsid w:val="002E0AB5"/>
    <w:rsid w:val="002E12BE"/>
    <w:rsid w:val="002E19BB"/>
    <w:rsid w:val="002E1C4A"/>
    <w:rsid w:val="002E1DF9"/>
    <w:rsid w:val="002E26DA"/>
    <w:rsid w:val="002E28B8"/>
    <w:rsid w:val="002E2A9B"/>
    <w:rsid w:val="002E30C3"/>
    <w:rsid w:val="002E3155"/>
    <w:rsid w:val="002E3286"/>
    <w:rsid w:val="002E33CA"/>
    <w:rsid w:val="002E3439"/>
    <w:rsid w:val="002E3465"/>
    <w:rsid w:val="002E375E"/>
    <w:rsid w:val="002E4092"/>
    <w:rsid w:val="002E4113"/>
    <w:rsid w:val="002E463F"/>
    <w:rsid w:val="002E4788"/>
    <w:rsid w:val="002E4909"/>
    <w:rsid w:val="002E496B"/>
    <w:rsid w:val="002E4DFD"/>
    <w:rsid w:val="002E52D7"/>
    <w:rsid w:val="002E58B2"/>
    <w:rsid w:val="002E5904"/>
    <w:rsid w:val="002E60E6"/>
    <w:rsid w:val="002E62E2"/>
    <w:rsid w:val="002E63D9"/>
    <w:rsid w:val="002E6495"/>
    <w:rsid w:val="002E67E1"/>
    <w:rsid w:val="002E6A3B"/>
    <w:rsid w:val="002E6A64"/>
    <w:rsid w:val="002E6E01"/>
    <w:rsid w:val="002E73FE"/>
    <w:rsid w:val="002E7480"/>
    <w:rsid w:val="002E7509"/>
    <w:rsid w:val="002E76D0"/>
    <w:rsid w:val="002E774C"/>
    <w:rsid w:val="002E7ADF"/>
    <w:rsid w:val="002E7CB3"/>
    <w:rsid w:val="002F02ED"/>
    <w:rsid w:val="002F04BB"/>
    <w:rsid w:val="002F059F"/>
    <w:rsid w:val="002F08BE"/>
    <w:rsid w:val="002F0AE1"/>
    <w:rsid w:val="002F0EBB"/>
    <w:rsid w:val="002F0F84"/>
    <w:rsid w:val="002F1249"/>
    <w:rsid w:val="002F1791"/>
    <w:rsid w:val="002F18EE"/>
    <w:rsid w:val="002F1A14"/>
    <w:rsid w:val="002F1CBA"/>
    <w:rsid w:val="002F2085"/>
    <w:rsid w:val="002F213C"/>
    <w:rsid w:val="002F2357"/>
    <w:rsid w:val="002F2510"/>
    <w:rsid w:val="002F2674"/>
    <w:rsid w:val="002F26B5"/>
    <w:rsid w:val="002F27E5"/>
    <w:rsid w:val="002F2802"/>
    <w:rsid w:val="002F36CD"/>
    <w:rsid w:val="002F3722"/>
    <w:rsid w:val="002F3A72"/>
    <w:rsid w:val="002F3CE3"/>
    <w:rsid w:val="002F3D62"/>
    <w:rsid w:val="002F4716"/>
    <w:rsid w:val="002F57D1"/>
    <w:rsid w:val="002F59F5"/>
    <w:rsid w:val="002F5A76"/>
    <w:rsid w:val="002F5F3B"/>
    <w:rsid w:val="002F61FE"/>
    <w:rsid w:val="002F623B"/>
    <w:rsid w:val="002F6493"/>
    <w:rsid w:val="002F6684"/>
    <w:rsid w:val="002F6AEF"/>
    <w:rsid w:val="002F6BC2"/>
    <w:rsid w:val="002F6E47"/>
    <w:rsid w:val="002F765E"/>
    <w:rsid w:val="002F77AB"/>
    <w:rsid w:val="002F7ED1"/>
    <w:rsid w:val="00300488"/>
    <w:rsid w:val="00300A41"/>
    <w:rsid w:val="00300E7E"/>
    <w:rsid w:val="00300EA9"/>
    <w:rsid w:val="00301DCD"/>
    <w:rsid w:val="00301DFB"/>
    <w:rsid w:val="00302043"/>
    <w:rsid w:val="00302082"/>
    <w:rsid w:val="00302096"/>
    <w:rsid w:val="003026A1"/>
    <w:rsid w:val="0030295D"/>
    <w:rsid w:val="00302A47"/>
    <w:rsid w:val="00302C24"/>
    <w:rsid w:val="00302DED"/>
    <w:rsid w:val="0030382F"/>
    <w:rsid w:val="00303924"/>
    <w:rsid w:val="00303BAC"/>
    <w:rsid w:val="00303BB1"/>
    <w:rsid w:val="00303DBC"/>
    <w:rsid w:val="00303DC7"/>
    <w:rsid w:val="00303DDA"/>
    <w:rsid w:val="00304350"/>
    <w:rsid w:val="003044E8"/>
    <w:rsid w:val="00304A33"/>
    <w:rsid w:val="00304C9C"/>
    <w:rsid w:val="00304CE9"/>
    <w:rsid w:val="00304D5D"/>
    <w:rsid w:val="00304E6B"/>
    <w:rsid w:val="00305051"/>
    <w:rsid w:val="0030505E"/>
    <w:rsid w:val="00305160"/>
    <w:rsid w:val="003053BA"/>
    <w:rsid w:val="00305787"/>
    <w:rsid w:val="003057F8"/>
    <w:rsid w:val="0030586B"/>
    <w:rsid w:val="00305AE3"/>
    <w:rsid w:val="00305F3C"/>
    <w:rsid w:val="003065FA"/>
    <w:rsid w:val="0030730B"/>
    <w:rsid w:val="00307706"/>
    <w:rsid w:val="00307708"/>
    <w:rsid w:val="00307ADB"/>
    <w:rsid w:val="00307B10"/>
    <w:rsid w:val="00307BED"/>
    <w:rsid w:val="003103D2"/>
    <w:rsid w:val="003106D9"/>
    <w:rsid w:val="00310AE6"/>
    <w:rsid w:val="00310D92"/>
    <w:rsid w:val="003112A7"/>
    <w:rsid w:val="003112FF"/>
    <w:rsid w:val="00311DA5"/>
    <w:rsid w:val="003124F2"/>
    <w:rsid w:val="003126D3"/>
    <w:rsid w:val="00312C5A"/>
    <w:rsid w:val="0031335C"/>
    <w:rsid w:val="00313412"/>
    <w:rsid w:val="00313502"/>
    <w:rsid w:val="003136A1"/>
    <w:rsid w:val="0031382F"/>
    <w:rsid w:val="00313E69"/>
    <w:rsid w:val="00314195"/>
    <w:rsid w:val="003144B6"/>
    <w:rsid w:val="00314F92"/>
    <w:rsid w:val="0031551B"/>
    <w:rsid w:val="0031555D"/>
    <w:rsid w:val="0031555E"/>
    <w:rsid w:val="00315B0F"/>
    <w:rsid w:val="00315B4F"/>
    <w:rsid w:val="00315DB0"/>
    <w:rsid w:val="003161C0"/>
    <w:rsid w:val="00316287"/>
    <w:rsid w:val="003162EC"/>
    <w:rsid w:val="0031671A"/>
    <w:rsid w:val="00316DA2"/>
    <w:rsid w:val="00316ECA"/>
    <w:rsid w:val="00316F8D"/>
    <w:rsid w:val="003174E7"/>
    <w:rsid w:val="00317AB1"/>
    <w:rsid w:val="00317B93"/>
    <w:rsid w:val="00317CFA"/>
    <w:rsid w:val="00317D1B"/>
    <w:rsid w:val="003201A6"/>
    <w:rsid w:val="003207A0"/>
    <w:rsid w:val="00320868"/>
    <w:rsid w:val="003208AA"/>
    <w:rsid w:val="00320AF5"/>
    <w:rsid w:val="00320BD3"/>
    <w:rsid w:val="00320C66"/>
    <w:rsid w:val="00320F3C"/>
    <w:rsid w:val="003211E4"/>
    <w:rsid w:val="00321428"/>
    <w:rsid w:val="00321439"/>
    <w:rsid w:val="00321598"/>
    <w:rsid w:val="003219EB"/>
    <w:rsid w:val="00321F95"/>
    <w:rsid w:val="0032200E"/>
    <w:rsid w:val="003229B5"/>
    <w:rsid w:val="00322DA2"/>
    <w:rsid w:val="00322E97"/>
    <w:rsid w:val="00323104"/>
    <w:rsid w:val="00323187"/>
    <w:rsid w:val="00323D0C"/>
    <w:rsid w:val="00324142"/>
    <w:rsid w:val="00324262"/>
    <w:rsid w:val="0032447E"/>
    <w:rsid w:val="00324936"/>
    <w:rsid w:val="00324ACC"/>
    <w:rsid w:val="00324FBF"/>
    <w:rsid w:val="003259BF"/>
    <w:rsid w:val="00325A93"/>
    <w:rsid w:val="00325B44"/>
    <w:rsid w:val="00326058"/>
    <w:rsid w:val="00326212"/>
    <w:rsid w:val="00326234"/>
    <w:rsid w:val="00326B34"/>
    <w:rsid w:val="00326C54"/>
    <w:rsid w:val="003272F6"/>
    <w:rsid w:val="003276AA"/>
    <w:rsid w:val="003276C0"/>
    <w:rsid w:val="0032790D"/>
    <w:rsid w:val="00327BF1"/>
    <w:rsid w:val="0033026F"/>
    <w:rsid w:val="003304AA"/>
    <w:rsid w:val="00330B23"/>
    <w:rsid w:val="00330C33"/>
    <w:rsid w:val="00330E9A"/>
    <w:rsid w:val="00330FC3"/>
    <w:rsid w:val="003312DF"/>
    <w:rsid w:val="0033140C"/>
    <w:rsid w:val="00331702"/>
    <w:rsid w:val="00331C7B"/>
    <w:rsid w:val="00331F28"/>
    <w:rsid w:val="003320BE"/>
    <w:rsid w:val="0033246F"/>
    <w:rsid w:val="003329B8"/>
    <w:rsid w:val="00332B7E"/>
    <w:rsid w:val="00332E1B"/>
    <w:rsid w:val="003330A1"/>
    <w:rsid w:val="003334BA"/>
    <w:rsid w:val="003339D4"/>
    <w:rsid w:val="00333BC2"/>
    <w:rsid w:val="00333FF1"/>
    <w:rsid w:val="00334354"/>
    <w:rsid w:val="00334794"/>
    <w:rsid w:val="00334CD6"/>
    <w:rsid w:val="00335274"/>
    <w:rsid w:val="00335841"/>
    <w:rsid w:val="00335A84"/>
    <w:rsid w:val="00335FC4"/>
    <w:rsid w:val="00336033"/>
    <w:rsid w:val="003360D7"/>
    <w:rsid w:val="00336172"/>
    <w:rsid w:val="0033631F"/>
    <w:rsid w:val="00336641"/>
    <w:rsid w:val="0033677A"/>
    <w:rsid w:val="003369B7"/>
    <w:rsid w:val="00336B2B"/>
    <w:rsid w:val="00336C0C"/>
    <w:rsid w:val="00336CC6"/>
    <w:rsid w:val="003370A9"/>
    <w:rsid w:val="003373ED"/>
    <w:rsid w:val="00337411"/>
    <w:rsid w:val="003374BE"/>
    <w:rsid w:val="003377C1"/>
    <w:rsid w:val="00337F46"/>
    <w:rsid w:val="003401C8"/>
    <w:rsid w:val="00340263"/>
    <w:rsid w:val="003402BD"/>
    <w:rsid w:val="003404F5"/>
    <w:rsid w:val="0034071F"/>
    <w:rsid w:val="003407C5"/>
    <w:rsid w:val="003407D2"/>
    <w:rsid w:val="00340C97"/>
    <w:rsid w:val="00340CB6"/>
    <w:rsid w:val="00340E7E"/>
    <w:rsid w:val="00340EA2"/>
    <w:rsid w:val="00340F0A"/>
    <w:rsid w:val="00340FEA"/>
    <w:rsid w:val="0034123B"/>
    <w:rsid w:val="0034235B"/>
    <w:rsid w:val="00342F1D"/>
    <w:rsid w:val="003432E0"/>
    <w:rsid w:val="00343622"/>
    <w:rsid w:val="003439EE"/>
    <w:rsid w:val="00343A88"/>
    <w:rsid w:val="00343D57"/>
    <w:rsid w:val="00343E1E"/>
    <w:rsid w:val="00343E66"/>
    <w:rsid w:val="00343FCC"/>
    <w:rsid w:val="00344077"/>
    <w:rsid w:val="003444FD"/>
    <w:rsid w:val="003445C3"/>
    <w:rsid w:val="003445DD"/>
    <w:rsid w:val="00344929"/>
    <w:rsid w:val="00344C76"/>
    <w:rsid w:val="003453EF"/>
    <w:rsid w:val="00345BFF"/>
    <w:rsid w:val="0034620C"/>
    <w:rsid w:val="0034621A"/>
    <w:rsid w:val="003464AD"/>
    <w:rsid w:val="00346F42"/>
    <w:rsid w:val="003470BB"/>
    <w:rsid w:val="00347175"/>
    <w:rsid w:val="003472CC"/>
    <w:rsid w:val="0034760C"/>
    <w:rsid w:val="0034777F"/>
    <w:rsid w:val="003478D8"/>
    <w:rsid w:val="00347998"/>
    <w:rsid w:val="00347E9F"/>
    <w:rsid w:val="00347ED5"/>
    <w:rsid w:val="0035011B"/>
    <w:rsid w:val="00350501"/>
    <w:rsid w:val="003506EE"/>
    <w:rsid w:val="00350CE9"/>
    <w:rsid w:val="00350FF8"/>
    <w:rsid w:val="003510AD"/>
    <w:rsid w:val="00351372"/>
    <w:rsid w:val="0035198C"/>
    <w:rsid w:val="003521A6"/>
    <w:rsid w:val="00352BA1"/>
    <w:rsid w:val="00352BFC"/>
    <w:rsid w:val="003534C9"/>
    <w:rsid w:val="00353971"/>
    <w:rsid w:val="00353AF4"/>
    <w:rsid w:val="00353D94"/>
    <w:rsid w:val="00354010"/>
    <w:rsid w:val="003541A5"/>
    <w:rsid w:val="00354280"/>
    <w:rsid w:val="00354293"/>
    <w:rsid w:val="00354759"/>
    <w:rsid w:val="00354883"/>
    <w:rsid w:val="00354AFD"/>
    <w:rsid w:val="00354EF2"/>
    <w:rsid w:val="00355359"/>
    <w:rsid w:val="0035541E"/>
    <w:rsid w:val="00355A1D"/>
    <w:rsid w:val="003564E2"/>
    <w:rsid w:val="00356509"/>
    <w:rsid w:val="003566AD"/>
    <w:rsid w:val="003567D0"/>
    <w:rsid w:val="00356A81"/>
    <w:rsid w:val="00356F32"/>
    <w:rsid w:val="00356F95"/>
    <w:rsid w:val="00357059"/>
    <w:rsid w:val="00357C0A"/>
    <w:rsid w:val="00357F99"/>
    <w:rsid w:val="00357F9B"/>
    <w:rsid w:val="00357FE1"/>
    <w:rsid w:val="00360BCF"/>
    <w:rsid w:val="00360BF3"/>
    <w:rsid w:val="00360BFA"/>
    <w:rsid w:val="00360D02"/>
    <w:rsid w:val="00360D06"/>
    <w:rsid w:val="0036102D"/>
    <w:rsid w:val="00361030"/>
    <w:rsid w:val="00361289"/>
    <w:rsid w:val="0036152E"/>
    <w:rsid w:val="00361930"/>
    <w:rsid w:val="00361C88"/>
    <w:rsid w:val="00362327"/>
    <w:rsid w:val="00362457"/>
    <w:rsid w:val="00362759"/>
    <w:rsid w:val="0036284F"/>
    <w:rsid w:val="00362B19"/>
    <w:rsid w:val="00362BEF"/>
    <w:rsid w:val="0036312A"/>
    <w:rsid w:val="0036341D"/>
    <w:rsid w:val="003634F3"/>
    <w:rsid w:val="00363A8C"/>
    <w:rsid w:val="00364176"/>
    <w:rsid w:val="003647B7"/>
    <w:rsid w:val="003647BA"/>
    <w:rsid w:val="00364F9F"/>
    <w:rsid w:val="00365349"/>
    <w:rsid w:val="003659F0"/>
    <w:rsid w:val="00365DC5"/>
    <w:rsid w:val="0036617A"/>
    <w:rsid w:val="003669F9"/>
    <w:rsid w:val="00366C2D"/>
    <w:rsid w:val="00366C57"/>
    <w:rsid w:val="00366DBB"/>
    <w:rsid w:val="00366E0A"/>
    <w:rsid w:val="00366E1A"/>
    <w:rsid w:val="00367776"/>
    <w:rsid w:val="00367825"/>
    <w:rsid w:val="00367831"/>
    <w:rsid w:val="00367E3A"/>
    <w:rsid w:val="0037008C"/>
    <w:rsid w:val="00370146"/>
    <w:rsid w:val="003709A5"/>
    <w:rsid w:val="003709F6"/>
    <w:rsid w:val="00370AFF"/>
    <w:rsid w:val="0037182B"/>
    <w:rsid w:val="00371C86"/>
    <w:rsid w:val="00372447"/>
    <w:rsid w:val="0037246D"/>
    <w:rsid w:val="003725C1"/>
    <w:rsid w:val="003727CB"/>
    <w:rsid w:val="0037282D"/>
    <w:rsid w:val="00373142"/>
    <w:rsid w:val="00373396"/>
    <w:rsid w:val="00373804"/>
    <w:rsid w:val="00373EB9"/>
    <w:rsid w:val="00374380"/>
    <w:rsid w:val="003744FF"/>
    <w:rsid w:val="003747B3"/>
    <w:rsid w:val="00374977"/>
    <w:rsid w:val="00374B09"/>
    <w:rsid w:val="00374CA7"/>
    <w:rsid w:val="00374F0B"/>
    <w:rsid w:val="003752BD"/>
    <w:rsid w:val="003752C9"/>
    <w:rsid w:val="003753DC"/>
    <w:rsid w:val="00375F9C"/>
    <w:rsid w:val="00376114"/>
    <w:rsid w:val="00376CFC"/>
    <w:rsid w:val="00376E07"/>
    <w:rsid w:val="0037733A"/>
    <w:rsid w:val="003773AE"/>
    <w:rsid w:val="00377477"/>
    <w:rsid w:val="00377679"/>
    <w:rsid w:val="00377B0C"/>
    <w:rsid w:val="00377B1C"/>
    <w:rsid w:val="00377CDF"/>
    <w:rsid w:val="003801F3"/>
    <w:rsid w:val="003804E7"/>
    <w:rsid w:val="00380CB1"/>
    <w:rsid w:val="0038106F"/>
    <w:rsid w:val="0038107C"/>
    <w:rsid w:val="00381799"/>
    <w:rsid w:val="00381A5A"/>
    <w:rsid w:val="00381CC5"/>
    <w:rsid w:val="00382001"/>
    <w:rsid w:val="0038225A"/>
    <w:rsid w:val="00382742"/>
    <w:rsid w:val="003827D5"/>
    <w:rsid w:val="00382D3A"/>
    <w:rsid w:val="00382E57"/>
    <w:rsid w:val="00382EC9"/>
    <w:rsid w:val="003831BF"/>
    <w:rsid w:val="003832CC"/>
    <w:rsid w:val="00383999"/>
    <w:rsid w:val="00383A06"/>
    <w:rsid w:val="00383B03"/>
    <w:rsid w:val="00384054"/>
    <w:rsid w:val="0038420F"/>
    <w:rsid w:val="003847DD"/>
    <w:rsid w:val="0038488A"/>
    <w:rsid w:val="00384AC0"/>
    <w:rsid w:val="00384C6B"/>
    <w:rsid w:val="00385578"/>
    <w:rsid w:val="003856A8"/>
    <w:rsid w:val="00385930"/>
    <w:rsid w:val="0038595C"/>
    <w:rsid w:val="00385A96"/>
    <w:rsid w:val="00385FE0"/>
    <w:rsid w:val="003862D6"/>
    <w:rsid w:val="003865D6"/>
    <w:rsid w:val="0038670B"/>
    <w:rsid w:val="003868F9"/>
    <w:rsid w:val="003869F9"/>
    <w:rsid w:val="00386A13"/>
    <w:rsid w:val="00386C30"/>
    <w:rsid w:val="00386D37"/>
    <w:rsid w:val="00386E7B"/>
    <w:rsid w:val="00387A09"/>
    <w:rsid w:val="00390126"/>
    <w:rsid w:val="00390165"/>
    <w:rsid w:val="003906D3"/>
    <w:rsid w:val="00390EEF"/>
    <w:rsid w:val="00391171"/>
    <w:rsid w:val="00391CF6"/>
    <w:rsid w:val="00391DBF"/>
    <w:rsid w:val="0039268C"/>
    <w:rsid w:val="00392C2B"/>
    <w:rsid w:val="00393220"/>
    <w:rsid w:val="0039348C"/>
    <w:rsid w:val="00393512"/>
    <w:rsid w:val="0039390A"/>
    <w:rsid w:val="00393B62"/>
    <w:rsid w:val="00393EE8"/>
    <w:rsid w:val="003940E0"/>
    <w:rsid w:val="00394306"/>
    <w:rsid w:val="003947EB"/>
    <w:rsid w:val="00394D9F"/>
    <w:rsid w:val="003951F7"/>
    <w:rsid w:val="003957DC"/>
    <w:rsid w:val="00395AA7"/>
    <w:rsid w:val="00395FD7"/>
    <w:rsid w:val="00396262"/>
    <w:rsid w:val="00396561"/>
    <w:rsid w:val="003968FF"/>
    <w:rsid w:val="00396933"/>
    <w:rsid w:val="00396A05"/>
    <w:rsid w:val="00396A63"/>
    <w:rsid w:val="00396BDD"/>
    <w:rsid w:val="00396F46"/>
    <w:rsid w:val="003976B0"/>
    <w:rsid w:val="00397882"/>
    <w:rsid w:val="003978A3"/>
    <w:rsid w:val="00397B34"/>
    <w:rsid w:val="00397B64"/>
    <w:rsid w:val="003A005F"/>
    <w:rsid w:val="003A0BE2"/>
    <w:rsid w:val="003A0CE8"/>
    <w:rsid w:val="003A1324"/>
    <w:rsid w:val="003A158B"/>
    <w:rsid w:val="003A15BA"/>
    <w:rsid w:val="003A171D"/>
    <w:rsid w:val="003A1741"/>
    <w:rsid w:val="003A1959"/>
    <w:rsid w:val="003A196E"/>
    <w:rsid w:val="003A1992"/>
    <w:rsid w:val="003A1C8E"/>
    <w:rsid w:val="003A2080"/>
    <w:rsid w:val="003A2130"/>
    <w:rsid w:val="003A226B"/>
    <w:rsid w:val="003A23C5"/>
    <w:rsid w:val="003A26ED"/>
    <w:rsid w:val="003A287C"/>
    <w:rsid w:val="003A2DCC"/>
    <w:rsid w:val="003A2E7A"/>
    <w:rsid w:val="003A30CD"/>
    <w:rsid w:val="003A340B"/>
    <w:rsid w:val="003A3602"/>
    <w:rsid w:val="003A3CA6"/>
    <w:rsid w:val="003A3EA5"/>
    <w:rsid w:val="003A4049"/>
    <w:rsid w:val="003A4354"/>
    <w:rsid w:val="003A4943"/>
    <w:rsid w:val="003A4AF2"/>
    <w:rsid w:val="003A51D5"/>
    <w:rsid w:val="003A55EB"/>
    <w:rsid w:val="003A58E1"/>
    <w:rsid w:val="003A5901"/>
    <w:rsid w:val="003A5CB9"/>
    <w:rsid w:val="003A5D8B"/>
    <w:rsid w:val="003A5E95"/>
    <w:rsid w:val="003A5FAF"/>
    <w:rsid w:val="003A63BB"/>
    <w:rsid w:val="003A6C94"/>
    <w:rsid w:val="003A6DC0"/>
    <w:rsid w:val="003A6FAA"/>
    <w:rsid w:val="003A7064"/>
    <w:rsid w:val="003A7E8D"/>
    <w:rsid w:val="003B01D3"/>
    <w:rsid w:val="003B03FE"/>
    <w:rsid w:val="003B0502"/>
    <w:rsid w:val="003B0A3D"/>
    <w:rsid w:val="003B0F38"/>
    <w:rsid w:val="003B1096"/>
    <w:rsid w:val="003B1143"/>
    <w:rsid w:val="003B119D"/>
    <w:rsid w:val="003B12E0"/>
    <w:rsid w:val="003B12E4"/>
    <w:rsid w:val="003B17A1"/>
    <w:rsid w:val="003B1876"/>
    <w:rsid w:val="003B1891"/>
    <w:rsid w:val="003B1E4E"/>
    <w:rsid w:val="003B20BA"/>
    <w:rsid w:val="003B25E8"/>
    <w:rsid w:val="003B2D04"/>
    <w:rsid w:val="003B2D7D"/>
    <w:rsid w:val="003B2F5A"/>
    <w:rsid w:val="003B3338"/>
    <w:rsid w:val="003B35C0"/>
    <w:rsid w:val="003B3733"/>
    <w:rsid w:val="003B37A8"/>
    <w:rsid w:val="003B3C0E"/>
    <w:rsid w:val="003B3DA3"/>
    <w:rsid w:val="003B40A6"/>
    <w:rsid w:val="003B44BE"/>
    <w:rsid w:val="003B48A0"/>
    <w:rsid w:val="003B4A44"/>
    <w:rsid w:val="003B4B90"/>
    <w:rsid w:val="003B4ED3"/>
    <w:rsid w:val="003B51EF"/>
    <w:rsid w:val="003B541D"/>
    <w:rsid w:val="003B5848"/>
    <w:rsid w:val="003B5C4D"/>
    <w:rsid w:val="003B5E60"/>
    <w:rsid w:val="003B6423"/>
    <w:rsid w:val="003B6557"/>
    <w:rsid w:val="003B6932"/>
    <w:rsid w:val="003B6D64"/>
    <w:rsid w:val="003B70D9"/>
    <w:rsid w:val="003B726A"/>
    <w:rsid w:val="003B735F"/>
    <w:rsid w:val="003B7406"/>
    <w:rsid w:val="003B7455"/>
    <w:rsid w:val="003B7604"/>
    <w:rsid w:val="003B7EE3"/>
    <w:rsid w:val="003C003C"/>
    <w:rsid w:val="003C0457"/>
    <w:rsid w:val="003C0571"/>
    <w:rsid w:val="003C05FA"/>
    <w:rsid w:val="003C11F6"/>
    <w:rsid w:val="003C14CC"/>
    <w:rsid w:val="003C1B78"/>
    <w:rsid w:val="003C1C21"/>
    <w:rsid w:val="003C1FDC"/>
    <w:rsid w:val="003C2238"/>
    <w:rsid w:val="003C223C"/>
    <w:rsid w:val="003C2745"/>
    <w:rsid w:val="003C29B4"/>
    <w:rsid w:val="003C2E4C"/>
    <w:rsid w:val="003C3171"/>
    <w:rsid w:val="003C3424"/>
    <w:rsid w:val="003C34D8"/>
    <w:rsid w:val="003C3520"/>
    <w:rsid w:val="003C353E"/>
    <w:rsid w:val="003C358E"/>
    <w:rsid w:val="003C3628"/>
    <w:rsid w:val="003C390E"/>
    <w:rsid w:val="003C3EFE"/>
    <w:rsid w:val="003C41DE"/>
    <w:rsid w:val="003C49F3"/>
    <w:rsid w:val="003C4CE0"/>
    <w:rsid w:val="003C5ED3"/>
    <w:rsid w:val="003C607D"/>
    <w:rsid w:val="003C61E8"/>
    <w:rsid w:val="003C63C4"/>
    <w:rsid w:val="003C6A31"/>
    <w:rsid w:val="003C7146"/>
    <w:rsid w:val="003C7C45"/>
    <w:rsid w:val="003C7DCD"/>
    <w:rsid w:val="003D0021"/>
    <w:rsid w:val="003D059B"/>
    <w:rsid w:val="003D05A7"/>
    <w:rsid w:val="003D070A"/>
    <w:rsid w:val="003D0BA9"/>
    <w:rsid w:val="003D0C8D"/>
    <w:rsid w:val="003D0D0E"/>
    <w:rsid w:val="003D146E"/>
    <w:rsid w:val="003D149E"/>
    <w:rsid w:val="003D163D"/>
    <w:rsid w:val="003D22FF"/>
    <w:rsid w:val="003D2C85"/>
    <w:rsid w:val="003D2D6B"/>
    <w:rsid w:val="003D36B4"/>
    <w:rsid w:val="003D382C"/>
    <w:rsid w:val="003D39C5"/>
    <w:rsid w:val="003D3A03"/>
    <w:rsid w:val="003D3F07"/>
    <w:rsid w:val="003D40CE"/>
    <w:rsid w:val="003D4611"/>
    <w:rsid w:val="003D46F2"/>
    <w:rsid w:val="003D46F7"/>
    <w:rsid w:val="003D484D"/>
    <w:rsid w:val="003D4CAD"/>
    <w:rsid w:val="003D4D68"/>
    <w:rsid w:val="003D4E87"/>
    <w:rsid w:val="003D53B0"/>
    <w:rsid w:val="003D5488"/>
    <w:rsid w:val="003D5545"/>
    <w:rsid w:val="003D5BD5"/>
    <w:rsid w:val="003D600A"/>
    <w:rsid w:val="003D6081"/>
    <w:rsid w:val="003D6746"/>
    <w:rsid w:val="003D6A1F"/>
    <w:rsid w:val="003D6E85"/>
    <w:rsid w:val="003D6EA5"/>
    <w:rsid w:val="003D7233"/>
    <w:rsid w:val="003D72B7"/>
    <w:rsid w:val="003D763D"/>
    <w:rsid w:val="003D785D"/>
    <w:rsid w:val="003D7A90"/>
    <w:rsid w:val="003E0394"/>
    <w:rsid w:val="003E0842"/>
    <w:rsid w:val="003E0C54"/>
    <w:rsid w:val="003E0EEE"/>
    <w:rsid w:val="003E0F23"/>
    <w:rsid w:val="003E1507"/>
    <w:rsid w:val="003E152B"/>
    <w:rsid w:val="003E2233"/>
    <w:rsid w:val="003E2627"/>
    <w:rsid w:val="003E27C3"/>
    <w:rsid w:val="003E2C83"/>
    <w:rsid w:val="003E2E60"/>
    <w:rsid w:val="003E302A"/>
    <w:rsid w:val="003E319F"/>
    <w:rsid w:val="003E3218"/>
    <w:rsid w:val="003E3BCC"/>
    <w:rsid w:val="003E3CAE"/>
    <w:rsid w:val="003E3D98"/>
    <w:rsid w:val="003E4201"/>
    <w:rsid w:val="003E454D"/>
    <w:rsid w:val="003E4BB4"/>
    <w:rsid w:val="003E4ED0"/>
    <w:rsid w:val="003E50B7"/>
    <w:rsid w:val="003E5137"/>
    <w:rsid w:val="003E5194"/>
    <w:rsid w:val="003E5209"/>
    <w:rsid w:val="003E587A"/>
    <w:rsid w:val="003E6253"/>
    <w:rsid w:val="003E6918"/>
    <w:rsid w:val="003E6C9D"/>
    <w:rsid w:val="003E6FF8"/>
    <w:rsid w:val="003E710A"/>
    <w:rsid w:val="003E7705"/>
    <w:rsid w:val="003E78D1"/>
    <w:rsid w:val="003E7FED"/>
    <w:rsid w:val="003F02E6"/>
    <w:rsid w:val="003F0F71"/>
    <w:rsid w:val="003F123B"/>
    <w:rsid w:val="003F1B27"/>
    <w:rsid w:val="003F1CCA"/>
    <w:rsid w:val="003F1D4C"/>
    <w:rsid w:val="003F2303"/>
    <w:rsid w:val="003F238E"/>
    <w:rsid w:val="003F25E5"/>
    <w:rsid w:val="003F26BC"/>
    <w:rsid w:val="003F284D"/>
    <w:rsid w:val="003F2ED5"/>
    <w:rsid w:val="003F31C8"/>
    <w:rsid w:val="003F3369"/>
    <w:rsid w:val="003F337A"/>
    <w:rsid w:val="003F339F"/>
    <w:rsid w:val="003F342B"/>
    <w:rsid w:val="003F363E"/>
    <w:rsid w:val="003F374A"/>
    <w:rsid w:val="003F4184"/>
    <w:rsid w:val="003F43DE"/>
    <w:rsid w:val="003F446D"/>
    <w:rsid w:val="003F4919"/>
    <w:rsid w:val="003F4C85"/>
    <w:rsid w:val="003F4CAA"/>
    <w:rsid w:val="003F522D"/>
    <w:rsid w:val="003F5613"/>
    <w:rsid w:val="003F58D2"/>
    <w:rsid w:val="003F5B48"/>
    <w:rsid w:val="003F5BF4"/>
    <w:rsid w:val="003F5D0E"/>
    <w:rsid w:val="003F6045"/>
    <w:rsid w:val="003F63F4"/>
    <w:rsid w:val="003F644F"/>
    <w:rsid w:val="003F6503"/>
    <w:rsid w:val="003F6525"/>
    <w:rsid w:val="003F6C27"/>
    <w:rsid w:val="003F6D0E"/>
    <w:rsid w:val="003F7162"/>
    <w:rsid w:val="003F755D"/>
    <w:rsid w:val="003F79AB"/>
    <w:rsid w:val="003F7B56"/>
    <w:rsid w:val="003F7D54"/>
    <w:rsid w:val="003F7E03"/>
    <w:rsid w:val="003F7E95"/>
    <w:rsid w:val="004002FB"/>
    <w:rsid w:val="0040059F"/>
    <w:rsid w:val="00400610"/>
    <w:rsid w:val="00400919"/>
    <w:rsid w:val="00400A7B"/>
    <w:rsid w:val="0040136D"/>
    <w:rsid w:val="00401464"/>
    <w:rsid w:val="004014F3"/>
    <w:rsid w:val="004015B6"/>
    <w:rsid w:val="004018E9"/>
    <w:rsid w:val="00401EAE"/>
    <w:rsid w:val="00401FBD"/>
    <w:rsid w:val="004023F5"/>
    <w:rsid w:val="00402444"/>
    <w:rsid w:val="00402830"/>
    <w:rsid w:val="00402945"/>
    <w:rsid w:val="00403145"/>
    <w:rsid w:val="00403438"/>
    <w:rsid w:val="00403684"/>
    <w:rsid w:val="00403737"/>
    <w:rsid w:val="00403B25"/>
    <w:rsid w:val="00403B6B"/>
    <w:rsid w:val="00403FC7"/>
    <w:rsid w:val="0040404D"/>
    <w:rsid w:val="00404251"/>
    <w:rsid w:val="00404905"/>
    <w:rsid w:val="00404B24"/>
    <w:rsid w:val="00404B76"/>
    <w:rsid w:val="00404BA7"/>
    <w:rsid w:val="00404BBB"/>
    <w:rsid w:val="00405192"/>
    <w:rsid w:val="00405314"/>
    <w:rsid w:val="0040538E"/>
    <w:rsid w:val="00405400"/>
    <w:rsid w:val="00405454"/>
    <w:rsid w:val="004057FD"/>
    <w:rsid w:val="00405832"/>
    <w:rsid w:val="00405941"/>
    <w:rsid w:val="00405D10"/>
    <w:rsid w:val="00406596"/>
    <w:rsid w:val="00406ADE"/>
    <w:rsid w:val="00406E77"/>
    <w:rsid w:val="00406F3C"/>
    <w:rsid w:val="004072E8"/>
    <w:rsid w:val="00407E85"/>
    <w:rsid w:val="00410183"/>
    <w:rsid w:val="00410365"/>
    <w:rsid w:val="004105EE"/>
    <w:rsid w:val="00410634"/>
    <w:rsid w:val="00410846"/>
    <w:rsid w:val="004109C0"/>
    <w:rsid w:val="00410BED"/>
    <w:rsid w:val="0041105F"/>
    <w:rsid w:val="004112B5"/>
    <w:rsid w:val="00411523"/>
    <w:rsid w:val="004115C5"/>
    <w:rsid w:val="0041182D"/>
    <w:rsid w:val="00411927"/>
    <w:rsid w:val="0041197C"/>
    <w:rsid w:val="00411C75"/>
    <w:rsid w:val="00411E38"/>
    <w:rsid w:val="00411F7E"/>
    <w:rsid w:val="004124B7"/>
    <w:rsid w:val="00412A80"/>
    <w:rsid w:val="00412B91"/>
    <w:rsid w:val="00412D7B"/>
    <w:rsid w:val="00412D89"/>
    <w:rsid w:val="004132DE"/>
    <w:rsid w:val="00413439"/>
    <w:rsid w:val="004135B9"/>
    <w:rsid w:val="0041390E"/>
    <w:rsid w:val="00413DB1"/>
    <w:rsid w:val="00413F54"/>
    <w:rsid w:val="004144CB"/>
    <w:rsid w:val="004145AE"/>
    <w:rsid w:val="004146BE"/>
    <w:rsid w:val="00414AA5"/>
    <w:rsid w:val="004150FE"/>
    <w:rsid w:val="00415631"/>
    <w:rsid w:val="004159A9"/>
    <w:rsid w:val="00415B2F"/>
    <w:rsid w:val="00415B87"/>
    <w:rsid w:val="00415CF7"/>
    <w:rsid w:val="00415DFD"/>
    <w:rsid w:val="004160FC"/>
    <w:rsid w:val="004168C5"/>
    <w:rsid w:val="0041691C"/>
    <w:rsid w:val="00416ACC"/>
    <w:rsid w:val="00416F65"/>
    <w:rsid w:val="004170B6"/>
    <w:rsid w:val="004177FA"/>
    <w:rsid w:val="00417992"/>
    <w:rsid w:val="00417A32"/>
    <w:rsid w:val="00417A3A"/>
    <w:rsid w:val="00417F22"/>
    <w:rsid w:val="00420466"/>
    <w:rsid w:val="004207D5"/>
    <w:rsid w:val="00420EF1"/>
    <w:rsid w:val="0042115F"/>
    <w:rsid w:val="0042135D"/>
    <w:rsid w:val="0042158A"/>
    <w:rsid w:val="004218DF"/>
    <w:rsid w:val="00421FC4"/>
    <w:rsid w:val="00422208"/>
    <w:rsid w:val="00422701"/>
    <w:rsid w:val="00422AAC"/>
    <w:rsid w:val="00422D34"/>
    <w:rsid w:val="00422E10"/>
    <w:rsid w:val="00422E4F"/>
    <w:rsid w:val="0042303E"/>
    <w:rsid w:val="00423DF9"/>
    <w:rsid w:val="00424222"/>
    <w:rsid w:val="004244C9"/>
    <w:rsid w:val="004252DA"/>
    <w:rsid w:val="004258CF"/>
    <w:rsid w:val="00425E1B"/>
    <w:rsid w:val="004268FE"/>
    <w:rsid w:val="00426958"/>
    <w:rsid w:val="00426ADB"/>
    <w:rsid w:val="00426DF4"/>
    <w:rsid w:val="00426E34"/>
    <w:rsid w:val="00426E7C"/>
    <w:rsid w:val="00426E9E"/>
    <w:rsid w:val="00427184"/>
    <w:rsid w:val="00427412"/>
    <w:rsid w:val="0042757D"/>
    <w:rsid w:val="00427A37"/>
    <w:rsid w:val="00427A66"/>
    <w:rsid w:val="00427DD2"/>
    <w:rsid w:val="00427F18"/>
    <w:rsid w:val="00430072"/>
    <w:rsid w:val="00430115"/>
    <w:rsid w:val="00430157"/>
    <w:rsid w:val="004304A1"/>
    <w:rsid w:val="00430731"/>
    <w:rsid w:val="00430B24"/>
    <w:rsid w:val="004311C1"/>
    <w:rsid w:val="00431387"/>
    <w:rsid w:val="0043138B"/>
    <w:rsid w:val="0043141C"/>
    <w:rsid w:val="00431DC2"/>
    <w:rsid w:val="00432292"/>
    <w:rsid w:val="00432398"/>
    <w:rsid w:val="004323F8"/>
    <w:rsid w:val="004325B2"/>
    <w:rsid w:val="004326BB"/>
    <w:rsid w:val="00432EDC"/>
    <w:rsid w:val="0043313B"/>
    <w:rsid w:val="0043322F"/>
    <w:rsid w:val="00433BBA"/>
    <w:rsid w:val="00433F10"/>
    <w:rsid w:val="00433F61"/>
    <w:rsid w:val="004346A8"/>
    <w:rsid w:val="004347C4"/>
    <w:rsid w:val="004349C1"/>
    <w:rsid w:val="004351D5"/>
    <w:rsid w:val="004353A4"/>
    <w:rsid w:val="00435583"/>
    <w:rsid w:val="00435EC2"/>
    <w:rsid w:val="00435EC8"/>
    <w:rsid w:val="004361A3"/>
    <w:rsid w:val="00436333"/>
    <w:rsid w:val="004364ED"/>
    <w:rsid w:val="004365EF"/>
    <w:rsid w:val="00436845"/>
    <w:rsid w:val="00436864"/>
    <w:rsid w:val="00436D57"/>
    <w:rsid w:val="00436E0C"/>
    <w:rsid w:val="00436EFF"/>
    <w:rsid w:val="00437040"/>
    <w:rsid w:val="0043711C"/>
    <w:rsid w:val="00437216"/>
    <w:rsid w:val="00437229"/>
    <w:rsid w:val="00437235"/>
    <w:rsid w:val="00437AE4"/>
    <w:rsid w:val="00440013"/>
    <w:rsid w:val="004405A1"/>
    <w:rsid w:val="0044135E"/>
    <w:rsid w:val="00441B2E"/>
    <w:rsid w:val="00441B73"/>
    <w:rsid w:val="004420A9"/>
    <w:rsid w:val="00442115"/>
    <w:rsid w:val="00442116"/>
    <w:rsid w:val="00442ED4"/>
    <w:rsid w:val="0044308F"/>
    <w:rsid w:val="00443104"/>
    <w:rsid w:val="00443950"/>
    <w:rsid w:val="00443DD7"/>
    <w:rsid w:val="004447EE"/>
    <w:rsid w:val="00445072"/>
    <w:rsid w:val="004456C3"/>
    <w:rsid w:val="0044573C"/>
    <w:rsid w:val="00445841"/>
    <w:rsid w:val="00445B12"/>
    <w:rsid w:val="00445EB2"/>
    <w:rsid w:val="00445F50"/>
    <w:rsid w:val="00446CFD"/>
    <w:rsid w:val="00446DB2"/>
    <w:rsid w:val="00446DD5"/>
    <w:rsid w:val="0044700D"/>
    <w:rsid w:val="00447103"/>
    <w:rsid w:val="004471FC"/>
    <w:rsid w:val="00447239"/>
    <w:rsid w:val="0044758B"/>
    <w:rsid w:val="004479DD"/>
    <w:rsid w:val="00447FED"/>
    <w:rsid w:val="0045007D"/>
    <w:rsid w:val="00450414"/>
    <w:rsid w:val="00450B03"/>
    <w:rsid w:val="00450E0B"/>
    <w:rsid w:val="004516A5"/>
    <w:rsid w:val="00451721"/>
    <w:rsid w:val="00451ECA"/>
    <w:rsid w:val="00451EEB"/>
    <w:rsid w:val="00452293"/>
    <w:rsid w:val="00452359"/>
    <w:rsid w:val="004529C2"/>
    <w:rsid w:val="00452C71"/>
    <w:rsid w:val="00452D22"/>
    <w:rsid w:val="0045395F"/>
    <w:rsid w:val="00453B94"/>
    <w:rsid w:val="00453C25"/>
    <w:rsid w:val="0045422E"/>
    <w:rsid w:val="004542AD"/>
    <w:rsid w:val="00454545"/>
    <w:rsid w:val="0045457B"/>
    <w:rsid w:val="00454585"/>
    <w:rsid w:val="004546E3"/>
    <w:rsid w:val="0045476B"/>
    <w:rsid w:val="00454C1A"/>
    <w:rsid w:val="00454DC9"/>
    <w:rsid w:val="00455943"/>
    <w:rsid w:val="00455BAF"/>
    <w:rsid w:val="00455E20"/>
    <w:rsid w:val="00455E25"/>
    <w:rsid w:val="00455F31"/>
    <w:rsid w:val="0045601F"/>
    <w:rsid w:val="00456AFD"/>
    <w:rsid w:val="00456C02"/>
    <w:rsid w:val="00456DF8"/>
    <w:rsid w:val="00457446"/>
    <w:rsid w:val="004576C4"/>
    <w:rsid w:val="004577F9"/>
    <w:rsid w:val="00457A92"/>
    <w:rsid w:val="00457DEC"/>
    <w:rsid w:val="00460065"/>
    <w:rsid w:val="0046007E"/>
    <w:rsid w:val="0046010F"/>
    <w:rsid w:val="004602FE"/>
    <w:rsid w:val="004611D0"/>
    <w:rsid w:val="00461A61"/>
    <w:rsid w:val="00461B5D"/>
    <w:rsid w:val="004620AC"/>
    <w:rsid w:val="00462200"/>
    <w:rsid w:val="00462291"/>
    <w:rsid w:val="00462601"/>
    <w:rsid w:val="004628DD"/>
    <w:rsid w:val="00462AB8"/>
    <w:rsid w:val="00462CBA"/>
    <w:rsid w:val="0046376A"/>
    <w:rsid w:val="0046377C"/>
    <w:rsid w:val="004638C1"/>
    <w:rsid w:val="004639BB"/>
    <w:rsid w:val="004639D9"/>
    <w:rsid w:val="00463B70"/>
    <w:rsid w:val="00463C27"/>
    <w:rsid w:val="00464009"/>
    <w:rsid w:val="004642B9"/>
    <w:rsid w:val="00464527"/>
    <w:rsid w:val="004646E3"/>
    <w:rsid w:val="004648DB"/>
    <w:rsid w:val="004649CB"/>
    <w:rsid w:val="00464F7A"/>
    <w:rsid w:val="00464FC3"/>
    <w:rsid w:val="00465095"/>
    <w:rsid w:val="00465268"/>
    <w:rsid w:val="00465313"/>
    <w:rsid w:val="004655F6"/>
    <w:rsid w:val="00466224"/>
    <w:rsid w:val="004669F9"/>
    <w:rsid w:val="00466D9B"/>
    <w:rsid w:val="0046726E"/>
    <w:rsid w:val="00467695"/>
    <w:rsid w:val="00467746"/>
    <w:rsid w:val="004677F5"/>
    <w:rsid w:val="00467865"/>
    <w:rsid w:val="00467B11"/>
    <w:rsid w:val="00467E05"/>
    <w:rsid w:val="00470BCE"/>
    <w:rsid w:val="00470C7A"/>
    <w:rsid w:val="00471095"/>
    <w:rsid w:val="00471760"/>
    <w:rsid w:val="00471EE5"/>
    <w:rsid w:val="00471F30"/>
    <w:rsid w:val="00472156"/>
    <w:rsid w:val="0047216F"/>
    <w:rsid w:val="004726F0"/>
    <w:rsid w:val="004728B3"/>
    <w:rsid w:val="004729B5"/>
    <w:rsid w:val="00472E7E"/>
    <w:rsid w:val="00472F70"/>
    <w:rsid w:val="004730A1"/>
    <w:rsid w:val="00473341"/>
    <w:rsid w:val="00473557"/>
    <w:rsid w:val="00473717"/>
    <w:rsid w:val="0047394B"/>
    <w:rsid w:val="00473CF4"/>
    <w:rsid w:val="00473D0F"/>
    <w:rsid w:val="004742D1"/>
    <w:rsid w:val="0047432D"/>
    <w:rsid w:val="004743A7"/>
    <w:rsid w:val="004745A0"/>
    <w:rsid w:val="004745AE"/>
    <w:rsid w:val="00474F88"/>
    <w:rsid w:val="00475DC8"/>
    <w:rsid w:val="00475E71"/>
    <w:rsid w:val="00475E7C"/>
    <w:rsid w:val="004760D2"/>
    <w:rsid w:val="00476630"/>
    <w:rsid w:val="00476BD3"/>
    <w:rsid w:val="00476CD4"/>
    <w:rsid w:val="00477381"/>
    <w:rsid w:val="00477938"/>
    <w:rsid w:val="00477C49"/>
    <w:rsid w:val="00477FE1"/>
    <w:rsid w:val="004801BF"/>
    <w:rsid w:val="0048061A"/>
    <w:rsid w:val="00480B98"/>
    <w:rsid w:val="00480CF2"/>
    <w:rsid w:val="004811B1"/>
    <w:rsid w:val="0048122A"/>
    <w:rsid w:val="0048134C"/>
    <w:rsid w:val="00481438"/>
    <w:rsid w:val="0048186C"/>
    <w:rsid w:val="00481BE6"/>
    <w:rsid w:val="00481E5B"/>
    <w:rsid w:val="00482025"/>
    <w:rsid w:val="0048211E"/>
    <w:rsid w:val="00482782"/>
    <w:rsid w:val="00482F11"/>
    <w:rsid w:val="004835D0"/>
    <w:rsid w:val="004837B1"/>
    <w:rsid w:val="00483F98"/>
    <w:rsid w:val="00484157"/>
    <w:rsid w:val="004841FB"/>
    <w:rsid w:val="004843A6"/>
    <w:rsid w:val="00484B2A"/>
    <w:rsid w:val="00485B18"/>
    <w:rsid w:val="00486715"/>
    <w:rsid w:val="00486BBE"/>
    <w:rsid w:val="004873FC"/>
    <w:rsid w:val="004874E8"/>
    <w:rsid w:val="004876E4"/>
    <w:rsid w:val="00487D60"/>
    <w:rsid w:val="004903DF"/>
    <w:rsid w:val="004906FF"/>
    <w:rsid w:val="00490B0E"/>
    <w:rsid w:val="0049129E"/>
    <w:rsid w:val="004912FE"/>
    <w:rsid w:val="004915CE"/>
    <w:rsid w:val="00491701"/>
    <w:rsid w:val="0049199A"/>
    <w:rsid w:val="00491B8D"/>
    <w:rsid w:val="00491BC6"/>
    <w:rsid w:val="00491ED5"/>
    <w:rsid w:val="004922B9"/>
    <w:rsid w:val="0049258B"/>
    <w:rsid w:val="00492BD1"/>
    <w:rsid w:val="00492F18"/>
    <w:rsid w:val="00493014"/>
    <w:rsid w:val="004930E8"/>
    <w:rsid w:val="00493171"/>
    <w:rsid w:val="004933C6"/>
    <w:rsid w:val="004937EF"/>
    <w:rsid w:val="00493A16"/>
    <w:rsid w:val="00493D45"/>
    <w:rsid w:val="00493E05"/>
    <w:rsid w:val="00493E3D"/>
    <w:rsid w:val="00493EAE"/>
    <w:rsid w:val="0049432A"/>
    <w:rsid w:val="0049470F"/>
    <w:rsid w:val="00494A68"/>
    <w:rsid w:val="00495272"/>
    <w:rsid w:val="00495594"/>
    <w:rsid w:val="004959AE"/>
    <w:rsid w:val="00495B73"/>
    <w:rsid w:val="00495C74"/>
    <w:rsid w:val="00495FCC"/>
    <w:rsid w:val="00496087"/>
    <w:rsid w:val="00496501"/>
    <w:rsid w:val="00496637"/>
    <w:rsid w:val="00496926"/>
    <w:rsid w:val="0049730B"/>
    <w:rsid w:val="0049744C"/>
    <w:rsid w:val="00497D8B"/>
    <w:rsid w:val="00497E50"/>
    <w:rsid w:val="00497F12"/>
    <w:rsid w:val="004A0092"/>
    <w:rsid w:val="004A032A"/>
    <w:rsid w:val="004A0B1C"/>
    <w:rsid w:val="004A0C19"/>
    <w:rsid w:val="004A0DC6"/>
    <w:rsid w:val="004A147E"/>
    <w:rsid w:val="004A1A32"/>
    <w:rsid w:val="004A21ED"/>
    <w:rsid w:val="004A28E4"/>
    <w:rsid w:val="004A2B59"/>
    <w:rsid w:val="004A3091"/>
    <w:rsid w:val="004A36A9"/>
    <w:rsid w:val="004A39EF"/>
    <w:rsid w:val="004A3D0F"/>
    <w:rsid w:val="004A414B"/>
    <w:rsid w:val="004A4555"/>
    <w:rsid w:val="004A4650"/>
    <w:rsid w:val="004A4A4E"/>
    <w:rsid w:val="004A4BBE"/>
    <w:rsid w:val="004A4D8E"/>
    <w:rsid w:val="004A5295"/>
    <w:rsid w:val="004A53E2"/>
    <w:rsid w:val="004A5589"/>
    <w:rsid w:val="004A5886"/>
    <w:rsid w:val="004A59D6"/>
    <w:rsid w:val="004A61FE"/>
    <w:rsid w:val="004A62D1"/>
    <w:rsid w:val="004A657B"/>
    <w:rsid w:val="004A66FC"/>
    <w:rsid w:val="004A7083"/>
    <w:rsid w:val="004A70F7"/>
    <w:rsid w:val="004A778B"/>
    <w:rsid w:val="004A7BAE"/>
    <w:rsid w:val="004B0C33"/>
    <w:rsid w:val="004B0D95"/>
    <w:rsid w:val="004B0F2B"/>
    <w:rsid w:val="004B120A"/>
    <w:rsid w:val="004B1454"/>
    <w:rsid w:val="004B15C0"/>
    <w:rsid w:val="004B1674"/>
    <w:rsid w:val="004B1766"/>
    <w:rsid w:val="004B1B19"/>
    <w:rsid w:val="004B1BFE"/>
    <w:rsid w:val="004B2057"/>
    <w:rsid w:val="004B22D2"/>
    <w:rsid w:val="004B2E7A"/>
    <w:rsid w:val="004B313B"/>
    <w:rsid w:val="004B32EC"/>
    <w:rsid w:val="004B32F6"/>
    <w:rsid w:val="004B33AE"/>
    <w:rsid w:val="004B38FF"/>
    <w:rsid w:val="004B3B0A"/>
    <w:rsid w:val="004B417E"/>
    <w:rsid w:val="004B44A7"/>
    <w:rsid w:val="004B4558"/>
    <w:rsid w:val="004B45EA"/>
    <w:rsid w:val="004B4AC5"/>
    <w:rsid w:val="004B4BFA"/>
    <w:rsid w:val="004B4F1F"/>
    <w:rsid w:val="004B517E"/>
    <w:rsid w:val="004B51C6"/>
    <w:rsid w:val="004B5439"/>
    <w:rsid w:val="004B5529"/>
    <w:rsid w:val="004B5DC0"/>
    <w:rsid w:val="004B5FD3"/>
    <w:rsid w:val="004B6049"/>
    <w:rsid w:val="004B6263"/>
    <w:rsid w:val="004B6517"/>
    <w:rsid w:val="004B66F5"/>
    <w:rsid w:val="004B6A54"/>
    <w:rsid w:val="004B6B7A"/>
    <w:rsid w:val="004B6D6A"/>
    <w:rsid w:val="004B6DF5"/>
    <w:rsid w:val="004B6E87"/>
    <w:rsid w:val="004B714B"/>
    <w:rsid w:val="004B72CD"/>
    <w:rsid w:val="004B7458"/>
    <w:rsid w:val="004B7733"/>
    <w:rsid w:val="004B7903"/>
    <w:rsid w:val="004B7E15"/>
    <w:rsid w:val="004C0318"/>
    <w:rsid w:val="004C0499"/>
    <w:rsid w:val="004C064D"/>
    <w:rsid w:val="004C0771"/>
    <w:rsid w:val="004C0DD9"/>
    <w:rsid w:val="004C1059"/>
    <w:rsid w:val="004C1064"/>
    <w:rsid w:val="004C10F0"/>
    <w:rsid w:val="004C1107"/>
    <w:rsid w:val="004C13AD"/>
    <w:rsid w:val="004C155E"/>
    <w:rsid w:val="004C19F8"/>
    <w:rsid w:val="004C2161"/>
    <w:rsid w:val="004C23C3"/>
    <w:rsid w:val="004C23D3"/>
    <w:rsid w:val="004C26AF"/>
    <w:rsid w:val="004C2B45"/>
    <w:rsid w:val="004C2B58"/>
    <w:rsid w:val="004C2C23"/>
    <w:rsid w:val="004C2EA7"/>
    <w:rsid w:val="004C2F9F"/>
    <w:rsid w:val="004C337F"/>
    <w:rsid w:val="004C33FD"/>
    <w:rsid w:val="004C366D"/>
    <w:rsid w:val="004C37E1"/>
    <w:rsid w:val="004C3859"/>
    <w:rsid w:val="004C3946"/>
    <w:rsid w:val="004C397A"/>
    <w:rsid w:val="004C3A99"/>
    <w:rsid w:val="004C3EDA"/>
    <w:rsid w:val="004C3F61"/>
    <w:rsid w:val="004C41B4"/>
    <w:rsid w:val="004C42D8"/>
    <w:rsid w:val="004C4382"/>
    <w:rsid w:val="004C43CF"/>
    <w:rsid w:val="004C4433"/>
    <w:rsid w:val="004C4483"/>
    <w:rsid w:val="004C44EE"/>
    <w:rsid w:val="004C4C29"/>
    <w:rsid w:val="004C586C"/>
    <w:rsid w:val="004C58D2"/>
    <w:rsid w:val="004C5900"/>
    <w:rsid w:val="004C5AF6"/>
    <w:rsid w:val="004C5CD9"/>
    <w:rsid w:val="004C6589"/>
    <w:rsid w:val="004C66F0"/>
    <w:rsid w:val="004C67CF"/>
    <w:rsid w:val="004C6817"/>
    <w:rsid w:val="004C68B0"/>
    <w:rsid w:val="004C6D3A"/>
    <w:rsid w:val="004C7153"/>
    <w:rsid w:val="004C77EA"/>
    <w:rsid w:val="004C7A55"/>
    <w:rsid w:val="004C7F17"/>
    <w:rsid w:val="004D0096"/>
    <w:rsid w:val="004D025F"/>
    <w:rsid w:val="004D0471"/>
    <w:rsid w:val="004D0726"/>
    <w:rsid w:val="004D0841"/>
    <w:rsid w:val="004D096B"/>
    <w:rsid w:val="004D0EF9"/>
    <w:rsid w:val="004D139F"/>
    <w:rsid w:val="004D1704"/>
    <w:rsid w:val="004D1AC8"/>
    <w:rsid w:val="004D201C"/>
    <w:rsid w:val="004D21C3"/>
    <w:rsid w:val="004D22C4"/>
    <w:rsid w:val="004D22DE"/>
    <w:rsid w:val="004D2341"/>
    <w:rsid w:val="004D27F5"/>
    <w:rsid w:val="004D3087"/>
    <w:rsid w:val="004D3509"/>
    <w:rsid w:val="004D369A"/>
    <w:rsid w:val="004D39F7"/>
    <w:rsid w:val="004D3FC3"/>
    <w:rsid w:val="004D3FD7"/>
    <w:rsid w:val="004D4DDF"/>
    <w:rsid w:val="004D4FDB"/>
    <w:rsid w:val="004D4FE1"/>
    <w:rsid w:val="004D51F4"/>
    <w:rsid w:val="004D53C9"/>
    <w:rsid w:val="004D5607"/>
    <w:rsid w:val="004D57E8"/>
    <w:rsid w:val="004D5A20"/>
    <w:rsid w:val="004D5AB2"/>
    <w:rsid w:val="004D5C66"/>
    <w:rsid w:val="004D5E21"/>
    <w:rsid w:val="004D63FD"/>
    <w:rsid w:val="004D6A45"/>
    <w:rsid w:val="004D6EB8"/>
    <w:rsid w:val="004D6F10"/>
    <w:rsid w:val="004D7521"/>
    <w:rsid w:val="004D7C04"/>
    <w:rsid w:val="004D7C7E"/>
    <w:rsid w:val="004E051A"/>
    <w:rsid w:val="004E1504"/>
    <w:rsid w:val="004E158B"/>
    <w:rsid w:val="004E1690"/>
    <w:rsid w:val="004E1960"/>
    <w:rsid w:val="004E1EC7"/>
    <w:rsid w:val="004E1F15"/>
    <w:rsid w:val="004E214E"/>
    <w:rsid w:val="004E2290"/>
    <w:rsid w:val="004E2333"/>
    <w:rsid w:val="004E254C"/>
    <w:rsid w:val="004E26CE"/>
    <w:rsid w:val="004E27B6"/>
    <w:rsid w:val="004E2A6B"/>
    <w:rsid w:val="004E2C77"/>
    <w:rsid w:val="004E3087"/>
    <w:rsid w:val="004E3821"/>
    <w:rsid w:val="004E388A"/>
    <w:rsid w:val="004E38AD"/>
    <w:rsid w:val="004E3AAF"/>
    <w:rsid w:val="004E3C16"/>
    <w:rsid w:val="004E3CFD"/>
    <w:rsid w:val="004E41B6"/>
    <w:rsid w:val="004E4346"/>
    <w:rsid w:val="004E43DF"/>
    <w:rsid w:val="004E4448"/>
    <w:rsid w:val="004E4636"/>
    <w:rsid w:val="004E463B"/>
    <w:rsid w:val="004E4917"/>
    <w:rsid w:val="004E4DD4"/>
    <w:rsid w:val="004E4F6C"/>
    <w:rsid w:val="004E5063"/>
    <w:rsid w:val="004E5258"/>
    <w:rsid w:val="004E525A"/>
    <w:rsid w:val="004E581A"/>
    <w:rsid w:val="004E59CD"/>
    <w:rsid w:val="004E5A3A"/>
    <w:rsid w:val="004E5A73"/>
    <w:rsid w:val="004E603B"/>
    <w:rsid w:val="004E63B3"/>
    <w:rsid w:val="004E68BE"/>
    <w:rsid w:val="004E68C0"/>
    <w:rsid w:val="004E6C00"/>
    <w:rsid w:val="004E6E99"/>
    <w:rsid w:val="004E7320"/>
    <w:rsid w:val="004E7346"/>
    <w:rsid w:val="004E73DA"/>
    <w:rsid w:val="004E7741"/>
    <w:rsid w:val="004E7A74"/>
    <w:rsid w:val="004E7B85"/>
    <w:rsid w:val="004E7EE9"/>
    <w:rsid w:val="004E7F02"/>
    <w:rsid w:val="004E7FBF"/>
    <w:rsid w:val="004F002E"/>
    <w:rsid w:val="004F010E"/>
    <w:rsid w:val="004F1039"/>
    <w:rsid w:val="004F129B"/>
    <w:rsid w:val="004F1432"/>
    <w:rsid w:val="004F146E"/>
    <w:rsid w:val="004F1AAA"/>
    <w:rsid w:val="004F2133"/>
    <w:rsid w:val="004F289D"/>
    <w:rsid w:val="004F2D04"/>
    <w:rsid w:val="004F2F37"/>
    <w:rsid w:val="004F3244"/>
    <w:rsid w:val="004F324C"/>
    <w:rsid w:val="004F3264"/>
    <w:rsid w:val="004F37F3"/>
    <w:rsid w:val="004F3ED8"/>
    <w:rsid w:val="004F3FDE"/>
    <w:rsid w:val="004F4235"/>
    <w:rsid w:val="004F45BE"/>
    <w:rsid w:val="004F4796"/>
    <w:rsid w:val="004F4CEB"/>
    <w:rsid w:val="004F4FBA"/>
    <w:rsid w:val="004F50EF"/>
    <w:rsid w:val="004F51C2"/>
    <w:rsid w:val="004F5261"/>
    <w:rsid w:val="004F52FA"/>
    <w:rsid w:val="004F5420"/>
    <w:rsid w:val="004F58A9"/>
    <w:rsid w:val="004F5BAA"/>
    <w:rsid w:val="004F5CB3"/>
    <w:rsid w:val="004F6A1C"/>
    <w:rsid w:val="004F6B16"/>
    <w:rsid w:val="004F6CB5"/>
    <w:rsid w:val="004F7049"/>
    <w:rsid w:val="004F7053"/>
    <w:rsid w:val="004F7356"/>
    <w:rsid w:val="004F75EE"/>
    <w:rsid w:val="004F7B0F"/>
    <w:rsid w:val="0050049B"/>
    <w:rsid w:val="00500627"/>
    <w:rsid w:val="00500E18"/>
    <w:rsid w:val="005017FE"/>
    <w:rsid w:val="005019BA"/>
    <w:rsid w:val="005019D4"/>
    <w:rsid w:val="00501A51"/>
    <w:rsid w:val="00501F1E"/>
    <w:rsid w:val="0050218F"/>
    <w:rsid w:val="005022DB"/>
    <w:rsid w:val="005025FA"/>
    <w:rsid w:val="00502666"/>
    <w:rsid w:val="00502A38"/>
    <w:rsid w:val="005030F1"/>
    <w:rsid w:val="00503158"/>
    <w:rsid w:val="00503817"/>
    <w:rsid w:val="005040C2"/>
    <w:rsid w:val="0050452B"/>
    <w:rsid w:val="005046B4"/>
    <w:rsid w:val="005047A8"/>
    <w:rsid w:val="005048C0"/>
    <w:rsid w:val="00504B55"/>
    <w:rsid w:val="00505184"/>
    <w:rsid w:val="0050527B"/>
    <w:rsid w:val="005053BE"/>
    <w:rsid w:val="0050550C"/>
    <w:rsid w:val="00505853"/>
    <w:rsid w:val="005058A0"/>
    <w:rsid w:val="00505A98"/>
    <w:rsid w:val="00505AC8"/>
    <w:rsid w:val="005062AF"/>
    <w:rsid w:val="00506527"/>
    <w:rsid w:val="00506781"/>
    <w:rsid w:val="00506843"/>
    <w:rsid w:val="00506C19"/>
    <w:rsid w:val="00506FBA"/>
    <w:rsid w:val="00507035"/>
    <w:rsid w:val="00507C40"/>
    <w:rsid w:val="00507FE7"/>
    <w:rsid w:val="00510153"/>
    <w:rsid w:val="00510313"/>
    <w:rsid w:val="00510690"/>
    <w:rsid w:val="00510B31"/>
    <w:rsid w:val="0051100E"/>
    <w:rsid w:val="0051135A"/>
    <w:rsid w:val="00511445"/>
    <w:rsid w:val="005122C0"/>
    <w:rsid w:val="0051234B"/>
    <w:rsid w:val="00512493"/>
    <w:rsid w:val="005124F9"/>
    <w:rsid w:val="0051254A"/>
    <w:rsid w:val="00512931"/>
    <w:rsid w:val="00512C5F"/>
    <w:rsid w:val="00512E0A"/>
    <w:rsid w:val="005130F3"/>
    <w:rsid w:val="00513301"/>
    <w:rsid w:val="00513469"/>
    <w:rsid w:val="0051360F"/>
    <w:rsid w:val="0051381B"/>
    <w:rsid w:val="005139D4"/>
    <w:rsid w:val="00513B49"/>
    <w:rsid w:val="00514088"/>
    <w:rsid w:val="00514566"/>
    <w:rsid w:val="005147F2"/>
    <w:rsid w:val="00514AE2"/>
    <w:rsid w:val="005152B0"/>
    <w:rsid w:val="00515683"/>
    <w:rsid w:val="005156CF"/>
    <w:rsid w:val="005159D8"/>
    <w:rsid w:val="00515EC7"/>
    <w:rsid w:val="005160DB"/>
    <w:rsid w:val="00516316"/>
    <w:rsid w:val="00516437"/>
    <w:rsid w:val="00516491"/>
    <w:rsid w:val="005165D9"/>
    <w:rsid w:val="00516716"/>
    <w:rsid w:val="005167D1"/>
    <w:rsid w:val="00516BFC"/>
    <w:rsid w:val="00516C4F"/>
    <w:rsid w:val="00516DA3"/>
    <w:rsid w:val="00516E43"/>
    <w:rsid w:val="00516F6B"/>
    <w:rsid w:val="0051722D"/>
    <w:rsid w:val="005172C0"/>
    <w:rsid w:val="0051732D"/>
    <w:rsid w:val="00517377"/>
    <w:rsid w:val="005174E9"/>
    <w:rsid w:val="00517626"/>
    <w:rsid w:val="00517775"/>
    <w:rsid w:val="00517D32"/>
    <w:rsid w:val="005200D3"/>
    <w:rsid w:val="0052011F"/>
    <w:rsid w:val="0052028C"/>
    <w:rsid w:val="00520411"/>
    <w:rsid w:val="005204E4"/>
    <w:rsid w:val="00520562"/>
    <w:rsid w:val="00520591"/>
    <w:rsid w:val="00520726"/>
    <w:rsid w:val="00520926"/>
    <w:rsid w:val="00520A4B"/>
    <w:rsid w:val="00520D59"/>
    <w:rsid w:val="00520DDA"/>
    <w:rsid w:val="00520ECC"/>
    <w:rsid w:val="005215C3"/>
    <w:rsid w:val="00521684"/>
    <w:rsid w:val="00521A4F"/>
    <w:rsid w:val="00521D6F"/>
    <w:rsid w:val="00521FAB"/>
    <w:rsid w:val="00522102"/>
    <w:rsid w:val="005222F9"/>
    <w:rsid w:val="005238D4"/>
    <w:rsid w:val="005239A3"/>
    <w:rsid w:val="00523CF5"/>
    <w:rsid w:val="00523F1F"/>
    <w:rsid w:val="00524637"/>
    <w:rsid w:val="00524AE6"/>
    <w:rsid w:val="0052505B"/>
    <w:rsid w:val="005252DA"/>
    <w:rsid w:val="005253FE"/>
    <w:rsid w:val="005254C3"/>
    <w:rsid w:val="005254DE"/>
    <w:rsid w:val="0052561D"/>
    <w:rsid w:val="0052564F"/>
    <w:rsid w:val="00525871"/>
    <w:rsid w:val="005258B1"/>
    <w:rsid w:val="00525A39"/>
    <w:rsid w:val="00525C83"/>
    <w:rsid w:val="00525E4A"/>
    <w:rsid w:val="00525F85"/>
    <w:rsid w:val="00525FA6"/>
    <w:rsid w:val="0052674B"/>
    <w:rsid w:val="00526EB4"/>
    <w:rsid w:val="0052752F"/>
    <w:rsid w:val="00527D20"/>
    <w:rsid w:val="00527F93"/>
    <w:rsid w:val="0053037C"/>
    <w:rsid w:val="0053050E"/>
    <w:rsid w:val="005307FC"/>
    <w:rsid w:val="005308D3"/>
    <w:rsid w:val="00530FBD"/>
    <w:rsid w:val="0053125F"/>
    <w:rsid w:val="00531947"/>
    <w:rsid w:val="0053197C"/>
    <w:rsid w:val="00531DB2"/>
    <w:rsid w:val="00531EEA"/>
    <w:rsid w:val="00531FDB"/>
    <w:rsid w:val="005327B1"/>
    <w:rsid w:val="00532D07"/>
    <w:rsid w:val="00532D16"/>
    <w:rsid w:val="00533099"/>
    <w:rsid w:val="005331CF"/>
    <w:rsid w:val="005333CE"/>
    <w:rsid w:val="00533625"/>
    <w:rsid w:val="005336EE"/>
    <w:rsid w:val="00533B34"/>
    <w:rsid w:val="00533FB7"/>
    <w:rsid w:val="0053415B"/>
    <w:rsid w:val="005343B4"/>
    <w:rsid w:val="00534540"/>
    <w:rsid w:val="0053495F"/>
    <w:rsid w:val="00534B61"/>
    <w:rsid w:val="00534DEC"/>
    <w:rsid w:val="00534E95"/>
    <w:rsid w:val="00535157"/>
    <w:rsid w:val="00535762"/>
    <w:rsid w:val="00535C9D"/>
    <w:rsid w:val="00536040"/>
    <w:rsid w:val="0053681F"/>
    <w:rsid w:val="00536969"/>
    <w:rsid w:val="00536D7E"/>
    <w:rsid w:val="00537586"/>
    <w:rsid w:val="005376EA"/>
    <w:rsid w:val="005379BF"/>
    <w:rsid w:val="00537FE9"/>
    <w:rsid w:val="0054005C"/>
    <w:rsid w:val="00540324"/>
    <w:rsid w:val="005403A6"/>
    <w:rsid w:val="0054067D"/>
    <w:rsid w:val="005414ED"/>
    <w:rsid w:val="00541749"/>
    <w:rsid w:val="0054181C"/>
    <w:rsid w:val="0054196D"/>
    <w:rsid w:val="0054198E"/>
    <w:rsid w:val="00541AD2"/>
    <w:rsid w:val="00541FD2"/>
    <w:rsid w:val="00542107"/>
    <w:rsid w:val="0054255F"/>
    <w:rsid w:val="00542F73"/>
    <w:rsid w:val="00543371"/>
    <w:rsid w:val="0054354B"/>
    <w:rsid w:val="00543F7F"/>
    <w:rsid w:val="0054413C"/>
    <w:rsid w:val="005443D3"/>
    <w:rsid w:val="005445E3"/>
    <w:rsid w:val="005448FD"/>
    <w:rsid w:val="00544909"/>
    <w:rsid w:val="00544957"/>
    <w:rsid w:val="00544EF4"/>
    <w:rsid w:val="00545098"/>
    <w:rsid w:val="00545150"/>
    <w:rsid w:val="005457A6"/>
    <w:rsid w:val="005459F1"/>
    <w:rsid w:val="00545ADC"/>
    <w:rsid w:val="00545B92"/>
    <w:rsid w:val="00545DEC"/>
    <w:rsid w:val="005464C3"/>
    <w:rsid w:val="00546B00"/>
    <w:rsid w:val="00546C41"/>
    <w:rsid w:val="00547546"/>
    <w:rsid w:val="0054764A"/>
    <w:rsid w:val="00547767"/>
    <w:rsid w:val="00547875"/>
    <w:rsid w:val="00547DAF"/>
    <w:rsid w:val="0055051B"/>
    <w:rsid w:val="00550961"/>
    <w:rsid w:val="00550BDF"/>
    <w:rsid w:val="00550C04"/>
    <w:rsid w:val="00550C45"/>
    <w:rsid w:val="00550F10"/>
    <w:rsid w:val="00550F9A"/>
    <w:rsid w:val="005512DC"/>
    <w:rsid w:val="0055134F"/>
    <w:rsid w:val="005513B0"/>
    <w:rsid w:val="00551421"/>
    <w:rsid w:val="00551480"/>
    <w:rsid w:val="00551A9F"/>
    <w:rsid w:val="00551ABD"/>
    <w:rsid w:val="00551D38"/>
    <w:rsid w:val="00551E37"/>
    <w:rsid w:val="00552173"/>
    <w:rsid w:val="0055230E"/>
    <w:rsid w:val="0055241A"/>
    <w:rsid w:val="00552561"/>
    <w:rsid w:val="00552AF0"/>
    <w:rsid w:val="0055342E"/>
    <w:rsid w:val="00553B2E"/>
    <w:rsid w:val="00553CE1"/>
    <w:rsid w:val="00553E9E"/>
    <w:rsid w:val="00553F5E"/>
    <w:rsid w:val="0055423B"/>
    <w:rsid w:val="00554669"/>
    <w:rsid w:val="00554674"/>
    <w:rsid w:val="0055481B"/>
    <w:rsid w:val="00555307"/>
    <w:rsid w:val="0055546B"/>
    <w:rsid w:val="00555843"/>
    <w:rsid w:val="005558CD"/>
    <w:rsid w:val="00555E41"/>
    <w:rsid w:val="0055647F"/>
    <w:rsid w:val="0055673C"/>
    <w:rsid w:val="00556A3A"/>
    <w:rsid w:val="00557340"/>
    <w:rsid w:val="00557374"/>
    <w:rsid w:val="005574B1"/>
    <w:rsid w:val="0055787B"/>
    <w:rsid w:val="00557897"/>
    <w:rsid w:val="00557C4B"/>
    <w:rsid w:val="00557CFA"/>
    <w:rsid w:val="00560201"/>
    <w:rsid w:val="00560260"/>
    <w:rsid w:val="005605F9"/>
    <w:rsid w:val="00560639"/>
    <w:rsid w:val="005606BC"/>
    <w:rsid w:val="00560827"/>
    <w:rsid w:val="00560C3F"/>
    <w:rsid w:val="00560E3D"/>
    <w:rsid w:val="005613A0"/>
    <w:rsid w:val="005614DE"/>
    <w:rsid w:val="00561E63"/>
    <w:rsid w:val="00562061"/>
    <w:rsid w:val="00562105"/>
    <w:rsid w:val="00562487"/>
    <w:rsid w:val="005629DA"/>
    <w:rsid w:val="00562EE8"/>
    <w:rsid w:val="00563181"/>
    <w:rsid w:val="00563535"/>
    <w:rsid w:val="005638A6"/>
    <w:rsid w:val="00563BD4"/>
    <w:rsid w:val="00563CA2"/>
    <w:rsid w:val="0056422C"/>
    <w:rsid w:val="005642FB"/>
    <w:rsid w:val="0056430C"/>
    <w:rsid w:val="00564840"/>
    <w:rsid w:val="00564928"/>
    <w:rsid w:val="0056498E"/>
    <w:rsid w:val="00565030"/>
    <w:rsid w:val="00565377"/>
    <w:rsid w:val="005654A3"/>
    <w:rsid w:val="00565634"/>
    <w:rsid w:val="005658F8"/>
    <w:rsid w:val="00566077"/>
    <w:rsid w:val="00566521"/>
    <w:rsid w:val="005665E4"/>
    <w:rsid w:val="00566C88"/>
    <w:rsid w:val="00566CF0"/>
    <w:rsid w:val="005673A7"/>
    <w:rsid w:val="0056755B"/>
    <w:rsid w:val="0056774B"/>
    <w:rsid w:val="005678C8"/>
    <w:rsid w:val="005700A8"/>
    <w:rsid w:val="00570160"/>
    <w:rsid w:val="00570397"/>
    <w:rsid w:val="00570976"/>
    <w:rsid w:val="00570E55"/>
    <w:rsid w:val="005711E1"/>
    <w:rsid w:val="0057185F"/>
    <w:rsid w:val="005718D8"/>
    <w:rsid w:val="00571C23"/>
    <w:rsid w:val="00571D5B"/>
    <w:rsid w:val="00571E1E"/>
    <w:rsid w:val="00572223"/>
    <w:rsid w:val="0057229A"/>
    <w:rsid w:val="00572764"/>
    <w:rsid w:val="005732D2"/>
    <w:rsid w:val="005733BD"/>
    <w:rsid w:val="00573AAA"/>
    <w:rsid w:val="00573B9F"/>
    <w:rsid w:val="00574014"/>
    <w:rsid w:val="005740E7"/>
    <w:rsid w:val="00574241"/>
    <w:rsid w:val="005744CD"/>
    <w:rsid w:val="00574993"/>
    <w:rsid w:val="00574D7C"/>
    <w:rsid w:val="00574DAD"/>
    <w:rsid w:val="00574F83"/>
    <w:rsid w:val="00574FF9"/>
    <w:rsid w:val="00575167"/>
    <w:rsid w:val="005751C1"/>
    <w:rsid w:val="00575266"/>
    <w:rsid w:val="00575789"/>
    <w:rsid w:val="00575DBC"/>
    <w:rsid w:val="00575FA7"/>
    <w:rsid w:val="0057624A"/>
    <w:rsid w:val="005762C9"/>
    <w:rsid w:val="005762E6"/>
    <w:rsid w:val="00576A10"/>
    <w:rsid w:val="00576AC0"/>
    <w:rsid w:val="00576CA8"/>
    <w:rsid w:val="00576E72"/>
    <w:rsid w:val="00577437"/>
    <w:rsid w:val="00577464"/>
    <w:rsid w:val="0057768A"/>
    <w:rsid w:val="005776D2"/>
    <w:rsid w:val="00577992"/>
    <w:rsid w:val="00577C2B"/>
    <w:rsid w:val="00577CBC"/>
    <w:rsid w:val="00577D79"/>
    <w:rsid w:val="00577FB3"/>
    <w:rsid w:val="005800C9"/>
    <w:rsid w:val="005804A2"/>
    <w:rsid w:val="00580788"/>
    <w:rsid w:val="00580869"/>
    <w:rsid w:val="00580994"/>
    <w:rsid w:val="00580A59"/>
    <w:rsid w:val="00580B8D"/>
    <w:rsid w:val="00580C00"/>
    <w:rsid w:val="005813F2"/>
    <w:rsid w:val="00581B61"/>
    <w:rsid w:val="00581C9A"/>
    <w:rsid w:val="005826DA"/>
    <w:rsid w:val="00582BCB"/>
    <w:rsid w:val="00583AD0"/>
    <w:rsid w:val="00584481"/>
    <w:rsid w:val="005848B2"/>
    <w:rsid w:val="00584966"/>
    <w:rsid w:val="00584BB6"/>
    <w:rsid w:val="00584D3E"/>
    <w:rsid w:val="00585134"/>
    <w:rsid w:val="005851B4"/>
    <w:rsid w:val="005857D7"/>
    <w:rsid w:val="005858D6"/>
    <w:rsid w:val="00585912"/>
    <w:rsid w:val="00585D68"/>
    <w:rsid w:val="005861E4"/>
    <w:rsid w:val="00586298"/>
    <w:rsid w:val="005864CB"/>
    <w:rsid w:val="00586554"/>
    <w:rsid w:val="00586A5D"/>
    <w:rsid w:val="00586ADB"/>
    <w:rsid w:val="00587718"/>
    <w:rsid w:val="00587D7B"/>
    <w:rsid w:val="00587F58"/>
    <w:rsid w:val="00587FAE"/>
    <w:rsid w:val="00590056"/>
    <w:rsid w:val="005901B0"/>
    <w:rsid w:val="00590219"/>
    <w:rsid w:val="005903D8"/>
    <w:rsid w:val="00590529"/>
    <w:rsid w:val="005905CF"/>
    <w:rsid w:val="0059066A"/>
    <w:rsid w:val="00590790"/>
    <w:rsid w:val="00590806"/>
    <w:rsid w:val="00590BDF"/>
    <w:rsid w:val="00590E1E"/>
    <w:rsid w:val="0059117A"/>
    <w:rsid w:val="0059168D"/>
    <w:rsid w:val="005919E6"/>
    <w:rsid w:val="00591A09"/>
    <w:rsid w:val="00591A9F"/>
    <w:rsid w:val="00591D60"/>
    <w:rsid w:val="00592395"/>
    <w:rsid w:val="00592566"/>
    <w:rsid w:val="00592604"/>
    <w:rsid w:val="00592865"/>
    <w:rsid w:val="00592D53"/>
    <w:rsid w:val="00593253"/>
    <w:rsid w:val="0059350B"/>
    <w:rsid w:val="0059356B"/>
    <w:rsid w:val="0059364A"/>
    <w:rsid w:val="005939A4"/>
    <w:rsid w:val="005941B0"/>
    <w:rsid w:val="00594896"/>
    <w:rsid w:val="00594E8B"/>
    <w:rsid w:val="005951DC"/>
    <w:rsid w:val="005953A9"/>
    <w:rsid w:val="0059569C"/>
    <w:rsid w:val="0059571D"/>
    <w:rsid w:val="00595C02"/>
    <w:rsid w:val="005960DF"/>
    <w:rsid w:val="00596167"/>
    <w:rsid w:val="005961A9"/>
    <w:rsid w:val="00596A65"/>
    <w:rsid w:val="00596E43"/>
    <w:rsid w:val="00597198"/>
    <w:rsid w:val="0059721A"/>
    <w:rsid w:val="00597450"/>
    <w:rsid w:val="00597474"/>
    <w:rsid w:val="00597814"/>
    <w:rsid w:val="00597EF8"/>
    <w:rsid w:val="005A0013"/>
    <w:rsid w:val="005A00B6"/>
    <w:rsid w:val="005A02BF"/>
    <w:rsid w:val="005A06B5"/>
    <w:rsid w:val="005A0740"/>
    <w:rsid w:val="005A076A"/>
    <w:rsid w:val="005A07B2"/>
    <w:rsid w:val="005A09E4"/>
    <w:rsid w:val="005A0E50"/>
    <w:rsid w:val="005A1A9A"/>
    <w:rsid w:val="005A24DE"/>
    <w:rsid w:val="005A2F67"/>
    <w:rsid w:val="005A31C4"/>
    <w:rsid w:val="005A3400"/>
    <w:rsid w:val="005A35C2"/>
    <w:rsid w:val="005A36B7"/>
    <w:rsid w:val="005A3783"/>
    <w:rsid w:val="005A38B5"/>
    <w:rsid w:val="005A3B34"/>
    <w:rsid w:val="005A3CE5"/>
    <w:rsid w:val="005A3D74"/>
    <w:rsid w:val="005A4680"/>
    <w:rsid w:val="005A499D"/>
    <w:rsid w:val="005A506F"/>
    <w:rsid w:val="005A55F6"/>
    <w:rsid w:val="005A5619"/>
    <w:rsid w:val="005A5626"/>
    <w:rsid w:val="005A598C"/>
    <w:rsid w:val="005A5D1C"/>
    <w:rsid w:val="005A601B"/>
    <w:rsid w:val="005A69FF"/>
    <w:rsid w:val="005A6B1C"/>
    <w:rsid w:val="005A6D97"/>
    <w:rsid w:val="005A7083"/>
    <w:rsid w:val="005A74E1"/>
    <w:rsid w:val="005A78D7"/>
    <w:rsid w:val="005A7967"/>
    <w:rsid w:val="005A7AA7"/>
    <w:rsid w:val="005A7DF5"/>
    <w:rsid w:val="005A7E6A"/>
    <w:rsid w:val="005B02BA"/>
    <w:rsid w:val="005B03BA"/>
    <w:rsid w:val="005B0C31"/>
    <w:rsid w:val="005B0C39"/>
    <w:rsid w:val="005B1383"/>
    <w:rsid w:val="005B1735"/>
    <w:rsid w:val="005B1A4B"/>
    <w:rsid w:val="005B1B78"/>
    <w:rsid w:val="005B1DFB"/>
    <w:rsid w:val="005B1FAC"/>
    <w:rsid w:val="005B2A2E"/>
    <w:rsid w:val="005B2CAD"/>
    <w:rsid w:val="005B2D08"/>
    <w:rsid w:val="005B2D09"/>
    <w:rsid w:val="005B340F"/>
    <w:rsid w:val="005B365F"/>
    <w:rsid w:val="005B384E"/>
    <w:rsid w:val="005B3EE4"/>
    <w:rsid w:val="005B40A5"/>
    <w:rsid w:val="005B416C"/>
    <w:rsid w:val="005B4739"/>
    <w:rsid w:val="005B486D"/>
    <w:rsid w:val="005B4945"/>
    <w:rsid w:val="005B4959"/>
    <w:rsid w:val="005B4AF1"/>
    <w:rsid w:val="005B4CAA"/>
    <w:rsid w:val="005B4DAE"/>
    <w:rsid w:val="005B4F5F"/>
    <w:rsid w:val="005B53EC"/>
    <w:rsid w:val="005B5975"/>
    <w:rsid w:val="005B5A37"/>
    <w:rsid w:val="005B5BFA"/>
    <w:rsid w:val="005B63A2"/>
    <w:rsid w:val="005B63DE"/>
    <w:rsid w:val="005B63ED"/>
    <w:rsid w:val="005B665A"/>
    <w:rsid w:val="005B67B8"/>
    <w:rsid w:val="005B6861"/>
    <w:rsid w:val="005B6A62"/>
    <w:rsid w:val="005B6B1B"/>
    <w:rsid w:val="005B6B5B"/>
    <w:rsid w:val="005B6E6D"/>
    <w:rsid w:val="005B709A"/>
    <w:rsid w:val="005B719B"/>
    <w:rsid w:val="005B756C"/>
    <w:rsid w:val="005B75F2"/>
    <w:rsid w:val="005B7932"/>
    <w:rsid w:val="005B7A39"/>
    <w:rsid w:val="005B7A47"/>
    <w:rsid w:val="005C0008"/>
    <w:rsid w:val="005C015C"/>
    <w:rsid w:val="005C032D"/>
    <w:rsid w:val="005C0917"/>
    <w:rsid w:val="005C0C5D"/>
    <w:rsid w:val="005C0FD6"/>
    <w:rsid w:val="005C1341"/>
    <w:rsid w:val="005C16F8"/>
    <w:rsid w:val="005C17DA"/>
    <w:rsid w:val="005C1E46"/>
    <w:rsid w:val="005C234E"/>
    <w:rsid w:val="005C236E"/>
    <w:rsid w:val="005C2382"/>
    <w:rsid w:val="005C2AAE"/>
    <w:rsid w:val="005C3015"/>
    <w:rsid w:val="005C355F"/>
    <w:rsid w:val="005C3679"/>
    <w:rsid w:val="005C3838"/>
    <w:rsid w:val="005C39A6"/>
    <w:rsid w:val="005C3AD2"/>
    <w:rsid w:val="005C3CEF"/>
    <w:rsid w:val="005C3D6D"/>
    <w:rsid w:val="005C3FC5"/>
    <w:rsid w:val="005C4866"/>
    <w:rsid w:val="005C49DF"/>
    <w:rsid w:val="005C4A3A"/>
    <w:rsid w:val="005C4A89"/>
    <w:rsid w:val="005C4B93"/>
    <w:rsid w:val="005C4D4E"/>
    <w:rsid w:val="005C4E15"/>
    <w:rsid w:val="005C4EFE"/>
    <w:rsid w:val="005C6166"/>
    <w:rsid w:val="005C6498"/>
    <w:rsid w:val="005C652C"/>
    <w:rsid w:val="005C7094"/>
    <w:rsid w:val="005C7339"/>
    <w:rsid w:val="005C73CC"/>
    <w:rsid w:val="005C74E1"/>
    <w:rsid w:val="005C7AD7"/>
    <w:rsid w:val="005C7B3E"/>
    <w:rsid w:val="005C7C14"/>
    <w:rsid w:val="005C7DD3"/>
    <w:rsid w:val="005C7F27"/>
    <w:rsid w:val="005D03A8"/>
    <w:rsid w:val="005D03FB"/>
    <w:rsid w:val="005D0EF7"/>
    <w:rsid w:val="005D12E2"/>
    <w:rsid w:val="005D1860"/>
    <w:rsid w:val="005D18B1"/>
    <w:rsid w:val="005D1E6E"/>
    <w:rsid w:val="005D205C"/>
    <w:rsid w:val="005D2549"/>
    <w:rsid w:val="005D2617"/>
    <w:rsid w:val="005D287A"/>
    <w:rsid w:val="005D28A5"/>
    <w:rsid w:val="005D2AC7"/>
    <w:rsid w:val="005D329A"/>
    <w:rsid w:val="005D36B8"/>
    <w:rsid w:val="005D372C"/>
    <w:rsid w:val="005D3997"/>
    <w:rsid w:val="005D3DD6"/>
    <w:rsid w:val="005D3EB7"/>
    <w:rsid w:val="005D3EFB"/>
    <w:rsid w:val="005D4086"/>
    <w:rsid w:val="005D40AD"/>
    <w:rsid w:val="005D413D"/>
    <w:rsid w:val="005D473B"/>
    <w:rsid w:val="005D4C81"/>
    <w:rsid w:val="005D4E54"/>
    <w:rsid w:val="005D53C0"/>
    <w:rsid w:val="005D55B7"/>
    <w:rsid w:val="005D5871"/>
    <w:rsid w:val="005D590B"/>
    <w:rsid w:val="005D5CBD"/>
    <w:rsid w:val="005D5DE9"/>
    <w:rsid w:val="005D5F09"/>
    <w:rsid w:val="005D6477"/>
    <w:rsid w:val="005D6891"/>
    <w:rsid w:val="005D6B12"/>
    <w:rsid w:val="005D6C77"/>
    <w:rsid w:val="005D74EF"/>
    <w:rsid w:val="005D767D"/>
    <w:rsid w:val="005D7B50"/>
    <w:rsid w:val="005D7E46"/>
    <w:rsid w:val="005E0498"/>
    <w:rsid w:val="005E0A10"/>
    <w:rsid w:val="005E0A3A"/>
    <w:rsid w:val="005E0EF9"/>
    <w:rsid w:val="005E0F31"/>
    <w:rsid w:val="005E1408"/>
    <w:rsid w:val="005E14E8"/>
    <w:rsid w:val="005E14F1"/>
    <w:rsid w:val="005E15D9"/>
    <w:rsid w:val="005E1600"/>
    <w:rsid w:val="005E1903"/>
    <w:rsid w:val="005E20F5"/>
    <w:rsid w:val="005E2184"/>
    <w:rsid w:val="005E2204"/>
    <w:rsid w:val="005E2514"/>
    <w:rsid w:val="005E278E"/>
    <w:rsid w:val="005E285E"/>
    <w:rsid w:val="005E2A43"/>
    <w:rsid w:val="005E2C2A"/>
    <w:rsid w:val="005E2C3B"/>
    <w:rsid w:val="005E2C96"/>
    <w:rsid w:val="005E3453"/>
    <w:rsid w:val="005E3A31"/>
    <w:rsid w:val="005E3C20"/>
    <w:rsid w:val="005E3E2E"/>
    <w:rsid w:val="005E4105"/>
    <w:rsid w:val="005E435A"/>
    <w:rsid w:val="005E443D"/>
    <w:rsid w:val="005E46FD"/>
    <w:rsid w:val="005E4702"/>
    <w:rsid w:val="005E52D3"/>
    <w:rsid w:val="005E59AD"/>
    <w:rsid w:val="005E5B93"/>
    <w:rsid w:val="005E6F13"/>
    <w:rsid w:val="005E797C"/>
    <w:rsid w:val="005E79F0"/>
    <w:rsid w:val="005E7B4E"/>
    <w:rsid w:val="005E7E58"/>
    <w:rsid w:val="005F00F9"/>
    <w:rsid w:val="005F03D4"/>
    <w:rsid w:val="005F08F0"/>
    <w:rsid w:val="005F11C8"/>
    <w:rsid w:val="005F1DBF"/>
    <w:rsid w:val="005F1EDB"/>
    <w:rsid w:val="005F2173"/>
    <w:rsid w:val="005F2201"/>
    <w:rsid w:val="005F2772"/>
    <w:rsid w:val="005F2776"/>
    <w:rsid w:val="005F2829"/>
    <w:rsid w:val="005F290C"/>
    <w:rsid w:val="005F2A57"/>
    <w:rsid w:val="005F2C07"/>
    <w:rsid w:val="005F2E22"/>
    <w:rsid w:val="005F382C"/>
    <w:rsid w:val="005F38A8"/>
    <w:rsid w:val="005F39DF"/>
    <w:rsid w:val="005F3E41"/>
    <w:rsid w:val="005F4B8E"/>
    <w:rsid w:val="005F4CE0"/>
    <w:rsid w:val="005F516C"/>
    <w:rsid w:val="005F54F3"/>
    <w:rsid w:val="005F5B12"/>
    <w:rsid w:val="005F5C69"/>
    <w:rsid w:val="005F5C93"/>
    <w:rsid w:val="005F6212"/>
    <w:rsid w:val="005F64CA"/>
    <w:rsid w:val="005F72CC"/>
    <w:rsid w:val="005F759F"/>
    <w:rsid w:val="005F75BA"/>
    <w:rsid w:val="006001F4"/>
    <w:rsid w:val="00600326"/>
    <w:rsid w:val="006004B8"/>
    <w:rsid w:val="00600D89"/>
    <w:rsid w:val="00600FD1"/>
    <w:rsid w:val="00601026"/>
    <w:rsid w:val="006011AA"/>
    <w:rsid w:val="006012AE"/>
    <w:rsid w:val="006012CE"/>
    <w:rsid w:val="006012F6"/>
    <w:rsid w:val="006014E8"/>
    <w:rsid w:val="006017A6"/>
    <w:rsid w:val="00601A62"/>
    <w:rsid w:val="00601D1E"/>
    <w:rsid w:val="00601DA0"/>
    <w:rsid w:val="0060215C"/>
    <w:rsid w:val="00602238"/>
    <w:rsid w:val="0060235A"/>
    <w:rsid w:val="00602368"/>
    <w:rsid w:val="00602575"/>
    <w:rsid w:val="00602CA2"/>
    <w:rsid w:val="00602CBE"/>
    <w:rsid w:val="00602D2B"/>
    <w:rsid w:val="00602FD8"/>
    <w:rsid w:val="0060347C"/>
    <w:rsid w:val="00603612"/>
    <w:rsid w:val="00604928"/>
    <w:rsid w:val="00604AF2"/>
    <w:rsid w:val="00604CEB"/>
    <w:rsid w:val="00605509"/>
    <w:rsid w:val="0060552F"/>
    <w:rsid w:val="00605726"/>
    <w:rsid w:val="00605C56"/>
    <w:rsid w:val="00605F40"/>
    <w:rsid w:val="00606018"/>
    <w:rsid w:val="00606394"/>
    <w:rsid w:val="00606BBE"/>
    <w:rsid w:val="00606F1A"/>
    <w:rsid w:val="006073D7"/>
    <w:rsid w:val="00607533"/>
    <w:rsid w:val="00607965"/>
    <w:rsid w:val="00610CAF"/>
    <w:rsid w:val="00610DA6"/>
    <w:rsid w:val="00611B98"/>
    <w:rsid w:val="00611C2F"/>
    <w:rsid w:val="00611E86"/>
    <w:rsid w:val="00612204"/>
    <w:rsid w:val="0061242F"/>
    <w:rsid w:val="00612661"/>
    <w:rsid w:val="006127E5"/>
    <w:rsid w:val="006129A5"/>
    <w:rsid w:val="0061303D"/>
    <w:rsid w:val="006131E5"/>
    <w:rsid w:val="0061358A"/>
    <w:rsid w:val="00613958"/>
    <w:rsid w:val="00613CDA"/>
    <w:rsid w:val="00613DA4"/>
    <w:rsid w:val="006140FF"/>
    <w:rsid w:val="00614250"/>
    <w:rsid w:val="00614332"/>
    <w:rsid w:val="0061465E"/>
    <w:rsid w:val="00614729"/>
    <w:rsid w:val="00614874"/>
    <w:rsid w:val="00614BD6"/>
    <w:rsid w:val="006152D9"/>
    <w:rsid w:val="00615494"/>
    <w:rsid w:val="00615BF9"/>
    <w:rsid w:val="00615DC5"/>
    <w:rsid w:val="00615E00"/>
    <w:rsid w:val="00615E6A"/>
    <w:rsid w:val="00615F16"/>
    <w:rsid w:val="006161E9"/>
    <w:rsid w:val="006163B8"/>
    <w:rsid w:val="0061697E"/>
    <w:rsid w:val="00616AC7"/>
    <w:rsid w:val="00616C14"/>
    <w:rsid w:val="00616C90"/>
    <w:rsid w:val="0061719D"/>
    <w:rsid w:val="0061757F"/>
    <w:rsid w:val="0061773C"/>
    <w:rsid w:val="00617873"/>
    <w:rsid w:val="0061792B"/>
    <w:rsid w:val="00617A57"/>
    <w:rsid w:val="00617EA9"/>
    <w:rsid w:val="00617FE5"/>
    <w:rsid w:val="0062045F"/>
    <w:rsid w:val="006208A5"/>
    <w:rsid w:val="00620AAB"/>
    <w:rsid w:val="00621950"/>
    <w:rsid w:val="00621C9B"/>
    <w:rsid w:val="00621EA6"/>
    <w:rsid w:val="0062229F"/>
    <w:rsid w:val="00622387"/>
    <w:rsid w:val="006224FC"/>
    <w:rsid w:val="00622532"/>
    <w:rsid w:val="006233CC"/>
    <w:rsid w:val="006238D4"/>
    <w:rsid w:val="0062392F"/>
    <w:rsid w:val="00623A20"/>
    <w:rsid w:val="00624205"/>
    <w:rsid w:val="0062434D"/>
    <w:rsid w:val="00624372"/>
    <w:rsid w:val="006244E7"/>
    <w:rsid w:val="0062459F"/>
    <w:rsid w:val="006246A3"/>
    <w:rsid w:val="0062477C"/>
    <w:rsid w:val="006249E9"/>
    <w:rsid w:val="00625011"/>
    <w:rsid w:val="006253C9"/>
    <w:rsid w:val="0062541C"/>
    <w:rsid w:val="00625534"/>
    <w:rsid w:val="006256BC"/>
    <w:rsid w:val="0062631D"/>
    <w:rsid w:val="00626B18"/>
    <w:rsid w:val="00626B2B"/>
    <w:rsid w:val="00626B9D"/>
    <w:rsid w:val="0062759D"/>
    <w:rsid w:val="00627743"/>
    <w:rsid w:val="006278CC"/>
    <w:rsid w:val="00627D5D"/>
    <w:rsid w:val="00627D71"/>
    <w:rsid w:val="00630902"/>
    <w:rsid w:val="00631140"/>
    <w:rsid w:val="00631214"/>
    <w:rsid w:val="00631220"/>
    <w:rsid w:val="006314B8"/>
    <w:rsid w:val="006315B3"/>
    <w:rsid w:val="00631E27"/>
    <w:rsid w:val="00631EF8"/>
    <w:rsid w:val="00632231"/>
    <w:rsid w:val="0063243C"/>
    <w:rsid w:val="00632479"/>
    <w:rsid w:val="0063262F"/>
    <w:rsid w:val="00632F69"/>
    <w:rsid w:val="00633059"/>
    <w:rsid w:val="006330B1"/>
    <w:rsid w:val="006330CC"/>
    <w:rsid w:val="006331B0"/>
    <w:rsid w:val="006333AD"/>
    <w:rsid w:val="00633442"/>
    <w:rsid w:val="00633583"/>
    <w:rsid w:val="006339DB"/>
    <w:rsid w:val="00634267"/>
    <w:rsid w:val="006349FE"/>
    <w:rsid w:val="00634E91"/>
    <w:rsid w:val="00635066"/>
    <w:rsid w:val="006353B8"/>
    <w:rsid w:val="00635552"/>
    <w:rsid w:val="006357E8"/>
    <w:rsid w:val="00635C5C"/>
    <w:rsid w:val="00636113"/>
    <w:rsid w:val="0063616F"/>
    <w:rsid w:val="0063628B"/>
    <w:rsid w:val="00636BB6"/>
    <w:rsid w:val="00636BEE"/>
    <w:rsid w:val="00636E0B"/>
    <w:rsid w:val="00636FBA"/>
    <w:rsid w:val="006373B6"/>
    <w:rsid w:val="00637675"/>
    <w:rsid w:val="006376BB"/>
    <w:rsid w:val="00637B95"/>
    <w:rsid w:val="00637EFB"/>
    <w:rsid w:val="00641ABA"/>
    <w:rsid w:val="00641E5E"/>
    <w:rsid w:val="0064205A"/>
    <w:rsid w:val="0064238A"/>
    <w:rsid w:val="0064263E"/>
    <w:rsid w:val="0064280D"/>
    <w:rsid w:val="00642A4F"/>
    <w:rsid w:val="00642DEF"/>
    <w:rsid w:val="00643057"/>
    <w:rsid w:val="0064311E"/>
    <w:rsid w:val="00643262"/>
    <w:rsid w:val="00643326"/>
    <w:rsid w:val="006435AC"/>
    <w:rsid w:val="006436BF"/>
    <w:rsid w:val="00643F9C"/>
    <w:rsid w:val="006440AE"/>
    <w:rsid w:val="00644304"/>
    <w:rsid w:val="00644819"/>
    <w:rsid w:val="00644D1A"/>
    <w:rsid w:val="00644EE4"/>
    <w:rsid w:val="006455DA"/>
    <w:rsid w:val="0064578F"/>
    <w:rsid w:val="0064589B"/>
    <w:rsid w:val="00645B6F"/>
    <w:rsid w:val="00645B7E"/>
    <w:rsid w:val="00645C03"/>
    <w:rsid w:val="0064617A"/>
    <w:rsid w:val="0064654E"/>
    <w:rsid w:val="006467C6"/>
    <w:rsid w:val="00646E90"/>
    <w:rsid w:val="006470E1"/>
    <w:rsid w:val="00647805"/>
    <w:rsid w:val="006478B8"/>
    <w:rsid w:val="006479BC"/>
    <w:rsid w:val="00647CBB"/>
    <w:rsid w:val="00647D6C"/>
    <w:rsid w:val="00647F4E"/>
    <w:rsid w:val="00650EA1"/>
    <w:rsid w:val="006511A2"/>
    <w:rsid w:val="00651238"/>
    <w:rsid w:val="00651519"/>
    <w:rsid w:val="00651AC2"/>
    <w:rsid w:val="00652775"/>
    <w:rsid w:val="006528DD"/>
    <w:rsid w:val="0065294D"/>
    <w:rsid w:val="00652C2A"/>
    <w:rsid w:val="00652ED1"/>
    <w:rsid w:val="0065341F"/>
    <w:rsid w:val="00653621"/>
    <w:rsid w:val="0065366D"/>
    <w:rsid w:val="0065372A"/>
    <w:rsid w:val="00653A2A"/>
    <w:rsid w:val="00653ECE"/>
    <w:rsid w:val="00654398"/>
    <w:rsid w:val="006543A0"/>
    <w:rsid w:val="00654648"/>
    <w:rsid w:val="006547B0"/>
    <w:rsid w:val="00654CBB"/>
    <w:rsid w:val="00654D23"/>
    <w:rsid w:val="00654FFE"/>
    <w:rsid w:val="00655B24"/>
    <w:rsid w:val="00655B4C"/>
    <w:rsid w:val="00655FEF"/>
    <w:rsid w:val="0065606B"/>
    <w:rsid w:val="00656285"/>
    <w:rsid w:val="0065661A"/>
    <w:rsid w:val="00656AEF"/>
    <w:rsid w:val="00656D8D"/>
    <w:rsid w:val="00656F2B"/>
    <w:rsid w:val="0065703D"/>
    <w:rsid w:val="006572EF"/>
    <w:rsid w:val="0065734F"/>
    <w:rsid w:val="00657657"/>
    <w:rsid w:val="00657C5C"/>
    <w:rsid w:val="00657CAB"/>
    <w:rsid w:val="00657F29"/>
    <w:rsid w:val="00657F73"/>
    <w:rsid w:val="0066010F"/>
    <w:rsid w:val="006608B4"/>
    <w:rsid w:val="006608E6"/>
    <w:rsid w:val="006608ED"/>
    <w:rsid w:val="00660CC2"/>
    <w:rsid w:val="00660DC2"/>
    <w:rsid w:val="0066166C"/>
    <w:rsid w:val="00661A64"/>
    <w:rsid w:val="00661DF6"/>
    <w:rsid w:val="00661E17"/>
    <w:rsid w:val="00661F31"/>
    <w:rsid w:val="0066243F"/>
    <w:rsid w:val="0066272B"/>
    <w:rsid w:val="006628FE"/>
    <w:rsid w:val="006632E9"/>
    <w:rsid w:val="006632F0"/>
    <w:rsid w:val="006633BF"/>
    <w:rsid w:val="00663933"/>
    <w:rsid w:val="0066393F"/>
    <w:rsid w:val="00663AB6"/>
    <w:rsid w:val="0066496B"/>
    <w:rsid w:val="006649B4"/>
    <w:rsid w:val="00664C25"/>
    <w:rsid w:val="0066561F"/>
    <w:rsid w:val="006657E5"/>
    <w:rsid w:val="00665D0D"/>
    <w:rsid w:val="006660C9"/>
    <w:rsid w:val="00666141"/>
    <w:rsid w:val="00666407"/>
    <w:rsid w:val="00666505"/>
    <w:rsid w:val="006667F5"/>
    <w:rsid w:val="00666892"/>
    <w:rsid w:val="00666A84"/>
    <w:rsid w:val="00666C24"/>
    <w:rsid w:val="00667261"/>
    <w:rsid w:val="00667268"/>
    <w:rsid w:val="00667CF0"/>
    <w:rsid w:val="00667E62"/>
    <w:rsid w:val="00667EF0"/>
    <w:rsid w:val="00670033"/>
    <w:rsid w:val="00670044"/>
    <w:rsid w:val="00670C8B"/>
    <w:rsid w:val="00670DB7"/>
    <w:rsid w:val="00670E21"/>
    <w:rsid w:val="00670E2A"/>
    <w:rsid w:val="00670FF7"/>
    <w:rsid w:val="00671322"/>
    <w:rsid w:val="006717A6"/>
    <w:rsid w:val="00671813"/>
    <w:rsid w:val="006719DD"/>
    <w:rsid w:val="00671BD8"/>
    <w:rsid w:val="00671E90"/>
    <w:rsid w:val="006720AC"/>
    <w:rsid w:val="006726FD"/>
    <w:rsid w:val="00672952"/>
    <w:rsid w:val="00672C5B"/>
    <w:rsid w:val="00673BA1"/>
    <w:rsid w:val="00673F1B"/>
    <w:rsid w:val="00674182"/>
    <w:rsid w:val="00674333"/>
    <w:rsid w:val="00674401"/>
    <w:rsid w:val="00675194"/>
    <w:rsid w:val="006752C7"/>
    <w:rsid w:val="00675534"/>
    <w:rsid w:val="0067557C"/>
    <w:rsid w:val="00675D56"/>
    <w:rsid w:val="00675ECB"/>
    <w:rsid w:val="0067603D"/>
    <w:rsid w:val="006761E8"/>
    <w:rsid w:val="00676523"/>
    <w:rsid w:val="0067669A"/>
    <w:rsid w:val="0067677D"/>
    <w:rsid w:val="006768EA"/>
    <w:rsid w:val="00676BB3"/>
    <w:rsid w:val="00676BCA"/>
    <w:rsid w:val="00676C56"/>
    <w:rsid w:val="00676DB3"/>
    <w:rsid w:val="006771D9"/>
    <w:rsid w:val="006774B9"/>
    <w:rsid w:val="00677911"/>
    <w:rsid w:val="00677AF1"/>
    <w:rsid w:val="00677BA4"/>
    <w:rsid w:val="0068051A"/>
    <w:rsid w:val="006805BB"/>
    <w:rsid w:val="00680906"/>
    <w:rsid w:val="00680FCA"/>
    <w:rsid w:val="006811DD"/>
    <w:rsid w:val="0068156A"/>
    <w:rsid w:val="006817D3"/>
    <w:rsid w:val="006817ED"/>
    <w:rsid w:val="00681834"/>
    <w:rsid w:val="00681A60"/>
    <w:rsid w:val="00681C41"/>
    <w:rsid w:val="0068234F"/>
    <w:rsid w:val="0068264B"/>
    <w:rsid w:val="00682798"/>
    <w:rsid w:val="00682A2F"/>
    <w:rsid w:val="00682B07"/>
    <w:rsid w:val="00682DA4"/>
    <w:rsid w:val="00682E00"/>
    <w:rsid w:val="00683775"/>
    <w:rsid w:val="0068394B"/>
    <w:rsid w:val="006839A7"/>
    <w:rsid w:val="00683A82"/>
    <w:rsid w:val="00683B5B"/>
    <w:rsid w:val="006842AA"/>
    <w:rsid w:val="006843EE"/>
    <w:rsid w:val="00684487"/>
    <w:rsid w:val="00684FAC"/>
    <w:rsid w:val="00685184"/>
    <w:rsid w:val="006855A0"/>
    <w:rsid w:val="006856FD"/>
    <w:rsid w:val="00685F12"/>
    <w:rsid w:val="00686034"/>
    <w:rsid w:val="00686083"/>
    <w:rsid w:val="006861D6"/>
    <w:rsid w:val="006866E4"/>
    <w:rsid w:val="00686A51"/>
    <w:rsid w:val="00687513"/>
    <w:rsid w:val="00687733"/>
    <w:rsid w:val="0068798D"/>
    <w:rsid w:val="00687B23"/>
    <w:rsid w:val="0069009C"/>
    <w:rsid w:val="006902D7"/>
    <w:rsid w:val="00690414"/>
    <w:rsid w:val="00690D3C"/>
    <w:rsid w:val="006910E5"/>
    <w:rsid w:val="006911C5"/>
    <w:rsid w:val="00691853"/>
    <w:rsid w:val="00691B5D"/>
    <w:rsid w:val="00691F98"/>
    <w:rsid w:val="0069244B"/>
    <w:rsid w:val="00692A57"/>
    <w:rsid w:val="00692B4D"/>
    <w:rsid w:val="00692BD2"/>
    <w:rsid w:val="00692DDC"/>
    <w:rsid w:val="00693604"/>
    <w:rsid w:val="006937A8"/>
    <w:rsid w:val="006937B4"/>
    <w:rsid w:val="006937E6"/>
    <w:rsid w:val="0069397D"/>
    <w:rsid w:val="00693B32"/>
    <w:rsid w:val="00693DE5"/>
    <w:rsid w:val="00693E3D"/>
    <w:rsid w:val="00693F73"/>
    <w:rsid w:val="00694663"/>
    <w:rsid w:val="00694875"/>
    <w:rsid w:val="006949CC"/>
    <w:rsid w:val="00694A7A"/>
    <w:rsid w:val="00694DE3"/>
    <w:rsid w:val="00695664"/>
    <w:rsid w:val="0069574B"/>
    <w:rsid w:val="00695757"/>
    <w:rsid w:val="00695AC5"/>
    <w:rsid w:val="00696079"/>
    <w:rsid w:val="006962C9"/>
    <w:rsid w:val="00696500"/>
    <w:rsid w:val="00696A78"/>
    <w:rsid w:val="00697047"/>
    <w:rsid w:val="00697062"/>
    <w:rsid w:val="00697110"/>
    <w:rsid w:val="00697532"/>
    <w:rsid w:val="006976A4"/>
    <w:rsid w:val="006979A9"/>
    <w:rsid w:val="00697DE9"/>
    <w:rsid w:val="006A024A"/>
    <w:rsid w:val="006A02E3"/>
    <w:rsid w:val="006A03EF"/>
    <w:rsid w:val="006A0559"/>
    <w:rsid w:val="006A05B8"/>
    <w:rsid w:val="006A0AC8"/>
    <w:rsid w:val="006A10B2"/>
    <w:rsid w:val="006A1806"/>
    <w:rsid w:val="006A1A6F"/>
    <w:rsid w:val="006A1EE9"/>
    <w:rsid w:val="006A206B"/>
    <w:rsid w:val="006A2219"/>
    <w:rsid w:val="006A2242"/>
    <w:rsid w:val="006A29F1"/>
    <w:rsid w:val="006A2BEF"/>
    <w:rsid w:val="006A2BF3"/>
    <w:rsid w:val="006A2CE5"/>
    <w:rsid w:val="006A3807"/>
    <w:rsid w:val="006A38E0"/>
    <w:rsid w:val="006A3BBC"/>
    <w:rsid w:val="006A455C"/>
    <w:rsid w:val="006A4581"/>
    <w:rsid w:val="006A45B5"/>
    <w:rsid w:val="006A478D"/>
    <w:rsid w:val="006A47E1"/>
    <w:rsid w:val="006A4816"/>
    <w:rsid w:val="006A4B31"/>
    <w:rsid w:val="006A4C76"/>
    <w:rsid w:val="006A551B"/>
    <w:rsid w:val="006A57B8"/>
    <w:rsid w:val="006A5810"/>
    <w:rsid w:val="006A5D37"/>
    <w:rsid w:val="006A64E7"/>
    <w:rsid w:val="006A6673"/>
    <w:rsid w:val="006A6801"/>
    <w:rsid w:val="006A7610"/>
    <w:rsid w:val="006A78D8"/>
    <w:rsid w:val="006A793B"/>
    <w:rsid w:val="006B02F9"/>
    <w:rsid w:val="006B0353"/>
    <w:rsid w:val="006B05EA"/>
    <w:rsid w:val="006B0F6F"/>
    <w:rsid w:val="006B1298"/>
    <w:rsid w:val="006B12F0"/>
    <w:rsid w:val="006B1403"/>
    <w:rsid w:val="006B18BC"/>
    <w:rsid w:val="006B1BDE"/>
    <w:rsid w:val="006B1CD3"/>
    <w:rsid w:val="006B256C"/>
    <w:rsid w:val="006B2616"/>
    <w:rsid w:val="006B274A"/>
    <w:rsid w:val="006B28A4"/>
    <w:rsid w:val="006B2B76"/>
    <w:rsid w:val="006B304B"/>
    <w:rsid w:val="006B34EA"/>
    <w:rsid w:val="006B359E"/>
    <w:rsid w:val="006B3ADD"/>
    <w:rsid w:val="006B3D7E"/>
    <w:rsid w:val="006B51BA"/>
    <w:rsid w:val="006B537B"/>
    <w:rsid w:val="006B54C4"/>
    <w:rsid w:val="006B55C4"/>
    <w:rsid w:val="006B5865"/>
    <w:rsid w:val="006B58A9"/>
    <w:rsid w:val="006B6196"/>
    <w:rsid w:val="006B71BB"/>
    <w:rsid w:val="006B79D8"/>
    <w:rsid w:val="006B7D19"/>
    <w:rsid w:val="006B7E85"/>
    <w:rsid w:val="006B7F70"/>
    <w:rsid w:val="006C089F"/>
    <w:rsid w:val="006C08A5"/>
    <w:rsid w:val="006C0909"/>
    <w:rsid w:val="006C0976"/>
    <w:rsid w:val="006C0B5D"/>
    <w:rsid w:val="006C0C2B"/>
    <w:rsid w:val="006C1242"/>
    <w:rsid w:val="006C132D"/>
    <w:rsid w:val="006C1B85"/>
    <w:rsid w:val="006C1CF8"/>
    <w:rsid w:val="006C1CFE"/>
    <w:rsid w:val="006C1D65"/>
    <w:rsid w:val="006C1E37"/>
    <w:rsid w:val="006C23F3"/>
    <w:rsid w:val="006C274C"/>
    <w:rsid w:val="006C3326"/>
    <w:rsid w:val="006C388D"/>
    <w:rsid w:val="006C4CDB"/>
    <w:rsid w:val="006C4F09"/>
    <w:rsid w:val="006C4F25"/>
    <w:rsid w:val="006C4FB1"/>
    <w:rsid w:val="006C54BF"/>
    <w:rsid w:val="006C56A4"/>
    <w:rsid w:val="006C5989"/>
    <w:rsid w:val="006C59A8"/>
    <w:rsid w:val="006C5E72"/>
    <w:rsid w:val="006C6449"/>
    <w:rsid w:val="006C65BE"/>
    <w:rsid w:val="006C6650"/>
    <w:rsid w:val="006C6ABC"/>
    <w:rsid w:val="006C6C7E"/>
    <w:rsid w:val="006C6CD0"/>
    <w:rsid w:val="006C6FC1"/>
    <w:rsid w:val="006C73A6"/>
    <w:rsid w:val="006C7AB2"/>
    <w:rsid w:val="006C7C30"/>
    <w:rsid w:val="006C7F52"/>
    <w:rsid w:val="006D03EB"/>
    <w:rsid w:val="006D040D"/>
    <w:rsid w:val="006D07B6"/>
    <w:rsid w:val="006D0B98"/>
    <w:rsid w:val="006D0C76"/>
    <w:rsid w:val="006D0EDE"/>
    <w:rsid w:val="006D0F42"/>
    <w:rsid w:val="006D100F"/>
    <w:rsid w:val="006D1099"/>
    <w:rsid w:val="006D1198"/>
    <w:rsid w:val="006D12CB"/>
    <w:rsid w:val="006D1921"/>
    <w:rsid w:val="006D1A70"/>
    <w:rsid w:val="006D1B34"/>
    <w:rsid w:val="006D1F4A"/>
    <w:rsid w:val="006D223A"/>
    <w:rsid w:val="006D293D"/>
    <w:rsid w:val="006D2CB4"/>
    <w:rsid w:val="006D3147"/>
    <w:rsid w:val="006D3239"/>
    <w:rsid w:val="006D3275"/>
    <w:rsid w:val="006D32CA"/>
    <w:rsid w:val="006D347A"/>
    <w:rsid w:val="006D35E7"/>
    <w:rsid w:val="006D3795"/>
    <w:rsid w:val="006D3E49"/>
    <w:rsid w:val="006D3E58"/>
    <w:rsid w:val="006D4048"/>
    <w:rsid w:val="006D48A3"/>
    <w:rsid w:val="006D4980"/>
    <w:rsid w:val="006D4BA6"/>
    <w:rsid w:val="006D4CF0"/>
    <w:rsid w:val="006D4FE3"/>
    <w:rsid w:val="006D5080"/>
    <w:rsid w:val="006D5229"/>
    <w:rsid w:val="006D55E5"/>
    <w:rsid w:val="006D56A4"/>
    <w:rsid w:val="006D5A54"/>
    <w:rsid w:val="006D6417"/>
    <w:rsid w:val="006D645F"/>
    <w:rsid w:val="006D6468"/>
    <w:rsid w:val="006D6C8E"/>
    <w:rsid w:val="006D6EA8"/>
    <w:rsid w:val="006D6FDC"/>
    <w:rsid w:val="006D72B8"/>
    <w:rsid w:val="006D72ED"/>
    <w:rsid w:val="006D78AA"/>
    <w:rsid w:val="006E01E0"/>
    <w:rsid w:val="006E0370"/>
    <w:rsid w:val="006E0570"/>
    <w:rsid w:val="006E0A6D"/>
    <w:rsid w:val="006E122D"/>
    <w:rsid w:val="006E142B"/>
    <w:rsid w:val="006E1502"/>
    <w:rsid w:val="006E182F"/>
    <w:rsid w:val="006E1DA1"/>
    <w:rsid w:val="006E26BD"/>
    <w:rsid w:val="006E2C3F"/>
    <w:rsid w:val="006E2C7C"/>
    <w:rsid w:val="006E3333"/>
    <w:rsid w:val="006E3453"/>
    <w:rsid w:val="006E36B4"/>
    <w:rsid w:val="006E3756"/>
    <w:rsid w:val="006E377E"/>
    <w:rsid w:val="006E387E"/>
    <w:rsid w:val="006E3912"/>
    <w:rsid w:val="006E393B"/>
    <w:rsid w:val="006E3A70"/>
    <w:rsid w:val="006E3F06"/>
    <w:rsid w:val="006E3F82"/>
    <w:rsid w:val="006E44DE"/>
    <w:rsid w:val="006E484B"/>
    <w:rsid w:val="006E4D40"/>
    <w:rsid w:val="006E51BD"/>
    <w:rsid w:val="006E589E"/>
    <w:rsid w:val="006E5942"/>
    <w:rsid w:val="006E5D4B"/>
    <w:rsid w:val="006E5F17"/>
    <w:rsid w:val="006E60F4"/>
    <w:rsid w:val="006E62B4"/>
    <w:rsid w:val="006E631E"/>
    <w:rsid w:val="006E6401"/>
    <w:rsid w:val="006E680B"/>
    <w:rsid w:val="006E69A2"/>
    <w:rsid w:val="006E6A04"/>
    <w:rsid w:val="006E6AB4"/>
    <w:rsid w:val="006E6F39"/>
    <w:rsid w:val="006E7171"/>
    <w:rsid w:val="006E728E"/>
    <w:rsid w:val="006E72D8"/>
    <w:rsid w:val="006E7456"/>
    <w:rsid w:val="006E7736"/>
    <w:rsid w:val="006E7D6E"/>
    <w:rsid w:val="006E7EA9"/>
    <w:rsid w:val="006F0180"/>
    <w:rsid w:val="006F01C6"/>
    <w:rsid w:val="006F0B0B"/>
    <w:rsid w:val="006F0DBA"/>
    <w:rsid w:val="006F1166"/>
    <w:rsid w:val="006F1336"/>
    <w:rsid w:val="006F14DD"/>
    <w:rsid w:val="006F17F4"/>
    <w:rsid w:val="006F19F2"/>
    <w:rsid w:val="006F2077"/>
    <w:rsid w:val="006F24AF"/>
    <w:rsid w:val="006F27DB"/>
    <w:rsid w:val="006F27FC"/>
    <w:rsid w:val="006F298B"/>
    <w:rsid w:val="006F32F6"/>
    <w:rsid w:val="006F34A0"/>
    <w:rsid w:val="006F36B3"/>
    <w:rsid w:val="006F3B53"/>
    <w:rsid w:val="006F3BE0"/>
    <w:rsid w:val="006F3DB1"/>
    <w:rsid w:val="006F3F7C"/>
    <w:rsid w:val="006F3FB5"/>
    <w:rsid w:val="006F53BF"/>
    <w:rsid w:val="006F54C1"/>
    <w:rsid w:val="006F5545"/>
    <w:rsid w:val="006F573E"/>
    <w:rsid w:val="006F5D70"/>
    <w:rsid w:val="006F5F36"/>
    <w:rsid w:val="006F5F97"/>
    <w:rsid w:val="006F6181"/>
    <w:rsid w:val="006F6699"/>
    <w:rsid w:val="006F67EE"/>
    <w:rsid w:val="006F6815"/>
    <w:rsid w:val="006F6EFC"/>
    <w:rsid w:val="006F71FB"/>
    <w:rsid w:val="006F79EF"/>
    <w:rsid w:val="006F7B5D"/>
    <w:rsid w:val="007003CF"/>
    <w:rsid w:val="0070049D"/>
    <w:rsid w:val="007008BF"/>
    <w:rsid w:val="00700BBD"/>
    <w:rsid w:val="00701002"/>
    <w:rsid w:val="00701579"/>
    <w:rsid w:val="00701887"/>
    <w:rsid w:val="007019F5"/>
    <w:rsid w:val="00701F2B"/>
    <w:rsid w:val="00702146"/>
    <w:rsid w:val="00702352"/>
    <w:rsid w:val="007025E5"/>
    <w:rsid w:val="007032F1"/>
    <w:rsid w:val="00703508"/>
    <w:rsid w:val="0070389F"/>
    <w:rsid w:val="00703BE3"/>
    <w:rsid w:val="0070441F"/>
    <w:rsid w:val="007046B5"/>
    <w:rsid w:val="00704E44"/>
    <w:rsid w:val="007057C0"/>
    <w:rsid w:val="00705815"/>
    <w:rsid w:val="00705831"/>
    <w:rsid w:val="007058DA"/>
    <w:rsid w:val="007059A8"/>
    <w:rsid w:val="00705A25"/>
    <w:rsid w:val="00705DCB"/>
    <w:rsid w:val="00705F42"/>
    <w:rsid w:val="007065CA"/>
    <w:rsid w:val="00706973"/>
    <w:rsid w:val="00706AB3"/>
    <w:rsid w:val="00706E31"/>
    <w:rsid w:val="0070713A"/>
    <w:rsid w:val="007074C2"/>
    <w:rsid w:val="00707A36"/>
    <w:rsid w:val="00707CAF"/>
    <w:rsid w:val="00707D29"/>
    <w:rsid w:val="00710101"/>
    <w:rsid w:val="007102C7"/>
    <w:rsid w:val="0071040D"/>
    <w:rsid w:val="007105BC"/>
    <w:rsid w:val="00710615"/>
    <w:rsid w:val="00710BE8"/>
    <w:rsid w:val="00710C14"/>
    <w:rsid w:val="00710E9A"/>
    <w:rsid w:val="00710FE2"/>
    <w:rsid w:val="00711036"/>
    <w:rsid w:val="007111CD"/>
    <w:rsid w:val="00711612"/>
    <w:rsid w:val="007118EF"/>
    <w:rsid w:val="007127EA"/>
    <w:rsid w:val="0071281B"/>
    <w:rsid w:val="007131AA"/>
    <w:rsid w:val="007132C2"/>
    <w:rsid w:val="0071348C"/>
    <w:rsid w:val="007134EA"/>
    <w:rsid w:val="007145C7"/>
    <w:rsid w:val="00714A63"/>
    <w:rsid w:val="00714A88"/>
    <w:rsid w:val="00714D2B"/>
    <w:rsid w:val="00715BAC"/>
    <w:rsid w:val="00715CCC"/>
    <w:rsid w:val="00715D3F"/>
    <w:rsid w:val="00716109"/>
    <w:rsid w:val="0071718C"/>
    <w:rsid w:val="00717405"/>
    <w:rsid w:val="007178A0"/>
    <w:rsid w:val="00717C10"/>
    <w:rsid w:val="00717D0D"/>
    <w:rsid w:val="00717DA7"/>
    <w:rsid w:val="00717EC3"/>
    <w:rsid w:val="00720058"/>
    <w:rsid w:val="007201F5"/>
    <w:rsid w:val="007206A3"/>
    <w:rsid w:val="00720885"/>
    <w:rsid w:val="00720AA4"/>
    <w:rsid w:val="00720D18"/>
    <w:rsid w:val="00720F01"/>
    <w:rsid w:val="00720F84"/>
    <w:rsid w:val="00721303"/>
    <w:rsid w:val="00721305"/>
    <w:rsid w:val="00721937"/>
    <w:rsid w:val="00721B29"/>
    <w:rsid w:val="00721D1B"/>
    <w:rsid w:val="0072243A"/>
    <w:rsid w:val="00722679"/>
    <w:rsid w:val="007229F4"/>
    <w:rsid w:val="00722B36"/>
    <w:rsid w:val="00722BC3"/>
    <w:rsid w:val="0072322D"/>
    <w:rsid w:val="0072327C"/>
    <w:rsid w:val="0072342F"/>
    <w:rsid w:val="007235EE"/>
    <w:rsid w:val="00723760"/>
    <w:rsid w:val="0072384A"/>
    <w:rsid w:val="00723D37"/>
    <w:rsid w:val="00723D48"/>
    <w:rsid w:val="0072403D"/>
    <w:rsid w:val="007243AA"/>
    <w:rsid w:val="007244FF"/>
    <w:rsid w:val="00724817"/>
    <w:rsid w:val="00724926"/>
    <w:rsid w:val="00724C00"/>
    <w:rsid w:val="0072535A"/>
    <w:rsid w:val="007253AA"/>
    <w:rsid w:val="007259CB"/>
    <w:rsid w:val="00725C1F"/>
    <w:rsid w:val="00725FCC"/>
    <w:rsid w:val="0072604B"/>
    <w:rsid w:val="00726148"/>
    <w:rsid w:val="00726169"/>
    <w:rsid w:val="007262B6"/>
    <w:rsid w:val="00726A35"/>
    <w:rsid w:val="00726EE1"/>
    <w:rsid w:val="0072783A"/>
    <w:rsid w:val="00727999"/>
    <w:rsid w:val="00727A2F"/>
    <w:rsid w:val="00727AC2"/>
    <w:rsid w:val="007301AC"/>
    <w:rsid w:val="007301E4"/>
    <w:rsid w:val="00730893"/>
    <w:rsid w:val="00730A14"/>
    <w:rsid w:val="00730B59"/>
    <w:rsid w:val="00730BBC"/>
    <w:rsid w:val="00730D3E"/>
    <w:rsid w:val="0073136D"/>
    <w:rsid w:val="00731681"/>
    <w:rsid w:val="0073168E"/>
    <w:rsid w:val="007316E7"/>
    <w:rsid w:val="00731839"/>
    <w:rsid w:val="00731D28"/>
    <w:rsid w:val="00731F4E"/>
    <w:rsid w:val="00732363"/>
    <w:rsid w:val="0073287A"/>
    <w:rsid w:val="007332A2"/>
    <w:rsid w:val="0073356E"/>
    <w:rsid w:val="007337DD"/>
    <w:rsid w:val="00733839"/>
    <w:rsid w:val="007339A9"/>
    <w:rsid w:val="007342CB"/>
    <w:rsid w:val="00735013"/>
    <w:rsid w:val="00735238"/>
    <w:rsid w:val="00735B95"/>
    <w:rsid w:val="00736810"/>
    <w:rsid w:val="00737255"/>
    <w:rsid w:val="007372AC"/>
    <w:rsid w:val="007373E5"/>
    <w:rsid w:val="007375BD"/>
    <w:rsid w:val="0073789B"/>
    <w:rsid w:val="00737A8D"/>
    <w:rsid w:val="00737B4E"/>
    <w:rsid w:val="00737BF0"/>
    <w:rsid w:val="00737C13"/>
    <w:rsid w:val="00737C36"/>
    <w:rsid w:val="00737C3B"/>
    <w:rsid w:val="00740256"/>
    <w:rsid w:val="0074037E"/>
    <w:rsid w:val="00740400"/>
    <w:rsid w:val="007406A3"/>
    <w:rsid w:val="00740FB1"/>
    <w:rsid w:val="007412A4"/>
    <w:rsid w:val="00741447"/>
    <w:rsid w:val="00742171"/>
    <w:rsid w:val="0074232D"/>
    <w:rsid w:val="00742822"/>
    <w:rsid w:val="00742850"/>
    <w:rsid w:val="00742974"/>
    <w:rsid w:val="00742B13"/>
    <w:rsid w:val="00742E17"/>
    <w:rsid w:val="00743025"/>
    <w:rsid w:val="00743520"/>
    <w:rsid w:val="007436BE"/>
    <w:rsid w:val="00743E10"/>
    <w:rsid w:val="007441AE"/>
    <w:rsid w:val="007441E0"/>
    <w:rsid w:val="00744436"/>
    <w:rsid w:val="007445F0"/>
    <w:rsid w:val="00745499"/>
    <w:rsid w:val="0074558C"/>
    <w:rsid w:val="00745BFD"/>
    <w:rsid w:val="00745C36"/>
    <w:rsid w:val="00745CB0"/>
    <w:rsid w:val="00745FF3"/>
    <w:rsid w:val="0074621E"/>
    <w:rsid w:val="007462EF"/>
    <w:rsid w:val="007469E8"/>
    <w:rsid w:val="00746B18"/>
    <w:rsid w:val="007470FE"/>
    <w:rsid w:val="00747404"/>
    <w:rsid w:val="00747732"/>
    <w:rsid w:val="00750074"/>
    <w:rsid w:val="007502D6"/>
    <w:rsid w:val="007507DA"/>
    <w:rsid w:val="0075118A"/>
    <w:rsid w:val="007511F1"/>
    <w:rsid w:val="00751652"/>
    <w:rsid w:val="0075181D"/>
    <w:rsid w:val="00751970"/>
    <w:rsid w:val="00751A54"/>
    <w:rsid w:val="00751A94"/>
    <w:rsid w:val="00751C55"/>
    <w:rsid w:val="0075230F"/>
    <w:rsid w:val="0075254F"/>
    <w:rsid w:val="007525F5"/>
    <w:rsid w:val="007526A9"/>
    <w:rsid w:val="007527D2"/>
    <w:rsid w:val="007529D3"/>
    <w:rsid w:val="00752AF8"/>
    <w:rsid w:val="007531F2"/>
    <w:rsid w:val="007532DB"/>
    <w:rsid w:val="007534F9"/>
    <w:rsid w:val="007536D1"/>
    <w:rsid w:val="007537B1"/>
    <w:rsid w:val="00753898"/>
    <w:rsid w:val="00753EE5"/>
    <w:rsid w:val="00754085"/>
    <w:rsid w:val="00754380"/>
    <w:rsid w:val="007549E5"/>
    <w:rsid w:val="007558BB"/>
    <w:rsid w:val="0075664E"/>
    <w:rsid w:val="00756918"/>
    <w:rsid w:val="00756C43"/>
    <w:rsid w:val="007571FA"/>
    <w:rsid w:val="00757407"/>
    <w:rsid w:val="007574A6"/>
    <w:rsid w:val="00757B62"/>
    <w:rsid w:val="00757C98"/>
    <w:rsid w:val="00757CCC"/>
    <w:rsid w:val="00757D7A"/>
    <w:rsid w:val="00757EE1"/>
    <w:rsid w:val="00760235"/>
    <w:rsid w:val="007602F7"/>
    <w:rsid w:val="007604AE"/>
    <w:rsid w:val="007607F8"/>
    <w:rsid w:val="00760B0F"/>
    <w:rsid w:val="00760B21"/>
    <w:rsid w:val="007617D4"/>
    <w:rsid w:val="00761A8A"/>
    <w:rsid w:val="00761DE8"/>
    <w:rsid w:val="00761FCE"/>
    <w:rsid w:val="00762084"/>
    <w:rsid w:val="007621D2"/>
    <w:rsid w:val="00762301"/>
    <w:rsid w:val="007623DC"/>
    <w:rsid w:val="00762502"/>
    <w:rsid w:val="0076276F"/>
    <w:rsid w:val="0076297A"/>
    <w:rsid w:val="00762CF0"/>
    <w:rsid w:val="00763625"/>
    <w:rsid w:val="007637AA"/>
    <w:rsid w:val="00763DBE"/>
    <w:rsid w:val="00764546"/>
    <w:rsid w:val="007648CC"/>
    <w:rsid w:val="00764ECD"/>
    <w:rsid w:val="00764F4F"/>
    <w:rsid w:val="007650FB"/>
    <w:rsid w:val="007656BE"/>
    <w:rsid w:val="00765CEC"/>
    <w:rsid w:val="00765DD2"/>
    <w:rsid w:val="00765E1A"/>
    <w:rsid w:val="00766111"/>
    <w:rsid w:val="00766457"/>
    <w:rsid w:val="007665E6"/>
    <w:rsid w:val="007666A1"/>
    <w:rsid w:val="007668A5"/>
    <w:rsid w:val="007668E7"/>
    <w:rsid w:val="00766A37"/>
    <w:rsid w:val="00766BD0"/>
    <w:rsid w:val="00766BD4"/>
    <w:rsid w:val="00766CDE"/>
    <w:rsid w:val="007670A6"/>
    <w:rsid w:val="007672EE"/>
    <w:rsid w:val="007678E6"/>
    <w:rsid w:val="007701C3"/>
    <w:rsid w:val="007705E6"/>
    <w:rsid w:val="007707A9"/>
    <w:rsid w:val="007708D5"/>
    <w:rsid w:val="00770CEF"/>
    <w:rsid w:val="00770D2F"/>
    <w:rsid w:val="00771235"/>
    <w:rsid w:val="00771962"/>
    <w:rsid w:val="00771D22"/>
    <w:rsid w:val="00771DB2"/>
    <w:rsid w:val="00771F01"/>
    <w:rsid w:val="00772094"/>
    <w:rsid w:val="0077218F"/>
    <w:rsid w:val="007721C6"/>
    <w:rsid w:val="0077237D"/>
    <w:rsid w:val="00772E89"/>
    <w:rsid w:val="00772F83"/>
    <w:rsid w:val="00772FE5"/>
    <w:rsid w:val="00773795"/>
    <w:rsid w:val="00773944"/>
    <w:rsid w:val="0077398D"/>
    <w:rsid w:val="00774799"/>
    <w:rsid w:val="007747D8"/>
    <w:rsid w:val="00774A02"/>
    <w:rsid w:val="00774CFB"/>
    <w:rsid w:val="00775943"/>
    <w:rsid w:val="00775DA6"/>
    <w:rsid w:val="00775DC4"/>
    <w:rsid w:val="007760FA"/>
    <w:rsid w:val="00776458"/>
    <w:rsid w:val="00776595"/>
    <w:rsid w:val="00776802"/>
    <w:rsid w:val="00776BAD"/>
    <w:rsid w:val="00776D01"/>
    <w:rsid w:val="00776F35"/>
    <w:rsid w:val="00777784"/>
    <w:rsid w:val="0077788A"/>
    <w:rsid w:val="00780316"/>
    <w:rsid w:val="007803AE"/>
    <w:rsid w:val="00780477"/>
    <w:rsid w:val="007804F7"/>
    <w:rsid w:val="00780561"/>
    <w:rsid w:val="00780614"/>
    <w:rsid w:val="007809FC"/>
    <w:rsid w:val="00780CAC"/>
    <w:rsid w:val="00781264"/>
    <w:rsid w:val="007812BD"/>
    <w:rsid w:val="007818E6"/>
    <w:rsid w:val="00781D29"/>
    <w:rsid w:val="00781EDD"/>
    <w:rsid w:val="00781EF4"/>
    <w:rsid w:val="00782146"/>
    <w:rsid w:val="00782488"/>
    <w:rsid w:val="0078274E"/>
    <w:rsid w:val="007831CE"/>
    <w:rsid w:val="00783903"/>
    <w:rsid w:val="00783FC4"/>
    <w:rsid w:val="007840F2"/>
    <w:rsid w:val="007841DE"/>
    <w:rsid w:val="007845CE"/>
    <w:rsid w:val="007847BF"/>
    <w:rsid w:val="007859E8"/>
    <w:rsid w:val="00785AA5"/>
    <w:rsid w:val="00785BA8"/>
    <w:rsid w:val="0078612F"/>
    <w:rsid w:val="007866C6"/>
    <w:rsid w:val="0078685A"/>
    <w:rsid w:val="00786EE6"/>
    <w:rsid w:val="00787050"/>
    <w:rsid w:val="007873CB"/>
    <w:rsid w:val="00787663"/>
    <w:rsid w:val="00787DFB"/>
    <w:rsid w:val="007901C8"/>
    <w:rsid w:val="0079029D"/>
    <w:rsid w:val="00790B65"/>
    <w:rsid w:val="00791478"/>
    <w:rsid w:val="00791994"/>
    <w:rsid w:val="00791B87"/>
    <w:rsid w:val="00791E4E"/>
    <w:rsid w:val="00792081"/>
    <w:rsid w:val="0079218E"/>
    <w:rsid w:val="00792305"/>
    <w:rsid w:val="0079238D"/>
    <w:rsid w:val="007927D6"/>
    <w:rsid w:val="007928FF"/>
    <w:rsid w:val="00792ACC"/>
    <w:rsid w:val="00793132"/>
    <w:rsid w:val="00793216"/>
    <w:rsid w:val="00793261"/>
    <w:rsid w:val="007935C0"/>
    <w:rsid w:val="007937A1"/>
    <w:rsid w:val="00793840"/>
    <w:rsid w:val="00793EC7"/>
    <w:rsid w:val="00793F02"/>
    <w:rsid w:val="007949A5"/>
    <w:rsid w:val="00794A11"/>
    <w:rsid w:val="00794CDB"/>
    <w:rsid w:val="00794E8E"/>
    <w:rsid w:val="00794FB9"/>
    <w:rsid w:val="007952BE"/>
    <w:rsid w:val="0079563B"/>
    <w:rsid w:val="00795EB2"/>
    <w:rsid w:val="00796058"/>
    <w:rsid w:val="0079633A"/>
    <w:rsid w:val="007963F5"/>
    <w:rsid w:val="0079648D"/>
    <w:rsid w:val="00796EEC"/>
    <w:rsid w:val="00796F69"/>
    <w:rsid w:val="0079757D"/>
    <w:rsid w:val="007976C6"/>
    <w:rsid w:val="0079787D"/>
    <w:rsid w:val="007978F0"/>
    <w:rsid w:val="0079794E"/>
    <w:rsid w:val="007A0201"/>
    <w:rsid w:val="007A0961"/>
    <w:rsid w:val="007A0B7D"/>
    <w:rsid w:val="007A0C6F"/>
    <w:rsid w:val="007A0D56"/>
    <w:rsid w:val="007A112B"/>
    <w:rsid w:val="007A134D"/>
    <w:rsid w:val="007A137C"/>
    <w:rsid w:val="007A1415"/>
    <w:rsid w:val="007A18EE"/>
    <w:rsid w:val="007A1E32"/>
    <w:rsid w:val="007A1F7D"/>
    <w:rsid w:val="007A206E"/>
    <w:rsid w:val="007A2297"/>
    <w:rsid w:val="007A2602"/>
    <w:rsid w:val="007A2694"/>
    <w:rsid w:val="007A29B0"/>
    <w:rsid w:val="007A359B"/>
    <w:rsid w:val="007A37C4"/>
    <w:rsid w:val="007A3B6C"/>
    <w:rsid w:val="007A3D86"/>
    <w:rsid w:val="007A4054"/>
    <w:rsid w:val="007A427E"/>
    <w:rsid w:val="007A4557"/>
    <w:rsid w:val="007A4B07"/>
    <w:rsid w:val="007A4B4C"/>
    <w:rsid w:val="007A4C84"/>
    <w:rsid w:val="007A4CFA"/>
    <w:rsid w:val="007A4F31"/>
    <w:rsid w:val="007A4F9E"/>
    <w:rsid w:val="007A5160"/>
    <w:rsid w:val="007A55A7"/>
    <w:rsid w:val="007A57C9"/>
    <w:rsid w:val="007A5901"/>
    <w:rsid w:val="007A5FE2"/>
    <w:rsid w:val="007A6379"/>
    <w:rsid w:val="007A65D5"/>
    <w:rsid w:val="007A65FE"/>
    <w:rsid w:val="007A68ED"/>
    <w:rsid w:val="007A6D15"/>
    <w:rsid w:val="007A6ED8"/>
    <w:rsid w:val="007A7172"/>
    <w:rsid w:val="007A71CD"/>
    <w:rsid w:val="007A73BE"/>
    <w:rsid w:val="007A7456"/>
    <w:rsid w:val="007A7A77"/>
    <w:rsid w:val="007A7D6B"/>
    <w:rsid w:val="007B006E"/>
    <w:rsid w:val="007B07CE"/>
    <w:rsid w:val="007B0880"/>
    <w:rsid w:val="007B0A26"/>
    <w:rsid w:val="007B0BA9"/>
    <w:rsid w:val="007B0ED7"/>
    <w:rsid w:val="007B167A"/>
    <w:rsid w:val="007B16E6"/>
    <w:rsid w:val="007B19DE"/>
    <w:rsid w:val="007B1CB9"/>
    <w:rsid w:val="007B211E"/>
    <w:rsid w:val="007B221E"/>
    <w:rsid w:val="007B2B10"/>
    <w:rsid w:val="007B2B6C"/>
    <w:rsid w:val="007B2D74"/>
    <w:rsid w:val="007B309F"/>
    <w:rsid w:val="007B36A5"/>
    <w:rsid w:val="007B381A"/>
    <w:rsid w:val="007B3CF5"/>
    <w:rsid w:val="007B4140"/>
    <w:rsid w:val="007B4952"/>
    <w:rsid w:val="007B4B13"/>
    <w:rsid w:val="007B4F32"/>
    <w:rsid w:val="007B4FEA"/>
    <w:rsid w:val="007B5551"/>
    <w:rsid w:val="007B5D48"/>
    <w:rsid w:val="007B657B"/>
    <w:rsid w:val="007B6809"/>
    <w:rsid w:val="007B6996"/>
    <w:rsid w:val="007B6D15"/>
    <w:rsid w:val="007B6FE0"/>
    <w:rsid w:val="007B7036"/>
    <w:rsid w:val="007B7404"/>
    <w:rsid w:val="007B7519"/>
    <w:rsid w:val="007B7F7B"/>
    <w:rsid w:val="007C0247"/>
    <w:rsid w:val="007C02F2"/>
    <w:rsid w:val="007C084C"/>
    <w:rsid w:val="007C09C9"/>
    <w:rsid w:val="007C09CF"/>
    <w:rsid w:val="007C0B4A"/>
    <w:rsid w:val="007C0EFE"/>
    <w:rsid w:val="007C13AA"/>
    <w:rsid w:val="007C1997"/>
    <w:rsid w:val="007C19B2"/>
    <w:rsid w:val="007C1B24"/>
    <w:rsid w:val="007C1BE1"/>
    <w:rsid w:val="007C21CA"/>
    <w:rsid w:val="007C24BE"/>
    <w:rsid w:val="007C25D3"/>
    <w:rsid w:val="007C2B63"/>
    <w:rsid w:val="007C2D1D"/>
    <w:rsid w:val="007C2EF6"/>
    <w:rsid w:val="007C33D0"/>
    <w:rsid w:val="007C3662"/>
    <w:rsid w:val="007C36A0"/>
    <w:rsid w:val="007C3B04"/>
    <w:rsid w:val="007C3E31"/>
    <w:rsid w:val="007C412D"/>
    <w:rsid w:val="007C47CE"/>
    <w:rsid w:val="007C54A3"/>
    <w:rsid w:val="007C56AD"/>
    <w:rsid w:val="007C5905"/>
    <w:rsid w:val="007C60B3"/>
    <w:rsid w:val="007C6534"/>
    <w:rsid w:val="007C65B8"/>
    <w:rsid w:val="007C6B02"/>
    <w:rsid w:val="007C7338"/>
    <w:rsid w:val="007C73D4"/>
    <w:rsid w:val="007D02A6"/>
    <w:rsid w:val="007D033E"/>
    <w:rsid w:val="007D0375"/>
    <w:rsid w:val="007D039E"/>
    <w:rsid w:val="007D0A4D"/>
    <w:rsid w:val="007D0FD1"/>
    <w:rsid w:val="007D1164"/>
    <w:rsid w:val="007D1529"/>
    <w:rsid w:val="007D15DF"/>
    <w:rsid w:val="007D16BC"/>
    <w:rsid w:val="007D1BD2"/>
    <w:rsid w:val="007D1D73"/>
    <w:rsid w:val="007D20A0"/>
    <w:rsid w:val="007D2353"/>
    <w:rsid w:val="007D23C8"/>
    <w:rsid w:val="007D300D"/>
    <w:rsid w:val="007D337C"/>
    <w:rsid w:val="007D3A89"/>
    <w:rsid w:val="007D3DAF"/>
    <w:rsid w:val="007D3FBE"/>
    <w:rsid w:val="007D3FD2"/>
    <w:rsid w:val="007D40F0"/>
    <w:rsid w:val="007D415F"/>
    <w:rsid w:val="007D449C"/>
    <w:rsid w:val="007D455B"/>
    <w:rsid w:val="007D46D7"/>
    <w:rsid w:val="007D4C2D"/>
    <w:rsid w:val="007D4E6F"/>
    <w:rsid w:val="007D4F50"/>
    <w:rsid w:val="007D557E"/>
    <w:rsid w:val="007D5859"/>
    <w:rsid w:val="007D591D"/>
    <w:rsid w:val="007D5CA0"/>
    <w:rsid w:val="007D5E7C"/>
    <w:rsid w:val="007D5FD0"/>
    <w:rsid w:val="007D61D0"/>
    <w:rsid w:val="007D649F"/>
    <w:rsid w:val="007D6885"/>
    <w:rsid w:val="007D6CC3"/>
    <w:rsid w:val="007D791D"/>
    <w:rsid w:val="007D792A"/>
    <w:rsid w:val="007D7B08"/>
    <w:rsid w:val="007D7C7C"/>
    <w:rsid w:val="007D7EAE"/>
    <w:rsid w:val="007D7EDA"/>
    <w:rsid w:val="007E0172"/>
    <w:rsid w:val="007E0239"/>
    <w:rsid w:val="007E0435"/>
    <w:rsid w:val="007E05E6"/>
    <w:rsid w:val="007E089A"/>
    <w:rsid w:val="007E0A2F"/>
    <w:rsid w:val="007E0A37"/>
    <w:rsid w:val="007E1045"/>
    <w:rsid w:val="007E109B"/>
    <w:rsid w:val="007E17CC"/>
    <w:rsid w:val="007E19F5"/>
    <w:rsid w:val="007E1A3E"/>
    <w:rsid w:val="007E1C6F"/>
    <w:rsid w:val="007E20CD"/>
    <w:rsid w:val="007E2354"/>
    <w:rsid w:val="007E24F2"/>
    <w:rsid w:val="007E2772"/>
    <w:rsid w:val="007E29D5"/>
    <w:rsid w:val="007E2B62"/>
    <w:rsid w:val="007E3032"/>
    <w:rsid w:val="007E3101"/>
    <w:rsid w:val="007E3295"/>
    <w:rsid w:val="007E4D0C"/>
    <w:rsid w:val="007E5016"/>
    <w:rsid w:val="007E57C9"/>
    <w:rsid w:val="007E5842"/>
    <w:rsid w:val="007E5895"/>
    <w:rsid w:val="007E5BE5"/>
    <w:rsid w:val="007E5CDC"/>
    <w:rsid w:val="007E5EF5"/>
    <w:rsid w:val="007E688E"/>
    <w:rsid w:val="007E6DE2"/>
    <w:rsid w:val="007E6E3D"/>
    <w:rsid w:val="007E7164"/>
    <w:rsid w:val="007E71CA"/>
    <w:rsid w:val="007E7359"/>
    <w:rsid w:val="007E79C9"/>
    <w:rsid w:val="007E7A87"/>
    <w:rsid w:val="007E7AE7"/>
    <w:rsid w:val="007F0076"/>
    <w:rsid w:val="007F01A6"/>
    <w:rsid w:val="007F01BA"/>
    <w:rsid w:val="007F0200"/>
    <w:rsid w:val="007F0535"/>
    <w:rsid w:val="007F08B5"/>
    <w:rsid w:val="007F0C76"/>
    <w:rsid w:val="007F150A"/>
    <w:rsid w:val="007F1556"/>
    <w:rsid w:val="007F1586"/>
    <w:rsid w:val="007F15D6"/>
    <w:rsid w:val="007F18D9"/>
    <w:rsid w:val="007F1F74"/>
    <w:rsid w:val="007F25F8"/>
    <w:rsid w:val="007F34D1"/>
    <w:rsid w:val="007F35CD"/>
    <w:rsid w:val="007F35DC"/>
    <w:rsid w:val="007F3D0C"/>
    <w:rsid w:val="007F433A"/>
    <w:rsid w:val="007F4677"/>
    <w:rsid w:val="007F48E5"/>
    <w:rsid w:val="007F4B43"/>
    <w:rsid w:val="007F4EE9"/>
    <w:rsid w:val="007F500A"/>
    <w:rsid w:val="007F5233"/>
    <w:rsid w:val="007F5297"/>
    <w:rsid w:val="007F5351"/>
    <w:rsid w:val="007F56A6"/>
    <w:rsid w:val="007F56CE"/>
    <w:rsid w:val="007F5875"/>
    <w:rsid w:val="007F59D4"/>
    <w:rsid w:val="007F5CAE"/>
    <w:rsid w:val="007F5F86"/>
    <w:rsid w:val="007F67E5"/>
    <w:rsid w:val="007F6811"/>
    <w:rsid w:val="007F6C73"/>
    <w:rsid w:val="007F6DF3"/>
    <w:rsid w:val="007F712B"/>
    <w:rsid w:val="007F732E"/>
    <w:rsid w:val="007F74C7"/>
    <w:rsid w:val="007F757D"/>
    <w:rsid w:val="007F7B03"/>
    <w:rsid w:val="007F7D65"/>
    <w:rsid w:val="007F7DC5"/>
    <w:rsid w:val="00800156"/>
    <w:rsid w:val="008001BF"/>
    <w:rsid w:val="008001C8"/>
    <w:rsid w:val="008001F1"/>
    <w:rsid w:val="008002AE"/>
    <w:rsid w:val="008002B1"/>
    <w:rsid w:val="008003C5"/>
    <w:rsid w:val="00800928"/>
    <w:rsid w:val="0080094A"/>
    <w:rsid w:val="00800BCF"/>
    <w:rsid w:val="00800E80"/>
    <w:rsid w:val="008013E8"/>
    <w:rsid w:val="008016B6"/>
    <w:rsid w:val="00801703"/>
    <w:rsid w:val="00802493"/>
    <w:rsid w:val="00802B4B"/>
    <w:rsid w:val="00802C11"/>
    <w:rsid w:val="00802E9C"/>
    <w:rsid w:val="00802FC6"/>
    <w:rsid w:val="008031BE"/>
    <w:rsid w:val="00803324"/>
    <w:rsid w:val="00803883"/>
    <w:rsid w:val="00803A35"/>
    <w:rsid w:val="00803B6B"/>
    <w:rsid w:val="00803C04"/>
    <w:rsid w:val="00803D58"/>
    <w:rsid w:val="00804011"/>
    <w:rsid w:val="00804791"/>
    <w:rsid w:val="0080498D"/>
    <w:rsid w:val="008053A4"/>
    <w:rsid w:val="00805A08"/>
    <w:rsid w:val="00805F56"/>
    <w:rsid w:val="0080604F"/>
    <w:rsid w:val="008060D1"/>
    <w:rsid w:val="00806589"/>
    <w:rsid w:val="0080669D"/>
    <w:rsid w:val="008068AD"/>
    <w:rsid w:val="00806BBA"/>
    <w:rsid w:val="00806C81"/>
    <w:rsid w:val="0080711E"/>
    <w:rsid w:val="00807178"/>
    <w:rsid w:val="008073D1"/>
    <w:rsid w:val="008073E5"/>
    <w:rsid w:val="00807559"/>
    <w:rsid w:val="008077ED"/>
    <w:rsid w:val="0081019B"/>
    <w:rsid w:val="008104AB"/>
    <w:rsid w:val="008107BA"/>
    <w:rsid w:val="00810884"/>
    <w:rsid w:val="00810B37"/>
    <w:rsid w:val="00811526"/>
    <w:rsid w:val="00811A6C"/>
    <w:rsid w:val="00811F71"/>
    <w:rsid w:val="0081297B"/>
    <w:rsid w:val="00812A3D"/>
    <w:rsid w:val="00812A5D"/>
    <w:rsid w:val="00812B2D"/>
    <w:rsid w:val="0081303F"/>
    <w:rsid w:val="0081324F"/>
    <w:rsid w:val="008132AC"/>
    <w:rsid w:val="00813485"/>
    <w:rsid w:val="008136DA"/>
    <w:rsid w:val="00813A58"/>
    <w:rsid w:val="00813BB9"/>
    <w:rsid w:val="00814139"/>
    <w:rsid w:val="00814288"/>
    <w:rsid w:val="00814804"/>
    <w:rsid w:val="00814BE1"/>
    <w:rsid w:val="0081509E"/>
    <w:rsid w:val="00815120"/>
    <w:rsid w:val="00815289"/>
    <w:rsid w:val="008155BD"/>
    <w:rsid w:val="0081567A"/>
    <w:rsid w:val="008157BC"/>
    <w:rsid w:val="00815900"/>
    <w:rsid w:val="00815CAC"/>
    <w:rsid w:val="00815D42"/>
    <w:rsid w:val="00815E06"/>
    <w:rsid w:val="00815F4C"/>
    <w:rsid w:val="00815FCC"/>
    <w:rsid w:val="008163D4"/>
    <w:rsid w:val="00816618"/>
    <w:rsid w:val="0081676F"/>
    <w:rsid w:val="00816BB6"/>
    <w:rsid w:val="00816BC3"/>
    <w:rsid w:val="00816D32"/>
    <w:rsid w:val="00816DDF"/>
    <w:rsid w:val="008170B8"/>
    <w:rsid w:val="00817179"/>
    <w:rsid w:val="00817AE5"/>
    <w:rsid w:val="00820140"/>
    <w:rsid w:val="00820182"/>
    <w:rsid w:val="008203F3"/>
    <w:rsid w:val="008205CD"/>
    <w:rsid w:val="00820759"/>
    <w:rsid w:val="0082081E"/>
    <w:rsid w:val="0082153C"/>
    <w:rsid w:val="008216A0"/>
    <w:rsid w:val="00821791"/>
    <w:rsid w:val="00821ACB"/>
    <w:rsid w:val="00821D88"/>
    <w:rsid w:val="008226A1"/>
    <w:rsid w:val="008226B1"/>
    <w:rsid w:val="00822715"/>
    <w:rsid w:val="00822E1A"/>
    <w:rsid w:val="00823052"/>
    <w:rsid w:val="008231CE"/>
    <w:rsid w:val="008236A4"/>
    <w:rsid w:val="008246C8"/>
    <w:rsid w:val="0082472F"/>
    <w:rsid w:val="00824820"/>
    <w:rsid w:val="00824841"/>
    <w:rsid w:val="00824AD7"/>
    <w:rsid w:val="00824D27"/>
    <w:rsid w:val="00824F08"/>
    <w:rsid w:val="00825158"/>
    <w:rsid w:val="00825371"/>
    <w:rsid w:val="0082577C"/>
    <w:rsid w:val="00825812"/>
    <w:rsid w:val="00825C0C"/>
    <w:rsid w:val="00825F4B"/>
    <w:rsid w:val="0082642F"/>
    <w:rsid w:val="0082671C"/>
    <w:rsid w:val="00826774"/>
    <w:rsid w:val="00826BC1"/>
    <w:rsid w:val="00826F7E"/>
    <w:rsid w:val="00826F9A"/>
    <w:rsid w:val="008271B3"/>
    <w:rsid w:val="00827427"/>
    <w:rsid w:val="00827452"/>
    <w:rsid w:val="0082753B"/>
    <w:rsid w:val="00827777"/>
    <w:rsid w:val="00827D5C"/>
    <w:rsid w:val="00827DE9"/>
    <w:rsid w:val="00827E9F"/>
    <w:rsid w:val="00830188"/>
    <w:rsid w:val="00830985"/>
    <w:rsid w:val="00830A0B"/>
    <w:rsid w:val="00830B5A"/>
    <w:rsid w:val="00830D47"/>
    <w:rsid w:val="00830DCF"/>
    <w:rsid w:val="00831723"/>
    <w:rsid w:val="008323A5"/>
    <w:rsid w:val="008323EB"/>
    <w:rsid w:val="008324ED"/>
    <w:rsid w:val="0083265E"/>
    <w:rsid w:val="00832700"/>
    <w:rsid w:val="0083306B"/>
    <w:rsid w:val="008334F3"/>
    <w:rsid w:val="0083352A"/>
    <w:rsid w:val="00833823"/>
    <w:rsid w:val="008339DC"/>
    <w:rsid w:val="00833A9C"/>
    <w:rsid w:val="00833E3B"/>
    <w:rsid w:val="00833FBF"/>
    <w:rsid w:val="008346A1"/>
    <w:rsid w:val="00834B2A"/>
    <w:rsid w:val="008350E1"/>
    <w:rsid w:val="0083529B"/>
    <w:rsid w:val="00835442"/>
    <w:rsid w:val="008356F4"/>
    <w:rsid w:val="008356F6"/>
    <w:rsid w:val="00835B27"/>
    <w:rsid w:val="00835CF4"/>
    <w:rsid w:val="00835D22"/>
    <w:rsid w:val="00835EAF"/>
    <w:rsid w:val="00835F5C"/>
    <w:rsid w:val="00836093"/>
    <w:rsid w:val="008361C9"/>
    <w:rsid w:val="00836284"/>
    <w:rsid w:val="0083662B"/>
    <w:rsid w:val="00836AFE"/>
    <w:rsid w:val="00836C79"/>
    <w:rsid w:val="00837515"/>
    <w:rsid w:val="008375B5"/>
    <w:rsid w:val="00837C70"/>
    <w:rsid w:val="00837E22"/>
    <w:rsid w:val="00837F49"/>
    <w:rsid w:val="008402B3"/>
    <w:rsid w:val="00840505"/>
    <w:rsid w:val="00840515"/>
    <w:rsid w:val="00840DEA"/>
    <w:rsid w:val="00840F35"/>
    <w:rsid w:val="00840FCE"/>
    <w:rsid w:val="008411FC"/>
    <w:rsid w:val="008413D6"/>
    <w:rsid w:val="00841BC9"/>
    <w:rsid w:val="00841C7E"/>
    <w:rsid w:val="00842018"/>
    <w:rsid w:val="00842049"/>
    <w:rsid w:val="00842242"/>
    <w:rsid w:val="00842290"/>
    <w:rsid w:val="008426E2"/>
    <w:rsid w:val="008428F9"/>
    <w:rsid w:val="00842C53"/>
    <w:rsid w:val="00842F50"/>
    <w:rsid w:val="00843029"/>
    <w:rsid w:val="0084351F"/>
    <w:rsid w:val="00843988"/>
    <w:rsid w:val="008439E1"/>
    <w:rsid w:val="00843C5D"/>
    <w:rsid w:val="00843DDD"/>
    <w:rsid w:val="00844113"/>
    <w:rsid w:val="008446B2"/>
    <w:rsid w:val="008449FC"/>
    <w:rsid w:val="008451EF"/>
    <w:rsid w:val="00845639"/>
    <w:rsid w:val="00845AE3"/>
    <w:rsid w:val="00845D8D"/>
    <w:rsid w:val="00845F40"/>
    <w:rsid w:val="0084615A"/>
    <w:rsid w:val="00846371"/>
    <w:rsid w:val="00846398"/>
    <w:rsid w:val="008472FF"/>
    <w:rsid w:val="0084754D"/>
    <w:rsid w:val="00847837"/>
    <w:rsid w:val="00847A07"/>
    <w:rsid w:val="00847A13"/>
    <w:rsid w:val="00847D1D"/>
    <w:rsid w:val="00847DB3"/>
    <w:rsid w:val="008508DE"/>
    <w:rsid w:val="00850B8D"/>
    <w:rsid w:val="00850D75"/>
    <w:rsid w:val="00851519"/>
    <w:rsid w:val="00851631"/>
    <w:rsid w:val="00851825"/>
    <w:rsid w:val="008518B2"/>
    <w:rsid w:val="0085219A"/>
    <w:rsid w:val="00852C2D"/>
    <w:rsid w:val="00852FE5"/>
    <w:rsid w:val="008532FD"/>
    <w:rsid w:val="00853AC2"/>
    <w:rsid w:val="00853B14"/>
    <w:rsid w:val="00853C86"/>
    <w:rsid w:val="0085444B"/>
    <w:rsid w:val="00854869"/>
    <w:rsid w:val="00854870"/>
    <w:rsid w:val="0085495E"/>
    <w:rsid w:val="00855BA9"/>
    <w:rsid w:val="008562EA"/>
    <w:rsid w:val="008566DE"/>
    <w:rsid w:val="00856761"/>
    <w:rsid w:val="0085694C"/>
    <w:rsid w:val="00857381"/>
    <w:rsid w:val="00857386"/>
    <w:rsid w:val="00860160"/>
    <w:rsid w:val="00860C02"/>
    <w:rsid w:val="008615E3"/>
    <w:rsid w:val="00861612"/>
    <w:rsid w:val="0086167A"/>
    <w:rsid w:val="00861E52"/>
    <w:rsid w:val="00862485"/>
    <w:rsid w:val="00862B50"/>
    <w:rsid w:val="00862F6E"/>
    <w:rsid w:val="00863915"/>
    <w:rsid w:val="008639A6"/>
    <w:rsid w:val="00863DDE"/>
    <w:rsid w:val="00863E8A"/>
    <w:rsid w:val="00863ED8"/>
    <w:rsid w:val="008640AE"/>
    <w:rsid w:val="00864225"/>
    <w:rsid w:val="00864411"/>
    <w:rsid w:val="008644DF"/>
    <w:rsid w:val="0086458E"/>
    <w:rsid w:val="008645B6"/>
    <w:rsid w:val="008648E2"/>
    <w:rsid w:val="00864AF5"/>
    <w:rsid w:val="00864E50"/>
    <w:rsid w:val="00864F85"/>
    <w:rsid w:val="00865063"/>
    <w:rsid w:val="0086526D"/>
    <w:rsid w:val="008652FA"/>
    <w:rsid w:val="008655C6"/>
    <w:rsid w:val="00865C2B"/>
    <w:rsid w:val="00865EA6"/>
    <w:rsid w:val="00865FE5"/>
    <w:rsid w:val="008661D6"/>
    <w:rsid w:val="00866348"/>
    <w:rsid w:val="008665A2"/>
    <w:rsid w:val="00866B5F"/>
    <w:rsid w:val="00866FD5"/>
    <w:rsid w:val="00867414"/>
    <w:rsid w:val="00867474"/>
    <w:rsid w:val="008677C2"/>
    <w:rsid w:val="0086785F"/>
    <w:rsid w:val="00867963"/>
    <w:rsid w:val="008679A6"/>
    <w:rsid w:val="00867AFF"/>
    <w:rsid w:val="00867BAD"/>
    <w:rsid w:val="00867C92"/>
    <w:rsid w:val="00870358"/>
    <w:rsid w:val="00870474"/>
    <w:rsid w:val="008706F6"/>
    <w:rsid w:val="008708DE"/>
    <w:rsid w:val="00870B4D"/>
    <w:rsid w:val="00870ECC"/>
    <w:rsid w:val="00871104"/>
    <w:rsid w:val="0087119E"/>
    <w:rsid w:val="008716D3"/>
    <w:rsid w:val="008718F1"/>
    <w:rsid w:val="00871B53"/>
    <w:rsid w:val="00871C1A"/>
    <w:rsid w:val="00872008"/>
    <w:rsid w:val="008722B3"/>
    <w:rsid w:val="008722DD"/>
    <w:rsid w:val="00872B91"/>
    <w:rsid w:val="0087369D"/>
    <w:rsid w:val="00873800"/>
    <w:rsid w:val="00873808"/>
    <w:rsid w:val="00873AAD"/>
    <w:rsid w:val="00873F23"/>
    <w:rsid w:val="00873F75"/>
    <w:rsid w:val="00874579"/>
    <w:rsid w:val="00874BC3"/>
    <w:rsid w:val="0087515E"/>
    <w:rsid w:val="008757A4"/>
    <w:rsid w:val="008757C4"/>
    <w:rsid w:val="00875919"/>
    <w:rsid w:val="00875C1D"/>
    <w:rsid w:val="00875C56"/>
    <w:rsid w:val="00875F96"/>
    <w:rsid w:val="008762F5"/>
    <w:rsid w:val="008765A2"/>
    <w:rsid w:val="00876709"/>
    <w:rsid w:val="0087670F"/>
    <w:rsid w:val="00876C6F"/>
    <w:rsid w:val="008771F0"/>
    <w:rsid w:val="00877327"/>
    <w:rsid w:val="00877480"/>
    <w:rsid w:val="008776C9"/>
    <w:rsid w:val="008777B8"/>
    <w:rsid w:val="00877925"/>
    <w:rsid w:val="00877946"/>
    <w:rsid w:val="008779DB"/>
    <w:rsid w:val="008805AA"/>
    <w:rsid w:val="008808A9"/>
    <w:rsid w:val="00880A09"/>
    <w:rsid w:val="00880B37"/>
    <w:rsid w:val="00880BF4"/>
    <w:rsid w:val="00880CF8"/>
    <w:rsid w:val="00880D3A"/>
    <w:rsid w:val="00881054"/>
    <w:rsid w:val="0088132F"/>
    <w:rsid w:val="00881732"/>
    <w:rsid w:val="00881BA6"/>
    <w:rsid w:val="008820C6"/>
    <w:rsid w:val="00882520"/>
    <w:rsid w:val="008825E9"/>
    <w:rsid w:val="00882711"/>
    <w:rsid w:val="00882BB0"/>
    <w:rsid w:val="00882D93"/>
    <w:rsid w:val="00883130"/>
    <w:rsid w:val="0088359A"/>
    <w:rsid w:val="008838B4"/>
    <w:rsid w:val="00883D55"/>
    <w:rsid w:val="00884A7B"/>
    <w:rsid w:val="00884AFA"/>
    <w:rsid w:val="00884DC4"/>
    <w:rsid w:val="00884F31"/>
    <w:rsid w:val="00885B5E"/>
    <w:rsid w:val="00885D04"/>
    <w:rsid w:val="00886CDF"/>
    <w:rsid w:val="008874D2"/>
    <w:rsid w:val="00887691"/>
    <w:rsid w:val="00887877"/>
    <w:rsid w:val="00887926"/>
    <w:rsid w:val="00887A5F"/>
    <w:rsid w:val="00887C0A"/>
    <w:rsid w:val="00887E6A"/>
    <w:rsid w:val="00887EAD"/>
    <w:rsid w:val="008901D7"/>
    <w:rsid w:val="00890444"/>
    <w:rsid w:val="0089049C"/>
    <w:rsid w:val="008904CA"/>
    <w:rsid w:val="0089067B"/>
    <w:rsid w:val="00891068"/>
    <w:rsid w:val="0089131D"/>
    <w:rsid w:val="00891902"/>
    <w:rsid w:val="00891B31"/>
    <w:rsid w:val="008922F6"/>
    <w:rsid w:val="00892C49"/>
    <w:rsid w:val="00892E96"/>
    <w:rsid w:val="00893054"/>
    <w:rsid w:val="00893325"/>
    <w:rsid w:val="008933F2"/>
    <w:rsid w:val="00893523"/>
    <w:rsid w:val="008936D3"/>
    <w:rsid w:val="00893BF1"/>
    <w:rsid w:val="00893C4D"/>
    <w:rsid w:val="0089487D"/>
    <w:rsid w:val="00894A4A"/>
    <w:rsid w:val="00894C49"/>
    <w:rsid w:val="00894D2E"/>
    <w:rsid w:val="00894F85"/>
    <w:rsid w:val="008953FA"/>
    <w:rsid w:val="008955D1"/>
    <w:rsid w:val="00895A58"/>
    <w:rsid w:val="00896082"/>
    <w:rsid w:val="00896157"/>
    <w:rsid w:val="0089691B"/>
    <w:rsid w:val="00896D8C"/>
    <w:rsid w:val="00896F3C"/>
    <w:rsid w:val="008971C6"/>
    <w:rsid w:val="008972B6"/>
    <w:rsid w:val="0089735A"/>
    <w:rsid w:val="0089752D"/>
    <w:rsid w:val="008975F2"/>
    <w:rsid w:val="00897745"/>
    <w:rsid w:val="00897BD8"/>
    <w:rsid w:val="00897D43"/>
    <w:rsid w:val="008A004A"/>
    <w:rsid w:val="008A01F7"/>
    <w:rsid w:val="008A0420"/>
    <w:rsid w:val="008A060D"/>
    <w:rsid w:val="008A093E"/>
    <w:rsid w:val="008A0E7E"/>
    <w:rsid w:val="008A0ECC"/>
    <w:rsid w:val="008A12C6"/>
    <w:rsid w:val="008A1902"/>
    <w:rsid w:val="008A1A6A"/>
    <w:rsid w:val="008A1AF7"/>
    <w:rsid w:val="008A1C99"/>
    <w:rsid w:val="008A1DC9"/>
    <w:rsid w:val="008A1FF3"/>
    <w:rsid w:val="008A23A5"/>
    <w:rsid w:val="008A2421"/>
    <w:rsid w:val="008A286E"/>
    <w:rsid w:val="008A2A27"/>
    <w:rsid w:val="008A2A74"/>
    <w:rsid w:val="008A2BAC"/>
    <w:rsid w:val="008A3777"/>
    <w:rsid w:val="008A38A3"/>
    <w:rsid w:val="008A3B6F"/>
    <w:rsid w:val="008A3E3F"/>
    <w:rsid w:val="008A421F"/>
    <w:rsid w:val="008A425D"/>
    <w:rsid w:val="008A456E"/>
    <w:rsid w:val="008A4624"/>
    <w:rsid w:val="008A4719"/>
    <w:rsid w:val="008A49B4"/>
    <w:rsid w:val="008A4D25"/>
    <w:rsid w:val="008A50A1"/>
    <w:rsid w:val="008A5121"/>
    <w:rsid w:val="008A56D4"/>
    <w:rsid w:val="008A5AC2"/>
    <w:rsid w:val="008A60D6"/>
    <w:rsid w:val="008A628F"/>
    <w:rsid w:val="008A646B"/>
    <w:rsid w:val="008A6561"/>
    <w:rsid w:val="008A6580"/>
    <w:rsid w:val="008A68D6"/>
    <w:rsid w:val="008A6CB0"/>
    <w:rsid w:val="008A73F2"/>
    <w:rsid w:val="008A752E"/>
    <w:rsid w:val="008A7579"/>
    <w:rsid w:val="008A7867"/>
    <w:rsid w:val="008A7927"/>
    <w:rsid w:val="008A79B5"/>
    <w:rsid w:val="008A79FF"/>
    <w:rsid w:val="008A7D48"/>
    <w:rsid w:val="008A7D4C"/>
    <w:rsid w:val="008B0036"/>
    <w:rsid w:val="008B0211"/>
    <w:rsid w:val="008B0526"/>
    <w:rsid w:val="008B0714"/>
    <w:rsid w:val="008B0735"/>
    <w:rsid w:val="008B0871"/>
    <w:rsid w:val="008B0DC9"/>
    <w:rsid w:val="008B1447"/>
    <w:rsid w:val="008B1927"/>
    <w:rsid w:val="008B240B"/>
    <w:rsid w:val="008B2884"/>
    <w:rsid w:val="008B2C09"/>
    <w:rsid w:val="008B2D5F"/>
    <w:rsid w:val="008B2F2A"/>
    <w:rsid w:val="008B31A9"/>
    <w:rsid w:val="008B330F"/>
    <w:rsid w:val="008B3CE0"/>
    <w:rsid w:val="008B40A2"/>
    <w:rsid w:val="008B4280"/>
    <w:rsid w:val="008B42FD"/>
    <w:rsid w:val="008B4316"/>
    <w:rsid w:val="008B4678"/>
    <w:rsid w:val="008B4BA9"/>
    <w:rsid w:val="008B4F38"/>
    <w:rsid w:val="008B5682"/>
    <w:rsid w:val="008B59FF"/>
    <w:rsid w:val="008B5A7A"/>
    <w:rsid w:val="008B5E5E"/>
    <w:rsid w:val="008B5F94"/>
    <w:rsid w:val="008B6750"/>
    <w:rsid w:val="008B6AD7"/>
    <w:rsid w:val="008B6C7B"/>
    <w:rsid w:val="008B7322"/>
    <w:rsid w:val="008B7381"/>
    <w:rsid w:val="008B7425"/>
    <w:rsid w:val="008B74FB"/>
    <w:rsid w:val="008B74FD"/>
    <w:rsid w:val="008B7C6F"/>
    <w:rsid w:val="008B7CC3"/>
    <w:rsid w:val="008C0150"/>
    <w:rsid w:val="008C0211"/>
    <w:rsid w:val="008C042C"/>
    <w:rsid w:val="008C071B"/>
    <w:rsid w:val="008C0788"/>
    <w:rsid w:val="008C0F3B"/>
    <w:rsid w:val="008C1A14"/>
    <w:rsid w:val="008C1BA8"/>
    <w:rsid w:val="008C1EDD"/>
    <w:rsid w:val="008C22AF"/>
    <w:rsid w:val="008C257D"/>
    <w:rsid w:val="008C26EF"/>
    <w:rsid w:val="008C2893"/>
    <w:rsid w:val="008C2D31"/>
    <w:rsid w:val="008C3608"/>
    <w:rsid w:val="008C36A6"/>
    <w:rsid w:val="008C3837"/>
    <w:rsid w:val="008C391F"/>
    <w:rsid w:val="008C3A4A"/>
    <w:rsid w:val="008C3D8B"/>
    <w:rsid w:val="008C3DD3"/>
    <w:rsid w:val="008C424F"/>
    <w:rsid w:val="008C4254"/>
    <w:rsid w:val="008C4470"/>
    <w:rsid w:val="008C47C8"/>
    <w:rsid w:val="008C4839"/>
    <w:rsid w:val="008C4CAC"/>
    <w:rsid w:val="008C4D66"/>
    <w:rsid w:val="008C5851"/>
    <w:rsid w:val="008C594B"/>
    <w:rsid w:val="008C5F68"/>
    <w:rsid w:val="008C60C7"/>
    <w:rsid w:val="008C622E"/>
    <w:rsid w:val="008C62E1"/>
    <w:rsid w:val="008C6417"/>
    <w:rsid w:val="008C645A"/>
    <w:rsid w:val="008C6ACC"/>
    <w:rsid w:val="008C7008"/>
    <w:rsid w:val="008C7424"/>
    <w:rsid w:val="008C7531"/>
    <w:rsid w:val="008C7BD1"/>
    <w:rsid w:val="008C7C2E"/>
    <w:rsid w:val="008C7D6C"/>
    <w:rsid w:val="008D031E"/>
    <w:rsid w:val="008D0684"/>
    <w:rsid w:val="008D08F4"/>
    <w:rsid w:val="008D10D2"/>
    <w:rsid w:val="008D14F7"/>
    <w:rsid w:val="008D196E"/>
    <w:rsid w:val="008D1EBD"/>
    <w:rsid w:val="008D1ED9"/>
    <w:rsid w:val="008D23BD"/>
    <w:rsid w:val="008D26E2"/>
    <w:rsid w:val="008D2B4A"/>
    <w:rsid w:val="008D2B9B"/>
    <w:rsid w:val="008D2D61"/>
    <w:rsid w:val="008D309E"/>
    <w:rsid w:val="008D3199"/>
    <w:rsid w:val="008D32B9"/>
    <w:rsid w:val="008D3455"/>
    <w:rsid w:val="008D3509"/>
    <w:rsid w:val="008D3573"/>
    <w:rsid w:val="008D3921"/>
    <w:rsid w:val="008D392E"/>
    <w:rsid w:val="008D4359"/>
    <w:rsid w:val="008D448E"/>
    <w:rsid w:val="008D45F8"/>
    <w:rsid w:val="008D4D10"/>
    <w:rsid w:val="008D53BB"/>
    <w:rsid w:val="008D5A1F"/>
    <w:rsid w:val="008D5C88"/>
    <w:rsid w:val="008D5D8F"/>
    <w:rsid w:val="008D5FA9"/>
    <w:rsid w:val="008D61D2"/>
    <w:rsid w:val="008D65F9"/>
    <w:rsid w:val="008D66F2"/>
    <w:rsid w:val="008D7059"/>
    <w:rsid w:val="008D7D01"/>
    <w:rsid w:val="008E01A5"/>
    <w:rsid w:val="008E034F"/>
    <w:rsid w:val="008E0533"/>
    <w:rsid w:val="008E09A9"/>
    <w:rsid w:val="008E118F"/>
    <w:rsid w:val="008E1556"/>
    <w:rsid w:val="008E1ACB"/>
    <w:rsid w:val="008E20B7"/>
    <w:rsid w:val="008E2553"/>
    <w:rsid w:val="008E270E"/>
    <w:rsid w:val="008E29C4"/>
    <w:rsid w:val="008E3229"/>
    <w:rsid w:val="008E33C5"/>
    <w:rsid w:val="008E35B6"/>
    <w:rsid w:val="008E36A2"/>
    <w:rsid w:val="008E36D0"/>
    <w:rsid w:val="008E3BC3"/>
    <w:rsid w:val="008E4197"/>
    <w:rsid w:val="008E4320"/>
    <w:rsid w:val="008E43CE"/>
    <w:rsid w:val="008E453D"/>
    <w:rsid w:val="008E4F0A"/>
    <w:rsid w:val="008E4F2B"/>
    <w:rsid w:val="008E5ABA"/>
    <w:rsid w:val="008E5CC7"/>
    <w:rsid w:val="008E6599"/>
    <w:rsid w:val="008E663E"/>
    <w:rsid w:val="008E6C2C"/>
    <w:rsid w:val="008E6EF3"/>
    <w:rsid w:val="008E72C0"/>
    <w:rsid w:val="008E776D"/>
    <w:rsid w:val="008E780C"/>
    <w:rsid w:val="008E7AC6"/>
    <w:rsid w:val="008F0374"/>
    <w:rsid w:val="008F0442"/>
    <w:rsid w:val="008F053C"/>
    <w:rsid w:val="008F0711"/>
    <w:rsid w:val="008F0C13"/>
    <w:rsid w:val="008F119C"/>
    <w:rsid w:val="008F13A8"/>
    <w:rsid w:val="008F145E"/>
    <w:rsid w:val="008F14FB"/>
    <w:rsid w:val="008F1751"/>
    <w:rsid w:val="008F1C34"/>
    <w:rsid w:val="008F1D60"/>
    <w:rsid w:val="008F24C3"/>
    <w:rsid w:val="008F25C9"/>
    <w:rsid w:val="008F2A89"/>
    <w:rsid w:val="008F2B20"/>
    <w:rsid w:val="008F2D56"/>
    <w:rsid w:val="008F3037"/>
    <w:rsid w:val="008F34A0"/>
    <w:rsid w:val="008F4530"/>
    <w:rsid w:val="008F4923"/>
    <w:rsid w:val="008F4941"/>
    <w:rsid w:val="008F4963"/>
    <w:rsid w:val="008F4D17"/>
    <w:rsid w:val="008F4EAB"/>
    <w:rsid w:val="008F5314"/>
    <w:rsid w:val="008F5952"/>
    <w:rsid w:val="008F5B75"/>
    <w:rsid w:val="008F5D07"/>
    <w:rsid w:val="008F6581"/>
    <w:rsid w:val="008F68FE"/>
    <w:rsid w:val="008F6985"/>
    <w:rsid w:val="008F6E38"/>
    <w:rsid w:val="008F7648"/>
    <w:rsid w:val="008F774B"/>
    <w:rsid w:val="008F77F1"/>
    <w:rsid w:val="008F7A25"/>
    <w:rsid w:val="008F7EE8"/>
    <w:rsid w:val="008F7FD0"/>
    <w:rsid w:val="00900157"/>
    <w:rsid w:val="00900C4B"/>
    <w:rsid w:val="00901044"/>
    <w:rsid w:val="00901166"/>
    <w:rsid w:val="00901785"/>
    <w:rsid w:val="00901ABE"/>
    <w:rsid w:val="00901B55"/>
    <w:rsid w:val="009021A6"/>
    <w:rsid w:val="0090244E"/>
    <w:rsid w:val="009024BA"/>
    <w:rsid w:val="0090252C"/>
    <w:rsid w:val="0090298B"/>
    <w:rsid w:val="00902E92"/>
    <w:rsid w:val="00902EFE"/>
    <w:rsid w:val="00903046"/>
    <w:rsid w:val="00903054"/>
    <w:rsid w:val="009031E8"/>
    <w:rsid w:val="0090392E"/>
    <w:rsid w:val="00903D61"/>
    <w:rsid w:val="00903F67"/>
    <w:rsid w:val="00904441"/>
    <w:rsid w:val="009046BE"/>
    <w:rsid w:val="00905014"/>
    <w:rsid w:val="009050DA"/>
    <w:rsid w:val="0090515E"/>
    <w:rsid w:val="009054E2"/>
    <w:rsid w:val="00905C1C"/>
    <w:rsid w:val="00906BC4"/>
    <w:rsid w:val="00906F2A"/>
    <w:rsid w:val="00907453"/>
    <w:rsid w:val="009075F4"/>
    <w:rsid w:val="009075FD"/>
    <w:rsid w:val="00907744"/>
    <w:rsid w:val="00907A02"/>
    <w:rsid w:val="00907B36"/>
    <w:rsid w:val="00910657"/>
    <w:rsid w:val="009106C5"/>
    <w:rsid w:val="00910CFE"/>
    <w:rsid w:val="0091103A"/>
    <w:rsid w:val="00911389"/>
    <w:rsid w:val="009118A6"/>
    <w:rsid w:val="00911F49"/>
    <w:rsid w:val="00911FB4"/>
    <w:rsid w:val="0091249F"/>
    <w:rsid w:val="0091281E"/>
    <w:rsid w:val="00912895"/>
    <w:rsid w:val="00912C87"/>
    <w:rsid w:val="00912CF6"/>
    <w:rsid w:val="00912D84"/>
    <w:rsid w:val="00912F27"/>
    <w:rsid w:val="00913072"/>
    <w:rsid w:val="00913414"/>
    <w:rsid w:val="00913582"/>
    <w:rsid w:val="009136FF"/>
    <w:rsid w:val="009139EC"/>
    <w:rsid w:val="00913C40"/>
    <w:rsid w:val="00913E2C"/>
    <w:rsid w:val="00914289"/>
    <w:rsid w:val="00914428"/>
    <w:rsid w:val="009145C3"/>
    <w:rsid w:val="0091478F"/>
    <w:rsid w:val="00914825"/>
    <w:rsid w:val="00914AE4"/>
    <w:rsid w:val="00914E2B"/>
    <w:rsid w:val="0091535C"/>
    <w:rsid w:val="009153F9"/>
    <w:rsid w:val="00915588"/>
    <w:rsid w:val="0091560A"/>
    <w:rsid w:val="00915C1F"/>
    <w:rsid w:val="00915DDE"/>
    <w:rsid w:val="00915E1B"/>
    <w:rsid w:val="00915FBE"/>
    <w:rsid w:val="00916181"/>
    <w:rsid w:val="0091662B"/>
    <w:rsid w:val="009166C6"/>
    <w:rsid w:val="00916AFB"/>
    <w:rsid w:val="00916B0B"/>
    <w:rsid w:val="00916DC4"/>
    <w:rsid w:val="00917016"/>
    <w:rsid w:val="009174DD"/>
    <w:rsid w:val="00917609"/>
    <w:rsid w:val="00917716"/>
    <w:rsid w:val="009177B7"/>
    <w:rsid w:val="00917DD8"/>
    <w:rsid w:val="0092029D"/>
    <w:rsid w:val="0092054D"/>
    <w:rsid w:val="00920869"/>
    <w:rsid w:val="00920F6D"/>
    <w:rsid w:val="00920FA2"/>
    <w:rsid w:val="0092104D"/>
    <w:rsid w:val="009211CA"/>
    <w:rsid w:val="0092134F"/>
    <w:rsid w:val="009214D8"/>
    <w:rsid w:val="0092194D"/>
    <w:rsid w:val="00921D28"/>
    <w:rsid w:val="009220A6"/>
    <w:rsid w:val="009228D5"/>
    <w:rsid w:val="00922E66"/>
    <w:rsid w:val="00923048"/>
    <w:rsid w:val="009230D0"/>
    <w:rsid w:val="009235DE"/>
    <w:rsid w:val="009238A1"/>
    <w:rsid w:val="009238C2"/>
    <w:rsid w:val="00923B11"/>
    <w:rsid w:val="009244A5"/>
    <w:rsid w:val="0092461D"/>
    <w:rsid w:val="00924A83"/>
    <w:rsid w:val="00924D55"/>
    <w:rsid w:val="00924EB2"/>
    <w:rsid w:val="00924FC5"/>
    <w:rsid w:val="0092511E"/>
    <w:rsid w:val="009253ED"/>
    <w:rsid w:val="00925A58"/>
    <w:rsid w:val="00925A5B"/>
    <w:rsid w:val="00925DCF"/>
    <w:rsid w:val="009263EC"/>
    <w:rsid w:val="009268C1"/>
    <w:rsid w:val="00926A15"/>
    <w:rsid w:val="00926A58"/>
    <w:rsid w:val="00926C5C"/>
    <w:rsid w:val="009273E1"/>
    <w:rsid w:val="009274C9"/>
    <w:rsid w:val="009277FA"/>
    <w:rsid w:val="00927A1E"/>
    <w:rsid w:val="00927C56"/>
    <w:rsid w:val="00930222"/>
    <w:rsid w:val="00930270"/>
    <w:rsid w:val="0093036D"/>
    <w:rsid w:val="0093068F"/>
    <w:rsid w:val="00930CCB"/>
    <w:rsid w:val="0093134C"/>
    <w:rsid w:val="00931440"/>
    <w:rsid w:val="00931578"/>
    <w:rsid w:val="00931628"/>
    <w:rsid w:val="00932028"/>
    <w:rsid w:val="009322A8"/>
    <w:rsid w:val="009322B5"/>
    <w:rsid w:val="009324B4"/>
    <w:rsid w:val="00932642"/>
    <w:rsid w:val="00932B5D"/>
    <w:rsid w:val="00932B78"/>
    <w:rsid w:val="00932D59"/>
    <w:rsid w:val="00932DFF"/>
    <w:rsid w:val="00932F05"/>
    <w:rsid w:val="00932F2A"/>
    <w:rsid w:val="00933076"/>
    <w:rsid w:val="009330EB"/>
    <w:rsid w:val="009331C2"/>
    <w:rsid w:val="00933852"/>
    <w:rsid w:val="00933921"/>
    <w:rsid w:val="0093483F"/>
    <w:rsid w:val="00934995"/>
    <w:rsid w:val="00934B6D"/>
    <w:rsid w:val="00934B82"/>
    <w:rsid w:val="00934C07"/>
    <w:rsid w:val="00934F55"/>
    <w:rsid w:val="00935318"/>
    <w:rsid w:val="00935457"/>
    <w:rsid w:val="00935492"/>
    <w:rsid w:val="009355F6"/>
    <w:rsid w:val="009358B9"/>
    <w:rsid w:val="00935A70"/>
    <w:rsid w:val="00935BA5"/>
    <w:rsid w:val="00935BE6"/>
    <w:rsid w:val="00935D7F"/>
    <w:rsid w:val="00935EFE"/>
    <w:rsid w:val="00935F07"/>
    <w:rsid w:val="00936044"/>
    <w:rsid w:val="00936387"/>
    <w:rsid w:val="009364FD"/>
    <w:rsid w:val="00936C8B"/>
    <w:rsid w:val="00936F0F"/>
    <w:rsid w:val="00936F1A"/>
    <w:rsid w:val="0093739E"/>
    <w:rsid w:val="009378D7"/>
    <w:rsid w:val="009379BF"/>
    <w:rsid w:val="009400A2"/>
    <w:rsid w:val="00940148"/>
    <w:rsid w:val="009403E3"/>
    <w:rsid w:val="009405A8"/>
    <w:rsid w:val="00940B28"/>
    <w:rsid w:val="00940D3A"/>
    <w:rsid w:val="0094181D"/>
    <w:rsid w:val="00941C74"/>
    <w:rsid w:val="00941D55"/>
    <w:rsid w:val="009424FD"/>
    <w:rsid w:val="00942814"/>
    <w:rsid w:val="009428DA"/>
    <w:rsid w:val="00942D01"/>
    <w:rsid w:val="00942F76"/>
    <w:rsid w:val="0094389D"/>
    <w:rsid w:val="00944164"/>
    <w:rsid w:val="00944302"/>
    <w:rsid w:val="009446D6"/>
    <w:rsid w:val="00944D7D"/>
    <w:rsid w:val="00944E59"/>
    <w:rsid w:val="009450A9"/>
    <w:rsid w:val="00945176"/>
    <w:rsid w:val="00945329"/>
    <w:rsid w:val="00945631"/>
    <w:rsid w:val="00945859"/>
    <w:rsid w:val="00945910"/>
    <w:rsid w:val="00945A2C"/>
    <w:rsid w:val="00945B0A"/>
    <w:rsid w:val="00945B27"/>
    <w:rsid w:val="00945C5B"/>
    <w:rsid w:val="00945C88"/>
    <w:rsid w:val="00945CA0"/>
    <w:rsid w:val="00945DD1"/>
    <w:rsid w:val="00945F07"/>
    <w:rsid w:val="009462C1"/>
    <w:rsid w:val="0094676A"/>
    <w:rsid w:val="00946883"/>
    <w:rsid w:val="00946B9B"/>
    <w:rsid w:val="0094725A"/>
    <w:rsid w:val="0094742B"/>
    <w:rsid w:val="00947879"/>
    <w:rsid w:val="00947C4A"/>
    <w:rsid w:val="00947D5C"/>
    <w:rsid w:val="0095028C"/>
    <w:rsid w:val="009503C7"/>
    <w:rsid w:val="00950434"/>
    <w:rsid w:val="009508C4"/>
    <w:rsid w:val="009508D1"/>
    <w:rsid w:val="00950A90"/>
    <w:rsid w:val="00951BED"/>
    <w:rsid w:val="0095200B"/>
    <w:rsid w:val="009520CE"/>
    <w:rsid w:val="009524F0"/>
    <w:rsid w:val="00952568"/>
    <w:rsid w:val="009526C7"/>
    <w:rsid w:val="00952925"/>
    <w:rsid w:val="00952AB2"/>
    <w:rsid w:val="00952C34"/>
    <w:rsid w:val="00952DA9"/>
    <w:rsid w:val="00952E99"/>
    <w:rsid w:val="00953124"/>
    <w:rsid w:val="00953219"/>
    <w:rsid w:val="00953C0C"/>
    <w:rsid w:val="00953D26"/>
    <w:rsid w:val="00953E7E"/>
    <w:rsid w:val="00954693"/>
    <w:rsid w:val="00954D30"/>
    <w:rsid w:val="00955048"/>
    <w:rsid w:val="0095557D"/>
    <w:rsid w:val="009560BA"/>
    <w:rsid w:val="0095644E"/>
    <w:rsid w:val="009567C2"/>
    <w:rsid w:val="00956F36"/>
    <w:rsid w:val="00956F65"/>
    <w:rsid w:val="0095732C"/>
    <w:rsid w:val="009573CB"/>
    <w:rsid w:val="0095740B"/>
    <w:rsid w:val="00957547"/>
    <w:rsid w:val="0095779A"/>
    <w:rsid w:val="0095780B"/>
    <w:rsid w:val="00957B1B"/>
    <w:rsid w:val="00960056"/>
    <w:rsid w:val="009600DA"/>
    <w:rsid w:val="009601C9"/>
    <w:rsid w:val="009602D3"/>
    <w:rsid w:val="0096048E"/>
    <w:rsid w:val="00960D3E"/>
    <w:rsid w:val="00960D97"/>
    <w:rsid w:val="009613D2"/>
    <w:rsid w:val="00961786"/>
    <w:rsid w:val="00961A0E"/>
    <w:rsid w:val="00961FDE"/>
    <w:rsid w:val="009626ED"/>
    <w:rsid w:val="00962881"/>
    <w:rsid w:val="00962A27"/>
    <w:rsid w:val="00962DC4"/>
    <w:rsid w:val="00962E56"/>
    <w:rsid w:val="009635CB"/>
    <w:rsid w:val="0096368F"/>
    <w:rsid w:val="00963A89"/>
    <w:rsid w:val="00963B10"/>
    <w:rsid w:val="00964342"/>
    <w:rsid w:val="009645AB"/>
    <w:rsid w:val="00964F88"/>
    <w:rsid w:val="00965074"/>
    <w:rsid w:val="009650AA"/>
    <w:rsid w:val="00965516"/>
    <w:rsid w:val="00965BA3"/>
    <w:rsid w:val="009662F1"/>
    <w:rsid w:val="00966743"/>
    <w:rsid w:val="0096686B"/>
    <w:rsid w:val="009669B9"/>
    <w:rsid w:val="00966C3E"/>
    <w:rsid w:val="00966EC8"/>
    <w:rsid w:val="00966F68"/>
    <w:rsid w:val="00967894"/>
    <w:rsid w:val="00970562"/>
    <w:rsid w:val="009705A1"/>
    <w:rsid w:val="00970A49"/>
    <w:rsid w:val="00970AEC"/>
    <w:rsid w:val="00970AF9"/>
    <w:rsid w:val="00970B19"/>
    <w:rsid w:val="00970D54"/>
    <w:rsid w:val="00970EC3"/>
    <w:rsid w:val="00970F49"/>
    <w:rsid w:val="0097131B"/>
    <w:rsid w:val="00971485"/>
    <w:rsid w:val="009714AD"/>
    <w:rsid w:val="00971AAB"/>
    <w:rsid w:val="00971CB7"/>
    <w:rsid w:val="0097271A"/>
    <w:rsid w:val="00972A96"/>
    <w:rsid w:val="00972C05"/>
    <w:rsid w:val="00972F88"/>
    <w:rsid w:val="00973114"/>
    <w:rsid w:val="00973164"/>
    <w:rsid w:val="0097371E"/>
    <w:rsid w:val="009737E3"/>
    <w:rsid w:val="00973A0A"/>
    <w:rsid w:val="00973C95"/>
    <w:rsid w:val="009741A3"/>
    <w:rsid w:val="0097444A"/>
    <w:rsid w:val="00974986"/>
    <w:rsid w:val="00974FAD"/>
    <w:rsid w:val="009751CB"/>
    <w:rsid w:val="00975313"/>
    <w:rsid w:val="009754A7"/>
    <w:rsid w:val="0097556B"/>
    <w:rsid w:val="0097585B"/>
    <w:rsid w:val="00976427"/>
    <w:rsid w:val="00976673"/>
    <w:rsid w:val="0097675D"/>
    <w:rsid w:val="00976894"/>
    <w:rsid w:val="00976C54"/>
    <w:rsid w:val="00977333"/>
    <w:rsid w:val="009778F5"/>
    <w:rsid w:val="00980404"/>
    <w:rsid w:val="00980416"/>
    <w:rsid w:val="00980F76"/>
    <w:rsid w:val="009810DC"/>
    <w:rsid w:val="00981368"/>
    <w:rsid w:val="0098169A"/>
    <w:rsid w:val="00981AB9"/>
    <w:rsid w:val="00981ADF"/>
    <w:rsid w:val="00981BB7"/>
    <w:rsid w:val="00982300"/>
    <w:rsid w:val="00982439"/>
    <w:rsid w:val="0098287E"/>
    <w:rsid w:val="009828CF"/>
    <w:rsid w:val="00982A80"/>
    <w:rsid w:val="00982F4E"/>
    <w:rsid w:val="00983712"/>
    <w:rsid w:val="009839EB"/>
    <w:rsid w:val="00983C3A"/>
    <w:rsid w:val="00984D49"/>
    <w:rsid w:val="00984E56"/>
    <w:rsid w:val="0098511F"/>
    <w:rsid w:val="009851FD"/>
    <w:rsid w:val="009853A1"/>
    <w:rsid w:val="009858F2"/>
    <w:rsid w:val="00985935"/>
    <w:rsid w:val="00985B7D"/>
    <w:rsid w:val="00985BA4"/>
    <w:rsid w:val="00985C53"/>
    <w:rsid w:val="00985FBF"/>
    <w:rsid w:val="009861BB"/>
    <w:rsid w:val="0098621A"/>
    <w:rsid w:val="0098645F"/>
    <w:rsid w:val="0098654D"/>
    <w:rsid w:val="00986749"/>
    <w:rsid w:val="009869AA"/>
    <w:rsid w:val="00986C78"/>
    <w:rsid w:val="00987171"/>
    <w:rsid w:val="00987388"/>
    <w:rsid w:val="00987615"/>
    <w:rsid w:val="00987C58"/>
    <w:rsid w:val="00987D29"/>
    <w:rsid w:val="00987F8A"/>
    <w:rsid w:val="00990489"/>
    <w:rsid w:val="009905E9"/>
    <w:rsid w:val="0099088A"/>
    <w:rsid w:val="0099169B"/>
    <w:rsid w:val="009917FE"/>
    <w:rsid w:val="00991CA7"/>
    <w:rsid w:val="00991CAD"/>
    <w:rsid w:val="00992100"/>
    <w:rsid w:val="009929AD"/>
    <w:rsid w:val="009929F2"/>
    <w:rsid w:val="00992B1B"/>
    <w:rsid w:val="00992BB3"/>
    <w:rsid w:val="00992F31"/>
    <w:rsid w:val="00992F81"/>
    <w:rsid w:val="00993184"/>
    <w:rsid w:val="0099321F"/>
    <w:rsid w:val="00993358"/>
    <w:rsid w:val="00993762"/>
    <w:rsid w:val="009937BB"/>
    <w:rsid w:val="00994583"/>
    <w:rsid w:val="009945AB"/>
    <w:rsid w:val="00994762"/>
    <w:rsid w:val="00994FC5"/>
    <w:rsid w:val="009950AF"/>
    <w:rsid w:val="009951E2"/>
    <w:rsid w:val="00995377"/>
    <w:rsid w:val="00995496"/>
    <w:rsid w:val="00995731"/>
    <w:rsid w:val="00995C94"/>
    <w:rsid w:val="00995EF3"/>
    <w:rsid w:val="00996A87"/>
    <w:rsid w:val="00996CD4"/>
    <w:rsid w:val="00996D89"/>
    <w:rsid w:val="00996E10"/>
    <w:rsid w:val="00997106"/>
    <w:rsid w:val="009974C7"/>
    <w:rsid w:val="0099790F"/>
    <w:rsid w:val="00997A1F"/>
    <w:rsid w:val="00997A44"/>
    <w:rsid w:val="009A006A"/>
    <w:rsid w:val="009A0137"/>
    <w:rsid w:val="009A02F2"/>
    <w:rsid w:val="009A0491"/>
    <w:rsid w:val="009A05F9"/>
    <w:rsid w:val="009A0B91"/>
    <w:rsid w:val="009A0CBD"/>
    <w:rsid w:val="009A0EE8"/>
    <w:rsid w:val="009A0EF0"/>
    <w:rsid w:val="009A147B"/>
    <w:rsid w:val="009A14F4"/>
    <w:rsid w:val="009A169A"/>
    <w:rsid w:val="009A1A83"/>
    <w:rsid w:val="009A238F"/>
    <w:rsid w:val="009A258A"/>
    <w:rsid w:val="009A2812"/>
    <w:rsid w:val="009A2B1B"/>
    <w:rsid w:val="009A3323"/>
    <w:rsid w:val="009A35B8"/>
    <w:rsid w:val="009A3839"/>
    <w:rsid w:val="009A39D4"/>
    <w:rsid w:val="009A3FC2"/>
    <w:rsid w:val="009A42E0"/>
    <w:rsid w:val="009A441B"/>
    <w:rsid w:val="009A45F6"/>
    <w:rsid w:val="009A4C90"/>
    <w:rsid w:val="009A4E4B"/>
    <w:rsid w:val="009A4EB0"/>
    <w:rsid w:val="009A532A"/>
    <w:rsid w:val="009A5681"/>
    <w:rsid w:val="009A5B14"/>
    <w:rsid w:val="009A5D70"/>
    <w:rsid w:val="009A5F1F"/>
    <w:rsid w:val="009A6097"/>
    <w:rsid w:val="009A6337"/>
    <w:rsid w:val="009A6783"/>
    <w:rsid w:val="009A6E42"/>
    <w:rsid w:val="009A6FBD"/>
    <w:rsid w:val="009A70DE"/>
    <w:rsid w:val="009A70F3"/>
    <w:rsid w:val="009A71ED"/>
    <w:rsid w:val="009A7276"/>
    <w:rsid w:val="009A7459"/>
    <w:rsid w:val="009A7810"/>
    <w:rsid w:val="009A7978"/>
    <w:rsid w:val="009A7C13"/>
    <w:rsid w:val="009A7C85"/>
    <w:rsid w:val="009B0145"/>
    <w:rsid w:val="009B07B3"/>
    <w:rsid w:val="009B0872"/>
    <w:rsid w:val="009B0888"/>
    <w:rsid w:val="009B0EEE"/>
    <w:rsid w:val="009B0EEF"/>
    <w:rsid w:val="009B14DE"/>
    <w:rsid w:val="009B15F2"/>
    <w:rsid w:val="009B1645"/>
    <w:rsid w:val="009B17D2"/>
    <w:rsid w:val="009B1F15"/>
    <w:rsid w:val="009B2872"/>
    <w:rsid w:val="009B2A70"/>
    <w:rsid w:val="009B2D94"/>
    <w:rsid w:val="009B2E7B"/>
    <w:rsid w:val="009B3395"/>
    <w:rsid w:val="009B34F8"/>
    <w:rsid w:val="009B3B7E"/>
    <w:rsid w:val="009B3E19"/>
    <w:rsid w:val="009B424F"/>
    <w:rsid w:val="009B46B5"/>
    <w:rsid w:val="009B48B0"/>
    <w:rsid w:val="009B5162"/>
    <w:rsid w:val="009B52DC"/>
    <w:rsid w:val="009B53F6"/>
    <w:rsid w:val="009B58F7"/>
    <w:rsid w:val="009B5AA1"/>
    <w:rsid w:val="009B5DEA"/>
    <w:rsid w:val="009B60DF"/>
    <w:rsid w:val="009B60FD"/>
    <w:rsid w:val="009B610C"/>
    <w:rsid w:val="009B6231"/>
    <w:rsid w:val="009B62BD"/>
    <w:rsid w:val="009B6382"/>
    <w:rsid w:val="009B659A"/>
    <w:rsid w:val="009B65CF"/>
    <w:rsid w:val="009B66DD"/>
    <w:rsid w:val="009B7107"/>
    <w:rsid w:val="009B73A8"/>
    <w:rsid w:val="009B76BC"/>
    <w:rsid w:val="009B7739"/>
    <w:rsid w:val="009B7765"/>
    <w:rsid w:val="009B7B90"/>
    <w:rsid w:val="009C0081"/>
    <w:rsid w:val="009C0643"/>
    <w:rsid w:val="009C067E"/>
    <w:rsid w:val="009C09A5"/>
    <w:rsid w:val="009C0DA4"/>
    <w:rsid w:val="009C0E04"/>
    <w:rsid w:val="009C139C"/>
    <w:rsid w:val="009C196F"/>
    <w:rsid w:val="009C1B16"/>
    <w:rsid w:val="009C1D8D"/>
    <w:rsid w:val="009C231A"/>
    <w:rsid w:val="009C255E"/>
    <w:rsid w:val="009C2579"/>
    <w:rsid w:val="009C2638"/>
    <w:rsid w:val="009C2702"/>
    <w:rsid w:val="009C2827"/>
    <w:rsid w:val="009C2842"/>
    <w:rsid w:val="009C2914"/>
    <w:rsid w:val="009C29DA"/>
    <w:rsid w:val="009C2F6F"/>
    <w:rsid w:val="009C3077"/>
    <w:rsid w:val="009C30AA"/>
    <w:rsid w:val="009C3169"/>
    <w:rsid w:val="009C3279"/>
    <w:rsid w:val="009C33CB"/>
    <w:rsid w:val="009C33CE"/>
    <w:rsid w:val="009C3A99"/>
    <w:rsid w:val="009C3C30"/>
    <w:rsid w:val="009C3E3F"/>
    <w:rsid w:val="009C435C"/>
    <w:rsid w:val="009C47A6"/>
    <w:rsid w:val="009C4894"/>
    <w:rsid w:val="009C48D0"/>
    <w:rsid w:val="009C4B40"/>
    <w:rsid w:val="009C522C"/>
    <w:rsid w:val="009C5470"/>
    <w:rsid w:val="009C548A"/>
    <w:rsid w:val="009C5BD9"/>
    <w:rsid w:val="009C5BF0"/>
    <w:rsid w:val="009C5D6F"/>
    <w:rsid w:val="009C5E00"/>
    <w:rsid w:val="009C5FB2"/>
    <w:rsid w:val="009C602A"/>
    <w:rsid w:val="009C6723"/>
    <w:rsid w:val="009C6813"/>
    <w:rsid w:val="009C69A1"/>
    <w:rsid w:val="009C6D8C"/>
    <w:rsid w:val="009C72C2"/>
    <w:rsid w:val="009C75B7"/>
    <w:rsid w:val="009C7A93"/>
    <w:rsid w:val="009C7FEB"/>
    <w:rsid w:val="009D017D"/>
    <w:rsid w:val="009D01FF"/>
    <w:rsid w:val="009D096C"/>
    <w:rsid w:val="009D0CE8"/>
    <w:rsid w:val="009D12A6"/>
    <w:rsid w:val="009D13DD"/>
    <w:rsid w:val="009D14CD"/>
    <w:rsid w:val="009D159C"/>
    <w:rsid w:val="009D1F2B"/>
    <w:rsid w:val="009D1F32"/>
    <w:rsid w:val="009D2230"/>
    <w:rsid w:val="009D326C"/>
    <w:rsid w:val="009D3281"/>
    <w:rsid w:val="009D328F"/>
    <w:rsid w:val="009D3410"/>
    <w:rsid w:val="009D35DB"/>
    <w:rsid w:val="009D3795"/>
    <w:rsid w:val="009D394A"/>
    <w:rsid w:val="009D3AAB"/>
    <w:rsid w:val="009D4220"/>
    <w:rsid w:val="009D42F5"/>
    <w:rsid w:val="009D4610"/>
    <w:rsid w:val="009D471C"/>
    <w:rsid w:val="009D4A99"/>
    <w:rsid w:val="009D4A9D"/>
    <w:rsid w:val="009D4B16"/>
    <w:rsid w:val="009D4CF1"/>
    <w:rsid w:val="009D4EE1"/>
    <w:rsid w:val="009D50F6"/>
    <w:rsid w:val="009D5489"/>
    <w:rsid w:val="009D559F"/>
    <w:rsid w:val="009D5971"/>
    <w:rsid w:val="009D5C22"/>
    <w:rsid w:val="009D6594"/>
    <w:rsid w:val="009D6CA2"/>
    <w:rsid w:val="009D6CCB"/>
    <w:rsid w:val="009D6DAE"/>
    <w:rsid w:val="009D6F3F"/>
    <w:rsid w:val="009E01C2"/>
    <w:rsid w:val="009E077C"/>
    <w:rsid w:val="009E12BA"/>
    <w:rsid w:val="009E16FA"/>
    <w:rsid w:val="009E179D"/>
    <w:rsid w:val="009E1C24"/>
    <w:rsid w:val="009E1F25"/>
    <w:rsid w:val="009E2DAC"/>
    <w:rsid w:val="009E2F7F"/>
    <w:rsid w:val="009E3651"/>
    <w:rsid w:val="009E3DDB"/>
    <w:rsid w:val="009E3F80"/>
    <w:rsid w:val="009E40E1"/>
    <w:rsid w:val="009E41C4"/>
    <w:rsid w:val="009E4601"/>
    <w:rsid w:val="009E47B3"/>
    <w:rsid w:val="009E56A1"/>
    <w:rsid w:val="009E5889"/>
    <w:rsid w:val="009E58F9"/>
    <w:rsid w:val="009E5BDD"/>
    <w:rsid w:val="009E5D0E"/>
    <w:rsid w:val="009E5F0D"/>
    <w:rsid w:val="009E658D"/>
    <w:rsid w:val="009E67D3"/>
    <w:rsid w:val="009E6F70"/>
    <w:rsid w:val="009E703E"/>
    <w:rsid w:val="009E70B1"/>
    <w:rsid w:val="009E7109"/>
    <w:rsid w:val="009E73F9"/>
    <w:rsid w:val="009E757B"/>
    <w:rsid w:val="009E772D"/>
    <w:rsid w:val="009E78B9"/>
    <w:rsid w:val="009E793E"/>
    <w:rsid w:val="009E7AD0"/>
    <w:rsid w:val="009E7F8A"/>
    <w:rsid w:val="009F028B"/>
    <w:rsid w:val="009F02B2"/>
    <w:rsid w:val="009F0361"/>
    <w:rsid w:val="009F0C40"/>
    <w:rsid w:val="009F13DC"/>
    <w:rsid w:val="009F148C"/>
    <w:rsid w:val="009F1564"/>
    <w:rsid w:val="009F1C39"/>
    <w:rsid w:val="009F272A"/>
    <w:rsid w:val="009F2E7D"/>
    <w:rsid w:val="009F2E97"/>
    <w:rsid w:val="009F31E4"/>
    <w:rsid w:val="009F336C"/>
    <w:rsid w:val="009F3496"/>
    <w:rsid w:val="009F38B9"/>
    <w:rsid w:val="009F39F8"/>
    <w:rsid w:val="009F3ADF"/>
    <w:rsid w:val="009F425E"/>
    <w:rsid w:val="009F428E"/>
    <w:rsid w:val="009F43DA"/>
    <w:rsid w:val="009F478F"/>
    <w:rsid w:val="009F4AE6"/>
    <w:rsid w:val="009F4CF2"/>
    <w:rsid w:val="009F53DB"/>
    <w:rsid w:val="009F560D"/>
    <w:rsid w:val="009F58CC"/>
    <w:rsid w:val="009F5A55"/>
    <w:rsid w:val="009F5A7D"/>
    <w:rsid w:val="009F5BD0"/>
    <w:rsid w:val="009F5F48"/>
    <w:rsid w:val="009F6015"/>
    <w:rsid w:val="009F6142"/>
    <w:rsid w:val="009F6485"/>
    <w:rsid w:val="009F68E3"/>
    <w:rsid w:val="009F6B4B"/>
    <w:rsid w:val="009F6CD8"/>
    <w:rsid w:val="009F6F87"/>
    <w:rsid w:val="009F70CA"/>
    <w:rsid w:val="009F7423"/>
    <w:rsid w:val="009F743E"/>
    <w:rsid w:val="009F7A9E"/>
    <w:rsid w:val="009F7C9C"/>
    <w:rsid w:val="009F7CC0"/>
    <w:rsid w:val="00A001C3"/>
    <w:rsid w:val="00A00233"/>
    <w:rsid w:val="00A005AB"/>
    <w:rsid w:val="00A00825"/>
    <w:rsid w:val="00A00A35"/>
    <w:rsid w:val="00A00ADC"/>
    <w:rsid w:val="00A00B0E"/>
    <w:rsid w:val="00A00C05"/>
    <w:rsid w:val="00A00D0F"/>
    <w:rsid w:val="00A00D25"/>
    <w:rsid w:val="00A00FBB"/>
    <w:rsid w:val="00A0114E"/>
    <w:rsid w:val="00A01236"/>
    <w:rsid w:val="00A0132C"/>
    <w:rsid w:val="00A01353"/>
    <w:rsid w:val="00A018A4"/>
    <w:rsid w:val="00A01A8C"/>
    <w:rsid w:val="00A01CA8"/>
    <w:rsid w:val="00A01D30"/>
    <w:rsid w:val="00A01F24"/>
    <w:rsid w:val="00A02CED"/>
    <w:rsid w:val="00A0350B"/>
    <w:rsid w:val="00A036D5"/>
    <w:rsid w:val="00A03C97"/>
    <w:rsid w:val="00A03CA3"/>
    <w:rsid w:val="00A03D07"/>
    <w:rsid w:val="00A044F5"/>
    <w:rsid w:val="00A04523"/>
    <w:rsid w:val="00A0468B"/>
    <w:rsid w:val="00A04842"/>
    <w:rsid w:val="00A05C03"/>
    <w:rsid w:val="00A05C19"/>
    <w:rsid w:val="00A060DC"/>
    <w:rsid w:val="00A06A9D"/>
    <w:rsid w:val="00A06B9F"/>
    <w:rsid w:val="00A070F4"/>
    <w:rsid w:val="00A07224"/>
    <w:rsid w:val="00A07417"/>
    <w:rsid w:val="00A074C3"/>
    <w:rsid w:val="00A076B8"/>
    <w:rsid w:val="00A078B8"/>
    <w:rsid w:val="00A07C8E"/>
    <w:rsid w:val="00A100A1"/>
    <w:rsid w:val="00A1019A"/>
    <w:rsid w:val="00A101BC"/>
    <w:rsid w:val="00A102F1"/>
    <w:rsid w:val="00A10FC0"/>
    <w:rsid w:val="00A11571"/>
    <w:rsid w:val="00A11884"/>
    <w:rsid w:val="00A11A33"/>
    <w:rsid w:val="00A11A42"/>
    <w:rsid w:val="00A1232F"/>
    <w:rsid w:val="00A1235B"/>
    <w:rsid w:val="00A12365"/>
    <w:rsid w:val="00A1256D"/>
    <w:rsid w:val="00A12708"/>
    <w:rsid w:val="00A12AC9"/>
    <w:rsid w:val="00A13C3F"/>
    <w:rsid w:val="00A13E40"/>
    <w:rsid w:val="00A13E4B"/>
    <w:rsid w:val="00A143BD"/>
    <w:rsid w:val="00A14A93"/>
    <w:rsid w:val="00A1553A"/>
    <w:rsid w:val="00A1556C"/>
    <w:rsid w:val="00A15853"/>
    <w:rsid w:val="00A15963"/>
    <w:rsid w:val="00A15D10"/>
    <w:rsid w:val="00A162F2"/>
    <w:rsid w:val="00A1634E"/>
    <w:rsid w:val="00A1637D"/>
    <w:rsid w:val="00A16803"/>
    <w:rsid w:val="00A168EF"/>
    <w:rsid w:val="00A16BAE"/>
    <w:rsid w:val="00A1711A"/>
    <w:rsid w:val="00A172FD"/>
    <w:rsid w:val="00A1780A"/>
    <w:rsid w:val="00A179D5"/>
    <w:rsid w:val="00A17B54"/>
    <w:rsid w:val="00A21092"/>
    <w:rsid w:val="00A21610"/>
    <w:rsid w:val="00A220C2"/>
    <w:rsid w:val="00A2249E"/>
    <w:rsid w:val="00A2268C"/>
    <w:rsid w:val="00A23219"/>
    <w:rsid w:val="00A233F7"/>
    <w:rsid w:val="00A235CF"/>
    <w:rsid w:val="00A2367C"/>
    <w:rsid w:val="00A23822"/>
    <w:rsid w:val="00A23892"/>
    <w:rsid w:val="00A23B0A"/>
    <w:rsid w:val="00A24809"/>
    <w:rsid w:val="00A24969"/>
    <w:rsid w:val="00A24FF7"/>
    <w:rsid w:val="00A252F0"/>
    <w:rsid w:val="00A25495"/>
    <w:rsid w:val="00A2595C"/>
    <w:rsid w:val="00A25B9A"/>
    <w:rsid w:val="00A25C22"/>
    <w:rsid w:val="00A25E6F"/>
    <w:rsid w:val="00A26192"/>
    <w:rsid w:val="00A26354"/>
    <w:rsid w:val="00A2638F"/>
    <w:rsid w:val="00A263A9"/>
    <w:rsid w:val="00A26AB6"/>
    <w:rsid w:val="00A26BB0"/>
    <w:rsid w:val="00A2732F"/>
    <w:rsid w:val="00A2779E"/>
    <w:rsid w:val="00A277E2"/>
    <w:rsid w:val="00A2798B"/>
    <w:rsid w:val="00A27A6C"/>
    <w:rsid w:val="00A27DD7"/>
    <w:rsid w:val="00A27F6B"/>
    <w:rsid w:val="00A300C4"/>
    <w:rsid w:val="00A30A4E"/>
    <w:rsid w:val="00A30D2B"/>
    <w:rsid w:val="00A31140"/>
    <w:rsid w:val="00A311A8"/>
    <w:rsid w:val="00A315C2"/>
    <w:rsid w:val="00A31658"/>
    <w:rsid w:val="00A317AE"/>
    <w:rsid w:val="00A31B9A"/>
    <w:rsid w:val="00A31D16"/>
    <w:rsid w:val="00A31FC3"/>
    <w:rsid w:val="00A322CB"/>
    <w:rsid w:val="00A322EA"/>
    <w:rsid w:val="00A32622"/>
    <w:rsid w:val="00A33013"/>
    <w:rsid w:val="00A3352E"/>
    <w:rsid w:val="00A335CF"/>
    <w:rsid w:val="00A33AA7"/>
    <w:rsid w:val="00A33BAF"/>
    <w:rsid w:val="00A33DA6"/>
    <w:rsid w:val="00A34308"/>
    <w:rsid w:val="00A34D8B"/>
    <w:rsid w:val="00A34F88"/>
    <w:rsid w:val="00A35172"/>
    <w:rsid w:val="00A354CE"/>
    <w:rsid w:val="00A35591"/>
    <w:rsid w:val="00A35826"/>
    <w:rsid w:val="00A3585D"/>
    <w:rsid w:val="00A35B64"/>
    <w:rsid w:val="00A360AC"/>
    <w:rsid w:val="00A36542"/>
    <w:rsid w:val="00A36A2E"/>
    <w:rsid w:val="00A36EFB"/>
    <w:rsid w:val="00A37259"/>
    <w:rsid w:val="00A375DA"/>
    <w:rsid w:val="00A37C79"/>
    <w:rsid w:val="00A40428"/>
    <w:rsid w:val="00A404E6"/>
    <w:rsid w:val="00A406B5"/>
    <w:rsid w:val="00A407C3"/>
    <w:rsid w:val="00A413A1"/>
    <w:rsid w:val="00A4149F"/>
    <w:rsid w:val="00A4180D"/>
    <w:rsid w:val="00A4240A"/>
    <w:rsid w:val="00A42434"/>
    <w:rsid w:val="00A426AD"/>
    <w:rsid w:val="00A42977"/>
    <w:rsid w:val="00A42D28"/>
    <w:rsid w:val="00A430B5"/>
    <w:rsid w:val="00A43A44"/>
    <w:rsid w:val="00A43B92"/>
    <w:rsid w:val="00A43BB0"/>
    <w:rsid w:val="00A44389"/>
    <w:rsid w:val="00A4439C"/>
    <w:rsid w:val="00A4469E"/>
    <w:rsid w:val="00A44B08"/>
    <w:rsid w:val="00A44E0A"/>
    <w:rsid w:val="00A4517B"/>
    <w:rsid w:val="00A45770"/>
    <w:rsid w:val="00A45A07"/>
    <w:rsid w:val="00A45EF5"/>
    <w:rsid w:val="00A46170"/>
    <w:rsid w:val="00A4639A"/>
    <w:rsid w:val="00A463DD"/>
    <w:rsid w:val="00A46446"/>
    <w:rsid w:val="00A468B3"/>
    <w:rsid w:val="00A4692B"/>
    <w:rsid w:val="00A469C2"/>
    <w:rsid w:val="00A46D12"/>
    <w:rsid w:val="00A474C3"/>
    <w:rsid w:val="00A479C2"/>
    <w:rsid w:val="00A47A8A"/>
    <w:rsid w:val="00A47BAF"/>
    <w:rsid w:val="00A50084"/>
    <w:rsid w:val="00A50476"/>
    <w:rsid w:val="00A50675"/>
    <w:rsid w:val="00A50A48"/>
    <w:rsid w:val="00A50FBB"/>
    <w:rsid w:val="00A51241"/>
    <w:rsid w:val="00A512E4"/>
    <w:rsid w:val="00A51699"/>
    <w:rsid w:val="00A51745"/>
    <w:rsid w:val="00A5176A"/>
    <w:rsid w:val="00A51A7A"/>
    <w:rsid w:val="00A51C6F"/>
    <w:rsid w:val="00A51CE3"/>
    <w:rsid w:val="00A52046"/>
    <w:rsid w:val="00A52114"/>
    <w:rsid w:val="00A5211B"/>
    <w:rsid w:val="00A52615"/>
    <w:rsid w:val="00A533C2"/>
    <w:rsid w:val="00A53793"/>
    <w:rsid w:val="00A53E56"/>
    <w:rsid w:val="00A53FC0"/>
    <w:rsid w:val="00A5459C"/>
    <w:rsid w:val="00A548FF"/>
    <w:rsid w:val="00A553A9"/>
    <w:rsid w:val="00A55C2E"/>
    <w:rsid w:val="00A55DFC"/>
    <w:rsid w:val="00A5607A"/>
    <w:rsid w:val="00A564FD"/>
    <w:rsid w:val="00A569E3"/>
    <w:rsid w:val="00A56FD1"/>
    <w:rsid w:val="00A57264"/>
    <w:rsid w:val="00A572A0"/>
    <w:rsid w:val="00A572D5"/>
    <w:rsid w:val="00A577A0"/>
    <w:rsid w:val="00A577E9"/>
    <w:rsid w:val="00A57952"/>
    <w:rsid w:val="00A57DA7"/>
    <w:rsid w:val="00A6023C"/>
    <w:rsid w:val="00A605C9"/>
    <w:rsid w:val="00A60C0B"/>
    <w:rsid w:val="00A6147E"/>
    <w:rsid w:val="00A61560"/>
    <w:rsid w:val="00A62044"/>
    <w:rsid w:val="00A62282"/>
    <w:rsid w:val="00A62527"/>
    <w:rsid w:val="00A6282A"/>
    <w:rsid w:val="00A62990"/>
    <w:rsid w:val="00A62BBE"/>
    <w:rsid w:val="00A62D79"/>
    <w:rsid w:val="00A63672"/>
    <w:rsid w:val="00A6374E"/>
    <w:rsid w:val="00A63CDD"/>
    <w:rsid w:val="00A63E2B"/>
    <w:rsid w:val="00A64A44"/>
    <w:rsid w:val="00A64A9C"/>
    <w:rsid w:val="00A64EC7"/>
    <w:rsid w:val="00A6505D"/>
    <w:rsid w:val="00A651BA"/>
    <w:rsid w:val="00A65E8A"/>
    <w:rsid w:val="00A66232"/>
    <w:rsid w:val="00A66BA7"/>
    <w:rsid w:val="00A66D4F"/>
    <w:rsid w:val="00A66EE5"/>
    <w:rsid w:val="00A67513"/>
    <w:rsid w:val="00A67AB1"/>
    <w:rsid w:val="00A67B1D"/>
    <w:rsid w:val="00A67EA0"/>
    <w:rsid w:val="00A702E3"/>
    <w:rsid w:val="00A706E0"/>
    <w:rsid w:val="00A706EA"/>
    <w:rsid w:val="00A70742"/>
    <w:rsid w:val="00A707D6"/>
    <w:rsid w:val="00A7082B"/>
    <w:rsid w:val="00A70B04"/>
    <w:rsid w:val="00A70BC9"/>
    <w:rsid w:val="00A70CDB"/>
    <w:rsid w:val="00A71043"/>
    <w:rsid w:val="00A710EA"/>
    <w:rsid w:val="00A71713"/>
    <w:rsid w:val="00A71D4E"/>
    <w:rsid w:val="00A7225A"/>
    <w:rsid w:val="00A7251E"/>
    <w:rsid w:val="00A7280E"/>
    <w:rsid w:val="00A72DFC"/>
    <w:rsid w:val="00A730B8"/>
    <w:rsid w:val="00A7334D"/>
    <w:rsid w:val="00A73401"/>
    <w:rsid w:val="00A73902"/>
    <w:rsid w:val="00A73BFB"/>
    <w:rsid w:val="00A7408A"/>
    <w:rsid w:val="00A741FD"/>
    <w:rsid w:val="00A7436B"/>
    <w:rsid w:val="00A747F5"/>
    <w:rsid w:val="00A74901"/>
    <w:rsid w:val="00A74A0D"/>
    <w:rsid w:val="00A74B9B"/>
    <w:rsid w:val="00A74D26"/>
    <w:rsid w:val="00A74DBF"/>
    <w:rsid w:val="00A74FB4"/>
    <w:rsid w:val="00A7508F"/>
    <w:rsid w:val="00A75220"/>
    <w:rsid w:val="00A75A56"/>
    <w:rsid w:val="00A75A7D"/>
    <w:rsid w:val="00A75BE8"/>
    <w:rsid w:val="00A75C44"/>
    <w:rsid w:val="00A75CB1"/>
    <w:rsid w:val="00A75CE0"/>
    <w:rsid w:val="00A75E53"/>
    <w:rsid w:val="00A761D5"/>
    <w:rsid w:val="00A76287"/>
    <w:rsid w:val="00A765C1"/>
    <w:rsid w:val="00A766DD"/>
    <w:rsid w:val="00A766E5"/>
    <w:rsid w:val="00A76ACA"/>
    <w:rsid w:val="00A76BF6"/>
    <w:rsid w:val="00A770FC"/>
    <w:rsid w:val="00A7725E"/>
    <w:rsid w:val="00A77651"/>
    <w:rsid w:val="00A776D8"/>
    <w:rsid w:val="00A77AFA"/>
    <w:rsid w:val="00A803B0"/>
    <w:rsid w:val="00A80637"/>
    <w:rsid w:val="00A80B9D"/>
    <w:rsid w:val="00A8108A"/>
    <w:rsid w:val="00A8135D"/>
    <w:rsid w:val="00A8137D"/>
    <w:rsid w:val="00A81459"/>
    <w:rsid w:val="00A8195A"/>
    <w:rsid w:val="00A819C7"/>
    <w:rsid w:val="00A81C29"/>
    <w:rsid w:val="00A81C6C"/>
    <w:rsid w:val="00A8233D"/>
    <w:rsid w:val="00A8255C"/>
    <w:rsid w:val="00A82A64"/>
    <w:rsid w:val="00A82EA5"/>
    <w:rsid w:val="00A831F8"/>
    <w:rsid w:val="00A83226"/>
    <w:rsid w:val="00A83AC2"/>
    <w:rsid w:val="00A83B3F"/>
    <w:rsid w:val="00A83DE7"/>
    <w:rsid w:val="00A848F0"/>
    <w:rsid w:val="00A85115"/>
    <w:rsid w:val="00A851CA"/>
    <w:rsid w:val="00A851DD"/>
    <w:rsid w:val="00A852DC"/>
    <w:rsid w:val="00A85679"/>
    <w:rsid w:val="00A85C36"/>
    <w:rsid w:val="00A85C81"/>
    <w:rsid w:val="00A85D0F"/>
    <w:rsid w:val="00A861EC"/>
    <w:rsid w:val="00A8640B"/>
    <w:rsid w:val="00A8678B"/>
    <w:rsid w:val="00A86BB8"/>
    <w:rsid w:val="00A86F8A"/>
    <w:rsid w:val="00A8704E"/>
    <w:rsid w:val="00A87393"/>
    <w:rsid w:val="00A8750C"/>
    <w:rsid w:val="00A902D3"/>
    <w:rsid w:val="00A90439"/>
    <w:rsid w:val="00A90642"/>
    <w:rsid w:val="00A90FB3"/>
    <w:rsid w:val="00A912B7"/>
    <w:rsid w:val="00A9159A"/>
    <w:rsid w:val="00A91C30"/>
    <w:rsid w:val="00A91EE0"/>
    <w:rsid w:val="00A92150"/>
    <w:rsid w:val="00A92644"/>
    <w:rsid w:val="00A926AA"/>
    <w:rsid w:val="00A9277F"/>
    <w:rsid w:val="00A92889"/>
    <w:rsid w:val="00A92A77"/>
    <w:rsid w:val="00A92BA3"/>
    <w:rsid w:val="00A92C43"/>
    <w:rsid w:val="00A92D95"/>
    <w:rsid w:val="00A92EE8"/>
    <w:rsid w:val="00A9375C"/>
    <w:rsid w:val="00A938D9"/>
    <w:rsid w:val="00A93B10"/>
    <w:rsid w:val="00A93E03"/>
    <w:rsid w:val="00A9424C"/>
    <w:rsid w:val="00A94497"/>
    <w:rsid w:val="00A9468E"/>
    <w:rsid w:val="00A949CF"/>
    <w:rsid w:val="00A94ACF"/>
    <w:rsid w:val="00A94B3C"/>
    <w:rsid w:val="00A94C1B"/>
    <w:rsid w:val="00A94D1A"/>
    <w:rsid w:val="00A94D30"/>
    <w:rsid w:val="00A951AD"/>
    <w:rsid w:val="00A951B3"/>
    <w:rsid w:val="00A953C7"/>
    <w:rsid w:val="00A95EDA"/>
    <w:rsid w:val="00A9653C"/>
    <w:rsid w:val="00A96591"/>
    <w:rsid w:val="00A96799"/>
    <w:rsid w:val="00A96834"/>
    <w:rsid w:val="00A969EB"/>
    <w:rsid w:val="00A96D17"/>
    <w:rsid w:val="00A96E8A"/>
    <w:rsid w:val="00A96FF0"/>
    <w:rsid w:val="00A971A5"/>
    <w:rsid w:val="00A97236"/>
    <w:rsid w:val="00A972D8"/>
    <w:rsid w:val="00A97313"/>
    <w:rsid w:val="00A97324"/>
    <w:rsid w:val="00A973A1"/>
    <w:rsid w:val="00A978D6"/>
    <w:rsid w:val="00A97B38"/>
    <w:rsid w:val="00A97C19"/>
    <w:rsid w:val="00A97EEC"/>
    <w:rsid w:val="00A97FB7"/>
    <w:rsid w:val="00AA00F1"/>
    <w:rsid w:val="00AA0262"/>
    <w:rsid w:val="00AA0599"/>
    <w:rsid w:val="00AA0686"/>
    <w:rsid w:val="00AA08CF"/>
    <w:rsid w:val="00AA08E8"/>
    <w:rsid w:val="00AA171F"/>
    <w:rsid w:val="00AA1940"/>
    <w:rsid w:val="00AA19C5"/>
    <w:rsid w:val="00AA19ED"/>
    <w:rsid w:val="00AA1C19"/>
    <w:rsid w:val="00AA1EFE"/>
    <w:rsid w:val="00AA22A7"/>
    <w:rsid w:val="00AA23A8"/>
    <w:rsid w:val="00AA25B3"/>
    <w:rsid w:val="00AA2657"/>
    <w:rsid w:val="00AA27C4"/>
    <w:rsid w:val="00AA2859"/>
    <w:rsid w:val="00AA289C"/>
    <w:rsid w:val="00AA2BBE"/>
    <w:rsid w:val="00AA2E9A"/>
    <w:rsid w:val="00AA2FE1"/>
    <w:rsid w:val="00AA327A"/>
    <w:rsid w:val="00AA3600"/>
    <w:rsid w:val="00AA381F"/>
    <w:rsid w:val="00AA4037"/>
    <w:rsid w:val="00AA42F3"/>
    <w:rsid w:val="00AA4571"/>
    <w:rsid w:val="00AA46F5"/>
    <w:rsid w:val="00AA4B77"/>
    <w:rsid w:val="00AA4F0D"/>
    <w:rsid w:val="00AA51AD"/>
    <w:rsid w:val="00AA62BB"/>
    <w:rsid w:val="00AA6489"/>
    <w:rsid w:val="00AA6839"/>
    <w:rsid w:val="00AA6BED"/>
    <w:rsid w:val="00AA7036"/>
    <w:rsid w:val="00AA714E"/>
    <w:rsid w:val="00AA74C9"/>
    <w:rsid w:val="00AA7FA0"/>
    <w:rsid w:val="00AB0087"/>
    <w:rsid w:val="00AB01FD"/>
    <w:rsid w:val="00AB020A"/>
    <w:rsid w:val="00AB0375"/>
    <w:rsid w:val="00AB0494"/>
    <w:rsid w:val="00AB060B"/>
    <w:rsid w:val="00AB1264"/>
    <w:rsid w:val="00AB17E3"/>
    <w:rsid w:val="00AB1895"/>
    <w:rsid w:val="00AB1972"/>
    <w:rsid w:val="00AB1F4A"/>
    <w:rsid w:val="00AB232F"/>
    <w:rsid w:val="00AB2593"/>
    <w:rsid w:val="00AB2819"/>
    <w:rsid w:val="00AB2BE5"/>
    <w:rsid w:val="00AB2D75"/>
    <w:rsid w:val="00AB2F77"/>
    <w:rsid w:val="00AB3787"/>
    <w:rsid w:val="00AB3D03"/>
    <w:rsid w:val="00AB4210"/>
    <w:rsid w:val="00AB45A6"/>
    <w:rsid w:val="00AB47F3"/>
    <w:rsid w:val="00AB4B5D"/>
    <w:rsid w:val="00AB4D71"/>
    <w:rsid w:val="00AB508A"/>
    <w:rsid w:val="00AB51B2"/>
    <w:rsid w:val="00AB5330"/>
    <w:rsid w:val="00AB544A"/>
    <w:rsid w:val="00AB54C3"/>
    <w:rsid w:val="00AB58FF"/>
    <w:rsid w:val="00AB5B58"/>
    <w:rsid w:val="00AB624D"/>
    <w:rsid w:val="00AB63D6"/>
    <w:rsid w:val="00AB646B"/>
    <w:rsid w:val="00AB6AA0"/>
    <w:rsid w:val="00AB6B06"/>
    <w:rsid w:val="00AB6D93"/>
    <w:rsid w:val="00AB6F62"/>
    <w:rsid w:val="00AB78F4"/>
    <w:rsid w:val="00AB7FBA"/>
    <w:rsid w:val="00AC0221"/>
    <w:rsid w:val="00AC0AA1"/>
    <w:rsid w:val="00AC0C06"/>
    <w:rsid w:val="00AC0E1C"/>
    <w:rsid w:val="00AC116A"/>
    <w:rsid w:val="00AC1340"/>
    <w:rsid w:val="00AC1A6A"/>
    <w:rsid w:val="00AC1DA7"/>
    <w:rsid w:val="00AC2005"/>
    <w:rsid w:val="00AC20AA"/>
    <w:rsid w:val="00AC23CA"/>
    <w:rsid w:val="00AC2454"/>
    <w:rsid w:val="00AC246A"/>
    <w:rsid w:val="00AC24E1"/>
    <w:rsid w:val="00AC2641"/>
    <w:rsid w:val="00AC2785"/>
    <w:rsid w:val="00AC2BC4"/>
    <w:rsid w:val="00AC333F"/>
    <w:rsid w:val="00AC33B1"/>
    <w:rsid w:val="00AC38AC"/>
    <w:rsid w:val="00AC4B41"/>
    <w:rsid w:val="00AC4BB8"/>
    <w:rsid w:val="00AC4C90"/>
    <w:rsid w:val="00AC5A46"/>
    <w:rsid w:val="00AC5CB4"/>
    <w:rsid w:val="00AC6699"/>
    <w:rsid w:val="00AC6838"/>
    <w:rsid w:val="00AC6B73"/>
    <w:rsid w:val="00AC718B"/>
    <w:rsid w:val="00AC7190"/>
    <w:rsid w:val="00AC72F8"/>
    <w:rsid w:val="00AC738D"/>
    <w:rsid w:val="00AC7491"/>
    <w:rsid w:val="00AC76FC"/>
    <w:rsid w:val="00AC7BB8"/>
    <w:rsid w:val="00AD07F6"/>
    <w:rsid w:val="00AD0CE0"/>
    <w:rsid w:val="00AD0E39"/>
    <w:rsid w:val="00AD1BF2"/>
    <w:rsid w:val="00AD1C5C"/>
    <w:rsid w:val="00AD1EC7"/>
    <w:rsid w:val="00AD21C3"/>
    <w:rsid w:val="00AD2652"/>
    <w:rsid w:val="00AD2AE1"/>
    <w:rsid w:val="00AD3723"/>
    <w:rsid w:val="00AD37D2"/>
    <w:rsid w:val="00AD3856"/>
    <w:rsid w:val="00AD3B80"/>
    <w:rsid w:val="00AD3D5D"/>
    <w:rsid w:val="00AD3F77"/>
    <w:rsid w:val="00AD44D8"/>
    <w:rsid w:val="00AD4743"/>
    <w:rsid w:val="00AD4F9F"/>
    <w:rsid w:val="00AD4FB0"/>
    <w:rsid w:val="00AD542E"/>
    <w:rsid w:val="00AD5B35"/>
    <w:rsid w:val="00AD5DF3"/>
    <w:rsid w:val="00AD6197"/>
    <w:rsid w:val="00AD6366"/>
    <w:rsid w:val="00AD63C0"/>
    <w:rsid w:val="00AD6463"/>
    <w:rsid w:val="00AD64C4"/>
    <w:rsid w:val="00AD6AA5"/>
    <w:rsid w:val="00AD6BDE"/>
    <w:rsid w:val="00AD70FF"/>
    <w:rsid w:val="00AD7664"/>
    <w:rsid w:val="00AD78D6"/>
    <w:rsid w:val="00AD7EBD"/>
    <w:rsid w:val="00AD7F86"/>
    <w:rsid w:val="00AD7F96"/>
    <w:rsid w:val="00AE026B"/>
    <w:rsid w:val="00AE05C0"/>
    <w:rsid w:val="00AE072B"/>
    <w:rsid w:val="00AE0885"/>
    <w:rsid w:val="00AE0D34"/>
    <w:rsid w:val="00AE0F73"/>
    <w:rsid w:val="00AE1298"/>
    <w:rsid w:val="00AE148B"/>
    <w:rsid w:val="00AE1EAC"/>
    <w:rsid w:val="00AE1ED0"/>
    <w:rsid w:val="00AE1F88"/>
    <w:rsid w:val="00AE2116"/>
    <w:rsid w:val="00AE22D5"/>
    <w:rsid w:val="00AE2340"/>
    <w:rsid w:val="00AE2449"/>
    <w:rsid w:val="00AE266B"/>
    <w:rsid w:val="00AE27D0"/>
    <w:rsid w:val="00AE2837"/>
    <w:rsid w:val="00AE310E"/>
    <w:rsid w:val="00AE313B"/>
    <w:rsid w:val="00AE34BF"/>
    <w:rsid w:val="00AE3695"/>
    <w:rsid w:val="00AE3ED9"/>
    <w:rsid w:val="00AE42BD"/>
    <w:rsid w:val="00AE4BB9"/>
    <w:rsid w:val="00AE4CCD"/>
    <w:rsid w:val="00AE5356"/>
    <w:rsid w:val="00AE558D"/>
    <w:rsid w:val="00AE5B48"/>
    <w:rsid w:val="00AE65AA"/>
    <w:rsid w:val="00AE6EB4"/>
    <w:rsid w:val="00AE6FAC"/>
    <w:rsid w:val="00AE76CB"/>
    <w:rsid w:val="00AE7E84"/>
    <w:rsid w:val="00AF0ED1"/>
    <w:rsid w:val="00AF0F92"/>
    <w:rsid w:val="00AF11D0"/>
    <w:rsid w:val="00AF1234"/>
    <w:rsid w:val="00AF12EC"/>
    <w:rsid w:val="00AF1498"/>
    <w:rsid w:val="00AF16F0"/>
    <w:rsid w:val="00AF199C"/>
    <w:rsid w:val="00AF1D0D"/>
    <w:rsid w:val="00AF212C"/>
    <w:rsid w:val="00AF21CE"/>
    <w:rsid w:val="00AF2250"/>
    <w:rsid w:val="00AF25F8"/>
    <w:rsid w:val="00AF25F9"/>
    <w:rsid w:val="00AF30CE"/>
    <w:rsid w:val="00AF3B37"/>
    <w:rsid w:val="00AF3D38"/>
    <w:rsid w:val="00AF3EA8"/>
    <w:rsid w:val="00AF40B0"/>
    <w:rsid w:val="00AF4226"/>
    <w:rsid w:val="00AF42E8"/>
    <w:rsid w:val="00AF4498"/>
    <w:rsid w:val="00AF47DC"/>
    <w:rsid w:val="00AF4C88"/>
    <w:rsid w:val="00AF4D47"/>
    <w:rsid w:val="00AF4DE9"/>
    <w:rsid w:val="00AF4E38"/>
    <w:rsid w:val="00AF51FD"/>
    <w:rsid w:val="00AF5771"/>
    <w:rsid w:val="00AF581F"/>
    <w:rsid w:val="00AF583E"/>
    <w:rsid w:val="00AF5B9B"/>
    <w:rsid w:val="00AF5BE0"/>
    <w:rsid w:val="00AF5D50"/>
    <w:rsid w:val="00AF60CA"/>
    <w:rsid w:val="00AF6422"/>
    <w:rsid w:val="00AF66A8"/>
    <w:rsid w:val="00AF6ECB"/>
    <w:rsid w:val="00AF7256"/>
    <w:rsid w:val="00AF7748"/>
    <w:rsid w:val="00AF7C69"/>
    <w:rsid w:val="00B0002C"/>
    <w:rsid w:val="00B00703"/>
    <w:rsid w:val="00B00BEC"/>
    <w:rsid w:val="00B00CE7"/>
    <w:rsid w:val="00B00D96"/>
    <w:rsid w:val="00B00DCE"/>
    <w:rsid w:val="00B01025"/>
    <w:rsid w:val="00B0130A"/>
    <w:rsid w:val="00B01858"/>
    <w:rsid w:val="00B01A34"/>
    <w:rsid w:val="00B01B54"/>
    <w:rsid w:val="00B01E91"/>
    <w:rsid w:val="00B02020"/>
    <w:rsid w:val="00B022F3"/>
    <w:rsid w:val="00B02893"/>
    <w:rsid w:val="00B02AE4"/>
    <w:rsid w:val="00B02B87"/>
    <w:rsid w:val="00B02D5E"/>
    <w:rsid w:val="00B031AA"/>
    <w:rsid w:val="00B039B7"/>
    <w:rsid w:val="00B03D94"/>
    <w:rsid w:val="00B03DD4"/>
    <w:rsid w:val="00B03EC2"/>
    <w:rsid w:val="00B04223"/>
    <w:rsid w:val="00B04336"/>
    <w:rsid w:val="00B043C2"/>
    <w:rsid w:val="00B0469E"/>
    <w:rsid w:val="00B046CF"/>
    <w:rsid w:val="00B04719"/>
    <w:rsid w:val="00B04AE8"/>
    <w:rsid w:val="00B05021"/>
    <w:rsid w:val="00B05614"/>
    <w:rsid w:val="00B05673"/>
    <w:rsid w:val="00B05A64"/>
    <w:rsid w:val="00B06086"/>
    <w:rsid w:val="00B0684F"/>
    <w:rsid w:val="00B0687B"/>
    <w:rsid w:val="00B06976"/>
    <w:rsid w:val="00B06C3C"/>
    <w:rsid w:val="00B06D87"/>
    <w:rsid w:val="00B06EEA"/>
    <w:rsid w:val="00B06F4C"/>
    <w:rsid w:val="00B06F5B"/>
    <w:rsid w:val="00B070FA"/>
    <w:rsid w:val="00B0776C"/>
    <w:rsid w:val="00B100BD"/>
    <w:rsid w:val="00B1023A"/>
    <w:rsid w:val="00B10783"/>
    <w:rsid w:val="00B10875"/>
    <w:rsid w:val="00B10A33"/>
    <w:rsid w:val="00B10BCE"/>
    <w:rsid w:val="00B10C58"/>
    <w:rsid w:val="00B10F6B"/>
    <w:rsid w:val="00B114CB"/>
    <w:rsid w:val="00B11522"/>
    <w:rsid w:val="00B1180E"/>
    <w:rsid w:val="00B11884"/>
    <w:rsid w:val="00B11B49"/>
    <w:rsid w:val="00B1224C"/>
    <w:rsid w:val="00B12468"/>
    <w:rsid w:val="00B12B77"/>
    <w:rsid w:val="00B12EC7"/>
    <w:rsid w:val="00B12FC9"/>
    <w:rsid w:val="00B136F7"/>
    <w:rsid w:val="00B13DC5"/>
    <w:rsid w:val="00B13F90"/>
    <w:rsid w:val="00B14412"/>
    <w:rsid w:val="00B14C65"/>
    <w:rsid w:val="00B14F9A"/>
    <w:rsid w:val="00B1500D"/>
    <w:rsid w:val="00B1510A"/>
    <w:rsid w:val="00B151B4"/>
    <w:rsid w:val="00B152D1"/>
    <w:rsid w:val="00B153B5"/>
    <w:rsid w:val="00B15503"/>
    <w:rsid w:val="00B15693"/>
    <w:rsid w:val="00B15911"/>
    <w:rsid w:val="00B15EEF"/>
    <w:rsid w:val="00B15F3A"/>
    <w:rsid w:val="00B161A5"/>
    <w:rsid w:val="00B16FB3"/>
    <w:rsid w:val="00B17B1D"/>
    <w:rsid w:val="00B17EDE"/>
    <w:rsid w:val="00B17F62"/>
    <w:rsid w:val="00B20534"/>
    <w:rsid w:val="00B20630"/>
    <w:rsid w:val="00B206DC"/>
    <w:rsid w:val="00B209ED"/>
    <w:rsid w:val="00B20EE0"/>
    <w:rsid w:val="00B20EF2"/>
    <w:rsid w:val="00B2113A"/>
    <w:rsid w:val="00B2126F"/>
    <w:rsid w:val="00B21286"/>
    <w:rsid w:val="00B2154C"/>
    <w:rsid w:val="00B217FA"/>
    <w:rsid w:val="00B21816"/>
    <w:rsid w:val="00B2195B"/>
    <w:rsid w:val="00B21B18"/>
    <w:rsid w:val="00B21D71"/>
    <w:rsid w:val="00B21FC0"/>
    <w:rsid w:val="00B2224C"/>
    <w:rsid w:val="00B2234C"/>
    <w:rsid w:val="00B2251C"/>
    <w:rsid w:val="00B2262D"/>
    <w:rsid w:val="00B2280E"/>
    <w:rsid w:val="00B22A0D"/>
    <w:rsid w:val="00B22B18"/>
    <w:rsid w:val="00B22C04"/>
    <w:rsid w:val="00B22DFC"/>
    <w:rsid w:val="00B22F27"/>
    <w:rsid w:val="00B231A4"/>
    <w:rsid w:val="00B23623"/>
    <w:rsid w:val="00B2374A"/>
    <w:rsid w:val="00B23779"/>
    <w:rsid w:val="00B23B2E"/>
    <w:rsid w:val="00B23E4C"/>
    <w:rsid w:val="00B23EAA"/>
    <w:rsid w:val="00B24518"/>
    <w:rsid w:val="00B2487F"/>
    <w:rsid w:val="00B24A2F"/>
    <w:rsid w:val="00B24A69"/>
    <w:rsid w:val="00B24D7C"/>
    <w:rsid w:val="00B24DF5"/>
    <w:rsid w:val="00B253C3"/>
    <w:rsid w:val="00B255B5"/>
    <w:rsid w:val="00B256C7"/>
    <w:rsid w:val="00B25A8A"/>
    <w:rsid w:val="00B25A90"/>
    <w:rsid w:val="00B25AC3"/>
    <w:rsid w:val="00B25D85"/>
    <w:rsid w:val="00B25FA8"/>
    <w:rsid w:val="00B26E2C"/>
    <w:rsid w:val="00B26E82"/>
    <w:rsid w:val="00B27355"/>
    <w:rsid w:val="00B27534"/>
    <w:rsid w:val="00B2765E"/>
    <w:rsid w:val="00B27CCB"/>
    <w:rsid w:val="00B27DF6"/>
    <w:rsid w:val="00B27FC0"/>
    <w:rsid w:val="00B27FF3"/>
    <w:rsid w:val="00B30019"/>
    <w:rsid w:val="00B3049A"/>
    <w:rsid w:val="00B306B4"/>
    <w:rsid w:val="00B308E7"/>
    <w:rsid w:val="00B30A81"/>
    <w:rsid w:val="00B30AA1"/>
    <w:rsid w:val="00B30DF8"/>
    <w:rsid w:val="00B30E48"/>
    <w:rsid w:val="00B314C9"/>
    <w:rsid w:val="00B31A1C"/>
    <w:rsid w:val="00B31A4F"/>
    <w:rsid w:val="00B31F08"/>
    <w:rsid w:val="00B32D6D"/>
    <w:rsid w:val="00B33064"/>
    <w:rsid w:val="00B3318E"/>
    <w:rsid w:val="00B333AE"/>
    <w:rsid w:val="00B335A4"/>
    <w:rsid w:val="00B3398D"/>
    <w:rsid w:val="00B3424A"/>
    <w:rsid w:val="00B34312"/>
    <w:rsid w:val="00B34BF9"/>
    <w:rsid w:val="00B34C09"/>
    <w:rsid w:val="00B3525E"/>
    <w:rsid w:val="00B35A04"/>
    <w:rsid w:val="00B36659"/>
    <w:rsid w:val="00B36AC3"/>
    <w:rsid w:val="00B36C04"/>
    <w:rsid w:val="00B36C06"/>
    <w:rsid w:val="00B36C3F"/>
    <w:rsid w:val="00B36F2E"/>
    <w:rsid w:val="00B36FC6"/>
    <w:rsid w:val="00B372FB"/>
    <w:rsid w:val="00B37431"/>
    <w:rsid w:val="00B37527"/>
    <w:rsid w:val="00B37528"/>
    <w:rsid w:val="00B37981"/>
    <w:rsid w:val="00B37DF4"/>
    <w:rsid w:val="00B37ECC"/>
    <w:rsid w:val="00B40231"/>
    <w:rsid w:val="00B403CA"/>
    <w:rsid w:val="00B403EB"/>
    <w:rsid w:val="00B405F3"/>
    <w:rsid w:val="00B40753"/>
    <w:rsid w:val="00B4084F"/>
    <w:rsid w:val="00B40880"/>
    <w:rsid w:val="00B40A5E"/>
    <w:rsid w:val="00B40E25"/>
    <w:rsid w:val="00B40FB0"/>
    <w:rsid w:val="00B4139F"/>
    <w:rsid w:val="00B41543"/>
    <w:rsid w:val="00B41A0E"/>
    <w:rsid w:val="00B41AB0"/>
    <w:rsid w:val="00B41C71"/>
    <w:rsid w:val="00B42005"/>
    <w:rsid w:val="00B42432"/>
    <w:rsid w:val="00B427ED"/>
    <w:rsid w:val="00B4291E"/>
    <w:rsid w:val="00B429DF"/>
    <w:rsid w:val="00B42A8A"/>
    <w:rsid w:val="00B42DF2"/>
    <w:rsid w:val="00B430CA"/>
    <w:rsid w:val="00B4310B"/>
    <w:rsid w:val="00B43AB3"/>
    <w:rsid w:val="00B440E7"/>
    <w:rsid w:val="00B44340"/>
    <w:rsid w:val="00B4439E"/>
    <w:rsid w:val="00B446E1"/>
    <w:rsid w:val="00B448A7"/>
    <w:rsid w:val="00B44C99"/>
    <w:rsid w:val="00B44F5F"/>
    <w:rsid w:val="00B4582E"/>
    <w:rsid w:val="00B45CFA"/>
    <w:rsid w:val="00B45D34"/>
    <w:rsid w:val="00B45E28"/>
    <w:rsid w:val="00B45ED3"/>
    <w:rsid w:val="00B461DE"/>
    <w:rsid w:val="00B463B6"/>
    <w:rsid w:val="00B46757"/>
    <w:rsid w:val="00B469E2"/>
    <w:rsid w:val="00B46C3A"/>
    <w:rsid w:val="00B46DB3"/>
    <w:rsid w:val="00B46ED6"/>
    <w:rsid w:val="00B47147"/>
    <w:rsid w:val="00B476A0"/>
    <w:rsid w:val="00B4773F"/>
    <w:rsid w:val="00B47865"/>
    <w:rsid w:val="00B479A4"/>
    <w:rsid w:val="00B47ABC"/>
    <w:rsid w:val="00B50045"/>
    <w:rsid w:val="00B5042B"/>
    <w:rsid w:val="00B505B6"/>
    <w:rsid w:val="00B5073E"/>
    <w:rsid w:val="00B50B59"/>
    <w:rsid w:val="00B50C98"/>
    <w:rsid w:val="00B50D10"/>
    <w:rsid w:val="00B50F8B"/>
    <w:rsid w:val="00B515CE"/>
    <w:rsid w:val="00B51722"/>
    <w:rsid w:val="00B51A98"/>
    <w:rsid w:val="00B5218A"/>
    <w:rsid w:val="00B5290B"/>
    <w:rsid w:val="00B52D2E"/>
    <w:rsid w:val="00B52D75"/>
    <w:rsid w:val="00B530F4"/>
    <w:rsid w:val="00B53685"/>
    <w:rsid w:val="00B53CD4"/>
    <w:rsid w:val="00B53D19"/>
    <w:rsid w:val="00B540A4"/>
    <w:rsid w:val="00B54261"/>
    <w:rsid w:val="00B5431D"/>
    <w:rsid w:val="00B543EA"/>
    <w:rsid w:val="00B548CB"/>
    <w:rsid w:val="00B552D1"/>
    <w:rsid w:val="00B555DD"/>
    <w:rsid w:val="00B556DE"/>
    <w:rsid w:val="00B559FC"/>
    <w:rsid w:val="00B55E29"/>
    <w:rsid w:val="00B5649C"/>
    <w:rsid w:val="00B5678D"/>
    <w:rsid w:val="00B567F4"/>
    <w:rsid w:val="00B56C7D"/>
    <w:rsid w:val="00B57129"/>
    <w:rsid w:val="00B573A3"/>
    <w:rsid w:val="00B575AD"/>
    <w:rsid w:val="00B57CE6"/>
    <w:rsid w:val="00B57EE8"/>
    <w:rsid w:val="00B57F3C"/>
    <w:rsid w:val="00B57F5A"/>
    <w:rsid w:val="00B608B3"/>
    <w:rsid w:val="00B60A54"/>
    <w:rsid w:val="00B60A67"/>
    <w:rsid w:val="00B60CCE"/>
    <w:rsid w:val="00B60D7F"/>
    <w:rsid w:val="00B616C7"/>
    <w:rsid w:val="00B618D9"/>
    <w:rsid w:val="00B6199C"/>
    <w:rsid w:val="00B61E0C"/>
    <w:rsid w:val="00B61EBD"/>
    <w:rsid w:val="00B61EF0"/>
    <w:rsid w:val="00B61F37"/>
    <w:rsid w:val="00B61FCC"/>
    <w:rsid w:val="00B61FF2"/>
    <w:rsid w:val="00B6210A"/>
    <w:rsid w:val="00B6266E"/>
    <w:rsid w:val="00B62885"/>
    <w:rsid w:val="00B62AEB"/>
    <w:rsid w:val="00B63095"/>
    <w:rsid w:val="00B632B6"/>
    <w:rsid w:val="00B641C2"/>
    <w:rsid w:val="00B642ED"/>
    <w:rsid w:val="00B643CB"/>
    <w:rsid w:val="00B64524"/>
    <w:rsid w:val="00B6460B"/>
    <w:rsid w:val="00B64855"/>
    <w:rsid w:val="00B64955"/>
    <w:rsid w:val="00B6516E"/>
    <w:rsid w:val="00B65AB0"/>
    <w:rsid w:val="00B65BDB"/>
    <w:rsid w:val="00B66186"/>
    <w:rsid w:val="00B66D05"/>
    <w:rsid w:val="00B67122"/>
    <w:rsid w:val="00B67308"/>
    <w:rsid w:val="00B676C0"/>
    <w:rsid w:val="00B67829"/>
    <w:rsid w:val="00B67912"/>
    <w:rsid w:val="00B67D3D"/>
    <w:rsid w:val="00B70057"/>
    <w:rsid w:val="00B703B9"/>
    <w:rsid w:val="00B70479"/>
    <w:rsid w:val="00B706C5"/>
    <w:rsid w:val="00B707E8"/>
    <w:rsid w:val="00B70898"/>
    <w:rsid w:val="00B71609"/>
    <w:rsid w:val="00B7171E"/>
    <w:rsid w:val="00B7182C"/>
    <w:rsid w:val="00B71A6C"/>
    <w:rsid w:val="00B72321"/>
    <w:rsid w:val="00B7245A"/>
    <w:rsid w:val="00B725D5"/>
    <w:rsid w:val="00B7298F"/>
    <w:rsid w:val="00B72C46"/>
    <w:rsid w:val="00B72DC9"/>
    <w:rsid w:val="00B73651"/>
    <w:rsid w:val="00B73A86"/>
    <w:rsid w:val="00B74338"/>
    <w:rsid w:val="00B743F3"/>
    <w:rsid w:val="00B74734"/>
    <w:rsid w:val="00B74FCF"/>
    <w:rsid w:val="00B75010"/>
    <w:rsid w:val="00B7536D"/>
    <w:rsid w:val="00B753A3"/>
    <w:rsid w:val="00B757F9"/>
    <w:rsid w:val="00B75832"/>
    <w:rsid w:val="00B758DF"/>
    <w:rsid w:val="00B75D23"/>
    <w:rsid w:val="00B75E79"/>
    <w:rsid w:val="00B76609"/>
    <w:rsid w:val="00B766A3"/>
    <w:rsid w:val="00B767C4"/>
    <w:rsid w:val="00B77184"/>
    <w:rsid w:val="00B77474"/>
    <w:rsid w:val="00B77527"/>
    <w:rsid w:val="00B7786C"/>
    <w:rsid w:val="00B77970"/>
    <w:rsid w:val="00B77B1C"/>
    <w:rsid w:val="00B77D91"/>
    <w:rsid w:val="00B77E6B"/>
    <w:rsid w:val="00B8093C"/>
    <w:rsid w:val="00B80A49"/>
    <w:rsid w:val="00B80D06"/>
    <w:rsid w:val="00B80F7A"/>
    <w:rsid w:val="00B8104E"/>
    <w:rsid w:val="00B81114"/>
    <w:rsid w:val="00B81201"/>
    <w:rsid w:val="00B81806"/>
    <w:rsid w:val="00B818C2"/>
    <w:rsid w:val="00B81C09"/>
    <w:rsid w:val="00B81E35"/>
    <w:rsid w:val="00B81E6B"/>
    <w:rsid w:val="00B82602"/>
    <w:rsid w:val="00B82882"/>
    <w:rsid w:val="00B82CF7"/>
    <w:rsid w:val="00B82EEA"/>
    <w:rsid w:val="00B82FD3"/>
    <w:rsid w:val="00B835BC"/>
    <w:rsid w:val="00B83885"/>
    <w:rsid w:val="00B8398A"/>
    <w:rsid w:val="00B83B81"/>
    <w:rsid w:val="00B8405C"/>
    <w:rsid w:val="00B841CE"/>
    <w:rsid w:val="00B8435F"/>
    <w:rsid w:val="00B8465A"/>
    <w:rsid w:val="00B84DF4"/>
    <w:rsid w:val="00B85310"/>
    <w:rsid w:val="00B8552B"/>
    <w:rsid w:val="00B85813"/>
    <w:rsid w:val="00B859BD"/>
    <w:rsid w:val="00B85BBF"/>
    <w:rsid w:val="00B85C12"/>
    <w:rsid w:val="00B8632E"/>
    <w:rsid w:val="00B866BB"/>
    <w:rsid w:val="00B86764"/>
    <w:rsid w:val="00B867F1"/>
    <w:rsid w:val="00B86B02"/>
    <w:rsid w:val="00B86D91"/>
    <w:rsid w:val="00B87262"/>
    <w:rsid w:val="00B87C3B"/>
    <w:rsid w:val="00B900EB"/>
    <w:rsid w:val="00B90A8A"/>
    <w:rsid w:val="00B91652"/>
    <w:rsid w:val="00B91672"/>
    <w:rsid w:val="00B9185A"/>
    <w:rsid w:val="00B918CD"/>
    <w:rsid w:val="00B919F0"/>
    <w:rsid w:val="00B91CAC"/>
    <w:rsid w:val="00B91D11"/>
    <w:rsid w:val="00B91DE0"/>
    <w:rsid w:val="00B91E4A"/>
    <w:rsid w:val="00B91E61"/>
    <w:rsid w:val="00B91FE0"/>
    <w:rsid w:val="00B920B0"/>
    <w:rsid w:val="00B92232"/>
    <w:rsid w:val="00B925D0"/>
    <w:rsid w:val="00B926F3"/>
    <w:rsid w:val="00B93137"/>
    <w:rsid w:val="00B939F2"/>
    <w:rsid w:val="00B93A6F"/>
    <w:rsid w:val="00B93ADE"/>
    <w:rsid w:val="00B93B4D"/>
    <w:rsid w:val="00B93D64"/>
    <w:rsid w:val="00B93F68"/>
    <w:rsid w:val="00B941C8"/>
    <w:rsid w:val="00B94395"/>
    <w:rsid w:val="00B94519"/>
    <w:rsid w:val="00B945D3"/>
    <w:rsid w:val="00B945E9"/>
    <w:rsid w:val="00B9488D"/>
    <w:rsid w:val="00B948D5"/>
    <w:rsid w:val="00B94B1D"/>
    <w:rsid w:val="00B94C54"/>
    <w:rsid w:val="00B9589A"/>
    <w:rsid w:val="00B95A6D"/>
    <w:rsid w:val="00B95B87"/>
    <w:rsid w:val="00B95CF2"/>
    <w:rsid w:val="00B95DA7"/>
    <w:rsid w:val="00B95FC9"/>
    <w:rsid w:val="00B962A7"/>
    <w:rsid w:val="00B96CD3"/>
    <w:rsid w:val="00B96D18"/>
    <w:rsid w:val="00B96E13"/>
    <w:rsid w:val="00B97490"/>
    <w:rsid w:val="00B97631"/>
    <w:rsid w:val="00B9782D"/>
    <w:rsid w:val="00B97BD0"/>
    <w:rsid w:val="00BA0397"/>
    <w:rsid w:val="00BA0619"/>
    <w:rsid w:val="00BA0790"/>
    <w:rsid w:val="00BA0B25"/>
    <w:rsid w:val="00BA130D"/>
    <w:rsid w:val="00BA149A"/>
    <w:rsid w:val="00BA1836"/>
    <w:rsid w:val="00BA18AD"/>
    <w:rsid w:val="00BA1A4F"/>
    <w:rsid w:val="00BA1ED0"/>
    <w:rsid w:val="00BA2034"/>
    <w:rsid w:val="00BA2564"/>
    <w:rsid w:val="00BA2AFC"/>
    <w:rsid w:val="00BA36D7"/>
    <w:rsid w:val="00BA394A"/>
    <w:rsid w:val="00BA3B38"/>
    <w:rsid w:val="00BA3E21"/>
    <w:rsid w:val="00BA4136"/>
    <w:rsid w:val="00BA4716"/>
    <w:rsid w:val="00BA4F7D"/>
    <w:rsid w:val="00BA52A8"/>
    <w:rsid w:val="00BA56E4"/>
    <w:rsid w:val="00BA56EF"/>
    <w:rsid w:val="00BA57DF"/>
    <w:rsid w:val="00BA5987"/>
    <w:rsid w:val="00BA5BF5"/>
    <w:rsid w:val="00BA63EB"/>
    <w:rsid w:val="00BA6458"/>
    <w:rsid w:val="00BA6542"/>
    <w:rsid w:val="00BA6D8C"/>
    <w:rsid w:val="00BA6DC0"/>
    <w:rsid w:val="00BA7421"/>
    <w:rsid w:val="00BA74EC"/>
    <w:rsid w:val="00BA75EF"/>
    <w:rsid w:val="00BA7B62"/>
    <w:rsid w:val="00BA7BA1"/>
    <w:rsid w:val="00BA7D3D"/>
    <w:rsid w:val="00BA7D4A"/>
    <w:rsid w:val="00BB0161"/>
    <w:rsid w:val="00BB0644"/>
    <w:rsid w:val="00BB0903"/>
    <w:rsid w:val="00BB0A38"/>
    <w:rsid w:val="00BB0B57"/>
    <w:rsid w:val="00BB0D27"/>
    <w:rsid w:val="00BB0DDD"/>
    <w:rsid w:val="00BB0F52"/>
    <w:rsid w:val="00BB10F1"/>
    <w:rsid w:val="00BB120E"/>
    <w:rsid w:val="00BB1299"/>
    <w:rsid w:val="00BB14E1"/>
    <w:rsid w:val="00BB1573"/>
    <w:rsid w:val="00BB1935"/>
    <w:rsid w:val="00BB19CC"/>
    <w:rsid w:val="00BB1A12"/>
    <w:rsid w:val="00BB21B2"/>
    <w:rsid w:val="00BB255F"/>
    <w:rsid w:val="00BB25B7"/>
    <w:rsid w:val="00BB2612"/>
    <w:rsid w:val="00BB31B8"/>
    <w:rsid w:val="00BB3436"/>
    <w:rsid w:val="00BB3675"/>
    <w:rsid w:val="00BB3C9F"/>
    <w:rsid w:val="00BB4009"/>
    <w:rsid w:val="00BB40C3"/>
    <w:rsid w:val="00BB4469"/>
    <w:rsid w:val="00BB4726"/>
    <w:rsid w:val="00BB4745"/>
    <w:rsid w:val="00BB4E1C"/>
    <w:rsid w:val="00BB53AB"/>
    <w:rsid w:val="00BB5494"/>
    <w:rsid w:val="00BB5566"/>
    <w:rsid w:val="00BB55F7"/>
    <w:rsid w:val="00BB5627"/>
    <w:rsid w:val="00BB5665"/>
    <w:rsid w:val="00BB5CD0"/>
    <w:rsid w:val="00BB66DF"/>
    <w:rsid w:val="00BB6984"/>
    <w:rsid w:val="00BB6CF4"/>
    <w:rsid w:val="00BB7730"/>
    <w:rsid w:val="00BB7A95"/>
    <w:rsid w:val="00BB7F09"/>
    <w:rsid w:val="00BB7F67"/>
    <w:rsid w:val="00BC0EBA"/>
    <w:rsid w:val="00BC14D1"/>
    <w:rsid w:val="00BC1C2F"/>
    <w:rsid w:val="00BC1C8C"/>
    <w:rsid w:val="00BC1CF2"/>
    <w:rsid w:val="00BC1D23"/>
    <w:rsid w:val="00BC1D36"/>
    <w:rsid w:val="00BC1D5B"/>
    <w:rsid w:val="00BC1DC2"/>
    <w:rsid w:val="00BC21AC"/>
    <w:rsid w:val="00BC2826"/>
    <w:rsid w:val="00BC2A71"/>
    <w:rsid w:val="00BC2BC9"/>
    <w:rsid w:val="00BC2BD0"/>
    <w:rsid w:val="00BC2FC3"/>
    <w:rsid w:val="00BC32F6"/>
    <w:rsid w:val="00BC335E"/>
    <w:rsid w:val="00BC3AB8"/>
    <w:rsid w:val="00BC3C38"/>
    <w:rsid w:val="00BC3DE1"/>
    <w:rsid w:val="00BC420D"/>
    <w:rsid w:val="00BC43A7"/>
    <w:rsid w:val="00BC44EC"/>
    <w:rsid w:val="00BC4540"/>
    <w:rsid w:val="00BC4664"/>
    <w:rsid w:val="00BC478D"/>
    <w:rsid w:val="00BC4948"/>
    <w:rsid w:val="00BC4975"/>
    <w:rsid w:val="00BC49AC"/>
    <w:rsid w:val="00BC49F3"/>
    <w:rsid w:val="00BC4A08"/>
    <w:rsid w:val="00BC4C7B"/>
    <w:rsid w:val="00BC4E3F"/>
    <w:rsid w:val="00BC4E41"/>
    <w:rsid w:val="00BC545A"/>
    <w:rsid w:val="00BC5519"/>
    <w:rsid w:val="00BC5844"/>
    <w:rsid w:val="00BC5C6D"/>
    <w:rsid w:val="00BC5FD8"/>
    <w:rsid w:val="00BC61C5"/>
    <w:rsid w:val="00BC624E"/>
    <w:rsid w:val="00BC6BBC"/>
    <w:rsid w:val="00BC6C42"/>
    <w:rsid w:val="00BC72C6"/>
    <w:rsid w:val="00BC74A5"/>
    <w:rsid w:val="00BC7B1A"/>
    <w:rsid w:val="00BD03B6"/>
    <w:rsid w:val="00BD03EA"/>
    <w:rsid w:val="00BD0ACC"/>
    <w:rsid w:val="00BD0D65"/>
    <w:rsid w:val="00BD0F54"/>
    <w:rsid w:val="00BD1392"/>
    <w:rsid w:val="00BD149E"/>
    <w:rsid w:val="00BD15E5"/>
    <w:rsid w:val="00BD1782"/>
    <w:rsid w:val="00BD1824"/>
    <w:rsid w:val="00BD19A8"/>
    <w:rsid w:val="00BD1A87"/>
    <w:rsid w:val="00BD1E51"/>
    <w:rsid w:val="00BD1E94"/>
    <w:rsid w:val="00BD208C"/>
    <w:rsid w:val="00BD2F38"/>
    <w:rsid w:val="00BD2FA9"/>
    <w:rsid w:val="00BD2FB9"/>
    <w:rsid w:val="00BD30B5"/>
    <w:rsid w:val="00BD34C3"/>
    <w:rsid w:val="00BD3630"/>
    <w:rsid w:val="00BD398E"/>
    <w:rsid w:val="00BD3F4D"/>
    <w:rsid w:val="00BD4002"/>
    <w:rsid w:val="00BD416A"/>
    <w:rsid w:val="00BD448D"/>
    <w:rsid w:val="00BD44E7"/>
    <w:rsid w:val="00BD4B13"/>
    <w:rsid w:val="00BD4DF9"/>
    <w:rsid w:val="00BD4F09"/>
    <w:rsid w:val="00BD52B5"/>
    <w:rsid w:val="00BD536A"/>
    <w:rsid w:val="00BD544B"/>
    <w:rsid w:val="00BD56A1"/>
    <w:rsid w:val="00BD593D"/>
    <w:rsid w:val="00BD5B2B"/>
    <w:rsid w:val="00BD5C77"/>
    <w:rsid w:val="00BD5CF7"/>
    <w:rsid w:val="00BD60FA"/>
    <w:rsid w:val="00BD6747"/>
    <w:rsid w:val="00BD68C1"/>
    <w:rsid w:val="00BD6995"/>
    <w:rsid w:val="00BD6AD5"/>
    <w:rsid w:val="00BD71F8"/>
    <w:rsid w:val="00BD721A"/>
    <w:rsid w:val="00BD728C"/>
    <w:rsid w:val="00BD72B7"/>
    <w:rsid w:val="00BD740A"/>
    <w:rsid w:val="00BD7953"/>
    <w:rsid w:val="00BE043A"/>
    <w:rsid w:val="00BE0532"/>
    <w:rsid w:val="00BE0BA7"/>
    <w:rsid w:val="00BE1018"/>
    <w:rsid w:val="00BE12CD"/>
    <w:rsid w:val="00BE1585"/>
    <w:rsid w:val="00BE1A38"/>
    <w:rsid w:val="00BE1A80"/>
    <w:rsid w:val="00BE1CB6"/>
    <w:rsid w:val="00BE1E0D"/>
    <w:rsid w:val="00BE2009"/>
    <w:rsid w:val="00BE2180"/>
    <w:rsid w:val="00BE21B6"/>
    <w:rsid w:val="00BE24A0"/>
    <w:rsid w:val="00BE2A9C"/>
    <w:rsid w:val="00BE2D87"/>
    <w:rsid w:val="00BE312F"/>
    <w:rsid w:val="00BE3247"/>
    <w:rsid w:val="00BE332E"/>
    <w:rsid w:val="00BE346E"/>
    <w:rsid w:val="00BE369F"/>
    <w:rsid w:val="00BE37FB"/>
    <w:rsid w:val="00BE3904"/>
    <w:rsid w:val="00BE393E"/>
    <w:rsid w:val="00BE42BF"/>
    <w:rsid w:val="00BE439B"/>
    <w:rsid w:val="00BE4E4B"/>
    <w:rsid w:val="00BE5709"/>
    <w:rsid w:val="00BE5A0A"/>
    <w:rsid w:val="00BE60C7"/>
    <w:rsid w:val="00BE6169"/>
    <w:rsid w:val="00BE63D4"/>
    <w:rsid w:val="00BE64E8"/>
    <w:rsid w:val="00BE68DA"/>
    <w:rsid w:val="00BE6920"/>
    <w:rsid w:val="00BE6BE9"/>
    <w:rsid w:val="00BE6C0C"/>
    <w:rsid w:val="00BE6E04"/>
    <w:rsid w:val="00BE78A7"/>
    <w:rsid w:val="00BE7CE2"/>
    <w:rsid w:val="00BE7F7E"/>
    <w:rsid w:val="00BF0B72"/>
    <w:rsid w:val="00BF1AA4"/>
    <w:rsid w:val="00BF1B81"/>
    <w:rsid w:val="00BF1D63"/>
    <w:rsid w:val="00BF1EDB"/>
    <w:rsid w:val="00BF2272"/>
    <w:rsid w:val="00BF24EE"/>
    <w:rsid w:val="00BF29BF"/>
    <w:rsid w:val="00BF2A2C"/>
    <w:rsid w:val="00BF2A6C"/>
    <w:rsid w:val="00BF2DB1"/>
    <w:rsid w:val="00BF3289"/>
    <w:rsid w:val="00BF3810"/>
    <w:rsid w:val="00BF3C39"/>
    <w:rsid w:val="00BF3D9F"/>
    <w:rsid w:val="00BF433B"/>
    <w:rsid w:val="00BF4ABF"/>
    <w:rsid w:val="00BF4BF6"/>
    <w:rsid w:val="00BF4C03"/>
    <w:rsid w:val="00BF553A"/>
    <w:rsid w:val="00BF59EA"/>
    <w:rsid w:val="00BF5A3F"/>
    <w:rsid w:val="00BF5B50"/>
    <w:rsid w:val="00BF5DE2"/>
    <w:rsid w:val="00BF5F5A"/>
    <w:rsid w:val="00BF6061"/>
    <w:rsid w:val="00BF68A0"/>
    <w:rsid w:val="00BF7194"/>
    <w:rsid w:val="00BF750B"/>
    <w:rsid w:val="00BF75F5"/>
    <w:rsid w:val="00BF7EA1"/>
    <w:rsid w:val="00BF7F9B"/>
    <w:rsid w:val="00C00123"/>
    <w:rsid w:val="00C0026C"/>
    <w:rsid w:val="00C00281"/>
    <w:rsid w:val="00C00428"/>
    <w:rsid w:val="00C004E7"/>
    <w:rsid w:val="00C0080B"/>
    <w:rsid w:val="00C00FD0"/>
    <w:rsid w:val="00C012DC"/>
    <w:rsid w:val="00C0144E"/>
    <w:rsid w:val="00C01577"/>
    <w:rsid w:val="00C016D0"/>
    <w:rsid w:val="00C01AA6"/>
    <w:rsid w:val="00C02164"/>
    <w:rsid w:val="00C021D3"/>
    <w:rsid w:val="00C02219"/>
    <w:rsid w:val="00C023CD"/>
    <w:rsid w:val="00C02565"/>
    <w:rsid w:val="00C02AB8"/>
    <w:rsid w:val="00C03526"/>
    <w:rsid w:val="00C039AA"/>
    <w:rsid w:val="00C039D5"/>
    <w:rsid w:val="00C03ADC"/>
    <w:rsid w:val="00C03C1A"/>
    <w:rsid w:val="00C03EF2"/>
    <w:rsid w:val="00C03F72"/>
    <w:rsid w:val="00C04690"/>
    <w:rsid w:val="00C04E7B"/>
    <w:rsid w:val="00C04F46"/>
    <w:rsid w:val="00C05061"/>
    <w:rsid w:val="00C0513C"/>
    <w:rsid w:val="00C05163"/>
    <w:rsid w:val="00C05364"/>
    <w:rsid w:val="00C054F5"/>
    <w:rsid w:val="00C055E2"/>
    <w:rsid w:val="00C067E7"/>
    <w:rsid w:val="00C0701B"/>
    <w:rsid w:val="00C0712A"/>
    <w:rsid w:val="00C07168"/>
    <w:rsid w:val="00C07433"/>
    <w:rsid w:val="00C07505"/>
    <w:rsid w:val="00C0794F"/>
    <w:rsid w:val="00C07C8B"/>
    <w:rsid w:val="00C1000E"/>
    <w:rsid w:val="00C10524"/>
    <w:rsid w:val="00C10A65"/>
    <w:rsid w:val="00C10CCE"/>
    <w:rsid w:val="00C10DDA"/>
    <w:rsid w:val="00C116EB"/>
    <w:rsid w:val="00C1196F"/>
    <w:rsid w:val="00C11A1F"/>
    <w:rsid w:val="00C121F1"/>
    <w:rsid w:val="00C124F2"/>
    <w:rsid w:val="00C12703"/>
    <w:rsid w:val="00C12899"/>
    <w:rsid w:val="00C12A16"/>
    <w:rsid w:val="00C12D97"/>
    <w:rsid w:val="00C12DAE"/>
    <w:rsid w:val="00C1349A"/>
    <w:rsid w:val="00C13695"/>
    <w:rsid w:val="00C136B1"/>
    <w:rsid w:val="00C138B1"/>
    <w:rsid w:val="00C13A37"/>
    <w:rsid w:val="00C13E1F"/>
    <w:rsid w:val="00C141EC"/>
    <w:rsid w:val="00C1460B"/>
    <w:rsid w:val="00C14749"/>
    <w:rsid w:val="00C147AD"/>
    <w:rsid w:val="00C14DE6"/>
    <w:rsid w:val="00C14F79"/>
    <w:rsid w:val="00C150F8"/>
    <w:rsid w:val="00C1552D"/>
    <w:rsid w:val="00C15B70"/>
    <w:rsid w:val="00C15BF0"/>
    <w:rsid w:val="00C15C6C"/>
    <w:rsid w:val="00C163FD"/>
    <w:rsid w:val="00C16819"/>
    <w:rsid w:val="00C16932"/>
    <w:rsid w:val="00C16B35"/>
    <w:rsid w:val="00C16E90"/>
    <w:rsid w:val="00C170EB"/>
    <w:rsid w:val="00C17348"/>
    <w:rsid w:val="00C17583"/>
    <w:rsid w:val="00C178F6"/>
    <w:rsid w:val="00C179B0"/>
    <w:rsid w:val="00C2021B"/>
    <w:rsid w:val="00C203D3"/>
    <w:rsid w:val="00C20576"/>
    <w:rsid w:val="00C20600"/>
    <w:rsid w:val="00C2077F"/>
    <w:rsid w:val="00C20965"/>
    <w:rsid w:val="00C20B16"/>
    <w:rsid w:val="00C20B88"/>
    <w:rsid w:val="00C20BCD"/>
    <w:rsid w:val="00C21173"/>
    <w:rsid w:val="00C21930"/>
    <w:rsid w:val="00C21A5E"/>
    <w:rsid w:val="00C21C18"/>
    <w:rsid w:val="00C21FCB"/>
    <w:rsid w:val="00C225F3"/>
    <w:rsid w:val="00C22820"/>
    <w:rsid w:val="00C22834"/>
    <w:rsid w:val="00C22BAC"/>
    <w:rsid w:val="00C22C9D"/>
    <w:rsid w:val="00C22D95"/>
    <w:rsid w:val="00C23995"/>
    <w:rsid w:val="00C23FBA"/>
    <w:rsid w:val="00C244AB"/>
    <w:rsid w:val="00C24660"/>
    <w:rsid w:val="00C24849"/>
    <w:rsid w:val="00C24901"/>
    <w:rsid w:val="00C249F6"/>
    <w:rsid w:val="00C251C7"/>
    <w:rsid w:val="00C25256"/>
    <w:rsid w:val="00C252A5"/>
    <w:rsid w:val="00C252DE"/>
    <w:rsid w:val="00C255BD"/>
    <w:rsid w:val="00C25FDC"/>
    <w:rsid w:val="00C26053"/>
    <w:rsid w:val="00C26118"/>
    <w:rsid w:val="00C2620B"/>
    <w:rsid w:val="00C26291"/>
    <w:rsid w:val="00C2669B"/>
    <w:rsid w:val="00C266A4"/>
    <w:rsid w:val="00C26B49"/>
    <w:rsid w:val="00C26F37"/>
    <w:rsid w:val="00C26FBE"/>
    <w:rsid w:val="00C27029"/>
    <w:rsid w:val="00C2711E"/>
    <w:rsid w:val="00C27318"/>
    <w:rsid w:val="00C27372"/>
    <w:rsid w:val="00C27919"/>
    <w:rsid w:val="00C27EBD"/>
    <w:rsid w:val="00C3006E"/>
    <w:rsid w:val="00C3049A"/>
    <w:rsid w:val="00C3061F"/>
    <w:rsid w:val="00C30F09"/>
    <w:rsid w:val="00C30F85"/>
    <w:rsid w:val="00C31195"/>
    <w:rsid w:val="00C31485"/>
    <w:rsid w:val="00C3186F"/>
    <w:rsid w:val="00C31A11"/>
    <w:rsid w:val="00C31D91"/>
    <w:rsid w:val="00C31E32"/>
    <w:rsid w:val="00C31F18"/>
    <w:rsid w:val="00C32695"/>
    <w:rsid w:val="00C3279F"/>
    <w:rsid w:val="00C32A58"/>
    <w:rsid w:val="00C3309F"/>
    <w:rsid w:val="00C33273"/>
    <w:rsid w:val="00C33468"/>
    <w:rsid w:val="00C3360B"/>
    <w:rsid w:val="00C33625"/>
    <w:rsid w:val="00C33A00"/>
    <w:rsid w:val="00C33C23"/>
    <w:rsid w:val="00C34335"/>
    <w:rsid w:val="00C34845"/>
    <w:rsid w:val="00C34E91"/>
    <w:rsid w:val="00C354DC"/>
    <w:rsid w:val="00C356A9"/>
    <w:rsid w:val="00C35717"/>
    <w:rsid w:val="00C35A58"/>
    <w:rsid w:val="00C35EFF"/>
    <w:rsid w:val="00C3627B"/>
    <w:rsid w:val="00C3640A"/>
    <w:rsid w:val="00C36448"/>
    <w:rsid w:val="00C36714"/>
    <w:rsid w:val="00C36813"/>
    <w:rsid w:val="00C36BB4"/>
    <w:rsid w:val="00C36E17"/>
    <w:rsid w:val="00C36FA4"/>
    <w:rsid w:val="00C37006"/>
    <w:rsid w:val="00C370D4"/>
    <w:rsid w:val="00C37A78"/>
    <w:rsid w:val="00C37BBB"/>
    <w:rsid w:val="00C37D63"/>
    <w:rsid w:val="00C4015F"/>
    <w:rsid w:val="00C40682"/>
    <w:rsid w:val="00C411F8"/>
    <w:rsid w:val="00C41511"/>
    <w:rsid w:val="00C4231A"/>
    <w:rsid w:val="00C42993"/>
    <w:rsid w:val="00C42FC5"/>
    <w:rsid w:val="00C43725"/>
    <w:rsid w:val="00C437F8"/>
    <w:rsid w:val="00C43BCE"/>
    <w:rsid w:val="00C43C55"/>
    <w:rsid w:val="00C441FA"/>
    <w:rsid w:val="00C4438C"/>
    <w:rsid w:val="00C4447B"/>
    <w:rsid w:val="00C4449A"/>
    <w:rsid w:val="00C445C4"/>
    <w:rsid w:val="00C4467A"/>
    <w:rsid w:val="00C44684"/>
    <w:rsid w:val="00C4479F"/>
    <w:rsid w:val="00C4510C"/>
    <w:rsid w:val="00C4549E"/>
    <w:rsid w:val="00C45663"/>
    <w:rsid w:val="00C45D56"/>
    <w:rsid w:val="00C46105"/>
    <w:rsid w:val="00C461A7"/>
    <w:rsid w:val="00C46368"/>
    <w:rsid w:val="00C46383"/>
    <w:rsid w:val="00C464A4"/>
    <w:rsid w:val="00C46ADE"/>
    <w:rsid w:val="00C46DE0"/>
    <w:rsid w:val="00C46F11"/>
    <w:rsid w:val="00C476BB"/>
    <w:rsid w:val="00C4783E"/>
    <w:rsid w:val="00C5011E"/>
    <w:rsid w:val="00C506B8"/>
    <w:rsid w:val="00C50CD6"/>
    <w:rsid w:val="00C51459"/>
    <w:rsid w:val="00C516C3"/>
    <w:rsid w:val="00C51FEC"/>
    <w:rsid w:val="00C523C7"/>
    <w:rsid w:val="00C52A71"/>
    <w:rsid w:val="00C52B49"/>
    <w:rsid w:val="00C52C28"/>
    <w:rsid w:val="00C52C2D"/>
    <w:rsid w:val="00C52F66"/>
    <w:rsid w:val="00C5317E"/>
    <w:rsid w:val="00C53D06"/>
    <w:rsid w:val="00C540CA"/>
    <w:rsid w:val="00C541A1"/>
    <w:rsid w:val="00C54774"/>
    <w:rsid w:val="00C55515"/>
    <w:rsid w:val="00C5562A"/>
    <w:rsid w:val="00C55641"/>
    <w:rsid w:val="00C5599C"/>
    <w:rsid w:val="00C5599F"/>
    <w:rsid w:val="00C55B80"/>
    <w:rsid w:val="00C55BD1"/>
    <w:rsid w:val="00C55C36"/>
    <w:rsid w:val="00C560C2"/>
    <w:rsid w:val="00C56171"/>
    <w:rsid w:val="00C56290"/>
    <w:rsid w:val="00C56605"/>
    <w:rsid w:val="00C5665F"/>
    <w:rsid w:val="00C5667C"/>
    <w:rsid w:val="00C56AC8"/>
    <w:rsid w:val="00C56D5B"/>
    <w:rsid w:val="00C5704B"/>
    <w:rsid w:val="00C57235"/>
    <w:rsid w:val="00C5733B"/>
    <w:rsid w:val="00C579A0"/>
    <w:rsid w:val="00C57C34"/>
    <w:rsid w:val="00C57EF2"/>
    <w:rsid w:val="00C57F0F"/>
    <w:rsid w:val="00C60059"/>
    <w:rsid w:val="00C600BF"/>
    <w:rsid w:val="00C60210"/>
    <w:rsid w:val="00C6046A"/>
    <w:rsid w:val="00C60965"/>
    <w:rsid w:val="00C60C00"/>
    <w:rsid w:val="00C61764"/>
    <w:rsid w:val="00C620F4"/>
    <w:rsid w:val="00C6233A"/>
    <w:rsid w:val="00C62965"/>
    <w:rsid w:val="00C6320A"/>
    <w:rsid w:val="00C63470"/>
    <w:rsid w:val="00C63630"/>
    <w:rsid w:val="00C63892"/>
    <w:rsid w:val="00C63AB8"/>
    <w:rsid w:val="00C63FD2"/>
    <w:rsid w:val="00C640DE"/>
    <w:rsid w:val="00C647A4"/>
    <w:rsid w:val="00C64854"/>
    <w:rsid w:val="00C64CAE"/>
    <w:rsid w:val="00C6535A"/>
    <w:rsid w:val="00C655D9"/>
    <w:rsid w:val="00C65C67"/>
    <w:rsid w:val="00C65E99"/>
    <w:rsid w:val="00C65FE0"/>
    <w:rsid w:val="00C660F5"/>
    <w:rsid w:val="00C66B40"/>
    <w:rsid w:val="00C66C2A"/>
    <w:rsid w:val="00C66D1D"/>
    <w:rsid w:val="00C67021"/>
    <w:rsid w:val="00C672F8"/>
    <w:rsid w:val="00C67429"/>
    <w:rsid w:val="00C67C61"/>
    <w:rsid w:val="00C67C98"/>
    <w:rsid w:val="00C67ED2"/>
    <w:rsid w:val="00C70062"/>
    <w:rsid w:val="00C70330"/>
    <w:rsid w:val="00C70531"/>
    <w:rsid w:val="00C70F76"/>
    <w:rsid w:val="00C7125F"/>
    <w:rsid w:val="00C714F7"/>
    <w:rsid w:val="00C722D3"/>
    <w:rsid w:val="00C72907"/>
    <w:rsid w:val="00C7298A"/>
    <w:rsid w:val="00C72C4D"/>
    <w:rsid w:val="00C72D4C"/>
    <w:rsid w:val="00C730EF"/>
    <w:rsid w:val="00C73200"/>
    <w:rsid w:val="00C73C89"/>
    <w:rsid w:val="00C7415B"/>
    <w:rsid w:val="00C74579"/>
    <w:rsid w:val="00C7475B"/>
    <w:rsid w:val="00C747E3"/>
    <w:rsid w:val="00C7484A"/>
    <w:rsid w:val="00C75269"/>
    <w:rsid w:val="00C756C9"/>
    <w:rsid w:val="00C7593A"/>
    <w:rsid w:val="00C759E7"/>
    <w:rsid w:val="00C75D58"/>
    <w:rsid w:val="00C760B0"/>
    <w:rsid w:val="00C76579"/>
    <w:rsid w:val="00C7673E"/>
    <w:rsid w:val="00C7686C"/>
    <w:rsid w:val="00C76AE0"/>
    <w:rsid w:val="00C76E08"/>
    <w:rsid w:val="00C76F35"/>
    <w:rsid w:val="00C76FAC"/>
    <w:rsid w:val="00C7705E"/>
    <w:rsid w:val="00C77193"/>
    <w:rsid w:val="00C774CE"/>
    <w:rsid w:val="00C77A05"/>
    <w:rsid w:val="00C77B7B"/>
    <w:rsid w:val="00C77D4F"/>
    <w:rsid w:val="00C77D81"/>
    <w:rsid w:val="00C8039C"/>
    <w:rsid w:val="00C803A0"/>
    <w:rsid w:val="00C80583"/>
    <w:rsid w:val="00C805EC"/>
    <w:rsid w:val="00C8071E"/>
    <w:rsid w:val="00C8082F"/>
    <w:rsid w:val="00C80E6C"/>
    <w:rsid w:val="00C80F05"/>
    <w:rsid w:val="00C8109D"/>
    <w:rsid w:val="00C81190"/>
    <w:rsid w:val="00C81331"/>
    <w:rsid w:val="00C816B8"/>
    <w:rsid w:val="00C81868"/>
    <w:rsid w:val="00C82B0E"/>
    <w:rsid w:val="00C82BDB"/>
    <w:rsid w:val="00C82D18"/>
    <w:rsid w:val="00C82FBC"/>
    <w:rsid w:val="00C83148"/>
    <w:rsid w:val="00C83A91"/>
    <w:rsid w:val="00C83B61"/>
    <w:rsid w:val="00C83E90"/>
    <w:rsid w:val="00C84163"/>
    <w:rsid w:val="00C84537"/>
    <w:rsid w:val="00C848C1"/>
    <w:rsid w:val="00C84DA0"/>
    <w:rsid w:val="00C84EE0"/>
    <w:rsid w:val="00C84F56"/>
    <w:rsid w:val="00C852BC"/>
    <w:rsid w:val="00C852E7"/>
    <w:rsid w:val="00C85AFE"/>
    <w:rsid w:val="00C85BF9"/>
    <w:rsid w:val="00C85D11"/>
    <w:rsid w:val="00C85E56"/>
    <w:rsid w:val="00C85FB4"/>
    <w:rsid w:val="00C8633E"/>
    <w:rsid w:val="00C86946"/>
    <w:rsid w:val="00C86B92"/>
    <w:rsid w:val="00C86F64"/>
    <w:rsid w:val="00C86FC1"/>
    <w:rsid w:val="00C87294"/>
    <w:rsid w:val="00C87DF7"/>
    <w:rsid w:val="00C87F8D"/>
    <w:rsid w:val="00C87FF8"/>
    <w:rsid w:val="00C90215"/>
    <w:rsid w:val="00C9051D"/>
    <w:rsid w:val="00C90A37"/>
    <w:rsid w:val="00C90B79"/>
    <w:rsid w:val="00C90CF5"/>
    <w:rsid w:val="00C90FF0"/>
    <w:rsid w:val="00C920DF"/>
    <w:rsid w:val="00C92115"/>
    <w:rsid w:val="00C92689"/>
    <w:rsid w:val="00C92942"/>
    <w:rsid w:val="00C92A42"/>
    <w:rsid w:val="00C92AD8"/>
    <w:rsid w:val="00C92D0E"/>
    <w:rsid w:val="00C93169"/>
    <w:rsid w:val="00C93180"/>
    <w:rsid w:val="00C932CE"/>
    <w:rsid w:val="00C93650"/>
    <w:rsid w:val="00C938FF"/>
    <w:rsid w:val="00C93CCA"/>
    <w:rsid w:val="00C940F3"/>
    <w:rsid w:val="00C94625"/>
    <w:rsid w:val="00C9474D"/>
    <w:rsid w:val="00C94997"/>
    <w:rsid w:val="00C94CD5"/>
    <w:rsid w:val="00C9511B"/>
    <w:rsid w:val="00C95835"/>
    <w:rsid w:val="00C95C93"/>
    <w:rsid w:val="00C95D81"/>
    <w:rsid w:val="00C95EED"/>
    <w:rsid w:val="00C961DA"/>
    <w:rsid w:val="00C96412"/>
    <w:rsid w:val="00C9659D"/>
    <w:rsid w:val="00C9668D"/>
    <w:rsid w:val="00C96972"/>
    <w:rsid w:val="00C96A77"/>
    <w:rsid w:val="00C96B30"/>
    <w:rsid w:val="00C96D36"/>
    <w:rsid w:val="00C97282"/>
    <w:rsid w:val="00C9743F"/>
    <w:rsid w:val="00C97D74"/>
    <w:rsid w:val="00CA071C"/>
    <w:rsid w:val="00CA084D"/>
    <w:rsid w:val="00CA09D5"/>
    <w:rsid w:val="00CA0ABA"/>
    <w:rsid w:val="00CA0BAD"/>
    <w:rsid w:val="00CA0BB3"/>
    <w:rsid w:val="00CA14D6"/>
    <w:rsid w:val="00CA1601"/>
    <w:rsid w:val="00CA1A6C"/>
    <w:rsid w:val="00CA1C24"/>
    <w:rsid w:val="00CA24ED"/>
    <w:rsid w:val="00CA274C"/>
    <w:rsid w:val="00CA3255"/>
    <w:rsid w:val="00CA34B5"/>
    <w:rsid w:val="00CA3508"/>
    <w:rsid w:val="00CA3676"/>
    <w:rsid w:val="00CA381E"/>
    <w:rsid w:val="00CA3A25"/>
    <w:rsid w:val="00CA3A6C"/>
    <w:rsid w:val="00CA3D20"/>
    <w:rsid w:val="00CA4042"/>
    <w:rsid w:val="00CA43C9"/>
    <w:rsid w:val="00CA4929"/>
    <w:rsid w:val="00CA547F"/>
    <w:rsid w:val="00CA5D2E"/>
    <w:rsid w:val="00CA6069"/>
    <w:rsid w:val="00CA61EA"/>
    <w:rsid w:val="00CA629B"/>
    <w:rsid w:val="00CA637C"/>
    <w:rsid w:val="00CA63FE"/>
    <w:rsid w:val="00CA663C"/>
    <w:rsid w:val="00CA666D"/>
    <w:rsid w:val="00CA69BE"/>
    <w:rsid w:val="00CA6CC5"/>
    <w:rsid w:val="00CA6E22"/>
    <w:rsid w:val="00CA6E84"/>
    <w:rsid w:val="00CA6F38"/>
    <w:rsid w:val="00CA727F"/>
    <w:rsid w:val="00CA7392"/>
    <w:rsid w:val="00CA77FD"/>
    <w:rsid w:val="00CA7B37"/>
    <w:rsid w:val="00CA7D2A"/>
    <w:rsid w:val="00CA7E87"/>
    <w:rsid w:val="00CB00A4"/>
    <w:rsid w:val="00CB01D2"/>
    <w:rsid w:val="00CB01FD"/>
    <w:rsid w:val="00CB0AFA"/>
    <w:rsid w:val="00CB0C28"/>
    <w:rsid w:val="00CB0CAB"/>
    <w:rsid w:val="00CB1379"/>
    <w:rsid w:val="00CB1650"/>
    <w:rsid w:val="00CB170A"/>
    <w:rsid w:val="00CB1F23"/>
    <w:rsid w:val="00CB1FDA"/>
    <w:rsid w:val="00CB25AB"/>
    <w:rsid w:val="00CB3B17"/>
    <w:rsid w:val="00CB40E5"/>
    <w:rsid w:val="00CB4398"/>
    <w:rsid w:val="00CB44C1"/>
    <w:rsid w:val="00CB4795"/>
    <w:rsid w:val="00CB4BD8"/>
    <w:rsid w:val="00CB4CDA"/>
    <w:rsid w:val="00CB50EA"/>
    <w:rsid w:val="00CB5263"/>
    <w:rsid w:val="00CB52EF"/>
    <w:rsid w:val="00CB57C4"/>
    <w:rsid w:val="00CB6049"/>
    <w:rsid w:val="00CB6543"/>
    <w:rsid w:val="00CB66C1"/>
    <w:rsid w:val="00CB66E1"/>
    <w:rsid w:val="00CB6766"/>
    <w:rsid w:val="00CB690B"/>
    <w:rsid w:val="00CB6945"/>
    <w:rsid w:val="00CB6982"/>
    <w:rsid w:val="00CB69F3"/>
    <w:rsid w:val="00CB707F"/>
    <w:rsid w:val="00CB7291"/>
    <w:rsid w:val="00CB7AD3"/>
    <w:rsid w:val="00CC01E4"/>
    <w:rsid w:val="00CC0658"/>
    <w:rsid w:val="00CC0888"/>
    <w:rsid w:val="00CC0D06"/>
    <w:rsid w:val="00CC0DF6"/>
    <w:rsid w:val="00CC10E9"/>
    <w:rsid w:val="00CC1351"/>
    <w:rsid w:val="00CC14A9"/>
    <w:rsid w:val="00CC14D3"/>
    <w:rsid w:val="00CC199F"/>
    <w:rsid w:val="00CC1D1E"/>
    <w:rsid w:val="00CC205F"/>
    <w:rsid w:val="00CC24F9"/>
    <w:rsid w:val="00CC25F2"/>
    <w:rsid w:val="00CC2620"/>
    <w:rsid w:val="00CC26AE"/>
    <w:rsid w:val="00CC2917"/>
    <w:rsid w:val="00CC2B6C"/>
    <w:rsid w:val="00CC2F9C"/>
    <w:rsid w:val="00CC3037"/>
    <w:rsid w:val="00CC3074"/>
    <w:rsid w:val="00CC326C"/>
    <w:rsid w:val="00CC35DE"/>
    <w:rsid w:val="00CC386C"/>
    <w:rsid w:val="00CC3C51"/>
    <w:rsid w:val="00CC3DD8"/>
    <w:rsid w:val="00CC3F8C"/>
    <w:rsid w:val="00CC4FF0"/>
    <w:rsid w:val="00CC59C5"/>
    <w:rsid w:val="00CC5C69"/>
    <w:rsid w:val="00CC5CF3"/>
    <w:rsid w:val="00CC60D6"/>
    <w:rsid w:val="00CC6240"/>
    <w:rsid w:val="00CC68C8"/>
    <w:rsid w:val="00CC68DD"/>
    <w:rsid w:val="00CC73A5"/>
    <w:rsid w:val="00CC77CD"/>
    <w:rsid w:val="00CC7811"/>
    <w:rsid w:val="00CC7A1F"/>
    <w:rsid w:val="00CD0253"/>
    <w:rsid w:val="00CD03BB"/>
    <w:rsid w:val="00CD04BA"/>
    <w:rsid w:val="00CD0675"/>
    <w:rsid w:val="00CD0686"/>
    <w:rsid w:val="00CD0870"/>
    <w:rsid w:val="00CD097F"/>
    <w:rsid w:val="00CD0D5D"/>
    <w:rsid w:val="00CD1312"/>
    <w:rsid w:val="00CD1395"/>
    <w:rsid w:val="00CD1F3D"/>
    <w:rsid w:val="00CD2147"/>
    <w:rsid w:val="00CD2822"/>
    <w:rsid w:val="00CD2847"/>
    <w:rsid w:val="00CD293C"/>
    <w:rsid w:val="00CD2BE9"/>
    <w:rsid w:val="00CD2FA2"/>
    <w:rsid w:val="00CD2FD5"/>
    <w:rsid w:val="00CD306A"/>
    <w:rsid w:val="00CD3876"/>
    <w:rsid w:val="00CD3C5D"/>
    <w:rsid w:val="00CD3CA7"/>
    <w:rsid w:val="00CD3E2B"/>
    <w:rsid w:val="00CD3FD1"/>
    <w:rsid w:val="00CD4239"/>
    <w:rsid w:val="00CD4679"/>
    <w:rsid w:val="00CD4ADE"/>
    <w:rsid w:val="00CD4ED0"/>
    <w:rsid w:val="00CD5144"/>
    <w:rsid w:val="00CD526D"/>
    <w:rsid w:val="00CD5375"/>
    <w:rsid w:val="00CD5CD6"/>
    <w:rsid w:val="00CD5EEF"/>
    <w:rsid w:val="00CD6702"/>
    <w:rsid w:val="00CD6AFF"/>
    <w:rsid w:val="00CD76C5"/>
    <w:rsid w:val="00CD7C42"/>
    <w:rsid w:val="00CD7D4C"/>
    <w:rsid w:val="00CE06B6"/>
    <w:rsid w:val="00CE0728"/>
    <w:rsid w:val="00CE09DF"/>
    <w:rsid w:val="00CE0B40"/>
    <w:rsid w:val="00CE0F9D"/>
    <w:rsid w:val="00CE1068"/>
    <w:rsid w:val="00CE1089"/>
    <w:rsid w:val="00CE1157"/>
    <w:rsid w:val="00CE1282"/>
    <w:rsid w:val="00CE16DE"/>
    <w:rsid w:val="00CE17FA"/>
    <w:rsid w:val="00CE1EF8"/>
    <w:rsid w:val="00CE2031"/>
    <w:rsid w:val="00CE2386"/>
    <w:rsid w:val="00CE25E2"/>
    <w:rsid w:val="00CE2CDF"/>
    <w:rsid w:val="00CE2EBC"/>
    <w:rsid w:val="00CE2F75"/>
    <w:rsid w:val="00CE32C9"/>
    <w:rsid w:val="00CE32D2"/>
    <w:rsid w:val="00CE34CB"/>
    <w:rsid w:val="00CE37F7"/>
    <w:rsid w:val="00CE4148"/>
    <w:rsid w:val="00CE4331"/>
    <w:rsid w:val="00CE459D"/>
    <w:rsid w:val="00CE46B4"/>
    <w:rsid w:val="00CE46CD"/>
    <w:rsid w:val="00CE47B3"/>
    <w:rsid w:val="00CE4873"/>
    <w:rsid w:val="00CE4A4E"/>
    <w:rsid w:val="00CE4AEF"/>
    <w:rsid w:val="00CE4EBF"/>
    <w:rsid w:val="00CE4F13"/>
    <w:rsid w:val="00CE52D7"/>
    <w:rsid w:val="00CE5609"/>
    <w:rsid w:val="00CE5788"/>
    <w:rsid w:val="00CE605D"/>
    <w:rsid w:val="00CE618B"/>
    <w:rsid w:val="00CE6BC9"/>
    <w:rsid w:val="00CE6FB0"/>
    <w:rsid w:val="00CE7162"/>
    <w:rsid w:val="00CE7236"/>
    <w:rsid w:val="00CE7ABA"/>
    <w:rsid w:val="00CE7ACB"/>
    <w:rsid w:val="00CE7F78"/>
    <w:rsid w:val="00CF00E2"/>
    <w:rsid w:val="00CF0532"/>
    <w:rsid w:val="00CF06B5"/>
    <w:rsid w:val="00CF0948"/>
    <w:rsid w:val="00CF1020"/>
    <w:rsid w:val="00CF102D"/>
    <w:rsid w:val="00CF1248"/>
    <w:rsid w:val="00CF1509"/>
    <w:rsid w:val="00CF1D71"/>
    <w:rsid w:val="00CF1DF9"/>
    <w:rsid w:val="00CF248E"/>
    <w:rsid w:val="00CF27FE"/>
    <w:rsid w:val="00CF2844"/>
    <w:rsid w:val="00CF2C67"/>
    <w:rsid w:val="00CF2E85"/>
    <w:rsid w:val="00CF3239"/>
    <w:rsid w:val="00CF3741"/>
    <w:rsid w:val="00CF3B76"/>
    <w:rsid w:val="00CF3ED5"/>
    <w:rsid w:val="00CF413A"/>
    <w:rsid w:val="00CF424C"/>
    <w:rsid w:val="00CF44B2"/>
    <w:rsid w:val="00CF4716"/>
    <w:rsid w:val="00CF4867"/>
    <w:rsid w:val="00CF53C1"/>
    <w:rsid w:val="00CF5740"/>
    <w:rsid w:val="00CF5913"/>
    <w:rsid w:val="00CF5CDF"/>
    <w:rsid w:val="00CF5F62"/>
    <w:rsid w:val="00CF60AC"/>
    <w:rsid w:val="00CF6460"/>
    <w:rsid w:val="00CF65E8"/>
    <w:rsid w:val="00CF695B"/>
    <w:rsid w:val="00CF6A65"/>
    <w:rsid w:val="00CF6AA7"/>
    <w:rsid w:val="00CF6CA9"/>
    <w:rsid w:val="00CF6D12"/>
    <w:rsid w:val="00CF6F47"/>
    <w:rsid w:val="00CF73E1"/>
    <w:rsid w:val="00CF7742"/>
    <w:rsid w:val="00CF776A"/>
    <w:rsid w:val="00CF7816"/>
    <w:rsid w:val="00CF7A99"/>
    <w:rsid w:val="00CF7CEE"/>
    <w:rsid w:val="00D001F4"/>
    <w:rsid w:val="00D00850"/>
    <w:rsid w:val="00D008E1"/>
    <w:rsid w:val="00D00968"/>
    <w:rsid w:val="00D00C94"/>
    <w:rsid w:val="00D00D51"/>
    <w:rsid w:val="00D00E7C"/>
    <w:rsid w:val="00D01885"/>
    <w:rsid w:val="00D019DD"/>
    <w:rsid w:val="00D01A26"/>
    <w:rsid w:val="00D01BDF"/>
    <w:rsid w:val="00D01D6C"/>
    <w:rsid w:val="00D0271C"/>
    <w:rsid w:val="00D02784"/>
    <w:rsid w:val="00D02CA4"/>
    <w:rsid w:val="00D0306E"/>
    <w:rsid w:val="00D0315A"/>
    <w:rsid w:val="00D033F5"/>
    <w:rsid w:val="00D035E4"/>
    <w:rsid w:val="00D038ED"/>
    <w:rsid w:val="00D03F47"/>
    <w:rsid w:val="00D0428E"/>
    <w:rsid w:val="00D04843"/>
    <w:rsid w:val="00D04928"/>
    <w:rsid w:val="00D05B6E"/>
    <w:rsid w:val="00D05BF1"/>
    <w:rsid w:val="00D06396"/>
    <w:rsid w:val="00D068A6"/>
    <w:rsid w:val="00D06EF3"/>
    <w:rsid w:val="00D07343"/>
    <w:rsid w:val="00D07445"/>
    <w:rsid w:val="00D0767A"/>
    <w:rsid w:val="00D07B73"/>
    <w:rsid w:val="00D07D4D"/>
    <w:rsid w:val="00D10443"/>
    <w:rsid w:val="00D10582"/>
    <w:rsid w:val="00D107AA"/>
    <w:rsid w:val="00D109C1"/>
    <w:rsid w:val="00D10FC5"/>
    <w:rsid w:val="00D11873"/>
    <w:rsid w:val="00D1194E"/>
    <w:rsid w:val="00D119D1"/>
    <w:rsid w:val="00D11A56"/>
    <w:rsid w:val="00D11AAC"/>
    <w:rsid w:val="00D11AAF"/>
    <w:rsid w:val="00D11AD6"/>
    <w:rsid w:val="00D11D7D"/>
    <w:rsid w:val="00D12532"/>
    <w:rsid w:val="00D12639"/>
    <w:rsid w:val="00D128A5"/>
    <w:rsid w:val="00D1308A"/>
    <w:rsid w:val="00D13194"/>
    <w:rsid w:val="00D131D7"/>
    <w:rsid w:val="00D13400"/>
    <w:rsid w:val="00D138BF"/>
    <w:rsid w:val="00D13934"/>
    <w:rsid w:val="00D13A41"/>
    <w:rsid w:val="00D13B17"/>
    <w:rsid w:val="00D14083"/>
    <w:rsid w:val="00D1441F"/>
    <w:rsid w:val="00D14DB9"/>
    <w:rsid w:val="00D14E56"/>
    <w:rsid w:val="00D14F36"/>
    <w:rsid w:val="00D14FE9"/>
    <w:rsid w:val="00D15325"/>
    <w:rsid w:val="00D153D7"/>
    <w:rsid w:val="00D155CD"/>
    <w:rsid w:val="00D15B3B"/>
    <w:rsid w:val="00D15C8A"/>
    <w:rsid w:val="00D15E72"/>
    <w:rsid w:val="00D16000"/>
    <w:rsid w:val="00D16369"/>
    <w:rsid w:val="00D165C1"/>
    <w:rsid w:val="00D166E9"/>
    <w:rsid w:val="00D16ABB"/>
    <w:rsid w:val="00D16F19"/>
    <w:rsid w:val="00D1746F"/>
    <w:rsid w:val="00D17897"/>
    <w:rsid w:val="00D17D7E"/>
    <w:rsid w:val="00D200AF"/>
    <w:rsid w:val="00D2020B"/>
    <w:rsid w:val="00D20548"/>
    <w:rsid w:val="00D20621"/>
    <w:rsid w:val="00D20795"/>
    <w:rsid w:val="00D20AF7"/>
    <w:rsid w:val="00D20FD3"/>
    <w:rsid w:val="00D215D0"/>
    <w:rsid w:val="00D2165A"/>
    <w:rsid w:val="00D21694"/>
    <w:rsid w:val="00D2199E"/>
    <w:rsid w:val="00D21AD3"/>
    <w:rsid w:val="00D21E35"/>
    <w:rsid w:val="00D21F37"/>
    <w:rsid w:val="00D22187"/>
    <w:rsid w:val="00D22414"/>
    <w:rsid w:val="00D22BBD"/>
    <w:rsid w:val="00D22CD9"/>
    <w:rsid w:val="00D22D15"/>
    <w:rsid w:val="00D22FD7"/>
    <w:rsid w:val="00D230BB"/>
    <w:rsid w:val="00D23472"/>
    <w:rsid w:val="00D23861"/>
    <w:rsid w:val="00D238E4"/>
    <w:rsid w:val="00D23B17"/>
    <w:rsid w:val="00D23CFB"/>
    <w:rsid w:val="00D23F84"/>
    <w:rsid w:val="00D250A5"/>
    <w:rsid w:val="00D2594F"/>
    <w:rsid w:val="00D27076"/>
    <w:rsid w:val="00D27346"/>
    <w:rsid w:val="00D275CF"/>
    <w:rsid w:val="00D27E8B"/>
    <w:rsid w:val="00D27F98"/>
    <w:rsid w:val="00D3012C"/>
    <w:rsid w:val="00D302EA"/>
    <w:rsid w:val="00D304A7"/>
    <w:rsid w:val="00D30680"/>
    <w:rsid w:val="00D30818"/>
    <w:rsid w:val="00D30838"/>
    <w:rsid w:val="00D30BAB"/>
    <w:rsid w:val="00D30F9D"/>
    <w:rsid w:val="00D3145B"/>
    <w:rsid w:val="00D314B3"/>
    <w:rsid w:val="00D31AD1"/>
    <w:rsid w:val="00D31D0A"/>
    <w:rsid w:val="00D32181"/>
    <w:rsid w:val="00D3237E"/>
    <w:rsid w:val="00D32387"/>
    <w:rsid w:val="00D32548"/>
    <w:rsid w:val="00D32746"/>
    <w:rsid w:val="00D32FD4"/>
    <w:rsid w:val="00D330CF"/>
    <w:rsid w:val="00D331B8"/>
    <w:rsid w:val="00D335BB"/>
    <w:rsid w:val="00D335F3"/>
    <w:rsid w:val="00D33858"/>
    <w:rsid w:val="00D33A9E"/>
    <w:rsid w:val="00D33AB4"/>
    <w:rsid w:val="00D33CD9"/>
    <w:rsid w:val="00D33F02"/>
    <w:rsid w:val="00D33F1C"/>
    <w:rsid w:val="00D33F69"/>
    <w:rsid w:val="00D34317"/>
    <w:rsid w:val="00D34365"/>
    <w:rsid w:val="00D347C5"/>
    <w:rsid w:val="00D34846"/>
    <w:rsid w:val="00D34C9B"/>
    <w:rsid w:val="00D35339"/>
    <w:rsid w:val="00D353A1"/>
    <w:rsid w:val="00D35929"/>
    <w:rsid w:val="00D35A28"/>
    <w:rsid w:val="00D35CBB"/>
    <w:rsid w:val="00D35EEA"/>
    <w:rsid w:val="00D3647D"/>
    <w:rsid w:val="00D365EE"/>
    <w:rsid w:val="00D368F6"/>
    <w:rsid w:val="00D36A1E"/>
    <w:rsid w:val="00D36A8B"/>
    <w:rsid w:val="00D36C88"/>
    <w:rsid w:val="00D36DF5"/>
    <w:rsid w:val="00D36E0B"/>
    <w:rsid w:val="00D36E99"/>
    <w:rsid w:val="00D36EA2"/>
    <w:rsid w:val="00D36F06"/>
    <w:rsid w:val="00D3710F"/>
    <w:rsid w:val="00D372D3"/>
    <w:rsid w:val="00D374A2"/>
    <w:rsid w:val="00D3772B"/>
    <w:rsid w:val="00D40369"/>
    <w:rsid w:val="00D4081B"/>
    <w:rsid w:val="00D408BD"/>
    <w:rsid w:val="00D40C64"/>
    <w:rsid w:val="00D40D78"/>
    <w:rsid w:val="00D40DA7"/>
    <w:rsid w:val="00D40F11"/>
    <w:rsid w:val="00D40F18"/>
    <w:rsid w:val="00D40F69"/>
    <w:rsid w:val="00D4111B"/>
    <w:rsid w:val="00D41210"/>
    <w:rsid w:val="00D41451"/>
    <w:rsid w:val="00D4179B"/>
    <w:rsid w:val="00D41C4D"/>
    <w:rsid w:val="00D422F3"/>
    <w:rsid w:val="00D426F8"/>
    <w:rsid w:val="00D42ADF"/>
    <w:rsid w:val="00D42FE0"/>
    <w:rsid w:val="00D4316F"/>
    <w:rsid w:val="00D431D3"/>
    <w:rsid w:val="00D43468"/>
    <w:rsid w:val="00D437D5"/>
    <w:rsid w:val="00D43A7D"/>
    <w:rsid w:val="00D4443F"/>
    <w:rsid w:val="00D44850"/>
    <w:rsid w:val="00D45F2E"/>
    <w:rsid w:val="00D461F3"/>
    <w:rsid w:val="00D46208"/>
    <w:rsid w:val="00D46218"/>
    <w:rsid w:val="00D465BE"/>
    <w:rsid w:val="00D465DF"/>
    <w:rsid w:val="00D4668B"/>
    <w:rsid w:val="00D467D6"/>
    <w:rsid w:val="00D46967"/>
    <w:rsid w:val="00D46BF0"/>
    <w:rsid w:val="00D47204"/>
    <w:rsid w:val="00D4748C"/>
    <w:rsid w:val="00D50015"/>
    <w:rsid w:val="00D50381"/>
    <w:rsid w:val="00D5057A"/>
    <w:rsid w:val="00D5067A"/>
    <w:rsid w:val="00D50A25"/>
    <w:rsid w:val="00D50CFB"/>
    <w:rsid w:val="00D517A8"/>
    <w:rsid w:val="00D518E1"/>
    <w:rsid w:val="00D5192E"/>
    <w:rsid w:val="00D51D48"/>
    <w:rsid w:val="00D51F09"/>
    <w:rsid w:val="00D51F26"/>
    <w:rsid w:val="00D52029"/>
    <w:rsid w:val="00D52D68"/>
    <w:rsid w:val="00D52EFF"/>
    <w:rsid w:val="00D530AC"/>
    <w:rsid w:val="00D5372F"/>
    <w:rsid w:val="00D53802"/>
    <w:rsid w:val="00D53811"/>
    <w:rsid w:val="00D53AF1"/>
    <w:rsid w:val="00D53D79"/>
    <w:rsid w:val="00D53F4A"/>
    <w:rsid w:val="00D54480"/>
    <w:rsid w:val="00D544B1"/>
    <w:rsid w:val="00D5457C"/>
    <w:rsid w:val="00D54BD2"/>
    <w:rsid w:val="00D54C0D"/>
    <w:rsid w:val="00D54F01"/>
    <w:rsid w:val="00D55172"/>
    <w:rsid w:val="00D5550F"/>
    <w:rsid w:val="00D55721"/>
    <w:rsid w:val="00D55A64"/>
    <w:rsid w:val="00D55B0F"/>
    <w:rsid w:val="00D55F4F"/>
    <w:rsid w:val="00D565EB"/>
    <w:rsid w:val="00D56748"/>
    <w:rsid w:val="00D56779"/>
    <w:rsid w:val="00D56EE3"/>
    <w:rsid w:val="00D57108"/>
    <w:rsid w:val="00D57554"/>
    <w:rsid w:val="00D57751"/>
    <w:rsid w:val="00D57C59"/>
    <w:rsid w:val="00D60109"/>
    <w:rsid w:val="00D603CC"/>
    <w:rsid w:val="00D6073C"/>
    <w:rsid w:val="00D60F44"/>
    <w:rsid w:val="00D6114B"/>
    <w:rsid w:val="00D61B56"/>
    <w:rsid w:val="00D61C85"/>
    <w:rsid w:val="00D61F7F"/>
    <w:rsid w:val="00D6210B"/>
    <w:rsid w:val="00D627D0"/>
    <w:rsid w:val="00D627DC"/>
    <w:rsid w:val="00D62AE1"/>
    <w:rsid w:val="00D63066"/>
    <w:rsid w:val="00D63111"/>
    <w:rsid w:val="00D6327F"/>
    <w:rsid w:val="00D63DAA"/>
    <w:rsid w:val="00D64157"/>
    <w:rsid w:val="00D641A7"/>
    <w:rsid w:val="00D641FF"/>
    <w:rsid w:val="00D64816"/>
    <w:rsid w:val="00D64E2B"/>
    <w:rsid w:val="00D650F3"/>
    <w:rsid w:val="00D65486"/>
    <w:rsid w:val="00D66206"/>
    <w:rsid w:val="00D66859"/>
    <w:rsid w:val="00D668AB"/>
    <w:rsid w:val="00D66CBE"/>
    <w:rsid w:val="00D66EAE"/>
    <w:rsid w:val="00D66EF6"/>
    <w:rsid w:val="00D6742A"/>
    <w:rsid w:val="00D678A5"/>
    <w:rsid w:val="00D67F9D"/>
    <w:rsid w:val="00D70258"/>
    <w:rsid w:val="00D70746"/>
    <w:rsid w:val="00D70818"/>
    <w:rsid w:val="00D70C2C"/>
    <w:rsid w:val="00D70D83"/>
    <w:rsid w:val="00D70DCE"/>
    <w:rsid w:val="00D70FDA"/>
    <w:rsid w:val="00D711E5"/>
    <w:rsid w:val="00D715FA"/>
    <w:rsid w:val="00D717E3"/>
    <w:rsid w:val="00D718C5"/>
    <w:rsid w:val="00D71F6A"/>
    <w:rsid w:val="00D71F6C"/>
    <w:rsid w:val="00D721DC"/>
    <w:rsid w:val="00D72468"/>
    <w:rsid w:val="00D7254A"/>
    <w:rsid w:val="00D7279D"/>
    <w:rsid w:val="00D72EC7"/>
    <w:rsid w:val="00D730BC"/>
    <w:rsid w:val="00D73451"/>
    <w:rsid w:val="00D7361E"/>
    <w:rsid w:val="00D7374B"/>
    <w:rsid w:val="00D739FA"/>
    <w:rsid w:val="00D73D62"/>
    <w:rsid w:val="00D73EEB"/>
    <w:rsid w:val="00D73F4D"/>
    <w:rsid w:val="00D73FB6"/>
    <w:rsid w:val="00D7426C"/>
    <w:rsid w:val="00D74492"/>
    <w:rsid w:val="00D744BD"/>
    <w:rsid w:val="00D745A9"/>
    <w:rsid w:val="00D745FB"/>
    <w:rsid w:val="00D747A9"/>
    <w:rsid w:val="00D7484E"/>
    <w:rsid w:val="00D7503B"/>
    <w:rsid w:val="00D7506C"/>
    <w:rsid w:val="00D75A36"/>
    <w:rsid w:val="00D75A79"/>
    <w:rsid w:val="00D75C82"/>
    <w:rsid w:val="00D75C94"/>
    <w:rsid w:val="00D75ED7"/>
    <w:rsid w:val="00D76120"/>
    <w:rsid w:val="00D76EA2"/>
    <w:rsid w:val="00D76F6A"/>
    <w:rsid w:val="00D76FA0"/>
    <w:rsid w:val="00D77735"/>
    <w:rsid w:val="00D7773F"/>
    <w:rsid w:val="00D77CD2"/>
    <w:rsid w:val="00D77D10"/>
    <w:rsid w:val="00D8011B"/>
    <w:rsid w:val="00D801EF"/>
    <w:rsid w:val="00D80296"/>
    <w:rsid w:val="00D80327"/>
    <w:rsid w:val="00D80366"/>
    <w:rsid w:val="00D80756"/>
    <w:rsid w:val="00D80D19"/>
    <w:rsid w:val="00D8135D"/>
    <w:rsid w:val="00D81421"/>
    <w:rsid w:val="00D815C5"/>
    <w:rsid w:val="00D81715"/>
    <w:rsid w:val="00D81DA6"/>
    <w:rsid w:val="00D81F17"/>
    <w:rsid w:val="00D82448"/>
    <w:rsid w:val="00D82518"/>
    <w:rsid w:val="00D82ACB"/>
    <w:rsid w:val="00D82AEC"/>
    <w:rsid w:val="00D82B26"/>
    <w:rsid w:val="00D83125"/>
    <w:rsid w:val="00D833AE"/>
    <w:rsid w:val="00D83C10"/>
    <w:rsid w:val="00D83E1E"/>
    <w:rsid w:val="00D841B1"/>
    <w:rsid w:val="00D84285"/>
    <w:rsid w:val="00D8445D"/>
    <w:rsid w:val="00D844E4"/>
    <w:rsid w:val="00D8486C"/>
    <w:rsid w:val="00D848BB"/>
    <w:rsid w:val="00D849DD"/>
    <w:rsid w:val="00D84A3B"/>
    <w:rsid w:val="00D84D37"/>
    <w:rsid w:val="00D851EB"/>
    <w:rsid w:val="00D85436"/>
    <w:rsid w:val="00D8552D"/>
    <w:rsid w:val="00D8580B"/>
    <w:rsid w:val="00D85BC1"/>
    <w:rsid w:val="00D867E3"/>
    <w:rsid w:val="00D86A59"/>
    <w:rsid w:val="00D86D74"/>
    <w:rsid w:val="00D86E07"/>
    <w:rsid w:val="00D86F33"/>
    <w:rsid w:val="00D87233"/>
    <w:rsid w:val="00D877F9"/>
    <w:rsid w:val="00D8793D"/>
    <w:rsid w:val="00D87B42"/>
    <w:rsid w:val="00D87D3A"/>
    <w:rsid w:val="00D900CA"/>
    <w:rsid w:val="00D9011B"/>
    <w:rsid w:val="00D901F7"/>
    <w:rsid w:val="00D90261"/>
    <w:rsid w:val="00D904BC"/>
    <w:rsid w:val="00D908CF"/>
    <w:rsid w:val="00D90A4E"/>
    <w:rsid w:val="00D90AFA"/>
    <w:rsid w:val="00D90C9C"/>
    <w:rsid w:val="00D90D3D"/>
    <w:rsid w:val="00D90DF9"/>
    <w:rsid w:val="00D90EA5"/>
    <w:rsid w:val="00D9107C"/>
    <w:rsid w:val="00D910BA"/>
    <w:rsid w:val="00D9187F"/>
    <w:rsid w:val="00D91D6F"/>
    <w:rsid w:val="00D9235D"/>
    <w:rsid w:val="00D92973"/>
    <w:rsid w:val="00D92BB5"/>
    <w:rsid w:val="00D92C47"/>
    <w:rsid w:val="00D92FB1"/>
    <w:rsid w:val="00D93041"/>
    <w:rsid w:val="00D93277"/>
    <w:rsid w:val="00D93348"/>
    <w:rsid w:val="00D937BB"/>
    <w:rsid w:val="00D93B7C"/>
    <w:rsid w:val="00D93B85"/>
    <w:rsid w:val="00D93C35"/>
    <w:rsid w:val="00D94648"/>
    <w:rsid w:val="00D94BE3"/>
    <w:rsid w:val="00D94BFA"/>
    <w:rsid w:val="00D94BFE"/>
    <w:rsid w:val="00D94F33"/>
    <w:rsid w:val="00D9522C"/>
    <w:rsid w:val="00D95238"/>
    <w:rsid w:val="00D955BC"/>
    <w:rsid w:val="00D95870"/>
    <w:rsid w:val="00D95A70"/>
    <w:rsid w:val="00D95B9C"/>
    <w:rsid w:val="00D95F7D"/>
    <w:rsid w:val="00D960A1"/>
    <w:rsid w:val="00D96311"/>
    <w:rsid w:val="00D9663C"/>
    <w:rsid w:val="00D967E2"/>
    <w:rsid w:val="00D96938"/>
    <w:rsid w:val="00D969CC"/>
    <w:rsid w:val="00D96F83"/>
    <w:rsid w:val="00D974E5"/>
    <w:rsid w:val="00D97514"/>
    <w:rsid w:val="00D97EB1"/>
    <w:rsid w:val="00DA0850"/>
    <w:rsid w:val="00DA0F23"/>
    <w:rsid w:val="00DA0F3C"/>
    <w:rsid w:val="00DA0FFA"/>
    <w:rsid w:val="00DA10ED"/>
    <w:rsid w:val="00DA12D5"/>
    <w:rsid w:val="00DA15A5"/>
    <w:rsid w:val="00DA1936"/>
    <w:rsid w:val="00DA1A10"/>
    <w:rsid w:val="00DA1D17"/>
    <w:rsid w:val="00DA1D73"/>
    <w:rsid w:val="00DA21DE"/>
    <w:rsid w:val="00DA2871"/>
    <w:rsid w:val="00DA2EB5"/>
    <w:rsid w:val="00DA2F94"/>
    <w:rsid w:val="00DA3164"/>
    <w:rsid w:val="00DA31D2"/>
    <w:rsid w:val="00DA3671"/>
    <w:rsid w:val="00DA3883"/>
    <w:rsid w:val="00DA3BC1"/>
    <w:rsid w:val="00DA3EDE"/>
    <w:rsid w:val="00DA424E"/>
    <w:rsid w:val="00DA4408"/>
    <w:rsid w:val="00DA4600"/>
    <w:rsid w:val="00DA4823"/>
    <w:rsid w:val="00DA4D10"/>
    <w:rsid w:val="00DA52EE"/>
    <w:rsid w:val="00DA54A0"/>
    <w:rsid w:val="00DA58CC"/>
    <w:rsid w:val="00DA5F47"/>
    <w:rsid w:val="00DA6112"/>
    <w:rsid w:val="00DA6169"/>
    <w:rsid w:val="00DA646F"/>
    <w:rsid w:val="00DA6567"/>
    <w:rsid w:val="00DA65D4"/>
    <w:rsid w:val="00DA6E14"/>
    <w:rsid w:val="00DA72FD"/>
    <w:rsid w:val="00DA75CC"/>
    <w:rsid w:val="00DA7A11"/>
    <w:rsid w:val="00DB0985"/>
    <w:rsid w:val="00DB0A35"/>
    <w:rsid w:val="00DB0B12"/>
    <w:rsid w:val="00DB0D75"/>
    <w:rsid w:val="00DB0EB3"/>
    <w:rsid w:val="00DB0EEB"/>
    <w:rsid w:val="00DB0F9A"/>
    <w:rsid w:val="00DB134A"/>
    <w:rsid w:val="00DB154B"/>
    <w:rsid w:val="00DB16B0"/>
    <w:rsid w:val="00DB1B2D"/>
    <w:rsid w:val="00DB1EAD"/>
    <w:rsid w:val="00DB1EB6"/>
    <w:rsid w:val="00DB2133"/>
    <w:rsid w:val="00DB28A9"/>
    <w:rsid w:val="00DB295C"/>
    <w:rsid w:val="00DB2A98"/>
    <w:rsid w:val="00DB3053"/>
    <w:rsid w:val="00DB331A"/>
    <w:rsid w:val="00DB36CF"/>
    <w:rsid w:val="00DB398E"/>
    <w:rsid w:val="00DB40A6"/>
    <w:rsid w:val="00DB41BF"/>
    <w:rsid w:val="00DB4304"/>
    <w:rsid w:val="00DB43FF"/>
    <w:rsid w:val="00DB44FD"/>
    <w:rsid w:val="00DB4AEC"/>
    <w:rsid w:val="00DB4C4F"/>
    <w:rsid w:val="00DB4D01"/>
    <w:rsid w:val="00DB4DD7"/>
    <w:rsid w:val="00DB4F2F"/>
    <w:rsid w:val="00DB52F7"/>
    <w:rsid w:val="00DB54AC"/>
    <w:rsid w:val="00DB5867"/>
    <w:rsid w:val="00DB5F6D"/>
    <w:rsid w:val="00DB5FEB"/>
    <w:rsid w:val="00DB640B"/>
    <w:rsid w:val="00DB67DA"/>
    <w:rsid w:val="00DB6C47"/>
    <w:rsid w:val="00DB6D22"/>
    <w:rsid w:val="00DB6E82"/>
    <w:rsid w:val="00DB70F4"/>
    <w:rsid w:val="00DB7399"/>
    <w:rsid w:val="00DC024E"/>
    <w:rsid w:val="00DC03C5"/>
    <w:rsid w:val="00DC0614"/>
    <w:rsid w:val="00DC158E"/>
    <w:rsid w:val="00DC15C4"/>
    <w:rsid w:val="00DC1681"/>
    <w:rsid w:val="00DC171C"/>
    <w:rsid w:val="00DC1775"/>
    <w:rsid w:val="00DC22C3"/>
    <w:rsid w:val="00DC259D"/>
    <w:rsid w:val="00DC2A19"/>
    <w:rsid w:val="00DC2C54"/>
    <w:rsid w:val="00DC2EE8"/>
    <w:rsid w:val="00DC2F11"/>
    <w:rsid w:val="00DC350C"/>
    <w:rsid w:val="00DC38AD"/>
    <w:rsid w:val="00DC3A8A"/>
    <w:rsid w:val="00DC3E53"/>
    <w:rsid w:val="00DC3F7C"/>
    <w:rsid w:val="00DC44F9"/>
    <w:rsid w:val="00DC4741"/>
    <w:rsid w:val="00DC48FA"/>
    <w:rsid w:val="00DC4B35"/>
    <w:rsid w:val="00DC4E72"/>
    <w:rsid w:val="00DC4F50"/>
    <w:rsid w:val="00DC5187"/>
    <w:rsid w:val="00DC5217"/>
    <w:rsid w:val="00DC52A5"/>
    <w:rsid w:val="00DC576E"/>
    <w:rsid w:val="00DC58F8"/>
    <w:rsid w:val="00DC596E"/>
    <w:rsid w:val="00DC5BB2"/>
    <w:rsid w:val="00DC6689"/>
    <w:rsid w:val="00DC66A1"/>
    <w:rsid w:val="00DC6762"/>
    <w:rsid w:val="00DC67A3"/>
    <w:rsid w:val="00DC67EA"/>
    <w:rsid w:val="00DC68DB"/>
    <w:rsid w:val="00DC6EEC"/>
    <w:rsid w:val="00DC7197"/>
    <w:rsid w:val="00DC75AD"/>
    <w:rsid w:val="00DC7775"/>
    <w:rsid w:val="00DC794C"/>
    <w:rsid w:val="00DC7956"/>
    <w:rsid w:val="00DD0317"/>
    <w:rsid w:val="00DD0C9A"/>
    <w:rsid w:val="00DD0E8F"/>
    <w:rsid w:val="00DD0EAF"/>
    <w:rsid w:val="00DD0FF0"/>
    <w:rsid w:val="00DD1003"/>
    <w:rsid w:val="00DD11A5"/>
    <w:rsid w:val="00DD1279"/>
    <w:rsid w:val="00DD153D"/>
    <w:rsid w:val="00DD1661"/>
    <w:rsid w:val="00DD16E6"/>
    <w:rsid w:val="00DD197D"/>
    <w:rsid w:val="00DD1D17"/>
    <w:rsid w:val="00DD1D74"/>
    <w:rsid w:val="00DD1F32"/>
    <w:rsid w:val="00DD2296"/>
    <w:rsid w:val="00DD23B3"/>
    <w:rsid w:val="00DD26ED"/>
    <w:rsid w:val="00DD28AD"/>
    <w:rsid w:val="00DD2D84"/>
    <w:rsid w:val="00DD2DBE"/>
    <w:rsid w:val="00DD2EDC"/>
    <w:rsid w:val="00DD3981"/>
    <w:rsid w:val="00DD3DF5"/>
    <w:rsid w:val="00DD3E86"/>
    <w:rsid w:val="00DD3E87"/>
    <w:rsid w:val="00DD3F0E"/>
    <w:rsid w:val="00DD40F1"/>
    <w:rsid w:val="00DD4640"/>
    <w:rsid w:val="00DD4753"/>
    <w:rsid w:val="00DD480C"/>
    <w:rsid w:val="00DD4B47"/>
    <w:rsid w:val="00DD4BFE"/>
    <w:rsid w:val="00DD50D8"/>
    <w:rsid w:val="00DD5406"/>
    <w:rsid w:val="00DD542B"/>
    <w:rsid w:val="00DD5455"/>
    <w:rsid w:val="00DD591E"/>
    <w:rsid w:val="00DD592E"/>
    <w:rsid w:val="00DD5D20"/>
    <w:rsid w:val="00DD5E54"/>
    <w:rsid w:val="00DD5FE9"/>
    <w:rsid w:val="00DD6155"/>
    <w:rsid w:val="00DD680D"/>
    <w:rsid w:val="00DD69CF"/>
    <w:rsid w:val="00DD6C00"/>
    <w:rsid w:val="00DD6CAE"/>
    <w:rsid w:val="00DD6CF8"/>
    <w:rsid w:val="00DD6FF0"/>
    <w:rsid w:val="00DD7258"/>
    <w:rsid w:val="00DD727D"/>
    <w:rsid w:val="00DD7C82"/>
    <w:rsid w:val="00DD7F54"/>
    <w:rsid w:val="00DE00C5"/>
    <w:rsid w:val="00DE018D"/>
    <w:rsid w:val="00DE0728"/>
    <w:rsid w:val="00DE079F"/>
    <w:rsid w:val="00DE07AE"/>
    <w:rsid w:val="00DE0A27"/>
    <w:rsid w:val="00DE0D07"/>
    <w:rsid w:val="00DE14E8"/>
    <w:rsid w:val="00DE15CF"/>
    <w:rsid w:val="00DE1B6B"/>
    <w:rsid w:val="00DE1B73"/>
    <w:rsid w:val="00DE2219"/>
    <w:rsid w:val="00DE2442"/>
    <w:rsid w:val="00DE247F"/>
    <w:rsid w:val="00DE26BA"/>
    <w:rsid w:val="00DE2A6A"/>
    <w:rsid w:val="00DE2B2B"/>
    <w:rsid w:val="00DE2E20"/>
    <w:rsid w:val="00DE3178"/>
    <w:rsid w:val="00DE341A"/>
    <w:rsid w:val="00DE3833"/>
    <w:rsid w:val="00DE3981"/>
    <w:rsid w:val="00DE3AE9"/>
    <w:rsid w:val="00DE3E99"/>
    <w:rsid w:val="00DE418B"/>
    <w:rsid w:val="00DE45BA"/>
    <w:rsid w:val="00DE4A52"/>
    <w:rsid w:val="00DE4C0C"/>
    <w:rsid w:val="00DE55E7"/>
    <w:rsid w:val="00DE58B1"/>
    <w:rsid w:val="00DE5E8F"/>
    <w:rsid w:val="00DE5FEB"/>
    <w:rsid w:val="00DE623A"/>
    <w:rsid w:val="00DE63E8"/>
    <w:rsid w:val="00DE6806"/>
    <w:rsid w:val="00DE6D73"/>
    <w:rsid w:val="00DE7559"/>
    <w:rsid w:val="00DE774A"/>
    <w:rsid w:val="00DE7D99"/>
    <w:rsid w:val="00DF00A4"/>
    <w:rsid w:val="00DF08AC"/>
    <w:rsid w:val="00DF0D7B"/>
    <w:rsid w:val="00DF0E73"/>
    <w:rsid w:val="00DF0F12"/>
    <w:rsid w:val="00DF110F"/>
    <w:rsid w:val="00DF12B0"/>
    <w:rsid w:val="00DF18CC"/>
    <w:rsid w:val="00DF1FED"/>
    <w:rsid w:val="00DF26B3"/>
    <w:rsid w:val="00DF26F3"/>
    <w:rsid w:val="00DF2933"/>
    <w:rsid w:val="00DF2D9A"/>
    <w:rsid w:val="00DF2DDE"/>
    <w:rsid w:val="00DF2E42"/>
    <w:rsid w:val="00DF2E63"/>
    <w:rsid w:val="00DF2F6A"/>
    <w:rsid w:val="00DF30C3"/>
    <w:rsid w:val="00DF31FD"/>
    <w:rsid w:val="00DF3472"/>
    <w:rsid w:val="00DF3546"/>
    <w:rsid w:val="00DF36B8"/>
    <w:rsid w:val="00DF3919"/>
    <w:rsid w:val="00DF3E91"/>
    <w:rsid w:val="00DF4409"/>
    <w:rsid w:val="00DF4697"/>
    <w:rsid w:val="00DF4714"/>
    <w:rsid w:val="00DF4814"/>
    <w:rsid w:val="00DF4C9F"/>
    <w:rsid w:val="00DF4CD4"/>
    <w:rsid w:val="00DF4CF3"/>
    <w:rsid w:val="00DF4FB6"/>
    <w:rsid w:val="00DF503B"/>
    <w:rsid w:val="00DF50AF"/>
    <w:rsid w:val="00DF51D3"/>
    <w:rsid w:val="00DF52C8"/>
    <w:rsid w:val="00DF5626"/>
    <w:rsid w:val="00DF5702"/>
    <w:rsid w:val="00DF5A35"/>
    <w:rsid w:val="00DF5D84"/>
    <w:rsid w:val="00DF5E88"/>
    <w:rsid w:val="00DF5F67"/>
    <w:rsid w:val="00DF5FC3"/>
    <w:rsid w:val="00DF6037"/>
    <w:rsid w:val="00DF6A16"/>
    <w:rsid w:val="00DF6A77"/>
    <w:rsid w:val="00DF6D90"/>
    <w:rsid w:val="00DF7028"/>
    <w:rsid w:val="00DF730E"/>
    <w:rsid w:val="00DF7365"/>
    <w:rsid w:val="00DF7481"/>
    <w:rsid w:val="00DF790F"/>
    <w:rsid w:val="00DF7999"/>
    <w:rsid w:val="00DF7AF3"/>
    <w:rsid w:val="00DF7F59"/>
    <w:rsid w:val="00E006F9"/>
    <w:rsid w:val="00E01190"/>
    <w:rsid w:val="00E01830"/>
    <w:rsid w:val="00E018A9"/>
    <w:rsid w:val="00E01BB1"/>
    <w:rsid w:val="00E02063"/>
    <w:rsid w:val="00E02088"/>
    <w:rsid w:val="00E02540"/>
    <w:rsid w:val="00E02B00"/>
    <w:rsid w:val="00E02DBD"/>
    <w:rsid w:val="00E02E84"/>
    <w:rsid w:val="00E030C1"/>
    <w:rsid w:val="00E037C8"/>
    <w:rsid w:val="00E03939"/>
    <w:rsid w:val="00E0396F"/>
    <w:rsid w:val="00E03A17"/>
    <w:rsid w:val="00E03BBC"/>
    <w:rsid w:val="00E040F4"/>
    <w:rsid w:val="00E04ACE"/>
    <w:rsid w:val="00E04B64"/>
    <w:rsid w:val="00E04E16"/>
    <w:rsid w:val="00E05A69"/>
    <w:rsid w:val="00E05C41"/>
    <w:rsid w:val="00E05D62"/>
    <w:rsid w:val="00E06499"/>
    <w:rsid w:val="00E06732"/>
    <w:rsid w:val="00E06B54"/>
    <w:rsid w:val="00E072F7"/>
    <w:rsid w:val="00E0739E"/>
    <w:rsid w:val="00E07ADE"/>
    <w:rsid w:val="00E07B3B"/>
    <w:rsid w:val="00E07B79"/>
    <w:rsid w:val="00E07E7B"/>
    <w:rsid w:val="00E07F73"/>
    <w:rsid w:val="00E100F5"/>
    <w:rsid w:val="00E103F6"/>
    <w:rsid w:val="00E10429"/>
    <w:rsid w:val="00E106C8"/>
    <w:rsid w:val="00E112FB"/>
    <w:rsid w:val="00E1199B"/>
    <w:rsid w:val="00E11B54"/>
    <w:rsid w:val="00E11EEF"/>
    <w:rsid w:val="00E121C7"/>
    <w:rsid w:val="00E1245E"/>
    <w:rsid w:val="00E12C2F"/>
    <w:rsid w:val="00E131E1"/>
    <w:rsid w:val="00E13462"/>
    <w:rsid w:val="00E134BF"/>
    <w:rsid w:val="00E136A9"/>
    <w:rsid w:val="00E137F5"/>
    <w:rsid w:val="00E13E7F"/>
    <w:rsid w:val="00E140BB"/>
    <w:rsid w:val="00E142F0"/>
    <w:rsid w:val="00E143F1"/>
    <w:rsid w:val="00E14569"/>
    <w:rsid w:val="00E1479F"/>
    <w:rsid w:val="00E148FC"/>
    <w:rsid w:val="00E149BC"/>
    <w:rsid w:val="00E14EA6"/>
    <w:rsid w:val="00E14EFA"/>
    <w:rsid w:val="00E15063"/>
    <w:rsid w:val="00E15095"/>
    <w:rsid w:val="00E1515F"/>
    <w:rsid w:val="00E15479"/>
    <w:rsid w:val="00E15584"/>
    <w:rsid w:val="00E15597"/>
    <w:rsid w:val="00E15600"/>
    <w:rsid w:val="00E15993"/>
    <w:rsid w:val="00E15A6A"/>
    <w:rsid w:val="00E15F60"/>
    <w:rsid w:val="00E163EE"/>
    <w:rsid w:val="00E167B1"/>
    <w:rsid w:val="00E1684E"/>
    <w:rsid w:val="00E16C92"/>
    <w:rsid w:val="00E16E7B"/>
    <w:rsid w:val="00E172FA"/>
    <w:rsid w:val="00E174F8"/>
    <w:rsid w:val="00E17D7C"/>
    <w:rsid w:val="00E17DD2"/>
    <w:rsid w:val="00E17EE7"/>
    <w:rsid w:val="00E205CC"/>
    <w:rsid w:val="00E20912"/>
    <w:rsid w:val="00E20DC1"/>
    <w:rsid w:val="00E20DE9"/>
    <w:rsid w:val="00E20E41"/>
    <w:rsid w:val="00E20FB1"/>
    <w:rsid w:val="00E20FE2"/>
    <w:rsid w:val="00E21C60"/>
    <w:rsid w:val="00E22219"/>
    <w:rsid w:val="00E22466"/>
    <w:rsid w:val="00E22687"/>
    <w:rsid w:val="00E2271B"/>
    <w:rsid w:val="00E2290B"/>
    <w:rsid w:val="00E22A8E"/>
    <w:rsid w:val="00E22D1F"/>
    <w:rsid w:val="00E22E86"/>
    <w:rsid w:val="00E22FDF"/>
    <w:rsid w:val="00E23D24"/>
    <w:rsid w:val="00E23D2E"/>
    <w:rsid w:val="00E23D2F"/>
    <w:rsid w:val="00E240EC"/>
    <w:rsid w:val="00E241AC"/>
    <w:rsid w:val="00E24766"/>
    <w:rsid w:val="00E24A00"/>
    <w:rsid w:val="00E251D2"/>
    <w:rsid w:val="00E25458"/>
    <w:rsid w:val="00E255B0"/>
    <w:rsid w:val="00E25738"/>
    <w:rsid w:val="00E25A6A"/>
    <w:rsid w:val="00E25B80"/>
    <w:rsid w:val="00E25CCB"/>
    <w:rsid w:val="00E263E0"/>
    <w:rsid w:val="00E26539"/>
    <w:rsid w:val="00E268A7"/>
    <w:rsid w:val="00E26EE3"/>
    <w:rsid w:val="00E27399"/>
    <w:rsid w:val="00E27469"/>
    <w:rsid w:val="00E27B19"/>
    <w:rsid w:val="00E306D7"/>
    <w:rsid w:val="00E307CF"/>
    <w:rsid w:val="00E3080A"/>
    <w:rsid w:val="00E30B8F"/>
    <w:rsid w:val="00E31B0E"/>
    <w:rsid w:val="00E32044"/>
    <w:rsid w:val="00E320EB"/>
    <w:rsid w:val="00E322B3"/>
    <w:rsid w:val="00E32308"/>
    <w:rsid w:val="00E328C8"/>
    <w:rsid w:val="00E32B07"/>
    <w:rsid w:val="00E334F3"/>
    <w:rsid w:val="00E33A57"/>
    <w:rsid w:val="00E33D11"/>
    <w:rsid w:val="00E33DA3"/>
    <w:rsid w:val="00E33F24"/>
    <w:rsid w:val="00E34087"/>
    <w:rsid w:val="00E34673"/>
    <w:rsid w:val="00E3497F"/>
    <w:rsid w:val="00E34B02"/>
    <w:rsid w:val="00E34E35"/>
    <w:rsid w:val="00E34E47"/>
    <w:rsid w:val="00E35049"/>
    <w:rsid w:val="00E350E0"/>
    <w:rsid w:val="00E3551E"/>
    <w:rsid w:val="00E35964"/>
    <w:rsid w:val="00E36256"/>
    <w:rsid w:val="00E36593"/>
    <w:rsid w:val="00E36D65"/>
    <w:rsid w:val="00E36E12"/>
    <w:rsid w:val="00E37168"/>
    <w:rsid w:val="00E3778D"/>
    <w:rsid w:val="00E37C55"/>
    <w:rsid w:val="00E37E89"/>
    <w:rsid w:val="00E4005C"/>
    <w:rsid w:val="00E40167"/>
    <w:rsid w:val="00E406C2"/>
    <w:rsid w:val="00E407D7"/>
    <w:rsid w:val="00E40993"/>
    <w:rsid w:val="00E40AB1"/>
    <w:rsid w:val="00E40B1A"/>
    <w:rsid w:val="00E40EBA"/>
    <w:rsid w:val="00E4128A"/>
    <w:rsid w:val="00E417F2"/>
    <w:rsid w:val="00E41DCA"/>
    <w:rsid w:val="00E41ECE"/>
    <w:rsid w:val="00E41FF4"/>
    <w:rsid w:val="00E42134"/>
    <w:rsid w:val="00E423AE"/>
    <w:rsid w:val="00E428B5"/>
    <w:rsid w:val="00E42A5C"/>
    <w:rsid w:val="00E42AE4"/>
    <w:rsid w:val="00E42B4C"/>
    <w:rsid w:val="00E42B96"/>
    <w:rsid w:val="00E42FB0"/>
    <w:rsid w:val="00E430CF"/>
    <w:rsid w:val="00E43103"/>
    <w:rsid w:val="00E4336F"/>
    <w:rsid w:val="00E43825"/>
    <w:rsid w:val="00E4391E"/>
    <w:rsid w:val="00E43B8B"/>
    <w:rsid w:val="00E43EAA"/>
    <w:rsid w:val="00E4402C"/>
    <w:rsid w:val="00E44219"/>
    <w:rsid w:val="00E4434F"/>
    <w:rsid w:val="00E443E4"/>
    <w:rsid w:val="00E448BC"/>
    <w:rsid w:val="00E44AD9"/>
    <w:rsid w:val="00E44B72"/>
    <w:rsid w:val="00E45DCB"/>
    <w:rsid w:val="00E45F18"/>
    <w:rsid w:val="00E4620C"/>
    <w:rsid w:val="00E46234"/>
    <w:rsid w:val="00E46277"/>
    <w:rsid w:val="00E4628E"/>
    <w:rsid w:val="00E46796"/>
    <w:rsid w:val="00E46847"/>
    <w:rsid w:val="00E46879"/>
    <w:rsid w:val="00E4699C"/>
    <w:rsid w:val="00E46A59"/>
    <w:rsid w:val="00E46A79"/>
    <w:rsid w:val="00E46BBB"/>
    <w:rsid w:val="00E46F5D"/>
    <w:rsid w:val="00E46FEA"/>
    <w:rsid w:val="00E473AC"/>
    <w:rsid w:val="00E474F1"/>
    <w:rsid w:val="00E47A33"/>
    <w:rsid w:val="00E47AEC"/>
    <w:rsid w:val="00E47C99"/>
    <w:rsid w:val="00E503F7"/>
    <w:rsid w:val="00E50765"/>
    <w:rsid w:val="00E5100F"/>
    <w:rsid w:val="00E5117C"/>
    <w:rsid w:val="00E511A6"/>
    <w:rsid w:val="00E51227"/>
    <w:rsid w:val="00E51246"/>
    <w:rsid w:val="00E512EF"/>
    <w:rsid w:val="00E51373"/>
    <w:rsid w:val="00E513D9"/>
    <w:rsid w:val="00E5176D"/>
    <w:rsid w:val="00E51918"/>
    <w:rsid w:val="00E51A8F"/>
    <w:rsid w:val="00E51B2B"/>
    <w:rsid w:val="00E5204D"/>
    <w:rsid w:val="00E5227C"/>
    <w:rsid w:val="00E529C3"/>
    <w:rsid w:val="00E529FE"/>
    <w:rsid w:val="00E52E33"/>
    <w:rsid w:val="00E53105"/>
    <w:rsid w:val="00E5313E"/>
    <w:rsid w:val="00E5373C"/>
    <w:rsid w:val="00E53887"/>
    <w:rsid w:val="00E53AB6"/>
    <w:rsid w:val="00E53BC3"/>
    <w:rsid w:val="00E53D7C"/>
    <w:rsid w:val="00E54148"/>
    <w:rsid w:val="00E5419F"/>
    <w:rsid w:val="00E5435B"/>
    <w:rsid w:val="00E54542"/>
    <w:rsid w:val="00E54823"/>
    <w:rsid w:val="00E5482F"/>
    <w:rsid w:val="00E54D12"/>
    <w:rsid w:val="00E55892"/>
    <w:rsid w:val="00E55B5C"/>
    <w:rsid w:val="00E55C8C"/>
    <w:rsid w:val="00E55D5D"/>
    <w:rsid w:val="00E55E97"/>
    <w:rsid w:val="00E56077"/>
    <w:rsid w:val="00E56C3E"/>
    <w:rsid w:val="00E56C8E"/>
    <w:rsid w:val="00E571A4"/>
    <w:rsid w:val="00E57218"/>
    <w:rsid w:val="00E57666"/>
    <w:rsid w:val="00E576E0"/>
    <w:rsid w:val="00E57854"/>
    <w:rsid w:val="00E57A5C"/>
    <w:rsid w:val="00E60053"/>
    <w:rsid w:val="00E60188"/>
    <w:rsid w:val="00E6028C"/>
    <w:rsid w:val="00E60328"/>
    <w:rsid w:val="00E6058B"/>
    <w:rsid w:val="00E608F4"/>
    <w:rsid w:val="00E60CA8"/>
    <w:rsid w:val="00E60F75"/>
    <w:rsid w:val="00E61207"/>
    <w:rsid w:val="00E61287"/>
    <w:rsid w:val="00E612BE"/>
    <w:rsid w:val="00E6130C"/>
    <w:rsid w:val="00E613D0"/>
    <w:rsid w:val="00E614D3"/>
    <w:rsid w:val="00E61DA0"/>
    <w:rsid w:val="00E61DFA"/>
    <w:rsid w:val="00E622F2"/>
    <w:rsid w:val="00E627EE"/>
    <w:rsid w:val="00E6283A"/>
    <w:rsid w:val="00E62B91"/>
    <w:rsid w:val="00E62C53"/>
    <w:rsid w:val="00E62CD1"/>
    <w:rsid w:val="00E62DF6"/>
    <w:rsid w:val="00E633C8"/>
    <w:rsid w:val="00E64B86"/>
    <w:rsid w:val="00E65220"/>
    <w:rsid w:val="00E655ED"/>
    <w:rsid w:val="00E656D8"/>
    <w:rsid w:val="00E65704"/>
    <w:rsid w:val="00E65751"/>
    <w:rsid w:val="00E657AA"/>
    <w:rsid w:val="00E65886"/>
    <w:rsid w:val="00E667CA"/>
    <w:rsid w:val="00E667F6"/>
    <w:rsid w:val="00E669EC"/>
    <w:rsid w:val="00E66E40"/>
    <w:rsid w:val="00E6765A"/>
    <w:rsid w:val="00E677C0"/>
    <w:rsid w:val="00E67D02"/>
    <w:rsid w:val="00E67E1A"/>
    <w:rsid w:val="00E67E89"/>
    <w:rsid w:val="00E700D8"/>
    <w:rsid w:val="00E70551"/>
    <w:rsid w:val="00E709C4"/>
    <w:rsid w:val="00E70C18"/>
    <w:rsid w:val="00E70D9A"/>
    <w:rsid w:val="00E70F89"/>
    <w:rsid w:val="00E7147F"/>
    <w:rsid w:val="00E71D0E"/>
    <w:rsid w:val="00E71D6B"/>
    <w:rsid w:val="00E72433"/>
    <w:rsid w:val="00E7268F"/>
    <w:rsid w:val="00E72958"/>
    <w:rsid w:val="00E72A4E"/>
    <w:rsid w:val="00E72A8B"/>
    <w:rsid w:val="00E72BB5"/>
    <w:rsid w:val="00E72CA1"/>
    <w:rsid w:val="00E74158"/>
    <w:rsid w:val="00E74AB0"/>
    <w:rsid w:val="00E7511B"/>
    <w:rsid w:val="00E75363"/>
    <w:rsid w:val="00E754FB"/>
    <w:rsid w:val="00E75B4E"/>
    <w:rsid w:val="00E75F78"/>
    <w:rsid w:val="00E76CA8"/>
    <w:rsid w:val="00E774D9"/>
    <w:rsid w:val="00E77909"/>
    <w:rsid w:val="00E77968"/>
    <w:rsid w:val="00E7799A"/>
    <w:rsid w:val="00E77F46"/>
    <w:rsid w:val="00E80059"/>
    <w:rsid w:val="00E80211"/>
    <w:rsid w:val="00E805C7"/>
    <w:rsid w:val="00E8097F"/>
    <w:rsid w:val="00E80D7C"/>
    <w:rsid w:val="00E812E0"/>
    <w:rsid w:val="00E818D4"/>
    <w:rsid w:val="00E81A6D"/>
    <w:rsid w:val="00E81CFB"/>
    <w:rsid w:val="00E81F5F"/>
    <w:rsid w:val="00E81FBC"/>
    <w:rsid w:val="00E82582"/>
    <w:rsid w:val="00E826C0"/>
    <w:rsid w:val="00E82AE7"/>
    <w:rsid w:val="00E82EA7"/>
    <w:rsid w:val="00E82FDC"/>
    <w:rsid w:val="00E830D9"/>
    <w:rsid w:val="00E831EC"/>
    <w:rsid w:val="00E83388"/>
    <w:rsid w:val="00E834E4"/>
    <w:rsid w:val="00E845C5"/>
    <w:rsid w:val="00E8482D"/>
    <w:rsid w:val="00E84A5C"/>
    <w:rsid w:val="00E84C07"/>
    <w:rsid w:val="00E84E35"/>
    <w:rsid w:val="00E84FFB"/>
    <w:rsid w:val="00E852A8"/>
    <w:rsid w:val="00E8547A"/>
    <w:rsid w:val="00E85606"/>
    <w:rsid w:val="00E86179"/>
    <w:rsid w:val="00E863A1"/>
    <w:rsid w:val="00E875F0"/>
    <w:rsid w:val="00E87981"/>
    <w:rsid w:val="00E904AE"/>
    <w:rsid w:val="00E90979"/>
    <w:rsid w:val="00E909A4"/>
    <w:rsid w:val="00E916E5"/>
    <w:rsid w:val="00E91CEC"/>
    <w:rsid w:val="00E92242"/>
    <w:rsid w:val="00E924CE"/>
    <w:rsid w:val="00E92942"/>
    <w:rsid w:val="00E9296A"/>
    <w:rsid w:val="00E92D51"/>
    <w:rsid w:val="00E93090"/>
    <w:rsid w:val="00E932CB"/>
    <w:rsid w:val="00E93554"/>
    <w:rsid w:val="00E93939"/>
    <w:rsid w:val="00E93E87"/>
    <w:rsid w:val="00E94086"/>
    <w:rsid w:val="00E94345"/>
    <w:rsid w:val="00E94433"/>
    <w:rsid w:val="00E9467A"/>
    <w:rsid w:val="00E94861"/>
    <w:rsid w:val="00E94BE4"/>
    <w:rsid w:val="00E94ECA"/>
    <w:rsid w:val="00E94F12"/>
    <w:rsid w:val="00E953D1"/>
    <w:rsid w:val="00E953F6"/>
    <w:rsid w:val="00E95715"/>
    <w:rsid w:val="00E958E0"/>
    <w:rsid w:val="00E9649A"/>
    <w:rsid w:val="00E96866"/>
    <w:rsid w:val="00E96B1A"/>
    <w:rsid w:val="00E96D42"/>
    <w:rsid w:val="00E96F9C"/>
    <w:rsid w:val="00E970A4"/>
    <w:rsid w:val="00E97149"/>
    <w:rsid w:val="00E97A30"/>
    <w:rsid w:val="00E97B27"/>
    <w:rsid w:val="00EA010A"/>
    <w:rsid w:val="00EA024F"/>
    <w:rsid w:val="00EA153E"/>
    <w:rsid w:val="00EA1A4C"/>
    <w:rsid w:val="00EA27AF"/>
    <w:rsid w:val="00EA284E"/>
    <w:rsid w:val="00EA3141"/>
    <w:rsid w:val="00EA32C6"/>
    <w:rsid w:val="00EA3844"/>
    <w:rsid w:val="00EA39AC"/>
    <w:rsid w:val="00EA4527"/>
    <w:rsid w:val="00EA4C77"/>
    <w:rsid w:val="00EA4DD3"/>
    <w:rsid w:val="00EA4DF2"/>
    <w:rsid w:val="00EA4E3D"/>
    <w:rsid w:val="00EA4FF8"/>
    <w:rsid w:val="00EA511E"/>
    <w:rsid w:val="00EA5372"/>
    <w:rsid w:val="00EA5B89"/>
    <w:rsid w:val="00EA646A"/>
    <w:rsid w:val="00EA6471"/>
    <w:rsid w:val="00EA6533"/>
    <w:rsid w:val="00EA665A"/>
    <w:rsid w:val="00EA6724"/>
    <w:rsid w:val="00EA6811"/>
    <w:rsid w:val="00EA70A8"/>
    <w:rsid w:val="00EA7124"/>
    <w:rsid w:val="00EA71DD"/>
    <w:rsid w:val="00EA732E"/>
    <w:rsid w:val="00EA7AB4"/>
    <w:rsid w:val="00EB045E"/>
    <w:rsid w:val="00EB0674"/>
    <w:rsid w:val="00EB074F"/>
    <w:rsid w:val="00EB0961"/>
    <w:rsid w:val="00EB09B2"/>
    <w:rsid w:val="00EB0A22"/>
    <w:rsid w:val="00EB0E1C"/>
    <w:rsid w:val="00EB13EE"/>
    <w:rsid w:val="00EB1ADD"/>
    <w:rsid w:val="00EB1BCF"/>
    <w:rsid w:val="00EB1EC6"/>
    <w:rsid w:val="00EB1F9B"/>
    <w:rsid w:val="00EB2720"/>
    <w:rsid w:val="00EB31F5"/>
    <w:rsid w:val="00EB3AAB"/>
    <w:rsid w:val="00EB3AC1"/>
    <w:rsid w:val="00EB4106"/>
    <w:rsid w:val="00EB47A0"/>
    <w:rsid w:val="00EB48E5"/>
    <w:rsid w:val="00EB4CD4"/>
    <w:rsid w:val="00EB4D1D"/>
    <w:rsid w:val="00EB502B"/>
    <w:rsid w:val="00EB5349"/>
    <w:rsid w:val="00EB55EE"/>
    <w:rsid w:val="00EB591A"/>
    <w:rsid w:val="00EB59EA"/>
    <w:rsid w:val="00EB5CB9"/>
    <w:rsid w:val="00EB5FE7"/>
    <w:rsid w:val="00EB6237"/>
    <w:rsid w:val="00EB62DF"/>
    <w:rsid w:val="00EB6397"/>
    <w:rsid w:val="00EB647A"/>
    <w:rsid w:val="00EB65E7"/>
    <w:rsid w:val="00EB6729"/>
    <w:rsid w:val="00EB6BC3"/>
    <w:rsid w:val="00EB6BF6"/>
    <w:rsid w:val="00EB72B1"/>
    <w:rsid w:val="00EB74C7"/>
    <w:rsid w:val="00EC00C9"/>
    <w:rsid w:val="00EC0504"/>
    <w:rsid w:val="00EC0846"/>
    <w:rsid w:val="00EC0B6E"/>
    <w:rsid w:val="00EC0BA6"/>
    <w:rsid w:val="00EC0D3A"/>
    <w:rsid w:val="00EC10F0"/>
    <w:rsid w:val="00EC113D"/>
    <w:rsid w:val="00EC1552"/>
    <w:rsid w:val="00EC1B17"/>
    <w:rsid w:val="00EC1F72"/>
    <w:rsid w:val="00EC2112"/>
    <w:rsid w:val="00EC2163"/>
    <w:rsid w:val="00EC24D0"/>
    <w:rsid w:val="00EC279B"/>
    <w:rsid w:val="00EC2B05"/>
    <w:rsid w:val="00EC2E78"/>
    <w:rsid w:val="00EC317A"/>
    <w:rsid w:val="00EC3398"/>
    <w:rsid w:val="00EC33BA"/>
    <w:rsid w:val="00EC33ED"/>
    <w:rsid w:val="00EC3455"/>
    <w:rsid w:val="00EC37C8"/>
    <w:rsid w:val="00EC3B48"/>
    <w:rsid w:val="00EC3FD3"/>
    <w:rsid w:val="00EC430F"/>
    <w:rsid w:val="00EC43D1"/>
    <w:rsid w:val="00EC5051"/>
    <w:rsid w:val="00EC5D3F"/>
    <w:rsid w:val="00EC5DB9"/>
    <w:rsid w:val="00EC5EAF"/>
    <w:rsid w:val="00EC5F22"/>
    <w:rsid w:val="00EC6487"/>
    <w:rsid w:val="00EC692B"/>
    <w:rsid w:val="00EC6975"/>
    <w:rsid w:val="00EC6B78"/>
    <w:rsid w:val="00EC6DD8"/>
    <w:rsid w:val="00EC76C7"/>
    <w:rsid w:val="00EC7742"/>
    <w:rsid w:val="00EC79E3"/>
    <w:rsid w:val="00EC7D2B"/>
    <w:rsid w:val="00EC7FAC"/>
    <w:rsid w:val="00ED072C"/>
    <w:rsid w:val="00ED076E"/>
    <w:rsid w:val="00ED07C6"/>
    <w:rsid w:val="00ED0BD7"/>
    <w:rsid w:val="00ED0C0B"/>
    <w:rsid w:val="00ED0FEE"/>
    <w:rsid w:val="00ED1358"/>
    <w:rsid w:val="00ED145B"/>
    <w:rsid w:val="00ED14C7"/>
    <w:rsid w:val="00ED1C03"/>
    <w:rsid w:val="00ED2482"/>
    <w:rsid w:val="00ED253A"/>
    <w:rsid w:val="00ED30C8"/>
    <w:rsid w:val="00ED3418"/>
    <w:rsid w:val="00ED3478"/>
    <w:rsid w:val="00ED35BD"/>
    <w:rsid w:val="00ED3894"/>
    <w:rsid w:val="00ED4A16"/>
    <w:rsid w:val="00ED4B8B"/>
    <w:rsid w:val="00ED51B4"/>
    <w:rsid w:val="00ED5235"/>
    <w:rsid w:val="00ED538B"/>
    <w:rsid w:val="00ED540C"/>
    <w:rsid w:val="00ED5568"/>
    <w:rsid w:val="00ED55D3"/>
    <w:rsid w:val="00ED5670"/>
    <w:rsid w:val="00ED589F"/>
    <w:rsid w:val="00ED5B8A"/>
    <w:rsid w:val="00ED5C18"/>
    <w:rsid w:val="00ED5D31"/>
    <w:rsid w:val="00ED608E"/>
    <w:rsid w:val="00ED6846"/>
    <w:rsid w:val="00ED6EE5"/>
    <w:rsid w:val="00ED704C"/>
    <w:rsid w:val="00ED7119"/>
    <w:rsid w:val="00ED73AF"/>
    <w:rsid w:val="00ED77B2"/>
    <w:rsid w:val="00ED7E18"/>
    <w:rsid w:val="00ED7F2E"/>
    <w:rsid w:val="00ED7F7C"/>
    <w:rsid w:val="00ED7FB0"/>
    <w:rsid w:val="00ED7FF5"/>
    <w:rsid w:val="00ED7FF9"/>
    <w:rsid w:val="00EE0132"/>
    <w:rsid w:val="00EE0199"/>
    <w:rsid w:val="00EE0346"/>
    <w:rsid w:val="00EE035F"/>
    <w:rsid w:val="00EE04E9"/>
    <w:rsid w:val="00EE092A"/>
    <w:rsid w:val="00EE0B73"/>
    <w:rsid w:val="00EE0CD4"/>
    <w:rsid w:val="00EE1199"/>
    <w:rsid w:val="00EE12D1"/>
    <w:rsid w:val="00EE14D3"/>
    <w:rsid w:val="00EE1D7F"/>
    <w:rsid w:val="00EE1EE0"/>
    <w:rsid w:val="00EE2187"/>
    <w:rsid w:val="00EE245E"/>
    <w:rsid w:val="00EE3054"/>
    <w:rsid w:val="00EE30AE"/>
    <w:rsid w:val="00EE32A5"/>
    <w:rsid w:val="00EE331F"/>
    <w:rsid w:val="00EE385B"/>
    <w:rsid w:val="00EE3C74"/>
    <w:rsid w:val="00EE3D48"/>
    <w:rsid w:val="00EE41B1"/>
    <w:rsid w:val="00EE4281"/>
    <w:rsid w:val="00EE4517"/>
    <w:rsid w:val="00EE4663"/>
    <w:rsid w:val="00EE4AD9"/>
    <w:rsid w:val="00EE4E7B"/>
    <w:rsid w:val="00EE5031"/>
    <w:rsid w:val="00EE50CC"/>
    <w:rsid w:val="00EE51B4"/>
    <w:rsid w:val="00EE523E"/>
    <w:rsid w:val="00EE52A7"/>
    <w:rsid w:val="00EE5A14"/>
    <w:rsid w:val="00EE5AFE"/>
    <w:rsid w:val="00EE5D52"/>
    <w:rsid w:val="00EE6463"/>
    <w:rsid w:val="00EE6842"/>
    <w:rsid w:val="00EE68DA"/>
    <w:rsid w:val="00EE6A10"/>
    <w:rsid w:val="00EE6DDC"/>
    <w:rsid w:val="00EE70F3"/>
    <w:rsid w:val="00EE718F"/>
    <w:rsid w:val="00EE7291"/>
    <w:rsid w:val="00EE7361"/>
    <w:rsid w:val="00EE739F"/>
    <w:rsid w:val="00EE73B2"/>
    <w:rsid w:val="00EE744A"/>
    <w:rsid w:val="00EE7909"/>
    <w:rsid w:val="00EE790E"/>
    <w:rsid w:val="00EE79EA"/>
    <w:rsid w:val="00EE79F4"/>
    <w:rsid w:val="00EE7E9C"/>
    <w:rsid w:val="00EE7EDF"/>
    <w:rsid w:val="00EF0531"/>
    <w:rsid w:val="00EF08A3"/>
    <w:rsid w:val="00EF0B04"/>
    <w:rsid w:val="00EF0EC6"/>
    <w:rsid w:val="00EF1144"/>
    <w:rsid w:val="00EF13A5"/>
    <w:rsid w:val="00EF13F1"/>
    <w:rsid w:val="00EF16E6"/>
    <w:rsid w:val="00EF1878"/>
    <w:rsid w:val="00EF1CB5"/>
    <w:rsid w:val="00EF22C5"/>
    <w:rsid w:val="00EF25F5"/>
    <w:rsid w:val="00EF2A21"/>
    <w:rsid w:val="00EF2A60"/>
    <w:rsid w:val="00EF2D6B"/>
    <w:rsid w:val="00EF2F82"/>
    <w:rsid w:val="00EF31B9"/>
    <w:rsid w:val="00EF3B35"/>
    <w:rsid w:val="00EF3E1F"/>
    <w:rsid w:val="00EF3EA8"/>
    <w:rsid w:val="00EF4180"/>
    <w:rsid w:val="00EF446A"/>
    <w:rsid w:val="00EF4491"/>
    <w:rsid w:val="00EF4710"/>
    <w:rsid w:val="00EF4B26"/>
    <w:rsid w:val="00EF4C79"/>
    <w:rsid w:val="00EF4CF2"/>
    <w:rsid w:val="00EF4D65"/>
    <w:rsid w:val="00EF4E4C"/>
    <w:rsid w:val="00EF4F00"/>
    <w:rsid w:val="00EF4F1D"/>
    <w:rsid w:val="00EF4FBC"/>
    <w:rsid w:val="00EF5256"/>
    <w:rsid w:val="00EF52DF"/>
    <w:rsid w:val="00EF56B9"/>
    <w:rsid w:val="00EF5B25"/>
    <w:rsid w:val="00EF5B65"/>
    <w:rsid w:val="00EF5B6B"/>
    <w:rsid w:val="00EF5CE0"/>
    <w:rsid w:val="00EF5D2A"/>
    <w:rsid w:val="00EF5E58"/>
    <w:rsid w:val="00EF614C"/>
    <w:rsid w:val="00EF63AC"/>
    <w:rsid w:val="00EF6531"/>
    <w:rsid w:val="00EF65A8"/>
    <w:rsid w:val="00EF6AFE"/>
    <w:rsid w:val="00EF6CA0"/>
    <w:rsid w:val="00EF6CDB"/>
    <w:rsid w:val="00EF6DC7"/>
    <w:rsid w:val="00EF70B7"/>
    <w:rsid w:val="00EF7200"/>
    <w:rsid w:val="00EF7579"/>
    <w:rsid w:val="00EF75B4"/>
    <w:rsid w:val="00EF7CD8"/>
    <w:rsid w:val="00EF7CE8"/>
    <w:rsid w:val="00F0135C"/>
    <w:rsid w:val="00F018C7"/>
    <w:rsid w:val="00F02560"/>
    <w:rsid w:val="00F02597"/>
    <w:rsid w:val="00F02617"/>
    <w:rsid w:val="00F02B13"/>
    <w:rsid w:val="00F03124"/>
    <w:rsid w:val="00F03139"/>
    <w:rsid w:val="00F03210"/>
    <w:rsid w:val="00F03416"/>
    <w:rsid w:val="00F03B6C"/>
    <w:rsid w:val="00F03B7E"/>
    <w:rsid w:val="00F03BF5"/>
    <w:rsid w:val="00F03D27"/>
    <w:rsid w:val="00F03D5A"/>
    <w:rsid w:val="00F03DC5"/>
    <w:rsid w:val="00F03EB4"/>
    <w:rsid w:val="00F043BE"/>
    <w:rsid w:val="00F04401"/>
    <w:rsid w:val="00F04811"/>
    <w:rsid w:val="00F04A51"/>
    <w:rsid w:val="00F04B30"/>
    <w:rsid w:val="00F04CA1"/>
    <w:rsid w:val="00F04DD0"/>
    <w:rsid w:val="00F04DDC"/>
    <w:rsid w:val="00F04DFC"/>
    <w:rsid w:val="00F04F8C"/>
    <w:rsid w:val="00F05432"/>
    <w:rsid w:val="00F054B6"/>
    <w:rsid w:val="00F0599E"/>
    <w:rsid w:val="00F05CED"/>
    <w:rsid w:val="00F06929"/>
    <w:rsid w:val="00F06B73"/>
    <w:rsid w:val="00F06CDA"/>
    <w:rsid w:val="00F07385"/>
    <w:rsid w:val="00F07653"/>
    <w:rsid w:val="00F07A8A"/>
    <w:rsid w:val="00F1045D"/>
    <w:rsid w:val="00F10B99"/>
    <w:rsid w:val="00F11138"/>
    <w:rsid w:val="00F111D8"/>
    <w:rsid w:val="00F1152A"/>
    <w:rsid w:val="00F11B6B"/>
    <w:rsid w:val="00F11B9B"/>
    <w:rsid w:val="00F11BA4"/>
    <w:rsid w:val="00F11C26"/>
    <w:rsid w:val="00F11D52"/>
    <w:rsid w:val="00F121FB"/>
    <w:rsid w:val="00F12634"/>
    <w:rsid w:val="00F12688"/>
    <w:rsid w:val="00F1286E"/>
    <w:rsid w:val="00F129D9"/>
    <w:rsid w:val="00F132EB"/>
    <w:rsid w:val="00F13346"/>
    <w:rsid w:val="00F135B9"/>
    <w:rsid w:val="00F13895"/>
    <w:rsid w:val="00F13A3F"/>
    <w:rsid w:val="00F13B24"/>
    <w:rsid w:val="00F14794"/>
    <w:rsid w:val="00F14A44"/>
    <w:rsid w:val="00F156EF"/>
    <w:rsid w:val="00F158E9"/>
    <w:rsid w:val="00F15C7F"/>
    <w:rsid w:val="00F15F09"/>
    <w:rsid w:val="00F16776"/>
    <w:rsid w:val="00F16F1D"/>
    <w:rsid w:val="00F171FF"/>
    <w:rsid w:val="00F17425"/>
    <w:rsid w:val="00F174B3"/>
    <w:rsid w:val="00F179D1"/>
    <w:rsid w:val="00F17D18"/>
    <w:rsid w:val="00F17E99"/>
    <w:rsid w:val="00F2020D"/>
    <w:rsid w:val="00F204A5"/>
    <w:rsid w:val="00F20543"/>
    <w:rsid w:val="00F207BC"/>
    <w:rsid w:val="00F2090F"/>
    <w:rsid w:val="00F21068"/>
    <w:rsid w:val="00F210D9"/>
    <w:rsid w:val="00F21528"/>
    <w:rsid w:val="00F215B1"/>
    <w:rsid w:val="00F220D2"/>
    <w:rsid w:val="00F223E8"/>
    <w:rsid w:val="00F22492"/>
    <w:rsid w:val="00F22712"/>
    <w:rsid w:val="00F2298F"/>
    <w:rsid w:val="00F22A15"/>
    <w:rsid w:val="00F22FC2"/>
    <w:rsid w:val="00F23602"/>
    <w:rsid w:val="00F23690"/>
    <w:rsid w:val="00F2381A"/>
    <w:rsid w:val="00F23926"/>
    <w:rsid w:val="00F24BEC"/>
    <w:rsid w:val="00F253B0"/>
    <w:rsid w:val="00F254B2"/>
    <w:rsid w:val="00F25655"/>
    <w:rsid w:val="00F25C28"/>
    <w:rsid w:val="00F25C5C"/>
    <w:rsid w:val="00F25D58"/>
    <w:rsid w:val="00F25EC7"/>
    <w:rsid w:val="00F261A0"/>
    <w:rsid w:val="00F261B4"/>
    <w:rsid w:val="00F266C6"/>
    <w:rsid w:val="00F267EB"/>
    <w:rsid w:val="00F268AA"/>
    <w:rsid w:val="00F26AA8"/>
    <w:rsid w:val="00F26D0A"/>
    <w:rsid w:val="00F270A4"/>
    <w:rsid w:val="00F27143"/>
    <w:rsid w:val="00F27463"/>
    <w:rsid w:val="00F278C4"/>
    <w:rsid w:val="00F304E1"/>
    <w:rsid w:val="00F30B1C"/>
    <w:rsid w:val="00F30ECC"/>
    <w:rsid w:val="00F30ED8"/>
    <w:rsid w:val="00F30EF8"/>
    <w:rsid w:val="00F30F5E"/>
    <w:rsid w:val="00F31391"/>
    <w:rsid w:val="00F317AF"/>
    <w:rsid w:val="00F31EB9"/>
    <w:rsid w:val="00F32276"/>
    <w:rsid w:val="00F32402"/>
    <w:rsid w:val="00F324F7"/>
    <w:rsid w:val="00F3275D"/>
    <w:rsid w:val="00F3279E"/>
    <w:rsid w:val="00F32BA6"/>
    <w:rsid w:val="00F32D10"/>
    <w:rsid w:val="00F32D35"/>
    <w:rsid w:val="00F32DF1"/>
    <w:rsid w:val="00F3316F"/>
    <w:rsid w:val="00F33654"/>
    <w:rsid w:val="00F33FBE"/>
    <w:rsid w:val="00F34267"/>
    <w:rsid w:val="00F343D9"/>
    <w:rsid w:val="00F34443"/>
    <w:rsid w:val="00F34E0D"/>
    <w:rsid w:val="00F34EFC"/>
    <w:rsid w:val="00F35035"/>
    <w:rsid w:val="00F35738"/>
    <w:rsid w:val="00F35C31"/>
    <w:rsid w:val="00F35C73"/>
    <w:rsid w:val="00F367D8"/>
    <w:rsid w:val="00F3680A"/>
    <w:rsid w:val="00F36B15"/>
    <w:rsid w:val="00F37903"/>
    <w:rsid w:val="00F37C1B"/>
    <w:rsid w:val="00F4009E"/>
    <w:rsid w:val="00F400D8"/>
    <w:rsid w:val="00F40332"/>
    <w:rsid w:val="00F405B5"/>
    <w:rsid w:val="00F407B9"/>
    <w:rsid w:val="00F407DC"/>
    <w:rsid w:val="00F40D20"/>
    <w:rsid w:val="00F40D82"/>
    <w:rsid w:val="00F40E49"/>
    <w:rsid w:val="00F40EE3"/>
    <w:rsid w:val="00F410CF"/>
    <w:rsid w:val="00F4185B"/>
    <w:rsid w:val="00F41887"/>
    <w:rsid w:val="00F41BF5"/>
    <w:rsid w:val="00F420F1"/>
    <w:rsid w:val="00F42457"/>
    <w:rsid w:val="00F42656"/>
    <w:rsid w:val="00F426D3"/>
    <w:rsid w:val="00F427DC"/>
    <w:rsid w:val="00F42A87"/>
    <w:rsid w:val="00F42E94"/>
    <w:rsid w:val="00F42ECA"/>
    <w:rsid w:val="00F437A3"/>
    <w:rsid w:val="00F43C6F"/>
    <w:rsid w:val="00F44130"/>
    <w:rsid w:val="00F44183"/>
    <w:rsid w:val="00F441B5"/>
    <w:rsid w:val="00F44351"/>
    <w:rsid w:val="00F44522"/>
    <w:rsid w:val="00F448C0"/>
    <w:rsid w:val="00F44BDA"/>
    <w:rsid w:val="00F45197"/>
    <w:rsid w:val="00F453CF"/>
    <w:rsid w:val="00F4541F"/>
    <w:rsid w:val="00F4548D"/>
    <w:rsid w:val="00F455D5"/>
    <w:rsid w:val="00F455DD"/>
    <w:rsid w:val="00F4576B"/>
    <w:rsid w:val="00F4597E"/>
    <w:rsid w:val="00F45C08"/>
    <w:rsid w:val="00F45E17"/>
    <w:rsid w:val="00F45F14"/>
    <w:rsid w:val="00F46134"/>
    <w:rsid w:val="00F466F7"/>
    <w:rsid w:val="00F46B97"/>
    <w:rsid w:val="00F46E63"/>
    <w:rsid w:val="00F46EE9"/>
    <w:rsid w:val="00F46FC9"/>
    <w:rsid w:val="00F472E9"/>
    <w:rsid w:val="00F473AB"/>
    <w:rsid w:val="00F47478"/>
    <w:rsid w:val="00F475CC"/>
    <w:rsid w:val="00F476E7"/>
    <w:rsid w:val="00F47B0A"/>
    <w:rsid w:val="00F47B2F"/>
    <w:rsid w:val="00F47C0D"/>
    <w:rsid w:val="00F50138"/>
    <w:rsid w:val="00F50164"/>
    <w:rsid w:val="00F5037A"/>
    <w:rsid w:val="00F50435"/>
    <w:rsid w:val="00F50F0F"/>
    <w:rsid w:val="00F50FC2"/>
    <w:rsid w:val="00F510A8"/>
    <w:rsid w:val="00F51296"/>
    <w:rsid w:val="00F513E5"/>
    <w:rsid w:val="00F51B36"/>
    <w:rsid w:val="00F51DE9"/>
    <w:rsid w:val="00F51E08"/>
    <w:rsid w:val="00F51E17"/>
    <w:rsid w:val="00F51EED"/>
    <w:rsid w:val="00F52138"/>
    <w:rsid w:val="00F527DA"/>
    <w:rsid w:val="00F52943"/>
    <w:rsid w:val="00F53318"/>
    <w:rsid w:val="00F536E2"/>
    <w:rsid w:val="00F539E6"/>
    <w:rsid w:val="00F53D25"/>
    <w:rsid w:val="00F53D41"/>
    <w:rsid w:val="00F53D95"/>
    <w:rsid w:val="00F54484"/>
    <w:rsid w:val="00F54683"/>
    <w:rsid w:val="00F54907"/>
    <w:rsid w:val="00F549A7"/>
    <w:rsid w:val="00F54A70"/>
    <w:rsid w:val="00F54C46"/>
    <w:rsid w:val="00F55305"/>
    <w:rsid w:val="00F55418"/>
    <w:rsid w:val="00F55468"/>
    <w:rsid w:val="00F55803"/>
    <w:rsid w:val="00F55893"/>
    <w:rsid w:val="00F559DB"/>
    <w:rsid w:val="00F55D2B"/>
    <w:rsid w:val="00F56347"/>
    <w:rsid w:val="00F56568"/>
    <w:rsid w:val="00F56A68"/>
    <w:rsid w:val="00F56D9A"/>
    <w:rsid w:val="00F56DCF"/>
    <w:rsid w:val="00F57004"/>
    <w:rsid w:val="00F57393"/>
    <w:rsid w:val="00F57B50"/>
    <w:rsid w:val="00F60501"/>
    <w:rsid w:val="00F607DB"/>
    <w:rsid w:val="00F60865"/>
    <w:rsid w:val="00F608A3"/>
    <w:rsid w:val="00F60A6B"/>
    <w:rsid w:val="00F61065"/>
    <w:rsid w:val="00F610BB"/>
    <w:rsid w:val="00F611E2"/>
    <w:rsid w:val="00F61258"/>
    <w:rsid w:val="00F6136D"/>
    <w:rsid w:val="00F61567"/>
    <w:rsid w:val="00F616BF"/>
    <w:rsid w:val="00F61AA9"/>
    <w:rsid w:val="00F61BB9"/>
    <w:rsid w:val="00F61E5A"/>
    <w:rsid w:val="00F6291E"/>
    <w:rsid w:val="00F62BCC"/>
    <w:rsid w:val="00F62C46"/>
    <w:rsid w:val="00F63289"/>
    <w:rsid w:val="00F64174"/>
    <w:rsid w:val="00F64829"/>
    <w:rsid w:val="00F64A00"/>
    <w:rsid w:val="00F65B56"/>
    <w:rsid w:val="00F65D93"/>
    <w:rsid w:val="00F65DBC"/>
    <w:rsid w:val="00F66015"/>
    <w:rsid w:val="00F6623C"/>
    <w:rsid w:val="00F668FC"/>
    <w:rsid w:val="00F66F00"/>
    <w:rsid w:val="00F66FDC"/>
    <w:rsid w:val="00F67049"/>
    <w:rsid w:val="00F675AD"/>
    <w:rsid w:val="00F67B14"/>
    <w:rsid w:val="00F67DF1"/>
    <w:rsid w:val="00F67EEE"/>
    <w:rsid w:val="00F67FAC"/>
    <w:rsid w:val="00F7016A"/>
    <w:rsid w:val="00F70933"/>
    <w:rsid w:val="00F709BF"/>
    <w:rsid w:val="00F70CB5"/>
    <w:rsid w:val="00F71DFA"/>
    <w:rsid w:val="00F72044"/>
    <w:rsid w:val="00F727DB"/>
    <w:rsid w:val="00F72884"/>
    <w:rsid w:val="00F7290C"/>
    <w:rsid w:val="00F72911"/>
    <w:rsid w:val="00F72918"/>
    <w:rsid w:val="00F72A1D"/>
    <w:rsid w:val="00F72B3D"/>
    <w:rsid w:val="00F72D60"/>
    <w:rsid w:val="00F72E03"/>
    <w:rsid w:val="00F72F63"/>
    <w:rsid w:val="00F7300B"/>
    <w:rsid w:val="00F73C4C"/>
    <w:rsid w:val="00F73C5C"/>
    <w:rsid w:val="00F73C97"/>
    <w:rsid w:val="00F73D98"/>
    <w:rsid w:val="00F74139"/>
    <w:rsid w:val="00F74175"/>
    <w:rsid w:val="00F74255"/>
    <w:rsid w:val="00F746CD"/>
    <w:rsid w:val="00F747A6"/>
    <w:rsid w:val="00F74982"/>
    <w:rsid w:val="00F74A89"/>
    <w:rsid w:val="00F74CD1"/>
    <w:rsid w:val="00F74EC8"/>
    <w:rsid w:val="00F75457"/>
    <w:rsid w:val="00F754F0"/>
    <w:rsid w:val="00F7598D"/>
    <w:rsid w:val="00F75C16"/>
    <w:rsid w:val="00F76518"/>
    <w:rsid w:val="00F766B4"/>
    <w:rsid w:val="00F77075"/>
    <w:rsid w:val="00F77263"/>
    <w:rsid w:val="00F7764F"/>
    <w:rsid w:val="00F77A7A"/>
    <w:rsid w:val="00F77D16"/>
    <w:rsid w:val="00F77E60"/>
    <w:rsid w:val="00F80000"/>
    <w:rsid w:val="00F80444"/>
    <w:rsid w:val="00F80966"/>
    <w:rsid w:val="00F80B75"/>
    <w:rsid w:val="00F80FE1"/>
    <w:rsid w:val="00F81059"/>
    <w:rsid w:val="00F81564"/>
    <w:rsid w:val="00F815C2"/>
    <w:rsid w:val="00F81697"/>
    <w:rsid w:val="00F819AA"/>
    <w:rsid w:val="00F81A6F"/>
    <w:rsid w:val="00F81BB0"/>
    <w:rsid w:val="00F81BC5"/>
    <w:rsid w:val="00F81C2D"/>
    <w:rsid w:val="00F81C4D"/>
    <w:rsid w:val="00F81CC3"/>
    <w:rsid w:val="00F81E8B"/>
    <w:rsid w:val="00F82000"/>
    <w:rsid w:val="00F82046"/>
    <w:rsid w:val="00F82184"/>
    <w:rsid w:val="00F828E6"/>
    <w:rsid w:val="00F82A40"/>
    <w:rsid w:val="00F83418"/>
    <w:rsid w:val="00F83DB0"/>
    <w:rsid w:val="00F83F6C"/>
    <w:rsid w:val="00F84050"/>
    <w:rsid w:val="00F8434D"/>
    <w:rsid w:val="00F843B4"/>
    <w:rsid w:val="00F843F1"/>
    <w:rsid w:val="00F845D4"/>
    <w:rsid w:val="00F84723"/>
    <w:rsid w:val="00F8496F"/>
    <w:rsid w:val="00F84B5C"/>
    <w:rsid w:val="00F84EBA"/>
    <w:rsid w:val="00F85A4B"/>
    <w:rsid w:val="00F85B57"/>
    <w:rsid w:val="00F85D6B"/>
    <w:rsid w:val="00F85DAD"/>
    <w:rsid w:val="00F85E33"/>
    <w:rsid w:val="00F860CE"/>
    <w:rsid w:val="00F86342"/>
    <w:rsid w:val="00F8641C"/>
    <w:rsid w:val="00F86483"/>
    <w:rsid w:val="00F86543"/>
    <w:rsid w:val="00F865B6"/>
    <w:rsid w:val="00F86866"/>
    <w:rsid w:val="00F86897"/>
    <w:rsid w:val="00F868BE"/>
    <w:rsid w:val="00F86A92"/>
    <w:rsid w:val="00F86C7C"/>
    <w:rsid w:val="00F86CEA"/>
    <w:rsid w:val="00F86DBC"/>
    <w:rsid w:val="00F86E8E"/>
    <w:rsid w:val="00F87014"/>
    <w:rsid w:val="00F87259"/>
    <w:rsid w:val="00F8725C"/>
    <w:rsid w:val="00F8736F"/>
    <w:rsid w:val="00F87851"/>
    <w:rsid w:val="00F87B3D"/>
    <w:rsid w:val="00F87D11"/>
    <w:rsid w:val="00F87E09"/>
    <w:rsid w:val="00F90417"/>
    <w:rsid w:val="00F9055E"/>
    <w:rsid w:val="00F909B9"/>
    <w:rsid w:val="00F90B3C"/>
    <w:rsid w:val="00F91020"/>
    <w:rsid w:val="00F911CE"/>
    <w:rsid w:val="00F914F7"/>
    <w:rsid w:val="00F916AF"/>
    <w:rsid w:val="00F91B80"/>
    <w:rsid w:val="00F92355"/>
    <w:rsid w:val="00F924C5"/>
    <w:rsid w:val="00F9292A"/>
    <w:rsid w:val="00F92CE2"/>
    <w:rsid w:val="00F92F65"/>
    <w:rsid w:val="00F933CB"/>
    <w:rsid w:val="00F93656"/>
    <w:rsid w:val="00F93735"/>
    <w:rsid w:val="00F93E08"/>
    <w:rsid w:val="00F93EDF"/>
    <w:rsid w:val="00F94008"/>
    <w:rsid w:val="00F949FF"/>
    <w:rsid w:val="00F94B4A"/>
    <w:rsid w:val="00F94C2D"/>
    <w:rsid w:val="00F94E07"/>
    <w:rsid w:val="00F94E0B"/>
    <w:rsid w:val="00F94F59"/>
    <w:rsid w:val="00F95148"/>
    <w:rsid w:val="00F95662"/>
    <w:rsid w:val="00F95D04"/>
    <w:rsid w:val="00F95E0B"/>
    <w:rsid w:val="00F96258"/>
    <w:rsid w:val="00F96A6A"/>
    <w:rsid w:val="00F97362"/>
    <w:rsid w:val="00F97524"/>
    <w:rsid w:val="00F97753"/>
    <w:rsid w:val="00F97791"/>
    <w:rsid w:val="00F97903"/>
    <w:rsid w:val="00F97909"/>
    <w:rsid w:val="00F97BEA"/>
    <w:rsid w:val="00F97F9A"/>
    <w:rsid w:val="00FA03DD"/>
    <w:rsid w:val="00FA041C"/>
    <w:rsid w:val="00FA0777"/>
    <w:rsid w:val="00FA07DB"/>
    <w:rsid w:val="00FA08A8"/>
    <w:rsid w:val="00FA0D2D"/>
    <w:rsid w:val="00FA0D8B"/>
    <w:rsid w:val="00FA1269"/>
    <w:rsid w:val="00FA14F4"/>
    <w:rsid w:val="00FA17B5"/>
    <w:rsid w:val="00FA17C0"/>
    <w:rsid w:val="00FA1C04"/>
    <w:rsid w:val="00FA1EE0"/>
    <w:rsid w:val="00FA1F10"/>
    <w:rsid w:val="00FA1FD0"/>
    <w:rsid w:val="00FA2DAA"/>
    <w:rsid w:val="00FA317C"/>
    <w:rsid w:val="00FA3507"/>
    <w:rsid w:val="00FA356A"/>
    <w:rsid w:val="00FA376E"/>
    <w:rsid w:val="00FA38A4"/>
    <w:rsid w:val="00FA3A47"/>
    <w:rsid w:val="00FA3C06"/>
    <w:rsid w:val="00FA416F"/>
    <w:rsid w:val="00FA4514"/>
    <w:rsid w:val="00FA456B"/>
    <w:rsid w:val="00FA54B2"/>
    <w:rsid w:val="00FA5652"/>
    <w:rsid w:val="00FA5779"/>
    <w:rsid w:val="00FA5AA3"/>
    <w:rsid w:val="00FA5AF8"/>
    <w:rsid w:val="00FA5D3B"/>
    <w:rsid w:val="00FA5D9F"/>
    <w:rsid w:val="00FA66C6"/>
    <w:rsid w:val="00FB0459"/>
    <w:rsid w:val="00FB054A"/>
    <w:rsid w:val="00FB07CF"/>
    <w:rsid w:val="00FB19BB"/>
    <w:rsid w:val="00FB2028"/>
    <w:rsid w:val="00FB22AB"/>
    <w:rsid w:val="00FB2A63"/>
    <w:rsid w:val="00FB3177"/>
    <w:rsid w:val="00FB3216"/>
    <w:rsid w:val="00FB32CA"/>
    <w:rsid w:val="00FB3357"/>
    <w:rsid w:val="00FB3A40"/>
    <w:rsid w:val="00FB4398"/>
    <w:rsid w:val="00FB44F8"/>
    <w:rsid w:val="00FB4796"/>
    <w:rsid w:val="00FB4E90"/>
    <w:rsid w:val="00FB4EAB"/>
    <w:rsid w:val="00FB5076"/>
    <w:rsid w:val="00FB50AA"/>
    <w:rsid w:val="00FB51B6"/>
    <w:rsid w:val="00FB5403"/>
    <w:rsid w:val="00FB5B81"/>
    <w:rsid w:val="00FB5D08"/>
    <w:rsid w:val="00FB5D12"/>
    <w:rsid w:val="00FB6031"/>
    <w:rsid w:val="00FB6424"/>
    <w:rsid w:val="00FB64EA"/>
    <w:rsid w:val="00FB6D6F"/>
    <w:rsid w:val="00FB6FA8"/>
    <w:rsid w:val="00FB7074"/>
    <w:rsid w:val="00FB79BB"/>
    <w:rsid w:val="00FB7AB8"/>
    <w:rsid w:val="00FB7CE1"/>
    <w:rsid w:val="00FC0195"/>
    <w:rsid w:val="00FC0210"/>
    <w:rsid w:val="00FC02AA"/>
    <w:rsid w:val="00FC033D"/>
    <w:rsid w:val="00FC0AFE"/>
    <w:rsid w:val="00FC1200"/>
    <w:rsid w:val="00FC13DB"/>
    <w:rsid w:val="00FC1BB3"/>
    <w:rsid w:val="00FC227B"/>
    <w:rsid w:val="00FC2481"/>
    <w:rsid w:val="00FC25FA"/>
    <w:rsid w:val="00FC267B"/>
    <w:rsid w:val="00FC2C2E"/>
    <w:rsid w:val="00FC305F"/>
    <w:rsid w:val="00FC35F4"/>
    <w:rsid w:val="00FC36C7"/>
    <w:rsid w:val="00FC36D2"/>
    <w:rsid w:val="00FC3892"/>
    <w:rsid w:val="00FC39CD"/>
    <w:rsid w:val="00FC3B5C"/>
    <w:rsid w:val="00FC3BA7"/>
    <w:rsid w:val="00FC4875"/>
    <w:rsid w:val="00FC4F31"/>
    <w:rsid w:val="00FC5189"/>
    <w:rsid w:val="00FC54A7"/>
    <w:rsid w:val="00FC55E0"/>
    <w:rsid w:val="00FC56AA"/>
    <w:rsid w:val="00FC56CD"/>
    <w:rsid w:val="00FC56F0"/>
    <w:rsid w:val="00FC5B9B"/>
    <w:rsid w:val="00FC5D87"/>
    <w:rsid w:val="00FC5F41"/>
    <w:rsid w:val="00FC6CAD"/>
    <w:rsid w:val="00FD01D2"/>
    <w:rsid w:val="00FD01F0"/>
    <w:rsid w:val="00FD0547"/>
    <w:rsid w:val="00FD074C"/>
    <w:rsid w:val="00FD0756"/>
    <w:rsid w:val="00FD07A9"/>
    <w:rsid w:val="00FD07F4"/>
    <w:rsid w:val="00FD0E0B"/>
    <w:rsid w:val="00FD1127"/>
    <w:rsid w:val="00FD132B"/>
    <w:rsid w:val="00FD1BFA"/>
    <w:rsid w:val="00FD1CFF"/>
    <w:rsid w:val="00FD207B"/>
    <w:rsid w:val="00FD22E9"/>
    <w:rsid w:val="00FD2512"/>
    <w:rsid w:val="00FD2C89"/>
    <w:rsid w:val="00FD2DB4"/>
    <w:rsid w:val="00FD2FA8"/>
    <w:rsid w:val="00FD34E6"/>
    <w:rsid w:val="00FD367F"/>
    <w:rsid w:val="00FD474C"/>
    <w:rsid w:val="00FD4FF4"/>
    <w:rsid w:val="00FD5A03"/>
    <w:rsid w:val="00FD5F91"/>
    <w:rsid w:val="00FD6214"/>
    <w:rsid w:val="00FD637E"/>
    <w:rsid w:val="00FD6581"/>
    <w:rsid w:val="00FD67B3"/>
    <w:rsid w:val="00FD6D00"/>
    <w:rsid w:val="00FD6D84"/>
    <w:rsid w:val="00FD6F02"/>
    <w:rsid w:val="00FD6F1D"/>
    <w:rsid w:val="00FD705F"/>
    <w:rsid w:val="00FD74F3"/>
    <w:rsid w:val="00FD7D5C"/>
    <w:rsid w:val="00FD7D95"/>
    <w:rsid w:val="00FD7E56"/>
    <w:rsid w:val="00FD7FC2"/>
    <w:rsid w:val="00FE000E"/>
    <w:rsid w:val="00FE0359"/>
    <w:rsid w:val="00FE04BA"/>
    <w:rsid w:val="00FE05C5"/>
    <w:rsid w:val="00FE08D0"/>
    <w:rsid w:val="00FE091D"/>
    <w:rsid w:val="00FE0F23"/>
    <w:rsid w:val="00FE0FAD"/>
    <w:rsid w:val="00FE10BA"/>
    <w:rsid w:val="00FE11FC"/>
    <w:rsid w:val="00FE1AAA"/>
    <w:rsid w:val="00FE1CE1"/>
    <w:rsid w:val="00FE1D43"/>
    <w:rsid w:val="00FE1DD3"/>
    <w:rsid w:val="00FE23C6"/>
    <w:rsid w:val="00FE24E2"/>
    <w:rsid w:val="00FE25BA"/>
    <w:rsid w:val="00FE2C2B"/>
    <w:rsid w:val="00FE31EB"/>
    <w:rsid w:val="00FE325A"/>
    <w:rsid w:val="00FE335C"/>
    <w:rsid w:val="00FE36A2"/>
    <w:rsid w:val="00FE3790"/>
    <w:rsid w:val="00FE3835"/>
    <w:rsid w:val="00FE42F1"/>
    <w:rsid w:val="00FE4AEE"/>
    <w:rsid w:val="00FE4B6E"/>
    <w:rsid w:val="00FE4E03"/>
    <w:rsid w:val="00FE4FCE"/>
    <w:rsid w:val="00FE5185"/>
    <w:rsid w:val="00FE568B"/>
    <w:rsid w:val="00FE56B1"/>
    <w:rsid w:val="00FE5A04"/>
    <w:rsid w:val="00FE5B29"/>
    <w:rsid w:val="00FE5B54"/>
    <w:rsid w:val="00FE5D28"/>
    <w:rsid w:val="00FE6055"/>
    <w:rsid w:val="00FE6317"/>
    <w:rsid w:val="00FE692B"/>
    <w:rsid w:val="00FE6CAB"/>
    <w:rsid w:val="00FE7181"/>
    <w:rsid w:val="00FE73E0"/>
    <w:rsid w:val="00FE7491"/>
    <w:rsid w:val="00FE7587"/>
    <w:rsid w:val="00FE7643"/>
    <w:rsid w:val="00FE798F"/>
    <w:rsid w:val="00FE7A9D"/>
    <w:rsid w:val="00FE7AD8"/>
    <w:rsid w:val="00FE7B08"/>
    <w:rsid w:val="00FF000F"/>
    <w:rsid w:val="00FF011B"/>
    <w:rsid w:val="00FF016D"/>
    <w:rsid w:val="00FF0270"/>
    <w:rsid w:val="00FF08B9"/>
    <w:rsid w:val="00FF0F28"/>
    <w:rsid w:val="00FF126C"/>
    <w:rsid w:val="00FF1D2F"/>
    <w:rsid w:val="00FF2157"/>
    <w:rsid w:val="00FF2161"/>
    <w:rsid w:val="00FF2341"/>
    <w:rsid w:val="00FF24CD"/>
    <w:rsid w:val="00FF25A6"/>
    <w:rsid w:val="00FF2980"/>
    <w:rsid w:val="00FF37AD"/>
    <w:rsid w:val="00FF3BAD"/>
    <w:rsid w:val="00FF3C65"/>
    <w:rsid w:val="00FF3D2F"/>
    <w:rsid w:val="00FF3D35"/>
    <w:rsid w:val="00FF403E"/>
    <w:rsid w:val="00FF403F"/>
    <w:rsid w:val="00FF4770"/>
    <w:rsid w:val="00FF4BFD"/>
    <w:rsid w:val="00FF4ED5"/>
    <w:rsid w:val="00FF51D0"/>
    <w:rsid w:val="00FF5344"/>
    <w:rsid w:val="00FF57A5"/>
    <w:rsid w:val="00FF5A6E"/>
    <w:rsid w:val="00FF5D70"/>
    <w:rsid w:val="00FF64EA"/>
    <w:rsid w:val="00FF68BE"/>
    <w:rsid w:val="00FF6B18"/>
    <w:rsid w:val="00FF6C23"/>
    <w:rsid w:val="00FF7339"/>
    <w:rsid w:val="00FF7698"/>
    <w:rsid w:val="00FF7AEF"/>
    <w:rsid w:val="00FF7D42"/>
    <w:rsid w:val="00FF7EF7"/>
    <w:rsid w:val="00FF7F3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0657"/>
    <o:shapelayout v:ext="edit">
      <o:idmap v:ext="edit" data="1"/>
    </o:shapelayout>
  </w:shapeDefaults>
  <w:decimalSymbol w:val=","/>
  <w:listSeparator w:val=";"/>
  <w14:docId w14:val="624C5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99" w:unhideWhenUsed="1"/>
    <w:lsdException w:name="List Number" w:uiPriority="99"/>
    <w:lsdException w:name="List 2" w:semiHidden="1"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B77527"/>
    <w:rPr>
      <w:sz w:val="24"/>
      <w:szCs w:val="24"/>
    </w:rPr>
  </w:style>
  <w:style w:type="paragraph" w:styleId="Nadpis1">
    <w:name w:val="heading 1"/>
    <w:basedOn w:val="Normlny"/>
    <w:next w:val="Normlny"/>
    <w:link w:val="Nadpis1Char"/>
    <w:qFormat/>
    <w:rsid w:val="00276947"/>
    <w:pPr>
      <w:keepNext/>
      <w:spacing w:before="240" w:after="60"/>
      <w:outlineLvl w:val="0"/>
    </w:pPr>
    <w:rPr>
      <w:rFonts w:ascii="Arial" w:hAnsi="Arial"/>
      <w:b/>
      <w:caps/>
      <w:kern w:val="32"/>
      <w:sz w:val="32"/>
      <w:szCs w:val="20"/>
      <w:lang w:val="x-none" w:eastAsia="x-none"/>
    </w:rPr>
  </w:style>
  <w:style w:type="paragraph" w:styleId="Nadpis2">
    <w:name w:val="heading 2"/>
    <w:basedOn w:val="Normlny"/>
    <w:next w:val="Normlny"/>
    <w:link w:val="Nadpis2Char"/>
    <w:uiPriority w:val="9"/>
    <w:qFormat/>
    <w:rsid w:val="00C85BF9"/>
    <w:pPr>
      <w:keepNext/>
      <w:spacing w:before="240" w:after="60"/>
      <w:outlineLvl w:val="1"/>
    </w:pPr>
    <w:rPr>
      <w:rFonts w:ascii="Arial" w:hAnsi="Arial"/>
      <w:b/>
      <w:bCs/>
      <w:iCs/>
      <w:sz w:val="28"/>
      <w:szCs w:val="28"/>
    </w:rPr>
  </w:style>
  <w:style w:type="paragraph" w:styleId="Nadpis3">
    <w:name w:val="heading 3"/>
    <w:basedOn w:val="Normlny"/>
    <w:next w:val="Normlny"/>
    <w:link w:val="Nadpis3Char"/>
    <w:uiPriority w:val="9"/>
    <w:qFormat/>
    <w:rsid w:val="00276947"/>
    <w:pPr>
      <w:keepNext/>
      <w:spacing w:before="240" w:after="60"/>
      <w:outlineLvl w:val="2"/>
    </w:pPr>
    <w:rPr>
      <w:rFonts w:ascii="Arial" w:hAnsi="Arial"/>
      <w:b/>
      <w:bCs/>
      <w:sz w:val="26"/>
      <w:szCs w:val="26"/>
    </w:rPr>
  </w:style>
  <w:style w:type="paragraph" w:styleId="Nadpis4">
    <w:name w:val="heading 4"/>
    <w:basedOn w:val="Normlny"/>
    <w:next w:val="Normlny"/>
    <w:link w:val="Nadpis4Char"/>
    <w:uiPriority w:val="9"/>
    <w:qFormat/>
    <w:rsid w:val="00F74139"/>
    <w:pPr>
      <w:keepNext/>
      <w:spacing w:before="240" w:after="60"/>
      <w:outlineLvl w:val="3"/>
    </w:pPr>
    <w:rPr>
      <w:rFonts w:ascii="Calibri" w:hAnsi="Calibri"/>
      <w:b/>
      <w:bCs/>
      <w:sz w:val="28"/>
      <w:szCs w:val="28"/>
    </w:rPr>
  </w:style>
  <w:style w:type="paragraph" w:styleId="Nadpis5">
    <w:name w:val="heading 5"/>
    <w:basedOn w:val="Normlny"/>
    <w:next w:val="Normlny"/>
    <w:link w:val="Nadpis5Char"/>
    <w:uiPriority w:val="9"/>
    <w:qFormat/>
    <w:rsid w:val="001B26C3"/>
    <w:pPr>
      <w:spacing w:before="240" w:after="60"/>
      <w:outlineLvl w:val="4"/>
    </w:pPr>
    <w:rPr>
      <w:rFonts w:ascii="Calibri" w:hAnsi="Calibri"/>
      <w:b/>
      <w:bCs/>
      <w:i/>
      <w:iCs/>
      <w:sz w:val="26"/>
      <w:szCs w:val="26"/>
    </w:rPr>
  </w:style>
  <w:style w:type="paragraph" w:styleId="Nadpis6">
    <w:name w:val="heading 6"/>
    <w:basedOn w:val="Normlny"/>
    <w:next w:val="Normlny"/>
    <w:link w:val="Nadpis6Char"/>
    <w:uiPriority w:val="9"/>
    <w:qFormat/>
    <w:rsid w:val="00B706C5"/>
    <w:pPr>
      <w:spacing w:before="240" w:after="60"/>
      <w:outlineLvl w:val="5"/>
    </w:pPr>
    <w:rPr>
      <w:rFonts w:ascii="Calibri" w:hAnsi="Calibri"/>
      <w:b/>
      <w:bCs/>
      <w:sz w:val="22"/>
      <w:szCs w:val="22"/>
    </w:rPr>
  </w:style>
  <w:style w:type="paragraph" w:styleId="Nadpis7">
    <w:name w:val="heading 7"/>
    <w:basedOn w:val="Normlny"/>
    <w:next w:val="Normlny"/>
    <w:link w:val="Nadpis7Char"/>
    <w:uiPriority w:val="9"/>
    <w:qFormat/>
    <w:rsid w:val="0072342F"/>
    <w:pPr>
      <w:spacing w:before="240" w:after="60"/>
      <w:outlineLvl w:val="6"/>
    </w:pPr>
    <w:rPr>
      <w:rFonts w:ascii="Calibri" w:hAnsi="Calibri"/>
      <w:szCs w:val="20"/>
      <w:lang w:val="x-none" w:eastAsia="x-none"/>
    </w:rPr>
  </w:style>
  <w:style w:type="paragraph" w:styleId="Nadpis8">
    <w:name w:val="heading 8"/>
    <w:basedOn w:val="Normlny"/>
    <w:next w:val="Normlny"/>
    <w:link w:val="Nadpis8Char"/>
    <w:uiPriority w:val="9"/>
    <w:qFormat/>
    <w:rsid w:val="001B26C3"/>
    <w:pPr>
      <w:spacing w:before="240" w:after="60"/>
      <w:outlineLvl w:val="7"/>
    </w:pPr>
    <w:rPr>
      <w:rFonts w:ascii="Calibri" w:hAnsi="Calibri"/>
      <w:i/>
      <w:i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locked/>
    <w:rsid w:val="00276947"/>
    <w:rPr>
      <w:rFonts w:ascii="Arial" w:hAnsi="Arial"/>
      <w:b/>
      <w:caps/>
      <w:kern w:val="32"/>
      <w:sz w:val="32"/>
      <w:lang w:val="x-none" w:eastAsia="x-none"/>
    </w:rPr>
  </w:style>
  <w:style w:type="character" w:customStyle="1" w:styleId="Nadpis2Char">
    <w:name w:val="Nadpis 2 Char"/>
    <w:link w:val="Nadpis2"/>
    <w:uiPriority w:val="9"/>
    <w:locked/>
    <w:rsid w:val="00C85BF9"/>
    <w:rPr>
      <w:rFonts w:ascii="Arial" w:hAnsi="Arial"/>
      <w:b/>
      <w:bCs/>
      <w:iCs/>
      <w:sz w:val="28"/>
      <w:szCs w:val="28"/>
    </w:rPr>
  </w:style>
  <w:style w:type="character" w:customStyle="1" w:styleId="Nadpis3Char">
    <w:name w:val="Nadpis 3 Char"/>
    <w:link w:val="Nadpis3"/>
    <w:uiPriority w:val="9"/>
    <w:locked/>
    <w:rsid w:val="00276947"/>
    <w:rPr>
      <w:rFonts w:ascii="Arial" w:hAnsi="Arial"/>
      <w:b/>
      <w:bCs/>
      <w:sz w:val="26"/>
      <w:szCs w:val="26"/>
    </w:rPr>
  </w:style>
  <w:style w:type="character" w:customStyle="1" w:styleId="Nadpis4Char">
    <w:name w:val="Nadpis 4 Char"/>
    <w:link w:val="Nadpis4"/>
    <w:uiPriority w:val="9"/>
    <w:locked/>
    <w:rPr>
      <w:rFonts w:ascii="Calibri" w:hAnsi="Calibri"/>
      <w:b/>
      <w:sz w:val="28"/>
    </w:rPr>
  </w:style>
  <w:style w:type="character" w:customStyle="1" w:styleId="Nadpis5Char">
    <w:name w:val="Nadpis 5 Char"/>
    <w:link w:val="Nadpis5"/>
    <w:uiPriority w:val="9"/>
    <w:locked/>
    <w:rPr>
      <w:rFonts w:ascii="Calibri" w:hAnsi="Calibri"/>
      <w:b/>
      <w:i/>
      <w:sz w:val="26"/>
    </w:rPr>
  </w:style>
  <w:style w:type="character" w:customStyle="1" w:styleId="Nadpis6Char">
    <w:name w:val="Nadpis 6 Char"/>
    <w:link w:val="Nadpis6"/>
    <w:uiPriority w:val="9"/>
    <w:locked/>
    <w:rPr>
      <w:rFonts w:ascii="Calibri" w:hAnsi="Calibri"/>
      <w:b/>
      <w:sz w:val="22"/>
    </w:rPr>
  </w:style>
  <w:style w:type="character" w:customStyle="1" w:styleId="Nadpis7Char">
    <w:name w:val="Nadpis 7 Char"/>
    <w:link w:val="Nadpis7"/>
    <w:uiPriority w:val="9"/>
    <w:locked/>
    <w:rPr>
      <w:rFonts w:ascii="Calibri" w:hAnsi="Calibri"/>
      <w:sz w:val="24"/>
    </w:rPr>
  </w:style>
  <w:style w:type="character" w:customStyle="1" w:styleId="Nadpis8Char">
    <w:name w:val="Nadpis 8 Char"/>
    <w:link w:val="Nadpis8"/>
    <w:uiPriority w:val="9"/>
    <w:locked/>
    <w:rPr>
      <w:rFonts w:ascii="Calibri" w:hAnsi="Calibri"/>
      <w:i/>
      <w:sz w:val="24"/>
    </w:rPr>
  </w:style>
  <w:style w:type="character" w:customStyle="1" w:styleId="Heading1Char">
    <w:name w:val="Heading 1 Char"/>
    <w:uiPriority w:val="9"/>
    <w:locked/>
    <w:rsid w:val="00E03A17"/>
    <w:rPr>
      <w:rFonts w:ascii="Tw Cen MT" w:eastAsia="Times New Roman" w:hAnsi="Tw Cen MT"/>
      <w:caps/>
      <w:color w:val="000000"/>
      <w:sz w:val="32"/>
      <w:lang w:val="sk-SK" w:eastAsia="en-US"/>
    </w:rPr>
  </w:style>
  <w:style w:type="character" w:customStyle="1" w:styleId="Heading7Char">
    <w:name w:val="Heading 7 Char"/>
    <w:uiPriority w:val="9"/>
    <w:semiHidden/>
    <w:locked/>
    <w:rsid w:val="00EF3EA8"/>
    <w:rPr>
      <w:smallCaps/>
      <w:color w:val="000000"/>
      <w:spacing w:val="10"/>
      <w:sz w:val="23"/>
    </w:rPr>
  </w:style>
  <w:style w:type="table" w:styleId="Mriekatabuky">
    <w:name w:val="Table Grid"/>
    <w:basedOn w:val="Normlnatabuka"/>
    <w:uiPriority w:val="39"/>
    <w:rsid w:val="009F4C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atedadoption">
    <w:name w:val="Date d'adoption"/>
    <w:basedOn w:val="Normlny"/>
    <w:next w:val="Titreobjet"/>
    <w:rsid w:val="002E4092"/>
    <w:pPr>
      <w:spacing w:before="360"/>
      <w:jc w:val="center"/>
    </w:pPr>
    <w:rPr>
      <w:b/>
      <w:bCs/>
      <w:lang w:val="en-GB"/>
    </w:rPr>
  </w:style>
  <w:style w:type="paragraph" w:customStyle="1" w:styleId="Titreobjet">
    <w:name w:val="Titre objet"/>
    <w:basedOn w:val="Normlny"/>
    <w:next w:val="Normlny"/>
    <w:rsid w:val="002E4092"/>
    <w:pPr>
      <w:spacing w:before="360" w:after="360"/>
      <w:jc w:val="center"/>
    </w:pPr>
    <w:rPr>
      <w:b/>
      <w:bCs/>
      <w:lang w:val="en-GB"/>
    </w:rPr>
  </w:style>
  <w:style w:type="paragraph" w:customStyle="1" w:styleId="Typedudocument">
    <w:name w:val="Type du document"/>
    <w:basedOn w:val="Normlny"/>
    <w:next w:val="Datedadoption"/>
    <w:rsid w:val="002E4092"/>
    <w:pPr>
      <w:spacing w:before="360"/>
      <w:jc w:val="center"/>
    </w:pPr>
    <w:rPr>
      <w:b/>
      <w:bCs/>
      <w:lang w:val="en-GB"/>
    </w:rPr>
  </w:style>
  <w:style w:type="paragraph" w:customStyle="1" w:styleId="TableText">
    <w:name w:val="Table Text"/>
    <w:basedOn w:val="Normlny"/>
    <w:rsid w:val="00CC0DF6"/>
    <w:pPr>
      <w:spacing w:before="60"/>
    </w:pPr>
    <w:rPr>
      <w:rFonts w:ascii="Arial" w:hAnsi="Arial"/>
      <w:sz w:val="16"/>
      <w:szCs w:val="20"/>
      <w:lang w:val="en-US"/>
    </w:rPr>
  </w:style>
  <w:style w:type="paragraph" w:styleId="Textvysvetlivky">
    <w:name w:val="endnote text"/>
    <w:basedOn w:val="Normlny"/>
    <w:link w:val="TextvysvetlivkyChar"/>
    <w:uiPriority w:val="99"/>
    <w:semiHidden/>
    <w:rsid w:val="00CC0DF6"/>
    <w:pPr>
      <w:keepLines/>
      <w:spacing w:line="200" w:lineRule="atLeast"/>
    </w:pPr>
    <w:rPr>
      <w:rFonts w:ascii="Arial" w:hAnsi="Arial"/>
      <w:spacing w:val="-5"/>
      <w:sz w:val="16"/>
      <w:szCs w:val="20"/>
      <w:lang w:val="en-GB"/>
    </w:rPr>
  </w:style>
  <w:style w:type="character" w:customStyle="1" w:styleId="TextvysvetlivkyChar">
    <w:name w:val="Text vysvetlivky Char"/>
    <w:link w:val="Textvysvetlivky"/>
    <w:uiPriority w:val="99"/>
    <w:semiHidden/>
    <w:locked/>
    <w:rPr>
      <w:rFonts w:cs="Times New Roman"/>
    </w:rPr>
  </w:style>
  <w:style w:type="paragraph" w:styleId="Hlavika">
    <w:name w:val="header"/>
    <w:basedOn w:val="Normlny"/>
    <w:link w:val="HlavikaChar"/>
    <w:uiPriority w:val="99"/>
    <w:rsid w:val="002C0260"/>
    <w:pPr>
      <w:tabs>
        <w:tab w:val="center" w:pos="4536"/>
        <w:tab w:val="right" w:pos="9072"/>
      </w:tabs>
    </w:pPr>
  </w:style>
  <w:style w:type="character" w:customStyle="1" w:styleId="HlavikaChar">
    <w:name w:val="Hlavička Char"/>
    <w:link w:val="Hlavika"/>
    <w:uiPriority w:val="99"/>
    <w:locked/>
    <w:rPr>
      <w:sz w:val="24"/>
    </w:rPr>
  </w:style>
  <w:style w:type="paragraph" w:styleId="Pta">
    <w:name w:val="footer"/>
    <w:basedOn w:val="Normlny"/>
    <w:link w:val="PtaChar"/>
    <w:uiPriority w:val="99"/>
    <w:rsid w:val="002C0260"/>
    <w:pPr>
      <w:tabs>
        <w:tab w:val="center" w:pos="4536"/>
        <w:tab w:val="right" w:pos="9072"/>
      </w:tabs>
    </w:pPr>
  </w:style>
  <w:style w:type="character" w:customStyle="1" w:styleId="PtaChar">
    <w:name w:val="Päta Char"/>
    <w:link w:val="Pta"/>
    <w:uiPriority w:val="99"/>
    <w:locked/>
    <w:rPr>
      <w:sz w:val="24"/>
    </w:rPr>
  </w:style>
  <w:style w:type="paragraph" w:styleId="PredformtovanHTML">
    <w:name w:val="HTML Preformatted"/>
    <w:basedOn w:val="Normlny"/>
    <w:link w:val="PredformtovanHTMLChar"/>
    <w:uiPriority w:val="99"/>
    <w:rsid w:val="00C852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PredformtovanHTMLChar">
    <w:name w:val="Predformátované HTML Char"/>
    <w:link w:val="PredformtovanHTML"/>
    <w:uiPriority w:val="99"/>
    <w:locked/>
    <w:rPr>
      <w:rFonts w:ascii="Courier New" w:hAnsi="Courier New"/>
    </w:rPr>
  </w:style>
  <w:style w:type="paragraph" w:customStyle="1" w:styleId="Zkladntextb">
    <w:name w:val="Základní text.b"/>
    <w:basedOn w:val="Normlny"/>
    <w:rsid w:val="00DE2442"/>
    <w:pPr>
      <w:spacing w:after="240" w:line="240" w:lineRule="atLeast"/>
      <w:ind w:left="1134"/>
    </w:pPr>
    <w:rPr>
      <w:rFonts w:ascii="Arial" w:hAnsi="Arial"/>
      <w:sz w:val="20"/>
      <w:szCs w:val="20"/>
      <w:lang w:val="en-US"/>
    </w:rPr>
  </w:style>
  <w:style w:type="paragraph" w:customStyle="1" w:styleId="ZkladntextbCharCharCharChar">
    <w:name w:val="Základný text.b Char Char Char Char"/>
    <w:basedOn w:val="Normlny"/>
    <w:link w:val="ZkladntextbCharCharCharCharChar"/>
    <w:rsid w:val="00DE2442"/>
    <w:pPr>
      <w:autoSpaceDE w:val="0"/>
      <w:autoSpaceDN w:val="0"/>
      <w:spacing w:after="240" w:line="240" w:lineRule="atLeast"/>
      <w:ind w:left="1134"/>
      <w:jc w:val="both"/>
    </w:pPr>
    <w:rPr>
      <w:rFonts w:ascii="Arial" w:hAnsi="Arial"/>
      <w:spacing w:val="-5"/>
      <w:szCs w:val="20"/>
      <w:lang w:val="en-GB" w:eastAsia="en-US"/>
    </w:rPr>
  </w:style>
  <w:style w:type="character" w:customStyle="1" w:styleId="ZkladntextbCharCharCharCharChar">
    <w:name w:val="Základný text.b Char Char Char Char Char"/>
    <w:link w:val="ZkladntextbCharCharCharChar"/>
    <w:locked/>
    <w:rsid w:val="00DE2442"/>
    <w:rPr>
      <w:rFonts w:ascii="Arial" w:hAnsi="Arial"/>
      <w:spacing w:val="-5"/>
      <w:sz w:val="24"/>
      <w:lang w:val="en-GB" w:eastAsia="en-US"/>
    </w:rPr>
  </w:style>
  <w:style w:type="paragraph" w:customStyle="1" w:styleId="ZkladntextbCharChar">
    <w:name w:val="Základný text.b Char Char"/>
    <w:basedOn w:val="Normlny"/>
    <w:rsid w:val="007A4557"/>
    <w:pPr>
      <w:spacing w:after="240" w:line="240" w:lineRule="atLeast"/>
      <w:ind w:left="1134"/>
      <w:jc w:val="both"/>
    </w:pPr>
    <w:rPr>
      <w:rFonts w:ascii="Arial" w:hAnsi="Arial"/>
      <w:spacing w:val="-5"/>
      <w:sz w:val="20"/>
      <w:szCs w:val="20"/>
      <w:lang w:val="en-GB" w:eastAsia="en-US"/>
    </w:rPr>
  </w:style>
  <w:style w:type="paragraph" w:styleId="Normlnywebov">
    <w:name w:val="Normal (Web)"/>
    <w:basedOn w:val="Normlny"/>
    <w:rsid w:val="00D627D0"/>
    <w:pPr>
      <w:spacing w:before="100" w:beforeAutospacing="1" w:after="100" w:afterAutospacing="1"/>
    </w:pPr>
    <w:rPr>
      <w:lang w:val="cs-CZ" w:eastAsia="cs-CZ"/>
    </w:rPr>
  </w:style>
  <w:style w:type="paragraph" w:styleId="Zkladntext">
    <w:name w:val="Body Text"/>
    <w:aliases w:val="b,Základný text1 Char,Základný text1 Char Char Char Char,Základný text1"/>
    <w:basedOn w:val="Normlny"/>
    <w:link w:val="ZkladntextChar"/>
    <w:rsid w:val="00D627D0"/>
    <w:pPr>
      <w:spacing w:after="240" w:line="240" w:lineRule="atLeast"/>
      <w:jc w:val="both"/>
    </w:pPr>
  </w:style>
  <w:style w:type="character" w:customStyle="1" w:styleId="ZkladntextChar">
    <w:name w:val="Základný text Char"/>
    <w:aliases w:val="b Char,Základný text1 Char Char,Základný text1 Char Char Char Char Char,Základný text1 Char1"/>
    <w:link w:val="Zkladntext"/>
    <w:locked/>
    <w:rPr>
      <w:sz w:val="24"/>
    </w:rPr>
  </w:style>
  <w:style w:type="character" w:styleId="Hypertextovprepojenie">
    <w:name w:val="Hyperlink"/>
    <w:uiPriority w:val="99"/>
    <w:rsid w:val="00A37259"/>
    <w:rPr>
      <w:color w:val="0000FF"/>
      <w:u w:val="single"/>
    </w:rPr>
  </w:style>
  <w:style w:type="paragraph" w:styleId="Zoznamsodrkami">
    <w:name w:val="List Bullet"/>
    <w:basedOn w:val="Zoznam"/>
    <w:autoRedefine/>
    <w:uiPriority w:val="99"/>
    <w:rsid w:val="00A37259"/>
    <w:pPr>
      <w:numPr>
        <w:numId w:val="1"/>
      </w:numPr>
      <w:tabs>
        <w:tab w:val="clear" w:pos="360"/>
        <w:tab w:val="num" w:pos="1209"/>
      </w:tabs>
      <w:ind w:left="1209"/>
      <w:jc w:val="both"/>
    </w:pPr>
    <w:rPr>
      <w:color w:val="FF0000"/>
      <w:spacing w:val="-5"/>
      <w:szCs w:val="20"/>
      <w:lang w:eastAsia="en-US"/>
    </w:rPr>
  </w:style>
  <w:style w:type="paragraph" w:styleId="Zoznam">
    <w:name w:val="List"/>
    <w:basedOn w:val="Normlny"/>
    <w:uiPriority w:val="99"/>
    <w:rsid w:val="00A37259"/>
    <w:pPr>
      <w:ind w:left="283" w:hanging="283"/>
    </w:pPr>
  </w:style>
  <w:style w:type="paragraph" w:customStyle="1" w:styleId="Nadpis52podnadpis">
    <w:name w:val="Nadpis 5._2.podnadpis"/>
    <w:basedOn w:val="Normlny"/>
    <w:next w:val="Normlny"/>
    <w:rsid w:val="00A37259"/>
    <w:pPr>
      <w:keepNext/>
      <w:keepLines/>
      <w:tabs>
        <w:tab w:val="num" w:pos="1068"/>
        <w:tab w:val="num" w:pos="3240"/>
        <w:tab w:val="num" w:pos="3600"/>
      </w:tabs>
      <w:spacing w:before="120" w:after="120" w:line="240" w:lineRule="atLeast"/>
      <w:ind w:left="3240" w:hanging="360"/>
    </w:pPr>
    <w:rPr>
      <w:rFonts w:ascii="Arial" w:hAnsi="Arial"/>
      <w:b/>
      <w:i/>
      <w:spacing w:val="-4"/>
      <w:kern w:val="28"/>
      <w:sz w:val="20"/>
      <w:szCs w:val="20"/>
      <w:lang w:val="en-GB" w:eastAsia="en-US"/>
    </w:rPr>
  </w:style>
  <w:style w:type="paragraph" w:customStyle="1" w:styleId="Titrearticle">
    <w:name w:val="Titre article"/>
    <w:basedOn w:val="Normlny"/>
    <w:next w:val="Normlny"/>
    <w:rsid w:val="00854870"/>
    <w:pPr>
      <w:keepNext/>
      <w:spacing w:before="360" w:after="120"/>
      <w:jc w:val="center"/>
    </w:pPr>
    <w:rPr>
      <w:i/>
      <w:iCs/>
      <w:lang w:val="en-GB"/>
    </w:rPr>
  </w:style>
  <w:style w:type="character" w:styleId="slostrany">
    <w:name w:val="page number"/>
    <w:basedOn w:val="Predvolenpsmoodseku"/>
    <w:uiPriority w:val="99"/>
    <w:rsid w:val="005019D4"/>
  </w:style>
  <w:style w:type="paragraph" w:styleId="Zarkazkladnhotextu">
    <w:name w:val="Body Text Indent"/>
    <w:basedOn w:val="Normlny"/>
    <w:link w:val="ZarkazkladnhotextuChar"/>
    <w:uiPriority w:val="99"/>
    <w:rsid w:val="00EE744A"/>
    <w:pPr>
      <w:spacing w:after="120"/>
      <w:ind w:left="283"/>
    </w:pPr>
  </w:style>
  <w:style w:type="character" w:customStyle="1" w:styleId="ZarkazkladnhotextuChar">
    <w:name w:val="Zarážka základného textu Char"/>
    <w:link w:val="Zarkazkladnhotextu"/>
    <w:uiPriority w:val="99"/>
    <w:locked/>
    <w:rPr>
      <w:sz w:val="24"/>
    </w:rPr>
  </w:style>
  <w:style w:type="paragraph" w:styleId="Obsah7">
    <w:name w:val="toc 7"/>
    <w:basedOn w:val="Normlny"/>
    <w:next w:val="Normlny"/>
    <w:autoRedefine/>
    <w:uiPriority w:val="39"/>
    <w:semiHidden/>
    <w:rsid w:val="005A3CE5"/>
    <w:pPr>
      <w:ind w:left="1200"/>
    </w:pPr>
    <w:rPr>
      <w:sz w:val="20"/>
      <w:szCs w:val="20"/>
    </w:rPr>
  </w:style>
  <w:style w:type="paragraph" w:customStyle="1" w:styleId="Nadpis3Nadpis3CharObyeajnCharH3CharObyeajnH3">
    <w:name w:val="Nadpis 3.Nadpis 3 Char.Obyeajný Char.H3 Char.Obyeajný.H3"/>
    <w:basedOn w:val="Normlny"/>
    <w:next w:val="Zkladntextb"/>
    <w:rsid w:val="00EE744A"/>
    <w:pPr>
      <w:keepNext/>
      <w:keepLines/>
      <w:tabs>
        <w:tab w:val="num" w:pos="2509"/>
      </w:tabs>
      <w:autoSpaceDE w:val="0"/>
      <w:autoSpaceDN w:val="0"/>
      <w:spacing w:after="240" w:line="240" w:lineRule="atLeast"/>
      <w:ind w:left="2509" w:hanging="360"/>
    </w:pPr>
    <w:rPr>
      <w:rFonts w:ascii="Arial Black" w:hAnsi="Arial Black"/>
      <w:spacing w:val="-10"/>
      <w:kern w:val="28"/>
      <w:sz w:val="20"/>
      <w:szCs w:val="20"/>
      <w:lang w:val="en-GB"/>
    </w:rPr>
  </w:style>
  <w:style w:type="paragraph" w:customStyle="1" w:styleId="Nadpis41podnadpisH4">
    <w:name w:val="Nadpis 4.1.podnadpis.H4"/>
    <w:basedOn w:val="Normlny"/>
    <w:next w:val="Zkladntextb"/>
    <w:rsid w:val="00EE744A"/>
    <w:pPr>
      <w:keepNext/>
      <w:keepLines/>
      <w:tabs>
        <w:tab w:val="num" w:pos="3229"/>
      </w:tabs>
      <w:autoSpaceDE w:val="0"/>
      <w:autoSpaceDN w:val="0"/>
      <w:spacing w:after="240" w:line="240" w:lineRule="atLeast"/>
      <w:ind w:left="3229" w:hanging="360"/>
    </w:pPr>
    <w:rPr>
      <w:rFonts w:ascii="Arial" w:hAnsi="Arial" w:cs="Arial"/>
      <w:b/>
      <w:bCs/>
      <w:spacing w:val="-4"/>
      <w:kern w:val="28"/>
      <w:sz w:val="22"/>
      <w:szCs w:val="22"/>
      <w:lang w:val="en-GB"/>
    </w:rPr>
  </w:style>
  <w:style w:type="paragraph" w:styleId="slovanzoznam">
    <w:name w:val="List Number"/>
    <w:basedOn w:val="Normlny"/>
    <w:uiPriority w:val="99"/>
    <w:rsid w:val="00F74139"/>
    <w:pPr>
      <w:tabs>
        <w:tab w:val="num" w:pos="486"/>
      </w:tabs>
      <w:ind w:left="486" w:hanging="360"/>
    </w:pPr>
    <w:rPr>
      <w:lang w:val="cs-CZ" w:eastAsia="cs-CZ"/>
    </w:rPr>
  </w:style>
  <w:style w:type="paragraph" w:customStyle="1" w:styleId="Zkladntextb2">
    <w:name w:val="Základní text.b2"/>
    <w:basedOn w:val="Normlny"/>
    <w:rsid w:val="00F74139"/>
    <w:pPr>
      <w:jc w:val="both"/>
    </w:pPr>
    <w:rPr>
      <w:rFonts w:ascii="Arial" w:hAnsi="Arial"/>
      <w:szCs w:val="20"/>
      <w:lang w:eastAsia="en-US"/>
    </w:rPr>
  </w:style>
  <w:style w:type="paragraph" w:customStyle="1" w:styleId="ZkladntextbCharChar1">
    <w:name w:val="Základný text.b Char Char1"/>
    <w:basedOn w:val="Normlny"/>
    <w:link w:val="ZkladntextbCharCharChar"/>
    <w:rsid w:val="00231187"/>
    <w:pPr>
      <w:spacing w:after="240" w:line="240" w:lineRule="atLeast"/>
      <w:ind w:left="1134"/>
      <w:jc w:val="both"/>
    </w:pPr>
    <w:rPr>
      <w:rFonts w:ascii="Arial" w:hAnsi="Arial"/>
      <w:spacing w:val="-5"/>
      <w:szCs w:val="20"/>
      <w:lang w:val="en-GB" w:eastAsia="en-US"/>
    </w:rPr>
  </w:style>
  <w:style w:type="character" w:customStyle="1" w:styleId="ZkladntextbCharCharChar">
    <w:name w:val="Základný text.b Char Char Char"/>
    <w:link w:val="ZkladntextbCharChar1"/>
    <w:locked/>
    <w:rsid w:val="001D0E71"/>
    <w:rPr>
      <w:rFonts w:ascii="Arial" w:hAnsi="Arial"/>
      <w:spacing w:val="-5"/>
      <w:sz w:val="24"/>
      <w:lang w:val="en-GB" w:eastAsia="en-US"/>
    </w:rPr>
  </w:style>
  <w:style w:type="paragraph" w:customStyle="1" w:styleId="Tabletext0">
    <w:name w:val="Table text"/>
    <w:basedOn w:val="Normlny"/>
    <w:rsid w:val="00046BBA"/>
    <w:pPr>
      <w:autoSpaceDE w:val="0"/>
      <w:autoSpaceDN w:val="0"/>
      <w:jc w:val="both"/>
    </w:pPr>
    <w:rPr>
      <w:rFonts w:ascii="Arial" w:hAnsi="Arial" w:cs="Arial"/>
      <w:spacing w:val="-5"/>
      <w:sz w:val="20"/>
      <w:szCs w:val="20"/>
      <w:lang w:val="en-GB"/>
    </w:rPr>
  </w:style>
  <w:style w:type="paragraph" w:customStyle="1" w:styleId="SectionTitle">
    <w:name w:val="SectionTitle"/>
    <w:basedOn w:val="Normlny"/>
    <w:next w:val="Nadpis1"/>
    <w:rsid w:val="005804A2"/>
    <w:pPr>
      <w:keepNext/>
      <w:spacing w:before="120" w:after="360"/>
      <w:jc w:val="center"/>
    </w:pPr>
    <w:rPr>
      <w:b/>
      <w:smallCaps/>
      <w:sz w:val="28"/>
      <w:szCs w:val="20"/>
      <w:lang w:val="en-GB"/>
    </w:rPr>
  </w:style>
  <w:style w:type="character" w:customStyle="1" w:styleId="spelle">
    <w:name w:val="spelle"/>
    <w:rsid w:val="00183BA1"/>
  </w:style>
  <w:style w:type="paragraph" w:customStyle="1" w:styleId="ZkladntextbJustified">
    <w:name w:val="Základní text.b + Justified"/>
    <w:basedOn w:val="Zkladntextb"/>
    <w:rsid w:val="00102ABC"/>
    <w:pPr>
      <w:jc w:val="both"/>
    </w:pPr>
    <w:rPr>
      <w:lang w:val="sk-SK"/>
    </w:rPr>
  </w:style>
  <w:style w:type="paragraph" w:styleId="Obsah3">
    <w:name w:val="toc 3"/>
    <w:basedOn w:val="Normlny"/>
    <w:next w:val="Normlny"/>
    <w:autoRedefine/>
    <w:uiPriority w:val="39"/>
    <w:rsid w:val="004115C5"/>
    <w:pPr>
      <w:tabs>
        <w:tab w:val="right" w:leader="dot" w:pos="9072"/>
      </w:tabs>
      <w:ind w:left="284"/>
    </w:pPr>
    <w:rPr>
      <w:sz w:val="20"/>
      <w:szCs w:val="20"/>
    </w:rPr>
  </w:style>
  <w:style w:type="paragraph" w:styleId="Obsah1">
    <w:name w:val="toc 1"/>
    <w:basedOn w:val="Normlny"/>
    <w:next w:val="Normlny"/>
    <w:autoRedefine/>
    <w:uiPriority w:val="39"/>
    <w:rsid w:val="002939DC"/>
    <w:pPr>
      <w:tabs>
        <w:tab w:val="left" w:pos="480"/>
        <w:tab w:val="right" w:leader="dot" w:pos="9072"/>
      </w:tabs>
      <w:spacing w:before="360"/>
    </w:pPr>
    <w:rPr>
      <w:rFonts w:ascii="Arial" w:hAnsi="Arial" w:cs="Arial"/>
      <w:b/>
      <w:bCs/>
      <w:smallCaps/>
      <w:noProof/>
      <w:sz w:val="22"/>
    </w:rPr>
  </w:style>
  <w:style w:type="paragraph" w:styleId="Obsah2">
    <w:name w:val="toc 2"/>
    <w:basedOn w:val="Normlny"/>
    <w:next w:val="Normlny"/>
    <w:autoRedefine/>
    <w:uiPriority w:val="39"/>
    <w:rsid w:val="004115C5"/>
    <w:pPr>
      <w:tabs>
        <w:tab w:val="right" w:leader="dot" w:pos="9072"/>
      </w:tabs>
      <w:ind w:left="142"/>
    </w:pPr>
    <w:rPr>
      <w:b/>
      <w:bCs/>
      <w:sz w:val="20"/>
      <w:szCs w:val="20"/>
    </w:rPr>
  </w:style>
  <w:style w:type="paragraph" w:styleId="Obsah6">
    <w:name w:val="toc 6"/>
    <w:basedOn w:val="Normlny"/>
    <w:next w:val="Normlny"/>
    <w:autoRedefine/>
    <w:uiPriority w:val="39"/>
    <w:semiHidden/>
    <w:rsid w:val="003C358E"/>
    <w:pPr>
      <w:ind w:left="960"/>
    </w:pPr>
    <w:rPr>
      <w:sz w:val="20"/>
      <w:szCs w:val="20"/>
    </w:rPr>
  </w:style>
  <w:style w:type="paragraph" w:styleId="Obsah4">
    <w:name w:val="toc 4"/>
    <w:basedOn w:val="Normlny"/>
    <w:next w:val="Normlny"/>
    <w:autoRedefine/>
    <w:uiPriority w:val="39"/>
    <w:semiHidden/>
    <w:rsid w:val="00D302EA"/>
    <w:pPr>
      <w:ind w:left="480"/>
    </w:pPr>
    <w:rPr>
      <w:sz w:val="20"/>
      <w:szCs w:val="20"/>
    </w:rPr>
  </w:style>
  <w:style w:type="paragraph" w:styleId="Obsah5">
    <w:name w:val="toc 5"/>
    <w:basedOn w:val="Normlny"/>
    <w:next w:val="Normlny"/>
    <w:autoRedefine/>
    <w:uiPriority w:val="39"/>
    <w:semiHidden/>
    <w:rsid w:val="003C358E"/>
    <w:pPr>
      <w:ind w:left="720"/>
    </w:pPr>
    <w:rPr>
      <w:sz w:val="20"/>
      <w:szCs w:val="20"/>
    </w:rPr>
  </w:style>
  <w:style w:type="paragraph" w:styleId="Textpoznmkypodiarou">
    <w:name w:val="footnote text"/>
    <w:aliases w:val="Text poznámky pod čiarou 007,_Poznámka pod čiarou,Text poznámky pod èiarou 007,Footnote text,Schriftart: 9 pt,Schriftart: 10 pt,Schriftart: 8 pt,Footnote Text Char2,Footnote Text Char1 Char,Footnote Text Char2 Char Char,stile 1"/>
    <w:basedOn w:val="Normlny"/>
    <w:link w:val="TextpoznmkypodiarouChar"/>
    <w:rsid w:val="00B95CF2"/>
    <w:rPr>
      <w:sz w:val="20"/>
      <w:szCs w:val="20"/>
    </w:rPr>
  </w:style>
  <w:style w:type="character" w:customStyle="1" w:styleId="TextpoznmkypodiarouChar">
    <w:name w:val="Text poznámky pod čiarou Char"/>
    <w:aliases w:val="Text poznámky pod čiarou 007 Char,_Poznámka pod čiarou Char,Text poznámky pod èiarou 007 Char,Footnote text Char,Schriftart: 9 pt Char,Schriftart: 10 pt Char,Schriftart: 8 pt Char,Footnote Text Char2 Char,stile 1 Char"/>
    <w:link w:val="Textpoznmkypodiarou"/>
    <w:locked/>
    <w:rPr>
      <w:rFonts w:cs="Times New Roman"/>
    </w:rPr>
  </w:style>
  <w:style w:type="character" w:styleId="Odkaznapoznmkupodiarou">
    <w:name w:val="footnote reference"/>
    <w:aliases w:val="Footnote,Footnotes refss,Stinking Styles1,FRef ISO"/>
    <w:uiPriority w:val="99"/>
    <w:rsid w:val="00B95CF2"/>
    <w:rPr>
      <w:vertAlign w:val="superscript"/>
    </w:rPr>
  </w:style>
  <w:style w:type="paragraph" w:styleId="Zarkazkladnhotextu2">
    <w:name w:val="Body Text Indent 2"/>
    <w:basedOn w:val="Normlny"/>
    <w:link w:val="Zarkazkladnhotextu2Char"/>
    <w:uiPriority w:val="99"/>
    <w:rsid w:val="002A305E"/>
    <w:pPr>
      <w:ind w:left="360"/>
      <w:jc w:val="both"/>
    </w:pPr>
  </w:style>
  <w:style w:type="character" w:customStyle="1" w:styleId="Zarkazkladnhotextu2Char">
    <w:name w:val="Zarážka základného textu 2 Char"/>
    <w:link w:val="Zarkazkladnhotextu2"/>
    <w:uiPriority w:val="99"/>
    <w:locked/>
    <w:rPr>
      <w:sz w:val="24"/>
    </w:rPr>
  </w:style>
  <w:style w:type="paragraph" w:customStyle="1" w:styleId="ZkladntextbChar">
    <w:name w:val="Základný text.b Char"/>
    <w:basedOn w:val="Normlny"/>
    <w:rsid w:val="009A5F1F"/>
    <w:pPr>
      <w:autoSpaceDE w:val="0"/>
      <w:autoSpaceDN w:val="0"/>
      <w:spacing w:after="240" w:line="240" w:lineRule="atLeast"/>
      <w:ind w:left="1134"/>
      <w:jc w:val="both"/>
    </w:pPr>
    <w:rPr>
      <w:rFonts w:ascii="Arial" w:hAnsi="Arial"/>
      <w:spacing w:val="-5"/>
      <w:lang w:val="en-GB" w:eastAsia="en-US"/>
    </w:rPr>
  </w:style>
  <w:style w:type="paragraph" w:styleId="Zoznamsodrkami2">
    <w:name w:val="List Bullet 2"/>
    <w:basedOn w:val="Normlny"/>
    <w:uiPriority w:val="99"/>
    <w:rsid w:val="00736810"/>
    <w:pPr>
      <w:numPr>
        <w:numId w:val="2"/>
      </w:numPr>
    </w:pPr>
  </w:style>
  <w:style w:type="paragraph" w:styleId="Textbubliny">
    <w:name w:val="Balloon Text"/>
    <w:basedOn w:val="Normlny"/>
    <w:link w:val="TextbublinyChar"/>
    <w:uiPriority w:val="99"/>
    <w:semiHidden/>
    <w:rsid w:val="009A6E42"/>
    <w:rPr>
      <w:sz w:val="20"/>
    </w:rPr>
  </w:style>
  <w:style w:type="character" w:customStyle="1" w:styleId="TextbublinyChar">
    <w:name w:val="Text bubliny Char"/>
    <w:link w:val="Textbubliny"/>
    <w:uiPriority w:val="99"/>
    <w:locked/>
    <w:rsid w:val="009A6E42"/>
    <w:rPr>
      <w:szCs w:val="24"/>
    </w:rPr>
  </w:style>
  <w:style w:type="character" w:styleId="Zvraznenie">
    <w:name w:val="Emphasis"/>
    <w:uiPriority w:val="20"/>
    <w:qFormat/>
    <w:rsid w:val="00212E2F"/>
    <w:rPr>
      <w:i/>
    </w:rPr>
  </w:style>
  <w:style w:type="paragraph" w:styleId="Obyajntext">
    <w:name w:val="Plain Text"/>
    <w:basedOn w:val="Normlny"/>
    <w:link w:val="ObyajntextChar"/>
    <w:uiPriority w:val="99"/>
    <w:rsid w:val="00B26E82"/>
    <w:rPr>
      <w:rFonts w:ascii="Courier New" w:hAnsi="Courier New"/>
      <w:sz w:val="20"/>
      <w:szCs w:val="20"/>
    </w:rPr>
  </w:style>
  <w:style w:type="character" w:customStyle="1" w:styleId="ObyajntextChar">
    <w:name w:val="Obyčajný text Char"/>
    <w:link w:val="Obyajntext"/>
    <w:uiPriority w:val="99"/>
    <w:locked/>
    <w:rPr>
      <w:rFonts w:ascii="Courier New" w:hAnsi="Courier New"/>
    </w:rPr>
  </w:style>
  <w:style w:type="table" w:styleId="Motvtabuky">
    <w:name w:val="Table Theme"/>
    <w:basedOn w:val="Normlnatabuka"/>
    <w:uiPriority w:val="99"/>
    <w:rsid w:val="00EF4D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uiPriority w:val="99"/>
    <w:semiHidden/>
    <w:rsid w:val="005F6212"/>
    <w:rPr>
      <w:sz w:val="16"/>
    </w:rPr>
  </w:style>
  <w:style w:type="paragraph" w:customStyle="1" w:styleId="CharCharCharCharCharChar">
    <w:name w:val="Char Char Char Char Char Char"/>
    <w:basedOn w:val="Normlny"/>
    <w:rsid w:val="003B6557"/>
    <w:pPr>
      <w:spacing w:after="160" w:line="240" w:lineRule="exact"/>
    </w:pPr>
    <w:rPr>
      <w:rFonts w:ascii="Tahoma" w:hAnsi="Tahoma" w:cs="Tahoma"/>
      <w:sz w:val="20"/>
      <w:szCs w:val="20"/>
      <w:lang w:eastAsia="en-US"/>
    </w:rPr>
  </w:style>
  <w:style w:type="paragraph" w:customStyle="1" w:styleId="CharChar1">
    <w:name w:val="Char Char1"/>
    <w:basedOn w:val="Normlny"/>
    <w:rsid w:val="00294E19"/>
    <w:pPr>
      <w:spacing w:after="160" w:line="240" w:lineRule="exact"/>
    </w:pPr>
    <w:rPr>
      <w:rFonts w:ascii="Tahoma" w:hAnsi="Tahoma" w:cs="Tahoma"/>
      <w:sz w:val="20"/>
      <w:szCs w:val="20"/>
      <w:lang w:eastAsia="en-US"/>
    </w:rPr>
  </w:style>
  <w:style w:type="paragraph" w:styleId="Nzov">
    <w:name w:val="Title"/>
    <w:basedOn w:val="Normlny"/>
    <w:link w:val="NzovChar"/>
    <w:qFormat/>
    <w:rsid w:val="003801F3"/>
    <w:pPr>
      <w:jc w:val="center"/>
    </w:pPr>
    <w:rPr>
      <w:rFonts w:ascii="Cambria" w:hAnsi="Cambria"/>
      <w:b/>
      <w:bCs/>
      <w:kern w:val="28"/>
      <w:sz w:val="32"/>
      <w:szCs w:val="32"/>
    </w:rPr>
  </w:style>
  <w:style w:type="character" w:customStyle="1" w:styleId="NzovChar">
    <w:name w:val="Názov Char"/>
    <w:link w:val="Nzov"/>
    <w:locked/>
    <w:rPr>
      <w:rFonts w:ascii="Cambria" w:hAnsi="Cambria"/>
      <w:b/>
      <w:kern w:val="28"/>
      <w:sz w:val="32"/>
    </w:rPr>
  </w:style>
  <w:style w:type="paragraph" w:styleId="truktradokumentu">
    <w:name w:val="Document Map"/>
    <w:basedOn w:val="Normlny"/>
    <w:link w:val="truktradokumentuChar"/>
    <w:uiPriority w:val="99"/>
    <w:semiHidden/>
    <w:rsid w:val="005A3CE5"/>
    <w:pPr>
      <w:shd w:val="clear" w:color="auto" w:fill="000080"/>
    </w:pPr>
    <w:rPr>
      <w:sz w:val="2"/>
    </w:rPr>
  </w:style>
  <w:style w:type="character" w:customStyle="1" w:styleId="truktradokumentuChar">
    <w:name w:val="Štruktúra dokumentu Char"/>
    <w:link w:val="truktradokumentu"/>
    <w:uiPriority w:val="99"/>
    <w:semiHidden/>
    <w:locked/>
    <w:rPr>
      <w:sz w:val="2"/>
    </w:rPr>
  </w:style>
  <w:style w:type="paragraph" w:styleId="Obsah8">
    <w:name w:val="toc 8"/>
    <w:basedOn w:val="Normlny"/>
    <w:next w:val="Normlny"/>
    <w:autoRedefine/>
    <w:uiPriority w:val="39"/>
    <w:semiHidden/>
    <w:rsid w:val="005A3CE5"/>
    <w:pPr>
      <w:ind w:left="1440"/>
    </w:pPr>
    <w:rPr>
      <w:sz w:val="20"/>
      <w:szCs w:val="20"/>
    </w:rPr>
  </w:style>
  <w:style w:type="paragraph" w:styleId="Obsah9">
    <w:name w:val="toc 9"/>
    <w:basedOn w:val="Normlny"/>
    <w:next w:val="Normlny"/>
    <w:autoRedefine/>
    <w:uiPriority w:val="39"/>
    <w:semiHidden/>
    <w:rsid w:val="005A3CE5"/>
    <w:pPr>
      <w:ind w:left="1680"/>
    </w:pPr>
    <w:rPr>
      <w:sz w:val="20"/>
      <w:szCs w:val="20"/>
    </w:rPr>
  </w:style>
  <w:style w:type="paragraph" w:customStyle="1" w:styleId="CharCharCharChar">
    <w:name w:val="Char Char Char Char"/>
    <w:basedOn w:val="Normlny"/>
    <w:rsid w:val="00B31F08"/>
    <w:pPr>
      <w:spacing w:after="160" w:line="240" w:lineRule="exact"/>
      <w:ind w:firstLine="720"/>
    </w:pPr>
    <w:rPr>
      <w:rFonts w:ascii="Tahoma" w:hAnsi="Tahoma"/>
      <w:sz w:val="20"/>
      <w:szCs w:val="20"/>
      <w:lang w:eastAsia="en-US"/>
    </w:rPr>
  </w:style>
  <w:style w:type="paragraph" w:customStyle="1" w:styleId="Tiret">
    <w:name w:val="Tiret"/>
    <w:next w:val="Normlny"/>
    <w:rsid w:val="00B4310B"/>
    <w:pPr>
      <w:numPr>
        <w:numId w:val="3"/>
      </w:numPr>
      <w:tabs>
        <w:tab w:val="clear" w:pos="360"/>
      </w:tabs>
      <w:spacing w:after="240"/>
      <w:ind w:left="0" w:firstLine="0"/>
      <w:jc w:val="both"/>
    </w:pPr>
    <w:rPr>
      <w:noProof/>
      <w:sz w:val="24"/>
      <w:lang w:val="en-GB" w:eastAsia="en-GB"/>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rsid w:val="00773795"/>
    <w:pPr>
      <w:spacing w:after="160" w:line="240" w:lineRule="exact"/>
    </w:pPr>
    <w:rPr>
      <w:rFonts w:ascii="Tahoma" w:hAnsi="Tahoma" w:cs="Tahoma"/>
      <w:sz w:val="20"/>
      <w:szCs w:val="20"/>
      <w:lang w:val="en-US" w:eastAsia="en-US"/>
    </w:rPr>
  </w:style>
  <w:style w:type="paragraph" w:customStyle="1" w:styleId="CharCharCharCharCharCharCharCharCharCharCharChar1CharCharCharCharCharCharChar">
    <w:name w:val="Char Char Char Char Char Char Char Char Char Char Char Char1 Char Char Char Char Char Char Char"/>
    <w:basedOn w:val="Normlny"/>
    <w:rsid w:val="001B3A00"/>
    <w:pPr>
      <w:spacing w:after="160" w:line="240" w:lineRule="exact"/>
    </w:pPr>
    <w:rPr>
      <w:rFonts w:ascii="Tahoma" w:hAnsi="Tahoma" w:cs="Tahoma"/>
      <w:sz w:val="20"/>
      <w:szCs w:val="20"/>
      <w:lang w:eastAsia="en-US"/>
    </w:rPr>
  </w:style>
  <w:style w:type="character" w:styleId="Siln">
    <w:name w:val="Strong"/>
    <w:uiPriority w:val="22"/>
    <w:qFormat/>
    <w:rsid w:val="00146775"/>
    <w:rPr>
      <w:b/>
    </w:rPr>
  </w:style>
  <w:style w:type="paragraph" w:customStyle="1" w:styleId="NormlnyArial">
    <w:name w:val="Normálny + Arial"/>
    <w:aliases w:val="10 pt"/>
    <w:basedOn w:val="Normlny"/>
    <w:rsid w:val="00801703"/>
    <w:pPr>
      <w:spacing w:line="360" w:lineRule="auto"/>
      <w:jc w:val="both"/>
      <w:outlineLvl w:val="0"/>
    </w:pPr>
    <w:rPr>
      <w:rFonts w:ascii="Arial" w:hAnsi="Arial" w:cs="Arial"/>
      <w:b/>
      <w:sz w:val="20"/>
      <w:szCs w:val="20"/>
    </w:rPr>
  </w:style>
  <w:style w:type="paragraph" w:customStyle="1" w:styleId="CharCharCharCharCharCharCharCharCharCharCharCharCharCharCharCharCharChar1CharCharCharCharChar">
    <w:name w:val="Char Char Char Char Char Char Char Char Char Char Char Char Char Char Char Char Char Char1 Char Char Char Char Char"/>
    <w:basedOn w:val="Normlny"/>
    <w:rsid w:val="009B58F7"/>
    <w:pPr>
      <w:spacing w:after="160" w:line="240" w:lineRule="exact"/>
    </w:pPr>
    <w:rPr>
      <w:rFonts w:ascii="Tahoma" w:hAnsi="Tahoma" w:cs="Tahoma"/>
      <w:sz w:val="20"/>
      <w:szCs w:val="20"/>
      <w:lang w:val="en-US" w:eastAsia="en-US"/>
    </w:rPr>
  </w:style>
  <w:style w:type="character" w:customStyle="1" w:styleId="longtext1">
    <w:name w:val="long_text1"/>
    <w:rsid w:val="003A287C"/>
    <w:rPr>
      <w:sz w:val="20"/>
    </w:rPr>
  </w:style>
  <w:style w:type="paragraph" w:customStyle="1" w:styleId="ListParagraph1">
    <w:name w:val="List Paragraph1"/>
    <w:basedOn w:val="Normlny"/>
    <w:rsid w:val="003A287C"/>
    <w:pPr>
      <w:spacing w:after="200" w:line="276" w:lineRule="auto"/>
      <w:ind w:left="720"/>
    </w:pPr>
    <w:rPr>
      <w:sz w:val="22"/>
      <w:szCs w:val="20"/>
    </w:rPr>
  </w:style>
  <w:style w:type="paragraph" w:customStyle="1" w:styleId="CharCharCharCharCharChar1Char">
    <w:name w:val="Char Char Char Char Char Char1 Char"/>
    <w:basedOn w:val="Normlny"/>
    <w:rsid w:val="00470BCE"/>
    <w:pPr>
      <w:spacing w:after="160" w:line="240" w:lineRule="exact"/>
      <w:ind w:firstLine="720"/>
    </w:pPr>
    <w:rPr>
      <w:rFonts w:ascii="Tahoma" w:hAnsi="Tahoma"/>
      <w:noProof/>
      <w:sz w:val="20"/>
      <w:szCs w:val="20"/>
      <w:lang w:val="en-US" w:eastAsia="en-US"/>
    </w:rPr>
  </w:style>
  <w:style w:type="paragraph" w:styleId="Textkomentra">
    <w:name w:val="annotation text"/>
    <w:basedOn w:val="Normlny"/>
    <w:link w:val="TextkomentraChar"/>
    <w:uiPriority w:val="99"/>
    <w:semiHidden/>
    <w:rsid w:val="00470BCE"/>
    <w:rPr>
      <w:noProof/>
      <w:sz w:val="20"/>
      <w:szCs w:val="20"/>
      <w:lang w:eastAsia="en-GB"/>
    </w:rPr>
  </w:style>
  <w:style w:type="character" w:customStyle="1" w:styleId="TextkomentraChar">
    <w:name w:val="Text komentára Char"/>
    <w:link w:val="Textkomentra"/>
    <w:uiPriority w:val="99"/>
    <w:locked/>
    <w:rsid w:val="00CE618B"/>
    <w:rPr>
      <w:noProof/>
      <w:lang w:eastAsia="en-GB"/>
    </w:rPr>
  </w:style>
  <w:style w:type="paragraph" w:styleId="Zarkazkladnhotextu3">
    <w:name w:val="Body Text Indent 3"/>
    <w:basedOn w:val="Normlny"/>
    <w:link w:val="Zarkazkladnhotextu3Char"/>
    <w:uiPriority w:val="99"/>
    <w:rsid w:val="005B486D"/>
    <w:pPr>
      <w:spacing w:after="120"/>
      <w:ind w:left="283"/>
    </w:pPr>
    <w:rPr>
      <w:sz w:val="16"/>
      <w:szCs w:val="16"/>
    </w:rPr>
  </w:style>
  <w:style w:type="character" w:customStyle="1" w:styleId="Zarkazkladnhotextu3Char">
    <w:name w:val="Zarážka základného textu 3 Char"/>
    <w:link w:val="Zarkazkladnhotextu3"/>
    <w:uiPriority w:val="99"/>
    <w:locked/>
    <w:rPr>
      <w:sz w:val="16"/>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rsid w:val="008C36A6"/>
    <w:pPr>
      <w:spacing w:after="160" w:line="240" w:lineRule="exact"/>
    </w:pPr>
    <w:rPr>
      <w:rFonts w:ascii="Tahoma" w:hAnsi="Tahoma" w:cs="Tahoma"/>
      <w:sz w:val="20"/>
      <w:szCs w:val="20"/>
      <w:lang w:val="en-US" w:eastAsia="en-US"/>
    </w:rPr>
  </w:style>
  <w:style w:type="paragraph" w:styleId="Odsekzoznamu">
    <w:name w:val="List Paragraph"/>
    <w:aliases w:val="body,Odsek zoznamu2"/>
    <w:basedOn w:val="Normlny"/>
    <w:link w:val="OdsekzoznamuChar"/>
    <w:uiPriority w:val="99"/>
    <w:qFormat/>
    <w:rsid w:val="002023A2"/>
    <w:pPr>
      <w:spacing w:after="200" w:line="276" w:lineRule="auto"/>
      <w:ind w:left="720"/>
      <w:contextualSpacing/>
    </w:pPr>
    <w:rPr>
      <w:rFonts w:ascii="Calibri" w:hAnsi="Calibri"/>
      <w:sz w:val="22"/>
      <w:szCs w:val="22"/>
      <w:lang w:eastAsia="en-US"/>
    </w:rPr>
  </w:style>
  <w:style w:type="character" w:customStyle="1" w:styleId="OdsekzoznamuChar">
    <w:name w:val="Odsek zoznamu Char"/>
    <w:aliases w:val="body Char,Odsek zoznamu2 Char"/>
    <w:link w:val="Odsekzoznamu"/>
    <w:uiPriority w:val="99"/>
    <w:locked/>
    <w:rsid w:val="00A83AC2"/>
    <w:rPr>
      <w:rFonts w:ascii="Calibri" w:hAnsi="Calibri"/>
      <w:sz w:val="22"/>
      <w:szCs w:val="22"/>
      <w:lang w:eastAsia="en-US"/>
    </w:rPr>
  </w:style>
  <w:style w:type="character" w:styleId="Zstupntext">
    <w:name w:val="Placeholder Text"/>
    <w:uiPriority w:val="99"/>
    <w:semiHidden/>
    <w:rsid w:val="0092194D"/>
    <w:rPr>
      <w:rFonts w:ascii="Times New Roman" w:hAnsi="Times New Roman"/>
      <w:color w:val="808080"/>
    </w:rPr>
  </w:style>
  <w:style w:type="paragraph" w:customStyle="1" w:styleId="MP1">
    <w:name w:val="MP1"/>
    <w:basedOn w:val="Normlny"/>
    <w:link w:val="MP1Char"/>
    <w:rsid w:val="00CE618B"/>
    <w:pPr>
      <w:autoSpaceDE w:val="0"/>
      <w:autoSpaceDN w:val="0"/>
      <w:adjustRightInd w:val="0"/>
    </w:pPr>
    <w:rPr>
      <w:rFonts w:ascii="Arial" w:hAnsi="Arial"/>
      <w:b/>
      <w:szCs w:val="20"/>
      <w:lang w:val="x-none" w:eastAsia="x-none"/>
    </w:rPr>
  </w:style>
  <w:style w:type="character" w:customStyle="1" w:styleId="MP1Char">
    <w:name w:val="MP1 Char"/>
    <w:link w:val="MP1"/>
    <w:locked/>
    <w:rsid w:val="00CE618B"/>
    <w:rPr>
      <w:rFonts w:ascii="Arial" w:eastAsia="Times New Roman" w:hAnsi="Arial"/>
      <w:b/>
      <w:sz w:val="24"/>
    </w:rPr>
  </w:style>
  <w:style w:type="paragraph" w:styleId="Predmetkomentra">
    <w:name w:val="annotation subject"/>
    <w:basedOn w:val="Textkomentra"/>
    <w:next w:val="Textkomentra"/>
    <w:link w:val="PredmetkomentraChar"/>
    <w:uiPriority w:val="99"/>
    <w:rsid w:val="00CE618B"/>
    <w:rPr>
      <w:b/>
    </w:rPr>
  </w:style>
  <w:style w:type="character" w:customStyle="1" w:styleId="PredmetkomentraChar">
    <w:name w:val="Predmet komentára Char"/>
    <w:link w:val="Predmetkomentra"/>
    <w:uiPriority w:val="99"/>
    <w:locked/>
    <w:rsid w:val="00CE618B"/>
    <w:rPr>
      <w:b/>
      <w:noProof/>
      <w:lang w:eastAsia="en-GB"/>
    </w:rPr>
  </w:style>
  <w:style w:type="character" w:styleId="PouitHypertextovPrepojenie">
    <w:name w:val="FollowedHyperlink"/>
    <w:uiPriority w:val="99"/>
    <w:rsid w:val="00D36A8B"/>
    <w:rPr>
      <w:color w:val="800080"/>
      <w:u w:val="single"/>
    </w:rPr>
  </w:style>
  <w:style w:type="paragraph" w:customStyle="1" w:styleId="Odsekzoznamu1">
    <w:name w:val="Odsek zoznamu1"/>
    <w:basedOn w:val="Normlny"/>
    <w:qFormat/>
    <w:rsid w:val="00D92973"/>
    <w:pPr>
      <w:ind w:left="720"/>
      <w:contextualSpacing/>
    </w:pPr>
  </w:style>
  <w:style w:type="character" w:customStyle="1" w:styleId="hps">
    <w:name w:val="hps"/>
    <w:uiPriority w:val="99"/>
    <w:rsid w:val="00D92973"/>
  </w:style>
  <w:style w:type="character" w:customStyle="1" w:styleId="Textpoznmkypodiarou007CharChar">
    <w:name w:val="Text poznámky pod čiarou 007 Char Char"/>
    <w:rsid w:val="001151D1"/>
    <w:rPr>
      <w:rFonts w:ascii="Arial" w:hAnsi="Arial"/>
      <w:lang w:val="x-none" w:eastAsia="cs-CZ"/>
    </w:rPr>
  </w:style>
  <w:style w:type="paragraph" w:customStyle="1" w:styleId="Normaltext">
    <w:name w:val="Normal text"/>
    <w:basedOn w:val="Normlny"/>
    <w:rsid w:val="001B42CE"/>
    <w:pPr>
      <w:spacing w:before="120" w:after="120"/>
      <w:jc w:val="both"/>
    </w:pPr>
    <w:rPr>
      <w:rFonts w:ascii="Arial" w:hAnsi="Arial" w:cs="Arial"/>
      <w:sz w:val="20"/>
      <w:szCs w:val="20"/>
    </w:rPr>
  </w:style>
  <w:style w:type="paragraph" w:customStyle="1" w:styleId="Default">
    <w:name w:val="Default"/>
    <w:rsid w:val="001B42CE"/>
    <w:pPr>
      <w:autoSpaceDE w:val="0"/>
      <w:autoSpaceDN w:val="0"/>
      <w:adjustRightInd w:val="0"/>
    </w:pPr>
    <w:rPr>
      <w:color w:val="000000"/>
      <w:sz w:val="24"/>
      <w:szCs w:val="24"/>
    </w:rPr>
  </w:style>
  <w:style w:type="paragraph" w:styleId="Revzia">
    <w:name w:val="Revision"/>
    <w:hidden/>
    <w:uiPriority w:val="99"/>
    <w:semiHidden/>
    <w:rsid w:val="00435EC8"/>
    <w:rPr>
      <w:sz w:val="24"/>
      <w:szCs w:val="24"/>
    </w:rPr>
  </w:style>
  <w:style w:type="table" w:customStyle="1" w:styleId="Mriekatabuky1">
    <w:name w:val="Mriežka tabuľky1"/>
    <w:basedOn w:val="Normlnatabuka"/>
    <w:next w:val="Mriekatabuky"/>
    <w:uiPriority w:val="59"/>
    <w:rsid w:val="00CB4BD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2">
    <w:name w:val="Mriežka tabuľky2"/>
    <w:basedOn w:val="Normlnatabuka"/>
    <w:next w:val="Mriekatabuky"/>
    <w:uiPriority w:val="59"/>
    <w:rsid w:val="00CB4BD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59"/>
    <w:rsid w:val="00DC4E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riadkovania">
    <w:name w:val="No Spacing"/>
    <w:link w:val="BezriadkovaniaChar"/>
    <w:uiPriority w:val="1"/>
    <w:qFormat/>
    <w:rsid w:val="00C66C2A"/>
    <w:rPr>
      <w:rFonts w:ascii="Calibri" w:hAnsi="Calibri"/>
      <w:sz w:val="22"/>
      <w:szCs w:val="22"/>
    </w:rPr>
  </w:style>
  <w:style w:type="character" w:customStyle="1" w:styleId="BezriadkovaniaChar">
    <w:name w:val="Bez riadkovania Char"/>
    <w:link w:val="Bezriadkovania"/>
    <w:uiPriority w:val="1"/>
    <w:rsid w:val="00C66C2A"/>
    <w:rPr>
      <w:rFonts w:ascii="Calibri" w:hAnsi="Calibri"/>
      <w:sz w:val="22"/>
      <w:szCs w:val="22"/>
    </w:rPr>
  </w:style>
  <w:style w:type="paragraph" w:customStyle="1" w:styleId="MP2">
    <w:name w:val="MP2"/>
    <w:basedOn w:val="Normlny"/>
    <w:link w:val="MP2Char"/>
    <w:rsid w:val="00BE4E4B"/>
    <w:rPr>
      <w:rFonts w:ascii="Arial" w:eastAsia="EUAlbertina-Regular-Identity-H" w:hAnsi="Arial" w:cs="Arial"/>
      <w:b/>
      <w:bCs/>
      <w:sz w:val="20"/>
      <w:lang w:eastAsia="cs-CZ"/>
    </w:rPr>
  </w:style>
  <w:style w:type="character" w:customStyle="1" w:styleId="MP2Char">
    <w:name w:val="MP2 Char"/>
    <w:link w:val="MP2"/>
    <w:rsid w:val="00BE4E4B"/>
    <w:rPr>
      <w:rFonts w:ascii="Arial" w:eastAsia="EUAlbertina-Regular-Identity-H" w:hAnsi="Arial" w:cs="Arial"/>
      <w:b/>
      <w:bCs/>
      <w:szCs w:val="24"/>
      <w:lang w:eastAsia="cs-CZ"/>
    </w:rPr>
  </w:style>
  <w:style w:type="paragraph" w:customStyle="1" w:styleId="AUCIEODRKA">
    <w:name w:val="AU CIEĽ ODRÁŽKA"/>
    <w:basedOn w:val="Normlny"/>
    <w:link w:val="AUCIEODRKAChar"/>
    <w:rsid w:val="00A83AC2"/>
    <w:pPr>
      <w:numPr>
        <w:numId w:val="27"/>
      </w:numPr>
      <w:jc w:val="both"/>
    </w:pPr>
    <w:rPr>
      <w:szCs w:val="20"/>
      <w:lang w:val="x-none" w:eastAsia="x-none"/>
    </w:rPr>
  </w:style>
  <w:style w:type="character" w:customStyle="1" w:styleId="AUCIEODRKAChar">
    <w:name w:val="AU CIEĽ ODRÁŽKA Char"/>
    <w:link w:val="AUCIEODRKA"/>
    <w:rsid w:val="00A83AC2"/>
    <w:rPr>
      <w:sz w:val="24"/>
      <w:lang w:val="x-none" w:eastAsia="x-none"/>
    </w:rPr>
  </w:style>
  <w:style w:type="paragraph" w:customStyle="1" w:styleId="CharCharCharCharCharChar1Char1">
    <w:name w:val="Char Char Char Char Char Char1 Char1"/>
    <w:basedOn w:val="Normlny"/>
    <w:rsid w:val="00502A38"/>
    <w:pPr>
      <w:spacing w:after="160" w:line="240" w:lineRule="exact"/>
      <w:ind w:firstLine="720"/>
    </w:pPr>
    <w:rPr>
      <w:rFonts w:ascii="Tahoma" w:hAnsi="Tahoma"/>
      <w:sz w:val="20"/>
      <w:szCs w:val="20"/>
      <w:lang w:val="en-US" w:eastAsia="en-US"/>
    </w:rPr>
  </w:style>
  <w:style w:type="character" w:styleId="Odkaznavysvetlivku">
    <w:name w:val="endnote reference"/>
    <w:basedOn w:val="Predvolenpsmoodseku"/>
    <w:rsid w:val="00112500"/>
    <w:rPr>
      <w:vertAlign w:val="superscript"/>
    </w:rPr>
  </w:style>
  <w:style w:type="paragraph" w:customStyle="1" w:styleId="Bezriadkovania2">
    <w:name w:val="Bez riadkovania2"/>
    <w:rsid w:val="00945B0A"/>
    <w:rPr>
      <w:rFonts w:ascii="Calibri" w:eastAsia="Calibri" w:hAnsi="Calibri"/>
      <w:sz w:val="22"/>
      <w:szCs w:val="22"/>
    </w:rPr>
  </w:style>
  <w:style w:type="paragraph" w:customStyle="1" w:styleId="Style11">
    <w:name w:val="Style11"/>
    <w:basedOn w:val="Normlny"/>
    <w:uiPriority w:val="99"/>
    <w:rsid w:val="00735238"/>
    <w:pPr>
      <w:widowControl w:val="0"/>
      <w:autoSpaceDE w:val="0"/>
      <w:autoSpaceDN w:val="0"/>
      <w:adjustRightInd w:val="0"/>
      <w:spacing w:line="276" w:lineRule="exact"/>
      <w:jc w:val="both"/>
    </w:pPr>
    <w:rPr>
      <w:rFonts w:ascii="Arial" w:hAnsi="Arial" w:cs="Arial"/>
    </w:rPr>
  </w:style>
  <w:style w:type="character" w:customStyle="1" w:styleId="msoins0">
    <w:name w:val="msoins"/>
    <w:rsid w:val="00735238"/>
  </w:style>
  <w:style w:type="character" w:customStyle="1" w:styleId="Odkaznapoznmkupodiarou1">
    <w:name w:val="Odkaz na poznámku pod čiarou1"/>
    <w:rsid w:val="00005375"/>
    <w:rPr>
      <w:rFonts w:cs="Times New Roman"/>
      <w:vertAlign w:val="superscript"/>
    </w:rPr>
  </w:style>
  <w:style w:type="character" w:customStyle="1" w:styleId="wwChar">
    <w:name w:val="ww Char"/>
    <w:rsid w:val="00005375"/>
    <w:rPr>
      <w:rFonts w:ascii="Arial" w:hAnsi="Arial" w:cs="Arial"/>
      <w:sz w:val="16"/>
      <w:szCs w:val="16"/>
      <w:lang w:val="sk-SK" w:eastAsia="ar-SA" w:bidi="ar-SA"/>
    </w:rPr>
  </w:style>
  <w:style w:type="character" w:customStyle="1" w:styleId="2Nadpis2Char">
    <w:name w:val="2. Nadpis 2 Char"/>
    <w:rsid w:val="00005375"/>
    <w:rPr>
      <w:rFonts w:ascii="Helvetica" w:eastAsia="Times New Roman" w:hAnsi="Helvetica" w:cs="Arial"/>
      <w:bCs/>
      <w:i/>
      <w:iCs/>
      <w:caps/>
      <w:color w:val="009EE1"/>
      <w:spacing w:val="5"/>
      <w:kern w:val="1"/>
      <w:sz w:val="30"/>
      <w:szCs w:val="20"/>
    </w:rPr>
  </w:style>
  <w:style w:type="character" w:customStyle="1" w:styleId="Zkladntext2Char">
    <w:name w:val="Základný text 2 Char"/>
    <w:rsid w:val="00005375"/>
  </w:style>
  <w:style w:type="character" w:customStyle="1" w:styleId="Odkaznakomentr1">
    <w:name w:val="Odkaz na komentár1"/>
    <w:rsid w:val="00005375"/>
    <w:rPr>
      <w:sz w:val="16"/>
      <w:szCs w:val="16"/>
    </w:rPr>
  </w:style>
  <w:style w:type="character" w:customStyle="1" w:styleId="Char">
    <w:name w:val="++ Char"/>
    <w:rsid w:val="00005375"/>
    <w:rPr>
      <w:rFonts w:ascii="Helvetica" w:eastAsia="Times New Roman" w:hAnsi="Helvetica" w:cs="Helvetica"/>
      <w:color w:val="000000"/>
      <w:szCs w:val="20"/>
    </w:rPr>
  </w:style>
  <w:style w:type="character" w:customStyle="1" w:styleId="Char0">
    <w:name w:val="šš Char"/>
    <w:rsid w:val="00005375"/>
    <w:rPr>
      <w:rFonts w:ascii="Helvetica" w:eastAsia="Times New Roman" w:hAnsi="Helvetica" w:cs="Helvetica"/>
      <w:szCs w:val="20"/>
    </w:rPr>
  </w:style>
  <w:style w:type="character" w:customStyle="1" w:styleId="NoSpacingChar">
    <w:name w:val="No Spacing Char"/>
    <w:rsid w:val="00005375"/>
    <w:rPr>
      <w:rFonts w:ascii="Calibri" w:eastAsia="Calibri" w:hAnsi="Calibri" w:cs="Times New Roman"/>
    </w:rPr>
  </w:style>
  <w:style w:type="character" w:customStyle="1" w:styleId="KdHTML1">
    <w:name w:val="Kód HTML1"/>
    <w:rsid w:val="00005375"/>
    <w:rPr>
      <w:rFonts w:ascii="Courier New" w:eastAsia="Times New Roman" w:hAnsi="Courier New" w:cs="Courier New"/>
      <w:sz w:val="20"/>
      <w:szCs w:val="20"/>
    </w:rPr>
  </w:style>
  <w:style w:type="character" w:customStyle="1" w:styleId="PouitHypertextovPrepojenie1">
    <w:name w:val="PoužitéHypertextovéPrepojenie1"/>
    <w:rsid w:val="00005375"/>
    <w:rPr>
      <w:color w:val="800080"/>
      <w:u w:val="single"/>
    </w:rPr>
  </w:style>
  <w:style w:type="character" w:customStyle="1" w:styleId="ListLabel1">
    <w:name w:val="ListLabel 1"/>
    <w:rsid w:val="00005375"/>
    <w:rPr>
      <w:b w:val="0"/>
      <w:bCs w:val="0"/>
      <w:i w:val="0"/>
      <w:caps w:val="0"/>
      <w:smallCaps w:val="0"/>
      <w:strike w:val="0"/>
      <w:dstrike w:val="0"/>
      <w:vanish w:val="0"/>
      <w:color w:val="000000"/>
      <w:spacing w:val="0"/>
      <w:kern w:val="1"/>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2">
    <w:name w:val="ListLabel 2"/>
    <w:rsid w:val="00005375"/>
    <w:rPr>
      <w:rFonts w:cs="Helvetica"/>
      <w:b w:val="0"/>
      <w:i w:val="0"/>
      <w:sz w:val="30"/>
    </w:rPr>
  </w:style>
  <w:style w:type="character" w:customStyle="1" w:styleId="ListLabel3">
    <w:name w:val="ListLabel 3"/>
    <w:rsid w:val="00005375"/>
    <w:rPr>
      <w:rFonts w:cs="Courier New"/>
    </w:rPr>
  </w:style>
  <w:style w:type="character" w:customStyle="1" w:styleId="ListLabel4">
    <w:name w:val="ListLabel 4"/>
    <w:rsid w:val="00005375"/>
    <w:rPr>
      <w:rFonts w:eastAsia="Times New Roman"/>
    </w:rPr>
  </w:style>
  <w:style w:type="character" w:customStyle="1" w:styleId="ListLabel5">
    <w:name w:val="ListLabel 5"/>
    <w:rsid w:val="00005375"/>
    <w:rPr>
      <w:b/>
    </w:rPr>
  </w:style>
  <w:style w:type="character" w:customStyle="1" w:styleId="ListLabel6">
    <w:name w:val="ListLabel 6"/>
    <w:rsid w:val="00005375"/>
    <w:rPr>
      <w:color w:val="00000A"/>
    </w:rPr>
  </w:style>
  <w:style w:type="character" w:customStyle="1" w:styleId="Znakyprepoznmkupodiarou">
    <w:name w:val="Znaky pre poznámku pod čiarou"/>
    <w:rsid w:val="00005375"/>
  </w:style>
  <w:style w:type="character" w:customStyle="1" w:styleId="Znakyprevysvetlivky">
    <w:name w:val="Znaky pre vysvetlivky"/>
    <w:rsid w:val="00005375"/>
  </w:style>
  <w:style w:type="paragraph" w:customStyle="1" w:styleId="Nadpis">
    <w:name w:val="Nadpis"/>
    <w:basedOn w:val="Normlny"/>
    <w:next w:val="Zkladntext"/>
    <w:rsid w:val="00005375"/>
    <w:pPr>
      <w:keepNext/>
      <w:pBdr>
        <w:bottom w:val="single" w:sz="8" w:space="4" w:color="808000"/>
      </w:pBdr>
      <w:spacing w:before="240" w:after="300" w:line="100" w:lineRule="atLeast"/>
    </w:pPr>
    <w:rPr>
      <w:rFonts w:ascii="Cambria" w:eastAsia="Microsoft YaHei" w:hAnsi="Cambria"/>
      <w:color w:val="4F6228"/>
      <w:spacing w:val="5"/>
      <w:kern w:val="1"/>
      <w:sz w:val="52"/>
      <w:szCs w:val="52"/>
    </w:rPr>
  </w:style>
  <w:style w:type="paragraph" w:customStyle="1" w:styleId="Popisok">
    <w:name w:val="Popisok"/>
    <w:basedOn w:val="Normlny"/>
    <w:rsid w:val="00005375"/>
    <w:pPr>
      <w:suppressLineNumbers/>
      <w:spacing w:before="120" w:after="120"/>
    </w:pPr>
    <w:rPr>
      <w:rFonts w:cs="Mangal"/>
      <w:i/>
      <w:iCs/>
    </w:rPr>
  </w:style>
  <w:style w:type="paragraph" w:customStyle="1" w:styleId="Index">
    <w:name w:val="Index"/>
    <w:basedOn w:val="Normlny"/>
    <w:rsid w:val="00005375"/>
    <w:pPr>
      <w:suppressLineNumbers/>
    </w:pPr>
    <w:rPr>
      <w:rFonts w:cs="Mangal"/>
    </w:rPr>
  </w:style>
  <w:style w:type="paragraph" w:customStyle="1" w:styleId="Bezriadkovania1">
    <w:name w:val="Bez riadkovania1"/>
    <w:rsid w:val="00005375"/>
    <w:pPr>
      <w:suppressAutoHyphens/>
      <w:spacing w:line="100" w:lineRule="atLeast"/>
    </w:pPr>
    <w:rPr>
      <w:rFonts w:ascii="Calibri" w:eastAsia="SimSun" w:hAnsi="Calibri" w:cs="font293"/>
      <w:sz w:val="22"/>
      <w:szCs w:val="22"/>
      <w:lang w:eastAsia="ar-SA"/>
    </w:rPr>
  </w:style>
  <w:style w:type="paragraph" w:customStyle="1" w:styleId="Textbubliny1">
    <w:name w:val="Text bubliny1"/>
    <w:basedOn w:val="Normlny"/>
    <w:rsid w:val="00005375"/>
    <w:pPr>
      <w:spacing w:line="100" w:lineRule="atLeast"/>
    </w:pPr>
    <w:rPr>
      <w:rFonts w:ascii="Tahoma" w:hAnsi="Tahoma" w:cs="Tahoma"/>
      <w:sz w:val="16"/>
      <w:szCs w:val="16"/>
    </w:rPr>
  </w:style>
  <w:style w:type="paragraph" w:customStyle="1" w:styleId="w">
    <w:name w:val="w"/>
    <w:basedOn w:val="Zkladntext"/>
    <w:rsid w:val="00005375"/>
    <w:pPr>
      <w:spacing w:before="120" w:after="0" w:line="100" w:lineRule="atLeast"/>
    </w:pPr>
    <w:rPr>
      <w:rFonts w:ascii="Arial" w:hAnsi="Arial" w:cs="Arial"/>
      <w:sz w:val="20"/>
      <w:szCs w:val="20"/>
    </w:rPr>
  </w:style>
  <w:style w:type="paragraph" w:customStyle="1" w:styleId="ww">
    <w:name w:val="ww"/>
    <w:basedOn w:val="Normlny"/>
    <w:rsid w:val="00005375"/>
    <w:pPr>
      <w:spacing w:line="100" w:lineRule="atLeast"/>
      <w:jc w:val="both"/>
    </w:pPr>
    <w:rPr>
      <w:rFonts w:ascii="Arial" w:hAnsi="Arial" w:cs="Arial"/>
      <w:sz w:val="16"/>
      <w:szCs w:val="16"/>
    </w:rPr>
  </w:style>
  <w:style w:type="paragraph" w:customStyle="1" w:styleId="1Nadpis1">
    <w:name w:val="1. Nadpis 1"/>
    <w:basedOn w:val="Nadpis1"/>
    <w:rsid w:val="00005375"/>
    <w:pPr>
      <w:spacing w:line="360" w:lineRule="auto"/>
      <w:ind w:left="720" w:hanging="360"/>
      <w:jc w:val="both"/>
    </w:pPr>
    <w:rPr>
      <w:rFonts w:ascii="Helvetica" w:hAnsi="Helvetica"/>
      <w:bCs/>
      <w:caps w:val="0"/>
      <w:color w:val="009EE1"/>
      <w:spacing w:val="5"/>
      <w:kern w:val="1"/>
      <w:sz w:val="44"/>
      <w:szCs w:val="24"/>
      <w:lang w:val="sk-SK" w:eastAsia="sk-SK"/>
    </w:rPr>
  </w:style>
  <w:style w:type="paragraph" w:customStyle="1" w:styleId="2Nadpis2">
    <w:name w:val="2. Nadpis 2"/>
    <w:basedOn w:val="Nadpis2"/>
    <w:rsid w:val="00005375"/>
    <w:pPr>
      <w:ind w:right="10"/>
      <w:jc w:val="both"/>
    </w:pPr>
    <w:rPr>
      <w:rFonts w:ascii="Helvetica" w:hAnsi="Helvetica" w:cs="Arial"/>
      <w:b w:val="0"/>
      <w:i/>
      <w:caps/>
      <w:color w:val="009EE1"/>
      <w:spacing w:val="5"/>
      <w:kern w:val="1"/>
      <w:sz w:val="30"/>
      <w:szCs w:val="20"/>
    </w:rPr>
  </w:style>
  <w:style w:type="paragraph" w:customStyle="1" w:styleId="3Nadpis3">
    <w:name w:val="3. Nadpis 3"/>
    <w:basedOn w:val="Normlny"/>
    <w:rsid w:val="00005375"/>
    <w:pPr>
      <w:spacing w:line="100" w:lineRule="atLeast"/>
    </w:pPr>
    <w:rPr>
      <w:rFonts w:ascii="Helvetica" w:hAnsi="Helvetica"/>
      <w:color w:val="009EE1"/>
      <w:sz w:val="30"/>
    </w:rPr>
  </w:style>
  <w:style w:type="paragraph" w:customStyle="1" w:styleId="Nadpis41">
    <w:name w:val="Nadpis 41"/>
    <w:basedOn w:val="Normlny"/>
    <w:rsid w:val="00005375"/>
    <w:pPr>
      <w:spacing w:line="100" w:lineRule="atLeast"/>
    </w:pPr>
  </w:style>
  <w:style w:type="paragraph" w:customStyle="1" w:styleId="Char1">
    <w:name w:val="ΚΕΙΜΕΝΟ Char1"/>
    <w:basedOn w:val="Normlny"/>
    <w:rsid w:val="00005375"/>
    <w:pPr>
      <w:spacing w:before="120" w:after="120" w:line="360" w:lineRule="auto"/>
      <w:jc w:val="both"/>
    </w:pPr>
    <w:rPr>
      <w:rFonts w:ascii="Arial" w:hAnsi="Arial" w:cs="Arial"/>
      <w:spacing w:val="-5"/>
      <w:szCs w:val="21"/>
    </w:rPr>
  </w:style>
  <w:style w:type="paragraph" w:customStyle="1" w:styleId="Normlnywebov1">
    <w:name w:val="Normálny (webový)1"/>
    <w:basedOn w:val="Normlny"/>
    <w:rsid w:val="00005375"/>
    <w:pPr>
      <w:spacing w:before="100" w:after="100" w:line="100" w:lineRule="atLeast"/>
    </w:pPr>
  </w:style>
  <w:style w:type="paragraph" w:customStyle="1" w:styleId="Zkladntext21">
    <w:name w:val="Základný text 21"/>
    <w:basedOn w:val="Normlny"/>
    <w:rsid w:val="00005375"/>
    <w:pPr>
      <w:spacing w:after="120" w:line="480" w:lineRule="auto"/>
    </w:pPr>
  </w:style>
  <w:style w:type="paragraph" w:customStyle="1" w:styleId="Textkomentra1">
    <w:name w:val="Text komentára1"/>
    <w:basedOn w:val="Normlny"/>
    <w:rsid w:val="00005375"/>
    <w:pPr>
      <w:spacing w:line="100" w:lineRule="atLeast"/>
    </w:pPr>
    <w:rPr>
      <w:sz w:val="20"/>
      <w:szCs w:val="20"/>
    </w:rPr>
  </w:style>
  <w:style w:type="paragraph" w:customStyle="1" w:styleId="Predmetkomentra1">
    <w:name w:val="Predmet komentára1"/>
    <w:basedOn w:val="Textkomentra1"/>
    <w:rsid w:val="00005375"/>
    <w:rPr>
      <w:b/>
      <w:bCs/>
    </w:rPr>
  </w:style>
  <w:style w:type="paragraph" w:customStyle="1" w:styleId="a">
    <w:name w:val="++"/>
    <w:basedOn w:val="Normlny"/>
    <w:rsid w:val="00005375"/>
    <w:pPr>
      <w:spacing w:line="100" w:lineRule="atLeast"/>
      <w:jc w:val="both"/>
    </w:pPr>
    <w:rPr>
      <w:rFonts w:ascii="Helvetica" w:hAnsi="Helvetica" w:cs="Helvetica"/>
      <w:color w:val="000000"/>
      <w:szCs w:val="20"/>
    </w:rPr>
  </w:style>
  <w:style w:type="paragraph" w:customStyle="1" w:styleId="a0">
    <w:name w:val="šš"/>
    <w:basedOn w:val="Normlny"/>
    <w:rsid w:val="00005375"/>
    <w:pPr>
      <w:tabs>
        <w:tab w:val="left" w:pos="360"/>
      </w:tabs>
      <w:spacing w:after="120" w:line="100" w:lineRule="atLeast"/>
      <w:jc w:val="both"/>
    </w:pPr>
    <w:rPr>
      <w:rFonts w:ascii="Helvetica" w:hAnsi="Helvetica" w:cs="Helvetica"/>
      <w:szCs w:val="20"/>
    </w:rPr>
  </w:style>
  <w:style w:type="paragraph" w:customStyle="1" w:styleId="CharChar1CharCharCharCharCharCharCharChar1CharCharCharChar">
    <w:name w:val="Char Char1 Char Char Char Char Char Char Char Char1 Char Char Char Char"/>
    <w:basedOn w:val="Normlny"/>
    <w:rsid w:val="00005375"/>
    <w:pPr>
      <w:spacing w:after="160" w:line="240" w:lineRule="exact"/>
    </w:pPr>
    <w:rPr>
      <w:rFonts w:ascii="Tahoma" w:hAnsi="Tahoma"/>
      <w:sz w:val="20"/>
      <w:szCs w:val="20"/>
      <w:lang w:val="en-US"/>
    </w:rPr>
  </w:style>
  <w:style w:type="paragraph" w:customStyle="1" w:styleId="Nadpisobsahu">
    <w:name w:val="Nadpis obsahu"/>
    <w:basedOn w:val="Nadpis1"/>
    <w:rsid w:val="00005375"/>
    <w:pPr>
      <w:keepLines/>
      <w:suppressLineNumbers/>
      <w:spacing w:before="480" w:after="0" w:line="276" w:lineRule="auto"/>
    </w:pPr>
    <w:rPr>
      <w:rFonts w:ascii="Cambria" w:hAnsi="Cambria" w:cs="font293"/>
      <w:bCs/>
      <w:caps w:val="0"/>
      <w:color w:val="365F91"/>
      <w:kern w:val="1"/>
      <w:sz w:val="28"/>
      <w:szCs w:val="28"/>
      <w:lang w:val="sk-SK" w:eastAsia="sk-SK"/>
    </w:rPr>
  </w:style>
  <w:style w:type="paragraph" w:customStyle="1" w:styleId="Revzia1">
    <w:name w:val="Revízia1"/>
    <w:rsid w:val="00005375"/>
    <w:pPr>
      <w:suppressAutoHyphens/>
      <w:spacing w:line="100" w:lineRule="atLeast"/>
    </w:pPr>
    <w:rPr>
      <w:rFonts w:ascii="Calibri" w:eastAsia="SimSun" w:hAnsi="Calibri" w:cs="font293"/>
      <w:sz w:val="22"/>
      <w:szCs w:val="22"/>
      <w:lang w:eastAsia="ar-SA"/>
    </w:rPr>
  </w:style>
  <w:style w:type="paragraph" w:customStyle="1" w:styleId="NoSpacing1">
    <w:name w:val="No Spacing1"/>
    <w:basedOn w:val="Normlny"/>
    <w:rsid w:val="00005375"/>
    <w:pPr>
      <w:spacing w:line="100" w:lineRule="atLeast"/>
    </w:pPr>
    <w:rPr>
      <w:rFonts w:ascii="Tahoma" w:eastAsia="Calibri" w:hAnsi="Tahoma" w:cs="Tahoma"/>
      <w:color w:val="525252"/>
    </w:rPr>
  </w:style>
  <w:style w:type="paragraph" w:customStyle="1" w:styleId="Obyajntext1">
    <w:name w:val="Obyčajný text1"/>
    <w:basedOn w:val="Normlny"/>
    <w:rsid w:val="00005375"/>
    <w:pPr>
      <w:spacing w:line="100" w:lineRule="atLeast"/>
    </w:pPr>
    <w:rPr>
      <w:szCs w:val="21"/>
    </w:rPr>
  </w:style>
  <w:style w:type="paragraph" w:customStyle="1" w:styleId="NormalWeb8">
    <w:name w:val="Normal (Web)8"/>
    <w:basedOn w:val="Normlny"/>
    <w:rsid w:val="00005375"/>
    <w:pPr>
      <w:spacing w:before="75" w:after="75" w:line="100" w:lineRule="atLeast"/>
      <w:ind w:left="225" w:right="225"/>
    </w:pPr>
    <w:rPr>
      <w:lang w:val="en-US"/>
    </w:rPr>
  </w:style>
  <w:style w:type="character" w:customStyle="1" w:styleId="TextkomentraChar1">
    <w:name w:val="Text komentára Char1"/>
    <w:basedOn w:val="Predvolenpsmoodseku"/>
    <w:uiPriority w:val="99"/>
    <w:semiHidden/>
    <w:rsid w:val="00005375"/>
  </w:style>
  <w:style w:type="character" w:customStyle="1" w:styleId="PredmetkomentraChar1">
    <w:name w:val="Predmet komentára Char1"/>
    <w:basedOn w:val="TextkomentraChar1"/>
    <w:uiPriority w:val="99"/>
    <w:rsid w:val="00005375"/>
    <w:rPr>
      <w:b/>
      <w:bCs/>
    </w:rPr>
  </w:style>
  <w:style w:type="character" w:customStyle="1" w:styleId="NzovChar1">
    <w:name w:val="Názov Char1"/>
    <w:basedOn w:val="Predvolenpsmoodseku"/>
    <w:uiPriority w:val="10"/>
    <w:rsid w:val="00005375"/>
    <w:rPr>
      <w:rFonts w:asciiTheme="majorHAnsi" w:eastAsiaTheme="majorEastAsia" w:hAnsiTheme="majorHAnsi" w:cstheme="majorBidi"/>
      <w:color w:val="17365D" w:themeColor="text2" w:themeShade="BF"/>
      <w:spacing w:val="5"/>
      <w:kern w:val="28"/>
      <w:sz w:val="52"/>
      <w:szCs w:val="52"/>
      <w:lang w:eastAsia="ar-SA"/>
    </w:rPr>
  </w:style>
  <w:style w:type="paragraph" w:styleId="Popis">
    <w:name w:val="caption"/>
    <w:basedOn w:val="Normlny"/>
    <w:next w:val="Zkladntext"/>
    <w:qFormat/>
    <w:rsid w:val="0014175B"/>
    <w:rPr>
      <w:bCs/>
      <w:i/>
      <w:sz w:val="14"/>
      <w:szCs w:val="20"/>
      <w:lang w:val="en-US" w:eastAsia="en-US"/>
    </w:rPr>
  </w:style>
  <w:style w:type="paragraph" w:customStyle="1" w:styleId="Palo3">
    <w:name w:val="Palo 3"/>
    <w:basedOn w:val="Normlny"/>
    <w:qFormat/>
    <w:rsid w:val="0014175B"/>
    <w:pPr>
      <w:keepNext/>
      <w:numPr>
        <w:numId w:val="72"/>
      </w:numPr>
      <w:spacing w:before="120" w:after="120"/>
      <w:contextualSpacing/>
    </w:pPr>
    <w:rPr>
      <w:b/>
      <w:iCs/>
      <w:snapToGrid w:val="0"/>
      <w:color w:val="1E1E1E"/>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83806">
      <w:bodyDiv w:val="1"/>
      <w:marLeft w:val="0"/>
      <w:marRight w:val="0"/>
      <w:marTop w:val="0"/>
      <w:marBottom w:val="0"/>
      <w:divBdr>
        <w:top w:val="none" w:sz="0" w:space="0" w:color="auto"/>
        <w:left w:val="none" w:sz="0" w:space="0" w:color="auto"/>
        <w:bottom w:val="none" w:sz="0" w:space="0" w:color="auto"/>
        <w:right w:val="none" w:sz="0" w:space="0" w:color="auto"/>
      </w:divBdr>
    </w:div>
    <w:div w:id="14617573">
      <w:bodyDiv w:val="1"/>
      <w:marLeft w:val="0"/>
      <w:marRight w:val="0"/>
      <w:marTop w:val="0"/>
      <w:marBottom w:val="0"/>
      <w:divBdr>
        <w:top w:val="none" w:sz="0" w:space="0" w:color="auto"/>
        <w:left w:val="none" w:sz="0" w:space="0" w:color="auto"/>
        <w:bottom w:val="none" w:sz="0" w:space="0" w:color="auto"/>
        <w:right w:val="none" w:sz="0" w:space="0" w:color="auto"/>
      </w:divBdr>
    </w:div>
    <w:div w:id="17703899">
      <w:bodyDiv w:val="1"/>
      <w:marLeft w:val="0"/>
      <w:marRight w:val="0"/>
      <w:marTop w:val="0"/>
      <w:marBottom w:val="0"/>
      <w:divBdr>
        <w:top w:val="none" w:sz="0" w:space="0" w:color="auto"/>
        <w:left w:val="none" w:sz="0" w:space="0" w:color="auto"/>
        <w:bottom w:val="none" w:sz="0" w:space="0" w:color="auto"/>
        <w:right w:val="none" w:sz="0" w:space="0" w:color="auto"/>
      </w:divBdr>
    </w:div>
    <w:div w:id="19862328">
      <w:bodyDiv w:val="1"/>
      <w:marLeft w:val="0"/>
      <w:marRight w:val="0"/>
      <w:marTop w:val="0"/>
      <w:marBottom w:val="0"/>
      <w:divBdr>
        <w:top w:val="none" w:sz="0" w:space="0" w:color="auto"/>
        <w:left w:val="none" w:sz="0" w:space="0" w:color="auto"/>
        <w:bottom w:val="none" w:sz="0" w:space="0" w:color="auto"/>
        <w:right w:val="none" w:sz="0" w:space="0" w:color="auto"/>
      </w:divBdr>
    </w:div>
    <w:div w:id="23598979">
      <w:bodyDiv w:val="1"/>
      <w:marLeft w:val="0"/>
      <w:marRight w:val="0"/>
      <w:marTop w:val="0"/>
      <w:marBottom w:val="0"/>
      <w:divBdr>
        <w:top w:val="none" w:sz="0" w:space="0" w:color="auto"/>
        <w:left w:val="none" w:sz="0" w:space="0" w:color="auto"/>
        <w:bottom w:val="none" w:sz="0" w:space="0" w:color="auto"/>
        <w:right w:val="none" w:sz="0" w:space="0" w:color="auto"/>
      </w:divBdr>
    </w:div>
    <w:div w:id="24138123">
      <w:bodyDiv w:val="1"/>
      <w:marLeft w:val="0"/>
      <w:marRight w:val="0"/>
      <w:marTop w:val="0"/>
      <w:marBottom w:val="0"/>
      <w:divBdr>
        <w:top w:val="none" w:sz="0" w:space="0" w:color="auto"/>
        <w:left w:val="none" w:sz="0" w:space="0" w:color="auto"/>
        <w:bottom w:val="none" w:sz="0" w:space="0" w:color="auto"/>
        <w:right w:val="none" w:sz="0" w:space="0" w:color="auto"/>
      </w:divBdr>
    </w:div>
    <w:div w:id="47343901">
      <w:bodyDiv w:val="1"/>
      <w:marLeft w:val="0"/>
      <w:marRight w:val="0"/>
      <w:marTop w:val="0"/>
      <w:marBottom w:val="0"/>
      <w:divBdr>
        <w:top w:val="none" w:sz="0" w:space="0" w:color="auto"/>
        <w:left w:val="none" w:sz="0" w:space="0" w:color="auto"/>
        <w:bottom w:val="none" w:sz="0" w:space="0" w:color="auto"/>
        <w:right w:val="none" w:sz="0" w:space="0" w:color="auto"/>
      </w:divBdr>
    </w:div>
    <w:div w:id="47926459">
      <w:bodyDiv w:val="1"/>
      <w:marLeft w:val="0"/>
      <w:marRight w:val="0"/>
      <w:marTop w:val="0"/>
      <w:marBottom w:val="0"/>
      <w:divBdr>
        <w:top w:val="none" w:sz="0" w:space="0" w:color="auto"/>
        <w:left w:val="none" w:sz="0" w:space="0" w:color="auto"/>
        <w:bottom w:val="none" w:sz="0" w:space="0" w:color="auto"/>
        <w:right w:val="none" w:sz="0" w:space="0" w:color="auto"/>
      </w:divBdr>
    </w:div>
    <w:div w:id="72894739">
      <w:bodyDiv w:val="1"/>
      <w:marLeft w:val="0"/>
      <w:marRight w:val="0"/>
      <w:marTop w:val="0"/>
      <w:marBottom w:val="0"/>
      <w:divBdr>
        <w:top w:val="none" w:sz="0" w:space="0" w:color="auto"/>
        <w:left w:val="none" w:sz="0" w:space="0" w:color="auto"/>
        <w:bottom w:val="none" w:sz="0" w:space="0" w:color="auto"/>
        <w:right w:val="none" w:sz="0" w:space="0" w:color="auto"/>
      </w:divBdr>
    </w:div>
    <w:div w:id="81880838">
      <w:bodyDiv w:val="1"/>
      <w:marLeft w:val="0"/>
      <w:marRight w:val="0"/>
      <w:marTop w:val="0"/>
      <w:marBottom w:val="0"/>
      <w:divBdr>
        <w:top w:val="none" w:sz="0" w:space="0" w:color="auto"/>
        <w:left w:val="none" w:sz="0" w:space="0" w:color="auto"/>
        <w:bottom w:val="none" w:sz="0" w:space="0" w:color="auto"/>
        <w:right w:val="none" w:sz="0" w:space="0" w:color="auto"/>
      </w:divBdr>
    </w:div>
    <w:div w:id="87506126">
      <w:bodyDiv w:val="1"/>
      <w:marLeft w:val="0"/>
      <w:marRight w:val="0"/>
      <w:marTop w:val="0"/>
      <w:marBottom w:val="0"/>
      <w:divBdr>
        <w:top w:val="none" w:sz="0" w:space="0" w:color="auto"/>
        <w:left w:val="none" w:sz="0" w:space="0" w:color="auto"/>
        <w:bottom w:val="none" w:sz="0" w:space="0" w:color="auto"/>
        <w:right w:val="none" w:sz="0" w:space="0" w:color="auto"/>
      </w:divBdr>
    </w:div>
    <w:div w:id="91049868">
      <w:bodyDiv w:val="1"/>
      <w:marLeft w:val="0"/>
      <w:marRight w:val="0"/>
      <w:marTop w:val="0"/>
      <w:marBottom w:val="0"/>
      <w:divBdr>
        <w:top w:val="none" w:sz="0" w:space="0" w:color="auto"/>
        <w:left w:val="none" w:sz="0" w:space="0" w:color="auto"/>
        <w:bottom w:val="none" w:sz="0" w:space="0" w:color="auto"/>
        <w:right w:val="none" w:sz="0" w:space="0" w:color="auto"/>
      </w:divBdr>
    </w:div>
    <w:div w:id="98573664">
      <w:bodyDiv w:val="1"/>
      <w:marLeft w:val="0"/>
      <w:marRight w:val="0"/>
      <w:marTop w:val="0"/>
      <w:marBottom w:val="0"/>
      <w:divBdr>
        <w:top w:val="none" w:sz="0" w:space="0" w:color="auto"/>
        <w:left w:val="none" w:sz="0" w:space="0" w:color="auto"/>
        <w:bottom w:val="none" w:sz="0" w:space="0" w:color="auto"/>
        <w:right w:val="none" w:sz="0" w:space="0" w:color="auto"/>
      </w:divBdr>
    </w:div>
    <w:div w:id="118107564">
      <w:bodyDiv w:val="1"/>
      <w:marLeft w:val="0"/>
      <w:marRight w:val="0"/>
      <w:marTop w:val="0"/>
      <w:marBottom w:val="0"/>
      <w:divBdr>
        <w:top w:val="none" w:sz="0" w:space="0" w:color="auto"/>
        <w:left w:val="none" w:sz="0" w:space="0" w:color="auto"/>
        <w:bottom w:val="none" w:sz="0" w:space="0" w:color="auto"/>
        <w:right w:val="none" w:sz="0" w:space="0" w:color="auto"/>
      </w:divBdr>
    </w:div>
    <w:div w:id="118309031">
      <w:bodyDiv w:val="1"/>
      <w:marLeft w:val="0"/>
      <w:marRight w:val="0"/>
      <w:marTop w:val="0"/>
      <w:marBottom w:val="0"/>
      <w:divBdr>
        <w:top w:val="none" w:sz="0" w:space="0" w:color="auto"/>
        <w:left w:val="none" w:sz="0" w:space="0" w:color="auto"/>
        <w:bottom w:val="none" w:sz="0" w:space="0" w:color="auto"/>
        <w:right w:val="none" w:sz="0" w:space="0" w:color="auto"/>
      </w:divBdr>
    </w:div>
    <w:div w:id="123042250">
      <w:bodyDiv w:val="1"/>
      <w:marLeft w:val="0"/>
      <w:marRight w:val="0"/>
      <w:marTop w:val="0"/>
      <w:marBottom w:val="0"/>
      <w:divBdr>
        <w:top w:val="none" w:sz="0" w:space="0" w:color="auto"/>
        <w:left w:val="none" w:sz="0" w:space="0" w:color="auto"/>
        <w:bottom w:val="none" w:sz="0" w:space="0" w:color="auto"/>
        <w:right w:val="none" w:sz="0" w:space="0" w:color="auto"/>
      </w:divBdr>
    </w:div>
    <w:div w:id="123696055">
      <w:bodyDiv w:val="1"/>
      <w:marLeft w:val="0"/>
      <w:marRight w:val="0"/>
      <w:marTop w:val="0"/>
      <w:marBottom w:val="0"/>
      <w:divBdr>
        <w:top w:val="none" w:sz="0" w:space="0" w:color="auto"/>
        <w:left w:val="none" w:sz="0" w:space="0" w:color="auto"/>
        <w:bottom w:val="none" w:sz="0" w:space="0" w:color="auto"/>
        <w:right w:val="none" w:sz="0" w:space="0" w:color="auto"/>
      </w:divBdr>
    </w:div>
    <w:div w:id="127163831">
      <w:bodyDiv w:val="1"/>
      <w:marLeft w:val="0"/>
      <w:marRight w:val="0"/>
      <w:marTop w:val="0"/>
      <w:marBottom w:val="0"/>
      <w:divBdr>
        <w:top w:val="none" w:sz="0" w:space="0" w:color="auto"/>
        <w:left w:val="none" w:sz="0" w:space="0" w:color="auto"/>
        <w:bottom w:val="none" w:sz="0" w:space="0" w:color="auto"/>
        <w:right w:val="none" w:sz="0" w:space="0" w:color="auto"/>
      </w:divBdr>
    </w:div>
    <w:div w:id="128399071">
      <w:bodyDiv w:val="1"/>
      <w:marLeft w:val="0"/>
      <w:marRight w:val="0"/>
      <w:marTop w:val="0"/>
      <w:marBottom w:val="0"/>
      <w:divBdr>
        <w:top w:val="none" w:sz="0" w:space="0" w:color="auto"/>
        <w:left w:val="none" w:sz="0" w:space="0" w:color="auto"/>
        <w:bottom w:val="none" w:sz="0" w:space="0" w:color="auto"/>
        <w:right w:val="none" w:sz="0" w:space="0" w:color="auto"/>
      </w:divBdr>
    </w:div>
    <w:div w:id="139201254">
      <w:bodyDiv w:val="1"/>
      <w:marLeft w:val="0"/>
      <w:marRight w:val="0"/>
      <w:marTop w:val="0"/>
      <w:marBottom w:val="0"/>
      <w:divBdr>
        <w:top w:val="none" w:sz="0" w:space="0" w:color="auto"/>
        <w:left w:val="none" w:sz="0" w:space="0" w:color="auto"/>
        <w:bottom w:val="none" w:sz="0" w:space="0" w:color="auto"/>
        <w:right w:val="none" w:sz="0" w:space="0" w:color="auto"/>
      </w:divBdr>
    </w:div>
    <w:div w:id="147282008">
      <w:bodyDiv w:val="1"/>
      <w:marLeft w:val="0"/>
      <w:marRight w:val="0"/>
      <w:marTop w:val="0"/>
      <w:marBottom w:val="0"/>
      <w:divBdr>
        <w:top w:val="none" w:sz="0" w:space="0" w:color="auto"/>
        <w:left w:val="none" w:sz="0" w:space="0" w:color="auto"/>
        <w:bottom w:val="none" w:sz="0" w:space="0" w:color="auto"/>
        <w:right w:val="none" w:sz="0" w:space="0" w:color="auto"/>
      </w:divBdr>
    </w:div>
    <w:div w:id="147673018">
      <w:bodyDiv w:val="1"/>
      <w:marLeft w:val="0"/>
      <w:marRight w:val="0"/>
      <w:marTop w:val="0"/>
      <w:marBottom w:val="0"/>
      <w:divBdr>
        <w:top w:val="none" w:sz="0" w:space="0" w:color="auto"/>
        <w:left w:val="none" w:sz="0" w:space="0" w:color="auto"/>
        <w:bottom w:val="none" w:sz="0" w:space="0" w:color="auto"/>
        <w:right w:val="none" w:sz="0" w:space="0" w:color="auto"/>
      </w:divBdr>
    </w:div>
    <w:div w:id="149639947">
      <w:bodyDiv w:val="1"/>
      <w:marLeft w:val="0"/>
      <w:marRight w:val="0"/>
      <w:marTop w:val="0"/>
      <w:marBottom w:val="0"/>
      <w:divBdr>
        <w:top w:val="none" w:sz="0" w:space="0" w:color="auto"/>
        <w:left w:val="none" w:sz="0" w:space="0" w:color="auto"/>
        <w:bottom w:val="none" w:sz="0" w:space="0" w:color="auto"/>
        <w:right w:val="none" w:sz="0" w:space="0" w:color="auto"/>
      </w:divBdr>
    </w:div>
    <w:div w:id="156507634">
      <w:bodyDiv w:val="1"/>
      <w:marLeft w:val="0"/>
      <w:marRight w:val="0"/>
      <w:marTop w:val="0"/>
      <w:marBottom w:val="0"/>
      <w:divBdr>
        <w:top w:val="none" w:sz="0" w:space="0" w:color="auto"/>
        <w:left w:val="none" w:sz="0" w:space="0" w:color="auto"/>
        <w:bottom w:val="none" w:sz="0" w:space="0" w:color="auto"/>
        <w:right w:val="none" w:sz="0" w:space="0" w:color="auto"/>
      </w:divBdr>
    </w:div>
    <w:div w:id="159546531">
      <w:bodyDiv w:val="1"/>
      <w:marLeft w:val="0"/>
      <w:marRight w:val="0"/>
      <w:marTop w:val="0"/>
      <w:marBottom w:val="0"/>
      <w:divBdr>
        <w:top w:val="none" w:sz="0" w:space="0" w:color="auto"/>
        <w:left w:val="none" w:sz="0" w:space="0" w:color="auto"/>
        <w:bottom w:val="none" w:sz="0" w:space="0" w:color="auto"/>
        <w:right w:val="none" w:sz="0" w:space="0" w:color="auto"/>
      </w:divBdr>
    </w:div>
    <w:div w:id="172186279">
      <w:bodyDiv w:val="1"/>
      <w:marLeft w:val="0"/>
      <w:marRight w:val="0"/>
      <w:marTop w:val="0"/>
      <w:marBottom w:val="0"/>
      <w:divBdr>
        <w:top w:val="none" w:sz="0" w:space="0" w:color="auto"/>
        <w:left w:val="none" w:sz="0" w:space="0" w:color="auto"/>
        <w:bottom w:val="none" w:sz="0" w:space="0" w:color="auto"/>
        <w:right w:val="none" w:sz="0" w:space="0" w:color="auto"/>
      </w:divBdr>
    </w:div>
    <w:div w:id="173612218">
      <w:bodyDiv w:val="1"/>
      <w:marLeft w:val="0"/>
      <w:marRight w:val="0"/>
      <w:marTop w:val="0"/>
      <w:marBottom w:val="0"/>
      <w:divBdr>
        <w:top w:val="none" w:sz="0" w:space="0" w:color="auto"/>
        <w:left w:val="none" w:sz="0" w:space="0" w:color="auto"/>
        <w:bottom w:val="none" w:sz="0" w:space="0" w:color="auto"/>
        <w:right w:val="none" w:sz="0" w:space="0" w:color="auto"/>
      </w:divBdr>
    </w:div>
    <w:div w:id="174618935">
      <w:bodyDiv w:val="1"/>
      <w:marLeft w:val="0"/>
      <w:marRight w:val="0"/>
      <w:marTop w:val="0"/>
      <w:marBottom w:val="0"/>
      <w:divBdr>
        <w:top w:val="none" w:sz="0" w:space="0" w:color="auto"/>
        <w:left w:val="none" w:sz="0" w:space="0" w:color="auto"/>
        <w:bottom w:val="none" w:sz="0" w:space="0" w:color="auto"/>
        <w:right w:val="none" w:sz="0" w:space="0" w:color="auto"/>
      </w:divBdr>
    </w:div>
    <w:div w:id="179438611">
      <w:bodyDiv w:val="1"/>
      <w:marLeft w:val="0"/>
      <w:marRight w:val="0"/>
      <w:marTop w:val="0"/>
      <w:marBottom w:val="0"/>
      <w:divBdr>
        <w:top w:val="none" w:sz="0" w:space="0" w:color="auto"/>
        <w:left w:val="none" w:sz="0" w:space="0" w:color="auto"/>
        <w:bottom w:val="none" w:sz="0" w:space="0" w:color="auto"/>
        <w:right w:val="none" w:sz="0" w:space="0" w:color="auto"/>
      </w:divBdr>
    </w:div>
    <w:div w:id="194513143">
      <w:bodyDiv w:val="1"/>
      <w:marLeft w:val="0"/>
      <w:marRight w:val="0"/>
      <w:marTop w:val="0"/>
      <w:marBottom w:val="0"/>
      <w:divBdr>
        <w:top w:val="none" w:sz="0" w:space="0" w:color="auto"/>
        <w:left w:val="none" w:sz="0" w:space="0" w:color="auto"/>
        <w:bottom w:val="none" w:sz="0" w:space="0" w:color="auto"/>
        <w:right w:val="none" w:sz="0" w:space="0" w:color="auto"/>
      </w:divBdr>
    </w:div>
    <w:div w:id="199904435">
      <w:bodyDiv w:val="1"/>
      <w:marLeft w:val="0"/>
      <w:marRight w:val="0"/>
      <w:marTop w:val="0"/>
      <w:marBottom w:val="0"/>
      <w:divBdr>
        <w:top w:val="none" w:sz="0" w:space="0" w:color="auto"/>
        <w:left w:val="none" w:sz="0" w:space="0" w:color="auto"/>
        <w:bottom w:val="none" w:sz="0" w:space="0" w:color="auto"/>
        <w:right w:val="none" w:sz="0" w:space="0" w:color="auto"/>
      </w:divBdr>
    </w:div>
    <w:div w:id="206258035">
      <w:bodyDiv w:val="1"/>
      <w:marLeft w:val="0"/>
      <w:marRight w:val="0"/>
      <w:marTop w:val="0"/>
      <w:marBottom w:val="0"/>
      <w:divBdr>
        <w:top w:val="none" w:sz="0" w:space="0" w:color="auto"/>
        <w:left w:val="none" w:sz="0" w:space="0" w:color="auto"/>
        <w:bottom w:val="none" w:sz="0" w:space="0" w:color="auto"/>
        <w:right w:val="none" w:sz="0" w:space="0" w:color="auto"/>
      </w:divBdr>
    </w:div>
    <w:div w:id="216745621">
      <w:bodyDiv w:val="1"/>
      <w:marLeft w:val="0"/>
      <w:marRight w:val="0"/>
      <w:marTop w:val="0"/>
      <w:marBottom w:val="0"/>
      <w:divBdr>
        <w:top w:val="none" w:sz="0" w:space="0" w:color="auto"/>
        <w:left w:val="none" w:sz="0" w:space="0" w:color="auto"/>
        <w:bottom w:val="none" w:sz="0" w:space="0" w:color="auto"/>
        <w:right w:val="none" w:sz="0" w:space="0" w:color="auto"/>
      </w:divBdr>
    </w:div>
    <w:div w:id="226231564">
      <w:bodyDiv w:val="1"/>
      <w:marLeft w:val="0"/>
      <w:marRight w:val="0"/>
      <w:marTop w:val="0"/>
      <w:marBottom w:val="0"/>
      <w:divBdr>
        <w:top w:val="none" w:sz="0" w:space="0" w:color="auto"/>
        <w:left w:val="none" w:sz="0" w:space="0" w:color="auto"/>
        <w:bottom w:val="none" w:sz="0" w:space="0" w:color="auto"/>
        <w:right w:val="none" w:sz="0" w:space="0" w:color="auto"/>
      </w:divBdr>
    </w:div>
    <w:div w:id="230778299">
      <w:bodyDiv w:val="1"/>
      <w:marLeft w:val="0"/>
      <w:marRight w:val="0"/>
      <w:marTop w:val="0"/>
      <w:marBottom w:val="0"/>
      <w:divBdr>
        <w:top w:val="none" w:sz="0" w:space="0" w:color="auto"/>
        <w:left w:val="none" w:sz="0" w:space="0" w:color="auto"/>
        <w:bottom w:val="none" w:sz="0" w:space="0" w:color="auto"/>
        <w:right w:val="none" w:sz="0" w:space="0" w:color="auto"/>
      </w:divBdr>
    </w:div>
    <w:div w:id="239486731">
      <w:bodyDiv w:val="1"/>
      <w:marLeft w:val="0"/>
      <w:marRight w:val="0"/>
      <w:marTop w:val="0"/>
      <w:marBottom w:val="0"/>
      <w:divBdr>
        <w:top w:val="none" w:sz="0" w:space="0" w:color="auto"/>
        <w:left w:val="none" w:sz="0" w:space="0" w:color="auto"/>
        <w:bottom w:val="none" w:sz="0" w:space="0" w:color="auto"/>
        <w:right w:val="none" w:sz="0" w:space="0" w:color="auto"/>
      </w:divBdr>
    </w:div>
    <w:div w:id="242304524">
      <w:bodyDiv w:val="1"/>
      <w:marLeft w:val="0"/>
      <w:marRight w:val="0"/>
      <w:marTop w:val="0"/>
      <w:marBottom w:val="0"/>
      <w:divBdr>
        <w:top w:val="none" w:sz="0" w:space="0" w:color="auto"/>
        <w:left w:val="none" w:sz="0" w:space="0" w:color="auto"/>
        <w:bottom w:val="none" w:sz="0" w:space="0" w:color="auto"/>
        <w:right w:val="none" w:sz="0" w:space="0" w:color="auto"/>
      </w:divBdr>
    </w:div>
    <w:div w:id="251625415">
      <w:bodyDiv w:val="1"/>
      <w:marLeft w:val="0"/>
      <w:marRight w:val="0"/>
      <w:marTop w:val="0"/>
      <w:marBottom w:val="0"/>
      <w:divBdr>
        <w:top w:val="none" w:sz="0" w:space="0" w:color="auto"/>
        <w:left w:val="none" w:sz="0" w:space="0" w:color="auto"/>
        <w:bottom w:val="none" w:sz="0" w:space="0" w:color="auto"/>
        <w:right w:val="none" w:sz="0" w:space="0" w:color="auto"/>
      </w:divBdr>
    </w:div>
    <w:div w:id="256794151">
      <w:bodyDiv w:val="1"/>
      <w:marLeft w:val="0"/>
      <w:marRight w:val="0"/>
      <w:marTop w:val="0"/>
      <w:marBottom w:val="0"/>
      <w:divBdr>
        <w:top w:val="none" w:sz="0" w:space="0" w:color="auto"/>
        <w:left w:val="none" w:sz="0" w:space="0" w:color="auto"/>
        <w:bottom w:val="none" w:sz="0" w:space="0" w:color="auto"/>
        <w:right w:val="none" w:sz="0" w:space="0" w:color="auto"/>
      </w:divBdr>
    </w:div>
    <w:div w:id="264926111">
      <w:bodyDiv w:val="1"/>
      <w:marLeft w:val="0"/>
      <w:marRight w:val="0"/>
      <w:marTop w:val="0"/>
      <w:marBottom w:val="0"/>
      <w:divBdr>
        <w:top w:val="none" w:sz="0" w:space="0" w:color="auto"/>
        <w:left w:val="none" w:sz="0" w:space="0" w:color="auto"/>
        <w:bottom w:val="none" w:sz="0" w:space="0" w:color="auto"/>
        <w:right w:val="none" w:sz="0" w:space="0" w:color="auto"/>
      </w:divBdr>
    </w:div>
    <w:div w:id="267128325">
      <w:bodyDiv w:val="1"/>
      <w:marLeft w:val="0"/>
      <w:marRight w:val="0"/>
      <w:marTop w:val="0"/>
      <w:marBottom w:val="0"/>
      <w:divBdr>
        <w:top w:val="none" w:sz="0" w:space="0" w:color="auto"/>
        <w:left w:val="none" w:sz="0" w:space="0" w:color="auto"/>
        <w:bottom w:val="none" w:sz="0" w:space="0" w:color="auto"/>
        <w:right w:val="none" w:sz="0" w:space="0" w:color="auto"/>
      </w:divBdr>
    </w:div>
    <w:div w:id="273945311">
      <w:bodyDiv w:val="1"/>
      <w:marLeft w:val="0"/>
      <w:marRight w:val="0"/>
      <w:marTop w:val="0"/>
      <w:marBottom w:val="0"/>
      <w:divBdr>
        <w:top w:val="none" w:sz="0" w:space="0" w:color="auto"/>
        <w:left w:val="none" w:sz="0" w:space="0" w:color="auto"/>
        <w:bottom w:val="none" w:sz="0" w:space="0" w:color="auto"/>
        <w:right w:val="none" w:sz="0" w:space="0" w:color="auto"/>
      </w:divBdr>
    </w:div>
    <w:div w:id="275717393">
      <w:bodyDiv w:val="1"/>
      <w:marLeft w:val="0"/>
      <w:marRight w:val="0"/>
      <w:marTop w:val="0"/>
      <w:marBottom w:val="0"/>
      <w:divBdr>
        <w:top w:val="none" w:sz="0" w:space="0" w:color="auto"/>
        <w:left w:val="none" w:sz="0" w:space="0" w:color="auto"/>
        <w:bottom w:val="none" w:sz="0" w:space="0" w:color="auto"/>
        <w:right w:val="none" w:sz="0" w:space="0" w:color="auto"/>
      </w:divBdr>
    </w:div>
    <w:div w:id="278683940">
      <w:bodyDiv w:val="1"/>
      <w:marLeft w:val="0"/>
      <w:marRight w:val="0"/>
      <w:marTop w:val="0"/>
      <w:marBottom w:val="0"/>
      <w:divBdr>
        <w:top w:val="none" w:sz="0" w:space="0" w:color="auto"/>
        <w:left w:val="none" w:sz="0" w:space="0" w:color="auto"/>
        <w:bottom w:val="none" w:sz="0" w:space="0" w:color="auto"/>
        <w:right w:val="none" w:sz="0" w:space="0" w:color="auto"/>
      </w:divBdr>
    </w:div>
    <w:div w:id="279386177">
      <w:bodyDiv w:val="1"/>
      <w:marLeft w:val="0"/>
      <w:marRight w:val="0"/>
      <w:marTop w:val="0"/>
      <w:marBottom w:val="0"/>
      <w:divBdr>
        <w:top w:val="none" w:sz="0" w:space="0" w:color="auto"/>
        <w:left w:val="none" w:sz="0" w:space="0" w:color="auto"/>
        <w:bottom w:val="none" w:sz="0" w:space="0" w:color="auto"/>
        <w:right w:val="none" w:sz="0" w:space="0" w:color="auto"/>
      </w:divBdr>
    </w:div>
    <w:div w:id="285700478">
      <w:bodyDiv w:val="1"/>
      <w:marLeft w:val="0"/>
      <w:marRight w:val="0"/>
      <w:marTop w:val="0"/>
      <w:marBottom w:val="0"/>
      <w:divBdr>
        <w:top w:val="none" w:sz="0" w:space="0" w:color="auto"/>
        <w:left w:val="none" w:sz="0" w:space="0" w:color="auto"/>
        <w:bottom w:val="none" w:sz="0" w:space="0" w:color="auto"/>
        <w:right w:val="none" w:sz="0" w:space="0" w:color="auto"/>
      </w:divBdr>
    </w:div>
    <w:div w:id="291181888">
      <w:bodyDiv w:val="1"/>
      <w:marLeft w:val="0"/>
      <w:marRight w:val="0"/>
      <w:marTop w:val="0"/>
      <w:marBottom w:val="0"/>
      <w:divBdr>
        <w:top w:val="none" w:sz="0" w:space="0" w:color="auto"/>
        <w:left w:val="none" w:sz="0" w:space="0" w:color="auto"/>
        <w:bottom w:val="none" w:sz="0" w:space="0" w:color="auto"/>
        <w:right w:val="none" w:sz="0" w:space="0" w:color="auto"/>
      </w:divBdr>
    </w:div>
    <w:div w:id="292256354">
      <w:bodyDiv w:val="1"/>
      <w:marLeft w:val="0"/>
      <w:marRight w:val="0"/>
      <w:marTop w:val="0"/>
      <w:marBottom w:val="0"/>
      <w:divBdr>
        <w:top w:val="none" w:sz="0" w:space="0" w:color="auto"/>
        <w:left w:val="none" w:sz="0" w:space="0" w:color="auto"/>
        <w:bottom w:val="none" w:sz="0" w:space="0" w:color="auto"/>
        <w:right w:val="none" w:sz="0" w:space="0" w:color="auto"/>
      </w:divBdr>
    </w:div>
    <w:div w:id="293218650">
      <w:bodyDiv w:val="1"/>
      <w:marLeft w:val="0"/>
      <w:marRight w:val="0"/>
      <w:marTop w:val="0"/>
      <w:marBottom w:val="0"/>
      <w:divBdr>
        <w:top w:val="none" w:sz="0" w:space="0" w:color="auto"/>
        <w:left w:val="none" w:sz="0" w:space="0" w:color="auto"/>
        <w:bottom w:val="none" w:sz="0" w:space="0" w:color="auto"/>
        <w:right w:val="none" w:sz="0" w:space="0" w:color="auto"/>
      </w:divBdr>
    </w:div>
    <w:div w:id="301816290">
      <w:bodyDiv w:val="1"/>
      <w:marLeft w:val="0"/>
      <w:marRight w:val="0"/>
      <w:marTop w:val="0"/>
      <w:marBottom w:val="0"/>
      <w:divBdr>
        <w:top w:val="none" w:sz="0" w:space="0" w:color="auto"/>
        <w:left w:val="none" w:sz="0" w:space="0" w:color="auto"/>
        <w:bottom w:val="none" w:sz="0" w:space="0" w:color="auto"/>
        <w:right w:val="none" w:sz="0" w:space="0" w:color="auto"/>
      </w:divBdr>
    </w:div>
    <w:div w:id="302854974">
      <w:bodyDiv w:val="1"/>
      <w:marLeft w:val="0"/>
      <w:marRight w:val="0"/>
      <w:marTop w:val="0"/>
      <w:marBottom w:val="0"/>
      <w:divBdr>
        <w:top w:val="none" w:sz="0" w:space="0" w:color="auto"/>
        <w:left w:val="none" w:sz="0" w:space="0" w:color="auto"/>
        <w:bottom w:val="none" w:sz="0" w:space="0" w:color="auto"/>
        <w:right w:val="none" w:sz="0" w:space="0" w:color="auto"/>
      </w:divBdr>
    </w:div>
    <w:div w:id="314263349">
      <w:bodyDiv w:val="1"/>
      <w:marLeft w:val="0"/>
      <w:marRight w:val="0"/>
      <w:marTop w:val="0"/>
      <w:marBottom w:val="0"/>
      <w:divBdr>
        <w:top w:val="none" w:sz="0" w:space="0" w:color="auto"/>
        <w:left w:val="none" w:sz="0" w:space="0" w:color="auto"/>
        <w:bottom w:val="none" w:sz="0" w:space="0" w:color="auto"/>
        <w:right w:val="none" w:sz="0" w:space="0" w:color="auto"/>
      </w:divBdr>
    </w:div>
    <w:div w:id="318046913">
      <w:bodyDiv w:val="1"/>
      <w:marLeft w:val="0"/>
      <w:marRight w:val="0"/>
      <w:marTop w:val="0"/>
      <w:marBottom w:val="0"/>
      <w:divBdr>
        <w:top w:val="none" w:sz="0" w:space="0" w:color="auto"/>
        <w:left w:val="none" w:sz="0" w:space="0" w:color="auto"/>
        <w:bottom w:val="none" w:sz="0" w:space="0" w:color="auto"/>
        <w:right w:val="none" w:sz="0" w:space="0" w:color="auto"/>
      </w:divBdr>
    </w:div>
    <w:div w:id="318120333">
      <w:bodyDiv w:val="1"/>
      <w:marLeft w:val="0"/>
      <w:marRight w:val="0"/>
      <w:marTop w:val="0"/>
      <w:marBottom w:val="0"/>
      <w:divBdr>
        <w:top w:val="none" w:sz="0" w:space="0" w:color="auto"/>
        <w:left w:val="none" w:sz="0" w:space="0" w:color="auto"/>
        <w:bottom w:val="none" w:sz="0" w:space="0" w:color="auto"/>
        <w:right w:val="none" w:sz="0" w:space="0" w:color="auto"/>
      </w:divBdr>
    </w:div>
    <w:div w:id="337388115">
      <w:bodyDiv w:val="1"/>
      <w:marLeft w:val="0"/>
      <w:marRight w:val="0"/>
      <w:marTop w:val="0"/>
      <w:marBottom w:val="0"/>
      <w:divBdr>
        <w:top w:val="none" w:sz="0" w:space="0" w:color="auto"/>
        <w:left w:val="none" w:sz="0" w:space="0" w:color="auto"/>
        <w:bottom w:val="none" w:sz="0" w:space="0" w:color="auto"/>
        <w:right w:val="none" w:sz="0" w:space="0" w:color="auto"/>
      </w:divBdr>
    </w:div>
    <w:div w:id="338117568">
      <w:bodyDiv w:val="1"/>
      <w:marLeft w:val="0"/>
      <w:marRight w:val="0"/>
      <w:marTop w:val="0"/>
      <w:marBottom w:val="0"/>
      <w:divBdr>
        <w:top w:val="none" w:sz="0" w:space="0" w:color="auto"/>
        <w:left w:val="none" w:sz="0" w:space="0" w:color="auto"/>
        <w:bottom w:val="none" w:sz="0" w:space="0" w:color="auto"/>
        <w:right w:val="none" w:sz="0" w:space="0" w:color="auto"/>
      </w:divBdr>
    </w:div>
    <w:div w:id="339892236">
      <w:bodyDiv w:val="1"/>
      <w:marLeft w:val="0"/>
      <w:marRight w:val="0"/>
      <w:marTop w:val="0"/>
      <w:marBottom w:val="0"/>
      <w:divBdr>
        <w:top w:val="none" w:sz="0" w:space="0" w:color="auto"/>
        <w:left w:val="none" w:sz="0" w:space="0" w:color="auto"/>
        <w:bottom w:val="none" w:sz="0" w:space="0" w:color="auto"/>
        <w:right w:val="none" w:sz="0" w:space="0" w:color="auto"/>
      </w:divBdr>
    </w:div>
    <w:div w:id="342166800">
      <w:bodyDiv w:val="1"/>
      <w:marLeft w:val="0"/>
      <w:marRight w:val="0"/>
      <w:marTop w:val="0"/>
      <w:marBottom w:val="0"/>
      <w:divBdr>
        <w:top w:val="none" w:sz="0" w:space="0" w:color="auto"/>
        <w:left w:val="none" w:sz="0" w:space="0" w:color="auto"/>
        <w:bottom w:val="none" w:sz="0" w:space="0" w:color="auto"/>
        <w:right w:val="none" w:sz="0" w:space="0" w:color="auto"/>
      </w:divBdr>
    </w:div>
    <w:div w:id="352417907">
      <w:bodyDiv w:val="1"/>
      <w:marLeft w:val="0"/>
      <w:marRight w:val="0"/>
      <w:marTop w:val="0"/>
      <w:marBottom w:val="0"/>
      <w:divBdr>
        <w:top w:val="none" w:sz="0" w:space="0" w:color="auto"/>
        <w:left w:val="none" w:sz="0" w:space="0" w:color="auto"/>
        <w:bottom w:val="none" w:sz="0" w:space="0" w:color="auto"/>
        <w:right w:val="none" w:sz="0" w:space="0" w:color="auto"/>
      </w:divBdr>
    </w:div>
    <w:div w:id="352459908">
      <w:bodyDiv w:val="1"/>
      <w:marLeft w:val="0"/>
      <w:marRight w:val="0"/>
      <w:marTop w:val="0"/>
      <w:marBottom w:val="0"/>
      <w:divBdr>
        <w:top w:val="none" w:sz="0" w:space="0" w:color="auto"/>
        <w:left w:val="none" w:sz="0" w:space="0" w:color="auto"/>
        <w:bottom w:val="none" w:sz="0" w:space="0" w:color="auto"/>
        <w:right w:val="none" w:sz="0" w:space="0" w:color="auto"/>
      </w:divBdr>
    </w:div>
    <w:div w:id="359355854">
      <w:bodyDiv w:val="1"/>
      <w:marLeft w:val="0"/>
      <w:marRight w:val="0"/>
      <w:marTop w:val="0"/>
      <w:marBottom w:val="0"/>
      <w:divBdr>
        <w:top w:val="none" w:sz="0" w:space="0" w:color="auto"/>
        <w:left w:val="none" w:sz="0" w:space="0" w:color="auto"/>
        <w:bottom w:val="none" w:sz="0" w:space="0" w:color="auto"/>
        <w:right w:val="none" w:sz="0" w:space="0" w:color="auto"/>
      </w:divBdr>
    </w:div>
    <w:div w:id="361445802">
      <w:bodyDiv w:val="1"/>
      <w:marLeft w:val="0"/>
      <w:marRight w:val="0"/>
      <w:marTop w:val="0"/>
      <w:marBottom w:val="0"/>
      <w:divBdr>
        <w:top w:val="none" w:sz="0" w:space="0" w:color="auto"/>
        <w:left w:val="none" w:sz="0" w:space="0" w:color="auto"/>
        <w:bottom w:val="none" w:sz="0" w:space="0" w:color="auto"/>
        <w:right w:val="none" w:sz="0" w:space="0" w:color="auto"/>
      </w:divBdr>
    </w:div>
    <w:div w:id="362941104">
      <w:bodyDiv w:val="1"/>
      <w:marLeft w:val="0"/>
      <w:marRight w:val="0"/>
      <w:marTop w:val="0"/>
      <w:marBottom w:val="0"/>
      <w:divBdr>
        <w:top w:val="none" w:sz="0" w:space="0" w:color="auto"/>
        <w:left w:val="none" w:sz="0" w:space="0" w:color="auto"/>
        <w:bottom w:val="none" w:sz="0" w:space="0" w:color="auto"/>
        <w:right w:val="none" w:sz="0" w:space="0" w:color="auto"/>
      </w:divBdr>
    </w:div>
    <w:div w:id="364866833">
      <w:bodyDiv w:val="1"/>
      <w:marLeft w:val="0"/>
      <w:marRight w:val="0"/>
      <w:marTop w:val="0"/>
      <w:marBottom w:val="0"/>
      <w:divBdr>
        <w:top w:val="none" w:sz="0" w:space="0" w:color="auto"/>
        <w:left w:val="none" w:sz="0" w:space="0" w:color="auto"/>
        <w:bottom w:val="none" w:sz="0" w:space="0" w:color="auto"/>
        <w:right w:val="none" w:sz="0" w:space="0" w:color="auto"/>
      </w:divBdr>
    </w:div>
    <w:div w:id="373971531">
      <w:bodyDiv w:val="1"/>
      <w:marLeft w:val="0"/>
      <w:marRight w:val="0"/>
      <w:marTop w:val="0"/>
      <w:marBottom w:val="0"/>
      <w:divBdr>
        <w:top w:val="none" w:sz="0" w:space="0" w:color="auto"/>
        <w:left w:val="none" w:sz="0" w:space="0" w:color="auto"/>
        <w:bottom w:val="none" w:sz="0" w:space="0" w:color="auto"/>
        <w:right w:val="none" w:sz="0" w:space="0" w:color="auto"/>
      </w:divBdr>
    </w:div>
    <w:div w:id="378287169">
      <w:bodyDiv w:val="1"/>
      <w:marLeft w:val="0"/>
      <w:marRight w:val="0"/>
      <w:marTop w:val="0"/>
      <w:marBottom w:val="0"/>
      <w:divBdr>
        <w:top w:val="none" w:sz="0" w:space="0" w:color="auto"/>
        <w:left w:val="none" w:sz="0" w:space="0" w:color="auto"/>
        <w:bottom w:val="none" w:sz="0" w:space="0" w:color="auto"/>
        <w:right w:val="none" w:sz="0" w:space="0" w:color="auto"/>
      </w:divBdr>
    </w:div>
    <w:div w:id="387195038">
      <w:bodyDiv w:val="1"/>
      <w:marLeft w:val="0"/>
      <w:marRight w:val="0"/>
      <w:marTop w:val="0"/>
      <w:marBottom w:val="0"/>
      <w:divBdr>
        <w:top w:val="none" w:sz="0" w:space="0" w:color="auto"/>
        <w:left w:val="none" w:sz="0" w:space="0" w:color="auto"/>
        <w:bottom w:val="none" w:sz="0" w:space="0" w:color="auto"/>
        <w:right w:val="none" w:sz="0" w:space="0" w:color="auto"/>
      </w:divBdr>
    </w:div>
    <w:div w:id="390083848">
      <w:bodyDiv w:val="1"/>
      <w:marLeft w:val="0"/>
      <w:marRight w:val="0"/>
      <w:marTop w:val="0"/>
      <w:marBottom w:val="0"/>
      <w:divBdr>
        <w:top w:val="none" w:sz="0" w:space="0" w:color="auto"/>
        <w:left w:val="none" w:sz="0" w:space="0" w:color="auto"/>
        <w:bottom w:val="none" w:sz="0" w:space="0" w:color="auto"/>
        <w:right w:val="none" w:sz="0" w:space="0" w:color="auto"/>
      </w:divBdr>
    </w:div>
    <w:div w:id="397243050">
      <w:bodyDiv w:val="1"/>
      <w:marLeft w:val="0"/>
      <w:marRight w:val="0"/>
      <w:marTop w:val="0"/>
      <w:marBottom w:val="0"/>
      <w:divBdr>
        <w:top w:val="none" w:sz="0" w:space="0" w:color="auto"/>
        <w:left w:val="none" w:sz="0" w:space="0" w:color="auto"/>
        <w:bottom w:val="none" w:sz="0" w:space="0" w:color="auto"/>
        <w:right w:val="none" w:sz="0" w:space="0" w:color="auto"/>
      </w:divBdr>
    </w:div>
    <w:div w:id="399643557">
      <w:bodyDiv w:val="1"/>
      <w:marLeft w:val="0"/>
      <w:marRight w:val="0"/>
      <w:marTop w:val="0"/>
      <w:marBottom w:val="0"/>
      <w:divBdr>
        <w:top w:val="none" w:sz="0" w:space="0" w:color="auto"/>
        <w:left w:val="none" w:sz="0" w:space="0" w:color="auto"/>
        <w:bottom w:val="none" w:sz="0" w:space="0" w:color="auto"/>
        <w:right w:val="none" w:sz="0" w:space="0" w:color="auto"/>
      </w:divBdr>
    </w:div>
    <w:div w:id="416172717">
      <w:bodyDiv w:val="1"/>
      <w:marLeft w:val="0"/>
      <w:marRight w:val="0"/>
      <w:marTop w:val="0"/>
      <w:marBottom w:val="0"/>
      <w:divBdr>
        <w:top w:val="none" w:sz="0" w:space="0" w:color="auto"/>
        <w:left w:val="none" w:sz="0" w:space="0" w:color="auto"/>
        <w:bottom w:val="none" w:sz="0" w:space="0" w:color="auto"/>
        <w:right w:val="none" w:sz="0" w:space="0" w:color="auto"/>
      </w:divBdr>
    </w:div>
    <w:div w:id="417334047">
      <w:bodyDiv w:val="1"/>
      <w:marLeft w:val="0"/>
      <w:marRight w:val="0"/>
      <w:marTop w:val="0"/>
      <w:marBottom w:val="0"/>
      <w:divBdr>
        <w:top w:val="none" w:sz="0" w:space="0" w:color="auto"/>
        <w:left w:val="none" w:sz="0" w:space="0" w:color="auto"/>
        <w:bottom w:val="none" w:sz="0" w:space="0" w:color="auto"/>
        <w:right w:val="none" w:sz="0" w:space="0" w:color="auto"/>
      </w:divBdr>
    </w:div>
    <w:div w:id="417597731">
      <w:bodyDiv w:val="1"/>
      <w:marLeft w:val="0"/>
      <w:marRight w:val="0"/>
      <w:marTop w:val="0"/>
      <w:marBottom w:val="0"/>
      <w:divBdr>
        <w:top w:val="none" w:sz="0" w:space="0" w:color="auto"/>
        <w:left w:val="none" w:sz="0" w:space="0" w:color="auto"/>
        <w:bottom w:val="none" w:sz="0" w:space="0" w:color="auto"/>
        <w:right w:val="none" w:sz="0" w:space="0" w:color="auto"/>
      </w:divBdr>
    </w:div>
    <w:div w:id="418327561">
      <w:bodyDiv w:val="1"/>
      <w:marLeft w:val="0"/>
      <w:marRight w:val="0"/>
      <w:marTop w:val="0"/>
      <w:marBottom w:val="0"/>
      <w:divBdr>
        <w:top w:val="none" w:sz="0" w:space="0" w:color="auto"/>
        <w:left w:val="none" w:sz="0" w:space="0" w:color="auto"/>
        <w:bottom w:val="none" w:sz="0" w:space="0" w:color="auto"/>
        <w:right w:val="none" w:sz="0" w:space="0" w:color="auto"/>
      </w:divBdr>
    </w:div>
    <w:div w:id="420177465">
      <w:bodyDiv w:val="1"/>
      <w:marLeft w:val="0"/>
      <w:marRight w:val="0"/>
      <w:marTop w:val="0"/>
      <w:marBottom w:val="0"/>
      <w:divBdr>
        <w:top w:val="none" w:sz="0" w:space="0" w:color="auto"/>
        <w:left w:val="none" w:sz="0" w:space="0" w:color="auto"/>
        <w:bottom w:val="none" w:sz="0" w:space="0" w:color="auto"/>
        <w:right w:val="none" w:sz="0" w:space="0" w:color="auto"/>
      </w:divBdr>
    </w:div>
    <w:div w:id="421494208">
      <w:bodyDiv w:val="1"/>
      <w:marLeft w:val="0"/>
      <w:marRight w:val="0"/>
      <w:marTop w:val="0"/>
      <w:marBottom w:val="0"/>
      <w:divBdr>
        <w:top w:val="none" w:sz="0" w:space="0" w:color="auto"/>
        <w:left w:val="none" w:sz="0" w:space="0" w:color="auto"/>
        <w:bottom w:val="none" w:sz="0" w:space="0" w:color="auto"/>
        <w:right w:val="none" w:sz="0" w:space="0" w:color="auto"/>
      </w:divBdr>
    </w:div>
    <w:div w:id="422577901">
      <w:bodyDiv w:val="1"/>
      <w:marLeft w:val="0"/>
      <w:marRight w:val="0"/>
      <w:marTop w:val="0"/>
      <w:marBottom w:val="0"/>
      <w:divBdr>
        <w:top w:val="none" w:sz="0" w:space="0" w:color="auto"/>
        <w:left w:val="none" w:sz="0" w:space="0" w:color="auto"/>
        <w:bottom w:val="none" w:sz="0" w:space="0" w:color="auto"/>
        <w:right w:val="none" w:sz="0" w:space="0" w:color="auto"/>
      </w:divBdr>
    </w:div>
    <w:div w:id="423847575">
      <w:bodyDiv w:val="1"/>
      <w:marLeft w:val="0"/>
      <w:marRight w:val="0"/>
      <w:marTop w:val="0"/>
      <w:marBottom w:val="0"/>
      <w:divBdr>
        <w:top w:val="none" w:sz="0" w:space="0" w:color="auto"/>
        <w:left w:val="none" w:sz="0" w:space="0" w:color="auto"/>
        <w:bottom w:val="none" w:sz="0" w:space="0" w:color="auto"/>
        <w:right w:val="none" w:sz="0" w:space="0" w:color="auto"/>
      </w:divBdr>
    </w:div>
    <w:div w:id="430708524">
      <w:bodyDiv w:val="1"/>
      <w:marLeft w:val="0"/>
      <w:marRight w:val="0"/>
      <w:marTop w:val="0"/>
      <w:marBottom w:val="0"/>
      <w:divBdr>
        <w:top w:val="none" w:sz="0" w:space="0" w:color="auto"/>
        <w:left w:val="none" w:sz="0" w:space="0" w:color="auto"/>
        <w:bottom w:val="none" w:sz="0" w:space="0" w:color="auto"/>
        <w:right w:val="none" w:sz="0" w:space="0" w:color="auto"/>
      </w:divBdr>
    </w:div>
    <w:div w:id="433205730">
      <w:bodyDiv w:val="1"/>
      <w:marLeft w:val="0"/>
      <w:marRight w:val="0"/>
      <w:marTop w:val="0"/>
      <w:marBottom w:val="0"/>
      <w:divBdr>
        <w:top w:val="none" w:sz="0" w:space="0" w:color="auto"/>
        <w:left w:val="none" w:sz="0" w:space="0" w:color="auto"/>
        <w:bottom w:val="none" w:sz="0" w:space="0" w:color="auto"/>
        <w:right w:val="none" w:sz="0" w:space="0" w:color="auto"/>
      </w:divBdr>
    </w:div>
    <w:div w:id="435516957">
      <w:bodyDiv w:val="1"/>
      <w:marLeft w:val="0"/>
      <w:marRight w:val="0"/>
      <w:marTop w:val="0"/>
      <w:marBottom w:val="0"/>
      <w:divBdr>
        <w:top w:val="none" w:sz="0" w:space="0" w:color="auto"/>
        <w:left w:val="none" w:sz="0" w:space="0" w:color="auto"/>
        <w:bottom w:val="none" w:sz="0" w:space="0" w:color="auto"/>
        <w:right w:val="none" w:sz="0" w:space="0" w:color="auto"/>
      </w:divBdr>
    </w:div>
    <w:div w:id="450441384">
      <w:bodyDiv w:val="1"/>
      <w:marLeft w:val="0"/>
      <w:marRight w:val="0"/>
      <w:marTop w:val="0"/>
      <w:marBottom w:val="0"/>
      <w:divBdr>
        <w:top w:val="none" w:sz="0" w:space="0" w:color="auto"/>
        <w:left w:val="none" w:sz="0" w:space="0" w:color="auto"/>
        <w:bottom w:val="none" w:sz="0" w:space="0" w:color="auto"/>
        <w:right w:val="none" w:sz="0" w:space="0" w:color="auto"/>
      </w:divBdr>
    </w:div>
    <w:div w:id="453791728">
      <w:bodyDiv w:val="1"/>
      <w:marLeft w:val="0"/>
      <w:marRight w:val="0"/>
      <w:marTop w:val="0"/>
      <w:marBottom w:val="0"/>
      <w:divBdr>
        <w:top w:val="none" w:sz="0" w:space="0" w:color="auto"/>
        <w:left w:val="none" w:sz="0" w:space="0" w:color="auto"/>
        <w:bottom w:val="none" w:sz="0" w:space="0" w:color="auto"/>
        <w:right w:val="none" w:sz="0" w:space="0" w:color="auto"/>
      </w:divBdr>
    </w:div>
    <w:div w:id="460735018">
      <w:bodyDiv w:val="1"/>
      <w:marLeft w:val="0"/>
      <w:marRight w:val="0"/>
      <w:marTop w:val="0"/>
      <w:marBottom w:val="0"/>
      <w:divBdr>
        <w:top w:val="none" w:sz="0" w:space="0" w:color="auto"/>
        <w:left w:val="none" w:sz="0" w:space="0" w:color="auto"/>
        <w:bottom w:val="none" w:sz="0" w:space="0" w:color="auto"/>
        <w:right w:val="none" w:sz="0" w:space="0" w:color="auto"/>
      </w:divBdr>
    </w:div>
    <w:div w:id="470364058">
      <w:bodyDiv w:val="1"/>
      <w:marLeft w:val="0"/>
      <w:marRight w:val="0"/>
      <w:marTop w:val="0"/>
      <w:marBottom w:val="0"/>
      <w:divBdr>
        <w:top w:val="none" w:sz="0" w:space="0" w:color="auto"/>
        <w:left w:val="none" w:sz="0" w:space="0" w:color="auto"/>
        <w:bottom w:val="none" w:sz="0" w:space="0" w:color="auto"/>
        <w:right w:val="none" w:sz="0" w:space="0" w:color="auto"/>
      </w:divBdr>
    </w:div>
    <w:div w:id="488325725">
      <w:bodyDiv w:val="1"/>
      <w:marLeft w:val="0"/>
      <w:marRight w:val="0"/>
      <w:marTop w:val="0"/>
      <w:marBottom w:val="0"/>
      <w:divBdr>
        <w:top w:val="none" w:sz="0" w:space="0" w:color="auto"/>
        <w:left w:val="none" w:sz="0" w:space="0" w:color="auto"/>
        <w:bottom w:val="none" w:sz="0" w:space="0" w:color="auto"/>
        <w:right w:val="none" w:sz="0" w:space="0" w:color="auto"/>
      </w:divBdr>
    </w:div>
    <w:div w:id="494028531">
      <w:bodyDiv w:val="1"/>
      <w:marLeft w:val="0"/>
      <w:marRight w:val="0"/>
      <w:marTop w:val="0"/>
      <w:marBottom w:val="0"/>
      <w:divBdr>
        <w:top w:val="none" w:sz="0" w:space="0" w:color="auto"/>
        <w:left w:val="none" w:sz="0" w:space="0" w:color="auto"/>
        <w:bottom w:val="none" w:sz="0" w:space="0" w:color="auto"/>
        <w:right w:val="none" w:sz="0" w:space="0" w:color="auto"/>
      </w:divBdr>
    </w:div>
    <w:div w:id="507985303">
      <w:bodyDiv w:val="1"/>
      <w:marLeft w:val="0"/>
      <w:marRight w:val="0"/>
      <w:marTop w:val="0"/>
      <w:marBottom w:val="0"/>
      <w:divBdr>
        <w:top w:val="none" w:sz="0" w:space="0" w:color="auto"/>
        <w:left w:val="none" w:sz="0" w:space="0" w:color="auto"/>
        <w:bottom w:val="none" w:sz="0" w:space="0" w:color="auto"/>
        <w:right w:val="none" w:sz="0" w:space="0" w:color="auto"/>
      </w:divBdr>
    </w:div>
    <w:div w:id="524556490">
      <w:bodyDiv w:val="1"/>
      <w:marLeft w:val="0"/>
      <w:marRight w:val="0"/>
      <w:marTop w:val="0"/>
      <w:marBottom w:val="0"/>
      <w:divBdr>
        <w:top w:val="none" w:sz="0" w:space="0" w:color="auto"/>
        <w:left w:val="none" w:sz="0" w:space="0" w:color="auto"/>
        <w:bottom w:val="none" w:sz="0" w:space="0" w:color="auto"/>
        <w:right w:val="none" w:sz="0" w:space="0" w:color="auto"/>
      </w:divBdr>
    </w:div>
    <w:div w:id="537471522">
      <w:bodyDiv w:val="1"/>
      <w:marLeft w:val="0"/>
      <w:marRight w:val="0"/>
      <w:marTop w:val="0"/>
      <w:marBottom w:val="0"/>
      <w:divBdr>
        <w:top w:val="none" w:sz="0" w:space="0" w:color="auto"/>
        <w:left w:val="none" w:sz="0" w:space="0" w:color="auto"/>
        <w:bottom w:val="none" w:sz="0" w:space="0" w:color="auto"/>
        <w:right w:val="none" w:sz="0" w:space="0" w:color="auto"/>
      </w:divBdr>
    </w:div>
    <w:div w:id="546528279">
      <w:bodyDiv w:val="1"/>
      <w:marLeft w:val="0"/>
      <w:marRight w:val="0"/>
      <w:marTop w:val="0"/>
      <w:marBottom w:val="0"/>
      <w:divBdr>
        <w:top w:val="none" w:sz="0" w:space="0" w:color="auto"/>
        <w:left w:val="none" w:sz="0" w:space="0" w:color="auto"/>
        <w:bottom w:val="none" w:sz="0" w:space="0" w:color="auto"/>
        <w:right w:val="none" w:sz="0" w:space="0" w:color="auto"/>
      </w:divBdr>
    </w:div>
    <w:div w:id="561258686">
      <w:bodyDiv w:val="1"/>
      <w:marLeft w:val="0"/>
      <w:marRight w:val="0"/>
      <w:marTop w:val="0"/>
      <w:marBottom w:val="0"/>
      <w:divBdr>
        <w:top w:val="none" w:sz="0" w:space="0" w:color="auto"/>
        <w:left w:val="none" w:sz="0" w:space="0" w:color="auto"/>
        <w:bottom w:val="none" w:sz="0" w:space="0" w:color="auto"/>
        <w:right w:val="none" w:sz="0" w:space="0" w:color="auto"/>
      </w:divBdr>
    </w:div>
    <w:div w:id="567611038">
      <w:bodyDiv w:val="1"/>
      <w:marLeft w:val="0"/>
      <w:marRight w:val="0"/>
      <w:marTop w:val="0"/>
      <w:marBottom w:val="0"/>
      <w:divBdr>
        <w:top w:val="none" w:sz="0" w:space="0" w:color="auto"/>
        <w:left w:val="none" w:sz="0" w:space="0" w:color="auto"/>
        <w:bottom w:val="none" w:sz="0" w:space="0" w:color="auto"/>
        <w:right w:val="none" w:sz="0" w:space="0" w:color="auto"/>
      </w:divBdr>
    </w:div>
    <w:div w:id="568736159">
      <w:bodyDiv w:val="1"/>
      <w:marLeft w:val="0"/>
      <w:marRight w:val="0"/>
      <w:marTop w:val="0"/>
      <w:marBottom w:val="0"/>
      <w:divBdr>
        <w:top w:val="none" w:sz="0" w:space="0" w:color="auto"/>
        <w:left w:val="none" w:sz="0" w:space="0" w:color="auto"/>
        <w:bottom w:val="none" w:sz="0" w:space="0" w:color="auto"/>
        <w:right w:val="none" w:sz="0" w:space="0" w:color="auto"/>
      </w:divBdr>
    </w:div>
    <w:div w:id="572548679">
      <w:bodyDiv w:val="1"/>
      <w:marLeft w:val="0"/>
      <w:marRight w:val="0"/>
      <w:marTop w:val="0"/>
      <w:marBottom w:val="0"/>
      <w:divBdr>
        <w:top w:val="none" w:sz="0" w:space="0" w:color="auto"/>
        <w:left w:val="none" w:sz="0" w:space="0" w:color="auto"/>
        <w:bottom w:val="none" w:sz="0" w:space="0" w:color="auto"/>
        <w:right w:val="none" w:sz="0" w:space="0" w:color="auto"/>
      </w:divBdr>
    </w:div>
    <w:div w:id="572666578">
      <w:bodyDiv w:val="1"/>
      <w:marLeft w:val="0"/>
      <w:marRight w:val="0"/>
      <w:marTop w:val="0"/>
      <w:marBottom w:val="0"/>
      <w:divBdr>
        <w:top w:val="none" w:sz="0" w:space="0" w:color="auto"/>
        <w:left w:val="none" w:sz="0" w:space="0" w:color="auto"/>
        <w:bottom w:val="none" w:sz="0" w:space="0" w:color="auto"/>
        <w:right w:val="none" w:sz="0" w:space="0" w:color="auto"/>
      </w:divBdr>
    </w:div>
    <w:div w:id="573708928">
      <w:bodyDiv w:val="1"/>
      <w:marLeft w:val="0"/>
      <w:marRight w:val="0"/>
      <w:marTop w:val="0"/>
      <w:marBottom w:val="0"/>
      <w:divBdr>
        <w:top w:val="none" w:sz="0" w:space="0" w:color="auto"/>
        <w:left w:val="none" w:sz="0" w:space="0" w:color="auto"/>
        <w:bottom w:val="none" w:sz="0" w:space="0" w:color="auto"/>
        <w:right w:val="none" w:sz="0" w:space="0" w:color="auto"/>
      </w:divBdr>
    </w:div>
    <w:div w:id="588782165">
      <w:bodyDiv w:val="1"/>
      <w:marLeft w:val="0"/>
      <w:marRight w:val="0"/>
      <w:marTop w:val="0"/>
      <w:marBottom w:val="0"/>
      <w:divBdr>
        <w:top w:val="none" w:sz="0" w:space="0" w:color="auto"/>
        <w:left w:val="none" w:sz="0" w:space="0" w:color="auto"/>
        <w:bottom w:val="none" w:sz="0" w:space="0" w:color="auto"/>
        <w:right w:val="none" w:sz="0" w:space="0" w:color="auto"/>
      </w:divBdr>
    </w:div>
    <w:div w:id="590696505">
      <w:bodyDiv w:val="1"/>
      <w:marLeft w:val="0"/>
      <w:marRight w:val="0"/>
      <w:marTop w:val="0"/>
      <w:marBottom w:val="0"/>
      <w:divBdr>
        <w:top w:val="none" w:sz="0" w:space="0" w:color="auto"/>
        <w:left w:val="none" w:sz="0" w:space="0" w:color="auto"/>
        <w:bottom w:val="none" w:sz="0" w:space="0" w:color="auto"/>
        <w:right w:val="none" w:sz="0" w:space="0" w:color="auto"/>
      </w:divBdr>
    </w:div>
    <w:div w:id="591429578">
      <w:bodyDiv w:val="1"/>
      <w:marLeft w:val="0"/>
      <w:marRight w:val="0"/>
      <w:marTop w:val="0"/>
      <w:marBottom w:val="0"/>
      <w:divBdr>
        <w:top w:val="none" w:sz="0" w:space="0" w:color="auto"/>
        <w:left w:val="none" w:sz="0" w:space="0" w:color="auto"/>
        <w:bottom w:val="none" w:sz="0" w:space="0" w:color="auto"/>
        <w:right w:val="none" w:sz="0" w:space="0" w:color="auto"/>
      </w:divBdr>
    </w:div>
    <w:div w:id="599265179">
      <w:bodyDiv w:val="1"/>
      <w:marLeft w:val="0"/>
      <w:marRight w:val="0"/>
      <w:marTop w:val="0"/>
      <w:marBottom w:val="0"/>
      <w:divBdr>
        <w:top w:val="none" w:sz="0" w:space="0" w:color="auto"/>
        <w:left w:val="none" w:sz="0" w:space="0" w:color="auto"/>
        <w:bottom w:val="none" w:sz="0" w:space="0" w:color="auto"/>
        <w:right w:val="none" w:sz="0" w:space="0" w:color="auto"/>
      </w:divBdr>
    </w:div>
    <w:div w:id="602684052">
      <w:bodyDiv w:val="1"/>
      <w:marLeft w:val="0"/>
      <w:marRight w:val="0"/>
      <w:marTop w:val="0"/>
      <w:marBottom w:val="0"/>
      <w:divBdr>
        <w:top w:val="none" w:sz="0" w:space="0" w:color="auto"/>
        <w:left w:val="none" w:sz="0" w:space="0" w:color="auto"/>
        <w:bottom w:val="none" w:sz="0" w:space="0" w:color="auto"/>
        <w:right w:val="none" w:sz="0" w:space="0" w:color="auto"/>
      </w:divBdr>
    </w:div>
    <w:div w:id="613875982">
      <w:bodyDiv w:val="1"/>
      <w:marLeft w:val="0"/>
      <w:marRight w:val="0"/>
      <w:marTop w:val="0"/>
      <w:marBottom w:val="0"/>
      <w:divBdr>
        <w:top w:val="none" w:sz="0" w:space="0" w:color="auto"/>
        <w:left w:val="none" w:sz="0" w:space="0" w:color="auto"/>
        <w:bottom w:val="none" w:sz="0" w:space="0" w:color="auto"/>
        <w:right w:val="none" w:sz="0" w:space="0" w:color="auto"/>
      </w:divBdr>
    </w:div>
    <w:div w:id="618608936">
      <w:bodyDiv w:val="1"/>
      <w:marLeft w:val="0"/>
      <w:marRight w:val="0"/>
      <w:marTop w:val="0"/>
      <w:marBottom w:val="0"/>
      <w:divBdr>
        <w:top w:val="none" w:sz="0" w:space="0" w:color="auto"/>
        <w:left w:val="none" w:sz="0" w:space="0" w:color="auto"/>
        <w:bottom w:val="none" w:sz="0" w:space="0" w:color="auto"/>
        <w:right w:val="none" w:sz="0" w:space="0" w:color="auto"/>
      </w:divBdr>
    </w:div>
    <w:div w:id="620452291">
      <w:bodyDiv w:val="1"/>
      <w:marLeft w:val="0"/>
      <w:marRight w:val="0"/>
      <w:marTop w:val="0"/>
      <w:marBottom w:val="0"/>
      <w:divBdr>
        <w:top w:val="none" w:sz="0" w:space="0" w:color="auto"/>
        <w:left w:val="none" w:sz="0" w:space="0" w:color="auto"/>
        <w:bottom w:val="none" w:sz="0" w:space="0" w:color="auto"/>
        <w:right w:val="none" w:sz="0" w:space="0" w:color="auto"/>
      </w:divBdr>
    </w:div>
    <w:div w:id="625166098">
      <w:bodyDiv w:val="1"/>
      <w:marLeft w:val="0"/>
      <w:marRight w:val="0"/>
      <w:marTop w:val="0"/>
      <w:marBottom w:val="0"/>
      <w:divBdr>
        <w:top w:val="none" w:sz="0" w:space="0" w:color="auto"/>
        <w:left w:val="none" w:sz="0" w:space="0" w:color="auto"/>
        <w:bottom w:val="none" w:sz="0" w:space="0" w:color="auto"/>
        <w:right w:val="none" w:sz="0" w:space="0" w:color="auto"/>
      </w:divBdr>
    </w:div>
    <w:div w:id="626349540">
      <w:bodyDiv w:val="1"/>
      <w:marLeft w:val="0"/>
      <w:marRight w:val="0"/>
      <w:marTop w:val="0"/>
      <w:marBottom w:val="0"/>
      <w:divBdr>
        <w:top w:val="none" w:sz="0" w:space="0" w:color="auto"/>
        <w:left w:val="none" w:sz="0" w:space="0" w:color="auto"/>
        <w:bottom w:val="none" w:sz="0" w:space="0" w:color="auto"/>
        <w:right w:val="none" w:sz="0" w:space="0" w:color="auto"/>
      </w:divBdr>
    </w:div>
    <w:div w:id="647978004">
      <w:bodyDiv w:val="1"/>
      <w:marLeft w:val="0"/>
      <w:marRight w:val="0"/>
      <w:marTop w:val="0"/>
      <w:marBottom w:val="0"/>
      <w:divBdr>
        <w:top w:val="none" w:sz="0" w:space="0" w:color="auto"/>
        <w:left w:val="none" w:sz="0" w:space="0" w:color="auto"/>
        <w:bottom w:val="none" w:sz="0" w:space="0" w:color="auto"/>
        <w:right w:val="none" w:sz="0" w:space="0" w:color="auto"/>
      </w:divBdr>
    </w:div>
    <w:div w:id="661349644">
      <w:bodyDiv w:val="1"/>
      <w:marLeft w:val="0"/>
      <w:marRight w:val="0"/>
      <w:marTop w:val="0"/>
      <w:marBottom w:val="0"/>
      <w:divBdr>
        <w:top w:val="none" w:sz="0" w:space="0" w:color="auto"/>
        <w:left w:val="none" w:sz="0" w:space="0" w:color="auto"/>
        <w:bottom w:val="none" w:sz="0" w:space="0" w:color="auto"/>
        <w:right w:val="none" w:sz="0" w:space="0" w:color="auto"/>
      </w:divBdr>
    </w:div>
    <w:div w:id="661618298">
      <w:bodyDiv w:val="1"/>
      <w:marLeft w:val="0"/>
      <w:marRight w:val="0"/>
      <w:marTop w:val="0"/>
      <w:marBottom w:val="0"/>
      <w:divBdr>
        <w:top w:val="none" w:sz="0" w:space="0" w:color="auto"/>
        <w:left w:val="none" w:sz="0" w:space="0" w:color="auto"/>
        <w:bottom w:val="none" w:sz="0" w:space="0" w:color="auto"/>
        <w:right w:val="none" w:sz="0" w:space="0" w:color="auto"/>
      </w:divBdr>
    </w:div>
    <w:div w:id="662241282">
      <w:bodyDiv w:val="1"/>
      <w:marLeft w:val="0"/>
      <w:marRight w:val="0"/>
      <w:marTop w:val="0"/>
      <w:marBottom w:val="0"/>
      <w:divBdr>
        <w:top w:val="none" w:sz="0" w:space="0" w:color="auto"/>
        <w:left w:val="none" w:sz="0" w:space="0" w:color="auto"/>
        <w:bottom w:val="none" w:sz="0" w:space="0" w:color="auto"/>
        <w:right w:val="none" w:sz="0" w:space="0" w:color="auto"/>
      </w:divBdr>
    </w:div>
    <w:div w:id="662271063">
      <w:bodyDiv w:val="1"/>
      <w:marLeft w:val="0"/>
      <w:marRight w:val="0"/>
      <w:marTop w:val="0"/>
      <w:marBottom w:val="0"/>
      <w:divBdr>
        <w:top w:val="none" w:sz="0" w:space="0" w:color="auto"/>
        <w:left w:val="none" w:sz="0" w:space="0" w:color="auto"/>
        <w:bottom w:val="none" w:sz="0" w:space="0" w:color="auto"/>
        <w:right w:val="none" w:sz="0" w:space="0" w:color="auto"/>
      </w:divBdr>
    </w:div>
    <w:div w:id="665473998">
      <w:bodyDiv w:val="1"/>
      <w:marLeft w:val="0"/>
      <w:marRight w:val="0"/>
      <w:marTop w:val="0"/>
      <w:marBottom w:val="0"/>
      <w:divBdr>
        <w:top w:val="none" w:sz="0" w:space="0" w:color="auto"/>
        <w:left w:val="none" w:sz="0" w:space="0" w:color="auto"/>
        <w:bottom w:val="none" w:sz="0" w:space="0" w:color="auto"/>
        <w:right w:val="none" w:sz="0" w:space="0" w:color="auto"/>
      </w:divBdr>
    </w:div>
    <w:div w:id="668555623">
      <w:bodyDiv w:val="1"/>
      <w:marLeft w:val="0"/>
      <w:marRight w:val="0"/>
      <w:marTop w:val="0"/>
      <w:marBottom w:val="0"/>
      <w:divBdr>
        <w:top w:val="none" w:sz="0" w:space="0" w:color="auto"/>
        <w:left w:val="none" w:sz="0" w:space="0" w:color="auto"/>
        <w:bottom w:val="none" w:sz="0" w:space="0" w:color="auto"/>
        <w:right w:val="none" w:sz="0" w:space="0" w:color="auto"/>
      </w:divBdr>
    </w:div>
    <w:div w:id="673799052">
      <w:bodyDiv w:val="1"/>
      <w:marLeft w:val="0"/>
      <w:marRight w:val="0"/>
      <w:marTop w:val="0"/>
      <w:marBottom w:val="0"/>
      <w:divBdr>
        <w:top w:val="none" w:sz="0" w:space="0" w:color="auto"/>
        <w:left w:val="none" w:sz="0" w:space="0" w:color="auto"/>
        <w:bottom w:val="none" w:sz="0" w:space="0" w:color="auto"/>
        <w:right w:val="none" w:sz="0" w:space="0" w:color="auto"/>
      </w:divBdr>
    </w:div>
    <w:div w:id="694426017">
      <w:bodyDiv w:val="1"/>
      <w:marLeft w:val="0"/>
      <w:marRight w:val="0"/>
      <w:marTop w:val="0"/>
      <w:marBottom w:val="0"/>
      <w:divBdr>
        <w:top w:val="none" w:sz="0" w:space="0" w:color="auto"/>
        <w:left w:val="none" w:sz="0" w:space="0" w:color="auto"/>
        <w:bottom w:val="none" w:sz="0" w:space="0" w:color="auto"/>
        <w:right w:val="none" w:sz="0" w:space="0" w:color="auto"/>
      </w:divBdr>
    </w:div>
    <w:div w:id="709190288">
      <w:bodyDiv w:val="1"/>
      <w:marLeft w:val="0"/>
      <w:marRight w:val="0"/>
      <w:marTop w:val="0"/>
      <w:marBottom w:val="0"/>
      <w:divBdr>
        <w:top w:val="none" w:sz="0" w:space="0" w:color="auto"/>
        <w:left w:val="none" w:sz="0" w:space="0" w:color="auto"/>
        <w:bottom w:val="none" w:sz="0" w:space="0" w:color="auto"/>
        <w:right w:val="none" w:sz="0" w:space="0" w:color="auto"/>
      </w:divBdr>
    </w:div>
    <w:div w:id="710305037">
      <w:bodyDiv w:val="1"/>
      <w:marLeft w:val="0"/>
      <w:marRight w:val="0"/>
      <w:marTop w:val="0"/>
      <w:marBottom w:val="0"/>
      <w:divBdr>
        <w:top w:val="none" w:sz="0" w:space="0" w:color="auto"/>
        <w:left w:val="none" w:sz="0" w:space="0" w:color="auto"/>
        <w:bottom w:val="none" w:sz="0" w:space="0" w:color="auto"/>
        <w:right w:val="none" w:sz="0" w:space="0" w:color="auto"/>
      </w:divBdr>
    </w:div>
    <w:div w:id="716004709">
      <w:bodyDiv w:val="1"/>
      <w:marLeft w:val="0"/>
      <w:marRight w:val="0"/>
      <w:marTop w:val="0"/>
      <w:marBottom w:val="0"/>
      <w:divBdr>
        <w:top w:val="none" w:sz="0" w:space="0" w:color="auto"/>
        <w:left w:val="none" w:sz="0" w:space="0" w:color="auto"/>
        <w:bottom w:val="none" w:sz="0" w:space="0" w:color="auto"/>
        <w:right w:val="none" w:sz="0" w:space="0" w:color="auto"/>
      </w:divBdr>
    </w:div>
    <w:div w:id="717361717">
      <w:bodyDiv w:val="1"/>
      <w:marLeft w:val="0"/>
      <w:marRight w:val="0"/>
      <w:marTop w:val="0"/>
      <w:marBottom w:val="0"/>
      <w:divBdr>
        <w:top w:val="none" w:sz="0" w:space="0" w:color="auto"/>
        <w:left w:val="none" w:sz="0" w:space="0" w:color="auto"/>
        <w:bottom w:val="none" w:sz="0" w:space="0" w:color="auto"/>
        <w:right w:val="none" w:sz="0" w:space="0" w:color="auto"/>
      </w:divBdr>
    </w:div>
    <w:div w:id="725688611">
      <w:bodyDiv w:val="1"/>
      <w:marLeft w:val="0"/>
      <w:marRight w:val="0"/>
      <w:marTop w:val="0"/>
      <w:marBottom w:val="0"/>
      <w:divBdr>
        <w:top w:val="none" w:sz="0" w:space="0" w:color="auto"/>
        <w:left w:val="none" w:sz="0" w:space="0" w:color="auto"/>
        <w:bottom w:val="none" w:sz="0" w:space="0" w:color="auto"/>
        <w:right w:val="none" w:sz="0" w:space="0" w:color="auto"/>
      </w:divBdr>
    </w:div>
    <w:div w:id="728722926">
      <w:bodyDiv w:val="1"/>
      <w:marLeft w:val="0"/>
      <w:marRight w:val="0"/>
      <w:marTop w:val="0"/>
      <w:marBottom w:val="0"/>
      <w:divBdr>
        <w:top w:val="none" w:sz="0" w:space="0" w:color="auto"/>
        <w:left w:val="none" w:sz="0" w:space="0" w:color="auto"/>
        <w:bottom w:val="none" w:sz="0" w:space="0" w:color="auto"/>
        <w:right w:val="none" w:sz="0" w:space="0" w:color="auto"/>
      </w:divBdr>
    </w:div>
    <w:div w:id="740063780">
      <w:bodyDiv w:val="1"/>
      <w:marLeft w:val="0"/>
      <w:marRight w:val="0"/>
      <w:marTop w:val="0"/>
      <w:marBottom w:val="0"/>
      <w:divBdr>
        <w:top w:val="none" w:sz="0" w:space="0" w:color="auto"/>
        <w:left w:val="none" w:sz="0" w:space="0" w:color="auto"/>
        <w:bottom w:val="none" w:sz="0" w:space="0" w:color="auto"/>
        <w:right w:val="none" w:sz="0" w:space="0" w:color="auto"/>
      </w:divBdr>
    </w:div>
    <w:div w:id="744844308">
      <w:bodyDiv w:val="1"/>
      <w:marLeft w:val="0"/>
      <w:marRight w:val="0"/>
      <w:marTop w:val="0"/>
      <w:marBottom w:val="0"/>
      <w:divBdr>
        <w:top w:val="none" w:sz="0" w:space="0" w:color="auto"/>
        <w:left w:val="none" w:sz="0" w:space="0" w:color="auto"/>
        <w:bottom w:val="none" w:sz="0" w:space="0" w:color="auto"/>
        <w:right w:val="none" w:sz="0" w:space="0" w:color="auto"/>
      </w:divBdr>
    </w:div>
    <w:div w:id="752048910">
      <w:bodyDiv w:val="1"/>
      <w:marLeft w:val="0"/>
      <w:marRight w:val="0"/>
      <w:marTop w:val="0"/>
      <w:marBottom w:val="0"/>
      <w:divBdr>
        <w:top w:val="none" w:sz="0" w:space="0" w:color="auto"/>
        <w:left w:val="none" w:sz="0" w:space="0" w:color="auto"/>
        <w:bottom w:val="none" w:sz="0" w:space="0" w:color="auto"/>
        <w:right w:val="none" w:sz="0" w:space="0" w:color="auto"/>
      </w:divBdr>
    </w:div>
    <w:div w:id="759107193">
      <w:bodyDiv w:val="1"/>
      <w:marLeft w:val="0"/>
      <w:marRight w:val="0"/>
      <w:marTop w:val="0"/>
      <w:marBottom w:val="0"/>
      <w:divBdr>
        <w:top w:val="none" w:sz="0" w:space="0" w:color="auto"/>
        <w:left w:val="none" w:sz="0" w:space="0" w:color="auto"/>
        <w:bottom w:val="none" w:sz="0" w:space="0" w:color="auto"/>
        <w:right w:val="none" w:sz="0" w:space="0" w:color="auto"/>
      </w:divBdr>
    </w:div>
    <w:div w:id="761954008">
      <w:bodyDiv w:val="1"/>
      <w:marLeft w:val="0"/>
      <w:marRight w:val="0"/>
      <w:marTop w:val="0"/>
      <w:marBottom w:val="0"/>
      <w:divBdr>
        <w:top w:val="none" w:sz="0" w:space="0" w:color="auto"/>
        <w:left w:val="none" w:sz="0" w:space="0" w:color="auto"/>
        <w:bottom w:val="none" w:sz="0" w:space="0" w:color="auto"/>
        <w:right w:val="none" w:sz="0" w:space="0" w:color="auto"/>
      </w:divBdr>
    </w:div>
    <w:div w:id="775557427">
      <w:bodyDiv w:val="1"/>
      <w:marLeft w:val="0"/>
      <w:marRight w:val="0"/>
      <w:marTop w:val="0"/>
      <w:marBottom w:val="0"/>
      <w:divBdr>
        <w:top w:val="none" w:sz="0" w:space="0" w:color="auto"/>
        <w:left w:val="none" w:sz="0" w:space="0" w:color="auto"/>
        <w:bottom w:val="none" w:sz="0" w:space="0" w:color="auto"/>
        <w:right w:val="none" w:sz="0" w:space="0" w:color="auto"/>
      </w:divBdr>
    </w:div>
    <w:div w:id="787550431">
      <w:bodyDiv w:val="1"/>
      <w:marLeft w:val="0"/>
      <w:marRight w:val="0"/>
      <w:marTop w:val="0"/>
      <w:marBottom w:val="0"/>
      <w:divBdr>
        <w:top w:val="none" w:sz="0" w:space="0" w:color="auto"/>
        <w:left w:val="none" w:sz="0" w:space="0" w:color="auto"/>
        <w:bottom w:val="none" w:sz="0" w:space="0" w:color="auto"/>
        <w:right w:val="none" w:sz="0" w:space="0" w:color="auto"/>
      </w:divBdr>
    </w:div>
    <w:div w:id="788429042">
      <w:bodyDiv w:val="1"/>
      <w:marLeft w:val="0"/>
      <w:marRight w:val="0"/>
      <w:marTop w:val="0"/>
      <w:marBottom w:val="0"/>
      <w:divBdr>
        <w:top w:val="none" w:sz="0" w:space="0" w:color="auto"/>
        <w:left w:val="none" w:sz="0" w:space="0" w:color="auto"/>
        <w:bottom w:val="none" w:sz="0" w:space="0" w:color="auto"/>
        <w:right w:val="none" w:sz="0" w:space="0" w:color="auto"/>
      </w:divBdr>
    </w:div>
    <w:div w:id="802845772">
      <w:bodyDiv w:val="1"/>
      <w:marLeft w:val="0"/>
      <w:marRight w:val="0"/>
      <w:marTop w:val="0"/>
      <w:marBottom w:val="0"/>
      <w:divBdr>
        <w:top w:val="none" w:sz="0" w:space="0" w:color="auto"/>
        <w:left w:val="none" w:sz="0" w:space="0" w:color="auto"/>
        <w:bottom w:val="none" w:sz="0" w:space="0" w:color="auto"/>
        <w:right w:val="none" w:sz="0" w:space="0" w:color="auto"/>
      </w:divBdr>
    </w:div>
    <w:div w:id="809515067">
      <w:bodyDiv w:val="1"/>
      <w:marLeft w:val="0"/>
      <w:marRight w:val="0"/>
      <w:marTop w:val="0"/>
      <w:marBottom w:val="0"/>
      <w:divBdr>
        <w:top w:val="none" w:sz="0" w:space="0" w:color="auto"/>
        <w:left w:val="none" w:sz="0" w:space="0" w:color="auto"/>
        <w:bottom w:val="none" w:sz="0" w:space="0" w:color="auto"/>
        <w:right w:val="none" w:sz="0" w:space="0" w:color="auto"/>
      </w:divBdr>
    </w:div>
    <w:div w:id="809590874">
      <w:bodyDiv w:val="1"/>
      <w:marLeft w:val="0"/>
      <w:marRight w:val="0"/>
      <w:marTop w:val="0"/>
      <w:marBottom w:val="0"/>
      <w:divBdr>
        <w:top w:val="none" w:sz="0" w:space="0" w:color="auto"/>
        <w:left w:val="none" w:sz="0" w:space="0" w:color="auto"/>
        <w:bottom w:val="none" w:sz="0" w:space="0" w:color="auto"/>
        <w:right w:val="none" w:sz="0" w:space="0" w:color="auto"/>
      </w:divBdr>
    </w:div>
    <w:div w:id="827134784">
      <w:bodyDiv w:val="1"/>
      <w:marLeft w:val="0"/>
      <w:marRight w:val="0"/>
      <w:marTop w:val="0"/>
      <w:marBottom w:val="0"/>
      <w:divBdr>
        <w:top w:val="none" w:sz="0" w:space="0" w:color="auto"/>
        <w:left w:val="none" w:sz="0" w:space="0" w:color="auto"/>
        <w:bottom w:val="none" w:sz="0" w:space="0" w:color="auto"/>
        <w:right w:val="none" w:sz="0" w:space="0" w:color="auto"/>
      </w:divBdr>
    </w:div>
    <w:div w:id="843084658">
      <w:bodyDiv w:val="1"/>
      <w:marLeft w:val="0"/>
      <w:marRight w:val="0"/>
      <w:marTop w:val="0"/>
      <w:marBottom w:val="0"/>
      <w:divBdr>
        <w:top w:val="none" w:sz="0" w:space="0" w:color="auto"/>
        <w:left w:val="none" w:sz="0" w:space="0" w:color="auto"/>
        <w:bottom w:val="none" w:sz="0" w:space="0" w:color="auto"/>
        <w:right w:val="none" w:sz="0" w:space="0" w:color="auto"/>
      </w:divBdr>
    </w:div>
    <w:div w:id="869681017">
      <w:bodyDiv w:val="1"/>
      <w:marLeft w:val="0"/>
      <w:marRight w:val="0"/>
      <w:marTop w:val="0"/>
      <w:marBottom w:val="0"/>
      <w:divBdr>
        <w:top w:val="none" w:sz="0" w:space="0" w:color="auto"/>
        <w:left w:val="none" w:sz="0" w:space="0" w:color="auto"/>
        <w:bottom w:val="none" w:sz="0" w:space="0" w:color="auto"/>
        <w:right w:val="none" w:sz="0" w:space="0" w:color="auto"/>
      </w:divBdr>
    </w:div>
    <w:div w:id="871966371">
      <w:bodyDiv w:val="1"/>
      <w:marLeft w:val="0"/>
      <w:marRight w:val="0"/>
      <w:marTop w:val="0"/>
      <w:marBottom w:val="0"/>
      <w:divBdr>
        <w:top w:val="none" w:sz="0" w:space="0" w:color="auto"/>
        <w:left w:val="none" w:sz="0" w:space="0" w:color="auto"/>
        <w:bottom w:val="none" w:sz="0" w:space="0" w:color="auto"/>
        <w:right w:val="none" w:sz="0" w:space="0" w:color="auto"/>
      </w:divBdr>
    </w:div>
    <w:div w:id="878401382">
      <w:bodyDiv w:val="1"/>
      <w:marLeft w:val="0"/>
      <w:marRight w:val="0"/>
      <w:marTop w:val="0"/>
      <w:marBottom w:val="0"/>
      <w:divBdr>
        <w:top w:val="none" w:sz="0" w:space="0" w:color="auto"/>
        <w:left w:val="none" w:sz="0" w:space="0" w:color="auto"/>
        <w:bottom w:val="none" w:sz="0" w:space="0" w:color="auto"/>
        <w:right w:val="none" w:sz="0" w:space="0" w:color="auto"/>
      </w:divBdr>
    </w:div>
    <w:div w:id="880821725">
      <w:bodyDiv w:val="1"/>
      <w:marLeft w:val="0"/>
      <w:marRight w:val="0"/>
      <w:marTop w:val="0"/>
      <w:marBottom w:val="0"/>
      <w:divBdr>
        <w:top w:val="none" w:sz="0" w:space="0" w:color="auto"/>
        <w:left w:val="none" w:sz="0" w:space="0" w:color="auto"/>
        <w:bottom w:val="none" w:sz="0" w:space="0" w:color="auto"/>
        <w:right w:val="none" w:sz="0" w:space="0" w:color="auto"/>
      </w:divBdr>
    </w:div>
    <w:div w:id="891890894">
      <w:bodyDiv w:val="1"/>
      <w:marLeft w:val="0"/>
      <w:marRight w:val="0"/>
      <w:marTop w:val="0"/>
      <w:marBottom w:val="0"/>
      <w:divBdr>
        <w:top w:val="none" w:sz="0" w:space="0" w:color="auto"/>
        <w:left w:val="none" w:sz="0" w:space="0" w:color="auto"/>
        <w:bottom w:val="none" w:sz="0" w:space="0" w:color="auto"/>
        <w:right w:val="none" w:sz="0" w:space="0" w:color="auto"/>
      </w:divBdr>
    </w:div>
    <w:div w:id="893350774">
      <w:bodyDiv w:val="1"/>
      <w:marLeft w:val="0"/>
      <w:marRight w:val="0"/>
      <w:marTop w:val="0"/>
      <w:marBottom w:val="0"/>
      <w:divBdr>
        <w:top w:val="none" w:sz="0" w:space="0" w:color="auto"/>
        <w:left w:val="none" w:sz="0" w:space="0" w:color="auto"/>
        <w:bottom w:val="none" w:sz="0" w:space="0" w:color="auto"/>
        <w:right w:val="none" w:sz="0" w:space="0" w:color="auto"/>
      </w:divBdr>
    </w:div>
    <w:div w:id="894702066">
      <w:bodyDiv w:val="1"/>
      <w:marLeft w:val="0"/>
      <w:marRight w:val="0"/>
      <w:marTop w:val="0"/>
      <w:marBottom w:val="0"/>
      <w:divBdr>
        <w:top w:val="none" w:sz="0" w:space="0" w:color="auto"/>
        <w:left w:val="none" w:sz="0" w:space="0" w:color="auto"/>
        <w:bottom w:val="none" w:sz="0" w:space="0" w:color="auto"/>
        <w:right w:val="none" w:sz="0" w:space="0" w:color="auto"/>
      </w:divBdr>
    </w:div>
    <w:div w:id="916937118">
      <w:bodyDiv w:val="1"/>
      <w:marLeft w:val="0"/>
      <w:marRight w:val="0"/>
      <w:marTop w:val="0"/>
      <w:marBottom w:val="0"/>
      <w:divBdr>
        <w:top w:val="none" w:sz="0" w:space="0" w:color="auto"/>
        <w:left w:val="none" w:sz="0" w:space="0" w:color="auto"/>
        <w:bottom w:val="none" w:sz="0" w:space="0" w:color="auto"/>
        <w:right w:val="none" w:sz="0" w:space="0" w:color="auto"/>
      </w:divBdr>
    </w:div>
    <w:div w:id="919483578">
      <w:bodyDiv w:val="1"/>
      <w:marLeft w:val="0"/>
      <w:marRight w:val="0"/>
      <w:marTop w:val="0"/>
      <w:marBottom w:val="0"/>
      <w:divBdr>
        <w:top w:val="none" w:sz="0" w:space="0" w:color="auto"/>
        <w:left w:val="none" w:sz="0" w:space="0" w:color="auto"/>
        <w:bottom w:val="none" w:sz="0" w:space="0" w:color="auto"/>
        <w:right w:val="none" w:sz="0" w:space="0" w:color="auto"/>
      </w:divBdr>
    </w:div>
    <w:div w:id="924613772">
      <w:bodyDiv w:val="1"/>
      <w:marLeft w:val="0"/>
      <w:marRight w:val="0"/>
      <w:marTop w:val="0"/>
      <w:marBottom w:val="0"/>
      <w:divBdr>
        <w:top w:val="none" w:sz="0" w:space="0" w:color="auto"/>
        <w:left w:val="none" w:sz="0" w:space="0" w:color="auto"/>
        <w:bottom w:val="none" w:sz="0" w:space="0" w:color="auto"/>
        <w:right w:val="none" w:sz="0" w:space="0" w:color="auto"/>
      </w:divBdr>
    </w:div>
    <w:div w:id="924803378">
      <w:bodyDiv w:val="1"/>
      <w:marLeft w:val="0"/>
      <w:marRight w:val="0"/>
      <w:marTop w:val="0"/>
      <w:marBottom w:val="0"/>
      <w:divBdr>
        <w:top w:val="none" w:sz="0" w:space="0" w:color="auto"/>
        <w:left w:val="none" w:sz="0" w:space="0" w:color="auto"/>
        <w:bottom w:val="none" w:sz="0" w:space="0" w:color="auto"/>
        <w:right w:val="none" w:sz="0" w:space="0" w:color="auto"/>
      </w:divBdr>
    </w:div>
    <w:div w:id="926111276">
      <w:bodyDiv w:val="1"/>
      <w:marLeft w:val="0"/>
      <w:marRight w:val="0"/>
      <w:marTop w:val="0"/>
      <w:marBottom w:val="0"/>
      <w:divBdr>
        <w:top w:val="none" w:sz="0" w:space="0" w:color="auto"/>
        <w:left w:val="none" w:sz="0" w:space="0" w:color="auto"/>
        <w:bottom w:val="none" w:sz="0" w:space="0" w:color="auto"/>
        <w:right w:val="none" w:sz="0" w:space="0" w:color="auto"/>
      </w:divBdr>
    </w:div>
    <w:div w:id="932396371">
      <w:bodyDiv w:val="1"/>
      <w:marLeft w:val="0"/>
      <w:marRight w:val="0"/>
      <w:marTop w:val="0"/>
      <w:marBottom w:val="0"/>
      <w:divBdr>
        <w:top w:val="none" w:sz="0" w:space="0" w:color="auto"/>
        <w:left w:val="none" w:sz="0" w:space="0" w:color="auto"/>
        <w:bottom w:val="none" w:sz="0" w:space="0" w:color="auto"/>
        <w:right w:val="none" w:sz="0" w:space="0" w:color="auto"/>
      </w:divBdr>
    </w:div>
    <w:div w:id="945624140">
      <w:marLeft w:val="0"/>
      <w:marRight w:val="0"/>
      <w:marTop w:val="0"/>
      <w:marBottom w:val="0"/>
      <w:divBdr>
        <w:top w:val="none" w:sz="0" w:space="0" w:color="auto"/>
        <w:left w:val="none" w:sz="0" w:space="0" w:color="auto"/>
        <w:bottom w:val="none" w:sz="0" w:space="0" w:color="auto"/>
        <w:right w:val="none" w:sz="0" w:space="0" w:color="auto"/>
      </w:divBdr>
    </w:div>
    <w:div w:id="945624141">
      <w:marLeft w:val="0"/>
      <w:marRight w:val="0"/>
      <w:marTop w:val="0"/>
      <w:marBottom w:val="0"/>
      <w:divBdr>
        <w:top w:val="none" w:sz="0" w:space="0" w:color="auto"/>
        <w:left w:val="none" w:sz="0" w:space="0" w:color="auto"/>
        <w:bottom w:val="none" w:sz="0" w:space="0" w:color="auto"/>
        <w:right w:val="none" w:sz="0" w:space="0" w:color="auto"/>
      </w:divBdr>
    </w:div>
    <w:div w:id="945624142">
      <w:marLeft w:val="0"/>
      <w:marRight w:val="0"/>
      <w:marTop w:val="0"/>
      <w:marBottom w:val="0"/>
      <w:divBdr>
        <w:top w:val="none" w:sz="0" w:space="0" w:color="auto"/>
        <w:left w:val="none" w:sz="0" w:space="0" w:color="auto"/>
        <w:bottom w:val="none" w:sz="0" w:space="0" w:color="auto"/>
        <w:right w:val="none" w:sz="0" w:space="0" w:color="auto"/>
      </w:divBdr>
    </w:div>
    <w:div w:id="945624143">
      <w:marLeft w:val="0"/>
      <w:marRight w:val="0"/>
      <w:marTop w:val="0"/>
      <w:marBottom w:val="0"/>
      <w:divBdr>
        <w:top w:val="none" w:sz="0" w:space="0" w:color="auto"/>
        <w:left w:val="none" w:sz="0" w:space="0" w:color="auto"/>
        <w:bottom w:val="none" w:sz="0" w:space="0" w:color="auto"/>
        <w:right w:val="none" w:sz="0" w:space="0" w:color="auto"/>
      </w:divBdr>
    </w:div>
    <w:div w:id="945624144">
      <w:marLeft w:val="0"/>
      <w:marRight w:val="0"/>
      <w:marTop w:val="0"/>
      <w:marBottom w:val="0"/>
      <w:divBdr>
        <w:top w:val="none" w:sz="0" w:space="0" w:color="auto"/>
        <w:left w:val="none" w:sz="0" w:space="0" w:color="auto"/>
        <w:bottom w:val="none" w:sz="0" w:space="0" w:color="auto"/>
        <w:right w:val="none" w:sz="0" w:space="0" w:color="auto"/>
      </w:divBdr>
    </w:div>
    <w:div w:id="945624145">
      <w:marLeft w:val="0"/>
      <w:marRight w:val="0"/>
      <w:marTop w:val="0"/>
      <w:marBottom w:val="0"/>
      <w:divBdr>
        <w:top w:val="none" w:sz="0" w:space="0" w:color="auto"/>
        <w:left w:val="none" w:sz="0" w:space="0" w:color="auto"/>
        <w:bottom w:val="none" w:sz="0" w:space="0" w:color="auto"/>
        <w:right w:val="none" w:sz="0" w:space="0" w:color="auto"/>
      </w:divBdr>
    </w:div>
    <w:div w:id="945624146">
      <w:marLeft w:val="0"/>
      <w:marRight w:val="0"/>
      <w:marTop w:val="0"/>
      <w:marBottom w:val="0"/>
      <w:divBdr>
        <w:top w:val="none" w:sz="0" w:space="0" w:color="auto"/>
        <w:left w:val="none" w:sz="0" w:space="0" w:color="auto"/>
        <w:bottom w:val="none" w:sz="0" w:space="0" w:color="auto"/>
        <w:right w:val="none" w:sz="0" w:space="0" w:color="auto"/>
      </w:divBdr>
    </w:div>
    <w:div w:id="945624148">
      <w:marLeft w:val="0"/>
      <w:marRight w:val="0"/>
      <w:marTop w:val="0"/>
      <w:marBottom w:val="0"/>
      <w:divBdr>
        <w:top w:val="none" w:sz="0" w:space="0" w:color="auto"/>
        <w:left w:val="none" w:sz="0" w:space="0" w:color="auto"/>
        <w:bottom w:val="none" w:sz="0" w:space="0" w:color="auto"/>
        <w:right w:val="none" w:sz="0" w:space="0" w:color="auto"/>
      </w:divBdr>
    </w:div>
    <w:div w:id="945624149">
      <w:marLeft w:val="0"/>
      <w:marRight w:val="0"/>
      <w:marTop w:val="0"/>
      <w:marBottom w:val="0"/>
      <w:divBdr>
        <w:top w:val="none" w:sz="0" w:space="0" w:color="auto"/>
        <w:left w:val="none" w:sz="0" w:space="0" w:color="auto"/>
        <w:bottom w:val="none" w:sz="0" w:space="0" w:color="auto"/>
        <w:right w:val="none" w:sz="0" w:space="0" w:color="auto"/>
      </w:divBdr>
    </w:div>
    <w:div w:id="945624150">
      <w:marLeft w:val="0"/>
      <w:marRight w:val="0"/>
      <w:marTop w:val="0"/>
      <w:marBottom w:val="0"/>
      <w:divBdr>
        <w:top w:val="none" w:sz="0" w:space="0" w:color="auto"/>
        <w:left w:val="none" w:sz="0" w:space="0" w:color="auto"/>
        <w:bottom w:val="none" w:sz="0" w:space="0" w:color="auto"/>
        <w:right w:val="none" w:sz="0" w:space="0" w:color="auto"/>
      </w:divBdr>
      <w:divsChild>
        <w:div w:id="945624152">
          <w:marLeft w:val="0"/>
          <w:marRight w:val="0"/>
          <w:marTop w:val="0"/>
          <w:marBottom w:val="0"/>
          <w:divBdr>
            <w:top w:val="none" w:sz="0" w:space="0" w:color="auto"/>
            <w:left w:val="none" w:sz="0" w:space="0" w:color="auto"/>
            <w:bottom w:val="none" w:sz="0" w:space="0" w:color="auto"/>
            <w:right w:val="none" w:sz="0" w:space="0" w:color="auto"/>
          </w:divBdr>
          <w:divsChild>
            <w:div w:id="945624289">
              <w:marLeft w:val="0"/>
              <w:marRight w:val="0"/>
              <w:marTop w:val="0"/>
              <w:marBottom w:val="0"/>
              <w:divBdr>
                <w:top w:val="none" w:sz="0" w:space="0" w:color="auto"/>
                <w:left w:val="none" w:sz="0" w:space="0" w:color="auto"/>
                <w:bottom w:val="none" w:sz="0" w:space="0" w:color="auto"/>
                <w:right w:val="none" w:sz="0" w:space="0" w:color="auto"/>
              </w:divBdr>
              <w:divsChild>
                <w:div w:id="945624308">
                  <w:marLeft w:val="0"/>
                  <w:marRight w:val="0"/>
                  <w:marTop w:val="0"/>
                  <w:marBottom w:val="0"/>
                  <w:divBdr>
                    <w:top w:val="none" w:sz="0" w:space="0" w:color="auto"/>
                    <w:left w:val="none" w:sz="0" w:space="0" w:color="auto"/>
                    <w:bottom w:val="none" w:sz="0" w:space="0" w:color="auto"/>
                    <w:right w:val="none" w:sz="0" w:space="0" w:color="auto"/>
                  </w:divBdr>
                  <w:divsChild>
                    <w:div w:id="945624291">
                      <w:marLeft w:val="0"/>
                      <w:marRight w:val="0"/>
                      <w:marTop w:val="0"/>
                      <w:marBottom w:val="0"/>
                      <w:divBdr>
                        <w:top w:val="none" w:sz="0" w:space="0" w:color="auto"/>
                        <w:left w:val="none" w:sz="0" w:space="0" w:color="auto"/>
                        <w:bottom w:val="none" w:sz="0" w:space="0" w:color="auto"/>
                        <w:right w:val="none" w:sz="0" w:space="0" w:color="auto"/>
                      </w:divBdr>
                      <w:divsChild>
                        <w:div w:id="945624147">
                          <w:marLeft w:val="0"/>
                          <w:marRight w:val="0"/>
                          <w:marTop w:val="0"/>
                          <w:marBottom w:val="0"/>
                          <w:divBdr>
                            <w:top w:val="none" w:sz="0" w:space="0" w:color="auto"/>
                            <w:left w:val="none" w:sz="0" w:space="0" w:color="auto"/>
                            <w:bottom w:val="none" w:sz="0" w:space="0" w:color="auto"/>
                            <w:right w:val="none" w:sz="0" w:space="0" w:color="auto"/>
                          </w:divBdr>
                          <w:divsChild>
                            <w:div w:id="94562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5624151">
      <w:marLeft w:val="0"/>
      <w:marRight w:val="0"/>
      <w:marTop w:val="0"/>
      <w:marBottom w:val="0"/>
      <w:divBdr>
        <w:top w:val="none" w:sz="0" w:space="0" w:color="auto"/>
        <w:left w:val="none" w:sz="0" w:space="0" w:color="auto"/>
        <w:bottom w:val="none" w:sz="0" w:space="0" w:color="auto"/>
        <w:right w:val="none" w:sz="0" w:space="0" w:color="auto"/>
      </w:divBdr>
    </w:div>
    <w:div w:id="945624153">
      <w:marLeft w:val="0"/>
      <w:marRight w:val="0"/>
      <w:marTop w:val="0"/>
      <w:marBottom w:val="0"/>
      <w:divBdr>
        <w:top w:val="none" w:sz="0" w:space="0" w:color="auto"/>
        <w:left w:val="none" w:sz="0" w:space="0" w:color="auto"/>
        <w:bottom w:val="none" w:sz="0" w:space="0" w:color="auto"/>
        <w:right w:val="none" w:sz="0" w:space="0" w:color="auto"/>
      </w:divBdr>
    </w:div>
    <w:div w:id="945624154">
      <w:marLeft w:val="0"/>
      <w:marRight w:val="0"/>
      <w:marTop w:val="0"/>
      <w:marBottom w:val="0"/>
      <w:divBdr>
        <w:top w:val="none" w:sz="0" w:space="0" w:color="auto"/>
        <w:left w:val="none" w:sz="0" w:space="0" w:color="auto"/>
        <w:bottom w:val="none" w:sz="0" w:space="0" w:color="auto"/>
        <w:right w:val="none" w:sz="0" w:space="0" w:color="auto"/>
      </w:divBdr>
    </w:div>
    <w:div w:id="945624155">
      <w:marLeft w:val="0"/>
      <w:marRight w:val="0"/>
      <w:marTop w:val="0"/>
      <w:marBottom w:val="0"/>
      <w:divBdr>
        <w:top w:val="none" w:sz="0" w:space="0" w:color="auto"/>
        <w:left w:val="none" w:sz="0" w:space="0" w:color="auto"/>
        <w:bottom w:val="none" w:sz="0" w:space="0" w:color="auto"/>
        <w:right w:val="none" w:sz="0" w:space="0" w:color="auto"/>
      </w:divBdr>
    </w:div>
    <w:div w:id="945624156">
      <w:marLeft w:val="0"/>
      <w:marRight w:val="0"/>
      <w:marTop w:val="0"/>
      <w:marBottom w:val="0"/>
      <w:divBdr>
        <w:top w:val="none" w:sz="0" w:space="0" w:color="auto"/>
        <w:left w:val="none" w:sz="0" w:space="0" w:color="auto"/>
        <w:bottom w:val="none" w:sz="0" w:space="0" w:color="auto"/>
        <w:right w:val="none" w:sz="0" w:space="0" w:color="auto"/>
      </w:divBdr>
    </w:div>
    <w:div w:id="945624157">
      <w:marLeft w:val="0"/>
      <w:marRight w:val="0"/>
      <w:marTop w:val="0"/>
      <w:marBottom w:val="0"/>
      <w:divBdr>
        <w:top w:val="none" w:sz="0" w:space="0" w:color="auto"/>
        <w:left w:val="none" w:sz="0" w:space="0" w:color="auto"/>
        <w:bottom w:val="none" w:sz="0" w:space="0" w:color="auto"/>
        <w:right w:val="none" w:sz="0" w:space="0" w:color="auto"/>
      </w:divBdr>
    </w:div>
    <w:div w:id="945624158">
      <w:marLeft w:val="0"/>
      <w:marRight w:val="0"/>
      <w:marTop w:val="0"/>
      <w:marBottom w:val="0"/>
      <w:divBdr>
        <w:top w:val="none" w:sz="0" w:space="0" w:color="auto"/>
        <w:left w:val="none" w:sz="0" w:space="0" w:color="auto"/>
        <w:bottom w:val="none" w:sz="0" w:space="0" w:color="auto"/>
        <w:right w:val="none" w:sz="0" w:space="0" w:color="auto"/>
      </w:divBdr>
    </w:div>
    <w:div w:id="945624159">
      <w:marLeft w:val="0"/>
      <w:marRight w:val="0"/>
      <w:marTop w:val="0"/>
      <w:marBottom w:val="0"/>
      <w:divBdr>
        <w:top w:val="none" w:sz="0" w:space="0" w:color="auto"/>
        <w:left w:val="none" w:sz="0" w:space="0" w:color="auto"/>
        <w:bottom w:val="none" w:sz="0" w:space="0" w:color="auto"/>
        <w:right w:val="none" w:sz="0" w:space="0" w:color="auto"/>
      </w:divBdr>
    </w:div>
    <w:div w:id="945624160">
      <w:marLeft w:val="0"/>
      <w:marRight w:val="0"/>
      <w:marTop w:val="0"/>
      <w:marBottom w:val="0"/>
      <w:divBdr>
        <w:top w:val="none" w:sz="0" w:space="0" w:color="auto"/>
        <w:left w:val="none" w:sz="0" w:space="0" w:color="auto"/>
        <w:bottom w:val="none" w:sz="0" w:space="0" w:color="auto"/>
        <w:right w:val="none" w:sz="0" w:space="0" w:color="auto"/>
      </w:divBdr>
    </w:div>
    <w:div w:id="945624161">
      <w:marLeft w:val="0"/>
      <w:marRight w:val="0"/>
      <w:marTop w:val="0"/>
      <w:marBottom w:val="0"/>
      <w:divBdr>
        <w:top w:val="none" w:sz="0" w:space="0" w:color="auto"/>
        <w:left w:val="none" w:sz="0" w:space="0" w:color="auto"/>
        <w:bottom w:val="none" w:sz="0" w:space="0" w:color="auto"/>
        <w:right w:val="none" w:sz="0" w:space="0" w:color="auto"/>
      </w:divBdr>
    </w:div>
    <w:div w:id="945624162">
      <w:marLeft w:val="0"/>
      <w:marRight w:val="0"/>
      <w:marTop w:val="0"/>
      <w:marBottom w:val="0"/>
      <w:divBdr>
        <w:top w:val="none" w:sz="0" w:space="0" w:color="auto"/>
        <w:left w:val="none" w:sz="0" w:space="0" w:color="auto"/>
        <w:bottom w:val="none" w:sz="0" w:space="0" w:color="auto"/>
        <w:right w:val="none" w:sz="0" w:space="0" w:color="auto"/>
      </w:divBdr>
    </w:div>
    <w:div w:id="945624163">
      <w:marLeft w:val="0"/>
      <w:marRight w:val="0"/>
      <w:marTop w:val="0"/>
      <w:marBottom w:val="0"/>
      <w:divBdr>
        <w:top w:val="none" w:sz="0" w:space="0" w:color="auto"/>
        <w:left w:val="none" w:sz="0" w:space="0" w:color="auto"/>
        <w:bottom w:val="none" w:sz="0" w:space="0" w:color="auto"/>
        <w:right w:val="none" w:sz="0" w:space="0" w:color="auto"/>
      </w:divBdr>
    </w:div>
    <w:div w:id="945624164">
      <w:marLeft w:val="0"/>
      <w:marRight w:val="0"/>
      <w:marTop w:val="0"/>
      <w:marBottom w:val="0"/>
      <w:divBdr>
        <w:top w:val="none" w:sz="0" w:space="0" w:color="auto"/>
        <w:left w:val="none" w:sz="0" w:space="0" w:color="auto"/>
        <w:bottom w:val="none" w:sz="0" w:space="0" w:color="auto"/>
        <w:right w:val="none" w:sz="0" w:space="0" w:color="auto"/>
      </w:divBdr>
    </w:div>
    <w:div w:id="945624166">
      <w:marLeft w:val="0"/>
      <w:marRight w:val="0"/>
      <w:marTop w:val="0"/>
      <w:marBottom w:val="0"/>
      <w:divBdr>
        <w:top w:val="none" w:sz="0" w:space="0" w:color="auto"/>
        <w:left w:val="none" w:sz="0" w:space="0" w:color="auto"/>
        <w:bottom w:val="none" w:sz="0" w:space="0" w:color="auto"/>
        <w:right w:val="none" w:sz="0" w:space="0" w:color="auto"/>
      </w:divBdr>
    </w:div>
    <w:div w:id="945624167">
      <w:marLeft w:val="0"/>
      <w:marRight w:val="0"/>
      <w:marTop w:val="0"/>
      <w:marBottom w:val="0"/>
      <w:divBdr>
        <w:top w:val="none" w:sz="0" w:space="0" w:color="auto"/>
        <w:left w:val="none" w:sz="0" w:space="0" w:color="auto"/>
        <w:bottom w:val="none" w:sz="0" w:space="0" w:color="auto"/>
        <w:right w:val="none" w:sz="0" w:space="0" w:color="auto"/>
      </w:divBdr>
    </w:div>
    <w:div w:id="945624168">
      <w:marLeft w:val="0"/>
      <w:marRight w:val="0"/>
      <w:marTop w:val="0"/>
      <w:marBottom w:val="0"/>
      <w:divBdr>
        <w:top w:val="none" w:sz="0" w:space="0" w:color="auto"/>
        <w:left w:val="none" w:sz="0" w:space="0" w:color="auto"/>
        <w:bottom w:val="none" w:sz="0" w:space="0" w:color="auto"/>
        <w:right w:val="none" w:sz="0" w:space="0" w:color="auto"/>
      </w:divBdr>
    </w:div>
    <w:div w:id="945624169">
      <w:marLeft w:val="0"/>
      <w:marRight w:val="0"/>
      <w:marTop w:val="0"/>
      <w:marBottom w:val="0"/>
      <w:divBdr>
        <w:top w:val="none" w:sz="0" w:space="0" w:color="auto"/>
        <w:left w:val="none" w:sz="0" w:space="0" w:color="auto"/>
        <w:bottom w:val="none" w:sz="0" w:space="0" w:color="auto"/>
        <w:right w:val="none" w:sz="0" w:space="0" w:color="auto"/>
      </w:divBdr>
    </w:div>
    <w:div w:id="945624170">
      <w:marLeft w:val="0"/>
      <w:marRight w:val="0"/>
      <w:marTop w:val="0"/>
      <w:marBottom w:val="0"/>
      <w:divBdr>
        <w:top w:val="none" w:sz="0" w:space="0" w:color="auto"/>
        <w:left w:val="none" w:sz="0" w:space="0" w:color="auto"/>
        <w:bottom w:val="none" w:sz="0" w:space="0" w:color="auto"/>
        <w:right w:val="none" w:sz="0" w:space="0" w:color="auto"/>
      </w:divBdr>
    </w:div>
    <w:div w:id="945624171">
      <w:marLeft w:val="0"/>
      <w:marRight w:val="0"/>
      <w:marTop w:val="0"/>
      <w:marBottom w:val="0"/>
      <w:divBdr>
        <w:top w:val="none" w:sz="0" w:space="0" w:color="auto"/>
        <w:left w:val="none" w:sz="0" w:space="0" w:color="auto"/>
        <w:bottom w:val="none" w:sz="0" w:space="0" w:color="auto"/>
        <w:right w:val="none" w:sz="0" w:space="0" w:color="auto"/>
      </w:divBdr>
    </w:div>
    <w:div w:id="945624172">
      <w:marLeft w:val="0"/>
      <w:marRight w:val="0"/>
      <w:marTop w:val="0"/>
      <w:marBottom w:val="0"/>
      <w:divBdr>
        <w:top w:val="none" w:sz="0" w:space="0" w:color="auto"/>
        <w:left w:val="none" w:sz="0" w:space="0" w:color="auto"/>
        <w:bottom w:val="none" w:sz="0" w:space="0" w:color="auto"/>
        <w:right w:val="none" w:sz="0" w:space="0" w:color="auto"/>
      </w:divBdr>
    </w:div>
    <w:div w:id="945624173">
      <w:marLeft w:val="0"/>
      <w:marRight w:val="0"/>
      <w:marTop w:val="0"/>
      <w:marBottom w:val="0"/>
      <w:divBdr>
        <w:top w:val="none" w:sz="0" w:space="0" w:color="auto"/>
        <w:left w:val="none" w:sz="0" w:space="0" w:color="auto"/>
        <w:bottom w:val="none" w:sz="0" w:space="0" w:color="auto"/>
        <w:right w:val="none" w:sz="0" w:space="0" w:color="auto"/>
      </w:divBdr>
    </w:div>
    <w:div w:id="945624174">
      <w:marLeft w:val="0"/>
      <w:marRight w:val="0"/>
      <w:marTop w:val="0"/>
      <w:marBottom w:val="0"/>
      <w:divBdr>
        <w:top w:val="none" w:sz="0" w:space="0" w:color="auto"/>
        <w:left w:val="none" w:sz="0" w:space="0" w:color="auto"/>
        <w:bottom w:val="none" w:sz="0" w:space="0" w:color="auto"/>
        <w:right w:val="none" w:sz="0" w:space="0" w:color="auto"/>
      </w:divBdr>
    </w:div>
    <w:div w:id="945624175">
      <w:marLeft w:val="0"/>
      <w:marRight w:val="0"/>
      <w:marTop w:val="0"/>
      <w:marBottom w:val="0"/>
      <w:divBdr>
        <w:top w:val="none" w:sz="0" w:space="0" w:color="auto"/>
        <w:left w:val="none" w:sz="0" w:space="0" w:color="auto"/>
        <w:bottom w:val="none" w:sz="0" w:space="0" w:color="auto"/>
        <w:right w:val="none" w:sz="0" w:space="0" w:color="auto"/>
      </w:divBdr>
    </w:div>
    <w:div w:id="945624176">
      <w:marLeft w:val="0"/>
      <w:marRight w:val="0"/>
      <w:marTop w:val="0"/>
      <w:marBottom w:val="0"/>
      <w:divBdr>
        <w:top w:val="none" w:sz="0" w:space="0" w:color="auto"/>
        <w:left w:val="none" w:sz="0" w:space="0" w:color="auto"/>
        <w:bottom w:val="none" w:sz="0" w:space="0" w:color="auto"/>
        <w:right w:val="none" w:sz="0" w:space="0" w:color="auto"/>
      </w:divBdr>
    </w:div>
    <w:div w:id="945624179">
      <w:marLeft w:val="0"/>
      <w:marRight w:val="0"/>
      <w:marTop w:val="0"/>
      <w:marBottom w:val="0"/>
      <w:divBdr>
        <w:top w:val="none" w:sz="0" w:space="0" w:color="auto"/>
        <w:left w:val="none" w:sz="0" w:space="0" w:color="auto"/>
        <w:bottom w:val="none" w:sz="0" w:space="0" w:color="auto"/>
        <w:right w:val="none" w:sz="0" w:space="0" w:color="auto"/>
      </w:divBdr>
    </w:div>
    <w:div w:id="945624180">
      <w:marLeft w:val="0"/>
      <w:marRight w:val="0"/>
      <w:marTop w:val="0"/>
      <w:marBottom w:val="0"/>
      <w:divBdr>
        <w:top w:val="none" w:sz="0" w:space="0" w:color="auto"/>
        <w:left w:val="none" w:sz="0" w:space="0" w:color="auto"/>
        <w:bottom w:val="none" w:sz="0" w:space="0" w:color="auto"/>
        <w:right w:val="none" w:sz="0" w:space="0" w:color="auto"/>
      </w:divBdr>
    </w:div>
    <w:div w:id="945624181">
      <w:marLeft w:val="0"/>
      <w:marRight w:val="0"/>
      <w:marTop w:val="0"/>
      <w:marBottom w:val="0"/>
      <w:divBdr>
        <w:top w:val="none" w:sz="0" w:space="0" w:color="auto"/>
        <w:left w:val="none" w:sz="0" w:space="0" w:color="auto"/>
        <w:bottom w:val="none" w:sz="0" w:space="0" w:color="auto"/>
        <w:right w:val="none" w:sz="0" w:space="0" w:color="auto"/>
      </w:divBdr>
    </w:div>
    <w:div w:id="945624182">
      <w:marLeft w:val="0"/>
      <w:marRight w:val="0"/>
      <w:marTop w:val="0"/>
      <w:marBottom w:val="0"/>
      <w:divBdr>
        <w:top w:val="none" w:sz="0" w:space="0" w:color="auto"/>
        <w:left w:val="none" w:sz="0" w:space="0" w:color="auto"/>
        <w:bottom w:val="none" w:sz="0" w:space="0" w:color="auto"/>
        <w:right w:val="none" w:sz="0" w:space="0" w:color="auto"/>
      </w:divBdr>
    </w:div>
    <w:div w:id="945624183">
      <w:marLeft w:val="0"/>
      <w:marRight w:val="0"/>
      <w:marTop w:val="0"/>
      <w:marBottom w:val="0"/>
      <w:divBdr>
        <w:top w:val="none" w:sz="0" w:space="0" w:color="auto"/>
        <w:left w:val="none" w:sz="0" w:space="0" w:color="auto"/>
        <w:bottom w:val="none" w:sz="0" w:space="0" w:color="auto"/>
        <w:right w:val="none" w:sz="0" w:space="0" w:color="auto"/>
      </w:divBdr>
    </w:div>
    <w:div w:id="945624184">
      <w:marLeft w:val="0"/>
      <w:marRight w:val="0"/>
      <w:marTop w:val="0"/>
      <w:marBottom w:val="0"/>
      <w:divBdr>
        <w:top w:val="none" w:sz="0" w:space="0" w:color="auto"/>
        <w:left w:val="none" w:sz="0" w:space="0" w:color="auto"/>
        <w:bottom w:val="none" w:sz="0" w:space="0" w:color="auto"/>
        <w:right w:val="none" w:sz="0" w:space="0" w:color="auto"/>
      </w:divBdr>
    </w:div>
    <w:div w:id="945624185">
      <w:marLeft w:val="0"/>
      <w:marRight w:val="0"/>
      <w:marTop w:val="0"/>
      <w:marBottom w:val="0"/>
      <w:divBdr>
        <w:top w:val="none" w:sz="0" w:space="0" w:color="auto"/>
        <w:left w:val="none" w:sz="0" w:space="0" w:color="auto"/>
        <w:bottom w:val="none" w:sz="0" w:space="0" w:color="auto"/>
        <w:right w:val="none" w:sz="0" w:space="0" w:color="auto"/>
      </w:divBdr>
    </w:div>
    <w:div w:id="945624186">
      <w:marLeft w:val="0"/>
      <w:marRight w:val="0"/>
      <w:marTop w:val="0"/>
      <w:marBottom w:val="0"/>
      <w:divBdr>
        <w:top w:val="none" w:sz="0" w:space="0" w:color="auto"/>
        <w:left w:val="none" w:sz="0" w:space="0" w:color="auto"/>
        <w:bottom w:val="none" w:sz="0" w:space="0" w:color="auto"/>
        <w:right w:val="none" w:sz="0" w:space="0" w:color="auto"/>
      </w:divBdr>
    </w:div>
    <w:div w:id="945624187">
      <w:marLeft w:val="0"/>
      <w:marRight w:val="0"/>
      <w:marTop w:val="0"/>
      <w:marBottom w:val="0"/>
      <w:divBdr>
        <w:top w:val="none" w:sz="0" w:space="0" w:color="auto"/>
        <w:left w:val="none" w:sz="0" w:space="0" w:color="auto"/>
        <w:bottom w:val="none" w:sz="0" w:space="0" w:color="auto"/>
        <w:right w:val="none" w:sz="0" w:space="0" w:color="auto"/>
      </w:divBdr>
    </w:div>
    <w:div w:id="945624188">
      <w:marLeft w:val="0"/>
      <w:marRight w:val="0"/>
      <w:marTop w:val="0"/>
      <w:marBottom w:val="0"/>
      <w:divBdr>
        <w:top w:val="none" w:sz="0" w:space="0" w:color="auto"/>
        <w:left w:val="none" w:sz="0" w:space="0" w:color="auto"/>
        <w:bottom w:val="none" w:sz="0" w:space="0" w:color="auto"/>
        <w:right w:val="none" w:sz="0" w:space="0" w:color="auto"/>
      </w:divBdr>
    </w:div>
    <w:div w:id="945624189">
      <w:marLeft w:val="0"/>
      <w:marRight w:val="0"/>
      <w:marTop w:val="0"/>
      <w:marBottom w:val="0"/>
      <w:divBdr>
        <w:top w:val="none" w:sz="0" w:space="0" w:color="auto"/>
        <w:left w:val="none" w:sz="0" w:space="0" w:color="auto"/>
        <w:bottom w:val="none" w:sz="0" w:space="0" w:color="auto"/>
        <w:right w:val="none" w:sz="0" w:space="0" w:color="auto"/>
      </w:divBdr>
    </w:div>
    <w:div w:id="945624190">
      <w:marLeft w:val="0"/>
      <w:marRight w:val="0"/>
      <w:marTop w:val="0"/>
      <w:marBottom w:val="0"/>
      <w:divBdr>
        <w:top w:val="none" w:sz="0" w:space="0" w:color="auto"/>
        <w:left w:val="none" w:sz="0" w:space="0" w:color="auto"/>
        <w:bottom w:val="none" w:sz="0" w:space="0" w:color="auto"/>
        <w:right w:val="none" w:sz="0" w:space="0" w:color="auto"/>
      </w:divBdr>
    </w:div>
    <w:div w:id="945624191">
      <w:marLeft w:val="0"/>
      <w:marRight w:val="0"/>
      <w:marTop w:val="0"/>
      <w:marBottom w:val="0"/>
      <w:divBdr>
        <w:top w:val="none" w:sz="0" w:space="0" w:color="auto"/>
        <w:left w:val="none" w:sz="0" w:space="0" w:color="auto"/>
        <w:bottom w:val="none" w:sz="0" w:space="0" w:color="auto"/>
        <w:right w:val="none" w:sz="0" w:space="0" w:color="auto"/>
      </w:divBdr>
    </w:div>
    <w:div w:id="945624193">
      <w:marLeft w:val="0"/>
      <w:marRight w:val="0"/>
      <w:marTop w:val="0"/>
      <w:marBottom w:val="0"/>
      <w:divBdr>
        <w:top w:val="none" w:sz="0" w:space="0" w:color="auto"/>
        <w:left w:val="none" w:sz="0" w:space="0" w:color="auto"/>
        <w:bottom w:val="none" w:sz="0" w:space="0" w:color="auto"/>
        <w:right w:val="none" w:sz="0" w:space="0" w:color="auto"/>
      </w:divBdr>
    </w:div>
    <w:div w:id="945624195">
      <w:marLeft w:val="0"/>
      <w:marRight w:val="0"/>
      <w:marTop w:val="0"/>
      <w:marBottom w:val="0"/>
      <w:divBdr>
        <w:top w:val="none" w:sz="0" w:space="0" w:color="auto"/>
        <w:left w:val="none" w:sz="0" w:space="0" w:color="auto"/>
        <w:bottom w:val="none" w:sz="0" w:space="0" w:color="auto"/>
        <w:right w:val="none" w:sz="0" w:space="0" w:color="auto"/>
      </w:divBdr>
    </w:div>
    <w:div w:id="945624196">
      <w:marLeft w:val="0"/>
      <w:marRight w:val="0"/>
      <w:marTop w:val="0"/>
      <w:marBottom w:val="0"/>
      <w:divBdr>
        <w:top w:val="none" w:sz="0" w:space="0" w:color="auto"/>
        <w:left w:val="none" w:sz="0" w:space="0" w:color="auto"/>
        <w:bottom w:val="none" w:sz="0" w:space="0" w:color="auto"/>
        <w:right w:val="none" w:sz="0" w:space="0" w:color="auto"/>
      </w:divBdr>
    </w:div>
    <w:div w:id="945624197">
      <w:marLeft w:val="0"/>
      <w:marRight w:val="0"/>
      <w:marTop w:val="0"/>
      <w:marBottom w:val="0"/>
      <w:divBdr>
        <w:top w:val="none" w:sz="0" w:space="0" w:color="auto"/>
        <w:left w:val="none" w:sz="0" w:space="0" w:color="auto"/>
        <w:bottom w:val="none" w:sz="0" w:space="0" w:color="auto"/>
        <w:right w:val="none" w:sz="0" w:space="0" w:color="auto"/>
      </w:divBdr>
    </w:div>
    <w:div w:id="945624199">
      <w:marLeft w:val="0"/>
      <w:marRight w:val="0"/>
      <w:marTop w:val="0"/>
      <w:marBottom w:val="0"/>
      <w:divBdr>
        <w:top w:val="none" w:sz="0" w:space="0" w:color="auto"/>
        <w:left w:val="none" w:sz="0" w:space="0" w:color="auto"/>
        <w:bottom w:val="none" w:sz="0" w:space="0" w:color="auto"/>
        <w:right w:val="none" w:sz="0" w:space="0" w:color="auto"/>
      </w:divBdr>
    </w:div>
    <w:div w:id="945624200">
      <w:marLeft w:val="0"/>
      <w:marRight w:val="0"/>
      <w:marTop w:val="0"/>
      <w:marBottom w:val="0"/>
      <w:divBdr>
        <w:top w:val="none" w:sz="0" w:space="0" w:color="auto"/>
        <w:left w:val="none" w:sz="0" w:space="0" w:color="auto"/>
        <w:bottom w:val="none" w:sz="0" w:space="0" w:color="auto"/>
        <w:right w:val="none" w:sz="0" w:space="0" w:color="auto"/>
      </w:divBdr>
    </w:div>
    <w:div w:id="945624201">
      <w:marLeft w:val="0"/>
      <w:marRight w:val="0"/>
      <w:marTop w:val="0"/>
      <w:marBottom w:val="0"/>
      <w:divBdr>
        <w:top w:val="none" w:sz="0" w:space="0" w:color="auto"/>
        <w:left w:val="none" w:sz="0" w:space="0" w:color="auto"/>
        <w:bottom w:val="none" w:sz="0" w:space="0" w:color="auto"/>
        <w:right w:val="none" w:sz="0" w:space="0" w:color="auto"/>
      </w:divBdr>
    </w:div>
    <w:div w:id="945624202">
      <w:marLeft w:val="0"/>
      <w:marRight w:val="0"/>
      <w:marTop w:val="0"/>
      <w:marBottom w:val="0"/>
      <w:divBdr>
        <w:top w:val="none" w:sz="0" w:space="0" w:color="auto"/>
        <w:left w:val="none" w:sz="0" w:space="0" w:color="auto"/>
        <w:bottom w:val="none" w:sz="0" w:space="0" w:color="auto"/>
        <w:right w:val="none" w:sz="0" w:space="0" w:color="auto"/>
      </w:divBdr>
    </w:div>
    <w:div w:id="945624203">
      <w:marLeft w:val="0"/>
      <w:marRight w:val="0"/>
      <w:marTop w:val="0"/>
      <w:marBottom w:val="0"/>
      <w:divBdr>
        <w:top w:val="none" w:sz="0" w:space="0" w:color="auto"/>
        <w:left w:val="none" w:sz="0" w:space="0" w:color="auto"/>
        <w:bottom w:val="none" w:sz="0" w:space="0" w:color="auto"/>
        <w:right w:val="none" w:sz="0" w:space="0" w:color="auto"/>
      </w:divBdr>
    </w:div>
    <w:div w:id="945624204">
      <w:marLeft w:val="0"/>
      <w:marRight w:val="0"/>
      <w:marTop w:val="0"/>
      <w:marBottom w:val="0"/>
      <w:divBdr>
        <w:top w:val="none" w:sz="0" w:space="0" w:color="auto"/>
        <w:left w:val="none" w:sz="0" w:space="0" w:color="auto"/>
        <w:bottom w:val="none" w:sz="0" w:space="0" w:color="auto"/>
        <w:right w:val="none" w:sz="0" w:space="0" w:color="auto"/>
      </w:divBdr>
    </w:div>
    <w:div w:id="945624206">
      <w:marLeft w:val="0"/>
      <w:marRight w:val="0"/>
      <w:marTop w:val="0"/>
      <w:marBottom w:val="0"/>
      <w:divBdr>
        <w:top w:val="none" w:sz="0" w:space="0" w:color="auto"/>
        <w:left w:val="none" w:sz="0" w:space="0" w:color="auto"/>
        <w:bottom w:val="none" w:sz="0" w:space="0" w:color="auto"/>
        <w:right w:val="none" w:sz="0" w:space="0" w:color="auto"/>
      </w:divBdr>
    </w:div>
    <w:div w:id="945624207">
      <w:marLeft w:val="0"/>
      <w:marRight w:val="0"/>
      <w:marTop w:val="0"/>
      <w:marBottom w:val="0"/>
      <w:divBdr>
        <w:top w:val="none" w:sz="0" w:space="0" w:color="auto"/>
        <w:left w:val="none" w:sz="0" w:space="0" w:color="auto"/>
        <w:bottom w:val="none" w:sz="0" w:space="0" w:color="auto"/>
        <w:right w:val="none" w:sz="0" w:space="0" w:color="auto"/>
      </w:divBdr>
    </w:div>
    <w:div w:id="945624208">
      <w:marLeft w:val="0"/>
      <w:marRight w:val="0"/>
      <w:marTop w:val="0"/>
      <w:marBottom w:val="0"/>
      <w:divBdr>
        <w:top w:val="none" w:sz="0" w:space="0" w:color="auto"/>
        <w:left w:val="none" w:sz="0" w:space="0" w:color="auto"/>
        <w:bottom w:val="none" w:sz="0" w:space="0" w:color="auto"/>
        <w:right w:val="none" w:sz="0" w:space="0" w:color="auto"/>
      </w:divBdr>
    </w:div>
    <w:div w:id="945624210">
      <w:marLeft w:val="0"/>
      <w:marRight w:val="0"/>
      <w:marTop w:val="0"/>
      <w:marBottom w:val="0"/>
      <w:divBdr>
        <w:top w:val="none" w:sz="0" w:space="0" w:color="auto"/>
        <w:left w:val="none" w:sz="0" w:space="0" w:color="auto"/>
        <w:bottom w:val="none" w:sz="0" w:space="0" w:color="auto"/>
        <w:right w:val="none" w:sz="0" w:space="0" w:color="auto"/>
      </w:divBdr>
      <w:divsChild>
        <w:div w:id="945624165">
          <w:marLeft w:val="0"/>
          <w:marRight w:val="0"/>
          <w:marTop w:val="0"/>
          <w:marBottom w:val="0"/>
          <w:divBdr>
            <w:top w:val="none" w:sz="0" w:space="0" w:color="auto"/>
            <w:left w:val="none" w:sz="0" w:space="0" w:color="auto"/>
            <w:bottom w:val="none" w:sz="0" w:space="0" w:color="auto"/>
            <w:right w:val="none" w:sz="0" w:space="0" w:color="auto"/>
          </w:divBdr>
        </w:div>
        <w:div w:id="945624192">
          <w:marLeft w:val="0"/>
          <w:marRight w:val="0"/>
          <w:marTop w:val="0"/>
          <w:marBottom w:val="0"/>
          <w:divBdr>
            <w:top w:val="none" w:sz="0" w:space="0" w:color="auto"/>
            <w:left w:val="none" w:sz="0" w:space="0" w:color="auto"/>
            <w:bottom w:val="none" w:sz="0" w:space="0" w:color="auto"/>
            <w:right w:val="none" w:sz="0" w:space="0" w:color="auto"/>
          </w:divBdr>
        </w:div>
        <w:div w:id="945624198">
          <w:marLeft w:val="0"/>
          <w:marRight w:val="0"/>
          <w:marTop w:val="0"/>
          <w:marBottom w:val="0"/>
          <w:divBdr>
            <w:top w:val="none" w:sz="0" w:space="0" w:color="auto"/>
            <w:left w:val="none" w:sz="0" w:space="0" w:color="auto"/>
            <w:bottom w:val="none" w:sz="0" w:space="0" w:color="auto"/>
            <w:right w:val="none" w:sz="0" w:space="0" w:color="auto"/>
          </w:divBdr>
        </w:div>
        <w:div w:id="945624205">
          <w:marLeft w:val="0"/>
          <w:marRight w:val="0"/>
          <w:marTop w:val="0"/>
          <w:marBottom w:val="0"/>
          <w:divBdr>
            <w:top w:val="none" w:sz="0" w:space="0" w:color="auto"/>
            <w:left w:val="none" w:sz="0" w:space="0" w:color="auto"/>
            <w:bottom w:val="none" w:sz="0" w:space="0" w:color="auto"/>
            <w:right w:val="none" w:sz="0" w:space="0" w:color="auto"/>
          </w:divBdr>
        </w:div>
        <w:div w:id="945624209">
          <w:marLeft w:val="0"/>
          <w:marRight w:val="0"/>
          <w:marTop w:val="0"/>
          <w:marBottom w:val="0"/>
          <w:divBdr>
            <w:top w:val="none" w:sz="0" w:space="0" w:color="auto"/>
            <w:left w:val="none" w:sz="0" w:space="0" w:color="auto"/>
            <w:bottom w:val="none" w:sz="0" w:space="0" w:color="auto"/>
            <w:right w:val="none" w:sz="0" w:space="0" w:color="auto"/>
          </w:divBdr>
        </w:div>
        <w:div w:id="945624241">
          <w:marLeft w:val="0"/>
          <w:marRight w:val="0"/>
          <w:marTop w:val="0"/>
          <w:marBottom w:val="0"/>
          <w:divBdr>
            <w:top w:val="none" w:sz="0" w:space="0" w:color="auto"/>
            <w:left w:val="none" w:sz="0" w:space="0" w:color="auto"/>
            <w:bottom w:val="none" w:sz="0" w:space="0" w:color="auto"/>
            <w:right w:val="none" w:sz="0" w:space="0" w:color="auto"/>
          </w:divBdr>
        </w:div>
        <w:div w:id="945624249">
          <w:marLeft w:val="0"/>
          <w:marRight w:val="0"/>
          <w:marTop w:val="0"/>
          <w:marBottom w:val="0"/>
          <w:divBdr>
            <w:top w:val="none" w:sz="0" w:space="0" w:color="auto"/>
            <w:left w:val="none" w:sz="0" w:space="0" w:color="auto"/>
            <w:bottom w:val="none" w:sz="0" w:space="0" w:color="auto"/>
            <w:right w:val="none" w:sz="0" w:space="0" w:color="auto"/>
          </w:divBdr>
        </w:div>
      </w:divsChild>
    </w:div>
    <w:div w:id="945624211">
      <w:marLeft w:val="0"/>
      <w:marRight w:val="0"/>
      <w:marTop w:val="0"/>
      <w:marBottom w:val="0"/>
      <w:divBdr>
        <w:top w:val="none" w:sz="0" w:space="0" w:color="auto"/>
        <w:left w:val="none" w:sz="0" w:space="0" w:color="auto"/>
        <w:bottom w:val="none" w:sz="0" w:space="0" w:color="auto"/>
        <w:right w:val="none" w:sz="0" w:space="0" w:color="auto"/>
      </w:divBdr>
    </w:div>
    <w:div w:id="945624212">
      <w:marLeft w:val="0"/>
      <w:marRight w:val="0"/>
      <w:marTop w:val="0"/>
      <w:marBottom w:val="0"/>
      <w:divBdr>
        <w:top w:val="none" w:sz="0" w:space="0" w:color="auto"/>
        <w:left w:val="none" w:sz="0" w:space="0" w:color="auto"/>
        <w:bottom w:val="none" w:sz="0" w:space="0" w:color="auto"/>
        <w:right w:val="none" w:sz="0" w:space="0" w:color="auto"/>
      </w:divBdr>
    </w:div>
    <w:div w:id="945624213">
      <w:marLeft w:val="0"/>
      <w:marRight w:val="0"/>
      <w:marTop w:val="0"/>
      <w:marBottom w:val="0"/>
      <w:divBdr>
        <w:top w:val="none" w:sz="0" w:space="0" w:color="auto"/>
        <w:left w:val="none" w:sz="0" w:space="0" w:color="auto"/>
        <w:bottom w:val="none" w:sz="0" w:space="0" w:color="auto"/>
        <w:right w:val="none" w:sz="0" w:space="0" w:color="auto"/>
      </w:divBdr>
    </w:div>
    <w:div w:id="945624214">
      <w:marLeft w:val="0"/>
      <w:marRight w:val="0"/>
      <w:marTop w:val="0"/>
      <w:marBottom w:val="0"/>
      <w:divBdr>
        <w:top w:val="none" w:sz="0" w:space="0" w:color="auto"/>
        <w:left w:val="none" w:sz="0" w:space="0" w:color="auto"/>
        <w:bottom w:val="none" w:sz="0" w:space="0" w:color="auto"/>
        <w:right w:val="none" w:sz="0" w:space="0" w:color="auto"/>
      </w:divBdr>
    </w:div>
    <w:div w:id="945624215">
      <w:marLeft w:val="0"/>
      <w:marRight w:val="0"/>
      <w:marTop w:val="0"/>
      <w:marBottom w:val="0"/>
      <w:divBdr>
        <w:top w:val="none" w:sz="0" w:space="0" w:color="auto"/>
        <w:left w:val="none" w:sz="0" w:space="0" w:color="auto"/>
        <w:bottom w:val="none" w:sz="0" w:space="0" w:color="auto"/>
        <w:right w:val="none" w:sz="0" w:space="0" w:color="auto"/>
      </w:divBdr>
    </w:div>
    <w:div w:id="945624217">
      <w:marLeft w:val="0"/>
      <w:marRight w:val="0"/>
      <w:marTop w:val="0"/>
      <w:marBottom w:val="0"/>
      <w:divBdr>
        <w:top w:val="none" w:sz="0" w:space="0" w:color="auto"/>
        <w:left w:val="none" w:sz="0" w:space="0" w:color="auto"/>
        <w:bottom w:val="none" w:sz="0" w:space="0" w:color="auto"/>
        <w:right w:val="none" w:sz="0" w:space="0" w:color="auto"/>
      </w:divBdr>
    </w:div>
    <w:div w:id="945624218">
      <w:marLeft w:val="0"/>
      <w:marRight w:val="0"/>
      <w:marTop w:val="0"/>
      <w:marBottom w:val="0"/>
      <w:divBdr>
        <w:top w:val="none" w:sz="0" w:space="0" w:color="auto"/>
        <w:left w:val="none" w:sz="0" w:space="0" w:color="auto"/>
        <w:bottom w:val="none" w:sz="0" w:space="0" w:color="auto"/>
        <w:right w:val="none" w:sz="0" w:space="0" w:color="auto"/>
      </w:divBdr>
    </w:div>
    <w:div w:id="945624219">
      <w:marLeft w:val="0"/>
      <w:marRight w:val="0"/>
      <w:marTop w:val="0"/>
      <w:marBottom w:val="0"/>
      <w:divBdr>
        <w:top w:val="none" w:sz="0" w:space="0" w:color="auto"/>
        <w:left w:val="none" w:sz="0" w:space="0" w:color="auto"/>
        <w:bottom w:val="none" w:sz="0" w:space="0" w:color="auto"/>
        <w:right w:val="none" w:sz="0" w:space="0" w:color="auto"/>
      </w:divBdr>
    </w:div>
    <w:div w:id="945624220">
      <w:marLeft w:val="0"/>
      <w:marRight w:val="0"/>
      <w:marTop w:val="0"/>
      <w:marBottom w:val="0"/>
      <w:divBdr>
        <w:top w:val="none" w:sz="0" w:space="0" w:color="auto"/>
        <w:left w:val="none" w:sz="0" w:space="0" w:color="auto"/>
        <w:bottom w:val="none" w:sz="0" w:space="0" w:color="auto"/>
        <w:right w:val="none" w:sz="0" w:space="0" w:color="auto"/>
      </w:divBdr>
    </w:div>
    <w:div w:id="945624221">
      <w:marLeft w:val="0"/>
      <w:marRight w:val="0"/>
      <w:marTop w:val="0"/>
      <w:marBottom w:val="0"/>
      <w:divBdr>
        <w:top w:val="none" w:sz="0" w:space="0" w:color="auto"/>
        <w:left w:val="none" w:sz="0" w:space="0" w:color="auto"/>
        <w:bottom w:val="none" w:sz="0" w:space="0" w:color="auto"/>
        <w:right w:val="none" w:sz="0" w:space="0" w:color="auto"/>
      </w:divBdr>
    </w:div>
    <w:div w:id="945624222">
      <w:marLeft w:val="0"/>
      <w:marRight w:val="0"/>
      <w:marTop w:val="0"/>
      <w:marBottom w:val="0"/>
      <w:divBdr>
        <w:top w:val="none" w:sz="0" w:space="0" w:color="auto"/>
        <w:left w:val="none" w:sz="0" w:space="0" w:color="auto"/>
        <w:bottom w:val="none" w:sz="0" w:space="0" w:color="auto"/>
        <w:right w:val="none" w:sz="0" w:space="0" w:color="auto"/>
      </w:divBdr>
    </w:div>
    <w:div w:id="945624223">
      <w:marLeft w:val="0"/>
      <w:marRight w:val="0"/>
      <w:marTop w:val="0"/>
      <w:marBottom w:val="0"/>
      <w:divBdr>
        <w:top w:val="none" w:sz="0" w:space="0" w:color="auto"/>
        <w:left w:val="none" w:sz="0" w:space="0" w:color="auto"/>
        <w:bottom w:val="none" w:sz="0" w:space="0" w:color="auto"/>
        <w:right w:val="none" w:sz="0" w:space="0" w:color="auto"/>
      </w:divBdr>
    </w:div>
    <w:div w:id="945624224">
      <w:marLeft w:val="0"/>
      <w:marRight w:val="0"/>
      <w:marTop w:val="0"/>
      <w:marBottom w:val="0"/>
      <w:divBdr>
        <w:top w:val="none" w:sz="0" w:space="0" w:color="auto"/>
        <w:left w:val="none" w:sz="0" w:space="0" w:color="auto"/>
        <w:bottom w:val="none" w:sz="0" w:space="0" w:color="auto"/>
        <w:right w:val="none" w:sz="0" w:space="0" w:color="auto"/>
      </w:divBdr>
    </w:div>
    <w:div w:id="945624225">
      <w:marLeft w:val="0"/>
      <w:marRight w:val="0"/>
      <w:marTop w:val="0"/>
      <w:marBottom w:val="0"/>
      <w:divBdr>
        <w:top w:val="none" w:sz="0" w:space="0" w:color="auto"/>
        <w:left w:val="none" w:sz="0" w:space="0" w:color="auto"/>
        <w:bottom w:val="none" w:sz="0" w:space="0" w:color="auto"/>
        <w:right w:val="none" w:sz="0" w:space="0" w:color="auto"/>
      </w:divBdr>
    </w:div>
    <w:div w:id="945624226">
      <w:marLeft w:val="0"/>
      <w:marRight w:val="0"/>
      <w:marTop w:val="0"/>
      <w:marBottom w:val="0"/>
      <w:divBdr>
        <w:top w:val="none" w:sz="0" w:space="0" w:color="auto"/>
        <w:left w:val="none" w:sz="0" w:space="0" w:color="auto"/>
        <w:bottom w:val="none" w:sz="0" w:space="0" w:color="auto"/>
        <w:right w:val="none" w:sz="0" w:space="0" w:color="auto"/>
      </w:divBdr>
    </w:div>
    <w:div w:id="945624227">
      <w:marLeft w:val="0"/>
      <w:marRight w:val="0"/>
      <w:marTop w:val="0"/>
      <w:marBottom w:val="0"/>
      <w:divBdr>
        <w:top w:val="none" w:sz="0" w:space="0" w:color="auto"/>
        <w:left w:val="none" w:sz="0" w:space="0" w:color="auto"/>
        <w:bottom w:val="none" w:sz="0" w:space="0" w:color="auto"/>
        <w:right w:val="none" w:sz="0" w:space="0" w:color="auto"/>
      </w:divBdr>
    </w:div>
    <w:div w:id="945624228">
      <w:marLeft w:val="0"/>
      <w:marRight w:val="0"/>
      <w:marTop w:val="0"/>
      <w:marBottom w:val="0"/>
      <w:divBdr>
        <w:top w:val="none" w:sz="0" w:space="0" w:color="auto"/>
        <w:left w:val="none" w:sz="0" w:space="0" w:color="auto"/>
        <w:bottom w:val="none" w:sz="0" w:space="0" w:color="auto"/>
        <w:right w:val="none" w:sz="0" w:space="0" w:color="auto"/>
      </w:divBdr>
    </w:div>
    <w:div w:id="945624229">
      <w:marLeft w:val="0"/>
      <w:marRight w:val="0"/>
      <w:marTop w:val="0"/>
      <w:marBottom w:val="0"/>
      <w:divBdr>
        <w:top w:val="none" w:sz="0" w:space="0" w:color="auto"/>
        <w:left w:val="none" w:sz="0" w:space="0" w:color="auto"/>
        <w:bottom w:val="none" w:sz="0" w:space="0" w:color="auto"/>
        <w:right w:val="none" w:sz="0" w:space="0" w:color="auto"/>
      </w:divBdr>
    </w:div>
    <w:div w:id="945624230">
      <w:marLeft w:val="0"/>
      <w:marRight w:val="0"/>
      <w:marTop w:val="0"/>
      <w:marBottom w:val="0"/>
      <w:divBdr>
        <w:top w:val="none" w:sz="0" w:space="0" w:color="auto"/>
        <w:left w:val="none" w:sz="0" w:space="0" w:color="auto"/>
        <w:bottom w:val="none" w:sz="0" w:space="0" w:color="auto"/>
        <w:right w:val="none" w:sz="0" w:space="0" w:color="auto"/>
      </w:divBdr>
    </w:div>
    <w:div w:id="945624231">
      <w:marLeft w:val="0"/>
      <w:marRight w:val="0"/>
      <w:marTop w:val="0"/>
      <w:marBottom w:val="0"/>
      <w:divBdr>
        <w:top w:val="none" w:sz="0" w:space="0" w:color="auto"/>
        <w:left w:val="none" w:sz="0" w:space="0" w:color="auto"/>
        <w:bottom w:val="none" w:sz="0" w:space="0" w:color="auto"/>
        <w:right w:val="none" w:sz="0" w:space="0" w:color="auto"/>
      </w:divBdr>
    </w:div>
    <w:div w:id="945624232">
      <w:marLeft w:val="0"/>
      <w:marRight w:val="0"/>
      <w:marTop w:val="0"/>
      <w:marBottom w:val="0"/>
      <w:divBdr>
        <w:top w:val="none" w:sz="0" w:space="0" w:color="auto"/>
        <w:left w:val="none" w:sz="0" w:space="0" w:color="auto"/>
        <w:bottom w:val="none" w:sz="0" w:space="0" w:color="auto"/>
        <w:right w:val="none" w:sz="0" w:space="0" w:color="auto"/>
      </w:divBdr>
    </w:div>
    <w:div w:id="945624233">
      <w:marLeft w:val="0"/>
      <w:marRight w:val="0"/>
      <w:marTop w:val="0"/>
      <w:marBottom w:val="0"/>
      <w:divBdr>
        <w:top w:val="none" w:sz="0" w:space="0" w:color="auto"/>
        <w:left w:val="none" w:sz="0" w:space="0" w:color="auto"/>
        <w:bottom w:val="none" w:sz="0" w:space="0" w:color="auto"/>
        <w:right w:val="none" w:sz="0" w:space="0" w:color="auto"/>
      </w:divBdr>
    </w:div>
    <w:div w:id="945624234">
      <w:marLeft w:val="0"/>
      <w:marRight w:val="0"/>
      <w:marTop w:val="0"/>
      <w:marBottom w:val="0"/>
      <w:divBdr>
        <w:top w:val="none" w:sz="0" w:space="0" w:color="auto"/>
        <w:left w:val="none" w:sz="0" w:space="0" w:color="auto"/>
        <w:bottom w:val="none" w:sz="0" w:space="0" w:color="auto"/>
        <w:right w:val="none" w:sz="0" w:space="0" w:color="auto"/>
      </w:divBdr>
    </w:div>
    <w:div w:id="945624235">
      <w:marLeft w:val="0"/>
      <w:marRight w:val="0"/>
      <w:marTop w:val="0"/>
      <w:marBottom w:val="0"/>
      <w:divBdr>
        <w:top w:val="none" w:sz="0" w:space="0" w:color="auto"/>
        <w:left w:val="none" w:sz="0" w:space="0" w:color="auto"/>
        <w:bottom w:val="none" w:sz="0" w:space="0" w:color="auto"/>
        <w:right w:val="none" w:sz="0" w:space="0" w:color="auto"/>
      </w:divBdr>
    </w:div>
    <w:div w:id="945624236">
      <w:marLeft w:val="0"/>
      <w:marRight w:val="0"/>
      <w:marTop w:val="0"/>
      <w:marBottom w:val="0"/>
      <w:divBdr>
        <w:top w:val="none" w:sz="0" w:space="0" w:color="auto"/>
        <w:left w:val="none" w:sz="0" w:space="0" w:color="auto"/>
        <w:bottom w:val="none" w:sz="0" w:space="0" w:color="auto"/>
        <w:right w:val="none" w:sz="0" w:space="0" w:color="auto"/>
      </w:divBdr>
    </w:div>
    <w:div w:id="945624237">
      <w:marLeft w:val="0"/>
      <w:marRight w:val="0"/>
      <w:marTop w:val="0"/>
      <w:marBottom w:val="0"/>
      <w:divBdr>
        <w:top w:val="none" w:sz="0" w:space="0" w:color="auto"/>
        <w:left w:val="none" w:sz="0" w:space="0" w:color="auto"/>
        <w:bottom w:val="none" w:sz="0" w:space="0" w:color="auto"/>
        <w:right w:val="none" w:sz="0" w:space="0" w:color="auto"/>
      </w:divBdr>
    </w:div>
    <w:div w:id="945624238">
      <w:marLeft w:val="0"/>
      <w:marRight w:val="0"/>
      <w:marTop w:val="0"/>
      <w:marBottom w:val="0"/>
      <w:divBdr>
        <w:top w:val="none" w:sz="0" w:space="0" w:color="auto"/>
        <w:left w:val="none" w:sz="0" w:space="0" w:color="auto"/>
        <w:bottom w:val="none" w:sz="0" w:space="0" w:color="auto"/>
        <w:right w:val="none" w:sz="0" w:space="0" w:color="auto"/>
      </w:divBdr>
      <w:divsChild>
        <w:div w:id="945624177">
          <w:marLeft w:val="0"/>
          <w:marRight w:val="0"/>
          <w:marTop w:val="0"/>
          <w:marBottom w:val="0"/>
          <w:divBdr>
            <w:top w:val="none" w:sz="0" w:space="0" w:color="auto"/>
            <w:left w:val="none" w:sz="0" w:space="0" w:color="auto"/>
            <w:bottom w:val="none" w:sz="0" w:space="0" w:color="auto"/>
            <w:right w:val="none" w:sz="0" w:space="0" w:color="auto"/>
          </w:divBdr>
        </w:div>
        <w:div w:id="945624178">
          <w:marLeft w:val="0"/>
          <w:marRight w:val="0"/>
          <w:marTop w:val="0"/>
          <w:marBottom w:val="0"/>
          <w:divBdr>
            <w:top w:val="none" w:sz="0" w:space="0" w:color="auto"/>
            <w:left w:val="none" w:sz="0" w:space="0" w:color="auto"/>
            <w:bottom w:val="none" w:sz="0" w:space="0" w:color="auto"/>
            <w:right w:val="none" w:sz="0" w:space="0" w:color="auto"/>
          </w:divBdr>
        </w:div>
        <w:div w:id="945624216">
          <w:marLeft w:val="0"/>
          <w:marRight w:val="0"/>
          <w:marTop w:val="0"/>
          <w:marBottom w:val="0"/>
          <w:divBdr>
            <w:top w:val="none" w:sz="0" w:space="0" w:color="auto"/>
            <w:left w:val="none" w:sz="0" w:space="0" w:color="auto"/>
            <w:bottom w:val="none" w:sz="0" w:space="0" w:color="auto"/>
            <w:right w:val="none" w:sz="0" w:space="0" w:color="auto"/>
          </w:divBdr>
        </w:div>
        <w:div w:id="945624244">
          <w:marLeft w:val="0"/>
          <w:marRight w:val="0"/>
          <w:marTop w:val="0"/>
          <w:marBottom w:val="0"/>
          <w:divBdr>
            <w:top w:val="none" w:sz="0" w:space="0" w:color="auto"/>
            <w:left w:val="none" w:sz="0" w:space="0" w:color="auto"/>
            <w:bottom w:val="none" w:sz="0" w:space="0" w:color="auto"/>
            <w:right w:val="none" w:sz="0" w:space="0" w:color="auto"/>
          </w:divBdr>
        </w:div>
        <w:div w:id="945624254">
          <w:marLeft w:val="0"/>
          <w:marRight w:val="0"/>
          <w:marTop w:val="0"/>
          <w:marBottom w:val="0"/>
          <w:divBdr>
            <w:top w:val="none" w:sz="0" w:space="0" w:color="auto"/>
            <w:left w:val="none" w:sz="0" w:space="0" w:color="auto"/>
            <w:bottom w:val="none" w:sz="0" w:space="0" w:color="auto"/>
            <w:right w:val="none" w:sz="0" w:space="0" w:color="auto"/>
          </w:divBdr>
        </w:div>
        <w:div w:id="945624262">
          <w:marLeft w:val="0"/>
          <w:marRight w:val="0"/>
          <w:marTop w:val="0"/>
          <w:marBottom w:val="0"/>
          <w:divBdr>
            <w:top w:val="none" w:sz="0" w:space="0" w:color="auto"/>
            <w:left w:val="none" w:sz="0" w:space="0" w:color="auto"/>
            <w:bottom w:val="none" w:sz="0" w:space="0" w:color="auto"/>
            <w:right w:val="none" w:sz="0" w:space="0" w:color="auto"/>
          </w:divBdr>
        </w:div>
        <w:div w:id="945624276">
          <w:marLeft w:val="0"/>
          <w:marRight w:val="0"/>
          <w:marTop w:val="0"/>
          <w:marBottom w:val="0"/>
          <w:divBdr>
            <w:top w:val="none" w:sz="0" w:space="0" w:color="auto"/>
            <w:left w:val="none" w:sz="0" w:space="0" w:color="auto"/>
            <w:bottom w:val="none" w:sz="0" w:space="0" w:color="auto"/>
            <w:right w:val="none" w:sz="0" w:space="0" w:color="auto"/>
          </w:divBdr>
        </w:div>
      </w:divsChild>
    </w:div>
    <w:div w:id="945624239">
      <w:marLeft w:val="0"/>
      <w:marRight w:val="0"/>
      <w:marTop w:val="0"/>
      <w:marBottom w:val="0"/>
      <w:divBdr>
        <w:top w:val="none" w:sz="0" w:space="0" w:color="auto"/>
        <w:left w:val="none" w:sz="0" w:space="0" w:color="auto"/>
        <w:bottom w:val="none" w:sz="0" w:space="0" w:color="auto"/>
        <w:right w:val="none" w:sz="0" w:space="0" w:color="auto"/>
      </w:divBdr>
    </w:div>
    <w:div w:id="945624240">
      <w:marLeft w:val="0"/>
      <w:marRight w:val="0"/>
      <w:marTop w:val="0"/>
      <w:marBottom w:val="0"/>
      <w:divBdr>
        <w:top w:val="none" w:sz="0" w:space="0" w:color="auto"/>
        <w:left w:val="none" w:sz="0" w:space="0" w:color="auto"/>
        <w:bottom w:val="none" w:sz="0" w:space="0" w:color="auto"/>
        <w:right w:val="none" w:sz="0" w:space="0" w:color="auto"/>
      </w:divBdr>
    </w:div>
    <w:div w:id="945624242">
      <w:marLeft w:val="0"/>
      <w:marRight w:val="0"/>
      <w:marTop w:val="0"/>
      <w:marBottom w:val="0"/>
      <w:divBdr>
        <w:top w:val="none" w:sz="0" w:space="0" w:color="auto"/>
        <w:left w:val="none" w:sz="0" w:space="0" w:color="auto"/>
        <w:bottom w:val="none" w:sz="0" w:space="0" w:color="auto"/>
        <w:right w:val="none" w:sz="0" w:space="0" w:color="auto"/>
      </w:divBdr>
    </w:div>
    <w:div w:id="945624243">
      <w:marLeft w:val="0"/>
      <w:marRight w:val="0"/>
      <w:marTop w:val="0"/>
      <w:marBottom w:val="0"/>
      <w:divBdr>
        <w:top w:val="none" w:sz="0" w:space="0" w:color="auto"/>
        <w:left w:val="none" w:sz="0" w:space="0" w:color="auto"/>
        <w:bottom w:val="none" w:sz="0" w:space="0" w:color="auto"/>
        <w:right w:val="none" w:sz="0" w:space="0" w:color="auto"/>
      </w:divBdr>
    </w:div>
    <w:div w:id="945624245">
      <w:marLeft w:val="0"/>
      <w:marRight w:val="0"/>
      <w:marTop w:val="0"/>
      <w:marBottom w:val="0"/>
      <w:divBdr>
        <w:top w:val="none" w:sz="0" w:space="0" w:color="auto"/>
        <w:left w:val="none" w:sz="0" w:space="0" w:color="auto"/>
        <w:bottom w:val="none" w:sz="0" w:space="0" w:color="auto"/>
        <w:right w:val="none" w:sz="0" w:space="0" w:color="auto"/>
      </w:divBdr>
    </w:div>
    <w:div w:id="945624246">
      <w:marLeft w:val="0"/>
      <w:marRight w:val="0"/>
      <w:marTop w:val="0"/>
      <w:marBottom w:val="0"/>
      <w:divBdr>
        <w:top w:val="none" w:sz="0" w:space="0" w:color="auto"/>
        <w:left w:val="none" w:sz="0" w:space="0" w:color="auto"/>
        <w:bottom w:val="none" w:sz="0" w:space="0" w:color="auto"/>
        <w:right w:val="none" w:sz="0" w:space="0" w:color="auto"/>
      </w:divBdr>
    </w:div>
    <w:div w:id="945624247">
      <w:marLeft w:val="0"/>
      <w:marRight w:val="0"/>
      <w:marTop w:val="0"/>
      <w:marBottom w:val="0"/>
      <w:divBdr>
        <w:top w:val="none" w:sz="0" w:space="0" w:color="auto"/>
        <w:left w:val="none" w:sz="0" w:space="0" w:color="auto"/>
        <w:bottom w:val="none" w:sz="0" w:space="0" w:color="auto"/>
        <w:right w:val="none" w:sz="0" w:space="0" w:color="auto"/>
      </w:divBdr>
    </w:div>
    <w:div w:id="945624248">
      <w:marLeft w:val="0"/>
      <w:marRight w:val="0"/>
      <w:marTop w:val="0"/>
      <w:marBottom w:val="0"/>
      <w:divBdr>
        <w:top w:val="none" w:sz="0" w:space="0" w:color="auto"/>
        <w:left w:val="none" w:sz="0" w:space="0" w:color="auto"/>
        <w:bottom w:val="none" w:sz="0" w:space="0" w:color="auto"/>
        <w:right w:val="none" w:sz="0" w:space="0" w:color="auto"/>
      </w:divBdr>
    </w:div>
    <w:div w:id="945624250">
      <w:marLeft w:val="0"/>
      <w:marRight w:val="0"/>
      <w:marTop w:val="0"/>
      <w:marBottom w:val="0"/>
      <w:divBdr>
        <w:top w:val="none" w:sz="0" w:space="0" w:color="auto"/>
        <w:left w:val="none" w:sz="0" w:space="0" w:color="auto"/>
        <w:bottom w:val="none" w:sz="0" w:space="0" w:color="auto"/>
        <w:right w:val="none" w:sz="0" w:space="0" w:color="auto"/>
      </w:divBdr>
    </w:div>
    <w:div w:id="945624251">
      <w:marLeft w:val="0"/>
      <w:marRight w:val="0"/>
      <w:marTop w:val="0"/>
      <w:marBottom w:val="0"/>
      <w:divBdr>
        <w:top w:val="none" w:sz="0" w:space="0" w:color="auto"/>
        <w:left w:val="none" w:sz="0" w:space="0" w:color="auto"/>
        <w:bottom w:val="none" w:sz="0" w:space="0" w:color="auto"/>
        <w:right w:val="none" w:sz="0" w:space="0" w:color="auto"/>
      </w:divBdr>
    </w:div>
    <w:div w:id="945624252">
      <w:marLeft w:val="0"/>
      <w:marRight w:val="0"/>
      <w:marTop w:val="0"/>
      <w:marBottom w:val="0"/>
      <w:divBdr>
        <w:top w:val="none" w:sz="0" w:space="0" w:color="auto"/>
        <w:left w:val="none" w:sz="0" w:space="0" w:color="auto"/>
        <w:bottom w:val="none" w:sz="0" w:space="0" w:color="auto"/>
        <w:right w:val="none" w:sz="0" w:space="0" w:color="auto"/>
      </w:divBdr>
    </w:div>
    <w:div w:id="945624253">
      <w:marLeft w:val="0"/>
      <w:marRight w:val="0"/>
      <w:marTop w:val="0"/>
      <w:marBottom w:val="0"/>
      <w:divBdr>
        <w:top w:val="none" w:sz="0" w:space="0" w:color="auto"/>
        <w:left w:val="none" w:sz="0" w:space="0" w:color="auto"/>
        <w:bottom w:val="none" w:sz="0" w:space="0" w:color="auto"/>
        <w:right w:val="none" w:sz="0" w:space="0" w:color="auto"/>
      </w:divBdr>
    </w:div>
    <w:div w:id="945624255">
      <w:marLeft w:val="0"/>
      <w:marRight w:val="0"/>
      <w:marTop w:val="0"/>
      <w:marBottom w:val="0"/>
      <w:divBdr>
        <w:top w:val="none" w:sz="0" w:space="0" w:color="auto"/>
        <w:left w:val="none" w:sz="0" w:space="0" w:color="auto"/>
        <w:bottom w:val="none" w:sz="0" w:space="0" w:color="auto"/>
        <w:right w:val="none" w:sz="0" w:space="0" w:color="auto"/>
      </w:divBdr>
    </w:div>
    <w:div w:id="945624256">
      <w:marLeft w:val="0"/>
      <w:marRight w:val="0"/>
      <w:marTop w:val="0"/>
      <w:marBottom w:val="0"/>
      <w:divBdr>
        <w:top w:val="none" w:sz="0" w:space="0" w:color="auto"/>
        <w:left w:val="none" w:sz="0" w:space="0" w:color="auto"/>
        <w:bottom w:val="none" w:sz="0" w:space="0" w:color="auto"/>
        <w:right w:val="none" w:sz="0" w:space="0" w:color="auto"/>
      </w:divBdr>
    </w:div>
    <w:div w:id="945624257">
      <w:marLeft w:val="0"/>
      <w:marRight w:val="0"/>
      <w:marTop w:val="0"/>
      <w:marBottom w:val="0"/>
      <w:divBdr>
        <w:top w:val="none" w:sz="0" w:space="0" w:color="auto"/>
        <w:left w:val="none" w:sz="0" w:space="0" w:color="auto"/>
        <w:bottom w:val="none" w:sz="0" w:space="0" w:color="auto"/>
        <w:right w:val="none" w:sz="0" w:space="0" w:color="auto"/>
      </w:divBdr>
    </w:div>
    <w:div w:id="945624258">
      <w:marLeft w:val="0"/>
      <w:marRight w:val="0"/>
      <w:marTop w:val="0"/>
      <w:marBottom w:val="0"/>
      <w:divBdr>
        <w:top w:val="none" w:sz="0" w:space="0" w:color="auto"/>
        <w:left w:val="none" w:sz="0" w:space="0" w:color="auto"/>
        <w:bottom w:val="none" w:sz="0" w:space="0" w:color="auto"/>
        <w:right w:val="none" w:sz="0" w:space="0" w:color="auto"/>
      </w:divBdr>
      <w:divsChild>
        <w:div w:id="945624194">
          <w:marLeft w:val="0"/>
          <w:marRight w:val="0"/>
          <w:marTop w:val="0"/>
          <w:marBottom w:val="0"/>
          <w:divBdr>
            <w:top w:val="none" w:sz="0" w:space="0" w:color="auto"/>
            <w:left w:val="none" w:sz="0" w:space="0" w:color="auto"/>
            <w:bottom w:val="none" w:sz="0" w:space="0" w:color="auto"/>
            <w:right w:val="none" w:sz="0" w:space="0" w:color="auto"/>
          </w:divBdr>
        </w:div>
      </w:divsChild>
    </w:div>
    <w:div w:id="945624259">
      <w:marLeft w:val="0"/>
      <w:marRight w:val="0"/>
      <w:marTop w:val="0"/>
      <w:marBottom w:val="0"/>
      <w:divBdr>
        <w:top w:val="none" w:sz="0" w:space="0" w:color="auto"/>
        <w:left w:val="none" w:sz="0" w:space="0" w:color="auto"/>
        <w:bottom w:val="none" w:sz="0" w:space="0" w:color="auto"/>
        <w:right w:val="none" w:sz="0" w:space="0" w:color="auto"/>
      </w:divBdr>
    </w:div>
    <w:div w:id="945624260">
      <w:marLeft w:val="0"/>
      <w:marRight w:val="0"/>
      <w:marTop w:val="0"/>
      <w:marBottom w:val="0"/>
      <w:divBdr>
        <w:top w:val="none" w:sz="0" w:space="0" w:color="auto"/>
        <w:left w:val="none" w:sz="0" w:space="0" w:color="auto"/>
        <w:bottom w:val="none" w:sz="0" w:space="0" w:color="auto"/>
        <w:right w:val="none" w:sz="0" w:space="0" w:color="auto"/>
      </w:divBdr>
    </w:div>
    <w:div w:id="945624261">
      <w:marLeft w:val="0"/>
      <w:marRight w:val="0"/>
      <w:marTop w:val="0"/>
      <w:marBottom w:val="0"/>
      <w:divBdr>
        <w:top w:val="none" w:sz="0" w:space="0" w:color="auto"/>
        <w:left w:val="none" w:sz="0" w:space="0" w:color="auto"/>
        <w:bottom w:val="none" w:sz="0" w:space="0" w:color="auto"/>
        <w:right w:val="none" w:sz="0" w:space="0" w:color="auto"/>
      </w:divBdr>
    </w:div>
    <w:div w:id="945624263">
      <w:marLeft w:val="0"/>
      <w:marRight w:val="0"/>
      <w:marTop w:val="0"/>
      <w:marBottom w:val="0"/>
      <w:divBdr>
        <w:top w:val="none" w:sz="0" w:space="0" w:color="auto"/>
        <w:left w:val="none" w:sz="0" w:space="0" w:color="auto"/>
        <w:bottom w:val="none" w:sz="0" w:space="0" w:color="auto"/>
        <w:right w:val="none" w:sz="0" w:space="0" w:color="auto"/>
      </w:divBdr>
    </w:div>
    <w:div w:id="945624264">
      <w:marLeft w:val="0"/>
      <w:marRight w:val="0"/>
      <w:marTop w:val="0"/>
      <w:marBottom w:val="0"/>
      <w:divBdr>
        <w:top w:val="none" w:sz="0" w:space="0" w:color="auto"/>
        <w:left w:val="none" w:sz="0" w:space="0" w:color="auto"/>
        <w:bottom w:val="none" w:sz="0" w:space="0" w:color="auto"/>
        <w:right w:val="none" w:sz="0" w:space="0" w:color="auto"/>
      </w:divBdr>
    </w:div>
    <w:div w:id="945624265">
      <w:marLeft w:val="0"/>
      <w:marRight w:val="0"/>
      <w:marTop w:val="0"/>
      <w:marBottom w:val="0"/>
      <w:divBdr>
        <w:top w:val="none" w:sz="0" w:space="0" w:color="auto"/>
        <w:left w:val="none" w:sz="0" w:space="0" w:color="auto"/>
        <w:bottom w:val="none" w:sz="0" w:space="0" w:color="auto"/>
        <w:right w:val="none" w:sz="0" w:space="0" w:color="auto"/>
      </w:divBdr>
    </w:div>
    <w:div w:id="945624266">
      <w:marLeft w:val="0"/>
      <w:marRight w:val="0"/>
      <w:marTop w:val="0"/>
      <w:marBottom w:val="0"/>
      <w:divBdr>
        <w:top w:val="none" w:sz="0" w:space="0" w:color="auto"/>
        <w:left w:val="none" w:sz="0" w:space="0" w:color="auto"/>
        <w:bottom w:val="none" w:sz="0" w:space="0" w:color="auto"/>
        <w:right w:val="none" w:sz="0" w:space="0" w:color="auto"/>
      </w:divBdr>
    </w:div>
    <w:div w:id="945624267">
      <w:marLeft w:val="0"/>
      <w:marRight w:val="0"/>
      <w:marTop w:val="0"/>
      <w:marBottom w:val="0"/>
      <w:divBdr>
        <w:top w:val="none" w:sz="0" w:space="0" w:color="auto"/>
        <w:left w:val="none" w:sz="0" w:space="0" w:color="auto"/>
        <w:bottom w:val="none" w:sz="0" w:space="0" w:color="auto"/>
        <w:right w:val="none" w:sz="0" w:space="0" w:color="auto"/>
      </w:divBdr>
    </w:div>
    <w:div w:id="945624268">
      <w:marLeft w:val="0"/>
      <w:marRight w:val="0"/>
      <w:marTop w:val="0"/>
      <w:marBottom w:val="0"/>
      <w:divBdr>
        <w:top w:val="none" w:sz="0" w:space="0" w:color="auto"/>
        <w:left w:val="none" w:sz="0" w:space="0" w:color="auto"/>
        <w:bottom w:val="none" w:sz="0" w:space="0" w:color="auto"/>
        <w:right w:val="none" w:sz="0" w:space="0" w:color="auto"/>
      </w:divBdr>
    </w:div>
    <w:div w:id="945624269">
      <w:marLeft w:val="0"/>
      <w:marRight w:val="0"/>
      <w:marTop w:val="0"/>
      <w:marBottom w:val="0"/>
      <w:divBdr>
        <w:top w:val="none" w:sz="0" w:space="0" w:color="auto"/>
        <w:left w:val="none" w:sz="0" w:space="0" w:color="auto"/>
        <w:bottom w:val="none" w:sz="0" w:space="0" w:color="auto"/>
        <w:right w:val="none" w:sz="0" w:space="0" w:color="auto"/>
      </w:divBdr>
    </w:div>
    <w:div w:id="945624270">
      <w:marLeft w:val="0"/>
      <w:marRight w:val="0"/>
      <w:marTop w:val="0"/>
      <w:marBottom w:val="0"/>
      <w:divBdr>
        <w:top w:val="none" w:sz="0" w:space="0" w:color="auto"/>
        <w:left w:val="none" w:sz="0" w:space="0" w:color="auto"/>
        <w:bottom w:val="none" w:sz="0" w:space="0" w:color="auto"/>
        <w:right w:val="none" w:sz="0" w:space="0" w:color="auto"/>
      </w:divBdr>
    </w:div>
    <w:div w:id="945624271">
      <w:marLeft w:val="0"/>
      <w:marRight w:val="0"/>
      <w:marTop w:val="0"/>
      <w:marBottom w:val="0"/>
      <w:divBdr>
        <w:top w:val="none" w:sz="0" w:space="0" w:color="auto"/>
        <w:left w:val="none" w:sz="0" w:space="0" w:color="auto"/>
        <w:bottom w:val="none" w:sz="0" w:space="0" w:color="auto"/>
        <w:right w:val="none" w:sz="0" w:space="0" w:color="auto"/>
      </w:divBdr>
    </w:div>
    <w:div w:id="945624272">
      <w:marLeft w:val="0"/>
      <w:marRight w:val="0"/>
      <w:marTop w:val="0"/>
      <w:marBottom w:val="0"/>
      <w:divBdr>
        <w:top w:val="none" w:sz="0" w:space="0" w:color="auto"/>
        <w:left w:val="none" w:sz="0" w:space="0" w:color="auto"/>
        <w:bottom w:val="none" w:sz="0" w:space="0" w:color="auto"/>
        <w:right w:val="none" w:sz="0" w:space="0" w:color="auto"/>
      </w:divBdr>
    </w:div>
    <w:div w:id="945624273">
      <w:marLeft w:val="0"/>
      <w:marRight w:val="0"/>
      <w:marTop w:val="0"/>
      <w:marBottom w:val="0"/>
      <w:divBdr>
        <w:top w:val="none" w:sz="0" w:space="0" w:color="auto"/>
        <w:left w:val="none" w:sz="0" w:space="0" w:color="auto"/>
        <w:bottom w:val="none" w:sz="0" w:space="0" w:color="auto"/>
        <w:right w:val="none" w:sz="0" w:space="0" w:color="auto"/>
      </w:divBdr>
    </w:div>
    <w:div w:id="945624274">
      <w:marLeft w:val="0"/>
      <w:marRight w:val="0"/>
      <w:marTop w:val="0"/>
      <w:marBottom w:val="0"/>
      <w:divBdr>
        <w:top w:val="none" w:sz="0" w:space="0" w:color="auto"/>
        <w:left w:val="none" w:sz="0" w:space="0" w:color="auto"/>
        <w:bottom w:val="none" w:sz="0" w:space="0" w:color="auto"/>
        <w:right w:val="none" w:sz="0" w:space="0" w:color="auto"/>
      </w:divBdr>
    </w:div>
    <w:div w:id="945624275">
      <w:marLeft w:val="0"/>
      <w:marRight w:val="0"/>
      <w:marTop w:val="0"/>
      <w:marBottom w:val="0"/>
      <w:divBdr>
        <w:top w:val="none" w:sz="0" w:space="0" w:color="auto"/>
        <w:left w:val="none" w:sz="0" w:space="0" w:color="auto"/>
        <w:bottom w:val="none" w:sz="0" w:space="0" w:color="auto"/>
        <w:right w:val="none" w:sz="0" w:space="0" w:color="auto"/>
      </w:divBdr>
    </w:div>
    <w:div w:id="945624277">
      <w:marLeft w:val="0"/>
      <w:marRight w:val="0"/>
      <w:marTop w:val="0"/>
      <w:marBottom w:val="0"/>
      <w:divBdr>
        <w:top w:val="none" w:sz="0" w:space="0" w:color="auto"/>
        <w:left w:val="none" w:sz="0" w:space="0" w:color="auto"/>
        <w:bottom w:val="none" w:sz="0" w:space="0" w:color="auto"/>
        <w:right w:val="none" w:sz="0" w:space="0" w:color="auto"/>
      </w:divBdr>
    </w:div>
    <w:div w:id="945624278">
      <w:marLeft w:val="0"/>
      <w:marRight w:val="0"/>
      <w:marTop w:val="0"/>
      <w:marBottom w:val="0"/>
      <w:divBdr>
        <w:top w:val="none" w:sz="0" w:space="0" w:color="auto"/>
        <w:left w:val="none" w:sz="0" w:space="0" w:color="auto"/>
        <w:bottom w:val="none" w:sz="0" w:space="0" w:color="auto"/>
        <w:right w:val="none" w:sz="0" w:space="0" w:color="auto"/>
      </w:divBdr>
    </w:div>
    <w:div w:id="945624279">
      <w:marLeft w:val="0"/>
      <w:marRight w:val="0"/>
      <w:marTop w:val="0"/>
      <w:marBottom w:val="0"/>
      <w:divBdr>
        <w:top w:val="none" w:sz="0" w:space="0" w:color="auto"/>
        <w:left w:val="none" w:sz="0" w:space="0" w:color="auto"/>
        <w:bottom w:val="none" w:sz="0" w:space="0" w:color="auto"/>
        <w:right w:val="none" w:sz="0" w:space="0" w:color="auto"/>
      </w:divBdr>
    </w:div>
    <w:div w:id="945624280">
      <w:marLeft w:val="0"/>
      <w:marRight w:val="0"/>
      <w:marTop w:val="0"/>
      <w:marBottom w:val="0"/>
      <w:divBdr>
        <w:top w:val="none" w:sz="0" w:space="0" w:color="auto"/>
        <w:left w:val="none" w:sz="0" w:space="0" w:color="auto"/>
        <w:bottom w:val="none" w:sz="0" w:space="0" w:color="auto"/>
        <w:right w:val="none" w:sz="0" w:space="0" w:color="auto"/>
      </w:divBdr>
    </w:div>
    <w:div w:id="945624281">
      <w:marLeft w:val="0"/>
      <w:marRight w:val="0"/>
      <w:marTop w:val="0"/>
      <w:marBottom w:val="0"/>
      <w:divBdr>
        <w:top w:val="none" w:sz="0" w:space="0" w:color="auto"/>
        <w:left w:val="none" w:sz="0" w:space="0" w:color="auto"/>
        <w:bottom w:val="none" w:sz="0" w:space="0" w:color="auto"/>
        <w:right w:val="none" w:sz="0" w:space="0" w:color="auto"/>
      </w:divBdr>
    </w:div>
    <w:div w:id="945624282">
      <w:marLeft w:val="0"/>
      <w:marRight w:val="0"/>
      <w:marTop w:val="0"/>
      <w:marBottom w:val="0"/>
      <w:divBdr>
        <w:top w:val="none" w:sz="0" w:space="0" w:color="auto"/>
        <w:left w:val="none" w:sz="0" w:space="0" w:color="auto"/>
        <w:bottom w:val="none" w:sz="0" w:space="0" w:color="auto"/>
        <w:right w:val="none" w:sz="0" w:space="0" w:color="auto"/>
      </w:divBdr>
    </w:div>
    <w:div w:id="945624284">
      <w:marLeft w:val="0"/>
      <w:marRight w:val="0"/>
      <w:marTop w:val="0"/>
      <w:marBottom w:val="0"/>
      <w:divBdr>
        <w:top w:val="none" w:sz="0" w:space="0" w:color="auto"/>
        <w:left w:val="none" w:sz="0" w:space="0" w:color="auto"/>
        <w:bottom w:val="none" w:sz="0" w:space="0" w:color="auto"/>
        <w:right w:val="none" w:sz="0" w:space="0" w:color="auto"/>
      </w:divBdr>
    </w:div>
    <w:div w:id="945624285">
      <w:marLeft w:val="0"/>
      <w:marRight w:val="0"/>
      <w:marTop w:val="0"/>
      <w:marBottom w:val="0"/>
      <w:divBdr>
        <w:top w:val="none" w:sz="0" w:space="0" w:color="auto"/>
        <w:left w:val="none" w:sz="0" w:space="0" w:color="auto"/>
        <w:bottom w:val="none" w:sz="0" w:space="0" w:color="auto"/>
        <w:right w:val="none" w:sz="0" w:space="0" w:color="auto"/>
      </w:divBdr>
    </w:div>
    <w:div w:id="945624286">
      <w:marLeft w:val="0"/>
      <w:marRight w:val="0"/>
      <w:marTop w:val="0"/>
      <w:marBottom w:val="0"/>
      <w:divBdr>
        <w:top w:val="none" w:sz="0" w:space="0" w:color="auto"/>
        <w:left w:val="none" w:sz="0" w:space="0" w:color="auto"/>
        <w:bottom w:val="none" w:sz="0" w:space="0" w:color="auto"/>
        <w:right w:val="none" w:sz="0" w:space="0" w:color="auto"/>
      </w:divBdr>
    </w:div>
    <w:div w:id="945624287">
      <w:marLeft w:val="0"/>
      <w:marRight w:val="0"/>
      <w:marTop w:val="0"/>
      <w:marBottom w:val="0"/>
      <w:divBdr>
        <w:top w:val="none" w:sz="0" w:space="0" w:color="auto"/>
        <w:left w:val="none" w:sz="0" w:space="0" w:color="auto"/>
        <w:bottom w:val="none" w:sz="0" w:space="0" w:color="auto"/>
        <w:right w:val="none" w:sz="0" w:space="0" w:color="auto"/>
      </w:divBdr>
    </w:div>
    <w:div w:id="945624288">
      <w:marLeft w:val="0"/>
      <w:marRight w:val="0"/>
      <w:marTop w:val="0"/>
      <w:marBottom w:val="0"/>
      <w:divBdr>
        <w:top w:val="none" w:sz="0" w:space="0" w:color="auto"/>
        <w:left w:val="none" w:sz="0" w:space="0" w:color="auto"/>
        <w:bottom w:val="none" w:sz="0" w:space="0" w:color="auto"/>
        <w:right w:val="none" w:sz="0" w:space="0" w:color="auto"/>
      </w:divBdr>
    </w:div>
    <w:div w:id="945624290">
      <w:marLeft w:val="0"/>
      <w:marRight w:val="0"/>
      <w:marTop w:val="0"/>
      <w:marBottom w:val="0"/>
      <w:divBdr>
        <w:top w:val="none" w:sz="0" w:space="0" w:color="auto"/>
        <w:left w:val="none" w:sz="0" w:space="0" w:color="auto"/>
        <w:bottom w:val="none" w:sz="0" w:space="0" w:color="auto"/>
        <w:right w:val="none" w:sz="0" w:space="0" w:color="auto"/>
      </w:divBdr>
    </w:div>
    <w:div w:id="945624292">
      <w:marLeft w:val="0"/>
      <w:marRight w:val="0"/>
      <w:marTop w:val="0"/>
      <w:marBottom w:val="0"/>
      <w:divBdr>
        <w:top w:val="none" w:sz="0" w:space="0" w:color="auto"/>
        <w:left w:val="none" w:sz="0" w:space="0" w:color="auto"/>
        <w:bottom w:val="none" w:sz="0" w:space="0" w:color="auto"/>
        <w:right w:val="none" w:sz="0" w:space="0" w:color="auto"/>
      </w:divBdr>
    </w:div>
    <w:div w:id="945624293">
      <w:marLeft w:val="0"/>
      <w:marRight w:val="0"/>
      <w:marTop w:val="0"/>
      <w:marBottom w:val="0"/>
      <w:divBdr>
        <w:top w:val="none" w:sz="0" w:space="0" w:color="auto"/>
        <w:left w:val="none" w:sz="0" w:space="0" w:color="auto"/>
        <w:bottom w:val="none" w:sz="0" w:space="0" w:color="auto"/>
        <w:right w:val="none" w:sz="0" w:space="0" w:color="auto"/>
      </w:divBdr>
    </w:div>
    <w:div w:id="945624294">
      <w:marLeft w:val="0"/>
      <w:marRight w:val="0"/>
      <w:marTop w:val="0"/>
      <w:marBottom w:val="0"/>
      <w:divBdr>
        <w:top w:val="none" w:sz="0" w:space="0" w:color="auto"/>
        <w:left w:val="none" w:sz="0" w:space="0" w:color="auto"/>
        <w:bottom w:val="none" w:sz="0" w:space="0" w:color="auto"/>
        <w:right w:val="none" w:sz="0" w:space="0" w:color="auto"/>
      </w:divBdr>
    </w:div>
    <w:div w:id="945624295">
      <w:marLeft w:val="0"/>
      <w:marRight w:val="0"/>
      <w:marTop w:val="0"/>
      <w:marBottom w:val="0"/>
      <w:divBdr>
        <w:top w:val="none" w:sz="0" w:space="0" w:color="auto"/>
        <w:left w:val="none" w:sz="0" w:space="0" w:color="auto"/>
        <w:bottom w:val="none" w:sz="0" w:space="0" w:color="auto"/>
        <w:right w:val="none" w:sz="0" w:space="0" w:color="auto"/>
      </w:divBdr>
    </w:div>
    <w:div w:id="945624296">
      <w:marLeft w:val="0"/>
      <w:marRight w:val="0"/>
      <w:marTop w:val="0"/>
      <w:marBottom w:val="0"/>
      <w:divBdr>
        <w:top w:val="none" w:sz="0" w:space="0" w:color="auto"/>
        <w:left w:val="none" w:sz="0" w:space="0" w:color="auto"/>
        <w:bottom w:val="none" w:sz="0" w:space="0" w:color="auto"/>
        <w:right w:val="none" w:sz="0" w:space="0" w:color="auto"/>
      </w:divBdr>
    </w:div>
    <w:div w:id="945624297">
      <w:marLeft w:val="0"/>
      <w:marRight w:val="0"/>
      <w:marTop w:val="0"/>
      <w:marBottom w:val="0"/>
      <w:divBdr>
        <w:top w:val="none" w:sz="0" w:space="0" w:color="auto"/>
        <w:left w:val="none" w:sz="0" w:space="0" w:color="auto"/>
        <w:bottom w:val="none" w:sz="0" w:space="0" w:color="auto"/>
        <w:right w:val="none" w:sz="0" w:space="0" w:color="auto"/>
      </w:divBdr>
    </w:div>
    <w:div w:id="945624298">
      <w:marLeft w:val="0"/>
      <w:marRight w:val="0"/>
      <w:marTop w:val="0"/>
      <w:marBottom w:val="0"/>
      <w:divBdr>
        <w:top w:val="none" w:sz="0" w:space="0" w:color="auto"/>
        <w:left w:val="none" w:sz="0" w:space="0" w:color="auto"/>
        <w:bottom w:val="none" w:sz="0" w:space="0" w:color="auto"/>
        <w:right w:val="none" w:sz="0" w:space="0" w:color="auto"/>
      </w:divBdr>
    </w:div>
    <w:div w:id="945624299">
      <w:marLeft w:val="0"/>
      <w:marRight w:val="0"/>
      <w:marTop w:val="0"/>
      <w:marBottom w:val="0"/>
      <w:divBdr>
        <w:top w:val="none" w:sz="0" w:space="0" w:color="auto"/>
        <w:left w:val="none" w:sz="0" w:space="0" w:color="auto"/>
        <w:bottom w:val="none" w:sz="0" w:space="0" w:color="auto"/>
        <w:right w:val="none" w:sz="0" w:space="0" w:color="auto"/>
      </w:divBdr>
    </w:div>
    <w:div w:id="945624300">
      <w:marLeft w:val="0"/>
      <w:marRight w:val="0"/>
      <w:marTop w:val="0"/>
      <w:marBottom w:val="0"/>
      <w:divBdr>
        <w:top w:val="none" w:sz="0" w:space="0" w:color="auto"/>
        <w:left w:val="none" w:sz="0" w:space="0" w:color="auto"/>
        <w:bottom w:val="none" w:sz="0" w:space="0" w:color="auto"/>
        <w:right w:val="none" w:sz="0" w:space="0" w:color="auto"/>
      </w:divBdr>
    </w:div>
    <w:div w:id="945624301">
      <w:marLeft w:val="0"/>
      <w:marRight w:val="0"/>
      <w:marTop w:val="0"/>
      <w:marBottom w:val="0"/>
      <w:divBdr>
        <w:top w:val="none" w:sz="0" w:space="0" w:color="auto"/>
        <w:left w:val="none" w:sz="0" w:space="0" w:color="auto"/>
        <w:bottom w:val="none" w:sz="0" w:space="0" w:color="auto"/>
        <w:right w:val="none" w:sz="0" w:space="0" w:color="auto"/>
      </w:divBdr>
    </w:div>
    <w:div w:id="945624302">
      <w:marLeft w:val="0"/>
      <w:marRight w:val="0"/>
      <w:marTop w:val="0"/>
      <w:marBottom w:val="0"/>
      <w:divBdr>
        <w:top w:val="none" w:sz="0" w:space="0" w:color="auto"/>
        <w:left w:val="none" w:sz="0" w:space="0" w:color="auto"/>
        <w:bottom w:val="none" w:sz="0" w:space="0" w:color="auto"/>
        <w:right w:val="none" w:sz="0" w:space="0" w:color="auto"/>
      </w:divBdr>
    </w:div>
    <w:div w:id="945624303">
      <w:marLeft w:val="0"/>
      <w:marRight w:val="0"/>
      <w:marTop w:val="0"/>
      <w:marBottom w:val="0"/>
      <w:divBdr>
        <w:top w:val="none" w:sz="0" w:space="0" w:color="auto"/>
        <w:left w:val="none" w:sz="0" w:space="0" w:color="auto"/>
        <w:bottom w:val="none" w:sz="0" w:space="0" w:color="auto"/>
        <w:right w:val="none" w:sz="0" w:space="0" w:color="auto"/>
      </w:divBdr>
    </w:div>
    <w:div w:id="945624304">
      <w:marLeft w:val="0"/>
      <w:marRight w:val="0"/>
      <w:marTop w:val="0"/>
      <w:marBottom w:val="0"/>
      <w:divBdr>
        <w:top w:val="none" w:sz="0" w:space="0" w:color="auto"/>
        <w:left w:val="none" w:sz="0" w:space="0" w:color="auto"/>
        <w:bottom w:val="none" w:sz="0" w:space="0" w:color="auto"/>
        <w:right w:val="none" w:sz="0" w:space="0" w:color="auto"/>
      </w:divBdr>
    </w:div>
    <w:div w:id="945624305">
      <w:marLeft w:val="0"/>
      <w:marRight w:val="0"/>
      <w:marTop w:val="0"/>
      <w:marBottom w:val="0"/>
      <w:divBdr>
        <w:top w:val="none" w:sz="0" w:space="0" w:color="auto"/>
        <w:left w:val="none" w:sz="0" w:space="0" w:color="auto"/>
        <w:bottom w:val="none" w:sz="0" w:space="0" w:color="auto"/>
        <w:right w:val="none" w:sz="0" w:space="0" w:color="auto"/>
      </w:divBdr>
    </w:div>
    <w:div w:id="945624306">
      <w:marLeft w:val="0"/>
      <w:marRight w:val="0"/>
      <w:marTop w:val="0"/>
      <w:marBottom w:val="0"/>
      <w:divBdr>
        <w:top w:val="none" w:sz="0" w:space="0" w:color="auto"/>
        <w:left w:val="none" w:sz="0" w:space="0" w:color="auto"/>
        <w:bottom w:val="none" w:sz="0" w:space="0" w:color="auto"/>
        <w:right w:val="none" w:sz="0" w:space="0" w:color="auto"/>
      </w:divBdr>
    </w:div>
    <w:div w:id="945624307">
      <w:marLeft w:val="0"/>
      <w:marRight w:val="0"/>
      <w:marTop w:val="0"/>
      <w:marBottom w:val="0"/>
      <w:divBdr>
        <w:top w:val="none" w:sz="0" w:space="0" w:color="auto"/>
        <w:left w:val="none" w:sz="0" w:space="0" w:color="auto"/>
        <w:bottom w:val="none" w:sz="0" w:space="0" w:color="auto"/>
        <w:right w:val="none" w:sz="0" w:space="0" w:color="auto"/>
      </w:divBdr>
    </w:div>
    <w:div w:id="945624309">
      <w:marLeft w:val="0"/>
      <w:marRight w:val="0"/>
      <w:marTop w:val="0"/>
      <w:marBottom w:val="0"/>
      <w:divBdr>
        <w:top w:val="none" w:sz="0" w:space="0" w:color="auto"/>
        <w:left w:val="none" w:sz="0" w:space="0" w:color="auto"/>
        <w:bottom w:val="none" w:sz="0" w:space="0" w:color="auto"/>
        <w:right w:val="none" w:sz="0" w:space="0" w:color="auto"/>
      </w:divBdr>
    </w:div>
    <w:div w:id="949581018">
      <w:bodyDiv w:val="1"/>
      <w:marLeft w:val="0"/>
      <w:marRight w:val="0"/>
      <w:marTop w:val="0"/>
      <w:marBottom w:val="0"/>
      <w:divBdr>
        <w:top w:val="none" w:sz="0" w:space="0" w:color="auto"/>
        <w:left w:val="none" w:sz="0" w:space="0" w:color="auto"/>
        <w:bottom w:val="none" w:sz="0" w:space="0" w:color="auto"/>
        <w:right w:val="none" w:sz="0" w:space="0" w:color="auto"/>
      </w:divBdr>
    </w:div>
    <w:div w:id="952438776">
      <w:bodyDiv w:val="1"/>
      <w:marLeft w:val="0"/>
      <w:marRight w:val="0"/>
      <w:marTop w:val="0"/>
      <w:marBottom w:val="0"/>
      <w:divBdr>
        <w:top w:val="none" w:sz="0" w:space="0" w:color="auto"/>
        <w:left w:val="none" w:sz="0" w:space="0" w:color="auto"/>
        <w:bottom w:val="none" w:sz="0" w:space="0" w:color="auto"/>
        <w:right w:val="none" w:sz="0" w:space="0" w:color="auto"/>
      </w:divBdr>
    </w:div>
    <w:div w:id="959802811">
      <w:bodyDiv w:val="1"/>
      <w:marLeft w:val="0"/>
      <w:marRight w:val="0"/>
      <w:marTop w:val="0"/>
      <w:marBottom w:val="0"/>
      <w:divBdr>
        <w:top w:val="none" w:sz="0" w:space="0" w:color="auto"/>
        <w:left w:val="none" w:sz="0" w:space="0" w:color="auto"/>
        <w:bottom w:val="none" w:sz="0" w:space="0" w:color="auto"/>
        <w:right w:val="none" w:sz="0" w:space="0" w:color="auto"/>
      </w:divBdr>
    </w:div>
    <w:div w:id="961227548">
      <w:bodyDiv w:val="1"/>
      <w:marLeft w:val="0"/>
      <w:marRight w:val="0"/>
      <w:marTop w:val="0"/>
      <w:marBottom w:val="0"/>
      <w:divBdr>
        <w:top w:val="none" w:sz="0" w:space="0" w:color="auto"/>
        <w:left w:val="none" w:sz="0" w:space="0" w:color="auto"/>
        <w:bottom w:val="none" w:sz="0" w:space="0" w:color="auto"/>
        <w:right w:val="none" w:sz="0" w:space="0" w:color="auto"/>
      </w:divBdr>
    </w:div>
    <w:div w:id="966010093">
      <w:bodyDiv w:val="1"/>
      <w:marLeft w:val="0"/>
      <w:marRight w:val="0"/>
      <w:marTop w:val="0"/>
      <w:marBottom w:val="0"/>
      <w:divBdr>
        <w:top w:val="none" w:sz="0" w:space="0" w:color="auto"/>
        <w:left w:val="none" w:sz="0" w:space="0" w:color="auto"/>
        <w:bottom w:val="none" w:sz="0" w:space="0" w:color="auto"/>
        <w:right w:val="none" w:sz="0" w:space="0" w:color="auto"/>
      </w:divBdr>
    </w:div>
    <w:div w:id="975447903">
      <w:bodyDiv w:val="1"/>
      <w:marLeft w:val="0"/>
      <w:marRight w:val="0"/>
      <w:marTop w:val="0"/>
      <w:marBottom w:val="0"/>
      <w:divBdr>
        <w:top w:val="none" w:sz="0" w:space="0" w:color="auto"/>
        <w:left w:val="none" w:sz="0" w:space="0" w:color="auto"/>
        <w:bottom w:val="none" w:sz="0" w:space="0" w:color="auto"/>
        <w:right w:val="none" w:sz="0" w:space="0" w:color="auto"/>
      </w:divBdr>
    </w:div>
    <w:div w:id="975992743">
      <w:bodyDiv w:val="1"/>
      <w:marLeft w:val="0"/>
      <w:marRight w:val="0"/>
      <w:marTop w:val="0"/>
      <w:marBottom w:val="0"/>
      <w:divBdr>
        <w:top w:val="none" w:sz="0" w:space="0" w:color="auto"/>
        <w:left w:val="none" w:sz="0" w:space="0" w:color="auto"/>
        <w:bottom w:val="none" w:sz="0" w:space="0" w:color="auto"/>
        <w:right w:val="none" w:sz="0" w:space="0" w:color="auto"/>
      </w:divBdr>
    </w:div>
    <w:div w:id="977419104">
      <w:bodyDiv w:val="1"/>
      <w:marLeft w:val="0"/>
      <w:marRight w:val="0"/>
      <w:marTop w:val="0"/>
      <w:marBottom w:val="0"/>
      <w:divBdr>
        <w:top w:val="none" w:sz="0" w:space="0" w:color="auto"/>
        <w:left w:val="none" w:sz="0" w:space="0" w:color="auto"/>
        <w:bottom w:val="none" w:sz="0" w:space="0" w:color="auto"/>
        <w:right w:val="none" w:sz="0" w:space="0" w:color="auto"/>
      </w:divBdr>
    </w:div>
    <w:div w:id="1001398249">
      <w:bodyDiv w:val="1"/>
      <w:marLeft w:val="0"/>
      <w:marRight w:val="0"/>
      <w:marTop w:val="0"/>
      <w:marBottom w:val="0"/>
      <w:divBdr>
        <w:top w:val="none" w:sz="0" w:space="0" w:color="auto"/>
        <w:left w:val="none" w:sz="0" w:space="0" w:color="auto"/>
        <w:bottom w:val="none" w:sz="0" w:space="0" w:color="auto"/>
        <w:right w:val="none" w:sz="0" w:space="0" w:color="auto"/>
      </w:divBdr>
    </w:div>
    <w:div w:id="1004085880">
      <w:bodyDiv w:val="1"/>
      <w:marLeft w:val="0"/>
      <w:marRight w:val="0"/>
      <w:marTop w:val="0"/>
      <w:marBottom w:val="0"/>
      <w:divBdr>
        <w:top w:val="none" w:sz="0" w:space="0" w:color="auto"/>
        <w:left w:val="none" w:sz="0" w:space="0" w:color="auto"/>
        <w:bottom w:val="none" w:sz="0" w:space="0" w:color="auto"/>
        <w:right w:val="none" w:sz="0" w:space="0" w:color="auto"/>
      </w:divBdr>
    </w:div>
    <w:div w:id="1012531942">
      <w:bodyDiv w:val="1"/>
      <w:marLeft w:val="0"/>
      <w:marRight w:val="0"/>
      <w:marTop w:val="0"/>
      <w:marBottom w:val="0"/>
      <w:divBdr>
        <w:top w:val="none" w:sz="0" w:space="0" w:color="auto"/>
        <w:left w:val="none" w:sz="0" w:space="0" w:color="auto"/>
        <w:bottom w:val="none" w:sz="0" w:space="0" w:color="auto"/>
        <w:right w:val="none" w:sz="0" w:space="0" w:color="auto"/>
      </w:divBdr>
    </w:div>
    <w:div w:id="1017537858">
      <w:bodyDiv w:val="1"/>
      <w:marLeft w:val="0"/>
      <w:marRight w:val="0"/>
      <w:marTop w:val="0"/>
      <w:marBottom w:val="0"/>
      <w:divBdr>
        <w:top w:val="none" w:sz="0" w:space="0" w:color="auto"/>
        <w:left w:val="none" w:sz="0" w:space="0" w:color="auto"/>
        <w:bottom w:val="none" w:sz="0" w:space="0" w:color="auto"/>
        <w:right w:val="none" w:sz="0" w:space="0" w:color="auto"/>
      </w:divBdr>
    </w:div>
    <w:div w:id="1018384132">
      <w:bodyDiv w:val="1"/>
      <w:marLeft w:val="0"/>
      <w:marRight w:val="0"/>
      <w:marTop w:val="0"/>
      <w:marBottom w:val="0"/>
      <w:divBdr>
        <w:top w:val="none" w:sz="0" w:space="0" w:color="auto"/>
        <w:left w:val="none" w:sz="0" w:space="0" w:color="auto"/>
        <w:bottom w:val="none" w:sz="0" w:space="0" w:color="auto"/>
        <w:right w:val="none" w:sz="0" w:space="0" w:color="auto"/>
      </w:divBdr>
    </w:div>
    <w:div w:id="1042630310">
      <w:bodyDiv w:val="1"/>
      <w:marLeft w:val="0"/>
      <w:marRight w:val="0"/>
      <w:marTop w:val="0"/>
      <w:marBottom w:val="0"/>
      <w:divBdr>
        <w:top w:val="none" w:sz="0" w:space="0" w:color="auto"/>
        <w:left w:val="none" w:sz="0" w:space="0" w:color="auto"/>
        <w:bottom w:val="none" w:sz="0" w:space="0" w:color="auto"/>
        <w:right w:val="none" w:sz="0" w:space="0" w:color="auto"/>
      </w:divBdr>
    </w:div>
    <w:div w:id="1050350004">
      <w:bodyDiv w:val="1"/>
      <w:marLeft w:val="0"/>
      <w:marRight w:val="0"/>
      <w:marTop w:val="0"/>
      <w:marBottom w:val="0"/>
      <w:divBdr>
        <w:top w:val="none" w:sz="0" w:space="0" w:color="auto"/>
        <w:left w:val="none" w:sz="0" w:space="0" w:color="auto"/>
        <w:bottom w:val="none" w:sz="0" w:space="0" w:color="auto"/>
        <w:right w:val="none" w:sz="0" w:space="0" w:color="auto"/>
      </w:divBdr>
    </w:div>
    <w:div w:id="1050614074">
      <w:bodyDiv w:val="1"/>
      <w:marLeft w:val="0"/>
      <w:marRight w:val="0"/>
      <w:marTop w:val="0"/>
      <w:marBottom w:val="0"/>
      <w:divBdr>
        <w:top w:val="none" w:sz="0" w:space="0" w:color="auto"/>
        <w:left w:val="none" w:sz="0" w:space="0" w:color="auto"/>
        <w:bottom w:val="none" w:sz="0" w:space="0" w:color="auto"/>
        <w:right w:val="none" w:sz="0" w:space="0" w:color="auto"/>
      </w:divBdr>
    </w:div>
    <w:div w:id="1057318515">
      <w:bodyDiv w:val="1"/>
      <w:marLeft w:val="0"/>
      <w:marRight w:val="0"/>
      <w:marTop w:val="0"/>
      <w:marBottom w:val="0"/>
      <w:divBdr>
        <w:top w:val="none" w:sz="0" w:space="0" w:color="auto"/>
        <w:left w:val="none" w:sz="0" w:space="0" w:color="auto"/>
        <w:bottom w:val="none" w:sz="0" w:space="0" w:color="auto"/>
        <w:right w:val="none" w:sz="0" w:space="0" w:color="auto"/>
      </w:divBdr>
    </w:div>
    <w:div w:id="1057778449">
      <w:bodyDiv w:val="1"/>
      <w:marLeft w:val="0"/>
      <w:marRight w:val="0"/>
      <w:marTop w:val="0"/>
      <w:marBottom w:val="0"/>
      <w:divBdr>
        <w:top w:val="none" w:sz="0" w:space="0" w:color="auto"/>
        <w:left w:val="none" w:sz="0" w:space="0" w:color="auto"/>
        <w:bottom w:val="none" w:sz="0" w:space="0" w:color="auto"/>
        <w:right w:val="none" w:sz="0" w:space="0" w:color="auto"/>
      </w:divBdr>
    </w:div>
    <w:div w:id="1060254519">
      <w:bodyDiv w:val="1"/>
      <w:marLeft w:val="0"/>
      <w:marRight w:val="0"/>
      <w:marTop w:val="0"/>
      <w:marBottom w:val="0"/>
      <w:divBdr>
        <w:top w:val="none" w:sz="0" w:space="0" w:color="auto"/>
        <w:left w:val="none" w:sz="0" w:space="0" w:color="auto"/>
        <w:bottom w:val="none" w:sz="0" w:space="0" w:color="auto"/>
        <w:right w:val="none" w:sz="0" w:space="0" w:color="auto"/>
      </w:divBdr>
    </w:div>
    <w:div w:id="1061632427">
      <w:bodyDiv w:val="1"/>
      <w:marLeft w:val="0"/>
      <w:marRight w:val="0"/>
      <w:marTop w:val="0"/>
      <w:marBottom w:val="0"/>
      <w:divBdr>
        <w:top w:val="none" w:sz="0" w:space="0" w:color="auto"/>
        <w:left w:val="none" w:sz="0" w:space="0" w:color="auto"/>
        <w:bottom w:val="none" w:sz="0" w:space="0" w:color="auto"/>
        <w:right w:val="none" w:sz="0" w:space="0" w:color="auto"/>
      </w:divBdr>
    </w:div>
    <w:div w:id="1063988579">
      <w:bodyDiv w:val="1"/>
      <w:marLeft w:val="0"/>
      <w:marRight w:val="0"/>
      <w:marTop w:val="0"/>
      <w:marBottom w:val="0"/>
      <w:divBdr>
        <w:top w:val="none" w:sz="0" w:space="0" w:color="auto"/>
        <w:left w:val="none" w:sz="0" w:space="0" w:color="auto"/>
        <w:bottom w:val="none" w:sz="0" w:space="0" w:color="auto"/>
        <w:right w:val="none" w:sz="0" w:space="0" w:color="auto"/>
      </w:divBdr>
    </w:div>
    <w:div w:id="1072460286">
      <w:bodyDiv w:val="1"/>
      <w:marLeft w:val="0"/>
      <w:marRight w:val="0"/>
      <w:marTop w:val="0"/>
      <w:marBottom w:val="0"/>
      <w:divBdr>
        <w:top w:val="none" w:sz="0" w:space="0" w:color="auto"/>
        <w:left w:val="none" w:sz="0" w:space="0" w:color="auto"/>
        <w:bottom w:val="none" w:sz="0" w:space="0" w:color="auto"/>
        <w:right w:val="none" w:sz="0" w:space="0" w:color="auto"/>
      </w:divBdr>
    </w:div>
    <w:div w:id="1074281973">
      <w:bodyDiv w:val="1"/>
      <w:marLeft w:val="0"/>
      <w:marRight w:val="0"/>
      <w:marTop w:val="0"/>
      <w:marBottom w:val="0"/>
      <w:divBdr>
        <w:top w:val="none" w:sz="0" w:space="0" w:color="auto"/>
        <w:left w:val="none" w:sz="0" w:space="0" w:color="auto"/>
        <w:bottom w:val="none" w:sz="0" w:space="0" w:color="auto"/>
        <w:right w:val="none" w:sz="0" w:space="0" w:color="auto"/>
      </w:divBdr>
    </w:div>
    <w:div w:id="1082140990">
      <w:bodyDiv w:val="1"/>
      <w:marLeft w:val="0"/>
      <w:marRight w:val="0"/>
      <w:marTop w:val="0"/>
      <w:marBottom w:val="0"/>
      <w:divBdr>
        <w:top w:val="none" w:sz="0" w:space="0" w:color="auto"/>
        <w:left w:val="none" w:sz="0" w:space="0" w:color="auto"/>
        <w:bottom w:val="none" w:sz="0" w:space="0" w:color="auto"/>
        <w:right w:val="none" w:sz="0" w:space="0" w:color="auto"/>
      </w:divBdr>
    </w:div>
    <w:div w:id="1082601977">
      <w:bodyDiv w:val="1"/>
      <w:marLeft w:val="0"/>
      <w:marRight w:val="0"/>
      <w:marTop w:val="0"/>
      <w:marBottom w:val="0"/>
      <w:divBdr>
        <w:top w:val="none" w:sz="0" w:space="0" w:color="auto"/>
        <w:left w:val="none" w:sz="0" w:space="0" w:color="auto"/>
        <w:bottom w:val="none" w:sz="0" w:space="0" w:color="auto"/>
        <w:right w:val="none" w:sz="0" w:space="0" w:color="auto"/>
      </w:divBdr>
    </w:div>
    <w:div w:id="1092700704">
      <w:bodyDiv w:val="1"/>
      <w:marLeft w:val="0"/>
      <w:marRight w:val="0"/>
      <w:marTop w:val="0"/>
      <w:marBottom w:val="0"/>
      <w:divBdr>
        <w:top w:val="none" w:sz="0" w:space="0" w:color="auto"/>
        <w:left w:val="none" w:sz="0" w:space="0" w:color="auto"/>
        <w:bottom w:val="none" w:sz="0" w:space="0" w:color="auto"/>
        <w:right w:val="none" w:sz="0" w:space="0" w:color="auto"/>
      </w:divBdr>
    </w:div>
    <w:div w:id="1098327279">
      <w:bodyDiv w:val="1"/>
      <w:marLeft w:val="0"/>
      <w:marRight w:val="0"/>
      <w:marTop w:val="0"/>
      <w:marBottom w:val="0"/>
      <w:divBdr>
        <w:top w:val="none" w:sz="0" w:space="0" w:color="auto"/>
        <w:left w:val="none" w:sz="0" w:space="0" w:color="auto"/>
        <w:bottom w:val="none" w:sz="0" w:space="0" w:color="auto"/>
        <w:right w:val="none" w:sz="0" w:space="0" w:color="auto"/>
      </w:divBdr>
    </w:div>
    <w:div w:id="1101074036">
      <w:bodyDiv w:val="1"/>
      <w:marLeft w:val="0"/>
      <w:marRight w:val="0"/>
      <w:marTop w:val="0"/>
      <w:marBottom w:val="0"/>
      <w:divBdr>
        <w:top w:val="none" w:sz="0" w:space="0" w:color="auto"/>
        <w:left w:val="none" w:sz="0" w:space="0" w:color="auto"/>
        <w:bottom w:val="none" w:sz="0" w:space="0" w:color="auto"/>
        <w:right w:val="none" w:sz="0" w:space="0" w:color="auto"/>
      </w:divBdr>
    </w:div>
    <w:div w:id="1122186196">
      <w:bodyDiv w:val="1"/>
      <w:marLeft w:val="0"/>
      <w:marRight w:val="0"/>
      <w:marTop w:val="0"/>
      <w:marBottom w:val="0"/>
      <w:divBdr>
        <w:top w:val="none" w:sz="0" w:space="0" w:color="auto"/>
        <w:left w:val="none" w:sz="0" w:space="0" w:color="auto"/>
        <w:bottom w:val="none" w:sz="0" w:space="0" w:color="auto"/>
        <w:right w:val="none" w:sz="0" w:space="0" w:color="auto"/>
      </w:divBdr>
    </w:div>
    <w:div w:id="1126314729">
      <w:bodyDiv w:val="1"/>
      <w:marLeft w:val="0"/>
      <w:marRight w:val="0"/>
      <w:marTop w:val="0"/>
      <w:marBottom w:val="0"/>
      <w:divBdr>
        <w:top w:val="none" w:sz="0" w:space="0" w:color="auto"/>
        <w:left w:val="none" w:sz="0" w:space="0" w:color="auto"/>
        <w:bottom w:val="none" w:sz="0" w:space="0" w:color="auto"/>
        <w:right w:val="none" w:sz="0" w:space="0" w:color="auto"/>
      </w:divBdr>
    </w:div>
    <w:div w:id="1133984542">
      <w:bodyDiv w:val="1"/>
      <w:marLeft w:val="0"/>
      <w:marRight w:val="0"/>
      <w:marTop w:val="0"/>
      <w:marBottom w:val="0"/>
      <w:divBdr>
        <w:top w:val="none" w:sz="0" w:space="0" w:color="auto"/>
        <w:left w:val="none" w:sz="0" w:space="0" w:color="auto"/>
        <w:bottom w:val="none" w:sz="0" w:space="0" w:color="auto"/>
        <w:right w:val="none" w:sz="0" w:space="0" w:color="auto"/>
      </w:divBdr>
    </w:div>
    <w:div w:id="1134984010">
      <w:bodyDiv w:val="1"/>
      <w:marLeft w:val="0"/>
      <w:marRight w:val="0"/>
      <w:marTop w:val="0"/>
      <w:marBottom w:val="0"/>
      <w:divBdr>
        <w:top w:val="none" w:sz="0" w:space="0" w:color="auto"/>
        <w:left w:val="none" w:sz="0" w:space="0" w:color="auto"/>
        <w:bottom w:val="none" w:sz="0" w:space="0" w:color="auto"/>
        <w:right w:val="none" w:sz="0" w:space="0" w:color="auto"/>
      </w:divBdr>
    </w:div>
    <w:div w:id="1136875335">
      <w:bodyDiv w:val="1"/>
      <w:marLeft w:val="0"/>
      <w:marRight w:val="0"/>
      <w:marTop w:val="0"/>
      <w:marBottom w:val="0"/>
      <w:divBdr>
        <w:top w:val="none" w:sz="0" w:space="0" w:color="auto"/>
        <w:left w:val="none" w:sz="0" w:space="0" w:color="auto"/>
        <w:bottom w:val="none" w:sz="0" w:space="0" w:color="auto"/>
        <w:right w:val="none" w:sz="0" w:space="0" w:color="auto"/>
      </w:divBdr>
    </w:div>
    <w:div w:id="1153108784">
      <w:bodyDiv w:val="1"/>
      <w:marLeft w:val="0"/>
      <w:marRight w:val="0"/>
      <w:marTop w:val="0"/>
      <w:marBottom w:val="0"/>
      <w:divBdr>
        <w:top w:val="none" w:sz="0" w:space="0" w:color="auto"/>
        <w:left w:val="none" w:sz="0" w:space="0" w:color="auto"/>
        <w:bottom w:val="none" w:sz="0" w:space="0" w:color="auto"/>
        <w:right w:val="none" w:sz="0" w:space="0" w:color="auto"/>
      </w:divBdr>
    </w:div>
    <w:div w:id="1154836375">
      <w:bodyDiv w:val="1"/>
      <w:marLeft w:val="0"/>
      <w:marRight w:val="0"/>
      <w:marTop w:val="0"/>
      <w:marBottom w:val="0"/>
      <w:divBdr>
        <w:top w:val="none" w:sz="0" w:space="0" w:color="auto"/>
        <w:left w:val="none" w:sz="0" w:space="0" w:color="auto"/>
        <w:bottom w:val="none" w:sz="0" w:space="0" w:color="auto"/>
        <w:right w:val="none" w:sz="0" w:space="0" w:color="auto"/>
      </w:divBdr>
    </w:div>
    <w:div w:id="1156917216">
      <w:bodyDiv w:val="1"/>
      <w:marLeft w:val="0"/>
      <w:marRight w:val="0"/>
      <w:marTop w:val="0"/>
      <w:marBottom w:val="0"/>
      <w:divBdr>
        <w:top w:val="none" w:sz="0" w:space="0" w:color="auto"/>
        <w:left w:val="none" w:sz="0" w:space="0" w:color="auto"/>
        <w:bottom w:val="none" w:sz="0" w:space="0" w:color="auto"/>
        <w:right w:val="none" w:sz="0" w:space="0" w:color="auto"/>
      </w:divBdr>
    </w:div>
    <w:div w:id="1162811302">
      <w:bodyDiv w:val="1"/>
      <w:marLeft w:val="0"/>
      <w:marRight w:val="0"/>
      <w:marTop w:val="0"/>
      <w:marBottom w:val="0"/>
      <w:divBdr>
        <w:top w:val="none" w:sz="0" w:space="0" w:color="auto"/>
        <w:left w:val="none" w:sz="0" w:space="0" w:color="auto"/>
        <w:bottom w:val="none" w:sz="0" w:space="0" w:color="auto"/>
        <w:right w:val="none" w:sz="0" w:space="0" w:color="auto"/>
      </w:divBdr>
    </w:div>
    <w:div w:id="1175144882">
      <w:bodyDiv w:val="1"/>
      <w:marLeft w:val="0"/>
      <w:marRight w:val="0"/>
      <w:marTop w:val="0"/>
      <w:marBottom w:val="0"/>
      <w:divBdr>
        <w:top w:val="none" w:sz="0" w:space="0" w:color="auto"/>
        <w:left w:val="none" w:sz="0" w:space="0" w:color="auto"/>
        <w:bottom w:val="none" w:sz="0" w:space="0" w:color="auto"/>
        <w:right w:val="none" w:sz="0" w:space="0" w:color="auto"/>
      </w:divBdr>
    </w:div>
    <w:div w:id="1175613631">
      <w:bodyDiv w:val="1"/>
      <w:marLeft w:val="0"/>
      <w:marRight w:val="0"/>
      <w:marTop w:val="0"/>
      <w:marBottom w:val="0"/>
      <w:divBdr>
        <w:top w:val="none" w:sz="0" w:space="0" w:color="auto"/>
        <w:left w:val="none" w:sz="0" w:space="0" w:color="auto"/>
        <w:bottom w:val="none" w:sz="0" w:space="0" w:color="auto"/>
        <w:right w:val="none" w:sz="0" w:space="0" w:color="auto"/>
      </w:divBdr>
    </w:div>
    <w:div w:id="1179810917">
      <w:bodyDiv w:val="1"/>
      <w:marLeft w:val="0"/>
      <w:marRight w:val="0"/>
      <w:marTop w:val="0"/>
      <w:marBottom w:val="0"/>
      <w:divBdr>
        <w:top w:val="none" w:sz="0" w:space="0" w:color="auto"/>
        <w:left w:val="none" w:sz="0" w:space="0" w:color="auto"/>
        <w:bottom w:val="none" w:sz="0" w:space="0" w:color="auto"/>
        <w:right w:val="none" w:sz="0" w:space="0" w:color="auto"/>
      </w:divBdr>
    </w:div>
    <w:div w:id="1188061122">
      <w:bodyDiv w:val="1"/>
      <w:marLeft w:val="0"/>
      <w:marRight w:val="0"/>
      <w:marTop w:val="0"/>
      <w:marBottom w:val="0"/>
      <w:divBdr>
        <w:top w:val="none" w:sz="0" w:space="0" w:color="auto"/>
        <w:left w:val="none" w:sz="0" w:space="0" w:color="auto"/>
        <w:bottom w:val="none" w:sz="0" w:space="0" w:color="auto"/>
        <w:right w:val="none" w:sz="0" w:space="0" w:color="auto"/>
      </w:divBdr>
    </w:div>
    <w:div w:id="1188372342">
      <w:bodyDiv w:val="1"/>
      <w:marLeft w:val="0"/>
      <w:marRight w:val="0"/>
      <w:marTop w:val="0"/>
      <w:marBottom w:val="0"/>
      <w:divBdr>
        <w:top w:val="none" w:sz="0" w:space="0" w:color="auto"/>
        <w:left w:val="none" w:sz="0" w:space="0" w:color="auto"/>
        <w:bottom w:val="none" w:sz="0" w:space="0" w:color="auto"/>
        <w:right w:val="none" w:sz="0" w:space="0" w:color="auto"/>
      </w:divBdr>
    </w:div>
    <w:div w:id="1190417653">
      <w:bodyDiv w:val="1"/>
      <w:marLeft w:val="0"/>
      <w:marRight w:val="0"/>
      <w:marTop w:val="0"/>
      <w:marBottom w:val="0"/>
      <w:divBdr>
        <w:top w:val="none" w:sz="0" w:space="0" w:color="auto"/>
        <w:left w:val="none" w:sz="0" w:space="0" w:color="auto"/>
        <w:bottom w:val="none" w:sz="0" w:space="0" w:color="auto"/>
        <w:right w:val="none" w:sz="0" w:space="0" w:color="auto"/>
      </w:divBdr>
    </w:div>
    <w:div w:id="1192066482">
      <w:bodyDiv w:val="1"/>
      <w:marLeft w:val="0"/>
      <w:marRight w:val="0"/>
      <w:marTop w:val="0"/>
      <w:marBottom w:val="0"/>
      <w:divBdr>
        <w:top w:val="none" w:sz="0" w:space="0" w:color="auto"/>
        <w:left w:val="none" w:sz="0" w:space="0" w:color="auto"/>
        <w:bottom w:val="none" w:sz="0" w:space="0" w:color="auto"/>
        <w:right w:val="none" w:sz="0" w:space="0" w:color="auto"/>
      </w:divBdr>
    </w:div>
    <w:div w:id="1193881431">
      <w:bodyDiv w:val="1"/>
      <w:marLeft w:val="0"/>
      <w:marRight w:val="0"/>
      <w:marTop w:val="0"/>
      <w:marBottom w:val="0"/>
      <w:divBdr>
        <w:top w:val="none" w:sz="0" w:space="0" w:color="auto"/>
        <w:left w:val="none" w:sz="0" w:space="0" w:color="auto"/>
        <w:bottom w:val="none" w:sz="0" w:space="0" w:color="auto"/>
        <w:right w:val="none" w:sz="0" w:space="0" w:color="auto"/>
      </w:divBdr>
    </w:div>
    <w:div w:id="1217280002">
      <w:bodyDiv w:val="1"/>
      <w:marLeft w:val="0"/>
      <w:marRight w:val="0"/>
      <w:marTop w:val="0"/>
      <w:marBottom w:val="0"/>
      <w:divBdr>
        <w:top w:val="none" w:sz="0" w:space="0" w:color="auto"/>
        <w:left w:val="none" w:sz="0" w:space="0" w:color="auto"/>
        <w:bottom w:val="none" w:sz="0" w:space="0" w:color="auto"/>
        <w:right w:val="none" w:sz="0" w:space="0" w:color="auto"/>
      </w:divBdr>
    </w:div>
    <w:div w:id="1225870618">
      <w:bodyDiv w:val="1"/>
      <w:marLeft w:val="0"/>
      <w:marRight w:val="0"/>
      <w:marTop w:val="0"/>
      <w:marBottom w:val="0"/>
      <w:divBdr>
        <w:top w:val="none" w:sz="0" w:space="0" w:color="auto"/>
        <w:left w:val="none" w:sz="0" w:space="0" w:color="auto"/>
        <w:bottom w:val="none" w:sz="0" w:space="0" w:color="auto"/>
        <w:right w:val="none" w:sz="0" w:space="0" w:color="auto"/>
      </w:divBdr>
    </w:div>
    <w:div w:id="1230074705">
      <w:bodyDiv w:val="1"/>
      <w:marLeft w:val="0"/>
      <w:marRight w:val="0"/>
      <w:marTop w:val="0"/>
      <w:marBottom w:val="0"/>
      <w:divBdr>
        <w:top w:val="none" w:sz="0" w:space="0" w:color="auto"/>
        <w:left w:val="none" w:sz="0" w:space="0" w:color="auto"/>
        <w:bottom w:val="none" w:sz="0" w:space="0" w:color="auto"/>
        <w:right w:val="none" w:sz="0" w:space="0" w:color="auto"/>
      </w:divBdr>
    </w:div>
    <w:div w:id="1231842007">
      <w:bodyDiv w:val="1"/>
      <w:marLeft w:val="0"/>
      <w:marRight w:val="0"/>
      <w:marTop w:val="0"/>
      <w:marBottom w:val="0"/>
      <w:divBdr>
        <w:top w:val="none" w:sz="0" w:space="0" w:color="auto"/>
        <w:left w:val="none" w:sz="0" w:space="0" w:color="auto"/>
        <w:bottom w:val="none" w:sz="0" w:space="0" w:color="auto"/>
        <w:right w:val="none" w:sz="0" w:space="0" w:color="auto"/>
      </w:divBdr>
    </w:div>
    <w:div w:id="1233353821">
      <w:bodyDiv w:val="1"/>
      <w:marLeft w:val="0"/>
      <w:marRight w:val="0"/>
      <w:marTop w:val="0"/>
      <w:marBottom w:val="0"/>
      <w:divBdr>
        <w:top w:val="none" w:sz="0" w:space="0" w:color="auto"/>
        <w:left w:val="none" w:sz="0" w:space="0" w:color="auto"/>
        <w:bottom w:val="none" w:sz="0" w:space="0" w:color="auto"/>
        <w:right w:val="none" w:sz="0" w:space="0" w:color="auto"/>
      </w:divBdr>
    </w:div>
    <w:div w:id="1233812414">
      <w:bodyDiv w:val="1"/>
      <w:marLeft w:val="0"/>
      <w:marRight w:val="0"/>
      <w:marTop w:val="0"/>
      <w:marBottom w:val="0"/>
      <w:divBdr>
        <w:top w:val="none" w:sz="0" w:space="0" w:color="auto"/>
        <w:left w:val="none" w:sz="0" w:space="0" w:color="auto"/>
        <w:bottom w:val="none" w:sz="0" w:space="0" w:color="auto"/>
        <w:right w:val="none" w:sz="0" w:space="0" w:color="auto"/>
      </w:divBdr>
    </w:div>
    <w:div w:id="1233924884">
      <w:bodyDiv w:val="1"/>
      <w:marLeft w:val="0"/>
      <w:marRight w:val="0"/>
      <w:marTop w:val="0"/>
      <w:marBottom w:val="0"/>
      <w:divBdr>
        <w:top w:val="none" w:sz="0" w:space="0" w:color="auto"/>
        <w:left w:val="none" w:sz="0" w:space="0" w:color="auto"/>
        <w:bottom w:val="none" w:sz="0" w:space="0" w:color="auto"/>
        <w:right w:val="none" w:sz="0" w:space="0" w:color="auto"/>
      </w:divBdr>
    </w:div>
    <w:div w:id="1238174246">
      <w:bodyDiv w:val="1"/>
      <w:marLeft w:val="0"/>
      <w:marRight w:val="0"/>
      <w:marTop w:val="0"/>
      <w:marBottom w:val="0"/>
      <w:divBdr>
        <w:top w:val="none" w:sz="0" w:space="0" w:color="auto"/>
        <w:left w:val="none" w:sz="0" w:space="0" w:color="auto"/>
        <w:bottom w:val="none" w:sz="0" w:space="0" w:color="auto"/>
        <w:right w:val="none" w:sz="0" w:space="0" w:color="auto"/>
      </w:divBdr>
    </w:div>
    <w:div w:id="1240402408">
      <w:bodyDiv w:val="1"/>
      <w:marLeft w:val="0"/>
      <w:marRight w:val="0"/>
      <w:marTop w:val="0"/>
      <w:marBottom w:val="0"/>
      <w:divBdr>
        <w:top w:val="none" w:sz="0" w:space="0" w:color="auto"/>
        <w:left w:val="none" w:sz="0" w:space="0" w:color="auto"/>
        <w:bottom w:val="none" w:sz="0" w:space="0" w:color="auto"/>
        <w:right w:val="none" w:sz="0" w:space="0" w:color="auto"/>
      </w:divBdr>
    </w:div>
    <w:div w:id="1242639704">
      <w:bodyDiv w:val="1"/>
      <w:marLeft w:val="0"/>
      <w:marRight w:val="0"/>
      <w:marTop w:val="0"/>
      <w:marBottom w:val="0"/>
      <w:divBdr>
        <w:top w:val="none" w:sz="0" w:space="0" w:color="auto"/>
        <w:left w:val="none" w:sz="0" w:space="0" w:color="auto"/>
        <w:bottom w:val="none" w:sz="0" w:space="0" w:color="auto"/>
        <w:right w:val="none" w:sz="0" w:space="0" w:color="auto"/>
      </w:divBdr>
    </w:div>
    <w:div w:id="1252424597">
      <w:bodyDiv w:val="1"/>
      <w:marLeft w:val="0"/>
      <w:marRight w:val="0"/>
      <w:marTop w:val="0"/>
      <w:marBottom w:val="0"/>
      <w:divBdr>
        <w:top w:val="none" w:sz="0" w:space="0" w:color="auto"/>
        <w:left w:val="none" w:sz="0" w:space="0" w:color="auto"/>
        <w:bottom w:val="none" w:sz="0" w:space="0" w:color="auto"/>
        <w:right w:val="none" w:sz="0" w:space="0" w:color="auto"/>
      </w:divBdr>
    </w:div>
    <w:div w:id="1254700571">
      <w:bodyDiv w:val="1"/>
      <w:marLeft w:val="0"/>
      <w:marRight w:val="0"/>
      <w:marTop w:val="0"/>
      <w:marBottom w:val="0"/>
      <w:divBdr>
        <w:top w:val="none" w:sz="0" w:space="0" w:color="auto"/>
        <w:left w:val="none" w:sz="0" w:space="0" w:color="auto"/>
        <w:bottom w:val="none" w:sz="0" w:space="0" w:color="auto"/>
        <w:right w:val="none" w:sz="0" w:space="0" w:color="auto"/>
      </w:divBdr>
    </w:div>
    <w:div w:id="1256405852">
      <w:bodyDiv w:val="1"/>
      <w:marLeft w:val="0"/>
      <w:marRight w:val="0"/>
      <w:marTop w:val="0"/>
      <w:marBottom w:val="0"/>
      <w:divBdr>
        <w:top w:val="none" w:sz="0" w:space="0" w:color="auto"/>
        <w:left w:val="none" w:sz="0" w:space="0" w:color="auto"/>
        <w:bottom w:val="none" w:sz="0" w:space="0" w:color="auto"/>
        <w:right w:val="none" w:sz="0" w:space="0" w:color="auto"/>
      </w:divBdr>
    </w:div>
    <w:div w:id="1260991672">
      <w:bodyDiv w:val="1"/>
      <w:marLeft w:val="0"/>
      <w:marRight w:val="0"/>
      <w:marTop w:val="0"/>
      <w:marBottom w:val="0"/>
      <w:divBdr>
        <w:top w:val="none" w:sz="0" w:space="0" w:color="auto"/>
        <w:left w:val="none" w:sz="0" w:space="0" w:color="auto"/>
        <w:bottom w:val="none" w:sz="0" w:space="0" w:color="auto"/>
        <w:right w:val="none" w:sz="0" w:space="0" w:color="auto"/>
      </w:divBdr>
    </w:div>
    <w:div w:id="1265768078">
      <w:bodyDiv w:val="1"/>
      <w:marLeft w:val="0"/>
      <w:marRight w:val="0"/>
      <w:marTop w:val="0"/>
      <w:marBottom w:val="0"/>
      <w:divBdr>
        <w:top w:val="none" w:sz="0" w:space="0" w:color="auto"/>
        <w:left w:val="none" w:sz="0" w:space="0" w:color="auto"/>
        <w:bottom w:val="none" w:sz="0" w:space="0" w:color="auto"/>
        <w:right w:val="none" w:sz="0" w:space="0" w:color="auto"/>
      </w:divBdr>
    </w:div>
    <w:div w:id="1277715991">
      <w:bodyDiv w:val="1"/>
      <w:marLeft w:val="0"/>
      <w:marRight w:val="0"/>
      <w:marTop w:val="0"/>
      <w:marBottom w:val="0"/>
      <w:divBdr>
        <w:top w:val="none" w:sz="0" w:space="0" w:color="auto"/>
        <w:left w:val="none" w:sz="0" w:space="0" w:color="auto"/>
        <w:bottom w:val="none" w:sz="0" w:space="0" w:color="auto"/>
        <w:right w:val="none" w:sz="0" w:space="0" w:color="auto"/>
      </w:divBdr>
    </w:div>
    <w:div w:id="1287815081">
      <w:bodyDiv w:val="1"/>
      <w:marLeft w:val="0"/>
      <w:marRight w:val="0"/>
      <w:marTop w:val="0"/>
      <w:marBottom w:val="0"/>
      <w:divBdr>
        <w:top w:val="none" w:sz="0" w:space="0" w:color="auto"/>
        <w:left w:val="none" w:sz="0" w:space="0" w:color="auto"/>
        <w:bottom w:val="none" w:sz="0" w:space="0" w:color="auto"/>
        <w:right w:val="none" w:sz="0" w:space="0" w:color="auto"/>
      </w:divBdr>
    </w:div>
    <w:div w:id="1292519734">
      <w:bodyDiv w:val="1"/>
      <w:marLeft w:val="0"/>
      <w:marRight w:val="0"/>
      <w:marTop w:val="0"/>
      <w:marBottom w:val="0"/>
      <w:divBdr>
        <w:top w:val="none" w:sz="0" w:space="0" w:color="auto"/>
        <w:left w:val="none" w:sz="0" w:space="0" w:color="auto"/>
        <w:bottom w:val="none" w:sz="0" w:space="0" w:color="auto"/>
        <w:right w:val="none" w:sz="0" w:space="0" w:color="auto"/>
      </w:divBdr>
    </w:div>
    <w:div w:id="1303922080">
      <w:bodyDiv w:val="1"/>
      <w:marLeft w:val="0"/>
      <w:marRight w:val="0"/>
      <w:marTop w:val="0"/>
      <w:marBottom w:val="0"/>
      <w:divBdr>
        <w:top w:val="none" w:sz="0" w:space="0" w:color="auto"/>
        <w:left w:val="none" w:sz="0" w:space="0" w:color="auto"/>
        <w:bottom w:val="none" w:sz="0" w:space="0" w:color="auto"/>
        <w:right w:val="none" w:sz="0" w:space="0" w:color="auto"/>
      </w:divBdr>
    </w:div>
    <w:div w:id="1308899272">
      <w:bodyDiv w:val="1"/>
      <w:marLeft w:val="0"/>
      <w:marRight w:val="0"/>
      <w:marTop w:val="0"/>
      <w:marBottom w:val="0"/>
      <w:divBdr>
        <w:top w:val="none" w:sz="0" w:space="0" w:color="auto"/>
        <w:left w:val="none" w:sz="0" w:space="0" w:color="auto"/>
        <w:bottom w:val="none" w:sz="0" w:space="0" w:color="auto"/>
        <w:right w:val="none" w:sz="0" w:space="0" w:color="auto"/>
      </w:divBdr>
    </w:div>
    <w:div w:id="1310553520">
      <w:bodyDiv w:val="1"/>
      <w:marLeft w:val="0"/>
      <w:marRight w:val="0"/>
      <w:marTop w:val="0"/>
      <w:marBottom w:val="0"/>
      <w:divBdr>
        <w:top w:val="none" w:sz="0" w:space="0" w:color="auto"/>
        <w:left w:val="none" w:sz="0" w:space="0" w:color="auto"/>
        <w:bottom w:val="none" w:sz="0" w:space="0" w:color="auto"/>
        <w:right w:val="none" w:sz="0" w:space="0" w:color="auto"/>
      </w:divBdr>
    </w:div>
    <w:div w:id="1324428767">
      <w:bodyDiv w:val="1"/>
      <w:marLeft w:val="0"/>
      <w:marRight w:val="0"/>
      <w:marTop w:val="0"/>
      <w:marBottom w:val="0"/>
      <w:divBdr>
        <w:top w:val="none" w:sz="0" w:space="0" w:color="auto"/>
        <w:left w:val="none" w:sz="0" w:space="0" w:color="auto"/>
        <w:bottom w:val="none" w:sz="0" w:space="0" w:color="auto"/>
        <w:right w:val="none" w:sz="0" w:space="0" w:color="auto"/>
      </w:divBdr>
    </w:div>
    <w:div w:id="1336760066">
      <w:bodyDiv w:val="1"/>
      <w:marLeft w:val="0"/>
      <w:marRight w:val="0"/>
      <w:marTop w:val="0"/>
      <w:marBottom w:val="0"/>
      <w:divBdr>
        <w:top w:val="none" w:sz="0" w:space="0" w:color="auto"/>
        <w:left w:val="none" w:sz="0" w:space="0" w:color="auto"/>
        <w:bottom w:val="none" w:sz="0" w:space="0" w:color="auto"/>
        <w:right w:val="none" w:sz="0" w:space="0" w:color="auto"/>
      </w:divBdr>
    </w:div>
    <w:div w:id="1341934029">
      <w:bodyDiv w:val="1"/>
      <w:marLeft w:val="0"/>
      <w:marRight w:val="0"/>
      <w:marTop w:val="0"/>
      <w:marBottom w:val="0"/>
      <w:divBdr>
        <w:top w:val="none" w:sz="0" w:space="0" w:color="auto"/>
        <w:left w:val="none" w:sz="0" w:space="0" w:color="auto"/>
        <w:bottom w:val="none" w:sz="0" w:space="0" w:color="auto"/>
        <w:right w:val="none" w:sz="0" w:space="0" w:color="auto"/>
      </w:divBdr>
    </w:div>
    <w:div w:id="1346592618">
      <w:bodyDiv w:val="1"/>
      <w:marLeft w:val="0"/>
      <w:marRight w:val="0"/>
      <w:marTop w:val="0"/>
      <w:marBottom w:val="0"/>
      <w:divBdr>
        <w:top w:val="none" w:sz="0" w:space="0" w:color="auto"/>
        <w:left w:val="none" w:sz="0" w:space="0" w:color="auto"/>
        <w:bottom w:val="none" w:sz="0" w:space="0" w:color="auto"/>
        <w:right w:val="none" w:sz="0" w:space="0" w:color="auto"/>
      </w:divBdr>
    </w:div>
    <w:div w:id="1350253206">
      <w:bodyDiv w:val="1"/>
      <w:marLeft w:val="0"/>
      <w:marRight w:val="0"/>
      <w:marTop w:val="0"/>
      <w:marBottom w:val="0"/>
      <w:divBdr>
        <w:top w:val="none" w:sz="0" w:space="0" w:color="auto"/>
        <w:left w:val="none" w:sz="0" w:space="0" w:color="auto"/>
        <w:bottom w:val="none" w:sz="0" w:space="0" w:color="auto"/>
        <w:right w:val="none" w:sz="0" w:space="0" w:color="auto"/>
      </w:divBdr>
    </w:div>
    <w:div w:id="1351956812">
      <w:bodyDiv w:val="1"/>
      <w:marLeft w:val="0"/>
      <w:marRight w:val="0"/>
      <w:marTop w:val="0"/>
      <w:marBottom w:val="0"/>
      <w:divBdr>
        <w:top w:val="none" w:sz="0" w:space="0" w:color="auto"/>
        <w:left w:val="none" w:sz="0" w:space="0" w:color="auto"/>
        <w:bottom w:val="none" w:sz="0" w:space="0" w:color="auto"/>
        <w:right w:val="none" w:sz="0" w:space="0" w:color="auto"/>
      </w:divBdr>
    </w:div>
    <w:div w:id="1354646253">
      <w:bodyDiv w:val="1"/>
      <w:marLeft w:val="0"/>
      <w:marRight w:val="0"/>
      <w:marTop w:val="0"/>
      <w:marBottom w:val="0"/>
      <w:divBdr>
        <w:top w:val="none" w:sz="0" w:space="0" w:color="auto"/>
        <w:left w:val="none" w:sz="0" w:space="0" w:color="auto"/>
        <w:bottom w:val="none" w:sz="0" w:space="0" w:color="auto"/>
        <w:right w:val="none" w:sz="0" w:space="0" w:color="auto"/>
      </w:divBdr>
    </w:div>
    <w:div w:id="1360084238">
      <w:bodyDiv w:val="1"/>
      <w:marLeft w:val="0"/>
      <w:marRight w:val="0"/>
      <w:marTop w:val="0"/>
      <w:marBottom w:val="0"/>
      <w:divBdr>
        <w:top w:val="none" w:sz="0" w:space="0" w:color="auto"/>
        <w:left w:val="none" w:sz="0" w:space="0" w:color="auto"/>
        <w:bottom w:val="none" w:sz="0" w:space="0" w:color="auto"/>
        <w:right w:val="none" w:sz="0" w:space="0" w:color="auto"/>
      </w:divBdr>
    </w:div>
    <w:div w:id="1364746468">
      <w:bodyDiv w:val="1"/>
      <w:marLeft w:val="0"/>
      <w:marRight w:val="0"/>
      <w:marTop w:val="0"/>
      <w:marBottom w:val="0"/>
      <w:divBdr>
        <w:top w:val="none" w:sz="0" w:space="0" w:color="auto"/>
        <w:left w:val="none" w:sz="0" w:space="0" w:color="auto"/>
        <w:bottom w:val="none" w:sz="0" w:space="0" w:color="auto"/>
        <w:right w:val="none" w:sz="0" w:space="0" w:color="auto"/>
      </w:divBdr>
    </w:div>
    <w:div w:id="1385058861">
      <w:bodyDiv w:val="1"/>
      <w:marLeft w:val="0"/>
      <w:marRight w:val="0"/>
      <w:marTop w:val="0"/>
      <w:marBottom w:val="0"/>
      <w:divBdr>
        <w:top w:val="none" w:sz="0" w:space="0" w:color="auto"/>
        <w:left w:val="none" w:sz="0" w:space="0" w:color="auto"/>
        <w:bottom w:val="none" w:sz="0" w:space="0" w:color="auto"/>
        <w:right w:val="none" w:sz="0" w:space="0" w:color="auto"/>
      </w:divBdr>
    </w:div>
    <w:div w:id="1386486674">
      <w:bodyDiv w:val="1"/>
      <w:marLeft w:val="0"/>
      <w:marRight w:val="0"/>
      <w:marTop w:val="0"/>
      <w:marBottom w:val="0"/>
      <w:divBdr>
        <w:top w:val="none" w:sz="0" w:space="0" w:color="auto"/>
        <w:left w:val="none" w:sz="0" w:space="0" w:color="auto"/>
        <w:bottom w:val="none" w:sz="0" w:space="0" w:color="auto"/>
        <w:right w:val="none" w:sz="0" w:space="0" w:color="auto"/>
      </w:divBdr>
    </w:div>
    <w:div w:id="1386492465">
      <w:bodyDiv w:val="1"/>
      <w:marLeft w:val="0"/>
      <w:marRight w:val="0"/>
      <w:marTop w:val="0"/>
      <w:marBottom w:val="0"/>
      <w:divBdr>
        <w:top w:val="none" w:sz="0" w:space="0" w:color="auto"/>
        <w:left w:val="none" w:sz="0" w:space="0" w:color="auto"/>
        <w:bottom w:val="none" w:sz="0" w:space="0" w:color="auto"/>
        <w:right w:val="none" w:sz="0" w:space="0" w:color="auto"/>
      </w:divBdr>
    </w:div>
    <w:div w:id="1387148672">
      <w:bodyDiv w:val="1"/>
      <w:marLeft w:val="0"/>
      <w:marRight w:val="0"/>
      <w:marTop w:val="0"/>
      <w:marBottom w:val="0"/>
      <w:divBdr>
        <w:top w:val="none" w:sz="0" w:space="0" w:color="auto"/>
        <w:left w:val="none" w:sz="0" w:space="0" w:color="auto"/>
        <w:bottom w:val="none" w:sz="0" w:space="0" w:color="auto"/>
        <w:right w:val="none" w:sz="0" w:space="0" w:color="auto"/>
      </w:divBdr>
    </w:div>
    <w:div w:id="1388603521">
      <w:bodyDiv w:val="1"/>
      <w:marLeft w:val="0"/>
      <w:marRight w:val="0"/>
      <w:marTop w:val="0"/>
      <w:marBottom w:val="0"/>
      <w:divBdr>
        <w:top w:val="none" w:sz="0" w:space="0" w:color="auto"/>
        <w:left w:val="none" w:sz="0" w:space="0" w:color="auto"/>
        <w:bottom w:val="none" w:sz="0" w:space="0" w:color="auto"/>
        <w:right w:val="none" w:sz="0" w:space="0" w:color="auto"/>
      </w:divBdr>
    </w:div>
    <w:div w:id="1390113718">
      <w:bodyDiv w:val="1"/>
      <w:marLeft w:val="0"/>
      <w:marRight w:val="0"/>
      <w:marTop w:val="0"/>
      <w:marBottom w:val="0"/>
      <w:divBdr>
        <w:top w:val="none" w:sz="0" w:space="0" w:color="auto"/>
        <w:left w:val="none" w:sz="0" w:space="0" w:color="auto"/>
        <w:bottom w:val="none" w:sz="0" w:space="0" w:color="auto"/>
        <w:right w:val="none" w:sz="0" w:space="0" w:color="auto"/>
      </w:divBdr>
    </w:div>
    <w:div w:id="1395740098">
      <w:bodyDiv w:val="1"/>
      <w:marLeft w:val="0"/>
      <w:marRight w:val="0"/>
      <w:marTop w:val="0"/>
      <w:marBottom w:val="0"/>
      <w:divBdr>
        <w:top w:val="none" w:sz="0" w:space="0" w:color="auto"/>
        <w:left w:val="none" w:sz="0" w:space="0" w:color="auto"/>
        <w:bottom w:val="none" w:sz="0" w:space="0" w:color="auto"/>
        <w:right w:val="none" w:sz="0" w:space="0" w:color="auto"/>
      </w:divBdr>
    </w:div>
    <w:div w:id="1408846056">
      <w:bodyDiv w:val="1"/>
      <w:marLeft w:val="0"/>
      <w:marRight w:val="0"/>
      <w:marTop w:val="0"/>
      <w:marBottom w:val="0"/>
      <w:divBdr>
        <w:top w:val="none" w:sz="0" w:space="0" w:color="auto"/>
        <w:left w:val="none" w:sz="0" w:space="0" w:color="auto"/>
        <w:bottom w:val="none" w:sz="0" w:space="0" w:color="auto"/>
        <w:right w:val="none" w:sz="0" w:space="0" w:color="auto"/>
      </w:divBdr>
    </w:div>
    <w:div w:id="1415667762">
      <w:bodyDiv w:val="1"/>
      <w:marLeft w:val="0"/>
      <w:marRight w:val="0"/>
      <w:marTop w:val="0"/>
      <w:marBottom w:val="0"/>
      <w:divBdr>
        <w:top w:val="none" w:sz="0" w:space="0" w:color="auto"/>
        <w:left w:val="none" w:sz="0" w:space="0" w:color="auto"/>
        <w:bottom w:val="none" w:sz="0" w:space="0" w:color="auto"/>
        <w:right w:val="none" w:sz="0" w:space="0" w:color="auto"/>
      </w:divBdr>
    </w:div>
    <w:div w:id="1419867603">
      <w:bodyDiv w:val="1"/>
      <w:marLeft w:val="0"/>
      <w:marRight w:val="0"/>
      <w:marTop w:val="0"/>
      <w:marBottom w:val="0"/>
      <w:divBdr>
        <w:top w:val="none" w:sz="0" w:space="0" w:color="auto"/>
        <w:left w:val="none" w:sz="0" w:space="0" w:color="auto"/>
        <w:bottom w:val="none" w:sz="0" w:space="0" w:color="auto"/>
        <w:right w:val="none" w:sz="0" w:space="0" w:color="auto"/>
      </w:divBdr>
    </w:div>
    <w:div w:id="1422289234">
      <w:bodyDiv w:val="1"/>
      <w:marLeft w:val="0"/>
      <w:marRight w:val="0"/>
      <w:marTop w:val="0"/>
      <w:marBottom w:val="0"/>
      <w:divBdr>
        <w:top w:val="none" w:sz="0" w:space="0" w:color="auto"/>
        <w:left w:val="none" w:sz="0" w:space="0" w:color="auto"/>
        <w:bottom w:val="none" w:sz="0" w:space="0" w:color="auto"/>
        <w:right w:val="none" w:sz="0" w:space="0" w:color="auto"/>
      </w:divBdr>
    </w:div>
    <w:div w:id="1427463444">
      <w:bodyDiv w:val="1"/>
      <w:marLeft w:val="0"/>
      <w:marRight w:val="0"/>
      <w:marTop w:val="0"/>
      <w:marBottom w:val="0"/>
      <w:divBdr>
        <w:top w:val="none" w:sz="0" w:space="0" w:color="auto"/>
        <w:left w:val="none" w:sz="0" w:space="0" w:color="auto"/>
        <w:bottom w:val="none" w:sz="0" w:space="0" w:color="auto"/>
        <w:right w:val="none" w:sz="0" w:space="0" w:color="auto"/>
      </w:divBdr>
    </w:div>
    <w:div w:id="1436094871">
      <w:bodyDiv w:val="1"/>
      <w:marLeft w:val="0"/>
      <w:marRight w:val="0"/>
      <w:marTop w:val="0"/>
      <w:marBottom w:val="0"/>
      <w:divBdr>
        <w:top w:val="none" w:sz="0" w:space="0" w:color="auto"/>
        <w:left w:val="none" w:sz="0" w:space="0" w:color="auto"/>
        <w:bottom w:val="none" w:sz="0" w:space="0" w:color="auto"/>
        <w:right w:val="none" w:sz="0" w:space="0" w:color="auto"/>
      </w:divBdr>
    </w:div>
    <w:div w:id="1459563912">
      <w:bodyDiv w:val="1"/>
      <w:marLeft w:val="0"/>
      <w:marRight w:val="0"/>
      <w:marTop w:val="0"/>
      <w:marBottom w:val="0"/>
      <w:divBdr>
        <w:top w:val="none" w:sz="0" w:space="0" w:color="auto"/>
        <w:left w:val="none" w:sz="0" w:space="0" w:color="auto"/>
        <w:bottom w:val="none" w:sz="0" w:space="0" w:color="auto"/>
        <w:right w:val="none" w:sz="0" w:space="0" w:color="auto"/>
      </w:divBdr>
    </w:div>
    <w:div w:id="1477142058">
      <w:bodyDiv w:val="1"/>
      <w:marLeft w:val="0"/>
      <w:marRight w:val="0"/>
      <w:marTop w:val="0"/>
      <w:marBottom w:val="0"/>
      <w:divBdr>
        <w:top w:val="none" w:sz="0" w:space="0" w:color="auto"/>
        <w:left w:val="none" w:sz="0" w:space="0" w:color="auto"/>
        <w:bottom w:val="none" w:sz="0" w:space="0" w:color="auto"/>
        <w:right w:val="none" w:sz="0" w:space="0" w:color="auto"/>
      </w:divBdr>
    </w:div>
    <w:div w:id="1485313020">
      <w:bodyDiv w:val="1"/>
      <w:marLeft w:val="0"/>
      <w:marRight w:val="0"/>
      <w:marTop w:val="0"/>
      <w:marBottom w:val="0"/>
      <w:divBdr>
        <w:top w:val="none" w:sz="0" w:space="0" w:color="auto"/>
        <w:left w:val="none" w:sz="0" w:space="0" w:color="auto"/>
        <w:bottom w:val="none" w:sz="0" w:space="0" w:color="auto"/>
        <w:right w:val="none" w:sz="0" w:space="0" w:color="auto"/>
      </w:divBdr>
    </w:div>
    <w:div w:id="1492676662">
      <w:bodyDiv w:val="1"/>
      <w:marLeft w:val="0"/>
      <w:marRight w:val="0"/>
      <w:marTop w:val="0"/>
      <w:marBottom w:val="0"/>
      <w:divBdr>
        <w:top w:val="none" w:sz="0" w:space="0" w:color="auto"/>
        <w:left w:val="none" w:sz="0" w:space="0" w:color="auto"/>
        <w:bottom w:val="none" w:sz="0" w:space="0" w:color="auto"/>
        <w:right w:val="none" w:sz="0" w:space="0" w:color="auto"/>
      </w:divBdr>
    </w:div>
    <w:div w:id="1493450966">
      <w:bodyDiv w:val="1"/>
      <w:marLeft w:val="0"/>
      <w:marRight w:val="0"/>
      <w:marTop w:val="0"/>
      <w:marBottom w:val="0"/>
      <w:divBdr>
        <w:top w:val="none" w:sz="0" w:space="0" w:color="auto"/>
        <w:left w:val="none" w:sz="0" w:space="0" w:color="auto"/>
        <w:bottom w:val="none" w:sz="0" w:space="0" w:color="auto"/>
        <w:right w:val="none" w:sz="0" w:space="0" w:color="auto"/>
      </w:divBdr>
    </w:div>
    <w:div w:id="1500465694">
      <w:bodyDiv w:val="1"/>
      <w:marLeft w:val="0"/>
      <w:marRight w:val="0"/>
      <w:marTop w:val="0"/>
      <w:marBottom w:val="0"/>
      <w:divBdr>
        <w:top w:val="none" w:sz="0" w:space="0" w:color="auto"/>
        <w:left w:val="none" w:sz="0" w:space="0" w:color="auto"/>
        <w:bottom w:val="none" w:sz="0" w:space="0" w:color="auto"/>
        <w:right w:val="none" w:sz="0" w:space="0" w:color="auto"/>
      </w:divBdr>
    </w:div>
    <w:div w:id="1500582531">
      <w:bodyDiv w:val="1"/>
      <w:marLeft w:val="0"/>
      <w:marRight w:val="0"/>
      <w:marTop w:val="0"/>
      <w:marBottom w:val="0"/>
      <w:divBdr>
        <w:top w:val="none" w:sz="0" w:space="0" w:color="auto"/>
        <w:left w:val="none" w:sz="0" w:space="0" w:color="auto"/>
        <w:bottom w:val="none" w:sz="0" w:space="0" w:color="auto"/>
        <w:right w:val="none" w:sz="0" w:space="0" w:color="auto"/>
      </w:divBdr>
    </w:div>
    <w:div w:id="1504664888">
      <w:bodyDiv w:val="1"/>
      <w:marLeft w:val="0"/>
      <w:marRight w:val="0"/>
      <w:marTop w:val="0"/>
      <w:marBottom w:val="0"/>
      <w:divBdr>
        <w:top w:val="none" w:sz="0" w:space="0" w:color="auto"/>
        <w:left w:val="none" w:sz="0" w:space="0" w:color="auto"/>
        <w:bottom w:val="none" w:sz="0" w:space="0" w:color="auto"/>
        <w:right w:val="none" w:sz="0" w:space="0" w:color="auto"/>
      </w:divBdr>
    </w:div>
    <w:div w:id="1508403786">
      <w:bodyDiv w:val="1"/>
      <w:marLeft w:val="0"/>
      <w:marRight w:val="0"/>
      <w:marTop w:val="0"/>
      <w:marBottom w:val="0"/>
      <w:divBdr>
        <w:top w:val="none" w:sz="0" w:space="0" w:color="auto"/>
        <w:left w:val="none" w:sz="0" w:space="0" w:color="auto"/>
        <w:bottom w:val="none" w:sz="0" w:space="0" w:color="auto"/>
        <w:right w:val="none" w:sz="0" w:space="0" w:color="auto"/>
      </w:divBdr>
    </w:div>
    <w:div w:id="1511725189">
      <w:bodyDiv w:val="1"/>
      <w:marLeft w:val="0"/>
      <w:marRight w:val="0"/>
      <w:marTop w:val="0"/>
      <w:marBottom w:val="0"/>
      <w:divBdr>
        <w:top w:val="none" w:sz="0" w:space="0" w:color="auto"/>
        <w:left w:val="none" w:sz="0" w:space="0" w:color="auto"/>
        <w:bottom w:val="none" w:sz="0" w:space="0" w:color="auto"/>
        <w:right w:val="none" w:sz="0" w:space="0" w:color="auto"/>
      </w:divBdr>
    </w:div>
    <w:div w:id="1516575664">
      <w:bodyDiv w:val="1"/>
      <w:marLeft w:val="0"/>
      <w:marRight w:val="0"/>
      <w:marTop w:val="0"/>
      <w:marBottom w:val="0"/>
      <w:divBdr>
        <w:top w:val="none" w:sz="0" w:space="0" w:color="auto"/>
        <w:left w:val="none" w:sz="0" w:space="0" w:color="auto"/>
        <w:bottom w:val="none" w:sz="0" w:space="0" w:color="auto"/>
        <w:right w:val="none" w:sz="0" w:space="0" w:color="auto"/>
      </w:divBdr>
    </w:div>
    <w:div w:id="1516963327">
      <w:bodyDiv w:val="1"/>
      <w:marLeft w:val="0"/>
      <w:marRight w:val="0"/>
      <w:marTop w:val="0"/>
      <w:marBottom w:val="0"/>
      <w:divBdr>
        <w:top w:val="none" w:sz="0" w:space="0" w:color="auto"/>
        <w:left w:val="none" w:sz="0" w:space="0" w:color="auto"/>
        <w:bottom w:val="none" w:sz="0" w:space="0" w:color="auto"/>
        <w:right w:val="none" w:sz="0" w:space="0" w:color="auto"/>
      </w:divBdr>
    </w:div>
    <w:div w:id="1522624101">
      <w:bodyDiv w:val="1"/>
      <w:marLeft w:val="0"/>
      <w:marRight w:val="0"/>
      <w:marTop w:val="0"/>
      <w:marBottom w:val="0"/>
      <w:divBdr>
        <w:top w:val="none" w:sz="0" w:space="0" w:color="auto"/>
        <w:left w:val="none" w:sz="0" w:space="0" w:color="auto"/>
        <w:bottom w:val="none" w:sz="0" w:space="0" w:color="auto"/>
        <w:right w:val="none" w:sz="0" w:space="0" w:color="auto"/>
      </w:divBdr>
    </w:div>
    <w:div w:id="1522669818">
      <w:bodyDiv w:val="1"/>
      <w:marLeft w:val="0"/>
      <w:marRight w:val="0"/>
      <w:marTop w:val="0"/>
      <w:marBottom w:val="0"/>
      <w:divBdr>
        <w:top w:val="none" w:sz="0" w:space="0" w:color="auto"/>
        <w:left w:val="none" w:sz="0" w:space="0" w:color="auto"/>
        <w:bottom w:val="none" w:sz="0" w:space="0" w:color="auto"/>
        <w:right w:val="none" w:sz="0" w:space="0" w:color="auto"/>
      </w:divBdr>
    </w:div>
    <w:div w:id="1523712724">
      <w:bodyDiv w:val="1"/>
      <w:marLeft w:val="0"/>
      <w:marRight w:val="0"/>
      <w:marTop w:val="0"/>
      <w:marBottom w:val="0"/>
      <w:divBdr>
        <w:top w:val="none" w:sz="0" w:space="0" w:color="auto"/>
        <w:left w:val="none" w:sz="0" w:space="0" w:color="auto"/>
        <w:bottom w:val="none" w:sz="0" w:space="0" w:color="auto"/>
        <w:right w:val="none" w:sz="0" w:space="0" w:color="auto"/>
      </w:divBdr>
    </w:div>
    <w:div w:id="1531532350">
      <w:bodyDiv w:val="1"/>
      <w:marLeft w:val="0"/>
      <w:marRight w:val="0"/>
      <w:marTop w:val="0"/>
      <w:marBottom w:val="0"/>
      <w:divBdr>
        <w:top w:val="none" w:sz="0" w:space="0" w:color="auto"/>
        <w:left w:val="none" w:sz="0" w:space="0" w:color="auto"/>
        <w:bottom w:val="none" w:sz="0" w:space="0" w:color="auto"/>
        <w:right w:val="none" w:sz="0" w:space="0" w:color="auto"/>
      </w:divBdr>
    </w:div>
    <w:div w:id="1539858491">
      <w:bodyDiv w:val="1"/>
      <w:marLeft w:val="0"/>
      <w:marRight w:val="0"/>
      <w:marTop w:val="0"/>
      <w:marBottom w:val="0"/>
      <w:divBdr>
        <w:top w:val="none" w:sz="0" w:space="0" w:color="auto"/>
        <w:left w:val="none" w:sz="0" w:space="0" w:color="auto"/>
        <w:bottom w:val="none" w:sz="0" w:space="0" w:color="auto"/>
        <w:right w:val="none" w:sz="0" w:space="0" w:color="auto"/>
      </w:divBdr>
    </w:div>
    <w:div w:id="1540050457">
      <w:bodyDiv w:val="1"/>
      <w:marLeft w:val="0"/>
      <w:marRight w:val="0"/>
      <w:marTop w:val="0"/>
      <w:marBottom w:val="0"/>
      <w:divBdr>
        <w:top w:val="none" w:sz="0" w:space="0" w:color="auto"/>
        <w:left w:val="none" w:sz="0" w:space="0" w:color="auto"/>
        <w:bottom w:val="none" w:sz="0" w:space="0" w:color="auto"/>
        <w:right w:val="none" w:sz="0" w:space="0" w:color="auto"/>
      </w:divBdr>
    </w:div>
    <w:div w:id="1540968876">
      <w:bodyDiv w:val="1"/>
      <w:marLeft w:val="0"/>
      <w:marRight w:val="0"/>
      <w:marTop w:val="0"/>
      <w:marBottom w:val="0"/>
      <w:divBdr>
        <w:top w:val="none" w:sz="0" w:space="0" w:color="auto"/>
        <w:left w:val="none" w:sz="0" w:space="0" w:color="auto"/>
        <w:bottom w:val="none" w:sz="0" w:space="0" w:color="auto"/>
        <w:right w:val="none" w:sz="0" w:space="0" w:color="auto"/>
      </w:divBdr>
    </w:div>
    <w:div w:id="1548183190">
      <w:bodyDiv w:val="1"/>
      <w:marLeft w:val="0"/>
      <w:marRight w:val="0"/>
      <w:marTop w:val="0"/>
      <w:marBottom w:val="0"/>
      <w:divBdr>
        <w:top w:val="none" w:sz="0" w:space="0" w:color="auto"/>
        <w:left w:val="none" w:sz="0" w:space="0" w:color="auto"/>
        <w:bottom w:val="none" w:sz="0" w:space="0" w:color="auto"/>
        <w:right w:val="none" w:sz="0" w:space="0" w:color="auto"/>
      </w:divBdr>
    </w:div>
    <w:div w:id="1550875503">
      <w:bodyDiv w:val="1"/>
      <w:marLeft w:val="0"/>
      <w:marRight w:val="0"/>
      <w:marTop w:val="0"/>
      <w:marBottom w:val="0"/>
      <w:divBdr>
        <w:top w:val="none" w:sz="0" w:space="0" w:color="auto"/>
        <w:left w:val="none" w:sz="0" w:space="0" w:color="auto"/>
        <w:bottom w:val="none" w:sz="0" w:space="0" w:color="auto"/>
        <w:right w:val="none" w:sz="0" w:space="0" w:color="auto"/>
      </w:divBdr>
    </w:div>
    <w:div w:id="1554848855">
      <w:bodyDiv w:val="1"/>
      <w:marLeft w:val="0"/>
      <w:marRight w:val="0"/>
      <w:marTop w:val="0"/>
      <w:marBottom w:val="0"/>
      <w:divBdr>
        <w:top w:val="none" w:sz="0" w:space="0" w:color="auto"/>
        <w:left w:val="none" w:sz="0" w:space="0" w:color="auto"/>
        <w:bottom w:val="none" w:sz="0" w:space="0" w:color="auto"/>
        <w:right w:val="none" w:sz="0" w:space="0" w:color="auto"/>
      </w:divBdr>
    </w:div>
    <w:div w:id="1556887882">
      <w:bodyDiv w:val="1"/>
      <w:marLeft w:val="0"/>
      <w:marRight w:val="0"/>
      <w:marTop w:val="0"/>
      <w:marBottom w:val="0"/>
      <w:divBdr>
        <w:top w:val="none" w:sz="0" w:space="0" w:color="auto"/>
        <w:left w:val="none" w:sz="0" w:space="0" w:color="auto"/>
        <w:bottom w:val="none" w:sz="0" w:space="0" w:color="auto"/>
        <w:right w:val="none" w:sz="0" w:space="0" w:color="auto"/>
      </w:divBdr>
    </w:div>
    <w:div w:id="1561668533">
      <w:bodyDiv w:val="1"/>
      <w:marLeft w:val="0"/>
      <w:marRight w:val="0"/>
      <w:marTop w:val="0"/>
      <w:marBottom w:val="0"/>
      <w:divBdr>
        <w:top w:val="none" w:sz="0" w:space="0" w:color="auto"/>
        <w:left w:val="none" w:sz="0" w:space="0" w:color="auto"/>
        <w:bottom w:val="none" w:sz="0" w:space="0" w:color="auto"/>
        <w:right w:val="none" w:sz="0" w:space="0" w:color="auto"/>
      </w:divBdr>
    </w:div>
    <w:div w:id="1562985104">
      <w:bodyDiv w:val="1"/>
      <w:marLeft w:val="0"/>
      <w:marRight w:val="0"/>
      <w:marTop w:val="0"/>
      <w:marBottom w:val="0"/>
      <w:divBdr>
        <w:top w:val="none" w:sz="0" w:space="0" w:color="auto"/>
        <w:left w:val="none" w:sz="0" w:space="0" w:color="auto"/>
        <w:bottom w:val="none" w:sz="0" w:space="0" w:color="auto"/>
        <w:right w:val="none" w:sz="0" w:space="0" w:color="auto"/>
      </w:divBdr>
    </w:div>
    <w:div w:id="1571885769">
      <w:bodyDiv w:val="1"/>
      <w:marLeft w:val="0"/>
      <w:marRight w:val="0"/>
      <w:marTop w:val="0"/>
      <w:marBottom w:val="0"/>
      <w:divBdr>
        <w:top w:val="none" w:sz="0" w:space="0" w:color="auto"/>
        <w:left w:val="none" w:sz="0" w:space="0" w:color="auto"/>
        <w:bottom w:val="none" w:sz="0" w:space="0" w:color="auto"/>
        <w:right w:val="none" w:sz="0" w:space="0" w:color="auto"/>
      </w:divBdr>
    </w:div>
    <w:div w:id="1575161322">
      <w:bodyDiv w:val="1"/>
      <w:marLeft w:val="0"/>
      <w:marRight w:val="0"/>
      <w:marTop w:val="0"/>
      <w:marBottom w:val="0"/>
      <w:divBdr>
        <w:top w:val="none" w:sz="0" w:space="0" w:color="auto"/>
        <w:left w:val="none" w:sz="0" w:space="0" w:color="auto"/>
        <w:bottom w:val="none" w:sz="0" w:space="0" w:color="auto"/>
        <w:right w:val="none" w:sz="0" w:space="0" w:color="auto"/>
      </w:divBdr>
    </w:div>
    <w:div w:id="1596405356">
      <w:bodyDiv w:val="1"/>
      <w:marLeft w:val="0"/>
      <w:marRight w:val="0"/>
      <w:marTop w:val="0"/>
      <w:marBottom w:val="0"/>
      <w:divBdr>
        <w:top w:val="none" w:sz="0" w:space="0" w:color="auto"/>
        <w:left w:val="none" w:sz="0" w:space="0" w:color="auto"/>
        <w:bottom w:val="none" w:sz="0" w:space="0" w:color="auto"/>
        <w:right w:val="none" w:sz="0" w:space="0" w:color="auto"/>
      </w:divBdr>
    </w:div>
    <w:div w:id="1618834940">
      <w:bodyDiv w:val="1"/>
      <w:marLeft w:val="0"/>
      <w:marRight w:val="0"/>
      <w:marTop w:val="0"/>
      <w:marBottom w:val="0"/>
      <w:divBdr>
        <w:top w:val="none" w:sz="0" w:space="0" w:color="auto"/>
        <w:left w:val="none" w:sz="0" w:space="0" w:color="auto"/>
        <w:bottom w:val="none" w:sz="0" w:space="0" w:color="auto"/>
        <w:right w:val="none" w:sz="0" w:space="0" w:color="auto"/>
      </w:divBdr>
    </w:div>
    <w:div w:id="1620527826">
      <w:bodyDiv w:val="1"/>
      <w:marLeft w:val="0"/>
      <w:marRight w:val="0"/>
      <w:marTop w:val="0"/>
      <w:marBottom w:val="0"/>
      <w:divBdr>
        <w:top w:val="none" w:sz="0" w:space="0" w:color="auto"/>
        <w:left w:val="none" w:sz="0" w:space="0" w:color="auto"/>
        <w:bottom w:val="none" w:sz="0" w:space="0" w:color="auto"/>
        <w:right w:val="none" w:sz="0" w:space="0" w:color="auto"/>
      </w:divBdr>
    </w:div>
    <w:div w:id="1624921394">
      <w:bodyDiv w:val="1"/>
      <w:marLeft w:val="0"/>
      <w:marRight w:val="0"/>
      <w:marTop w:val="0"/>
      <w:marBottom w:val="0"/>
      <w:divBdr>
        <w:top w:val="none" w:sz="0" w:space="0" w:color="auto"/>
        <w:left w:val="none" w:sz="0" w:space="0" w:color="auto"/>
        <w:bottom w:val="none" w:sz="0" w:space="0" w:color="auto"/>
        <w:right w:val="none" w:sz="0" w:space="0" w:color="auto"/>
      </w:divBdr>
    </w:div>
    <w:div w:id="1630933856">
      <w:bodyDiv w:val="1"/>
      <w:marLeft w:val="0"/>
      <w:marRight w:val="0"/>
      <w:marTop w:val="0"/>
      <w:marBottom w:val="0"/>
      <w:divBdr>
        <w:top w:val="none" w:sz="0" w:space="0" w:color="auto"/>
        <w:left w:val="none" w:sz="0" w:space="0" w:color="auto"/>
        <w:bottom w:val="none" w:sz="0" w:space="0" w:color="auto"/>
        <w:right w:val="none" w:sz="0" w:space="0" w:color="auto"/>
      </w:divBdr>
    </w:div>
    <w:div w:id="1640110644">
      <w:bodyDiv w:val="1"/>
      <w:marLeft w:val="0"/>
      <w:marRight w:val="0"/>
      <w:marTop w:val="0"/>
      <w:marBottom w:val="0"/>
      <w:divBdr>
        <w:top w:val="none" w:sz="0" w:space="0" w:color="auto"/>
        <w:left w:val="none" w:sz="0" w:space="0" w:color="auto"/>
        <w:bottom w:val="none" w:sz="0" w:space="0" w:color="auto"/>
        <w:right w:val="none" w:sz="0" w:space="0" w:color="auto"/>
      </w:divBdr>
    </w:div>
    <w:div w:id="1655795748">
      <w:bodyDiv w:val="1"/>
      <w:marLeft w:val="0"/>
      <w:marRight w:val="0"/>
      <w:marTop w:val="0"/>
      <w:marBottom w:val="0"/>
      <w:divBdr>
        <w:top w:val="none" w:sz="0" w:space="0" w:color="auto"/>
        <w:left w:val="none" w:sz="0" w:space="0" w:color="auto"/>
        <w:bottom w:val="none" w:sz="0" w:space="0" w:color="auto"/>
        <w:right w:val="none" w:sz="0" w:space="0" w:color="auto"/>
      </w:divBdr>
    </w:div>
    <w:div w:id="1658653714">
      <w:bodyDiv w:val="1"/>
      <w:marLeft w:val="0"/>
      <w:marRight w:val="0"/>
      <w:marTop w:val="0"/>
      <w:marBottom w:val="0"/>
      <w:divBdr>
        <w:top w:val="none" w:sz="0" w:space="0" w:color="auto"/>
        <w:left w:val="none" w:sz="0" w:space="0" w:color="auto"/>
        <w:bottom w:val="none" w:sz="0" w:space="0" w:color="auto"/>
        <w:right w:val="none" w:sz="0" w:space="0" w:color="auto"/>
      </w:divBdr>
    </w:div>
    <w:div w:id="1659654081">
      <w:bodyDiv w:val="1"/>
      <w:marLeft w:val="0"/>
      <w:marRight w:val="0"/>
      <w:marTop w:val="0"/>
      <w:marBottom w:val="0"/>
      <w:divBdr>
        <w:top w:val="none" w:sz="0" w:space="0" w:color="auto"/>
        <w:left w:val="none" w:sz="0" w:space="0" w:color="auto"/>
        <w:bottom w:val="none" w:sz="0" w:space="0" w:color="auto"/>
        <w:right w:val="none" w:sz="0" w:space="0" w:color="auto"/>
      </w:divBdr>
    </w:div>
    <w:div w:id="1665930351">
      <w:bodyDiv w:val="1"/>
      <w:marLeft w:val="0"/>
      <w:marRight w:val="0"/>
      <w:marTop w:val="0"/>
      <w:marBottom w:val="0"/>
      <w:divBdr>
        <w:top w:val="none" w:sz="0" w:space="0" w:color="auto"/>
        <w:left w:val="none" w:sz="0" w:space="0" w:color="auto"/>
        <w:bottom w:val="none" w:sz="0" w:space="0" w:color="auto"/>
        <w:right w:val="none" w:sz="0" w:space="0" w:color="auto"/>
      </w:divBdr>
      <w:divsChild>
        <w:div w:id="109714777">
          <w:marLeft w:val="0"/>
          <w:marRight w:val="0"/>
          <w:marTop w:val="0"/>
          <w:marBottom w:val="0"/>
          <w:divBdr>
            <w:top w:val="none" w:sz="0" w:space="0" w:color="auto"/>
            <w:left w:val="none" w:sz="0" w:space="0" w:color="auto"/>
            <w:bottom w:val="none" w:sz="0" w:space="0" w:color="auto"/>
            <w:right w:val="none" w:sz="0" w:space="0" w:color="auto"/>
          </w:divBdr>
          <w:divsChild>
            <w:div w:id="1811702000">
              <w:marLeft w:val="0"/>
              <w:marRight w:val="0"/>
              <w:marTop w:val="0"/>
              <w:marBottom w:val="0"/>
              <w:divBdr>
                <w:top w:val="none" w:sz="0" w:space="0" w:color="auto"/>
                <w:left w:val="none" w:sz="0" w:space="0" w:color="auto"/>
                <w:bottom w:val="none" w:sz="0" w:space="0" w:color="auto"/>
                <w:right w:val="none" w:sz="0" w:space="0" w:color="auto"/>
              </w:divBdr>
              <w:divsChild>
                <w:div w:id="1208637559">
                  <w:marLeft w:val="0"/>
                  <w:marRight w:val="0"/>
                  <w:marTop w:val="0"/>
                  <w:marBottom w:val="0"/>
                  <w:divBdr>
                    <w:top w:val="none" w:sz="0" w:space="0" w:color="auto"/>
                    <w:left w:val="none" w:sz="0" w:space="0" w:color="auto"/>
                    <w:bottom w:val="none" w:sz="0" w:space="0" w:color="auto"/>
                    <w:right w:val="none" w:sz="0" w:space="0" w:color="auto"/>
                  </w:divBdr>
                  <w:divsChild>
                    <w:div w:id="1281372569">
                      <w:marLeft w:val="0"/>
                      <w:marRight w:val="0"/>
                      <w:marTop w:val="0"/>
                      <w:marBottom w:val="0"/>
                      <w:divBdr>
                        <w:top w:val="none" w:sz="0" w:space="0" w:color="auto"/>
                        <w:left w:val="none" w:sz="0" w:space="0" w:color="auto"/>
                        <w:bottom w:val="none" w:sz="0" w:space="0" w:color="auto"/>
                        <w:right w:val="none" w:sz="0" w:space="0" w:color="auto"/>
                      </w:divBdr>
                      <w:divsChild>
                        <w:div w:id="1806703299">
                          <w:marLeft w:val="0"/>
                          <w:marRight w:val="0"/>
                          <w:marTop w:val="0"/>
                          <w:marBottom w:val="0"/>
                          <w:divBdr>
                            <w:top w:val="none" w:sz="0" w:space="0" w:color="auto"/>
                            <w:left w:val="none" w:sz="0" w:space="0" w:color="auto"/>
                            <w:bottom w:val="none" w:sz="0" w:space="0" w:color="auto"/>
                            <w:right w:val="none" w:sz="0" w:space="0" w:color="auto"/>
                          </w:divBdr>
                          <w:divsChild>
                            <w:div w:id="1190220125">
                              <w:marLeft w:val="0"/>
                              <w:marRight w:val="0"/>
                              <w:marTop w:val="0"/>
                              <w:marBottom w:val="0"/>
                              <w:divBdr>
                                <w:top w:val="none" w:sz="0" w:space="0" w:color="auto"/>
                                <w:left w:val="none" w:sz="0" w:space="0" w:color="auto"/>
                                <w:bottom w:val="none" w:sz="0" w:space="0" w:color="auto"/>
                                <w:right w:val="none" w:sz="0" w:space="0" w:color="auto"/>
                              </w:divBdr>
                              <w:divsChild>
                                <w:div w:id="11212686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8290971">
      <w:bodyDiv w:val="1"/>
      <w:marLeft w:val="0"/>
      <w:marRight w:val="0"/>
      <w:marTop w:val="0"/>
      <w:marBottom w:val="0"/>
      <w:divBdr>
        <w:top w:val="none" w:sz="0" w:space="0" w:color="auto"/>
        <w:left w:val="none" w:sz="0" w:space="0" w:color="auto"/>
        <w:bottom w:val="none" w:sz="0" w:space="0" w:color="auto"/>
        <w:right w:val="none" w:sz="0" w:space="0" w:color="auto"/>
      </w:divBdr>
    </w:div>
    <w:div w:id="1669016851">
      <w:bodyDiv w:val="1"/>
      <w:marLeft w:val="0"/>
      <w:marRight w:val="0"/>
      <w:marTop w:val="0"/>
      <w:marBottom w:val="0"/>
      <w:divBdr>
        <w:top w:val="none" w:sz="0" w:space="0" w:color="auto"/>
        <w:left w:val="none" w:sz="0" w:space="0" w:color="auto"/>
        <w:bottom w:val="none" w:sz="0" w:space="0" w:color="auto"/>
        <w:right w:val="none" w:sz="0" w:space="0" w:color="auto"/>
      </w:divBdr>
    </w:div>
    <w:div w:id="1672026723">
      <w:bodyDiv w:val="1"/>
      <w:marLeft w:val="0"/>
      <w:marRight w:val="0"/>
      <w:marTop w:val="0"/>
      <w:marBottom w:val="0"/>
      <w:divBdr>
        <w:top w:val="none" w:sz="0" w:space="0" w:color="auto"/>
        <w:left w:val="none" w:sz="0" w:space="0" w:color="auto"/>
        <w:bottom w:val="none" w:sz="0" w:space="0" w:color="auto"/>
        <w:right w:val="none" w:sz="0" w:space="0" w:color="auto"/>
      </w:divBdr>
    </w:div>
    <w:div w:id="1680426467">
      <w:bodyDiv w:val="1"/>
      <w:marLeft w:val="0"/>
      <w:marRight w:val="0"/>
      <w:marTop w:val="0"/>
      <w:marBottom w:val="0"/>
      <w:divBdr>
        <w:top w:val="none" w:sz="0" w:space="0" w:color="auto"/>
        <w:left w:val="none" w:sz="0" w:space="0" w:color="auto"/>
        <w:bottom w:val="none" w:sz="0" w:space="0" w:color="auto"/>
        <w:right w:val="none" w:sz="0" w:space="0" w:color="auto"/>
      </w:divBdr>
    </w:div>
    <w:div w:id="1683898747">
      <w:bodyDiv w:val="1"/>
      <w:marLeft w:val="0"/>
      <w:marRight w:val="0"/>
      <w:marTop w:val="0"/>
      <w:marBottom w:val="0"/>
      <w:divBdr>
        <w:top w:val="none" w:sz="0" w:space="0" w:color="auto"/>
        <w:left w:val="none" w:sz="0" w:space="0" w:color="auto"/>
        <w:bottom w:val="none" w:sz="0" w:space="0" w:color="auto"/>
        <w:right w:val="none" w:sz="0" w:space="0" w:color="auto"/>
      </w:divBdr>
    </w:div>
    <w:div w:id="1695109187">
      <w:bodyDiv w:val="1"/>
      <w:marLeft w:val="0"/>
      <w:marRight w:val="0"/>
      <w:marTop w:val="0"/>
      <w:marBottom w:val="0"/>
      <w:divBdr>
        <w:top w:val="none" w:sz="0" w:space="0" w:color="auto"/>
        <w:left w:val="none" w:sz="0" w:space="0" w:color="auto"/>
        <w:bottom w:val="none" w:sz="0" w:space="0" w:color="auto"/>
        <w:right w:val="none" w:sz="0" w:space="0" w:color="auto"/>
      </w:divBdr>
    </w:div>
    <w:div w:id="1701470306">
      <w:bodyDiv w:val="1"/>
      <w:marLeft w:val="0"/>
      <w:marRight w:val="0"/>
      <w:marTop w:val="0"/>
      <w:marBottom w:val="0"/>
      <w:divBdr>
        <w:top w:val="none" w:sz="0" w:space="0" w:color="auto"/>
        <w:left w:val="none" w:sz="0" w:space="0" w:color="auto"/>
        <w:bottom w:val="none" w:sz="0" w:space="0" w:color="auto"/>
        <w:right w:val="none" w:sz="0" w:space="0" w:color="auto"/>
      </w:divBdr>
    </w:div>
    <w:div w:id="1705862124">
      <w:bodyDiv w:val="1"/>
      <w:marLeft w:val="0"/>
      <w:marRight w:val="0"/>
      <w:marTop w:val="0"/>
      <w:marBottom w:val="0"/>
      <w:divBdr>
        <w:top w:val="none" w:sz="0" w:space="0" w:color="auto"/>
        <w:left w:val="none" w:sz="0" w:space="0" w:color="auto"/>
        <w:bottom w:val="none" w:sz="0" w:space="0" w:color="auto"/>
        <w:right w:val="none" w:sz="0" w:space="0" w:color="auto"/>
      </w:divBdr>
    </w:div>
    <w:div w:id="1710645534">
      <w:bodyDiv w:val="1"/>
      <w:marLeft w:val="0"/>
      <w:marRight w:val="0"/>
      <w:marTop w:val="0"/>
      <w:marBottom w:val="0"/>
      <w:divBdr>
        <w:top w:val="none" w:sz="0" w:space="0" w:color="auto"/>
        <w:left w:val="none" w:sz="0" w:space="0" w:color="auto"/>
        <w:bottom w:val="none" w:sz="0" w:space="0" w:color="auto"/>
        <w:right w:val="none" w:sz="0" w:space="0" w:color="auto"/>
      </w:divBdr>
    </w:div>
    <w:div w:id="1715929582">
      <w:bodyDiv w:val="1"/>
      <w:marLeft w:val="0"/>
      <w:marRight w:val="0"/>
      <w:marTop w:val="0"/>
      <w:marBottom w:val="0"/>
      <w:divBdr>
        <w:top w:val="none" w:sz="0" w:space="0" w:color="auto"/>
        <w:left w:val="none" w:sz="0" w:space="0" w:color="auto"/>
        <w:bottom w:val="none" w:sz="0" w:space="0" w:color="auto"/>
        <w:right w:val="none" w:sz="0" w:space="0" w:color="auto"/>
      </w:divBdr>
    </w:div>
    <w:div w:id="1716158321">
      <w:bodyDiv w:val="1"/>
      <w:marLeft w:val="0"/>
      <w:marRight w:val="0"/>
      <w:marTop w:val="0"/>
      <w:marBottom w:val="0"/>
      <w:divBdr>
        <w:top w:val="none" w:sz="0" w:space="0" w:color="auto"/>
        <w:left w:val="none" w:sz="0" w:space="0" w:color="auto"/>
        <w:bottom w:val="none" w:sz="0" w:space="0" w:color="auto"/>
        <w:right w:val="none" w:sz="0" w:space="0" w:color="auto"/>
      </w:divBdr>
    </w:div>
    <w:div w:id="1716614487">
      <w:bodyDiv w:val="1"/>
      <w:marLeft w:val="0"/>
      <w:marRight w:val="0"/>
      <w:marTop w:val="0"/>
      <w:marBottom w:val="0"/>
      <w:divBdr>
        <w:top w:val="none" w:sz="0" w:space="0" w:color="auto"/>
        <w:left w:val="none" w:sz="0" w:space="0" w:color="auto"/>
        <w:bottom w:val="none" w:sz="0" w:space="0" w:color="auto"/>
        <w:right w:val="none" w:sz="0" w:space="0" w:color="auto"/>
      </w:divBdr>
    </w:div>
    <w:div w:id="1716848241">
      <w:bodyDiv w:val="1"/>
      <w:marLeft w:val="0"/>
      <w:marRight w:val="0"/>
      <w:marTop w:val="0"/>
      <w:marBottom w:val="0"/>
      <w:divBdr>
        <w:top w:val="none" w:sz="0" w:space="0" w:color="auto"/>
        <w:left w:val="none" w:sz="0" w:space="0" w:color="auto"/>
        <w:bottom w:val="none" w:sz="0" w:space="0" w:color="auto"/>
        <w:right w:val="none" w:sz="0" w:space="0" w:color="auto"/>
      </w:divBdr>
    </w:div>
    <w:div w:id="1718819527">
      <w:bodyDiv w:val="1"/>
      <w:marLeft w:val="0"/>
      <w:marRight w:val="0"/>
      <w:marTop w:val="0"/>
      <w:marBottom w:val="0"/>
      <w:divBdr>
        <w:top w:val="none" w:sz="0" w:space="0" w:color="auto"/>
        <w:left w:val="none" w:sz="0" w:space="0" w:color="auto"/>
        <w:bottom w:val="none" w:sz="0" w:space="0" w:color="auto"/>
        <w:right w:val="none" w:sz="0" w:space="0" w:color="auto"/>
      </w:divBdr>
    </w:div>
    <w:div w:id="1725635168">
      <w:bodyDiv w:val="1"/>
      <w:marLeft w:val="0"/>
      <w:marRight w:val="0"/>
      <w:marTop w:val="0"/>
      <w:marBottom w:val="0"/>
      <w:divBdr>
        <w:top w:val="none" w:sz="0" w:space="0" w:color="auto"/>
        <w:left w:val="none" w:sz="0" w:space="0" w:color="auto"/>
        <w:bottom w:val="none" w:sz="0" w:space="0" w:color="auto"/>
        <w:right w:val="none" w:sz="0" w:space="0" w:color="auto"/>
      </w:divBdr>
    </w:div>
    <w:div w:id="1727139796">
      <w:bodyDiv w:val="1"/>
      <w:marLeft w:val="0"/>
      <w:marRight w:val="0"/>
      <w:marTop w:val="0"/>
      <w:marBottom w:val="0"/>
      <w:divBdr>
        <w:top w:val="none" w:sz="0" w:space="0" w:color="auto"/>
        <w:left w:val="none" w:sz="0" w:space="0" w:color="auto"/>
        <w:bottom w:val="none" w:sz="0" w:space="0" w:color="auto"/>
        <w:right w:val="none" w:sz="0" w:space="0" w:color="auto"/>
      </w:divBdr>
    </w:div>
    <w:div w:id="1730490543">
      <w:bodyDiv w:val="1"/>
      <w:marLeft w:val="0"/>
      <w:marRight w:val="0"/>
      <w:marTop w:val="0"/>
      <w:marBottom w:val="0"/>
      <w:divBdr>
        <w:top w:val="none" w:sz="0" w:space="0" w:color="auto"/>
        <w:left w:val="none" w:sz="0" w:space="0" w:color="auto"/>
        <w:bottom w:val="none" w:sz="0" w:space="0" w:color="auto"/>
        <w:right w:val="none" w:sz="0" w:space="0" w:color="auto"/>
      </w:divBdr>
    </w:div>
    <w:div w:id="1737436339">
      <w:bodyDiv w:val="1"/>
      <w:marLeft w:val="0"/>
      <w:marRight w:val="0"/>
      <w:marTop w:val="0"/>
      <w:marBottom w:val="0"/>
      <w:divBdr>
        <w:top w:val="none" w:sz="0" w:space="0" w:color="auto"/>
        <w:left w:val="none" w:sz="0" w:space="0" w:color="auto"/>
        <w:bottom w:val="none" w:sz="0" w:space="0" w:color="auto"/>
        <w:right w:val="none" w:sz="0" w:space="0" w:color="auto"/>
      </w:divBdr>
    </w:div>
    <w:div w:id="1738748289">
      <w:bodyDiv w:val="1"/>
      <w:marLeft w:val="0"/>
      <w:marRight w:val="0"/>
      <w:marTop w:val="0"/>
      <w:marBottom w:val="0"/>
      <w:divBdr>
        <w:top w:val="none" w:sz="0" w:space="0" w:color="auto"/>
        <w:left w:val="none" w:sz="0" w:space="0" w:color="auto"/>
        <w:bottom w:val="none" w:sz="0" w:space="0" w:color="auto"/>
        <w:right w:val="none" w:sz="0" w:space="0" w:color="auto"/>
      </w:divBdr>
    </w:div>
    <w:div w:id="1741562719">
      <w:bodyDiv w:val="1"/>
      <w:marLeft w:val="0"/>
      <w:marRight w:val="0"/>
      <w:marTop w:val="0"/>
      <w:marBottom w:val="0"/>
      <w:divBdr>
        <w:top w:val="none" w:sz="0" w:space="0" w:color="auto"/>
        <w:left w:val="none" w:sz="0" w:space="0" w:color="auto"/>
        <w:bottom w:val="none" w:sz="0" w:space="0" w:color="auto"/>
        <w:right w:val="none" w:sz="0" w:space="0" w:color="auto"/>
      </w:divBdr>
    </w:div>
    <w:div w:id="1748065057">
      <w:bodyDiv w:val="1"/>
      <w:marLeft w:val="0"/>
      <w:marRight w:val="0"/>
      <w:marTop w:val="0"/>
      <w:marBottom w:val="0"/>
      <w:divBdr>
        <w:top w:val="none" w:sz="0" w:space="0" w:color="auto"/>
        <w:left w:val="none" w:sz="0" w:space="0" w:color="auto"/>
        <w:bottom w:val="none" w:sz="0" w:space="0" w:color="auto"/>
        <w:right w:val="none" w:sz="0" w:space="0" w:color="auto"/>
      </w:divBdr>
    </w:div>
    <w:div w:id="1751584591">
      <w:bodyDiv w:val="1"/>
      <w:marLeft w:val="0"/>
      <w:marRight w:val="0"/>
      <w:marTop w:val="0"/>
      <w:marBottom w:val="0"/>
      <w:divBdr>
        <w:top w:val="none" w:sz="0" w:space="0" w:color="auto"/>
        <w:left w:val="none" w:sz="0" w:space="0" w:color="auto"/>
        <w:bottom w:val="none" w:sz="0" w:space="0" w:color="auto"/>
        <w:right w:val="none" w:sz="0" w:space="0" w:color="auto"/>
      </w:divBdr>
    </w:div>
    <w:div w:id="1752582803">
      <w:bodyDiv w:val="1"/>
      <w:marLeft w:val="0"/>
      <w:marRight w:val="0"/>
      <w:marTop w:val="0"/>
      <w:marBottom w:val="0"/>
      <w:divBdr>
        <w:top w:val="none" w:sz="0" w:space="0" w:color="auto"/>
        <w:left w:val="none" w:sz="0" w:space="0" w:color="auto"/>
        <w:bottom w:val="none" w:sz="0" w:space="0" w:color="auto"/>
        <w:right w:val="none" w:sz="0" w:space="0" w:color="auto"/>
      </w:divBdr>
    </w:div>
    <w:div w:id="1753160434">
      <w:bodyDiv w:val="1"/>
      <w:marLeft w:val="0"/>
      <w:marRight w:val="0"/>
      <w:marTop w:val="0"/>
      <w:marBottom w:val="0"/>
      <w:divBdr>
        <w:top w:val="none" w:sz="0" w:space="0" w:color="auto"/>
        <w:left w:val="none" w:sz="0" w:space="0" w:color="auto"/>
        <w:bottom w:val="none" w:sz="0" w:space="0" w:color="auto"/>
        <w:right w:val="none" w:sz="0" w:space="0" w:color="auto"/>
      </w:divBdr>
    </w:div>
    <w:div w:id="1755930197">
      <w:bodyDiv w:val="1"/>
      <w:marLeft w:val="0"/>
      <w:marRight w:val="0"/>
      <w:marTop w:val="0"/>
      <w:marBottom w:val="0"/>
      <w:divBdr>
        <w:top w:val="none" w:sz="0" w:space="0" w:color="auto"/>
        <w:left w:val="none" w:sz="0" w:space="0" w:color="auto"/>
        <w:bottom w:val="none" w:sz="0" w:space="0" w:color="auto"/>
        <w:right w:val="none" w:sz="0" w:space="0" w:color="auto"/>
      </w:divBdr>
    </w:div>
    <w:div w:id="1768187667">
      <w:bodyDiv w:val="1"/>
      <w:marLeft w:val="0"/>
      <w:marRight w:val="0"/>
      <w:marTop w:val="0"/>
      <w:marBottom w:val="0"/>
      <w:divBdr>
        <w:top w:val="none" w:sz="0" w:space="0" w:color="auto"/>
        <w:left w:val="none" w:sz="0" w:space="0" w:color="auto"/>
        <w:bottom w:val="none" w:sz="0" w:space="0" w:color="auto"/>
        <w:right w:val="none" w:sz="0" w:space="0" w:color="auto"/>
      </w:divBdr>
    </w:div>
    <w:div w:id="1785811353">
      <w:bodyDiv w:val="1"/>
      <w:marLeft w:val="0"/>
      <w:marRight w:val="0"/>
      <w:marTop w:val="0"/>
      <w:marBottom w:val="0"/>
      <w:divBdr>
        <w:top w:val="none" w:sz="0" w:space="0" w:color="auto"/>
        <w:left w:val="none" w:sz="0" w:space="0" w:color="auto"/>
        <w:bottom w:val="none" w:sz="0" w:space="0" w:color="auto"/>
        <w:right w:val="none" w:sz="0" w:space="0" w:color="auto"/>
      </w:divBdr>
    </w:div>
    <w:div w:id="1785995789">
      <w:bodyDiv w:val="1"/>
      <w:marLeft w:val="0"/>
      <w:marRight w:val="0"/>
      <w:marTop w:val="0"/>
      <w:marBottom w:val="0"/>
      <w:divBdr>
        <w:top w:val="none" w:sz="0" w:space="0" w:color="auto"/>
        <w:left w:val="none" w:sz="0" w:space="0" w:color="auto"/>
        <w:bottom w:val="none" w:sz="0" w:space="0" w:color="auto"/>
        <w:right w:val="none" w:sz="0" w:space="0" w:color="auto"/>
      </w:divBdr>
    </w:div>
    <w:div w:id="1792236932">
      <w:bodyDiv w:val="1"/>
      <w:marLeft w:val="0"/>
      <w:marRight w:val="0"/>
      <w:marTop w:val="0"/>
      <w:marBottom w:val="0"/>
      <w:divBdr>
        <w:top w:val="none" w:sz="0" w:space="0" w:color="auto"/>
        <w:left w:val="none" w:sz="0" w:space="0" w:color="auto"/>
        <w:bottom w:val="none" w:sz="0" w:space="0" w:color="auto"/>
        <w:right w:val="none" w:sz="0" w:space="0" w:color="auto"/>
      </w:divBdr>
    </w:div>
    <w:div w:id="1797286018">
      <w:bodyDiv w:val="1"/>
      <w:marLeft w:val="0"/>
      <w:marRight w:val="0"/>
      <w:marTop w:val="0"/>
      <w:marBottom w:val="0"/>
      <w:divBdr>
        <w:top w:val="none" w:sz="0" w:space="0" w:color="auto"/>
        <w:left w:val="none" w:sz="0" w:space="0" w:color="auto"/>
        <w:bottom w:val="none" w:sz="0" w:space="0" w:color="auto"/>
        <w:right w:val="none" w:sz="0" w:space="0" w:color="auto"/>
      </w:divBdr>
    </w:div>
    <w:div w:id="1801876812">
      <w:bodyDiv w:val="1"/>
      <w:marLeft w:val="0"/>
      <w:marRight w:val="0"/>
      <w:marTop w:val="0"/>
      <w:marBottom w:val="0"/>
      <w:divBdr>
        <w:top w:val="none" w:sz="0" w:space="0" w:color="auto"/>
        <w:left w:val="none" w:sz="0" w:space="0" w:color="auto"/>
        <w:bottom w:val="none" w:sz="0" w:space="0" w:color="auto"/>
        <w:right w:val="none" w:sz="0" w:space="0" w:color="auto"/>
      </w:divBdr>
    </w:div>
    <w:div w:id="1804420832">
      <w:bodyDiv w:val="1"/>
      <w:marLeft w:val="0"/>
      <w:marRight w:val="0"/>
      <w:marTop w:val="0"/>
      <w:marBottom w:val="0"/>
      <w:divBdr>
        <w:top w:val="none" w:sz="0" w:space="0" w:color="auto"/>
        <w:left w:val="none" w:sz="0" w:space="0" w:color="auto"/>
        <w:bottom w:val="none" w:sz="0" w:space="0" w:color="auto"/>
        <w:right w:val="none" w:sz="0" w:space="0" w:color="auto"/>
      </w:divBdr>
    </w:div>
    <w:div w:id="1806653925">
      <w:bodyDiv w:val="1"/>
      <w:marLeft w:val="0"/>
      <w:marRight w:val="0"/>
      <w:marTop w:val="0"/>
      <w:marBottom w:val="0"/>
      <w:divBdr>
        <w:top w:val="none" w:sz="0" w:space="0" w:color="auto"/>
        <w:left w:val="none" w:sz="0" w:space="0" w:color="auto"/>
        <w:bottom w:val="none" w:sz="0" w:space="0" w:color="auto"/>
        <w:right w:val="none" w:sz="0" w:space="0" w:color="auto"/>
      </w:divBdr>
    </w:div>
    <w:div w:id="1809200385">
      <w:bodyDiv w:val="1"/>
      <w:marLeft w:val="0"/>
      <w:marRight w:val="0"/>
      <w:marTop w:val="0"/>
      <w:marBottom w:val="0"/>
      <w:divBdr>
        <w:top w:val="none" w:sz="0" w:space="0" w:color="auto"/>
        <w:left w:val="none" w:sz="0" w:space="0" w:color="auto"/>
        <w:bottom w:val="none" w:sz="0" w:space="0" w:color="auto"/>
        <w:right w:val="none" w:sz="0" w:space="0" w:color="auto"/>
      </w:divBdr>
    </w:div>
    <w:div w:id="1812596175">
      <w:bodyDiv w:val="1"/>
      <w:marLeft w:val="0"/>
      <w:marRight w:val="0"/>
      <w:marTop w:val="0"/>
      <w:marBottom w:val="0"/>
      <w:divBdr>
        <w:top w:val="none" w:sz="0" w:space="0" w:color="auto"/>
        <w:left w:val="none" w:sz="0" w:space="0" w:color="auto"/>
        <w:bottom w:val="none" w:sz="0" w:space="0" w:color="auto"/>
        <w:right w:val="none" w:sz="0" w:space="0" w:color="auto"/>
      </w:divBdr>
    </w:div>
    <w:div w:id="1816482411">
      <w:bodyDiv w:val="1"/>
      <w:marLeft w:val="0"/>
      <w:marRight w:val="0"/>
      <w:marTop w:val="0"/>
      <w:marBottom w:val="0"/>
      <w:divBdr>
        <w:top w:val="none" w:sz="0" w:space="0" w:color="auto"/>
        <w:left w:val="none" w:sz="0" w:space="0" w:color="auto"/>
        <w:bottom w:val="none" w:sz="0" w:space="0" w:color="auto"/>
        <w:right w:val="none" w:sz="0" w:space="0" w:color="auto"/>
      </w:divBdr>
    </w:div>
    <w:div w:id="1817263477">
      <w:bodyDiv w:val="1"/>
      <w:marLeft w:val="0"/>
      <w:marRight w:val="0"/>
      <w:marTop w:val="0"/>
      <w:marBottom w:val="0"/>
      <w:divBdr>
        <w:top w:val="none" w:sz="0" w:space="0" w:color="auto"/>
        <w:left w:val="none" w:sz="0" w:space="0" w:color="auto"/>
        <w:bottom w:val="none" w:sz="0" w:space="0" w:color="auto"/>
        <w:right w:val="none" w:sz="0" w:space="0" w:color="auto"/>
      </w:divBdr>
    </w:div>
    <w:div w:id="1818305874">
      <w:bodyDiv w:val="1"/>
      <w:marLeft w:val="0"/>
      <w:marRight w:val="0"/>
      <w:marTop w:val="0"/>
      <w:marBottom w:val="0"/>
      <w:divBdr>
        <w:top w:val="none" w:sz="0" w:space="0" w:color="auto"/>
        <w:left w:val="none" w:sz="0" w:space="0" w:color="auto"/>
        <w:bottom w:val="none" w:sz="0" w:space="0" w:color="auto"/>
        <w:right w:val="none" w:sz="0" w:space="0" w:color="auto"/>
      </w:divBdr>
    </w:div>
    <w:div w:id="1823158440">
      <w:bodyDiv w:val="1"/>
      <w:marLeft w:val="0"/>
      <w:marRight w:val="0"/>
      <w:marTop w:val="0"/>
      <w:marBottom w:val="0"/>
      <w:divBdr>
        <w:top w:val="none" w:sz="0" w:space="0" w:color="auto"/>
        <w:left w:val="none" w:sz="0" w:space="0" w:color="auto"/>
        <w:bottom w:val="none" w:sz="0" w:space="0" w:color="auto"/>
        <w:right w:val="none" w:sz="0" w:space="0" w:color="auto"/>
      </w:divBdr>
    </w:div>
    <w:div w:id="1839612581">
      <w:bodyDiv w:val="1"/>
      <w:marLeft w:val="0"/>
      <w:marRight w:val="0"/>
      <w:marTop w:val="0"/>
      <w:marBottom w:val="0"/>
      <w:divBdr>
        <w:top w:val="none" w:sz="0" w:space="0" w:color="auto"/>
        <w:left w:val="none" w:sz="0" w:space="0" w:color="auto"/>
        <w:bottom w:val="none" w:sz="0" w:space="0" w:color="auto"/>
        <w:right w:val="none" w:sz="0" w:space="0" w:color="auto"/>
      </w:divBdr>
    </w:div>
    <w:div w:id="1846699767">
      <w:bodyDiv w:val="1"/>
      <w:marLeft w:val="0"/>
      <w:marRight w:val="0"/>
      <w:marTop w:val="0"/>
      <w:marBottom w:val="0"/>
      <w:divBdr>
        <w:top w:val="none" w:sz="0" w:space="0" w:color="auto"/>
        <w:left w:val="none" w:sz="0" w:space="0" w:color="auto"/>
        <w:bottom w:val="none" w:sz="0" w:space="0" w:color="auto"/>
        <w:right w:val="none" w:sz="0" w:space="0" w:color="auto"/>
      </w:divBdr>
    </w:div>
    <w:div w:id="1857187486">
      <w:bodyDiv w:val="1"/>
      <w:marLeft w:val="0"/>
      <w:marRight w:val="0"/>
      <w:marTop w:val="0"/>
      <w:marBottom w:val="0"/>
      <w:divBdr>
        <w:top w:val="none" w:sz="0" w:space="0" w:color="auto"/>
        <w:left w:val="none" w:sz="0" w:space="0" w:color="auto"/>
        <w:bottom w:val="none" w:sz="0" w:space="0" w:color="auto"/>
        <w:right w:val="none" w:sz="0" w:space="0" w:color="auto"/>
      </w:divBdr>
    </w:div>
    <w:div w:id="1861622527">
      <w:bodyDiv w:val="1"/>
      <w:marLeft w:val="0"/>
      <w:marRight w:val="0"/>
      <w:marTop w:val="0"/>
      <w:marBottom w:val="0"/>
      <w:divBdr>
        <w:top w:val="none" w:sz="0" w:space="0" w:color="auto"/>
        <w:left w:val="none" w:sz="0" w:space="0" w:color="auto"/>
        <w:bottom w:val="none" w:sz="0" w:space="0" w:color="auto"/>
        <w:right w:val="none" w:sz="0" w:space="0" w:color="auto"/>
      </w:divBdr>
    </w:div>
    <w:div w:id="1862085278">
      <w:bodyDiv w:val="1"/>
      <w:marLeft w:val="0"/>
      <w:marRight w:val="0"/>
      <w:marTop w:val="0"/>
      <w:marBottom w:val="0"/>
      <w:divBdr>
        <w:top w:val="none" w:sz="0" w:space="0" w:color="auto"/>
        <w:left w:val="none" w:sz="0" w:space="0" w:color="auto"/>
        <w:bottom w:val="none" w:sz="0" w:space="0" w:color="auto"/>
        <w:right w:val="none" w:sz="0" w:space="0" w:color="auto"/>
      </w:divBdr>
    </w:div>
    <w:div w:id="1870801266">
      <w:bodyDiv w:val="1"/>
      <w:marLeft w:val="0"/>
      <w:marRight w:val="0"/>
      <w:marTop w:val="0"/>
      <w:marBottom w:val="0"/>
      <w:divBdr>
        <w:top w:val="none" w:sz="0" w:space="0" w:color="auto"/>
        <w:left w:val="none" w:sz="0" w:space="0" w:color="auto"/>
        <w:bottom w:val="none" w:sz="0" w:space="0" w:color="auto"/>
        <w:right w:val="none" w:sz="0" w:space="0" w:color="auto"/>
      </w:divBdr>
    </w:div>
    <w:div w:id="1874802328">
      <w:bodyDiv w:val="1"/>
      <w:marLeft w:val="0"/>
      <w:marRight w:val="0"/>
      <w:marTop w:val="0"/>
      <w:marBottom w:val="0"/>
      <w:divBdr>
        <w:top w:val="none" w:sz="0" w:space="0" w:color="auto"/>
        <w:left w:val="none" w:sz="0" w:space="0" w:color="auto"/>
        <w:bottom w:val="none" w:sz="0" w:space="0" w:color="auto"/>
        <w:right w:val="none" w:sz="0" w:space="0" w:color="auto"/>
      </w:divBdr>
    </w:div>
    <w:div w:id="1886408439">
      <w:bodyDiv w:val="1"/>
      <w:marLeft w:val="0"/>
      <w:marRight w:val="0"/>
      <w:marTop w:val="0"/>
      <w:marBottom w:val="0"/>
      <w:divBdr>
        <w:top w:val="none" w:sz="0" w:space="0" w:color="auto"/>
        <w:left w:val="none" w:sz="0" w:space="0" w:color="auto"/>
        <w:bottom w:val="none" w:sz="0" w:space="0" w:color="auto"/>
        <w:right w:val="none" w:sz="0" w:space="0" w:color="auto"/>
      </w:divBdr>
    </w:div>
    <w:div w:id="1894268017">
      <w:bodyDiv w:val="1"/>
      <w:marLeft w:val="0"/>
      <w:marRight w:val="0"/>
      <w:marTop w:val="0"/>
      <w:marBottom w:val="0"/>
      <w:divBdr>
        <w:top w:val="none" w:sz="0" w:space="0" w:color="auto"/>
        <w:left w:val="none" w:sz="0" w:space="0" w:color="auto"/>
        <w:bottom w:val="none" w:sz="0" w:space="0" w:color="auto"/>
        <w:right w:val="none" w:sz="0" w:space="0" w:color="auto"/>
      </w:divBdr>
    </w:div>
    <w:div w:id="1912152840">
      <w:bodyDiv w:val="1"/>
      <w:marLeft w:val="0"/>
      <w:marRight w:val="0"/>
      <w:marTop w:val="0"/>
      <w:marBottom w:val="0"/>
      <w:divBdr>
        <w:top w:val="none" w:sz="0" w:space="0" w:color="auto"/>
        <w:left w:val="none" w:sz="0" w:space="0" w:color="auto"/>
        <w:bottom w:val="none" w:sz="0" w:space="0" w:color="auto"/>
        <w:right w:val="none" w:sz="0" w:space="0" w:color="auto"/>
      </w:divBdr>
    </w:div>
    <w:div w:id="1912808614">
      <w:bodyDiv w:val="1"/>
      <w:marLeft w:val="0"/>
      <w:marRight w:val="0"/>
      <w:marTop w:val="0"/>
      <w:marBottom w:val="0"/>
      <w:divBdr>
        <w:top w:val="none" w:sz="0" w:space="0" w:color="auto"/>
        <w:left w:val="none" w:sz="0" w:space="0" w:color="auto"/>
        <w:bottom w:val="none" w:sz="0" w:space="0" w:color="auto"/>
        <w:right w:val="none" w:sz="0" w:space="0" w:color="auto"/>
      </w:divBdr>
    </w:div>
    <w:div w:id="1914386185">
      <w:bodyDiv w:val="1"/>
      <w:marLeft w:val="0"/>
      <w:marRight w:val="0"/>
      <w:marTop w:val="0"/>
      <w:marBottom w:val="0"/>
      <w:divBdr>
        <w:top w:val="none" w:sz="0" w:space="0" w:color="auto"/>
        <w:left w:val="none" w:sz="0" w:space="0" w:color="auto"/>
        <w:bottom w:val="none" w:sz="0" w:space="0" w:color="auto"/>
        <w:right w:val="none" w:sz="0" w:space="0" w:color="auto"/>
      </w:divBdr>
    </w:div>
    <w:div w:id="1942646554">
      <w:bodyDiv w:val="1"/>
      <w:marLeft w:val="0"/>
      <w:marRight w:val="0"/>
      <w:marTop w:val="0"/>
      <w:marBottom w:val="0"/>
      <w:divBdr>
        <w:top w:val="none" w:sz="0" w:space="0" w:color="auto"/>
        <w:left w:val="none" w:sz="0" w:space="0" w:color="auto"/>
        <w:bottom w:val="none" w:sz="0" w:space="0" w:color="auto"/>
        <w:right w:val="none" w:sz="0" w:space="0" w:color="auto"/>
      </w:divBdr>
    </w:div>
    <w:div w:id="1954942817">
      <w:bodyDiv w:val="1"/>
      <w:marLeft w:val="0"/>
      <w:marRight w:val="0"/>
      <w:marTop w:val="0"/>
      <w:marBottom w:val="0"/>
      <w:divBdr>
        <w:top w:val="none" w:sz="0" w:space="0" w:color="auto"/>
        <w:left w:val="none" w:sz="0" w:space="0" w:color="auto"/>
        <w:bottom w:val="none" w:sz="0" w:space="0" w:color="auto"/>
        <w:right w:val="none" w:sz="0" w:space="0" w:color="auto"/>
      </w:divBdr>
    </w:div>
    <w:div w:id="1958217144">
      <w:bodyDiv w:val="1"/>
      <w:marLeft w:val="0"/>
      <w:marRight w:val="0"/>
      <w:marTop w:val="0"/>
      <w:marBottom w:val="0"/>
      <w:divBdr>
        <w:top w:val="none" w:sz="0" w:space="0" w:color="auto"/>
        <w:left w:val="none" w:sz="0" w:space="0" w:color="auto"/>
        <w:bottom w:val="none" w:sz="0" w:space="0" w:color="auto"/>
        <w:right w:val="none" w:sz="0" w:space="0" w:color="auto"/>
      </w:divBdr>
    </w:div>
    <w:div w:id="1958220413">
      <w:bodyDiv w:val="1"/>
      <w:marLeft w:val="0"/>
      <w:marRight w:val="0"/>
      <w:marTop w:val="0"/>
      <w:marBottom w:val="0"/>
      <w:divBdr>
        <w:top w:val="none" w:sz="0" w:space="0" w:color="auto"/>
        <w:left w:val="none" w:sz="0" w:space="0" w:color="auto"/>
        <w:bottom w:val="none" w:sz="0" w:space="0" w:color="auto"/>
        <w:right w:val="none" w:sz="0" w:space="0" w:color="auto"/>
      </w:divBdr>
    </w:div>
    <w:div w:id="1964338775">
      <w:bodyDiv w:val="1"/>
      <w:marLeft w:val="0"/>
      <w:marRight w:val="0"/>
      <w:marTop w:val="0"/>
      <w:marBottom w:val="0"/>
      <w:divBdr>
        <w:top w:val="none" w:sz="0" w:space="0" w:color="auto"/>
        <w:left w:val="none" w:sz="0" w:space="0" w:color="auto"/>
        <w:bottom w:val="none" w:sz="0" w:space="0" w:color="auto"/>
        <w:right w:val="none" w:sz="0" w:space="0" w:color="auto"/>
      </w:divBdr>
    </w:div>
    <w:div w:id="1971856629">
      <w:bodyDiv w:val="1"/>
      <w:marLeft w:val="0"/>
      <w:marRight w:val="0"/>
      <w:marTop w:val="0"/>
      <w:marBottom w:val="0"/>
      <w:divBdr>
        <w:top w:val="none" w:sz="0" w:space="0" w:color="auto"/>
        <w:left w:val="none" w:sz="0" w:space="0" w:color="auto"/>
        <w:bottom w:val="none" w:sz="0" w:space="0" w:color="auto"/>
        <w:right w:val="none" w:sz="0" w:space="0" w:color="auto"/>
      </w:divBdr>
    </w:div>
    <w:div w:id="1975479720">
      <w:bodyDiv w:val="1"/>
      <w:marLeft w:val="0"/>
      <w:marRight w:val="0"/>
      <w:marTop w:val="0"/>
      <w:marBottom w:val="0"/>
      <w:divBdr>
        <w:top w:val="none" w:sz="0" w:space="0" w:color="auto"/>
        <w:left w:val="none" w:sz="0" w:space="0" w:color="auto"/>
        <w:bottom w:val="none" w:sz="0" w:space="0" w:color="auto"/>
        <w:right w:val="none" w:sz="0" w:space="0" w:color="auto"/>
      </w:divBdr>
    </w:div>
    <w:div w:id="1978103795">
      <w:bodyDiv w:val="1"/>
      <w:marLeft w:val="0"/>
      <w:marRight w:val="0"/>
      <w:marTop w:val="0"/>
      <w:marBottom w:val="0"/>
      <w:divBdr>
        <w:top w:val="none" w:sz="0" w:space="0" w:color="auto"/>
        <w:left w:val="none" w:sz="0" w:space="0" w:color="auto"/>
        <w:bottom w:val="none" w:sz="0" w:space="0" w:color="auto"/>
        <w:right w:val="none" w:sz="0" w:space="0" w:color="auto"/>
      </w:divBdr>
    </w:div>
    <w:div w:id="1980913214">
      <w:bodyDiv w:val="1"/>
      <w:marLeft w:val="0"/>
      <w:marRight w:val="0"/>
      <w:marTop w:val="0"/>
      <w:marBottom w:val="0"/>
      <w:divBdr>
        <w:top w:val="none" w:sz="0" w:space="0" w:color="auto"/>
        <w:left w:val="none" w:sz="0" w:space="0" w:color="auto"/>
        <w:bottom w:val="none" w:sz="0" w:space="0" w:color="auto"/>
        <w:right w:val="none" w:sz="0" w:space="0" w:color="auto"/>
      </w:divBdr>
    </w:div>
    <w:div w:id="1992439021">
      <w:bodyDiv w:val="1"/>
      <w:marLeft w:val="0"/>
      <w:marRight w:val="0"/>
      <w:marTop w:val="0"/>
      <w:marBottom w:val="0"/>
      <w:divBdr>
        <w:top w:val="none" w:sz="0" w:space="0" w:color="auto"/>
        <w:left w:val="none" w:sz="0" w:space="0" w:color="auto"/>
        <w:bottom w:val="none" w:sz="0" w:space="0" w:color="auto"/>
        <w:right w:val="none" w:sz="0" w:space="0" w:color="auto"/>
      </w:divBdr>
    </w:div>
    <w:div w:id="1998916576">
      <w:bodyDiv w:val="1"/>
      <w:marLeft w:val="0"/>
      <w:marRight w:val="0"/>
      <w:marTop w:val="0"/>
      <w:marBottom w:val="0"/>
      <w:divBdr>
        <w:top w:val="none" w:sz="0" w:space="0" w:color="auto"/>
        <w:left w:val="none" w:sz="0" w:space="0" w:color="auto"/>
        <w:bottom w:val="none" w:sz="0" w:space="0" w:color="auto"/>
        <w:right w:val="none" w:sz="0" w:space="0" w:color="auto"/>
      </w:divBdr>
    </w:div>
    <w:div w:id="2001345715">
      <w:bodyDiv w:val="1"/>
      <w:marLeft w:val="0"/>
      <w:marRight w:val="0"/>
      <w:marTop w:val="0"/>
      <w:marBottom w:val="0"/>
      <w:divBdr>
        <w:top w:val="none" w:sz="0" w:space="0" w:color="auto"/>
        <w:left w:val="none" w:sz="0" w:space="0" w:color="auto"/>
        <w:bottom w:val="none" w:sz="0" w:space="0" w:color="auto"/>
        <w:right w:val="none" w:sz="0" w:space="0" w:color="auto"/>
      </w:divBdr>
    </w:div>
    <w:div w:id="2010138159">
      <w:bodyDiv w:val="1"/>
      <w:marLeft w:val="0"/>
      <w:marRight w:val="0"/>
      <w:marTop w:val="0"/>
      <w:marBottom w:val="0"/>
      <w:divBdr>
        <w:top w:val="none" w:sz="0" w:space="0" w:color="auto"/>
        <w:left w:val="none" w:sz="0" w:space="0" w:color="auto"/>
        <w:bottom w:val="none" w:sz="0" w:space="0" w:color="auto"/>
        <w:right w:val="none" w:sz="0" w:space="0" w:color="auto"/>
      </w:divBdr>
    </w:div>
    <w:div w:id="2011787711">
      <w:bodyDiv w:val="1"/>
      <w:marLeft w:val="0"/>
      <w:marRight w:val="0"/>
      <w:marTop w:val="0"/>
      <w:marBottom w:val="0"/>
      <w:divBdr>
        <w:top w:val="none" w:sz="0" w:space="0" w:color="auto"/>
        <w:left w:val="none" w:sz="0" w:space="0" w:color="auto"/>
        <w:bottom w:val="none" w:sz="0" w:space="0" w:color="auto"/>
        <w:right w:val="none" w:sz="0" w:space="0" w:color="auto"/>
      </w:divBdr>
    </w:div>
    <w:div w:id="2013753349">
      <w:bodyDiv w:val="1"/>
      <w:marLeft w:val="0"/>
      <w:marRight w:val="0"/>
      <w:marTop w:val="0"/>
      <w:marBottom w:val="0"/>
      <w:divBdr>
        <w:top w:val="none" w:sz="0" w:space="0" w:color="auto"/>
        <w:left w:val="none" w:sz="0" w:space="0" w:color="auto"/>
        <w:bottom w:val="none" w:sz="0" w:space="0" w:color="auto"/>
        <w:right w:val="none" w:sz="0" w:space="0" w:color="auto"/>
      </w:divBdr>
    </w:div>
    <w:div w:id="2018577265">
      <w:bodyDiv w:val="1"/>
      <w:marLeft w:val="0"/>
      <w:marRight w:val="0"/>
      <w:marTop w:val="0"/>
      <w:marBottom w:val="0"/>
      <w:divBdr>
        <w:top w:val="none" w:sz="0" w:space="0" w:color="auto"/>
        <w:left w:val="none" w:sz="0" w:space="0" w:color="auto"/>
        <w:bottom w:val="none" w:sz="0" w:space="0" w:color="auto"/>
        <w:right w:val="none" w:sz="0" w:space="0" w:color="auto"/>
      </w:divBdr>
    </w:div>
    <w:div w:id="2020035866">
      <w:bodyDiv w:val="1"/>
      <w:marLeft w:val="0"/>
      <w:marRight w:val="0"/>
      <w:marTop w:val="0"/>
      <w:marBottom w:val="0"/>
      <w:divBdr>
        <w:top w:val="none" w:sz="0" w:space="0" w:color="auto"/>
        <w:left w:val="none" w:sz="0" w:space="0" w:color="auto"/>
        <w:bottom w:val="none" w:sz="0" w:space="0" w:color="auto"/>
        <w:right w:val="none" w:sz="0" w:space="0" w:color="auto"/>
      </w:divBdr>
    </w:div>
    <w:div w:id="2023048788">
      <w:bodyDiv w:val="1"/>
      <w:marLeft w:val="0"/>
      <w:marRight w:val="0"/>
      <w:marTop w:val="0"/>
      <w:marBottom w:val="0"/>
      <w:divBdr>
        <w:top w:val="none" w:sz="0" w:space="0" w:color="auto"/>
        <w:left w:val="none" w:sz="0" w:space="0" w:color="auto"/>
        <w:bottom w:val="none" w:sz="0" w:space="0" w:color="auto"/>
        <w:right w:val="none" w:sz="0" w:space="0" w:color="auto"/>
      </w:divBdr>
      <w:divsChild>
        <w:div w:id="1832669950">
          <w:marLeft w:val="0"/>
          <w:marRight w:val="0"/>
          <w:marTop w:val="0"/>
          <w:marBottom w:val="0"/>
          <w:divBdr>
            <w:top w:val="none" w:sz="0" w:space="0" w:color="auto"/>
            <w:left w:val="none" w:sz="0" w:space="0" w:color="auto"/>
            <w:bottom w:val="none" w:sz="0" w:space="0" w:color="auto"/>
            <w:right w:val="none" w:sz="0" w:space="0" w:color="auto"/>
          </w:divBdr>
          <w:divsChild>
            <w:div w:id="1651134793">
              <w:marLeft w:val="0"/>
              <w:marRight w:val="0"/>
              <w:marTop w:val="0"/>
              <w:marBottom w:val="0"/>
              <w:divBdr>
                <w:top w:val="none" w:sz="0" w:space="0" w:color="auto"/>
                <w:left w:val="none" w:sz="0" w:space="0" w:color="auto"/>
                <w:bottom w:val="none" w:sz="0" w:space="0" w:color="auto"/>
                <w:right w:val="none" w:sz="0" w:space="0" w:color="auto"/>
              </w:divBdr>
              <w:divsChild>
                <w:div w:id="1273132096">
                  <w:marLeft w:val="0"/>
                  <w:marRight w:val="0"/>
                  <w:marTop w:val="0"/>
                  <w:marBottom w:val="0"/>
                  <w:divBdr>
                    <w:top w:val="none" w:sz="0" w:space="0" w:color="auto"/>
                    <w:left w:val="none" w:sz="0" w:space="0" w:color="auto"/>
                    <w:bottom w:val="none" w:sz="0" w:space="0" w:color="auto"/>
                    <w:right w:val="none" w:sz="0" w:space="0" w:color="auto"/>
                  </w:divBdr>
                  <w:divsChild>
                    <w:div w:id="1920402691">
                      <w:marLeft w:val="0"/>
                      <w:marRight w:val="0"/>
                      <w:marTop w:val="0"/>
                      <w:marBottom w:val="0"/>
                      <w:divBdr>
                        <w:top w:val="none" w:sz="0" w:space="0" w:color="auto"/>
                        <w:left w:val="none" w:sz="0" w:space="0" w:color="auto"/>
                        <w:bottom w:val="none" w:sz="0" w:space="0" w:color="auto"/>
                        <w:right w:val="none" w:sz="0" w:space="0" w:color="auto"/>
                      </w:divBdr>
                      <w:divsChild>
                        <w:div w:id="299116806">
                          <w:marLeft w:val="0"/>
                          <w:marRight w:val="0"/>
                          <w:marTop w:val="0"/>
                          <w:marBottom w:val="0"/>
                          <w:divBdr>
                            <w:top w:val="none" w:sz="0" w:space="0" w:color="auto"/>
                            <w:left w:val="none" w:sz="0" w:space="0" w:color="auto"/>
                            <w:bottom w:val="none" w:sz="0" w:space="0" w:color="auto"/>
                            <w:right w:val="none" w:sz="0" w:space="0" w:color="auto"/>
                          </w:divBdr>
                          <w:divsChild>
                            <w:div w:id="1292861396">
                              <w:marLeft w:val="0"/>
                              <w:marRight w:val="0"/>
                              <w:marTop w:val="0"/>
                              <w:marBottom w:val="0"/>
                              <w:divBdr>
                                <w:top w:val="none" w:sz="0" w:space="0" w:color="auto"/>
                                <w:left w:val="none" w:sz="0" w:space="0" w:color="auto"/>
                                <w:bottom w:val="none" w:sz="0" w:space="0" w:color="auto"/>
                                <w:right w:val="none" w:sz="0" w:space="0" w:color="auto"/>
                              </w:divBdr>
                              <w:divsChild>
                                <w:div w:id="44986157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24629148">
      <w:bodyDiv w:val="1"/>
      <w:marLeft w:val="0"/>
      <w:marRight w:val="0"/>
      <w:marTop w:val="0"/>
      <w:marBottom w:val="0"/>
      <w:divBdr>
        <w:top w:val="none" w:sz="0" w:space="0" w:color="auto"/>
        <w:left w:val="none" w:sz="0" w:space="0" w:color="auto"/>
        <w:bottom w:val="none" w:sz="0" w:space="0" w:color="auto"/>
        <w:right w:val="none" w:sz="0" w:space="0" w:color="auto"/>
      </w:divBdr>
    </w:div>
    <w:div w:id="2025283610">
      <w:bodyDiv w:val="1"/>
      <w:marLeft w:val="0"/>
      <w:marRight w:val="0"/>
      <w:marTop w:val="0"/>
      <w:marBottom w:val="0"/>
      <w:divBdr>
        <w:top w:val="none" w:sz="0" w:space="0" w:color="auto"/>
        <w:left w:val="none" w:sz="0" w:space="0" w:color="auto"/>
        <w:bottom w:val="none" w:sz="0" w:space="0" w:color="auto"/>
        <w:right w:val="none" w:sz="0" w:space="0" w:color="auto"/>
      </w:divBdr>
    </w:div>
    <w:div w:id="2036232046">
      <w:bodyDiv w:val="1"/>
      <w:marLeft w:val="0"/>
      <w:marRight w:val="0"/>
      <w:marTop w:val="0"/>
      <w:marBottom w:val="0"/>
      <w:divBdr>
        <w:top w:val="none" w:sz="0" w:space="0" w:color="auto"/>
        <w:left w:val="none" w:sz="0" w:space="0" w:color="auto"/>
        <w:bottom w:val="none" w:sz="0" w:space="0" w:color="auto"/>
        <w:right w:val="none" w:sz="0" w:space="0" w:color="auto"/>
      </w:divBdr>
    </w:div>
    <w:div w:id="2039961533">
      <w:bodyDiv w:val="1"/>
      <w:marLeft w:val="0"/>
      <w:marRight w:val="0"/>
      <w:marTop w:val="0"/>
      <w:marBottom w:val="0"/>
      <w:divBdr>
        <w:top w:val="none" w:sz="0" w:space="0" w:color="auto"/>
        <w:left w:val="none" w:sz="0" w:space="0" w:color="auto"/>
        <w:bottom w:val="none" w:sz="0" w:space="0" w:color="auto"/>
        <w:right w:val="none" w:sz="0" w:space="0" w:color="auto"/>
      </w:divBdr>
    </w:div>
    <w:div w:id="2040933469">
      <w:bodyDiv w:val="1"/>
      <w:marLeft w:val="0"/>
      <w:marRight w:val="0"/>
      <w:marTop w:val="0"/>
      <w:marBottom w:val="0"/>
      <w:divBdr>
        <w:top w:val="none" w:sz="0" w:space="0" w:color="auto"/>
        <w:left w:val="none" w:sz="0" w:space="0" w:color="auto"/>
        <w:bottom w:val="none" w:sz="0" w:space="0" w:color="auto"/>
        <w:right w:val="none" w:sz="0" w:space="0" w:color="auto"/>
      </w:divBdr>
    </w:div>
    <w:div w:id="2058893790">
      <w:bodyDiv w:val="1"/>
      <w:marLeft w:val="0"/>
      <w:marRight w:val="0"/>
      <w:marTop w:val="0"/>
      <w:marBottom w:val="0"/>
      <w:divBdr>
        <w:top w:val="none" w:sz="0" w:space="0" w:color="auto"/>
        <w:left w:val="none" w:sz="0" w:space="0" w:color="auto"/>
        <w:bottom w:val="none" w:sz="0" w:space="0" w:color="auto"/>
        <w:right w:val="none" w:sz="0" w:space="0" w:color="auto"/>
      </w:divBdr>
    </w:div>
    <w:div w:id="2058972049">
      <w:bodyDiv w:val="1"/>
      <w:marLeft w:val="0"/>
      <w:marRight w:val="0"/>
      <w:marTop w:val="0"/>
      <w:marBottom w:val="0"/>
      <w:divBdr>
        <w:top w:val="none" w:sz="0" w:space="0" w:color="auto"/>
        <w:left w:val="none" w:sz="0" w:space="0" w:color="auto"/>
        <w:bottom w:val="none" w:sz="0" w:space="0" w:color="auto"/>
        <w:right w:val="none" w:sz="0" w:space="0" w:color="auto"/>
      </w:divBdr>
    </w:div>
    <w:div w:id="2060275630">
      <w:bodyDiv w:val="1"/>
      <w:marLeft w:val="0"/>
      <w:marRight w:val="0"/>
      <w:marTop w:val="0"/>
      <w:marBottom w:val="0"/>
      <w:divBdr>
        <w:top w:val="none" w:sz="0" w:space="0" w:color="auto"/>
        <w:left w:val="none" w:sz="0" w:space="0" w:color="auto"/>
        <w:bottom w:val="none" w:sz="0" w:space="0" w:color="auto"/>
        <w:right w:val="none" w:sz="0" w:space="0" w:color="auto"/>
      </w:divBdr>
    </w:div>
    <w:div w:id="2069380647">
      <w:bodyDiv w:val="1"/>
      <w:marLeft w:val="0"/>
      <w:marRight w:val="0"/>
      <w:marTop w:val="0"/>
      <w:marBottom w:val="0"/>
      <w:divBdr>
        <w:top w:val="none" w:sz="0" w:space="0" w:color="auto"/>
        <w:left w:val="none" w:sz="0" w:space="0" w:color="auto"/>
        <w:bottom w:val="none" w:sz="0" w:space="0" w:color="auto"/>
        <w:right w:val="none" w:sz="0" w:space="0" w:color="auto"/>
      </w:divBdr>
    </w:div>
    <w:div w:id="2070036736">
      <w:bodyDiv w:val="1"/>
      <w:marLeft w:val="0"/>
      <w:marRight w:val="0"/>
      <w:marTop w:val="0"/>
      <w:marBottom w:val="0"/>
      <w:divBdr>
        <w:top w:val="none" w:sz="0" w:space="0" w:color="auto"/>
        <w:left w:val="none" w:sz="0" w:space="0" w:color="auto"/>
        <w:bottom w:val="none" w:sz="0" w:space="0" w:color="auto"/>
        <w:right w:val="none" w:sz="0" w:space="0" w:color="auto"/>
      </w:divBdr>
    </w:div>
    <w:div w:id="2070612361">
      <w:bodyDiv w:val="1"/>
      <w:marLeft w:val="0"/>
      <w:marRight w:val="0"/>
      <w:marTop w:val="0"/>
      <w:marBottom w:val="0"/>
      <w:divBdr>
        <w:top w:val="none" w:sz="0" w:space="0" w:color="auto"/>
        <w:left w:val="none" w:sz="0" w:space="0" w:color="auto"/>
        <w:bottom w:val="none" w:sz="0" w:space="0" w:color="auto"/>
        <w:right w:val="none" w:sz="0" w:space="0" w:color="auto"/>
      </w:divBdr>
    </w:div>
    <w:div w:id="2071070542">
      <w:bodyDiv w:val="1"/>
      <w:marLeft w:val="0"/>
      <w:marRight w:val="0"/>
      <w:marTop w:val="0"/>
      <w:marBottom w:val="0"/>
      <w:divBdr>
        <w:top w:val="none" w:sz="0" w:space="0" w:color="auto"/>
        <w:left w:val="none" w:sz="0" w:space="0" w:color="auto"/>
        <w:bottom w:val="none" w:sz="0" w:space="0" w:color="auto"/>
        <w:right w:val="none" w:sz="0" w:space="0" w:color="auto"/>
      </w:divBdr>
    </w:div>
    <w:div w:id="2072801550">
      <w:bodyDiv w:val="1"/>
      <w:marLeft w:val="0"/>
      <w:marRight w:val="0"/>
      <w:marTop w:val="0"/>
      <w:marBottom w:val="0"/>
      <w:divBdr>
        <w:top w:val="none" w:sz="0" w:space="0" w:color="auto"/>
        <w:left w:val="none" w:sz="0" w:space="0" w:color="auto"/>
        <w:bottom w:val="none" w:sz="0" w:space="0" w:color="auto"/>
        <w:right w:val="none" w:sz="0" w:space="0" w:color="auto"/>
      </w:divBdr>
    </w:div>
    <w:div w:id="2090229494">
      <w:bodyDiv w:val="1"/>
      <w:marLeft w:val="0"/>
      <w:marRight w:val="0"/>
      <w:marTop w:val="0"/>
      <w:marBottom w:val="0"/>
      <w:divBdr>
        <w:top w:val="none" w:sz="0" w:space="0" w:color="auto"/>
        <w:left w:val="none" w:sz="0" w:space="0" w:color="auto"/>
        <w:bottom w:val="none" w:sz="0" w:space="0" w:color="auto"/>
        <w:right w:val="none" w:sz="0" w:space="0" w:color="auto"/>
      </w:divBdr>
    </w:div>
    <w:div w:id="2091463686">
      <w:bodyDiv w:val="1"/>
      <w:marLeft w:val="0"/>
      <w:marRight w:val="0"/>
      <w:marTop w:val="0"/>
      <w:marBottom w:val="0"/>
      <w:divBdr>
        <w:top w:val="none" w:sz="0" w:space="0" w:color="auto"/>
        <w:left w:val="none" w:sz="0" w:space="0" w:color="auto"/>
        <w:bottom w:val="none" w:sz="0" w:space="0" w:color="auto"/>
        <w:right w:val="none" w:sz="0" w:space="0" w:color="auto"/>
      </w:divBdr>
    </w:div>
    <w:div w:id="2097094969">
      <w:bodyDiv w:val="1"/>
      <w:marLeft w:val="0"/>
      <w:marRight w:val="0"/>
      <w:marTop w:val="0"/>
      <w:marBottom w:val="0"/>
      <w:divBdr>
        <w:top w:val="none" w:sz="0" w:space="0" w:color="auto"/>
        <w:left w:val="none" w:sz="0" w:space="0" w:color="auto"/>
        <w:bottom w:val="none" w:sz="0" w:space="0" w:color="auto"/>
        <w:right w:val="none" w:sz="0" w:space="0" w:color="auto"/>
      </w:divBdr>
    </w:div>
    <w:div w:id="2099790569">
      <w:bodyDiv w:val="1"/>
      <w:marLeft w:val="0"/>
      <w:marRight w:val="0"/>
      <w:marTop w:val="0"/>
      <w:marBottom w:val="0"/>
      <w:divBdr>
        <w:top w:val="none" w:sz="0" w:space="0" w:color="auto"/>
        <w:left w:val="none" w:sz="0" w:space="0" w:color="auto"/>
        <w:bottom w:val="none" w:sz="0" w:space="0" w:color="auto"/>
        <w:right w:val="none" w:sz="0" w:space="0" w:color="auto"/>
      </w:divBdr>
    </w:div>
    <w:div w:id="2100977221">
      <w:bodyDiv w:val="1"/>
      <w:marLeft w:val="0"/>
      <w:marRight w:val="0"/>
      <w:marTop w:val="0"/>
      <w:marBottom w:val="0"/>
      <w:divBdr>
        <w:top w:val="none" w:sz="0" w:space="0" w:color="auto"/>
        <w:left w:val="none" w:sz="0" w:space="0" w:color="auto"/>
        <w:bottom w:val="none" w:sz="0" w:space="0" w:color="auto"/>
        <w:right w:val="none" w:sz="0" w:space="0" w:color="auto"/>
      </w:divBdr>
    </w:div>
    <w:div w:id="2104371070">
      <w:bodyDiv w:val="1"/>
      <w:marLeft w:val="0"/>
      <w:marRight w:val="0"/>
      <w:marTop w:val="0"/>
      <w:marBottom w:val="0"/>
      <w:divBdr>
        <w:top w:val="none" w:sz="0" w:space="0" w:color="auto"/>
        <w:left w:val="none" w:sz="0" w:space="0" w:color="auto"/>
        <w:bottom w:val="none" w:sz="0" w:space="0" w:color="auto"/>
        <w:right w:val="none" w:sz="0" w:space="0" w:color="auto"/>
      </w:divBdr>
    </w:div>
    <w:div w:id="2104524580">
      <w:bodyDiv w:val="1"/>
      <w:marLeft w:val="0"/>
      <w:marRight w:val="0"/>
      <w:marTop w:val="0"/>
      <w:marBottom w:val="0"/>
      <w:divBdr>
        <w:top w:val="none" w:sz="0" w:space="0" w:color="auto"/>
        <w:left w:val="none" w:sz="0" w:space="0" w:color="auto"/>
        <w:bottom w:val="none" w:sz="0" w:space="0" w:color="auto"/>
        <w:right w:val="none" w:sz="0" w:space="0" w:color="auto"/>
      </w:divBdr>
    </w:div>
    <w:div w:id="2105298667">
      <w:bodyDiv w:val="1"/>
      <w:marLeft w:val="0"/>
      <w:marRight w:val="0"/>
      <w:marTop w:val="0"/>
      <w:marBottom w:val="0"/>
      <w:divBdr>
        <w:top w:val="none" w:sz="0" w:space="0" w:color="auto"/>
        <w:left w:val="none" w:sz="0" w:space="0" w:color="auto"/>
        <w:bottom w:val="none" w:sz="0" w:space="0" w:color="auto"/>
        <w:right w:val="none" w:sz="0" w:space="0" w:color="auto"/>
      </w:divBdr>
    </w:div>
    <w:div w:id="2106685455">
      <w:bodyDiv w:val="1"/>
      <w:marLeft w:val="0"/>
      <w:marRight w:val="0"/>
      <w:marTop w:val="0"/>
      <w:marBottom w:val="0"/>
      <w:divBdr>
        <w:top w:val="none" w:sz="0" w:space="0" w:color="auto"/>
        <w:left w:val="none" w:sz="0" w:space="0" w:color="auto"/>
        <w:bottom w:val="none" w:sz="0" w:space="0" w:color="auto"/>
        <w:right w:val="none" w:sz="0" w:space="0" w:color="auto"/>
      </w:divBdr>
    </w:div>
    <w:div w:id="2111658289">
      <w:bodyDiv w:val="1"/>
      <w:marLeft w:val="0"/>
      <w:marRight w:val="0"/>
      <w:marTop w:val="0"/>
      <w:marBottom w:val="0"/>
      <w:divBdr>
        <w:top w:val="none" w:sz="0" w:space="0" w:color="auto"/>
        <w:left w:val="none" w:sz="0" w:space="0" w:color="auto"/>
        <w:bottom w:val="none" w:sz="0" w:space="0" w:color="auto"/>
        <w:right w:val="none" w:sz="0" w:space="0" w:color="auto"/>
      </w:divBdr>
    </w:div>
    <w:div w:id="2124956598">
      <w:bodyDiv w:val="1"/>
      <w:marLeft w:val="0"/>
      <w:marRight w:val="0"/>
      <w:marTop w:val="0"/>
      <w:marBottom w:val="0"/>
      <w:divBdr>
        <w:top w:val="none" w:sz="0" w:space="0" w:color="auto"/>
        <w:left w:val="none" w:sz="0" w:space="0" w:color="auto"/>
        <w:bottom w:val="none" w:sz="0" w:space="0" w:color="auto"/>
        <w:right w:val="none" w:sz="0" w:space="0" w:color="auto"/>
      </w:divBdr>
    </w:div>
    <w:div w:id="2127963217">
      <w:bodyDiv w:val="1"/>
      <w:marLeft w:val="0"/>
      <w:marRight w:val="0"/>
      <w:marTop w:val="0"/>
      <w:marBottom w:val="0"/>
      <w:divBdr>
        <w:top w:val="none" w:sz="0" w:space="0" w:color="auto"/>
        <w:left w:val="none" w:sz="0" w:space="0" w:color="auto"/>
        <w:bottom w:val="none" w:sz="0" w:space="0" w:color="auto"/>
        <w:right w:val="none" w:sz="0" w:space="0" w:color="auto"/>
      </w:divBdr>
    </w:div>
    <w:div w:id="2128111831">
      <w:bodyDiv w:val="1"/>
      <w:marLeft w:val="0"/>
      <w:marRight w:val="0"/>
      <w:marTop w:val="0"/>
      <w:marBottom w:val="0"/>
      <w:divBdr>
        <w:top w:val="none" w:sz="0" w:space="0" w:color="auto"/>
        <w:left w:val="none" w:sz="0" w:space="0" w:color="auto"/>
        <w:bottom w:val="none" w:sz="0" w:space="0" w:color="auto"/>
        <w:right w:val="none" w:sz="0" w:space="0" w:color="auto"/>
      </w:divBdr>
    </w:div>
    <w:div w:id="2128962488">
      <w:bodyDiv w:val="1"/>
      <w:marLeft w:val="0"/>
      <w:marRight w:val="0"/>
      <w:marTop w:val="0"/>
      <w:marBottom w:val="0"/>
      <w:divBdr>
        <w:top w:val="none" w:sz="0" w:space="0" w:color="auto"/>
        <w:left w:val="none" w:sz="0" w:space="0" w:color="auto"/>
        <w:bottom w:val="none" w:sz="0" w:space="0" w:color="auto"/>
        <w:right w:val="none" w:sz="0" w:space="0" w:color="auto"/>
      </w:divBdr>
    </w:div>
    <w:div w:id="2131123274">
      <w:bodyDiv w:val="1"/>
      <w:marLeft w:val="0"/>
      <w:marRight w:val="0"/>
      <w:marTop w:val="0"/>
      <w:marBottom w:val="0"/>
      <w:divBdr>
        <w:top w:val="none" w:sz="0" w:space="0" w:color="auto"/>
        <w:left w:val="none" w:sz="0" w:space="0" w:color="auto"/>
        <w:bottom w:val="none" w:sz="0" w:space="0" w:color="auto"/>
        <w:right w:val="none" w:sz="0" w:space="0" w:color="auto"/>
      </w:divBdr>
    </w:div>
    <w:div w:id="2131168779">
      <w:bodyDiv w:val="1"/>
      <w:marLeft w:val="0"/>
      <w:marRight w:val="0"/>
      <w:marTop w:val="0"/>
      <w:marBottom w:val="0"/>
      <w:divBdr>
        <w:top w:val="none" w:sz="0" w:space="0" w:color="auto"/>
        <w:left w:val="none" w:sz="0" w:space="0" w:color="auto"/>
        <w:bottom w:val="none" w:sz="0" w:space="0" w:color="auto"/>
        <w:right w:val="none" w:sz="0" w:space="0" w:color="auto"/>
      </w:divBdr>
    </w:div>
    <w:div w:id="2131849967">
      <w:bodyDiv w:val="1"/>
      <w:marLeft w:val="0"/>
      <w:marRight w:val="0"/>
      <w:marTop w:val="0"/>
      <w:marBottom w:val="0"/>
      <w:divBdr>
        <w:top w:val="none" w:sz="0" w:space="0" w:color="auto"/>
        <w:left w:val="none" w:sz="0" w:space="0" w:color="auto"/>
        <w:bottom w:val="none" w:sz="0" w:space="0" w:color="auto"/>
        <w:right w:val="none" w:sz="0" w:space="0" w:color="auto"/>
      </w:divBdr>
    </w:div>
    <w:div w:id="2135714499">
      <w:bodyDiv w:val="1"/>
      <w:marLeft w:val="0"/>
      <w:marRight w:val="0"/>
      <w:marTop w:val="0"/>
      <w:marBottom w:val="0"/>
      <w:divBdr>
        <w:top w:val="none" w:sz="0" w:space="0" w:color="auto"/>
        <w:left w:val="none" w:sz="0" w:space="0" w:color="auto"/>
        <w:bottom w:val="none" w:sz="0" w:space="0" w:color="auto"/>
        <w:right w:val="none" w:sz="0" w:space="0" w:color="auto"/>
      </w:divBdr>
    </w:div>
    <w:div w:id="2139494916">
      <w:bodyDiv w:val="1"/>
      <w:marLeft w:val="0"/>
      <w:marRight w:val="0"/>
      <w:marTop w:val="0"/>
      <w:marBottom w:val="0"/>
      <w:divBdr>
        <w:top w:val="none" w:sz="0" w:space="0" w:color="auto"/>
        <w:left w:val="none" w:sz="0" w:space="0" w:color="auto"/>
        <w:bottom w:val="none" w:sz="0" w:space="0" w:color="auto"/>
        <w:right w:val="none" w:sz="0" w:space="0" w:color="auto"/>
      </w:divBdr>
    </w:div>
    <w:div w:id="2142069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opzp.sk" TargetMode="External"/><Relationship Id="rId18" Type="http://schemas.openxmlformats.org/officeDocument/2006/relationships/hyperlink" Target="http://www.opzp.sk/projekty/zoznamy-opzp/zoznam-prijimatelov-z-opzp/" TargetMode="External"/><Relationship Id="rId26" Type="http://schemas.openxmlformats.org/officeDocument/2006/relationships/hyperlink" Target="http://www.opzp.sk/projekty/mapa-vzorovych-uspesne-realizovanych-projektov/" TargetMode="External"/><Relationship Id="rId39" Type="http://schemas.openxmlformats.org/officeDocument/2006/relationships/hyperlink" Target="http://www.repis.sk" TargetMode="External"/><Relationship Id="rId3" Type="http://schemas.openxmlformats.org/officeDocument/2006/relationships/styles" Target="styles.xml"/><Relationship Id="rId21" Type="http://schemas.openxmlformats.org/officeDocument/2006/relationships/hyperlink" Target="http://www.opzp.sk/projekty/zoznamy-opzp/zoznam-prijimatelov-z-opzp/" TargetMode="External"/><Relationship Id="rId34" Type="http://schemas.openxmlformats.org/officeDocument/2006/relationships/hyperlink" Target="http://dunajskastrategia.gov.sk/" TargetMode="External"/><Relationship Id="rId42" Type="http://schemas.openxmlformats.org/officeDocument/2006/relationships/hyperlink" Target="http://www.opzp.sk" TargetMode="Externa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opzp.sk" TargetMode="External"/><Relationship Id="rId17" Type="http://schemas.openxmlformats.org/officeDocument/2006/relationships/image" Target="media/image5.png"/><Relationship Id="rId25" Type="http://schemas.openxmlformats.org/officeDocument/2006/relationships/hyperlink" Target="http://www.opzp.sk/projekty/zoznamy-opzp/zoznam-prijimatelov-z-opzp/" TargetMode="External"/><Relationship Id="rId33" Type="http://schemas.openxmlformats.org/officeDocument/2006/relationships/hyperlink" Target="http://www.partnerskadohoda.gov.sk/" TargetMode="External"/><Relationship Id="rId38" Type="http://schemas.openxmlformats.org/officeDocument/2006/relationships/hyperlink" Target="http://www.opzp.sk" TargetMode="External"/><Relationship Id="rId46"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opzp.sk/projekty/mapa-vzorovych-uspesne-realizovanych-projektov/" TargetMode="External"/><Relationship Id="rId29" Type="http://schemas.openxmlformats.org/officeDocument/2006/relationships/hyperlink" Target="http://www.opzp.sk/projekty/zoznamy-opzp/zoznam-prijimatelov-z-opzp/" TargetMode="External"/><Relationship Id="rId41" Type="http://schemas.openxmlformats.org/officeDocument/2006/relationships/hyperlink" Target="http://www.nsrr.s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opzp.sk" TargetMode="External"/><Relationship Id="rId24" Type="http://schemas.openxmlformats.org/officeDocument/2006/relationships/hyperlink" Target="http://www.opzp.sk/projekty/mapa-vzorovych-uspesne-realizovanych-projektov/" TargetMode="External"/><Relationship Id="rId32" Type="http://schemas.openxmlformats.org/officeDocument/2006/relationships/hyperlink" Target="http://www.eu2020.gov.sk/" TargetMode="External"/><Relationship Id="rId37" Type="http://schemas.openxmlformats.org/officeDocument/2006/relationships/hyperlink" Target="http://www.opzp.sk/projekty-nad-25-mil-eur/oznamy-o-predkladani-projektovych-zamerov-velkych-projektov/prioritna-os-1-3/" TargetMode="External"/><Relationship Id="rId40" Type="http://schemas.openxmlformats.org/officeDocument/2006/relationships/hyperlink" Target="http://www.minzp.sk" TargetMode="External"/><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ec.europa.eu/regional_policy/sources/docoffic/2007/working/wd7_indicators_en.pdf" TargetMode="External"/><Relationship Id="rId23" Type="http://schemas.openxmlformats.org/officeDocument/2006/relationships/hyperlink" Target="http://www.opzp.sk/projekty/zoznamy-opzp/zoznam-prijimatelov-z-opzp/" TargetMode="External"/><Relationship Id="rId28" Type="http://schemas.openxmlformats.org/officeDocument/2006/relationships/hyperlink" Target="http://www.opzp.sk/projekty/mapa-vzorovych-uspesne-realizovanych-projektov/" TargetMode="External"/><Relationship Id="rId36" Type="http://schemas.openxmlformats.org/officeDocument/2006/relationships/hyperlink" Target="http://www.ipcc-nggip.iges.or.jp/public/index.html" TargetMode="External"/><Relationship Id="rId10" Type="http://schemas.openxmlformats.org/officeDocument/2006/relationships/image" Target="media/image3.jpeg"/><Relationship Id="rId19" Type="http://schemas.openxmlformats.org/officeDocument/2006/relationships/hyperlink" Target="http://www.opzp.sk/implementacia-programu/monitorovanie-programu/monitorovaci-vybor-opzp/" TargetMode="External"/><Relationship Id="rId31" Type="http://schemas.openxmlformats.org/officeDocument/2006/relationships/hyperlink" Target="http://www.hpisahptur.gov.sk/" TargetMode="Externa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opzp.sk/projekty/zoznamy-opzp/zoznam-prijimatelov-z-opzp/" TargetMode="External"/><Relationship Id="rId22" Type="http://schemas.openxmlformats.org/officeDocument/2006/relationships/hyperlink" Target="http://www.opzp.sk/projekty/mapa-vzorovych-uspesne-realizovanych-projektov/" TargetMode="External"/><Relationship Id="rId27" Type="http://schemas.openxmlformats.org/officeDocument/2006/relationships/hyperlink" Target="http://www.opzp.sk/projekty/zoznamy-opzp/zoznam-prijimatelov-z-opzp/" TargetMode="External"/><Relationship Id="rId30" Type="http://schemas.openxmlformats.org/officeDocument/2006/relationships/hyperlink" Target="http://www.opzp.sk/projekty/zoznamy-opzp/zoznam-prijimatelov-z-opzp/" TargetMode="External"/><Relationship Id="rId35" Type="http://schemas.openxmlformats.org/officeDocument/2006/relationships/hyperlink" Target="http://www.gender.gov.sk" TargetMode="External"/><Relationship Id="rId43" Type="http://schemas.openxmlformats.org/officeDocument/2006/relationships/header" Target="header1.xml"/><Relationship Id="rId48" Type="http://schemas.openxmlformats.org/officeDocument/2006/relationships/theme" Target="theme/theme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FB37D6-6EFC-4A30-BE81-0C81520255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144</Pages>
  <Words>70217</Words>
  <Characters>400237</Characters>
  <Application>Microsoft Office Word</Application>
  <DocSecurity>0</DocSecurity>
  <Lines>3335</Lines>
  <Paragraphs>939</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469515</CharactersWithSpaces>
  <SharedDoc>false</SharedDoc>
  <HLinks>
    <vt:vector size="672" baseType="variant">
      <vt:variant>
        <vt:i4>8060963</vt:i4>
      </vt:variant>
      <vt:variant>
        <vt:i4>492</vt:i4>
      </vt:variant>
      <vt:variant>
        <vt:i4>0</vt:i4>
      </vt:variant>
      <vt:variant>
        <vt:i4>5</vt:i4>
      </vt:variant>
      <vt:variant>
        <vt:lpwstr>http://www.opzp.sk/</vt:lpwstr>
      </vt:variant>
      <vt:variant>
        <vt:lpwstr/>
      </vt:variant>
      <vt:variant>
        <vt:i4>8060963</vt:i4>
      </vt:variant>
      <vt:variant>
        <vt:i4>489</vt:i4>
      </vt:variant>
      <vt:variant>
        <vt:i4>0</vt:i4>
      </vt:variant>
      <vt:variant>
        <vt:i4>5</vt:i4>
      </vt:variant>
      <vt:variant>
        <vt:lpwstr>http://www.opzp.sk/</vt:lpwstr>
      </vt:variant>
      <vt:variant>
        <vt:lpwstr/>
      </vt:variant>
      <vt:variant>
        <vt:i4>8060963</vt:i4>
      </vt:variant>
      <vt:variant>
        <vt:i4>486</vt:i4>
      </vt:variant>
      <vt:variant>
        <vt:i4>0</vt:i4>
      </vt:variant>
      <vt:variant>
        <vt:i4>5</vt:i4>
      </vt:variant>
      <vt:variant>
        <vt:lpwstr>http://www.opzp.sk/</vt:lpwstr>
      </vt:variant>
      <vt:variant>
        <vt:lpwstr/>
      </vt:variant>
      <vt:variant>
        <vt:i4>8060963</vt:i4>
      </vt:variant>
      <vt:variant>
        <vt:i4>483</vt:i4>
      </vt:variant>
      <vt:variant>
        <vt:i4>0</vt:i4>
      </vt:variant>
      <vt:variant>
        <vt:i4>5</vt:i4>
      </vt:variant>
      <vt:variant>
        <vt:lpwstr>http://www.opzp.sk/</vt:lpwstr>
      </vt:variant>
      <vt:variant>
        <vt:lpwstr/>
      </vt:variant>
      <vt:variant>
        <vt:i4>721008</vt:i4>
      </vt:variant>
      <vt:variant>
        <vt:i4>480</vt:i4>
      </vt:variant>
      <vt:variant>
        <vt:i4>0</vt:i4>
      </vt:variant>
      <vt:variant>
        <vt:i4>5</vt:i4>
      </vt:variant>
      <vt:variant>
        <vt:lpwstr>mailto:opc@enviro.gov.sk</vt:lpwstr>
      </vt:variant>
      <vt:variant>
        <vt:lpwstr/>
      </vt:variant>
      <vt:variant>
        <vt:i4>2555973</vt:i4>
      </vt:variant>
      <vt:variant>
        <vt:i4>477</vt:i4>
      </vt:variant>
      <vt:variant>
        <vt:i4>0</vt:i4>
      </vt:variant>
      <vt:variant>
        <vt:i4>5</vt:i4>
      </vt:variant>
      <vt:variant>
        <vt:lpwstr>mailto:info@enviro.gov.sk</vt:lpwstr>
      </vt:variant>
      <vt:variant>
        <vt:lpwstr/>
      </vt:variant>
      <vt:variant>
        <vt:i4>393241</vt:i4>
      </vt:variant>
      <vt:variant>
        <vt:i4>474</vt:i4>
      </vt:variant>
      <vt:variant>
        <vt:i4>0</vt:i4>
      </vt:variant>
      <vt:variant>
        <vt:i4>5</vt:i4>
      </vt:variant>
      <vt:variant>
        <vt:lpwstr>http://www.repis.sk/</vt:lpwstr>
      </vt:variant>
      <vt:variant>
        <vt:lpwstr/>
      </vt:variant>
      <vt:variant>
        <vt:i4>8060963</vt:i4>
      </vt:variant>
      <vt:variant>
        <vt:i4>471</vt:i4>
      </vt:variant>
      <vt:variant>
        <vt:i4>0</vt:i4>
      </vt:variant>
      <vt:variant>
        <vt:i4>5</vt:i4>
      </vt:variant>
      <vt:variant>
        <vt:lpwstr>http://www.opzp.sk/</vt:lpwstr>
      </vt:variant>
      <vt:variant>
        <vt:lpwstr/>
      </vt:variant>
      <vt:variant>
        <vt:i4>393241</vt:i4>
      </vt:variant>
      <vt:variant>
        <vt:i4>468</vt:i4>
      </vt:variant>
      <vt:variant>
        <vt:i4>0</vt:i4>
      </vt:variant>
      <vt:variant>
        <vt:i4>5</vt:i4>
      </vt:variant>
      <vt:variant>
        <vt:lpwstr>http://www.repis.sk/</vt:lpwstr>
      </vt:variant>
      <vt:variant>
        <vt:lpwstr/>
      </vt:variant>
      <vt:variant>
        <vt:i4>393241</vt:i4>
      </vt:variant>
      <vt:variant>
        <vt:i4>465</vt:i4>
      </vt:variant>
      <vt:variant>
        <vt:i4>0</vt:i4>
      </vt:variant>
      <vt:variant>
        <vt:i4>5</vt:i4>
      </vt:variant>
      <vt:variant>
        <vt:lpwstr>http://www.repis.sk/</vt:lpwstr>
      </vt:variant>
      <vt:variant>
        <vt:lpwstr/>
      </vt:variant>
      <vt:variant>
        <vt:i4>8060963</vt:i4>
      </vt:variant>
      <vt:variant>
        <vt:i4>462</vt:i4>
      </vt:variant>
      <vt:variant>
        <vt:i4>0</vt:i4>
      </vt:variant>
      <vt:variant>
        <vt:i4>5</vt:i4>
      </vt:variant>
      <vt:variant>
        <vt:lpwstr>http://www.opzp.sk/</vt:lpwstr>
      </vt:variant>
      <vt:variant>
        <vt:lpwstr/>
      </vt:variant>
      <vt:variant>
        <vt:i4>262150</vt:i4>
      </vt:variant>
      <vt:variant>
        <vt:i4>459</vt:i4>
      </vt:variant>
      <vt:variant>
        <vt:i4>0</vt:i4>
      </vt:variant>
      <vt:variant>
        <vt:i4>5</vt:i4>
      </vt:variant>
      <vt:variant>
        <vt:lpwstr>http://www.minzp.sk/</vt:lpwstr>
      </vt:variant>
      <vt:variant>
        <vt:lpwstr/>
      </vt:variant>
      <vt:variant>
        <vt:i4>8060963</vt:i4>
      </vt:variant>
      <vt:variant>
        <vt:i4>456</vt:i4>
      </vt:variant>
      <vt:variant>
        <vt:i4>0</vt:i4>
      </vt:variant>
      <vt:variant>
        <vt:i4>5</vt:i4>
      </vt:variant>
      <vt:variant>
        <vt:lpwstr>http://www.opzp.sk/</vt:lpwstr>
      </vt:variant>
      <vt:variant>
        <vt:lpwstr/>
      </vt:variant>
      <vt:variant>
        <vt:i4>8060963</vt:i4>
      </vt:variant>
      <vt:variant>
        <vt:i4>453</vt:i4>
      </vt:variant>
      <vt:variant>
        <vt:i4>0</vt:i4>
      </vt:variant>
      <vt:variant>
        <vt:i4>5</vt:i4>
      </vt:variant>
      <vt:variant>
        <vt:lpwstr>http://www.opzp.sk/</vt:lpwstr>
      </vt:variant>
      <vt:variant>
        <vt:lpwstr/>
      </vt:variant>
      <vt:variant>
        <vt:i4>7471138</vt:i4>
      </vt:variant>
      <vt:variant>
        <vt:i4>450</vt:i4>
      </vt:variant>
      <vt:variant>
        <vt:i4>0</vt:i4>
      </vt:variant>
      <vt:variant>
        <vt:i4>5</vt:i4>
      </vt:variant>
      <vt:variant>
        <vt:lpwstr>http://www.nsrr.sk/</vt:lpwstr>
      </vt:variant>
      <vt:variant>
        <vt:lpwstr/>
      </vt:variant>
      <vt:variant>
        <vt:i4>262150</vt:i4>
      </vt:variant>
      <vt:variant>
        <vt:i4>447</vt:i4>
      </vt:variant>
      <vt:variant>
        <vt:i4>0</vt:i4>
      </vt:variant>
      <vt:variant>
        <vt:i4>5</vt:i4>
      </vt:variant>
      <vt:variant>
        <vt:lpwstr>http://www.minzp.sk/</vt:lpwstr>
      </vt:variant>
      <vt:variant>
        <vt:lpwstr/>
      </vt:variant>
      <vt:variant>
        <vt:i4>393241</vt:i4>
      </vt:variant>
      <vt:variant>
        <vt:i4>444</vt:i4>
      </vt:variant>
      <vt:variant>
        <vt:i4>0</vt:i4>
      </vt:variant>
      <vt:variant>
        <vt:i4>5</vt:i4>
      </vt:variant>
      <vt:variant>
        <vt:lpwstr>http://www.repis.sk/</vt:lpwstr>
      </vt:variant>
      <vt:variant>
        <vt:lpwstr/>
      </vt:variant>
      <vt:variant>
        <vt:i4>8060963</vt:i4>
      </vt:variant>
      <vt:variant>
        <vt:i4>441</vt:i4>
      </vt:variant>
      <vt:variant>
        <vt:i4>0</vt:i4>
      </vt:variant>
      <vt:variant>
        <vt:i4>5</vt:i4>
      </vt:variant>
      <vt:variant>
        <vt:lpwstr>http://www.opzp.sk/</vt:lpwstr>
      </vt:variant>
      <vt:variant>
        <vt:lpwstr/>
      </vt:variant>
      <vt:variant>
        <vt:i4>131153</vt:i4>
      </vt:variant>
      <vt:variant>
        <vt:i4>438</vt:i4>
      </vt:variant>
      <vt:variant>
        <vt:i4>0</vt:i4>
      </vt:variant>
      <vt:variant>
        <vt:i4>5</vt:i4>
      </vt:variant>
      <vt:variant>
        <vt:lpwstr>http://www.opzp.sk/projekty/zoznam-prijimatelov/</vt:lpwstr>
      </vt:variant>
      <vt:variant>
        <vt:lpwstr/>
      </vt:variant>
      <vt:variant>
        <vt:i4>7471138</vt:i4>
      </vt:variant>
      <vt:variant>
        <vt:i4>435</vt:i4>
      </vt:variant>
      <vt:variant>
        <vt:i4>0</vt:i4>
      </vt:variant>
      <vt:variant>
        <vt:i4>5</vt:i4>
      </vt:variant>
      <vt:variant>
        <vt:lpwstr>http://www.nsrr.sk/</vt:lpwstr>
      </vt:variant>
      <vt:variant>
        <vt:lpwstr/>
      </vt:variant>
      <vt:variant>
        <vt:i4>6291493</vt:i4>
      </vt:variant>
      <vt:variant>
        <vt:i4>432</vt:i4>
      </vt:variant>
      <vt:variant>
        <vt:i4>0</vt:i4>
      </vt:variant>
      <vt:variant>
        <vt:i4>5</vt:i4>
      </vt:variant>
      <vt:variant>
        <vt:lpwstr>http://www.ipcc-nggip.iges.or.jp/public/index.html</vt:lpwstr>
      </vt:variant>
      <vt:variant>
        <vt:lpwstr/>
      </vt:variant>
      <vt:variant>
        <vt:i4>131153</vt:i4>
      </vt:variant>
      <vt:variant>
        <vt:i4>429</vt:i4>
      </vt:variant>
      <vt:variant>
        <vt:i4>0</vt:i4>
      </vt:variant>
      <vt:variant>
        <vt:i4>5</vt:i4>
      </vt:variant>
      <vt:variant>
        <vt:lpwstr>http://www.opzp.sk/projekty/zoznam-prijimatelov/</vt:lpwstr>
      </vt:variant>
      <vt:variant>
        <vt:lpwstr/>
      </vt:variant>
      <vt:variant>
        <vt:i4>131153</vt:i4>
      </vt:variant>
      <vt:variant>
        <vt:i4>426</vt:i4>
      </vt:variant>
      <vt:variant>
        <vt:i4>0</vt:i4>
      </vt:variant>
      <vt:variant>
        <vt:i4>5</vt:i4>
      </vt:variant>
      <vt:variant>
        <vt:lpwstr>http://www.opzp.sk/projekty/zoznam-prijimatelov/</vt:lpwstr>
      </vt:variant>
      <vt:variant>
        <vt:lpwstr/>
      </vt:variant>
      <vt:variant>
        <vt:i4>3342442</vt:i4>
      </vt:variant>
      <vt:variant>
        <vt:i4>423</vt:i4>
      </vt:variant>
      <vt:variant>
        <vt:i4>0</vt:i4>
      </vt:variant>
      <vt:variant>
        <vt:i4>5</vt:i4>
      </vt:variant>
      <vt:variant>
        <vt:lpwstr>http://www.opzp.sk/projekty/mapa-vzorovych-uspesne-realizovanych-projektov/</vt:lpwstr>
      </vt:variant>
      <vt:variant>
        <vt:lpwstr/>
      </vt:variant>
      <vt:variant>
        <vt:i4>131153</vt:i4>
      </vt:variant>
      <vt:variant>
        <vt:i4>420</vt:i4>
      </vt:variant>
      <vt:variant>
        <vt:i4>0</vt:i4>
      </vt:variant>
      <vt:variant>
        <vt:i4>5</vt:i4>
      </vt:variant>
      <vt:variant>
        <vt:lpwstr>http://www.opzp.sk/projekty/zoznam-prijimatelov/</vt:lpwstr>
      </vt:variant>
      <vt:variant>
        <vt:lpwstr/>
      </vt:variant>
      <vt:variant>
        <vt:i4>3342442</vt:i4>
      </vt:variant>
      <vt:variant>
        <vt:i4>417</vt:i4>
      </vt:variant>
      <vt:variant>
        <vt:i4>0</vt:i4>
      </vt:variant>
      <vt:variant>
        <vt:i4>5</vt:i4>
      </vt:variant>
      <vt:variant>
        <vt:lpwstr>http://www.opzp.sk/projekty/mapa-vzorovych-uspesne-realizovanych-projektov/</vt:lpwstr>
      </vt:variant>
      <vt:variant>
        <vt:lpwstr/>
      </vt:variant>
      <vt:variant>
        <vt:i4>131153</vt:i4>
      </vt:variant>
      <vt:variant>
        <vt:i4>414</vt:i4>
      </vt:variant>
      <vt:variant>
        <vt:i4>0</vt:i4>
      </vt:variant>
      <vt:variant>
        <vt:i4>5</vt:i4>
      </vt:variant>
      <vt:variant>
        <vt:lpwstr>http://www.opzp.sk/projekty/zoznam-prijimatelov/</vt:lpwstr>
      </vt:variant>
      <vt:variant>
        <vt:lpwstr/>
      </vt:variant>
      <vt:variant>
        <vt:i4>3342442</vt:i4>
      </vt:variant>
      <vt:variant>
        <vt:i4>411</vt:i4>
      </vt:variant>
      <vt:variant>
        <vt:i4>0</vt:i4>
      </vt:variant>
      <vt:variant>
        <vt:i4>5</vt:i4>
      </vt:variant>
      <vt:variant>
        <vt:lpwstr>http://www.opzp.sk/projekty/mapa-vzorovych-uspesne-realizovanych-projektov/</vt:lpwstr>
      </vt:variant>
      <vt:variant>
        <vt:lpwstr/>
      </vt:variant>
      <vt:variant>
        <vt:i4>131153</vt:i4>
      </vt:variant>
      <vt:variant>
        <vt:i4>408</vt:i4>
      </vt:variant>
      <vt:variant>
        <vt:i4>0</vt:i4>
      </vt:variant>
      <vt:variant>
        <vt:i4>5</vt:i4>
      </vt:variant>
      <vt:variant>
        <vt:lpwstr>http://www.opzp.sk/projekty/zoznam-prijimatelov/</vt:lpwstr>
      </vt:variant>
      <vt:variant>
        <vt:lpwstr/>
      </vt:variant>
      <vt:variant>
        <vt:i4>3342442</vt:i4>
      </vt:variant>
      <vt:variant>
        <vt:i4>405</vt:i4>
      </vt:variant>
      <vt:variant>
        <vt:i4>0</vt:i4>
      </vt:variant>
      <vt:variant>
        <vt:i4>5</vt:i4>
      </vt:variant>
      <vt:variant>
        <vt:lpwstr>http://www.opzp.sk/projekty/mapa-vzorovych-uspesne-realizovanych-projektov/</vt:lpwstr>
      </vt:variant>
      <vt:variant>
        <vt:lpwstr/>
      </vt:variant>
      <vt:variant>
        <vt:i4>6946921</vt:i4>
      </vt:variant>
      <vt:variant>
        <vt:i4>402</vt:i4>
      </vt:variant>
      <vt:variant>
        <vt:i4>0</vt:i4>
      </vt:variant>
      <vt:variant>
        <vt:i4>5</vt:i4>
      </vt:variant>
      <vt:variant>
        <vt:lpwstr>http://www.opzp.sk/implementacia-programu/hodnotenie-programu/</vt:lpwstr>
      </vt:variant>
      <vt:variant>
        <vt:lpwstr/>
      </vt:variant>
      <vt:variant>
        <vt:i4>131153</vt:i4>
      </vt:variant>
      <vt:variant>
        <vt:i4>399</vt:i4>
      </vt:variant>
      <vt:variant>
        <vt:i4>0</vt:i4>
      </vt:variant>
      <vt:variant>
        <vt:i4>5</vt:i4>
      </vt:variant>
      <vt:variant>
        <vt:lpwstr>http://www.opzp.sk/projekty/zoznam-prijimatelov/</vt:lpwstr>
      </vt:variant>
      <vt:variant>
        <vt:lpwstr/>
      </vt:variant>
      <vt:variant>
        <vt:i4>3342442</vt:i4>
      </vt:variant>
      <vt:variant>
        <vt:i4>396</vt:i4>
      </vt:variant>
      <vt:variant>
        <vt:i4>0</vt:i4>
      </vt:variant>
      <vt:variant>
        <vt:i4>5</vt:i4>
      </vt:variant>
      <vt:variant>
        <vt:lpwstr>http://www.opzp.sk/projekty/mapa-vzorovych-uspesne-realizovanych-projektov/</vt:lpwstr>
      </vt:variant>
      <vt:variant>
        <vt:lpwstr/>
      </vt:variant>
      <vt:variant>
        <vt:i4>590013</vt:i4>
      </vt:variant>
      <vt:variant>
        <vt:i4>393</vt:i4>
      </vt:variant>
      <vt:variant>
        <vt:i4>0</vt:i4>
      </vt:variant>
      <vt:variant>
        <vt:i4>5</vt:i4>
      </vt:variant>
      <vt:variant>
        <vt:lpwstr/>
      </vt:variant>
      <vt:variant>
        <vt:lpwstr>_2.8_Administratívne_kapacity2.9</vt:lpwstr>
      </vt:variant>
      <vt:variant>
        <vt:i4>6946921</vt:i4>
      </vt:variant>
      <vt:variant>
        <vt:i4>390</vt:i4>
      </vt:variant>
      <vt:variant>
        <vt:i4>0</vt:i4>
      </vt:variant>
      <vt:variant>
        <vt:i4>5</vt:i4>
      </vt:variant>
      <vt:variant>
        <vt:lpwstr>http://www.opzp.sk/implementacia-programu/hodnotenie-programu/</vt:lpwstr>
      </vt:variant>
      <vt:variant>
        <vt:lpwstr/>
      </vt:variant>
      <vt:variant>
        <vt:i4>8060963</vt:i4>
      </vt:variant>
      <vt:variant>
        <vt:i4>387</vt:i4>
      </vt:variant>
      <vt:variant>
        <vt:i4>0</vt:i4>
      </vt:variant>
      <vt:variant>
        <vt:i4>5</vt:i4>
      </vt:variant>
      <vt:variant>
        <vt:lpwstr>http://www.opzp.sk/</vt:lpwstr>
      </vt:variant>
      <vt:variant>
        <vt:lpwstr/>
      </vt:variant>
      <vt:variant>
        <vt:i4>8060963</vt:i4>
      </vt:variant>
      <vt:variant>
        <vt:i4>384</vt:i4>
      </vt:variant>
      <vt:variant>
        <vt:i4>0</vt:i4>
      </vt:variant>
      <vt:variant>
        <vt:i4>5</vt:i4>
      </vt:variant>
      <vt:variant>
        <vt:lpwstr>http://www.opzp.sk/</vt:lpwstr>
      </vt:variant>
      <vt:variant>
        <vt:lpwstr/>
      </vt:variant>
      <vt:variant>
        <vt:i4>8060963</vt:i4>
      </vt:variant>
      <vt:variant>
        <vt:i4>381</vt:i4>
      </vt:variant>
      <vt:variant>
        <vt:i4>0</vt:i4>
      </vt:variant>
      <vt:variant>
        <vt:i4>5</vt:i4>
      </vt:variant>
      <vt:variant>
        <vt:lpwstr>http://www.opzp.sk/</vt:lpwstr>
      </vt:variant>
      <vt:variant>
        <vt:lpwstr/>
      </vt:variant>
      <vt:variant>
        <vt:i4>8060963</vt:i4>
      </vt:variant>
      <vt:variant>
        <vt:i4>378</vt:i4>
      </vt:variant>
      <vt:variant>
        <vt:i4>0</vt:i4>
      </vt:variant>
      <vt:variant>
        <vt:i4>5</vt:i4>
      </vt:variant>
      <vt:variant>
        <vt:lpwstr>http://www.opzp.sk/</vt:lpwstr>
      </vt:variant>
      <vt:variant>
        <vt:lpwstr/>
      </vt:variant>
      <vt:variant>
        <vt:i4>8060963</vt:i4>
      </vt:variant>
      <vt:variant>
        <vt:i4>375</vt:i4>
      </vt:variant>
      <vt:variant>
        <vt:i4>0</vt:i4>
      </vt:variant>
      <vt:variant>
        <vt:i4>5</vt:i4>
      </vt:variant>
      <vt:variant>
        <vt:lpwstr>http://www.opzp.sk/</vt:lpwstr>
      </vt:variant>
      <vt:variant>
        <vt:lpwstr/>
      </vt:variant>
      <vt:variant>
        <vt:i4>8060963</vt:i4>
      </vt:variant>
      <vt:variant>
        <vt:i4>372</vt:i4>
      </vt:variant>
      <vt:variant>
        <vt:i4>0</vt:i4>
      </vt:variant>
      <vt:variant>
        <vt:i4>5</vt:i4>
      </vt:variant>
      <vt:variant>
        <vt:lpwstr>http://www.opzp.sk/</vt:lpwstr>
      </vt:variant>
      <vt:variant>
        <vt:lpwstr/>
      </vt:variant>
      <vt:variant>
        <vt:i4>1900550</vt:i4>
      </vt:variant>
      <vt:variant>
        <vt:i4>369</vt:i4>
      </vt:variant>
      <vt:variant>
        <vt:i4>0</vt:i4>
      </vt:variant>
      <vt:variant>
        <vt:i4>5</vt:i4>
      </vt:variant>
      <vt:variant>
        <vt:lpwstr>http://www.opzp.sk/136/implementacia/metodicke-pokyny</vt:lpwstr>
      </vt:variant>
      <vt:variant>
        <vt:lpwstr/>
      </vt:variant>
      <vt:variant>
        <vt:i4>8060963</vt:i4>
      </vt:variant>
      <vt:variant>
        <vt:i4>366</vt:i4>
      </vt:variant>
      <vt:variant>
        <vt:i4>0</vt:i4>
      </vt:variant>
      <vt:variant>
        <vt:i4>5</vt:i4>
      </vt:variant>
      <vt:variant>
        <vt:lpwstr>http://www.opzp.sk/</vt:lpwstr>
      </vt:variant>
      <vt:variant>
        <vt:lpwstr/>
      </vt:variant>
      <vt:variant>
        <vt:i4>8060963</vt:i4>
      </vt:variant>
      <vt:variant>
        <vt:i4>363</vt:i4>
      </vt:variant>
      <vt:variant>
        <vt:i4>0</vt:i4>
      </vt:variant>
      <vt:variant>
        <vt:i4>5</vt:i4>
      </vt:variant>
      <vt:variant>
        <vt:lpwstr>http://www.opzp.sk/</vt:lpwstr>
      </vt:variant>
      <vt:variant>
        <vt:lpwstr/>
      </vt:variant>
      <vt:variant>
        <vt:i4>16449557</vt:i4>
      </vt:variant>
      <vt:variant>
        <vt:i4>360</vt:i4>
      </vt:variant>
      <vt:variant>
        <vt:i4>0</vt:i4>
      </vt:variant>
      <vt:variant>
        <vt:i4>5</vt:i4>
      </vt:variant>
      <vt:variant>
        <vt:lpwstr/>
      </vt:variant>
      <vt:variant>
        <vt:lpwstr>_2.1.7_Opis_partnerských</vt:lpwstr>
      </vt:variant>
      <vt:variant>
        <vt:i4>3342442</vt:i4>
      </vt:variant>
      <vt:variant>
        <vt:i4>357</vt:i4>
      </vt:variant>
      <vt:variant>
        <vt:i4>0</vt:i4>
      </vt:variant>
      <vt:variant>
        <vt:i4>5</vt:i4>
      </vt:variant>
      <vt:variant>
        <vt:lpwstr>http://www.opzp.sk/projekty/mapa-vzorovych-uspesne-realizovanych-projektov/</vt:lpwstr>
      </vt:variant>
      <vt:variant>
        <vt:lpwstr/>
      </vt:variant>
      <vt:variant>
        <vt:i4>3342442</vt:i4>
      </vt:variant>
      <vt:variant>
        <vt:i4>354</vt:i4>
      </vt:variant>
      <vt:variant>
        <vt:i4>0</vt:i4>
      </vt:variant>
      <vt:variant>
        <vt:i4>5</vt:i4>
      </vt:variant>
      <vt:variant>
        <vt:lpwstr>http://www.opzp.sk/projekty/mapa-vzorovych-uspesne-realizovanych-projektov/</vt:lpwstr>
      </vt:variant>
      <vt:variant>
        <vt:lpwstr/>
      </vt:variant>
      <vt:variant>
        <vt:i4>3342442</vt:i4>
      </vt:variant>
      <vt:variant>
        <vt:i4>351</vt:i4>
      </vt:variant>
      <vt:variant>
        <vt:i4>0</vt:i4>
      </vt:variant>
      <vt:variant>
        <vt:i4>5</vt:i4>
      </vt:variant>
      <vt:variant>
        <vt:lpwstr>http://www.opzp.sk/projekty/mapa-vzorovych-uspesne-realizovanych-projektov/</vt:lpwstr>
      </vt:variant>
      <vt:variant>
        <vt:lpwstr/>
      </vt:variant>
      <vt:variant>
        <vt:i4>131153</vt:i4>
      </vt:variant>
      <vt:variant>
        <vt:i4>348</vt:i4>
      </vt:variant>
      <vt:variant>
        <vt:i4>0</vt:i4>
      </vt:variant>
      <vt:variant>
        <vt:i4>5</vt:i4>
      </vt:variant>
      <vt:variant>
        <vt:lpwstr>http://www.opzp.sk/projekty/zoznam-prijimatelov/</vt:lpwstr>
      </vt:variant>
      <vt:variant>
        <vt:lpwstr/>
      </vt:variant>
      <vt:variant>
        <vt:i4>8060963</vt:i4>
      </vt:variant>
      <vt:variant>
        <vt:i4>345</vt:i4>
      </vt:variant>
      <vt:variant>
        <vt:i4>0</vt:i4>
      </vt:variant>
      <vt:variant>
        <vt:i4>5</vt:i4>
      </vt:variant>
      <vt:variant>
        <vt:lpwstr>http://www.opzp.sk/</vt:lpwstr>
      </vt:variant>
      <vt:variant>
        <vt:lpwstr/>
      </vt:variant>
      <vt:variant>
        <vt:i4>6946921</vt:i4>
      </vt:variant>
      <vt:variant>
        <vt:i4>342</vt:i4>
      </vt:variant>
      <vt:variant>
        <vt:i4>0</vt:i4>
      </vt:variant>
      <vt:variant>
        <vt:i4>5</vt:i4>
      </vt:variant>
      <vt:variant>
        <vt:lpwstr>http://www.opzp.sk/implementacia-programu/hodnotenie-programu/</vt:lpwstr>
      </vt:variant>
      <vt:variant>
        <vt:lpwstr/>
      </vt:variant>
      <vt:variant>
        <vt:i4>131153</vt:i4>
      </vt:variant>
      <vt:variant>
        <vt:i4>339</vt:i4>
      </vt:variant>
      <vt:variant>
        <vt:i4>0</vt:i4>
      </vt:variant>
      <vt:variant>
        <vt:i4>5</vt:i4>
      </vt:variant>
      <vt:variant>
        <vt:lpwstr>http://www.opzp.sk/projekty/zoznam-prijimatelov/</vt:lpwstr>
      </vt:variant>
      <vt:variant>
        <vt:lpwstr/>
      </vt:variant>
      <vt:variant>
        <vt:i4>8060963</vt:i4>
      </vt:variant>
      <vt:variant>
        <vt:i4>336</vt:i4>
      </vt:variant>
      <vt:variant>
        <vt:i4>0</vt:i4>
      </vt:variant>
      <vt:variant>
        <vt:i4>5</vt:i4>
      </vt:variant>
      <vt:variant>
        <vt:lpwstr>http://www.opzp.sk/</vt:lpwstr>
      </vt:variant>
      <vt:variant>
        <vt:lpwstr/>
      </vt:variant>
      <vt:variant>
        <vt:i4>8060963</vt:i4>
      </vt:variant>
      <vt:variant>
        <vt:i4>333</vt:i4>
      </vt:variant>
      <vt:variant>
        <vt:i4>0</vt:i4>
      </vt:variant>
      <vt:variant>
        <vt:i4>5</vt:i4>
      </vt:variant>
      <vt:variant>
        <vt:lpwstr>http://www.opzp.sk/</vt:lpwstr>
      </vt:variant>
      <vt:variant>
        <vt:lpwstr/>
      </vt:variant>
      <vt:variant>
        <vt:i4>3342442</vt:i4>
      </vt:variant>
      <vt:variant>
        <vt:i4>330</vt:i4>
      </vt:variant>
      <vt:variant>
        <vt:i4>0</vt:i4>
      </vt:variant>
      <vt:variant>
        <vt:i4>5</vt:i4>
      </vt:variant>
      <vt:variant>
        <vt:lpwstr>http://www.opzp.sk/projekty/mapa-vzorovych-uspesne-realizovanych-projektov/</vt:lpwstr>
      </vt:variant>
      <vt:variant>
        <vt:lpwstr/>
      </vt:variant>
      <vt:variant>
        <vt:i4>5046275</vt:i4>
      </vt:variant>
      <vt:variant>
        <vt:i4>327</vt:i4>
      </vt:variant>
      <vt:variant>
        <vt:i4>0</vt:i4>
      </vt:variant>
      <vt:variant>
        <vt:i4>5</vt:i4>
      </vt:variant>
      <vt:variant>
        <vt:lpwstr>http://www.opzp.sk/vyzvy/harmonogram-vyziev/</vt:lpwstr>
      </vt:variant>
      <vt:variant>
        <vt:lpwstr/>
      </vt:variant>
      <vt:variant>
        <vt:i4>131153</vt:i4>
      </vt:variant>
      <vt:variant>
        <vt:i4>324</vt:i4>
      </vt:variant>
      <vt:variant>
        <vt:i4>0</vt:i4>
      </vt:variant>
      <vt:variant>
        <vt:i4>5</vt:i4>
      </vt:variant>
      <vt:variant>
        <vt:lpwstr>http://www.opzp.sk/projekty/zoznam-prijimatelov/</vt:lpwstr>
      </vt:variant>
      <vt:variant>
        <vt:lpwstr/>
      </vt:variant>
      <vt:variant>
        <vt:i4>7471138</vt:i4>
      </vt:variant>
      <vt:variant>
        <vt:i4>321</vt:i4>
      </vt:variant>
      <vt:variant>
        <vt:i4>0</vt:i4>
      </vt:variant>
      <vt:variant>
        <vt:i4>5</vt:i4>
      </vt:variant>
      <vt:variant>
        <vt:lpwstr>http://www.nsrr.sk/</vt:lpwstr>
      </vt:variant>
      <vt:variant>
        <vt:lpwstr/>
      </vt:variant>
      <vt:variant>
        <vt:i4>8060963</vt:i4>
      </vt:variant>
      <vt:variant>
        <vt:i4>318</vt:i4>
      </vt:variant>
      <vt:variant>
        <vt:i4>0</vt:i4>
      </vt:variant>
      <vt:variant>
        <vt:i4>5</vt:i4>
      </vt:variant>
      <vt:variant>
        <vt:lpwstr>http://www.opzp.sk/</vt:lpwstr>
      </vt:variant>
      <vt:variant>
        <vt:lpwstr/>
      </vt:variant>
      <vt:variant>
        <vt:i4>8060963</vt:i4>
      </vt:variant>
      <vt:variant>
        <vt:i4>315</vt:i4>
      </vt:variant>
      <vt:variant>
        <vt:i4>0</vt:i4>
      </vt:variant>
      <vt:variant>
        <vt:i4>5</vt:i4>
      </vt:variant>
      <vt:variant>
        <vt:lpwstr>http://www.opzp.sk/</vt:lpwstr>
      </vt:variant>
      <vt:variant>
        <vt:lpwstr/>
      </vt:variant>
      <vt:variant>
        <vt:i4>1376318</vt:i4>
      </vt:variant>
      <vt:variant>
        <vt:i4>308</vt:i4>
      </vt:variant>
      <vt:variant>
        <vt:i4>0</vt:i4>
      </vt:variant>
      <vt:variant>
        <vt:i4>5</vt:i4>
      </vt:variant>
      <vt:variant>
        <vt:lpwstr/>
      </vt:variant>
      <vt:variant>
        <vt:lpwstr>_Toc319573350</vt:lpwstr>
      </vt:variant>
      <vt:variant>
        <vt:i4>1310782</vt:i4>
      </vt:variant>
      <vt:variant>
        <vt:i4>302</vt:i4>
      </vt:variant>
      <vt:variant>
        <vt:i4>0</vt:i4>
      </vt:variant>
      <vt:variant>
        <vt:i4>5</vt:i4>
      </vt:variant>
      <vt:variant>
        <vt:lpwstr/>
      </vt:variant>
      <vt:variant>
        <vt:lpwstr>_Toc319573349</vt:lpwstr>
      </vt:variant>
      <vt:variant>
        <vt:i4>1310782</vt:i4>
      </vt:variant>
      <vt:variant>
        <vt:i4>296</vt:i4>
      </vt:variant>
      <vt:variant>
        <vt:i4>0</vt:i4>
      </vt:variant>
      <vt:variant>
        <vt:i4>5</vt:i4>
      </vt:variant>
      <vt:variant>
        <vt:lpwstr/>
      </vt:variant>
      <vt:variant>
        <vt:lpwstr>_Toc319573348</vt:lpwstr>
      </vt:variant>
      <vt:variant>
        <vt:i4>1310782</vt:i4>
      </vt:variant>
      <vt:variant>
        <vt:i4>290</vt:i4>
      </vt:variant>
      <vt:variant>
        <vt:i4>0</vt:i4>
      </vt:variant>
      <vt:variant>
        <vt:i4>5</vt:i4>
      </vt:variant>
      <vt:variant>
        <vt:lpwstr/>
      </vt:variant>
      <vt:variant>
        <vt:lpwstr>_Toc319573347</vt:lpwstr>
      </vt:variant>
      <vt:variant>
        <vt:i4>1310782</vt:i4>
      </vt:variant>
      <vt:variant>
        <vt:i4>284</vt:i4>
      </vt:variant>
      <vt:variant>
        <vt:i4>0</vt:i4>
      </vt:variant>
      <vt:variant>
        <vt:i4>5</vt:i4>
      </vt:variant>
      <vt:variant>
        <vt:lpwstr/>
      </vt:variant>
      <vt:variant>
        <vt:lpwstr>_Toc319573346</vt:lpwstr>
      </vt:variant>
      <vt:variant>
        <vt:i4>1310782</vt:i4>
      </vt:variant>
      <vt:variant>
        <vt:i4>278</vt:i4>
      </vt:variant>
      <vt:variant>
        <vt:i4>0</vt:i4>
      </vt:variant>
      <vt:variant>
        <vt:i4>5</vt:i4>
      </vt:variant>
      <vt:variant>
        <vt:lpwstr/>
      </vt:variant>
      <vt:variant>
        <vt:lpwstr>_Toc319573345</vt:lpwstr>
      </vt:variant>
      <vt:variant>
        <vt:i4>1310782</vt:i4>
      </vt:variant>
      <vt:variant>
        <vt:i4>272</vt:i4>
      </vt:variant>
      <vt:variant>
        <vt:i4>0</vt:i4>
      </vt:variant>
      <vt:variant>
        <vt:i4>5</vt:i4>
      </vt:variant>
      <vt:variant>
        <vt:lpwstr/>
      </vt:variant>
      <vt:variant>
        <vt:lpwstr>_Toc319573344</vt:lpwstr>
      </vt:variant>
      <vt:variant>
        <vt:i4>1310782</vt:i4>
      </vt:variant>
      <vt:variant>
        <vt:i4>266</vt:i4>
      </vt:variant>
      <vt:variant>
        <vt:i4>0</vt:i4>
      </vt:variant>
      <vt:variant>
        <vt:i4>5</vt:i4>
      </vt:variant>
      <vt:variant>
        <vt:lpwstr/>
      </vt:variant>
      <vt:variant>
        <vt:lpwstr>_Toc319573343</vt:lpwstr>
      </vt:variant>
      <vt:variant>
        <vt:i4>1310782</vt:i4>
      </vt:variant>
      <vt:variant>
        <vt:i4>260</vt:i4>
      </vt:variant>
      <vt:variant>
        <vt:i4>0</vt:i4>
      </vt:variant>
      <vt:variant>
        <vt:i4>5</vt:i4>
      </vt:variant>
      <vt:variant>
        <vt:lpwstr/>
      </vt:variant>
      <vt:variant>
        <vt:lpwstr>_Toc319573342</vt:lpwstr>
      </vt:variant>
      <vt:variant>
        <vt:i4>1310782</vt:i4>
      </vt:variant>
      <vt:variant>
        <vt:i4>254</vt:i4>
      </vt:variant>
      <vt:variant>
        <vt:i4>0</vt:i4>
      </vt:variant>
      <vt:variant>
        <vt:i4>5</vt:i4>
      </vt:variant>
      <vt:variant>
        <vt:lpwstr/>
      </vt:variant>
      <vt:variant>
        <vt:lpwstr>_Toc319573341</vt:lpwstr>
      </vt:variant>
      <vt:variant>
        <vt:i4>1310782</vt:i4>
      </vt:variant>
      <vt:variant>
        <vt:i4>248</vt:i4>
      </vt:variant>
      <vt:variant>
        <vt:i4>0</vt:i4>
      </vt:variant>
      <vt:variant>
        <vt:i4>5</vt:i4>
      </vt:variant>
      <vt:variant>
        <vt:lpwstr/>
      </vt:variant>
      <vt:variant>
        <vt:lpwstr>_Toc319573340</vt:lpwstr>
      </vt:variant>
      <vt:variant>
        <vt:i4>1245246</vt:i4>
      </vt:variant>
      <vt:variant>
        <vt:i4>242</vt:i4>
      </vt:variant>
      <vt:variant>
        <vt:i4>0</vt:i4>
      </vt:variant>
      <vt:variant>
        <vt:i4>5</vt:i4>
      </vt:variant>
      <vt:variant>
        <vt:lpwstr/>
      </vt:variant>
      <vt:variant>
        <vt:lpwstr>_Toc319573339</vt:lpwstr>
      </vt:variant>
      <vt:variant>
        <vt:i4>1245246</vt:i4>
      </vt:variant>
      <vt:variant>
        <vt:i4>236</vt:i4>
      </vt:variant>
      <vt:variant>
        <vt:i4>0</vt:i4>
      </vt:variant>
      <vt:variant>
        <vt:i4>5</vt:i4>
      </vt:variant>
      <vt:variant>
        <vt:lpwstr/>
      </vt:variant>
      <vt:variant>
        <vt:lpwstr>_Toc319573338</vt:lpwstr>
      </vt:variant>
      <vt:variant>
        <vt:i4>1245246</vt:i4>
      </vt:variant>
      <vt:variant>
        <vt:i4>230</vt:i4>
      </vt:variant>
      <vt:variant>
        <vt:i4>0</vt:i4>
      </vt:variant>
      <vt:variant>
        <vt:i4>5</vt:i4>
      </vt:variant>
      <vt:variant>
        <vt:lpwstr/>
      </vt:variant>
      <vt:variant>
        <vt:lpwstr>_Toc319573337</vt:lpwstr>
      </vt:variant>
      <vt:variant>
        <vt:i4>1245246</vt:i4>
      </vt:variant>
      <vt:variant>
        <vt:i4>224</vt:i4>
      </vt:variant>
      <vt:variant>
        <vt:i4>0</vt:i4>
      </vt:variant>
      <vt:variant>
        <vt:i4>5</vt:i4>
      </vt:variant>
      <vt:variant>
        <vt:lpwstr/>
      </vt:variant>
      <vt:variant>
        <vt:lpwstr>_Toc319573336</vt:lpwstr>
      </vt:variant>
      <vt:variant>
        <vt:i4>1245246</vt:i4>
      </vt:variant>
      <vt:variant>
        <vt:i4>218</vt:i4>
      </vt:variant>
      <vt:variant>
        <vt:i4>0</vt:i4>
      </vt:variant>
      <vt:variant>
        <vt:i4>5</vt:i4>
      </vt:variant>
      <vt:variant>
        <vt:lpwstr/>
      </vt:variant>
      <vt:variant>
        <vt:lpwstr>_Toc319573335</vt:lpwstr>
      </vt:variant>
      <vt:variant>
        <vt:i4>1245246</vt:i4>
      </vt:variant>
      <vt:variant>
        <vt:i4>212</vt:i4>
      </vt:variant>
      <vt:variant>
        <vt:i4>0</vt:i4>
      </vt:variant>
      <vt:variant>
        <vt:i4>5</vt:i4>
      </vt:variant>
      <vt:variant>
        <vt:lpwstr/>
      </vt:variant>
      <vt:variant>
        <vt:lpwstr>_Toc319573334</vt:lpwstr>
      </vt:variant>
      <vt:variant>
        <vt:i4>1245246</vt:i4>
      </vt:variant>
      <vt:variant>
        <vt:i4>206</vt:i4>
      </vt:variant>
      <vt:variant>
        <vt:i4>0</vt:i4>
      </vt:variant>
      <vt:variant>
        <vt:i4>5</vt:i4>
      </vt:variant>
      <vt:variant>
        <vt:lpwstr/>
      </vt:variant>
      <vt:variant>
        <vt:lpwstr>_Toc319573333</vt:lpwstr>
      </vt:variant>
      <vt:variant>
        <vt:i4>1245246</vt:i4>
      </vt:variant>
      <vt:variant>
        <vt:i4>200</vt:i4>
      </vt:variant>
      <vt:variant>
        <vt:i4>0</vt:i4>
      </vt:variant>
      <vt:variant>
        <vt:i4>5</vt:i4>
      </vt:variant>
      <vt:variant>
        <vt:lpwstr/>
      </vt:variant>
      <vt:variant>
        <vt:lpwstr>_Toc319573332</vt:lpwstr>
      </vt:variant>
      <vt:variant>
        <vt:i4>1245246</vt:i4>
      </vt:variant>
      <vt:variant>
        <vt:i4>194</vt:i4>
      </vt:variant>
      <vt:variant>
        <vt:i4>0</vt:i4>
      </vt:variant>
      <vt:variant>
        <vt:i4>5</vt:i4>
      </vt:variant>
      <vt:variant>
        <vt:lpwstr/>
      </vt:variant>
      <vt:variant>
        <vt:lpwstr>_Toc319573331</vt:lpwstr>
      </vt:variant>
      <vt:variant>
        <vt:i4>1245246</vt:i4>
      </vt:variant>
      <vt:variant>
        <vt:i4>188</vt:i4>
      </vt:variant>
      <vt:variant>
        <vt:i4>0</vt:i4>
      </vt:variant>
      <vt:variant>
        <vt:i4>5</vt:i4>
      </vt:variant>
      <vt:variant>
        <vt:lpwstr/>
      </vt:variant>
      <vt:variant>
        <vt:lpwstr>_Toc319573330</vt:lpwstr>
      </vt:variant>
      <vt:variant>
        <vt:i4>1179710</vt:i4>
      </vt:variant>
      <vt:variant>
        <vt:i4>182</vt:i4>
      </vt:variant>
      <vt:variant>
        <vt:i4>0</vt:i4>
      </vt:variant>
      <vt:variant>
        <vt:i4>5</vt:i4>
      </vt:variant>
      <vt:variant>
        <vt:lpwstr/>
      </vt:variant>
      <vt:variant>
        <vt:lpwstr>_Toc319573329</vt:lpwstr>
      </vt:variant>
      <vt:variant>
        <vt:i4>1179710</vt:i4>
      </vt:variant>
      <vt:variant>
        <vt:i4>176</vt:i4>
      </vt:variant>
      <vt:variant>
        <vt:i4>0</vt:i4>
      </vt:variant>
      <vt:variant>
        <vt:i4>5</vt:i4>
      </vt:variant>
      <vt:variant>
        <vt:lpwstr/>
      </vt:variant>
      <vt:variant>
        <vt:lpwstr>_Toc319573328</vt:lpwstr>
      </vt:variant>
      <vt:variant>
        <vt:i4>1179710</vt:i4>
      </vt:variant>
      <vt:variant>
        <vt:i4>170</vt:i4>
      </vt:variant>
      <vt:variant>
        <vt:i4>0</vt:i4>
      </vt:variant>
      <vt:variant>
        <vt:i4>5</vt:i4>
      </vt:variant>
      <vt:variant>
        <vt:lpwstr/>
      </vt:variant>
      <vt:variant>
        <vt:lpwstr>_Toc319573327</vt:lpwstr>
      </vt:variant>
      <vt:variant>
        <vt:i4>1179710</vt:i4>
      </vt:variant>
      <vt:variant>
        <vt:i4>164</vt:i4>
      </vt:variant>
      <vt:variant>
        <vt:i4>0</vt:i4>
      </vt:variant>
      <vt:variant>
        <vt:i4>5</vt:i4>
      </vt:variant>
      <vt:variant>
        <vt:lpwstr/>
      </vt:variant>
      <vt:variant>
        <vt:lpwstr>_Toc319573326</vt:lpwstr>
      </vt:variant>
      <vt:variant>
        <vt:i4>1179710</vt:i4>
      </vt:variant>
      <vt:variant>
        <vt:i4>158</vt:i4>
      </vt:variant>
      <vt:variant>
        <vt:i4>0</vt:i4>
      </vt:variant>
      <vt:variant>
        <vt:i4>5</vt:i4>
      </vt:variant>
      <vt:variant>
        <vt:lpwstr/>
      </vt:variant>
      <vt:variant>
        <vt:lpwstr>_Toc319573325</vt:lpwstr>
      </vt:variant>
      <vt:variant>
        <vt:i4>1179710</vt:i4>
      </vt:variant>
      <vt:variant>
        <vt:i4>152</vt:i4>
      </vt:variant>
      <vt:variant>
        <vt:i4>0</vt:i4>
      </vt:variant>
      <vt:variant>
        <vt:i4>5</vt:i4>
      </vt:variant>
      <vt:variant>
        <vt:lpwstr/>
      </vt:variant>
      <vt:variant>
        <vt:lpwstr>_Toc319573324</vt:lpwstr>
      </vt:variant>
      <vt:variant>
        <vt:i4>1179710</vt:i4>
      </vt:variant>
      <vt:variant>
        <vt:i4>146</vt:i4>
      </vt:variant>
      <vt:variant>
        <vt:i4>0</vt:i4>
      </vt:variant>
      <vt:variant>
        <vt:i4>5</vt:i4>
      </vt:variant>
      <vt:variant>
        <vt:lpwstr/>
      </vt:variant>
      <vt:variant>
        <vt:lpwstr>_Toc319573323</vt:lpwstr>
      </vt:variant>
      <vt:variant>
        <vt:i4>1179710</vt:i4>
      </vt:variant>
      <vt:variant>
        <vt:i4>140</vt:i4>
      </vt:variant>
      <vt:variant>
        <vt:i4>0</vt:i4>
      </vt:variant>
      <vt:variant>
        <vt:i4>5</vt:i4>
      </vt:variant>
      <vt:variant>
        <vt:lpwstr/>
      </vt:variant>
      <vt:variant>
        <vt:lpwstr>_Toc319573322</vt:lpwstr>
      </vt:variant>
      <vt:variant>
        <vt:i4>1179710</vt:i4>
      </vt:variant>
      <vt:variant>
        <vt:i4>134</vt:i4>
      </vt:variant>
      <vt:variant>
        <vt:i4>0</vt:i4>
      </vt:variant>
      <vt:variant>
        <vt:i4>5</vt:i4>
      </vt:variant>
      <vt:variant>
        <vt:lpwstr/>
      </vt:variant>
      <vt:variant>
        <vt:lpwstr>_Toc319573321</vt:lpwstr>
      </vt:variant>
      <vt:variant>
        <vt:i4>1179710</vt:i4>
      </vt:variant>
      <vt:variant>
        <vt:i4>128</vt:i4>
      </vt:variant>
      <vt:variant>
        <vt:i4>0</vt:i4>
      </vt:variant>
      <vt:variant>
        <vt:i4>5</vt:i4>
      </vt:variant>
      <vt:variant>
        <vt:lpwstr/>
      </vt:variant>
      <vt:variant>
        <vt:lpwstr>_Toc319573320</vt:lpwstr>
      </vt:variant>
      <vt:variant>
        <vt:i4>1114174</vt:i4>
      </vt:variant>
      <vt:variant>
        <vt:i4>122</vt:i4>
      </vt:variant>
      <vt:variant>
        <vt:i4>0</vt:i4>
      </vt:variant>
      <vt:variant>
        <vt:i4>5</vt:i4>
      </vt:variant>
      <vt:variant>
        <vt:lpwstr/>
      </vt:variant>
      <vt:variant>
        <vt:lpwstr>_Toc319573319</vt:lpwstr>
      </vt:variant>
      <vt:variant>
        <vt:i4>1114174</vt:i4>
      </vt:variant>
      <vt:variant>
        <vt:i4>116</vt:i4>
      </vt:variant>
      <vt:variant>
        <vt:i4>0</vt:i4>
      </vt:variant>
      <vt:variant>
        <vt:i4>5</vt:i4>
      </vt:variant>
      <vt:variant>
        <vt:lpwstr/>
      </vt:variant>
      <vt:variant>
        <vt:lpwstr>_Toc319573318</vt:lpwstr>
      </vt:variant>
      <vt:variant>
        <vt:i4>1114174</vt:i4>
      </vt:variant>
      <vt:variant>
        <vt:i4>110</vt:i4>
      </vt:variant>
      <vt:variant>
        <vt:i4>0</vt:i4>
      </vt:variant>
      <vt:variant>
        <vt:i4>5</vt:i4>
      </vt:variant>
      <vt:variant>
        <vt:lpwstr/>
      </vt:variant>
      <vt:variant>
        <vt:lpwstr>_Toc319573317</vt:lpwstr>
      </vt:variant>
      <vt:variant>
        <vt:i4>1114174</vt:i4>
      </vt:variant>
      <vt:variant>
        <vt:i4>104</vt:i4>
      </vt:variant>
      <vt:variant>
        <vt:i4>0</vt:i4>
      </vt:variant>
      <vt:variant>
        <vt:i4>5</vt:i4>
      </vt:variant>
      <vt:variant>
        <vt:lpwstr/>
      </vt:variant>
      <vt:variant>
        <vt:lpwstr>_Toc319573316</vt:lpwstr>
      </vt:variant>
      <vt:variant>
        <vt:i4>1114174</vt:i4>
      </vt:variant>
      <vt:variant>
        <vt:i4>98</vt:i4>
      </vt:variant>
      <vt:variant>
        <vt:i4>0</vt:i4>
      </vt:variant>
      <vt:variant>
        <vt:i4>5</vt:i4>
      </vt:variant>
      <vt:variant>
        <vt:lpwstr/>
      </vt:variant>
      <vt:variant>
        <vt:lpwstr>_Toc319573315</vt:lpwstr>
      </vt:variant>
      <vt:variant>
        <vt:i4>1114174</vt:i4>
      </vt:variant>
      <vt:variant>
        <vt:i4>92</vt:i4>
      </vt:variant>
      <vt:variant>
        <vt:i4>0</vt:i4>
      </vt:variant>
      <vt:variant>
        <vt:i4>5</vt:i4>
      </vt:variant>
      <vt:variant>
        <vt:lpwstr/>
      </vt:variant>
      <vt:variant>
        <vt:lpwstr>_Toc319573314</vt:lpwstr>
      </vt:variant>
      <vt:variant>
        <vt:i4>1114174</vt:i4>
      </vt:variant>
      <vt:variant>
        <vt:i4>86</vt:i4>
      </vt:variant>
      <vt:variant>
        <vt:i4>0</vt:i4>
      </vt:variant>
      <vt:variant>
        <vt:i4>5</vt:i4>
      </vt:variant>
      <vt:variant>
        <vt:lpwstr/>
      </vt:variant>
      <vt:variant>
        <vt:lpwstr>_Toc319573313</vt:lpwstr>
      </vt:variant>
      <vt:variant>
        <vt:i4>1114174</vt:i4>
      </vt:variant>
      <vt:variant>
        <vt:i4>80</vt:i4>
      </vt:variant>
      <vt:variant>
        <vt:i4>0</vt:i4>
      </vt:variant>
      <vt:variant>
        <vt:i4>5</vt:i4>
      </vt:variant>
      <vt:variant>
        <vt:lpwstr/>
      </vt:variant>
      <vt:variant>
        <vt:lpwstr>_Toc319573312</vt:lpwstr>
      </vt:variant>
      <vt:variant>
        <vt:i4>1114174</vt:i4>
      </vt:variant>
      <vt:variant>
        <vt:i4>74</vt:i4>
      </vt:variant>
      <vt:variant>
        <vt:i4>0</vt:i4>
      </vt:variant>
      <vt:variant>
        <vt:i4>5</vt:i4>
      </vt:variant>
      <vt:variant>
        <vt:lpwstr/>
      </vt:variant>
      <vt:variant>
        <vt:lpwstr>_Toc319573311</vt:lpwstr>
      </vt:variant>
      <vt:variant>
        <vt:i4>1114174</vt:i4>
      </vt:variant>
      <vt:variant>
        <vt:i4>68</vt:i4>
      </vt:variant>
      <vt:variant>
        <vt:i4>0</vt:i4>
      </vt:variant>
      <vt:variant>
        <vt:i4>5</vt:i4>
      </vt:variant>
      <vt:variant>
        <vt:lpwstr/>
      </vt:variant>
      <vt:variant>
        <vt:lpwstr>_Toc319573310</vt:lpwstr>
      </vt:variant>
      <vt:variant>
        <vt:i4>1048638</vt:i4>
      </vt:variant>
      <vt:variant>
        <vt:i4>62</vt:i4>
      </vt:variant>
      <vt:variant>
        <vt:i4>0</vt:i4>
      </vt:variant>
      <vt:variant>
        <vt:i4>5</vt:i4>
      </vt:variant>
      <vt:variant>
        <vt:lpwstr/>
      </vt:variant>
      <vt:variant>
        <vt:lpwstr>_Toc319573309</vt:lpwstr>
      </vt:variant>
      <vt:variant>
        <vt:i4>1048638</vt:i4>
      </vt:variant>
      <vt:variant>
        <vt:i4>56</vt:i4>
      </vt:variant>
      <vt:variant>
        <vt:i4>0</vt:i4>
      </vt:variant>
      <vt:variant>
        <vt:i4>5</vt:i4>
      </vt:variant>
      <vt:variant>
        <vt:lpwstr/>
      </vt:variant>
      <vt:variant>
        <vt:lpwstr>_Toc319573308</vt:lpwstr>
      </vt:variant>
      <vt:variant>
        <vt:i4>1048638</vt:i4>
      </vt:variant>
      <vt:variant>
        <vt:i4>50</vt:i4>
      </vt:variant>
      <vt:variant>
        <vt:i4>0</vt:i4>
      </vt:variant>
      <vt:variant>
        <vt:i4>5</vt:i4>
      </vt:variant>
      <vt:variant>
        <vt:lpwstr/>
      </vt:variant>
      <vt:variant>
        <vt:lpwstr>_Toc319573307</vt:lpwstr>
      </vt:variant>
      <vt:variant>
        <vt:i4>1048638</vt:i4>
      </vt:variant>
      <vt:variant>
        <vt:i4>44</vt:i4>
      </vt:variant>
      <vt:variant>
        <vt:i4>0</vt:i4>
      </vt:variant>
      <vt:variant>
        <vt:i4>5</vt:i4>
      </vt:variant>
      <vt:variant>
        <vt:lpwstr/>
      </vt:variant>
      <vt:variant>
        <vt:lpwstr>_Toc319573306</vt:lpwstr>
      </vt:variant>
      <vt:variant>
        <vt:i4>1048638</vt:i4>
      </vt:variant>
      <vt:variant>
        <vt:i4>38</vt:i4>
      </vt:variant>
      <vt:variant>
        <vt:i4>0</vt:i4>
      </vt:variant>
      <vt:variant>
        <vt:i4>5</vt:i4>
      </vt:variant>
      <vt:variant>
        <vt:lpwstr/>
      </vt:variant>
      <vt:variant>
        <vt:lpwstr>_Toc319573305</vt:lpwstr>
      </vt:variant>
      <vt:variant>
        <vt:i4>1048638</vt:i4>
      </vt:variant>
      <vt:variant>
        <vt:i4>32</vt:i4>
      </vt:variant>
      <vt:variant>
        <vt:i4>0</vt:i4>
      </vt:variant>
      <vt:variant>
        <vt:i4>5</vt:i4>
      </vt:variant>
      <vt:variant>
        <vt:lpwstr/>
      </vt:variant>
      <vt:variant>
        <vt:lpwstr>_Toc319573304</vt:lpwstr>
      </vt:variant>
      <vt:variant>
        <vt:i4>1048638</vt:i4>
      </vt:variant>
      <vt:variant>
        <vt:i4>26</vt:i4>
      </vt:variant>
      <vt:variant>
        <vt:i4>0</vt:i4>
      </vt:variant>
      <vt:variant>
        <vt:i4>5</vt:i4>
      </vt:variant>
      <vt:variant>
        <vt:lpwstr/>
      </vt:variant>
      <vt:variant>
        <vt:lpwstr>_Toc319573303</vt:lpwstr>
      </vt:variant>
      <vt:variant>
        <vt:i4>1048638</vt:i4>
      </vt:variant>
      <vt:variant>
        <vt:i4>20</vt:i4>
      </vt:variant>
      <vt:variant>
        <vt:i4>0</vt:i4>
      </vt:variant>
      <vt:variant>
        <vt:i4>5</vt:i4>
      </vt:variant>
      <vt:variant>
        <vt:lpwstr/>
      </vt:variant>
      <vt:variant>
        <vt:lpwstr>_Toc319573302</vt:lpwstr>
      </vt:variant>
      <vt:variant>
        <vt:i4>1048638</vt:i4>
      </vt:variant>
      <vt:variant>
        <vt:i4>14</vt:i4>
      </vt:variant>
      <vt:variant>
        <vt:i4>0</vt:i4>
      </vt:variant>
      <vt:variant>
        <vt:i4>5</vt:i4>
      </vt:variant>
      <vt:variant>
        <vt:lpwstr/>
      </vt:variant>
      <vt:variant>
        <vt:lpwstr>_Toc319573301</vt:lpwstr>
      </vt:variant>
      <vt:variant>
        <vt:i4>1048638</vt:i4>
      </vt:variant>
      <vt:variant>
        <vt:i4>8</vt:i4>
      </vt:variant>
      <vt:variant>
        <vt:i4>0</vt:i4>
      </vt:variant>
      <vt:variant>
        <vt:i4>5</vt:i4>
      </vt:variant>
      <vt:variant>
        <vt:lpwstr/>
      </vt:variant>
      <vt:variant>
        <vt:lpwstr>_Toc319573300</vt:lpwstr>
      </vt:variant>
      <vt:variant>
        <vt:i4>1638463</vt:i4>
      </vt:variant>
      <vt:variant>
        <vt:i4>2</vt:i4>
      </vt:variant>
      <vt:variant>
        <vt:i4>0</vt:i4>
      </vt:variant>
      <vt:variant>
        <vt:i4>5</vt:i4>
      </vt:variant>
      <vt:variant>
        <vt:lpwstr/>
      </vt:variant>
      <vt:variant>
        <vt:lpwstr>_Toc319573299</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2016-11-03T20:29:00Z</dcterms:created>
  <dcterms:modified xsi:type="dcterms:W3CDTF">2016-11-14T18:57:00Z</dcterms:modified>
</cp:coreProperties>
</file>